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color w:val="FFFFFF" w:themeColor="background1"/>
          <w:sz w:val="16"/>
        </w:rPr>
        <w:id w:val="-228914026"/>
        <w:docPartObj>
          <w:docPartGallery w:val="Cover Pages"/>
          <w:docPartUnique/>
        </w:docPartObj>
      </w:sdtPr>
      <w:sdtContent>
        <w:p w14:paraId="73601CC5" w14:textId="77777777" w:rsidR="003C4FAE" w:rsidRPr="003967D2" w:rsidRDefault="003C4FAE" w:rsidP="003C4FAE">
          <w:pPr>
            <w:pStyle w:val="BodyText"/>
            <w:spacing w:after="0"/>
            <w:rPr>
              <w:color w:val="FFFFFF" w:themeColor="background1"/>
            </w:rPr>
          </w:pPr>
        </w:p>
        <w:p w14:paraId="493CA34F" w14:textId="604B662C" w:rsidR="003C4FAE" w:rsidRPr="00DC5DFF" w:rsidRDefault="003C4FAE" w:rsidP="00554670">
          <w:pPr>
            <w:pStyle w:val="Coverdate"/>
            <w:framePr w:wrap="around" w:hAnchor="page" w:x="5307"/>
            <w:ind w:left="1976"/>
            <w:jc w:val="right"/>
          </w:pPr>
          <w:r>
            <w:t xml:space="preserve">Report no. </w:t>
          </w:r>
          <w:r w:rsidR="00554670">
            <w:t>100</w:t>
          </w:r>
          <w:r>
            <w:t xml:space="preserve"> – </w:t>
          </w:r>
          <w:r w:rsidR="00E20F9C">
            <w:t xml:space="preserve">7 </w:t>
          </w:r>
          <w:r w:rsidR="00E363BD">
            <w:t>February 2023</w:t>
          </w:r>
        </w:p>
        <w:p w14:paraId="3651DD59" w14:textId="6A567062" w:rsidR="003C4FAE" w:rsidRDefault="00B25918" w:rsidP="003C4FAE">
          <w:pPr>
            <w:pStyle w:val="CoverImage"/>
            <w:framePr w:h="10036" w:hRule="exact" w:wrap="around" w:y="6805" w:anchorLock="0"/>
          </w:pPr>
          <w:r>
            <w:rPr>
              <w:noProof/>
            </w:rPr>
            <w:drawing>
              <wp:inline distT="0" distB="0" distL="0" distR="0" wp14:anchorId="6BBBF809" wp14:editId="609BD43D">
                <wp:extent cx="7571740" cy="6376670"/>
                <wp:effectExtent l="0" t="0" r="0" b="508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71740" cy="6376670"/>
                        </a:xfrm>
                        <a:prstGeom prst="rect">
                          <a:avLst/>
                        </a:prstGeom>
                        <a:noFill/>
                      </pic:spPr>
                    </pic:pic>
                  </a:graphicData>
                </a:graphic>
              </wp:inline>
            </w:drawing>
          </w:r>
          <w:r w:rsidR="003C4FAE">
            <w:rPr>
              <w:noProof/>
            </w:rPr>
            <w:drawing>
              <wp:inline distT="0" distB="0" distL="0" distR="0" wp14:anchorId="43C50D37" wp14:editId="7998CF8B">
                <wp:extent cx="7704000" cy="77040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04000" cy="7704000"/>
                        </a:xfrm>
                        <a:prstGeom prst="rect">
                          <a:avLst/>
                        </a:prstGeom>
                      </pic:spPr>
                    </pic:pic>
                  </a:graphicData>
                </a:graphic>
              </wp:inline>
            </w:drawing>
          </w:r>
        </w:p>
        <w:p w14:paraId="7DA57C64" w14:textId="2973632A" w:rsidR="003C4FAE" w:rsidRPr="00C26A02" w:rsidRDefault="00287ED9" w:rsidP="003C4FAE">
          <w:pPr>
            <w:pStyle w:val="Title"/>
            <w:spacing w:before="120"/>
            <w:ind w:right="566"/>
          </w:pPr>
          <w:r>
            <w:rPr>
              <w:rStyle w:val="TitleChar"/>
              <w:color w:val="auto"/>
            </w:rPr>
            <w:t>5</w:t>
          </w:r>
          <w:r w:rsidR="005C7A00">
            <w:rPr>
              <w:rStyle w:val="TitleChar"/>
              <w:color w:val="auto"/>
            </w:rPr>
            <w:t>-</w:t>
          </w:r>
          <w:r w:rsidR="00436F5D">
            <w:rPr>
              <w:rStyle w:val="TitleChar"/>
              <w:color w:val="auto"/>
            </w:rPr>
            <w:t>y</w:t>
          </w:r>
          <w:r>
            <w:rPr>
              <w:rStyle w:val="TitleChar"/>
              <w:color w:val="auto"/>
            </w:rPr>
            <w:t xml:space="preserve">ear Productivity Inquiry: </w:t>
          </w:r>
          <w:r>
            <w:rPr>
              <w:rStyle w:val="TitleChar"/>
              <w:color w:val="auto"/>
            </w:rPr>
            <w:br/>
          </w:r>
          <w:r w:rsidR="0059359E">
            <w:rPr>
              <w:rStyle w:val="TitleChar"/>
              <w:color w:val="auto"/>
            </w:rPr>
            <w:t>Whole</w:t>
          </w:r>
          <w:r w:rsidR="004E6774">
            <w:rPr>
              <w:rStyle w:val="TitleChar"/>
              <w:color w:val="auto"/>
            </w:rPr>
            <w:t>-</w:t>
          </w:r>
          <w:r w:rsidR="0059359E">
            <w:rPr>
              <w:rStyle w:val="TitleChar"/>
              <w:color w:val="auto"/>
            </w:rPr>
            <w:t>of</w:t>
          </w:r>
          <w:r w:rsidR="004E6774">
            <w:rPr>
              <w:rStyle w:val="TitleChar"/>
              <w:color w:val="auto"/>
            </w:rPr>
            <w:t>-</w:t>
          </w:r>
          <w:r w:rsidR="0059359E">
            <w:rPr>
              <w:rStyle w:val="TitleChar"/>
              <w:color w:val="auto"/>
            </w:rPr>
            <w:t>economy modelling</w:t>
          </w:r>
        </w:p>
        <w:p w14:paraId="50A1F918" w14:textId="34E58210" w:rsidR="003C4FAE" w:rsidRPr="0049695F" w:rsidRDefault="00861CCF" w:rsidP="003C4FAE">
          <w:pPr>
            <w:pStyle w:val="Subtitle"/>
            <w:rPr>
              <w:color w:val="auto"/>
            </w:rPr>
          </w:pPr>
          <w:r w:rsidRPr="002108B3">
            <w:rPr>
              <w:color w:val="auto"/>
            </w:rPr>
            <w:t>Inquiry report –</w:t>
          </w:r>
          <w:r w:rsidRPr="00383C23">
            <w:rPr>
              <w:i/>
              <w:iCs/>
              <w:color w:val="auto"/>
            </w:rPr>
            <w:t xml:space="preserve"> volume 9</w:t>
          </w:r>
        </w:p>
        <w:p w14:paraId="70DDF5CB" w14:textId="77777777" w:rsidR="003C4FAE" w:rsidRDefault="003C4FAE" w:rsidP="003C4FAE">
          <w:pPr>
            <w:spacing w:after="160" w:line="259" w:lineRule="auto"/>
          </w:pPr>
        </w:p>
        <w:p w14:paraId="0E2B520D" w14:textId="77777777" w:rsidR="003C4FAE" w:rsidRDefault="003C4FAE" w:rsidP="003C4FAE">
          <w:pPr>
            <w:pStyle w:val="CoverImage"/>
            <w:framePr w:wrap="around"/>
            <w:sectPr w:rsidR="003C4FAE" w:rsidSect="002E3F19">
              <w:footerReference w:type="even" r:id="rId15"/>
              <w:footerReference w:type="default" r:id="rId16"/>
              <w:headerReference w:type="first" r:id="rId17"/>
              <w:footerReference w:type="first" r:id="rId18"/>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3C4FAE" w14:paraId="6715A0C1" w14:textId="77777777">
            <w:trPr>
              <w:trHeight w:hRule="exact" w:val="12643"/>
            </w:trPr>
            <w:tc>
              <w:tcPr>
                <w:tcW w:w="9638" w:type="dxa"/>
                <w:tcMar>
                  <w:top w:w="113" w:type="dxa"/>
                </w:tcMar>
              </w:tcPr>
              <w:p w14:paraId="2EF78661" w14:textId="77777777" w:rsidR="003C4FAE" w:rsidRPr="000F4488" w:rsidRDefault="003C4FAE">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68EAFFEB" w14:textId="77777777" w:rsidR="003C4FAE" w:rsidRPr="00F37CB6" w:rsidRDefault="003C4FAE">
                <w:pPr>
                  <w:pStyle w:val="Copyrightpage-Keylinenotext"/>
                  <w:ind w:right="-284"/>
                </w:pPr>
              </w:p>
              <w:p w14:paraId="1A68BB8E" w14:textId="77777777" w:rsidR="003C4FAE" w:rsidRPr="00D96F65" w:rsidRDefault="003C4FAE">
                <w:pPr>
                  <w:pStyle w:val="Copyrightpage-Heading"/>
                  <w:ind w:right="-284"/>
                </w:pPr>
                <w:r w:rsidRPr="00D96F65">
                  <w:t>The Productivity Commission</w:t>
                </w:r>
              </w:p>
              <w:p w14:paraId="3EF0009E" w14:textId="77777777" w:rsidR="003C4FAE" w:rsidRPr="0049695F" w:rsidRDefault="003C4FAE">
                <w:pPr>
                  <w:pStyle w:val="Copyrightpage-BodyBold"/>
                  <w:rPr>
                    <w:spacing w:val="-4"/>
                  </w:rPr>
                </w:pPr>
                <w:r w:rsidRPr="0049695F">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1854728F" w14:textId="77777777" w:rsidR="003C4FAE" w:rsidRPr="000F4488" w:rsidRDefault="003C4FAE">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7ABBA486" w14:textId="77777777" w:rsidR="003C4FAE" w:rsidRPr="000F4488" w:rsidRDefault="003C4FAE">
                <w:pPr>
                  <w:pStyle w:val="Copyrightpage-BodyBold"/>
                </w:pPr>
                <w:r w:rsidRPr="000561CF">
                  <w:t>Further information on the Productivity Commission can be obtained from the Commission’s website (www.pc.gov.au).</w:t>
                </w:r>
              </w:p>
              <w:p w14:paraId="0BA39AF3" w14:textId="77777777" w:rsidR="003C4FAE" w:rsidRPr="000F4488" w:rsidRDefault="003C4FAE">
                <w:pPr>
                  <w:pStyle w:val="Copyrightpage-Keylinenotext"/>
                  <w:ind w:right="-284"/>
                  <w:rPr>
                    <w:b/>
                    <w:bCs/>
                  </w:rPr>
                </w:pPr>
              </w:p>
              <w:p w14:paraId="1E7C0FE8" w14:textId="2F4D1CD5" w:rsidR="003C4FAE" w:rsidRPr="000561CF" w:rsidRDefault="003C4FAE">
                <w:pPr>
                  <w:pStyle w:val="Copyrightpage-BodyBold"/>
                </w:pPr>
                <w:r w:rsidRPr="00E72EE0">
                  <w:t>©</w:t>
                </w:r>
                <w:r w:rsidRPr="00137FAB">
                  <w:t xml:space="preserve"> Commonwealth of Australia 202</w:t>
                </w:r>
                <w:r w:rsidR="003B5CFB">
                  <w:t>3</w:t>
                </w:r>
              </w:p>
              <w:p w14:paraId="187AF087" w14:textId="77777777" w:rsidR="003C4FAE" w:rsidRPr="00E72EE0" w:rsidRDefault="003C4FAE">
                <w:pPr>
                  <w:pStyle w:val="Copyrightpage-Heading2"/>
                  <w:spacing w:before="0"/>
                  <w:ind w:right="-284"/>
                  <w:rPr>
                    <w:bCs/>
                  </w:rPr>
                </w:pPr>
                <w:r w:rsidRPr="00E72EE0">
                  <w:rPr>
                    <w:bCs/>
                    <w:noProof/>
                  </w:rPr>
                  <w:drawing>
                    <wp:inline distT="0" distB="0" distL="0" distR="0" wp14:anchorId="765EFC28" wp14:editId="34FC83B1">
                      <wp:extent cx="774000" cy="270000"/>
                      <wp:effectExtent l="0" t="0" r="7620" b="0"/>
                      <wp:docPr id="8" name="Graphic 5"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3F6A3C31" w14:textId="77777777" w:rsidR="003C4FAE" w:rsidRPr="000F4488" w:rsidRDefault="003C4FAE">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6993F2C6" w14:textId="4D767F2F" w:rsidR="003C4FAE" w:rsidRPr="000F4488" w:rsidRDefault="003C4FAE">
                <w:pPr>
                  <w:pStyle w:val="Copyrightpage-BodyBold"/>
                </w:pPr>
                <w:r w:rsidRPr="000561CF">
                  <w:t>The terms under which the Coat of Arms can be used are detailed at: www.pmc.gov.au/government/commonwealth</w:t>
                </w:r>
                <w:r w:rsidR="004B308E">
                  <w:noBreakHyphen/>
                </w:r>
                <w:r w:rsidRPr="000561CF">
                  <w:t>coat</w:t>
                </w:r>
                <w:r w:rsidR="004B308E">
                  <w:noBreakHyphen/>
                </w:r>
                <w:r w:rsidRPr="000561CF">
                  <w:t>arms.</w:t>
                </w:r>
              </w:p>
              <w:p w14:paraId="6BD58100" w14:textId="77777777" w:rsidR="003C4FAE" w:rsidRPr="000561CF" w:rsidRDefault="003C4FAE">
                <w:pPr>
                  <w:pStyle w:val="Copyrightpage-BodyBold"/>
                </w:pPr>
                <w:r w:rsidRPr="000561CF">
                  <w:t>Wherever a third party holds copyright in this material the copyright remains with that party. Their permission may be required to use the material, please contact them directly.</w:t>
                </w:r>
              </w:p>
              <w:p w14:paraId="48F5E038" w14:textId="19D3FC88" w:rsidR="009C651F" w:rsidRPr="00AC587D" w:rsidRDefault="009C651F" w:rsidP="009C651F">
                <w:pPr>
                  <w:pStyle w:val="Copyrightpage-BodyBold"/>
                </w:pPr>
                <w:r w:rsidRPr="000561CF">
                  <w:t xml:space="preserve">ISSN </w:t>
                </w:r>
                <w:r w:rsidRPr="002963AB">
                  <w:t>1447-1337</w:t>
                </w:r>
                <w:r>
                  <w:t xml:space="preserve"> (online)</w:t>
                </w:r>
                <w:r>
                  <w:br/>
                </w:r>
                <w:r w:rsidRPr="000561CF">
                  <w:t xml:space="preserve">ISSN </w:t>
                </w:r>
                <w:r w:rsidRPr="004963DA">
                  <w:t>1447-1329</w:t>
                </w:r>
                <w:r>
                  <w:t xml:space="preserve"> (print)</w:t>
                </w:r>
                <w:r>
                  <w:br/>
                </w:r>
                <w:r w:rsidRPr="00E72EE0">
                  <w:t xml:space="preserve">ISBN </w:t>
                </w:r>
                <w:r w:rsidRPr="00E17D78">
                  <w:t>978-1-74037-759-1</w:t>
                </w:r>
                <w:r w:rsidRPr="00E72EE0">
                  <w:t xml:space="preserve"> (</w:t>
                </w:r>
                <w:r>
                  <w:t>set</w:t>
                </w:r>
                <w:r w:rsidRPr="00E72EE0">
                  <w:t>)</w:t>
                </w:r>
                <w:r>
                  <w:br/>
                </w:r>
                <w:r w:rsidRPr="00137FAB">
                  <w:t xml:space="preserve">ISBN </w:t>
                </w:r>
                <w:r w:rsidR="004E68A9" w:rsidRPr="004E68A9">
                  <w:t>978-1-74037-768-3</w:t>
                </w:r>
                <w:r w:rsidRPr="00137FAB">
                  <w:t xml:space="preserve"> (</w:t>
                </w:r>
                <w:r>
                  <w:t>volume 9</w:t>
                </w:r>
                <w:r w:rsidRPr="00137FAB">
                  <w:t>)</w:t>
                </w:r>
              </w:p>
              <w:p w14:paraId="642BE266" w14:textId="1DB6CE86" w:rsidR="003C4FAE" w:rsidRPr="00137FAB" w:rsidRDefault="003C4FAE">
                <w:pPr>
                  <w:pStyle w:val="Copyrightpage-BodyBold"/>
                </w:pPr>
                <w:r w:rsidRPr="000F4488">
                  <w:t>An appropriate reference for this publication is:</w:t>
                </w:r>
                <w:r>
                  <w:br/>
                  <w:t>Productivity Commission</w:t>
                </w:r>
                <w:r w:rsidR="00653256">
                  <w:t xml:space="preserve"> 2023</w:t>
                </w:r>
                <w:r>
                  <w:t xml:space="preserve">, </w:t>
                </w:r>
                <w:r>
                  <w:rPr>
                    <w:i/>
                    <w:iCs/>
                  </w:rPr>
                  <w:t>5</w:t>
                </w:r>
                <w:r w:rsidR="004E6774">
                  <w:rPr>
                    <w:i/>
                    <w:iCs/>
                  </w:rPr>
                  <w:t>-</w:t>
                </w:r>
                <w:r>
                  <w:rPr>
                    <w:i/>
                    <w:iCs/>
                  </w:rPr>
                  <w:t>Year Productivity inquiry:</w:t>
                </w:r>
                <w:r w:rsidR="00554670">
                  <w:rPr>
                    <w:i/>
                    <w:iCs/>
                  </w:rPr>
                  <w:t xml:space="preserve"> </w:t>
                </w:r>
                <w:r w:rsidR="00407DF4">
                  <w:rPr>
                    <w:i/>
                    <w:iCs/>
                  </w:rPr>
                  <w:t>Whole</w:t>
                </w:r>
                <w:r w:rsidR="004B308E">
                  <w:rPr>
                    <w:i/>
                    <w:iCs/>
                  </w:rPr>
                  <w:noBreakHyphen/>
                </w:r>
                <w:r w:rsidR="006E420A">
                  <w:rPr>
                    <w:i/>
                    <w:iCs/>
                  </w:rPr>
                  <w:t>of</w:t>
                </w:r>
                <w:r w:rsidR="004B308E">
                  <w:rPr>
                    <w:i/>
                    <w:iCs/>
                  </w:rPr>
                  <w:noBreakHyphen/>
                </w:r>
                <w:r w:rsidR="006E420A">
                  <w:rPr>
                    <w:i/>
                    <w:iCs/>
                  </w:rPr>
                  <w:t>economy m</w:t>
                </w:r>
                <w:r w:rsidR="00554670">
                  <w:rPr>
                    <w:i/>
                    <w:iCs/>
                  </w:rPr>
                  <w:t>odelling</w:t>
                </w:r>
                <w:r w:rsidRPr="00E72EE0">
                  <w:t xml:space="preserve">, </w:t>
                </w:r>
                <w:r w:rsidR="002108B3">
                  <w:t xml:space="preserve">Vol. 9, </w:t>
                </w:r>
                <w:r>
                  <w:t>Inquiry Report no. 100, Canberra</w:t>
                </w:r>
              </w:p>
              <w:p w14:paraId="0299612A" w14:textId="77777777" w:rsidR="003C4FAE" w:rsidRDefault="003C4FAE">
                <w:pPr>
                  <w:pStyle w:val="Copyrightpage-BodyBold"/>
                  <w:ind w:right="-284"/>
                </w:pPr>
              </w:p>
              <w:p w14:paraId="51313045" w14:textId="77777777" w:rsidR="003C4FAE" w:rsidRDefault="003C4FAE">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sdtContent>
    </w:sdt>
    <w:p w14:paraId="31F62A07" w14:textId="77777777" w:rsidR="002A40BA" w:rsidRDefault="002A40BA">
      <w:pPr>
        <w:spacing w:before="0" w:after="160" w:line="259" w:lineRule="auto"/>
      </w:pPr>
    </w:p>
    <w:p w14:paraId="6132AE71" w14:textId="77777777" w:rsidR="003C4FAE" w:rsidRDefault="003C4FAE">
      <w:pPr>
        <w:spacing w:before="0" w:after="160" w:line="259" w:lineRule="auto"/>
        <w:sectPr w:rsidR="003C4FAE" w:rsidSect="00CC0287">
          <w:headerReference w:type="even" r:id="rId21"/>
          <w:headerReference w:type="default" r:id="rId22"/>
          <w:footerReference w:type="even" r:id="rId23"/>
          <w:footerReference w:type="default" r:id="rId24"/>
          <w:pgSz w:w="11906" w:h="16838" w:code="9"/>
          <w:pgMar w:top="1134" w:right="1134" w:bottom="1134" w:left="1134" w:header="794" w:footer="510" w:gutter="0"/>
          <w:pgNumType w:fmt="lowerRoman"/>
          <w:cols w:space="708"/>
          <w:docGrid w:linePitch="360"/>
        </w:sectPr>
      </w:pPr>
    </w:p>
    <w:p w14:paraId="706C9DBC" w14:textId="77777777" w:rsidR="005D24E2" w:rsidRDefault="005D24E2" w:rsidP="005D24E2">
      <w:pPr>
        <w:pStyle w:val="Heading1-nobackground"/>
      </w:pPr>
      <w:bookmarkStart w:id="0" w:name="_Toc110438705"/>
      <w:bookmarkStart w:id="1" w:name="_Toc125979172"/>
      <w:bookmarkStart w:id="2" w:name="_Toc126176816"/>
      <w:r>
        <w:lastRenderedPageBreak/>
        <w:t>Contents</w:t>
      </w:r>
      <w:bookmarkEnd w:id="0"/>
      <w:bookmarkEnd w:id="1"/>
      <w:bookmarkEnd w:id="2"/>
    </w:p>
    <w:p w14:paraId="40DAB631" w14:textId="7538CD87" w:rsidR="00A26D54" w:rsidRDefault="00A26D54" w:rsidP="00185119">
      <w:pPr>
        <w:pStyle w:val="TOC1"/>
        <w:rPr>
          <w:rFonts w:asciiTheme="minorHAnsi" w:eastAsiaTheme="minorEastAsia" w:hAnsiTheme="minorHAnsi"/>
          <w:noProof/>
          <w:color w:val="auto"/>
          <w:sz w:val="22"/>
          <w:szCs w:val="22"/>
          <w:lang w:eastAsia="en-AU"/>
        </w:rPr>
      </w:pPr>
      <w:r>
        <w:rPr>
          <w:noProof/>
        </w:rPr>
        <w:t>Preface</w:t>
      </w:r>
      <w:r>
        <w:rPr>
          <w:noProof/>
          <w:webHidden/>
        </w:rPr>
        <w:tab/>
      </w:r>
      <w:r w:rsidR="00E301DC">
        <w:rPr>
          <w:noProof/>
          <w:webHidden/>
        </w:rPr>
        <w:t>i</w:t>
      </w:r>
      <w:r>
        <w:rPr>
          <w:noProof/>
          <w:webHidden/>
        </w:rPr>
        <w:t>v</w:t>
      </w:r>
    </w:p>
    <w:p w14:paraId="218C4D65" w14:textId="7086A722" w:rsidR="00A26D54" w:rsidRDefault="00A26D54" w:rsidP="00185119">
      <w:pPr>
        <w:pStyle w:val="TOC1"/>
        <w:rPr>
          <w:rFonts w:asciiTheme="minorHAnsi" w:eastAsiaTheme="minorEastAsia" w:hAnsiTheme="minorHAnsi"/>
          <w:noProof/>
          <w:color w:val="auto"/>
          <w:sz w:val="22"/>
          <w:szCs w:val="22"/>
          <w:lang w:eastAsia="en-AU"/>
        </w:rPr>
      </w:pPr>
      <w:r>
        <w:rPr>
          <w:noProof/>
        </w:rPr>
        <w:t>1.</w:t>
      </w:r>
      <w:r>
        <w:rPr>
          <w:rFonts w:asciiTheme="minorHAnsi" w:eastAsiaTheme="minorEastAsia" w:hAnsiTheme="minorHAnsi"/>
          <w:noProof/>
          <w:color w:val="auto"/>
          <w:sz w:val="22"/>
          <w:szCs w:val="22"/>
          <w:lang w:eastAsia="en-AU"/>
        </w:rPr>
        <w:tab/>
      </w:r>
      <w:r>
        <w:rPr>
          <w:noProof/>
        </w:rPr>
        <w:t>Model structure</w:t>
      </w:r>
      <w:r>
        <w:rPr>
          <w:noProof/>
          <w:webHidden/>
        </w:rPr>
        <w:tab/>
        <w:t>1</w:t>
      </w:r>
    </w:p>
    <w:p w14:paraId="1E81DC22" w14:textId="49EB8714" w:rsidR="00A26D54" w:rsidRDefault="00A26D54">
      <w:pPr>
        <w:pStyle w:val="TOC2"/>
        <w:rPr>
          <w:rFonts w:eastAsiaTheme="minorEastAsia"/>
          <w:sz w:val="22"/>
          <w:szCs w:val="22"/>
          <w:lang w:eastAsia="en-AU"/>
        </w:rPr>
      </w:pPr>
      <w:r>
        <w:t>1.1</w:t>
      </w:r>
      <w:r>
        <w:rPr>
          <w:rFonts w:eastAsiaTheme="minorEastAsia"/>
          <w:sz w:val="22"/>
          <w:szCs w:val="22"/>
          <w:lang w:eastAsia="en-AU"/>
        </w:rPr>
        <w:tab/>
      </w:r>
      <w:r>
        <w:t>Individual group decision process</w:t>
      </w:r>
      <w:r>
        <w:rPr>
          <w:webHidden/>
        </w:rPr>
        <w:tab/>
        <w:t>4</w:t>
      </w:r>
    </w:p>
    <w:p w14:paraId="76E6BFEB" w14:textId="462F0E1D" w:rsidR="00A26D54" w:rsidRDefault="00A26D54">
      <w:pPr>
        <w:pStyle w:val="TOC2"/>
        <w:rPr>
          <w:rFonts w:eastAsiaTheme="minorEastAsia"/>
          <w:sz w:val="22"/>
          <w:szCs w:val="22"/>
          <w:lang w:eastAsia="en-AU"/>
        </w:rPr>
      </w:pPr>
      <w:r>
        <w:t>1.2</w:t>
      </w:r>
      <w:r>
        <w:rPr>
          <w:rFonts w:eastAsiaTheme="minorEastAsia"/>
          <w:sz w:val="22"/>
          <w:szCs w:val="22"/>
          <w:lang w:eastAsia="en-AU"/>
        </w:rPr>
        <w:tab/>
      </w:r>
      <w:r>
        <w:t>Industry production processes</w:t>
      </w:r>
      <w:r>
        <w:rPr>
          <w:webHidden/>
        </w:rPr>
        <w:tab/>
        <w:t>5</w:t>
      </w:r>
    </w:p>
    <w:p w14:paraId="0D5D83B9" w14:textId="29F1B317" w:rsidR="00A26D54" w:rsidRDefault="00A26D54">
      <w:pPr>
        <w:pStyle w:val="TOC2"/>
        <w:rPr>
          <w:rFonts w:eastAsiaTheme="minorEastAsia"/>
          <w:sz w:val="22"/>
          <w:szCs w:val="22"/>
          <w:lang w:eastAsia="en-AU"/>
        </w:rPr>
      </w:pPr>
      <w:r>
        <w:t>1.3</w:t>
      </w:r>
      <w:r>
        <w:rPr>
          <w:rFonts w:eastAsiaTheme="minorEastAsia"/>
          <w:sz w:val="22"/>
          <w:szCs w:val="22"/>
          <w:lang w:eastAsia="en-AU"/>
        </w:rPr>
        <w:tab/>
      </w:r>
      <w:r>
        <w:t>Government decision process</w:t>
      </w:r>
      <w:r>
        <w:rPr>
          <w:webHidden/>
        </w:rPr>
        <w:tab/>
        <w:t>8</w:t>
      </w:r>
    </w:p>
    <w:p w14:paraId="579312AB" w14:textId="3117D887" w:rsidR="00A26D54" w:rsidRDefault="00A26D54">
      <w:pPr>
        <w:pStyle w:val="TOC2"/>
        <w:rPr>
          <w:rFonts w:eastAsiaTheme="minorEastAsia"/>
          <w:sz w:val="22"/>
          <w:szCs w:val="22"/>
          <w:lang w:eastAsia="en-AU"/>
        </w:rPr>
      </w:pPr>
      <w:r>
        <w:t>1.4</w:t>
      </w:r>
      <w:r>
        <w:rPr>
          <w:rFonts w:eastAsiaTheme="minorEastAsia"/>
          <w:sz w:val="22"/>
          <w:szCs w:val="22"/>
          <w:lang w:eastAsia="en-AU"/>
        </w:rPr>
        <w:tab/>
      </w:r>
      <w:r>
        <w:t>Investment and capital processes</w:t>
      </w:r>
      <w:r>
        <w:rPr>
          <w:webHidden/>
        </w:rPr>
        <w:tab/>
        <w:t>8</w:t>
      </w:r>
    </w:p>
    <w:p w14:paraId="40400862" w14:textId="49CA4531" w:rsidR="00A26D54" w:rsidRDefault="00A26D54">
      <w:pPr>
        <w:pStyle w:val="TOC2"/>
        <w:rPr>
          <w:rFonts w:eastAsiaTheme="minorEastAsia"/>
          <w:sz w:val="22"/>
          <w:szCs w:val="22"/>
          <w:lang w:eastAsia="en-AU"/>
        </w:rPr>
      </w:pPr>
      <w:r>
        <w:t>1.5</w:t>
      </w:r>
      <w:r>
        <w:rPr>
          <w:rFonts w:eastAsiaTheme="minorEastAsia"/>
          <w:sz w:val="22"/>
          <w:szCs w:val="22"/>
          <w:lang w:eastAsia="en-AU"/>
        </w:rPr>
        <w:tab/>
      </w:r>
      <w:r>
        <w:t>The rest of the world</w:t>
      </w:r>
      <w:r>
        <w:rPr>
          <w:webHidden/>
        </w:rPr>
        <w:tab/>
        <w:t>9</w:t>
      </w:r>
    </w:p>
    <w:p w14:paraId="738E5E68" w14:textId="3CC82CE4" w:rsidR="00A26D54" w:rsidRDefault="00A26D54">
      <w:pPr>
        <w:pStyle w:val="TOC2"/>
        <w:rPr>
          <w:rFonts w:eastAsiaTheme="minorEastAsia"/>
          <w:sz w:val="22"/>
          <w:szCs w:val="22"/>
          <w:lang w:eastAsia="en-AU"/>
        </w:rPr>
      </w:pPr>
      <w:r>
        <w:t>1.6</w:t>
      </w:r>
      <w:r>
        <w:rPr>
          <w:rFonts w:eastAsiaTheme="minorEastAsia"/>
          <w:sz w:val="22"/>
          <w:szCs w:val="22"/>
          <w:lang w:eastAsia="en-AU"/>
        </w:rPr>
        <w:tab/>
      </w:r>
      <w:r>
        <w:t>Model structure limitations</w:t>
      </w:r>
      <w:r>
        <w:rPr>
          <w:webHidden/>
        </w:rPr>
        <w:tab/>
        <w:t>9</w:t>
      </w:r>
    </w:p>
    <w:p w14:paraId="37C8AE92" w14:textId="17041534" w:rsidR="00A26D54" w:rsidRDefault="00A26D54" w:rsidP="00185119">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Data sources and parameters</w:t>
      </w:r>
      <w:r>
        <w:rPr>
          <w:noProof/>
          <w:webHidden/>
        </w:rPr>
        <w:tab/>
        <w:t>11</w:t>
      </w:r>
    </w:p>
    <w:p w14:paraId="28DDFB5F" w14:textId="1153D3D8" w:rsidR="00A26D54" w:rsidRDefault="00A26D54">
      <w:pPr>
        <w:pStyle w:val="TOC2"/>
        <w:rPr>
          <w:rFonts w:eastAsiaTheme="minorEastAsia"/>
          <w:sz w:val="22"/>
          <w:szCs w:val="22"/>
          <w:lang w:eastAsia="en-AU"/>
        </w:rPr>
      </w:pPr>
      <w:r>
        <w:t>2.1</w:t>
      </w:r>
      <w:r>
        <w:rPr>
          <w:rFonts w:eastAsiaTheme="minorEastAsia"/>
          <w:sz w:val="22"/>
          <w:szCs w:val="22"/>
          <w:lang w:eastAsia="en-AU"/>
        </w:rPr>
        <w:tab/>
      </w:r>
      <w:r>
        <w:t>The social accounting matrix</w:t>
      </w:r>
      <w:r>
        <w:rPr>
          <w:webHidden/>
        </w:rPr>
        <w:tab/>
        <w:t>11</w:t>
      </w:r>
    </w:p>
    <w:p w14:paraId="6701274D" w14:textId="7EE3C56D" w:rsidR="00A26D54" w:rsidRDefault="00A26D54">
      <w:pPr>
        <w:pStyle w:val="TOC2"/>
        <w:rPr>
          <w:rFonts w:eastAsiaTheme="minorEastAsia"/>
          <w:sz w:val="22"/>
          <w:szCs w:val="22"/>
          <w:lang w:eastAsia="en-AU"/>
        </w:rPr>
      </w:pPr>
      <w:r>
        <w:t>2.2</w:t>
      </w:r>
      <w:r>
        <w:rPr>
          <w:rFonts w:eastAsiaTheme="minorEastAsia"/>
          <w:sz w:val="22"/>
          <w:szCs w:val="22"/>
          <w:lang w:eastAsia="en-AU"/>
        </w:rPr>
        <w:tab/>
      </w:r>
      <w:r>
        <w:t>Expenditure, factor incomes, and income tax by individual group</w:t>
      </w:r>
      <w:r>
        <w:rPr>
          <w:webHidden/>
        </w:rPr>
        <w:tab/>
        <w:t>12</w:t>
      </w:r>
    </w:p>
    <w:p w14:paraId="324DB33A" w14:textId="0A329655" w:rsidR="00A26D54" w:rsidRDefault="00A26D54">
      <w:pPr>
        <w:pStyle w:val="TOC2"/>
        <w:rPr>
          <w:rFonts w:eastAsiaTheme="minorEastAsia"/>
          <w:sz w:val="22"/>
          <w:szCs w:val="22"/>
          <w:lang w:eastAsia="en-AU"/>
        </w:rPr>
      </w:pPr>
      <w:r>
        <w:t>2.3</w:t>
      </w:r>
      <w:r>
        <w:rPr>
          <w:rFonts w:eastAsiaTheme="minorEastAsia"/>
          <w:sz w:val="22"/>
          <w:szCs w:val="22"/>
          <w:lang w:eastAsia="en-AU"/>
        </w:rPr>
        <w:tab/>
      </w:r>
      <w:r>
        <w:t>Normalised hours</w:t>
      </w:r>
      <w:r>
        <w:rPr>
          <w:webHidden/>
        </w:rPr>
        <w:tab/>
        <w:t>13</w:t>
      </w:r>
    </w:p>
    <w:p w14:paraId="69E19461" w14:textId="3F29B65A" w:rsidR="00A26D54" w:rsidRDefault="00A26D54">
      <w:pPr>
        <w:pStyle w:val="TOC2"/>
        <w:rPr>
          <w:rFonts w:eastAsiaTheme="minorEastAsia"/>
          <w:sz w:val="22"/>
          <w:szCs w:val="22"/>
          <w:lang w:eastAsia="en-AU"/>
        </w:rPr>
      </w:pPr>
      <w:r>
        <w:t>2.4</w:t>
      </w:r>
      <w:r>
        <w:rPr>
          <w:rFonts w:eastAsiaTheme="minorEastAsia"/>
          <w:sz w:val="22"/>
          <w:szCs w:val="22"/>
          <w:lang w:eastAsia="en-AU"/>
        </w:rPr>
        <w:tab/>
      </w:r>
      <w:r>
        <w:t>Other individual group values</w:t>
      </w:r>
      <w:r>
        <w:rPr>
          <w:webHidden/>
        </w:rPr>
        <w:tab/>
        <w:t>14</w:t>
      </w:r>
    </w:p>
    <w:p w14:paraId="0E06450D" w14:textId="557A1ED3" w:rsidR="00A26D54" w:rsidRDefault="00A26D54">
      <w:pPr>
        <w:pStyle w:val="TOC2"/>
        <w:rPr>
          <w:rFonts w:eastAsiaTheme="minorEastAsia"/>
          <w:sz w:val="22"/>
          <w:szCs w:val="22"/>
          <w:lang w:eastAsia="en-AU"/>
        </w:rPr>
      </w:pPr>
      <w:r>
        <w:t>2.5</w:t>
      </w:r>
      <w:r>
        <w:rPr>
          <w:rFonts w:eastAsiaTheme="minorEastAsia"/>
          <w:sz w:val="22"/>
          <w:szCs w:val="22"/>
          <w:lang w:eastAsia="en-AU"/>
        </w:rPr>
        <w:tab/>
      </w:r>
      <w:r>
        <w:t>Elasticities</w:t>
      </w:r>
      <w:r>
        <w:rPr>
          <w:webHidden/>
        </w:rPr>
        <w:tab/>
        <w:t>15</w:t>
      </w:r>
    </w:p>
    <w:p w14:paraId="2193C836" w14:textId="3FC194B7" w:rsidR="00A26D54" w:rsidRDefault="00A26D54" w:rsidP="00185119">
      <w:pPr>
        <w:pStyle w:val="TOC1"/>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Pr>
          <w:noProof/>
        </w:rPr>
        <w:t>Simulations and output variables</w:t>
      </w:r>
      <w:r>
        <w:rPr>
          <w:noProof/>
          <w:webHidden/>
        </w:rPr>
        <w:tab/>
        <w:t>17</w:t>
      </w:r>
    </w:p>
    <w:p w14:paraId="3D7473D8" w14:textId="310AFE0D" w:rsidR="00A26D54" w:rsidRDefault="00A26D54">
      <w:pPr>
        <w:pStyle w:val="TOC2"/>
        <w:rPr>
          <w:rFonts w:eastAsiaTheme="minorEastAsia"/>
          <w:sz w:val="22"/>
          <w:szCs w:val="22"/>
          <w:lang w:eastAsia="en-AU"/>
        </w:rPr>
      </w:pPr>
      <w:r>
        <w:t>3.1</w:t>
      </w:r>
      <w:r>
        <w:rPr>
          <w:rFonts w:eastAsiaTheme="minorEastAsia"/>
          <w:sz w:val="22"/>
          <w:szCs w:val="22"/>
          <w:lang w:eastAsia="en-AU"/>
        </w:rPr>
        <w:tab/>
      </w:r>
      <w:r>
        <w:t>Summary of simulations</w:t>
      </w:r>
      <w:r>
        <w:rPr>
          <w:webHidden/>
        </w:rPr>
        <w:tab/>
        <w:t>17</w:t>
      </w:r>
    </w:p>
    <w:p w14:paraId="378CF019" w14:textId="4BB196C4" w:rsidR="00A26D54" w:rsidRDefault="00A26D54">
      <w:pPr>
        <w:pStyle w:val="TOC2"/>
        <w:rPr>
          <w:rFonts w:eastAsiaTheme="minorEastAsia"/>
          <w:sz w:val="22"/>
          <w:szCs w:val="22"/>
          <w:lang w:eastAsia="en-AU"/>
        </w:rPr>
      </w:pPr>
      <w:r>
        <w:t>3.2</w:t>
      </w:r>
      <w:r>
        <w:rPr>
          <w:rFonts w:eastAsiaTheme="minorEastAsia"/>
          <w:sz w:val="22"/>
          <w:szCs w:val="22"/>
          <w:lang w:eastAsia="en-AU"/>
        </w:rPr>
        <w:tab/>
      </w:r>
      <w:r>
        <w:t>Aggregate output variables</w:t>
      </w:r>
      <w:r>
        <w:rPr>
          <w:webHidden/>
        </w:rPr>
        <w:tab/>
        <w:t>23</w:t>
      </w:r>
    </w:p>
    <w:p w14:paraId="34E3C5A0" w14:textId="19CDE2B6" w:rsidR="00A26D54" w:rsidRDefault="00A26D54" w:rsidP="00185119">
      <w:pPr>
        <w:pStyle w:val="TOC1"/>
        <w:rPr>
          <w:rFonts w:asciiTheme="minorHAnsi" w:eastAsiaTheme="minorEastAsia" w:hAnsiTheme="minorHAnsi"/>
          <w:noProof/>
          <w:color w:val="auto"/>
          <w:sz w:val="22"/>
          <w:szCs w:val="22"/>
          <w:lang w:eastAsia="en-AU"/>
        </w:rPr>
      </w:pPr>
      <w:r>
        <w:rPr>
          <w:noProof/>
        </w:rPr>
        <w:t>4.</w:t>
      </w:r>
      <w:r>
        <w:rPr>
          <w:rFonts w:asciiTheme="minorHAnsi" w:eastAsiaTheme="minorEastAsia" w:hAnsiTheme="minorHAnsi"/>
          <w:noProof/>
          <w:color w:val="auto"/>
          <w:sz w:val="22"/>
          <w:szCs w:val="22"/>
          <w:lang w:eastAsia="en-AU"/>
        </w:rPr>
        <w:tab/>
      </w:r>
      <w:r>
        <w:rPr>
          <w:noProof/>
        </w:rPr>
        <w:t>Sensitivity testing</w:t>
      </w:r>
      <w:r>
        <w:rPr>
          <w:noProof/>
          <w:webHidden/>
        </w:rPr>
        <w:tab/>
        <w:t>25</w:t>
      </w:r>
    </w:p>
    <w:p w14:paraId="21215D19" w14:textId="568C4D22" w:rsidR="00A26D54" w:rsidRDefault="00A26D54" w:rsidP="00185119">
      <w:pPr>
        <w:pStyle w:val="TOC1"/>
        <w:rPr>
          <w:rFonts w:asciiTheme="minorHAnsi" w:eastAsiaTheme="minorEastAsia" w:hAnsiTheme="minorHAnsi"/>
          <w:noProof/>
          <w:color w:val="auto"/>
          <w:sz w:val="22"/>
          <w:szCs w:val="22"/>
          <w:lang w:eastAsia="en-AU"/>
        </w:rPr>
      </w:pPr>
      <w:r>
        <w:rPr>
          <w:noProof/>
        </w:rPr>
        <w:t>5.</w:t>
      </w:r>
      <w:r>
        <w:rPr>
          <w:rFonts w:asciiTheme="minorHAnsi" w:eastAsiaTheme="minorEastAsia" w:hAnsiTheme="minorHAnsi"/>
          <w:noProof/>
          <w:color w:val="auto"/>
          <w:sz w:val="22"/>
          <w:szCs w:val="22"/>
          <w:lang w:eastAsia="en-AU"/>
        </w:rPr>
        <w:tab/>
      </w:r>
      <w:r>
        <w:rPr>
          <w:noProof/>
        </w:rPr>
        <w:t>Model equations</w:t>
      </w:r>
      <w:r>
        <w:rPr>
          <w:noProof/>
          <w:webHidden/>
        </w:rPr>
        <w:tab/>
        <w:t>29</w:t>
      </w:r>
    </w:p>
    <w:p w14:paraId="17FD56FC" w14:textId="269EB8A6" w:rsidR="00A26D54" w:rsidRDefault="00A26D54" w:rsidP="00185119">
      <w:pPr>
        <w:pStyle w:val="TOC1"/>
        <w:rPr>
          <w:rFonts w:asciiTheme="minorHAnsi" w:eastAsiaTheme="minorEastAsia" w:hAnsiTheme="minorHAnsi"/>
          <w:noProof/>
          <w:color w:val="auto"/>
          <w:sz w:val="22"/>
          <w:szCs w:val="22"/>
          <w:lang w:eastAsia="en-AU"/>
        </w:rPr>
      </w:pPr>
      <w:r>
        <w:rPr>
          <w:noProof/>
        </w:rPr>
        <w:t>Attachment A — Review of ‘whole</w:t>
      </w:r>
      <w:r>
        <w:rPr>
          <w:noProof/>
        </w:rPr>
        <w:noBreakHyphen/>
        <w:t>of</w:t>
      </w:r>
      <w:r>
        <w:rPr>
          <w:noProof/>
        </w:rPr>
        <w:noBreakHyphen/>
        <w:t>economy modelling’</w:t>
      </w:r>
      <w:r>
        <w:rPr>
          <w:noProof/>
          <w:webHidden/>
        </w:rPr>
        <w:tab/>
        <w:t>33</w:t>
      </w:r>
    </w:p>
    <w:p w14:paraId="6CFEBF49" w14:textId="0C9B7F8F" w:rsidR="00A26D54" w:rsidRDefault="00A26D54" w:rsidP="00185119">
      <w:pPr>
        <w:pStyle w:val="TOC1"/>
        <w:rPr>
          <w:rFonts w:asciiTheme="minorHAnsi" w:eastAsiaTheme="minorEastAsia" w:hAnsiTheme="minorHAnsi"/>
          <w:noProof/>
          <w:color w:val="auto"/>
          <w:sz w:val="22"/>
          <w:szCs w:val="22"/>
          <w:lang w:eastAsia="en-AU"/>
        </w:rPr>
      </w:pPr>
      <w:r>
        <w:rPr>
          <w:noProof/>
        </w:rPr>
        <w:t>Abbreviations</w:t>
      </w:r>
      <w:r>
        <w:rPr>
          <w:noProof/>
          <w:webHidden/>
        </w:rPr>
        <w:tab/>
      </w:r>
      <w:r w:rsidR="00E301DC">
        <w:rPr>
          <w:noProof/>
          <w:webHidden/>
        </w:rPr>
        <w:t>35</w:t>
      </w:r>
    </w:p>
    <w:p w14:paraId="03FD4723" w14:textId="0D1EDACE" w:rsidR="00A26D54" w:rsidRDefault="00A26D54" w:rsidP="00185119">
      <w:pPr>
        <w:pStyle w:val="TOC1"/>
        <w:rPr>
          <w:noProof/>
          <w:webHidden/>
        </w:rPr>
      </w:pPr>
      <w:r>
        <w:rPr>
          <w:noProof/>
        </w:rPr>
        <w:t>References</w:t>
      </w:r>
      <w:r>
        <w:rPr>
          <w:noProof/>
          <w:webHidden/>
        </w:rPr>
        <w:tab/>
        <w:t>37</w:t>
      </w:r>
    </w:p>
    <w:p w14:paraId="62E9FEC2" w14:textId="188D650B" w:rsidR="00202AF1" w:rsidRDefault="00653256" w:rsidP="00202AF1">
      <w:pPr>
        <w:pStyle w:val="BodyText"/>
        <w:spacing w:before="360"/>
      </w:pPr>
      <w:r w:rsidRPr="009B4D0C">
        <w:rPr>
          <w:rFonts w:ascii="Arial" w:hAnsi="Arial" w:cs="Arial"/>
        </w:rPr>
        <w:t xml:space="preserve">The Commission’s report is divided into 9 volumes: an overview document (volume 1) that presents our policy agenda, and inquiry content volumes (volumes 2–9) that explain in greater detail the reforms that make up the policy agenda, including a modelling appendix. The full report is available from </w:t>
      </w:r>
      <w:hyperlink r:id="rId25" w:history="1">
        <w:r w:rsidRPr="009B4D0C">
          <w:rPr>
            <w:rStyle w:val="Hyperlink"/>
            <w:rFonts w:ascii="Arial" w:hAnsi="Arial" w:cs="Arial"/>
            <w:color w:val="auto"/>
          </w:rPr>
          <w:t>www.pc.gov.au</w:t>
        </w:r>
      </w:hyperlink>
      <w:r w:rsidRPr="009B4D0C">
        <w:rPr>
          <w:rFonts w:ascii="Arial" w:hAnsi="Arial" w:cs="Arial"/>
        </w:rPr>
        <w:t>.</w:t>
      </w:r>
    </w:p>
    <w:p w14:paraId="6961AB00" w14:textId="77777777" w:rsidR="00202AF1" w:rsidRPr="00202AF1" w:rsidRDefault="00202AF1" w:rsidP="00202AF1">
      <w:pPr>
        <w:pStyle w:val="BodyText"/>
      </w:pPr>
    </w:p>
    <w:p w14:paraId="01DE6A09" w14:textId="688166FC" w:rsidR="00FF7AF2" w:rsidRDefault="00FF7AF2" w:rsidP="005D24E2">
      <w:pPr>
        <w:spacing w:before="0" w:after="160" w:line="259" w:lineRule="auto"/>
        <w:rPr>
          <w:sz w:val="18"/>
        </w:rPr>
        <w:sectPr w:rsidR="00FF7AF2" w:rsidSect="00CC0287">
          <w:headerReference w:type="even" r:id="rId26"/>
          <w:headerReference w:type="default" r:id="rId27"/>
          <w:type w:val="oddPage"/>
          <w:pgSz w:w="11906" w:h="16838" w:code="9"/>
          <w:pgMar w:top="1134" w:right="1134" w:bottom="1134" w:left="1134" w:header="794" w:footer="510" w:gutter="0"/>
          <w:pgNumType w:fmt="lowerRoman"/>
          <w:cols w:space="708"/>
          <w:docGrid w:linePitch="360"/>
        </w:sectPr>
      </w:pPr>
    </w:p>
    <w:p w14:paraId="73258AB6" w14:textId="77777777" w:rsidR="00193FB9" w:rsidRDefault="00193FB9" w:rsidP="00C1406E">
      <w:pPr>
        <w:pStyle w:val="Heading1-nobackground"/>
      </w:pPr>
      <w:bookmarkStart w:id="3" w:name="_Toc126176817"/>
      <w:r>
        <w:lastRenderedPageBreak/>
        <w:t>Preface</w:t>
      </w:r>
      <w:bookmarkEnd w:id="3"/>
    </w:p>
    <w:p w14:paraId="18A2CF49" w14:textId="0334E6D7" w:rsidR="00394922" w:rsidRDefault="00ED345A" w:rsidP="00394922">
      <w:pPr>
        <w:pStyle w:val="BodyText"/>
      </w:pPr>
      <w:r>
        <w:t>The Commission</w:t>
      </w:r>
      <w:r w:rsidR="00120082" w:rsidRPr="00120082" w:rsidDel="00A228CB">
        <w:t xml:space="preserve"> </w:t>
      </w:r>
      <w:r w:rsidR="00120082" w:rsidRPr="00120082">
        <w:t>use</w:t>
      </w:r>
      <w:r w:rsidR="00E13464">
        <w:t>d</w:t>
      </w:r>
      <w:r w:rsidR="00120082" w:rsidRPr="00120082">
        <w:t xml:space="preserve"> a purpose</w:t>
      </w:r>
      <w:r w:rsidR="004B308E">
        <w:noBreakHyphen/>
      </w:r>
      <w:r w:rsidR="00120082" w:rsidRPr="00120082">
        <w:t xml:space="preserve">built computable general equilibrium (CGE) model to </w:t>
      </w:r>
      <w:r w:rsidR="001A77C4">
        <w:t xml:space="preserve">illustrate </w:t>
      </w:r>
      <w:r w:rsidR="00120082" w:rsidRPr="00120082">
        <w:t>the whole</w:t>
      </w:r>
      <w:r>
        <w:noBreakHyphen/>
      </w:r>
      <w:r w:rsidR="00120082" w:rsidRPr="00120082">
        <w:t>of</w:t>
      </w:r>
      <w:r>
        <w:noBreakHyphen/>
      </w:r>
      <w:r w:rsidR="00120082" w:rsidRPr="00120082">
        <w:t xml:space="preserve">economy effects of </w:t>
      </w:r>
      <w:r w:rsidR="00EB69D8">
        <w:t xml:space="preserve">stylised </w:t>
      </w:r>
      <w:r w:rsidR="00A12683">
        <w:t>repres</w:t>
      </w:r>
      <w:r w:rsidR="00927D36">
        <w:t>ent</w:t>
      </w:r>
      <w:r w:rsidR="00F978AE">
        <w:t>ations</w:t>
      </w:r>
      <w:r>
        <w:t xml:space="preserve"> of</w:t>
      </w:r>
      <w:r w:rsidR="00927D36">
        <w:t xml:space="preserve"> some </w:t>
      </w:r>
      <w:r w:rsidR="003B6D1E">
        <w:t>proposed reforms</w:t>
      </w:r>
      <w:r w:rsidR="00EB69D8">
        <w:t>.</w:t>
      </w:r>
      <w:r w:rsidR="00624564">
        <w:rPr>
          <w:rStyle w:val="FootnoteReference"/>
        </w:rPr>
        <w:footnoteReference w:id="2"/>
      </w:r>
      <w:r w:rsidR="002A2C70">
        <w:t xml:space="preserve"> </w:t>
      </w:r>
      <w:r w:rsidR="00394922">
        <w:t>While the simulations are stylised, the value in using</w:t>
      </w:r>
      <w:r w:rsidR="00F53E9C">
        <w:t xml:space="preserve"> th</w:t>
      </w:r>
      <w:r w:rsidR="00CF48B6">
        <w:t xml:space="preserve">e </w:t>
      </w:r>
      <w:r w:rsidR="00394922">
        <w:t>model is its insights on:</w:t>
      </w:r>
    </w:p>
    <w:p w14:paraId="38F6EFB9" w14:textId="3C8D305D" w:rsidR="00394922" w:rsidRDefault="00CD7F00" w:rsidP="00A228CB">
      <w:pPr>
        <w:pStyle w:val="ListBullet"/>
      </w:pPr>
      <w:r>
        <w:t>h</w:t>
      </w:r>
      <w:r w:rsidR="00394922">
        <w:t xml:space="preserve">ow </w:t>
      </w:r>
      <w:r w:rsidR="00763097">
        <w:t>productivity improvements</w:t>
      </w:r>
      <w:r w:rsidR="00394922">
        <w:t xml:space="preserve"> </w:t>
      </w:r>
      <w:r w:rsidR="00026139">
        <w:t xml:space="preserve">can </w:t>
      </w:r>
      <w:r w:rsidR="00394922">
        <w:t xml:space="preserve">flow through the economy’s structure, and what the changes </w:t>
      </w:r>
      <w:r w:rsidR="00EA7734">
        <w:t xml:space="preserve">are </w:t>
      </w:r>
      <w:r w:rsidR="00394922">
        <w:t xml:space="preserve">in underlying economic variables that are driving overall movements in aggregate outputs such as GDP, </w:t>
      </w:r>
      <w:r w:rsidR="00706873">
        <w:t>gross national income</w:t>
      </w:r>
      <w:r w:rsidR="001440A0">
        <w:t xml:space="preserve">, </w:t>
      </w:r>
      <w:r w:rsidR="00394922">
        <w:t>prices, wages</w:t>
      </w:r>
      <w:r w:rsidR="00EA7734">
        <w:t xml:space="preserve"> and </w:t>
      </w:r>
      <w:r w:rsidR="0074029F">
        <w:t>use of labour</w:t>
      </w:r>
    </w:p>
    <w:p w14:paraId="74575BA1" w14:textId="015B08D2" w:rsidR="00394922" w:rsidRDefault="00D43B18" w:rsidP="00A228CB">
      <w:pPr>
        <w:pStyle w:val="ListBullet"/>
      </w:pPr>
      <w:r>
        <w:t xml:space="preserve">measures relating to the impact of reforms on consumer wellbeing (in monetary terms, </w:t>
      </w:r>
      <w:r w:rsidR="007E458B">
        <w:t>for example,</w:t>
      </w:r>
      <w:r>
        <w:t xml:space="preserve"> equivalent variation) and inequality (</w:t>
      </w:r>
      <w:r w:rsidR="007E458B">
        <w:t>for example,</w:t>
      </w:r>
      <w:r>
        <w:t xml:space="preserve"> the Gini coefficient)</w:t>
      </w:r>
    </w:p>
    <w:p w14:paraId="428AC0AD" w14:textId="00E229A7" w:rsidR="00EB69D8" w:rsidRDefault="00CD7F00" w:rsidP="00A228CB">
      <w:pPr>
        <w:pStyle w:val="ListBullet"/>
      </w:pPr>
      <w:r>
        <w:t>t</w:t>
      </w:r>
      <w:r w:rsidR="00394922">
        <w:t xml:space="preserve">he differential impacts of reforms across various groups in the economy, at both the individual level (by age, education and gender </w:t>
      </w:r>
      <w:r w:rsidR="00786690">
        <w:t>groups</w:t>
      </w:r>
      <w:r w:rsidR="00394922">
        <w:t>) and the business level (by industry).</w:t>
      </w:r>
    </w:p>
    <w:p w14:paraId="73DD1170" w14:textId="2489CC66" w:rsidR="00525E0A" w:rsidRPr="009D479E" w:rsidRDefault="00525E0A" w:rsidP="00544E11">
      <w:pPr>
        <w:pStyle w:val="BodyText"/>
        <w:rPr>
          <w:spacing w:val="-4"/>
        </w:rPr>
      </w:pPr>
      <w:r w:rsidRPr="009D479E">
        <w:rPr>
          <w:spacing w:val="-4"/>
        </w:rPr>
        <w:t xml:space="preserve">However, there are questions that the </w:t>
      </w:r>
      <w:r w:rsidR="00FC08C3" w:rsidRPr="009D479E">
        <w:rPr>
          <w:spacing w:val="-4"/>
        </w:rPr>
        <w:t xml:space="preserve">model </w:t>
      </w:r>
      <w:r w:rsidRPr="009D479E">
        <w:rPr>
          <w:spacing w:val="-4"/>
        </w:rPr>
        <w:t xml:space="preserve">is not well placed to answer. </w:t>
      </w:r>
      <w:r w:rsidR="00E61BF9" w:rsidRPr="009D479E">
        <w:rPr>
          <w:spacing w:val="-4"/>
        </w:rPr>
        <w:t xml:space="preserve">CGE models trace the impacts of particular shocks over the short or long run but have limited ability to capture </w:t>
      </w:r>
      <w:r w:rsidR="00E61BF9" w:rsidRPr="009D479E" w:rsidDel="008335C4">
        <w:rPr>
          <w:spacing w:val="-4"/>
        </w:rPr>
        <w:t xml:space="preserve">the </w:t>
      </w:r>
      <w:r w:rsidR="00E61BF9" w:rsidRPr="009D479E">
        <w:rPr>
          <w:spacing w:val="-4"/>
        </w:rPr>
        <w:t xml:space="preserve">broader aspects of a shock that are not explicitly defined in </w:t>
      </w:r>
      <w:r w:rsidR="00E61BF9" w:rsidRPr="009D479E" w:rsidDel="008335C4">
        <w:rPr>
          <w:spacing w:val="-4"/>
        </w:rPr>
        <w:t xml:space="preserve">the </w:t>
      </w:r>
      <w:r w:rsidR="00E61BF9" w:rsidRPr="009D479E">
        <w:rPr>
          <w:spacing w:val="-4"/>
        </w:rPr>
        <w:t xml:space="preserve">model, such as uncertain spillover effects. </w:t>
      </w:r>
      <w:r w:rsidR="009A1AD5" w:rsidRPr="009D479E">
        <w:rPr>
          <w:spacing w:val="-4"/>
        </w:rPr>
        <w:t>I</w:t>
      </w:r>
      <w:r w:rsidRPr="009D479E">
        <w:rPr>
          <w:spacing w:val="-4"/>
        </w:rPr>
        <w:t>f all or many of the inquiry’s recommendations</w:t>
      </w:r>
      <w:r w:rsidR="0083553C" w:rsidRPr="009D479E">
        <w:rPr>
          <w:spacing w:val="-4"/>
        </w:rPr>
        <w:t xml:space="preserve"> were implemented</w:t>
      </w:r>
      <w:r w:rsidRPr="009D479E">
        <w:rPr>
          <w:spacing w:val="-4"/>
        </w:rPr>
        <w:t xml:space="preserve">, </w:t>
      </w:r>
      <w:r w:rsidR="00DA0E82" w:rsidRPr="009D479E">
        <w:rPr>
          <w:spacing w:val="-4"/>
        </w:rPr>
        <w:t>the capacity of the economy to innovate and harness new opportunities would improve, further lifting long</w:t>
      </w:r>
      <w:r w:rsidR="004B308E" w:rsidRPr="009D479E">
        <w:rPr>
          <w:spacing w:val="-4"/>
        </w:rPr>
        <w:noBreakHyphen/>
      </w:r>
      <w:r w:rsidR="00DA0E82" w:rsidRPr="009D479E">
        <w:rPr>
          <w:spacing w:val="-4"/>
        </w:rPr>
        <w:t>run growth</w:t>
      </w:r>
      <w:r w:rsidRPr="009D479E">
        <w:rPr>
          <w:spacing w:val="-4"/>
        </w:rPr>
        <w:t xml:space="preserve">. </w:t>
      </w:r>
      <w:r w:rsidR="00022F71" w:rsidRPr="009D479E">
        <w:rPr>
          <w:spacing w:val="-4"/>
        </w:rPr>
        <w:t>The</w:t>
      </w:r>
      <w:r w:rsidR="00C9731D" w:rsidRPr="009D479E">
        <w:rPr>
          <w:spacing w:val="-4"/>
        </w:rPr>
        <w:t>se</w:t>
      </w:r>
      <w:r w:rsidR="00022F71" w:rsidRPr="009D479E">
        <w:rPr>
          <w:spacing w:val="-4"/>
        </w:rPr>
        <w:t xml:space="preserve"> </w:t>
      </w:r>
      <w:r w:rsidR="00A9721B" w:rsidRPr="009D479E">
        <w:rPr>
          <w:spacing w:val="-4"/>
        </w:rPr>
        <w:t xml:space="preserve">broader impacts can be illustrated </w:t>
      </w:r>
      <w:r w:rsidR="006864F0" w:rsidRPr="009D479E">
        <w:rPr>
          <w:spacing w:val="-4"/>
        </w:rPr>
        <w:t>using other methods, such as the</w:t>
      </w:r>
      <w:r w:rsidR="00521AC0" w:rsidRPr="009D479E">
        <w:rPr>
          <w:spacing w:val="-4"/>
        </w:rPr>
        <w:t xml:space="preserve"> simple growth accounting framework </w:t>
      </w:r>
      <w:r w:rsidR="00C7580A" w:rsidRPr="009D479E">
        <w:rPr>
          <w:spacing w:val="-4"/>
        </w:rPr>
        <w:t xml:space="preserve">that </w:t>
      </w:r>
      <w:r w:rsidR="00E47432" w:rsidRPr="009D479E">
        <w:rPr>
          <w:spacing w:val="-4"/>
        </w:rPr>
        <w:t>demonstrat</w:t>
      </w:r>
      <w:r w:rsidR="00C7580A" w:rsidRPr="009D479E">
        <w:rPr>
          <w:spacing w:val="-4"/>
        </w:rPr>
        <w:t>es</w:t>
      </w:r>
      <w:r w:rsidR="00486FDF" w:rsidRPr="009D479E">
        <w:rPr>
          <w:spacing w:val="-4"/>
        </w:rPr>
        <w:t xml:space="preserve"> the power of exponential productivity growth on economic growth and living standards </w:t>
      </w:r>
      <w:r w:rsidR="00E47432" w:rsidRPr="009D479E">
        <w:rPr>
          <w:spacing w:val="-4"/>
        </w:rPr>
        <w:t xml:space="preserve">outlined in this inquiry’s </w:t>
      </w:r>
      <w:r w:rsidR="00BC753C" w:rsidRPr="009D479E">
        <w:rPr>
          <w:spacing w:val="-4"/>
        </w:rPr>
        <w:t xml:space="preserve">companion volume </w:t>
      </w:r>
      <w:r w:rsidR="0029765D" w:rsidRPr="009D479E">
        <w:rPr>
          <w:i/>
          <w:iCs/>
          <w:spacing w:val="-4"/>
        </w:rPr>
        <w:t>Key</w:t>
      </w:r>
      <w:r w:rsidR="009D479E" w:rsidRPr="009D479E">
        <w:rPr>
          <w:i/>
          <w:iCs/>
          <w:spacing w:val="-4"/>
        </w:rPr>
        <w:t>s</w:t>
      </w:r>
      <w:r w:rsidR="0029765D" w:rsidRPr="009D479E">
        <w:rPr>
          <w:i/>
          <w:iCs/>
          <w:spacing w:val="-4"/>
        </w:rPr>
        <w:t xml:space="preserve"> to </w:t>
      </w:r>
      <w:r w:rsidR="00242863">
        <w:rPr>
          <w:i/>
          <w:iCs/>
          <w:spacing w:val="-4"/>
        </w:rPr>
        <w:t>Growth</w:t>
      </w:r>
      <w:r w:rsidR="00486FDF" w:rsidRPr="009D479E">
        <w:rPr>
          <w:spacing w:val="-4"/>
        </w:rPr>
        <w:t>.</w:t>
      </w:r>
    </w:p>
    <w:p w14:paraId="2E7EEFD7" w14:textId="77777777" w:rsidR="00FF7AF2" w:rsidRDefault="00EB69D8" w:rsidP="00EB69D8">
      <w:pPr>
        <w:pStyle w:val="BodyText"/>
        <w:sectPr w:rsidR="00FF7AF2" w:rsidSect="005C7AEA">
          <w:headerReference w:type="default" r:id="rId28"/>
          <w:footerReference w:type="default" r:id="rId29"/>
          <w:pgSz w:w="11906" w:h="16838" w:code="9"/>
          <w:pgMar w:top="1134" w:right="1134" w:bottom="1134" w:left="1134" w:header="794" w:footer="510" w:gutter="0"/>
          <w:pgNumType w:fmt="lowerRoman"/>
          <w:cols w:space="708"/>
          <w:docGrid w:linePitch="360"/>
        </w:sectPr>
      </w:pPr>
      <w:r>
        <w:t xml:space="preserve">This </w:t>
      </w:r>
      <w:r w:rsidR="00977806">
        <w:t>volume</w:t>
      </w:r>
      <w:r>
        <w:t xml:space="preserve"> </w:t>
      </w:r>
      <w:r w:rsidR="00EF539A">
        <w:t xml:space="preserve">first </w:t>
      </w:r>
      <w:r>
        <w:t>covers the details of the</w:t>
      </w:r>
      <w:r w:rsidR="00AC1EFF">
        <w:t xml:space="preserve"> CGE model structure </w:t>
      </w:r>
      <w:r w:rsidR="004B31D2">
        <w:t xml:space="preserve">and its limitations </w:t>
      </w:r>
      <w:r w:rsidR="00AC1EFF">
        <w:t>(</w:t>
      </w:r>
      <w:r w:rsidR="00171628">
        <w:t>chapter</w:t>
      </w:r>
      <w:r w:rsidR="004B308E">
        <w:t> </w:t>
      </w:r>
      <w:r w:rsidR="00AD67D0">
        <w:t>1</w:t>
      </w:r>
      <w:r w:rsidR="00AC1EFF">
        <w:t xml:space="preserve">), data sources </w:t>
      </w:r>
      <w:r w:rsidR="00CE055A">
        <w:t xml:space="preserve">and parameters </w:t>
      </w:r>
      <w:r w:rsidR="00EF539A">
        <w:t>(</w:t>
      </w:r>
      <w:r w:rsidR="00171628">
        <w:t>chapter</w:t>
      </w:r>
      <w:r w:rsidR="004B308E">
        <w:t> </w:t>
      </w:r>
      <w:r w:rsidR="00AD67D0">
        <w:t>2</w:t>
      </w:r>
      <w:r w:rsidR="00EF539A">
        <w:t>)</w:t>
      </w:r>
      <w:r w:rsidR="00AC1EFF">
        <w:t xml:space="preserve">, and </w:t>
      </w:r>
      <w:r w:rsidR="007C74BA">
        <w:t>a</w:t>
      </w:r>
      <w:r w:rsidR="009B0B3B">
        <w:t>n outline</w:t>
      </w:r>
      <w:r w:rsidR="007C74BA">
        <w:t xml:space="preserve"> </w:t>
      </w:r>
      <w:r w:rsidR="009B0B3B">
        <w:t xml:space="preserve">of </w:t>
      </w:r>
      <w:r w:rsidR="007C74BA">
        <w:t xml:space="preserve">the simulations run </w:t>
      </w:r>
      <w:r w:rsidR="0004671E">
        <w:t>for the Productivity Inquiry (</w:t>
      </w:r>
      <w:r w:rsidR="00171628">
        <w:t>chapter</w:t>
      </w:r>
      <w:r w:rsidR="004B308E">
        <w:t> </w:t>
      </w:r>
      <w:r w:rsidR="00AD67D0">
        <w:t>3</w:t>
      </w:r>
      <w:r w:rsidR="0004671E">
        <w:t>)</w:t>
      </w:r>
      <w:r w:rsidR="00AC1EFF">
        <w:t xml:space="preserve">. </w:t>
      </w:r>
      <w:r w:rsidR="00564DD9">
        <w:t>T</w:t>
      </w:r>
      <w:r w:rsidR="00A132E8">
        <w:t xml:space="preserve">he key results from each simulation </w:t>
      </w:r>
      <w:r w:rsidR="00564DD9">
        <w:t xml:space="preserve">are presented in the </w:t>
      </w:r>
      <w:r w:rsidR="00630AF3">
        <w:t xml:space="preserve">appendices of the </w:t>
      </w:r>
      <w:r w:rsidR="00564DD9">
        <w:t xml:space="preserve">relevant companion volumes of this inquiry. </w:t>
      </w:r>
      <w:r w:rsidR="00F77171">
        <w:t xml:space="preserve">A summary </w:t>
      </w:r>
      <w:r w:rsidR="004D40FB">
        <w:t xml:space="preserve">of sensitivity testing </w:t>
      </w:r>
      <w:r w:rsidR="00F77171">
        <w:t xml:space="preserve">results </w:t>
      </w:r>
      <w:r w:rsidR="00A132E8">
        <w:t>is</w:t>
      </w:r>
      <w:r w:rsidR="00F77171">
        <w:t xml:space="preserve"> </w:t>
      </w:r>
      <w:r w:rsidR="007642E3">
        <w:t xml:space="preserve">presented in </w:t>
      </w:r>
      <w:r w:rsidR="00171628">
        <w:t>chapter</w:t>
      </w:r>
      <w:r w:rsidR="004B308E">
        <w:t> </w:t>
      </w:r>
      <w:r w:rsidR="00AD67D0">
        <w:t>4</w:t>
      </w:r>
      <w:r w:rsidR="00F77171" w:rsidRPr="00A5222A">
        <w:t xml:space="preserve">, and </w:t>
      </w:r>
      <w:r w:rsidR="00A5222A" w:rsidRPr="00A5222A">
        <w:t xml:space="preserve">simple representations of the model equations in </w:t>
      </w:r>
      <w:r w:rsidR="00171628">
        <w:t>chapter</w:t>
      </w:r>
      <w:r w:rsidR="004B308E">
        <w:t> </w:t>
      </w:r>
      <w:r w:rsidR="00AD67D0">
        <w:t>5</w:t>
      </w:r>
      <w:r w:rsidR="00A5222A" w:rsidRPr="00A5222A">
        <w:t>.</w:t>
      </w:r>
    </w:p>
    <w:p w14:paraId="4DB939FD" w14:textId="116148F5" w:rsidR="0076376F" w:rsidRDefault="00F855E8" w:rsidP="0076376F">
      <w:pPr>
        <w:pStyle w:val="Heading1"/>
        <w:numPr>
          <w:ilvl w:val="0"/>
          <w:numId w:val="21"/>
        </w:numPr>
      </w:pPr>
      <w:bookmarkStart w:id="4" w:name="_Toc126176818"/>
      <w:r>
        <w:lastRenderedPageBreak/>
        <w:t>Model structure</w:t>
      </w:r>
      <w:bookmarkEnd w:id="4"/>
    </w:p>
    <w:p w14:paraId="123183B3" w14:textId="11DCA7ED" w:rsidR="00AC1EFF" w:rsidRDefault="00AC1EFF" w:rsidP="00AC1EFF">
      <w:pPr>
        <w:pStyle w:val="BodyText"/>
      </w:pPr>
      <w:r>
        <w:t xml:space="preserve">The CGE model </w:t>
      </w:r>
      <w:r w:rsidR="00EB12CA">
        <w:t xml:space="preserve">for the Productivity Inquiry </w:t>
      </w:r>
      <w:r>
        <w:t>is a static model of the Australian economy with multiple industries</w:t>
      </w:r>
      <w:r w:rsidR="00E73790">
        <w:t xml:space="preserve"> in the production sector</w:t>
      </w:r>
      <w:r>
        <w:t xml:space="preserve"> and </w:t>
      </w:r>
      <w:r w:rsidR="00F64497">
        <w:t xml:space="preserve">different </w:t>
      </w:r>
      <w:r>
        <w:t xml:space="preserve">individual </w:t>
      </w:r>
      <w:r w:rsidR="00F64497">
        <w:t xml:space="preserve">groups </w:t>
      </w:r>
      <w:r>
        <w:t>within the household sector</w:t>
      </w:r>
      <w:r w:rsidR="00E73790">
        <w:t>, which reflect different combinations of age groups, sexes and education levels</w:t>
      </w:r>
      <w:r>
        <w:t xml:space="preserve">. </w:t>
      </w:r>
      <w:r w:rsidR="00524CE3">
        <w:t xml:space="preserve">The model structure draws on some elements from the PCNational model </w:t>
      </w:r>
      <w:r w:rsidR="00CC3E9C" w:rsidRPr="00CC3E9C">
        <w:rPr>
          <w:rFonts w:ascii="Arial" w:hAnsi="Arial" w:cs="Arial"/>
          <w:szCs w:val="24"/>
        </w:rPr>
        <w:t>(used for example in PC 2022, pp. 42–45)</w:t>
      </w:r>
      <w:r w:rsidR="00524CE3">
        <w:t xml:space="preserve"> and the illustrative CGE model used by Hosoe, Gasawa and Hashimoto </w:t>
      </w:r>
      <w:r w:rsidR="00524CE3" w:rsidRPr="00230B21">
        <w:rPr>
          <w:rFonts w:ascii="Arial" w:hAnsi="Arial" w:cs="Arial"/>
        </w:rPr>
        <w:t>(2010)</w:t>
      </w:r>
      <w:r w:rsidR="00524CE3">
        <w:t xml:space="preserve">, but </w:t>
      </w:r>
      <w:r w:rsidR="00C353D7">
        <w:t xml:space="preserve">contains </w:t>
      </w:r>
      <w:r w:rsidR="00524CE3">
        <w:t>greater heterogeneity.</w:t>
      </w:r>
    </w:p>
    <w:p w14:paraId="4F73C0EC" w14:textId="3A739BE1" w:rsidR="004D22F2" w:rsidRDefault="001F560D" w:rsidP="00AA48B6">
      <w:pPr>
        <w:pStyle w:val="BodyText"/>
      </w:pPr>
      <w:r>
        <w:t>The model’s i</w:t>
      </w:r>
      <w:r w:rsidR="00E07A7F">
        <w:t xml:space="preserve">ndustries use labour and capital in their production process, </w:t>
      </w:r>
      <w:r w:rsidR="00504CAC">
        <w:t xml:space="preserve">where different types of labour are provided by the different </w:t>
      </w:r>
      <w:r w:rsidR="005326F6">
        <w:t>individual grou</w:t>
      </w:r>
      <w:r w:rsidR="00504CAC">
        <w:t>ps</w:t>
      </w:r>
      <w:r w:rsidR="0095434B">
        <w:t xml:space="preserve"> in the household sector</w:t>
      </w:r>
      <w:r w:rsidR="005326F6">
        <w:t>.</w:t>
      </w:r>
      <w:r w:rsidR="000978F9">
        <w:t xml:space="preserve"> </w:t>
      </w:r>
      <w:r w:rsidR="008B2F62">
        <w:t xml:space="preserve">The government </w:t>
      </w:r>
      <w:r w:rsidR="005454AB">
        <w:t>comprises another sector of the economy</w:t>
      </w:r>
      <w:r w:rsidR="008F726E">
        <w:t>,</w:t>
      </w:r>
      <w:r w:rsidR="005454AB">
        <w:t xml:space="preserve"> </w:t>
      </w:r>
      <w:r w:rsidR="004875EF">
        <w:t>as does</w:t>
      </w:r>
      <w:r w:rsidR="00766F17">
        <w:t xml:space="preserve"> investment. </w:t>
      </w:r>
      <w:r w:rsidR="005C6D74">
        <w:t>T</w:t>
      </w:r>
      <w:r w:rsidR="00853C04">
        <w:t xml:space="preserve">he </w:t>
      </w:r>
      <w:r w:rsidR="005C6D74">
        <w:t xml:space="preserve">Australian </w:t>
      </w:r>
      <w:r w:rsidR="00853C04">
        <w:t xml:space="preserve">economy interacts with the rest of the world </w:t>
      </w:r>
      <w:r w:rsidR="007E1833">
        <w:t xml:space="preserve">through the </w:t>
      </w:r>
      <w:r w:rsidR="00036D7D">
        <w:t xml:space="preserve">flow of </w:t>
      </w:r>
      <w:r w:rsidR="002335D3">
        <w:t xml:space="preserve">exports and imports, </w:t>
      </w:r>
      <w:r w:rsidR="00383F4D">
        <w:t xml:space="preserve">capital </w:t>
      </w:r>
      <w:r w:rsidR="00C522AF">
        <w:t xml:space="preserve">income </w:t>
      </w:r>
      <w:r w:rsidR="00383F4D">
        <w:t>and investment.</w:t>
      </w:r>
      <w:r w:rsidR="00AA48B6">
        <w:t xml:space="preserve"> </w:t>
      </w:r>
      <w:r w:rsidR="001F6A7E">
        <w:t>Figure</w:t>
      </w:r>
      <w:r w:rsidR="004B308E">
        <w:t> </w:t>
      </w:r>
      <w:r w:rsidR="00AA48B6">
        <w:t>1</w:t>
      </w:r>
      <w:r w:rsidR="00325E3B">
        <w:t>.1</w:t>
      </w:r>
      <w:r w:rsidR="00AA48B6">
        <w:t xml:space="preserve"> shows a simple representation of the model structure, including the interlinkages between parts of the economy. </w:t>
      </w:r>
      <w:r w:rsidR="00D12766">
        <w:t>T</w:t>
      </w:r>
      <w:r w:rsidR="00AA48B6">
        <w:t>he number of industries, and types of labour and individual groups in this figure are illustrative only</w:t>
      </w:r>
      <w:r w:rsidR="002F1C7E">
        <w:t xml:space="preserve">. </w:t>
      </w:r>
    </w:p>
    <w:p w14:paraId="3B2C6042" w14:textId="77777777" w:rsidR="00C1406E" w:rsidRDefault="00C1406E" w:rsidP="00C1406E">
      <w:pPr>
        <w:pStyle w:val="BodyText"/>
      </w:pPr>
      <w:r>
        <w:t>Furthermore, in a CGE model, one price (the ‘numeraire’) must be determined outside of the model</w:t>
      </w:r>
      <w:r>
        <w:rPr>
          <w:rStyle w:val="FootnoteReference"/>
        </w:rPr>
        <w:footnoteReference w:id="3"/>
      </w:r>
      <w:r>
        <w:t xml:space="preserve"> — in this model, the household consumption price index is chosen as the numeraire. All model prices are expressed relative to the numeraire.</w:t>
      </w:r>
    </w:p>
    <w:p w14:paraId="3A37BF1E" w14:textId="0C900E1C" w:rsidR="003E6BFE" w:rsidRDefault="00C1406E" w:rsidP="00AA48B6">
      <w:pPr>
        <w:pStyle w:val="BodyText"/>
      </w:pPr>
      <w:r>
        <w:t xml:space="preserve">More detailed descriptions of the model structure by each </w:t>
      </w:r>
      <w:r w:rsidRPr="0013726F">
        <w:t>major entity or activity</w:t>
      </w:r>
      <w:r>
        <w:t>,</w:t>
      </w:r>
      <w:r w:rsidRPr="0013726F">
        <w:t xml:space="preserve"> </w:t>
      </w:r>
      <w:r>
        <w:t>including choices around which variables are determined within the model and which are given outside of the model (‘closure’ assumptions), are covered below. Box</w:t>
      </w:r>
      <w:r w:rsidR="004B308E">
        <w:t> </w:t>
      </w:r>
      <w:r>
        <w:t>1</w:t>
      </w:r>
      <w:r w:rsidR="004F7FE1">
        <w:t>.1</w:t>
      </w:r>
      <w:r>
        <w:t xml:space="preserve"> summarises the main closure assumptions in the model, and </w:t>
      </w:r>
      <w:r w:rsidR="00171628">
        <w:t>chapter</w:t>
      </w:r>
      <w:r w:rsidR="004B308E">
        <w:t> </w:t>
      </w:r>
      <w:r>
        <w:t>5 covers e</w:t>
      </w:r>
      <w:r w:rsidRPr="00B443E1">
        <w:t>quations</w:t>
      </w:r>
      <w:r>
        <w:t xml:space="preserve"> illustrating relationships in the model</w:t>
      </w:r>
      <w:r w:rsidRPr="00983114">
        <w:t>.</w:t>
      </w:r>
      <w:r>
        <w:rPr>
          <w:rStyle w:val="FootnoteReference"/>
        </w:rPr>
        <w:footnoteReference w:id="4"/>
      </w:r>
    </w:p>
    <w:p w14:paraId="0C9B8956" w14:textId="37864622" w:rsidR="00F33295" w:rsidRDefault="009C6B03" w:rsidP="006C2E5A">
      <w:pPr>
        <w:pStyle w:val="FigureTableHeading"/>
        <w:rPr>
          <w:vertAlign w:val="superscript"/>
        </w:rPr>
      </w:pPr>
      <w:r>
        <w:lastRenderedPageBreak/>
        <w:t>Figure</w:t>
      </w:r>
      <w:r w:rsidR="004B308E">
        <w:t> </w:t>
      </w:r>
      <w:r>
        <w:rPr>
          <w:noProof/>
        </w:rPr>
        <w:t>1</w:t>
      </w:r>
      <w:r w:rsidR="00325E3B">
        <w:rPr>
          <w:noProof/>
        </w:rPr>
        <w:t>.1</w:t>
      </w:r>
      <w:r>
        <w:rPr>
          <w:noProof/>
        </w:rPr>
        <w:t xml:space="preserve"> </w:t>
      </w:r>
      <w:r>
        <w:t>–</w:t>
      </w:r>
      <w:r w:rsidDel="00A921ED">
        <w:t xml:space="preserve"> </w:t>
      </w:r>
      <w:r>
        <w:t>Simple illustration of model structure</w:t>
      </w:r>
      <w:r>
        <w:rPr>
          <w:vertAlign w:val="superscript"/>
        </w:rPr>
        <w:t>a</w:t>
      </w:r>
    </w:p>
    <w:p w14:paraId="2586894A" w14:textId="73918F0F" w:rsidR="00E45DC3" w:rsidRPr="00661EEB" w:rsidRDefault="0099150D" w:rsidP="00F33295">
      <w:pPr>
        <w:pStyle w:val="FigureTableHeading"/>
        <w:rPr>
          <w:b/>
          <w:bCs/>
        </w:rPr>
      </w:pPr>
      <w:r w:rsidRPr="00661EEB">
        <w:rPr>
          <w:b/>
          <w:bCs/>
          <w:noProof/>
        </w:rPr>
        <w:drawing>
          <wp:inline distT="0" distB="0" distL="0" distR="0" wp14:anchorId="192446B2" wp14:editId="1F9740F2">
            <wp:extent cx="6120130" cy="4235450"/>
            <wp:effectExtent l="0" t="0" r="0" b="0"/>
            <wp:docPr id="9" name="Picture 9" descr="Figure 1.1. This figure shows the relationships between producers, individual groups within the household sector, the government sector, investment sector, and the rest of the world. More details can be foun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1. This figure shows the relationships between producers, individual groups within the household sector, the government sector, investment sector, and the rest of the world. More details can be found in the text surrounding this figur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4235450"/>
                    </a:xfrm>
                    <a:prstGeom prst="rect">
                      <a:avLst/>
                    </a:prstGeom>
                    <a:noFill/>
                    <a:ln>
                      <a:noFill/>
                    </a:ln>
                  </pic:spPr>
                </pic:pic>
              </a:graphicData>
            </a:graphic>
          </wp:inline>
        </w:drawing>
      </w:r>
    </w:p>
    <w:p w14:paraId="4F609378" w14:textId="0D644DDE" w:rsidR="006C6799" w:rsidRDefault="009C6B03" w:rsidP="0027293A">
      <w:pPr>
        <w:pStyle w:val="Note"/>
      </w:pPr>
      <w:r w:rsidRPr="0013726F">
        <w:rPr>
          <w:b/>
          <w:bCs/>
        </w:rPr>
        <w:t>a.</w:t>
      </w:r>
      <w:r>
        <w:t xml:space="preserve"> Arrows indicate value flows originating from one sector and flowing to another sector. For example, the </w:t>
      </w:r>
      <w:r w:rsidR="005632F7">
        <w:t xml:space="preserve">grey </w:t>
      </w:r>
      <w:r>
        <w:t xml:space="preserve">arrow </w:t>
      </w:r>
      <w:r w:rsidR="005632F7">
        <w:t xml:space="preserve">linking </w:t>
      </w:r>
      <w:r>
        <w:t xml:space="preserve">producers to individual </w:t>
      </w:r>
      <w:r w:rsidR="00052DCA">
        <w:t xml:space="preserve">groups </w:t>
      </w:r>
      <w:r>
        <w:t xml:space="preserve">indicate payments flowing to </w:t>
      </w:r>
      <w:r w:rsidR="00052DCA">
        <w:t xml:space="preserve">individual groups </w:t>
      </w:r>
      <w:r>
        <w:t>for use of labour and capital</w:t>
      </w:r>
      <w:r w:rsidR="004B2DA9">
        <w:t>, and to producers for purchases of commodities</w:t>
      </w:r>
      <w:r>
        <w:t>.</w:t>
      </w:r>
    </w:p>
    <w:tbl>
      <w:tblPr>
        <w:tblStyle w:val="Boxtable"/>
        <w:tblW w:w="5000" w:type="pct"/>
        <w:tblLook w:val="04A0" w:firstRow="1" w:lastRow="0" w:firstColumn="1" w:lastColumn="0" w:noHBand="0" w:noVBand="1"/>
      </w:tblPr>
      <w:tblGrid>
        <w:gridCol w:w="9638"/>
      </w:tblGrid>
      <w:tr w:rsidR="00850F3A" w14:paraId="73EA5D2E" w14:textId="77777777">
        <w:trPr>
          <w:tblHeader/>
        </w:trPr>
        <w:tc>
          <w:tcPr>
            <w:tcW w:w="9638" w:type="dxa"/>
            <w:tcMar>
              <w:top w:w="170" w:type="dxa"/>
              <w:left w:w="170" w:type="dxa"/>
              <w:bottom w:w="113" w:type="dxa"/>
              <w:right w:w="170" w:type="dxa"/>
            </w:tcMar>
            <w:hideMark/>
          </w:tcPr>
          <w:p w14:paraId="0AA841A0" w14:textId="22A802E5" w:rsidR="00850F3A" w:rsidRDefault="00850F3A">
            <w:pPr>
              <w:pStyle w:val="BoxHeading1"/>
            </w:pPr>
            <w:bookmarkStart w:id="5" w:name="_Ref78902111"/>
            <w:r>
              <w:lastRenderedPageBreak/>
              <w:t>Box</w:t>
            </w:r>
            <w:r w:rsidR="004B308E">
              <w:t> </w:t>
            </w:r>
            <w:r>
              <w:rPr>
                <w:noProof/>
              </w:rPr>
              <w:t xml:space="preserve">1.1 </w:t>
            </w:r>
            <w:r>
              <w:t xml:space="preserve">– </w:t>
            </w:r>
            <w:bookmarkEnd w:id="5"/>
            <w:r>
              <w:t>Summary of closure assumptions</w:t>
            </w:r>
          </w:p>
        </w:tc>
      </w:tr>
      <w:tr w:rsidR="00850F3A" w14:paraId="67DAEEC0" w14:textId="77777777">
        <w:tc>
          <w:tcPr>
            <w:tcW w:w="9638" w:type="dxa"/>
            <w:tcMar>
              <w:top w:w="28" w:type="dxa"/>
              <w:left w:w="170" w:type="dxa"/>
              <w:bottom w:w="170" w:type="dxa"/>
              <w:right w:w="170" w:type="dxa"/>
            </w:tcMar>
            <w:hideMark/>
          </w:tcPr>
          <w:p w14:paraId="0105A78C" w14:textId="1B9282A9" w:rsidR="00850F3A" w:rsidRDefault="00850F3A">
            <w:pPr>
              <w:pStyle w:val="BodyText"/>
              <w:keepNext/>
            </w:pPr>
            <w:r>
              <w:t xml:space="preserve">Closure refers to the </w:t>
            </w:r>
            <w:r w:rsidRPr="00A412B2">
              <w:t xml:space="preserve">choice of </w:t>
            </w:r>
            <w:r>
              <w:t>variables that are determined within the model (endogenous variables) and those that are given outside of the model (</w:t>
            </w:r>
            <w:r w:rsidRPr="00A412B2">
              <w:t xml:space="preserve">exogenous </w:t>
            </w:r>
            <w:r>
              <w:t>variables)</w:t>
            </w:r>
            <w:r w:rsidRPr="00A412B2">
              <w:t xml:space="preserve">. </w:t>
            </w:r>
            <w:r>
              <w:t>Key closure assumptions in the main model simulations are listed below. Some of these assumptions are changed in sensitivity testing analysis (</w:t>
            </w:r>
            <w:r w:rsidR="00171628">
              <w:t>chapter</w:t>
            </w:r>
            <w:r w:rsidR="004B308E">
              <w:t> </w:t>
            </w:r>
            <w:r>
              <w:t>4).</w:t>
            </w:r>
          </w:p>
          <w:p w14:paraId="50F966D2" w14:textId="766D174E" w:rsidR="00850F3A" w:rsidRPr="00C567DB" w:rsidRDefault="00850F3A">
            <w:pPr>
              <w:pStyle w:val="ListBullet"/>
            </w:pPr>
            <w:r>
              <w:t>T</w:t>
            </w:r>
            <w:r w:rsidRPr="003C31C9">
              <w:t>he</w:t>
            </w:r>
            <w:r>
              <w:t xml:space="preserve"> </w:t>
            </w:r>
            <w:r w:rsidRPr="00C567DB">
              <w:t>rate of return to capital (defined as the rental price of capital relative to the price of investment) is exogenous. Capital is mobile across any industry, and the size of the capital stock is determined through demand from the production sector, given the rental price. This implies a long</w:t>
            </w:r>
            <w:r w:rsidR="004B308E">
              <w:noBreakHyphen/>
            </w:r>
            <w:r w:rsidRPr="00C567DB">
              <w:t>run assumption in which the size of the capital stock is flexible.</w:t>
            </w:r>
          </w:p>
          <w:p w14:paraId="0AEA72A4" w14:textId="20E515D7" w:rsidR="00850F3A" w:rsidRPr="00C567DB" w:rsidRDefault="00850F3A">
            <w:pPr>
              <w:pStyle w:val="ListBullet"/>
            </w:pPr>
            <w:r w:rsidRPr="00C567DB">
              <w:t>Investment is determined through its relationship with the capital stock — if the capital stock increases, more investment is required to maintain that capital stock. Domestic saving and the domestic capital stock endogenously adjust to meet the level of investment and capital required</w:t>
            </w:r>
            <w:r w:rsidR="00663469">
              <w:t>.</w:t>
            </w:r>
          </w:p>
          <w:p w14:paraId="5F3CAF2E" w14:textId="77777777" w:rsidR="00850F3A" w:rsidRPr="00C567DB" w:rsidRDefault="00850F3A">
            <w:pPr>
              <w:pStyle w:val="ListBullet"/>
            </w:pPr>
            <w:r w:rsidRPr="00C567DB">
              <w:t>The quantity of foreign investment and the foreign capital stock are exogenous. This assumes that the availability of foreign investment and foreign ownership of capital are limited, and not affected by domestic variables or policies. It also means that the current account deficit (which equals foreign investment inflows) is fixed relative to the price of investment, and movements in the balance of trade are also limited.</w:t>
            </w:r>
          </w:p>
          <w:p w14:paraId="36195AFE" w14:textId="77777777" w:rsidR="00850F3A" w:rsidRDefault="00850F3A">
            <w:pPr>
              <w:pStyle w:val="ListBullet"/>
            </w:pPr>
            <w:r w:rsidRPr="00C567DB">
              <w:t>The international prices of imported commodities are exogenous. This implies that Australia takes world prices of imports as given. The total quantity</w:t>
            </w:r>
            <w:r>
              <w:t xml:space="preserve"> of imports is determined through demand from users at given prices. </w:t>
            </w:r>
          </w:p>
          <w:p w14:paraId="05C48F9A" w14:textId="5E137642" w:rsidR="00850F3A" w:rsidRPr="000C7697" w:rsidRDefault="00850F3A">
            <w:pPr>
              <w:pStyle w:val="ListBullet"/>
            </w:pPr>
            <w:r w:rsidRPr="000C7697">
              <w:t>Foreign demand</w:t>
            </w:r>
            <w:r w:rsidR="00EE266B">
              <w:t>s</w:t>
            </w:r>
            <w:r w:rsidRPr="000C7697">
              <w:t xml:space="preserve"> for Australian commodities </w:t>
            </w:r>
            <w:r w:rsidR="00EE266B">
              <w:t xml:space="preserve">are </w:t>
            </w:r>
            <w:r w:rsidRPr="000C7697">
              <w:t>based on fixed downward sloping demand curve</w:t>
            </w:r>
            <w:r w:rsidR="00EE266B">
              <w:t>s</w:t>
            </w:r>
            <w:r w:rsidRPr="000C7697">
              <w:t>. This assumes that Australian exporters have some market power in the world market.</w:t>
            </w:r>
          </w:p>
          <w:p w14:paraId="60C5CBCE" w14:textId="71CF1EF1" w:rsidR="00850F3A" w:rsidRDefault="00850F3A">
            <w:pPr>
              <w:pStyle w:val="ListBullet"/>
            </w:pPr>
            <w:r w:rsidRPr="000C7697">
              <w:t>Governm</w:t>
            </w:r>
            <w:r>
              <w:t xml:space="preserve">ent expenditure is determined through its relationship with GDP — the size of government spending grows </w:t>
            </w:r>
            <w:r w:rsidR="00AF346F">
              <w:t xml:space="preserve">linearly </w:t>
            </w:r>
            <w:r>
              <w:t xml:space="preserve">with GDP. Government spending is assumed to have no effect on the model’s productivity parameters. </w:t>
            </w:r>
          </w:p>
          <w:p w14:paraId="1F2874E8" w14:textId="153E9859" w:rsidR="00850F3A" w:rsidRPr="000C7697" w:rsidRDefault="00850F3A">
            <w:pPr>
              <w:pStyle w:val="ListBullet"/>
            </w:pPr>
            <w:r w:rsidRPr="000C7697">
              <w:t xml:space="preserve">Government tax rates are exogenous, except for household income tax rates </w:t>
            </w:r>
            <w:r w:rsidR="002A7DCC">
              <w:t>that</w:t>
            </w:r>
            <w:r w:rsidRPr="000C7697">
              <w:t xml:space="preserve"> endogenously adjust to balance the government budget. The amount of household income tax enters as a lump sum into individual group decision making processes in a non</w:t>
            </w:r>
            <w:r w:rsidR="004B308E">
              <w:noBreakHyphen/>
            </w:r>
            <w:r w:rsidRPr="000C7697">
              <w:t>distortionary way.</w:t>
            </w:r>
          </w:p>
          <w:p w14:paraId="6E199E4D" w14:textId="77777777" w:rsidR="00850F3A" w:rsidRDefault="00850F3A">
            <w:pPr>
              <w:pStyle w:val="ListBullet"/>
            </w:pPr>
            <w:r w:rsidRPr="000C7697">
              <w:t>Each individual group has a fixed time endowment that can be allocated between labour and leisure. Wage rates are determined through market clearing of individual group labour supply decisions (via a utility maximisation process) and industry labour demand decisions (via a cost minimisation process). Any type of labour supplied can be used across any industry (that is, labour is perfectly mobile).</w:t>
            </w:r>
          </w:p>
        </w:tc>
      </w:tr>
      <w:tr w:rsidR="00850F3A" w14:paraId="67657D48" w14:textId="77777777">
        <w:trPr>
          <w:hidden/>
        </w:trPr>
        <w:tc>
          <w:tcPr>
            <w:tcW w:w="9638" w:type="dxa"/>
            <w:shd w:val="clear" w:color="auto" w:fill="auto"/>
            <w:tcMar>
              <w:top w:w="0" w:type="dxa"/>
              <w:left w:w="170" w:type="dxa"/>
              <w:bottom w:w="0" w:type="dxa"/>
              <w:right w:w="170" w:type="dxa"/>
            </w:tcMar>
          </w:tcPr>
          <w:p w14:paraId="5506227A" w14:textId="77777777" w:rsidR="00850F3A" w:rsidRPr="00465191" w:rsidRDefault="00850F3A">
            <w:pPr>
              <w:pStyle w:val="BodyText"/>
              <w:spacing w:before="0" w:after="0" w:line="80" w:lineRule="atLeast"/>
              <w:rPr>
                <w:smallCaps/>
                <w:vanish/>
              </w:rPr>
            </w:pPr>
          </w:p>
        </w:tc>
      </w:tr>
    </w:tbl>
    <w:p w14:paraId="24DAC45E" w14:textId="77777777" w:rsidR="005E2D3F" w:rsidRPr="0013726F" w:rsidRDefault="005E2D3F" w:rsidP="002504C3">
      <w:pPr>
        <w:pStyle w:val="Heading2"/>
        <w:pageBreakBefore/>
      </w:pPr>
      <w:bookmarkStart w:id="6" w:name="_Toc126176819"/>
      <w:r w:rsidRPr="0013726F">
        <w:lastRenderedPageBreak/>
        <w:t xml:space="preserve">Individual </w:t>
      </w:r>
      <w:r>
        <w:t>group</w:t>
      </w:r>
      <w:r w:rsidRPr="0013726F">
        <w:t xml:space="preserve"> decision process</w:t>
      </w:r>
      <w:bookmarkEnd w:id="6"/>
    </w:p>
    <w:p w14:paraId="77AC1287" w14:textId="3CAA7E8C" w:rsidR="005E2D3F" w:rsidRPr="0013726F" w:rsidRDefault="005E2D3F" w:rsidP="005E2D3F">
      <w:pPr>
        <w:pStyle w:val="BodyText"/>
      </w:pPr>
      <w:r w:rsidRPr="0013726F">
        <w:t>The household sector</w:t>
      </w:r>
      <w:r>
        <w:t xml:space="preserve"> is</w:t>
      </w:r>
      <w:r w:rsidRPr="0013726F">
        <w:t xml:space="preserve"> split into individual </w:t>
      </w:r>
      <w:r>
        <w:t>group</w:t>
      </w:r>
      <w:r w:rsidRPr="0013726F">
        <w:t xml:space="preserve">s to enable analysis of reforms that may affect different groups in different ways. </w:t>
      </w:r>
      <w:r>
        <w:t>For example, these groups can represent individuals that are likely to be affected differently by proposed reforms to schooling and tertiary education (</w:t>
      </w:r>
      <w:r w:rsidR="00171628">
        <w:t>chapter</w:t>
      </w:r>
      <w:r>
        <w:t> 3). Simulat</w:t>
      </w:r>
      <w:r w:rsidR="00C2555D">
        <w:t>ed shocks to the productivity of industries</w:t>
      </w:r>
      <w:r>
        <w:t xml:space="preserve"> can also have differential effects </w:t>
      </w:r>
      <w:r w:rsidR="00C2555D">
        <w:t xml:space="preserve">on these groups </w:t>
      </w:r>
      <w:r>
        <w:t xml:space="preserve">depending on the composition of </w:t>
      </w:r>
      <w:r w:rsidR="00C2555D">
        <w:t>labour used by the</w:t>
      </w:r>
      <w:r>
        <w:t xml:space="preserve"> industries. I</w:t>
      </w:r>
      <w:r w:rsidRPr="00EF3C85">
        <w:t>ndividuals are grouped</w:t>
      </w:r>
      <w:r>
        <w:t xml:space="preserve"> </w:t>
      </w:r>
      <w:r w:rsidRPr="00EF3C85">
        <w:t>according to their combinations of:</w:t>
      </w:r>
    </w:p>
    <w:p w14:paraId="1F4FC7B8" w14:textId="56E6FEB1" w:rsidR="005E2D3F" w:rsidRDefault="005E2D3F" w:rsidP="005E2D3F">
      <w:pPr>
        <w:pStyle w:val="ListBullet"/>
      </w:pPr>
      <w:r>
        <w:t>age group — 15</w:t>
      </w:r>
      <w:r w:rsidR="004B308E">
        <w:noBreakHyphen/>
      </w:r>
      <w:r>
        <w:t>24, 25</w:t>
      </w:r>
      <w:r w:rsidR="004B308E">
        <w:noBreakHyphen/>
      </w:r>
      <w:r>
        <w:t>34, 35</w:t>
      </w:r>
      <w:r w:rsidR="004B308E">
        <w:noBreakHyphen/>
      </w:r>
      <w:r>
        <w:t>44, 45</w:t>
      </w:r>
      <w:r w:rsidR="004B308E">
        <w:noBreakHyphen/>
      </w:r>
      <w:r>
        <w:t>54, 55</w:t>
      </w:r>
      <w:r w:rsidR="004B308E">
        <w:noBreakHyphen/>
      </w:r>
      <w:r>
        <w:t>64, 65+</w:t>
      </w:r>
    </w:p>
    <w:p w14:paraId="52ADAF4A" w14:textId="77777777" w:rsidR="005E2D3F" w:rsidRDefault="005E2D3F" w:rsidP="005E2D3F">
      <w:pPr>
        <w:pStyle w:val="ListBullet"/>
      </w:pPr>
      <w:r>
        <w:t>gender — male, female</w:t>
      </w:r>
    </w:p>
    <w:p w14:paraId="6C2A94BA" w14:textId="79CE5D58" w:rsidR="005E2D3F" w:rsidRDefault="005E2D3F" w:rsidP="005E2D3F">
      <w:pPr>
        <w:pStyle w:val="ListBullet"/>
      </w:pPr>
      <w:r>
        <w:t xml:space="preserve">highest education level — </w:t>
      </w:r>
      <w:bookmarkStart w:id="7" w:name="_Hlk115357606"/>
      <w:r w:rsidR="00066288">
        <w:t>‘</w:t>
      </w:r>
      <w:r>
        <w:t>Up to Year 12 or Cert I/II</w:t>
      </w:r>
      <w:r w:rsidR="00066288">
        <w:t>’</w:t>
      </w:r>
      <w:r>
        <w:t xml:space="preserve">, </w:t>
      </w:r>
      <w:r w:rsidR="00066288">
        <w:t>‘</w:t>
      </w:r>
      <w:r>
        <w:t>VET Cert III/IV or Diploma</w:t>
      </w:r>
      <w:r w:rsidR="00066288">
        <w:t>’</w:t>
      </w:r>
      <w:r>
        <w:t xml:space="preserve">, </w:t>
      </w:r>
      <w:r w:rsidR="00066288">
        <w:t>‘</w:t>
      </w:r>
      <w:r>
        <w:t xml:space="preserve">Bachelor degree or </w:t>
      </w:r>
      <w:bookmarkEnd w:id="7"/>
      <w:r>
        <w:t>higher</w:t>
      </w:r>
      <w:r w:rsidR="00066288">
        <w:t>’</w:t>
      </w:r>
      <w:r>
        <w:t xml:space="preserve"> (or school</w:t>
      </w:r>
      <w:r>
        <w:noBreakHyphen/>
        <w:t>, VET</w:t>
      </w:r>
      <w:r>
        <w:noBreakHyphen/>
        <w:t xml:space="preserve"> and university</w:t>
      </w:r>
      <w:r w:rsidR="004B308E">
        <w:noBreakHyphen/>
      </w:r>
      <w:r>
        <w:t>educated for simplicity).</w:t>
      </w:r>
    </w:p>
    <w:p w14:paraId="3898A486" w14:textId="20838B34" w:rsidR="005E2D3F" w:rsidRDefault="005E2D3F" w:rsidP="005E2D3F">
      <w:r w:rsidRPr="0013726F">
        <w:t>Figure</w:t>
      </w:r>
      <w:r w:rsidR="004B308E">
        <w:t> </w:t>
      </w:r>
      <w:r w:rsidR="001F6A7E">
        <w:t>1.</w:t>
      </w:r>
      <w:r w:rsidRPr="0013726F">
        <w:t xml:space="preserve">2 illustrates the nested decision process for individual </w:t>
      </w:r>
      <w:r>
        <w:t>group</w:t>
      </w:r>
      <w:r w:rsidRPr="0013726F">
        <w:t xml:space="preserve">s to consume commodities </w:t>
      </w:r>
      <w:r>
        <w:t xml:space="preserve">(goods and services) </w:t>
      </w:r>
      <w:r w:rsidRPr="0013726F">
        <w:t>and supply labour. Individual</w:t>
      </w:r>
      <w:r w:rsidRPr="0013726F" w:rsidDel="00AA5B2A">
        <w:t xml:space="preserve"> </w:t>
      </w:r>
      <w:r>
        <w:t>group</w:t>
      </w:r>
      <w:r w:rsidRPr="0013726F">
        <w:t xml:space="preserve">s seek to maximise their utility, which is a constant elasticity of substitution (CES) function of ‘leisure’ (any time not spent in work) and </w:t>
      </w:r>
      <w:r w:rsidR="00661B2E" w:rsidRPr="00CA7453">
        <w:t>a ‘composite’</w:t>
      </w:r>
      <w:r w:rsidRPr="00CA7453">
        <w:t xml:space="preserve"> consumption</w:t>
      </w:r>
      <w:r w:rsidR="00C1477E" w:rsidRPr="00CA7453">
        <w:t xml:space="preserve"> </w:t>
      </w:r>
      <w:r w:rsidR="00661B2E" w:rsidRPr="00CA7453">
        <w:t>good</w:t>
      </w:r>
      <w:r w:rsidR="00A02CA4" w:rsidRPr="00CA7453">
        <w:t xml:space="preserve"> (a bundle </w:t>
      </w:r>
      <w:r w:rsidR="00C1477E" w:rsidRPr="00CA7453">
        <w:t>of commodities</w:t>
      </w:r>
      <w:r w:rsidR="00A02CA4" w:rsidRPr="00CA7453">
        <w:t xml:space="preserve"> they consume)</w:t>
      </w:r>
      <w:r w:rsidRPr="00CA7453">
        <w:t>,</w:t>
      </w:r>
      <w:r w:rsidRPr="0013726F">
        <w:t xml:space="preserve"> subject to their budget constraint and a time constraint.</w:t>
      </w:r>
      <w:r w:rsidRPr="002D5E61">
        <w:rPr>
          <w:rStyle w:val="FootnoteReference"/>
        </w:rPr>
        <w:footnoteReference w:id="5"/>
      </w:r>
      <w:r w:rsidRPr="0013726F">
        <w:t xml:space="preserve"> </w:t>
      </w:r>
      <w:r>
        <w:t xml:space="preserve">The budget constraint comprises labour and capital income, less saving and income taxes, to fund consumption. </w:t>
      </w:r>
      <w:r w:rsidR="008E077A">
        <w:t>Saving and income taxes enter the budget constraint in a non</w:t>
      </w:r>
      <w:r w:rsidR="004B308E">
        <w:noBreakHyphen/>
      </w:r>
      <w:r w:rsidR="008E077A">
        <w:t xml:space="preserve">distortionary way as lump sum values. </w:t>
      </w:r>
      <w:r>
        <w:t>The time constraint allocates a fixed time endowment between leisure and hours worked.</w:t>
      </w:r>
      <w:r w:rsidR="002A60DA">
        <w:t xml:space="preserve"> </w:t>
      </w:r>
    </w:p>
    <w:p w14:paraId="52EC7362" w14:textId="7F680017" w:rsidR="005E2D3F" w:rsidRDefault="005E2D3F" w:rsidP="005E2D3F">
      <w:r w:rsidRPr="0013726F">
        <w:t>Individual</w:t>
      </w:r>
      <w:r w:rsidRPr="0013726F" w:rsidDel="00E257AA">
        <w:t xml:space="preserve"> </w:t>
      </w:r>
      <w:r>
        <w:t>groups</w:t>
      </w:r>
      <w:r w:rsidRPr="0013726F">
        <w:t xml:space="preserve"> also choose how much of each </w:t>
      </w:r>
      <w:r>
        <w:t>household composite</w:t>
      </w:r>
      <w:r w:rsidRPr="0013726F">
        <w:t xml:space="preserve"> </w:t>
      </w:r>
      <w:r w:rsidR="00C1477E">
        <w:t>(</w:t>
      </w:r>
      <w:r w:rsidR="00A17DFD">
        <w:t xml:space="preserve">of domestic and imported </w:t>
      </w:r>
      <w:r w:rsidRPr="0013726F">
        <w:t>commodit</w:t>
      </w:r>
      <w:r w:rsidR="00A17DFD">
        <w:t>ies</w:t>
      </w:r>
      <w:r w:rsidR="00C1477E">
        <w:t>)</w:t>
      </w:r>
      <w:r w:rsidRPr="0013726F">
        <w:t xml:space="preserve"> they consume</w:t>
      </w:r>
      <w:r w:rsidR="00A17DFD">
        <w:t>,</w:t>
      </w:r>
      <w:r w:rsidRPr="0013726F">
        <w:t xml:space="preserve"> by minimising their expenditure to meet a </w:t>
      </w:r>
      <w:r w:rsidRPr="00CA7453">
        <w:t xml:space="preserve">given quantity of </w:t>
      </w:r>
      <w:r w:rsidR="00D4392A" w:rsidRPr="00CA7453">
        <w:t xml:space="preserve">the </w:t>
      </w:r>
      <w:r w:rsidRPr="00CA7453">
        <w:t>composite consumption</w:t>
      </w:r>
      <w:r w:rsidR="007D455A" w:rsidRPr="00CA7453">
        <w:t xml:space="preserve"> </w:t>
      </w:r>
      <w:r w:rsidR="00D4392A" w:rsidRPr="00CA7453">
        <w:t>good</w:t>
      </w:r>
      <w:r w:rsidR="005C3770" w:rsidRPr="00CA7453">
        <w:t xml:space="preserve"> (determined </w:t>
      </w:r>
      <w:r w:rsidR="0000559E" w:rsidRPr="00CA7453">
        <w:t xml:space="preserve">from </w:t>
      </w:r>
      <w:r w:rsidR="005C3770" w:rsidRPr="00CA7453">
        <w:t>the above utility maximisation problem)</w:t>
      </w:r>
      <w:r w:rsidR="00D4392A" w:rsidRPr="00CA7453">
        <w:t>,</w:t>
      </w:r>
      <w:r w:rsidR="00D4392A">
        <w:t xml:space="preserve"> </w:t>
      </w:r>
      <w:r w:rsidR="007D455A">
        <w:t>via a CES function</w:t>
      </w:r>
      <w:r w:rsidRPr="0013726F">
        <w:t>.</w:t>
      </w:r>
      <w:r w:rsidR="00557D56">
        <w:t xml:space="preserve"> </w:t>
      </w:r>
    </w:p>
    <w:p w14:paraId="7A343A42" w14:textId="5624F0F3" w:rsidR="0087436C" w:rsidRDefault="0087436C" w:rsidP="0087436C">
      <w:pPr>
        <w:pStyle w:val="FigureTableHeading"/>
      </w:pPr>
      <w:r w:rsidRPr="0013726F">
        <w:lastRenderedPageBreak/>
        <w:t>Figure</w:t>
      </w:r>
      <w:r w:rsidR="004B308E">
        <w:t> </w:t>
      </w:r>
      <w:r w:rsidR="002F0004">
        <w:t>1.2</w:t>
      </w:r>
      <w:r w:rsidRPr="0013726F">
        <w:rPr>
          <w:noProof/>
        </w:rPr>
        <w:t xml:space="preserve"> </w:t>
      </w:r>
      <w:r w:rsidRPr="0013726F">
        <w:t xml:space="preserve">– Individual </w:t>
      </w:r>
      <w:r w:rsidR="0008100C">
        <w:t>group</w:t>
      </w:r>
      <w:r w:rsidR="0008100C" w:rsidRPr="0013726F">
        <w:t xml:space="preserve"> </w:t>
      </w:r>
      <w:r w:rsidRPr="0013726F">
        <w:t>decision process</w:t>
      </w:r>
      <w:r w:rsidRPr="0013726F">
        <w:rPr>
          <w:vertAlign w:val="superscript"/>
        </w:rPr>
        <w:t>a</w:t>
      </w:r>
      <w:r w:rsidR="006227B7">
        <w:rPr>
          <w:vertAlign w:val="superscript"/>
        </w:rPr>
        <w:t>,b</w:t>
      </w:r>
    </w:p>
    <w:p w14:paraId="4CECDE63" w14:textId="0FE59255" w:rsidR="00EA2CA1" w:rsidRDefault="00116483" w:rsidP="00AC1BD8">
      <w:pPr>
        <w:pStyle w:val="Note"/>
      </w:pPr>
      <w:r w:rsidRPr="00116483">
        <w:rPr>
          <w:noProof/>
        </w:rPr>
        <w:drawing>
          <wp:inline distT="0" distB="0" distL="0" distR="0" wp14:anchorId="2E513C80" wp14:editId="4CFD950A">
            <wp:extent cx="6120130" cy="4823460"/>
            <wp:effectExtent l="0" t="0" r="0" b="0"/>
            <wp:docPr id="16" name="Picture 16" descr="Figure 1.2. This figure shows the individual group decision processes in the model. More details can be foun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2. This figure shows the individual group decision processes in the model. More details can be found in the text surrounding this figur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4823460"/>
                    </a:xfrm>
                    <a:prstGeom prst="rect">
                      <a:avLst/>
                    </a:prstGeom>
                    <a:noFill/>
                    <a:ln>
                      <a:noFill/>
                    </a:ln>
                  </pic:spPr>
                </pic:pic>
              </a:graphicData>
            </a:graphic>
          </wp:inline>
        </w:drawing>
      </w:r>
    </w:p>
    <w:p w14:paraId="21662525" w14:textId="25C2E5CD" w:rsidR="0087436C" w:rsidRPr="006227B7" w:rsidRDefault="0087436C" w:rsidP="00AC1BD8">
      <w:pPr>
        <w:pStyle w:val="Note"/>
      </w:pPr>
      <w:r w:rsidRPr="0013726F">
        <w:rPr>
          <w:b/>
          <w:bCs/>
        </w:rPr>
        <w:t>a.</w:t>
      </w:r>
      <w:r w:rsidRPr="0013726F">
        <w:t xml:space="preserve"> Blue text describes relationships between different components of this diagram. Grey shading indicates a component</w:t>
      </w:r>
      <w:r>
        <w:t xml:space="preserve"> </w:t>
      </w:r>
      <w:r w:rsidR="00632760">
        <w:t xml:space="preserve">that is subject to </w:t>
      </w:r>
      <w:r>
        <w:t>product tax</w:t>
      </w:r>
      <w:r w:rsidR="00632760">
        <w:t>es</w:t>
      </w:r>
      <w:r w:rsidRPr="0013726F">
        <w:t>.</w:t>
      </w:r>
      <w:r>
        <w:t xml:space="preserve"> Dashed arrows indicate that only some components of a sum are detailed in the diagram. Gre</w:t>
      </w:r>
      <w:r w:rsidR="006D443A">
        <w:t>y</w:t>
      </w:r>
      <w:r>
        <w:t xml:space="preserve"> arrows indicate that market clearing conditions balance demand and supply.</w:t>
      </w:r>
      <w:r w:rsidR="006227B7">
        <w:t xml:space="preserve"> </w:t>
      </w:r>
      <w:r w:rsidR="006227B7">
        <w:rPr>
          <w:b/>
          <w:bCs/>
        </w:rPr>
        <w:t xml:space="preserve">b. </w:t>
      </w:r>
      <w:r w:rsidR="00E50D40">
        <w:t>A CES relationship was used to create composites of domestic and imported commodities, and a Leontief relationship was used where there were no imports of a commodity in the database.</w:t>
      </w:r>
    </w:p>
    <w:p w14:paraId="6D828C58" w14:textId="77777777" w:rsidR="00413C50" w:rsidRDefault="00413C50" w:rsidP="00F855E8">
      <w:pPr>
        <w:pStyle w:val="Heading2"/>
      </w:pPr>
      <w:bookmarkStart w:id="8" w:name="_Toc126176820"/>
      <w:r w:rsidRPr="0013726F">
        <w:t>Industry production processes</w:t>
      </w:r>
      <w:bookmarkEnd w:id="8"/>
    </w:p>
    <w:p w14:paraId="444EF9E3" w14:textId="21AAFB8D" w:rsidR="00413C50" w:rsidRPr="00D6082D" w:rsidRDefault="00413C50" w:rsidP="00413C50">
      <w:pPr>
        <w:pStyle w:val="BodyText"/>
      </w:pPr>
      <w:r>
        <w:t>The model has 17 industries on the production side</w:t>
      </w:r>
      <w:r w:rsidR="00531A98">
        <w:t xml:space="preserve"> (listed below)</w:t>
      </w:r>
      <w:r>
        <w:t>, based on the main industries of interest for the inquiry</w:t>
      </w:r>
      <w:r w:rsidR="00937566">
        <w:t xml:space="preserve">’s </w:t>
      </w:r>
      <w:r w:rsidR="00E44DF9">
        <w:t>simulation</w:t>
      </w:r>
      <w:r w:rsidR="00DD3221">
        <w:t>s</w:t>
      </w:r>
      <w:r w:rsidR="00A92A28">
        <w:t xml:space="preserve"> (for example, </w:t>
      </w:r>
      <w:r w:rsidR="00326908">
        <w:t xml:space="preserve">‘school education’ and ‘technical, vocational and tertiary education’ were separated due to </w:t>
      </w:r>
      <w:r w:rsidR="001A4B1E">
        <w:t xml:space="preserve">separate reforms </w:t>
      </w:r>
      <w:r w:rsidR="003320D5">
        <w:t xml:space="preserve">simulated for </w:t>
      </w:r>
      <w:r w:rsidR="001A4B1E">
        <w:t>school</w:t>
      </w:r>
      <w:r w:rsidR="003320D5">
        <w:t xml:space="preserve"> education</w:t>
      </w:r>
      <w:r w:rsidR="001A4B1E">
        <w:t xml:space="preserve"> and higher education</w:t>
      </w:r>
      <w:r w:rsidR="00A92A28">
        <w:t>)</w:t>
      </w:r>
      <w:r w:rsidR="000A20F1">
        <w:t xml:space="preserve">. Some industries were also separately identified due to their more </w:t>
      </w:r>
      <w:r>
        <w:t>distinctive production or expenditure structures</w:t>
      </w:r>
      <w:r w:rsidR="00E95E26">
        <w:t xml:space="preserve"> (for example, </w:t>
      </w:r>
      <w:r w:rsidR="00B371ED">
        <w:t>construction is heavily used by the investment sector</w:t>
      </w:r>
      <w:r w:rsidR="00E95E26">
        <w:t>)</w:t>
      </w:r>
      <w:r w:rsidR="00914402">
        <w:t>:</w:t>
      </w:r>
      <w:r>
        <w:t xml:space="preserve"> </w:t>
      </w:r>
    </w:p>
    <w:p w14:paraId="24D5654A" w14:textId="77777777" w:rsidR="00413C50" w:rsidRPr="00C72AC3" w:rsidRDefault="00413C50" w:rsidP="008E5700">
      <w:pPr>
        <w:pStyle w:val="ListNumber"/>
        <w:numPr>
          <w:ilvl w:val="0"/>
          <w:numId w:val="9"/>
        </w:numPr>
      </w:pPr>
      <w:r w:rsidRPr="00C72AC3">
        <w:t>Agriculture, forestry and fishing</w:t>
      </w:r>
    </w:p>
    <w:p w14:paraId="299B89F9" w14:textId="77777777" w:rsidR="00413C50" w:rsidRPr="00C72AC3" w:rsidRDefault="00413C50" w:rsidP="008E5700">
      <w:pPr>
        <w:pStyle w:val="ListNumber"/>
        <w:numPr>
          <w:ilvl w:val="0"/>
          <w:numId w:val="9"/>
        </w:numPr>
      </w:pPr>
      <w:r w:rsidRPr="00C72AC3">
        <w:t>Mining</w:t>
      </w:r>
    </w:p>
    <w:p w14:paraId="4F08D0E0" w14:textId="63F972AF" w:rsidR="00413C50" w:rsidRPr="00C72AC3" w:rsidRDefault="00413C50" w:rsidP="008E5700">
      <w:pPr>
        <w:pStyle w:val="ListNumber"/>
        <w:numPr>
          <w:ilvl w:val="0"/>
          <w:numId w:val="9"/>
        </w:numPr>
      </w:pPr>
      <w:r w:rsidRPr="00C72AC3">
        <w:lastRenderedPageBreak/>
        <w:t>Advanced manufacturing</w:t>
      </w:r>
      <w:r>
        <w:rPr>
          <w:rStyle w:val="FootnoteReference"/>
        </w:rPr>
        <w:footnoteReference w:id="6"/>
      </w:r>
    </w:p>
    <w:p w14:paraId="2041FCCA" w14:textId="77777777" w:rsidR="00413C50" w:rsidRPr="00C72AC3" w:rsidRDefault="00413C50" w:rsidP="008E5700">
      <w:pPr>
        <w:pStyle w:val="ListNumber"/>
        <w:numPr>
          <w:ilvl w:val="0"/>
          <w:numId w:val="9"/>
        </w:numPr>
      </w:pPr>
      <w:r w:rsidRPr="00C72AC3">
        <w:t>Other manufacturing</w:t>
      </w:r>
    </w:p>
    <w:p w14:paraId="1E8B9BF0" w14:textId="77777777" w:rsidR="00413C50" w:rsidRPr="00C72AC3" w:rsidRDefault="00413C50" w:rsidP="008E5700">
      <w:pPr>
        <w:pStyle w:val="ListNumber"/>
        <w:numPr>
          <w:ilvl w:val="0"/>
          <w:numId w:val="9"/>
        </w:numPr>
      </w:pPr>
      <w:r w:rsidRPr="00C72AC3">
        <w:t>Construction</w:t>
      </w:r>
    </w:p>
    <w:p w14:paraId="6CEA15C2" w14:textId="77777777" w:rsidR="00413C50" w:rsidRPr="00C72AC3" w:rsidRDefault="00413C50" w:rsidP="008E5700">
      <w:pPr>
        <w:pStyle w:val="ListNumber"/>
        <w:numPr>
          <w:ilvl w:val="0"/>
          <w:numId w:val="9"/>
        </w:numPr>
      </w:pPr>
      <w:r w:rsidRPr="00C72AC3">
        <w:t>Transport and wholesale</w:t>
      </w:r>
    </w:p>
    <w:p w14:paraId="6B51AFEE" w14:textId="77777777" w:rsidR="00413C50" w:rsidRPr="00C72AC3" w:rsidRDefault="00413C50" w:rsidP="008E5700">
      <w:pPr>
        <w:pStyle w:val="ListNumber"/>
        <w:numPr>
          <w:ilvl w:val="0"/>
          <w:numId w:val="9"/>
        </w:numPr>
      </w:pPr>
      <w:r w:rsidRPr="00C72AC3">
        <w:t>Retail trade</w:t>
      </w:r>
    </w:p>
    <w:p w14:paraId="37D7326D" w14:textId="77777777" w:rsidR="00413C50" w:rsidRPr="00C72AC3" w:rsidRDefault="00413C50" w:rsidP="008E5700">
      <w:pPr>
        <w:pStyle w:val="ListNumber"/>
        <w:numPr>
          <w:ilvl w:val="0"/>
          <w:numId w:val="9"/>
        </w:numPr>
      </w:pPr>
      <w:r w:rsidRPr="00C72AC3">
        <w:t>Hospitality</w:t>
      </w:r>
    </w:p>
    <w:p w14:paraId="55B647E7" w14:textId="77777777" w:rsidR="00413C50" w:rsidRPr="00C72AC3" w:rsidRDefault="00413C50" w:rsidP="008E5700">
      <w:pPr>
        <w:pStyle w:val="ListNumber"/>
        <w:numPr>
          <w:ilvl w:val="0"/>
          <w:numId w:val="9"/>
        </w:numPr>
      </w:pPr>
      <w:r w:rsidRPr="00C72AC3">
        <w:t>Technology and telecommunications</w:t>
      </w:r>
      <w:r>
        <w:rPr>
          <w:rStyle w:val="FootnoteReference"/>
        </w:rPr>
        <w:footnoteReference w:id="7"/>
      </w:r>
    </w:p>
    <w:p w14:paraId="4CF14D9F" w14:textId="77777777" w:rsidR="00413C50" w:rsidRPr="00C72AC3" w:rsidRDefault="00413C50" w:rsidP="008E5700">
      <w:pPr>
        <w:pStyle w:val="ListNumber"/>
        <w:numPr>
          <w:ilvl w:val="0"/>
          <w:numId w:val="9"/>
        </w:numPr>
      </w:pPr>
      <w:r w:rsidRPr="00C72AC3">
        <w:t>Financial services</w:t>
      </w:r>
    </w:p>
    <w:p w14:paraId="603BAB65" w14:textId="77777777" w:rsidR="00413C50" w:rsidRPr="00C72AC3" w:rsidRDefault="00413C50" w:rsidP="008E5700">
      <w:pPr>
        <w:pStyle w:val="ListNumber"/>
        <w:numPr>
          <w:ilvl w:val="0"/>
          <w:numId w:val="9"/>
        </w:numPr>
      </w:pPr>
      <w:r w:rsidRPr="00C72AC3">
        <w:t>Professional, scientific and technical services</w:t>
      </w:r>
    </w:p>
    <w:p w14:paraId="6C2B2B57" w14:textId="77777777" w:rsidR="00413C50" w:rsidRPr="00C72AC3" w:rsidRDefault="00413C50" w:rsidP="008E5700">
      <w:pPr>
        <w:pStyle w:val="ListNumber"/>
        <w:numPr>
          <w:ilvl w:val="0"/>
          <w:numId w:val="9"/>
        </w:numPr>
      </w:pPr>
      <w:r w:rsidRPr="00C72AC3">
        <w:t>School education</w:t>
      </w:r>
    </w:p>
    <w:p w14:paraId="4F2A86CA" w14:textId="77777777" w:rsidR="00413C50" w:rsidRPr="00C72AC3" w:rsidRDefault="00413C50" w:rsidP="008E5700">
      <w:pPr>
        <w:pStyle w:val="ListNumber"/>
        <w:numPr>
          <w:ilvl w:val="0"/>
          <w:numId w:val="9"/>
        </w:numPr>
      </w:pPr>
      <w:bookmarkStart w:id="9" w:name="_Hlk116649537"/>
      <w:r w:rsidRPr="00C72AC3">
        <w:t>Technical, vocational and tertiary education</w:t>
      </w:r>
    </w:p>
    <w:bookmarkEnd w:id="9"/>
    <w:p w14:paraId="2D81D9A9" w14:textId="77777777" w:rsidR="00413C50" w:rsidRPr="00C72AC3" w:rsidRDefault="00413C50" w:rsidP="008E5700">
      <w:pPr>
        <w:pStyle w:val="ListNumber"/>
        <w:numPr>
          <w:ilvl w:val="0"/>
          <w:numId w:val="9"/>
        </w:numPr>
      </w:pPr>
      <w:r w:rsidRPr="00C72AC3">
        <w:t>Health and social services</w:t>
      </w:r>
    </w:p>
    <w:p w14:paraId="6987FFE9" w14:textId="77777777" w:rsidR="00413C50" w:rsidRPr="00C72AC3" w:rsidRDefault="00413C50" w:rsidP="008E5700">
      <w:pPr>
        <w:pStyle w:val="ListNumber"/>
        <w:numPr>
          <w:ilvl w:val="0"/>
          <w:numId w:val="9"/>
        </w:numPr>
      </w:pPr>
      <w:r w:rsidRPr="00C72AC3">
        <w:t>Public administration</w:t>
      </w:r>
    </w:p>
    <w:p w14:paraId="21716D7B" w14:textId="0522B734" w:rsidR="00413C50" w:rsidRPr="00C72AC3" w:rsidRDefault="00413C50" w:rsidP="008E5700">
      <w:pPr>
        <w:pStyle w:val="ListNumber"/>
        <w:numPr>
          <w:ilvl w:val="0"/>
          <w:numId w:val="9"/>
        </w:numPr>
      </w:pPr>
      <w:r w:rsidRPr="00C72AC3">
        <w:t>Other services</w:t>
      </w:r>
      <w:r w:rsidRPr="00C72AC3">
        <w:rPr>
          <w:rStyle w:val="FootnoteReference"/>
        </w:rPr>
        <w:footnoteReference w:id="8"/>
      </w:r>
    </w:p>
    <w:p w14:paraId="1781C760" w14:textId="37811E60" w:rsidR="00413C50" w:rsidRPr="00C72AC3" w:rsidRDefault="00413C50" w:rsidP="008E5700">
      <w:pPr>
        <w:pStyle w:val="ListNumber"/>
        <w:numPr>
          <w:ilvl w:val="0"/>
          <w:numId w:val="9"/>
        </w:numPr>
      </w:pPr>
      <w:r>
        <w:t>Ownership of d</w:t>
      </w:r>
      <w:r w:rsidRPr="00C72AC3">
        <w:t>wellings</w:t>
      </w:r>
      <w:r w:rsidR="00914402">
        <w:t>.</w:t>
      </w:r>
    </w:p>
    <w:p w14:paraId="7E42E00A" w14:textId="44CF2E1B" w:rsidR="0087436C" w:rsidRPr="0013726F" w:rsidRDefault="0087436C" w:rsidP="0087436C">
      <w:pPr>
        <w:pStyle w:val="BodyText"/>
      </w:pPr>
      <w:r w:rsidRPr="0013726F">
        <w:t>Figure</w:t>
      </w:r>
      <w:r w:rsidR="004B308E">
        <w:t> </w:t>
      </w:r>
      <w:r w:rsidR="004F7FE1">
        <w:t>1.</w:t>
      </w:r>
      <w:r w:rsidRPr="0013726F">
        <w:t>3 illustrates the nested production process for a given industry. Inputs are used to create outputs at each stage of the process via a cost minimisation decision</w:t>
      </w:r>
      <w:r w:rsidR="004A1177">
        <w:t xml:space="preserve"> </w:t>
      </w:r>
      <w:r w:rsidR="004A1177" w:rsidRPr="003D2EBF">
        <w:t>for given levels of output</w:t>
      </w:r>
      <w:r w:rsidRPr="0013726F">
        <w:t xml:space="preserve">, subject to assumed CES, constant elasticity of transformation (CET) and Leontief production functions. </w:t>
      </w:r>
    </w:p>
    <w:p w14:paraId="3015DC1A" w14:textId="113A4747" w:rsidR="00B50ACB" w:rsidRPr="00D95618" w:rsidRDefault="0087436C" w:rsidP="0087436C">
      <w:pPr>
        <w:pStyle w:val="BodyText"/>
        <w:rPr>
          <w:spacing w:val="-2"/>
        </w:rPr>
      </w:pPr>
      <w:r w:rsidRPr="00D95618">
        <w:rPr>
          <w:spacing w:val="-2"/>
        </w:rPr>
        <w:t>The two factors of production used are capital and labour</w:t>
      </w:r>
      <w:r w:rsidR="004F3168" w:rsidRPr="00D95618">
        <w:rPr>
          <w:spacing w:val="-2"/>
        </w:rPr>
        <w:t>, the quantity of which are both flexible</w:t>
      </w:r>
      <w:r w:rsidRPr="00D95618">
        <w:rPr>
          <w:spacing w:val="-2"/>
        </w:rPr>
        <w:t>. Capital inputs and each labour type input</w:t>
      </w:r>
      <w:r w:rsidR="00915C12" w:rsidRPr="00D95618">
        <w:rPr>
          <w:spacing w:val="-2"/>
        </w:rPr>
        <w:t xml:space="preserve"> are also perfectly mobile</w:t>
      </w:r>
      <w:r w:rsidR="007A199D" w:rsidRPr="00D95618">
        <w:rPr>
          <w:spacing w:val="-2"/>
        </w:rPr>
        <w:t>;</w:t>
      </w:r>
      <w:r w:rsidR="00915C12" w:rsidRPr="00D95618">
        <w:rPr>
          <w:spacing w:val="-2"/>
        </w:rPr>
        <w:t xml:space="preserve"> that is, they</w:t>
      </w:r>
      <w:r w:rsidRPr="00D95618">
        <w:rPr>
          <w:spacing w:val="-2"/>
        </w:rPr>
        <w:t xml:space="preserve"> </w:t>
      </w:r>
      <w:r w:rsidR="001A46E0" w:rsidRPr="00D95618">
        <w:rPr>
          <w:spacing w:val="-2"/>
        </w:rPr>
        <w:t xml:space="preserve">can be used across any </w:t>
      </w:r>
      <w:r w:rsidRPr="00D95618">
        <w:rPr>
          <w:spacing w:val="-2"/>
        </w:rPr>
        <w:t>industr</w:t>
      </w:r>
      <w:r w:rsidR="001A46E0" w:rsidRPr="00D95618">
        <w:rPr>
          <w:spacing w:val="-2"/>
        </w:rPr>
        <w:t>y</w:t>
      </w:r>
      <w:r w:rsidRPr="00D95618">
        <w:rPr>
          <w:spacing w:val="-2"/>
        </w:rPr>
        <w:t xml:space="preserve"> (there are no industry</w:t>
      </w:r>
      <w:r w:rsidR="004B308E" w:rsidRPr="00D95618">
        <w:rPr>
          <w:spacing w:val="-2"/>
        </w:rPr>
        <w:noBreakHyphen/>
      </w:r>
      <w:r w:rsidRPr="00D95618">
        <w:rPr>
          <w:spacing w:val="-2"/>
        </w:rPr>
        <w:t xml:space="preserve">specific labour types or capital). However, </w:t>
      </w:r>
      <w:r w:rsidR="00DC7E54" w:rsidRPr="00D95618">
        <w:rPr>
          <w:spacing w:val="-2"/>
        </w:rPr>
        <w:t xml:space="preserve">each industry has their own production functions to determine </w:t>
      </w:r>
      <w:r w:rsidRPr="00D95618">
        <w:rPr>
          <w:spacing w:val="-2"/>
        </w:rPr>
        <w:t xml:space="preserve">the </w:t>
      </w:r>
      <w:r w:rsidR="00204956" w:rsidRPr="00D95618">
        <w:rPr>
          <w:spacing w:val="-2"/>
        </w:rPr>
        <w:t>composition of labour</w:t>
      </w:r>
      <w:r w:rsidR="00AB434E" w:rsidRPr="00D95618">
        <w:rPr>
          <w:spacing w:val="-2"/>
        </w:rPr>
        <w:t xml:space="preserve"> types and composition of labour and capital used</w:t>
      </w:r>
      <w:r w:rsidRPr="00D95618">
        <w:rPr>
          <w:spacing w:val="-2"/>
        </w:rPr>
        <w:t>.</w:t>
      </w:r>
      <w:r w:rsidR="0034656E" w:rsidRPr="00D95618">
        <w:rPr>
          <w:rStyle w:val="FootnoteReference"/>
          <w:spacing w:val="-2"/>
        </w:rPr>
        <w:footnoteReference w:id="9"/>
      </w:r>
      <w:r w:rsidRPr="00D95618">
        <w:rPr>
          <w:spacing w:val="-2"/>
        </w:rPr>
        <w:t xml:space="preserve"> </w:t>
      </w:r>
    </w:p>
    <w:p w14:paraId="39F5F200" w14:textId="70DF4920" w:rsidR="0087436C" w:rsidRDefault="0087436C" w:rsidP="0087436C">
      <w:pPr>
        <w:pStyle w:val="BodyText"/>
      </w:pPr>
      <w:r>
        <w:t xml:space="preserve">Alongside these factors of production, </w:t>
      </w:r>
      <w:r w:rsidR="00F35536">
        <w:t xml:space="preserve">producers </w:t>
      </w:r>
      <w:r>
        <w:t xml:space="preserve">in each industry use intermediate inputs to produce industry outputs. </w:t>
      </w:r>
      <w:r w:rsidR="00137A5A">
        <w:t>B</w:t>
      </w:r>
      <w:r>
        <w:t xml:space="preserve">oth domestic and imported commodities are combined to form </w:t>
      </w:r>
      <w:r w:rsidR="00DC7E54">
        <w:t xml:space="preserve">composites of </w:t>
      </w:r>
      <w:r>
        <w:t xml:space="preserve">intermediate inputs. </w:t>
      </w:r>
    </w:p>
    <w:p w14:paraId="4B2E0179" w14:textId="08EDC990" w:rsidR="00C2262F" w:rsidRDefault="00C2262F" w:rsidP="00C2262F">
      <w:pPr>
        <w:pStyle w:val="BodyText"/>
      </w:pPr>
      <w:r>
        <w:t>Across the production functions for creating composite labour, composite factors (value added</w:t>
      </w:r>
      <w:r w:rsidR="00537174">
        <w:t>, combining labour and capital</w:t>
      </w:r>
      <w:r>
        <w:t>), and industry output, there were productivity parameters included to allow adjustments to labour</w:t>
      </w:r>
      <w:r w:rsidR="004B308E">
        <w:noBreakHyphen/>
      </w:r>
      <w:r>
        <w:t>augmenting technical change, multifactor productivity, and input</w:t>
      </w:r>
      <w:r w:rsidR="004B308E">
        <w:noBreakHyphen/>
      </w:r>
      <w:r>
        <w:t>neutral technical change respectively. These parameters were adjusted in various model simulations (</w:t>
      </w:r>
      <w:r w:rsidR="00171628">
        <w:t>chapter</w:t>
      </w:r>
      <w:r w:rsidR="004B308E">
        <w:t> </w:t>
      </w:r>
      <w:r w:rsidR="00D66E83">
        <w:t>3</w:t>
      </w:r>
      <w:r>
        <w:t xml:space="preserve">). </w:t>
      </w:r>
    </w:p>
    <w:p w14:paraId="67418A7C" w14:textId="3DB49A53" w:rsidR="0087436C" w:rsidRPr="003F421B" w:rsidRDefault="0087436C" w:rsidP="0087436C">
      <w:pPr>
        <w:pStyle w:val="FigureTableHeading"/>
      </w:pPr>
      <w:r w:rsidRPr="0013726F">
        <w:lastRenderedPageBreak/>
        <w:t>Figure</w:t>
      </w:r>
      <w:r w:rsidR="004B308E">
        <w:t> </w:t>
      </w:r>
      <w:r w:rsidR="004F7FE1">
        <w:t>1.3</w:t>
      </w:r>
      <w:r w:rsidRPr="0013726F">
        <w:rPr>
          <w:noProof/>
        </w:rPr>
        <w:t xml:space="preserve"> </w:t>
      </w:r>
      <w:r w:rsidRPr="0013726F">
        <w:t>– Industry production processes</w:t>
      </w:r>
      <w:r w:rsidRPr="0013726F">
        <w:rPr>
          <w:vertAlign w:val="superscript"/>
        </w:rPr>
        <w:t>a</w:t>
      </w:r>
      <w:r>
        <w:rPr>
          <w:vertAlign w:val="superscript"/>
        </w:rPr>
        <w:t>,b</w:t>
      </w:r>
      <w:r w:rsidR="00FC1344">
        <w:rPr>
          <w:vertAlign w:val="superscript"/>
        </w:rPr>
        <w:t>,c</w:t>
      </w:r>
    </w:p>
    <w:p w14:paraId="586A92FC" w14:textId="2E7E18E9" w:rsidR="0087436C" w:rsidRDefault="001076A2" w:rsidP="00723E96">
      <w:pPr>
        <w:pStyle w:val="BodyText"/>
        <w:jc w:val="center"/>
      </w:pPr>
      <w:r w:rsidRPr="001076A2">
        <w:rPr>
          <w:noProof/>
        </w:rPr>
        <w:drawing>
          <wp:inline distT="0" distB="0" distL="0" distR="0" wp14:anchorId="5281E567" wp14:editId="3E239236">
            <wp:extent cx="6120130" cy="6795770"/>
            <wp:effectExtent l="0" t="0" r="0" b="5080"/>
            <wp:docPr id="1" name="Picture 1" descr="Figure 1.3. This figure shows the industry production processes in the model. More details can be foun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3. This figure shows the industry production processes in the model. More details can be found in the text surrounding this figur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6795770"/>
                    </a:xfrm>
                    <a:prstGeom prst="rect">
                      <a:avLst/>
                    </a:prstGeom>
                    <a:noFill/>
                    <a:ln>
                      <a:noFill/>
                    </a:ln>
                  </pic:spPr>
                </pic:pic>
              </a:graphicData>
            </a:graphic>
          </wp:inline>
        </w:drawing>
      </w:r>
      <w:r w:rsidR="00F26C0D" w:rsidRPr="00F26C0D" w:rsidDel="00FE00F1">
        <w:t xml:space="preserve"> </w:t>
      </w:r>
    </w:p>
    <w:p w14:paraId="0B95A285" w14:textId="7E4ABF86" w:rsidR="0087436C" w:rsidRPr="00D95618" w:rsidRDefault="0087436C" w:rsidP="000C293D">
      <w:pPr>
        <w:pStyle w:val="Note"/>
        <w:rPr>
          <w:spacing w:val="-2"/>
        </w:rPr>
      </w:pPr>
      <w:r w:rsidRPr="00D95618">
        <w:rPr>
          <w:b/>
          <w:bCs/>
          <w:spacing w:val="-2"/>
        </w:rPr>
        <w:t>a.</w:t>
      </w:r>
      <w:r w:rsidRPr="00D95618">
        <w:rPr>
          <w:spacing w:val="-2"/>
        </w:rPr>
        <w:t xml:space="preserve"> Blue text describes relationships between different </w:t>
      </w:r>
      <w:r w:rsidR="00EE52B6" w:rsidRPr="00D95618">
        <w:rPr>
          <w:spacing w:val="-2"/>
        </w:rPr>
        <w:t xml:space="preserve">diagram </w:t>
      </w:r>
      <w:r w:rsidRPr="00D95618">
        <w:rPr>
          <w:spacing w:val="-2"/>
        </w:rPr>
        <w:t>components. Grey shading indicates a taxed component (either a product tax or production tax). Dashed arrows indicate that only some components of a sum are detailed. Gre</w:t>
      </w:r>
      <w:r w:rsidR="002F26A1" w:rsidRPr="00D95618">
        <w:rPr>
          <w:spacing w:val="-2"/>
        </w:rPr>
        <w:t>y</w:t>
      </w:r>
      <w:r w:rsidRPr="00D95618">
        <w:rPr>
          <w:spacing w:val="-2"/>
        </w:rPr>
        <w:t xml:space="preserve"> arrows indicate that market clearing conditions balance demand and supply. </w:t>
      </w:r>
      <w:r w:rsidRPr="00D95618">
        <w:rPr>
          <w:b/>
          <w:bCs/>
          <w:spacing w:val="-2"/>
        </w:rPr>
        <w:t>b.</w:t>
      </w:r>
      <w:r w:rsidRPr="00D95618">
        <w:rPr>
          <w:spacing w:val="-2"/>
        </w:rPr>
        <w:t xml:space="preserve"> The purple box is a simplified representation of the creation of composite labour in each industry. In the model, there are two CES nests in this process. The first involves combining age</w:t>
      </w:r>
      <w:r w:rsidR="004B308E" w:rsidRPr="00D95618">
        <w:rPr>
          <w:spacing w:val="-2"/>
        </w:rPr>
        <w:noBreakHyphen/>
      </w:r>
      <w:r w:rsidRPr="00D95618">
        <w:rPr>
          <w:spacing w:val="-2"/>
        </w:rPr>
        <w:t>sex labour combinations to create a composite labour by education level for each industry. The second involves combining each education</w:t>
      </w:r>
      <w:r w:rsidR="004B308E" w:rsidRPr="00D95618">
        <w:rPr>
          <w:spacing w:val="-2"/>
        </w:rPr>
        <w:noBreakHyphen/>
      </w:r>
      <w:r w:rsidRPr="00D95618">
        <w:rPr>
          <w:spacing w:val="-2"/>
        </w:rPr>
        <w:t>level labour composite into a single industry composite labour.</w:t>
      </w:r>
      <w:r w:rsidR="00B70BE6" w:rsidRPr="00D95618">
        <w:rPr>
          <w:spacing w:val="-2"/>
        </w:rPr>
        <w:t xml:space="preserve"> </w:t>
      </w:r>
      <w:r w:rsidR="00FC1344" w:rsidRPr="00D95618">
        <w:rPr>
          <w:b/>
          <w:bCs/>
          <w:spacing w:val="-2"/>
        </w:rPr>
        <w:t>c.</w:t>
      </w:r>
      <w:r w:rsidR="00FC1344" w:rsidRPr="00D95618">
        <w:rPr>
          <w:spacing w:val="-2"/>
        </w:rPr>
        <w:t xml:space="preserve"> The ‘ownership of dwellings’ industry does not employ labour in the data, so </w:t>
      </w:r>
      <w:r w:rsidR="007F38D6" w:rsidRPr="00D95618">
        <w:rPr>
          <w:spacing w:val="-2"/>
        </w:rPr>
        <w:t>is only produced using capital and intermediate inputs.</w:t>
      </w:r>
    </w:p>
    <w:p w14:paraId="3ABD11EC" w14:textId="47B0464A" w:rsidR="003A43E2" w:rsidRDefault="003A43E2" w:rsidP="003A43E2">
      <w:pPr>
        <w:pStyle w:val="BodyText"/>
      </w:pPr>
      <w:r>
        <w:lastRenderedPageBreak/>
        <w:t>Producers also make choices about whether industry outputs</w:t>
      </w:r>
      <w:r w:rsidRPr="0013726F">
        <w:t xml:space="preserve"> are exported or used domestically via a CET function. </w:t>
      </w:r>
      <w:r>
        <w:t xml:space="preserve">Given the relatively broad industries used in the model, this decision could arise because the composition of more granular commodities (not separately modelled) exported by an industry may be different </w:t>
      </w:r>
      <w:r w:rsidR="00744FFF">
        <w:t>from</w:t>
      </w:r>
      <w:r>
        <w:t xml:space="preserve"> the composition of granular commodities sold domestically. </w:t>
      </w:r>
    </w:p>
    <w:p w14:paraId="06887B0C" w14:textId="77777777" w:rsidR="0087436C" w:rsidRPr="0013726F" w:rsidRDefault="0087436C" w:rsidP="006207A5">
      <w:pPr>
        <w:pStyle w:val="Heading2"/>
      </w:pPr>
      <w:bookmarkStart w:id="10" w:name="_Toc126176821"/>
      <w:r w:rsidRPr="0013726F">
        <w:t>Government decision process</w:t>
      </w:r>
      <w:bookmarkEnd w:id="10"/>
    </w:p>
    <w:p w14:paraId="3CE52DB6" w14:textId="62F68E19" w:rsidR="0087436C" w:rsidRDefault="0087436C" w:rsidP="0087436C">
      <w:pPr>
        <w:pStyle w:val="BodyText"/>
      </w:pPr>
      <w:r w:rsidRPr="0013726F">
        <w:t>Figure</w:t>
      </w:r>
      <w:r w:rsidR="004B308E">
        <w:t> </w:t>
      </w:r>
      <w:r w:rsidR="00256229">
        <w:t>1.</w:t>
      </w:r>
      <w:r>
        <w:t>4</w:t>
      </w:r>
      <w:r w:rsidRPr="0013726F">
        <w:t xml:space="preserve"> illustrates the government decision process. There is one government entity, which </w:t>
      </w:r>
      <w:r>
        <w:t xml:space="preserve">purchases composite commodities (made up of domestic and imported commodities) </w:t>
      </w:r>
      <w:r w:rsidR="009B7ED5">
        <w:t>according to a Cobb</w:t>
      </w:r>
      <w:r w:rsidR="004B308E">
        <w:noBreakHyphen/>
      </w:r>
      <w:r w:rsidR="009B7ED5">
        <w:t>Douglas consumption function</w:t>
      </w:r>
      <w:r>
        <w:t xml:space="preserve">, </w:t>
      </w:r>
      <w:r w:rsidRPr="0013726F">
        <w:t xml:space="preserve">subject to its budget constraint. </w:t>
      </w:r>
      <w:r w:rsidR="003254A6">
        <w:t xml:space="preserve">The government budget constraint comprises </w:t>
      </w:r>
      <w:r w:rsidR="00EC4505">
        <w:t xml:space="preserve">net </w:t>
      </w:r>
      <w:r w:rsidR="003254A6">
        <w:t xml:space="preserve">tax revenues </w:t>
      </w:r>
      <w:r w:rsidR="00BC139A">
        <w:t xml:space="preserve">(less subsidies) </w:t>
      </w:r>
      <w:r w:rsidR="003254A6">
        <w:t>from production</w:t>
      </w:r>
      <w:r w:rsidR="00747F0A">
        <w:t xml:space="preserve"> (including </w:t>
      </w:r>
      <w:r w:rsidR="00D14F4B">
        <w:t>industry</w:t>
      </w:r>
      <w:r w:rsidR="004B308E">
        <w:noBreakHyphen/>
      </w:r>
      <w:r w:rsidR="00D14F4B">
        <w:t xml:space="preserve">specific </w:t>
      </w:r>
      <w:r w:rsidR="00747F0A">
        <w:t>taxes</w:t>
      </w:r>
      <w:r w:rsidR="00D14F4B">
        <w:t xml:space="preserve"> levied on the value of production</w:t>
      </w:r>
      <w:r w:rsidR="00220BB1">
        <w:t xml:space="preserve">, and taxes levied on sales with rates that differ by the </w:t>
      </w:r>
      <w:r w:rsidR="00014E57">
        <w:t>commodity and the buyer of that commodity</w:t>
      </w:r>
      <w:r w:rsidR="00747F0A">
        <w:t>)</w:t>
      </w:r>
      <w:r w:rsidR="003254A6">
        <w:t>, household income tax</w:t>
      </w:r>
      <w:r w:rsidR="00EC4505">
        <w:t>es</w:t>
      </w:r>
      <w:r w:rsidR="00A6551B">
        <w:t xml:space="preserve"> and</w:t>
      </w:r>
      <w:r w:rsidR="003254A6">
        <w:t xml:space="preserve"> foreign capital income taxes. </w:t>
      </w:r>
      <w:r w:rsidR="00157703">
        <w:t>The Cobb</w:t>
      </w:r>
      <w:r w:rsidR="004B308E">
        <w:noBreakHyphen/>
      </w:r>
      <w:r w:rsidR="00157703">
        <w:t xml:space="preserve">Douglas relationship implies that expenditure shares are constant — that is, the government allocates a fixed share of its total expenditure to consumption of each commodity. </w:t>
      </w:r>
      <w:r w:rsidR="000651C2">
        <w:t xml:space="preserve">The total nominal value of </w:t>
      </w:r>
      <w:r w:rsidR="000651C2" w:rsidRPr="0013726F">
        <w:t xml:space="preserve">government consumption </w:t>
      </w:r>
      <w:r w:rsidR="000651C2">
        <w:t xml:space="preserve">is </w:t>
      </w:r>
      <w:r w:rsidR="003254A6">
        <w:t xml:space="preserve">also assumed to be </w:t>
      </w:r>
      <w:r w:rsidR="000651C2">
        <w:t>a fixed share of nominal GDP</w:t>
      </w:r>
      <w:r w:rsidR="00D458CA">
        <w:t>, so grows with GDP growth</w:t>
      </w:r>
      <w:r w:rsidR="000651C2" w:rsidRPr="007176C9">
        <w:t>.</w:t>
      </w:r>
    </w:p>
    <w:p w14:paraId="3F177B5B" w14:textId="4AB7CC9F" w:rsidR="0087436C" w:rsidRDefault="0087436C" w:rsidP="0087436C">
      <w:pPr>
        <w:pStyle w:val="BodyText"/>
      </w:pPr>
      <w:r w:rsidRPr="0013726F">
        <w:t>Government tax rates are fixed</w:t>
      </w:r>
      <w:r>
        <w:t>, except for household tax payments,</w:t>
      </w:r>
      <w:r w:rsidRPr="0013726F">
        <w:t xml:space="preserve"> so revenue </w:t>
      </w:r>
      <w:r>
        <w:t xml:space="preserve">largely </w:t>
      </w:r>
      <w:r w:rsidRPr="0013726F">
        <w:t>moves in line with the various tax bases.</w:t>
      </w:r>
      <w:r w:rsidRPr="0013726F" w:rsidDel="000651C2">
        <w:t xml:space="preserve"> </w:t>
      </w:r>
      <w:r w:rsidR="0059162B">
        <w:t>H</w:t>
      </w:r>
      <w:r w:rsidRPr="007176C9">
        <w:t xml:space="preserve">ousehold tax payments adjust to </w:t>
      </w:r>
      <w:r w:rsidR="006B1585">
        <w:t>balance</w:t>
      </w:r>
      <w:r w:rsidR="006B1585" w:rsidRPr="007176C9">
        <w:t xml:space="preserve"> </w:t>
      </w:r>
      <w:r w:rsidRPr="007176C9">
        <w:t xml:space="preserve">the government budget constraint. Each individual </w:t>
      </w:r>
      <w:r w:rsidR="0008100C">
        <w:t>group</w:t>
      </w:r>
      <w:r w:rsidRPr="007176C9">
        <w:t>’s tax</w:t>
      </w:r>
      <w:r w:rsidRPr="007176C9" w:rsidDel="0059162B">
        <w:t xml:space="preserve"> </w:t>
      </w:r>
      <w:r w:rsidR="0059162B">
        <w:t xml:space="preserve">rate scales according to the </w:t>
      </w:r>
      <w:r w:rsidR="00261772">
        <w:t xml:space="preserve">total </w:t>
      </w:r>
      <w:r w:rsidR="0034770A">
        <w:t xml:space="preserve">value </w:t>
      </w:r>
      <w:r w:rsidR="0059162B">
        <w:t>of tax</w:t>
      </w:r>
      <w:r w:rsidR="0034770A">
        <w:t xml:space="preserve"> </w:t>
      </w:r>
      <w:r w:rsidR="0029693A">
        <w:t>the government</w:t>
      </w:r>
      <w:r w:rsidR="0034770A">
        <w:t xml:space="preserve"> require</w:t>
      </w:r>
      <w:r w:rsidR="0029693A">
        <w:t>s</w:t>
      </w:r>
      <w:r w:rsidR="0034770A">
        <w:t xml:space="preserve"> under the simulation relative to the base scenario</w:t>
      </w:r>
      <w:r w:rsidRPr="007176C9">
        <w:t>.</w:t>
      </w:r>
    </w:p>
    <w:p w14:paraId="02E41C8B" w14:textId="39812576" w:rsidR="0087436C" w:rsidRPr="003450FC" w:rsidRDefault="0087436C" w:rsidP="0087436C">
      <w:pPr>
        <w:pStyle w:val="FigureTableHeading"/>
      </w:pPr>
      <w:r w:rsidRPr="0013726F">
        <w:t>Figure</w:t>
      </w:r>
      <w:r w:rsidR="004B308E">
        <w:t> </w:t>
      </w:r>
      <w:r w:rsidR="00256229">
        <w:t>1.4</w:t>
      </w:r>
      <w:r w:rsidRPr="0013726F">
        <w:rPr>
          <w:noProof/>
        </w:rPr>
        <w:t xml:space="preserve"> </w:t>
      </w:r>
      <w:r w:rsidRPr="0013726F">
        <w:t xml:space="preserve">– </w:t>
      </w:r>
      <w:r>
        <w:t>Government decision</w:t>
      </w:r>
      <w:r w:rsidRPr="0013726F">
        <w:t xml:space="preserve"> process</w:t>
      </w:r>
      <w:r w:rsidRPr="0013726F">
        <w:rPr>
          <w:vertAlign w:val="superscript"/>
        </w:rPr>
        <w:t>a</w:t>
      </w:r>
      <w:r w:rsidR="00EE3E27">
        <w:rPr>
          <w:vertAlign w:val="superscript"/>
        </w:rPr>
        <w:t>,b</w:t>
      </w:r>
    </w:p>
    <w:p w14:paraId="0427A2BE" w14:textId="5B0E4DD1" w:rsidR="0087436C" w:rsidRDefault="009E1C9E" w:rsidP="0087436C">
      <w:pPr>
        <w:pStyle w:val="BodyText"/>
      </w:pPr>
      <w:r w:rsidRPr="009E1C9E">
        <w:rPr>
          <w:noProof/>
        </w:rPr>
        <w:drawing>
          <wp:inline distT="0" distB="0" distL="0" distR="0" wp14:anchorId="16CB36EB" wp14:editId="06F5112A">
            <wp:extent cx="6120130" cy="2432685"/>
            <wp:effectExtent l="0" t="0" r="0" b="5715"/>
            <wp:docPr id="24" name="Picture 24" descr="Figure 1.4. This figure shows the government decision process in the model. More details can be foun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1.4. This figure shows the government decision process in the model. More details can be found in the text surrounding this figu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2432685"/>
                    </a:xfrm>
                    <a:prstGeom prst="rect">
                      <a:avLst/>
                    </a:prstGeom>
                    <a:noFill/>
                    <a:ln>
                      <a:noFill/>
                    </a:ln>
                  </pic:spPr>
                </pic:pic>
              </a:graphicData>
            </a:graphic>
          </wp:inline>
        </w:drawing>
      </w:r>
      <w:r w:rsidR="0074558B" w:rsidRPr="0074558B" w:rsidDel="0074558B">
        <w:t xml:space="preserve"> </w:t>
      </w:r>
    </w:p>
    <w:p w14:paraId="7F9B06DF" w14:textId="49424749" w:rsidR="0087436C" w:rsidRDefault="0087436C" w:rsidP="00D64C62">
      <w:pPr>
        <w:pStyle w:val="Note"/>
        <w:keepLines/>
      </w:pPr>
      <w:r w:rsidRPr="0013726F">
        <w:rPr>
          <w:b/>
          <w:bCs/>
        </w:rPr>
        <w:t>a.</w:t>
      </w:r>
      <w:r w:rsidRPr="0013726F">
        <w:t xml:space="preserve"> Blue text describes relationships between different</w:t>
      </w:r>
      <w:r w:rsidR="00EE52B6">
        <w:t xml:space="preserve"> diagram</w:t>
      </w:r>
      <w:r w:rsidRPr="0013726F">
        <w:t xml:space="preserve"> components. </w:t>
      </w:r>
      <w:r w:rsidR="0089177D">
        <w:rPr>
          <w:b/>
          <w:bCs/>
        </w:rPr>
        <w:t xml:space="preserve">b. </w:t>
      </w:r>
      <w:r w:rsidR="0089177D">
        <w:t>A CES relationship was used to create composites of domestic and imported commodities, and a Leontief relationship was used where there were no imports of a commodity in the database.</w:t>
      </w:r>
    </w:p>
    <w:p w14:paraId="7963A484" w14:textId="42374C56" w:rsidR="0087436C" w:rsidRDefault="0087436C" w:rsidP="006207A5">
      <w:pPr>
        <w:pStyle w:val="Heading2"/>
      </w:pPr>
      <w:bookmarkStart w:id="11" w:name="_Toc126176822"/>
      <w:r>
        <w:t xml:space="preserve">Investment </w:t>
      </w:r>
      <w:r w:rsidR="00664976">
        <w:t xml:space="preserve">and capital </w:t>
      </w:r>
      <w:r>
        <w:t>process</w:t>
      </w:r>
      <w:r w:rsidR="001923B9">
        <w:t>es</w:t>
      </w:r>
      <w:bookmarkEnd w:id="11"/>
    </w:p>
    <w:p w14:paraId="3803FA7C" w14:textId="4C9BC447" w:rsidR="00E643D6" w:rsidRPr="00D95618" w:rsidRDefault="002D65B2" w:rsidP="00A77952">
      <w:pPr>
        <w:pStyle w:val="BodyText"/>
        <w:rPr>
          <w:spacing w:val="-4"/>
        </w:rPr>
      </w:pPr>
      <w:r w:rsidRPr="00D95618">
        <w:rPr>
          <w:spacing w:val="-4"/>
        </w:rPr>
        <w:t>The</w:t>
      </w:r>
      <w:r w:rsidR="00980218" w:rsidRPr="00D95618">
        <w:rPr>
          <w:spacing w:val="-4"/>
        </w:rPr>
        <w:t xml:space="preserve"> </w:t>
      </w:r>
      <w:r w:rsidR="003458D8" w:rsidRPr="00D95618">
        <w:rPr>
          <w:spacing w:val="-4"/>
        </w:rPr>
        <w:t xml:space="preserve">size of the </w:t>
      </w:r>
      <w:r w:rsidR="00980218" w:rsidRPr="00D95618">
        <w:rPr>
          <w:spacing w:val="-4"/>
        </w:rPr>
        <w:t xml:space="preserve">capital </w:t>
      </w:r>
      <w:r w:rsidRPr="00D95618">
        <w:rPr>
          <w:spacing w:val="-4"/>
        </w:rPr>
        <w:t xml:space="preserve">stock </w:t>
      </w:r>
      <w:r w:rsidR="00980218" w:rsidRPr="00D95618">
        <w:rPr>
          <w:spacing w:val="-4"/>
        </w:rPr>
        <w:t xml:space="preserve">is assumed to be </w:t>
      </w:r>
      <w:r w:rsidR="00F97D6A" w:rsidRPr="00D95618">
        <w:rPr>
          <w:spacing w:val="-4"/>
        </w:rPr>
        <w:t xml:space="preserve">variable, while the </w:t>
      </w:r>
      <w:r w:rsidR="008D7F9A" w:rsidRPr="00D95618">
        <w:rPr>
          <w:spacing w:val="-4"/>
        </w:rPr>
        <w:t>rate of return to capital</w:t>
      </w:r>
      <w:r w:rsidR="007B443E" w:rsidRPr="00D95618">
        <w:rPr>
          <w:spacing w:val="-4"/>
        </w:rPr>
        <w:t xml:space="preserve"> </w:t>
      </w:r>
      <w:r w:rsidR="005428E0" w:rsidRPr="00D95618">
        <w:rPr>
          <w:spacing w:val="-4"/>
        </w:rPr>
        <w:t>(</w:t>
      </w:r>
      <w:r w:rsidR="007B443E" w:rsidRPr="00D95618">
        <w:rPr>
          <w:spacing w:val="-4"/>
        </w:rPr>
        <w:t xml:space="preserve">defined as the price of capital </w:t>
      </w:r>
      <w:r w:rsidR="00C31040" w:rsidRPr="00D95618">
        <w:rPr>
          <w:spacing w:val="-4"/>
        </w:rPr>
        <w:t>relative to the price of investment</w:t>
      </w:r>
      <w:r w:rsidR="005428E0" w:rsidRPr="00D95618">
        <w:rPr>
          <w:spacing w:val="-4"/>
        </w:rPr>
        <w:t xml:space="preserve">) is </w:t>
      </w:r>
      <w:r w:rsidR="00F97D6A" w:rsidRPr="00D95618">
        <w:rPr>
          <w:spacing w:val="-4"/>
        </w:rPr>
        <w:t>fixed</w:t>
      </w:r>
      <w:r w:rsidR="005428E0" w:rsidRPr="00D95618">
        <w:rPr>
          <w:spacing w:val="-4"/>
        </w:rPr>
        <w:t>.</w:t>
      </w:r>
      <w:r w:rsidR="008604FD" w:rsidRPr="00D95618">
        <w:rPr>
          <w:spacing w:val="-4"/>
        </w:rPr>
        <w:t xml:space="preserve"> It is also assumed that </w:t>
      </w:r>
      <w:r w:rsidR="00860EAF" w:rsidRPr="00D95618">
        <w:rPr>
          <w:spacing w:val="-4"/>
        </w:rPr>
        <w:t xml:space="preserve">investment and capital relationships are in steady state, </w:t>
      </w:r>
      <w:r w:rsidR="00B20663" w:rsidRPr="00D95618">
        <w:rPr>
          <w:spacing w:val="-4"/>
        </w:rPr>
        <w:t>and that t</w:t>
      </w:r>
      <w:r w:rsidR="00860EAF" w:rsidRPr="00D95618">
        <w:rPr>
          <w:spacing w:val="-4"/>
        </w:rPr>
        <w:t xml:space="preserve">he </w:t>
      </w:r>
      <w:r w:rsidR="008C0CA5" w:rsidRPr="00D95618">
        <w:rPr>
          <w:spacing w:val="-4"/>
        </w:rPr>
        <w:t xml:space="preserve">ratio of </w:t>
      </w:r>
      <w:r w:rsidR="00955E2F" w:rsidRPr="00D95618">
        <w:rPr>
          <w:spacing w:val="-4"/>
        </w:rPr>
        <w:t xml:space="preserve">real investment (new capital) to </w:t>
      </w:r>
      <w:r w:rsidRPr="00D95618">
        <w:rPr>
          <w:spacing w:val="-4"/>
        </w:rPr>
        <w:t xml:space="preserve">real </w:t>
      </w:r>
      <w:r w:rsidR="008C0CA5" w:rsidRPr="00D95618">
        <w:rPr>
          <w:spacing w:val="-4"/>
        </w:rPr>
        <w:t xml:space="preserve">capital </w:t>
      </w:r>
      <w:r w:rsidR="00955E2F" w:rsidRPr="00D95618">
        <w:rPr>
          <w:spacing w:val="-4"/>
        </w:rPr>
        <w:t xml:space="preserve">(the capital stock) </w:t>
      </w:r>
      <w:r w:rsidR="008C0CA5" w:rsidRPr="00D95618">
        <w:rPr>
          <w:spacing w:val="-4"/>
        </w:rPr>
        <w:t xml:space="preserve">is fixed — that is, </w:t>
      </w:r>
      <w:r w:rsidR="00600142" w:rsidRPr="00D95618">
        <w:rPr>
          <w:spacing w:val="-4"/>
        </w:rPr>
        <w:t xml:space="preserve">a fixed quantity of investment is required to keep the capital </w:t>
      </w:r>
      <w:r w:rsidRPr="00D95618">
        <w:rPr>
          <w:spacing w:val="-4"/>
        </w:rPr>
        <w:t>stock</w:t>
      </w:r>
      <w:r w:rsidR="00600142" w:rsidRPr="00D95618">
        <w:rPr>
          <w:spacing w:val="-4"/>
        </w:rPr>
        <w:t xml:space="preserve"> </w:t>
      </w:r>
      <w:r w:rsidR="00864766" w:rsidRPr="00D95618">
        <w:rPr>
          <w:spacing w:val="-4"/>
        </w:rPr>
        <w:t>constant</w:t>
      </w:r>
      <w:r w:rsidR="00955E2F" w:rsidRPr="00D95618">
        <w:rPr>
          <w:spacing w:val="-4"/>
        </w:rPr>
        <w:t xml:space="preserve"> due to capital depreciation</w:t>
      </w:r>
      <w:r w:rsidR="00600142" w:rsidRPr="00D95618">
        <w:rPr>
          <w:spacing w:val="-4"/>
        </w:rPr>
        <w:t>.</w:t>
      </w:r>
      <w:r w:rsidR="00892EF0" w:rsidRPr="00D95618">
        <w:rPr>
          <w:spacing w:val="-4"/>
        </w:rPr>
        <w:t xml:space="preserve"> </w:t>
      </w:r>
    </w:p>
    <w:p w14:paraId="561CB8C8" w14:textId="4D4CC718" w:rsidR="00864766" w:rsidRPr="00EF3510" w:rsidRDefault="0087436C" w:rsidP="001A6CD3">
      <w:pPr>
        <w:pStyle w:val="BodyText"/>
        <w:rPr>
          <w:spacing w:val="-4"/>
        </w:rPr>
      </w:pPr>
      <w:r w:rsidRPr="00EF3510">
        <w:rPr>
          <w:spacing w:val="-4"/>
        </w:rPr>
        <w:lastRenderedPageBreak/>
        <w:t>Figure</w:t>
      </w:r>
      <w:r w:rsidR="004B308E" w:rsidRPr="00EF3510">
        <w:rPr>
          <w:spacing w:val="-4"/>
        </w:rPr>
        <w:t> </w:t>
      </w:r>
      <w:r w:rsidR="00256229" w:rsidRPr="00EF3510">
        <w:rPr>
          <w:spacing w:val="-4"/>
        </w:rPr>
        <w:t>1.</w:t>
      </w:r>
      <w:r w:rsidRPr="00EF3510">
        <w:rPr>
          <w:spacing w:val="-4"/>
        </w:rPr>
        <w:t>5 illustrates the investment process.</w:t>
      </w:r>
      <w:r w:rsidRPr="00EF3510" w:rsidDel="00B70420">
        <w:rPr>
          <w:spacing w:val="-4"/>
        </w:rPr>
        <w:t xml:space="preserve"> </w:t>
      </w:r>
      <w:r w:rsidRPr="00EF3510">
        <w:rPr>
          <w:spacing w:val="-4"/>
        </w:rPr>
        <w:t xml:space="preserve">The investment sector uses domestic and imported commodities to produce composite inputs, which it then uses in fixed shares </w:t>
      </w:r>
      <w:r w:rsidR="005B2919" w:rsidRPr="00EF3510">
        <w:rPr>
          <w:spacing w:val="-4"/>
        </w:rPr>
        <w:t xml:space="preserve">to </w:t>
      </w:r>
      <w:r w:rsidR="00F90499" w:rsidRPr="00EF3510">
        <w:rPr>
          <w:spacing w:val="-4"/>
        </w:rPr>
        <w:t>invest in</w:t>
      </w:r>
      <w:r w:rsidR="005B2919" w:rsidRPr="00EF3510">
        <w:rPr>
          <w:spacing w:val="-4"/>
        </w:rPr>
        <w:t xml:space="preserve"> </w:t>
      </w:r>
      <w:r w:rsidR="00020D17" w:rsidRPr="00EF3510">
        <w:rPr>
          <w:spacing w:val="-4"/>
        </w:rPr>
        <w:t>capital</w:t>
      </w:r>
      <w:r w:rsidRPr="00EF3510">
        <w:rPr>
          <w:spacing w:val="-4"/>
        </w:rPr>
        <w:t xml:space="preserve"> (via a Leontief function). </w:t>
      </w:r>
    </w:p>
    <w:p w14:paraId="0DF2C82E" w14:textId="6AD25499" w:rsidR="0087436C" w:rsidRPr="009507AF" w:rsidRDefault="006C0F14" w:rsidP="00A77952">
      <w:pPr>
        <w:pStyle w:val="BodyText"/>
      </w:pPr>
      <w:r>
        <w:t>Capital is owned by domestic and foreign investors</w:t>
      </w:r>
      <w:r w:rsidR="00236CF7">
        <w:t>, and savings from individual groups and foreign investors are used to fund investment activity</w:t>
      </w:r>
      <w:r>
        <w:t xml:space="preserve">. </w:t>
      </w:r>
      <w:r w:rsidR="00BC6D60">
        <w:t xml:space="preserve">Real foreign investment and </w:t>
      </w:r>
      <w:r w:rsidR="00B7128B">
        <w:t xml:space="preserve">the capital stock owned by </w:t>
      </w:r>
      <w:r>
        <w:t xml:space="preserve">foreigners </w:t>
      </w:r>
      <w:r w:rsidR="00B7128B">
        <w:t xml:space="preserve">are </w:t>
      </w:r>
      <w:r>
        <w:t>assumed to be fixed</w:t>
      </w:r>
      <w:r w:rsidR="00B7128B">
        <w:t>.</w:t>
      </w:r>
      <w:r w:rsidR="00C7252F">
        <w:t xml:space="preserve"> This means that </w:t>
      </w:r>
      <w:r w:rsidR="00C577FC">
        <w:t xml:space="preserve">only </w:t>
      </w:r>
      <w:r w:rsidR="00C7252F">
        <w:t>s</w:t>
      </w:r>
      <w:r w:rsidR="0087436C" w:rsidRPr="0027493E">
        <w:t>avings by domestic investors adjust to meet the value of investment activity</w:t>
      </w:r>
      <w:r w:rsidR="009A0844">
        <w:t>, and similarly for the capital stock</w:t>
      </w:r>
      <w:r w:rsidR="0087436C" w:rsidRPr="0027493E">
        <w:t xml:space="preserve">. Each individual </w:t>
      </w:r>
      <w:r w:rsidR="00964D7A">
        <w:t>group</w:t>
      </w:r>
      <w:r w:rsidR="0087436C" w:rsidRPr="0027493E">
        <w:t xml:space="preserve">’s </w:t>
      </w:r>
      <w:r w:rsidR="009A0844">
        <w:t>saving rate</w:t>
      </w:r>
      <w:r w:rsidR="009A0844" w:rsidRPr="009A0844">
        <w:t xml:space="preserve"> </w:t>
      </w:r>
      <w:r w:rsidR="00F83C4C">
        <w:t xml:space="preserve">and capital to saving ratio </w:t>
      </w:r>
      <w:r w:rsidR="009A0844">
        <w:t xml:space="preserve">scale according to the </w:t>
      </w:r>
      <w:r w:rsidR="00274C80">
        <w:t xml:space="preserve">total </w:t>
      </w:r>
      <w:r w:rsidR="009A0844">
        <w:t xml:space="preserve">value of </w:t>
      </w:r>
      <w:r w:rsidR="00274C80">
        <w:t xml:space="preserve">domestic </w:t>
      </w:r>
      <w:r w:rsidR="008250B9">
        <w:t>saving</w:t>
      </w:r>
      <w:r w:rsidR="009A0844">
        <w:t xml:space="preserve"> </w:t>
      </w:r>
      <w:r w:rsidR="00F83C4C">
        <w:t xml:space="preserve">and capital </w:t>
      </w:r>
      <w:r w:rsidR="00274C80">
        <w:t xml:space="preserve">required </w:t>
      </w:r>
      <w:r w:rsidR="009A0844">
        <w:t>under the simulation relative to the base scenario</w:t>
      </w:r>
      <w:r w:rsidR="00F83C4C">
        <w:t>.</w:t>
      </w:r>
      <w:r w:rsidR="00683A73">
        <w:t xml:space="preserve"> </w:t>
      </w:r>
    </w:p>
    <w:p w14:paraId="35F64249" w14:textId="7A131352" w:rsidR="0087436C" w:rsidRPr="0013726F" w:rsidRDefault="0087436C" w:rsidP="00857D6B">
      <w:pPr>
        <w:pStyle w:val="FigureTableHeading"/>
      </w:pPr>
      <w:r w:rsidRPr="0013726F">
        <w:t>Figure</w:t>
      </w:r>
      <w:r w:rsidR="004B308E">
        <w:t> </w:t>
      </w:r>
      <w:r w:rsidR="00E126B6">
        <w:t>1</w:t>
      </w:r>
      <w:r w:rsidR="005008FB">
        <w:t>.</w:t>
      </w:r>
      <w:r w:rsidR="00313980">
        <w:t>5</w:t>
      </w:r>
      <w:r w:rsidRPr="0013726F">
        <w:rPr>
          <w:noProof/>
        </w:rPr>
        <w:t xml:space="preserve"> </w:t>
      </w:r>
      <w:r w:rsidRPr="0013726F">
        <w:t xml:space="preserve">– </w:t>
      </w:r>
      <w:r>
        <w:t xml:space="preserve">Investment </w:t>
      </w:r>
      <w:r w:rsidRPr="0013726F">
        <w:t>process</w:t>
      </w:r>
      <w:r w:rsidRPr="0013726F">
        <w:rPr>
          <w:vertAlign w:val="superscript"/>
        </w:rPr>
        <w:t>a</w:t>
      </w:r>
      <w:r w:rsidR="0089177D">
        <w:rPr>
          <w:vertAlign w:val="superscript"/>
        </w:rPr>
        <w:t>,b</w:t>
      </w:r>
    </w:p>
    <w:p w14:paraId="4359BF7D" w14:textId="1DB7FA44" w:rsidR="0087436C" w:rsidRDefault="001D3FC6" w:rsidP="0087436C">
      <w:pPr>
        <w:pStyle w:val="Note"/>
        <w:keepLines/>
      </w:pPr>
      <w:r w:rsidRPr="001D3FC6">
        <w:rPr>
          <w:noProof/>
        </w:rPr>
        <w:drawing>
          <wp:inline distT="0" distB="0" distL="0" distR="0" wp14:anchorId="755F3AEF" wp14:editId="4BE7B5F6">
            <wp:extent cx="6120130" cy="2454275"/>
            <wp:effectExtent l="0" t="0" r="0" b="3175"/>
            <wp:docPr id="25" name="Picture 25" descr="Figure 1.5. This figure shows the investment process in the model. More details can be foun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1.5. This figure shows the investment process in the model. More details can be found in the text surrounding this figu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2454275"/>
                    </a:xfrm>
                    <a:prstGeom prst="rect">
                      <a:avLst/>
                    </a:prstGeom>
                    <a:noFill/>
                    <a:ln>
                      <a:noFill/>
                    </a:ln>
                  </pic:spPr>
                </pic:pic>
              </a:graphicData>
            </a:graphic>
          </wp:inline>
        </w:drawing>
      </w:r>
    </w:p>
    <w:p w14:paraId="6513F77F" w14:textId="7630131C" w:rsidR="0087436C" w:rsidRDefault="0087436C" w:rsidP="00D64C62">
      <w:pPr>
        <w:pStyle w:val="Note"/>
        <w:keepLines/>
      </w:pPr>
      <w:r w:rsidRPr="0013726F">
        <w:rPr>
          <w:b/>
          <w:bCs/>
        </w:rPr>
        <w:t>a.</w:t>
      </w:r>
      <w:r w:rsidRPr="0013726F">
        <w:t xml:space="preserve"> Blue text describes relationships between different diagram</w:t>
      </w:r>
      <w:r w:rsidR="00EE52B6" w:rsidRPr="00EE52B6">
        <w:t xml:space="preserve"> </w:t>
      </w:r>
      <w:r w:rsidR="00EE52B6" w:rsidRPr="0013726F">
        <w:t>components</w:t>
      </w:r>
      <w:r w:rsidRPr="0013726F">
        <w:t xml:space="preserve">. </w:t>
      </w:r>
      <w:r w:rsidR="00A315D9" w:rsidRPr="0013726F">
        <w:t>Grey shading indicates a component</w:t>
      </w:r>
      <w:r w:rsidR="00A315D9">
        <w:t xml:space="preserve"> that is subject to product taxes</w:t>
      </w:r>
      <w:r w:rsidR="00A315D9" w:rsidRPr="0013726F">
        <w:t>.</w:t>
      </w:r>
      <w:r w:rsidR="00A315D9">
        <w:t xml:space="preserve"> </w:t>
      </w:r>
      <w:r w:rsidR="00A315D9">
        <w:rPr>
          <w:b/>
          <w:bCs/>
        </w:rPr>
        <w:t xml:space="preserve">b. </w:t>
      </w:r>
      <w:r w:rsidR="00A315D9">
        <w:t>A CES relationship was used to create composites of domestic and imported commodities, and a Leontief relationship was used where there were no imports of a commodity in the database.</w:t>
      </w:r>
    </w:p>
    <w:p w14:paraId="4A0AC237" w14:textId="77777777" w:rsidR="0087436C" w:rsidRDefault="0087436C" w:rsidP="006207A5">
      <w:pPr>
        <w:pStyle w:val="Heading2"/>
      </w:pPr>
      <w:bookmarkStart w:id="12" w:name="_Toc126176823"/>
      <w:r>
        <w:t>The rest of the world</w:t>
      </w:r>
      <w:bookmarkEnd w:id="12"/>
    </w:p>
    <w:p w14:paraId="19C99438" w14:textId="65B58126" w:rsidR="0087436C" w:rsidRDefault="0087436C" w:rsidP="0087436C">
      <w:pPr>
        <w:pStyle w:val="BodyText"/>
      </w:pPr>
      <w:r>
        <w:t xml:space="preserve">Australia interacts with the rest of the world via trade in </w:t>
      </w:r>
      <w:r w:rsidRPr="005F082E">
        <w:t>commodities, foreign investment and supply of foreign capital. Foreign suppl</w:t>
      </w:r>
      <w:r w:rsidR="00A315D9">
        <w:t>ies</w:t>
      </w:r>
      <w:r w:rsidRPr="005F082E">
        <w:t xml:space="preserve"> of imported commodities </w:t>
      </w:r>
      <w:r w:rsidR="00A315D9">
        <w:t>are</w:t>
      </w:r>
      <w:r w:rsidR="00A315D9" w:rsidRPr="005F082E">
        <w:t xml:space="preserve"> </w:t>
      </w:r>
      <w:r w:rsidRPr="005F082E">
        <w:t>assume</w:t>
      </w:r>
      <w:r>
        <w:t>d to be perfectly elastic at a given international price</w:t>
      </w:r>
      <w:r w:rsidR="00A315D9">
        <w:t>.</w:t>
      </w:r>
      <w:r>
        <w:t xml:space="preserve"> </w:t>
      </w:r>
      <w:r w:rsidR="00A315D9">
        <w:t>T</w:t>
      </w:r>
      <w:r>
        <w:t xml:space="preserve">he exchange rate </w:t>
      </w:r>
      <w:r w:rsidR="00C15CDF">
        <w:t>changes relative to the household consumption price index</w:t>
      </w:r>
      <w:r>
        <w:t>. Total Australian demand for</w:t>
      </w:r>
      <w:r w:rsidR="00C15CDF">
        <w:t xml:space="preserve"> an</w:t>
      </w:r>
      <w:r>
        <w:t xml:space="preserve"> imported commodit</w:t>
      </w:r>
      <w:r w:rsidR="00C15CDF">
        <w:t>y</w:t>
      </w:r>
      <w:r>
        <w:t xml:space="preserve"> is the sum of demands from household, production, government and investment sectors. Foreign demand</w:t>
      </w:r>
      <w:r w:rsidR="006F7CDE">
        <w:t>s</w:t>
      </w:r>
      <w:r>
        <w:t xml:space="preserve"> for Australian commodities </w:t>
      </w:r>
      <w:r w:rsidR="006F7CDE">
        <w:t xml:space="preserve">are </w:t>
      </w:r>
      <w:r>
        <w:t>based on downward sloping demand curve</w:t>
      </w:r>
      <w:r w:rsidR="006F7CDE">
        <w:t>s</w:t>
      </w:r>
      <w:r>
        <w:t>.</w:t>
      </w:r>
      <w:r w:rsidR="002A1519">
        <w:t xml:space="preserve"> Total </w:t>
      </w:r>
      <w:r w:rsidR="00677913">
        <w:t>out</w:t>
      </w:r>
      <w:r w:rsidR="002A1519">
        <w:t xml:space="preserve">flows </w:t>
      </w:r>
      <w:r w:rsidR="00677913">
        <w:t>from Australia to the rest of the world equal total inflows.</w:t>
      </w:r>
    </w:p>
    <w:p w14:paraId="70180524" w14:textId="74E938A5" w:rsidR="00E56DB0" w:rsidRDefault="00E56DB0" w:rsidP="006207A5">
      <w:pPr>
        <w:pStyle w:val="Heading2"/>
      </w:pPr>
      <w:bookmarkStart w:id="13" w:name="_Toc126176824"/>
      <w:r>
        <w:t xml:space="preserve">Model </w:t>
      </w:r>
      <w:r w:rsidR="00EC5DFF">
        <w:t xml:space="preserve">structure </w:t>
      </w:r>
      <w:r>
        <w:t>limitations</w:t>
      </w:r>
      <w:bookmarkEnd w:id="13"/>
    </w:p>
    <w:p w14:paraId="67340329" w14:textId="3B6F710B" w:rsidR="00F87A2F" w:rsidRDefault="00785878" w:rsidP="00F301B7">
      <w:pPr>
        <w:pStyle w:val="BodyText"/>
      </w:pPr>
      <w:r w:rsidRPr="00122B19">
        <w:t>The</w:t>
      </w:r>
      <w:r w:rsidR="00F87A2F" w:rsidRPr="00122B19">
        <w:t xml:space="preserve"> </w:t>
      </w:r>
      <w:r w:rsidR="006934F4" w:rsidRPr="00122B19">
        <w:t xml:space="preserve">model structure means that it is not able to </w:t>
      </w:r>
      <w:r w:rsidR="00591D39">
        <w:t>produce</w:t>
      </w:r>
      <w:r w:rsidR="00591D39" w:rsidRPr="00122B19">
        <w:t xml:space="preserve"> </w:t>
      </w:r>
      <w:r w:rsidR="003915C8" w:rsidRPr="00122B19">
        <w:t xml:space="preserve">detailed results of some </w:t>
      </w:r>
      <w:r w:rsidR="003D51B0">
        <w:t>aspects</w:t>
      </w:r>
      <w:r w:rsidR="003D51B0" w:rsidRPr="00122B19">
        <w:t xml:space="preserve"> </w:t>
      </w:r>
      <w:r w:rsidR="003915C8" w:rsidRPr="00122B19">
        <w:t xml:space="preserve">of the economy. For example, </w:t>
      </w:r>
      <w:r w:rsidR="00DB51FB" w:rsidRPr="00122B19">
        <w:t>it is not able to comment on effects across</w:t>
      </w:r>
      <w:r w:rsidR="003D51B0">
        <w:t xml:space="preserve"> more</w:t>
      </w:r>
      <w:r w:rsidR="00DB51FB" w:rsidRPr="00122B19">
        <w:t xml:space="preserve"> </w:t>
      </w:r>
      <w:r w:rsidR="006A4F0C">
        <w:t xml:space="preserve">granular </w:t>
      </w:r>
      <w:r w:rsidR="00524847" w:rsidRPr="00122B19">
        <w:t>industr</w:t>
      </w:r>
      <w:r w:rsidR="003D51B0">
        <w:t>y groupings</w:t>
      </w:r>
      <w:r w:rsidR="002E4893">
        <w:t xml:space="preserve"> (than the 17 that have been explicitly defined in the model)</w:t>
      </w:r>
      <w:r w:rsidR="00524847" w:rsidRPr="00122B19">
        <w:t xml:space="preserve">, </w:t>
      </w:r>
      <w:r w:rsidR="00DB51FB" w:rsidRPr="00122B19">
        <w:t xml:space="preserve">different states or regions of Australia, different types of capital, occupations, </w:t>
      </w:r>
      <w:r w:rsidR="00524847" w:rsidRPr="00122B19">
        <w:t xml:space="preserve">or </w:t>
      </w:r>
      <w:r w:rsidR="0001643A">
        <w:t xml:space="preserve">dynamic </w:t>
      </w:r>
      <w:r w:rsidR="00524847" w:rsidRPr="00122B19">
        <w:t>effects over time</w:t>
      </w:r>
      <w:r w:rsidR="00DB51FB" w:rsidRPr="00122B19">
        <w:t xml:space="preserve">. </w:t>
      </w:r>
      <w:r w:rsidR="00F52CA6">
        <w:t xml:space="preserve">The </w:t>
      </w:r>
      <w:r w:rsidR="009E077C">
        <w:t xml:space="preserve">measure of hours worked also does not differentiate between changes due to </w:t>
      </w:r>
      <w:r w:rsidR="0016794D">
        <w:t xml:space="preserve">more people gaining employment or existing workers working more hours. </w:t>
      </w:r>
    </w:p>
    <w:p w14:paraId="30561A3B" w14:textId="241D0D63" w:rsidR="00543D1A" w:rsidRDefault="00A1359E" w:rsidP="00F301B7">
      <w:pPr>
        <w:pStyle w:val="BodyText"/>
      </w:pPr>
      <w:r>
        <w:t>Other simplifying assumptions may also have an effect on model results. For example, t</w:t>
      </w:r>
      <w:r w:rsidR="00F23C46">
        <w:t xml:space="preserve">he main </w:t>
      </w:r>
      <w:r w:rsidR="00543D1A">
        <w:t xml:space="preserve">model </w:t>
      </w:r>
      <w:r w:rsidR="00F23C46">
        <w:t>assumptions d</w:t>
      </w:r>
      <w:r w:rsidR="0058137E">
        <w:t xml:space="preserve">o </w:t>
      </w:r>
      <w:r w:rsidR="00543D1A">
        <w:t>not contain ‘fixed factors’</w:t>
      </w:r>
      <w:r w:rsidR="007A199D">
        <w:t>;</w:t>
      </w:r>
      <w:r w:rsidR="00543D1A">
        <w:t xml:space="preserve"> that is, factors that are assumed to be in fixed supply (</w:t>
      </w:r>
      <w:r w:rsidR="00282CB2">
        <w:t xml:space="preserve">such as </w:t>
      </w:r>
      <w:r w:rsidR="00543D1A">
        <w:lastRenderedPageBreak/>
        <w:t>land</w:t>
      </w:r>
      <w:r w:rsidR="00A30055">
        <w:t xml:space="preserve">, which </w:t>
      </w:r>
      <w:r w:rsidR="0046225B">
        <w:t>is especially important for agriculture</w:t>
      </w:r>
      <w:r w:rsidR="00ED4570">
        <w:t xml:space="preserve"> and mining</w:t>
      </w:r>
      <w:r w:rsidR="00543D1A">
        <w:t>). Inclusion of a fixed factor would involve assuming some portion of payments</w:t>
      </w:r>
      <w:r w:rsidR="00806F08">
        <w:t xml:space="preserve"> currently allocated</w:t>
      </w:r>
      <w:r w:rsidR="00543D1A">
        <w:t xml:space="preserve"> to capital or labour are instead allocated to </w:t>
      </w:r>
      <w:r w:rsidR="00806F08">
        <w:t xml:space="preserve">the </w:t>
      </w:r>
      <w:r w:rsidR="00543D1A">
        <w:t>fixed factor</w:t>
      </w:r>
      <w:r w:rsidR="00806F08">
        <w:t>.</w:t>
      </w:r>
      <w:r w:rsidR="00C2215D">
        <w:t xml:space="preserve"> </w:t>
      </w:r>
      <w:r w:rsidR="0022448E">
        <w:t>Allocating some share of capital</w:t>
      </w:r>
      <w:r w:rsidR="00BE5FC6">
        <w:t xml:space="preserve"> to </w:t>
      </w:r>
      <w:r w:rsidR="0022448E">
        <w:t xml:space="preserve">land as a fixed factor </w:t>
      </w:r>
      <w:r w:rsidR="00C2215D">
        <w:t>would mean that</w:t>
      </w:r>
      <w:r w:rsidR="00543D1A">
        <w:t xml:space="preserve"> </w:t>
      </w:r>
      <w:r w:rsidR="00C2215D">
        <w:t xml:space="preserve">the </w:t>
      </w:r>
      <w:r w:rsidR="00543D1A">
        <w:t xml:space="preserve">production </w:t>
      </w:r>
      <w:r w:rsidR="00C2215D">
        <w:t xml:space="preserve">sector has </w:t>
      </w:r>
      <w:r w:rsidR="00543D1A">
        <w:t>more limited scope to expand</w:t>
      </w:r>
      <w:r w:rsidR="00C2215D">
        <w:t xml:space="preserve">, and some aggregate effects </w:t>
      </w:r>
      <w:r w:rsidR="00B656F1">
        <w:t xml:space="preserve">in the economy </w:t>
      </w:r>
      <w:r w:rsidR="00C2215D">
        <w:t>may be smaller than seen under the current model</w:t>
      </w:r>
      <w:r w:rsidR="0022448E">
        <w:t>, because land cannot grow via investment</w:t>
      </w:r>
      <w:r w:rsidR="00543D1A">
        <w:t xml:space="preserve">. Some of the effects </w:t>
      </w:r>
      <w:r w:rsidR="00B656F1">
        <w:t xml:space="preserve">of constraining factors of production </w:t>
      </w:r>
      <w:r w:rsidR="00543D1A">
        <w:t>are examined as part of sensitivity testing (</w:t>
      </w:r>
      <w:r w:rsidR="00171628">
        <w:t>chapter</w:t>
      </w:r>
      <w:r w:rsidR="00543D1A">
        <w:t> 4)</w:t>
      </w:r>
      <w:r w:rsidR="00E064BC">
        <w:t>.</w:t>
      </w:r>
    </w:p>
    <w:p w14:paraId="07E5B4AC" w14:textId="7F67D01C" w:rsidR="00C236F5" w:rsidRDefault="003112EE" w:rsidP="00F301B7">
      <w:pPr>
        <w:pStyle w:val="BodyText"/>
      </w:pPr>
      <w:r>
        <w:t>In addition</w:t>
      </w:r>
      <w:r w:rsidR="00A1359E">
        <w:t>,</w:t>
      </w:r>
      <w:r>
        <w:t xml:space="preserve"> i</w:t>
      </w:r>
      <w:r w:rsidR="00BE5FC6">
        <w:t xml:space="preserve">t </w:t>
      </w:r>
      <w:r>
        <w:t xml:space="preserve">is </w:t>
      </w:r>
      <w:r w:rsidR="00BE5FC6">
        <w:t xml:space="preserve">assumed that </w:t>
      </w:r>
      <w:r w:rsidR="00E864FE">
        <w:t xml:space="preserve">the </w:t>
      </w:r>
      <w:r w:rsidR="00915385">
        <w:t xml:space="preserve">rate of </w:t>
      </w:r>
      <w:r w:rsidR="00E864FE">
        <w:t xml:space="preserve">return to capital, </w:t>
      </w:r>
      <w:r w:rsidR="00BE5FC6">
        <w:t xml:space="preserve">foreign capital and </w:t>
      </w:r>
      <w:r w:rsidR="00EC1C1E">
        <w:t xml:space="preserve">real </w:t>
      </w:r>
      <w:r w:rsidR="00BE5FC6">
        <w:t xml:space="preserve">foreign investment are fixed in the model. It is possible that some </w:t>
      </w:r>
      <w:r w:rsidR="00430350">
        <w:t xml:space="preserve">policy reforms that improve productivity </w:t>
      </w:r>
      <w:r w:rsidR="002957BE">
        <w:t xml:space="preserve">could </w:t>
      </w:r>
      <w:r w:rsidR="00D1700D">
        <w:t>increase</w:t>
      </w:r>
      <w:r w:rsidR="00B54926">
        <w:t xml:space="preserve"> </w:t>
      </w:r>
      <w:r w:rsidR="00D1700D">
        <w:t>rate</w:t>
      </w:r>
      <w:r w:rsidR="00B54926">
        <w:t>s</w:t>
      </w:r>
      <w:r w:rsidR="00D1700D">
        <w:t xml:space="preserve"> of return </w:t>
      </w:r>
      <w:r w:rsidR="00B54926">
        <w:t xml:space="preserve">and </w:t>
      </w:r>
      <w:r w:rsidR="00A20E5F">
        <w:t xml:space="preserve">induce </w:t>
      </w:r>
      <w:r w:rsidR="00430350">
        <w:t>greater foreign investment</w:t>
      </w:r>
      <w:r w:rsidR="00A20E5F">
        <w:t>. These dynamics are not examined in this model.</w:t>
      </w:r>
    </w:p>
    <w:p w14:paraId="16C47736" w14:textId="6FBA700C" w:rsidR="00FB1536" w:rsidRDefault="00EA22DE" w:rsidP="00AC6807">
      <w:pPr>
        <w:pStyle w:val="BodyText"/>
      </w:pPr>
      <w:r>
        <w:t xml:space="preserve">Capital and investment </w:t>
      </w:r>
      <w:r w:rsidR="00FB1536">
        <w:t xml:space="preserve">are </w:t>
      </w:r>
      <w:r w:rsidR="00A20E5F">
        <w:t xml:space="preserve">also </w:t>
      </w:r>
      <w:r>
        <w:t>assumed to be in steady stat</w:t>
      </w:r>
      <w:r w:rsidR="00A20E5F">
        <w:t>e</w:t>
      </w:r>
      <w:r w:rsidR="006E25AC">
        <w:t xml:space="preserve">, </w:t>
      </w:r>
      <w:r w:rsidR="0011253D">
        <w:t xml:space="preserve">with investment being </w:t>
      </w:r>
      <w:r w:rsidR="006B23AB">
        <w:t xml:space="preserve">equal to depreciation. </w:t>
      </w:r>
      <w:r w:rsidR="007C06AE">
        <w:t>However, d</w:t>
      </w:r>
      <w:r w:rsidR="006B23AB">
        <w:t xml:space="preserve">ata on capital and investment </w:t>
      </w:r>
      <w:r w:rsidR="00885DED">
        <w:t xml:space="preserve">for a particular year might not reflect a steady state economy </w:t>
      </w:r>
      <w:r w:rsidR="0031039B">
        <w:t>—</w:t>
      </w:r>
      <w:r w:rsidR="007C06AE">
        <w:t xml:space="preserve"> </w:t>
      </w:r>
      <w:r w:rsidR="00DC663D">
        <w:t xml:space="preserve">due to mismatches between the timing of investment decisions and depreciation, or </w:t>
      </w:r>
      <w:r w:rsidR="005D0A0C">
        <w:t xml:space="preserve">because </w:t>
      </w:r>
      <w:r w:rsidR="00165963">
        <w:t xml:space="preserve">investment and </w:t>
      </w:r>
      <w:r w:rsidR="005D0A0C">
        <w:t xml:space="preserve">the capital stock </w:t>
      </w:r>
      <w:r w:rsidR="00F550B6">
        <w:t xml:space="preserve">are </w:t>
      </w:r>
      <w:r w:rsidR="005D0A0C">
        <w:t>growing</w:t>
      </w:r>
      <w:r w:rsidR="003B5706">
        <w:t xml:space="preserve"> over time</w:t>
      </w:r>
      <w:r w:rsidR="005D0A0C">
        <w:t>.</w:t>
      </w:r>
      <w:r w:rsidR="003B5706">
        <w:t xml:space="preserve"> The model and use of data </w:t>
      </w:r>
      <w:r w:rsidR="00240225">
        <w:t xml:space="preserve">for calibrating parameters </w:t>
      </w:r>
      <w:r w:rsidR="003B5706">
        <w:t>(</w:t>
      </w:r>
      <w:r w:rsidR="00171628">
        <w:t>chapter</w:t>
      </w:r>
      <w:r w:rsidR="004B308E">
        <w:t> </w:t>
      </w:r>
      <w:r w:rsidR="003B5706">
        <w:t xml:space="preserve">2) does not account for </w:t>
      </w:r>
      <w:r w:rsidR="0031039B">
        <w:t>this</w:t>
      </w:r>
      <w:r w:rsidR="00B534B4">
        <w:t xml:space="preserve"> possibilit</w:t>
      </w:r>
      <w:r w:rsidR="0031039B">
        <w:t>y.</w:t>
      </w:r>
      <w:r w:rsidR="00AD3E75">
        <w:t xml:space="preserve"> Therefore the size of the investment sector (and use of inputs used to create investment) may </w:t>
      </w:r>
      <w:r w:rsidR="00F550B6">
        <w:t xml:space="preserve">differ from an </w:t>
      </w:r>
      <w:r w:rsidR="00DA2AA3">
        <w:t>actual steady state economy.</w:t>
      </w:r>
    </w:p>
    <w:p w14:paraId="2FE33370" w14:textId="3C654B51" w:rsidR="00EA22DE" w:rsidRDefault="00A51670" w:rsidP="002613F9">
      <w:pPr>
        <w:pStyle w:val="BodyText"/>
        <w:tabs>
          <w:tab w:val="left" w:pos="3969"/>
        </w:tabs>
      </w:pPr>
      <w:r>
        <w:t>Furthermore, a</w:t>
      </w:r>
      <w:r w:rsidR="00AC6807">
        <w:t>n attribute of the CES function</w:t>
      </w:r>
      <w:r w:rsidR="00F60C28">
        <w:t>,</w:t>
      </w:r>
      <w:r w:rsidR="00AC6807">
        <w:t xml:space="preserve"> </w:t>
      </w:r>
      <w:r w:rsidR="00F60C28">
        <w:t xml:space="preserve">which is </w:t>
      </w:r>
      <w:r w:rsidR="00D54884">
        <w:t>used in individual group decisions to consume commodities</w:t>
      </w:r>
      <w:r w:rsidR="00F60C28">
        <w:t>,</w:t>
      </w:r>
      <w:r w:rsidR="00D54884">
        <w:t xml:space="preserve"> </w:t>
      </w:r>
      <w:r w:rsidR="00AC6807">
        <w:t xml:space="preserve">is that expenditure elasticities are unitary — a </w:t>
      </w:r>
      <w:r w:rsidR="002613F9">
        <w:t>1%</w:t>
      </w:r>
      <w:r w:rsidR="00AC6807">
        <w:t xml:space="preserve"> increase in income or expenditure is associated with a </w:t>
      </w:r>
      <w:r w:rsidR="002613F9">
        <w:t>1%</w:t>
      </w:r>
      <w:r w:rsidR="00AC6807">
        <w:t xml:space="preserve"> increase in demand</w:t>
      </w:r>
      <w:r w:rsidR="0066663F">
        <w:t xml:space="preserve"> for </w:t>
      </w:r>
      <w:r w:rsidR="002C4C79">
        <w:t>commodities</w:t>
      </w:r>
      <w:r w:rsidR="00AC6807">
        <w:t>.</w:t>
      </w:r>
      <w:r w:rsidR="00A17BC2">
        <w:t xml:space="preserve"> Past research suggests that </w:t>
      </w:r>
      <w:r w:rsidR="000E3CC9">
        <w:t xml:space="preserve">this </w:t>
      </w:r>
      <w:r w:rsidR="00A17BC2">
        <w:t>is unlikely to be the case</w:t>
      </w:r>
      <w:r w:rsidR="000E3CC9">
        <w:t>;</w:t>
      </w:r>
      <w:r w:rsidR="00A17BC2">
        <w:t xml:space="preserve"> for example, people </w:t>
      </w:r>
      <w:r w:rsidR="007C6EA7">
        <w:t>may</w:t>
      </w:r>
      <w:r w:rsidR="00A17BC2">
        <w:t xml:space="preserve"> </w:t>
      </w:r>
      <w:r w:rsidR="00F14BF9">
        <w:t xml:space="preserve">dedicate some amount of </w:t>
      </w:r>
      <w:r w:rsidR="002C4C79">
        <w:t>expenditure</w:t>
      </w:r>
      <w:r w:rsidR="00F14BF9">
        <w:t xml:space="preserve"> to</w:t>
      </w:r>
      <w:r w:rsidR="00DB2377">
        <w:t xml:space="preserve"> a bundle of</w:t>
      </w:r>
      <w:r w:rsidR="00F14BF9">
        <w:t xml:space="preserve"> necessities first, </w:t>
      </w:r>
      <w:r w:rsidR="00B17E82">
        <w:t xml:space="preserve">irrespective of income, </w:t>
      </w:r>
      <w:r w:rsidR="00F14BF9">
        <w:t>before choosing to spend their remaining income on other goods and services</w:t>
      </w:r>
      <w:r w:rsidR="00D57B99">
        <w:t xml:space="preserve"> </w:t>
      </w:r>
      <w:r w:rsidR="007C6EA7" w:rsidRPr="008F3CF4">
        <w:rPr>
          <w:rFonts w:ascii="Arial" w:hAnsi="Arial" w:cs="Arial"/>
          <w:szCs w:val="24"/>
        </w:rPr>
        <w:t>(Gharibnavaz and Verikios 2018)</w:t>
      </w:r>
      <w:r w:rsidR="00D57B99" w:rsidRPr="008F3CF4">
        <w:t>.</w:t>
      </w:r>
      <w:r w:rsidR="00D57B99">
        <w:t xml:space="preserve"> </w:t>
      </w:r>
      <w:r w:rsidR="006D3BB5">
        <w:t>The CES functional form mean</w:t>
      </w:r>
      <w:r w:rsidR="00C27424">
        <w:t>s</w:t>
      </w:r>
      <w:r w:rsidR="006D3BB5">
        <w:t xml:space="preserve"> that</w:t>
      </w:r>
      <w:r w:rsidR="003C0452">
        <w:t>,</w:t>
      </w:r>
      <w:r w:rsidR="006D3BB5">
        <w:t xml:space="preserve"> </w:t>
      </w:r>
      <w:r w:rsidR="003C0452">
        <w:t xml:space="preserve">for </w:t>
      </w:r>
      <w:r w:rsidR="00C27424">
        <w:t xml:space="preserve">industries that supply </w:t>
      </w:r>
      <w:r w:rsidR="002201A5">
        <w:t xml:space="preserve">commodities for which </w:t>
      </w:r>
      <w:r w:rsidR="002201A5" w:rsidRPr="002201A5">
        <w:t xml:space="preserve">demand </w:t>
      </w:r>
      <w:r w:rsidR="002201A5">
        <w:t xml:space="preserve">usually </w:t>
      </w:r>
      <w:r w:rsidR="002201A5" w:rsidRPr="002201A5">
        <w:t>rises with increasing income levels</w:t>
      </w:r>
      <w:r w:rsidR="003C0452">
        <w:t>, simulated growth</w:t>
      </w:r>
      <w:r w:rsidR="002201A5">
        <w:t xml:space="preserve"> </w:t>
      </w:r>
      <w:r w:rsidR="003C0452">
        <w:t>may</w:t>
      </w:r>
      <w:r w:rsidR="00156A0A">
        <w:t xml:space="preserve"> be lower</w:t>
      </w:r>
      <w:r w:rsidR="00C27424">
        <w:t xml:space="preserve"> than it </w:t>
      </w:r>
      <w:r w:rsidR="00156A0A">
        <w:t>otherwise would be.</w:t>
      </w:r>
    </w:p>
    <w:p w14:paraId="3D4F247E" w14:textId="0F5B17F5" w:rsidR="00162C8D" w:rsidRPr="00122B19" w:rsidRDefault="00DA2AA3" w:rsidP="00F301B7">
      <w:pPr>
        <w:pStyle w:val="BodyText"/>
      </w:pPr>
      <w:r>
        <w:t xml:space="preserve">Given </w:t>
      </w:r>
      <w:r w:rsidR="002334FD">
        <w:t xml:space="preserve">model structure </w:t>
      </w:r>
      <w:r w:rsidR="00162C8D">
        <w:t>limitations</w:t>
      </w:r>
      <w:r w:rsidR="00162C8D" w:rsidRPr="00122B19">
        <w:t xml:space="preserve">, </w:t>
      </w:r>
      <w:r w:rsidR="00E715E3">
        <w:t xml:space="preserve">along with </w:t>
      </w:r>
      <w:r w:rsidR="002334FD">
        <w:t xml:space="preserve">the stylised way in which simulated shocks have been implemented </w:t>
      </w:r>
      <w:r w:rsidR="00E715E3">
        <w:t>(</w:t>
      </w:r>
      <w:r w:rsidR="00171628">
        <w:t>chapter</w:t>
      </w:r>
      <w:r w:rsidR="004B308E">
        <w:t> </w:t>
      </w:r>
      <w:r w:rsidR="00E715E3">
        <w:t>3)</w:t>
      </w:r>
      <w:r w:rsidR="00843A32">
        <w:t>,</w:t>
      </w:r>
      <w:r w:rsidR="00E715E3">
        <w:t xml:space="preserve"> </w:t>
      </w:r>
      <w:r w:rsidR="00C17310">
        <w:t xml:space="preserve">the simulation results should not be </w:t>
      </w:r>
      <w:r w:rsidR="003555D5">
        <w:t xml:space="preserve">interpreted as </w:t>
      </w:r>
      <w:r w:rsidR="001850E2">
        <w:t xml:space="preserve">being </w:t>
      </w:r>
      <w:r w:rsidR="003555D5">
        <w:t>the absolute effects of reform</w:t>
      </w:r>
      <w:r w:rsidR="00C17310">
        <w:t xml:space="preserve">. Nevertheless, </w:t>
      </w:r>
      <w:r w:rsidR="00162C8D" w:rsidRPr="00122B19">
        <w:t xml:space="preserve">the model </w:t>
      </w:r>
      <w:r w:rsidR="00162C8D">
        <w:t xml:space="preserve">structure </w:t>
      </w:r>
      <w:r w:rsidR="00C17310">
        <w:t xml:space="preserve">provides </w:t>
      </w:r>
      <w:r w:rsidR="00162C8D" w:rsidRPr="00122B19">
        <w:t>a tractable means of illustrating some whole</w:t>
      </w:r>
      <w:r w:rsidR="004B308E">
        <w:noBreakHyphen/>
      </w:r>
      <w:r w:rsidR="00162C8D" w:rsidRPr="00122B19">
        <w:t>of</w:t>
      </w:r>
      <w:r w:rsidR="004B308E">
        <w:noBreakHyphen/>
      </w:r>
      <w:r w:rsidR="00162C8D" w:rsidRPr="00122B19">
        <w:t xml:space="preserve">economy effects of </w:t>
      </w:r>
      <w:r w:rsidR="00906284">
        <w:t>the</w:t>
      </w:r>
      <w:r w:rsidR="00906284" w:rsidRPr="00122B19">
        <w:t xml:space="preserve"> </w:t>
      </w:r>
      <w:r w:rsidR="00162C8D" w:rsidRPr="00122B19">
        <w:t>stylised scenarios.</w:t>
      </w:r>
      <w:r w:rsidR="006974CE">
        <w:t xml:space="preserve"> </w:t>
      </w:r>
    </w:p>
    <w:p w14:paraId="197C7DA4" w14:textId="77777777" w:rsidR="006207A5" w:rsidRDefault="006207A5" w:rsidP="00662189">
      <w:pPr>
        <w:pStyle w:val="Heading2-Appendix"/>
        <w:numPr>
          <w:ilvl w:val="0"/>
          <w:numId w:val="0"/>
        </w:numPr>
        <w:ind w:left="851" w:hanging="851"/>
        <w:sectPr w:rsidR="006207A5" w:rsidSect="00DE5860">
          <w:headerReference w:type="default" r:id="rId35"/>
          <w:type w:val="oddPage"/>
          <w:pgSz w:w="11906" w:h="16838" w:code="9"/>
          <w:pgMar w:top="1134" w:right="1134" w:bottom="1134" w:left="1134" w:header="794" w:footer="510" w:gutter="0"/>
          <w:pgNumType w:start="1"/>
          <w:cols w:space="708"/>
          <w:docGrid w:linePitch="360"/>
        </w:sectPr>
      </w:pPr>
    </w:p>
    <w:p w14:paraId="337B1827" w14:textId="023A442A" w:rsidR="00C4682B" w:rsidRDefault="00EB41FE" w:rsidP="00361EDC">
      <w:pPr>
        <w:pStyle w:val="Heading1"/>
      </w:pPr>
      <w:r>
        <w:lastRenderedPageBreak/>
        <w:tab/>
      </w:r>
      <w:bookmarkStart w:id="14" w:name="_Toc126176825"/>
      <w:r w:rsidR="0083691C">
        <w:t xml:space="preserve">Data sources and </w:t>
      </w:r>
      <w:r w:rsidR="00CE055A">
        <w:t>parameters</w:t>
      </w:r>
      <w:bookmarkEnd w:id="14"/>
    </w:p>
    <w:p w14:paraId="0824E4E1" w14:textId="3E30F039" w:rsidR="00000922" w:rsidRPr="00D95618" w:rsidRDefault="00E165A0" w:rsidP="00000922">
      <w:pPr>
        <w:rPr>
          <w:spacing w:val="-2"/>
        </w:rPr>
      </w:pPr>
      <w:r w:rsidRPr="00D95618">
        <w:rPr>
          <w:spacing w:val="-2"/>
        </w:rPr>
        <w:t xml:space="preserve">The </w:t>
      </w:r>
      <w:r w:rsidR="006F56C4" w:rsidRPr="00D95618">
        <w:rPr>
          <w:spacing w:val="-2"/>
        </w:rPr>
        <w:t>initial values of the</w:t>
      </w:r>
      <w:r w:rsidRPr="00D95618">
        <w:rPr>
          <w:spacing w:val="-2"/>
        </w:rPr>
        <w:t xml:space="preserve"> </w:t>
      </w:r>
      <w:r w:rsidR="00742DAE" w:rsidRPr="00D95618">
        <w:rPr>
          <w:spacing w:val="-2"/>
        </w:rPr>
        <w:t xml:space="preserve">model’s </w:t>
      </w:r>
      <w:r w:rsidR="000E52FE" w:rsidRPr="00D95618">
        <w:rPr>
          <w:spacing w:val="-2"/>
        </w:rPr>
        <w:t>variables (</w:t>
      </w:r>
      <w:r w:rsidR="003B4D58" w:rsidRPr="00D95618">
        <w:rPr>
          <w:spacing w:val="-2"/>
        </w:rPr>
        <w:t xml:space="preserve">of </w:t>
      </w:r>
      <w:r w:rsidR="000E52FE" w:rsidRPr="00D95618">
        <w:rPr>
          <w:spacing w:val="-2"/>
        </w:rPr>
        <w:t>prices and quantities</w:t>
      </w:r>
      <w:r w:rsidR="003B4D58" w:rsidRPr="00D95618">
        <w:rPr>
          <w:spacing w:val="-2"/>
        </w:rPr>
        <w:t xml:space="preserve"> for example</w:t>
      </w:r>
      <w:r w:rsidR="000E52FE" w:rsidRPr="00D95618">
        <w:rPr>
          <w:spacing w:val="-2"/>
        </w:rPr>
        <w:t xml:space="preserve">) and </w:t>
      </w:r>
      <w:r w:rsidR="00EB602D" w:rsidRPr="00D95618">
        <w:rPr>
          <w:spacing w:val="-2"/>
        </w:rPr>
        <w:t xml:space="preserve">the </w:t>
      </w:r>
      <w:r w:rsidRPr="00D95618">
        <w:rPr>
          <w:spacing w:val="-2"/>
        </w:rPr>
        <w:t xml:space="preserve">estimation of </w:t>
      </w:r>
      <w:r w:rsidR="003F4D68" w:rsidRPr="00D95618">
        <w:rPr>
          <w:spacing w:val="-2"/>
        </w:rPr>
        <w:t>parameters</w:t>
      </w:r>
      <w:r w:rsidRPr="00D95618">
        <w:rPr>
          <w:spacing w:val="-2"/>
        </w:rPr>
        <w:t xml:space="preserve"> </w:t>
      </w:r>
      <w:r w:rsidR="00DC7752" w:rsidRPr="00D95618">
        <w:rPr>
          <w:spacing w:val="-2"/>
        </w:rPr>
        <w:t xml:space="preserve">(such as </w:t>
      </w:r>
      <w:r w:rsidR="00176705" w:rsidRPr="00D95618">
        <w:rPr>
          <w:spacing w:val="-2"/>
        </w:rPr>
        <w:t xml:space="preserve">share parameters in </w:t>
      </w:r>
      <w:r w:rsidR="005C5384" w:rsidRPr="00D95618">
        <w:rPr>
          <w:spacing w:val="-2"/>
        </w:rPr>
        <w:t>Cobb</w:t>
      </w:r>
      <w:r w:rsidR="004B308E" w:rsidRPr="00D95618">
        <w:rPr>
          <w:spacing w:val="-2"/>
        </w:rPr>
        <w:noBreakHyphen/>
      </w:r>
      <w:r w:rsidR="005C5384" w:rsidRPr="00D95618">
        <w:rPr>
          <w:spacing w:val="-2"/>
        </w:rPr>
        <w:t>Douglas</w:t>
      </w:r>
      <w:r w:rsidR="004332CB" w:rsidRPr="00D95618">
        <w:rPr>
          <w:spacing w:val="-2"/>
        </w:rPr>
        <w:t xml:space="preserve"> functions</w:t>
      </w:r>
      <w:r w:rsidR="00DC7752" w:rsidRPr="00D95618">
        <w:rPr>
          <w:spacing w:val="-2"/>
        </w:rPr>
        <w:t xml:space="preserve">) </w:t>
      </w:r>
      <w:r w:rsidRPr="00D95618">
        <w:rPr>
          <w:spacing w:val="-2"/>
        </w:rPr>
        <w:t xml:space="preserve">require </w:t>
      </w:r>
      <w:r w:rsidR="00D40DE6" w:rsidRPr="00D95618">
        <w:rPr>
          <w:spacing w:val="-2"/>
        </w:rPr>
        <w:t xml:space="preserve">a </w:t>
      </w:r>
      <w:r w:rsidR="009646DC" w:rsidRPr="00D95618">
        <w:rPr>
          <w:spacing w:val="-2"/>
        </w:rPr>
        <w:t>data</w:t>
      </w:r>
      <w:r w:rsidR="00D40DE6" w:rsidRPr="00D95618">
        <w:rPr>
          <w:spacing w:val="-2"/>
        </w:rPr>
        <w:t>base</w:t>
      </w:r>
      <w:r w:rsidR="009646DC" w:rsidRPr="00D95618">
        <w:rPr>
          <w:spacing w:val="-2"/>
        </w:rPr>
        <w:t xml:space="preserve"> that reflects the </w:t>
      </w:r>
      <w:r w:rsidR="00D40DE6" w:rsidRPr="00D95618">
        <w:rPr>
          <w:spacing w:val="-2"/>
        </w:rPr>
        <w:t xml:space="preserve">Australian </w:t>
      </w:r>
      <w:r w:rsidR="009646DC" w:rsidRPr="00D95618">
        <w:rPr>
          <w:spacing w:val="-2"/>
        </w:rPr>
        <w:t xml:space="preserve">economy. </w:t>
      </w:r>
      <w:r w:rsidR="00A02B8E" w:rsidRPr="00D95618">
        <w:rPr>
          <w:spacing w:val="-2"/>
        </w:rPr>
        <w:t>The values</w:t>
      </w:r>
      <w:r w:rsidR="00577493" w:rsidRPr="00D95618">
        <w:rPr>
          <w:spacing w:val="-2"/>
        </w:rPr>
        <w:t>, prices and quantities</w:t>
      </w:r>
      <w:r w:rsidR="00A02B8E" w:rsidRPr="00D95618">
        <w:rPr>
          <w:spacing w:val="-2"/>
        </w:rPr>
        <w:t xml:space="preserve"> in the database </w:t>
      </w:r>
      <w:r w:rsidR="00262A40" w:rsidRPr="00D95618">
        <w:rPr>
          <w:spacing w:val="-2"/>
        </w:rPr>
        <w:t xml:space="preserve">are then used to </w:t>
      </w:r>
      <w:r w:rsidR="000E52FE" w:rsidRPr="00D95618">
        <w:rPr>
          <w:spacing w:val="-2"/>
        </w:rPr>
        <w:t xml:space="preserve">solve for unknown </w:t>
      </w:r>
      <w:r w:rsidR="004332CB" w:rsidRPr="00D95618">
        <w:rPr>
          <w:spacing w:val="-2"/>
        </w:rPr>
        <w:t xml:space="preserve">model </w:t>
      </w:r>
      <w:r w:rsidR="003F4D68" w:rsidRPr="00D95618">
        <w:rPr>
          <w:spacing w:val="-2"/>
        </w:rPr>
        <w:t>parameters</w:t>
      </w:r>
      <w:r w:rsidR="004332CB" w:rsidRPr="00D95618">
        <w:rPr>
          <w:spacing w:val="-2"/>
        </w:rPr>
        <w:t xml:space="preserve"> </w:t>
      </w:r>
      <w:r w:rsidR="008C5B97" w:rsidRPr="00D95618">
        <w:rPr>
          <w:spacing w:val="-2"/>
        </w:rPr>
        <w:t xml:space="preserve">through </w:t>
      </w:r>
      <w:r w:rsidR="004332CB" w:rsidRPr="00D95618">
        <w:rPr>
          <w:spacing w:val="-2"/>
        </w:rPr>
        <w:t>a process known as ‘calibration’</w:t>
      </w:r>
      <w:r w:rsidR="000E52FE" w:rsidRPr="00D95618">
        <w:rPr>
          <w:spacing w:val="-2"/>
        </w:rPr>
        <w:t>.</w:t>
      </w:r>
      <w:r w:rsidR="00937D22" w:rsidRPr="00D95618">
        <w:rPr>
          <w:spacing w:val="-2"/>
        </w:rPr>
        <w:t xml:space="preserve"> </w:t>
      </w:r>
      <w:r w:rsidR="00C234B0" w:rsidRPr="00D95618">
        <w:rPr>
          <w:spacing w:val="-2"/>
        </w:rPr>
        <w:t>As model databases usually</w:t>
      </w:r>
      <w:r w:rsidR="00DE7F1F" w:rsidRPr="00D95618">
        <w:rPr>
          <w:spacing w:val="-2"/>
        </w:rPr>
        <w:t xml:space="preserve"> contain data on </w:t>
      </w:r>
      <w:r w:rsidR="00DE7F1F" w:rsidRPr="00D95618">
        <w:rPr>
          <w:i/>
          <w:iCs/>
          <w:spacing w:val="-2"/>
        </w:rPr>
        <w:t>values</w:t>
      </w:r>
      <w:r w:rsidR="002634DB" w:rsidRPr="00D95618">
        <w:rPr>
          <w:spacing w:val="-2"/>
        </w:rPr>
        <w:t xml:space="preserve"> </w:t>
      </w:r>
      <w:r w:rsidR="00382D87" w:rsidRPr="00D95618">
        <w:rPr>
          <w:spacing w:val="-2"/>
        </w:rPr>
        <w:t xml:space="preserve">of production and expenditure </w:t>
      </w:r>
      <w:r w:rsidR="002634DB" w:rsidRPr="00D95618">
        <w:rPr>
          <w:spacing w:val="-2"/>
        </w:rPr>
        <w:t>(equal to prices multiplied by quantities)</w:t>
      </w:r>
      <w:r w:rsidR="00B65199" w:rsidRPr="00D95618">
        <w:rPr>
          <w:spacing w:val="-2"/>
        </w:rPr>
        <w:t xml:space="preserve">, </w:t>
      </w:r>
      <w:r w:rsidR="00DE7F1F" w:rsidRPr="00D95618">
        <w:rPr>
          <w:spacing w:val="-2"/>
        </w:rPr>
        <w:t xml:space="preserve">rather than prices or quantities separately, </w:t>
      </w:r>
      <w:r w:rsidR="00B65199" w:rsidRPr="00D95618">
        <w:rPr>
          <w:spacing w:val="-2"/>
        </w:rPr>
        <w:t xml:space="preserve">it is conventional to assume that prices are </w:t>
      </w:r>
      <w:r w:rsidR="00F304FF" w:rsidRPr="00D95618">
        <w:rPr>
          <w:spacing w:val="-2"/>
        </w:rPr>
        <w:t>nor</w:t>
      </w:r>
      <w:r w:rsidR="002D1B96" w:rsidRPr="00D95618">
        <w:rPr>
          <w:spacing w:val="-2"/>
        </w:rPr>
        <w:t>ma</w:t>
      </w:r>
      <w:r w:rsidR="00F304FF" w:rsidRPr="00D95618">
        <w:rPr>
          <w:spacing w:val="-2"/>
        </w:rPr>
        <w:t>lised to be</w:t>
      </w:r>
      <w:r w:rsidR="00B65199" w:rsidRPr="00D95618">
        <w:rPr>
          <w:spacing w:val="-2"/>
        </w:rPr>
        <w:t xml:space="preserve"> one</w:t>
      </w:r>
      <w:r w:rsidR="007B42B2" w:rsidRPr="00D95618">
        <w:rPr>
          <w:spacing w:val="-2"/>
        </w:rPr>
        <w:t xml:space="preserve">. This </w:t>
      </w:r>
      <w:r w:rsidR="002D1B96" w:rsidRPr="00D95618">
        <w:rPr>
          <w:spacing w:val="-2"/>
        </w:rPr>
        <w:t xml:space="preserve">allows </w:t>
      </w:r>
      <w:r w:rsidR="00986E4E" w:rsidRPr="00D95618">
        <w:rPr>
          <w:spacing w:val="-2"/>
        </w:rPr>
        <w:t>quantit</w:t>
      </w:r>
      <w:r w:rsidR="007B42B2" w:rsidRPr="00D95618">
        <w:rPr>
          <w:spacing w:val="-2"/>
        </w:rPr>
        <w:t>ies</w:t>
      </w:r>
      <w:r w:rsidR="00986E4E" w:rsidRPr="00D95618">
        <w:rPr>
          <w:spacing w:val="-2"/>
        </w:rPr>
        <w:t xml:space="preserve"> </w:t>
      </w:r>
      <w:r w:rsidR="002D1B96" w:rsidRPr="00D95618">
        <w:rPr>
          <w:spacing w:val="-2"/>
        </w:rPr>
        <w:t>to be estimated as values divided by prices</w:t>
      </w:r>
      <w:r w:rsidR="005B6F1A" w:rsidRPr="00D95618">
        <w:rPr>
          <w:spacing w:val="-2"/>
        </w:rPr>
        <w:t>.</w:t>
      </w:r>
      <w:r w:rsidR="004A5B24" w:rsidRPr="00D95618">
        <w:rPr>
          <w:spacing w:val="-2"/>
        </w:rPr>
        <w:t xml:space="preserve"> </w:t>
      </w:r>
      <w:r w:rsidR="0028404F" w:rsidRPr="00D95618">
        <w:rPr>
          <w:spacing w:val="-2"/>
        </w:rPr>
        <w:t>Where there are indirect taxes, tax</w:t>
      </w:r>
      <w:r w:rsidR="004B308E" w:rsidRPr="00D95618">
        <w:rPr>
          <w:spacing w:val="-2"/>
        </w:rPr>
        <w:noBreakHyphen/>
      </w:r>
      <w:r w:rsidR="0028404F" w:rsidRPr="00D95618">
        <w:rPr>
          <w:spacing w:val="-2"/>
        </w:rPr>
        <w:t>exclusive price</w:t>
      </w:r>
      <w:r w:rsidR="00F32FE2" w:rsidRPr="00D95618">
        <w:rPr>
          <w:spacing w:val="-2"/>
        </w:rPr>
        <w:t>s</w:t>
      </w:r>
      <w:r w:rsidR="0028404F" w:rsidRPr="00D95618">
        <w:rPr>
          <w:spacing w:val="-2"/>
        </w:rPr>
        <w:t xml:space="preserve"> </w:t>
      </w:r>
      <w:r w:rsidR="00F32FE2" w:rsidRPr="00D95618">
        <w:rPr>
          <w:spacing w:val="-2"/>
        </w:rPr>
        <w:t xml:space="preserve">are </w:t>
      </w:r>
      <w:r w:rsidR="0028404F" w:rsidRPr="00D95618">
        <w:rPr>
          <w:spacing w:val="-2"/>
        </w:rPr>
        <w:t>normalised to be one, and</w:t>
      </w:r>
      <w:r w:rsidR="001E35C1" w:rsidRPr="00D95618">
        <w:rPr>
          <w:spacing w:val="-2"/>
        </w:rPr>
        <w:t xml:space="preserve"> then adjusted by applicable tax rates to estimate</w:t>
      </w:r>
      <w:r w:rsidR="0028404F" w:rsidRPr="00D95618">
        <w:rPr>
          <w:spacing w:val="-2"/>
        </w:rPr>
        <w:t xml:space="preserve"> ‘</w:t>
      </w:r>
      <w:r w:rsidR="00E303F0">
        <w:rPr>
          <w:spacing w:val="-2"/>
        </w:rPr>
        <w:t>purchaser</w:t>
      </w:r>
      <w:r w:rsidR="00E303F0" w:rsidRPr="00D95618">
        <w:rPr>
          <w:spacing w:val="-2"/>
        </w:rPr>
        <w:t xml:space="preserve"> </w:t>
      </w:r>
      <w:r w:rsidR="0028404F" w:rsidRPr="00D95618">
        <w:rPr>
          <w:spacing w:val="-2"/>
        </w:rPr>
        <w:t xml:space="preserve">prices’, in order to determine quantities. </w:t>
      </w:r>
      <w:r w:rsidR="004A5B24" w:rsidRPr="00D95618">
        <w:rPr>
          <w:spacing w:val="-2"/>
        </w:rPr>
        <w:t xml:space="preserve">This convention has been applied </w:t>
      </w:r>
      <w:r w:rsidR="00F6554D" w:rsidRPr="00D95618">
        <w:rPr>
          <w:spacing w:val="-2"/>
        </w:rPr>
        <w:t>in the calibration process for most parameters in this model.</w:t>
      </w:r>
    </w:p>
    <w:p w14:paraId="0883CBF8" w14:textId="0E33B5B2" w:rsidR="00063464" w:rsidRPr="00D95618" w:rsidRDefault="00063464" w:rsidP="00000922">
      <w:pPr>
        <w:rPr>
          <w:spacing w:val="-2"/>
        </w:rPr>
      </w:pPr>
      <w:r w:rsidRPr="00D95618">
        <w:rPr>
          <w:spacing w:val="-2"/>
        </w:rPr>
        <w:t xml:space="preserve">In </w:t>
      </w:r>
      <w:r w:rsidR="001E0F3D" w:rsidRPr="00D95618">
        <w:rPr>
          <w:spacing w:val="-2"/>
        </w:rPr>
        <w:t>some function</w:t>
      </w:r>
      <w:r w:rsidR="0014197F" w:rsidRPr="00D95618">
        <w:rPr>
          <w:spacing w:val="-2"/>
        </w:rPr>
        <w:t>s</w:t>
      </w:r>
      <w:r w:rsidRPr="00D95618">
        <w:rPr>
          <w:spacing w:val="-2"/>
        </w:rPr>
        <w:t xml:space="preserve">, </w:t>
      </w:r>
      <w:r w:rsidR="006E0CC0" w:rsidRPr="00D95618">
        <w:rPr>
          <w:spacing w:val="-2"/>
        </w:rPr>
        <w:t xml:space="preserve">there are </w:t>
      </w:r>
      <w:r w:rsidR="00EB4796" w:rsidRPr="00D95618">
        <w:rPr>
          <w:spacing w:val="-2"/>
        </w:rPr>
        <w:t>more</w:t>
      </w:r>
      <w:r w:rsidR="006E0CC0" w:rsidRPr="00D95618">
        <w:rPr>
          <w:spacing w:val="-2"/>
        </w:rPr>
        <w:t xml:space="preserve"> unknown parameters to solve for than </w:t>
      </w:r>
      <w:r w:rsidR="007D44B6" w:rsidRPr="00D95618">
        <w:rPr>
          <w:spacing w:val="-2"/>
        </w:rPr>
        <w:t xml:space="preserve">there </w:t>
      </w:r>
      <w:r w:rsidR="00EB4796" w:rsidRPr="00D95618">
        <w:rPr>
          <w:spacing w:val="-2"/>
        </w:rPr>
        <w:t xml:space="preserve">are </w:t>
      </w:r>
      <w:r w:rsidR="007D44B6" w:rsidRPr="00D95618">
        <w:rPr>
          <w:spacing w:val="-2"/>
        </w:rPr>
        <w:t xml:space="preserve">available data </w:t>
      </w:r>
      <w:r w:rsidR="00E73912" w:rsidRPr="00D95618">
        <w:rPr>
          <w:spacing w:val="-2"/>
        </w:rPr>
        <w:t>on prices and quantities</w:t>
      </w:r>
      <w:r w:rsidR="007D44B6" w:rsidRPr="00D95618">
        <w:rPr>
          <w:spacing w:val="-2"/>
        </w:rPr>
        <w:t>.</w:t>
      </w:r>
      <w:r w:rsidR="007C2C3B" w:rsidRPr="00D95618">
        <w:rPr>
          <w:spacing w:val="-2"/>
        </w:rPr>
        <w:t xml:space="preserve"> Consequently, s</w:t>
      </w:r>
      <w:r w:rsidR="00E73912" w:rsidRPr="00D95618">
        <w:rPr>
          <w:spacing w:val="-2"/>
        </w:rPr>
        <w:t>ome</w:t>
      </w:r>
      <w:r w:rsidR="003777C6" w:rsidRPr="00D95618">
        <w:rPr>
          <w:spacing w:val="-2"/>
        </w:rPr>
        <w:t xml:space="preserve"> model parameter</w:t>
      </w:r>
      <w:r w:rsidR="00E73912" w:rsidRPr="00D95618">
        <w:rPr>
          <w:spacing w:val="-2"/>
        </w:rPr>
        <w:t>s</w:t>
      </w:r>
      <w:r w:rsidR="003777C6" w:rsidRPr="00D95618">
        <w:rPr>
          <w:spacing w:val="-2"/>
        </w:rPr>
        <w:t xml:space="preserve"> ha</w:t>
      </w:r>
      <w:r w:rsidR="00E73912" w:rsidRPr="00D95618">
        <w:rPr>
          <w:spacing w:val="-2"/>
        </w:rPr>
        <w:t>ve</w:t>
      </w:r>
      <w:r w:rsidR="003777C6" w:rsidRPr="00D95618">
        <w:rPr>
          <w:spacing w:val="-2"/>
        </w:rPr>
        <w:t xml:space="preserve"> to be assumed</w:t>
      </w:r>
      <w:r w:rsidR="0099603B" w:rsidRPr="00D95618">
        <w:rPr>
          <w:spacing w:val="-2"/>
        </w:rPr>
        <w:t xml:space="preserve"> </w:t>
      </w:r>
      <w:r w:rsidR="00014D99" w:rsidRPr="00D95618">
        <w:rPr>
          <w:spacing w:val="-2"/>
        </w:rPr>
        <w:t xml:space="preserve">to allow the other model parameters to be calibrated </w:t>
      </w:r>
      <w:r w:rsidR="0099603B" w:rsidRPr="00D95618">
        <w:rPr>
          <w:spacing w:val="-2"/>
        </w:rPr>
        <w:t>— f</w:t>
      </w:r>
      <w:r w:rsidR="003777C6" w:rsidRPr="00D95618">
        <w:rPr>
          <w:spacing w:val="-2"/>
        </w:rPr>
        <w:t>or CES functions, usually the elasticity of substitution</w:t>
      </w:r>
      <w:r w:rsidR="007C2C3B" w:rsidRPr="00D95618">
        <w:rPr>
          <w:spacing w:val="-2"/>
        </w:rPr>
        <w:t xml:space="preserve"> </w:t>
      </w:r>
      <w:r w:rsidR="0099603B" w:rsidRPr="00D95618">
        <w:rPr>
          <w:spacing w:val="-2"/>
        </w:rPr>
        <w:t>is assumed or drawn from the literature</w:t>
      </w:r>
      <w:r w:rsidR="003777C6" w:rsidRPr="00D95618">
        <w:rPr>
          <w:spacing w:val="-2"/>
        </w:rPr>
        <w:t>.</w:t>
      </w:r>
    </w:p>
    <w:p w14:paraId="46F595F2" w14:textId="25ABAA94" w:rsidR="000E52FE" w:rsidRPr="00D95618" w:rsidRDefault="00464C3B" w:rsidP="009940B4">
      <w:pPr>
        <w:rPr>
          <w:spacing w:val="-2"/>
        </w:rPr>
      </w:pPr>
      <w:r w:rsidRPr="00D95618">
        <w:rPr>
          <w:spacing w:val="-2"/>
        </w:rPr>
        <w:t xml:space="preserve">This </w:t>
      </w:r>
      <w:r w:rsidR="00171628" w:rsidRPr="00D95618">
        <w:rPr>
          <w:spacing w:val="-2"/>
        </w:rPr>
        <w:t xml:space="preserve">chapter </w:t>
      </w:r>
      <w:r w:rsidRPr="00D95618">
        <w:rPr>
          <w:spacing w:val="-2"/>
        </w:rPr>
        <w:t>describes the data</w:t>
      </w:r>
      <w:r w:rsidR="00171854" w:rsidRPr="00D95618">
        <w:rPr>
          <w:spacing w:val="-2"/>
        </w:rPr>
        <w:t xml:space="preserve"> </w:t>
      </w:r>
      <w:r w:rsidRPr="00D95618">
        <w:rPr>
          <w:spacing w:val="-2"/>
        </w:rPr>
        <w:t xml:space="preserve">used to form the model’s database, and the </w:t>
      </w:r>
      <w:r w:rsidR="00171854" w:rsidRPr="00D95618">
        <w:rPr>
          <w:spacing w:val="-2"/>
        </w:rPr>
        <w:t>elasticities assumed in the model.</w:t>
      </w:r>
    </w:p>
    <w:p w14:paraId="42BDB281" w14:textId="61941FD4" w:rsidR="009F400F" w:rsidRDefault="009F400F" w:rsidP="00361EDC">
      <w:pPr>
        <w:pStyle w:val="Heading2"/>
      </w:pPr>
      <w:bookmarkStart w:id="15" w:name="_Toc126176826"/>
      <w:r>
        <w:t xml:space="preserve">The </w:t>
      </w:r>
      <w:r w:rsidR="00B70251">
        <w:t>social accounting matrix</w:t>
      </w:r>
      <w:bookmarkEnd w:id="15"/>
    </w:p>
    <w:p w14:paraId="201FC428" w14:textId="15FE5F65" w:rsidR="0087436C" w:rsidRPr="00D95618" w:rsidRDefault="00AF544C" w:rsidP="0087436C">
      <w:pPr>
        <w:pStyle w:val="BodyText"/>
        <w:rPr>
          <w:spacing w:val="-4"/>
        </w:rPr>
      </w:pPr>
      <w:r w:rsidRPr="00D95618">
        <w:rPr>
          <w:spacing w:val="-4"/>
        </w:rPr>
        <w:t xml:space="preserve">An </w:t>
      </w:r>
      <w:r w:rsidR="0087436C" w:rsidRPr="00D95618">
        <w:rPr>
          <w:spacing w:val="-4"/>
        </w:rPr>
        <w:t xml:space="preserve">aggregate </w:t>
      </w:r>
      <w:r w:rsidR="00BB2843" w:rsidRPr="00D95618">
        <w:rPr>
          <w:spacing w:val="-4"/>
        </w:rPr>
        <w:t>s</w:t>
      </w:r>
      <w:r w:rsidR="0087436C" w:rsidRPr="00D95618">
        <w:rPr>
          <w:spacing w:val="-4"/>
        </w:rPr>
        <w:t xml:space="preserve">ocial </w:t>
      </w:r>
      <w:r w:rsidR="00BB2843" w:rsidRPr="00D95618">
        <w:rPr>
          <w:spacing w:val="-4"/>
        </w:rPr>
        <w:t>a</w:t>
      </w:r>
      <w:r w:rsidR="0087436C" w:rsidRPr="00D95618">
        <w:rPr>
          <w:spacing w:val="-4"/>
        </w:rPr>
        <w:t xml:space="preserve">ccounting </w:t>
      </w:r>
      <w:r w:rsidR="00BB2843" w:rsidRPr="00D95618">
        <w:rPr>
          <w:spacing w:val="-4"/>
        </w:rPr>
        <w:t>m</w:t>
      </w:r>
      <w:r w:rsidR="0087436C" w:rsidRPr="00D95618">
        <w:rPr>
          <w:spacing w:val="-4"/>
        </w:rPr>
        <w:t xml:space="preserve">atrix (SAM) </w:t>
      </w:r>
      <w:r w:rsidRPr="00D95618">
        <w:rPr>
          <w:spacing w:val="-4"/>
        </w:rPr>
        <w:t xml:space="preserve">was developed </w:t>
      </w:r>
      <w:r w:rsidR="00CF3781" w:rsidRPr="00D95618">
        <w:rPr>
          <w:spacing w:val="-4"/>
        </w:rPr>
        <w:t xml:space="preserve">to </w:t>
      </w:r>
      <w:r w:rsidR="0087436C" w:rsidRPr="00D95618">
        <w:rPr>
          <w:spacing w:val="-4"/>
        </w:rPr>
        <w:t>form the backbone of the model’s database.</w:t>
      </w:r>
      <w:r w:rsidR="0087436C" w:rsidRPr="00D95618">
        <w:rPr>
          <w:rStyle w:val="FootnoteReference"/>
          <w:spacing w:val="-4"/>
        </w:rPr>
        <w:footnoteReference w:id="10"/>
      </w:r>
      <w:r w:rsidR="0087436C" w:rsidRPr="00D95618">
        <w:rPr>
          <w:spacing w:val="-4"/>
        </w:rPr>
        <w:t xml:space="preserve"> This contains aggregate flows between the model industries, commodities, capital and labour, the household sector, government sector, investment</w:t>
      </w:r>
      <w:r w:rsidR="0067045D" w:rsidRPr="00D95618">
        <w:rPr>
          <w:spacing w:val="-4"/>
        </w:rPr>
        <w:t xml:space="preserve"> sector</w:t>
      </w:r>
      <w:r w:rsidR="0087436C" w:rsidRPr="00D95618">
        <w:rPr>
          <w:spacing w:val="-4"/>
        </w:rPr>
        <w:t>, and the rest of the world. This</w:t>
      </w:r>
      <w:r w:rsidR="0087436C" w:rsidRPr="00D95618" w:rsidDel="00AA4A11">
        <w:rPr>
          <w:spacing w:val="-4"/>
        </w:rPr>
        <w:t xml:space="preserve"> </w:t>
      </w:r>
      <w:r w:rsidR="00AA4A11" w:rsidRPr="00D95618">
        <w:rPr>
          <w:spacing w:val="-4"/>
        </w:rPr>
        <w:t xml:space="preserve">was </w:t>
      </w:r>
      <w:r w:rsidR="0087436C" w:rsidRPr="00D95618">
        <w:rPr>
          <w:spacing w:val="-4"/>
        </w:rPr>
        <w:t>supplemented by an Input</w:t>
      </w:r>
      <w:r w:rsidR="004B308E" w:rsidRPr="00D95618">
        <w:rPr>
          <w:spacing w:val="-4"/>
        </w:rPr>
        <w:noBreakHyphen/>
      </w:r>
      <w:r w:rsidR="0087436C" w:rsidRPr="00D95618">
        <w:rPr>
          <w:spacing w:val="-4"/>
        </w:rPr>
        <w:t xml:space="preserve">Output </w:t>
      </w:r>
      <w:r w:rsidR="0097506B" w:rsidRPr="00D95618">
        <w:rPr>
          <w:spacing w:val="-4"/>
        </w:rPr>
        <w:t xml:space="preserve">(IO) </w:t>
      </w:r>
      <w:r w:rsidR="0087436C" w:rsidRPr="00D95618">
        <w:rPr>
          <w:spacing w:val="-4"/>
        </w:rPr>
        <w:t>table that contains more detail on use of domestic and imported commodities and product taxes.</w:t>
      </w:r>
    </w:p>
    <w:p w14:paraId="050A2384" w14:textId="2308576C" w:rsidR="00B5248F" w:rsidRDefault="00636076" w:rsidP="0087436C">
      <w:pPr>
        <w:pStyle w:val="BodyText"/>
      </w:pPr>
      <w:r>
        <w:t xml:space="preserve">The </w:t>
      </w:r>
      <w:r w:rsidR="008D11F8">
        <w:t xml:space="preserve">ABS </w:t>
      </w:r>
      <w:r>
        <w:t xml:space="preserve">National Accounts IO tables </w:t>
      </w:r>
      <w:r w:rsidR="003307D6">
        <w:t>we</w:t>
      </w:r>
      <w:r>
        <w:t>re the main data source</w:t>
      </w:r>
      <w:r w:rsidR="008D11F8">
        <w:t xml:space="preserve"> for the </w:t>
      </w:r>
      <w:r w:rsidR="003307D6">
        <w:t xml:space="preserve">model’s </w:t>
      </w:r>
      <w:r w:rsidR="008D11F8">
        <w:t>SAM</w:t>
      </w:r>
      <w:r>
        <w:t xml:space="preserve">. </w:t>
      </w:r>
      <w:r w:rsidR="003307D6">
        <w:t>The tables</w:t>
      </w:r>
      <w:r>
        <w:t xml:space="preserve"> contain data that </w:t>
      </w:r>
      <w:r w:rsidR="009B0C43">
        <w:t>‘</w:t>
      </w:r>
      <w:r w:rsidRPr="005A3ACD">
        <w:t>provide detailed information about the supply and use of products in the Australian economy, and the structure of and inter</w:t>
      </w:r>
      <w:r w:rsidR="004B308E">
        <w:noBreakHyphen/>
      </w:r>
      <w:r w:rsidRPr="005A3ACD">
        <w:t>relationships between Australian industries</w:t>
      </w:r>
      <w:r>
        <w:t>’</w:t>
      </w:r>
      <w:r w:rsidR="00C35656">
        <w:t xml:space="preserve"> </w:t>
      </w:r>
      <w:r w:rsidR="008C0556" w:rsidRPr="00296350">
        <w:rPr>
          <w:rFonts w:ascii="Arial" w:hAnsi="Arial" w:cs="Arial"/>
          <w:szCs w:val="24"/>
        </w:rPr>
        <w:t>(ABS 2021a)</w:t>
      </w:r>
      <w:r>
        <w:t>. Th</w:t>
      </w:r>
      <w:r w:rsidR="00CF66D6">
        <w:t>is</w:t>
      </w:r>
      <w:r>
        <w:t xml:space="preserve"> data is categorised into 114 </w:t>
      </w:r>
      <w:r w:rsidR="00B5248F">
        <w:t>‘</w:t>
      </w:r>
      <w:r>
        <w:t>Input Output Industry Groups</w:t>
      </w:r>
      <w:r w:rsidR="00B5248F">
        <w:t>’</w:t>
      </w:r>
      <w:r w:rsidR="00BF15CB">
        <w:t xml:space="preserve">, which were </w:t>
      </w:r>
      <w:r w:rsidR="00CF66D6">
        <w:t xml:space="preserve">then </w:t>
      </w:r>
      <w:r w:rsidR="00BF15CB">
        <w:t>aggregated to the model’s 17</w:t>
      </w:r>
      <w:r w:rsidR="00B33650">
        <w:t> </w:t>
      </w:r>
      <w:r w:rsidR="00BF15CB">
        <w:t>industries</w:t>
      </w:r>
      <w:r>
        <w:t xml:space="preserve">. </w:t>
      </w:r>
    </w:p>
    <w:p w14:paraId="6CEE071C" w14:textId="72BBF3A0" w:rsidR="0087436C" w:rsidRDefault="002035CB" w:rsidP="0087436C">
      <w:pPr>
        <w:pStyle w:val="BodyText"/>
      </w:pPr>
      <w:r>
        <w:t xml:space="preserve">Data from </w:t>
      </w:r>
      <w:r w:rsidR="0087436C">
        <w:t>2018</w:t>
      </w:r>
      <w:r w:rsidR="005456C0">
        <w:noBreakHyphen/>
      </w:r>
      <w:r w:rsidR="0087436C">
        <w:t xml:space="preserve">19 </w:t>
      </w:r>
      <w:r w:rsidR="002A03A8">
        <w:t xml:space="preserve">was </w:t>
      </w:r>
      <w:r>
        <w:t>used because</w:t>
      </w:r>
      <w:r w:rsidR="0087436C">
        <w:t xml:space="preserve"> production activity in </w:t>
      </w:r>
      <w:r w:rsidR="007F0480">
        <w:t>the more recent 2019</w:t>
      </w:r>
      <w:r w:rsidR="005456C0">
        <w:noBreakHyphen/>
      </w:r>
      <w:r w:rsidR="007F0480">
        <w:t xml:space="preserve">20 data </w:t>
      </w:r>
      <w:r w:rsidR="0087436C">
        <w:t xml:space="preserve">may reflect the impacts of </w:t>
      </w:r>
      <w:r w:rsidR="0087436C" w:rsidRPr="00887FD0">
        <w:t>COVID</w:t>
      </w:r>
      <w:r w:rsidR="0087436C">
        <w:t xml:space="preserve"> in 2020. For consistency, 2018</w:t>
      </w:r>
      <w:r w:rsidR="005456C0">
        <w:noBreakHyphen/>
      </w:r>
      <w:r w:rsidR="0087436C">
        <w:t xml:space="preserve">19 sources of </w:t>
      </w:r>
      <w:r w:rsidR="0087436C" w:rsidRPr="00823327">
        <w:t>data</w:t>
      </w:r>
      <w:r w:rsidR="0087436C">
        <w:t xml:space="preserve"> </w:t>
      </w:r>
      <w:r w:rsidR="00CF66D6">
        <w:t>we</w:t>
      </w:r>
      <w:r w:rsidR="0087436C">
        <w:t xml:space="preserve">re used for other </w:t>
      </w:r>
      <w:r w:rsidR="00021798">
        <w:t>values in the model’s database</w:t>
      </w:r>
      <w:r w:rsidR="0087436C">
        <w:t xml:space="preserve"> where available.</w:t>
      </w:r>
      <w:r w:rsidR="00A43283">
        <w:t xml:space="preserve"> </w:t>
      </w:r>
      <w:r w:rsidR="003164B5">
        <w:t>2018</w:t>
      </w:r>
      <w:r w:rsidR="005456C0">
        <w:noBreakHyphen/>
      </w:r>
      <w:r w:rsidR="003164B5">
        <w:t>19 d</w:t>
      </w:r>
      <w:r w:rsidR="00F0785D">
        <w:t xml:space="preserve">ata </w:t>
      </w:r>
      <w:r w:rsidR="003164B5">
        <w:t>was</w:t>
      </w:r>
      <w:r w:rsidR="00F0785D">
        <w:t xml:space="preserve"> not available for </w:t>
      </w:r>
      <w:r w:rsidR="003164B5">
        <w:t xml:space="preserve">some </w:t>
      </w:r>
      <w:r w:rsidR="00FC4BC8">
        <w:t xml:space="preserve">sources </w:t>
      </w:r>
      <w:r w:rsidR="003164B5">
        <w:t>needed</w:t>
      </w:r>
      <w:r w:rsidR="00F0785D">
        <w:t xml:space="preserve"> </w:t>
      </w:r>
      <w:r w:rsidR="003164B5">
        <w:t xml:space="preserve">to estimate </w:t>
      </w:r>
      <w:r w:rsidR="00277AB1">
        <w:t xml:space="preserve">variables </w:t>
      </w:r>
      <w:r w:rsidR="003164B5">
        <w:t>by individual group</w:t>
      </w:r>
      <w:r w:rsidR="00FC4BC8">
        <w:t xml:space="preserve"> (describe</w:t>
      </w:r>
      <w:r w:rsidR="00907400">
        <w:t>d</w:t>
      </w:r>
      <w:r w:rsidR="00FC4BC8">
        <w:t xml:space="preserve"> below)</w:t>
      </w:r>
      <w:r w:rsidR="003164B5">
        <w:t xml:space="preserve">, </w:t>
      </w:r>
      <w:r w:rsidR="00F0785D">
        <w:t xml:space="preserve">in which case </w:t>
      </w:r>
      <w:r w:rsidR="00A43283">
        <w:t>data from the closest year to 2018</w:t>
      </w:r>
      <w:r w:rsidR="005456C0">
        <w:noBreakHyphen/>
      </w:r>
      <w:r w:rsidR="00A43283">
        <w:t>19</w:t>
      </w:r>
      <w:r w:rsidR="003164B5">
        <w:t xml:space="preserve"> was used, and adjusted for the 2019 population</w:t>
      </w:r>
      <w:r w:rsidR="00A43283">
        <w:t>.</w:t>
      </w:r>
    </w:p>
    <w:p w14:paraId="1FC45058" w14:textId="092A1EAB" w:rsidR="007B17B3" w:rsidRDefault="00B52B3E" w:rsidP="0087436C">
      <w:pPr>
        <w:pStyle w:val="BodyText"/>
      </w:pPr>
      <w:r>
        <w:lastRenderedPageBreak/>
        <w:t>The value of</w:t>
      </w:r>
      <w:r w:rsidR="005312C1">
        <w:t xml:space="preserve"> </w:t>
      </w:r>
      <w:r>
        <w:t>foreign capital income was in</w:t>
      </w:r>
      <w:r w:rsidR="002F4272">
        <w:t xml:space="preserve">formed by </w:t>
      </w:r>
      <w:r w:rsidR="00007319">
        <w:t xml:space="preserve">data in </w:t>
      </w:r>
      <w:r w:rsidR="005312C1">
        <w:t>the Balance of Payments</w:t>
      </w:r>
      <w:r w:rsidR="00007319">
        <w:t xml:space="preserve"> </w:t>
      </w:r>
      <w:r w:rsidR="00296350" w:rsidRPr="00B3652A">
        <w:rPr>
          <w:rFonts w:ascii="Arial" w:hAnsi="Arial" w:cs="Arial"/>
          <w:szCs w:val="24"/>
        </w:rPr>
        <w:t>(ABS 2021b)</w:t>
      </w:r>
      <w:r w:rsidR="005312C1" w:rsidRPr="00B3652A">
        <w:t>.</w:t>
      </w:r>
      <w:r w:rsidR="005312C1">
        <w:t xml:space="preserve"> </w:t>
      </w:r>
      <w:r w:rsidR="00C325AA">
        <w:t xml:space="preserve">For </w:t>
      </w:r>
      <w:r w:rsidR="001232BC">
        <w:t xml:space="preserve">other </w:t>
      </w:r>
      <w:r w:rsidR="00612983">
        <w:t>cells</w:t>
      </w:r>
      <w:r w:rsidR="00C325AA">
        <w:t xml:space="preserve"> in the </w:t>
      </w:r>
      <w:r w:rsidR="00E8587F">
        <w:t xml:space="preserve">aggregate </w:t>
      </w:r>
      <w:r w:rsidR="00C325AA">
        <w:t xml:space="preserve">SAM </w:t>
      </w:r>
      <w:r w:rsidR="00612983">
        <w:t xml:space="preserve">where the values </w:t>
      </w:r>
      <w:r w:rsidR="005346EA">
        <w:t xml:space="preserve">were </w:t>
      </w:r>
      <w:r w:rsidR="00C325AA">
        <w:t xml:space="preserve">not </w:t>
      </w:r>
      <w:r w:rsidR="005346EA">
        <w:t xml:space="preserve">given </w:t>
      </w:r>
      <w:r w:rsidR="00C325AA">
        <w:t xml:space="preserve">in the </w:t>
      </w:r>
      <w:r w:rsidR="005346EA">
        <w:t xml:space="preserve">ABS </w:t>
      </w:r>
      <w:r w:rsidR="00C325AA">
        <w:t>IO tables</w:t>
      </w:r>
      <w:r w:rsidR="00E8587F">
        <w:t xml:space="preserve"> (such as </w:t>
      </w:r>
      <w:r w:rsidR="006C504C">
        <w:t xml:space="preserve">household income tax payments and savings), </w:t>
      </w:r>
      <w:r w:rsidR="00496F47">
        <w:t>values were calculated as the rem</w:t>
      </w:r>
      <w:r w:rsidR="00D81523">
        <w:t>a</w:t>
      </w:r>
      <w:r w:rsidR="00496F47">
        <w:t xml:space="preserve">inder of the row or column total to </w:t>
      </w:r>
      <w:r w:rsidR="001232BC">
        <w:t xml:space="preserve">ensure the SAM </w:t>
      </w:r>
      <w:r w:rsidR="00E725CF">
        <w:t>was</w:t>
      </w:r>
      <w:r w:rsidR="001232BC">
        <w:t xml:space="preserve"> a balanced matrix</w:t>
      </w:r>
      <w:r w:rsidR="00496F47">
        <w:t xml:space="preserve">. </w:t>
      </w:r>
    </w:p>
    <w:p w14:paraId="735A99BB" w14:textId="4A5FE512" w:rsidR="009F400F" w:rsidRPr="00CE6E64" w:rsidRDefault="009F400F" w:rsidP="009F400F">
      <w:pPr>
        <w:pStyle w:val="BodyText"/>
      </w:pPr>
      <w:r>
        <w:t xml:space="preserve">As described in </w:t>
      </w:r>
      <w:r w:rsidR="00171628">
        <w:t>chapter</w:t>
      </w:r>
      <w:r w:rsidR="004B308E">
        <w:t> </w:t>
      </w:r>
      <w:r w:rsidR="00B6502C">
        <w:t>1</w:t>
      </w:r>
      <w:r>
        <w:t xml:space="preserve">, the model’s household sector is split into individual groups or labour types — for example, income and expenditure differ by individual group — which is not reflected in the aggregate SAM. Additional data sources were used to reflect this heterogeneity in the model database (described below). The heterogeneity was achieved by calculating </w:t>
      </w:r>
      <w:r>
        <w:rPr>
          <w:i/>
          <w:iCs/>
        </w:rPr>
        <w:t>shares</w:t>
      </w:r>
      <w:r>
        <w:t xml:space="preserve"> attributable to labour types and individual groups, which were then used to apportion the values in the SAM. The sums across labour types and individual groups must equal the corresponding cells in the aggregate SAM, to ensure that the SAM remains balanced.</w:t>
      </w:r>
    </w:p>
    <w:p w14:paraId="535A3E63" w14:textId="36E9EE6B" w:rsidR="0087436C" w:rsidRDefault="0087436C" w:rsidP="00361EDC">
      <w:pPr>
        <w:pStyle w:val="Heading2"/>
      </w:pPr>
      <w:bookmarkStart w:id="16" w:name="_Toc126176827"/>
      <w:r>
        <w:t>Expenditure,</w:t>
      </w:r>
      <w:r w:rsidR="001F7FF4">
        <w:t xml:space="preserve"> factor incomes,</w:t>
      </w:r>
      <w:r>
        <w:t xml:space="preserve"> </w:t>
      </w:r>
      <w:r w:rsidR="001F7FF4">
        <w:t xml:space="preserve">and </w:t>
      </w:r>
      <w:r>
        <w:t xml:space="preserve">income tax by </w:t>
      </w:r>
      <w:r w:rsidR="007B6962">
        <w:t>individual group</w:t>
      </w:r>
      <w:bookmarkEnd w:id="16"/>
    </w:p>
    <w:p w14:paraId="48184A56" w14:textId="3D8AFB9A" w:rsidR="0087436C" w:rsidRDefault="0087436C" w:rsidP="00361EDC">
      <w:pPr>
        <w:pStyle w:val="Heading3"/>
      </w:pPr>
      <w:r>
        <w:t xml:space="preserve">Expenditure by </w:t>
      </w:r>
      <w:r w:rsidR="00BA6FBC">
        <w:t>individual group</w:t>
      </w:r>
    </w:p>
    <w:p w14:paraId="66E88E12" w14:textId="2E7CA19D" w:rsidR="0087436C" w:rsidRDefault="0087436C" w:rsidP="0087436C">
      <w:pPr>
        <w:pStyle w:val="BodyText"/>
      </w:pPr>
      <w:r>
        <w:t xml:space="preserve">Each individual </w:t>
      </w:r>
      <w:r w:rsidR="0018420E">
        <w:t>group</w:t>
      </w:r>
      <w:r>
        <w:t xml:space="preserve"> within the model consumes a proportion of total household consumption of commodities. </w:t>
      </w:r>
      <w:r w:rsidR="009C020E">
        <w:t>D</w:t>
      </w:r>
      <w:r>
        <w:t xml:space="preserve">ata from the </w:t>
      </w:r>
      <w:r w:rsidRPr="001F5C67">
        <w:t>2015</w:t>
      </w:r>
      <w:r w:rsidR="004B308E">
        <w:noBreakHyphen/>
      </w:r>
      <w:r w:rsidRPr="001F5C67">
        <w:t xml:space="preserve">16 </w:t>
      </w:r>
      <w:r w:rsidR="001A0D05">
        <w:t>Household Expenditure Survey (</w:t>
      </w:r>
      <w:r w:rsidRPr="001F5C67">
        <w:t>HES</w:t>
      </w:r>
      <w:r w:rsidR="001A0D05">
        <w:t>)</w:t>
      </w:r>
      <w:r>
        <w:t xml:space="preserve"> </w:t>
      </w:r>
      <w:r w:rsidR="009F0294" w:rsidRPr="009F0294">
        <w:rPr>
          <w:rFonts w:ascii="Arial" w:hAnsi="Arial" w:cs="Arial"/>
          <w:szCs w:val="24"/>
        </w:rPr>
        <w:t>(ABS 2017)</w:t>
      </w:r>
      <w:r w:rsidR="001F5C67">
        <w:t xml:space="preserve"> </w:t>
      </w:r>
      <w:r>
        <w:t>was used</w:t>
      </w:r>
      <w:r w:rsidR="009C020E">
        <w:t xml:space="preserve"> to estimate these proportions</w:t>
      </w:r>
      <w:r>
        <w:t xml:space="preserve">. </w:t>
      </w:r>
    </w:p>
    <w:p w14:paraId="029F37A9" w14:textId="5FB8A4C9" w:rsidR="0087436C" w:rsidRPr="00B77BE5" w:rsidRDefault="0087436C" w:rsidP="0087436C">
      <w:pPr>
        <w:pStyle w:val="BodyText"/>
      </w:pPr>
      <w:r>
        <w:t>To</w:t>
      </w:r>
      <w:r w:rsidDel="00EB7603">
        <w:t xml:space="preserve"> </w:t>
      </w:r>
      <w:r>
        <w:t>estimate person</w:t>
      </w:r>
      <w:r w:rsidR="004B308E">
        <w:noBreakHyphen/>
      </w:r>
      <w:r>
        <w:t xml:space="preserve">level </w:t>
      </w:r>
      <w:r w:rsidR="00C323E6">
        <w:t>expenditure</w:t>
      </w:r>
      <w:r>
        <w:t xml:space="preserve">, </w:t>
      </w:r>
      <w:r w:rsidR="0070569B">
        <w:t xml:space="preserve">household </w:t>
      </w:r>
      <w:r>
        <w:t xml:space="preserve">expenditure was apportioned to each person over 15 years old in the household according to their contribution of disposable income to the household. </w:t>
      </w:r>
      <w:r w:rsidR="00C142F2">
        <w:t>This was necessary as the expenditure data in the HES is collected at a household level</w:t>
      </w:r>
      <w:r w:rsidR="00C323E6">
        <w:t>, but the model’s individual groups are based on person</w:t>
      </w:r>
      <w:r w:rsidR="004B308E">
        <w:noBreakHyphen/>
      </w:r>
      <w:r w:rsidR="00C323E6">
        <w:t>level characteristics</w:t>
      </w:r>
      <w:r w:rsidR="00C142F2">
        <w:t>.</w:t>
      </w:r>
    </w:p>
    <w:p w14:paraId="2A89F42C" w14:textId="0666DDBB" w:rsidR="008D2264" w:rsidRDefault="00C323E6" w:rsidP="0087436C">
      <w:pPr>
        <w:pStyle w:val="BodyText"/>
      </w:pPr>
      <w:r>
        <w:t xml:space="preserve">The amount of expenditure on each industry in the model </w:t>
      </w:r>
      <w:r w:rsidR="00C142F2">
        <w:t xml:space="preserve">was estimated </w:t>
      </w:r>
      <w:r>
        <w:t xml:space="preserve">by mapping </w:t>
      </w:r>
      <w:r w:rsidR="0087436C">
        <w:t xml:space="preserve">HES </w:t>
      </w:r>
      <w:r>
        <w:t>expenditure classifications (which use</w:t>
      </w:r>
      <w:r w:rsidR="0087436C">
        <w:t xml:space="preserve"> the Household Expenditure Classification</w:t>
      </w:r>
      <w:r>
        <w:t>)</w:t>
      </w:r>
      <w:r w:rsidR="0087436C">
        <w:t xml:space="preserve"> to the </w:t>
      </w:r>
      <w:r>
        <w:t xml:space="preserve">17 </w:t>
      </w:r>
      <w:r w:rsidR="0087436C">
        <w:t xml:space="preserve">model industries. This was done using concordances and information in IO tables on production of </w:t>
      </w:r>
      <w:r w:rsidR="00595A56">
        <w:t xml:space="preserve">commodities </w:t>
      </w:r>
      <w:r w:rsidR="0087436C">
        <w:t xml:space="preserve">by industry. </w:t>
      </w:r>
      <w:r w:rsidR="00006322">
        <w:t>Negative expenditures in the HES</w:t>
      </w:r>
      <w:r w:rsidR="00A070E7">
        <w:t>, arising for example from sales of cars and dwellings,</w:t>
      </w:r>
      <w:r w:rsidR="00006322">
        <w:t xml:space="preserve"> were also removed </w:t>
      </w:r>
      <w:r w:rsidR="004A4A9A">
        <w:t xml:space="preserve">as the inclusion of these sales is inconsistent with </w:t>
      </w:r>
      <w:r w:rsidR="00474422">
        <w:t>the definition of expenditure in the model.</w:t>
      </w:r>
    </w:p>
    <w:p w14:paraId="3127102F" w14:textId="3210A9CA" w:rsidR="0087436C" w:rsidRDefault="0087436C" w:rsidP="0087436C">
      <w:pPr>
        <w:pStyle w:val="BodyText"/>
      </w:pPr>
      <w:r>
        <w:t xml:space="preserve">The </w:t>
      </w:r>
      <w:r w:rsidR="008D2264">
        <w:t>person</w:t>
      </w:r>
      <w:r w:rsidR="004B308E">
        <w:noBreakHyphen/>
      </w:r>
      <w:r w:rsidR="008D2264">
        <w:t>level</w:t>
      </w:r>
      <w:r>
        <w:t xml:space="preserve"> expenditure</w:t>
      </w:r>
      <w:r w:rsidR="008D2264">
        <w:t>s by industry</w:t>
      </w:r>
      <w:r>
        <w:t xml:space="preserve"> w</w:t>
      </w:r>
      <w:r w:rsidR="008D2264">
        <w:t>ere</w:t>
      </w:r>
      <w:r>
        <w:t xml:space="preserve"> then used to calculate the proportion of expenditure by each </w:t>
      </w:r>
      <w:r w:rsidR="007767EA">
        <w:t>individual</w:t>
      </w:r>
      <w:r>
        <w:t xml:space="preserve"> </w:t>
      </w:r>
      <w:r w:rsidR="00BA6FBC">
        <w:t xml:space="preserve">group </w:t>
      </w:r>
      <w:r w:rsidR="007767EA">
        <w:t xml:space="preserve">in the household sector </w:t>
      </w:r>
      <w:r w:rsidR="007E112A">
        <w:t xml:space="preserve">of the model </w:t>
      </w:r>
      <w:r>
        <w:t xml:space="preserve">(adjusted to the 2019 population). These proportions were applied to aggregate household expenditure by industry in the SAM to estimate the expenditure for each individual </w:t>
      </w:r>
      <w:r w:rsidR="00BA6FBC">
        <w:t>group</w:t>
      </w:r>
      <w:r>
        <w:t>.</w:t>
      </w:r>
    </w:p>
    <w:p w14:paraId="42A4A0FC" w14:textId="3558F120" w:rsidR="0087436C" w:rsidRDefault="0087436C" w:rsidP="00361EDC">
      <w:pPr>
        <w:pStyle w:val="Heading3"/>
      </w:pPr>
      <w:r>
        <w:t xml:space="preserve">Labour and capital income, and income tax by </w:t>
      </w:r>
      <w:r w:rsidR="00BA6FBC">
        <w:t>individual group</w:t>
      </w:r>
    </w:p>
    <w:p w14:paraId="455B0996" w14:textId="419C530A" w:rsidR="00A43283" w:rsidRDefault="0087436C" w:rsidP="0087436C">
      <w:pPr>
        <w:pStyle w:val="BodyText"/>
      </w:pPr>
      <w:r>
        <w:t>The amounts of labour income received by each</w:t>
      </w:r>
      <w:r w:rsidDel="00BA6FBC">
        <w:t xml:space="preserve"> </w:t>
      </w:r>
      <w:r w:rsidR="00A073B6">
        <w:t>individual group</w:t>
      </w:r>
      <w:r>
        <w:t xml:space="preserve"> </w:t>
      </w:r>
      <w:r w:rsidR="00B71094">
        <w:t xml:space="preserve">working in </w:t>
      </w:r>
      <w:r>
        <w:t xml:space="preserve">each industry, </w:t>
      </w:r>
      <w:r w:rsidR="00B71094">
        <w:t xml:space="preserve">as well as </w:t>
      </w:r>
      <w:r>
        <w:t xml:space="preserve">capital income received and income tax paid by each </w:t>
      </w:r>
      <w:r w:rsidR="004F558B">
        <w:t>group</w:t>
      </w:r>
      <w:r>
        <w:t xml:space="preserve"> in the model</w:t>
      </w:r>
      <w:r w:rsidR="003E7A9B">
        <w:t>,</w:t>
      </w:r>
      <w:r>
        <w:t xml:space="preserve"> are based on proportions calculated using data from the </w:t>
      </w:r>
      <w:r w:rsidRPr="00E75B73">
        <w:t>2017</w:t>
      </w:r>
      <w:r w:rsidRPr="00E75B73">
        <w:noBreakHyphen/>
        <w:t xml:space="preserve">18 </w:t>
      </w:r>
      <w:r w:rsidR="001A0D05">
        <w:t>Survey of Income and Housing (</w:t>
      </w:r>
      <w:r w:rsidRPr="00E75B73">
        <w:t>SIH</w:t>
      </w:r>
      <w:r w:rsidR="001A0D05">
        <w:t>)</w:t>
      </w:r>
      <w:r w:rsidR="00B56E63">
        <w:t xml:space="preserve"> </w:t>
      </w:r>
      <w:r w:rsidR="009F0294" w:rsidRPr="009F0294">
        <w:rPr>
          <w:rFonts w:ascii="Arial" w:hAnsi="Arial" w:cs="Arial"/>
          <w:szCs w:val="24"/>
        </w:rPr>
        <w:t>(ABS 2019b)</w:t>
      </w:r>
      <w:r>
        <w:t xml:space="preserve">. </w:t>
      </w:r>
    </w:p>
    <w:p w14:paraId="40C0C015" w14:textId="197F57E1" w:rsidR="0087436C" w:rsidRDefault="0087436C" w:rsidP="0087436C">
      <w:pPr>
        <w:pStyle w:val="BodyText"/>
      </w:pPr>
      <w:r>
        <w:t>The method used to calculate the proportions</w:t>
      </w:r>
      <w:r w:rsidR="003E7A9B">
        <w:t xml:space="preserve"> for each variable in the model</w:t>
      </w:r>
      <w:r>
        <w:t xml:space="preserve"> was essentially the same</w:t>
      </w:r>
      <w:r w:rsidR="003E7A9B">
        <w:t>,</w:t>
      </w:r>
      <w:r>
        <w:t xml:space="preserve"> but different variables from the SIH were used. For example, for income tax paid, the aggregate weighted income tax paid and the share of the total paid by each </w:t>
      </w:r>
      <w:r w:rsidR="00F61CFB">
        <w:t xml:space="preserve">group </w:t>
      </w:r>
      <w:r>
        <w:t xml:space="preserve">was calculated and adjusted to the 2019 population. These proportions were then applied to aggregate household income tax in the SAM to estimate the amount of tax paid by each </w:t>
      </w:r>
      <w:r w:rsidR="00F61CFB">
        <w:t>group</w:t>
      </w:r>
      <w:r>
        <w:t xml:space="preserve">. A similar process was undertaken to estimate labour and capital income for each </w:t>
      </w:r>
      <w:r w:rsidR="0018420E">
        <w:t>group</w:t>
      </w:r>
      <w:r>
        <w:t xml:space="preserve"> in the model.</w:t>
      </w:r>
    </w:p>
    <w:p w14:paraId="3D95CBFB" w14:textId="137DEE3C" w:rsidR="0087436C" w:rsidRDefault="0087436C" w:rsidP="00361EDC">
      <w:pPr>
        <w:pStyle w:val="Heading2"/>
      </w:pPr>
      <w:bookmarkStart w:id="17" w:name="_Toc126176828"/>
      <w:r>
        <w:lastRenderedPageBreak/>
        <w:t>Normalised hours</w:t>
      </w:r>
      <w:bookmarkEnd w:id="17"/>
    </w:p>
    <w:p w14:paraId="36BF3AAB" w14:textId="77777777" w:rsidR="0087436C" w:rsidRDefault="0087436C" w:rsidP="00CF60EA">
      <w:pPr>
        <w:pStyle w:val="Heading3"/>
        <w:spacing w:before="200"/>
      </w:pPr>
      <w:r>
        <w:t>Normalised time endowment</w:t>
      </w:r>
    </w:p>
    <w:p w14:paraId="613A8DD5" w14:textId="4D4A6720" w:rsidR="0087436C" w:rsidRDefault="0087436C" w:rsidP="00195A72">
      <w:pPr>
        <w:pStyle w:val="BodyText"/>
        <w:spacing w:before="100" w:after="100"/>
      </w:pPr>
      <w:r>
        <w:t xml:space="preserve">Each </w:t>
      </w:r>
      <w:r w:rsidR="0074740F">
        <w:t xml:space="preserve">individual group </w:t>
      </w:r>
      <w:r>
        <w:t xml:space="preserve">in the model has an exogenous time endowment, representing the total amount of time they can choose to allocate between work and leisure activities. These time endowments </w:t>
      </w:r>
      <w:r w:rsidR="007D1B64">
        <w:t>we</w:t>
      </w:r>
      <w:r>
        <w:t xml:space="preserve">re normalised to a value of 1 per person in the </w:t>
      </w:r>
      <w:r w:rsidR="0074740F">
        <w:t>group</w:t>
      </w:r>
      <w:r>
        <w:t xml:space="preserve">’s population. </w:t>
      </w:r>
      <w:r w:rsidR="0074740F">
        <w:t xml:space="preserve">Individual group </w:t>
      </w:r>
      <w:r>
        <w:t>populations were based on</w:t>
      </w:r>
      <w:r w:rsidR="004D5ACC">
        <w:t xml:space="preserve"> Australian demographic statistics </w:t>
      </w:r>
      <w:r>
        <w:t xml:space="preserve">on the </w:t>
      </w:r>
      <w:r w:rsidRPr="007C090F">
        <w:t xml:space="preserve">Estimated Residential Population at June 2019 </w:t>
      </w:r>
      <w:r w:rsidR="009F0294" w:rsidRPr="009F0294">
        <w:rPr>
          <w:rFonts w:ascii="Arial" w:hAnsi="Arial" w:cs="Arial"/>
          <w:szCs w:val="24"/>
        </w:rPr>
        <w:t>(ABS 2019a)</w:t>
      </w:r>
      <w:r>
        <w:t>. Normalising total time per person to 1 means that changes to population size can be easily interpreted in terms of numbers of people</w:t>
      </w:r>
      <w:r w:rsidR="006B0752">
        <w:t xml:space="preserve">, and </w:t>
      </w:r>
      <w:r w:rsidR="00546DA3">
        <w:t xml:space="preserve">it </w:t>
      </w:r>
      <w:r w:rsidR="006B0752">
        <w:t xml:space="preserve">allows wage rates </w:t>
      </w:r>
      <w:r w:rsidR="00054C6A">
        <w:t xml:space="preserve">(calibrated from normalised hours worked below) </w:t>
      </w:r>
      <w:r w:rsidR="006B0752">
        <w:t xml:space="preserve">to be more easily compared </w:t>
      </w:r>
      <w:r w:rsidR="005A272E">
        <w:t>across individual groups because they are in terms of the same time units</w:t>
      </w:r>
      <w:r>
        <w:t>.</w:t>
      </w:r>
      <w:r w:rsidR="00933DE7">
        <w:t xml:space="preserve"> </w:t>
      </w:r>
    </w:p>
    <w:p w14:paraId="1E600ACF" w14:textId="77777777" w:rsidR="0087436C" w:rsidRDefault="0087436C" w:rsidP="00361EDC">
      <w:pPr>
        <w:pStyle w:val="Heading3"/>
      </w:pPr>
      <w:r>
        <w:t xml:space="preserve">Normalised hours worked </w:t>
      </w:r>
    </w:p>
    <w:p w14:paraId="554F7368" w14:textId="43DEBC5B" w:rsidR="003B7F53" w:rsidRDefault="003B7F53" w:rsidP="00E754B3">
      <w:pPr>
        <w:pStyle w:val="BodyText"/>
        <w:spacing w:after="0"/>
      </w:pPr>
      <w:r>
        <w:t>A range of values have been used in the literature to represent the ratio of hours worked to total time available (usually at the population level rather than at a</w:t>
      </w:r>
      <w:r w:rsidR="007767EA">
        <w:t xml:space="preserve">n individual group </w:t>
      </w:r>
      <w:r>
        <w:t xml:space="preserve">level). Parameters range from about 0.3 to 0.9 in different models </w:t>
      </w:r>
      <w:r w:rsidR="00AA63A6" w:rsidRPr="00AA63A6">
        <w:rPr>
          <w:rFonts w:ascii="Arial" w:hAnsi="Arial" w:cs="Arial"/>
          <w:szCs w:val="24"/>
        </w:rPr>
        <w:t>(based on Boeters and Savard 2013, p. 1654; Dixon and Nassios 2019, p. 7; Hinson, Wende and Womack 2020, p. 24; Turnovsky 2002, p. 1774)</w:t>
      </w:r>
      <w:r>
        <w:t xml:space="preserve">, which do not usually imply a total of 24 hours per day or a standard work week of 40 hours. </w:t>
      </w:r>
      <w:r w:rsidR="00A830FD">
        <w:t xml:space="preserve">Values are sometimes chosen to achieve plausible labour supply elasticities. </w:t>
      </w:r>
      <w:r w:rsidR="003B572C">
        <w:t xml:space="preserve">Boeters and Savard </w:t>
      </w:r>
      <w:r w:rsidR="00E02BA5" w:rsidRPr="00E02BA5">
        <w:rPr>
          <w:rFonts w:ascii="Arial" w:hAnsi="Arial" w:cs="Arial"/>
          <w:szCs w:val="24"/>
        </w:rPr>
        <w:t>(2013, p. 1653)</w:t>
      </w:r>
      <w:r w:rsidR="003B572C">
        <w:t xml:space="preserve"> </w:t>
      </w:r>
      <w:r w:rsidR="00AD047E">
        <w:t>argue</w:t>
      </w:r>
      <w:r w:rsidR="003B572C">
        <w:t xml:space="preserve"> that </w:t>
      </w:r>
      <w:r w:rsidR="003E02BA">
        <w:t xml:space="preserve">the ratio should be such that the income elasticity of labour supply is </w:t>
      </w:r>
      <w:r w:rsidR="00B66435">
        <w:t>within an empirically plausible range.</w:t>
      </w:r>
      <w:r>
        <w:t xml:space="preserve"> </w:t>
      </w:r>
    </w:p>
    <w:p w14:paraId="2FDFFC7A" w14:textId="102CA6D1" w:rsidR="0087436C" w:rsidRDefault="0087436C" w:rsidP="00E754B3">
      <w:pPr>
        <w:pStyle w:val="BodyText"/>
        <w:spacing w:after="0"/>
      </w:pPr>
      <w:r>
        <w:t xml:space="preserve">The parametrisation of hours worked in this model assumes a ratio of total hours worked to total time available in the population of 0.5. That is, half of potential time available is spent working, while the other half is spent on leisure activities. This determines total normalised hours worked across the </w:t>
      </w:r>
      <w:r w:rsidRPr="000B4370">
        <w:rPr>
          <w:i/>
          <w:iCs/>
        </w:rPr>
        <w:t>population</w:t>
      </w:r>
      <w:r>
        <w:t>.</w:t>
      </w:r>
    </w:p>
    <w:p w14:paraId="3EE594C2" w14:textId="367673C3" w:rsidR="0087436C" w:rsidRDefault="0087436C" w:rsidP="00E754B3">
      <w:pPr>
        <w:pStyle w:val="BodyText"/>
        <w:spacing w:after="0"/>
      </w:pPr>
      <w:r>
        <w:t xml:space="preserve">Normalised hours worked at the </w:t>
      </w:r>
      <w:r w:rsidR="0074740F">
        <w:rPr>
          <w:i/>
          <w:iCs/>
        </w:rPr>
        <w:t>individual group</w:t>
      </w:r>
      <w:r w:rsidR="0074740F">
        <w:t xml:space="preserve"> </w:t>
      </w:r>
      <w:r>
        <w:t>level was then determined using estimates from the 2017</w:t>
      </w:r>
      <w:r w:rsidR="00543F78">
        <w:noBreakHyphen/>
      </w:r>
      <w:r>
        <w:t xml:space="preserve">18 SIH </w:t>
      </w:r>
      <w:r w:rsidR="009F0294" w:rsidRPr="009F0294">
        <w:rPr>
          <w:rFonts w:ascii="Arial" w:hAnsi="Arial" w:cs="Arial"/>
          <w:szCs w:val="24"/>
        </w:rPr>
        <w:t>(ABS 2019b)</w:t>
      </w:r>
      <w:r w:rsidR="0005749D">
        <w:t xml:space="preserve"> </w:t>
      </w:r>
      <w:r>
        <w:t xml:space="preserve">on the share of total hours worked attributed to each </w:t>
      </w:r>
      <w:r w:rsidR="0074740F">
        <w:t xml:space="preserve">group </w:t>
      </w:r>
      <w:r>
        <w:t xml:space="preserve">(adjusted to the 2019 population). These shares were applied to </w:t>
      </w:r>
      <w:r w:rsidRPr="00302229">
        <w:rPr>
          <w:i/>
          <w:iCs/>
        </w:rPr>
        <w:t>population</w:t>
      </w:r>
      <w:r>
        <w:t xml:space="preserve"> normalised hours worked in order to calculate normalised hours worked for each </w:t>
      </w:r>
      <w:r w:rsidR="0074740F">
        <w:rPr>
          <w:i/>
          <w:iCs/>
        </w:rPr>
        <w:t>group</w:t>
      </w:r>
      <w:r>
        <w:t>.</w:t>
      </w:r>
    </w:p>
    <w:p w14:paraId="6D33729E" w14:textId="74981D8F" w:rsidR="00381EA4" w:rsidRDefault="005C73B6" w:rsidP="00E754B3">
      <w:pPr>
        <w:pStyle w:val="BodyText"/>
        <w:spacing w:after="0"/>
      </w:pPr>
      <w:r>
        <w:t xml:space="preserve">Using this method, the </w:t>
      </w:r>
      <w:r w:rsidR="00FF774F">
        <w:t xml:space="preserve">ratio of hours worked to </w:t>
      </w:r>
      <w:r w:rsidR="00616B00">
        <w:t xml:space="preserve">total time varies greatly across individual groups, </w:t>
      </w:r>
      <w:r w:rsidR="00D02EEB">
        <w:t xml:space="preserve">ranging up to about 0.9 for some prime working age groups, and </w:t>
      </w:r>
      <w:r w:rsidR="00DF7B6F">
        <w:t xml:space="preserve">down to about 0.1 </w:t>
      </w:r>
      <w:r w:rsidR="00D02EEB">
        <w:t xml:space="preserve">for </w:t>
      </w:r>
      <w:r w:rsidR="00DF7B6F">
        <w:t>retirement age groups.</w:t>
      </w:r>
      <w:r w:rsidR="000A5317">
        <w:t xml:space="preserve"> </w:t>
      </w:r>
      <w:r w:rsidR="00D361F8">
        <w:t>T</w:t>
      </w:r>
      <w:r w:rsidR="00CC100C">
        <w:t xml:space="preserve">he implied </w:t>
      </w:r>
      <w:r w:rsidR="00073B90">
        <w:t xml:space="preserve">income </w:t>
      </w:r>
      <w:r w:rsidR="00801C2C">
        <w:t>elasticit</w:t>
      </w:r>
      <w:r w:rsidR="00D576F0">
        <w:t>ies</w:t>
      </w:r>
      <w:r w:rsidR="00801C2C">
        <w:t xml:space="preserve"> of </w:t>
      </w:r>
      <w:r w:rsidR="00CC100C">
        <w:t>labour supply</w:t>
      </w:r>
      <w:r w:rsidR="000A5317">
        <w:rPr>
          <w:rStyle w:val="FootnoteReference"/>
        </w:rPr>
        <w:footnoteReference w:id="11"/>
      </w:r>
      <w:r w:rsidR="000A5317">
        <w:t xml:space="preserve"> </w:t>
      </w:r>
      <w:r w:rsidR="00F30F72">
        <w:t>also vary greatly</w:t>
      </w:r>
      <w:r w:rsidR="000131B5">
        <w:t xml:space="preserve"> across groups, with an aggregate elasticity of about </w:t>
      </w:r>
      <w:r w:rsidR="004B308E">
        <w:noBreakHyphen/>
      </w:r>
      <w:r w:rsidR="000131B5">
        <w:t>0.</w:t>
      </w:r>
      <w:r w:rsidR="00326366">
        <w:t>5</w:t>
      </w:r>
      <w:r w:rsidR="000131B5">
        <w:t xml:space="preserve">. </w:t>
      </w:r>
      <w:r w:rsidR="005728C7">
        <w:t xml:space="preserve">This is </w:t>
      </w:r>
      <w:r w:rsidR="00DB7EC3">
        <w:t>larger</w:t>
      </w:r>
      <w:r w:rsidR="00A060ED">
        <w:t xml:space="preserve"> in magnitude</w:t>
      </w:r>
      <w:r w:rsidR="00DB7EC3">
        <w:t xml:space="preserve"> than </w:t>
      </w:r>
      <w:r w:rsidR="001B3E7B">
        <w:t xml:space="preserve">the </w:t>
      </w:r>
      <w:r w:rsidR="00326366">
        <w:t xml:space="preserve">plausible </w:t>
      </w:r>
      <w:r w:rsidR="00DB7EC3">
        <w:t xml:space="preserve">value </w:t>
      </w:r>
      <w:r w:rsidR="001B3E7B">
        <w:t xml:space="preserve">suggested in the literature of about </w:t>
      </w:r>
      <w:r w:rsidR="004B308E">
        <w:noBreakHyphen/>
      </w:r>
      <w:r w:rsidR="001B3E7B">
        <w:t>0.1, though is similar to</w:t>
      </w:r>
      <w:r w:rsidR="00A9670F">
        <w:t xml:space="preserve"> plausible values</w:t>
      </w:r>
      <w:r w:rsidR="009F0630">
        <w:t xml:space="preserve"> suggested</w:t>
      </w:r>
      <w:r w:rsidR="00A9670F">
        <w:t xml:space="preserve"> </w:t>
      </w:r>
      <w:r w:rsidR="0030481C">
        <w:t>for lone parents</w:t>
      </w:r>
      <w:r w:rsidR="00287979">
        <w:t xml:space="preserve"> </w:t>
      </w:r>
      <w:r w:rsidR="003641AA" w:rsidRPr="003641AA">
        <w:rPr>
          <w:rFonts w:ascii="Arial" w:hAnsi="Arial" w:cs="Arial"/>
          <w:szCs w:val="24"/>
        </w:rPr>
        <w:t>(Boeters and Savard 2013, p. 1654; Giesecke et al. 2021, p. 5934)</w:t>
      </w:r>
      <w:r w:rsidR="0030481C">
        <w:t>.</w:t>
      </w:r>
      <w:r w:rsidR="00C4206A">
        <w:t xml:space="preserve"> </w:t>
      </w:r>
      <w:r w:rsidR="00B66435">
        <w:t xml:space="preserve">An alternative approach </w:t>
      </w:r>
      <w:r w:rsidR="00D201A1">
        <w:t xml:space="preserve">to determining the ratio of hours worked to total time, </w:t>
      </w:r>
      <w:r w:rsidR="00A52408">
        <w:t xml:space="preserve">that achieves a more plausible income </w:t>
      </w:r>
      <w:r w:rsidR="006E169B">
        <w:t>elasticity of labour supply</w:t>
      </w:r>
      <w:r w:rsidR="00D201A1">
        <w:t>,</w:t>
      </w:r>
      <w:r w:rsidR="006E169B">
        <w:t xml:space="preserve"> </w:t>
      </w:r>
      <w:r w:rsidR="00A52408">
        <w:t>is</w:t>
      </w:r>
      <w:r w:rsidR="00B66435">
        <w:t xml:space="preserve"> discussed </w:t>
      </w:r>
      <w:r w:rsidR="00A060ED">
        <w:t>below</w:t>
      </w:r>
      <w:r w:rsidR="00D201A1">
        <w:t>.</w:t>
      </w:r>
    </w:p>
    <w:p w14:paraId="799CEEA0" w14:textId="673E8461" w:rsidR="003B572C" w:rsidRDefault="003B572C" w:rsidP="00E754B3">
      <w:pPr>
        <w:pStyle w:val="BodyText"/>
        <w:spacing w:after="0"/>
      </w:pPr>
      <w:r>
        <w:t>The</w:t>
      </w:r>
      <w:r w:rsidR="00EC7A5D">
        <w:t xml:space="preserve"> implied wage elasticities</w:t>
      </w:r>
      <w:r>
        <w:t xml:space="preserve"> </w:t>
      </w:r>
      <w:r w:rsidR="00EC7A5D">
        <w:t xml:space="preserve">of </w:t>
      </w:r>
      <w:r>
        <w:t xml:space="preserve">labour supply </w:t>
      </w:r>
      <w:r w:rsidR="00390BDE">
        <w:t>differ across individual groups as well</w:t>
      </w:r>
      <w:r w:rsidR="00103CF3">
        <w:t xml:space="preserve">, </w:t>
      </w:r>
      <w:r w:rsidR="00052657">
        <w:t xml:space="preserve">with labour supply responses tending to be higher for </w:t>
      </w:r>
      <w:r w:rsidR="005B6447">
        <w:t xml:space="preserve">women and for less educated groups, and </w:t>
      </w:r>
      <w:r w:rsidR="00103CF3">
        <w:t>an aggregate elasticity of about 0.2</w:t>
      </w:r>
      <w:r w:rsidR="005B6447">
        <w:t xml:space="preserve">. </w:t>
      </w:r>
      <w:r w:rsidR="00C41AEA">
        <w:t xml:space="preserve">These patterns across sex and education level are consistent with the literature, and the aggregate elasticity is </w:t>
      </w:r>
      <w:r w:rsidR="008E1121">
        <w:t xml:space="preserve">within ranges in other studies </w:t>
      </w:r>
      <w:r w:rsidR="00927F25">
        <w:t xml:space="preserve">of about </w:t>
      </w:r>
      <w:r w:rsidR="00D06CA8">
        <w:t>0.1 to 0.3</w:t>
      </w:r>
      <w:r w:rsidR="00001F4F">
        <w:t xml:space="preserve"> on average</w:t>
      </w:r>
      <w:r w:rsidR="0065484B">
        <w:t xml:space="preserve"> across men and women</w:t>
      </w:r>
      <w:r w:rsidR="000D6B9A">
        <w:t xml:space="preserve"> </w:t>
      </w:r>
      <w:r w:rsidR="00F62323">
        <w:t>(</w:t>
      </w:r>
      <w:r w:rsidR="00B945C4">
        <w:t>based on</w:t>
      </w:r>
      <w:r w:rsidR="00F62323">
        <w:t xml:space="preserve"> </w:t>
      </w:r>
      <w:r w:rsidR="00A377B2">
        <w:t xml:space="preserve">estimates cited in </w:t>
      </w:r>
      <w:r w:rsidR="00F62323">
        <w:t xml:space="preserve">Dandie and Mercante </w:t>
      </w:r>
      <w:r w:rsidR="00155D73" w:rsidRPr="00155D73">
        <w:rPr>
          <w:rFonts w:ascii="Arial" w:hAnsi="Arial" w:cs="Arial"/>
          <w:szCs w:val="24"/>
        </w:rPr>
        <w:t>(2007, pp. 37–39)</w:t>
      </w:r>
      <w:r w:rsidR="00A37EB2">
        <w:t xml:space="preserve"> </w:t>
      </w:r>
      <w:r w:rsidR="00F62323">
        <w:t>and</w:t>
      </w:r>
      <w:r w:rsidR="00661A38">
        <w:t xml:space="preserve"> Dixon and Nassios</w:t>
      </w:r>
      <w:r w:rsidR="00F62323">
        <w:t xml:space="preserve"> </w:t>
      </w:r>
      <w:r w:rsidR="00610A49" w:rsidRPr="00610A49">
        <w:rPr>
          <w:rFonts w:ascii="Arial" w:hAnsi="Arial" w:cs="Arial"/>
          <w:szCs w:val="24"/>
        </w:rPr>
        <w:t>(2019, pp. 9–</w:t>
      </w:r>
      <w:r w:rsidR="00610A49" w:rsidRPr="00610A49">
        <w:rPr>
          <w:rFonts w:ascii="Arial" w:hAnsi="Arial" w:cs="Arial"/>
          <w:szCs w:val="24"/>
        </w:rPr>
        <w:lastRenderedPageBreak/>
        <w:t>10)</w:t>
      </w:r>
      <w:r w:rsidR="00661A38">
        <w:t>)</w:t>
      </w:r>
      <w:r w:rsidR="00D201A1">
        <w:t>, but</w:t>
      </w:r>
      <w:r w:rsidR="00DF6F48">
        <w:t xml:space="preserve"> is higher than </w:t>
      </w:r>
      <w:r w:rsidR="00703075">
        <w:t xml:space="preserve">the </w:t>
      </w:r>
      <w:r w:rsidR="00DF6F48">
        <w:t xml:space="preserve">elasticities </w:t>
      </w:r>
      <w:r w:rsidR="00DA20E7">
        <w:t xml:space="preserve">of slightly </w:t>
      </w:r>
      <w:r w:rsidR="00B4310D">
        <w:t xml:space="preserve">less </w:t>
      </w:r>
      <w:r w:rsidR="00DA20E7">
        <w:t xml:space="preserve">than 0.1 </w:t>
      </w:r>
      <w:r w:rsidR="00DD0D78">
        <w:t xml:space="preserve">that were </w:t>
      </w:r>
      <w:r w:rsidR="004F362C">
        <w:t>calibrated</w:t>
      </w:r>
      <w:r w:rsidR="008B787D">
        <w:t xml:space="preserve"> </w:t>
      </w:r>
      <w:r w:rsidR="00DF6F48">
        <w:t xml:space="preserve">in an Australian </w:t>
      </w:r>
      <w:r w:rsidR="00FA23EB">
        <w:t xml:space="preserve">CGE </w:t>
      </w:r>
      <w:r w:rsidR="00DF6F48">
        <w:t xml:space="preserve">study </w:t>
      </w:r>
      <w:r w:rsidR="00A14833" w:rsidRPr="00A14833">
        <w:rPr>
          <w:rFonts w:ascii="Arial" w:hAnsi="Arial" w:cs="Arial"/>
          <w:szCs w:val="24"/>
        </w:rPr>
        <w:t>(Dixon and Nassios 2019, p. 9)</w:t>
      </w:r>
      <w:r w:rsidR="00DF6F48">
        <w:t>.</w:t>
      </w:r>
    </w:p>
    <w:p w14:paraId="2D17915F" w14:textId="5AF7F11A" w:rsidR="00DB3EFF" w:rsidRPr="00D95618" w:rsidRDefault="00703075" w:rsidP="0087436C">
      <w:pPr>
        <w:pStyle w:val="BodyText"/>
        <w:rPr>
          <w:spacing w:val="-4"/>
        </w:rPr>
      </w:pPr>
      <w:r w:rsidRPr="00D95618">
        <w:rPr>
          <w:spacing w:val="-4"/>
        </w:rPr>
        <w:t>In the calibration process, u</w:t>
      </w:r>
      <w:r w:rsidR="00677B00" w:rsidRPr="00D95618">
        <w:rPr>
          <w:spacing w:val="-4"/>
        </w:rPr>
        <w:t>sing data on n</w:t>
      </w:r>
      <w:r w:rsidR="00DB3EFF" w:rsidRPr="00D95618">
        <w:rPr>
          <w:spacing w:val="-4"/>
        </w:rPr>
        <w:t>ormalis</w:t>
      </w:r>
      <w:r w:rsidR="00677B00" w:rsidRPr="00D95618">
        <w:rPr>
          <w:spacing w:val="-4"/>
        </w:rPr>
        <w:t>ed</w:t>
      </w:r>
      <w:r w:rsidR="00DB3EFF" w:rsidRPr="00D95618">
        <w:rPr>
          <w:spacing w:val="-4"/>
        </w:rPr>
        <w:t xml:space="preserve"> hours</w:t>
      </w:r>
      <w:r w:rsidR="00BA272D" w:rsidRPr="00D95618">
        <w:rPr>
          <w:spacing w:val="-4"/>
        </w:rPr>
        <w:t xml:space="preserve"> worked</w:t>
      </w:r>
      <w:r w:rsidR="00DB3EFF" w:rsidRPr="00D95618">
        <w:rPr>
          <w:spacing w:val="-4"/>
        </w:rPr>
        <w:t xml:space="preserve"> (</w:t>
      </w:r>
      <w:r w:rsidR="00BA272D" w:rsidRPr="00D95618">
        <w:rPr>
          <w:spacing w:val="-4"/>
        </w:rPr>
        <w:t xml:space="preserve">a </w:t>
      </w:r>
      <w:r w:rsidR="00DB3EFF" w:rsidRPr="00D95618">
        <w:rPr>
          <w:spacing w:val="-4"/>
        </w:rPr>
        <w:t xml:space="preserve">quantity </w:t>
      </w:r>
      <w:r w:rsidR="00BA272D" w:rsidRPr="00D95618">
        <w:rPr>
          <w:spacing w:val="-4"/>
        </w:rPr>
        <w:t>variable</w:t>
      </w:r>
      <w:r w:rsidR="00DB3EFF" w:rsidRPr="00D95618">
        <w:rPr>
          <w:spacing w:val="-4"/>
        </w:rPr>
        <w:t xml:space="preserve">) means that wage rates </w:t>
      </w:r>
      <w:r w:rsidR="00BA272D" w:rsidRPr="00D95618">
        <w:rPr>
          <w:spacing w:val="-4"/>
        </w:rPr>
        <w:t xml:space="preserve">(a </w:t>
      </w:r>
      <w:r w:rsidR="00DB3EFF" w:rsidRPr="00D95618">
        <w:rPr>
          <w:spacing w:val="-4"/>
        </w:rPr>
        <w:t xml:space="preserve">price </w:t>
      </w:r>
      <w:r w:rsidR="00BA272D" w:rsidRPr="00D95618">
        <w:rPr>
          <w:spacing w:val="-4"/>
        </w:rPr>
        <w:t>variable</w:t>
      </w:r>
      <w:r w:rsidR="00DB3EFF" w:rsidRPr="00D95618">
        <w:rPr>
          <w:spacing w:val="-4"/>
        </w:rPr>
        <w:t>)</w:t>
      </w:r>
      <w:r w:rsidR="00FE03CC" w:rsidRPr="00D95618">
        <w:rPr>
          <w:spacing w:val="-4"/>
        </w:rPr>
        <w:t xml:space="preserve"> are </w:t>
      </w:r>
      <w:r w:rsidR="00BD4293" w:rsidRPr="00D95618">
        <w:rPr>
          <w:spacing w:val="-4"/>
        </w:rPr>
        <w:t xml:space="preserve">estimated </w:t>
      </w:r>
      <w:r w:rsidR="004B2642" w:rsidRPr="00D95618">
        <w:rPr>
          <w:spacing w:val="-4"/>
        </w:rPr>
        <w:t xml:space="preserve">by dividing labour income values by normalised hours worked for each individual group, </w:t>
      </w:r>
      <w:r w:rsidR="00BD4293" w:rsidRPr="00D95618">
        <w:rPr>
          <w:spacing w:val="-4"/>
        </w:rPr>
        <w:t xml:space="preserve">rather than </w:t>
      </w:r>
      <w:r w:rsidR="004B2642" w:rsidRPr="00D95618">
        <w:rPr>
          <w:spacing w:val="-4"/>
        </w:rPr>
        <w:t xml:space="preserve">being </w:t>
      </w:r>
      <w:r w:rsidR="002332CA" w:rsidRPr="00D95618">
        <w:rPr>
          <w:spacing w:val="-4"/>
        </w:rPr>
        <w:t>normalised to one</w:t>
      </w:r>
      <w:r w:rsidR="004B2642" w:rsidRPr="00D95618">
        <w:rPr>
          <w:spacing w:val="-4"/>
        </w:rPr>
        <w:t xml:space="preserve"> like </w:t>
      </w:r>
      <w:r w:rsidR="002332CA" w:rsidRPr="00D95618">
        <w:rPr>
          <w:spacing w:val="-4"/>
        </w:rPr>
        <w:t>other prices</w:t>
      </w:r>
      <w:r w:rsidR="00DB3EFF" w:rsidRPr="00D95618">
        <w:rPr>
          <w:spacing w:val="-4"/>
        </w:rPr>
        <w:t xml:space="preserve">. </w:t>
      </w:r>
      <w:r w:rsidR="00F6420E" w:rsidRPr="00D95618">
        <w:rPr>
          <w:spacing w:val="-4"/>
        </w:rPr>
        <w:t>Calibrated wage</w:t>
      </w:r>
      <w:r w:rsidR="001131F2" w:rsidRPr="00D95618">
        <w:rPr>
          <w:spacing w:val="-4"/>
        </w:rPr>
        <w:t xml:space="preserve"> rates per normalised hour </w:t>
      </w:r>
      <w:r w:rsidR="00F6420E" w:rsidRPr="00D95618">
        <w:rPr>
          <w:spacing w:val="-4"/>
        </w:rPr>
        <w:t>were higher for men and more highly educated groups</w:t>
      </w:r>
      <w:r w:rsidR="00364C28" w:rsidRPr="00D95618">
        <w:rPr>
          <w:spacing w:val="-4"/>
        </w:rPr>
        <w:t xml:space="preserve">, consistent with </w:t>
      </w:r>
      <w:r w:rsidR="004E3913" w:rsidRPr="00D95618">
        <w:rPr>
          <w:spacing w:val="-4"/>
        </w:rPr>
        <w:t>actual</w:t>
      </w:r>
      <w:r w:rsidR="00364C28" w:rsidRPr="00D95618">
        <w:rPr>
          <w:spacing w:val="-4"/>
        </w:rPr>
        <w:t xml:space="preserve"> data </w:t>
      </w:r>
      <w:r w:rsidR="00B05B16" w:rsidRPr="00D95618">
        <w:rPr>
          <w:spacing w:val="-4"/>
        </w:rPr>
        <w:t>on</w:t>
      </w:r>
      <w:r w:rsidR="00364C28" w:rsidRPr="00D95618">
        <w:rPr>
          <w:spacing w:val="-4"/>
        </w:rPr>
        <w:t xml:space="preserve"> the Australian economy</w:t>
      </w:r>
      <w:r w:rsidR="00F6420E" w:rsidRPr="00D95618">
        <w:rPr>
          <w:spacing w:val="-4"/>
        </w:rPr>
        <w:t>.</w:t>
      </w:r>
    </w:p>
    <w:p w14:paraId="3CD72770" w14:textId="7FEF2A6F" w:rsidR="006975D7" w:rsidRDefault="003F3659" w:rsidP="00361EDC">
      <w:pPr>
        <w:pStyle w:val="Heading3"/>
      </w:pPr>
      <w:r>
        <w:t>Normalised time and hours worked for sensitivity testing</w:t>
      </w:r>
    </w:p>
    <w:p w14:paraId="46E9F05B" w14:textId="49A5F244" w:rsidR="00DB7D89" w:rsidRDefault="00660B1B" w:rsidP="0087436C">
      <w:pPr>
        <w:pStyle w:val="BodyText"/>
      </w:pPr>
      <w:r>
        <w:t>An alternative approach to determining the ratio of hours worked to total time was also examined, with</w:t>
      </w:r>
      <w:r w:rsidR="00D02936">
        <w:t xml:space="preserve"> </w:t>
      </w:r>
      <w:r w:rsidR="006128B7">
        <w:t xml:space="preserve">discussions of </w:t>
      </w:r>
      <w:r w:rsidR="00D02936">
        <w:t>simulations using this approach</w:t>
      </w:r>
      <w:r>
        <w:t xml:space="preserve"> </w:t>
      </w:r>
      <w:r w:rsidR="006128B7">
        <w:t xml:space="preserve">covered in the </w:t>
      </w:r>
      <w:r w:rsidR="00FE6F1A">
        <w:t xml:space="preserve">sensitivity testing </w:t>
      </w:r>
      <w:r w:rsidR="00965FBC">
        <w:t xml:space="preserve">chapter </w:t>
      </w:r>
      <w:r w:rsidR="00FE6F1A">
        <w:t>(</w:t>
      </w:r>
      <w:r w:rsidR="00965FBC">
        <w:t>chapter</w:t>
      </w:r>
      <w:r w:rsidR="004B308E">
        <w:t> </w:t>
      </w:r>
      <w:r w:rsidR="00FE6F1A">
        <w:t xml:space="preserve">4). </w:t>
      </w:r>
      <w:r w:rsidR="00DB7D89">
        <w:t xml:space="preserve">Under </w:t>
      </w:r>
      <w:r w:rsidR="00FE6F1A">
        <w:t xml:space="preserve">this approach, </w:t>
      </w:r>
      <w:r w:rsidR="00642D06">
        <w:t>a ratio of hours worked to total time was assumed in order to produce</w:t>
      </w:r>
      <w:r w:rsidR="002F601B">
        <w:t xml:space="preserve"> income elasticities of</w:t>
      </w:r>
      <w:r w:rsidR="00642D06">
        <w:t xml:space="preserve"> labour </w:t>
      </w:r>
      <w:r w:rsidR="0009360C">
        <w:t xml:space="preserve">supply </w:t>
      </w:r>
      <w:r w:rsidR="00964632">
        <w:t xml:space="preserve">closer to the range suggested in the literature. </w:t>
      </w:r>
      <w:r w:rsidR="00A00F58">
        <w:t xml:space="preserve">It was also assumed that </w:t>
      </w:r>
      <w:r w:rsidR="00277032">
        <w:t xml:space="preserve">women had </w:t>
      </w:r>
      <w:r w:rsidR="0009360C">
        <w:t xml:space="preserve">larger </w:t>
      </w:r>
      <w:r w:rsidR="00931226">
        <w:t>labour supply responses</w:t>
      </w:r>
      <w:r w:rsidR="00EC4A55">
        <w:t xml:space="preserve"> than men, and that school</w:t>
      </w:r>
      <w:r w:rsidR="004B308E">
        <w:noBreakHyphen/>
      </w:r>
      <w:r w:rsidR="00EC4A55">
        <w:t xml:space="preserve">educated groups had larger </w:t>
      </w:r>
      <w:r w:rsidR="00931226">
        <w:t xml:space="preserve">responses </w:t>
      </w:r>
      <w:r w:rsidR="00EC4A55">
        <w:t xml:space="preserve">than </w:t>
      </w:r>
      <w:r w:rsidR="00B02207">
        <w:t xml:space="preserve">more highly </w:t>
      </w:r>
      <w:r w:rsidR="0015442A">
        <w:t>educated groups</w:t>
      </w:r>
      <w:r w:rsidR="001E7A15">
        <w:t>.</w:t>
      </w:r>
      <w:r w:rsidR="001E7A15">
        <w:rPr>
          <w:rStyle w:val="FootnoteReference"/>
        </w:rPr>
        <w:footnoteReference w:id="12"/>
      </w:r>
      <w:r w:rsidR="00AC2859">
        <w:t xml:space="preserve"> </w:t>
      </w:r>
      <w:r w:rsidR="00C23988">
        <w:t xml:space="preserve">Total time available to each cohort was determined by applying the assumed </w:t>
      </w:r>
      <w:r w:rsidR="00975D6F">
        <w:t xml:space="preserve">ratios to </w:t>
      </w:r>
      <w:r w:rsidR="00C23988">
        <w:t xml:space="preserve">the </w:t>
      </w:r>
      <w:r w:rsidR="00975D6F">
        <w:t>individual group</w:t>
      </w:r>
      <w:r w:rsidR="004B308E">
        <w:noBreakHyphen/>
      </w:r>
      <w:r w:rsidR="00975D6F">
        <w:t>level n</w:t>
      </w:r>
      <w:r w:rsidR="00964632">
        <w:t xml:space="preserve">ormalised hours worked </w:t>
      </w:r>
      <w:r w:rsidR="00C23988">
        <w:t xml:space="preserve">from </w:t>
      </w:r>
      <w:r w:rsidR="00975D6F">
        <w:t xml:space="preserve">the previous </w:t>
      </w:r>
      <w:r w:rsidR="00A00F58">
        <w:t xml:space="preserve">approach. </w:t>
      </w:r>
    </w:p>
    <w:p w14:paraId="020C15D5" w14:textId="06E3F9EE" w:rsidR="00A42F65" w:rsidRDefault="00A42F65" w:rsidP="0087436C">
      <w:pPr>
        <w:pStyle w:val="BodyText"/>
      </w:pPr>
      <w:r w:rsidRPr="00151C7E">
        <w:t>Using this method</w:t>
      </w:r>
      <w:r w:rsidR="0030227E" w:rsidRPr="00151C7E">
        <w:t xml:space="preserve">, income elasticities of labour supply ranged from about </w:t>
      </w:r>
      <w:r w:rsidR="004B308E">
        <w:noBreakHyphen/>
      </w:r>
      <w:r w:rsidR="00A13814" w:rsidRPr="00151C7E">
        <w:t xml:space="preserve">0.08 for </w:t>
      </w:r>
      <w:r w:rsidR="00A455EE" w:rsidRPr="00151C7E">
        <w:t xml:space="preserve">more educated men to </w:t>
      </w:r>
      <w:r w:rsidR="00062ADF" w:rsidRPr="00151C7E">
        <w:noBreakHyphen/>
      </w:r>
      <w:r w:rsidR="00A455EE" w:rsidRPr="00151C7E">
        <w:t>0.15 for less educated women</w:t>
      </w:r>
      <w:r w:rsidR="0036422F" w:rsidRPr="00151C7E">
        <w:t xml:space="preserve">, with an aggregate elasticity of about </w:t>
      </w:r>
      <w:r w:rsidR="004B308E">
        <w:noBreakHyphen/>
      </w:r>
      <w:r w:rsidR="0036422F" w:rsidRPr="00151C7E">
        <w:t>0.1</w:t>
      </w:r>
      <w:r w:rsidR="000225A0" w:rsidRPr="00151C7E">
        <w:t>0</w:t>
      </w:r>
      <w:r w:rsidR="0036422F" w:rsidRPr="00151C7E">
        <w:t>, which is similar to that suggested in the literature</w:t>
      </w:r>
      <w:r w:rsidR="007D23A4">
        <w:t>, noted above</w:t>
      </w:r>
      <w:r w:rsidR="0036422F">
        <w:t>.</w:t>
      </w:r>
      <w:r w:rsidR="00103CF3" w:rsidDel="00C53ED1">
        <w:t xml:space="preserve"> </w:t>
      </w:r>
      <w:r w:rsidR="00C53ED1">
        <w:t>E</w:t>
      </w:r>
      <w:r w:rsidR="00103CF3">
        <w:t xml:space="preserve">lasticities of labour supply with respect to wages were </w:t>
      </w:r>
      <w:r w:rsidR="00B5566D">
        <w:t xml:space="preserve">relatively </w:t>
      </w:r>
      <w:r w:rsidR="00A2305B">
        <w:t>low</w:t>
      </w:r>
      <w:r w:rsidR="003A1771">
        <w:t>, with an aggregate elasticity of about 0.02</w:t>
      </w:r>
      <w:r w:rsidR="00B5566D">
        <w:t xml:space="preserve"> (which corresponds more closely to elasticities for married men in the literature cited above)</w:t>
      </w:r>
      <w:r w:rsidR="009423A8">
        <w:t>.</w:t>
      </w:r>
    </w:p>
    <w:p w14:paraId="0888B869" w14:textId="636A7824" w:rsidR="0087436C" w:rsidRDefault="0087436C" w:rsidP="00361EDC">
      <w:pPr>
        <w:pStyle w:val="Heading3"/>
      </w:pPr>
      <w:r>
        <w:t>Normalised unemployed hours</w:t>
      </w:r>
      <w:r w:rsidR="003F3659">
        <w:t xml:space="preserve"> for sensitivity testing</w:t>
      </w:r>
    </w:p>
    <w:p w14:paraId="065339EF" w14:textId="3623DDEE" w:rsidR="00C1161F" w:rsidRPr="00CE166D" w:rsidRDefault="004E6392" w:rsidP="00C1161F">
      <w:pPr>
        <w:pStyle w:val="BodyText"/>
        <w:rPr>
          <w:iCs/>
        </w:rPr>
      </w:pPr>
      <w:r>
        <w:rPr>
          <w:iCs/>
        </w:rPr>
        <w:t xml:space="preserve">The primary model simulations </w:t>
      </w:r>
      <w:r w:rsidR="00191FAB">
        <w:rPr>
          <w:iCs/>
        </w:rPr>
        <w:t xml:space="preserve">assume that there is no unemployment, and that labour markets fully clear. </w:t>
      </w:r>
      <w:r w:rsidR="00242531">
        <w:rPr>
          <w:iCs/>
        </w:rPr>
        <w:t xml:space="preserve">The existence of unemployment was assumed in some sensitivity testing </w:t>
      </w:r>
      <w:r w:rsidR="00093E47">
        <w:rPr>
          <w:iCs/>
        </w:rPr>
        <w:t xml:space="preserve">simulations </w:t>
      </w:r>
      <w:r w:rsidR="00242531">
        <w:rPr>
          <w:iCs/>
        </w:rPr>
        <w:t>(</w:t>
      </w:r>
      <w:r w:rsidR="00965FBC">
        <w:t>chapter</w:t>
      </w:r>
      <w:r w:rsidR="004B308E">
        <w:rPr>
          <w:iCs/>
        </w:rPr>
        <w:t> </w:t>
      </w:r>
      <w:r w:rsidR="009F0630">
        <w:rPr>
          <w:iCs/>
        </w:rPr>
        <w:t>4</w:t>
      </w:r>
      <w:r w:rsidR="00244770">
        <w:rPr>
          <w:iCs/>
        </w:rPr>
        <w:t>)</w:t>
      </w:r>
      <w:r w:rsidR="00854E29">
        <w:rPr>
          <w:iCs/>
        </w:rPr>
        <w:t>.</w:t>
      </w:r>
      <w:r w:rsidR="00242531">
        <w:rPr>
          <w:iCs/>
        </w:rPr>
        <w:t xml:space="preserve"> In these simulations,</w:t>
      </w:r>
      <w:r w:rsidR="0087436C">
        <w:rPr>
          <w:iCs/>
        </w:rPr>
        <w:t xml:space="preserve"> an initial value of normalised unemployed hours </w:t>
      </w:r>
      <w:r w:rsidR="007E768D">
        <w:rPr>
          <w:iCs/>
        </w:rPr>
        <w:t>wa</w:t>
      </w:r>
      <w:r w:rsidR="0087436C">
        <w:rPr>
          <w:iCs/>
        </w:rPr>
        <w:t xml:space="preserve">s required for each </w:t>
      </w:r>
      <w:r w:rsidR="0074740F">
        <w:rPr>
          <w:iCs/>
        </w:rPr>
        <w:t>individual group</w:t>
      </w:r>
      <w:r w:rsidR="0087436C">
        <w:rPr>
          <w:iCs/>
        </w:rPr>
        <w:t>.</w:t>
      </w:r>
      <w:r w:rsidR="0087436C" w:rsidRPr="00957DC1" w:rsidDel="008808E5">
        <w:t xml:space="preserve"> </w:t>
      </w:r>
      <w:r w:rsidR="0087436C" w:rsidRPr="00957DC1">
        <w:t>Detailed Labour Force Survey</w:t>
      </w:r>
      <w:r w:rsidR="0087436C" w:rsidRPr="00957DC1">
        <w:rPr>
          <w:iCs/>
        </w:rPr>
        <w:t xml:space="preserve"> data</w:t>
      </w:r>
      <w:r w:rsidR="0087436C">
        <w:rPr>
          <w:iCs/>
        </w:rPr>
        <w:t xml:space="preserve"> </w:t>
      </w:r>
      <w:r w:rsidR="003509E5">
        <w:rPr>
          <w:iCs/>
        </w:rPr>
        <w:t>for 2018</w:t>
      </w:r>
      <w:r w:rsidR="004B308E">
        <w:rPr>
          <w:iCs/>
        </w:rPr>
        <w:noBreakHyphen/>
      </w:r>
      <w:r w:rsidR="003509E5">
        <w:rPr>
          <w:iCs/>
        </w:rPr>
        <w:t xml:space="preserve">19 </w:t>
      </w:r>
      <w:r w:rsidR="00DA30DA" w:rsidRPr="00DA30DA">
        <w:rPr>
          <w:rFonts w:ascii="Arial" w:hAnsi="Arial" w:cs="Arial"/>
          <w:szCs w:val="24"/>
        </w:rPr>
        <w:t>(ABS 2022a)</w:t>
      </w:r>
      <w:r w:rsidR="004A7616">
        <w:rPr>
          <w:iCs/>
        </w:rPr>
        <w:t xml:space="preserve"> </w:t>
      </w:r>
      <w:r w:rsidR="0087436C">
        <w:rPr>
          <w:iCs/>
        </w:rPr>
        <w:t>was used to estimate these values. Available information on unemployment by age</w:t>
      </w:r>
      <w:r w:rsidR="004B308E">
        <w:rPr>
          <w:iCs/>
        </w:rPr>
        <w:noBreakHyphen/>
      </w:r>
      <w:r w:rsidR="0087436C">
        <w:rPr>
          <w:iCs/>
        </w:rPr>
        <w:t>sex</w:t>
      </w:r>
      <w:r w:rsidR="004B308E">
        <w:rPr>
          <w:iCs/>
        </w:rPr>
        <w:noBreakHyphen/>
      </w:r>
      <w:r w:rsidR="0087436C">
        <w:rPr>
          <w:iCs/>
        </w:rPr>
        <w:t xml:space="preserve">education group was used to inform how hours sought (available only by age and sex) might be distributed across </w:t>
      </w:r>
      <w:r w:rsidR="00485C4A">
        <w:rPr>
          <w:iCs/>
        </w:rPr>
        <w:t xml:space="preserve">different </w:t>
      </w:r>
      <w:r w:rsidR="0087436C">
        <w:rPr>
          <w:iCs/>
        </w:rPr>
        <w:t>education level</w:t>
      </w:r>
      <w:r w:rsidR="00485C4A">
        <w:rPr>
          <w:iCs/>
        </w:rPr>
        <w:t>s</w:t>
      </w:r>
      <w:r w:rsidR="0087436C">
        <w:rPr>
          <w:iCs/>
        </w:rPr>
        <w:t xml:space="preserve">. To then calculate </w:t>
      </w:r>
      <w:r w:rsidR="0087436C" w:rsidRPr="006040A1">
        <w:rPr>
          <w:i/>
        </w:rPr>
        <w:t>normalised</w:t>
      </w:r>
      <w:r w:rsidR="0087436C">
        <w:rPr>
          <w:iCs/>
        </w:rPr>
        <w:t xml:space="preserve"> unemployed hours, the ratio of hours worked to hours sought was estimated for each </w:t>
      </w:r>
      <w:r w:rsidR="0074740F">
        <w:rPr>
          <w:iCs/>
        </w:rPr>
        <w:t>group</w:t>
      </w:r>
      <w:r w:rsidR="0087436C">
        <w:rPr>
          <w:iCs/>
        </w:rPr>
        <w:t>, and applied to normalised hours worked.</w:t>
      </w:r>
    </w:p>
    <w:p w14:paraId="40FCD687" w14:textId="47DE1167" w:rsidR="00A64B87" w:rsidRDefault="00A64B87" w:rsidP="00361EDC">
      <w:pPr>
        <w:pStyle w:val="Heading2"/>
      </w:pPr>
      <w:bookmarkStart w:id="18" w:name="_Toc126176829"/>
      <w:r>
        <w:t xml:space="preserve">Other </w:t>
      </w:r>
      <w:r w:rsidR="00D82FD8">
        <w:t>individual group values</w:t>
      </w:r>
      <w:bookmarkEnd w:id="18"/>
    </w:p>
    <w:p w14:paraId="4063718D" w14:textId="0C2244D0" w:rsidR="001F4643" w:rsidRDefault="00F8686F" w:rsidP="00D82FD8">
      <w:pPr>
        <w:pStyle w:val="BodyText"/>
      </w:pPr>
      <w:r w:rsidRPr="00F8686F">
        <w:t xml:space="preserve">The value of saving by each </w:t>
      </w:r>
      <w:r w:rsidR="00AC1F83">
        <w:t xml:space="preserve">individual </w:t>
      </w:r>
      <w:r w:rsidRPr="00F8686F">
        <w:t xml:space="preserve">group was calculated as a remainder from </w:t>
      </w:r>
      <w:r w:rsidR="006860E3">
        <w:t xml:space="preserve">individual group </w:t>
      </w:r>
      <w:r w:rsidRPr="00F8686F">
        <w:t>income and expenditures.</w:t>
      </w:r>
      <w:r>
        <w:t xml:space="preserve"> </w:t>
      </w:r>
      <w:r w:rsidR="00BF1CB7">
        <w:t xml:space="preserve">For some </w:t>
      </w:r>
      <w:r w:rsidR="00E6227D">
        <w:t xml:space="preserve">individual groups </w:t>
      </w:r>
      <w:r w:rsidR="00BF1CB7">
        <w:t>(typically younger and female groups)</w:t>
      </w:r>
      <w:r w:rsidR="009C27B1">
        <w:t xml:space="preserve">, the value was negative, </w:t>
      </w:r>
      <w:r w:rsidR="00BE60C7">
        <w:t xml:space="preserve">likely because they </w:t>
      </w:r>
      <w:r w:rsidR="009124D8">
        <w:t>tend to be</w:t>
      </w:r>
      <w:r w:rsidR="00BE60C7">
        <w:t xml:space="preserve"> living in households where </w:t>
      </w:r>
      <w:r w:rsidR="00E6227D">
        <w:t>higher income earners supplement their proportional household spending</w:t>
      </w:r>
      <w:r w:rsidR="00BE60C7">
        <w:t xml:space="preserve">. </w:t>
      </w:r>
      <w:r w:rsidR="00195306">
        <w:t>The interpretation in the model is such that</w:t>
      </w:r>
      <w:r w:rsidR="002478C3">
        <w:t xml:space="preserve"> some ‘saving’ by</w:t>
      </w:r>
      <w:r w:rsidR="00681638">
        <w:t xml:space="preserve"> positive</w:t>
      </w:r>
      <w:r w:rsidR="00195306">
        <w:noBreakHyphen/>
      </w:r>
      <w:r w:rsidR="00681638">
        <w:t>saving groups</w:t>
      </w:r>
      <w:r w:rsidR="002478C3">
        <w:t xml:space="preserve"> is </w:t>
      </w:r>
      <w:r w:rsidR="00681638">
        <w:t xml:space="preserve">transferred to </w:t>
      </w:r>
      <w:r w:rsidR="00195306">
        <w:t>negative</w:t>
      </w:r>
      <w:r w:rsidR="004B308E">
        <w:noBreakHyphen/>
      </w:r>
      <w:r w:rsidR="00195306">
        <w:t xml:space="preserve">saving groups </w:t>
      </w:r>
      <w:r w:rsidR="00681638">
        <w:t xml:space="preserve">so that </w:t>
      </w:r>
      <w:r w:rsidR="00476515">
        <w:t xml:space="preserve">the latter </w:t>
      </w:r>
      <w:r w:rsidR="00681638">
        <w:t>groups can consume more</w:t>
      </w:r>
      <w:r w:rsidR="00E11530">
        <w:t>.</w:t>
      </w:r>
      <w:r w:rsidR="002478C3">
        <w:t xml:space="preserve"> </w:t>
      </w:r>
      <w:r w:rsidR="00BE60C7">
        <w:t>The sum of individual group savings</w:t>
      </w:r>
      <w:r w:rsidR="009603E3">
        <w:t xml:space="preserve"> equal</w:t>
      </w:r>
      <w:r w:rsidR="007A7EE7">
        <w:t>s</w:t>
      </w:r>
      <w:r w:rsidR="009603E3">
        <w:t xml:space="preserve"> household savings in the aggregate SAM.</w:t>
      </w:r>
    </w:p>
    <w:p w14:paraId="35B1386F" w14:textId="5506123E" w:rsidR="00D82FD8" w:rsidRPr="00D82FD8" w:rsidRDefault="00DA377F" w:rsidP="00513C7F">
      <w:pPr>
        <w:pStyle w:val="BodyText"/>
      </w:pPr>
      <w:r>
        <w:lastRenderedPageBreak/>
        <w:t xml:space="preserve">An initial quantity of utility is also required for </w:t>
      </w:r>
      <w:r w:rsidR="003070D0">
        <w:t xml:space="preserve">each </w:t>
      </w:r>
      <w:r>
        <w:t xml:space="preserve">individual group. </w:t>
      </w:r>
      <w:r w:rsidR="003070D0">
        <w:t xml:space="preserve">Utility is a </w:t>
      </w:r>
      <w:r w:rsidR="00652F3C">
        <w:t xml:space="preserve">conceptual </w:t>
      </w:r>
      <w:r w:rsidR="00BA7B66">
        <w:t>construct</w:t>
      </w:r>
      <w:r w:rsidR="00652F3C">
        <w:t xml:space="preserve">, </w:t>
      </w:r>
      <w:r w:rsidR="001425BF">
        <w:t xml:space="preserve">and is not observable in data. </w:t>
      </w:r>
      <w:r w:rsidR="001F4643">
        <w:t>Initial u</w:t>
      </w:r>
      <w:r w:rsidR="00F8686F" w:rsidRPr="00F8686F">
        <w:t>tility was normalised to be 1 per person in each group</w:t>
      </w:r>
      <w:r w:rsidR="00846DB0">
        <w:t xml:space="preserve">, which </w:t>
      </w:r>
      <w:r w:rsidR="00061399">
        <w:t>implies that each person’s utility is equally important to begin with.</w:t>
      </w:r>
      <w:r w:rsidR="00AB050F">
        <w:t xml:space="preserve"> Changes in utility values were converted to </w:t>
      </w:r>
      <w:r w:rsidR="00E56C15">
        <w:t xml:space="preserve">equivalent variation estimates (expressed in monetary terms) </w:t>
      </w:r>
      <w:r w:rsidR="00073D18">
        <w:t xml:space="preserve">for ease of interpretation </w:t>
      </w:r>
      <w:r w:rsidR="00385A35">
        <w:t>in the analysis of simulations (</w:t>
      </w:r>
      <w:r w:rsidR="00965FBC">
        <w:t>chapter</w:t>
      </w:r>
      <w:r w:rsidR="004B308E">
        <w:t> </w:t>
      </w:r>
      <w:r w:rsidR="00385A35">
        <w:t>3).</w:t>
      </w:r>
    </w:p>
    <w:p w14:paraId="1A7675AA" w14:textId="6A4700F6" w:rsidR="0087436C" w:rsidRDefault="0087436C" w:rsidP="001F47C9">
      <w:pPr>
        <w:pStyle w:val="Heading2"/>
      </w:pPr>
      <w:bookmarkStart w:id="19" w:name="_Toc126176830"/>
      <w:r>
        <w:t>Elasticities</w:t>
      </w:r>
      <w:bookmarkEnd w:id="19"/>
    </w:p>
    <w:p w14:paraId="4D8CCB15" w14:textId="5C0FFB1A" w:rsidR="0087436C" w:rsidRDefault="001A6D52" w:rsidP="0087436C">
      <w:pPr>
        <w:pStyle w:val="BodyText"/>
      </w:pPr>
      <w:r>
        <w:t>Table</w:t>
      </w:r>
      <w:r w:rsidR="004B308E">
        <w:t> </w:t>
      </w:r>
      <w:r w:rsidR="005008FB">
        <w:t>2.</w:t>
      </w:r>
      <w:r w:rsidR="00C5404E">
        <w:t>1</w:t>
      </w:r>
      <w:r w:rsidR="0087436C">
        <w:t xml:space="preserve"> outlines the </w:t>
      </w:r>
      <w:r w:rsidR="0087436C" w:rsidRPr="0091706A">
        <w:t>elasticities</w:t>
      </w:r>
      <w:r w:rsidR="0087436C">
        <w:t xml:space="preserve"> used in the model</w:t>
      </w:r>
      <w:r w:rsidR="0087436C" w:rsidRPr="0091706A">
        <w:t>,</w:t>
      </w:r>
      <w:r w:rsidR="0087436C">
        <w:t xml:space="preserve"> including</w:t>
      </w:r>
      <w:r w:rsidR="0087436C" w:rsidRPr="0091706A">
        <w:t xml:space="preserve"> </w:t>
      </w:r>
      <w:r w:rsidR="00731313">
        <w:t xml:space="preserve">the </w:t>
      </w:r>
      <w:r w:rsidR="0087436C" w:rsidRPr="0091706A">
        <w:t xml:space="preserve">values </w:t>
      </w:r>
      <w:r w:rsidR="00BB34EE">
        <w:t xml:space="preserve">used in the base </w:t>
      </w:r>
      <w:r w:rsidR="00731313">
        <w:t xml:space="preserve">model </w:t>
      </w:r>
      <w:r w:rsidR="0087436C" w:rsidRPr="0091706A">
        <w:t xml:space="preserve">and </w:t>
      </w:r>
      <w:r w:rsidR="00731313">
        <w:t xml:space="preserve">those </w:t>
      </w:r>
      <w:r w:rsidR="00BB34EE">
        <w:t xml:space="preserve">used in </w:t>
      </w:r>
      <w:r w:rsidR="0087436C" w:rsidRPr="0091706A">
        <w:t>sensitivity</w:t>
      </w:r>
      <w:r w:rsidR="0087436C">
        <w:t xml:space="preserve"> testing</w:t>
      </w:r>
      <w:r w:rsidR="009D62AE">
        <w:t xml:space="preserve"> (</w:t>
      </w:r>
      <w:r w:rsidR="00965FBC">
        <w:t>chapter</w:t>
      </w:r>
      <w:r w:rsidR="004B308E">
        <w:t> </w:t>
      </w:r>
      <w:r w:rsidR="009E3359">
        <w:t>4</w:t>
      </w:r>
      <w:r w:rsidR="009D62AE">
        <w:t>)</w:t>
      </w:r>
      <w:r w:rsidR="0087436C">
        <w:t>. The</w:t>
      </w:r>
      <w:r w:rsidR="0087436C" w:rsidDel="00D60A6A">
        <w:t xml:space="preserve"> </w:t>
      </w:r>
      <w:r w:rsidR="0087436C">
        <w:t xml:space="preserve">elasticities </w:t>
      </w:r>
      <w:r w:rsidR="00731313">
        <w:t>we</w:t>
      </w:r>
      <w:r w:rsidR="0087436C">
        <w:t>re informed by the literature and existing models where possible</w:t>
      </w:r>
      <w:r w:rsidR="00666C23">
        <w:t xml:space="preserve">, and tested </w:t>
      </w:r>
      <w:r w:rsidR="00A73815">
        <w:t xml:space="preserve">at </w:t>
      </w:r>
      <w:r w:rsidR="00DF0387">
        <w:t>a</w:t>
      </w:r>
      <w:r w:rsidR="00A73815">
        <w:t xml:space="preserve"> </w:t>
      </w:r>
      <w:r w:rsidR="00DF0387">
        <w:t xml:space="preserve">technical </w:t>
      </w:r>
      <w:r w:rsidR="00A73815">
        <w:t>workshop</w:t>
      </w:r>
      <w:r w:rsidR="008724F7">
        <w:t xml:space="preserve"> with external CGE modellers</w:t>
      </w:r>
      <w:r w:rsidR="0087436C">
        <w:t xml:space="preserve">. </w:t>
      </w:r>
      <w:r w:rsidR="000871AA">
        <w:t xml:space="preserve">Elasticities for which </w:t>
      </w:r>
      <w:r w:rsidR="00661445">
        <w:t>there was greatest uncertainty were sensitivity tested.</w:t>
      </w:r>
    </w:p>
    <w:p w14:paraId="2D57C156" w14:textId="32C14FD5" w:rsidR="0087436C" w:rsidRDefault="0087436C" w:rsidP="0087436C">
      <w:pPr>
        <w:pStyle w:val="FigureTableHeading"/>
      </w:pPr>
      <w:bookmarkStart w:id="20" w:name="_Ref115358223"/>
      <w:r>
        <w:t>Table</w:t>
      </w:r>
      <w:r w:rsidR="004B308E">
        <w:t> </w:t>
      </w:r>
      <w:r w:rsidR="005A659C">
        <w:t>2.</w:t>
      </w:r>
      <w:r w:rsidR="00D80381">
        <w:rPr>
          <w:noProof/>
        </w:rPr>
        <w:t>1</w:t>
      </w:r>
      <w:bookmarkEnd w:id="20"/>
      <w:r>
        <w:rPr>
          <w:noProof/>
        </w:rPr>
        <w:t xml:space="preserve"> – </w:t>
      </w:r>
      <w:r w:rsidR="00A421FF">
        <w:rPr>
          <w:noProof/>
        </w:rPr>
        <w:t xml:space="preserve">Assumed </w:t>
      </w:r>
      <w:r w:rsidR="00A421FF">
        <w:t>e</w:t>
      </w:r>
      <w:r>
        <w:t>lasticities</w:t>
      </w:r>
    </w:p>
    <w:tbl>
      <w:tblPr>
        <w:tblW w:w="0" w:type="auto"/>
        <w:tblBorders>
          <w:bottom w:val="single" w:sz="4" w:space="0" w:color="B3B3B3"/>
          <w:insideH w:val="single" w:sz="4" w:space="0" w:color="B3B3B3"/>
        </w:tblBorders>
        <w:shd w:val="clear" w:color="000000" w:fill="auto"/>
        <w:tblLayout w:type="fixed"/>
        <w:tblCellMar>
          <w:left w:w="0" w:type="dxa"/>
          <w:right w:w="0"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false,&quot;BandedColumns&quot;:false},&quot;Aaf&quot;:false}"/>
      </w:tblPr>
      <w:tblGrid>
        <w:gridCol w:w="1985"/>
        <w:gridCol w:w="2693"/>
        <w:gridCol w:w="1276"/>
        <w:gridCol w:w="3684"/>
      </w:tblGrid>
      <w:tr w:rsidR="000F3348" w:rsidRPr="004F4E82" w14:paraId="04A6B36E" w14:textId="77777777" w:rsidTr="000F3348">
        <w:trPr>
          <w:tblHeader/>
        </w:trPr>
        <w:tc>
          <w:tcPr>
            <w:tcW w:w="1985" w:type="dxa"/>
            <w:shd w:val="clear" w:color="000000" w:fill="auto"/>
            <w:vAlign w:val="bottom"/>
          </w:tcPr>
          <w:p w14:paraId="1AA0C64E" w14:textId="77777777" w:rsidR="0087436C" w:rsidRPr="000F3348" w:rsidRDefault="0087436C" w:rsidP="00586C93">
            <w:pPr>
              <w:pStyle w:val="TableHeading"/>
              <w:spacing w:before="45" w:after="45" w:line="260" w:lineRule="exact"/>
              <w:ind w:right="108"/>
              <w:rPr>
                <w:rFonts w:ascii="Arial (Body)" w:hAnsi="Arial (Body)"/>
                <w:color w:val="265A9A"/>
              </w:rPr>
            </w:pPr>
            <w:r w:rsidRPr="000F3348">
              <w:rPr>
                <w:rFonts w:ascii="Arial (Body)" w:hAnsi="Arial (Body)"/>
                <w:color w:val="265A9A"/>
              </w:rPr>
              <w:t>Parameter</w:t>
            </w:r>
          </w:p>
        </w:tc>
        <w:tc>
          <w:tcPr>
            <w:tcW w:w="2693" w:type="dxa"/>
            <w:shd w:val="clear" w:color="000000" w:fill="auto"/>
            <w:vAlign w:val="bottom"/>
          </w:tcPr>
          <w:p w14:paraId="24E44B72" w14:textId="77777777" w:rsidR="0087436C" w:rsidRPr="000F3348" w:rsidRDefault="0087436C" w:rsidP="00586C93">
            <w:pPr>
              <w:pStyle w:val="TableHeading"/>
              <w:spacing w:before="45" w:after="45" w:line="260" w:lineRule="exact"/>
              <w:ind w:right="108"/>
              <w:rPr>
                <w:rFonts w:ascii="Arial (Body)" w:hAnsi="Arial (Body)"/>
                <w:color w:val="265A9A"/>
              </w:rPr>
            </w:pPr>
            <w:r w:rsidRPr="000F3348">
              <w:rPr>
                <w:rFonts w:ascii="Arial (Body)" w:hAnsi="Arial (Body)"/>
                <w:color w:val="265A9A"/>
              </w:rPr>
              <w:t>Base value</w:t>
            </w:r>
          </w:p>
        </w:tc>
        <w:tc>
          <w:tcPr>
            <w:tcW w:w="1276" w:type="dxa"/>
            <w:shd w:val="clear" w:color="000000" w:fill="auto"/>
            <w:vAlign w:val="bottom"/>
          </w:tcPr>
          <w:p w14:paraId="652F153A" w14:textId="4C6148D5" w:rsidR="0087436C" w:rsidRPr="000F3348" w:rsidRDefault="004C26AC" w:rsidP="00586C93">
            <w:pPr>
              <w:pStyle w:val="TableHeading"/>
              <w:spacing w:before="45" w:after="45" w:line="260" w:lineRule="exact"/>
              <w:ind w:right="108"/>
              <w:rPr>
                <w:rFonts w:ascii="Arial (Body)" w:hAnsi="Arial (Body)"/>
                <w:color w:val="265A9A"/>
              </w:rPr>
            </w:pPr>
            <w:r w:rsidRPr="000F3348">
              <w:rPr>
                <w:rFonts w:ascii="Arial (Body)" w:hAnsi="Arial (Body)"/>
                <w:color w:val="265A9A"/>
              </w:rPr>
              <w:t>S</w:t>
            </w:r>
            <w:r w:rsidR="0087436C" w:rsidRPr="000F3348">
              <w:rPr>
                <w:rFonts w:ascii="Arial (Body)" w:hAnsi="Arial (Body)"/>
                <w:color w:val="265A9A"/>
              </w:rPr>
              <w:t>ensitivity testing</w:t>
            </w:r>
          </w:p>
        </w:tc>
        <w:tc>
          <w:tcPr>
            <w:tcW w:w="3684" w:type="dxa"/>
            <w:shd w:val="clear" w:color="000000" w:fill="auto"/>
            <w:vAlign w:val="bottom"/>
          </w:tcPr>
          <w:p w14:paraId="5A4E307B" w14:textId="77777777" w:rsidR="0087436C" w:rsidRPr="00D9242D" w:rsidRDefault="0087436C" w:rsidP="00586C93">
            <w:pPr>
              <w:pStyle w:val="TableHeading"/>
              <w:spacing w:before="45" w:after="45" w:line="260" w:lineRule="exact"/>
              <w:ind w:right="108"/>
              <w:rPr>
                <w:rFonts w:ascii="Arial (Body)" w:hAnsi="Arial (Body)"/>
                <w:color w:val="265A9A"/>
              </w:rPr>
            </w:pPr>
            <w:r w:rsidRPr="00D9242D">
              <w:rPr>
                <w:rFonts w:ascii="Arial (Body)" w:hAnsi="Arial (Body)"/>
                <w:color w:val="265A9A"/>
              </w:rPr>
              <w:t xml:space="preserve">Comments and sources </w:t>
            </w:r>
          </w:p>
        </w:tc>
      </w:tr>
      <w:tr w:rsidR="0087436C" w:rsidRPr="004F4E82" w14:paraId="123C3B86" w14:textId="77777777" w:rsidTr="000F3348">
        <w:trPr>
          <w:trHeight w:val="372"/>
        </w:trPr>
        <w:tc>
          <w:tcPr>
            <w:tcW w:w="9638" w:type="dxa"/>
            <w:gridSpan w:val="4"/>
            <w:shd w:val="clear" w:color="auto" w:fill="F2F2F2" w:themeFill="background1" w:themeFillShade="F2"/>
          </w:tcPr>
          <w:p w14:paraId="0A3E4726" w14:textId="68A75344" w:rsidR="0087436C" w:rsidRPr="00D9242D" w:rsidRDefault="0087436C" w:rsidP="00586C93">
            <w:pPr>
              <w:pStyle w:val="TableBody"/>
              <w:spacing w:before="45" w:after="45" w:line="260" w:lineRule="exact"/>
              <w:ind w:right="108"/>
              <w:rPr>
                <w:rFonts w:ascii="Arial (Body)" w:hAnsi="Arial (Body)"/>
                <w:b/>
                <w:bCs/>
                <w:iCs/>
                <w:color w:val="265A9A"/>
              </w:rPr>
            </w:pPr>
            <w:r w:rsidRPr="00D9242D">
              <w:rPr>
                <w:rFonts w:ascii="Arial (Body)" w:hAnsi="Arial (Body)"/>
                <w:b/>
                <w:bCs/>
                <w:iCs/>
                <w:color w:val="265A9A"/>
              </w:rPr>
              <w:t xml:space="preserve">Individual </w:t>
            </w:r>
            <w:r w:rsidR="0074740F" w:rsidRPr="00D9242D">
              <w:rPr>
                <w:rFonts w:ascii="Arial (Body)" w:hAnsi="Arial (Body)"/>
                <w:b/>
                <w:bCs/>
                <w:iCs/>
                <w:color w:val="265A9A"/>
              </w:rPr>
              <w:t>groups</w:t>
            </w:r>
            <w:r w:rsidR="003F6568">
              <w:rPr>
                <w:rFonts w:ascii="Arial (Body)" w:hAnsi="Arial (Body)"/>
                <w:b/>
                <w:bCs/>
                <w:iCs/>
                <w:color w:val="265A9A"/>
              </w:rPr>
              <w:t xml:space="preserve"> in household sector</w:t>
            </w:r>
          </w:p>
        </w:tc>
      </w:tr>
      <w:tr w:rsidR="000F3348" w:rsidRPr="004F4E82" w14:paraId="6E7ED671" w14:textId="77777777" w:rsidTr="000F3348">
        <w:trPr>
          <w:trHeight w:val="1066"/>
        </w:trPr>
        <w:tc>
          <w:tcPr>
            <w:tcW w:w="1985" w:type="dxa"/>
            <w:shd w:val="clear" w:color="000000" w:fill="auto"/>
          </w:tcPr>
          <w:p w14:paraId="2BC4386E" w14:textId="29B9B138" w:rsidR="0087436C" w:rsidRPr="000F3348" w:rsidRDefault="0087436C" w:rsidP="00586C93">
            <w:pPr>
              <w:pStyle w:val="TableBody"/>
              <w:spacing w:before="45" w:after="45" w:line="260" w:lineRule="exact"/>
              <w:ind w:right="108"/>
              <w:rPr>
                <w:rFonts w:ascii="Arial (Body)" w:hAnsi="Arial (Body)"/>
                <w:color w:val="000000"/>
              </w:rPr>
            </w:pPr>
            <w:r w:rsidRPr="000F3348">
              <w:rPr>
                <w:rFonts w:ascii="Arial (Body)" w:hAnsi="Arial (Body)"/>
                <w:color w:val="000000"/>
              </w:rPr>
              <w:t>CES elasticity of substitution between consumption and leisure</w:t>
            </w:r>
          </w:p>
        </w:tc>
        <w:tc>
          <w:tcPr>
            <w:tcW w:w="2693" w:type="dxa"/>
            <w:shd w:val="clear" w:color="000000" w:fill="auto"/>
          </w:tcPr>
          <w:p w14:paraId="21B5A902" w14:textId="77777777" w:rsidR="0087436C" w:rsidRPr="000F3348" w:rsidRDefault="0087436C" w:rsidP="00586C93">
            <w:pPr>
              <w:pStyle w:val="TableBody"/>
              <w:spacing w:before="45" w:after="45" w:line="260" w:lineRule="exact"/>
              <w:ind w:right="108"/>
              <w:rPr>
                <w:rFonts w:ascii="Arial (Body)" w:hAnsi="Arial (Body)"/>
                <w:color w:val="000000"/>
              </w:rPr>
            </w:pPr>
            <w:r w:rsidRPr="000F3348">
              <w:rPr>
                <w:rFonts w:ascii="Arial (Body)" w:hAnsi="Arial (Body)"/>
                <w:color w:val="000000"/>
              </w:rPr>
              <w:t>1.1</w:t>
            </w:r>
          </w:p>
        </w:tc>
        <w:tc>
          <w:tcPr>
            <w:tcW w:w="1276" w:type="dxa"/>
            <w:shd w:val="clear" w:color="000000" w:fill="auto"/>
          </w:tcPr>
          <w:p w14:paraId="0A22E2D5" w14:textId="290708A7" w:rsidR="0087436C" w:rsidRPr="000F3348" w:rsidRDefault="00F4748A" w:rsidP="00586C93">
            <w:pPr>
              <w:pStyle w:val="TableBody"/>
              <w:spacing w:before="45" w:after="45" w:line="260" w:lineRule="exact"/>
              <w:ind w:right="108"/>
              <w:rPr>
                <w:rFonts w:ascii="Arial (Body)" w:hAnsi="Arial (Body)"/>
                <w:color w:val="000000"/>
              </w:rPr>
            </w:pPr>
            <w:r w:rsidRPr="000F3348">
              <w:rPr>
                <w:rFonts w:ascii="Arial (Body)" w:hAnsi="Arial (Body)"/>
                <w:color w:val="000000"/>
              </w:rPr>
              <w:t>None</w:t>
            </w:r>
            <w:r w:rsidR="000D033F" w:rsidRPr="000F3348">
              <w:rPr>
                <w:rFonts w:ascii="Arial (Body)" w:hAnsi="Arial (Body)"/>
                <w:color w:val="000000"/>
              </w:rPr>
              <w:t xml:space="preserve"> </w:t>
            </w:r>
          </w:p>
        </w:tc>
        <w:tc>
          <w:tcPr>
            <w:tcW w:w="3684" w:type="dxa"/>
            <w:shd w:val="clear" w:color="000000" w:fill="auto"/>
          </w:tcPr>
          <w:p w14:paraId="1FF92115" w14:textId="46FDE2EE" w:rsidR="006700EA" w:rsidRPr="00D9242D" w:rsidRDefault="008C30F1" w:rsidP="00586C93">
            <w:pPr>
              <w:pStyle w:val="TableBody"/>
              <w:spacing w:before="45" w:after="45" w:line="260" w:lineRule="exact"/>
              <w:ind w:right="108"/>
              <w:rPr>
                <w:rFonts w:ascii="Arial (Body)" w:hAnsi="Arial (Body)"/>
                <w:color w:val="000000"/>
              </w:rPr>
            </w:pPr>
            <w:r w:rsidRPr="00D9242D">
              <w:rPr>
                <w:rFonts w:ascii="Arial (Body)" w:hAnsi="Arial (Body)"/>
                <w:color w:val="000000"/>
              </w:rPr>
              <w:t xml:space="preserve">Base value based on </w:t>
            </w:r>
            <w:r w:rsidR="00094810" w:rsidRPr="00D9242D">
              <w:rPr>
                <w:rFonts w:ascii="Arial (Body)" w:hAnsi="Arial (Body)"/>
                <w:color w:val="000000"/>
              </w:rPr>
              <w:t>Dixon and Nassios (2019)</w:t>
            </w:r>
            <w:r w:rsidR="00F32EC3">
              <w:rPr>
                <w:rFonts w:ascii="Arial (Body)" w:hAnsi="Arial (Body)"/>
                <w:color w:val="000000"/>
              </w:rPr>
              <w:t>.</w:t>
            </w:r>
          </w:p>
          <w:p w14:paraId="7764BBA0" w14:textId="6F704CF8" w:rsidR="0087436C" w:rsidRPr="00D9242D" w:rsidRDefault="00433A7D" w:rsidP="00586C93">
            <w:pPr>
              <w:pStyle w:val="TableBody"/>
              <w:spacing w:before="45" w:after="45" w:line="260" w:lineRule="exact"/>
              <w:ind w:right="108"/>
              <w:rPr>
                <w:rFonts w:ascii="Arial (Body)" w:hAnsi="Arial (Body)"/>
                <w:color w:val="000000"/>
              </w:rPr>
            </w:pPr>
            <w:r w:rsidRPr="00D9242D">
              <w:rPr>
                <w:rFonts w:ascii="Arial (Body)" w:hAnsi="Arial (Body)"/>
                <w:color w:val="000000"/>
              </w:rPr>
              <w:t xml:space="preserve">Background research included: </w:t>
            </w:r>
            <w:r w:rsidR="0087436C" w:rsidRPr="00D9242D">
              <w:rPr>
                <w:rFonts w:ascii="Arial (Body)" w:hAnsi="Arial (Body)"/>
                <w:color w:val="000000"/>
              </w:rPr>
              <w:t xml:space="preserve">Agbahey, Siddig and Grethe (2020); Boeters and Savard </w:t>
            </w:r>
            <w:r w:rsidR="005132CC" w:rsidRPr="00D9242D">
              <w:rPr>
                <w:rFonts w:ascii="Arial (Body)" w:hAnsi="Arial (Body)"/>
                <w:color w:val="000000"/>
              </w:rPr>
              <w:t>(2013)</w:t>
            </w:r>
            <w:r w:rsidR="0087436C" w:rsidRPr="00D9242D">
              <w:rPr>
                <w:rFonts w:ascii="Arial (Body)" w:hAnsi="Arial (Body)"/>
                <w:color w:val="000000"/>
              </w:rPr>
              <w:t>; Fox (2002); Qi (2014)</w:t>
            </w:r>
          </w:p>
        </w:tc>
      </w:tr>
      <w:tr w:rsidR="000F3348" w:rsidRPr="004F4E82" w14:paraId="0C94B2AA" w14:textId="77777777" w:rsidTr="000F3348">
        <w:trPr>
          <w:trHeight w:val="1230"/>
        </w:trPr>
        <w:tc>
          <w:tcPr>
            <w:tcW w:w="1985" w:type="dxa"/>
            <w:shd w:val="clear" w:color="000000" w:fill="auto"/>
          </w:tcPr>
          <w:p w14:paraId="12F5ADDB" w14:textId="4D93742D" w:rsidR="0087436C" w:rsidRPr="000F3348" w:rsidRDefault="0087436C" w:rsidP="00586C93">
            <w:pPr>
              <w:pStyle w:val="TableBody"/>
              <w:spacing w:before="45" w:after="45" w:line="260" w:lineRule="exact"/>
              <w:ind w:right="108"/>
              <w:rPr>
                <w:rFonts w:ascii="Arial (Body)" w:hAnsi="Arial (Body)"/>
                <w:color w:val="000000"/>
              </w:rPr>
            </w:pPr>
            <w:r w:rsidRPr="000F3348">
              <w:rPr>
                <w:rFonts w:ascii="Arial (Body)" w:hAnsi="Arial (Body)"/>
                <w:color w:val="000000"/>
              </w:rPr>
              <w:t>CES elasticity of substitution between composite consumption commodities</w:t>
            </w:r>
          </w:p>
        </w:tc>
        <w:tc>
          <w:tcPr>
            <w:tcW w:w="2693" w:type="dxa"/>
            <w:shd w:val="clear" w:color="000000" w:fill="auto"/>
          </w:tcPr>
          <w:p w14:paraId="761B6753" w14:textId="27F6D902" w:rsidR="0087436C" w:rsidRPr="000F3348" w:rsidRDefault="0087436C" w:rsidP="00586C93">
            <w:pPr>
              <w:pStyle w:val="TableBody"/>
              <w:spacing w:before="45" w:after="45" w:line="260" w:lineRule="exact"/>
              <w:ind w:right="108"/>
              <w:rPr>
                <w:rFonts w:ascii="Arial (Body)" w:hAnsi="Arial (Body)"/>
                <w:color w:val="000000"/>
              </w:rPr>
            </w:pPr>
            <w:r w:rsidRPr="000F3348">
              <w:rPr>
                <w:rFonts w:ascii="Arial (Body)" w:hAnsi="Arial (Body)"/>
                <w:color w:val="000000"/>
              </w:rPr>
              <w:t>0.5</w:t>
            </w:r>
          </w:p>
        </w:tc>
        <w:tc>
          <w:tcPr>
            <w:tcW w:w="1276" w:type="dxa"/>
            <w:shd w:val="clear" w:color="000000" w:fill="auto"/>
          </w:tcPr>
          <w:p w14:paraId="1457C0E8" w14:textId="2A42C7A4" w:rsidR="0087436C" w:rsidRPr="000F3348" w:rsidRDefault="00B24988" w:rsidP="00586C93">
            <w:pPr>
              <w:pStyle w:val="TableBody"/>
              <w:spacing w:before="45" w:after="45" w:line="260" w:lineRule="exact"/>
              <w:ind w:right="108"/>
              <w:rPr>
                <w:rFonts w:ascii="Arial (Body)" w:hAnsi="Arial (Body)"/>
                <w:color w:val="000000"/>
              </w:rPr>
            </w:pPr>
            <w:r w:rsidRPr="000F3348">
              <w:rPr>
                <w:rFonts w:ascii="Arial (Body)" w:hAnsi="Arial (Body)"/>
                <w:color w:val="000000"/>
              </w:rPr>
              <w:t xml:space="preserve">0.3 </w:t>
            </w:r>
            <w:r w:rsidR="00370952" w:rsidRPr="000F3348">
              <w:rPr>
                <w:rFonts w:ascii="Arial (Body)" w:hAnsi="Arial (Body)"/>
                <w:color w:val="000000"/>
              </w:rPr>
              <w:t>to 0.7</w:t>
            </w:r>
          </w:p>
        </w:tc>
        <w:tc>
          <w:tcPr>
            <w:tcW w:w="3684" w:type="dxa"/>
            <w:shd w:val="clear" w:color="000000" w:fill="auto"/>
          </w:tcPr>
          <w:p w14:paraId="05905189" w14:textId="4BD2A935" w:rsidR="0087436C" w:rsidRPr="00D9242D" w:rsidRDefault="00DA1EF5" w:rsidP="00586C93">
            <w:pPr>
              <w:pStyle w:val="TableBody"/>
              <w:spacing w:before="45" w:after="45" w:line="260" w:lineRule="exact"/>
              <w:ind w:right="108"/>
              <w:rPr>
                <w:rFonts w:ascii="Arial (Body)" w:hAnsi="Arial (Body)"/>
                <w:color w:val="000000"/>
              </w:rPr>
            </w:pPr>
            <w:r w:rsidRPr="00D9242D">
              <w:rPr>
                <w:rFonts w:ascii="Arial (Body)" w:hAnsi="Arial (Body)"/>
                <w:color w:val="000000"/>
              </w:rPr>
              <w:t>Hinson</w:t>
            </w:r>
            <w:r w:rsidR="008A2DDA" w:rsidRPr="00D9242D">
              <w:rPr>
                <w:rFonts w:ascii="Arial (Body)" w:hAnsi="Arial (Body)"/>
                <w:color w:val="000000"/>
              </w:rPr>
              <w:t>, Wende</w:t>
            </w:r>
            <w:r w:rsidRPr="00D9242D">
              <w:rPr>
                <w:rFonts w:ascii="Arial (Body)" w:hAnsi="Arial (Body)"/>
                <w:color w:val="000000"/>
              </w:rPr>
              <w:t xml:space="preserve"> and Womack </w:t>
            </w:r>
            <w:r w:rsidR="0045379B" w:rsidRPr="00D9242D">
              <w:rPr>
                <w:rFonts w:ascii="Arial (Body)" w:hAnsi="Arial (Body)"/>
                <w:color w:val="000000"/>
              </w:rPr>
              <w:t>(2020)</w:t>
            </w:r>
            <w:r w:rsidRPr="00D9242D">
              <w:rPr>
                <w:rFonts w:ascii="Arial (Body)" w:hAnsi="Arial (Body)"/>
                <w:color w:val="000000"/>
              </w:rPr>
              <w:t>;</w:t>
            </w:r>
            <w:r w:rsidR="0087436C" w:rsidRPr="00D9242D">
              <w:rPr>
                <w:rFonts w:ascii="Arial (Body)" w:hAnsi="Arial (Body)"/>
                <w:color w:val="000000"/>
              </w:rPr>
              <w:t xml:space="preserve"> Murphy (2018)</w:t>
            </w:r>
          </w:p>
        </w:tc>
      </w:tr>
      <w:tr w:rsidR="0087436C" w:rsidRPr="004F4E82" w14:paraId="18FFA825" w14:textId="77777777" w:rsidTr="000F3348">
        <w:trPr>
          <w:trHeight w:val="347"/>
        </w:trPr>
        <w:tc>
          <w:tcPr>
            <w:tcW w:w="9638" w:type="dxa"/>
            <w:gridSpan w:val="4"/>
            <w:shd w:val="clear" w:color="auto" w:fill="F2F2F2" w:themeFill="background1" w:themeFillShade="F2"/>
          </w:tcPr>
          <w:p w14:paraId="3F96D895" w14:textId="77777777" w:rsidR="0087436C" w:rsidRPr="00D9242D" w:rsidRDefault="0087436C" w:rsidP="00586C93">
            <w:pPr>
              <w:pStyle w:val="TableBody"/>
              <w:spacing w:before="45" w:after="45" w:line="260" w:lineRule="exact"/>
              <w:ind w:right="108"/>
              <w:rPr>
                <w:rFonts w:ascii="Arial (Body)" w:hAnsi="Arial (Body)"/>
                <w:b/>
                <w:color w:val="265A9A"/>
              </w:rPr>
            </w:pPr>
            <w:r w:rsidRPr="00D9242D">
              <w:rPr>
                <w:rFonts w:ascii="Arial (Body)" w:hAnsi="Arial (Body)"/>
                <w:b/>
                <w:bCs/>
                <w:iCs/>
                <w:color w:val="265A9A"/>
              </w:rPr>
              <w:t>Industry pro</w:t>
            </w:r>
            <w:r w:rsidRPr="00D9242D">
              <w:rPr>
                <w:rFonts w:ascii="Arial (Body)" w:hAnsi="Arial (Body)"/>
                <w:b/>
                <w:bCs/>
                <w:iCs/>
                <w:color w:val="265A9A"/>
                <w:shd w:val="clear" w:color="auto" w:fill="E0F1F7" w:themeFill="text2" w:themeFillTint="33"/>
              </w:rPr>
              <w:t>duction</w:t>
            </w:r>
          </w:p>
        </w:tc>
      </w:tr>
      <w:tr w:rsidR="000F3348" w:rsidRPr="004F4E82" w14:paraId="0C19DABD" w14:textId="77777777" w:rsidTr="000F3348">
        <w:trPr>
          <w:trHeight w:val="1548"/>
        </w:trPr>
        <w:tc>
          <w:tcPr>
            <w:tcW w:w="1985" w:type="dxa"/>
            <w:shd w:val="clear" w:color="000000" w:fill="auto"/>
          </w:tcPr>
          <w:p w14:paraId="1ED581F2" w14:textId="255E7D57" w:rsidR="0087436C" w:rsidRPr="000F3348" w:rsidRDefault="0087436C" w:rsidP="00586C93">
            <w:pPr>
              <w:pStyle w:val="TableBody"/>
              <w:spacing w:before="45" w:after="45" w:line="260" w:lineRule="exact"/>
              <w:ind w:right="108"/>
              <w:rPr>
                <w:rFonts w:ascii="Arial (Body)" w:hAnsi="Arial (Body)"/>
                <w:color w:val="000000"/>
              </w:rPr>
            </w:pPr>
            <w:r w:rsidRPr="000F3348">
              <w:rPr>
                <w:rFonts w:ascii="Arial (Body)" w:hAnsi="Arial (Body)"/>
                <w:color w:val="000000"/>
              </w:rPr>
              <w:t>CES elasticity of substitution between (composite) labour and capital</w:t>
            </w:r>
          </w:p>
        </w:tc>
        <w:tc>
          <w:tcPr>
            <w:tcW w:w="2693" w:type="dxa"/>
            <w:shd w:val="clear" w:color="000000" w:fill="auto"/>
          </w:tcPr>
          <w:p w14:paraId="7FE6E984" w14:textId="77777777" w:rsidR="0087436C" w:rsidRPr="000F3348" w:rsidRDefault="0087436C" w:rsidP="00586C93">
            <w:pPr>
              <w:pStyle w:val="TableBody"/>
              <w:spacing w:before="45" w:after="45" w:line="260" w:lineRule="exact"/>
              <w:ind w:right="108"/>
              <w:rPr>
                <w:rFonts w:ascii="Arial (Body)" w:hAnsi="Arial (Body)"/>
                <w:color w:val="000000"/>
              </w:rPr>
            </w:pPr>
            <w:r w:rsidRPr="000F3348">
              <w:rPr>
                <w:rFonts w:ascii="Arial (Body)" w:hAnsi="Arial (Body)"/>
                <w:color w:val="000000"/>
              </w:rPr>
              <w:t>0.5</w:t>
            </w:r>
          </w:p>
        </w:tc>
        <w:tc>
          <w:tcPr>
            <w:tcW w:w="1276" w:type="dxa"/>
            <w:shd w:val="clear" w:color="000000" w:fill="auto"/>
          </w:tcPr>
          <w:p w14:paraId="58996D87" w14:textId="62AC105A" w:rsidR="0087436C" w:rsidRPr="000F3348" w:rsidRDefault="008758A1" w:rsidP="00586C93">
            <w:pPr>
              <w:pStyle w:val="TableBody"/>
              <w:spacing w:before="45" w:after="45" w:line="260" w:lineRule="exact"/>
              <w:ind w:right="108"/>
              <w:rPr>
                <w:rFonts w:ascii="Arial (Body)" w:hAnsi="Arial (Body)"/>
                <w:color w:val="000000"/>
              </w:rPr>
            </w:pPr>
            <w:r w:rsidRPr="000F3348">
              <w:rPr>
                <w:rFonts w:ascii="Arial (Body)" w:hAnsi="Arial (Body)"/>
                <w:color w:val="000000"/>
              </w:rPr>
              <w:t>0.3 to 0.9</w:t>
            </w:r>
          </w:p>
        </w:tc>
        <w:tc>
          <w:tcPr>
            <w:tcW w:w="3684" w:type="dxa"/>
            <w:shd w:val="clear" w:color="000000" w:fill="auto"/>
          </w:tcPr>
          <w:p w14:paraId="1566F09F" w14:textId="7EC740E1" w:rsidR="0079190D" w:rsidRPr="00D9242D" w:rsidRDefault="008502B3" w:rsidP="00586C93">
            <w:pPr>
              <w:pStyle w:val="TableBody"/>
              <w:spacing w:before="45" w:after="45" w:line="260" w:lineRule="exact"/>
              <w:ind w:right="108"/>
              <w:rPr>
                <w:rFonts w:ascii="Arial (Body)" w:hAnsi="Arial (Body)"/>
                <w:color w:val="000000"/>
              </w:rPr>
            </w:pPr>
            <w:r w:rsidRPr="00D9242D">
              <w:rPr>
                <w:rFonts w:ascii="Arial (Body)" w:hAnsi="Arial (Body)"/>
                <w:color w:val="000000"/>
              </w:rPr>
              <w:t>Base value based on</w:t>
            </w:r>
            <w:r w:rsidR="00A16C70" w:rsidRPr="00D9242D">
              <w:rPr>
                <w:rFonts w:ascii="Arial (Body)" w:hAnsi="Arial (Body)"/>
                <w:color w:val="000000"/>
              </w:rPr>
              <w:t xml:space="preserve"> Hinson, Wende and Womack (2020)</w:t>
            </w:r>
            <w:r w:rsidR="00F32EC3">
              <w:rPr>
                <w:rFonts w:ascii="Arial (Body)" w:hAnsi="Arial (Body)"/>
                <w:color w:val="000000"/>
              </w:rPr>
              <w:t>.</w:t>
            </w:r>
          </w:p>
          <w:p w14:paraId="110BC88F" w14:textId="237F3F2C" w:rsidR="0087436C" w:rsidRPr="00D9242D" w:rsidRDefault="008502B3" w:rsidP="00586C93">
            <w:pPr>
              <w:pStyle w:val="TableBody"/>
              <w:spacing w:before="45" w:after="45" w:line="260" w:lineRule="exact"/>
              <w:ind w:right="108"/>
              <w:rPr>
                <w:rFonts w:ascii="Arial (Body)" w:hAnsi="Arial (Body)"/>
                <w:color w:val="000000"/>
              </w:rPr>
            </w:pPr>
            <w:r w:rsidRPr="00D9242D">
              <w:rPr>
                <w:rFonts w:ascii="Arial (Body)" w:hAnsi="Arial (Body)"/>
                <w:color w:val="000000"/>
              </w:rPr>
              <w:t>Background rese</w:t>
            </w:r>
            <w:r w:rsidR="00C12C01" w:rsidRPr="00D9242D">
              <w:rPr>
                <w:rFonts w:ascii="Arial (Body)" w:hAnsi="Arial (Body)"/>
                <w:color w:val="000000"/>
              </w:rPr>
              <w:t>arch included:</w:t>
            </w:r>
            <w:r w:rsidR="00F27FB0" w:rsidRPr="00D9242D">
              <w:rPr>
                <w:rFonts w:ascii="Arial (Body)" w:hAnsi="Arial (Body)"/>
                <w:color w:val="000000"/>
              </w:rPr>
              <w:t xml:space="preserve"> PCNational model (unpublished);</w:t>
            </w:r>
            <w:r w:rsidR="00C12C01" w:rsidRPr="00D9242D">
              <w:rPr>
                <w:rFonts w:ascii="Arial (Body)" w:hAnsi="Arial (Body)"/>
                <w:color w:val="000000"/>
              </w:rPr>
              <w:t xml:space="preserve"> </w:t>
            </w:r>
            <w:r w:rsidR="0087436C" w:rsidRPr="00D9242D">
              <w:rPr>
                <w:rFonts w:ascii="Arial (Body)" w:hAnsi="Arial (Body)"/>
                <w:color w:val="000000"/>
              </w:rPr>
              <w:t xml:space="preserve">Bullen et al. (2021); </w:t>
            </w:r>
            <w:r w:rsidR="00DB0509" w:rsidRPr="00D9242D">
              <w:rPr>
                <w:rFonts w:ascii="Arial (Body)" w:hAnsi="Arial (Body)"/>
                <w:color w:val="000000"/>
              </w:rPr>
              <w:t xml:space="preserve">Cheong and Sonnenschein (2012); </w:t>
            </w:r>
            <w:r w:rsidR="0079190D" w:rsidRPr="00D9242D">
              <w:rPr>
                <w:rFonts w:ascii="Arial (Body)" w:hAnsi="Arial (Body)"/>
                <w:color w:val="000000"/>
              </w:rPr>
              <w:t xml:space="preserve">Gechert et al. (2019); </w:t>
            </w:r>
            <w:r w:rsidR="0087436C" w:rsidRPr="00D9242D">
              <w:rPr>
                <w:rFonts w:ascii="Arial (Body)" w:hAnsi="Arial (Body)"/>
                <w:color w:val="000000"/>
              </w:rPr>
              <w:t>Kopecna, Scasny and Recka (2020); KPMG Econtech (2010); Independent Economics (2015); Murphy (2018)</w:t>
            </w:r>
            <w:r w:rsidR="00D673A9" w:rsidRPr="00D9242D">
              <w:rPr>
                <w:rFonts w:ascii="Arial (Body)" w:hAnsi="Arial (Body)"/>
                <w:color w:val="000000"/>
              </w:rPr>
              <w:t>; Sanchez (2004)</w:t>
            </w:r>
          </w:p>
        </w:tc>
      </w:tr>
      <w:tr w:rsidR="000F3348" w:rsidRPr="004F4E82" w14:paraId="33DE3F75" w14:textId="77777777" w:rsidTr="000F3348">
        <w:trPr>
          <w:trHeight w:val="633"/>
        </w:trPr>
        <w:tc>
          <w:tcPr>
            <w:tcW w:w="1985" w:type="dxa"/>
            <w:shd w:val="clear" w:color="000000" w:fill="auto"/>
          </w:tcPr>
          <w:p w14:paraId="56E92E65" w14:textId="1D08C8DE" w:rsidR="0087436C" w:rsidRPr="000F3348" w:rsidRDefault="0087436C" w:rsidP="00586C93">
            <w:pPr>
              <w:pStyle w:val="TableBody"/>
              <w:spacing w:before="45" w:after="45" w:line="260" w:lineRule="exact"/>
              <w:ind w:right="108"/>
              <w:rPr>
                <w:rFonts w:ascii="Arial (Body)" w:hAnsi="Arial (Body)"/>
                <w:color w:val="000000"/>
              </w:rPr>
            </w:pPr>
            <w:r w:rsidRPr="000F3348">
              <w:rPr>
                <w:rFonts w:ascii="Arial (Body)" w:hAnsi="Arial (Body)"/>
                <w:color w:val="000000"/>
              </w:rPr>
              <w:t>CES elasticity of substitution between different types of labour</w:t>
            </w:r>
          </w:p>
        </w:tc>
        <w:tc>
          <w:tcPr>
            <w:tcW w:w="2693" w:type="dxa"/>
            <w:shd w:val="clear" w:color="000000" w:fill="auto"/>
          </w:tcPr>
          <w:p w14:paraId="4AA5B933" w14:textId="0C8154D1" w:rsidR="0087436C" w:rsidRPr="000F3348" w:rsidRDefault="00B3083F" w:rsidP="00586C93">
            <w:pPr>
              <w:pStyle w:val="TableBody"/>
              <w:spacing w:before="45" w:after="45" w:line="260" w:lineRule="exact"/>
              <w:ind w:right="108"/>
              <w:rPr>
                <w:rFonts w:ascii="Arial (Body)" w:hAnsi="Arial (Body)"/>
                <w:color w:val="000000"/>
              </w:rPr>
            </w:pPr>
            <w:r w:rsidRPr="000F3348">
              <w:rPr>
                <w:rFonts w:ascii="Arial (Body)" w:hAnsi="Arial (Body)"/>
                <w:color w:val="000000"/>
              </w:rPr>
              <w:t>4</w:t>
            </w:r>
            <w:r w:rsidR="0087436C" w:rsidRPr="000F3348">
              <w:rPr>
                <w:rFonts w:ascii="Arial (Body)" w:hAnsi="Arial (Body)"/>
                <w:color w:val="000000"/>
              </w:rPr>
              <w:t xml:space="preserve"> (by age</w:t>
            </w:r>
            <w:r w:rsidR="004B308E">
              <w:rPr>
                <w:rFonts w:ascii="Arial (Body)" w:hAnsi="Arial (Body)"/>
                <w:color w:val="000000"/>
              </w:rPr>
              <w:noBreakHyphen/>
            </w:r>
            <w:r w:rsidR="0087436C" w:rsidRPr="000F3348">
              <w:rPr>
                <w:rFonts w:ascii="Arial (Body)" w:hAnsi="Arial (Body)"/>
                <w:color w:val="000000"/>
              </w:rPr>
              <w:t>sex)</w:t>
            </w:r>
          </w:p>
          <w:p w14:paraId="52BEB191" w14:textId="0AB342BB" w:rsidR="0087436C" w:rsidRPr="000F3348" w:rsidRDefault="00B3083F" w:rsidP="00586C93">
            <w:pPr>
              <w:pStyle w:val="TableBody"/>
              <w:spacing w:before="45" w:after="45" w:line="260" w:lineRule="exact"/>
              <w:ind w:right="108"/>
              <w:rPr>
                <w:rFonts w:ascii="Arial (Body)" w:hAnsi="Arial (Body)"/>
                <w:color w:val="000000"/>
              </w:rPr>
            </w:pPr>
            <w:r w:rsidRPr="000F3348">
              <w:rPr>
                <w:rFonts w:ascii="Arial (Body)" w:hAnsi="Arial (Body)"/>
                <w:color w:val="000000"/>
              </w:rPr>
              <w:t>3</w:t>
            </w:r>
            <w:r w:rsidR="0087436C" w:rsidRPr="000F3348">
              <w:rPr>
                <w:rFonts w:ascii="Arial (Body)" w:hAnsi="Arial (Body)"/>
                <w:color w:val="000000"/>
              </w:rPr>
              <w:t xml:space="preserve"> (by education)</w:t>
            </w:r>
          </w:p>
        </w:tc>
        <w:tc>
          <w:tcPr>
            <w:tcW w:w="1276" w:type="dxa"/>
            <w:shd w:val="clear" w:color="000000" w:fill="auto"/>
          </w:tcPr>
          <w:p w14:paraId="78AEF1EC" w14:textId="7BE86044" w:rsidR="0087436C" w:rsidRPr="000F3348" w:rsidRDefault="0062091B" w:rsidP="00586C93">
            <w:pPr>
              <w:pStyle w:val="TableBody"/>
              <w:spacing w:before="45" w:after="45" w:line="260" w:lineRule="exact"/>
              <w:ind w:right="108"/>
              <w:rPr>
                <w:rFonts w:ascii="Arial (Body)" w:hAnsi="Arial (Body)"/>
                <w:color w:val="000000"/>
              </w:rPr>
            </w:pPr>
            <w:r w:rsidRPr="000F3348">
              <w:rPr>
                <w:rFonts w:ascii="Arial (Body)" w:hAnsi="Arial (Body)"/>
                <w:color w:val="000000"/>
              </w:rPr>
              <w:t>2.0</w:t>
            </w:r>
            <w:r w:rsidR="00B3083F" w:rsidRPr="000F3348">
              <w:rPr>
                <w:rFonts w:ascii="Arial (Body)" w:hAnsi="Arial (Body)"/>
                <w:color w:val="000000"/>
              </w:rPr>
              <w:t xml:space="preserve"> to </w:t>
            </w:r>
            <w:r w:rsidR="000A7DA3" w:rsidRPr="000F3348">
              <w:rPr>
                <w:rFonts w:ascii="Arial (Body)" w:hAnsi="Arial (Body)"/>
                <w:color w:val="000000"/>
              </w:rPr>
              <w:t>6</w:t>
            </w:r>
            <w:r w:rsidR="009E7EE9" w:rsidRPr="000F3348">
              <w:rPr>
                <w:rFonts w:ascii="Arial (Body)" w:hAnsi="Arial (Body)"/>
                <w:color w:val="000000"/>
              </w:rPr>
              <w:t xml:space="preserve">.0 </w:t>
            </w:r>
            <w:r w:rsidR="00B3083F" w:rsidRPr="000F3348">
              <w:rPr>
                <w:rFonts w:ascii="Arial (Body)" w:hAnsi="Arial (Body)"/>
                <w:color w:val="000000"/>
              </w:rPr>
              <w:t>(by age</w:t>
            </w:r>
            <w:r w:rsidR="004B308E">
              <w:rPr>
                <w:rFonts w:ascii="Arial (Body)" w:hAnsi="Arial (Body)"/>
                <w:color w:val="000000"/>
              </w:rPr>
              <w:noBreakHyphen/>
            </w:r>
            <w:r w:rsidR="00B3083F" w:rsidRPr="000F3348">
              <w:rPr>
                <w:rFonts w:ascii="Arial (Body)" w:hAnsi="Arial (Body)"/>
                <w:color w:val="000000"/>
              </w:rPr>
              <w:t>sex)</w:t>
            </w:r>
          </w:p>
          <w:p w14:paraId="7E4A7F36" w14:textId="6752C1EC" w:rsidR="00B3083F" w:rsidRPr="000F3348" w:rsidRDefault="008C1055" w:rsidP="00586C93">
            <w:pPr>
              <w:pStyle w:val="TableBody"/>
              <w:spacing w:before="45" w:after="45" w:line="260" w:lineRule="exact"/>
              <w:ind w:right="108"/>
              <w:rPr>
                <w:rFonts w:ascii="Arial (Body)" w:hAnsi="Arial (Body)"/>
                <w:color w:val="000000"/>
              </w:rPr>
            </w:pPr>
            <w:r w:rsidRPr="000F3348">
              <w:rPr>
                <w:rFonts w:ascii="Arial (Body)" w:hAnsi="Arial (Body)"/>
                <w:color w:val="000000"/>
              </w:rPr>
              <w:t>1.5</w:t>
            </w:r>
            <w:r w:rsidR="00B3083F" w:rsidRPr="000F3348">
              <w:rPr>
                <w:rFonts w:ascii="Arial (Body)" w:hAnsi="Arial (Body)"/>
                <w:color w:val="000000"/>
              </w:rPr>
              <w:t xml:space="preserve"> to </w:t>
            </w:r>
            <w:r w:rsidR="009259B3" w:rsidRPr="000F3348">
              <w:rPr>
                <w:rFonts w:ascii="Arial (Body)" w:hAnsi="Arial (Body)"/>
                <w:color w:val="000000"/>
              </w:rPr>
              <w:t xml:space="preserve">5.0 </w:t>
            </w:r>
            <w:r w:rsidR="00B3083F" w:rsidRPr="000F3348">
              <w:rPr>
                <w:rFonts w:ascii="Arial (Body)" w:hAnsi="Arial (Body)"/>
                <w:color w:val="000000"/>
              </w:rPr>
              <w:t>(by education)</w:t>
            </w:r>
          </w:p>
          <w:p w14:paraId="6A83DA4D" w14:textId="77777777" w:rsidR="0087436C" w:rsidRPr="000F3348" w:rsidRDefault="0087436C" w:rsidP="00586C93">
            <w:pPr>
              <w:pStyle w:val="TableBody"/>
              <w:spacing w:before="45" w:after="45" w:line="260" w:lineRule="exact"/>
              <w:ind w:right="108"/>
              <w:rPr>
                <w:rFonts w:ascii="Arial (Body)" w:hAnsi="Arial (Body)"/>
                <w:color w:val="000000"/>
              </w:rPr>
            </w:pPr>
          </w:p>
        </w:tc>
        <w:tc>
          <w:tcPr>
            <w:tcW w:w="3684" w:type="dxa"/>
            <w:shd w:val="clear" w:color="000000" w:fill="auto"/>
          </w:tcPr>
          <w:p w14:paraId="2EC82A61" w14:textId="014DC97D" w:rsidR="000049A6" w:rsidRPr="00D9242D" w:rsidRDefault="000049A6" w:rsidP="00586C93">
            <w:pPr>
              <w:pStyle w:val="TableBody"/>
              <w:spacing w:before="45" w:after="45" w:line="260" w:lineRule="exact"/>
              <w:ind w:right="108"/>
              <w:rPr>
                <w:rFonts w:ascii="Arial (Body)" w:hAnsi="Arial (Body)"/>
                <w:color w:val="000000"/>
              </w:rPr>
            </w:pPr>
            <w:r w:rsidRPr="00D9242D">
              <w:rPr>
                <w:rFonts w:ascii="Arial (Body)" w:hAnsi="Arial (Body)"/>
                <w:color w:val="000000"/>
              </w:rPr>
              <w:t>Values based on feedback from modelling workshop participants.</w:t>
            </w:r>
          </w:p>
          <w:p w14:paraId="5F5AA7A5" w14:textId="1F4CFB10" w:rsidR="0087436C" w:rsidRPr="00D9242D" w:rsidRDefault="000049A6" w:rsidP="00586C93">
            <w:pPr>
              <w:pStyle w:val="TableBody"/>
              <w:spacing w:before="45" w:after="45" w:line="260" w:lineRule="exact"/>
              <w:ind w:right="108"/>
              <w:rPr>
                <w:rFonts w:ascii="Arial (Body)" w:hAnsi="Arial (Body)"/>
                <w:color w:val="000000"/>
              </w:rPr>
            </w:pPr>
            <w:r w:rsidRPr="00D9242D">
              <w:rPr>
                <w:rFonts w:ascii="Arial (Body)" w:hAnsi="Arial (Body)"/>
                <w:color w:val="000000"/>
              </w:rPr>
              <w:t xml:space="preserve">Background research included: </w:t>
            </w:r>
            <w:r w:rsidR="0087436C" w:rsidRPr="00D9242D">
              <w:rPr>
                <w:rFonts w:ascii="Arial (Body)" w:hAnsi="Arial (Body)"/>
                <w:color w:val="000000"/>
              </w:rPr>
              <w:t xml:space="preserve">Autor (2018); Blankenau and Cassou (2011); </w:t>
            </w:r>
            <w:r w:rsidR="00640034" w:rsidRPr="00D9242D">
              <w:rPr>
                <w:rFonts w:ascii="Arial (Body)" w:hAnsi="Arial (Body)"/>
                <w:color w:val="000000"/>
              </w:rPr>
              <w:t xml:space="preserve">Cheong and Sonnenschein (2012); </w:t>
            </w:r>
            <w:r w:rsidR="00B65033" w:rsidRPr="00D9242D">
              <w:rPr>
                <w:rFonts w:ascii="Arial (Body)" w:hAnsi="Arial (Body)"/>
                <w:color w:val="000000"/>
              </w:rPr>
              <w:t xml:space="preserve">De Giorgi (2013); Ghosh (2018); Guisinger (2020); Havranek et al. (2020); Jerzmanowski and Tamura (2020); KPMG </w:t>
            </w:r>
            <w:r w:rsidR="00B65033" w:rsidRPr="00D9242D">
              <w:rPr>
                <w:rFonts w:ascii="Arial (Body)" w:hAnsi="Arial (Body)"/>
                <w:color w:val="000000"/>
              </w:rPr>
              <w:lastRenderedPageBreak/>
              <w:t xml:space="preserve">Econtech (2010); Merette (2007); </w:t>
            </w:r>
            <w:r w:rsidR="0087436C" w:rsidRPr="00D9242D">
              <w:rPr>
                <w:rFonts w:ascii="Arial (Body)" w:hAnsi="Arial (Body)"/>
                <w:color w:val="000000"/>
              </w:rPr>
              <w:t>Murphy (2018)</w:t>
            </w:r>
          </w:p>
        </w:tc>
      </w:tr>
      <w:tr w:rsidR="0087436C" w:rsidRPr="004F4E82" w14:paraId="435F38EC" w14:textId="77777777" w:rsidTr="000F3348">
        <w:trPr>
          <w:trHeight w:val="44"/>
        </w:trPr>
        <w:tc>
          <w:tcPr>
            <w:tcW w:w="9638" w:type="dxa"/>
            <w:gridSpan w:val="4"/>
            <w:shd w:val="clear" w:color="auto" w:fill="F2F2F2" w:themeFill="background1" w:themeFillShade="F2"/>
          </w:tcPr>
          <w:p w14:paraId="70352F29" w14:textId="77777777" w:rsidR="0087436C" w:rsidRPr="00D9242D" w:rsidRDefault="0087436C" w:rsidP="00586C93">
            <w:pPr>
              <w:pStyle w:val="TableBody"/>
              <w:spacing w:before="45" w:after="45" w:line="260" w:lineRule="exact"/>
              <w:ind w:right="108"/>
              <w:rPr>
                <w:rFonts w:ascii="Arial (Body)" w:hAnsi="Arial (Body)"/>
                <w:b/>
                <w:color w:val="265A9A"/>
              </w:rPr>
            </w:pPr>
            <w:r w:rsidRPr="00D9242D">
              <w:rPr>
                <w:rFonts w:ascii="Arial (Body)" w:hAnsi="Arial (Body)"/>
                <w:b/>
                <w:bCs/>
                <w:iCs/>
                <w:color w:val="265A9A"/>
              </w:rPr>
              <w:lastRenderedPageBreak/>
              <w:t>Trade</w:t>
            </w:r>
          </w:p>
        </w:tc>
      </w:tr>
      <w:tr w:rsidR="000F3348" w:rsidRPr="004F4E82" w14:paraId="2A1D6957" w14:textId="77777777" w:rsidTr="000F3348">
        <w:trPr>
          <w:trHeight w:val="688"/>
        </w:trPr>
        <w:tc>
          <w:tcPr>
            <w:tcW w:w="1985" w:type="dxa"/>
            <w:shd w:val="clear" w:color="000000" w:fill="auto"/>
          </w:tcPr>
          <w:p w14:paraId="3717877B" w14:textId="3F882354" w:rsidR="0087436C" w:rsidRPr="000F3348" w:rsidRDefault="0087436C" w:rsidP="00586C93">
            <w:pPr>
              <w:pStyle w:val="TableBody"/>
              <w:spacing w:before="45" w:after="45" w:line="260" w:lineRule="exact"/>
              <w:ind w:right="108"/>
              <w:rPr>
                <w:rFonts w:ascii="Arial (Body)" w:hAnsi="Arial (Body)"/>
                <w:color w:val="000000"/>
              </w:rPr>
            </w:pPr>
            <w:r w:rsidRPr="000F3348">
              <w:rPr>
                <w:rFonts w:ascii="Arial (Body)" w:hAnsi="Arial (Body)"/>
                <w:color w:val="000000"/>
              </w:rPr>
              <w:t xml:space="preserve">CES elasticity of substitution between domestic </w:t>
            </w:r>
            <w:r w:rsidR="00A63FAD">
              <w:rPr>
                <w:rFonts w:ascii="Arial (Body)" w:hAnsi="Arial (Body)"/>
                <w:color w:val="000000"/>
              </w:rPr>
              <w:t xml:space="preserve">and imported commodities </w:t>
            </w:r>
            <w:r w:rsidR="00895026" w:rsidRPr="000F3348">
              <w:rPr>
                <w:rFonts w:ascii="Arial (Body)" w:hAnsi="Arial (Body)"/>
                <w:color w:val="000000"/>
              </w:rPr>
              <w:t>—</w:t>
            </w:r>
            <w:r w:rsidRPr="000F3348">
              <w:rPr>
                <w:rFonts w:ascii="Arial (Body)" w:hAnsi="Arial (Body)" w:hint="eastAsia"/>
                <w:color w:val="000000"/>
              </w:rPr>
              <w:t xml:space="preserve"> </w:t>
            </w:r>
            <w:r w:rsidRPr="000F3348">
              <w:rPr>
                <w:rFonts w:ascii="Arial (Body)" w:hAnsi="Arial (Body)"/>
                <w:color w:val="000000"/>
              </w:rPr>
              <w:t>for household</w:t>
            </w:r>
            <w:r w:rsidR="00DE7E12" w:rsidRPr="000F3348">
              <w:rPr>
                <w:rFonts w:ascii="Arial (Body)" w:hAnsi="Arial (Body)"/>
                <w:color w:val="000000"/>
              </w:rPr>
              <w:t xml:space="preserve">, production, </w:t>
            </w:r>
            <w:r w:rsidRPr="000F3348">
              <w:rPr>
                <w:rFonts w:ascii="Arial (Body)" w:hAnsi="Arial (Body)"/>
                <w:color w:val="000000"/>
              </w:rPr>
              <w:t>government and investment sector</w:t>
            </w:r>
            <w:r w:rsidR="00DE7E12" w:rsidRPr="000F3348">
              <w:rPr>
                <w:rFonts w:ascii="Arial (Body)" w:hAnsi="Arial (Body)"/>
                <w:color w:val="000000"/>
              </w:rPr>
              <w:t>s</w:t>
            </w:r>
          </w:p>
        </w:tc>
        <w:tc>
          <w:tcPr>
            <w:tcW w:w="2693" w:type="dxa"/>
            <w:shd w:val="clear" w:color="000000" w:fill="auto"/>
          </w:tcPr>
          <w:p w14:paraId="4CD69FDD" w14:textId="77777777" w:rsidR="00EF2A2A" w:rsidRPr="000F3348" w:rsidRDefault="00EF2A2A" w:rsidP="00586C93">
            <w:pPr>
              <w:pStyle w:val="TableBody"/>
              <w:spacing w:before="45" w:after="45" w:line="260" w:lineRule="exact"/>
              <w:ind w:right="108"/>
              <w:rPr>
                <w:rFonts w:ascii="Arial (Body)" w:hAnsi="Arial (Body)"/>
                <w:color w:val="000000"/>
              </w:rPr>
            </w:pPr>
            <w:r w:rsidRPr="000F3348">
              <w:rPr>
                <w:rFonts w:ascii="Arial (Body)" w:hAnsi="Arial (Body)"/>
                <w:color w:val="000000"/>
              </w:rPr>
              <w:t>1.12 (agriculture, forestry and fishing)</w:t>
            </w:r>
          </w:p>
          <w:p w14:paraId="562BD5DE" w14:textId="6899D589" w:rsidR="000C2A2C" w:rsidRPr="000F3348" w:rsidRDefault="000C2A2C" w:rsidP="00586C93">
            <w:pPr>
              <w:pStyle w:val="TableBody"/>
              <w:spacing w:before="45" w:after="45" w:line="260" w:lineRule="exact"/>
              <w:ind w:right="108"/>
              <w:rPr>
                <w:rFonts w:ascii="Arial (Body)" w:hAnsi="Arial (Body)"/>
                <w:color w:val="000000"/>
              </w:rPr>
            </w:pPr>
            <w:r w:rsidRPr="000F3348">
              <w:rPr>
                <w:rFonts w:ascii="Arial (Body)" w:hAnsi="Arial (Body)"/>
                <w:color w:val="000000"/>
              </w:rPr>
              <w:t>3.</w:t>
            </w:r>
            <w:r w:rsidR="002301E5" w:rsidRPr="000F3348">
              <w:rPr>
                <w:rFonts w:ascii="Arial (Body)" w:hAnsi="Arial (Body)"/>
                <w:color w:val="000000"/>
              </w:rPr>
              <w:t>42 (mining)</w:t>
            </w:r>
          </w:p>
          <w:p w14:paraId="063A1895" w14:textId="77777777" w:rsidR="00EF2A2A" w:rsidRPr="000F3348" w:rsidRDefault="00EF2A2A" w:rsidP="00586C93">
            <w:pPr>
              <w:pStyle w:val="TableBody"/>
              <w:spacing w:before="45" w:after="45" w:line="260" w:lineRule="exact"/>
              <w:ind w:right="108"/>
              <w:rPr>
                <w:rFonts w:ascii="Arial (Body)" w:hAnsi="Arial (Body)"/>
                <w:color w:val="000000"/>
              </w:rPr>
            </w:pPr>
            <w:r w:rsidRPr="000F3348">
              <w:rPr>
                <w:rFonts w:ascii="Arial (Body)" w:hAnsi="Arial (Body)"/>
                <w:color w:val="000000"/>
              </w:rPr>
              <w:t>2.12 (advanced manufacturing)</w:t>
            </w:r>
          </w:p>
          <w:p w14:paraId="6FDAC5C7" w14:textId="45427DD8" w:rsidR="00877B11" w:rsidRPr="000F3348" w:rsidRDefault="00877B11" w:rsidP="00586C93">
            <w:pPr>
              <w:pStyle w:val="TableBody"/>
              <w:spacing w:before="45" w:after="45" w:line="260" w:lineRule="exact"/>
              <w:ind w:right="108"/>
              <w:rPr>
                <w:rFonts w:ascii="Arial (Body)" w:hAnsi="Arial (Body)"/>
                <w:color w:val="000000"/>
              </w:rPr>
            </w:pPr>
            <w:r w:rsidRPr="000F3348">
              <w:rPr>
                <w:rFonts w:ascii="Arial (Body)" w:hAnsi="Arial (Body)"/>
                <w:color w:val="000000"/>
              </w:rPr>
              <w:t>2.69 (other manufacturing)</w:t>
            </w:r>
          </w:p>
          <w:p w14:paraId="6C01E6C4" w14:textId="77777777" w:rsidR="00EF2A2A" w:rsidRPr="000F3348" w:rsidRDefault="00EF2A2A" w:rsidP="00586C93">
            <w:pPr>
              <w:pStyle w:val="TableBody"/>
              <w:spacing w:before="45" w:after="45" w:line="260" w:lineRule="exact"/>
              <w:ind w:right="108"/>
              <w:rPr>
                <w:rFonts w:ascii="Arial (Body)" w:hAnsi="Arial (Body)"/>
                <w:color w:val="000000"/>
              </w:rPr>
            </w:pPr>
            <w:r w:rsidRPr="000F3348">
              <w:rPr>
                <w:rFonts w:ascii="Arial (Body)" w:hAnsi="Arial (Body)"/>
                <w:color w:val="000000"/>
              </w:rPr>
              <w:t>0.25 (transport and wholesale)</w:t>
            </w:r>
          </w:p>
          <w:p w14:paraId="1CB55A0B" w14:textId="3997DD79" w:rsidR="0087436C" w:rsidRPr="000F3348" w:rsidRDefault="00CD5AD3" w:rsidP="00586C93">
            <w:pPr>
              <w:pStyle w:val="TableBody"/>
              <w:spacing w:before="45" w:after="45" w:line="260" w:lineRule="exact"/>
              <w:ind w:right="108"/>
              <w:rPr>
                <w:rFonts w:ascii="Arial (Body)" w:hAnsi="Arial (Body)"/>
                <w:color w:val="000000"/>
              </w:rPr>
            </w:pPr>
            <w:r w:rsidRPr="000F3348">
              <w:rPr>
                <w:rFonts w:ascii="Arial (Body)" w:hAnsi="Arial (Body)"/>
                <w:color w:val="000000"/>
              </w:rPr>
              <w:t>0.3</w:t>
            </w:r>
            <w:r w:rsidR="00A63FAD">
              <w:rPr>
                <w:rFonts w:ascii="Arial (Body)" w:hAnsi="Arial (Body)"/>
                <w:color w:val="000000"/>
              </w:rPr>
              <w:t>0</w:t>
            </w:r>
            <w:r w:rsidR="0087436C" w:rsidRPr="000F3348">
              <w:rPr>
                <w:rFonts w:ascii="Arial (Body)" w:hAnsi="Arial (Body)"/>
                <w:color w:val="000000"/>
              </w:rPr>
              <w:t xml:space="preserve"> (</w:t>
            </w:r>
            <w:r w:rsidR="00AE34CD" w:rsidRPr="000F3348">
              <w:rPr>
                <w:rFonts w:ascii="Arial (Body)" w:hAnsi="Arial (Body)"/>
                <w:color w:val="000000"/>
              </w:rPr>
              <w:t>hospitality</w:t>
            </w:r>
            <w:r w:rsidR="008471A0" w:rsidRPr="000F3348">
              <w:rPr>
                <w:rFonts w:ascii="Arial (Body)" w:hAnsi="Arial (Body)"/>
                <w:color w:val="000000"/>
              </w:rPr>
              <w:t>;</w:t>
            </w:r>
            <w:r w:rsidR="00AE34CD" w:rsidRPr="000F3348">
              <w:rPr>
                <w:rFonts w:ascii="Arial (Body)" w:hAnsi="Arial (Body)"/>
                <w:color w:val="000000"/>
              </w:rPr>
              <w:t xml:space="preserve"> </w:t>
            </w:r>
            <w:r w:rsidR="008A6167" w:rsidRPr="000F3348">
              <w:rPr>
                <w:rFonts w:ascii="Arial (Body)" w:hAnsi="Arial (Body)"/>
                <w:color w:val="000000"/>
              </w:rPr>
              <w:t>te</w:t>
            </w:r>
            <w:r w:rsidR="00F919CD" w:rsidRPr="000F3348">
              <w:rPr>
                <w:rFonts w:ascii="Arial (Body)" w:hAnsi="Arial (Body)"/>
                <w:color w:val="000000"/>
              </w:rPr>
              <w:t>chnology and telecommunications</w:t>
            </w:r>
            <w:r w:rsidR="008471A0" w:rsidRPr="000F3348">
              <w:rPr>
                <w:rFonts w:ascii="Arial (Body)" w:hAnsi="Arial (Body)"/>
                <w:color w:val="000000"/>
              </w:rPr>
              <w:t>;</w:t>
            </w:r>
            <w:r w:rsidR="00F919CD" w:rsidRPr="000F3348">
              <w:rPr>
                <w:rFonts w:ascii="Arial (Body)" w:hAnsi="Arial (Body)"/>
                <w:color w:val="000000"/>
              </w:rPr>
              <w:t xml:space="preserve"> </w:t>
            </w:r>
            <w:r w:rsidR="00D5123E" w:rsidRPr="000F3348">
              <w:rPr>
                <w:rFonts w:ascii="Arial (Body)" w:hAnsi="Arial (Body)"/>
                <w:color w:val="000000"/>
              </w:rPr>
              <w:t>professional, scientific and technical services</w:t>
            </w:r>
            <w:r w:rsidR="008471A0" w:rsidRPr="000F3348">
              <w:rPr>
                <w:rFonts w:ascii="Arial (Body)" w:hAnsi="Arial (Body)"/>
                <w:color w:val="000000"/>
              </w:rPr>
              <w:t>;</w:t>
            </w:r>
            <w:r w:rsidR="00D5123E" w:rsidRPr="000F3348">
              <w:rPr>
                <w:rFonts w:ascii="Arial (Body)" w:hAnsi="Arial (Body)"/>
                <w:color w:val="000000"/>
              </w:rPr>
              <w:t xml:space="preserve"> </w:t>
            </w:r>
            <w:r w:rsidR="005C5FE0" w:rsidRPr="000F3348">
              <w:rPr>
                <w:rFonts w:ascii="Arial (Body)" w:hAnsi="Arial (Body)"/>
                <w:color w:val="000000"/>
              </w:rPr>
              <w:t>other services</w:t>
            </w:r>
            <w:r w:rsidR="0087436C" w:rsidRPr="000F3348">
              <w:rPr>
                <w:rFonts w:ascii="Arial (Body)" w:hAnsi="Arial (Body)"/>
                <w:color w:val="000000"/>
              </w:rPr>
              <w:t>)</w:t>
            </w:r>
          </w:p>
          <w:p w14:paraId="09619A34" w14:textId="77777777" w:rsidR="0087436C" w:rsidRPr="000F3348" w:rsidRDefault="0087436C" w:rsidP="00586C93">
            <w:pPr>
              <w:pStyle w:val="TableBody"/>
              <w:spacing w:before="45" w:after="45" w:line="260" w:lineRule="exact"/>
              <w:ind w:right="108"/>
              <w:rPr>
                <w:rFonts w:ascii="Arial (Body)" w:hAnsi="Arial (Body)"/>
                <w:color w:val="000000"/>
              </w:rPr>
            </w:pPr>
            <w:r w:rsidRPr="000F3348">
              <w:rPr>
                <w:rFonts w:ascii="Arial (Body)" w:hAnsi="Arial (Body)"/>
                <w:color w:val="000000"/>
              </w:rPr>
              <w:t>0 (all other industries)</w:t>
            </w:r>
          </w:p>
        </w:tc>
        <w:tc>
          <w:tcPr>
            <w:tcW w:w="1276" w:type="dxa"/>
            <w:shd w:val="clear" w:color="000000" w:fill="auto"/>
          </w:tcPr>
          <w:p w14:paraId="05B58280" w14:textId="5A0D3852" w:rsidR="0087436C" w:rsidRPr="000F3348" w:rsidRDefault="00F34ADD" w:rsidP="00586C93">
            <w:pPr>
              <w:pStyle w:val="TableBody"/>
              <w:spacing w:before="45" w:after="45" w:line="260" w:lineRule="exact"/>
              <w:ind w:right="108"/>
              <w:rPr>
                <w:rFonts w:ascii="Arial (Body)" w:hAnsi="Arial (Body)"/>
                <w:color w:val="000000"/>
              </w:rPr>
            </w:pPr>
            <w:r w:rsidRPr="000F3348">
              <w:rPr>
                <w:rFonts w:ascii="Arial (Body)" w:hAnsi="Arial (Body)"/>
                <w:color w:val="000000"/>
              </w:rPr>
              <w:t>N</w:t>
            </w:r>
            <w:r w:rsidR="00EA21F6" w:rsidRPr="000F3348">
              <w:rPr>
                <w:rFonts w:ascii="Arial (Body)" w:hAnsi="Arial (Body)"/>
                <w:color w:val="000000"/>
              </w:rPr>
              <w:t>one</w:t>
            </w:r>
          </w:p>
        </w:tc>
        <w:tc>
          <w:tcPr>
            <w:tcW w:w="3684" w:type="dxa"/>
            <w:shd w:val="clear" w:color="000000" w:fill="auto"/>
          </w:tcPr>
          <w:p w14:paraId="0D1E3D85" w14:textId="39624BF0" w:rsidR="009E7330" w:rsidRPr="00D9242D" w:rsidRDefault="00F22013" w:rsidP="00586C93">
            <w:pPr>
              <w:pStyle w:val="TableBody"/>
              <w:spacing w:before="45" w:after="45" w:line="260" w:lineRule="exact"/>
              <w:ind w:right="108"/>
              <w:rPr>
                <w:rFonts w:ascii="Arial (Body)" w:hAnsi="Arial (Body)"/>
                <w:color w:val="000000"/>
              </w:rPr>
            </w:pPr>
            <w:r w:rsidRPr="00D9242D">
              <w:rPr>
                <w:rFonts w:ascii="Arial (Body)" w:hAnsi="Arial (Body)"/>
                <w:color w:val="000000"/>
              </w:rPr>
              <w:t>Values based on KPMG Econtech (2010)</w:t>
            </w:r>
            <w:r w:rsidR="009E7330" w:rsidRPr="00D9242D">
              <w:rPr>
                <w:rFonts w:ascii="Arial (Body)" w:hAnsi="Arial (Body)"/>
                <w:color w:val="000000"/>
              </w:rPr>
              <w:t xml:space="preserve"> and feedback from modelling workshop participants.</w:t>
            </w:r>
          </w:p>
          <w:p w14:paraId="1F5C11A3" w14:textId="2024CC6A" w:rsidR="0087436C" w:rsidRPr="00D9242D" w:rsidRDefault="009E7330" w:rsidP="00586C93">
            <w:pPr>
              <w:pStyle w:val="TableBody"/>
              <w:spacing w:before="45" w:after="45" w:line="260" w:lineRule="exact"/>
              <w:ind w:right="108"/>
              <w:rPr>
                <w:rFonts w:ascii="Arial (Body)" w:hAnsi="Arial (Body)"/>
                <w:color w:val="000000"/>
              </w:rPr>
            </w:pPr>
            <w:r w:rsidRPr="00D9242D">
              <w:rPr>
                <w:rFonts w:ascii="Arial (Body)" w:hAnsi="Arial (Body)"/>
                <w:color w:val="000000"/>
              </w:rPr>
              <w:t xml:space="preserve">Background research included: </w:t>
            </w:r>
            <w:r w:rsidR="00665931" w:rsidRPr="00D9242D">
              <w:rPr>
                <w:rFonts w:ascii="Arial (Body)" w:hAnsi="Arial (Body)"/>
                <w:color w:val="000000"/>
              </w:rPr>
              <w:t xml:space="preserve">PCNational model (unpublished); </w:t>
            </w:r>
            <w:r w:rsidR="00EC22E1" w:rsidRPr="00D9242D">
              <w:rPr>
                <w:rFonts w:ascii="Arial (Body)" w:hAnsi="Arial (Body)"/>
                <w:color w:val="000000"/>
              </w:rPr>
              <w:t xml:space="preserve">Cheong and Sonnenschein (2012); </w:t>
            </w:r>
            <w:r w:rsidR="0087436C" w:rsidRPr="00D9242D">
              <w:rPr>
                <w:rFonts w:ascii="Arial (Body)" w:hAnsi="Arial (Body)"/>
                <w:color w:val="000000"/>
              </w:rPr>
              <w:t xml:space="preserve">Clements, Mariano and Verikios (2020); Delahaye and Milot (2020); </w:t>
            </w:r>
            <w:r w:rsidR="002B7C3A" w:rsidRPr="00D9242D">
              <w:rPr>
                <w:rFonts w:ascii="Arial (Body)" w:hAnsi="Arial (Body)"/>
                <w:color w:val="000000"/>
              </w:rPr>
              <w:t xml:space="preserve">Go (1994); </w:t>
            </w:r>
            <w:r w:rsidR="00480A05" w:rsidRPr="00D9242D">
              <w:rPr>
                <w:rFonts w:ascii="Arial (Body)" w:hAnsi="Arial (Body)"/>
                <w:color w:val="000000"/>
              </w:rPr>
              <w:t xml:space="preserve">Hinson, Wende and Womack (2020); </w:t>
            </w:r>
            <w:r w:rsidR="0087436C" w:rsidRPr="00D9242D">
              <w:rPr>
                <w:rFonts w:ascii="Arial (Body)" w:hAnsi="Arial (Body)"/>
                <w:color w:val="000000"/>
              </w:rPr>
              <w:t>Sanchez (2004); Independent Economics (2015)</w:t>
            </w:r>
            <w:r w:rsidR="00A6517F" w:rsidRPr="00D9242D">
              <w:rPr>
                <w:rFonts w:ascii="Arial (Body)" w:hAnsi="Arial (Body)"/>
                <w:color w:val="000000"/>
              </w:rPr>
              <w:t xml:space="preserve">; Hertel and </w:t>
            </w:r>
            <w:r w:rsidR="00095920" w:rsidRPr="00D9242D">
              <w:rPr>
                <w:rFonts w:ascii="Arial (Body)" w:hAnsi="Arial (Body)"/>
                <w:color w:val="000000"/>
              </w:rPr>
              <w:t xml:space="preserve">van der </w:t>
            </w:r>
            <w:r w:rsidR="00AD7B8B" w:rsidRPr="00D9242D">
              <w:rPr>
                <w:rFonts w:ascii="Arial (Body)" w:hAnsi="Arial (Body)"/>
                <w:color w:val="000000"/>
              </w:rPr>
              <w:t xml:space="preserve">Mensbrugghe </w:t>
            </w:r>
            <w:r w:rsidR="00095920" w:rsidRPr="00D9242D">
              <w:rPr>
                <w:rFonts w:ascii="Arial (Body)" w:hAnsi="Arial (Body)"/>
                <w:color w:val="000000"/>
              </w:rPr>
              <w:t>(2019)</w:t>
            </w:r>
            <w:r w:rsidR="00E34CD8" w:rsidRPr="00D9242D">
              <w:rPr>
                <w:rFonts w:ascii="Arial (Body)" w:hAnsi="Arial (Body)"/>
                <w:color w:val="000000"/>
              </w:rPr>
              <w:t>; Verikios et al. (2021)</w:t>
            </w:r>
          </w:p>
        </w:tc>
      </w:tr>
      <w:tr w:rsidR="000F3348" w:rsidRPr="004F4E82" w14:paraId="7A3F4E57" w14:textId="77777777" w:rsidTr="000F3348">
        <w:trPr>
          <w:trHeight w:val="1338"/>
        </w:trPr>
        <w:tc>
          <w:tcPr>
            <w:tcW w:w="1985" w:type="dxa"/>
            <w:shd w:val="clear" w:color="000000" w:fill="auto"/>
          </w:tcPr>
          <w:p w14:paraId="455F0140" w14:textId="769952A7" w:rsidR="0087436C" w:rsidRPr="000F3348" w:rsidRDefault="0087436C" w:rsidP="00586C93">
            <w:pPr>
              <w:pStyle w:val="TableBody"/>
              <w:spacing w:before="45" w:after="45" w:line="260" w:lineRule="exact"/>
              <w:ind w:right="108"/>
              <w:rPr>
                <w:rFonts w:ascii="Arial (Body)" w:hAnsi="Arial (Body)"/>
                <w:color w:val="000000"/>
              </w:rPr>
            </w:pPr>
            <w:r w:rsidRPr="000F3348">
              <w:rPr>
                <w:rFonts w:ascii="Arial (Body)" w:hAnsi="Arial (Body)"/>
                <w:color w:val="000000"/>
              </w:rPr>
              <w:t>CET elasticity of transformation between exports and domestic commodities</w:t>
            </w:r>
          </w:p>
        </w:tc>
        <w:tc>
          <w:tcPr>
            <w:tcW w:w="2693" w:type="dxa"/>
            <w:shd w:val="clear" w:color="000000" w:fill="auto"/>
          </w:tcPr>
          <w:p w14:paraId="68BFDB80" w14:textId="77777777" w:rsidR="0087436C" w:rsidRPr="000F3348" w:rsidRDefault="0087436C" w:rsidP="00586C93">
            <w:pPr>
              <w:pStyle w:val="TableBody"/>
              <w:spacing w:before="45" w:after="45" w:line="260" w:lineRule="exact"/>
              <w:ind w:right="108"/>
              <w:rPr>
                <w:rFonts w:ascii="Arial (Body)" w:hAnsi="Arial (Body)"/>
                <w:color w:val="000000"/>
              </w:rPr>
            </w:pPr>
            <w:r w:rsidRPr="000F3348">
              <w:rPr>
                <w:rFonts w:ascii="Arial (Body)" w:hAnsi="Arial (Body)"/>
                <w:color w:val="000000"/>
              </w:rPr>
              <w:t>2.5</w:t>
            </w:r>
          </w:p>
        </w:tc>
        <w:tc>
          <w:tcPr>
            <w:tcW w:w="1276" w:type="dxa"/>
            <w:shd w:val="clear" w:color="000000" w:fill="auto"/>
          </w:tcPr>
          <w:p w14:paraId="2354A2E1" w14:textId="5D094424" w:rsidR="0087436C" w:rsidRPr="000F3348" w:rsidRDefault="00E2545D" w:rsidP="00586C93">
            <w:pPr>
              <w:pStyle w:val="TableBody"/>
              <w:spacing w:before="45" w:after="45" w:line="260" w:lineRule="exact"/>
              <w:ind w:right="108"/>
              <w:rPr>
                <w:rFonts w:ascii="Arial (Body)" w:hAnsi="Arial (Body)"/>
                <w:color w:val="000000"/>
              </w:rPr>
            </w:pPr>
            <w:r w:rsidRPr="000F3348">
              <w:rPr>
                <w:rFonts w:ascii="Arial (Body)" w:hAnsi="Arial (Body)"/>
                <w:color w:val="000000"/>
              </w:rPr>
              <w:t>N</w:t>
            </w:r>
            <w:r w:rsidR="00EA21F6" w:rsidRPr="000F3348">
              <w:rPr>
                <w:rFonts w:ascii="Arial (Body)" w:hAnsi="Arial (Body)"/>
                <w:color w:val="000000"/>
              </w:rPr>
              <w:t>one</w:t>
            </w:r>
          </w:p>
        </w:tc>
        <w:tc>
          <w:tcPr>
            <w:tcW w:w="3684" w:type="dxa"/>
            <w:shd w:val="clear" w:color="000000" w:fill="auto"/>
          </w:tcPr>
          <w:p w14:paraId="3A29EA7A" w14:textId="03ED3435" w:rsidR="009C4AEC" w:rsidRPr="00D9242D" w:rsidRDefault="009C4AEC" w:rsidP="00586C93">
            <w:pPr>
              <w:pStyle w:val="TableBody"/>
              <w:spacing w:before="45" w:after="45" w:line="260" w:lineRule="exact"/>
              <w:ind w:right="108"/>
              <w:rPr>
                <w:rFonts w:ascii="Arial (Body)" w:hAnsi="Arial (Body)"/>
                <w:color w:val="000000"/>
              </w:rPr>
            </w:pPr>
            <w:r w:rsidRPr="00D9242D">
              <w:rPr>
                <w:rFonts w:ascii="Arial (Body)" w:hAnsi="Arial (Body)"/>
                <w:color w:val="000000"/>
              </w:rPr>
              <w:t xml:space="preserve">Value based on feedback from </w:t>
            </w:r>
            <w:r w:rsidR="00226696" w:rsidRPr="00D9242D">
              <w:rPr>
                <w:rFonts w:ascii="Arial (Body)" w:hAnsi="Arial (Body)"/>
                <w:color w:val="000000"/>
              </w:rPr>
              <w:t xml:space="preserve">modelling </w:t>
            </w:r>
            <w:r w:rsidR="004B785C" w:rsidRPr="00D9242D">
              <w:rPr>
                <w:rFonts w:ascii="Arial (Body)" w:hAnsi="Arial (Body)"/>
                <w:color w:val="000000"/>
              </w:rPr>
              <w:t>workshop pa</w:t>
            </w:r>
            <w:r w:rsidR="0082112C" w:rsidRPr="00D9242D">
              <w:rPr>
                <w:rFonts w:ascii="Arial (Body)" w:hAnsi="Arial (Body)"/>
                <w:color w:val="000000"/>
              </w:rPr>
              <w:t>rticipants.</w:t>
            </w:r>
          </w:p>
          <w:p w14:paraId="00F9625E" w14:textId="679AC74C" w:rsidR="0087436C" w:rsidRPr="00D9242D" w:rsidRDefault="002765E4" w:rsidP="00586C93">
            <w:pPr>
              <w:pStyle w:val="TableBody"/>
              <w:spacing w:before="45" w:after="45" w:line="260" w:lineRule="exact"/>
              <w:ind w:right="108"/>
              <w:rPr>
                <w:rFonts w:ascii="Arial (Body)" w:hAnsi="Arial (Body)"/>
                <w:color w:val="000000"/>
              </w:rPr>
            </w:pPr>
            <w:r w:rsidRPr="00D9242D">
              <w:rPr>
                <w:rFonts w:ascii="Arial (Body)" w:hAnsi="Arial (Body)"/>
                <w:color w:val="000000"/>
              </w:rPr>
              <w:t xml:space="preserve">Background </w:t>
            </w:r>
            <w:r w:rsidR="00C102F9" w:rsidRPr="00D9242D">
              <w:rPr>
                <w:rFonts w:ascii="Arial (Body)" w:hAnsi="Arial (Body)"/>
                <w:color w:val="000000"/>
              </w:rPr>
              <w:t>research included</w:t>
            </w:r>
            <w:r w:rsidR="00D8650F" w:rsidRPr="00D9242D">
              <w:rPr>
                <w:rFonts w:ascii="Arial (Body)" w:hAnsi="Arial (Body)"/>
                <w:color w:val="000000"/>
              </w:rPr>
              <w:t xml:space="preserve">: </w:t>
            </w:r>
            <w:r w:rsidR="0087436C" w:rsidRPr="00D9242D">
              <w:rPr>
                <w:rFonts w:ascii="Arial (Body)" w:hAnsi="Arial (Body)"/>
                <w:color w:val="000000"/>
              </w:rPr>
              <w:t xml:space="preserve">Cheong and Sonnenschein (2012); Go (1994); </w:t>
            </w:r>
            <w:r w:rsidR="00B33053" w:rsidRPr="00D9242D">
              <w:rPr>
                <w:rFonts w:ascii="Arial (Body)" w:hAnsi="Arial (Body)"/>
                <w:color w:val="000000"/>
              </w:rPr>
              <w:t xml:space="preserve">Independent Economics (2015); </w:t>
            </w:r>
            <w:r w:rsidR="0087436C" w:rsidRPr="00D9242D">
              <w:rPr>
                <w:rFonts w:ascii="Arial (Body)" w:hAnsi="Arial (Body)"/>
                <w:color w:val="000000"/>
              </w:rPr>
              <w:t xml:space="preserve">KPMG Econtech (2010); </w:t>
            </w:r>
            <w:r w:rsidR="00B33053" w:rsidRPr="00D9242D">
              <w:rPr>
                <w:rFonts w:ascii="Arial (Body)" w:hAnsi="Arial (Body)"/>
                <w:color w:val="000000"/>
              </w:rPr>
              <w:t>Verikios et al. (2021); Warr and Lapiz (1994)</w:t>
            </w:r>
          </w:p>
        </w:tc>
      </w:tr>
      <w:tr w:rsidR="000F3348" w:rsidRPr="004F4E82" w14:paraId="290222F7" w14:textId="77777777" w:rsidTr="004A4B2E">
        <w:trPr>
          <w:trHeight w:val="2675"/>
        </w:trPr>
        <w:tc>
          <w:tcPr>
            <w:tcW w:w="1985" w:type="dxa"/>
            <w:shd w:val="clear" w:color="000000" w:fill="auto"/>
          </w:tcPr>
          <w:p w14:paraId="69AD6786" w14:textId="708BB730" w:rsidR="0087436C" w:rsidRPr="000F3348" w:rsidRDefault="0087436C" w:rsidP="00586C93">
            <w:pPr>
              <w:pStyle w:val="TableBody"/>
              <w:spacing w:before="45" w:after="45" w:line="260" w:lineRule="exact"/>
              <w:ind w:right="108"/>
              <w:rPr>
                <w:rFonts w:ascii="Arial (Body)" w:hAnsi="Arial (Body)"/>
                <w:color w:val="000000"/>
              </w:rPr>
            </w:pPr>
            <w:r w:rsidRPr="000F3348">
              <w:rPr>
                <w:rFonts w:ascii="Arial (Body)" w:hAnsi="Arial (Body)"/>
                <w:color w:val="000000"/>
              </w:rPr>
              <w:t>Price elasticity of export demand</w:t>
            </w:r>
          </w:p>
        </w:tc>
        <w:tc>
          <w:tcPr>
            <w:tcW w:w="2693" w:type="dxa"/>
            <w:shd w:val="clear" w:color="000000" w:fill="auto"/>
          </w:tcPr>
          <w:p w14:paraId="3D1BC6AB" w14:textId="5CF27BE2" w:rsidR="0087436C" w:rsidRPr="000F3348" w:rsidRDefault="004B308E" w:rsidP="00586C93">
            <w:pPr>
              <w:pStyle w:val="TableBody"/>
              <w:spacing w:before="45" w:after="45" w:line="260" w:lineRule="exact"/>
              <w:ind w:right="108"/>
              <w:rPr>
                <w:rFonts w:ascii="Arial (Body)" w:hAnsi="Arial (Body)"/>
                <w:color w:val="000000"/>
              </w:rPr>
            </w:pPr>
            <w:r>
              <w:rPr>
                <w:rFonts w:ascii="Arial (Body)" w:hAnsi="Arial (Body)"/>
                <w:color w:val="000000"/>
              </w:rPr>
              <w:noBreakHyphen/>
            </w:r>
            <w:r w:rsidR="00F82DBC" w:rsidRPr="000F3348">
              <w:rPr>
                <w:rFonts w:ascii="Arial (Body)" w:hAnsi="Arial (Body)"/>
                <w:color w:val="000000"/>
              </w:rPr>
              <w:t>3 for industries where Australia ha</w:t>
            </w:r>
            <w:r w:rsidR="009434EA" w:rsidRPr="000F3348">
              <w:rPr>
                <w:rFonts w:ascii="Arial (Body)" w:hAnsi="Arial (Body)"/>
                <w:color w:val="000000"/>
              </w:rPr>
              <w:t>s</w:t>
            </w:r>
            <w:r w:rsidR="00F82DBC" w:rsidRPr="000F3348">
              <w:rPr>
                <w:rFonts w:ascii="Arial (Body)" w:hAnsi="Arial (Body)"/>
                <w:color w:val="000000"/>
              </w:rPr>
              <w:t xml:space="preserve"> </w:t>
            </w:r>
            <w:r w:rsidR="00133F43" w:rsidRPr="000F3348">
              <w:rPr>
                <w:rFonts w:ascii="Arial (Body)" w:hAnsi="Arial (Body)"/>
                <w:color w:val="000000"/>
              </w:rPr>
              <w:t xml:space="preserve">more </w:t>
            </w:r>
            <w:r w:rsidR="00F82DBC" w:rsidRPr="000F3348">
              <w:rPr>
                <w:rFonts w:ascii="Arial (Body)" w:hAnsi="Arial (Body)"/>
                <w:color w:val="000000"/>
              </w:rPr>
              <w:t>price</w:t>
            </w:r>
            <w:r w:rsidR="00F82DBC" w:rsidRPr="000F3348">
              <w:rPr>
                <w:rFonts w:ascii="Arial (Body)" w:hAnsi="Arial (Body)"/>
                <w:color w:val="000000"/>
              </w:rPr>
              <w:noBreakHyphen/>
              <w:t>setting power</w:t>
            </w:r>
            <w:r w:rsidR="00D95352" w:rsidRPr="000F3348">
              <w:rPr>
                <w:rFonts w:ascii="Arial (Body)" w:hAnsi="Arial (Body)"/>
                <w:color w:val="000000"/>
              </w:rPr>
              <w:t xml:space="preserve"> (agriculture, forestry and fishing</w:t>
            </w:r>
            <w:r w:rsidR="00DF4504" w:rsidRPr="000F3348">
              <w:rPr>
                <w:rFonts w:ascii="Arial (Body)" w:hAnsi="Arial (Body)"/>
                <w:color w:val="000000"/>
              </w:rPr>
              <w:t>;</w:t>
            </w:r>
            <w:r w:rsidR="00D95352" w:rsidRPr="000F3348">
              <w:rPr>
                <w:rFonts w:ascii="Arial (Body)" w:hAnsi="Arial (Body)"/>
                <w:color w:val="000000"/>
              </w:rPr>
              <w:t xml:space="preserve"> mining</w:t>
            </w:r>
            <w:r w:rsidR="00DF4504" w:rsidRPr="000F3348">
              <w:rPr>
                <w:rFonts w:ascii="Arial (Body)" w:hAnsi="Arial (Body)"/>
                <w:color w:val="000000"/>
              </w:rPr>
              <w:t>;</w:t>
            </w:r>
            <w:r w:rsidR="00D95352" w:rsidRPr="000F3348">
              <w:rPr>
                <w:rFonts w:ascii="Arial (Body)" w:hAnsi="Arial (Body)"/>
                <w:color w:val="000000"/>
              </w:rPr>
              <w:t xml:space="preserve"> advanced manufacturing</w:t>
            </w:r>
            <w:r w:rsidR="00DF4504" w:rsidRPr="000F3348">
              <w:rPr>
                <w:rFonts w:ascii="Arial (Body)" w:hAnsi="Arial (Body)"/>
                <w:color w:val="000000"/>
              </w:rPr>
              <w:t>;</w:t>
            </w:r>
            <w:r w:rsidR="00410CCB" w:rsidRPr="000F3348">
              <w:rPr>
                <w:rFonts w:ascii="Arial (Body)" w:hAnsi="Arial (Body)"/>
                <w:color w:val="000000"/>
              </w:rPr>
              <w:t xml:space="preserve"> </w:t>
            </w:r>
            <w:r w:rsidR="00B766E5" w:rsidRPr="000F3348">
              <w:rPr>
                <w:rFonts w:ascii="Arial (Body)" w:hAnsi="Arial (Body)"/>
                <w:color w:val="000000"/>
              </w:rPr>
              <w:t>transport and wholesale</w:t>
            </w:r>
            <w:r w:rsidR="00DF4504" w:rsidRPr="000F3348">
              <w:rPr>
                <w:rFonts w:ascii="Arial (Body)" w:hAnsi="Arial (Body)"/>
                <w:color w:val="000000"/>
              </w:rPr>
              <w:t xml:space="preserve">; </w:t>
            </w:r>
            <w:r w:rsidR="00B766E5" w:rsidRPr="000F3348">
              <w:rPr>
                <w:rFonts w:ascii="Arial (Body)" w:hAnsi="Arial (Body)"/>
                <w:color w:val="000000"/>
              </w:rPr>
              <w:t>hospitality</w:t>
            </w:r>
            <w:r w:rsidR="00DF4504" w:rsidRPr="000F3348">
              <w:rPr>
                <w:rFonts w:ascii="Arial (Body)" w:hAnsi="Arial (Body)"/>
                <w:color w:val="000000"/>
              </w:rPr>
              <w:t>;</w:t>
            </w:r>
            <w:r w:rsidR="00B766E5" w:rsidRPr="000F3348">
              <w:rPr>
                <w:rFonts w:ascii="Arial (Body)" w:hAnsi="Arial (Body)"/>
                <w:color w:val="000000"/>
              </w:rPr>
              <w:t xml:space="preserve"> </w:t>
            </w:r>
            <w:r w:rsidR="00021E24" w:rsidRPr="000F3348">
              <w:rPr>
                <w:rFonts w:ascii="Arial (Body)" w:hAnsi="Arial (Body)"/>
                <w:color w:val="000000"/>
              </w:rPr>
              <w:t>school education</w:t>
            </w:r>
            <w:r w:rsidR="00DF4504" w:rsidRPr="000F3348">
              <w:rPr>
                <w:rFonts w:ascii="Arial (Body)" w:hAnsi="Arial (Body)"/>
                <w:color w:val="000000"/>
              </w:rPr>
              <w:t>;</w:t>
            </w:r>
            <w:r w:rsidR="00021E24" w:rsidRPr="000F3348">
              <w:rPr>
                <w:rFonts w:ascii="Arial (Body)" w:hAnsi="Arial (Body)"/>
                <w:color w:val="000000"/>
              </w:rPr>
              <w:t xml:space="preserve"> technical</w:t>
            </w:r>
            <w:r w:rsidR="002302D8" w:rsidRPr="000F3348">
              <w:rPr>
                <w:rFonts w:ascii="Arial (Body)" w:hAnsi="Arial (Body)"/>
                <w:color w:val="000000"/>
              </w:rPr>
              <w:t>, vocational</w:t>
            </w:r>
            <w:r w:rsidR="00021E24" w:rsidRPr="000F3348">
              <w:rPr>
                <w:rFonts w:ascii="Arial (Body)" w:hAnsi="Arial (Body)"/>
                <w:color w:val="000000"/>
              </w:rPr>
              <w:t xml:space="preserve"> and tertiary education)</w:t>
            </w:r>
          </w:p>
          <w:p w14:paraId="2F16CAB1" w14:textId="337E63EF" w:rsidR="0087436C" w:rsidRPr="000F3348" w:rsidDel="00EC3301" w:rsidRDefault="004B308E" w:rsidP="00586C93">
            <w:pPr>
              <w:pStyle w:val="TableBody"/>
              <w:spacing w:before="45" w:after="45" w:line="260" w:lineRule="exact"/>
              <w:ind w:right="108"/>
              <w:rPr>
                <w:rFonts w:ascii="Arial (Body)" w:hAnsi="Arial (Body)"/>
                <w:color w:val="000000"/>
              </w:rPr>
            </w:pPr>
            <w:r>
              <w:rPr>
                <w:rFonts w:ascii="Arial (Body)" w:hAnsi="Arial (Body)"/>
                <w:color w:val="000000"/>
              </w:rPr>
              <w:noBreakHyphen/>
            </w:r>
            <w:r w:rsidR="00F82DBC" w:rsidRPr="000F3348">
              <w:rPr>
                <w:rFonts w:ascii="Arial (Body)" w:hAnsi="Arial (Body)"/>
                <w:color w:val="000000"/>
              </w:rPr>
              <w:t>4 for other industries</w:t>
            </w:r>
          </w:p>
        </w:tc>
        <w:tc>
          <w:tcPr>
            <w:tcW w:w="1276" w:type="dxa"/>
            <w:shd w:val="clear" w:color="000000" w:fill="auto"/>
          </w:tcPr>
          <w:p w14:paraId="186AB5EE" w14:textId="4CB332E6" w:rsidR="0087436C" w:rsidRPr="000F3348" w:rsidRDefault="00E2545D" w:rsidP="00586C93">
            <w:pPr>
              <w:pStyle w:val="TableBody"/>
              <w:spacing w:before="45" w:after="45" w:line="260" w:lineRule="exact"/>
              <w:ind w:right="108"/>
              <w:rPr>
                <w:rFonts w:ascii="Arial (Body)" w:hAnsi="Arial (Body)"/>
                <w:color w:val="000000"/>
              </w:rPr>
            </w:pPr>
            <w:r w:rsidRPr="000F3348">
              <w:rPr>
                <w:rFonts w:ascii="Arial (Body)" w:hAnsi="Arial (Body)"/>
                <w:color w:val="000000"/>
              </w:rPr>
              <w:t>N</w:t>
            </w:r>
            <w:r w:rsidR="00EA21F6" w:rsidRPr="000F3348">
              <w:rPr>
                <w:rFonts w:ascii="Arial (Body)" w:hAnsi="Arial (Body)"/>
                <w:color w:val="000000"/>
              </w:rPr>
              <w:t>one</w:t>
            </w:r>
          </w:p>
        </w:tc>
        <w:tc>
          <w:tcPr>
            <w:tcW w:w="3684" w:type="dxa"/>
            <w:shd w:val="clear" w:color="000000" w:fill="auto"/>
          </w:tcPr>
          <w:p w14:paraId="35EFBE72" w14:textId="3AD8DB0D" w:rsidR="00AF4E52" w:rsidRPr="00D9242D" w:rsidRDefault="00AF4E52" w:rsidP="00586C93">
            <w:pPr>
              <w:pStyle w:val="TableBody"/>
              <w:spacing w:before="45" w:after="45" w:line="260" w:lineRule="exact"/>
              <w:ind w:right="108"/>
              <w:rPr>
                <w:rFonts w:ascii="Arial (Body)" w:hAnsi="Arial (Body)"/>
                <w:color w:val="000000"/>
              </w:rPr>
            </w:pPr>
            <w:r w:rsidRPr="00D9242D">
              <w:rPr>
                <w:rFonts w:ascii="Arial (Body)" w:hAnsi="Arial (Body)"/>
                <w:color w:val="000000"/>
              </w:rPr>
              <w:t>Values based on feedback from modelling workshop participants.</w:t>
            </w:r>
          </w:p>
          <w:p w14:paraId="50D225D4" w14:textId="0F33DD37" w:rsidR="0087436C" w:rsidRPr="00D9242D" w:rsidRDefault="00AF4E52" w:rsidP="00586C93">
            <w:pPr>
              <w:pStyle w:val="TableBody"/>
              <w:spacing w:before="45" w:after="45" w:line="260" w:lineRule="exact"/>
              <w:ind w:right="108"/>
              <w:rPr>
                <w:rFonts w:ascii="Arial (Body)" w:hAnsi="Arial (Body)"/>
                <w:color w:val="000000"/>
              </w:rPr>
            </w:pPr>
            <w:r w:rsidRPr="00D9242D">
              <w:rPr>
                <w:rFonts w:ascii="Arial (Body)" w:hAnsi="Arial (Body)"/>
                <w:color w:val="000000"/>
              </w:rPr>
              <w:t xml:space="preserve">Background research included: </w:t>
            </w:r>
            <w:r w:rsidR="005049C1" w:rsidRPr="00D9242D">
              <w:rPr>
                <w:rFonts w:ascii="Arial (Body)" w:hAnsi="Arial (Body)"/>
                <w:color w:val="000000"/>
              </w:rPr>
              <w:t xml:space="preserve">Adams, Dixon and </w:t>
            </w:r>
            <w:r w:rsidR="00C42B63" w:rsidRPr="00D9242D">
              <w:rPr>
                <w:rFonts w:ascii="Arial (Body)" w:hAnsi="Arial (Body)"/>
                <w:color w:val="000000"/>
              </w:rPr>
              <w:t xml:space="preserve">Horridge </w:t>
            </w:r>
            <w:r w:rsidR="00153289" w:rsidRPr="00D9242D">
              <w:rPr>
                <w:rFonts w:ascii="Arial (Body)" w:hAnsi="Arial (Body)"/>
                <w:color w:val="000000"/>
              </w:rPr>
              <w:t>(2015)</w:t>
            </w:r>
            <w:r w:rsidR="00C42B63" w:rsidRPr="00D9242D">
              <w:rPr>
                <w:rFonts w:ascii="Arial (Body)" w:hAnsi="Arial (Body)"/>
                <w:color w:val="000000"/>
              </w:rPr>
              <w:t xml:space="preserve">; </w:t>
            </w:r>
            <w:r w:rsidR="0087436C" w:rsidRPr="00D9242D">
              <w:rPr>
                <w:rFonts w:ascii="Arial (Body)" w:hAnsi="Arial (Body)"/>
                <w:color w:val="000000"/>
              </w:rPr>
              <w:t xml:space="preserve">Hinson, Wende and Womack (2020); </w:t>
            </w:r>
            <w:r w:rsidR="00FD1569" w:rsidRPr="00D9242D">
              <w:rPr>
                <w:rFonts w:ascii="Arial (Body)" w:hAnsi="Arial (Body)"/>
                <w:color w:val="000000"/>
              </w:rPr>
              <w:t xml:space="preserve">Independent Economics (2015); KPMG Econtech (2010); </w:t>
            </w:r>
            <w:r w:rsidR="0087436C" w:rsidRPr="00D9242D">
              <w:rPr>
                <w:rFonts w:ascii="Arial (Body)" w:hAnsi="Arial (Body)"/>
                <w:color w:val="000000"/>
              </w:rPr>
              <w:t>Verikios et al. (2021)</w:t>
            </w:r>
          </w:p>
        </w:tc>
      </w:tr>
    </w:tbl>
    <w:p w14:paraId="38FF2D01" w14:textId="77777777" w:rsidR="004A4B2E" w:rsidRDefault="004A4B2E">
      <w:pPr>
        <w:sectPr w:rsidR="004A4B2E" w:rsidSect="002A40BA">
          <w:headerReference w:type="default" r:id="rId36"/>
          <w:type w:val="oddPage"/>
          <w:pgSz w:w="11906" w:h="16838" w:code="9"/>
          <w:pgMar w:top="1134" w:right="1134" w:bottom="1134" w:left="1134" w:header="794" w:footer="510" w:gutter="0"/>
          <w:cols w:space="708"/>
          <w:docGrid w:linePitch="360"/>
        </w:sectPr>
      </w:pPr>
    </w:p>
    <w:p w14:paraId="5034FA9B" w14:textId="70FECB14" w:rsidR="00C4682B" w:rsidRDefault="00EB41FE" w:rsidP="001F47C9">
      <w:pPr>
        <w:pStyle w:val="Heading1"/>
      </w:pPr>
      <w:r>
        <w:lastRenderedPageBreak/>
        <w:tab/>
      </w:r>
      <w:bookmarkStart w:id="21" w:name="_Toc126176831"/>
      <w:r w:rsidR="008D60A7">
        <w:t>S</w:t>
      </w:r>
      <w:r w:rsidR="00EB69D8">
        <w:t>imulation</w:t>
      </w:r>
      <w:r w:rsidR="00D14044">
        <w:t>s</w:t>
      </w:r>
      <w:r w:rsidR="00344A35">
        <w:t xml:space="preserve"> and </w:t>
      </w:r>
      <w:r w:rsidR="00C4682B" w:rsidDel="00344A35">
        <w:t>output variables</w:t>
      </w:r>
      <w:bookmarkEnd w:id="21"/>
    </w:p>
    <w:p w14:paraId="2D6130C4" w14:textId="66465EFC" w:rsidR="008D60A7" w:rsidRPr="008D60A7" w:rsidRDefault="008D60A7" w:rsidP="001F47C9">
      <w:pPr>
        <w:pStyle w:val="Heading2"/>
      </w:pPr>
      <w:bookmarkStart w:id="22" w:name="_Toc126176832"/>
      <w:r>
        <w:t>Summary of simulations</w:t>
      </w:r>
      <w:bookmarkEnd w:id="22"/>
    </w:p>
    <w:p w14:paraId="66B5F58E" w14:textId="18FD11EC" w:rsidR="00201FF2" w:rsidRDefault="00D41E61" w:rsidP="00D41E61">
      <w:pPr>
        <w:pStyle w:val="BodyText"/>
      </w:pPr>
      <w:r>
        <w:t xml:space="preserve">This </w:t>
      </w:r>
      <w:r w:rsidR="00965FBC">
        <w:t xml:space="preserve">chapter </w:t>
      </w:r>
      <w:r>
        <w:t xml:space="preserve">provides </w:t>
      </w:r>
      <w:r w:rsidR="002B6CAD">
        <w:t>a</w:t>
      </w:r>
      <w:r w:rsidR="00C94828">
        <w:t xml:space="preserve"> summary </w:t>
      </w:r>
      <w:r w:rsidR="002B6CAD">
        <w:t xml:space="preserve">of the </w:t>
      </w:r>
      <w:r w:rsidR="00F91D85">
        <w:t>simulation</w:t>
      </w:r>
      <w:r w:rsidR="00D14044">
        <w:t>s</w:t>
      </w:r>
      <w:r w:rsidR="00F12792">
        <w:t xml:space="preserve"> </w:t>
      </w:r>
      <w:r w:rsidR="002B6CAD">
        <w:t>run for the Productivity Inquiry</w:t>
      </w:r>
      <w:r w:rsidR="00191F9F">
        <w:t xml:space="preserve">. </w:t>
      </w:r>
      <w:r w:rsidR="005B3436">
        <w:t xml:space="preserve">The modelling shows how </w:t>
      </w:r>
      <w:r w:rsidR="00831761">
        <w:t xml:space="preserve">stylised representations of </w:t>
      </w:r>
      <w:r w:rsidR="00184E45">
        <w:t xml:space="preserve">select </w:t>
      </w:r>
      <w:r w:rsidR="00145FB6">
        <w:t>reform</w:t>
      </w:r>
      <w:r w:rsidR="00371611">
        <w:t>s</w:t>
      </w:r>
      <w:r w:rsidR="00831761">
        <w:t xml:space="preserve"> </w:t>
      </w:r>
      <w:r w:rsidR="0067135C">
        <w:t>could flow through</w:t>
      </w:r>
      <w:r w:rsidR="009D6699">
        <w:t xml:space="preserve"> the</w:t>
      </w:r>
      <w:r w:rsidR="0067135C">
        <w:t xml:space="preserve"> economy </w:t>
      </w:r>
      <w:r w:rsidR="00F517C9">
        <w:t>given the</w:t>
      </w:r>
      <w:r w:rsidR="003365CC">
        <w:t xml:space="preserve"> defined </w:t>
      </w:r>
      <w:r w:rsidR="00492553">
        <w:t>relationships between the various sectors of the economy in the model</w:t>
      </w:r>
      <w:r w:rsidR="0067135C">
        <w:t>.</w:t>
      </w:r>
      <w:r w:rsidR="00292F97">
        <w:t xml:space="preserve"> </w:t>
      </w:r>
    </w:p>
    <w:p w14:paraId="7DABD495" w14:textId="4657B04A" w:rsidR="00F4608D" w:rsidRDefault="00B72DEE" w:rsidP="00AC1BD8">
      <w:pPr>
        <w:pStyle w:val="BodyText"/>
        <w:keepNext/>
      </w:pPr>
      <w:r>
        <w:t>Table</w:t>
      </w:r>
      <w:r w:rsidR="004B308E">
        <w:t> </w:t>
      </w:r>
      <w:r w:rsidR="005A659C">
        <w:t>3.1</w:t>
      </w:r>
      <w:r>
        <w:t xml:space="preserve"> </w:t>
      </w:r>
      <w:r w:rsidR="00B52E0D">
        <w:t>lists</w:t>
      </w:r>
      <w:r>
        <w:t xml:space="preserve"> the </w:t>
      </w:r>
      <w:r w:rsidR="00B52E0D">
        <w:t>modelled</w:t>
      </w:r>
      <w:r>
        <w:t xml:space="preserve"> scenarios</w:t>
      </w:r>
      <w:r w:rsidR="00A213E2">
        <w:t xml:space="preserve">, while the key results from each simulation are presented in the </w:t>
      </w:r>
      <w:r w:rsidR="00305504">
        <w:t xml:space="preserve">appendices of </w:t>
      </w:r>
      <w:r w:rsidR="00630AF3">
        <w:t xml:space="preserve">the </w:t>
      </w:r>
      <w:r w:rsidR="00A213E2">
        <w:t>relevant companion volumes of this inquiry</w:t>
      </w:r>
      <w:r>
        <w:t>.</w:t>
      </w:r>
      <w:r w:rsidR="00B52E0D">
        <w:t xml:space="preserve"> </w:t>
      </w:r>
      <w:r w:rsidR="004450C4">
        <w:t xml:space="preserve">Shocks were dimensioned based on </w:t>
      </w:r>
      <w:r w:rsidR="00BF13BE">
        <w:t xml:space="preserve">estimates </w:t>
      </w:r>
      <w:r w:rsidR="005E16A5">
        <w:t>from the literature where possible</w:t>
      </w:r>
      <w:r w:rsidR="00CB02F3">
        <w:t xml:space="preserve"> </w:t>
      </w:r>
      <w:r w:rsidR="00B07D33">
        <w:t>and were tailored for the specific scenarios modelled. S</w:t>
      </w:r>
      <w:r w:rsidR="00CB02F3">
        <w:t xml:space="preserve">ensitivity testing </w:t>
      </w:r>
      <w:r w:rsidR="00B07D33">
        <w:t>was undertaken</w:t>
      </w:r>
      <w:r w:rsidR="00CB02F3">
        <w:t xml:space="preserve"> given the significant uncertainty in potential shock sizes</w:t>
      </w:r>
      <w:r w:rsidR="00B2131C">
        <w:t xml:space="preserve"> and the relevance of the literature</w:t>
      </w:r>
      <w:r w:rsidR="002C1BFD">
        <w:t>.</w:t>
      </w:r>
      <w:r w:rsidR="006F0AFD">
        <w:t xml:space="preserve"> </w:t>
      </w:r>
      <w:r w:rsidR="00971174">
        <w:t>Depending on the nature of the scenario, p</w:t>
      </w:r>
      <w:r w:rsidR="00F4608D">
        <w:t>roductivity s</w:t>
      </w:r>
      <w:r w:rsidR="00BE73F1">
        <w:t xml:space="preserve">hocks </w:t>
      </w:r>
      <w:r w:rsidR="007E0AFC">
        <w:t>were implemented as</w:t>
      </w:r>
      <w:r w:rsidR="00A22961">
        <w:t xml:space="preserve"> </w:t>
      </w:r>
      <w:r w:rsidR="00E75D50">
        <w:t>an</w:t>
      </w:r>
      <w:r w:rsidR="00F4608D">
        <w:t xml:space="preserve"> improvement in</w:t>
      </w:r>
      <w:r w:rsidR="002531A2">
        <w:t xml:space="preserve"> either</w:t>
      </w:r>
      <w:r w:rsidR="00F4608D">
        <w:t>:</w:t>
      </w:r>
    </w:p>
    <w:p w14:paraId="24620CBE" w14:textId="4BF05022" w:rsidR="002531A2" w:rsidRDefault="00E75D50" w:rsidP="00F4608D">
      <w:pPr>
        <w:pStyle w:val="ListBullet"/>
      </w:pPr>
      <w:r>
        <w:t>t</w:t>
      </w:r>
      <w:r w:rsidR="006F0AFD">
        <w:t xml:space="preserve">he </w:t>
      </w:r>
      <w:r w:rsidR="00F75108">
        <w:t>input</w:t>
      </w:r>
      <w:r w:rsidR="004B308E">
        <w:noBreakHyphen/>
      </w:r>
      <w:r w:rsidR="00F75108">
        <w:t>neutral</w:t>
      </w:r>
      <w:r w:rsidR="00C53299">
        <w:t xml:space="preserve"> technical change parameter</w:t>
      </w:r>
      <w:r w:rsidR="002531A2">
        <w:t xml:space="preserve">, which </w:t>
      </w:r>
      <w:r w:rsidR="00C53299">
        <w:t xml:space="preserve">results in </w:t>
      </w:r>
      <w:r w:rsidR="00F4608D">
        <w:t xml:space="preserve">all production </w:t>
      </w:r>
      <w:r w:rsidR="00C53299">
        <w:t>inputs (labour</w:t>
      </w:r>
      <w:r w:rsidR="00737B70">
        <w:t xml:space="preserve">, </w:t>
      </w:r>
      <w:r w:rsidR="00553EB0">
        <w:t>capital</w:t>
      </w:r>
      <w:r w:rsidR="00737B70">
        <w:t xml:space="preserve"> and intermediate inputs</w:t>
      </w:r>
      <w:r w:rsidR="00553EB0">
        <w:t xml:space="preserve">) </w:t>
      </w:r>
      <w:r w:rsidR="00B210B9">
        <w:t xml:space="preserve">being </w:t>
      </w:r>
      <w:r w:rsidR="00553EB0">
        <w:t>used more productively such that more output can be produced using the same level of input</w:t>
      </w:r>
    </w:p>
    <w:p w14:paraId="750DFD88" w14:textId="441D564F" w:rsidR="004450C4" w:rsidRDefault="002531A2" w:rsidP="00F4608D">
      <w:pPr>
        <w:pStyle w:val="ListBullet"/>
      </w:pPr>
      <w:r>
        <w:t xml:space="preserve">the multifactor productivity parameter, which </w:t>
      </w:r>
      <w:r w:rsidR="00E86A36">
        <w:t xml:space="preserve">results in </w:t>
      </w:r>
      <w:r w:rsidR="00207B6F">
        <w:t xml:space="preserve">labour and capital </w:t>
      </w:r>
      <w:r w:rsidR="00E86A36">
        <w:t xml:space="preserve">being </w:t>
      </w:r>
      <w:r w:rsidR="00207B6F">
        <w:t>used more productively</w:t>
      </w:r>
    </w:p>
    <w:p w14:paraId="6E6D57D4" w14:textId="551305AC" w:rsidR="00207B6F" w:rsidRDefault="00207B6F" w:rsidP="00F4608D">
      <w:pPr>
        <w:pStyle w:val="ListBullet"/>
      </w:pPr>
      <w:r>
        <w:t>the labour</w:t>
      </w:r>
      <w:r w:rsidR="004B308E">
        <w:noBreakHyphen/>
      </w:r>
      <w:r>
        <w:t xml:space="preserve">augmenting technical change parameter, which results in </w:t>
      </w:r>
      <w:r w:rsidR="00E86A36">
        <w:t>labour being used more productively.</w:t>
      </w:r>
    </w:p>
    <w:p w14:paraId="3C4237BE" w14:textId="6A8432CE" w:rsidR="00154FB5" w:rsidRPr="000A5EB7" w:rsidRDefault="00154FB5" w:rsidP="009D62AE">
      <w:pPr>
        <w:pStyle w:val="BodyText"/>
      </w:pPr>
      <w:r>
        <w:t>Th</w:t>
      </w:r>
      <w:r w:rsidR="00867A17">
        <w:t>e scenarios do not include modelling</w:t>
      </w:r>
      <w:r w:rsidR="009D62AE" w:rsidRPr="000A5EB7" w:rsidDel="00336E70">
        <w:t xml:space="preserve"> of </w:t>
      </w:r>
      <w:r>
        <w:t>the costs of implementing reforms</w:t>
      </w:r>
      <w:r w:rsidR="00A72840">
        <w:t xml:space="preserve"> (which could</w:t>
      </w:r>
      <w:r w:rsidR="00441D02">
        <w:t xml:space="preserve"> include</w:t>
      </w:r>
      <w:r w:rsidR="000034CF">
        <w:t>,</w:t>
      </w:r>
      <w:r w:rsidR="00441D02">
        <w:t xml:space="preserve"> </w:t>
      </w:r>
      <w:r w:rsidR="00AC1BD8">
        <w:t>for example</w:t>
      </w:r>
      <w:r w:rsidR="000034CF">
        <w:t>,</w:t>
      </w:r>
      <w:r w:rsidR="00AC1BD8">
        <w:t xml:space="preserve"> </w:t>
      </w:r>
      <w:r w:rsidR="00AE63BA">
        <w:t xml:space="preserve">changes </w:t>
      </w:r>
      <w:r w:rsidR="00D66080">
        <w:t>in the use of intermediate inputs</w:t>
      </w:r>
      <w:r w:rsidR="00AC1BD8">
        <w:t xml:space="preserve">, </w:t>
      </w:r>
      <w:r w:rsidR="00D66080">
        <w:t xml:space="preserve">changes to </w:t>
      </w:r>
      <w:r w:rsidR="00A72840">
        <w:t>fiscal</w:t>
      </w:r>
      <w:r w:rsidR="00D66080">
        <w:t xml:space="preserve"> budgets</w:t>
      </w:r>
      <w:r w:rsidR="00441D02">
        <w:t xml:space="preserve">, </w:t>
      </w:r>
      <w:r w:rsidR="00AC1BD8">
        <w:t>adjustment costs</w:t>
      </w:r>
      <w:r w:rsidR="00A72840">
        <w:t>)</w:t>
      </w:r>
      <w:r w:rsidR="00550174">
        <w:t>.</w:t>
      </w:r>
      <w:r w:rsidR="00E0791E">
        <w:t xml:space="preserve"> These costs </w:t>
      </w:r>
      <w:r w:rsidR="00BF2918">
        <w:t xml:space="preserve">are </w:t>
      </w:r>
      <w:r w:rsidR="00867A17">
        <w:t xml:space="preserve">also highly uncertain and depend on the </w:t>
      </w:r>
      <w:r w:rsidR="00F22586">
        <w:t xml:space="preserve">specifics of the </w:t>
      </w:r>
      <w:r w:rsidR="0055427E">
        <w:t>implementation</w:t>
      </w:r>
      <w:r w:rsidR="00F22586">
        <w:t xml:space="preserve"> process</w:t>
      </w:r>
      <w:r w:rsidR="0055427E">
        <w:t>.</w:t>
      </w:r>
      <w:r w:rsidR="00BF2918">
        <w:t xml:space="preserve"> Costs and other considerations in </w:t>
      </w:r>
      <w:r w:rsidR="00E0791E">
        <w:t xml:space="preserve">reform implementation </w:t>
      </w:r>
      <w:r w:rsidR="00BF2918">
        <w:t xml:space="preserve">are </w:t>
      </w:r>
      <w:r w:rsidR="00521150">
        <w:t>discussed in other volumes of this inquiry</w:t>
      </w:r>
      <w:r w:rsidR="0055427E">
        <w:t>.</w:t>
      </w:r>
      <w:r w:rsidR="00BF2918">
        <w:t xml:space="preserve"> </w:t>
      </w:r>
    </w:p>
    <w:p w14:paraId="159BD1ED" w14:textId="7BD600CE" w:rsidR="009D62AE" w:rsidRPr="000A5EB7" w:rsidRDefault="00336E70" w:rsidP="009D62AE">
      <w:pPr>
        <w:pStyle w:val="BodyText"/>
      </w:pPr>
      <w:r w:rsidRPr="00F22586">
        <w:t xml:space="preserve">The results from </w:t>
      </w:r>
      <w:r w:rsidR="00E76EE6" w:rsidRPr="00F22586">
        <w:t>one</w:t>
      </w:r>
      <w:r w:rsidR="009D62AE" w:rsidRPr="00F22586">
        <w:t xml:space="preserve"> </w:t>
      </w:r>
      <w:r w:rsidR="009D62AE" w:rsidRPr="000A5EB7">
        <w:t xml:space="preserve">scenario should </w:t>
      </w:r>
      <w:r w:rsidR="00E76EE6" w:rsidRPr="00F22586">
        <w:t xml:space="preserve">not be directly compared with another, </w:t>
      </w:r>
      <w:r w:rsidR="009D62AE" w:rsidRPr="000A5EB7">
        <w:t xml:space="preserve">as there are significantly different levels of confidence in the </w:t>
      </w:r>
      <w:r w:rsidR="00176342">
        <w:t>size</w:t>
      </w:r>
      <w:r w:rsidR="009D62AE" w:rsidRPr="000A5EB7">
        <w:t xml:space="preserve"> of the potential reform impact and/or the ability to represent the reform in the model.</w:t>
      </w:r>
    </w:p>
    <w:p w14:paraId="40666DE6" w14:textId="7E541747" w:rsidR="001D0D4C" w:rsidRDefault="001D0D4C">
      <w:pPr>
        <w:spacing w:before="0" w:after="160" w:line="259" w:lineRule="auto"/>
      </w:pPr>
    </w:p>
    <w:p w14:paraId="04EB1438" w14:textId="77777777" w:rsidR="00D525B3" w:rsidRDefault="00D525B3">
      <w:pPr>
        <w:pStyle w:val="BodyText"/>
        <w:sectPr w:rsidR="00D525B3" w:rsidSect="002A40BA">
          <w:headerReference w:type="default" r:id="rId37"/>
          <w:type w:val="oddPage"/>
          <w:pgSz w:w="11906" w:h="16838" w:code="9"/>
          <w:pgMar w:top="1134" w:right="1134" w:bottom="1134" w:left="1134" w:header="794" w:footer="510" w:gutter="0"/>
          <w:cols w:space="708"/>
          <w:docGrid w:linePitch="360"/>
        </w:sectPr>
      </w:pPr>
    </w:p>
    <w:p w14:paraId="42FED3C3" w14:textId="17FB3081" w:rsidR="00BD791A" w:rsidRPr="005A659C" w:rsidRDefault="00D525B3" w:rsidP="00BD791A">
      <w:pPr>
        <w:pStyle w:val="FigureTableHeading"/>
      </w:pPr>
      <w:r>
        <w:lastRenderedPageBreak/>
        <w:t>Table</w:t>
      </w:r>
      <w:r w:rsidR="004B308E">
        <w:t> </w:t>
      </w:r>
      <w:r w:rsidR="005A659C">
        <w:t>3.1</w:t>
      </w:r>
      <w:r w:rsidR="00BD791A">
        <w:rPr>
          <w:noProof/>
        </w:rPr>
        <w:t xml:space="preserve"> – </w:t>
      </w:r>
      <w:r w:rsidR="00D45FEC">
        <w:rPr>
          <w:noProof/>
        </w:rPr>
        <w:t xml:space="preserve">Summary </w:t>
      </w:r>
      <w:r w:rsidR="00E7260F">
        <w:rPr>
          <w:noProof/>
        </w:rPr>
        <w:t xml:space="preserve">of </w:t>
      </w:r>
      <w:r w:rsidR="00E7260F" w:rsidRPr="005A659C">
        <w:t>simulations</w:t>
      </w:r>
    </w:p>
    <w:tbl>
      <w:tblPr>
        <w:tblW w:w="0" w:type="auto"/>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305"/>
        <w:gridCol w:w="2544"/>
        <w:gridCol w:w="3326"/>
        <w:gridCol w:w="2376"/>
        <w:gridCol w:w="1997"/>
        <w:gridCol w:w="3022"/>
      </w:tblGrid>
      <w:tr w:rsidR="00C6408F" w:rsidRPr="002A21FD" w14:paraId="3C4E247F" w14:textId="77777777" w:rsidTr="005A13B0">
        <w:trPr>
          <w:trHeight w:val="630"/>
          <w:tblHeader/>
        </w:trPr>
        <w:tc>
          <w:tcPr>
            <w:tcW w:w="0" w:type="auto"/>
            <w:tcBorders>
              <w:bottom w:val="single" w:sz="4" w:space="0" w:color="B3B3B3"/>
            </w:tcBorders>
            <w:shd w:val="clear" w:color="000000" w:fill="auto"/>
            <w:vAlign w:val="bottom"/>
          </w:tcPr>
          <w:p w14:paraId="450EC66B" w14:textId="06EC93CA" w:rsidR="00C6408F" w:rsidRPr="002A21FD" w:rsidRDefault="003711C1" w:rsidP="005A13B0">
            <w:pPr>
              <w:spacing w:before="45" w:after="45" w:line="260" w:lineRule="atLeast"/>
              <w:ind w:left="57" w:right="108"/>
              <w:rPr>
                <w:rFonts w:ascii="Arial (Body)" w:hAnsi="Arial (Body)" w:cstheme="minorHAnsi"/>
                <w:b/>
                <w:color w:val="265A9A"/>
                <w:sz w:val="18"/>
                <w:szCs w:val="18"/>
              </w:rPr>
            </w:pPr>
            <w:r w:rsidRPr="00B75289">
              <w:rPr>
                <w:rFonts w:ascii="Arial (Body)" w:hAnsi="Arial (Body)" w:cstheme="minorHAnsi"/>
                <w:b/>
                <w:color w:val="265A9A"/>
                <w:sz w:val="18"/>
                <w:szCs w:val="18"/>
              </w:rPr>
              <w:t>R</w:t>
            </w:r>
            <w:r w:rsidR="00C6408F" w:rsidRPr="00B75289">
              <w:rPr>
                <w:rFonts w:ascii="Arial (Body)" w:hAnsi="Arial (Body)" w:cstheme="minorHAnsi"/>
                <w:b/>
                <w:color w:val="265A9A"/>
                <w:sz w:val="18"/>
                <w:szCs w:val="18"/>
              </w:rPr>
              <w:t>eport volume</w:t>
            </w:r>
          </w:p>
        </w:tc>
        <w:tc>
          <w:tcPr>
            <w:tcW w:w="0" w:type="auto"/>
            <w:tcBorders>
              <w:bottom w:val="single" w:sz="4" w:space="0" w:color="B3B3B3"/>
            </w:tcBorders>
            <w:shd w:val="clear" w:color="000000" w:fill="auto"/>
            <w:vAlign w:val="bottom"/>
          </w:tcPr>
          <w:p w14:paraId="62DEC3E5" w14:textId="77777777" w:rsidR="00C6408F" w:rsidRPr="002A21FD" w:rsidRDefault="00C6408F" w:rsidP="005A13B0">
            <w:pPr>
              <w:spacing w:before="45" w:after="45" w:line="260" w:lineRule="atLeast"/>
              <w:ind w:left="57" w:right="108"/>
              <w:rPr>
                <w:rFonts w:ascii="Arial (Body)" w:hAnsi="Arial (Body)" w:cstheme="minorHAnsi"/>
                <w:b/>
                <w:color w:val="265A9A"/>
                <w:sz w:val="18"/>
                <w:szCs w:val="18"/>
              </w:rPr>
            </w:pPr>
            <w:r w:rsidRPr="002A21FD">
              <w:rPr>
                <w:rFonts w:ascii="Arial (Body)" w:hAnsi="Arial (Body)" w:cstheme="minorHAnsi"/>
                <w:b/>
                <w:color w:val="265A9A"/>
                <w:sz w:val="18"/>
                <w:szCs w:val="18"/>
              </w:rPr>
              <w:t>Scenario description</w:t>
            </w:r>
          </w:p>
        </w:tc>
        <w:tc>
          <w:tcPr>
            <w:tcW w:w="0" w:type="auto"/>
            <w:tcBorders>
              <w:bottom w:val="single" w:sz="4" w:space="0" w:color="B3B3B3"/>
            </w:tcBorders>
            <w:shd w:val="clear" w:color="000000" w:fill="auto"/>
            <w:vAlign w:val="bottom"/>
          </w:tcPr>
          <w:p w14:paraId="170E1DE8" w14:textId="2F20FFF1" w:rsidR="00C6408F" w:rsidRPr="002A21FD" w:rsidRDefault="00C6408F" w:rsidP="005A13B0">
            <w:pPr>
              <w:pStyle w:val="TableHeading"/>
              <w:spacing w:before="45" w:after="45" w:line="260" w:lineRule="atLeast"/>
              <w:ind w:right="108"/>
              <w:rPr>
                <w:rFonts w:ascii="Arial (Body)" w:hAnsi="Arial (Body)" w:cstheme="minorHAnsi"/>
                <w:color w:val="265A9A"/>
                <w:szCs w:val="18"/>
              </w:rPr>
            </w:pPr>
            <w:r w:rsidRPr="002A21FD">
              <w:rPr>
                <w:rFonts w:ascii="Arial (Body)" w:hAnsi="Arial (Body)" w:cstheme="minorHAnsi"/>
                <w:color w:val="265A9A"/>
                <w:szCs w:val="18"/>
              </w:rPr>
              <w:t>Shocked parameter</w:t>
            </w:r>
          </w:p>
        </w:tc>
        <w:tc>
          <w:tcPr>
            <w:tcW w:w="0" w:type="auto"/>
            <w:tcBorders>
              <w:bottom w:val="single" w:sz="4" w:space="0" w:color="B3B3B3"/>
            </w:tcBorders>
            <w:shd w:val="clear" w:color="000000" w:fill="auto"/>
            <w:vAlign w:val="bottom"/>
          </w:tcPr>
          <w:p w14:paraId="139E0E79" w14:textId="5A6430B2" w:rsidR="00C6408F" w:rsidRPr="002A21FD" w:rsidRDefault="00C6408F" w:rsidP="005A13B0">
            <w:pPr>
              <w:pStyle w:val="TableHeading"/>
              <w:spacing w:before="45" w:after="45" w:line="260" w:lineRule="atLeast"/>
              <w:ind w:right="108"/>
              <w:rPr>
                <w:rFonts w:ascii="Arial (Body)" w:hAnsi="Arial (Body)" w:cstheme="minorHAnsi"/>
                <w:color w:val="265A9A"/>
                <w:szCs w:val="18"/>
              </w:rPr>
            </w:pPr>
            <w:r>
              <w:rPr>
                <w:rFonts w:ascii="Arial (Body)" w:hAnsi="Arial (Body)" w:cstheme="minorHAnsi"/>
                <w:color w:val="265A9A"/>
                <w:szCs w:val="18"/>
              </w:rPr>
              <w:t>Size of</w:t>
            </w:r>
            <w:r w:rsidRPr="002A21FD">
              <w:rPr>
                <w:rFonts w:ascii="Arial (Body)" w:hAnsi="Arial (Body)" w:cstheme="minorHAnsi"/>
                <w:color w:val="265A9A"/>
                <w:szCs w:val="18"/>
              </w:rPr>
              <w:t xml:space="preserve"> shock</w:t>
            </w:r>
          </w:p>
        </w:tc>
        <w:tc>
          <w:tcPr>
            <w:tcW w:w="0" w:type="auto"/>
            <w:tcBorders>
              <w:bottom w:val="single" w:sz="4" w:space="0" w:color="B3B3B3"/>
            </w:tcBorders>
            <w:shd w:val="clear" w:color="000000" w:fill="auto"/>
            <w:vAlign w:val="bottom"/>
          </w:tcPr>
          <w:p w14:paraId="319DEC7C" w14:textId="476AD566" w:rsidR="00C6408F" w:rsidRPr="002A21FD" w:rsidRDefault="00C6408F" w:rsidP="005A13B0">
            <w:pPr>
              <w:pStyle w:val="TableHeading"/>
              <w:spacing w:before="45" w:after="45" w:line="260" w:lineRule="atLeast"/>
              <w:ind w:right="108"/>
              <w:rPr>
                <w:rFonts w:ascii="Arial (Body)" w:hAnsi="Arial (Body)" w:cstheme="minorHAnsi"/>
                <w:color w:val="265A9A"/>
                <w:szCs w:val="18"/>
              </w:rPr>
            </w:pPr>
            <w:r w:rsidRPr="002A21FD">
              <w:rPr>
                <w:rFonts w:ascii="Arial (Body)" w:hAnsi="Arial (Body)" w:cstheme="minorHAnsi"/>
                <w:color w:val="265A9A"/>
                <w:szCs w:val="18"/>
              </w:rPr>
              <w:t>Sensitivity test</w:t>
            </w:r>
            <w:r>
              <w:rPr>
                <w:rFonts w:ascii="Arial (Body)" w:hAnsi="Arial (Body)" w:cstheme="minorHAnsi"/>
                <w:color w:val="265A9A"/>
                <w:szCs w:val="18"/>
              </w:rPr>
              <w:t>ing</w:t>
            </w:r>
            <w:r w:rsidRPr="002A21FD">
              <w:rPr>
                <w:rFonts w:ascii="Arial (Body)" w:hAnsi="Arial (Body)" w:cstheme="minorHAnsi"/>
                <w:color w:val="265A9A"/>
                <w:szCs w:val="18"/>
              </w:rPr>
              <w:t xml:space="preserve"> value</w:t>
            </w:r>
            <w:r>
              <w:rPr>
                <w:rFonts w:ascii="Arial (Body)" w:hAnsi="Arial (Body)" w:cstheme="minorHAnsi"/>
                <w:color w:val="265A9A"/>
                <w:szCs w:val="18"/>
              </w:rPr>
              <w:t>s</w:t>
            </w:r>
          </w:p>
        </w:tc>
        <w:tc>
          <w:tcPr>
            <w:tcW w:w="0" w:type="auto"/>
            <w:tcBorders>
              <w:bottom w:val="single" w:sz="4" w:space="0" w:color="B3B3B3"/>
            </w:tcBorders>
            <w:shd w:val="clear" w:color="000000" w:fill="auto"/>
            <w:vAlign w:val="bottom"/>
          </w:tcPr>
          <w:p w14:paraId="12861130" w14:textId="091F5B08" w:rsidR="00C6408F" w:rsidRPr="002A21FD" w:rsidRDefault="00C6408F" w:rsidP="005A13B0">
            <w:pPr>
              <w:pStyle w:val="TableHeading"/>
              <w:spacing w:before="45" w:after="45" w:line="260" w:lineRule="atLeast"/>
              <w:ind w:right="108"/>
              <w:rPr>
                <w:rFonts w:ascii="Arial (Body)" w:hAnsi="Arial (Body)" w:cstheme="minorHAnsi"/>
                <w:color w:val="265A9A"/>
                <w:szCs w:val="18"/>
              </w:rPr>
            </w:pPr>
            <w:r w:rsidRPr="002A21FD">
              <w:rPr>
                <w:rFonts w:ascii="Arial (Body)" w:hAnsi="Arial (Body)" w:cstheme="minorHAnsi"/>
                <w:color w:val="265A9A"/>
                <w:szCs w:val="18"/>
              </w:rPr>
              <w:t>Rationale</w:t>
            </w:r>
          </w:p>
        </w:tc>
      </w:tr>
      <w:tr w:rsidR="002A21FD" w:rsidRPr="002A21FD" w14:paraId="51BA265F" w14:textId="77777777" w:rsidTr="005A13B0">
        <w:tc>
          <w:tcPr>
            <w:tcW w:w="0" w:type="auto"/>
            <w:vMerge w:val="restart"/>
            <w:tcBorders>
              <w:top w:val="single" w:sz="4" w:space="0" w:color="B3B3B3"/>
              <w:bottom w:val="nil"/>
            </w:tcBorders>
            <w:shd w:val="clear" w:color="000000" w:fill="F2F2F2"/>
          </w:tcPr>
          <w:p w14:paraId="67E666A7" w14:textId="5E0BBA7B" w:rsidR="00D525B3" w:rsidRPr="002A21FD" w:rsidRDefault="006C3DE5" w:rsidP="005A13B0">
            <w:pPr>
              <w:pStyle w:val="TableBody"/>
              <w:spacing w:before="45" w:after="45" w:line="260" w:lineRule="atLeast"/>
              <w:ind w:right="108"/>
              <w:rPr>
                <w:rFonts w:ascii="Arial (Body)" w:hAnsi="Arial (Body)" w:cstheme="minorHAnsi"/>
                <w:b/>
                <w:color w:val="265A9A"/>
                <w:szCs w:val="18"/>
              </w:rPr>
            </w:pPr>
            <w:r w:rsidRPr="004112B6">
              <w:rPr>
                <w:rFonts w:ascii="Arial (Body)" w:hAnsi="Arial (Body)" w:cstheme="minorHAnsi"/>
                <w:b/>
                <w:i/>
                <w:iCs/>
                <w:color w:val="265A9A"/>
                <w:szCs w:val="18"/>
              </w:rPr>
              <w:t>Innovation for the 98%</w:t>
            </w:r>
            <w:r w:rsidR="00520A3A">
              <w:rPr>
                <w:rFonts w:ascii="Arial (Body)" w:hAnsi="Arial (Body)" w:cstheme="minorHAnsi"/>
                <w:b/>
                <w:color w:val="265A9A"/>
                <w:szCs w:val="18"/>
              </w:rPr>
              <w:t>, appendix</w:t>
            </w:r>
            <w:r w:rsidR="00520A3A">
              <w:rPr>
                <w:rFonts w:ascii="Arial (Body)" w:hAnsi="Arial (Body)" w:cstheme="minorHAnsi" w:hint="eastAsia"/>
                <w:b/>
                <w:color w:val="265A9A"/>
                <w:szCs w:val="18"/>
              </w:rPr>
              <w:t> </w:t>
            </w:r>
            <w:r w:rsidR="00520A3A">
              <w:rPr>
                <w:rFonts w:ascii="Arial (Body)" w:hAnsi="Arial (Body)" w:cstheme="minorHAnsi"/>
                <w:b/>
                <w:color w:val="265A9A"/>
                <w:szCs w:val="18"/>
              </w:rPr>
              <w:t>A</w:t>
            </w:r>
          </w:p>
        </w:tc>
        <w:tc>
          <w:tcPr>
            <w:tcW w:w="0" w:type="auto"/>
            <w:vMerge w:val="restart"/>
            <w:tcBorders>
              <w:top w:val="single" w:sz="4" w:space="0" w:color="B3B3B3"/>
              <w:bottom w:val="nil"/>
            </w:tcBorders>
            <w:shd w:val="clear" w:color="000000" w:fill="F2F2F2"/>
          </w:tcPr>
          <w:p w14:paraId="0CFCFCBF" w14:textId="2EAC9160" w:rsidR="00D525B3" w:rsidRPr="002A21FD" w:rsidRDefault="00D525B3"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 xml:space="preserve">[1] Increasing productivity through better diffusion of new business models, technologies, management capabilities, and data </w:t>
            </w:r>
            <w:r w:rsidR="00840FA7">
              <w:rPr>
                <w:rFonts w:ascii="Arial (Body)" w:hAnsi="Arial (Body)" w:cstheme="minorHAnsi"/>
                <w:color w:val="000000"/>
                <w:szCs w:val="18"/>
              </w:rPr>
              <w:t>use</w:t>
            </w:r>
          </w:p>
        </w:tc>
        <w:tc>
          <w:tcPr>
            <w:tcW w:w="0" w:type="auto"/>
            <w:tcBorders>
              <w:top w:val="single" w:sz="4" w:space="0" w:color="B3B3B3"/>
              <w:bottom w:val="nil"/>
            </w:tcBorders>
            <w:shd w:val="clear" w:color="000000" w:fill="F2F2F2"/>
          </w:tcPr>
          <w:p w14:paraId="6078EA53" w14:textId="04BF632D" w:rsidR="00D525B3" w:rsidRPr="002A21FD" w:rsidRDefault="00D525B3"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 xml:space="preserve">[1a] </w:t>
            </w:r>
            <w:r w:rsidR="00B55730" w:rsidRPr="00A055A5">
              <w:rPr>
                <w:rFonts w:ascii="Arial (Body)" w:hAnsi="Arial (Body)" w:cstheme="minorHAnsi"/>
                <w:color w:val="000000"/>
                <w:szCs w:val="18"/>
              </w:rPr>
              <w:t>Input</w:t>
            </w:r>
            <w:r w:rsidR="004B308E">
              <w:rPr>
                <w:rFonts w:ascii="Arial (Body)" w:hAnsi="Arial (Body)" w:cstheme="minorHAnsi"/>
                <w:color w:val="000000"/>
                <w:szCs w:val="18"/>
              </w:rPr>
              <w:noBreakHyphen/>
            </w:r>
            <w:r w:rsidR="00B55730" w:rsidRPr="00A055A5">
              <w:rPr>
                <w:rFonts w:ascii="Arial (Body)" w:hAnsi="Arial (Body)" w:cstheme="minorHAnsi"/>
                <w:color w:val="000000"/>
                <w:szCs w:val="18"/>
              </w:rPr>
              <w:t>neutral</w:t>
            </w:r>
            <w:r w:rsidRPr="002A21FD">
              <w:rPr>
                <w:rFonts w:ascii="Arial (Body)" w:hAnsi="Arial (Body)" w:cstheme="minorHAnsi"/>
                <w:color w:val="000000"/>
                <w:szCs w:val="18"/>
              </w:rPr>
              <w:t xml:space="preserve"> technical change parameters were increased for each industry (excluding ‘ownership of dwellings’) in </w:t>
            </w:r>
            <w:r w:rsidR="00063D7A">
              <w:rPr>
                <w:rFonts w:ascii="Arial (Body)" w:hAnsi="Arial (Body)" w:cstheme="minorHAnsi"/>
                <w:color w:val="000000"/>
                <w:szCs w:val="18"/>
              </w:rPr>
              <w:t xml:space="preserve">16 </w:t>
            </w:r>
            <w:r w:rsidRPr="002A21FD">
              <w:rPr>
                <w:rFonts w:ascii="Arial (Body)" w:hAnsi="Arial (Body)" w:cstheme="minorHAnsi"/>
                <w:color w:val="000000"/>
                <w:szCs w:val="18"/>
              </w:rPr>
              <w:t>separate simulations</w:t>
            </w:r>
          </w:p>
        </w:tc>
        <w:tc>
          <w:tcPr>
            <w:tcW w:w="0" w:type="auto"/>
            <w:tcBorders>
              <w:top w:val="single" w:sz="4" w:space="0" w:color="B3B3B3"/>
              <w:bottom w:val="nil"/>
            </w:tcBorders>
            <w:shd w:val="clear" w:color="000000" w:fill="F2F2F2"/>
          </w:tcPr>
          <w:p w14:paraId="4D40904A" w14:textId="31DE2627" w:rsidR="00D525B3" w:rsidRPr="002A21FD" w:rsidRDefault="00D525B3"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1</w:t>
            </w:r>
            <w:r w:rsidR="002613F9">
              <w:rPr>
                <w:rFonts w:ascii="Arial (Body)" w:hAnsi="Arial (Body)" w:cstheme="minorHAnsi"/>
                <w:color w:val="000000"/>
                <w:szCs w:val="18"/>
              </w:rPr>
              <w:t>%</w:t>
            </w:r>
          </w:p>
        </w:tc>
        <w:tc>
          <w:tcPr>
            <w:tcW w:w="0" w:type="auto"/>
            <w:tcBorders>
              <w:top w:val="single" w:sz="4" w:space="0" w:color="B3B3B3"/>
              <w:bottom w:val="nil"/>
            </w:tcBorders>
            <w:shd w:val="clear" w:color="000000" w:fill="F2F2F2"/>
          </w:tcPr>
          <w:p w14:paraId="40EC3389" w14:textId="77777777" w:rsidR="00D525B3" w:rsidRPr="002A21FD" w:rsidRDefault="00D525B3"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None</w:t>
            </w:r>
          </w:p>
        </w:tc>
        <w:tc>
          <w:tcPr>
            <w:tcW w:w="0" w:type="auto"/>
            <w:vMerge w:val="restart"/>
            <w:tcBorders>
              <w:top w:val="single" w:sz="4" w:space="0" w:color="B3B3B3"/>
              <w:bottom w:val="nil"/>
            </w:tcBorders>
            <w:shd w:val="clear" w:color="000000" w:fill="F2F2F2"/>
          </w:tcPr>
          <w:p w14:paraId="4081E1A4" w14:textId="77777777" w:rsidR="00D525B3" w:rsidRPr="002A21FD" w:rsidRDefault="00D525B3"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Assumed for illustrative purposes only.</w:t>
            </w:r>
          </w:p>
        </w:tc>
      </w:tr>
      <w:tr w:rsidR="002A21FD" w:rsidRPr="002A21FD" w14:paraId="0E6B5AE9" w14:textId="77777777" w:rsidTr="005A13B0">
        <w:tc>
          <w:tcPr>
            <w:tcW w:w="0" w:type="auto"/>
            <w:vMerge/>
            <w:tcBorders>
              <w:bottom w:val="nil"/>
            </w:tcBorders>
            <w:shd w:val="clear" w:color="000000" w:fill="F2F2F2"/>
          </w:tcPr>
          <w:p w14:paraId="6D5EE386" w14:textId="77777777" w:rsidR="00D525B3" w:rsidRPr="002A21FD" w:rsidRDefault="00D525B3" w:rsidP="005A13B0">
            <w:pPr>
              <w:pStyle w:val="TableBody"/>
              <w:spacing w:before="45" w:after="45" w:line="260" w:lineRule="atLeast"/>
              <w:ind w:right="108"/>
              <w:rPr>
                <w:rFonts w:ascii="Arial (Body)" w:hAnsi="Arial (Body)" w:cstheme="minorHAnsi"/>
                <w:color w:val="000000"/>
                <w:szCs w:val="18"/>
              </w:rPr>
            </w:pPr>
          </w:p>
        </w:tc>
        <w:tc>
          <w:tcPr>
            <w:tcW w:w="0" w:type="auto"/>
            <w:vMerge/>
            <w:tcBorders>
              <w:bottom w:val="nil"/>
            </w:tcBorders>
            <w:shd w:val="clear" w:color="000000" w:fill="F2F2F2"/>
          </w:tcPr>
          <w:p w14:paraId="6C4B83CA" w14:textId="77777777" w:rsidR="00D525B3" w:rsidRPr="002A21FD" w:rsidRDefault="00D525B3" w:rsidP="005A13B0">
            <w:pPr>
              <w:pStyle w:val="TableBody"/>
              <w:spacing w:before="45" w:after="45" w:line="260" w:lineRule="atLeast"/>
              <w:ind w:right="108"/>
              <w:rPr>
                <w:rFonts w:ascii="Arial (Body)" w:hAnsi="Arial (Body)" w:cstheme="minorHAnsi"/>
                <w:color w:val="000000"/>
                <w:szCs w:val="18"/>
              </w:rPr>
            </w:pPr>
          </w:p>
        </w:tc>
        <w:tc>
          <w:tcPr>
            <w:tcW w:w="0" w:type="auto"/>
            <w:tcBorders>
              <w:bottom w:val="nil"/>
            </w:tcBorders>
            <w:shd w:val="clear" w:color="000000" w:fill="F2F2F2"/>
          </w:tcPr>
          <w:p w14:paraId="280BBCD1" w14:textId="4A983A04" w:rsidR="00D525B3" w:rsidRPr="002A21FD" w:rsidRDefault="00D525B3"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 xml:space="preserve">[1b] </w:t>
            </w:r>
            <w:r w:rsidR="00B55730" w:rsidRPr="00A055A5">
              <w:rPr>
                <w:rFonts w:ascii="Arial (Body)" w:hAnsi="Arial (Body)" w:cstheme="minorHAnsi"/>
                <w:color w:val="000000"/>
                <w:szCs w:val="18"/>
              </w:rPr>
              <w:t>Input</w:t>
            </w:r>
            <w:r w:rsidR="004B308E">
              <w:rPr>
                <w:rFonts w:ascii="Arial (Body)" w:hAnsi="Arial (Body)" w:cstheme="minorHAnsi"/>
                <w:color w:val="000000"/>
                <w:szCs w:val="18"/>
              </w:rPr>
              <w:noBreakHyphen/>
            </w:r>
            <w:r w:rsidR="00B55730" w:rsidRPr="00A055A5">
              <w:rPr>
                <w:rFonts w:ascii="Arial (Body)" w:hAnsi="Arial (Body)" w:cstheme="minorHAnsi"/>
                <w:color w:val="000000"/>
                <w:szCs w:val="18"/>
              </w:rPr>
              <w:t>neutral</w:t>
            </w:r>
            <w:r w:rsidRPr="002A21FD">
              <w:rPr>
                <w:rFonts w:ascii="Arial (Body)" w:hAnsi="Arial (Body)" w:cstheme="minorHAnsi"/>
                <w:color w:val="000000"/>
                <w:szCs w:val="18"/>
              </w:rPr>
              <w:t xml:space="preserve"> technical change parameters were increased for the above industries in a single simulation</w:t>
            </w:r>
          </w:p>
        </w:tc>
        <w:tc>
          <w:tcPr>
            <w:tcW w:w="0" w:type="auto"/>
            <w:tcBorders>
              <w:bottom w:val="nil"/>
            </w:tcBorders>
            <w:shd w:val="clear" w:color="000000" w:fill="F2F2F2"/>
          </w:tcPr>
          <w:p w14:paraId="65576F12" w14:textId="71B3577C" w:rsidR="00D525B3" w:rsidRPr="002A21FD" w:rsidRDefault="00D525B3"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1</w:t>
            </w:r>
            <w:r w:rsidR="002613F9">
              <w:rPr>
                <w:rFonts w:ascii="Arial (Body)" w:hAnsi="Arial (Body)" w:cstheme="minorHAnsi"/>
                <w:color w:val="000000"/>
                <w:szCs w:val="18"/>
              </w:rPr>
              <w:t>%</w:t>
            </w:r>
          </w:p>
        </w:tc>
        <w:tc>
          <w:tcPr>
            <w:tcW w:w="0" w:type="auto"/>
            <w:tcBorders>
              <w:bottom w:val="nil"/>
            </w:tcBorders>
            <w:shd w:val="clear" w:color="000000" w:fill="F2F2F2"/>
          </w:tcPr>
          <w:p w14:paraId="664CFAE0" w14:textId="6B8CA094" w:rsidR="00D525B3" w:rsidRPr="002A21FD" w:rsidRDefault="00D525B3"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0.5 to 1.5</w:t>
            </w:r>
            <w:r w:rsidR="002613F9">
              <w:rPr>
                <w:rFonts w:ascii="Arial (Body)" w:hAnsi="Arial (Body)" w:cstheme="minorHAnsi"/>
                <w:color w:val="000000"/>
                <w:szCs w:val="18"/>
              </w:rPr>
              <w:t>%</w:t>
            </w:r>
          </w:p>
        </w:tc>
        <w:tc>
          <w:tcPr>
            <w:tcW w:w="0" w:type="auto"/>
            <w:vMerge/>
            <w:tcBorders>
              <w:bottom w:val="nil"/>
            </w:tcBorders>
            <w:shd w:val="clear" w:color="000000" w:fill="F2F2F2"/>
          </w:tcPr>
          <w:p w14:paraId="32414E73" w14:textId="77777777" w:rsidR="00D525B3" w:rsidRPr="002A21FD" w:rsidRDefault="00D525B3" w:rsidP="005A13B0">
            <w:pPr>
              <w:pStyle w:val="TableBody"/>
              <w:spacing w:before="45" w:after="45" w:line="260" w:lineRule="atLeast"/>
              <w:ind w:right="108"/>
              <w:rPr>
                <w:rFonts w:ascii="Arial (Body)" w:hAnsi="Arial (Body)" w:cstheme="minorHAnsi"/>
                <w:color w:val="000000"/>
                <w:szCs w:val="18"/>
              </w:rPr>
            </w:pPr>
          </w:p>
        </w:tc>
      </w:tr>
      <w:tr w:rsidR="002A21FD" w:rsidRPr="002A21FD" w14:paraId="63AEFFEA" w14:textId="77777777" w:rsidTr="005A13B0">
        <w:tc>
          <w:tcPr>
            <w:tcW w:w="0" w:type="auto"/>
            <w:tcBorders>
              <w:bottom w:val="nil"/>
            </w:tcBorders>
            <w:shd w:val="clear" w:color="auto" w:fill="auto"/>
          </w:tcPr>
          <w:p w14:paraId="478B5AE9" w14:textId="3BC0ABD2" w:rsidR="00D525B3" w:rsidRPr="002A21FD" w:rsidRDefault="008A0133" w:rsidP="005A13B0">
            <w:pPr>
              <w:pStyle w:val="TableBody"/>
              <w:spacing w:before="45" w:after="45" w:line="260" w:lineRule="atLeast"/>
              <w:ind w:right="108"/>
              <w:rPr>
                <w:rFonts w:ascii="Arial (Body)" w:hAnsi="Arial (Body)" w:cstheme="minorHAnsi"/>
                <w:b/>
                <w:color w:val="265A9A"/>
                <w:szCs w:val="18"/>
              </w:rPr>
            </w:pPr>
            <w:r w:rsidRPr="004112B6">
              <w:rPr>
                <w:rFonts w:ascii="Arial (Body)" w:hAnsi="Arial (Body)" w:cstheme="minorHAnsi"/>
                <w:b/>
                <w:i/>
                <w:iCs/>
                <w:color w:val="265A9A"/>
                <w:szCs w:val="18"/>
              </w:rPr>
              <w:t>Australia’s data and digital dividend</w:t>
            </w:r>
            <w:r w:rsidR="00EB304F">
              <w:rPr>
                <w:rFonts w:ascii="Arial (Body)" w:hAnsi="Arial (Body)" w:cstheme="minorHAnsi"/>
                <w:b/>
                <w:color w:val="265A9A"/>
                <w:szCs w:val="18"/>
              </w:rPr>
              <w:t>, appendix B</w:t>
            </w:r>
            <w:r w:rsidRPr="002A21FD">
              <w:rPr>
                <w:rFonts w:ascii="Arial (Body)" w:hAnsi="Arial (Body)" w:cstheme="minorHAnsi"/>
                <w:b/>
                <w:color w:val="265A9A"/>
                <w:szCs w:val="18"/>
              </w:rPr>
              <w:t xml:space="preserve"> </w:t>
            </w:r>
          </w:p>
        </w:tc>
        <w:tc>
          <w:tcPr>
            <w:tcW w:w="0" w:type="auto"/>
            <w:tcBorders>
              <w:bottom w:val="nil"/>
            </w:tcBorders>
            <w:shd w:val="clear" w:color="auto" w:fill="auto"/>
          </w:tcPr>
          <w:p w14:paraId="482B744F" w14:textId="77777777" w:rsidR="00D525B3" w:rsidRPr="002A21FD" w:rsidRDefault="00D525B3"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[2] Increasing productivity in regional and remote areas through better access to digital infrastructure, leading to more uptake of technology and data tools</w:t>
            </w:r>
          </w:p>
        </w:tc>
        <w:tc>
          <w:tcPr>
            <w:tcW w:w="0" w:type="auto"/>
            <w:tcBorders>
              <w:bottom w:val="nil"/>
            </w:tcBorders>
            <w:shd w:val="clear" w:color="auto" w:fill="auto"/>
          </w:tcPr>
          <w:p w14:paraId="4619E878" w14:textId="39623150" w:rsidR="00D525B3" w:rsidRPr="002A21FD" w:rsidRDefault="00E6411A"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Multifactor productivity</w:t>
            </w:r>
            <w:r w:rsidR="00D525B3" w:rsidRPr="002A21FD">
              <w:rPr>
                <w:rFonts w:ascii="Arial (Body)" w:hAnsi="Arial (Body)" w:cstheme="minorHAnsi"/>
                <w:color w:val="000000"/>
                <w:szCs w:val="18"/>
              </w:rPr>
              <w:t xml:space="preserve"> parameters </w:t>
            </w:r>
            <w:r>
              <w:rPr>
                <w:rFonts w:ascii="Arial (Body)" w:hAnsi="Arial (Body)" w:cstheme="minorHAnsi"/>
                <w:color w:val="000000"/>
                <w:szCs w:val="18"/>
              </w:rPr>
              <w:t>were increased for</w:t>
            </w:r>
            <w:r w:rsidR="00D525B3" w:rsidRPr="002A21FD">
              <w:rPr>
                <w:rFonts w:ascii="Arial (Body)" w:hAnsi="Arial (Body)" w:cstheme="minorHAnsi"/>
                <w:color w:val="000000"/>
                <w:szCs w:val="18"/>
              </w:rPr>
              <w:t xml:space="preserve"> the ‘mining’ and ‘agriculture, forestry and fishing’ industries</w:t>
            </w:r>
          </w:p>
        </w:tc>
        <w:tc>
          <w:tcPr>
            <w:tcW w:w="0" w:type="auto"/>
            <w:tcBorders>
              <w:bottom w:val="nil"/>
            </w:tcBorders>
            <w:shd w:val="clear" w:color="auto" w:fill="auto"/>
          </w:tcPr>
          <w:p w14:paraId="6AF82167" w14:textId="142A0D24" w:rsidR="00D525B3" w:rsidRPr="002A21FD" w:rsidRDefault="00D525B3"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0.5</w:t>
            </w:r>
            <w:r w:rsidR="002613F9">
              <w:rPr>
                <w:rFonts w:ascii="Arial (Body)" w:hAnsi="Arial (Body)" w:cstheme="minorHAnsi" w:hint="eastAsia"/>
                <w:color w:val="000000"/>
                <w:szCs w:val="18"/>
              </w:rPr>
              <w:t>%</w:t>
            </w:r>
          </w:p>
        </w:tc>
        <w:tc>
          <w:tcPr>
            <w:tcW w:w="0" w:type="auto"/>
            <w:tcBorders>
              <w:bottom w:val="nil"/>
            </w:tcBorders>
            <w:shd w:val="clear" w:color="auto" w:fill="auto"/>
          </w:tcPr>
          <w:p w14:paraId="4C265624" w14:textId="6300B230" w:rsidR="00D525B3" w:rsidRPr="002A21FD" w:rsidRDefault="00D525B3"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0.2 to 1</w:t>
            </w:r>
            <w:r w:rsidR="002613F9">
              <w:rPr>
                <w:rFonts w:ascii="Arial (Body)" w:hAnsi="Arial (Body)" w:cstheme="minorHAnsi"/>
                <w:color w:val="000000"/>
                <w:szCs w:val="18"/>
              </w:rPr>
              <w:t>%</w:t>
            </w:r>
          </w:p>
        </w:tc>
        <w:tc>
          <w:tcPr>
            <w:tcW w:w="0" w:type="auto"/>
            <w:tcBorders>
              <w:bottom w:val="nil"/>
            </w:tcBorders>
            <w:shd w:val="clear" w:color="auto" w:fill="auto"/>
          </w:tcPr>
          <w:p w14:paraId="69510162" w14:textId="71261C41" w:rsidR="00D525B3" w:rsidRPr="00A055A5" w:rsidRDefault="00F71A23" w:rsidP="005A13B0">
            <w:pPr>
              <w:pStyle w:val="TableBody"/>
              <w:spacing w:before="45" w:after="45" w:line="260" w:lineRule="atLeast"/>
              <w:ind w:right="108"/>
              <w:rPr>
                <w:rFonts w:ascii="Arial (Body)" w:hAnsi="Arial (Body)" w:cstheme="minorHAnsi"/>
                <w:color w:val="000000"/>
                <w:szCs w:val="18"/>
              </w:rPr>
            </w:pPr>
            <w:r>
              <w:rPr>
                <w:rFonts w:ascii="Arial (Body)" w:hAnsi="Arial (Body)" w:cstheme="minorHAnsi"/>
                <w:color w:val="000000"/>
                <w:szCs w:val="18"/>
              </w:rPr>
              <w:t>A</w:t>
            </w:r>
            <w:r w:rsidR="00A642EE">
              <w:rPr>
                <w:rFonts w:ascii="Arial (Body)" w:hAnsi="Arial (Body)" w:cstheme="minorHAnsi"/>
                <w:color w:val="000000"/>
                <w:szCs w:val="18"/>
              </w:rPr>
              <w:t xml:space="preserve"> meta</w:t>
            </w:r>
            <w:r w:rsidR="006C1487">
              <w:rPr>
                <w:rFonts w:ascii="Arial (Body)" w:hAnsi="Arial (Body)" w:cstheme="minorHAnsi"/>
                <w:color w:val="000000"/>
                <w:szCs w:val="18"/>
              </w:rPr>
              <w:noBreakHyphen/>
            </w:r>
            <w:r w:rsidR="00A642EE">
              <w:rPr>
                <w:rFonts w:ascii="Arial (Body)" w:hAnsi="Arial (Body)" w:cstheme="minorHAnsi"/>
                <w:color w:val="000000"/>
                <w:szCs w:val="18"/>
              </w:rPr>
              <w:t>analysis</w:t>
            </w:r>
            <w:r w:rsidR="00D525B3" w:rsidRPr="002A21FD">
              <w:rPr>
                <w:rFonts w:ascii="Arial (Body)" w:hAnsi="Arial (Body)" w:cstheme="minorHAnsi"/>
                <w:color w:val="000000"/>
                <w:szCs w:val="18"/>
              </w:rPr>
              <w:t xml:space="preserve"> suggests that </w:t>
            </w:r>
            <w:r>
              <w:rPr>
                <w:rFonts w:ascii="Arial (Body)" w:hAnsi="Arial (Body)" w:cstheme="minorHAnsi"/>
                <w:color w:val="000000"/>
                <w:szCs w:val="18"/>
              </w:rPr>
              <w:t xml:space="preserve">a </w:t>
            </w:r>
            <w:r w:rsidRPr="002A21FD">
              <w:rPr>
                <w:rFonts w:ascii="Arial (Body)" w:hAnsi="Arial (Body)" w:cstheme="minorHAnsi"/>
                <w:color w:val="000000"/>
                <w:szCs w:val="18"/>
              </w:rPr>
              <w:t>10</w:t>
            </w:r>
            <w:r w:rsidR="002613F9">
              <w:rPr>
                <w:rFonts w:ascii="Arial (Body)" w:hAnsi="Arial (Body)" w:cstheme="minorHAnsi"/>
                <w:color w:val="000000"/>
                <w:szCs w:val="18"/>
              </w:rPr>
              <w:t>%</w:t>
            </w:r>
            <w:r w:rsidRPr="002A21FD">
              <w:rPr>
                <w:rFonts w:ascii="Arial (Body)" w:hAnsi="Arial (Body)" w:cstheme="minorHAnsi"/>
                <w:color w:val="000000"/>
                <w:szCs w:val="18"/>
              </w:rPr>
              <w:t xml:space="preserve"> increase in </w:t>
            </w:r>
            <w:r w:rsidR="00C660CB">
              <w:rPr>
                <w:rFonts w:ascii="Arial (Body)" w:hAnsi="Arial (Body)" w:cstheme="minorHAnsi"/>
                <w:color w:val="000000"/>
                <w:szCs w:val="18"/>
              </w:rPr>
              <w:t xml:space="preserve">use of </w:t>
            </w:r>
            <w:r>
              <w:rPr>
                <w:rFonts w:ascii="Arial (Body)" w:hAnsi="Arial (Body)" w:cstheme="minorHAnsi"/>
                <w:color w:val="000000"/>
                <w:szCs w:val="18"/>
              </w:rPr>
              <w:t xml:space="preserve">information and communication technologies </w:t>
            </w:r>
            <w:r w:rsidR="00630686">
              <w:rPr>
                <w:rFonts w:ascii="Arial (Body)" w:hAnsi="Arial (Body)" w:cstheme="minorHAnsi"/>
                <w:color w:val="000000"/>
                <w:szCs w:val="18"/>
              </w:rPr>
              <w:t xml:space="preserve">(ICT) </w:t>
            </w:r>
            <w:r w:rsidR="003556EF">
              <w:rPr>
                <w:rFonts w:ascii="Arial (Body)" w:hAnsi="Arial (Body)" w:cstheme="minorHAnsi"/>
                <w:color w:val="000000"/>
                <w:szCs w:val="18"/>
              </w:rPr>
              <w:t xml:space="preserve">is </w:t>
            </w:r>
            <w:r w:rsidR="00D525B3" w:rsidRPr="002A21FD">
              <w:rPr>
                <w:rFonts w:ascii="Arial (Body)" w:hAnsi="Arial (Body)" w:cstheme="minorHAnsi"/>
                <w:color w:val="000000"/>
                <w:szCs w:val="18"/>
              </w:rPr>
              <w:t>associated with a 0.5</w:t>
            </w:r>
            <w:r w:rsidR="002613F9">
              <w:rPr>
                <w:rFonts w:ascii="Arial (Body)" w:hAnsi="Arial (Body)" w:cstheme="minorHAnsi"/>
                <w:color w:val="000000"/>
                <w:szCs w:val="18"/>
              </w:rPr>
              <w:t>%</w:t>
            </w:r>
            <w:r w:rsidR="00D525B3" w:rsidRPr="002A21FD">
              <w:rPr>
                <w:rFonts w:ascii="Arial (Body)" w:hAnsi="Arial (Body)" w:cstheme="minorHAnsi"/>
                <w:color w:val="000000"/>
                <w:szCs w:val="18"/>
              </w:rPr>
              <w:t xml:space="preserve"> increase in output</w:t>
            </w:r>
            <w:r w:rsidR="0029555A">
              <w:rPr>
                <w:rFonts w:ascii="Arial (Body)" w:hAnsi="Arial (Body)" w:cstheme="minorHAnsi"/>
                <w:color w:val="000000"/>
                <w:szCs w:val="18"/>
              </w:rPr>
              <w:t xml:space="preserve"> </w:t>
            </w:r>
            <w:r w:rsidR="00F1718D" w:rsidRPr="00A055A5">
              <w:rPr>
                <w:rFonts w:ascii="Arial (Body)" w:hAnsi="Arial (Body)" w:cs="Times New Roman"/>
                <w:color w:val="000000"/>
                <w:szCs w:val="24"/>
              </w:rPr>
              <w:t>(Cardona, Kretschmer and Strobel 2013, pp. 118–119)</w:t>
            </w:r>
            <w:r w:rsidR="00D525B3" w:rsidRPr="002A21FD">
              <w:rPr>
                <w:rFonts w:ascii="Arial (Body)" w:hAnsi="Arial (Body)" w:cstheme="minorHAnsi"/>
                <w:color w:val="000000"/>
                <w:szCs w:val="18"/>
              </w:rPr>
              <w:t>.</w:t>
            </w:r>
            <w:r w:rsidR="00E9083E" w:rsidRPr="002A21FD">
              <w:rPr>
                <w:rFonts w:ascii="Arial (Body)" w:hAnsi="Arial (Body)" w:cstheme="minorHAnsi"/>
                <w:color w:val="000000"/>
                <w:szCs w:val="18"/>
              </w:rPr>
              <w:t xml:space="preserve"> </w:t>
            </w:r>
            <w:r w:rsidR="000E532A">
              <w:rPr>
                <w:rFonts w:ascii="Arial (Body)" w:hAnsi="Arial (Body)" w:cstheme="minorHAnsi"/>
                <w:color w:val="000000"/>
                <w:szCs w:val="18"/>
              </w:rPr>
              <w:t>F</w:t>
            </w:r>
            <w:r w:rsidR="0028620C">
              <w:rPr>
                <w:rFonts w:ascii="Arial (Body)" w:hAnsi="Arial (Body)" w:cstheme="minorHAnsi"/>
                <w:color w:val="000000"/>
                <w:szCs w:val="18"/>
              </w:rPr>
              <w:t>or illustrative purposes</w:t>
            </w:r>
            <w:r w:rsidR="00416B31">
              <w:rPr>
                <w:rFonts w:ascii="Arial (Body)" w:hAnsi="Arial (Body)" w:cstheme="minorHAnsi"/>
                <w:color w:val="000000"/>
                <w:szCs w:val="18"/>
              </w:rPr>
              <w:t xml:space="preserve"> in this shock</w:t>
            </w:r>
            <w:r w:rsidR="006F7771">
              <w:rPr>
                <w:rFonts w:ascii="Arial (Body)" w:hAnsi="Arial (Body)" w:cstheme="minorHAnsi"/>
                <w:color w:val="000000"/>
                <w:szCs w:val="18"/>
              </w:rPr>
              <w:t xml:space="preserve">, it was assumed that </w:t>
            </w:r>
            <w:r w:rsidR="00245EE5">
              <w:rPr>
                <w:rFonts w:ascii="Arial (Body)" w:hAnsi="Arial (Body)" w:cstheme="minorHAnsi"/>
                <w:color w:val="000000"/>
                <w:szCs w:val="18"/>
              </w:rPr>
              <w:t>the improvement in digital infrastructure in regional and remote areas would lead to such an increase in ICT u</w:t>
            </w:r>
            <w:r w:rsidR="00630686">
              <w:rPr>
                <w:rFonts w:ascii="Arial (Body)" w:hAnsi="Arial (Body)" w:cstheme="minorHAnsi"/>
                <w:color w:val="000000"/>
                <w:szCs w:val="18"/>
              </w:rPr>
              <w:t>se</w:t>
            </w:r>
            <w:r w:rsidR="0028620C">
              <w:rPr>
                <w:rFonts w:ascii="Arial (Body)" w:hAnsi="Arial (Body)" w:cstheme="minorHAnsi"/>
                <w:color w:val="000000"/>
                <w:szCs w:val="18"/>
              </w:rPr>
              <w:t>.</w:t>
            </w:r>
            <w:r w:rsidR="00E9083E" w:rsidRPr="002A21FD">
              <w:rPr>
                <w:rFonts w:ascii="Arial (Body)" w:hAnsi="Arial (Body)" w:cstheme="minorHAnsi"/>
                <w:color w:val="000000"/>
                <w:szCs w:val="18"/>
              </w:rPr>
              <w:t xml:space="preserve"> </w:t>
            </w:r>
            <w:r w:rsidR="00D525B3" w:rsidRPr="00A055A5">
              <w:rPr>
                <w:rFonts w:ascii="Arial (Body)" w:hAnsi="Arial (Body)" w:cstheme="minorHAnsi"/>
                <w:color w:val="000000"/>
                <w:szCs w:val="18"/>
              </w:rPr>
              <w:t xml:space="preserve">The ‘mining’ and ‘agriculture, forestry and fishing’ </w:t>
            </w:r>
            <w:r w:rsidR="00F97B20" w:rsidRPr="00A055A5">
              <w:rPr>
                <w:rFonts w:ascii="Arial (Body)" w:hAnsi="Arial (Body)" w:cstheme="minorHAnsi"/>
                <w:color w:val="000000"/>
                <w:szCs w:val="18"/>
              </w:rPr>
              <w:t>industries</w:t>
            </w:r>
            <w:r w:rsidR="00D525B3" w:rsidRPr="00A055A5">
              <w:rPr>
                <w:rFonts w:ascii="Arial (Body)" w:hAnsi="Arial (Body)" w:cstheme="minorHAnsi"/>
                <w:color w:val="000000"/>
                <w:szCs w:val="18"/>
              </w:rPr>
              <w:t xml:space="preserve"> were shocked</w:t>
            </w:r>
            <w:r w:rsidR="00582C37" w:rsidRPr="00A055A5">
              <w:rPr>
                <w:rFonts w:ascii="Arial (Body)" w:hAnsi="Arial (Body)" w:cstheme="minorHAnsi"/>
                <w:color w:val="000000"/>
                <w:szCs w:val="18"/>
              </w:rPr>
              <w:t>,</w:t>
            </w:r>
            <w:r w:rsidR="00D525B3" w:rsidRPr="00A055A5">
              <w:rPr>
                <w:rFonts w:ascii="Arial (Body)" w:hAnsi="Arial (Body)" w:cstheme="minorHAnsi"/>
                <w:color w:val="000000"/>
                <w:szCs w:val="18"/>
              </w:rPr>
              <w:t xml:space="preserve"> as they have </w:t>
            </w:r>
            <w:r w:rsidR="00013291" w:rsidRPr="00A055A5">
              <w:rPr>
                <w:rFonts w:ascii="Arial (Body)" w:hAnsi="Arial (Body)" w:cstheme="minorHAnsi"/>
                <w:color w:val="000000"/>
                <w:szCs w:val="18"/>
              </w:rPr>
              <w:t xml:space="preserve">much </w:t>
            </w:r>
            <w:r w:rsidR="00D525B3" w:rsidRPr="00A055A5">
              <w:rPr>
                <w:rFonts w:ascii="Arial (Body)" w:hAnsi="Arial (Body)" w:cstheme="minorHAnsi"/>
                <w:color w:val="000000"/>
                <w:szCs w:val="18"/>
              </w:rPr>
              <w:t>highe</w:t>
            </w:r>
            <w:r w:rsidR="00013291" w:rsidRPr="00A055A5">
              <w:rPr>
                <w:rFonts w:ascii="Arial (Body)" w:hAnsi="Arial (Body)" w:cstheme="minorHAnsi"/>
                <w:color w:val="000000"/>
                <w:szCs w:val="18"/>
              </w:rPr>
              <w:t>r</w:t>
            </w:r>
            <w:r w:rsidR="00D525B3" w:rsidRPr="00A055A5">
              <w:rPr>
                <w:rFonts w:ascii="Arial (Body)" w:hAnsi="Arial (Body)" w:cstheme="minorHAnsi"/>
                <w:color w:val="000000"/>
                <w:szCs w:val="18"/>
              </w:rPr>
              <w:t xml:space="preserve"> </w:t>
            </w:r>
            <w:r w:rsidR="00E9083E" w:rsidRPr="00A055A5">
              <w:rPr>
                <w:rFonts w:ascii="Arial (Body)" w:hAnsi="Arial (Body)" w:cstheme="minorHAnsi"/>
                <w:color w:val="000000"/>
                <w:szCs w:val="18"/>
              </w:rPr>
              <w:t>share</w:t>
            </w:r>
            <w:r w:rsidR="00013291" w:rsidRPr="00A055A5">
              <w:rPr>
                <w:rFonts w:ascii="Arial (Body)" w:hAnsi="Arial (Body)" w:cstheme="minorHAnsi"/>
                <w:color w:val="000000"/>
                <w:szCs w:val="18"/>
              </w:rPr>
              <w:t>s</w:t>
            </w:r>
            <w:r w:rsidR="00D525B3" w:rsidRPr="00A055A5">
              <w:rPr>
                <w:rFonts w:ascii="Arial (Body)" w:hAnsi="Arial (Body)" w:cstheme="minorHAnsi"/>
                <w:color w:val="000000"/>
                <w:szCs w:val="18"/>
              </w:rPr>
              <w:t xml:space="preserve"> of labour</w:t>
            </w:r>
            <w:r w:rsidR="00013291" w:rsidRPr="00A055A5">
              <w:rPr>
                <w:rFonts w:ascii="Arial (Body)" w:hAnsi="Arial (Body)" w:cstheme="minorHAnsi"/>
                <w:color w:val="000000"/>
                <w:szCs w:val="18"/>
              </w:rPr>
              <w:t xml:space="preserve"> </w:t>
            </w:r>
            <w:r w:rsidR="00D525B3" w:rsidRPr="00A055A5">
              <w:rPr>
                <w:rFonts w:ascii="Arial (Body)" w:hAnsi="Arial (Body)" w:cstheme="minorHAnsi"/>
                <w:color w:val="000000"/>
                <w:szCs w:val="18"/>
              </w:rPr>
              <w:t>(as a proxy for output)</w:t>
            </w:r>
            <w:r w:rsidR="00582C37" w:rsidRPr="00A055A5">
              <w:rPr>
                <w:rFonts w:ascii="Arial (Body)" w:hAnsi="Arial (Body)" w:cstheme="minorHAnsi"/>
                <w:color w:val="000000"/>
                <w:szCs w:val="18"/>
              </w:rPr>
              <w:t xml:space="preserve"> </w:t>
            </w:r>
            <w:r w:rsidR="00D525B3" w:rsidRPr="00A055A5">
              <w:rPr>
                <w:rFonts w:ascii="Arial (Body)" w:hAnsi="Arial (Body)" w:cstheme="minorHAnsi"/>
                <w:color w:val="000000"/>
                <w:szCs w:val="18"/>
              </w:rPr>
              <w:t xml:space="preserve">in </w:t>
            </w:r>
            <w:r w:rsidR="00DA32C7" w:rsidRPr="00A055A5">
              <w:rPr>
                <w:rFonts w:ascii="Arial (Body)" w:hAnsi="Arial (Body)" w:cstheme="minorHAnsi"/>
                <w:color w:val="000000"/>
                <w:szCs w:val="18"/>
              </w:rPr>
              <w:t xml:space="preserve">outer </w:t>
            </w:r>
            <w:r w:rsidR="00D525B3" w:rsidRPr="00A055A5">
              <w:rPr>
                <w:rFonts w:ascii="Arial (Body)" w:hAnsi="Arial (Body)" w:cstheme="minorHAnsi"/>
                <w:color w:val="000000"/>
                <w:szCs w:val="18"/>
              </w:rPr>
              <w:t>regional and remote areas</w:t>
            </w:r>
            <w:r w:rsidR="002E2EB1" w:rsidRPr="00A055A5">
              <w:rPr>
                <w:rFonts w:ascii="Arial (Body)" w:hAnsi="Arial (Body)" w:cstheme="minorHAnsi"/>
                <w:color w:val="000000"/>
                <w:szCs w:val="18"/>
              </w:rPr>
              <w:t xml:space="preserve">, </w:t>
            </w:r>
            <w:r w:rsidR="004E0AA4" w:rsidRPr="00A055A5">
              <w:rPr>
                <w:rFonts w:ascii="Arial (Body)" w:hAnsi="Arial (Body)" w:cstheme="minorHAnsi"/>
                <w:color w:val="000000"/>
                <w:szCs w:val="18"/>
              </w:rPr>
              <w:t xml:space="preserve">based on analysis using </w:t>
            </w:r>
            <w:r w:rsidR="00AD0705" w:rsidRPr="00A055A5">
              <w:rPr>
                <w:rFonts w:ascii="Arial (Body)" w:hAnsi="Arial (Body)" w:cstheme="minorHAnsi"/>
                <w:color w:val="000000"/>
                <w:szCs w:val="18"/>
              </w:rPr>
              <w:t xml:space="preserve">2016 Census data </w:t>
            </w:r>
            <w:r w:rsidR="001123E5" w:rsidRPr="00A055A5">
              <w:rPr>
                <w:rFonts w:ascii="Arial (Body)" w:hAnsi="Arial (Body)" w:cs="Times New Roman"/>
                <w:color w:val="000000"/>
                <w:szCs w:val="24"/>
              </w:rPr>
              <w:t>(ABS 2016b)</w:t>
            </w:r>
            <w:r w:rsidR="00D525B3" w:rsidRPr="00A055A5">
              <w:rPr>
                <w:rFonts w:ascii="Arial (Body)" w:hAnsi="Arial (Body)" w:cstheme="minorHAnsi"/>
                <w:color w:val="000000"/>
                <w:szCs w:val="18"/>
              </w:rPr>
              <w:t>.</w:t>
            </w:r>
            <w:r w:rsidR="003E7174" w:rsidRPr="00A055A5">
              <w:rPr>
                <w:rFonts w:ascii="Arial (Body)" w:hAnsi="Arial (Body)" w:cstheme="minorHAnsi"/>
                <w:color w:val="000000"/>
                <w:szCs w:val="18"/>
              </w:rPr>
              <w:t xml:space="preserve"> </w:t>
            </w:r>
          </w:p>
        </w:tc>
      </w:tr>
      <w:tr w:rsidR="0073565E" w:rsidRPr="002A21FD" w14:paraId="6E675F46" w14:textId="77777777" w:rsidTr="005A13B0">
        <w:tc>
          <w:tcPr>
            <w:tcW w:w="0" w:type="auto"/>
            <w:tcBorders>
              <w:top w:val="nil"/>
              <w:bottom w:val="nil"/>
            </w:tcBorders>
            <w:shd w:val="clear" w:color="auto" w:fill="F2F2F2" w:themeFill="background1" w:themeFillShade="F2"/>
          </w:tcPr>
          <w:p w14:paraId="4B9CA2C0" w14:textId="4AC44D19" w:rsidR="0073565E" w:rsidRPr="002A21FD" w:rsidRDefault="0073565E" w:rsidP="005A13B0">
            <w:pPr>
              <w:pStyle w:val="TableBody"/>
              <w:spacing w:before="45" w:after="45" w:line="260" w:lineRule="atLeast"/>
              <w:ind w:right="108"/>
              <w:rPr>
                <w:rFonts w:ascii="Arial (Body)" w:hAnsi="Arial (Body)" w:cstheme="minorHAnsi"/>
                <w:b/>
                <w:color w:val="265A9A"/>
                <w:szCs w:val="18"/>
              </w:rPr>
            </w:pPr>
            <w:r w:rsidRPr="004112B6">
              <w:rPr>
                <w:rFonts w:ascii="Arial (Body)" w:hAnsi="Arial (Body)" w:cstheme="minorHAnsi"/>
                <w:b/>
                <w:i/>
                <w:iCs/>
                <w:color w:val="265A9A"/>
                <w:szCs w:val="18"/>
              </w:rPr>
              <w:lastRenderedPageBreak/>
              <w:t>From learning to growth</w:t>
            </w:r>
            <w:r w:rsidR="00B75289">
              <w:rPr>
                <w:rFonts w:ascii="Arial (Body)" w:hAnsi="Arial (Body)" w:cstheme="minorHAnsi"/>
                <w:b/>
                <w:color w:val="265A9A"/>
                <w:szCs w:val="18"/>
              </w:rPr>
              <w:t>, appendix B</w:t>
            </w:r>
          </w:p>
        </w:tc>
        <w:tc>
          <w:tcPr>
            <w:tcW w:w="0" w:type="auto"/>
            <w:tcBorders>
              <w:top w:val="nil"/>
              <w:bottom w:val="nil"/>
            </w:tcBorders>
            <w:shd w:val="clear" w:color="auto" w:fill="F2F2F2" w:themeFill="background1" w:themeFillShade="F2"/>
          </w:tcPr>
          <w:p w14:paraId="531C8B6C" w14:textId="3C72463A" w:rsidR="0073565E" w:rsidRPr="002A21FD" w:rsidRDefault="0073565E"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 xml:space="preserve">[3] </w:t>
            </w:r>
            <w:r>
              <w:rPr>
                <w:rFonts w:ascii="Arial (Body)" w:hAnsi="Arial (Body)" w:cstheme="minorHAnsi"/>
                <w:color w:val="000000"/>
                <w:szCs w:val="18"/>
              </w:rPr>
              <w:t xml:space="preserve">Changing the composition of labour towards more </w:t>
            </w:r>
            <w:r w:rsidRPr="002A21FD">
              <w:rPr>
                <w:rFonts w:ascii="Arial (Body)" w:hAnsi="Arial (Body)" w:cstheme="minorHAnsi"/>
                <w:color w:val="000000"/>
                <w:szCs w:val="18"/>
              </w:rPr>
              <w:t>highly</w:t>
            </w:r>
            <w:r>
              <w:rPr>
                <w:rFonts w:ascii="Arial (Body)" w:hAnsi="Arial (Body)" w:cstheme="minorHAnsi"/>
                <w:color w:val="000000"/>
                <w:szCs w:val="18"/>
              </w:rPr>
              <w:noBreakHyphen/>
              <w:t>educated</w:t>
            </w:r>
            <w:r w:rsidRPr="002A21FD">
              <w:rPr>
                <w:rFonts w:ascii="Arial (Body)" w:hAnsi="Arial (Body)" w:cstheme="minorHAnsi"/>
                <w:color w:val="000000"/>
                <w:szCs w:val="18"/>
              </w:rPr>
              <w:t xml:space="preserve"> workers (to better meet labour market needs/shortages) </w:t>
            </w:r>
          </w:p>
        </w:tc>
        <w:tc>
          <w:tcPr>
            <w:tcW w:w="0" w:type="auto"/>
            <w:tcBorders>
              <w:top w:val="nil"/>
              <w:bottom w:val="nil"/>
            </w:tcBorders>
            <w:shd w:val="clear" w:color="auto" w:fill="F2F2F2" w:themeFill="background1" w:themeFillShade="F2"/>
          </w:tcPr>
          <w:p w14:paraId="091D88C0" w14:textId="09E4C19D" w:rsidR="0073565E" w:rsidRPr="002A21FD" w:rsidRDefault="008A2F00" w:rsidP="005A13B0">
            <w:pPr>
              <w:pStyle w:val="TableBody"/>
              <w:spacing w:before="45" w:after="45" w:line="260" w:lineRule="atLeast"/>
              <w:ind w:right="108"/>
              <w:rPr>
                <w:rFonts w:ascii="Arial (Body)" w:hAnsi="Arial (Body)" w:cstheme="minorHAnsi"/>
                <w:color w:val="000000"/>
                <w:szCs w:val="18"/>
              </w:rPr>
            </w:pPr>
            <w:r>
              <w:rPr>
                <w:rFonts w:ascii="Arial (Body)" w:hAnsi="Arial (Body)" w:cstheme="minorHAnsi"/>
                <w:color w:val="000000"/>
                <w:szCs w:val="18"/>
              </w:rPr>
              <w:t>A</w:t>
            </w:r>
            <w:r w:rsidR="0073565E" w:rsidRPr="002A21FD">
              <w:rPr>
                <w:rFonts w:ascii="Arial (Body)" w:hAnsi="Arial (Body)" w:cstheme="minorHAnsi"/>
                <w:color w:val="000000"/>
                <w:szCs w:val="18"/>
              </w:rPr>
              <w:t>mong 15</w:t>
            </w:r>
            <w:r w:rsidR="004B308E">
              <w:rPr>
                <w:rFonts w:ascii="Arial (Body)" w:hAnsi="Arial (Body)" w:cstheme="minorHAnsi"/>
                <w:color w:val="000000"/>
                <w:szCs w:val="18"/>
              </w:rPr>
              <w:noBreakHyphen/>
            </w:r>
            <w:r w:rsidR="0073565E" w:rsidRPr="002A21FD">
              <w:rPr>
                <w:rFonts w:ascii="Arial (Body)" w:hAnsi="Arial (Body)" w:cstheme="minorHAnsi"/>
                <w:color w:val="000000"/>
                <w:szCs w:val="18"/>
              </w:rPr>
              <w:t>24 year old groups, there was a change in population composition by education level</w:t>
            </w:r>
          </w:p>
        </w:tc>
        <w:tc>
          <w:tcPr>
            <w:tcW w:w="0" w:type="auto"/>
            <w:tcBorders>
              <w:top w:val="nil"/>
              <w:bottom w:val="nil"/>
            </w:tcBorders>
            <w:shd w:val="clear" w:color="auto" w:fill="F2F2F2" w:themeFill="background1" w:themeFillShade="F2"/>
          </w:tcPr>
          <w:p w14:paraId="0D674AD5" w14:textId="22E0124C" w:rsidR="0073565E" w:rsidRPr="002A21FD" w:rsidRDefault="0073565E"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10</w:t>
            </w:r>
            <w:r w:rsidR="002613F9">
              <w:rPr>
                <w:rFonts w:ascii="Arial (Body)" w:hAnsi="Arial (Body)" w:cstheme="minorHAnsi" w:hint="eastAsia"/>
                <w:color w:val="000000"/>
                <w:szCs w:val="18"/>
              </w:rPr>
              <w:t>%</w:t>
            </w:r>
            <w:r w:rsidRPr="002A21FD">
              <w:rPr>
                <w:rFonts w:ascii="Arial (Body)" w:hAnsi="Arial (Body)" w:cstheme="minorHAnsi"/>
                <w:color w:val="000000"/>
                <w:szCs w:val="18"/>
              </w:rPr>
              <w:t xml:space="preserve"> increase in </w:t>
            </w:r>
            <w:r w:rsidR="007E36ED">
              <w:rPr>
                <w:rFonts w:ascii="Arial (Body)" w:hAnsi="Arial (Body)" w:cstheme="minorHAnsi"/>
                <w:color w:val="000000"/>
                <w:szCs w:val="18"/>
              </w:rPr>
              <w:t>number of</w:t>
            </w:r>
            <w:r w:rsidR="00FC5459">
              <w:rPr>
                <w:rFonts w:ascii="Arial (Body)" w:hAnsi="Arial (Body)" w:cstheme="minorHAnsi"/>
                <w:color w:val="000000"/>
                <w:szCs w:val="18"/>
              </w:rPr>
              <w:t xml:space="preserve"> </w:t>
            </w:r>
            <w:r w:rsidRPr="002A21FD">
              <w:rPr>
                <w:rFonts w:ascii="Arial (Body)" w:hAnsi="Arial (Body)" w:cstheme="minorHAnsi"/>
                <w:color w:val="000000"/>
                <w:szCs w:val="18"/>
              </w:rPr>
              <w:t>university</w:t>
            </w:r>
            <w:r w:rsidR="00FC5459">
              <w:rPr>
                <w:rFonts w:ascii="Arial (Body)" w:hAnsi="Arial (Body)" w:cstheme="minorHAnsi"/>
                <w:color w:val="000000"/>
                <w:szCs w:val="18"/>
              </w:rPr>
              <w:noBreakHyphen/>
            </w:r>
            <w:r w:rsidRPr="002A21FD">
              <w:rPr>
                <w:rFonts w:ascii="Arial (Body)" w:hAnsi="Arial (Body)" w:cstheme="minorHAnsi"/>
                <w:color w:val="000000"/>
                <w:szCs w:val="18"/>
              </w:rPr>
              <w:t>educated</w:t>
            </w:r>
            <w:r w:rsidR="007E36ED">
              <w:rPr>
                <w:rFonts w:ascii="Arial (Body)" w:hAnsi="Arial (Body)" w:cstheme="minorHAnsi"/>
                <w:color w:val="000000"/>
                <w:szCs w:val="18"/>
              </w:rPr>
              <w:t xml:space="preserve"> people</w:t>
            </w:r>
          </w:p>
          <w:p w14:paraId="4EAE8C78" w14:textId="0CBF11E0" w:rsidR="0073565E" w:rsidRPr="002A21FD" w:rsidRDefault="0073565E"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4</w:t>
            </w:r>
            <w:r w:rsidR="002613F9">
              <w:rPr>
                <w:rFonts w:ascii="Arial (Body)" w:hAnsi="Arial (Body)" w:cstheme="minorHAnsi" w:hint="eastAsia"/>
                <w:color w:val="000000"/>
                <w:szCs w:val="18"/>
              </w:rPr>
              <w:t>%</w:t>
            </w:r>
            <w:r w:rsidRPr="002A21FD">
              <w:rPr>
                <w:rFonts w:ascii="Arial (Body)" w:hAnsi="Arial (Body)" w:cstheme="minorHAnsi"/>
                <w:color w:val="000000"/>
                <w:szCs w:val="18"/>
              </w:rPr>
              <w:t xml:space="preserve"> fall in </w:t>
            </w:r>
            <w:r w:rsidR="007E36ED">
              <w:rPr>
                <w:rFonts w:ascii="Arial (Body)" w:hAnsi="Arial (Body)" w:cstheme="minorHAnsi"/>
                <w:color w:val="000000"/>
                <w:szCs w:val="18"/>
              </w:rPr>
              <w:t xml:space="preserve">number of </w:t>
            </w:r>
            <w:r w:rsidRPr="002A21FD">
              <w:rPr>
                <w:rFonts w:ascii="Arial (Body)" w:hAnsi="Arial (Body)" w:cstheme="minorHAnsi"/>
                <w:color w:val="000000"/>
                <w:szCs w:val="18"/>
              </w:rPr>
              <w:t>VET</w:t>
            </w:r>
            <w:r w:rsidRPr="002A21FD">
              <w:rPr>
                <w:rFonts w:ascii="Arial (Body)" w:hAnsi="Arial (Body)" w:cstheme="minorHAnsi"/>
                <w:color w:val="000000"/>
                <w:szCs w:val="18"/>
              </w:rPr>
              <w:noBreakHyphen/>
              <w:t xml:space="preserve">educated </w:t>
            </w:r>
            <w:r w:rsidR="007E36ED">
              <w:rPr>
                <w:rFonts w:ascii="Arial (Body)" w:hAnsi="Arial (Body)" w:cstheme="minorHAnsi"/>
                <w:color w:val="000000"/>
                <w:szCs w:val="18"/>
              </w:rPr>
              <w:t>people</w:t>
            </w:r>
          </w:p>
          <w:p w14:paraId="3F678DCC" w14:textId="0831F14E" w:rsidR="0073565E" w:rsidRPr="002A21FD" w:rsidDel="00D62A47" w:rsidRDefault="0073565E"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Decrease in school</w:t>
            </w:r>
            <w:r w:rsidR="004B308E">
              <w:rPr>
                <w:rFonts w:ascii="Arial (Body)" w:hAnsi="Arial (Body)" w:cstheme="minorHAnsi"/>
                <w:color w:val="000000"/>
                <w:szCs w:val="18"/>
              </w:rPr>
              <w:noBreakHyphen/>
            </w:r>
            <w:r w:rsidRPr="002A21FD">
              <w:rPr>
                <w:rFonts w:ascii="Arial (Body)" w:hAnsi="Arial (Body)" w:cstheme="minorHAnsi"/>
                <w:color w:val="000000"/>
                <w:szCs w:val="18"/>
              </w:rPr>
              <w:t>educated so that 15</w:t>
            </w:r>
            <w:r w:rsidR="004B308E">
              <w:rPr>
                <w:rFonts w:ascii="Arial (Body)" w:hAnsi="Arial (Body)" w:cstheme="minorHAnsi"/>
                <w:color w:val="000000"/>
                <w:szCs w:val="18"/>
              </w:rPr>
              <w:noBreakHyphen/>
            </w:r>
            <w:r w:rsidRPr="002A21FD">
              <w:rPr>
                <w:rFonts w:ascii="Arial (Body)" w:hAnsi="Arial (Body)" w:cstheme="minorHAnsi"/>
                <w:color w:val="000000"/>
                <w:szCs w:val="18"/>
              </w:rPr>
              <w:t>24 year old population is unchanged</w:t>
            </w:r>
          </w:p>
        </w:tc>
        <w:tc>
          <w:tcPr>
            <w:tcW w:w="0" w:type="auto"/>
            <w:tcBorders>
              <w:top w:val="nil"/>
              <w:bottom w:val="nil"/>
            </w:tcBorders>
            <w:shd w:val="clear" w:color="auto" w:fill="F2F2F2" w:themeFill="background1" w:themeFillShade="F2"/>
          </w:tcPr>
          <w:p w14:paraId="02B79D89" w14:textId="4238010C" w:rsidR="0073565E" w:rsidRPr="002A21FD" w:rsidDel="00D62A47" w:rsidRDefault="0073565E"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8 to 12</w:t>
            </w:r>
            <w:r w:rsidR="002613F9">
              <w:rPr>
                <w:rFonts w:ascii="Arial (Body)" w:hAnsi="Arial (Body)" w:cstheme="minorHAnsi"/>
                <w:color w:val="000000"/>
                <w:szCs w:val="18"/>
              </w:rPr>
              <w:t>%</w:t>
            </w:r>
            <w:r w:rsidRPr="002A21FD">
              <w:rPr>
                <w:rFonts w:ascii="Arial (Body)" w:hAnsi="Arial (Body)" w:cstheme="minorHAnsi"/>
                <w:color w:val="000000"/>
                <w:szCs w:val="18"/>
              </w:rPr>
              <w:t xml:space="preserve"> increase in </w:t>
            </w:r>
            <w:r w:rsidR="00FE0E26">
              <w:rPr>
                <w:rFonts w:ascii="Arial (Body)" w:hAnsi="Arial (Body)" w:cstheme="minorHAnsi"/>
                <w:color w:val="000000"/>
                <w:szCs w:val="18"/>
              </w:rPr>
              <w:t xml:space="preserve">number of </w:t>
            </w:r>
            <w:r w:rsidRPr="002A21FD">
              <w:rPr>
                <w:rFonts w:ascii="Arial (Body)" w:hAnsi="Arial (Body)" w:cstheme="minorHAnsi"/>
                <w:color w:val="000000"/>
                <w:szCs w:val="18"/>
              </w:rPr>
              <w:t>university</w:t>
            </w:r>
            <w:r w:rsidR="004B308E">
              <w:rPr>
                <w:rFonts w:ascii="Arial (Body)" w:hAnsi="Arial (Body)" w:cstheme="minorHAnsi"/>
                <w:color w:val="000000"/>
                <w:szCs w:val="18"/>
              </w:rPr>
              <w:noBreakHyphen/>
            </w:r>
            <w:r w:rsidRPr="002A21FD">
              <w:rPr>
                <w:rFonts w:ascii="Arial (Body)" w:hAnsi="Arial (Body)" w:cstheme="minorHAnsi"/>
                <w:color w:val="000000"/>
                <w:szCs w:val="18"/>
              </w:rPr>
              <w:t>educated</w:t>
            </w:r>
          </w:p>
        </w:tc>
        <w:tc>
          <w:tcPr>
            <w:tcW w:w="0" w:type="auto"/>
            <w:tcBorders>
              <w:top w:val="nil"/>
              <w:bottom w:val="nil"/>
            </w:tcBorders>
            <w:shd w:val="clear" w:color="auto" w:fill="F2F2F2" w:themeFill="background1" w:themeFillShade="F2"/>
          </w:tcPr>
          <w:p w14:paraId="37DE837F" w14:textId="3AFE140C" w:rsidR="0073565E" w:rsidRPr="00A055A5" w:rsidRDefault="0073565E"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Assumed for illustrative purposes only</w:t>
            </w:r>
            <w:r w:rsidR="00EA1438">
              <w:rPr>
                <w:rFonts w:ascii="Arial (Body)" w:hAnsi="Arial (Body)" w:cstheme="minorHAnsi"/>
                <w:color w:val="000000"/>
                <w:szCs w:val="18"/>
              </w:rPr>
              <w:t xml:space="preserve">, with reference to </w:t>
            </w:r>
            <w:r w:rsidR="00730C9B">
              <w:rPr>
                <w:rFonts w:ascii="Arial (Body)" w:hAnsi="Arial (Body)" w:cstheme="minorHAnsi"/>
                <w:color w:val="000000"/>
                <w:szCs w:val="18"/>
              </w:rPr>
              <w:t xml:space="preserve">projections of employment growth by skill level </w:t>
            </w:r>
            <w:r w:rsidR="00730C9B" w:rsidRPr="00A055A5">
              <w:rPr>
                <w:rFonts w:ascii="Arial (Body)" w:hAnsi="Arial (Body)" w:cs="Times New Roman"/>
                <w:color w:val="000000"/>
                <w:szCs w:val="24"/>
              </w:rPr>
              <w:t>(NSC 2022)</w:t>
            </w:r>
            <w:r w:rsidRPr="002A21FD">
              <w:rPr>
                <w:rFonts w:ascii="Arial (Body)" w:hAnsi="Arial (Body)" w:cstheme="minorHAnsi"/>
                <w:color w:val="000000"/>
                <w:szCs w:val="18"/>
              </w:rPr>
              <w:t>.</w:t>
            </w:r>
          </w:p>
        </w:tc>
      </w:tr>
      <w:tr w:rsidR="0073565E" w:rsidRPr="002A21FD" w14:paraId="30A018F2" w14:textId="77777777" w:rsidTr="005A13B0">
        <w:tc>
          <w:tcPr>
            <w:tcW w:w="0" w:type="auto"/>
            <w:vMerge w:val="restart"/>
            <w:tcBorders>
              <w:bottom w:val="nil"/>
            </w:tcBorders>
            <w:shd w:val="clear" w:color="auto" w:fill="auto"/>
          </w:tcPr>
          <w:p w14:paraId="79E9DC10" w14:textId="4683F2F0" w:rsidR="0073565E" w:rsidRPr="002A21FD" w:rsidRDefault="0073565E" w:rsidP="005A13B0">
            <w:pPr>
              <w:pStyle w:val="TableBody"/>
              <w:spacing w:before="45" w:after="45" w:line="260" w:lineRule="atLeast"/>
              <w:ind w:right="108"/>
              <w:rPr>
                <w:rFonts w:ascii="Arial (Body)" w:hAnsi="Arial (Body)" w:cstheme="minorHAnsi"/>
                <w:b/>
                <w:color w:val="265A9A"/>
                <w:szCs w:val="18"/>
              </w:rPr>
            </w:pPr>
            <w:r w:rsidRPr="004112B6">
              <w:rPr>
                <w:rFonts w:ascii="Arial (Body)" w:hAnsi="Arial (Body)" w:cstheme="minorHAnsi"/>
                <w:b/>
                <w:i/>
                <w:iCs/>
                <w:color w:val="265A9A"/>
                <w:szCs w:val="18"/>
              </w:rPr>
              <w:t>From learning to growth</w:t>
            </w:r>
            <w:r w:rsidR="00B75289">
              <w:rPr>
                <w:rFonts w:ascii="Arial (Body)" w:hAnsi="Arial (Body)" w:cstheme="minorHAnsi"/>
                <w:b/>
                <w:color w:val="265A9A"/>
                <w:szCs w:val="18"/>
              </w:rPr>
              <w:t>, appendix B</w:t>
            </w:r>
          </w:p>
        </w:tc>
        <w:tc>
          <w:tcPr>
            <w:tcW w:w="0" w:type="auto"/>
            <w:vMerge w:val="restart"/>
            <w:tcBorders>
              <w:bottom w:val="nil"/>
            </w:tcBorders>
            <w:shd w:val="clear" w:color="auto" w:fill="auto"/>
          </w:tcPr>
          <w:p w14:paraId="1BAC5623" w14:textId="77777777" w:rsidR="0073565E" w:rsidRPr="002A21FD" w:rsidRDefault="0073565E"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[4] Increasing the productivity of skilled workers by improving tertiary education quality – long run and very long run simulations</w:t>
            </w:r>
          </w:p>
        </w:tc>
        <w:tc>
          <w:tcPr>
            <w:tcW w:w="0" w:type="auto"/>
            <w:tcBorders>
              <w:bottom w:val="nil"/>
            </w:tcBorders>
            <w:shd w:val="clear" w:color="auto" w:fill="auto"/>
          </w:tcPr>
          <w:p w14:paraId="3ED065BE" w14:textId="4B412AD3" w:rsidR="0073565E" w:rsidRPr="002A21FD" w:rsidRDefault="0073565E"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[4a] Improvements will take time as people go through the education system and enter the workforce, and will likely affect younger workers first. In this long run simulation, labour</w:t>
            </w:r>
            <w:r w:rsidRPr="002A21FD">
              <w:rPr>
                <w:rFonts w:ascii="Arial (Body)" w:hAnsi="Arial (Body)" w:cstheme="minorHAnsi"/>
                <w:color w:val="000000"/>
                <w:szCs w:val="18"/>
              </w:rPr>
              <w:noBreakHyphen/>
              <w:t>augmenting technical change parameters were increased for university</w:t>
            </w:r>
            <w:r w:rsidR="004B308E">
              <w:rPr>
                <w:rFonts w:ascii="Arial (Body)" w:hAnsi="Arial (Body)" w:cstheme="minorHAnsi"/>
                <w:color w:val="000000"/>
                <w:szCs w:val="18"/>
              </w:rPr>
              <w:noBreakHyphen/>
            </w:r>
            <w:r w:rsidRPr="002A21FD">
              <w:rPr>
                <w:rFonts w:ascii="Arial (Body)" w:hAnsi="Arial (Body)" w:cstheme="minorHAnsi"/>
                <w:color w:val="000000"/>
                <w:szCs w:val="18"/>
              </w:rPr>
              <w:t>educated labour aged 15</w:t>
            </w:r>
            <w:r w:rsidR="004B308E">
              <w:rPr>
                <w:rFonts w:ascii="Arial (Body)" w:hAnsi="Arial (Body)" w:cstheme="minorHAnsi"/>
                <w:color w:val="000000"/>
                <w:szCs w:val="18"/>
              </w:rPr>
              <w:noBreakHyphen/>
            </w:r>
            <w:r w:rsidRPr="002A21FD">
              <w:rPr>
                <w:rFonts w:ascii="Arial (Body)" w:hAnsi="Arial (Body)" w:cstheme="minorHAnsi"/>
                <w:color w:val="000000"/>
                <w:szCs w:val="18"/>
              </w:rPr>
              <w:t>24 and 25</w:t>
            </w:r>
            <w:r w:rsidR="004B308E">
              <w:rPr>
                <w:rFonts w:ascii="Arial (Body)" w:hAnsi="Arial (Body)" w:cstheme="minorHAnsi"/>
                <w:color w:val="000000"/>
                <w:szCs w:val="18"/>
              </w:rPr>
              <w:noBreakHyphen/>
            </w:r>
            <w:r w:rsidRPr="002A21FD">
              <w:rPr>
                <w:rFonts w:ascii="Arial (Body)" w:hAnsi="Arial (Body)" w:cstheme="minorHAnsi"/>
                <w:color w:val="000000"/>
                <w:szCs w:val="18"/>
              </w:rPr>
              <w:t xml:space="preserve">34 </w:t>
            </w:r>
          </w:p>
        </w:tc>
        <w:tc>
          <w:tcPr>
            <w:tcW w:w="0" w:type="auto"/>
            <w:tcBorders>
              <w:bottom w:val="nil"/>
            </w:tcBorders>
            <w:shd w:val="clear" w:color="auto" w:fill="auto"/>
          </w:tcPr>
          <w:p w14:paraId="5BDC049C" w14:textId="2CDE0BCB" w:rsidR="0073565E" w:rsidRPr="002A21FD" w:rsidRDefault="0073565E"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2</w:t>
            </w:r>
            <w:r w:rsidR="002613F9">
              <w:rPr>
                <w:rFonts w:ascii="Arial (Body)" w:hAnsi="Arial (Body)" w:cstheme="minorHAnsi"/>
                <w:color w:val="000000"/>
                <w:szCs w:val="18"/>
              </w:rPr>
              <w:t>%</w:t>
            </w:r>
          </w:p>
        </w:tc>
        <w:tc>
          <w:tcPr>
            <w:tcW w:w="0" w:type="auto"/>
            <w:tcBorders>
              <w:bottom w:val="nil"/>
            </w:tcBorders>
            <w:shd w:val="clear" w:color="auto" w:fill="auto"/>
          </w:tcPr>
          <w:p w14:paraId="22A9C5AA" w14:textId="7AE9012B" w:rsidR="0073565E" w:rsidRPr="002A21FD" w:rsidRDefault="0073565E"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1 to 4</w:t>
            </w:r>
            <w:r w:rsidR="002613F9">
              <w:rPr>
                <w:rFonts w:ascii="Arial (Body)" w:hAnsi="Arial (Body)" w:cstheme="minorHAnsi"/>
                <w:color w:val="000000"/>
                <w:szCs w:val="18"/>
              </w:rPr>
              <w:t>%</w:t>
            </w:r>
          </w:p>
        </w:tc>
        <w:tc>
          <w:tcPr>
            <w:tcW w:w="0" w:type="auto"/>
            <w:vMerge w:val="restart"/>
            <w:tcBorders>
              <w:bottom w:val="nil"/>
            </w:tcBorders>
            <w:shd w:val="clear" w:color="auto" w:fill="auto"/>
          </w:tcPr>
          <w:p w14:paraId="6610E14C" w14:textId="56B446A8" w:rsidR="0073565E" w:rsidRPr="00A055A5" w:rsidRDefault="0073565E" w:rsidP="005A13B0">
            <w:pPr>
              <w:pStyle w:val="TableBody"/>
              <w:spacing w:before="45" w:after="45" w:line="260" w:lineRule="atLeast"/>
              <w:ind w:right="108"/>
              <w:rPr>
                <w:rFonts w:ascii="Arial (Body)" w:hAnsi="Arial (Body)" w:cstheme="minorHAnsi"/>
                <w:color w:val="000000"/>
                <w:szCs w:val="18"/>
              </w:rPr>
            </w:pPr>
            <w:r w:rsidRPr="00A055A5">
              <w:rPr>
                <w:rFonts w:ascii="Arial (Body)" w:hAnsi="Arial (Body)" w:cstheme="minorHAnsi"/>
                <w:color w:val="000000"/>
                <w:szCs w:val="18"/>
              </w:rPr>
              <w:t xml:space="preserve">Based on a study </w:t>
            </w:r>
            <w:r w:rsidR="005859F6" w:rsidRPr="00A055A5">
              <w:rPr>
                <w:rFonts w:ascii="Arial (Body)" w:hAnsi="Arial (Body)" w:cs="Times New Roman"/>
                <w:color w:val="000000"/>
                <w:szCs w:val="24"/>
              </w:rPr>
              <w:t>(Braga, Paccagnella and Pellizzari 2016, p. 803)</w:t>
            </w:r>
            <w:r w:rsidRPr="00A055A5">
              <w:rPr>
                <w:rFonts w:ascii="Arial (Body)" w:hAnsi="Arial (Body)" w:cstheme="minorHAnsi"/>
                <w:color w:val="000000"/>
                <w:szCs w:val="18"/>
              </w:rPr>
              <w:t xml:space="preserve"> that found that a professor who is one standard deviation better increased students’ earnings by about 5.4</w:t>
            </w:r>
            <w:r w:rsidR="002613F9">
              <w:rPr>
                <w:rFonts w:ascii="Arial (Body)" w:hAnsi="Arial (Body)" w:cstheme="minorHAnsi" w:hint="eastAsia"/>
                <w:color w:val="000000"/>
                <w:szCs w:val="18"/>
              </w:rPr>
              <w:t>%</w:t>
            </w:r>
            <w:r w:rsidRPr="00A055A5">
              <w:rPr>
                <w:rFonts w:ascii="Arial (Body)" w:hAnsi="Arial (Body)" w:cstheme="minorHAnsi"/>
                <w:color w:val="000000"/>
                <w:szCs w:val="18"/>
              </w:rPr>
              <w:t>, or about 5.5</w:t>
            </w:r>
            <w:r w:rsidR="002613F9">
              <w:rPr>
                <w:rFonts w:ascii="Arial (Body)" w:hAnsi="Arial (Body)" w:cstheme="minorHAnsi" w:hint="eastAsia"/>
                <w:color w:val="000000"/>
                <w:szCs w:val="18"/>
              </w:rPr>
              <w:t>%</w:t>
            </w:r>
            <w:r w:rsidRPr="00A055A5">
              <w:rPr>
                <w:rFonts w:ascii="Arial (Body)" w:hAnsi="Arial (Body)" w:cstheme="minorHAnsi"/>
                <w:color w:val="000000"/>
                <w:szCs w:val="18"/>
              </w:rPr>
              <w:t xml:space="preserve"> of average earnings. The shock size was chosen to reflect that improvements in professor quality across the tertiary education industry would likely be less than one standard deviation. </w:t>
            </w:r>
          </w:p>
        </w:tc>
      </w:tr>
      <w:tr w:rsidR="0073565E" w:rsidRPr="002A21FD" w14:paraId="2FC5218B" w14:textId="77777777" w:rsidTr="005A13B0">
        <w:tc>
          <w:tcPr>
            <w:tcW w:w="0" w:type="auto"/>
            <w:vMerge/>
            <w:tcBorders>
              <w:bottom w:val="nil"/>
            </w:tcBorders>
            <w:shd w:val="clear" w:color="000000" w:fill="F2F2F2"/>
          </w:tcPr>
          <w:p w14:paraId="08E9CAD1" w14:textId="77777777" w:rsidR="0073565E" w:rsidRPr="002A21FD" w:rsidRDefault="0073565E" w:rsidP="005A13B0">
            <w:pPr>
              <w:pStyle w:val="TableBody"/>
              <w:spacing w:before="45" w:after="45" w:line="260" w:lineRule="atLeast"/>
              <w:ind w:right="108"/>
              <w:rPr>
                <w:rFonts w:ascii="Arial (Body)" w:hAnsi="Arial (Body)" w:cstheme="minorHAnsi"/>
                <w:color w:val="000000"/>
                <w:szCs w:val="18"/>
              </w:rPr>
            </w:pPr>
          </w:p>
        </w:tc>
        <w:tc>
          <w:tcPr>
            <w:tcW w:w="0" w:type="auto"/>
            <w:vMerge/>
            <w:tcBorders>
              <w:bottom w:val="nil"/>
            </w:tcBorders>
            <w:shd w:val="clear" w:color="000000" w:fill="F2F2F2"/>
          </w:tcPr>
          <w:p w14:paraId="0C1671AC" w14:textId="77777777" w:rsidR="0073565E" w:rsidRPr="002A21FD" w:rsidRDefault="0073565E" w:rsidP="005A13B0">
            <w:pPr>
              <w:pStyle w:val="TableBody"/>
              <w:spacing w:before="45" w:after="45" w:line="260" w:lineRule="atLeast"/>
              <w:ind w:right="108"/>
              <w:rPr>
                <w:rFonts w:ascii="Arial (Body)" w:hAnsi="Arial (Body)" w:cstheme="minorHAnsi"/>
                <w:color w:val="000000"/>
                <w:szCs w:val="18"/>
              </w:rPr>
            </w:pPr>
          </w:p>
        </w:tc>
        <w:tc>
          <w:tcPr>
            <w:tcW w:w="0" w:type="auto"/>
            <w:tcBorders>
              <w:bottom w:val="nil"/>
            </w:tcBorders>
            <w:shd w:val="clear" w:color="auto" w:fill="auto"/>
          </w:tcPr>
          <w:p w14:paraId="54137A5F" w14:textId="2413363C" w:rsidR="0073565E" w:rsidRPr="002A21FD" w:rsidRDefault="0073565E"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[4b] In the very long run, all university</w:t>
            </w:r>
            <w:r>
              <w:rPr>
                <w:rFonts w:ascii="Arial (Body)" w:hAnsi="Arial (Body)" w:cstheme="minorHAnsi"/>
                <w:color w:val="000000"/>
                <w:szCs w:val="18"/>
              </w:rPr>
              <w:noBreakHyphen/>
            </w:r>
            <w:r w:rsidRPr="002A21FD">
              <w:rPr>
                <w:rFonts w:ascii="Arial (Body)" w:hAnsi="Arial (Body)" w:cstheme="minorHAnsi"/>
                <w:color w:val="000000"/>
                <w:szCs w:val="18"/>
              </w:rPr>
              <w:t>educated workers will have been educated in the improved system. In this simulation, labour</w:t>
            </w:r>
            <w:r w:rsidRPr="002A21FD">
              <w:rPr>
                <w:rFonts w:ascii="Arial (Body)" w:hAnsi="Arial (Body)" w:cstheme="minorHAnsi"/>
                <w:color w:val="000000"/>
                <w:szCs w:val="18"/>
              </w:rPr>
              <w:noBreakHyphen/>
              <w:t>augmenting technical change parameters were increased</w:t>
            </w:r>
            <w:r w:rsidRPr="002A21FD">
              <w:rPr>
                <w:rFonts w:ascii="Arial (Body)" w:hAnsi="Arial (Body)" w:cstheme="minorHAnsi"/>
                <w:iCs/>
                <w:color w:val="000000"/>
                <w:szCs w:val="18"/>
              </w:rPr>
              <w:t xml:space="preserve"> </w:t>
            </w:r>
            <w:r w:rsidRPr="002A21FD">
              <w:rPr>
                <w:rFonts w:ascii="Arial (Body)" w:hAnsi="Arial (Body)" w:cstheme="minorHAnsi"/>
                <w:color w:val="000000"/>
                <w:szCs w:val="18"/>
              </w:rPr>
              <w:t>for</w:t>
            </w:r>
            <w:r w:rsidRPr="002A21FD">
              <w:rPr>
                <w:rFonts w:ascii="Arial (Body)" w:hAnsi="Arial (Body)" w:cstheme="minorHAnsi"/>
                <w:iCs/>
                <w:color w:val="000000"/>
                <w:szCs w:val="18"/>
              </w:rPr>
              <w:t xml:space="preserve"> all</w:t>
            </w:r>
            <w:r w:rsidRPr="002A21FD">
              <w:rPr>
                <w:rFonts w:ascii="Arial (Body)" w:hAnsi="Arial (Body)" w:cstheme="minorHAnsi"/>
                <w:color w:val="000000"/>
                <w:szCs w:val="18"/>
              </w:rPr>
              <w:t xml:space="preserve"> university</w:t>
            </w:r>
            <w:r w:rsidR="004B308E">
              <w:rPr>
                <w:rFonts w:ascii="Arial (Body)" w:hAnsi="Arial (Body)" w:cstheme="minorHAnsi"/>
                <w:color w:val="000000"/>
                <w:szCs w:val="18"/>
              </w:rPr>
              <w:noBreakHyphen/>
            </w:r>
            <w:r w:rsidRPr="002A21FD">
              <w:rPr>
                <w:rFonts w:ascii="Arial (Body)" w:hAnsi="Arial (Body)" w:cstheme="minorHAnsi"/>
                <w:color w:val="000000"/>
                <w:szCs w:val="18"/>
              </w:rPr>
              <w:t xml:space="preserve">educated labour </w:t>
            </w:r>
            <w:r>
              <w:rPr>
                <w:rFonts w:ascii="Arial (Body)" w:hAnsi="Arial (Body)" w:cstheme="minorHAnsi"/>
                <w:color w:val="000000"/>
                <w:szCs w:val="18"/>
              </w:rPr>
              <w:t>groups</w:t>
            </w:r>
          </w:p>
        </w:tc>
        <w:tc>
          <w:tcPr>
            <w:tcW w:w="0" w:type="auto"/>
            <w:tcBorders>
              <w:bottom w:val="nil"/>
            </w:tcBorders>
            <w:shd w:val="clear" w:color="auto" w:fill="auto"/>
          </w:tcPr>
          <w:p w14:paraId="0A4A72C5" w14:textId="695274C3" w:rsidR="0073565E" w:rsidRPr="002A21FD" w:rsidRDefault="0073565E"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2</w:t>
            </w:r>
            <w:r w:rsidR="002613F9">
              <w:rPr>
                <w:rFonts w:ascii="Arial (Body)" w:hAnsi="Arial (Body)" w:cstheme="minorHAnsi"/>
                <w:color w:val="000000"/>
                <w:szCs w:val="18"/>
              </w:rPr>
              <w:t>%</w:t>
            </w:r>
          </w:p>
        </w:tc>
        <w:tc>
          <w:tcPr>
            <w:tcW w:w="0" w:type="auto"/>
            <w:tcBorders>
              <w:bottom w:val="nil"/>
            </w:tcBorders>
            <w:shd w:val="clear" w:color="auto" w:fill="auto"/>
          </w:tcPr>
          <w:p w14:paraId="6521A464" w14:textId="2E4D1722" w:rsidR="0073565E" w:rsidRPr="002A21FD" w:rsidRDefault="0073565E"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1 to 4</w:t>
            </w:r>
            <w:r w:rsidR="002613F9">
              <w:rPr>
                <w:rFonts w:ascii="Arial (Body)" w:hAnsi="Arial (Body)" w:cstheme="minorHAnsi"/>
                <w:color w:val="000000"/>
                <w:szCs w:val="18"/>
              </w:rPr>
              <w:t>%</w:t>
            </w:r>
          </w:p>
        </w:tc>
        <w:tc>
          <w:tcPr>
            <w:tcW w:w="0" w:type="auto"/>
            <w:vMerge/>
            <w:tcBorders>
              <w:bottom w:val="nil"/>
            </w:tcBorders>
            <w:shd w:val="clear" w:color="000000" w:fill="F2F2F2"/>
          </w:tcPr>
          <w:p w14:paraId="56AC6C57" w14:textId="77777777" w:rsidR="0073565E" w:rsidRPr="002A21FD" w:rsidRDefault="0073565E" w:rsidP="005A13B0">
            <w:pPr>
              <w:pStyle w:val="TableBody"/>
              <w:spacing w:before="45" w:after="45" w:line="260" w:lineRule="atLeast"/>
              <w:ind w:right="108"/>
              <w:rPr>
                <w:rFonts w:ascii="Arial (Body)" w:hAnsi="Arial (Body)" w:cstheme="minorHAnsi"/>
                <w:color w:val="000000"/>
                <w:szCs w:val="18"/>
              </w:rPr>
            </w:pPr>
          </w:p>
        </w:tc>
      </w:tr>
      <w:tr w:rsidR="00B75289" w:rsidRPr="002A21FD" w14:paraId="68B33AE7" w14:textId="77777777" w:rsidTr="005A13B0">
        <w:tc>
          <w:tcPr>
            <w:tcW w:w="0" w:type="auto"/>
            <w:vMerge w:val="restart"/>
            <w:tcBorders>
              <w:bottom w:val="nil"/>
            </w:tcBorders>
            <w:shd w:val="clear" w:color="000000" w:fill="F2F2F2"/>
          </w:tcPr>
          <w:p w14:paraId="38A4A677" w14:textId="1DEBD87E" w:rsidR="00B75289" w:rsidRPr="002A21FD" w:rsidRDefault="00B75289" w:rsidP="005A13B0">
            <w:pPr>
              <w:pStyle w:val="TableBody"/>
              <w:spacing w:before="45" w:after="45" w:line="260" w:lineRule="atLeast"/>
              <w:ind w:right="108"/>
              <w:rPr>
                <w:rFonts w:ascii="Arial (Body)" w:hAnsi="Arial (Body)" w:cstheme="minorHAnsi"/>
                <w:b/>
                <w:color w:val="265A9A"/>
                <w:szCs w:val="18"/>
              </w:rPr>
            </w:pPr>
            <w:r w:rsidRPr="004112B6">
              <w:rPr>
                <w:rFonts w:ascii="Arial (Body)" w:hAnsi="Arial (Body)" w:cstheme="minorHAnsi"/>
                <w:b/>
                <w:i/>
                <w:iCs/>
                <w:color w:val="265A9A"/>
                <w:szCs w:val="18"/>
              </w:rPr>
              <w:t xml:space="preserve">From learning to </w:t>
            </w:r>
            <w:r w:rsidRPr="004112B6">
              <w:rPr>
                <w:rFonts w:ascii="Arial (Body)" w:hAnsi="Arial (Body)" w:cstheme="minorHAnsi"/>
                <w:b/>
                <w:i/>
                <w:iCs/>
                <w:color w:val="265A9A"/>
                <w:szCs w:val="18"/>
              </w:rPr>
              <w:lastRenderedPageBreak/>
              <w:t>growth</w:t>
            </w:r>
            <w:r>
              <w:rPr>
                <w:rFonts w:ascii="Arial (Body)" w:hAnsi="Arial (Body)" w:cstheme="minorHAnsi"/>
                <w:b/>
                <w:color w:val="265A9A"/>
                <w:szCs w:val="18"/>
              </w:rPr>
              <w:t>, appendix B</w:t>
            </w:r>
          </w:p>
        </w:tc>
        <w:tc>
          <w:tcPr>
            <w:tcW w:w="0" w:type="auto"/>
            <w:vMerge w:val="restart"/>
            <w:tcBorders>
              <w:bottom w:val="nil"/>
            </w:tcBorders>
            <w:shd w:val="clear" w:color="000000" w:fill="F2F2F2"/>
          </w:tcPr>
          <w:p w14:paraId="64E6AE81" w14:textId="505259DE" w:rsidR="00B75289" w:rsidRPr="002A21FD" w:rsidRDefault="00B75289"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lastRenderedPageBreak/>
              <w:t xml:space="preserve">[5] Increasing labour productivity of the school </w:t>
            </w:r>
            <w:r>
              <w:rPr>
                <w:rFonts w:ascii="Arial (Body)" w:hAnsi="Arial (Body)" w:cstheme="minorHAnsi"/>
                <w:color w:val="000000"/>
                <w:szCs w:val="18"/>
              </w:rPr>
              <w:t>industry</w:t>
            </w:r>
            <w:r w:rsidRPr="002A21FD">
              <w:rPr>
                <w:rFonts w:ascii="Arial (Body)" w:hAnsi="Arial (Body)" w:cstheme="minorHAnsi"/>
                <w:color w:val="000000"/>
                <w:szCs w:val="18"/>
              </w:rPr>
              <w:t xml:space="preserve"> by </w:t>
            </w:r>
            <w:r w:rsidRPr="00A055A5">
              <w:rPr>
                <w:rFonts w:ascii="Arial (Body)" w:hAnsi="Arial (Body)"/>
                <w:color w:val="000000"/>
              </w:rPr>
              <w:t xml:space="preserve">better use of curriculum resources to save </w:t>
            </w:r>
            <w:r w:rsidRPr="00A055A5">
              <w:rPr>
                <w:rFonts w:ascii="Arial (Body)" w:hAnsi="Arial (Body)"/>
                <w:color w:val="000000"/>
              </w:rPr>
              <w:lastRenderedPageBreak/>
              <w:t>teachers’ time and improve practices</w:t>
            </w:r>
            <w:r w:rsidRPr="002A21FD">
              <w:rPr>
                <w:rFonts w:ascii="Arial (Body)" w:hAnsi="Arial (Body)" w:cstheme="minorHAnsi"/>
                <w:color w:val="000000"/>
                <w:szCs w:val="18"/>
              </w:rPr>
              <w:t>, as well as better integration of technology within classrooms – short run, long run and very long run simulations</w:t>
            </w:r>
          </w:p>
        </w:tc>
        <w:tc>
          <w:tcPr>
            <w:tcW w:w="0" w:type="auto"/>
            <w:tcBorders>
              <w:bottom w:val="nil"/>
            </w:tcBorders>
            <w:shd w:val="clear" w:color="000000" w:fill="F2F2F2"/>
          </w:tcPr>
          <w:p w14:paraId="00C1671B" w14:textId="626F2ACF" w:rsidR="00B75289" w:rsidRPr="002A21FD" w:rsidRDefault="00B75289"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lastRenderedPageBreak/>
              <w:t>[5a] The short run benefit was modelled by increasing the labour</w:t>
            </w:r>
            <w:r w:rsidRPr="002A21FD">
              <w:rPr>
                <w:rFonts w:ascii="Arial (Body)" w:hAnsi="Arial (Body)" w:cstheme="minorHAnsi"/>
                <w:color w:val="000000"/>
                <w:szCs w:val="18"/>
              </w:rPr>
              <w:noBreakHyphen/>
              <w:t xml:space="preserve">augmenting technical change parameter in the ‘school education’ </w:t>
            </w:r>
            <w:r w:rsidRPr="002A21FD">
              <w:rPr>
                <w:rFonts w:ascii="Arial (Body)" w:hAnsi="Arial (Body)" w:cstheme="minorHAnsi"/>
                <w:color w:val="000000"/>
                <w:szCs w:val="18"/>
              </w:rPr>
              <w:lastRenderedPageBreak/>
              <w:t>industry</w:t>
            </w:r>
            <w:r>
              <w:rPr>
                <w:rFonts w:ascii="Arial (Body)" w:hAnsi="Arial (Body)" w:cstheme="minorHAnsi"/>
                <w:color w:val="000000"/>
                <w:szCs w:val="18"/>
              </w:rPr>
              <w:t>. Labour use in the ‘school education’ industry was assumed to be fixed. The capital stock was also assumed to have had time to change (consistent with other model simulations)</w:t>
            </w:r>
          </w:p>
        </w:tc>
        <w:tc>
          <w:tcPr>
            <w:tcW w:w="0" w:type="auto"/>
            <w:tcBorders>
              <w:bottom w:val="nil"/>
            </w:tcBorders>
            <w:shd w:val="clear" w:color="000000" w:fill="F2F2F2"/>
          </w:tcPr>
          <w:p w14:paraId="169D1AED" w14:textId="0F4FADA6" w:rsidR="00B75289" w:rsidRPr="002A21FD" w:rsidRDefault="00B75289"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lastRenderedPageBreak/>
              <w:t>3</w:t>
            </w:r>
            <w:r w:rsidR="002613F9">
              <w:rPr>
                <w:rFonts w:ascii="Arial (Body)" w:hAnsi="Arial (Body)" w:cstheme="minorHAnsi"/>
                <w:color w:val="000000"/>
                <w:szCs w:val="18"/>
              </w:rPr>
              <w:t>%</w:t>
            </w:r>
          </w:p>
        </w:tc>
        <w:tc>
          <w:tcPr>
            <w:tcW w:w="0" w:type="auto"/>
            <w:tcBorders>
              <w:bottom w:val="nil"/>
            </w:tcBorders>
            <w:shd w:val="clear" w:color="000000" w:fill="F2F2F2"/>
          </w:tcPr>
          <w:p w14:paraId="241EBEB5" w14:textId="1CAA6740" w:rsidR="00B75289" w:rsidRPr="002A21FD" w:rsidRDefault="00B75289"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2 to 4</w:t>
            </w:r>
            <w:r w:rsidR="002613F9">
              <w:rPr>
                <w:rFonts w:ascii="Arial (Body)" w:hAnsi="Arial (Body)" w:cstheme="minorHAnsi"/>
                <w:color w:val="000000"/>
                <w:szCs w:val="18"/>
              </w:rPr>
              <w:t>%</w:t>
            </w:r>
          </w:p>
        </w:tc>
        <w:tc>
          <w:tcPr>
            <w:tcW w:w="0" w:type="auto"/>
            <w:vMerge w:val="restart"/>
            <w:tcBorders>
              <w:bottom w:val="nil"/>
            </w:tcBorders>
            <w:shd w:val="clear" w:color="000000" w:fill="F2F2F2"/>
          </w:tcPr>
          <w:p w14:paraId="4A86E51B" w14:textId="135945CB" w:rsidR="00B75289" w:rsidRPr="003C6BC4" w:rsidRDefault="00B75289" w:rsidP="005A13B0">
            <w:pPr>
              <w:pStyle w:val="TableBody"/>
              <w:spacing w:before="45" w:after="45" w:line="260" w:lineRule="atLeast"/>
              <w:ind w:right="108"/>
              <w:rPr>
                <w:rFonts w:ascii="Arial (Body)" w:hAnsi="Arial (Body)" w:cstheme="minorHAnsi"/>
                <w:color w:val="000000"/>
                <w:spacing w:val="-4"/>
                <w:szCs w:val="18"/>
              </w:rPr>
            </w:pPr>
            <w:r w:rsidRPr="003C6BC4">
              <w:rPr>
                <w:rFonts w:ascii="Arial (Body)" w:hAnsi="Arial (Body)" w:cstheme="minorHAnsi"/>
                <w:color w:val="000000"/>
                <w:spacing w:val="-4"/>
                <w:szCs w:val="18"/>
              </w:rPr>
              <w:t xml:space="preserve">The short run benefit was based on research that estimated that teachers would save about 3 hours per week from a centralised resources </w:t>
            </w:r>
            <w:r w:rsidRPr="003C6BC4">
              <w:rPr>
                <w:rFonts w:ascii="Arial (Body)" w:hAnsi="Arial (Body)" w:cs="Times New Roman"/>
                <w:color w:val="000000"/>
                <w:spacing w:val="-4"/>
                <w:szCs w:val="24"/>
              </w:rPr>
              <w:t xml:space="preserve">(Hunter, </w:t>
            </w:r>
            <w:r w:rsidRPr="003C6BC4">
              <w:rPr>
                <w:rFonts w:ascii="Arial (Body)" w:hAnsi="Arial (Body)" w:cs="Times New Roman"/>
                <w:color w:val="000000"/>
                <w:spacing w:val="-4"/>
                <w:szCs w:val="24"/>
              </w:rPr>
              <w:lastRenderedPageBreak/>
              <w:t>Haywood and Parkinson 2022, p. 27)</w:t>
            </w:r>
            <w:r w:rsidRPr="003C6BC4">
              <w:rPr>
                <w:rFonts w:ascii="Arial (Body)" w:hAnsi="Arial (Body)" w:cstheme="minorHAnsi"/>
                <w:color w:val="000000"/>
                <w:spacing w:val="-4"/>
                <w:szCs w:val="18"/>
              </w:rPr>
              <w:t>. This was converted into a 3</w:t>
            </w:r>
            <w:r w:rsidR="002613F9">
              <w:rPr>
                <w:rFonts w:ascii="Arial (Body)" w:hAnsi="Arial (Body)" w:cstheme="minorHAnsi"/>
                <w:color w:val="000000"/>
                <w:spacing w:val="-4"/>
                <w:szCs w:val="18"/>
              </w:rPr>
              <w:t>%</w:t>
            </w:r>
            <w:r w:rsidRPr="003C6BC4">
              <w:rPr>
                <w:rFonts w:ascii="Arial (Body)" w:hAnsi="Arial (Body)" w:cstheme="minorHAnsi"/>
                <w:color w:val="000000"/>
                <w:spacing w:val="-4"/>
                <w:szCs w:val="18"/>
              </w:rPr>
              <w:t xml:space="preserve"> increase in school labour productivity by assuming time gained would be spent on teaching </w:t>
            </w:r>
            <w:r w:rsidR="000408B8" w:rsidRPr="003C6BC4">
              <w:rPr>
                <w:rFonts w:ascii="Arial (Body)" w:hAnsi="Arial (Body)" w:cstheme="minorHAnsi"/>
                <w:color w:val="000000"/>
                <w:spacing w:val="-4"/>
                <w:szCs w:val="18"/>
              </w:rPr>
              <w:t>(with tea</w:t>
            </w:r>
            <w:r w:rsidR="008151C5" w:rsidRPr="003C6BC4">
              <w:rPr>
                <w:rFonts w:ascii="Arial (Body)" w:hAnsi="Arial (Body)" w:cstheme="minorHAnsi"/>
                <w:color w:val="000000"/>
                <w:spacing w:val="-4"/>
                <w:szCs w:val="18"/>
              </w:rPr>
              <w:t xml:space="preserve">ching hours based on </w:t>
            </w:r>
            <w:r w:rsidR="00FD712D" w:rsidRPr="003C6BC4">
              <w:rPr>
                <w:rFonts w:ascii="Arial (Body)" w:hAnsi="Arial (Body)" w:cstheme="minorHAnsi"/>
                <w:color w:val="000000"/>
                <w:spacing w:val="-4"/>
                <w:szCs w:val="18"/>
              </w:rPr>
              <w:t xml:space="preserve">PC </w:t>
            </w:r>
            <w:r w:rsidR="00765ED0" w:rsidRPr="003C6BC4">
              <w:rPr>
                <w:rFonts w:ascii="Arial" w:hAnsi="Arial" w:cs="Arial"/>
                <w:spacing w:val="-4"/>
                <w:szCs w:val="24"/>
              </w:rPr>
              <w:t>(2023, p. 11)</w:t>
            </w:r>
            <w:r w:rsidR="008151C5" w:rsidRPr="003C6BC4">
              <w:rPr>
                <w:spacing w:val="-4"/>
              </w:rPr>
              <w:t>)</w:t>
            </w:r>
            <w:r w:rsidR="000408B8" w:rsidRPr="003C6BC4">
              <w:rPr>
                <w:spacing w:val="-4"/>
              </w:rPr>
              <w:t xml:space="preserve"> </w:t>
            </w:r>
            <w:r w:rsidRPr="003C6BC4">
              <w:rPr>
                <w:rFonts w:ascii="Arial (Body)" w:hAnsi="Arial (Body)" w:cstheme="minorHAnsi"/>
                <w:color w:val="000000"/>
                <w:spacing w:val="-4"/>
                <w:szCs w:val="18"/>
              </w:rPr>
              <w:t>and have the same marginal productivity as other teaching hours. It was also adjusted for the fact that teachers comprise about 60</w:t>
            </w:r>
            <w:r w:rsidR="002613F9">
              <w:rPr>
                <w:rFonts w:ascii="Arial (Body)" w:hAnsi="Arial (Body)" w:cstheme="minorHAnsi"/>
                <w:color w:val="000000"/>
                <w:spacing w:val="-4"/>
                <w:szCs w:val="18"/>
              </w:rPr>
              <w:t>%</w:t>
            </w:r>
            <w:r w:rsidRPr="003C6BC4">
              <w:rPr>
                <w:rFonts w:ascii="Arial (Body)" w:hAnsi="Arial (Body)" w:cstheme="minorHAnsi"/>
                <w:color w:val="000000"/>
                <w:spacing w:val="-4"/>
                <w:szCs w:val="18"/>
              </w:rPr>
              <w:t xml:space="preserve"> of the school workforce</w:t>
            </w:r>
            <w:r w:rsidR="003A6EA3" w:rsidRPr="003C6BC4">
              <w:rPr>
                <w:rFonts w:ascii="Arial (Body)" w:hAnsi="Arial (Body)" w:cstheme="minorHAnsi"/>
                <w:color w:val="000000"/>
                <w:spacing w:val="-4"/>
                <w:szCs w:val="18"/>
              </w:rPr>
              <w:t xml:space="preserve"> </w:t>
            </w:r>
            <w:r w:rsidR="006755AE" w:rsidRPr="003C6BC4">
              <w:rPr>
                <w:rFonts w:ascii="Arial" w:hAnsi="Arial" w:cs="Arial"/>
                <w:spacing w:val="-4"/>
                <w:szCs w:val="24"/>
              </w:rPr>
              <w:t>(ABS 2022b)</w:t>
            </w:r>
            <w:r w:rsidRPr="003C6BC4">
              <w:rPr>
                <w:rFonts w:ascii="Arial (Body)" w:hAnsi="Arial (Body)" w:cstheme="minorHAnsi"/>
                <w:color w:val="000000"/>
                <w:spacing w:val="-4"/>
                <w:szCs w:val="18"/>
              </w:rPr>
              <w:t>.</w:t>
            </w:r>
          </w:p>
          <w:p w14:paraId="3410199C" w14:textId="2D7BF277" w:rsidR="00B75289" w:rsidRPr="003C6BC4" w:rsidRDefault="00B75289" w:rsidP="005A13B0">
            <w:pPr>
              <w:pStyle w:val="TableBody"/>
              <w:spacing w:before="45" w:after="45" w:line="260" w:lineRule="atLeast"/>
              <w:ind w:right="108"/>
              <w:rPr>
                <w:rFonts w:ascii="Arial (Body)" w:hAnsi="Arial (Body)" w:cstheme="minorHAnsi"/>
                <w:color w:val="000000"/>
                <w:spacing w:val="-4"/>
                <w:szCs w:val="18"/>
              </w:rPr>
            </w:pPr>
            <w:r w:rsidRPr="003C6BC4">
              <w:rPr>
                <w:rFonts w:ascii="Arial (Body)" w:hAnsi="Arial (Body)" w:cstheme="minorHAnsi"/>
                <w:color w:val="000000"/>
                <w:spacing w:val="-4"/>
                <w:szCs w:val="18"/>
              </w:rPr>
              <w:t>Longer run benefits were based on converting extra teaching time into higher test scores and then higher wages later in life. Based on the literature, it was estimated that 3 additional teaching hours raises test scores by 0.12</w:t>
            </w:r>
            <w:r w:rsidR="004B308E" w:rsidRPr="003C6BC4">
              <w:rPr>
                <w:rFonts w:ascii="Arial (Body)" w:hAnsi="Arial (Body)" w:cstheme="minorHAnsi"/>
                <w:color w:val="000000"/>
                <w:spacing w:val="-4"/>
                <w:szCs w:val="18"/>
              </w:rPr>
              <w:noBreakHyphen/>
            </w:r>
            <w:r w:rsidRPr="003C6BC4">
              <w:rPr>
                <w:rFonts w:ascii="Arial (Body)" w:hAnsi="Arial (Body)" w:cstheme="minorHAnsi"/>
                <w:color w:val="000000"/>
                <w:spacing w:val="-4"/>
                <w:szCs w:val="18"/>
              </w:rPr>
              <w:t xml:space="preserve">0.18 standard deviations </w:t>
            </w:r>
            <w:r w:rsidR="00024BC4" w:rsidRPr="003C6BC4">
              <w:rPr>
                <w:rFonts w:ascii="Arial (Body)" w:hAnsi="Arial (Body)" w:cs="Times New Roman"/>
                <w:spacing w:val="-4"/>
                <w:szCs w:val="24"/>
              </w:rPr>
              <w:t>(Lavy 2015, p. F399; Wedel 2021)</w:t>
            </w:r>
            <w:r w:rsidRPr="003C6BC4">
              <w:rPr>
                <w:rFonts w:ascii="Arial (Body)" w:hAnsi="Arial (Body)" w:cstheme="minorHAnsi"/>
                <w:color w:val="000000"/>
                <w:spacing w:val="-4"/>
                <w:szCs w:val="18"/>
              </w:rPr>
              <w:t>, and that each standard deviation increase raises future wages by 9</w:t>
            </w:r>
            <w:r w:rsidRPr="003C6BC4">
              <w:rPr>
                <w:rFonts w:ascii="Arial (Body)" w:hAnsi="Arial (Body)" w:cstheme="minorHAnsi"/>
                <w:color w:val="000000"/>
                <w:spacing w:val="-4"/>
                <w:szCs w:val="18"/>
              </w:rPr>
              <w:noBreakHyphen/>
              <w:t>18</w:t>
            </w:r>
            <w:r w:rsidR="002613F9">
              <w:rPr>
                <w:rFonts w:ascii="Arial (Body)" w:hAnsi="Arial (Body)" w:cstheme="minorHAnsi" w:hint="eastAsia"/>
                <w:color w:val="000000"/>
                <w:spacing w:val="-4"/>
                <w:szCs w:val="18"/>
              </w:rPr>
              <w:t>%</w:t>
            </w:r>
            <w:r w:rsidRPr="003C6BC4">
              <w:rPr>
                <w:rFonts w:ascii="Arial (Body)" w:hAnsi="Arial (Body)" w:cstheme="minorHAnsi"/>
                <w:color w:val="000000"/>
                <w:spacing w:val="-4"/>
                <w:szCs w:val="18"/>
              </w:rPr>
              <w:t xml:space="preserve"> </w:t>
            </w:r>
            <w:r w:rsidR="00485DDF" w:rsidRPr="003C6BC4">
              <w:rPr>
                <w:rFonts w:ascii="Arial (Body)" w:hAnsi="Arial (Body)" w:cs="Times New Roman"/>
                <w:spacing w:val="-4"/>
                <w:szCs w:val="24"/>
              </w:rPr>
              <w:t>(Chetty et al. 2011, p. 1613; Currie and Thomas 2001, p. 116; Rose 2006; Vu and Yamada 2022; Watts 2020)</w:t>
            </w:r>
            <w:r w:rsidRPr="003C6BC4">
              <w:rPr>
                <w:rFonts w:ascii="Arial (Body)" w:hAnsi="Arial (Body)" w:cstheme="minorHAnsi"/>
                <w:color w:val="000000"/>
                <w:spacing w:val="-4"/>
                <w:szCs w:val="18"/>
              </w:rPr>
              <w:t>. Multiplying these numbers and taking the midpoint results in about 2</w:t>
            </w:r>
            <w:r w:rsidR="002613F9">
              <w:rPr>
                <w:rFonts w:ascii="Arial (Body)" w:hAnsi="Arial (Body)" w:cstheme="minorHAnsi" w:hint="eastAsia"/>
                <w:color w:val="000000"/>
                <w:spacing w:val="-4"/>
                <w:szCs w:val="18"/>
              </w:rPr>
              <w:t>%</w:t>
            </w:r>
            <w:r w:rsidRPr="003C6BC4">
              <w:rPr>
                <w:rFonts w:ascii="Arial (Body)" w:hAnsi="Arial (Body)" w:cstheme="minorHAnsi"/>
                <w:color w:val="000000"/>
                <w:spacing w:val="-4"/>
                <w:szCs w:val="18"/>
              </w:rPr>
              <w:t xml:space="preserve"> higher wages.</w:t>
            </w:r>
          </w:p>
        </w:tc>
      </w:tr>
      <w:tr w:rsidR="00B75289" w:rsidRPr="002A21FD" w14:paraId="17C71C69" w14:textId="77777777" w:rsidTr="005A13B0">
        <w:tc>
          <w:tcPr>
            <w:tcW w:w="0" w:type="auto"/>
            <w:vMerge/>
            <w:tcBorders>
              <w:bottom w:val="nil"/>
            </w:tcBorders>
            <w:shd w:val="clear" w:color="000000" w:fill="F2F2F2"/>
          </w:tcPr>
          <w:p w14:paraId="3EE7A9D4" w14:textId="77777777" w:rsidR="00B75289" w:rsidRPr="002A21FD" w:rsidRDefault="00B75289" w:rsidP="005A13B0">
            <w:pPr>
              <w:pStyle w:val="TableBody"/>
              <w:spacing w:before="45" w:after="45" w:line="260" w:lineRule="atLeast"/>
              <w:ind w:right="108"/>
              <w:rPr>
                <w:rFonts w:ascii="Arial (Body)" w:hAnsi="Arial (Body)" w:cstheme="minorHAnsi"/>
                <w:color w:val="000000"/>
                <w:szCs w:val="18"/>
              </w:rPr>
            </w:pPr>
          </w:p>
        </w:tc>
        <w:tc>
          <w:tcPr>
            <w:tcW w:w="0" w:type="auto"/>
            <w:vMerge/>
            <w:tcBorders>
              <w:bottom w:val="nil"/>
            </w:tcBorders>
            <w:shd w:val="clear" w:color="000000" w:fill="F2F2F2"/>
          </w:tcPr>
          <w:p w14:paraId="586AF1CC" w14:textId="77777777" w:rsidR="00B75289" w:rsidRPr="002A21FD" w:rsidRDefault="00B75289" w:rsidP="005A13B0">
            <w:pPr>
              <w:pStyle w:val="TableBody"/>
              <w:spacing w:before="45" w:after="45" w:line="260" w:lineRule="atLeast"/>
              <w:ind w:right="108"/>
              <w:rPr>
                <w:rFonts w:ascii="Arial (Body)" w:hAnsi="Arial (Body)" w:cstheme="minorHAnsi"/>
                <w:color w:val="000000"/>
                <w:szCs w:val="18"/>
              </w:rPr>
            </w:pPr>
          </w:p>
        </w:tc>
        <w:tc>
          <w:tcPr>
            <w:tcW w:w="0" w:type="auto"/>
            <w:tcBorders>
              <w:bottom w:val="nil"/>
            </w:tcBorders>
            <w:shd w:val="clear" w:color="000000" w:fill="F2F2F2"/>
          </w:tcPr>
          <w:p w14:paraId="1ACE932D" w14:textId="4A8D5530" w:rsidR="00B75289" w:rsidRPr="002A21FD" w:rsidRDefault="00B75289"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[5b] In the long run, young</w:t>
            </w:r>
            <w:r>
              <w:rPr>
                <w:rFonts w:ascii="Arial (Body)" w:hAnsi="Arial (Body)" w:cstheme="minorHAnsi"/>
                <w:color w:val="000000"/>
                <w:szCs w:val="18"/>
              </w:rPr>
              <w:t>er workers will be the initial</w:t>
            </w:r>
            <w:r w:rsidRPr="002A21FD">
              <w:rPr>
                <w:rFonts w:ascii="Arial (Body)" w:hAnsi="Arial (Body)" w:cstheme="minorHAnsi"/>
                <w:color w:val="000000"/>
                <w:szCs w:val="18"/>
              </w:rPr>
              <w:t xml:space="preserve"> group of school leavers benefit</w:t>
            </w:r>
            <w:r>
              <w:rPr>
                <w:rFonts w:ascii="Arial (Body)" w:hAnsi="Arial (Body)" w:cstheme="minorHAnsi"/>
                <w:color w:val="000000"/>
                <w:szCs w:val="18"/>
              </w:rPr>
              <w:t>ing</w:t>
            </w:r>
            <w:r w:rsidRPr="002A21FD">
              <w:rPr>
                <w:rFonts w:ascii="Arial (Body)" w:hAnsi="Arial (Body)" w:cstheme="minorHAnsi"/>
                <w:color w:val="000000"/>
                <w:szCs w:val="18"/>
              </w:rPr>
              <w:t xml:space="preserve"> from teaching improvements. This was simulated by increasing labour</w:t>
            </w:r>
            <w:r w:rsidRPr="002A21FD">
              <w:rPr>
                <w:rFonts w:ascii="Arial (Body)" w:hAnsi="Arial (Body)" w:cstheme="minorHAnsi"/>
                <w:color w:val="000000"/>
                <w:szCs w:val="18"/>
              </w:rPr>
              <w:noBreakHyphen/>
              <w:t>augmenting technical change parameter</w:t>
            </w:r>
            <w:r w:rsidR="00EB468C">
              <w:rPr>
                <w:rFonts w:ascii="Arial (Body)" w:hAnsi="Arial (Body)" w:cstheme="minorHAnsi"/>
                <w:color w:val="000000"/>
                <w:szCs w:val="18"/>
              </w:rPr>
              <w:t>s</w:t>
            </w:r>
            <w:r w:rsidRPr="002A21FD">
              <w:rPr>
                <w:rFonts w:ascii="Arial (Body)" w:hAnsi="Arial (Body)" w:cstheme="minorHAnsi"/>
                <w:color w:val="000000"/>
                <w:szCs w:val="18"/>
              </w:rPr>
              <w:t xml:space="preserve"> of 15</w:t>
            </w:r>
            <w:r w:rsidRPr="002A21FD">
              <w:rPr>
                <w:rFonts w:ascii="Arial (Body)" w:hAnsi="Arial (Body)" w:cstheme="minorHAnsi"/>
                <w:color w:val="000000"/>
                <w:szCs w:val="18"/>
              </w:rPr>
              <w:noBreakHyphen/>
              <w:t>24 year old workers. The continued impact of improved labour productivity of workers in the school industry was also included (from scenario 5a)</w:t>
            </w:r>
            <w:r>
              <w:rPr>
                <w:rFonts w:ascii="Arial (Body)" w:hAnsi="Arial (Body)" w:cstheme="minorHAnsi"/>
                <w:color w:val="000000"/>
                <w:szCs w:val="18"/>
              </w:rPr>
              <w:t>. Labour use in the ‘school education’ industry was assumed to be fixed.</w:t>
            </w:r>
          </w:p>
        </w:tc>
        <w:tc>
          <w:tcPr>
            <w:tcW w:w="0" w:type="auto"/>
            <w:tcBorders>
              <w:bottom w:val="nil"/>
            </w:tcBorders>
            <w:shd w:val="clear" w:color="000000" w:fill="F2F2F2"/>
          </w:tcPr>
          <w:p w14:paraId="01F0E604" w14:textId="19E7D498" w:rsidR="00B75289" w:rsidRPr="002A21FD" w:rsidRDefault="00B75289"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3</w:t>
            </w:r>
            <w:r w:rsidR="002613F9">
              <w:rPr>
                <w:rFonts w:ascii="Arial (Body)" w:hAnsi="Arial (Body)" w:cstheme="minorHAnsi"/>
                <w:color w:val="000000"/>
                <w:szCs w:val="18"/>
              </w:rPr>
              <w:t>%</w:t>
            </w:r>
            <w:r w:rsidRPr="002A21FD">
              <w:rPr>
                <w:rFonts w:ascii="Arial (Body)" w:hAnsi="Arial (Body)" w:cstheme="minorHAnsi"/>
                <w:color w:val="000000"/>
                <w:szCs w:val="18"/>
              </w:rPr>
              <w:t xml:space="preserve"> for school industry</w:t>
            </w:r>
          </w:p>
          <w:p w14:paraId="11B4D191" w14:textId="65FB33C9" w:rsidR="00B75289" w:rsidRPr="002A21FD" w:rsidRDefault="00B75289"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2</w:t>
            </w:r>
            <w:r w:rsidR="002613F9">
              <w:rPr>
                <w:rFonts w:ascii="Arial (Body)" w:hAnsi="Arial (Body)" w:cstheme="minorHAnsi"/>
                <w:color w:val="000000"/>
                <w:szCs w:val="18"/>
              </w:rPr>
              <w:t>%</w:t>
            </w:r>
            <w:r w:rsidRPr="002A21FD">
              <w:rPr>
                <w:rFonts w:ascii="Arial (Body)" w:hAnsi="Arial (Body)" w:cstheme="minorHAnsi"/>
                <w:color w:val="000000"/>
                <w:szCs w:val="18"/>
              </w:rPr>
              <w:t xml:space="preserve"> for 15</w:t>
            </w:r>
            <w:r w:rsidR="004B308E">
              <w:rPr>
                <w:rFonts w:ascii="Arial (Body)" w:hAnsi="Arial (Body)" w:cstheme="minorHAnsi"/>
                <w:color w:val="000000"/>
                <w:szCs w:val="18"/>
              </w:rPr>
              <w:noBreakHyphen/>
            </w:r>
            <w:r w:rsidRPr="002A21FD">
              <w:rPr>
                <w:rFonts w:ascii="Arial (Body)" w:hAnsi="Arial (Body)" w:cstheme="minorHAnsi"/>
                <w:color w:val="000000"/>
                <w:szCs w:val="18"/>
              </w:rPr>
              <w:t>24 year old groups</w:t>
            </w:r>
          </w:p>
          <w:p w14:paraId="60D85E4D" w14:textId="4811C4DF" w:rsidR="00B75289" w:rsidRPr="002A21FD" w:rsidRDefault="00B75289"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5</w:t>
            </w:r>
            <w:r w:rsidR="002613F9">
              <w:rPr>
                <w:rFonts w:ascii="Arial (Body)" w:hAnsi="Arial (Body)" w:cstheme="minorHAnsi"/>
                <w:color w:val="000000"/>
                <w:szCs w:val="18"/>
              </w:rPr>
              <w:t>%</w:t>
            </w:r>
            <w:r w:rsidRPr="002A21FD">
              <w:rPr>
                <w:rFonts w:ascii="Arial (Body)" w:hAnsi="Arial (Body)" w:cstheme="minorHAnsi"/>
                <w:color w:val="000000"/>
                <w:szCs w:val="18"/>
              </w:rPr>
              <w:t xml:space="preserve"> for 15</w:t>
            </w:r>
            <w:r w:rsidR="004B308E">
              <w:rPr>
                <w:rFonts w:ascii="Arial (Body)" w:hAnsi="Arial (Body)" w:cstheme="minorHAnsi"/>
                <w:color w:val="000000"/>
                <w:szCs w:val="18"/>
              </w:rPr>
              <w:noBreakHyphen/>
            </w:r>
            <w:r w:rsidRPr="002A21FD">
              <w:rPr>
                <w:rFonts w:ascii="Arial (Body)" w:hAnsi="Arial (Body)" w:cstheme="minorHAnsi"/>
                <w:color w:val="000000"/>
                <w:szCs w:val="18"/>
              </w:rPr>
              <w:t>24 year old groups in the school industry</w:t>
            </w:r>
          </w:p>
        </w:tc>
        <w:tc>
          <w:tcPr>
            <w:tcW w:w="0" w:type="auto"/>
            <w:tcBorders>
              <w:bottom w:val="nil"/>
            </w:tcBorders>
            <w:shd w:val="clear" w:color="000000" w:fill="F2F2F2"/>
          </w:tcPr>
          <w:p w14:paraId="67A68A69" w14:textId="37D4B86F" w:rsidR="00B75289" w:rsidRPr="002A21FD" w:rsidRDefault="00B75289"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2 to 4</w:t>
            </w:r>
            <w:r w:rsidR="002613F9">
              <w:rPr>
                <w:rFonts w:ascii="Arial (Body)" w:hAnsi="Arial (Body)" w:cstheme="minorHAnsi"/>
                <w:color w:val="000000"/>
                <w:szCs w:val="18"/>
              </w:rPr>
              <w:t>%</w:t>
            </w:r>
            <w:r w:rsidRPr="002A21FD">
              <w:rPr>
                <w:rFonts w:ascii="Arial (Body)" w:hAnsi="Arial (Body)" w:cstheme="minorHAnsi"/>
                <w:color w:val="000000"/>
                <w:szCs w:val="18"/>
              </w:rPr>
              <w:t xml:space="preserve"> for school industry</w:t>
            </w:r>
          </w:p>
          <w:p w14:paraId="7B18C132" w14:textId="7DE4F5C8" w:rsidR="00B75289" w:rsidRPr="002A21FD" w:rsidRDefault="00B75289"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1 to 3</w:t>
            </w:r>
            <w:r w:rsidR="002613F9">
              <w:rPr>
                <w:rFonts w:ascii="Arial (Body)" w:hAnsi="Arial (Body)" w:cstheme="minorHAnsi"/>
                <w:color w:val="000000"/>
                <w:szCs w:val="18"/>
              </w:rPr>
              <w:t>%</w:t>
            </w:r>
            <w:r w:rsidRPr="002A21FD">
              <w:rPr>
                <w:rFonts w:ascii="Arial (Body)" w:hAnsi="Arial (Body)" w:cstheme="minorHAnsi"/>
                <w:color w:val="000000"/>
                <w:szCs w:val="18"/>
              </w:rPr>
              <w:t xml:space="preserve"> for 15</w:t>
            </w:r>
            <w:r w:rsidR="004B308E">
              <w:rPr>
                <w:rFonts w:ascii="Arial (Body)" w:hAnsi="Arial (Body)" w:cstheme="minorHAnsi"/>
                <w:color w:val="000000"/>
                <w:szCs w:val="18"/>
              </w:rPr>
              <w:noBreakHyphen/>
            </w:r>
            <w:r w:rsidRPr="002A21FD">
              <w:rPr>
                <w:rFonts w:ascii="Arial (Body)" w:hAnsi="Arial (Body)" w:cstheme="minorHAnsi"/>
                <w:color w:val="000000"/>
                <w:szCs w:val="18"/>
              </w:rPr>
              <w:t>24 year old groups</w:t>
            </w:r>
          </w:p>
          <w:p w14:paraId="7FB8A04F" w14:textId="1332B772" w:rsidR="00B75289" w:rsidRPr="002A21FD" w:rsidRDefault="00B75289"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3 to 7</w:t>
            </w:r>
            <w:r w:rsidR="002613F9">
              <w:rPr>
                <w:rFonts w:ascii="Arial (Body)" w:hAnsi="Arial (Body)" w:cstheme="minorHAnsi"/>
                <w:color w:val="000000"/>
                <w:szCs w:val="18"/>
              </w:rPr>
              <w:t>%</w:t>
            </w:r>
            <w:r w:rsidRPr="002A21FD">
              <w:rPr>
                <w:rFonts w:ascii="Arial (Body)" w:hAnsi="Arial (Body)" w:cstheme="minorHAnsi"/>
                <w:color w:val="000000"/>
                <w:szCs w:val="18"/>
              </w:rPr>
              <w:t xml:space="preserve"> for 15</w:t>
            </w:r>
            <w:r w:rsidR="004B308E">
              <w:rPr>
                <w:rFonts w:ascii="Arial (Body)" w:hAnsi="Arial (Body)" w:cstheme="minorHAnsi"/>
                <w:color w:val="000000"/>
                <w:szCs w:val="18"/>
              </w:rPr>
              <w:noBreakHyphen/>
            </w:r>
            <w:r w:rsidRPr="002A21FD">
              <w:rPr>
                <w:rFonts w:ascii="Arial (Body)" w:hAnsi="Arial (Body)" w:cstheme="minorHAnsi"/>
                <w:color w:val="000000"/>
                <w:szCs w:val="18"/>
              </w:rPr>
              <w:t>24 year old groups in school industry</w:t>
            </w:r>
          </w:p>
        </w:tc>
        <w:tc>
          <w:tcPr>
            <w:tcW w:w="0" w:type="auto"/>
            <w:vMerge/>
            <w:tcBorders>
              <w:bottom w:val="nil"/>
            </w:tcBorders>
            <w:shd w:val="clear" w:color="000000" w:fill="F2F2F2"/>
          </w:tcPr>
          <w:p w14:paraId="68EAEE5C" w14:textId="77777777" w:rsidR="00B75289" w:rsidRPr="002A21FD" w:rsidRDefault="00B75289" w:rsidP="005A13B0">
            <w:pPr>
              <w:pStyle w:val="TableBody"/>
              <w:spacing w:before="45" w:after="45" w:line="260" w:lineRule="atLeast"/>
              <w:ind w:right="108"/>
              <w:rPr>
                <w:rFonts w:ascii="Arial (Body)" w:hAnsi="Arial (Body)" w:cstheme="minorHAnsi"/>
                <w:color w:val="000000"/>
                <w:szCs w:val="18"/>
              </w:rPr>
            </w:pPr>
          </w:p>
        </w:tc>
      </w:tr>
      <w:tr w:rsidR="00B75289" w:rsidRPr="002A21FD" w14:paraId="568BBE2C" w14:textId="77777777" w:rsidTr="005A13B0">
        <w:tc>
          <w:tcPr>
            <w:tcW w:w="0" w:type="auto"/>
            <w:vMerge/>
            <w:tcBorders>
              <w:bottom w:val="nil"/>
            </w:tcBorders>
            <w:shd w:val="clear" w:color="000000" w:fill="F2F2F2"/>
          </w:tcPr>
          <w:p w14:paraId="4C99AB94" w14:textId="77777777" w:rsidR="00B75289" w:rsidRPr="002A21FD" w:rsidRDefault="00B75289" w:rsidP="005A13B0">
            <w:pPr>
              <w:pStyle w:val="TableBody"/>
              <w:spacing w:before="45" w:after="45" w:line="260" w:lineRule="atLeast"/>
              <w:ind w:right="108"/>
              <w:rPr>
                <w:rFonts w:ascii="Arial (Body)" w:hAnsi="Arial (Body)" w:cstheme="minorHAnsi"/>
                <w:color w:val="000000"/>
                <w:szCs w:val="18"/>
              </w:rPr>
            </w:pPr>
          </w:p>
        </w:tc>
        <w:tc>
          <w:tcPr>
            <w:tcW w:w="0" w:type="auto"/>
            <w:vMerge/>
            <w:tcBorders>
              <w:bottom w:val="nil"/>
            </w:tcBorders>
            <w:shd w:val="clear" w:color="000000" w:fill="F2F2F2"/>
          </w:tcPr>
          <w:p w14:paraId="3E5838E3" w14:textId="77777777" w:rsidR="00B75289" w:rsidRPr="002A21FD" w:rsidRDefault="00B75289" w:rsidP="005A13B0">
            <w:pPr>
              <w:pStyle w:val="TableBody"/>
              <w:spacing w:before="45" w:after="45" w:line="260" w:lineRule="atLeast"/>
              <w:ind w:right="108"/>
              <w:rPr>
                <w:rFonts w:ascii="Arial (Body)" w:hAnsi="Arial (Body)" w:cstheme="minorHAnsi"/>
                <w:color w:val="000000"/>
                <w:szCs w:val="18"/>
              </w:rPr>
            </w:pPr>
          </w:p>
        </w:tc>
        <w:tc>
          <w:tcPr>
            <w:tcW w:w="0" w:type="auto"/>
            <w:tcBorders>
              <w:bottom w:val="nil"/>
            </w:tcBorders>
            <w:shd w:val="clear" w:color="000000" w:fill="F2F2F2"/>
          </w:tcPr>
          <w:p w14:paraId="598B3A6C" w14:textId="31AEB56F" w:rsidR="00B75289" w:rsidRPr="002A21FD" w:rsidRDefault="00B75289"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 xml:space="preserve">[5c] In the very long run, all workers that have completed school will have done so in the improved system. </w:t>
            </w:r>
            <w:r w:rsidR="00E66BB2">
              <w:rPr>
                <w:rFonts w:ascii="Arial (Body)" w:hAnsi="Arial (Body)" w:cstheme="minorHAnsi"/>
                <w:color w:val="000000"/>
                <w:szCs w:val="18"/>
              </w:rPr>
              <w:t>L</w:t>
            </w:r>
            <w:r w:rsidRPr="002A21FD">
              <w:rPr>
                <w:rFonts w:ascii="Arial (Body)" w:hAnsi="Arial (Body)" w:cstheme="minorHAnsi"/>
                <w:color w:val="000000"/>
                <w:szCs w:val="18"/>
              </w:rPr>
              <w:t>abour</w:t>
            </w:r>
            <w:r w:rsidRPr="002A21FD">
              <w:rPr>
                <w:rFonts w:ascii="Arial (Body)" w:hAnsi="Arial (Body)" w:cstheme="minorHAnsi"/>
                <w:color w:val="000000"/>
                <w:szCs w:val="18"/>
              </w:rPr>
              <w:noBreakHyphen/>
              <w:t>augmenting technical change parameter</w:t>
            </w:r>
            <w:r w:rsidR="00E66BB2">
              <w:rPr>
                <w:rFonts w:ascii="Arial (Body)" w:hAnsi="Arial (Body)" w:cstheme="minorHAnsi"/>
                <w:color w:val="000000"/>
                <w:szCs w:val="18"/>
              </w:rPr>
              <w:t>s</w:t>
            </w:r>
            <w:r w:rsidRPr="002A21FD">
              <w:rPr>
                <w:rFonts w:ascii="Arial (Body)" w:hAnsi="Arial (Body)" w:cstheme="minorHAnsi"/>
                <w:color w:val="000000"/>
                <w:szCs w:val="18"/>
              </w:rPr>
              <w:t xml:space="preserve"> of all workers w</w:t>
            </w:r>
            <w:r w:rsidR="00E66BB2">
              <w:rPr>
                <w:rFonts w:ascii="Arial (Body)" w:hAnsi="Arial (Body)" w:cstheme="minorHAnsi"/>
                <w:color w:val="000000"/>
                <w:szCs w:val="18"/>
              </w:rPr>
              <w:t>ere</w:t>
            </w:r>
            <w:r w:rsidRPr="002A21FD">
              <w:rPr>
                <w:rFonts w:ascii="Arial (Body)" w:hAnsi="Arial (Body)" w:cstheme="minorHAnsi"/>
                <w:color w:val="000000"/>
                <w:szCs w:val="18"/>
              </w:rPr>
              <w:t xml:space="preserve"> increased to simulate these effects. The continued impact of improved labour productivity of workers in the school </w:t>
            </w:r>
            <w:r>
              <w:rPr>
                <w:rFonts w:ascii="Arial (Body)" w:hAnsi="Arial (Body)" w:cstheme="minorHAnsi"/>
                <w:color w:val="000000"/>
                <w:szCs w:val="18"/>
              </w:rPr>
              <w:t>industry</w:t>
            </w:r>
            <w:r w:rsidRPr="002A21FD">
              <w:rPr>
                <w:rFonts w:ascii="Arial (Body)" w:hAnsi="Arial (Body)" w:cstheme="minorHAnsi"/>
                <w:color w:val="000000"/>
                <w:szCs w:val="18"/>
              </w:rPr>
              <w:t xml:space="preserve"> was also included (from scenario 5a).</w:t>
            </w:r>
            <w:r>
              <w:rPr>
                <w:rFonts w:ascii="Arial (Body)" w:hAnsi="Arial (Body)" w:cstheme="minorHAnsi"/>
                <w:color w:val="000000"/>
                <w:szCs w:val="18"/>
              </w:rPr>
              <w:t xml:space="preserve"> Labour use in the ‘school </w:t>
            </w:r>
            <w:r>
              <w:rPr>
                <w:rFonts w:ascii="Arial (Body)" w:hAnsi="Arial (Body)" w:cstheme="minorHAnsi"/>
                <w:color w:val="000000"/>
                <w:szCs w:val="18"/>
              </w:rPr>
              <w:lastRenderedPageBreak/>
              <w:t>education’ industry was assumed to be fixed.</w:t>
            </w:r>
          </w:p>
        </w:tc>
        <w:tc>
          <w:tcPr>
            <w:tcW w:w="0" w:type="auto"/>
            <w:tcBorders>
              <w:bottom w:val="nil"/>
            </w:tcBorders>
            <w:shd w:val="clear" w:color="000000" w:fill="F2F2F2"/>
          </w:tcPr>
          <w:p w14:paraId="4D4D38E5" w14:textId="5E7226DB" w:rsidR="00B75289" w:rsidRPr="002A21FD" w:rsidRDefault="00B75289"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lastRenderedPageBreak/>
              <w:t>5</w:t>
            </w:r>
            <w:r w:rsidR="002613F9">
              <w:rPr>
                <w:rFonts w:ascii="Arial (Body)" w:hAnsi="Arial (Body)" w:cstheme="minorHAnsi"/>
                <w:color w:val="000000"/>
                <w:szCs w:val="18"/>
              </w:rPr>
              <w:t>%</w:t>
            </w:r>
            <w:r w:rsidRPr="002A21FD">
              <w:rPr>
                <w:rFonts w:ascii="Arial (Body)" w:hAnsi="Arial (Body)" w:cstheme="minorHAnsi"/>
                <w:color w:val="000000"/>
                <w:szCs w:val="18"/>
              </w:rPr>
              <w:t xml:space="preserve"> for school industry</w:t>
            </w:r>
          </w:p>
          <w:p w14:paraId="268C861B" w14:textId="74D055E1" w:rsidR="00B75289" w:rsidRPr="002A21FD" w:rsidRDefault="00B75289"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2</w:t>
            </w:r>
            <w:r w:rsidR="002613F9">
              <w:rPr>
                <w:rFonts w:ascii="Arial (Body)" w:hAnsi="Arial (Body)" w:cstheme="minorHAnsi"/>
                <w:color w:val="000000"/>
                <w:szCs w:val="18"/>
              </w:rPr>
              <w:t>%</w:t>
            </w:r>
            <w:r w:rsidRPr="002A21FD">
              <w:rPr>
                <w:rFonts w:ascii="Arial (Body)" w:hAnsi="Arial (Body)" w:cstheme="minorHAnsi"/>
                <w:color w:val="000000"/>
                <w:szCs w:val="18"/>
              </w:rPr>
              <w:t xml:space="preserve"> for all other workers</w:t>
            </w:r>
          </w:p>
        </w:tc>
        <w:tc>
          <w:tcPr>
            <w:tcW w:w="0" w:type="auto"/>
            <w:tcBorders>
              <w:bottom w:val="nil"/>
            </w:tcBorders>
            <w:shd w:val="clear" w:color="000000" w:fill="F2F2F2"/>
          </w:tcPr>
          <w:p w14:paraId="78017646" w14:textId="43554E72" w:rsidR="00B75289" w:rsidRPr="002A21FD" w:rsidRDefault="00B75289"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3 to 7</w:t>
            </w:r>
            <w:r w:rsidR="002613F9">
              <w:rPr>
                <w:rFonts w:ascii="Arial (Body)" w:hAnsi="Arial (Body)" w:cstheme="minorHAnsi"/>
                <w:color w:val="000000"/>
                <w:szCs w:val="18"/>
              </w:rPr>
              <w:t>%</w:t>
            </w:r>
            <w:r w:rsidRPr="002A21FD">
              <w:rPr>
                <w:rFonts w:ascii="Arial (Body)" w:hAnsi="Arial (Body)" w:cstheme="minorHAnsi"/>
                <w:color w:val="000000"/>
                <w:szCs w:val="18"/>
              </w:rPr>
              <w:t xml:space="preserve"> for school industry </w:t>
            </w:r>
          </w:p>
          <w:p w14:paraId="6B234BAC" w14:textId="10812453" w:rsidR="00B75289" w:rsidRPr="002A21FD" w:rsidRDefault="00B75289"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1 to 3</w:t>
            </w:r>
            <w:r w:rsidR="002613F9">
              <w:rPr>
                <w:rFonts w:ascii="Arial (Body)" w:hAnsi="Arial (Body)" w:cstheme="minorHAnsi"/>
                <w:color w:val="000000"/>
                <w:szCs w:val="18"/>
              </w:rPr>
              <w:t>%</w:t>
            </w:r>
            <w:r w:rsidRPr="002A21FD">
              <w:rPr>
                <w:rFonts w:ascii="Arial (Body)" w:hAnsi="Arial (Body)" w:cstheme="minorHAnsi"/>
                <w:color w:val="000000"/>
                <w:szCs w:val="18"/>
              </w:rPr>
              <w:t xml:space="preserve"> for all other workers</w:t>
            </w:r>
          </w:p>
        </w:tc>
        <w:tc>
          <w:tcPr>
            <w:tcW w:w="0" w:type="auto"/>
            <w:vMerge/>
            <w:tcBorders>
              <w:bottom w:val="nil"/>
            </w:tcBorders>
            <w:shd w:val="clear" w:color="000000" w:fill="F2F2F2"/>
          </w:tcPr>
          <w:p w14:paraId="441AE338" w14:textId="77777777" w:rsidR="00B75289" w:rsidRPr="002A21FD" w:rsidRDefault="00B75289" w:rsidP="005A13B0">
            <w:pPr>
              <w:pStyle w:val="TableBody"/>
              <w:spacing w:before="45" w:after="45" w:line="260" w:lineRule="atLeast"/>
              <w:ind w:right="108"/>
              <w:rPr>
                <w:rFonts w:ascii="Arial (Body)" w:hAnsi="Arial (Body)" w:cstheme="minorHAnsi"/>
                <w:color w:val="000000"/>
                <w:szCs w:val="18"/>
              </w:rPr>
            </w:pPr>
          </w:p>
        </w:tc>
      </w:tr>
      <w:tr w:rsidR="00B75289" w:rsidRPr="002A21FD" w14:paraId="2F0957B6" w14:textId="77777777" w:rsidTr="005A13B0">
        <w:tc>
          <w:tcPr>
            <w:tcW w:w="0" w:type="auto"/>
            <w:tcBorders>
              <w:top w:val="nil"/>
              <w:bottom w:val="nil"/>
            </w:tcBorders>
            <w:shd w:val="clear" w:color="000000" w:fill="auto"/>
          </w:tcPr>
          <w:p w14:paraId="4A0B8E3A" w14:textId="73986ED9" w:rsidR="00B75289" w:rsidRPr="002A21FD" w:rsidRDefault="00B75289" w:rsidP="005A13B0">
            <w:pPr>
              <w:pStyle w:val="TableBody"/>
              <w:spacing w:before="45" w:after="45" w:line="260" w:lineRule="atLeast"/>
              <w:ind w:right="108"/>
              <w:rPr>
                <w:rFonts w:ascii="Arial (Body)" w:hAnsi="Arial (Body)" w:cstheme="minorHAnsi"/>
                <w:b/>
                <w:color w:val="265A9A"/>
                <w:szCs w:val="18"/>
              </w:rPr>
            </w:pPr>
            <w:r w:rsidRPr="004112B6">
              <w:rPr>
                <w:rFonts w:ascii="Arial (Body)" w:hAnsi="Arial (Body)"/>
                <w:b/>
                <w:i/>
                <w:iCs/>
                <w:color w:val="265A9A"/>
              </w:rPr>
              <w:t>A more productive labour market</w:t>
            </w:r>
            <w:r>
              <w:rPr>
                <w:rFonts w:ascii="Arial (Body)" w:hAnsi="Arial (Body)"/>
                <w:b/>
                <w:color w:val="265A9A"/>
              </w:rPr>
              <w:t>, appendix A</w:t>
            </w:r>
          </w:p>
        </w:tc>
        <w:tc>
          <w:tcPr>
            <w:tcW w:w="0" w:type="auto"/>
            <w:tcBorders>
              <w:top w:val="nil"/>
              <w:bottom w:val="nil"/>
            </w:tcBorders>
            <w:shd w:val="clear" w:color="000000" w:fill="auto"/>
          </w:tcPr>
          <w:p w14:paraId="385C24A8" w14:textId="13D76D6B" w:rsidR="00B75289" w:rsidRPr="002A21FD" w:rsidRDefault="00B75289"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[6] Increasing labour productivity by reducing</w:t>
            </w:r>
            <w:r>
              <w:rPr>
                <w:rFonts w:ascii="Arial (Body)" w:hAnsi="Arial (Body)" w:cstheme="minorHAnsi"/>
                <w:color w:val="000000"/>
                <w:szCs w:val="18"/>
              </w:rPr>
              <w:t xml:space="preserve"> unnecessary</w:t>
            </w:r>
            <w:r w:rsidRPr="002A21FD">
              <w:rPr>
                <w:rFonts w:ascii="Arial (Body)" w:hAnsi="Arial (Body)" w:cstheme="minorHAnsi"/>
                <w:color w:val="000000"/>
                <w:szCs w:val="18"/>
              </w:rPr>
              <w:t xml:space="preserve"> occupational licensing restrictions and thus lowering barriers to labour mobility</w:t>
            </w:r>
          </w:p>
        </w:tc>
        <w:tc>
          <w:tcPr>
            <w:tcW w:w="0" w:type="auto"/>
            <w:tcBorders>
              <w:top w:val="nil"/>
              <w:bottom w:val="nil"/>
            </w:tcBorders>
            <w:shd w:val="clear" w:color="000000" w:fill="auto"/>
          </w:tcPr>
          <w:p w14:paraId="41F715DA" w14:textId="4D3DCD09" w:rsidR="00B75289" w:rsidRPr="002A21FD" w:rsidRDefault="00B75289"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Labour</w:t>
            </w:r>
            <w:r w:rsidRPr="002A21FD">
              <w:rPr>
                <w:rFonts w:ascii="Arial (Body)" w:hAnsi="Arial (Body)" w:cstheme="minorHAnsi"/>
                <w:color w:val="000000"/>
                <w:szCs w:val="18"/>
              </w:rPr>
              <w:noBreakHyphen/>
              <w:t>augmenting technical change parameter</w:t>
            </w:r>
            <w:r w:rsidR="00507108">
              <w:rPr>
                <w:rFonts w:ascii="Arial (Body)" w:hAnsi="Arial (Body)" w:cstheme="minorHAnsi"/>
                <w:color w:val="000000"/>
                <w:szCs w:val="18"/>
              </w:rPr>
              <w:t>s</w:t>
            </w:r>
            <w:r w:rsidRPr="002A21FD">
              <w:rPr>
                <w:rFonts w:ascii="Arial (Body)" w:hAnsi="Arial (Body)" w:cstheme="minorHAnsi"/>
                <w:color w:val="000000"/>
                <w:szCs w:val="18"/>
              </w:rPr>
              <w:t xml:space="preserve"> w</w:t>
            </w:r>
            <w:r w:rsidR="00507108">
              <w:rPr>
                <w:rFonts w:ascii="Arial (Body)" w:hAnsi="Arial (Body)" w:cstheme="minorHAnsi"/>
                <w:color w:val="000000"/>
                <w:szCs w:val="18"/>
              </w:rPr>
              <w:t>ere</w:t>
            </w:r>
            <w:r w:rsidRPr="002A21FD">
              <w:rPr>
                <w:rFonts w:ascii="Arial (Body)" w:hAnsi="Arial (Body)" w:cstheme="minorHAnsi"/>
                <w:color w:val="000000"/>
                <w:szCs w:val="18"/>
              </w:rPr>
              <w:t xml:space="preserve"> increased for the following industries </w:t>
            </w:r>
            <w:r>
              <w:rPr>
                <w:rFonts w:ascii="Arial (Body)" w:hAnsi="Arial (Body)" w:cstheme="minorHAnsi"/>
                <w:color w:val="000000"/>
                <w:szCs w:val="18"/>
              </w:rPr>
              <w:t>as they are more likely to employ workers subject to</w:t>
            </w:r>
            <w:r w:rsidRPr="002A21FD">
              <w:rPr>
                <w:rFonts w:ascii="Arial (Body)" w:hAnsi="Arial (Body)" w:cstheme="minorHAnsi"/>
                <w:color w:val="000000"/>
                <w:szCs w:val="18"/>
              </w:rPr>
              <w:t xml:space="preserve"> occupational licensing requirements:</w:t>
            </w:r>
          </w:p>
          <w:p w14:paraId="3F0E1759" w14:textId="163A463F" w:rsidR="00B75289" w:rsidRPr="00F15187" w:rsidRDefault="00B75289" w:rsidP="005A13B0">
            <w:pPr>
              <w:pStyle w:val="ListBullet"/>
              <w:spacing w:line="260" w:lineRule="atLeast"/>
              <w:rPr>
                <w:sz w:val="18"/>
                <w:szCs w:val="18"/>
              </w:rPr>
            </w:pPr>
            <w:r w:rsidRPr="00F15187">
              <w:rPr>
                <w:sz w:val="18"/>
                <w:szCs w:val="18"/>
              </w:rPr>
              <w:t>construction</w:t>
            </w:r>
          </w:p>
          <w:p w14:paraId="1AA2924B" w14:textId="37DDC142" w:rsidR="00B75289" w:rsidRPr="00F15187" w:rsidRDefault="00B75289" w:rsidP="005A13B0">
            <w:pPr>
              <w:pStyle w:val="ListBullet"/>
              <w:spacing w:line="260" w:lineRule="atLeast"/>
              <w:rPr>
                <w:sz w:val="18"/>
                <w:szCs w:val="18"/>
              </w:rPr>
            </w:pPr>
            <w:r w:rsidRPr="00F15187">
              <w:rPr>
                <w:sz w:val="18"/>
                <w:szCs w:val="18"/>
              </w:rPr>
              <w:t>transport and wholesale</w:t>
            </w:r>
          </w:p>
          <w:p w14:paraId="69D2FC5E" w14:textId="27AACECC" w:rsidR="00B75289" w:rsidRPr="00F15187" w:rsidRDefault="00B75289" w:rsidP="005A13B0">
            <w:pPr>
              <w:pStyle w:val="ListBullet"/>
              <w:spacing w:line="260" w:lineRule="atLeast"/>
              <w:rPr>
                <w:sz w:val="18"/>
                <w:szCs w:val="18"/>
              </w:rPr>
            </w:pPr>
            <w:r w:rsidRPr="00F15187">
              <w:rPr>
                <w:sz w:val="18"/>
                <w:szCs w:val="18"/>
              </w:rPr>
              <w:t>professional, scientific and technical services</w:t>
            </w:r>
          </w:p>
          <w:p w14:paraId="5E289A08" w14:textId="399AB247" w:rsidR="00B75289" w:rsidRPr="00F15187" w:rsidRDefault="00B75289" w:rsidP="005A13B0">
            <w:pPr>
              <w:pStyle w:val="ListBullet"/>
              <w:spacing w:line="260" w:lineRule="atLeast"/>
              <w:rPr>
                <w:sz w:val="18"/>
                <w:szCs w:val="18"/>
              </w:rPr>
            </w:pPr>
            <w:r w:rsidRPr="00F15187">
              <w:rPr>
                <w:sz w:val="18"/>
                <w:szCs w:val="18"/>
              </w:rPr>
              <w:t>school education</w:t>
            </w:r>
          </w:p>
          <w:p w14:paraId="56AA16B9" w14:textId="127FF3FF" w:rsidR="00B75289" w:rsidRPr="00A055A5" w:rsidRDefault="00B75289" w:rsidP="005A13B0">
            <w:pPr>
              <w:pStyle w:val="ListBullet"/>
              <w:spacing w:line="260" w:lineRule="atLeast"/>
            </w:pPr>
            <w:r w:rsidRPr="00F15187">
              <w:rPr>
                <w:sz w:val="18"/>
                <w:szCs w:val="18"/>
              </w:rPr>
              <w:t>health and social services</w:t>
            </w:r>
          </w:p>
        </w:tc>
        <w:tc>
          <w:tcPr>
            <w:tcW w:w="0" w:type="auto"/>
            <w:tcBorders>
              <w:top w:val="nil"/>
              <w:bottom w:val="nil"/>
            </w:tcBorders>
            <w:shd w:val="clear" w:color="000000" w:fill="auto"/>
          </w:tcPr>
          <w:p w14:paraId="56368DAC" w14:textId="4A5A7AEC" w:rsidR="00B75289" w:rsidRPr="002A21FD" w:rsidRDefault="00B75289"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0.8</w:t>
            </w:r>
            <w:r w:rsidR="002613F9">
              <w:rPr>
                <w:rFonts w:ascii="Arial (Body)" w:hAnsi="Arial (Body)" w:cstheme="minorHAnsi"/>
                <w:color w:val="000000"/>
                <w:szCs w:val="18"/>
              </w:rPr>
              <w:t>%</w:t>
            </w:r>
          </w:p>
        </w:tc>
        <w:tc>
          <w:tcPr>
            <w:tcW w:w="0" w:type="auto"/>
            <w:tcBorders>
              <w:top w:val="nil"/>
              <w:bottom w:val="nil"/>
            </w:tcBorders>
            <w:shd w:val="clear" w:color="000000" w:fill="auto"/>
          </w:tcPr>
          <w:p w14:paraId="05E5F0DB" w14:textId="5D309FC5" w:rsidR="00B75289" w:rsidRPr="002A21FD" w:rsidRDefault="00B75289"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 xml:space="preserve">0.3 to </w:t>
            </w:r>
            <w:r>
              <w:rPr>
                <w:rFonts w:ascii="Arial (Body)" w:hAnsi="Arial (Body)" w:cstheme="minorHAnsi"/>
                <w:color w:val="000000"/>
                <w:szCs w:val="18"/>
              </w:rPr>
              <w:t>1</w:t>
            </w:r>
            <w:r w:rsidRPr="002A21FD">
              <w:rPr>
                <w:rFonts w:ascii="Arial (Body)" w:hAnsi="Arial (Body)" w:cstheme="minorHAnsi"/>
                <w:color w:val="000000"/>
                <w:szCs w:val="18"/>
              </w:rPr>
              <w:t>.6</w:t>
            </w:r>
            <w:r w:rsidR="002613F9">
              <w:rPr>
                <w:rFonts w:ascii="Arial (Body)" w:hAnsi="Arial (Body)" w:cstheme="minorHAnsi"/>
                <w:color w:val="000000"/>
                <w:szCs w:val="18"/>
              </w:rPr>
              <w:t>%</w:t>
            </w:r>
          </w:p>
        </w:tc>
        <w:tc>
          <w:tcPr>
            <w:tcW w:w="0" w:type="auto"/>
            <w:tcBorders>
              <w:top w:val="nil"/>
              <w:bottom w:val="nil"/>
            </w:tcBorders>
            <w:shd w:val="clear" w:color="000000" w:fill="auto"/>
          </w:tcPr>
          <w:p w14:paraId="6155AE37" w14:textId="4F338DE9" w:rsidR="00B75289" w:rsidRPr="00A055A5" w:rsidRDefault="00B75289" w:rsidP="005A13B0">
            <w:pPr>
              <w:pStyle w:val="TableBody"/>
              <w:spacing w:before="45" w:after="45" w:line="260" w:lineRule="atLeast"/>
              <w:ind w:right="108"/>
              <w:rPr>
                <w:rFonts w:ascii="Arial (Body)" w:hAnsi="Arial (Body)" w:cstheme="minorHAnsi"/>
                <w:color w:val="000000"/>
                <w:szCs w:val="18"/>
              </w:rPr>
            </w:pPr>
            <w:r w:rsidRPr="00A055A5">
              <w:rPr>
                <w:rFonts w:ascii="Arial (Body)" w:hAnsi="Arial (Body)" w:cstheme="minorHAnsi"/>
                <w:color w:val="000000"/>
                <w:szCs w:val="18"/>
              </w:rPr>
              <w:t xml:space="preserve">Based on a study </w:t>
            </w:r>
            <w:r w:rsidR="00671A80" w:rsidRPr="00671A80">
              <w:rPr>
                <w:rFonts w:ascii="Arial (Body)" w:hAnsi="Arial (Body)" w:cs="Times New Roman"/>
                <w:szCs w:val="24"/>
              </w:rPr>
              <w:t>(Bambalaite, Nicoletti and von Rueden 2020, p. 23)</w:t>
            </w:r>
            <w:r w:rsidRPr="00A055A5">
              <w:rPr>
                <w:rFonts w:ascii="Arial (Body)" w:hAnsi="Arial (Body)" w:cstheme="minorHAnsi"/>
                <w:color w:val="000000"/>
                <w:szCs w:val="18"/>
              </w:rPr>
              <w:t xml:space="preserve"> that found that a 1 unit reduction in an indicator measuring the stringency of occupational entry regulations improved labour productivity among 11</w:t>
            </w:r>
            <w:r w:rsidRPr="00A055A5">
              <w:rPr>
                <w:rFonts w:ascii="Arial (Body)" w:hAnsi="Arial (Body)" w:cstheme="minorHAnsi" w:hint="eastAsia"/>
                <w:color w:val="000000"/>
                <w:szCs w:val="18"/>
              </w:rPr>
              <w:t> </w:t>
            </w:r>
            <w:r w:rsidRPr="00A055A5">
              <w:rPr>
                <w:rFonts w:ascii="Arial (Body)" w:hAnsi="Arial (Body)" w:cstheme="minorHAnsi"/>
                <w:color w:val="000000"/>
                <w:szCs w:val="18"/>
              </w:rPr>
              <w:t>European countries by 1.6</w:t>
            </w:r>
            <w:r w:rsidR="002613F9">
              <w:rPr>
                <w:rFonts w:ascii="Arial (Body)" w:hAnsi="Arial (Body)" w:cstheme="minorHAnsi" w:hint="eastAsia"/>
                <w:color w:val="000000"/>
                <w:szCs w:val="18"/>
              </w:rPr>
              <w:t>%</w:t>
            </w:r>
            <w:r w:rsidRPr="00A055A5">
              <w:rPr>
                <w:rFonts w:ascii="Arial (Body)" w:hAnsi="Arial (Body)" w:cstheme="minorHAnsi"/>
                <w:color w:val="000000"/>
                <w:szCs w:val="18"/>
              </w:rPr>
              <w:t xml:space="preserve">. </w:t>
            </w:r>
            <w:r w:rsidRPr="002A21FD">
              <w:rPr>
                <w:rFonts w:ascii="Arial (Body)" w:hAnsi="Arial (Body)" w:cstheme="minorHAnsi"/>
                <w:color w:val="000000"/>
                <w:szCs w:val="18"/>
              </w:rPr>
              <w:t>For the simulation, a 0.5 unit reduction in stringency was assumed, which translates to a 0.8</w:t>
            </w:r>
            <w:r w:rsidR="002613F9">
              <w:rPr>
                <w:rFonts w:ascii="Arial (Body)" w:hAnsi="Arial (Body)" w:cstheme="minorHAnsi"/>
                <w:color w:val="000000"/>
                <w:szCs w:val="18"/>
              </w:rPr>
              <w:t>%</w:t>
            </w:r>
            <w:r w:rsidRPr="002A21FD">
              <w:rPr>
                <w:rFonts w:ascii="Arial (Body)" w:hAnsi="Arial (Body)" w:cstheme="minorHAnsi"/>
                <w:color w:val="000000"/>
                <w:szCs w:val="18"/>
              </w:rPr>
              <w:t xml:space="preserve"> increase in labour productivity. Relevant industries were selected based on those that were more likely to have occupational licensing requirements.</w:t>
            </w:r>
            <w:r>
              <w:rPr>
                <w:rFonts w:ascii="Arial (Body)" w:hAnsi="Arial (Body)" w:cstheme="minorHAnsi"/>
                <w:color w:val="000000"/>
                <w:szCs w:val="18"/>
              </w:rPr>
              <w:t xml:space="preserve"> </w:t>
            </w:r>
          </w:p>
        </w:tc>
      </w:tr>
      <w:tr w:rsidR="00B75289" w:rsidRPr="002A21FD" w14:paraId="688086BB" w14:textId="77777777" w:rsidTr="005A13B0">
        <w:tc>
          <w:tcPr>
            <w:tcW w:w="0" w:type="auto"/>
            <w:tcBorders>
              <w:top w:val="nil"/>
              <w:bottom w:val="single" w:sz="4" w:space="0" w:color="B3B3B3"/>
            </w:tcBorders>
            <w:shd w:val="clear" w:color="000000" w:fill="auto"/>
          </w:tcPr>
          <w:p w14:paraId="2DE6D61B" w14:textId="5EC0A071" w:rsidR="00B75289" w:rsidRPr="002A21FD" w:rsidRDefault="00B75289" w:rsidP="005A13B0">
            <w:pPr>
              <w:pStyle w:val="TableBody"/>
              <w:spacing w:before="45" w:after="45" w:line="260" w:lineRule="atLeast"/>
              <w:ind w:right="108"/>
              <w:rPr>
                <w:rFonts w:ascii="Arial (Body)" w:hAnsi="Arial (Body)" w:cstheme="minorHAnsi"/>
                <w:b/>
                <w:color w:val="265A9A"/>
                <w:szCs w:val="18"/>
              </w:rPr>
            </w:pPr>
            <w:r w:rsidRPr="004112B6">
              <w:rPr>
                <w:rFonts w:ascii="Arial (Body)" w:hAnsi="Arial (Body)"/>
                <w:b/>
                <w:i/>
                <w:iCs/>
                <w:color w:val="265A9A"/>
              </w:rPr>
              <w:t>A more productive labour market</w:t>
            </w:r>
            <w:r>
              <w:rPr>
                <w:rFonts w:ascii="Arial (Body)" w:hAnsi="Arial (Body)"/>
                <w:b/>
                <w:color w:val="265A9A"/>
              </w:rPr>
              <w:t>, appendix A</w:t>
            </w:r>
          </w:p>
        </w:tc>
        <w:tc>
          <w:tcPr>
            <w:tcW w:w="0" w:type="auto"/>
            <w:tcBorders>
              <w:top w:val="nil"/>
              <w:bottom w:val="single" w:sz="4" w:space="0" w:color="B3B3B3"/>
            </w:tcBorders>
            <w:shd w:val="clear" w:color="000000" w:fill="auto"/>
          </w:tcPr>
          <w:p w14:paraId="0BB09843" w14:textId="0E99B36B" w:rsidR="00B75289" w:rsidRPr="002A21FD" w:rsidRDefault="00B75289"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w:t>
            </w:r>
            <w:r>
              <w:rPr>
                <w:rFonts w:ascii="Arial (Body)" w:hAnsi="Arial (Body)" w:cstheme="minorHAnsi"/>
                <w:color w:val="000000"/>
                <w:szCs w:val="18"/>
              </w:rPr>
              <w:t>7</w:t>
            </w:r>
            <w:r w:rsidRPr="002A21FD">
              <w:rPr>
                <w:rFonts w:ascii="Arial (Body)" w:hAnsi="Arial (Body)" w:cstheme="minorHAnsi"/>
                <w:color w:val="000000"/>
                <w:szCs w:val="18"/>
              </w:rPr>
              <w:t>] Increasing the productivity of workers coming through permanent skilled migration by better matching the migration program to labour market needs</w:t>
            </w:r>
          </w:p>
        </w:tc>
        <w:tc>
          <w:tcPr>
            <w:tcW w:w="0" w:type="auto"/>
            <w:tcBorders>
              <w:top w:val="nil"/>
              <w:bottom w:val="single" w:sz="4" w:space="0" w:color="B3B3B3"/>
            </w:tcBorders>
            <w:shd w:val="clear" w:color="000000" w:fill="auto"/>
          </w:tcPr>
          <w:p w14:paraId="10CDFCA3" w14:textId="20615E8D" w:rsidR="00B75289" w:rsidRPr="002A21FD" w:rsidRDefault="00B75289"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Labour</w:t>
            </w:r>
            <w:r w:rsidR="004B308E">
              <w:rPr>
                <w:rFonts w:ascii="Arial (Body)" w:hAnsi="Arial (Body)" w:cstheme="minorHAnsi"/>
                <w:color w:val="000000"/>
                <w:szCs w:val="18"/>
              </w:rPr>
              <w:noBreakHyphen/>
            </w:r>
            <w:r w:rsidRPr="002A21FD">
              <w:rPr>
                <w:rFonts w:ascii="Arial (Body)" w:hAnsi="Arial (Body)" w:cstheme="minorHAnsi"/>
                <w:color w:val="000000"/>
                <w:szCs w:val="18"/>
              </w:rPr>
              <w:t xml:space="preserve">augmenting technical change parameters were increased for industries with </w:t>
            </w:r>
            <w:r>
              <w:rPr>
                <w:rFonts w:ascii="Arial (Body)" w:hAnsi="Arial (Body)" w:cstheme="minorHAnsi"/>
                <w:color w:val="000000"/>
                <w:szCs w:val="18"/>
              </w:rPr>
              <w:t xml:space="preserve">a </w:t>
            </w:r>
            <w:r w:rsidRPr="002A21FD">
              <w:rPr>
                <w:rFonts w:ascii="Arial (Body)" w:hAnsi="Arial (Body)" w:cstheme="minorHAnsi"/>
                <w:color w:val="000000"/>
                <w:szCs w:val="18"/>
              </w:rPr>
              <w:t>higher share of migrant workers</w:t>
            </w:r>
          </w:p>
        </w:tc>
        <w:tc>
          <w:tcPr>
            <w:tcW w:w="0" w:type="auto"/>
            <w:tcBorders>
              <w:top w:val="nil"/>
              <w:bottom w:val="single" w:sz="4" w:space="0" w:color="B3B3B3"/>
            </w:tcBorders>
            <w:shd w:val="clear" w:color="000000" w:fill="auto"/>
          </w:tcPr>
          <w:p w14:paraId="751D4F41" w14:textId="56B1B486" w:rsidR="00B75289" w:rsidRPr="002A21FD" w:rsidRDefault="00B75289"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0.1</w:t>
            </w:r>
            <w:r w:rsidR="002613F9">
              <w:rPr>
                <w:rFonts w:ascii="Arial (Body)" w:hAnsi="Arial (Body)" w:cstheme="minorHAnsi"/>
                <w:color w:val="000000"/>
                <w:szCs w:val="18"/>
              </w:rPr>
              <w:t>%</w:t>
            </w:r>
            <w:r w:rsidRPr="002A21FD">
              <w:rPr>
                <w:rFonts w:ascii="Arial (Body)" w:hAnsi="Arial (Body)" w:cstheme="minorHAnsi"/>
                <w:color w:val="000000"/>
                <w:szCs w:val="18"/>
              </w:rPr>
              <w:t xml:space="preserve"> (construction; retail trade; hospitality; school education; public administration; other services)</w:t>
            </w:r>
          </w:p>
          <w:p w14:paraId="73828D01" w14:textId="41BB914E" w:rsidR="00B75289" w:rsidRPr="002A21FD" w:rsidRDefault="00B75289"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0.2</w:t>
            </w:r>
            <w:r w:rsidR="002613F9">
              <w:rPr>
                <w:rFonts w:ascii="Arial (Body)" w:hAnsi="Arial (Body)" w:cstheme="minorHAnsi"/>
                <w:color w:val="000000"/>
                <w:szCs w:val="18"/>
              </w:rPr>
              <w:t>%</w:t>
            </w:r>
            <w:r w:rsidRPr="002A21FD">
              <w:rPr>
                <w:rFonts w:ascii="Arial (Body)" w:hAnsi="Arial (Body)" w:cstheme="minorHAnsi"/>
                <w:color w:val="000000"/>
                <w:szCs w:val="18"/>
              </w:rPr>
              <w:t xml:space="preserve"> (mining; other manufacturing; transport and wholesale; financial services; professional, scientific and technical </w:t>
            </w:r>
            <w:r w:rsidRPr="002A21FD">
              <w:rPr>
                <w:rFonts w:ascii="Arial (Body)" w:hAnsi="Arial (Body)" w:cstheme="minorHAnsi"/>
                <w:color w:val="000000"/>
                <w:szCs w:val="18"/>
              </w:rPr>
              <w:lastRenderedPageBreak/>
              <w:t>services; health and social services)</w:t>
            </w:r>
          </w:p>
          <w:p w14:paraId="7C36940B" w14:textId="10D10963" w:rsidR="00B75289" w:rsidRPr="002A21FD" w:rsidRDefault="00B75289"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0.3</w:t>
            </w:r>
            <w:r w:rsidR="002613F9">
              <w:rPr>
                <w:rFonts w:ascii="Arial (Body)" w:hAnsi="Arial (Body)" w:cstheme="minorHAnsi"/>
                <w:color w:val="000000"/>
                <w:szCs w:val="18"/>
              </w:rPr>
              <w:t>%</w:t>
            </w:r>
            <w:r w:rsidRPr="002A21FD">
              <w:rPr>
                <w:rFonts w:ascii="Arial (Body)" w:hAnsi="Arial (Body)" w:cstheme="minorHAnsi"/>
                <w:color w:val="000000"/>
                <w:szCs w:val="18"/>
              </w:rPr>
              <w:t xml:space="preserve"> (advanced manufacturing; technical, vocational and tertiary education) </w:t>
            </w:r>
          </w:p>
          <w:p w14:paraId="74B3B6CD" w14:textId="45CA9E3B" w:rsidR="00B75289" w:rsidRPr="002A21FD" w:rsidRDefault="00B75289"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0.6</w:t>
            </w:r>
            <w:r w:rsidR="002613F9">
              <w:rPr>
                <w:rFonts w:ascii="Arial (Body)" w:hAnsi="Arial (Body)" w:cstheme="minorHAnsi"/>
                <w:color w:val="000000"/>
                <w:szCs w:val="18"/>
              </w:rPr>
              <w:t>%</w:t>
            </w:r>
            <w:r w:rsidRPr="002A21FD">
              <w:rPr>
                <w:rFonts w:ascii="Arial (Body)" w:hAnsi="Arial (Body)" w:cstheme="minorHAnsi"/>
                <w:color w:val="000000"/>
                <w:szCs w:val="18"/>
              </w:rPr>
              <w:t xml:space="preserve"> (technology and telecommunications)</w:t>
            </w:r>
          </w:p>
        </w:tc>
        <w:tc>
          <w:tcPr>
            <w:tcW w:w="0" w:type="auto"/>
            <w:tcBorders>
              <w:top w:val="nil"/>
              <w:bottom w:val="single" w:sz="4" w:space="0" w:color="B3B3B3"/>
            </w:tcBorders>
            <w:shd w:val="clear" w:color="000000" w:fill="auto"/>
          </w:tcPr>
          <w:p w14:paraId="2D78BD20" w14:textId="31739010" w:rsidR="00B75289" w:rsidRPr="002A21FD" w:rsidRDefault="00B75289"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lastRenderedPageBreak/>
              <w:t>Scaled by 2</w:t>
            </w:r>
            <w:r w:rsidR="002613F9">
              <w:rPr>
                <w:rFonts w:ascii="Arial (Body)" w:hAnsi="Arial (Body)" w:cstheme="minorHAnsi"/>
                <w:color w:val="000000"/>
                <w:szCs w:val="18"/>
              </w:rPr>
              <w:t>%</w:t>
            </w:r>
            <w:r w:rsidRPr="002A21FD">
              <w:rPr>
                <w:rFonts w:ascii="Arial (Body)" w:hAnsi="Arial (Body)" w:cstheme="minorHAnsi"/>
                <w:color w:val="000000"/>
                <w:szCs w:val="18"/>
              </w:rPr>
              <w:t xml:space="preserve"> to 10</w:t>
            </w:r>
            <w:r w:rsidR="002613F9">
              <w:rPr>
                <w:rFonts w:ascii="Arial (Body)" w:hAnsi="Arial (Body)" w:cstheme="minorHAnsi"/>
                <w:color w:val="000000"/>
                <w:szCs w:val="18"/>
              </w:rPr>
              <w:t>%</w:t>
            </w:r>
            <w:r w:rsidRPr="002A21FD">
              <w:rPr>
                <w:rFonts w:ascii="Arial (Body)" w:hAnsi="Arial (Body)" w:cstheme="minorHAnsi"/>
                <w:color w:val="000000"/>
                <w:szCs w:val="18"/>
              </w:rPr>
              <w:t>, instead of 5</w:t>
            </w:r>
            <w:r w:rsidR="002613F9">
              <w:rPr>
                <w:rFonts w:ascii="Arial (Body)" w:hAnsi="Arial (Body)" w:cstheme="minorHAnsi"/>
                <w:color w:val="000000"/>
                <w:szCs w:val="18"/>
              </w:rPr>
              <w:t>%</w:t>
            </w:r>
            <w:r w:rsidRPr="002A21FD">
              <w:rPr>
                <w:rFonts w:ascii="Arial (Body)" w:hAnsi="Arial (Body)" w:cstheme="minorHAnsi"/>
                <w:color w:val="000000"/>
                <w:szCs w:val="18"/>
              </w:rPr>
              <w:t xml:space="preserve"> improvement in labour productivity of migrants</w:t>
            </w:r>
          </w:p>
        </w:tc>
        <w:tc>
          <w:tcPr>
            <w:tcW w:w="0" w:type="auto"/>
            <w:tcBorders>
              <w:top w:val="nil"/>
              <w:bottom w:val="single" w:sz="4" w:space="0" w:color="B3B3B3"/>
            </w:tcBorders>
            <w:shd w:val="clear" w:color="000000" w:fill="auto"/>
          </w:tcPr>
          <w:p w14:paraId="0BFC48C6" w14:textId="5D6007E2" w:rsidR="00B75289" w:rsidRPr="002A21FD" w:rsidRDefault="00B75289" w:rsidP="005A13B0">
            <w:pPr>
              <w:pStyle w:val="TableBody"/>
              <w:spacing w:before="45" w:after="45" w:line="260" w:lineRule="atLeast"/>
              <w:ind w:right="108"/>
              <w:rPr>
                <w:rFonts w:ascii="Arial (Body)" w:hAnsi="Arial (Body)" w:cstheme="minorHAnsi"/>
                <w:color w:val="000000"/>
                <w:szCs w:val="18"/>
              </w:rPr>
            </w:pPr>
            <w:r w:rsidRPr="002A21FD">
              <w:rPr>
                <w:rFonts w:ascii="Arial (Body)" w:hAnsi="Arial (Body)" w:cstheme="minorHAnsi"/>
                <w:color w:val="000000"/>
                <w:szCs w:val="18"/>
              </w:rPr>
              <w:t>For illustrative purposes, it was assumed that better matching of the migration program could increase the labour productivity of migrants by 5</w:t>
            </w:r>
            <w:r w:rsidR="002613F9">
              <w:rPr>
                <w:rFonts w:ascii="Arial (Body)" w:hAnsi="Arial (Body)" w:cstheme="minorHAnsi"/>
                <w:color w:val="000000"/>
                <w:szCs w:val="18"/>
              </w:rPr>
              <w:t>%</w:t>
            </w:r>
            <w:r w:rsidRPr="002A21FD">
              <w:rPr>
                <w:rFonts w:ascii="Arial (Body)" w:hAnsi="Arial (Body)" w:cstheme="minorHAnsi"/>
                <w:color w:val="000000"/>
                <w:szCs w:val="18"/>
              </w:rPr>
              <w:t xml:space="preserve">. </w:t>
            </w:r>
            <w:r w:rsidRPr="00A055A5">
              <w:rPr>
                <w:rFonts w:ascii="Arial (Body)" w:hAnsi="Arial (Body)" w:cstheme="minorHAnsi"/>
                <w:color w:val="000000"/>
                <w:szCs w:val="18"/>
              </w:rPr>
              <w:t xml:space="preserve">Census data of migrants </w:t>
            </w:r>
            <w:r w:rsidRPr="00A055A5">
              <w:rPr>
                <w:rFonts w:ascii="Arial (Body)" w:hAnsi="Arial (Body)" w:cs="Times New Roman"/>
                <w:color w:val="000000"/>
                <w:szCs w:val="24"/>
              </w:rPr>
              <w:t>(ABS 2016b, 2016a)</w:t>
            </w:r>
            <w:r w:rsidRPr="00A055A5">
              <w:rPr>
                <w:rFonts w:ascii="Arial (Body)" w:hAnsi="Arial (Body)" w:cstheme="minorHAnsi"/>
                <w:color w:val="000000"/>
                <w:szCs w:val="18"/>
              </w:rPr>
              <w:t xml:space="preserve"> was used to calculate the share of workers in each industry in 2016 who were primary applicants of permanent skilled visas, and who arrived in Australia between 2006 </w:t>
            </w:r>
            <w:r w:rsidRPr="00A055A5">
              <w:rPr>
                <w:rFonts w:ascii="Arial (Body)" w:hAnsi="Arial (Body)" w:cstheme="minorHAnsi"/>
                <w:color w:val="000000"/>
                <w:szCs w:val="18"/>
              </w:rPr>
              <w:lastRenderedPageBreak/>
              <w:t xml:space="preserve">and 2016. </w:t>
            </w:r>
            <w:r>
              <w:rPr>
                <w:rFonts w:ascii="Arial (Body)" w:hAnsi="Arial (Body)" w:cstheme="minorHAnsi"/>
                <w:color w:val="000000"/>
                <w:szCs w:val="18"/>
              </w:rPr>
              <w:t>Modelled shocks</w:t>
            </w:r>
            <w:r w:rsidRPr="002A21FD">
              <w:rPr>
                <w:rFonts w:ascii="Arial (Body)" w:hAnsi="Arial (Body)" w:cstheme="minorHAnsi"/>
                <w:color w:val="000000"/>
                <w:szCs w:val="18"/>
              </w:rPr>
              <w:t xml:space="preserve"> were </w:t>
            </w:r>
            <w:r>
              <w:rPr>
                <w:rFonts w:ascii="Arial (Body)" w:hAnsi="Arial (Body)" w:cstheme="minorHAnsi"/>
                <w:color w:val="000000"/>
                <w:szCs w:val="18"/>
              </w:rPr>
              <w:t>based on</w:t>
            </w:r>
            <w:r w:rsidRPr="002A21FD">
              <w:rPr>
                <w:rFonts w:ascii="Arial (Body)" w:hAnsi="Arial (Body)" w:cstheme="minorHAnsi"/>
                <w:color w:val="000000"/>
                <w:szCs w:val="18"/>
              </w:rPr>
              <w:t xml:space="preserve"> multiplying the migrant shares by the labour productivity change.</w:t>
            </w:r>
          </w:p>
        </w:tc>
      </w:tr>
    </w:tbl>
    <w:p w14:paraId="350F6AFB" w14:textId="77777777" w:rsidR="00D525B3" w:rsidRDefault="00D525B3">
      <w:pPr>
        <w:pStyle w:val="BodyText"/>
        <w:sectPr w:rsidR="00D525B3">
          <w:headerReference w:type="default" r:id="rId38"/>
          <w:footerReference w:type="default" r:id="rId39"/>
          <w:pgSz w:w="16838" w:h="11906" w:orient="landscape" w:code="9"/>
          <w:pgMar w:top="1134" w:right="1134" w:bottom="1134" w:left="1134" w:header="794" w:footer="510" w:gutter="0"/>
          <w:cols w:space="708"/>
          <w:docGrid w:linePitch="360"/>
        </w:sectPr>
      </w:pPr>
    </w:p>
    <w:p w14:paraId="7BB2C855" w14:textId="7BD77BE5" w:rsidR="00DD39EC" w:rsidRDefault="00FE699A" w:rsidP="001F47C9">
      <w:pPr>
        <w:pStyle w:val="Heading2"/>
      </w:pPr>
      <w:bookmarkStart w:id="23" w:name="_Toc126176833"/>
      <w:r>
        <w:lastRenderedPageBreak/>
        <w:t>Aggregate output variables</w:t>
      </w:r>
      <w:bookmarkEnd w:id="23"/>
    </w:p>
    <w:p w14:paraId="7CF9787C" w14:textId="349CC876" w:rsidR="00344A35" w:rsidRPr="003D2488" w:rsidRDefault="00344A35" w:rsidP="003D2488">
      <w:pPr>
        <w:pStyle w:val="BodyText"/>
      </w:pPr>
      <w:r w:rsidRPr="003D2488">
        <w:t xml:space="preserve">A range of aggregate outputs were calculated from the model results to analyse the overall effects of shocks. </w:t>
      </w:r>
      <w:r w:rsidR="00EA3963" w:rsidRPr="003D2488">
        <w:t>These o</w:t>
      </w:r>
      <w:r w:rsidRPr="003D2488">
        <w:t>utputs are at a whole</w:t>
      </w:r>
      <w:r w:rsidRPr="003D2488">
        <w:noBreakHyphen/>
        <w:t>of</w:t>
      </w:r>
      <w:r w:rsidRPr="003D2488">
        <w:noBreakHyphen/>
        <w:t>economy, industry and labour group</w:t>
      </w:r>
      <w:r w:rsidR="003010FE" w:rsidRPr="003D2488">
        <w:t xml:space="preserve"> (age, sex or education)</w:t>
      </w:r>
      <w:r w:rsidRPr="003D2488">
        <w:t xml:space="preserve"> level</w:t>
      </w:r>
      <w:r w:rsidR="00584579" w:rsidRPr="003D2488">
        <w:t xml:space="preserve">, and </w:t>
      </w:r>
      <w:r w:rsidRPr="003D2488">
        <w:t>are summarised in tables</w:t>
      </w:r>
      <w:r w:rsidR="004B308E">
        <w:t> </w:t>
      </w:r>
      <w:r w:rsidR="003D2488">
        <w:t>3.2</w:t>
      </w:r>
      <w:r w:rsidRPr="003D2488">
        <w:t xml:space="preserve"> and </w:t>
      </w:r>
      <w:r w:rsidR="003D2488">
        <w:t>3.3</w:t>
      </w:r>
      <w:r w:rsidRPr="003D2488">
        <w:t xml:space="preserve"> below. </w:t>
      </w:r>
      <w:r w:rsidR="00C76B7D" w:rsidRPr="003D2488">
        <w:t>D</w:t>
      </w:r>
      <w:r w:rsidRPr="003D2488">
        <w:t xml:space="preserve">etailed tables </w:t>
      </w:r>
      <w:r w:rsidR="00C76B7D" w:rsidRPr="003D2488">
        <w:t xml:space="preserve">containing these results </w:t>
      </w:r>
      <w:r w:rsidRPr="003D2488">
        <w:t xml:space="preserve">are available on the inquiry’s webpage. </w:t>
      </w:r>
    </w:p>
    <w:p w14:paraId="09903100" w14:textId="255D6D3D" w:rsidR="00344A35" w:rsidRDefault="00344A35" w:rsidP="00344A35">
      <w:pPr>
        <w:pStyle w:val="FigureTableHeading"/>
      </w:pPr>
      <w:r>
        <w:t>Table</w:t>
      </w:r>
      <w:r w:rsidR="004B308E">
        <w:t> </w:t>
      </w:r>
      <w:r w:rsidR="002C02F7">
        <w:t>3</w:t>
      </w:r>
      <w:r w:rsidR="003D2488">
        <w:rPr>
          <w:noProof/>
        </w:rPr>
        <w:t>.2</w:t>
      </w:r>
      <w:r>
        <w:rPr>
          <w:noProof/>
        </w:rPr>
        <w:t xml:space="preserve"> –</w:t>
      </w:r>
      <w:r>
        <w:t xml:space="preserve"> Whole</w:t>
      </w:r>
      <w:r>
        <w:noBreakHyphen/>
        <w:t>of</w:t>
      </w:r>
      <w:r>
        <w:noBreakHyphen/>
        <w:t>economy outputs</w:t>
      </w:r>
    </w:p>
    <w:tbl>
      <w:tblPr>
        <w:tblW w:w="963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474"/>
        <w:gridCol w:w="8164"/>
      </w:tblGrid>
      <w:tr w:rsidR="00344A35" w:rsidRPr="00030C67" w14:paraId="084631E2" w14:textId="77777777" w:rsidTr="00343992">
        <w:trPr>
          <w:trHeight w:val="353"/>
          <w:tblHeader/>
        </w:trPr>
        <w:tc>
          <w:tcPr>
            <w:tcW w:w="1474" w:type="dxa"/>
            <w:tcBorders>
              <w:bottom w:val="single" w:sz="4" w:space="0" w:color="B3B3B3"/>
            </w:tcBorders>
            <w:shd w:val="clear" w:color="000000" w:fill="auto"/>
            <w:vAlign w:val="bottom"/>
          </w:tcPr>
          <w:p w14:paraId="7BB47B87" w14:textId="13E937A4" w:rsidR="00344A35" w:rsidRPr="00343992" w:rsidRDefault="00344A35" w:rsidP="00343992">
            <w:pPr>
              <w:spacing w:before="45" w:after="45"/>
              <w:ind w:left="57" w:right="108"/>
              <w:rPr>
                <w:rFonts w:ascii="Arial (Body)" w:hAnsi="Arial (Body)"/>
                <w:b/>
                <w:color w:val="265A9A"/>
                <w:sz w:val="18"/>
              </w:rPr>
            </w:pPr>
          </w:p>
        </w:tc>
        <w:tc>
          <w:tcPr>
            <w:tcW w:w="8164" w:type="dxa"/>
            <w:tcBorders>
              <w:bottom w:val="single" w:sz="4" w:space="0" w:color="B3B3B3"/>
            </w:tcBorders>
            <w:shd w:val="clear" w:color="000000" w:fill="auto"/>
            <w:vAlign w:val="bottom"/>
          </w:tcPr>
          <w:p w14:paraId="55F3E287" w14:textId="3DC4B8B9" w:rsidR="00344A35" w:rsidRPr="00343992" w:rsidRDefault="001424E4" w:rsidP="00343992">
            <w:pPr>
              <w:pStyle w:val="TableHeading"/>
              <w:spacing w:before="45" w:after="45"/>
              <w:ind w:right="108"/>
              <w:rPr>
                <w:rFonts w:ascii="Arial (Body)" w:hAnsi="Arial (Body)"/>
                <w:color w:val="265A9A"/>
              </w:rPr>
            </w:pPr>
            <w:r>
              <w:rPr>
                <w:rFonts w:ascii="Arial (Body)" w:hAnsi="Arial (Body)"/>
                <w:color w:val="265A9A"/>
              </w:rPr>
              <w:t>Variable</w:t>
            </w:r>
            <w:r>
              <w:rPr>
                <w:rFonts w:ascii="Arial (Body)" w:hAnsi="Arial (Body)"/>
                <w:color w:val="265A9A"/>
                <w:vertAlign w:val="superscript"/>
              </w:rPr>
              <w:t>a</w:t>
            </w:r>
          </w:p>
        </w:tc>
      </w:tr>
      <w:tr w:rsidR="00344A35" w:rsidRPr="00030C67" w14:paraId="7DC75C0A" w14:textId="77777777" w:rsidTr="00343992">
        <w:trPr>
          <w:trHeight w:val="438"/>
        </w:trPr>
        <w:tc>
          <w:tcPr>
            <w:tcW w:w="1474" w:type="dxa"/>
            <w:tcBorders>
              <w:top w:val="single" w:sz="4" w:space="0" w:color="B3B3B3"/>
              <w:bottom w:val="nil"/>
            </w:tcBorders>
            <w:shd w:val="clear" w:color="000000" w:fill="F2F2F2"/>
          </w:tcPr>
          <w:p w14:paraId="07F4609B" w14:textId="107DA75E" w:rsidR="00344A35" w:rsidRPr="00343992" w:rsidRDefault="00AF37DE" w:rsidP="00343992">
            <w:pPr>
              <w:pStyle w:val="TableBody"/>
              <w:spacing w:before="45" w:after="45"/>
              <w:ind w:right="108"/>
              <w:rPr>
                <w:rFonts w:ascii="Arial (Body)" w:hAnsi="Arial (Body)"/>
                <w:b/>
                <w:color w:val="265A9A"/>
              </w:rPr>
            </w:pPr>
            <w:r w:rsidRPr="00343992">
              <w:rPr>
                <w:rFonts w:ascii="Arial (Body)" w:hAnsi="Arial (Body)"/>
                <w:b/>
                <w:color w:val="265A9A"/>
              </w:rPr>
              <w:t>Output and expenditure</w:t>
            </w:r>
          </w:p>
        </w:tc>
        <w:tc>
          <w:tcPr>
            <w:tcW w:w="8164" w:type="dxa"/>
            <w:tcBorders>
              <w:top w:val="single" w:sz="4" w:space="0" w:color="B3B3B3"/>
              <w:bottom w:val="nil"/>
            </w:tcBorders>
            <w:shd w:val="clear" w:color="000000" w:fill="F2F2F2"/>
          </w:tcPr>
          <w:p w14:paraId="1854CB80" w14:textId="77777777" w:rsidR="007805E0" w:rsidRDefault="007805E0" w:rsidP="00343992">
            <w:pPr>
              <w:pStyle w:val="TableBody"/>
              <w:spacing w:before="45" w:after="45"/>
              <w:ind w:right="108"/>
              <w:rPr>
                <w:rFonts w:ascii="Arial (Body)" w:hAnsi="Arial (Body)"/>
                <w:color w:val="000000"/>
              </w:rPr>
            </w:pPr>
            <w:r>
              <w:rPr>
                <w:rFonts w:ascii="Arial (Body)" w:hAnsi="Arial (Body)"/>
                <w:color w:val="000000"/>
              </w:rPr>
              <w:t xml:space="preserve">Nominal </w:t>
            </w:r>
            <w:r w:rsidR="00344A35" w:rsidRPr="00343992">
              <w:rPr>
                <w:rFonts w:ascii="Arial (Body)" w:hAnsi="Arial (Body)"/>
                <w:color w:val="000000"/>
              </w:rPr>
              <w:t xml:space="preserve">GDP </w:t>
            </w:r>
          </w:p>
          <w:p w14:paraId="452AC1F2" w14:textId="452B367E" w:rsidR="00344A35" w:rsidRPr="00343992" w:rsidRDefault="007805E0" w:rsidP="00343992">
            <w:pPr>
              <w:pStyle w:val="TableBody"/>
              <w:spacing w:before="45" w:after="45"/>
              <w:ind w:right="108"/>
              <w:rPr>
                <w:rFonts w:ascii="Arial (Body)" w:hAnsi="Arial (Body)"/>
                <w:color w:val="000000"/>
              </w:rPr>
            </w:pPr>
            <w:r>
              <w:rPr>
                <w:rFonts w:ascii="Arial (Body)" w:hAnsi="Arial (Body)"/>
                <w:color w:val="000000"/>
              </w:rPr>
              <w:t>Real GDP</w:t>
            </w:r>
          </w:p>
          <w:p w14:paraId="145F3E21" w14:textId="77777777" w:rsidR="00344A35" w:rsidRPr="00343992" w:rsidRDefault="00344A35" w:rsidP="00343992">
            <w:pPr>
              <w:pStyle w:val="TableBody"/>
              <w:spacing w:before="45" w:after="45"/>
              <w:ind w:right="108"/>
              <w:rPr>
                <w:rFonts w:ascii="Arial (Body)" w:hAnsi="Arial (Body)"/>
                <w:color w:val="000000"/>
              </w:rPr>
            </w:pPr>
            <w:r w:rsidRPr="00343992">
              <w:rPr>
                <w:rFonts w:ascii="Arial (Body)" w:hAnsi="Arial (Body)"/>
                <w:color w:val="000000"/>
              </w:rPr>
              <w:t>Real gross national income (GNI)</w:t>
            </w:r>
          </w:p>
          <w:p w14:paraId="24DF29F8" w14:textId="77777777" w:rsidR="00344A35" w:rsidRPr="00343992" w:rsidRDefault="00344A35" w:rsidP="00343992">
            <w:pPr>
              <w:pStyle w:val="TableBody"/>
              <w:spacing w:before="45" w:after="45"/>
              <w:ind w:right="108"/>
              <w:rPr>
                <w:rFonts w:ascii="Arial (Body)" w:hAnsi="Arial (Body)"/>
                <w:color w:val="000000"/>
              </w:rPr>
            </w:pPr>
            <w:r w:rsidRPr="00343992">
              <w:rPr>
                <w:rFonts w:ascii="Arial (Body)" w:hAnsi="Arial (Body)"/>
                <w:color w:val="000000"/>
              </w:rPr>
              <w:t>Real consumption</w:t>
            </w:r>
          </w:p>
          <w:p w14:paraId="2059C87E" w14:textId="77777777" w:rsidR="00344A35" w:rsidRPr="00343992" w:rsidRDefault="00344A35" w:rsidP="00343992">
            <w:pPr>
              <w:pStyle w:val="TableBody"/>
              <w:spacing w:before="45" w:after="45"/>
              <w:ind w:right="108"/>
              <w:rPr>
                <w:rFonts w:ascii="Arial (Body)" w:hAnsi="Arial (Body)"/>
                <w:color w:val="000000"/>
              </w:rPr>
            </w:pPr>
            <w:r w:rsidRPr="00343992">
              <w:rPr>
                <w:rFonts w:ascii="Arial (Body)" w:hAnsi="Arial (Body)"/>
                <w:color w:val="000000"/>
              </w:rPr>
              <w:t>Real investment</w:t>
            </w:r>
          </w:p>
          <w:p w14:paraId="2F6D427F" w14:textId="77777777" w:rsidR="00344A35" w:rsidRPr="00343992" w:rsidRDefault="00344A35" w:rsidP="00343992">
            <w:pPr>
              <w:pStyle w:val="TableBody"/>
              <w:spacing w:before="45" w:after="45"/>
              <w:ind w:right="108"/>
              <w:rPr>
                <w:rFonts w:ascii="Arial (Body)" w:hAnsi="Arial (Body)"/>
                <w:color w:val="000000"/>
              </w:rPr>
            </w:pPr>
            <w:r w:rsidRPr="00343992">
              <w:rPr>
                <w:rFonts w:ascii="Arial (Body)" w:hAnsi="Arial (Body)"/>
                <w:color w:val="000000"/>
              </w:rPr>
              <w:t>Real government expenditure</w:t>
            </w:r>
          </w:p>
          <w:p w14:paraId="0D9CC8DF" w14:textId="77777777" w:rsidR="00344A35" w:rsidRPr="00343992" w:rsidRDefault="00344A35" w:rsidP="00343992">
            <w:pPr>
              <w:pStyle w:val="TableBody"/>
              <w:spacing w:before="45" w:after="45"/>
              <w:ind w:right="108"/>
              <w:rPr>
                <w:rFonts w:ascii="Arial (Body)" w:hAnsi="Arial (Body)"/>
                <w:color w:val="000000"/>
              </w:rPr>
            </w:pPr>
            <w:r w:rsidRPr="00343992">
              <w:rPr>
                <w:rFonts w:ascii="Arial (Body)" w:hAnsi="Arial (Body)"/>
                <w:color w:val="000000"/>
              </w:rPr>
              <w:t>Real exports</w:t>
            </w:r>
          </w:p>
          <w:p w14:paraId="52D2D878" w14:textId="77777777" w:rsidR="00344A35" w:rsidRPr="00343992" w:rsidRDefault="00344A35" w:rsidP="00343992">
            <w:pPr>
              <w:pStyle w:val="TableBody"/>
              <w:spacing w:before="45" w:after="45"/>
              <w:ind w:right="108"/>
              <w:rPr>
                <w:rFonts w:ascii="Arial (Body)" w:hAnsi="Arial (Body)"/>
                <w:color w:val="000000"/>
              </w:rPr>
            </w:pPr>
            <w:r w:rsidRPr="00343992">
              <w:rPr>
                <w:rFonts w:ascii="Arial (Body)" w:hAnsi="Arial (Body)"/>
                <w:color w:val="000000"/>
              </w:rPr>
              <w:t>Real imports</w:t>
            </w:r>
          </w:p>
        </w:tc>
      </w:tr>
      <w:tr w:rsidR="00344A35" w:rsidRPr="00030C67" w14:paraId="2005C36D" w14:textId="77777777" w:rsidTr="00343992">
        <w:trPr>
          <w:trHeight w:val="357"/>
        </w:trPr>
        <w:tc>
          <w:tcPr>
            <w:tcW w:w="1474" w:type="dxa"/>
            <w:tcBorders>
              <w:top w:val="nil"/>
              <w:bottom w:val="nil"/>
            </w:tcBorders>
            <w:shd w:val="clear" w:color="000000" w:fill="auto"/>
          </w:tcPr>
          <w:p w14:paraId="6422F3C7" w14:textId="0AE0EDD7" w:rsidR="00344A35" w:rsidRPr="00343992" w:rsidRDefault="00344A35" w:rsidP="00343992">
            <w:pPr>
              <w:pStyle w:val="TableBody"/>
              <w:spacing w:before="45" w:after="45"/>
              <w:ind w:right="108"/>
              <w:rPr>
                <w:rFonts w:ascii="Arial (Body)" w:hAnsi="Arial (Body)"/>
                <w:b/>
                <w:color w:val="265A9A"/>
              </w:rPr>
            </w:pPr>
            <w:r w:rsidRPr="00343992">
              <w:rPr>
                <w:rFonts w:ascii="Arial (Body)" w:hAnsi="Arial (Body)"/>
                <w:b/>
                <w:color w:val="265A9A"/>
              </w:rPr>
              <w:t>Prices</w:t>
            </w:r>
            <w:r w:rsidR="009C22CA">
              <w:rPr>
                <w:rFonts w:ascii="Arial (Body)" w:hAnsi="Arial (Body)"/>
                <w:b/>
                <w:color w:val="265A9A"/>
                <w:vertAlign w:val="superscript"/>
              </w:rPr>
              <w:t>b</w:t>
            </w:r>
            <w:r w:rsidR="001E1F02">
              <w:rPr>
                <w:rFonts w:ascii="Arial (Body)" w:hAnsi="Arial (Body)"/>
                <w:b/>
                <w:color w:val="265A9A"/>
              </w:rPr>
              <w:t xml:space="preserve"> </w:t>
            </w:r>
          </w:p>
        </w:tc>
        <w:tc>
          <w:tcPr>
            <w:tcW w:w="8164" w:type="dxa"/>
            <w:tcBorders>
              <w:top w:val="nil"/>
              <w:bottom w:val="nil"/>
            </w:tcBorders>
            <w:shd w:val="clear" w:color="000000" w:fill="auto"/>
          </w:tcPr>
          <w:p w14:paraId="2BEEF4C8" w14:textId="77777777" w:rsidR="00344A35" w:rsidRDefault="00344A35" w:rsidP="00343992">
            <w:pPr>
              <w:pStyle w:val="TableBody"/>
              <w:spacing w:before="45" w:after="45"/>
              <w:ind w:right="108"/>
              <w:rPr>
                <w:rFonts w:ascii="Arial (Body)" w:hAnsi="Arial (Body)"/>
                <w:color w:val="000000"/>
              </w:rPr>
            </w:pPr>
            <w:r w:rsidRPr="00343992">
              <w:rPr>
                <w:rFonts w:ascii="Arial (Body)" w:hAnsi="Arial (Body)"/>
                <w:color w:val="000000"/>
              </w:rPr>
              <w:t>GDP price deflator</w:t>
            </w:r>
          </w:p>
          <w:p w14:paraId="2A5A6446" w14:textId="79B3CA54" w:rsidR="002806D9" w:rsidRDefault="002806D9" w:rsidP="00343992">
            <w:pPr>
              <w:pStyle w:val="TableBody"/>
              <w:spacing w:before="45" w:after="45"/>
              <w:ind w:right="108"/>
              <w:rPr>
                <w:rFonts w:ascii="Arial (Body)" w:hAnsi="Arial (Body)"/>
                <w:color w:val="000000"/>
              </w:rPr>
            </w:pPr>
            <w:r>
              <w:rPr>
                <w:rFonts w:ascii="Arial (Body)" w:hAnsi="Arial (Body)"/>
                <w:color w:val="000000"/>
              </w:rPr>
              <w:t>Consumption price deflator</w:t>
            </w:r>
          </w:p>
          <w:p w14:paraId="2018203C" w14:textId="514C250F" w:rsidR="002806D9" w:rsidRDefault="002806D9" w:rsidP="00343992">
            <w:pPr>
              <w:pStyle w:val="TableBody"/>
              <w:spacing w:before="45" w:after="45"/>
              <w:ind w:right="108"/>
              <w:rPr>
                <w:rFonts w:ascii="Arial (Body)" w:hAnsi="Arial (Body)"/>
                <w:color w:val="000000"/>
              </w:rPr>
            </w:pPr>
            <w:r>
              <w:rPr>
                <w:rFonts w:ascii="Arial (Body)" w:hAnsi="Arial (Body)"/>
                <w:color w:val="000000"/>
              </w:rPr>
              <w:t>Investment price deflator</w:t>
            </w:r>
          </w:p>
          <w:p w14:paraId="6F01DC01" w14:textId="1EB4275B" w:rsidR="002806D9" w:rsidRDefault="002806D9" w:rsidP="00343992">
            <w:pPr>
              <w:pStyle w:val="TableBody"/>
              <w:spacing w:before="45" w:after="45"/>
              <w:ind w:right="108"/>
              <w:rPr>
                <w:rFonts w:ascii="Arial (Body)" w:hAnsi="Arial (Body)"/>
                <w:color w:val="000000"/>
              </w:rPr>
            </w:pPr>
            <w:r>
              <w:rPr>
                <w:rFonts w:ascii="Arial (Body)" w:hAnsi="Arial (Body)"/>
                <w:color w:val="000000"/>
              </w:rPr>
              <w:t>Government price deflator</w:t>
            </w:r>
          </w:p>
          <w:p w14:paraId="1A35BA4F" w14:textId="38CD1184" w:rsidR="002806D9" w:rsidRDefault="002806D9" w:rsidP="00343992">
            <w:pPr>
              <w:pStyle w:val="TableBody"/>
              <w:spacing w:before="45" w:after="45"/>
              <w:ind w:right="108"/>
              <w:rPr>
                <w:rFonts w:ascii="Arial (Body)" w:hAnsi="Arial (Body)"/>
                <w:color w:val="000000"/>
              </w:rPr>
            </w:pPr>
            <w:r>
              <w:rPr>
                <w:rFonts w:ascii="Arial (Body)" w:hAnsi="Arial (Body)"/>
                <w:color w:val="000000"/>
              </w:rPr>
              <w:t>Export price deflator</w:t>
            </w:r>
          </w:p>
          <w:p w14:paraId="4EC5A2A5" w14:textId="1D52F9B1" w:rsidR="002806D9" w:rsidRPr="00343992" w:rsidRDefault="002806D9" w:rsidP="00343992">
            <w:pPr>
              <w:pStyle w:val="TableBody"/>
              <w:spacing w:before="45" w:after="45"/>
              <w:ind w:right="108"/>
              <w:rPr>
                <w:rFonts w:ascii="Arial (Body)" w:hAnsi="Arial (Body)"/>
                <w:color w:val="000000"/>
              </w:rPr>
            </w:pPr>
            <w:r>
              <w:rPr>
                <w:rFonts w:ascii="Arial (Body)" w:hAnsi="Arial (Body)"/>
                <w:color w:val="000000"/>
              </w:rPr>
              <w:t xml:space="preserve">Import price deflator </w:t>
            </w:r>
          </w:p>
          <w:p w14:paraId="09316E2F" w14:textId="3BC4E996" w:rsidR="00344A35" w:rsidRPr="00343992" w:rsidRDefault="00344A35" w:rsidP="00343992">
            <w:pPr>
              <w:pStyle w:val="TableBody"/>
              <w:spacing w:before="45" w:after="45"/>
              <w:ind w:right="108"/>
              <w:rPr>
                <w:rFonts w:ascii="Arial (Body)" w:hAnsi="Arial (Body)"/>
                <w:color w:val="000000"/>
              </w:rPr>
            </w:pPr>
            <w:r w:rsidRPr="00343992">
              <w:rPr>
                <w:rFonts w:ascii="Arial (Body)" w:hAnsi="Arial (Body)"/>
                <w:color w:val="000000"/>
              </w:rPr>
              <w:t>Real consumer wage</w:t>
            </w:r>
            <w:r w:rsidR="003214C3">
              <w:rPr>
                <w:rFonts w:ascii="Arial (Body)" w:hAnsi="Arial (Body)"/>
                <w:color w:val="000000"/>
              </w:rPr>
              <w:t xml:space="preserve"> (relative to CPI)</w:t>
            </w:r>
          </w:p>
          <w:p w14:paraId="2F20667E" w14:textId="77A93C5C" w:rsidR="009C22CA" w:rsidRDefault="00344A35" w:rsidP="00C76B7D">
            <w:pPr>
              <w:pStyle w:val="TableBody"/>
              <w:spacing w:before="45" w:after="45"/>
              <w:ind w:right="108"/>
              <w:rPr>
                <w:rFonts w:ascii="Arial (Body)" w:hAnsi="Arial (Body)"/>
                <w:color w:val="000000"/>
              </w:rPr>
            </w:pPr>
            <w:r w:rsidRPr="00343992">
              <w:rPr>
                <w:rFonts w:ascii="Arial (Body)" w:hAnsi="Arial (Body)"/>
                <w:color w:val="000000"/>
              </w:rPr>
              <w:t>Real producer wage</w:t>
            </w:r>
            <w:r w:rsidR="003214C3">
              <w:rPr>
                <w:rFonts w:ascii="Arial (Body)" w:hAnsi="Arial (Body)"/>
                <w:color w:val="000000"/>
              </w:rPr>
              <w:t xml:space="preserve"> (relative to GDP</w:t>
            </w:r>
            <w:r w:rsidR="00343600">
              <w:rPr>
                <w:rFonts w:ascii="Arial (Body)" w:hAnsi="Arial (Body)"/>
                <w:color w:val="000000"/>
              </w:rPr>
              <w:t xml:space="preserve"> price deflator</w:t>
            </w:r>
            <w:r w:rsidR="003214C3">
              <w:rPr>
                <w:rFonts w:ascii="Arial (Body)" w:hAnsi="Arial (Body)"/>
                <w:color w:val="000000"/>
              </w:rPr>
              <w:t>)</w:t>
            </w:r>
          </w:p>
          <w:p w14:paraId="594DFD93" w14:textId="036AFEE7" w:rsidR="002247CE" w:rsidRPr="00343992" w:rsidRDefault="00344A35" w:rsidP="000C7E18">
            <w:pPr>
              <w:pStyle w:val="TableBody"/>
              <w:spacing w:before="45" w:after="45"/>
              <w:ind w:right="108"/>
              <w:rPr>
                <w:rFonts w:ascii="Arial (Body)" w:hAnsi="Arial (Body)"/>
                <w:color w:val="000000"/>
              </w:rPr>
            </w:pPr>
            <w:r w:rsidRPr="00343992" w:rsidDel="00695F6B">
              <w:rPr>
                <w:rFonts w:ascii="Arial (Body)" w:hAnsi="Arial (Body)"/>
                <w:color w:val="000000"/>
              </w:rPr>
              <w:t xml:space="preserve">Real </w:t>
            </w:r>
            <w:r w:rsidR="00DE4BFC">
              <w:rPr>
                <w:rFonts w:ascii="Arial (Body)" w:hAnsi="Arial (Body)"/>
                <w:color w:val="000000"/>
              </w:rPr>
              <w:t xml:space="preserve">consumer </w:t>
            </w:r>
            <w:r w:rsidRPr="00343992" w:rsidDel="00695F6B">
              <w:rPr>
                <w:rFonts w:ascii="Arial (Body)" w:hAnsi="Arial (Body)"/>
                <w:color w:val="000000"/>
              </w:rPr>
              <w:t>capital rental rate</w:t>
            </w:r>
          </w:p>
        </w:tc>
      </w:tr>
      <w:tr w:rsidR="00344A35" w:rsidRPr="00030C67" w14:paraId="3B07EFEB" w14:textId="77777777" w:rsidTr="00343992">
        <w:trPr>
          <w:trHeight w:val="357"/>
        </w:trPr>
        <w:tc>
          <w:tcPr>
            <w:tcW w:w="1474" w:type="dxa"/>
            <w:tcBorders>
              <w:bottom w:val="nil"/>
            </w:tcBorders>
            <w:shd w:val="clear" w:color="000000" w:fill="F2F2F2"/>
          </w:tcPr>
          <w:p w14:paraId="1826E9F7" w14:textId="77777777" w:rsidR="00344A35" w:rsidRPr="00343992" w:rsidRDefault="00344A35" w:rsidP="00343992">
            <w:pPr>
              <w:pStyle w:val="TableBody"/>
              <w:spacing w:before="45" w:after="45"/>
              <w:ind w:right="108"/>
              <w:rPr>
                <w:rFonts w:ascii="Arial (Body)" w:hAnsi="Arial (Body)"/>
                <w:b/>
                <w:color w:val="265A9A"/>
              </w:rPr>
            </w:pPr>
            <w:r w:rsidRPr="00343992">
              <w:rPr>
                <w:rFonts w:ascii="Arial (Body)" w:hAnsi="Arial (Body)"/>
                <w:b/>
                <w:color w:val="265A9A"/>
              </w:rPr>
              <w:t>Factors of production</w:t>
            </w:r>
          </w:p>
        </w:tc>
        <w:tc>
          <w:tcPr>
            <w:tcW w:w="8164" w:type="dxa"/>
            <w:tcBorders>
              <w:bottom w:val="nil"/>
            </w:tcBorders>
            <w:shd w:val="clear" w:color="000000" w:fill="F2F2F2"/>
          </w:tcPr>
          <w:p w14:paraId="2A21DC69" w14:textId="77777777" w:rsidR="009A5D5D" w:rsidRPr="00343992" w:rsidRDefault="009A5D5D" w:rsidP="009A5D5D">
            <w:pPr>
              <w:pStyle w:val="TableBody"/>
              <w:spacing w:before="45" w:after="45"/>
              <w:ind w:right="108"/>
              <w:rPr>
                <w:rFonts w:ascii="Arial (Body)" w:hAnsi="Arial (Body)"/>
                <w:color w:val="000000"/>
              </w:rPr>
            </w:pPr>
            <w:r w:rsidRPr="00343992">
              <w:rPr>
                <w:rFonts w:ascii="Arial (Body)" w:hAnsi="Arial (Body)"/>
                <w:color w:val="000000"/>
              </w:rPr>
              <w:t xml:space="preserve">Capital stock </w:t>
            </w:r>
          </w:p>
          <w:p w14:paraId="27EA7981" w14:textId="204667E1" w:rsidR="00344A35" w:rsidRPr="00343992" w:rsidRDefault="00262AB4" w:rsidP="00343992">
            <w:pPr>
              <w:pStyle w:val="TableBody"/>
              <w:spacing w:before="45" w:after="45"/>
              <w:ind w:right="108"/>
              <w:rPr>
                <w:rFonts w:ascii="Arial (Body)" w:hAnsi="Arial (Body)"/>
                <w:color w:val="000000"/>
              </w:rPr>
            </w:pPr>
            <w:r>
              <w:rPr>
                <w:rFonts w:ascii="Arial (Body)" w:hAnsi="Arial (Body)"/>
                <w:color w:val="000000"/>
              </w:rPr>
              <w:t>Total h</w:t>
            </w:r>
            <w:r w:rsidR="00344A35" w:rsidRPr="00343992">
              <w:rPr>
                <w:rFonts w:ascii="Arial (Body)" w:hAnsi="Arial (Body)"/>
                <w:color w:val="000000"/>
              </w:rPr>
              <w:t xml:space="preserve">ours worked </w:t>
            </w:r>
          </w:p>
          <w:p w14:paraId="7500CEBC" w14:textId="1F1A8087" w:rsidR="00344A35" w:rsidRPr="00343992" w:rsidRDefault="00344A35" w:rsidP="00343992">
            <w:pPr>
              <w:pStyle w:val="TableBody"/>
              <w:spacing w:before="45" w:after="45"/>
              <w:ind w:right="108"/>
              <w:rPr>
                <w:rFonts w:ascii="Arial (Body)" w:hAnsi="Arial (Body)"/>
                <w:color w:val="000000"/>
              </w:rPr>
            </w:pPr>
            <w:r w:rsidRPr="00343992">
              <w:rPr>
                <w:rFonts w:ascii="Arial (Body)" w:hAnsi="Arial (Body)"/>
                <w:color w:val="000000"/>
              </w:rPr>
              <w:t xml:space="preserve">Labour productivity </w:t>
            </w:r>
          </w:p>
        </w:tc>
      </w:tr>
      <w:tr w:rsidR="00344A35" w:rsidRPr="00030C67" w14:paraId="325B85E4" w14:textId="77777777" w:rsidTr="00343992">
        <w:tc>
          <w:tcPr>
            <w:tcW w:w="1474" w:type="dxa"/>
            <w:tcBorders>
              <w:top w:val="nil"/>
              <w:bottom w:val="nil"/>
            </w:tcBorders>
            <w:shd w:val="clear" w:color="000000" w:fill="auto"/>
          </w:tcPr>
          <w:p w14:paraId="3A8BDA52" w14:textId="490E0924" w:rsidR="00344A35" w:rsidRPr="00343992" w:rsidRDefault="00343992" w:rsidP="00343992">
            <w:pPr>
              <w:pStyle w:val="TableBody"/>
              <w:spacing w:before="45" w:after="45"/>
              <w:ind w:right="108"/>
              <w:rPr>
                <w:rFonts w:ascii="Arial (Body)" w:hAnsi="Arial (Body)"/>
                <w:b/>
                <w:color w:val="265A9A"/>
              </w:rPr>
            </w:pPr>
            <w:r w:rsidRPr="00343992">
              <w:rPr>
                <w:rFonts w:ascii="Arial (Body)" w:hAnsi="Arial (Body)"/>
                <w:b/>
                <w:color w:val="265A9A"/>
              </w:rPr>
              <w:t>Household wellbeing</w:t>
            </w:r>
          </w:p>
        </w:tc>
        <w:tc>
          <w:tcPr>
            <w:tcW w:w="8164" w:type="dxa"/>
            <w:tcBorders>
              <w:top w:val="nil"/>
              <w:bottom w:val="nil"/>
            </w:tcBorders>
            <w:shd w:val="clear" w:color="000000" w:fill="auto"/>
          </w:tcPr>
          <w:p w14:paraId="22434E5D" w14:textId="4A35B007" w:rsidR="00344A35" w:rsidRPr="00343992" w:rsidRDefault="00344A35" w:rsidP="00343992">
            <w:pPr>
              <w:pStyle w:val="TableBody"/>
              <w:spacing w:before="45" w:after="45"/>
              <w:ind w:right="108"/>
              <w:rPr>
                <w:rFonts w:ascii="Arial (Body)" w:hAnsi="Arial (Body)"/>
                <w:color w:val="000000"/>
              </w:rPr>
            </w:pPr>
            <w:r w:rsidRPr="00343992">
              <w:rPr>
                <w:rFonts w:ascii="Arial (Body)" w:hAnsi="Arial (Body)"/>
                <w:color w:val="000000"/>
              </w:rPr>
              <w:t xml:space="preserve">Equivalent variation </w:t>
            </w:r>
            <w:r w:rsidR="00787DED">
              <w:rPr>
                <w:rFonts w:ascii="Arial (Body)" w:hAnsi="Arial (Body)"/>
                <w:color w:val="000000"/>
              </w:rPr>
              <w:t>($</w:t>
            </w:r>
            <w:r w:rsidR="00D03B52">
              <w:rPr>
                <w:rFonts w:ascii="Arial (Body)" w:hAnsi="Arial (Body)"/>
                <w:color w:val="000000"/>
              </w:rPr>
              <w:t xml:space="preserve"> </w:t>
            </w:r>
            <w:r w:rsidR="00787DED">
              <w:rPr>
                <w:rFonts w:ascii="Arial (Body)" w:hAnsi="Arial (Body)"/>
                <w:color w:val="000000"/>
              </w:rPr>
              <w:t>b</w:t>
            </w:r>
            <w:r w:rsidR="00D03B52">
              <w:rPr>
                <w:rFonts w:ascii="Arial (Body)" w:hAnsi="Arial (Body)"/>
                <w:color w:val="000000"/>
              </w:rPr>
              <w:t>illion</w:t>
            </w:r>
            <w:r w:rsidR="00787DED">
              <w:rPr>
                <w:rFonts w:ascii="Arial (Body)" w:hAnsi="Arial (Body)"/>
                <w:color w:val="000000"/>
              </w:rPr>
              <w:t>)</w:t>
            </w:r>
          </w:p>
          <w:p w14:paraId="0B21FFB5" w14:textId="60B6B67F" w:rsidR="00344A35" w:rsidRPr="00343992" w:rsidRDefault="00344A35" w:rsidP="00343992">
            <w:pPr>
              <w:pStyle w:val="TableBody"/>
              <w:spacing w:before="45" w:after="45"/>
              <w:ind w:right="108"/>
              <w:rPr>
                <w:rFonts w:ascii="Arial (Body)" w:hAnsi="Arial (Body)"/>
                <w:color w:val="000000"/>
              </w:rPr>
            </w:pPr>
            <w:r w:rsidRPr="00343992">
              <w:rPr>
                <w:rFonts w:ascii="Arial (Body)" w:hAnsi="Arial (Body)"/>
                <w:color w:val="000000"/>
              </w:rPr>
              <w:t>Gini coefficient</w:t>
            </w:r>
            <w:r w:rsidR="00787DED">
              <w:rPr>
                <w:rFonts w:ascii="Arial (Body)" w:hAnsi="Arial (Body)"/>
                <w:color w:val="000000"/>
              </w:rPr>
              <w:t xml:space="preserve"> </w:t>
            </w:r>
            <w:r w:rsidR="008718CA">
              <w:rPr>
                <w:rFonts w:ascii="Arial (Body)" w:hAnsi="Arial (Body)"/>
                <w:color w:val="000000"/>
              </w:rPr>
              <w:t xml:space="preserve">of inequality in consumption </w:t>
            </w:r>
            <w:r w:rsidR="00787DED">
              <w:rPr>
                <w:rFonts w:ascii="Arial (Body)" w:hAnsi="Arial (Body)"/>
                <w:color w:val="000000"/>
              </w:rPr>
              <w:t>(</w:t>
            </w:r>
            <w:r w:rsidR="00B9639A">
              <w:rPr>
                <w:rFonts w:ascii="Arial (Body)" w:hAnsi="Arial (Body)"/>
                <w:color w:val="000000"/>
              </w:rPr>
              <w:t>percentage point change</w:t>
            </w:r>
            <w:r w:rsidR="00787DED">
              <w:rPr>
                <w:rFonts w:ascii="Arial (Body)" w:hAnsi="Arial (Body)"/>
                <w:color w:val="000000"/>
              </w:rPr>
              <w:t>)</w:t>
            </w:r>
          </w:p>
        </w:tc>
      </w:tr>
      <w:tr w:rsidR="00344A35" w:rsidRPr="00030C67" w14:paraId="5FC725BA" w14:textId="77777777" w:rsidTr="00343992">
        <w:trPr>
          <w:trHeight w:val="64"/>
        </w:trPr>
        <w:tc>
          <w:tcPr>
            <w:tcW w:w="1474" w:type="dxa"/>
            <w:tcBorders>
              <w:bottom w:val="single" w:sz="4" w:space="0" w:color="B3B3B3"/>
            </w:tcBorders>
            <w:shd w:val="clear" w:color="000000" w:fill="F2F2F2"/>
          </w:tcPr>
          <w:p w14:paraId="7C2C4C13" w14:textId="1435AA61" w:rsidR="00344A35" w:rsidRPr="00343992" w:rsidRDefault="00344A35" w:rsidP="00343992">
            <w:pPr>
              <w:pStyle w:val="TableBody"/>
              <w:spacing w:before="45" w:after="45"/>
              <w:ind w:right="108"/>
              <w:rPr>
                <w:rFonts w:ascii="Arial (Body)" w:hAnsi="Arial (Body)"/>
                <w:b/>
                <w:color w:val="265A9A"/>
              </w:rPr>
            </w:pPr>
            <w:r w:rsidRPr="00343992">
              <w:rPr>
                <w:rFonts w:ascii="Arial (Body)" w:hAnsi="Arial (Body)"/>
                <w:b/>
                <w:color w:val="265A9A"/>
              </w:rPr>
              <w:t xml:space="preserve">Trade </w:t>
            </w:r>
          </w:p>
        </w:tc>
        <w:tc>
          <w:tcPr>
            <w:tcW w:w="8164" w:type="dxa"/>
            <w:tcBorders>
              <w:bottom w:val="single" w:sz="4" w:space="0" w:color="B3B3B3"/>
            </w:tcBorders>
            <w:shd w:val="clear" w:color="000000" w:fill="F2F2F2"/>
          </w:tcPr>
          <w:p w14:paraId="4A6F6359" w14:textId="7B3A242C" w:rsidR="00344A35" w:rsidRPr="00343992" w:rsidRDefault="00115702" w:rsidP="00343992">
            <w:pPr>
              <w:pStyle w:val="TableBody"/>
              <w:spacing w:before="45" w:after="45"/>
              <w:ind w:right="108"/>
              <w:rPr>
                <w:rFonts w:ascii="Arial (Body)" w:hAnsi="Arial (Body)"/>
                <w:color w:val="000000"/>
              </w:rPr>
            </w:pPr>
            <w:r>
              <w:rPr>
                <w:rFonts w:ascii="Arial (Body)" w:hAnsi="Arial (Body)"/>
                <w:color w:val="000000"/>
              </w:rPr>
              <w:t>C</w:t>
            </w:r>
            <w:r w:rsidR="00344A35" w:rsidRPr="00343992">
              <w:rPr>
                <w:rFonts w:ascii="Arial (Body)" w:hAnsi="Arial (Body)"/>
                <w:color w:val="000000"/>
              </w:rPr>
              <w:t xml:space="preserve">urrent account </w:t>
            </w:r>
            <w:r w:rsidR="00C82A3B">
              <w:rPr>
                <w:rFonts w:ascii="Arial (Body)" w:hAnsi="Arial (Body)"/>
                <w:color w:val="000000"/>
              </w:rPr>
              <w:t xml:space="preserve">deficit (percentage of </w:t>
            </w:r>
            <w:r>
              <w:rPr>
                <w:rFonts w:ascii="Arial (Body)" w:hAnsi="Arial (Body)"/>
                <w:color w:val="000000"/>
              </w:rPr>
              <w:t>GDP</w:t>
            </w:r>
            <w:r w:rsidR="00C82A3B">
              <w:rPr>
                <w:rFonts w:ascii="Arial (Body)" w:hAnsi="Arial (Body)"/>
                <w:color w:val="000000"/>
              </w:rPr>
              <w:t>)</w:t>
            </w:r>
          </w:p>
          <w:p w14:paraId="2E431D48" w14:textId="4AE0F617" w:rsidR="00344A35" w:rsidRPr="00343992" w:rsidRDefault="00344A35" w:rsidP="00343992">
            <w:pPr>
              <w:pStyle w:val="TableBody"/>
              <w:spacing w:before="45" w:after="45"/>
              <w:ind w:right="108"/>
              <w:rPr>
                <w:rFonts w:ascii="Arial (Body)" w:hAnsi="Arial (Body)"/>
                <w:color w:val="000000"/>
              </w:rPr>
            </w:pPr>
            <w:r w:rsidRPr="00343992">
              <w:rPr>
                <w:rFonts w:ascii="Arial (Body)" w:hAnsi="Arial (Body)"/>
                <w:color w:val="000000"/>
              </w:rPr>
              <w:t>Terms of trade</w:t>
            </w:r>
          </w:p>
        </w:tc>
      </w:tr>
    </w:tbl>
    <w:p w14:paraId="4957CC89" w14:textId="0949A649" w:rsidR="001E1F02" w:rsidRPr="001E1F02" w:rsidRDefault="00824CA7" w:rsidP="00C5404E">
      <w:pPr>
        <w:pStyle w:val="Note"/>
      </w:pPr>
      <w:r w:rsidRPr="00C5404E">
        <w:rPr>
          <w:b/>
        </w:rPr>
        <w:t xml:space="preserve">a. </w:t>
      </w:r>
      <w:r w:rsidR="009C22CA">
        <w:t xml:space="preserve">Measured in percentage change </w:t>
      </w:r>
      <w:r w:rsidR="00787DED">
        <w:t xml:space="preserve">terms </w:t>
      </w:r>
      <w:r w:rsidR="009C22CA">
        <w:t xml:space="preserve">unless otherwise stated. </w:t>
      </w:r>
      <w:r w:rsidR="008D2BA2">
        <w:rPr>
          <w:b/>
          <w:bCs/>
        </w:rPr>
        <w:t>b</w:t>
      </w:r>
      <w:r w:rsidR="009C22CA">
        <w:rPr>
          <w:b/>
          <w:bCs/>
        </w:rPr>
        <w:t>.</w:t>
      </w:r>
      <w:r w:rsidR="009C22CA">
        <w:rPr>
          <w:rFonts w:ascii="Arial (Body)" w:hAnsi="Arial (Body)"/>
          <w:b/>
          <w:color w:val="265A9A"/>
        </w:rPr>
        <w:t xml:space="preserve"> </w:t>
      </w:r>
      <w:r w:rsidR="001E1F02" w:rsidRPr="00C5404E">
        <w:t xml:space="preserve">Relative to the </w:t>
      </w:r>
      <w:r w:rsidR="006F4A97">
        <w:t xml:space="preserve">model’s numeraire, which was the </w:t>
      </w:r>
      <w:r w:rsidR="001E1F02" w:rsidRPr="00C5404E">
        <w:t>household consumption price index</w:t>
      </w:r>
      <w:r w:rsidR="006F4A97">
        <w:t xml:space="preserve"> (</w:t>
      </w:r>
      <w:r w:rsidR="00D95E13">
        <w:t>chapter</w:t>
      </w:r>
      <w:r w:rsidR="004B308E">
        <w:t> </w:t>
      </w:r>
      <w:r w:rsidR="006F4A97">
        <w:t>1)</w:t>
      </w:r>
      <w:r w:rsidR="001E1F02">
        <w:t>.</w:t>
      </w:r>
    </w:p>
    <w:p w14:paraId="79790916" w14:textId="0ADEC898" w:rsidR="00344A35" w:rsidRPr="00C5404E" w:rsidRDefault="00344A35" w:rsidP="00767626">
      <w:pPr>
        <w:pStyle w:val="FigureTableHeading"/>
        <w:pageBreakBefore/>
        <w:rPr>
          <w:vertAlign w:val="superscript"/>
        </w:rPr>
      </w:pPr>
      <w:r>
        <w:lastRenderedPageBreak/>
        <w:t>Table</w:t>
      </w:r>
      <w:r w:rsidR="004B308E">
        <w:t> </w:t>
      </w:r>
      <w:r w:rsidR="003D2488">
        <w:t>3.</w:t>
      </w:r>
      <w:r w:rsidR="00C30B75">
        <w:t>3</w:t>
      </w:r>
      <w:r>
        <w:rPr>
          <w:noProof/>
        </w:rPr>
        <w:t xml:space="preserve"> –</w:t>
      </w:r>
      <w:r w:rsidDel="00183A21">
        <w:rPr>
          <w:noProof/>
        </w:rPr>
        <w:t xml:space="preserve"> </w:t>
      </w:r>
      <w:r>
        <w:rPr>
          <w:noProof/>
        </w:rPr>
        <w:t xml:space="preserve">Output variables </w:t>
      </w:r>
      <w:r>
        <w:t xml:space="preserve">at industry </w:t>
      </w:r>
      <w:r>
        <w:rPr>
          <w:noProof/>
        </w:rPr>
        <w:t xml:space="preserve">and labour group </w:t>
      </w:r>
      <w:r>
        <w:t>level</w:t>
      </w:r>
      <w:r>
        <w:rPr>
          <w:noProof/>
        </w:rPr>
        <w:t>s</w:t>
      </w:r>
      <w:r w:rsidR="00397FF4" w:rsidRPr="00C5404E">
        <w:rPr>
          <w:b/>
          <w:vertAlign w:val="superscript"/>
        </w:rPr>
        <w:t>a</w:t>
      </w:r>
      <w:r w:rsidR="00F417B5">
        <w:rPr>
          <w:b/>
          <w:vertAlign w:val="superscript"/>
        </w:rPr>
        <w:t>,b</w:t>
      </w:r>
    </w:p>
    <w:tbl>
      <w:tblPr>
        <w:tblW w:w="9638" w:type="dxa"/>
        <w:tblBorders>
          <w:bottom w:val="single" w:sz="4" w:space="0" w:color="B3B3B3"/>
          <w:insideH w:val="single" w:sz="4" w:space="0" w:color="B3B3B3"/>
        </w:tblBorders>
        <w:shd w:val="clear" w:color="000000" w:fill="auto"/>
        <w:tblLayout w:type="fixed"/>
        <w:tblCellMar>
          <w:left w:w="0" w:type="dxa"/>
          <w:right w:w="0"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false,&quot;BandedColumns&quot;:false},&quot;Aaf&quot;:false}"/>
      </w:tblPr>
      <w:tblGrid>
        <w:gridCol w:w="4819"/>
        <w:gridCol w:w="4819"/>
      </w:tblGrid>
      <w:tr w:rsidR="00344A35" w:rsidRPr="00030C67" w14:paraId="11BBE9A8" w14:textId="77777777" w:rsidTr="00E301DC">
        <w:trPr>
          <w:trHeight w:val="353"/>
          <w:tblHeader/>
        </w:trPr>
        <w:tc>
          <w:tcPr>
            <w:tcW w:w="4819" w:type="dxa"/>
            <w:shd w:val="clear" w:color="000000" w:fill="auto"/>
            <w:vAlign w:val="bottom"/>
          </w:tcPr>
          <w:p w14:paraId="335E8728" w14:textId="77777777" w:rsidR="00344A35" w:rsidRPr="007B1A55" w:rsidRDefault="00344A35" w:rsidP="007B1A55">
            <w:pPr>
              <w:spacing w:before="45" w:after="45"/>
              <w:ind w:left="57" w:right="108"/>
              <w:rPr>
                <w:rFonts w:ascii="Arial (Body)" w:hAnsi="Arial (Body)"/>
                <w:b/>
                <w:color w:val="265A9A"/>
                <w:sz w:val="18"/>
              </w:rPr>
            </w:pPr>
            <w:r w:rsidRPr="007B1A55">
              <w:rPr>
                <w:rFonts w:ascii="Arial (Body)" w:hAnsi="Arial (Body)"/>
                <w:b/>
                <w:color w:val="265A9A"/>
                <w:sz w:val="18"/>
              </w:rPr>
              <w:t>Variables at an industry level</w:t>
            </w:r>
          </w:p>
        </w:tc>
        <w:tc>
          <w:tcPr>
            <w:tcW w:w="4819" w:type="dxa"/>
            <w:shd w:val="clear" w:color="000000" w:fill="auto"/>
            <w:vAlign w:val="bottom"/>
          </w:tcPr>
          <w:p w14:paraId="4C73CE3D" w14:textId="77777777" w:rsidR="00344A35" w:rsidRPr="007B1A55" w:rsidRDefault="00344A35" w:rsidP="007B1A55">
            <w:pPr>
              <w:pStyle w:val="TableHeading"/>
              <w:spacing w:before="45" w:after="45"/>
              <w:ind w:right="108"/>
              <w:rPr>
                <w:rFonts w:ascii="Arial (Body)" w:hAnsi="Arial (Body)"/>
                <w:color w:val="265A9A"/>
              </w:rPr>
            </w:pPr>
            <w:r w:rsidRPr="007B1A55">
              <w:rPr>
                <w:rFonts w:ascii="Arial (Body)" w:hAnsi="Arial (Body)"/>
                <w:color w:val="265A9A"/>
              </w:rPr>
              <w:t>Variables at a labour group level</w:t>
            </w:r>
          </w:p>
        </w:tc>
      </w:tr>
      <w:tr w:rsidR="00344A35" w:rsidRPr="00030C67" w14:paraId="2D832269" w14:textId="77777777" w:rsidTr="00E301DC">
        <w:trPr>
          <w:trHeight w:val="438"/>
        </w:trPr>
        <w:tc>
          <w:tcPr>
            <w:tcW w:w="4819" w:type="dxa"/>
            <w:shd w:val="clear" w:color="000000" w:fill="auto"/>
          </w:tcPr>
          <w:p w14:paraId="7C5225E2" w14:textId="66391EB9" w:rsidR="00FE2A0B" w:rsidRDefault="00FE2A0B" w:rsidP="007B1A55">
            <w:pPr>
              <w:pStyle w:val="TableBody"/>
              <w:spacing w:before="45" w:after="45"/>
              <w:ind w:right="108"/>
              <w:rPr>
                <w:rFonts w:ascii="Arial (Body)" w:hAnsi="Arial (Body)"/>
                <w:color w:val="000000"/>
              </w:rPr>
            </w:pPr>
            <w:r>
              <w:rPr>
                <w:rFonts w:ascii="Arial (Body)" w:hAnsi="Arial (Body)"/>
                <w:color w:val="000000"/>
              </w:rPr>
              <w:t>Nominal output</w:t>
            </w:r>
          </w:p>
          <w:p w14:paraId="70FF904B" w14:textId="60B78ABC" w:rsidR="00344A35" w:rsidRDefault="00344A35" w:rsidP="007B1A55">
            <w:pPr>
              <w:pStyle w:val="TableBody"/>
              <w:spacing w:before="45" w:after="45"/>
              <w:ind w:right="108"/>
              <w:rPr>
                <w:rFonts w:ascii="Arial (Body)" w:hAnsi="Arial (Body)"/>
                <w:color w:val="000000"/>
              </w:rPr>
            </w:pPr>
            <w:r w:rsidRPr="00B31537">
              <w:rPr>
                <w:rFonts w:ascii="Arial (Body)" w:hAnsi="Arial (Body)"/>
                <w:color w:val="000000"/>
              </w:rPr>
              <w:t>Real output</w:t>
            </w:r>
          </w:p>
          <w:p w14:paraId="28AB17E9" w14:textId="523A682B" w:rsidR="00BC307E" w:rsidRPr="00C5404E" w:rsidRDefault="00BC307E" w:rsidP="007B1A55">
            <w:pPr>
              <w:pStyle w:val="TableBody"/>
              <w:spacing w:before="45" w:after="45"/>
              <w:ind w:right="108"/>
              <w:rPr>
                <w:rFonts w:ascii="Arial (Body)" w:hAnsi="Arial (Body)"/>
                <w:color w:val="000000"/>
                <w:vertAlign w:val="superscript"/>
              </w:rPr>
            </w:pPr>
            <w:r>
              <w:rPr>
                <w:rFonts w:ascii="Arial (Body)" w:hAnsi="Arial (Body)"/>
                <w:color w:val="000000"/>
              </w:rPr>
              <w:t>Output price deflator</w:t>
            </w:r>
            <w:r w:rsidR="00397FF4" w:rsidRPr="00C5404E">
              <w:rPr>
                <w:rFonts w:ascii="Arial (Body)" w:hAnsi="Arial (Body)"/>
                <w:b/>
                <w:color w:val="000000"/>
                <w:vertAlign w:val="superscript"/>
              </w:rPr>
              <w:t>b</w:t>
            </w:r>
          </w:p>
          <w:p w14:paraId="1B111DEA" w14:textId="697D8FE3" w:rsidR="00731A20" w:rsidRPr="00B31537" w:rsidRDefault="00731A20" w:rsidP="00731A20">
            <w:pPr>
              <w:pStyle w:val="TableBody"/>
              <w:spacing w:before="45" w:after="45"/>
              <w:ind w:right="108"/>
              <w:rPr>
                <w:rFonts w:ascii="Arial (Body)" w:hAnsi="Arial (Body)"/>
                <w:color w:val="000000"/>
              </w:rPr>
            </w:pPr>
            <w:r>
              <w:rPr>
                <w:rFonts w:ascii="Arial (Body)" w:hAnsi="Arial (Body)"/>
                <w:color w:val="000000"/>
              </w:rPr>
              <w:t xml:space="preserve">Labour </w:t>
            </w:r>
            <w:r w:rsidR="00A433B4">
              <w:rPr>
                <w:rFonts w:ascii="Arial (Body)" w:hAnsi="Arial (Body)"/>
                <w:color w:val="000000"/>
              </w:rPr>
              <w:t xml:space="preserve">hours </w:t>
            </w:r>
            <w:r>
              <w:rPr>
                <w:rFonts w:ascii="Arial (Body)" w:hAnsi="Arial (Body)"/>
                <w:color w:val="000000"/>
              </w:rPr>
              <w:t>used</w:t>
            </w:r>
          </w:p>
          <w:p w14:paraId="619EEA59" w14:textId="372DE247" w:rsidR="00344A35" w:rsidRPr="00B31537" w:rsidRDefault="00344A35" w:rsidP="007B1A55">
            <w:pPr>
              <w:pStyle w:val="TableBody"/>
              <w:spacing w:before="45" w:after="45"/>
              <w:ind w:right="108"/>
              <w:rPr>
                <w:rFonts w:ascii="Arial (Body)" w:hAnsi="Arial (Body)"/>
                <w:color w:val="000000"/>
              </w:rPr>
            </w:pPr>
            <w:r w:rsidRPr="00B31537">
              <w:rPr>
                <w:rFonts w:ascii="Arial (Body)" w:hAnsi="Arial (Body)"/>
                <w:color w:val="000000"/>
              </w:rPr>
              <w:t xml:space="preserve">Capital </w:t>
            </w:r>
            <w:r w:rsidR="004F6DB3">
              <w:rPr>
                <w:rFonts w:ascii="Arial (Body)" w:hAnsi="Arial (Body)"/>
                <w:color w:val="000000"/>
              </w:rPr>
              <w:t>used</w:t>
            </w:r>
          </w:p>
          <w:p w14:paraId="194598E2" w14:textId="70C008D1" w:rsidR="00887571" w:rsidRDefault="00AB50B3" w:rsidP="007B1A55">
            <w:pPr>
              <w:pStyle w:val="TableBody"/>
              <w:spacing w:before="45" w:after="45"/>
              <w:ind w:right="108"/>
              <w:rPr>
                <w:rFonts w:ascii="Arial (Body)" w:hAnsi="Arial (Body)"/>
                <w:color w:val="000000"/>
              </w:rPr>
            </w:pPr>
            <w:r>
              <w:rPr>
                <w:rFonts w:ascii="Arial (Body)" w:hAnsi="Arial (Body)"/>
                <w:color w:val="000000"/>
              </w:rPr>
              <w:t>Real</w:t>
            </w:r>
            <w:r w:rsidR="00214979">
              <w:rPr>
                <w:rFonts w:ascii="Arial (Body)" w:hAnsi="Arial (Body)"/>
                <w:color w:val="000000"/>
              </w:rPr>
              <w:t xml:space="preserve"> c</w:t>
            </w:r>
            <w:r w:rsidR="00887571">
              <w:rPr>
                <w:rFonts w:ascii="Arial (Body)" w:hAnsi="Arial (Body)"/>
                <w:color w:val="000000"/>
              </w:rPr>
              <w:t xml:space="preserve">onsumption </w:t>
            </w:r>
            <w:r w:rsidR="002B3E61">
              <w:rPr>
                <w:rFonts w:ascii="Arial (Body)" w:hAnsi="Arial (Body)"/>
                <w:color w:val="000000"/>
              </w:rPr>
              <w:t>of domestic</w:t>
            </w:r>
            <w:r>
              <w:rPr>
                <w:rFonts w:ascii="Arial (Body)" w:hAnsi="Arial (Body)"/>
                <w:color w:val="000000"/>
              </w:rPr>
              <w:t xml:space="preserve"> commodit</w:t>
            </w:r>
            <w:r w:rsidR="002B3E61">
              <w:rPr>
                <w:rFonts w:ascii="Arial (Body)" w:hAnsi="Arial (Body)"/>
                <w:color w:val="000000"/>
              </w:rPr>
              <w:t>ies</w:t>
            </w:r>
          </w:p>
          <w:p w14:paraId="0402763B" w14:textId="121F22FA" w:rsidR="0039448D" w:rsidRDefault="00AB50B3" w:rsidP="0039448D">
            <w:pPr>
              <w:pStyle w:val="TableBody"/>
              <w:spacing w:before="45" w:after="45"/>
              <w:ind w:right="108"/>
              <w:rPr>
                <w:rFonts w:ascii="Arial (Body)" w:hAnsi="Arial (Body)"/>
                <w:color w:val="000000"/>
              </w:rPr>
            </w:pPr>
            <w:r>
              <w:rPr>
                <w:rFonts w:ascii="Arial (Body)" w:hAnsi="Arial (Body)"/>
                <w:color w:val="000000"/>
              </w:rPr>
              <w:t>Real</w:t>
            </w:r>
            <w:r w:rsidR="00214979">
              <w:rPr>
                <w:rFonts w:ascii="Arial (Body)" w:hAnsi="Arial (Body)"/>
                <w:color w:val="000000"/>
              </w:rPr>
              <w:t xml:space="preserve"> i</w:t>
            </w:r>
            <w:r w:rsidR="00887571">
              <w:rPr>
                <w:rFonts w:ascii="Arial (Body)" w:hAnsi="Arial (Body)"/>
                <w:color w:val="000000"/>
              </w:rPr>
              <w:t>nvestment</w:t>
            </w:r>
            <w:r w:rsidR="0039448D">
              <w:rPr>
                <w:rFonts w:ascii="Arial (Body)" w:hAnsi="Arial (Body)"/>
                <w:color w:val="000000"/>
              </w:rPr>
              <w:t xml:space="preserve"> </w:t>
            </w:r>
            <w:r w:rsidR="002B3E61">
              <w:rPr>
                <w:rFonts w:ascii="Arial (Body)" w:hAnsi="Arial (Body)"/>
                <w:color w:val="000000"/>
              </w:rPr>
              <w:t>of domestic</w:t>
            </w:r>
            <w:r w:rsidR="0039448D">
              <w:rPr>
                <w:rFonts w:ascii="Arial (Body)" w:hAnsi="Arial (Body)"/>
                <w:color w:val="000000"/>
              </w:rPr>
              <w:t xml:space="preserve"> commodit</w:t>
            </w:r>
            <w:r w:rsidR="002B3E61">
              <w:rPr>
                <w:rFonts w:ascii="Arial (Body)" w:hAnsi="Arial (Body)"/>
                <w:color w:val="000000"/>
              </w:rPr>
              <w:t>ies</w:t>
            </w:r>
          </w:p>
          <w:p w14:paraId="706B3C1C" w14:textId="6CD62B5E" w:rsidR="00887571" w:rsidRDefault="00AB50B3" w:rsidP="007B1A55">
            <w:pPr>
              <w:pStyle w:val="TableBody"/>
              <w:spacing w:before="45" w:after="45"/>
              <w:ind w:right="108"/>
              <w:rPr>
                <w:rFonts w:ascii="Arial (Body)" w:hAnsi="Arial (Body)"/>
                <w:color w:val="000000"/>
              </w:rPr>
            </w:pPr>
            <w:r>
              <w:rPr>
                <w:rFonts w:ascii="Arial (Body)" w:hAnsi="Arial (Body)"/>
                <w:color w:val="000000"/>
              </w:rPr>
              <w:t>Real</w:t>
            </w:r>
            <w:r w:rsidR="0039448D">
              <w:rPr>
                <w:rFonts w:ascii="Arial (Body)" w:hAnsi="Arial (Body)"/>
                <w:color w:val="000000"/>
              </w:rPr>
              <w:t xml:space="preserve"> </w:t>
            </w:r>
            <w:r w:rsidR="00214979">
              <w:rPr>
                <w:rFonts w:ascii="Arial (Body)" w:hAnsi="Arial (Body)"/>
                <w:color w:val="000000"/>
              </w:rPr>
              <w:t>g</w:t>
            </w:r>
            <w:r w:rsidR="00887571">
              <w:rPr>
                <w:rFonts w:ascii="Arial (Body)" w:hAnsi="Arial (Body)"/>
                <w:color w:val="000000"/>
              </w:rPr>
              <w:t>overnment</w:t>
            </w:r>
            <w:r w:rsidR="0039448D">
              <w:rPr>
                <w:rFonts w:ascii="Arial (Body)" w:hAnsi="Arial (Body)"/>
                <w:color w:val="000000"/>
              </w:rPr>
              <w:t xml:space="preserve"> expenditure </w:t>
            </w:r>
            <w:r w:rsidR="002B3E61">
              <w:rPr>
                <w:rFonts w:ascii="Arial (Body)" w:hAnsi="Arial (Body)"/>
                <w:color w:val="000000"/>
              </w:rPr>
              <w:t xml:space="preserve">on domestic </w:t>
            </w:r>
            <w:r w:rsidR="0039448D">
              <w:rPr>
                <w:rFonts w:ascii="Arial (Body)" w:hAnsi="Arial (Body)"/>
                <w:color w:val="000000"/>
              </w:rPr>
              <w:t>commodit</w:t>
            </w:r>
            <w:r w:rsidR="002B3E61">
              <w:rPr>
                <w:rFonts w:ascii="Arial (Body)" w:hAnsi="Arial (Body)"/>
                <w:color w:val="000000"/>
              </w:rPr>
              <w:t>ies</w:t>
            </w:r>
          </w:p>
          <w:p w14:paraId="0072B1A1" w14:textId="2035EE35" w:rsidR="00D26D91" w:rsidRDefault="0039448D" w:rsidP="007B1A55">
            <w:pPr>
              <w:pStyle w:val="TableBody"/>
              <w:spacing w:before="45" w:after="45"/>
              <w:ind w:right="108"/>
              <w:rPr>
                <w:rFonts w:ascii="Arial (Body)" w:hAnsi="Arial (Body)"/>
                <w:color w:val="000000"/>
              </w:rPr>
            </w:pPr>
            <w:r>
              <w:rPr>
                <w:rFonts w:ascii="Arial (Body)" w:hAnsi="Arial (Body)"/>
                <w:color w:val="000000"/>
              </w:rPr>
              <w:t xml:space="preserve">Real </w:t>
            </w:r>
            <w:r w:rsidR="00214979">
              <w:rPr>
                <w:rFonts w:ascii="Arial (Body)" w:hAnsi="Arial (Body)"/>
                <w:color w:val="000000"/>
              </w:rPr>
              <w:t>e</w:t>
            </w:r>
            <w:r w:rsidR="00D26D91">
              <w:rPr>
                <w:rFonts w:ascii="Arial (Body)" w:hAnsi="Arial (Body)"/>
                <w:color w:val="000000"/>
              </w:rPr>
              <w:t>xport</w:t>
            </w:r>
            <w:r>
              <w:rPr>
                <w:rFonts w:ascii="Arial (Body)" w:hAnsi="Arial (Body)"/>
                <w:color w:val="000000"/>
              </w:rPr>
              <w:t>s by commodity</w:t>
            </w:r>
          </w:p>
          <w:p w14:paraId="2FEDF988" w14:textId="2F30C80E" w:rsidR="00D26D91" w:rsidRDefault="0039448D" w:rsidP="007B1A55">
            <w:pPr>
              <w:pStyle w:val="TableBody"/>
              <w:spacing w:before="45" w:after="45"/>
              <w:ind w:right="108"/>
              <w:rPr>
                <w:rFonts w:ascii="Arial (Body)" w:hAnsi="Arial (Body)"/>
                <w:color w:val="000000"/>
              </w:rPr>
            </w:pPr>
            <w:r>
              <w:rPr>
                <w:rFonts w:ascii="Arial (Body)" w:hAnsi="Arial (Body)"/>
                <w:color w:val="000000"/>
              </w:rPr>
              <w:t xml:space="preserve">Real </w:t>
            </w:r>
            <w:r w:rsidR="000C16D1">
              <w:rPr>
                <w:rFonts w:ascii="Arial (Body)" w:hAnsi="Arial (Body)"/>
                <w:color w:val="000000"/>
              </w:rPr>
              <w:t>i</w:t>
            </w:r>
            <w:r w:rsidR="00D26D91">
              <w:rPr>
                <w:rFonts w:ascii="Arial (Body)" w:hAnsi="Arial (Body)"/>
                <w:color w:val="000000"/>
              </w:rPr>
              <w:t>mport</w:t>
            </w:r>
            <w:r>
              <w:rPr>
                <w:rFonts w:ascii="Arial (Body)" w:hAnsi="Arial (Body)"/>
                <w:color w:val="000000"/>
              </w:rPr>
              <w:t>s by commodity</w:t>
            </w:r>
          </w:p>
          <w:p w14:paraId="7A5FB7D3" w14:textId="1A5129AE" w:rsidR="00F62A38" w:rsidRDefault="00F62A38" w:rsidP="007B1A55">
            <w:pPr>
              <w:pStyle w:val="TableBody"/>
              <w:spacing w:before="45" w:after="45"/>
              <w:ind w:right="108"/>
              <w:rPr>
                <w:rFonts w:ascii="Arial (Body)" w:hAnsi="Arial (Body)"/>
                <w:color w:val="000000"/>
              </w:rPr>
            </w:pPr>
            <w:r>
              <w:rPr>
                <w:rFonts w:ascii="Arial (Body)" w:hAnsi="Arial (Body)"/>
                <w:color w:val="000000"/>
              </w:rPr>
              <w:t>Domestic commodity price deflator</w:t>
            </w:r>
            <w:r w:rsidRPr="00B51D8F">
              <w:rPr>
                <w:rFonts w:ascii="Arial (Body)" w:hAnsi="Arial (Body)"/>
                <w:b/>
                <w:vertAlign w:val="superscript"/>
              </w:rPr>
              <w:t>b</w:t>
            </w:r>
          </w:p>
          <w:p w14:paraId="7C53D5B3" w14:textId="5E809C15" w:rsidR="00F62A38" w:rsidRDefault="00F62A38" w:rsidP="007B1A55">
            <w:pPr>
              <w:pStyle w:val="TableBody"/>
              <w:spacing w:before="45" w:after="45"/>
              <w:ind w:right="108"/>
              <w:rPr>
                <w:rFonts w:ascii="Arial (Body)" w:hAnsi="Arial (Body)"/>
                <w:color w:val="000000"/>
              </w:rPr>
            </w:pPr>
            <w:r>
              <w:rPr>
                <w:rFonts w:ascii="Arial (Body)" w:hAnsi="Arial (Body)"/>
                <w:color w:val="000000"/>
              </w:rPr>
              <w:t>Export commodity price deflator</w:t>
            </w:r>
            <w:r w:rsidRPr="00B51D8F">
              <w:rPr>
                <w:rFonts w:ascii="Arial (Body)" w:hAnsi="Arial (Body)"/>
                <w:b/>
                <w:vertAlign w:val="superscript"/>
              </w:rPr>
              <w:t>b</w:t>
            </w:r>
          </w:p>
          <w:p w14:paraId="0EB876ED" w14:textId="0BCBB534" w:rsidR="00F62A38" w:rsidRPr="007B1A55" w:rsidRDefault="00F62A38" w:rsidP="007B1A55">
            <w:pPr>
              <w:pStyle w:val="TableBody"/>
              <w:spacing w:before="45" w:after="45"/>
              <w:ind w:right="108"/>
              <w:rPr>
                <w:rFonts w:ascii="Arial (Body)" w:hAnsi="Arial (Body)"/>
                <w:b/>
                <w:color w:val="265A9A"/>
              </w:rPr>
            </w:pPr>
            <w:r>
              <w:rPr>
                <w:rFonts w:ascii="Arial (Body)" w:hAnsi="Arial (Body)"/>
                <w:color w:val="000000"/>
              </w:rPr>
              <w:t>Import commodity price deflator</w:t>
            </w:r>
            <w:r w:rsidRPr="00B51D8F">
              <w:rPr>
                <w:rFonts w:ascii="Arial (Body)" w:hAnsi="Arial (Body)"/>
                <w:b/>
                <w:vertAlign w:val="superscript"/>
              </w:rPr>
              <w:t>b</w:t>
            </w:r>
            <w:r>
              <w:rPr>
                <w:rFonts w:ascii="Arial (Body)" w:hAnsi="Arial (Body)"/>
                <w:color w:val="000000"/>
              </w:rPr>
              <w:t xml:space="preserve"> </w:t>
            </w:r>
          </w:p>
        </w:tc>
        <w:tc>
          <w:tcPr>
            <w:tcW w:w="4819" w:type="dxa"/>
            <w:shd w:val="clear" w:color="000000" w:fill="auto"/>
          </w:tcPr>
          <w:p w14:paraId="55B709CF" w14:textId="5C9D42B2" w:rsidR="00344A35" w:rsidRDefault="00344A35" w:rsidP="007B1A55">
            <w:pPr>
              <w:pStyle w:val="TableBody"/>
              <w:spacing w:before="45" w:after="45"/>
              <w:ind w:right="108"/>
              <w:rPr>
                <w:rFonts w:ascii="Arial (Body)" w:hAnsi="Arial (Body)"/>
                <w:color w:val="000000"/>
              </w:rPr>
            </w:pPr>
            <w:r w:rsidRPr="007B1A55">
              <w:rPr>
                <w:rFonts w:ascii="Arial (Body)" w:hAnsi="Arial (Body)"/>
                <w:color w:val="000000"/>
              </w:rPr>
              <w:t>Equivalent variation</w:t>
            </w:r>
            <w:r w:rsidR="00B97D26">
              <w:rPr>
                <w:rFonts w:ascii="Arial (Body)" w:hAnsi="Arial (Body)"/>
                <w:color w:val="000000"/>
              </w:rPr>
              <w:t xml:space="preserve"> ($</w:t>
            </w:r>
            <w:r w:rsidR="00D03B52">
              <w:rPr>
                <w:rFonts w:ascii="Arial (Body)" w:hAnsi="Arial (Body)"/>
                <w:color w:val="000000"/>
              </w:rPr>
              <w:t xml:space="preserve"> million</w:t>
            </w:r>
            <w:r w:rsidR="00B97D26">
              <w:rPr>
                <w:rFonts w:ascii="Arial (Body)" w:hAnsi="Arial (Body)"/>
                <w:color w:val="000000"/>
              </w:rPr>
              <w:t>)</w:t>
            </w:r>
          </w:p>
          <w:p w14:paraId="239F5C60" w14:textId="77777777" w:rsidR="00D239EA" w:rsidRPr="007B1A55" w:rsidRDefault="00D239EA" w:rsidP="00D239EA">
            <w:pPr>
              <w:pStyle w:val="TableBody"/>
              <w:spacing w:before="45" w:after="45"/>
              <w:ind w:right="108"/>
              <w:rPr>
                <w:rFonts w:ascii="Arial (Body)" w:hAnsi="Arial (Body)"/>
                <w:color w:val="000000"/>
              </w:rPr>
            </w:pPr>
            <w:r w:rsidRPr="007B1A55">
              <w:rPr>
                <w:rFonts w:ascii="Arial (Body)" w:hAnsi="Arial (Body)"/>
                <w:color w:val="000000"/>
              </w:rPr>
              <w:t xml:space="preserve">Hours worked </w:t>
            </w:r>
          </w:p>
          <w:p w14:paraId="33A7813A" w14:textId="30BC7855" w:rsidR="00D239EA" w:rsidRDefault="00D239EA" w:rsidP="00D239EA">
            <w:pPr>
              <w:pStyle w:val="TableBody"/>
              <w:spacing w:before="45" w:after="45"/>
              <w:ind w:right="108"/>
              <w:rPr>
                <w:rFonts w:ascii="Arial (Body)" w:hAnsi="Arial (Body)"/>
                <w:color w:val="000000"/>
              </w:rPr>
            </w:pPr>
            <w:r w:rsidRPr="007B1A55">
              <w:rPr>
                <w:rFonts w:ascii="Arial (Body)" w:hAnsi="Arial (Body)"/>
                <w:color w:val="000000"/>
              </w:rPr>
              <w:t xml:space="preserve">Leisure </w:t>
            </w:r>
            <w:r w:rsidR="009A18BD">
              <w:rPr>
                <w:rFonts w:ascii="Arial (Body)" w:hAnsi="Arial (Body)"/>
                <w:color w:val="000000"/>
              </w:rPr>
              <w:t>hours</w:t>
            </w:r>
            <w:r w:rsidRPr="007B1A55">
              <w:rPr>
                <w:rFonts w:ascii="Arial (Body)" w:hAnsi="Arial (Body)"/>
                <w:color w:val="000000"/>
              </w:rPr>
              <w:t xml:space="preserve"> </w:t>
            </w:r>
          </w:p>
          <w:p w14:paraId="48838932" w14:textId="60EB43C5" w:rsidR="00F868B1" w:rsidRPr="003E4598" w:rsidRDefault="00F868B1" w:rsidP="007B1A55">
            <w:pPr>
              <w:pStyle w:val="TableBody"/>
              <w:spacing w:before="45" w:after="45"/>
              <w:ind w:right="108"/>
              <w:rPr>
                <w:rFonts w:ascii="Arial (Body)" w:hAnsi="Arial (Body)"/>
              </w:rPr>
            </w:pPr>
            <w:r>
              <w:rPr>
                <w:rFonts w:ascii="Arial (Body)" w:hAnsi="Arial (Body)"/>
                <w:color w:val="000000"/>
              </w:rPr>
              <w:t xml:space="preserve">Real labour </w:t>
            </w:r>
            <w:r w:rsidRPr="003E4598">
              <w:rPr>
                <w:rFonts w:ascii="Arial (Body)" w:hAnsi="Arial (Body)"/>
              </w:rPr>
              <w:t>income</w:t>
            </w:r>
            <w:r w:rsidR="00397FF4" w:rsidRPr="003E4598">
              <w:rPr>
                <w:rFonts w:ascii="Arial (Body)" w:hAnsi="Arial (Body)"/>
                <w:b/>
                <w:vertAlign w:val="superscript"/>
              </w:rPr>
              <w:t>b</w:t>
            </w:r>
          </w:p>
          <w:p w14:paraId="2F3D8D38" w14:textId="48D0C295" w:rsidR="00F868B1" w:rsidRPr="003E4598" w:rsidRDefault="00F868B1" w:rsidP="007B1A55">
            <w:pPr>
              <w:pStyle w:val="TableBody"/>
              <w:spacing w:before="45" w:after="45"/>
              <w:ind w:right="108"/>
              <w:rPr>
                <w:rFonts w:ascii="Arial (Body)" w:hAnsi="Arial (Body)"/>
              </w:rPr>
            </w:pPr>
            <w:r w:rsidRPr="003E4598">
              <w:rPr>
                <w:rFonts w:ascii="Arial (Body)" w:hAnsi="Arial (Body)"/>
              </w:rPr>
              <w:t>Real capital income</w:t>
            </w:r>
            <w:r w:rsidR="00C829B7" w:rsidRPr="003E4598">
              <w:rPr>
                <w:rFonts w:ascii="Arial (Body)" w:hAnsi="Arial (Body)"/>
                <w:b/>
                <w:vertAlign w:val="superscript"/>
              </w:rPr>
              <w:t>b</w:t>
            </w:r>
          </w:p>
          <w:p w14:paraId="7EE6DBC8" w14:textId="2C51E682" w:rsidR="00F868B1" w:rsidRPr="003E4598" w:rsidRDefault="00F868B1" w:rsidP="007B1A55">
            <w:pPr>
              <w:pStyle w:val="TableBody"/>
              <w:spacing w:before="45" w:after="45"/>
              <w:ind w:right="108"/>
              <w:rPr>
                <w:rFonts w:ascii="Arial (Body)" w:hAnsi="Arial (Body)"/>
              </w:rPr>
            </w:pPr>
            <w:r w:rsidRPr="003E4598">
              <w:rPr>
                <w:rFonts w:ascii="Arial (Body)" w:hAnsi="Arial (Body)"/>
              </w:rPr>
              <w:t>Real savings</w:t>
            </w:r>
            <w:r w:rsidR="008907C0" w:rsidRPr="00B51D8F">
              <w:rPr>
                <w:rFonts w:ascii="Arial (Body)" w:hAnsi="Arial (Body)"/>
                <w:b/>
                <w:vertAlign w:val="superscript"/>
              </w:rPr>
              <w:t>b</w:t>
            </w:r>
          </w:p>
          <w:p w14:paraId="76F9270A" w14:textId="02CE739F" w:rsidR="00F868B1" w:rsidRPr="003E4598" w:rsidRDefault="00F868B1" w:rsidP="007B1A55">
            <w:pPr>
              <w:pStyle w:val="TableBody"/>
              <w:spacing w:before="45" w:after="45"/>
              <w:ind w:right="108"/>
              <w:rPr>
                <w:rFonts w:ascii="Arial (Body)" w:hAnsi="Arial (Body)"/>
              </w:rPr>
            </w:pPr>
            <w:r w:rsidRPr="003E4598">
              <w:rPr>
                <w:rFonts w:ascii="Arial (Body)" w:hAnsi="Arial (Body)"/>
              </w:rPr>
              <w:t>Real income taxes</w:t>
            </w:r>
            <w:r w:rsidR="008907C0" w:rsidRPr="00B51D8F">
              <w:rPr>
                <w:rFonts w:ascii="Arial (Body)" w:hAnsi="Arial (Body)"/>
                <w:b/>
                <w:vertAlign w:val="superscript"/>
              </w:rPr>
              <w:t>b</w:t>
            </w:r>
          </w:p>
          <w:p w14:paraId="24001376" w14:textId="3435014E" w:rsidR="00344A35" w:rsidRDefault="00344A35" w:rsidP="007B1A55">
            <w:pPr>
              <w:pStyle w:val="TableBody"/>
              <w:spacing w:before="45" w:after="45"/>
              <w:ind w:right="108"/>
              <w:rPr>
                <w:rFonts w:ascii="Arial (Body)" w:hAnsi="Arial (Body)"/>
                <w:color w:val="000000"/>
              </w:rPr>
            </w:pPr>
            <w:r w:rsidRPr="007B1A55">
              <w:rPr>
                <w:rFonts w:ascii="Arial (Body)" w:hAnsi="Arial (Body)"/>
                <w:color w:val="000000"/>
              </w:rPr>
              <w:t>Real consumption</w:t>
            </w:r>
            <w:r w:rsidR="00F417B5" w:rsidRPr="00B51D8F">
              <w:rPr>
                <w:rFonts w:ascii="Arial (Body)" w:hAnsi="Arial (Body)"/>
                <w:b/>
                <w:vertAlign w:val="superscript"/>
              </w:rPr>
              <w:t>b</w:t>
            </w:r>
          </w:p>
          <w:p w14:paraId="0A0EAFBD" w14:textId="76563A29" w:rsidR="00BF2963" w:rsidRPr="007B1A55" w:rsidRDefault="003476CB" w:rsidP="00BF2963">
            <w:pPr>
              <w:pStyle w:val="TableBody"/>
              <w:spacing w:before="45" w:after="45"/>
              <w:ind w:right="108"/>
              <w:rPr>
                <w:rFonts w:ascii="Arial (Body)" w:hAnsi="Arial (Body)"/>
                <w:color w:val="000000"/>
              </w:rPr>
            </w:pPr>
            <w:r>
              <w:rPr>
                <w:rFonts w:ascii="Arial (Body)" w:hAnsi="Arial (Body)"/>
                <w:color w:val="000000"/>
              </w:rPr>
              <w:t>A</w:t>
            </w:r>
            <w:r w:rsidR="00BF2963">
              <w:rPr>
                <w:rFonts w:ascii="Arial (Body)" w:hAnsi="Arial (Body)"/>
                <w:color w:val="000000"/>
              </w:rPr>
              <w:t xml:space="preserve">verage </w:t>
            </w:r>
            <w:r>
              <w:rPr>
                <w:rFonts w:ascii="Arial (Body)" w:hAnsi="Arial (Body)"/>
                <w:color w:val="000000"/>
              </w:rPr>
              <w:t xml:space="preserve">real </w:t>
            </w:r>
            <w:r w:rsidR="00BF2963" w:rsidRPr="007B1A55">
              <w:rPr>
                <w:rFonts w:ascii="Arial (Body)" w:hAnsi="Arial (Body)"/>
                <w:color w:val="000000"/>
              </w:rPr>
              <w:t>consumer wage</w:t>
            </w:r>
            <w:r w:rsidR="00D903D9">
              <w:rPr>
                <w:rFonts w:ascii="Arial (Body)" w:hAnsi="Arial (Body)"/>
                <w:color w:val="000000"/>
              </w:rPr>
              <w:t xml:space="preserve"> rate</w:t>
            </w:r>
            <w:r w:rsidR="00F417B5" w:rsidRPr="00B51D8F">
              <w:rPr>
                <w:rFonts w:ascii="Arial (Body)" w:hAnsi="Arial (Body)"/>
                <w:b/>
                <w:vertAlign w:val="superscript"/>
              </w:rPr>
              <w:t>b</w:t>
            </w:r>
          </w:p>
          <w:p w14:paraId="5F1EFE64" w14:textId="11D05754" w:rsidR="00A3728F" w:rsidRDefault="00A3728F" w:rsidP="00A3728F">
            <w:pPr>
              <w:pStyle w:val="TableBody"/>
              <w:spacing w:before="45" w:after="45"/>
              <w:ind w:right="108"/>
              <w:rPr>
                <w:rFonts w:ascii="Arial (Body)" w:hAnsi="Arial (Body)"/>
                <w:color w:val="000000"/>
              </w:rPr>
            </w:pPr>
            <w:r w:rsidRPr="007B1A55">
              <w:rPr>
                <w:rFonts w:ascii="Arial (Body)" w:hAnsi="Arial (Body)"/>
                <w:color w:val="000000"/>
              </w:rPr>
              <w:t xml:space="preserve">Average </w:t>
            </w:r>
            <w:r w:rsidR="00440F57">
              <w:rPr>
                <w:rFonts w:ascii="Arial (Body)" w:hAnsi="Arial (Body)"/>
                <w:color w:val="000000"/>
              </w:rPr>
              <w:t xml:space="preserve">wage </w:t>
            </w:r>
            <w:r w:rsidRPr="007B1A55">
              <w:rPr>
                <w:rFonts w:ascii="Arial (Body)" w:hAnsi="Arial (Body)"/>
                <w:color w:val="000000"/>
              </w:rPr>
              <w:t>gap</w:t>
            </w:r>
            <w:r w:rsidR="00A076A8">
              <w:rPr>
                <w:rFonts w:ascii="Arial (Body)" w:hAnsi="Arial (Body)"/>
                <w:color w:val="000000"/>
              </w:rPr>
              <w:t xml:space="preserve"> (</w:t>
            </w:r>
            <w:r w:rsidR="001763B1">
              <w:rPr>
                <w:rFonts w:ascii="Arial (Body)" w:hAnsi="Arial (Body)"/>
                <w:color w:val="000000"/>
              </w:rPr>
              <w:t xml:space="preserve">one labour group </w:t>
            </w:r>
            <w:r w:rsidR="00A076A8">
              <w:rPr>
                <w:rFonts w:ascii="Arial (Body)" w:hAnsi="Arial (Body)"/>
                <w:color w:val="000000"/>
              </w:rPr>
              <w:t>index</w:t>
            </w:r>
            <w:r w:rsidR="001763B1">
              <w:rPr>
                <w:rFonts w:ascii="Arial (Body)" w:hAnsi="Arial (Body)"/>
                <w:color w:val="000000"/>
              </w:rPr>
              <w:t>ed to 100</w:t>
            </w:r>
            <w:r w:rsidR="00A076A8">
              <w:rPr>
                <w:rFonts w:ascii="Arial (Body)" w:hAnsi="Arial (Body)"/>
                <w:color w:val="000000"/>
              </w:rPr>
              <w:t>)</w:t>
            </w:r>
          </w:p>
          <w:p w14:paraId="29E0BB6E" w14:textId="00B2FC99" w:rsidR="00A3728F" w:rsidRPr="007B1A55" w:rsidRDefault="00B97FFB" w:rsidP="00B7414D">
            <w:pPr>
              <w:pStyle w:val="TableBody"/>
              <w:spacing w:before="45" w:after="45"/>
              <w:ind w:right="108"/>
              <w:rPr>
                <w:rFonts w:ascii="Arial (Body)" w:hAnsi="Arial (Body)"/>
                <w:color w:val="000000"/>
              </w:rPr>
            </w:pPr>
            <w:r>
              <w:rPr>
                <w:rFonts w:ascii="Arial (Body)" w:hAnsi="Arial (Body)"/>
                <w:color w:val="000000"/>
              </w:rPr>
              <w:t>Population</w:t>
            </w:r>
            <w:r w:rsidR="00397FF4">
              <w:rPr>
                <w:rFonts w:ascii="Arial (Body)" w:hAnsi="Arial (Body)"/>
                <w:color w:val="000000"/>
              </w:rPr>
              <w:t xml:space="preserve"> (</w:t>
            </w:r>
            <w:r w:rsidR="00196AE0">
              <w:rPr>
                <w:rFonts w:ascii="Arial (Body)" w:hAnsi="Arial (Body)"/>
                <w:color w:val="000000"/>
              </w:rPr>
              <w:t>million</w:t>
            </w:r>
            <w:r w:rsidR="00397FF4">
              <w:rPr>
                <w:rFonts w:ascii="Arial (Body)" w:hAnsi="Arial (Body)"/>
                <w:color w:val="000000"/>
              </w:rPr>
              <w:t>)</w:t>
            </w:r>
            <w:r w:rsidR="00AB0BA6">
              <w:rPr>
                <w:rFonts w:ascii="Arial (Body)" w:hAnsi="Arial (Body)"/>
                <w:b/>
                <w:bCs/>
                <w:color w:val="000000"/>
                <w:vertAlign w:val="superscript"/>
              </w:rPr>
              <w:t>c</w:t>
            </w:r>
          </w:p>
        </w:tc>
      </w:tr>
    </w:tbl>
    <w:p w14:paraId="76157B68" w14:textId="616E2E94" w:rsidR="00344A35" w:rsidRDefault="00397FF4" w:rsidP="00C5404E">
      <w:pPr>
        <w:pStyle w:val="Note"/>
      </w:pPr>
      <w:r w:rsidRPr="00F9497D">
        <w:rPr>
          <w:b/>
          <w:bCs/>
        </w:rPr>
        <w:t xml:space="preserve">a. </w:t>
      </w:r>
      <w:r>
        <w:t xml:space="preserve">Measured in percentage change terms unless otherwise stated. </w:t>
      </w:r>
      <w:r>
        <w:rPr>
          <w:b/>
          <w:bCs/>
        </w:rPr>
        <w:t>b.</w:t>
      </w:r>
      <w:r>
        <w:rPr>
          <w:rFonts w:ascii="Arial (Body)" w:hAnsi="Arial (Body)"/>
          <w:b/>
          <w:color w:val="265A9A"/>
        </w:rPr>
        <w:t xml:space="preserve"> </w:t>
      </w:r>
      <w:r w:rsidRPr="00F9497D">
        <w:t xml:space="preserve">Relative to the </w:t>
      </w:r>
      <w:r>
        <w:t xml:space="preserve">model’s numeraire, which was the </w:t>
      </w:r>
      <w:r w:rsidRPr="00F9497D">
        <w:t>household consumption price index</w:t>
      </w:r>
      <w:r>
        <w:t xml:space="preserve"> (</w:t>
      </w:r>
      <w:r w:rsidR="00D95E13">
        <w:t>chapter</w:t>
      </w:r>
      <w:r w:rsidR="004B308E">
        <w:t> </w:t>
      </w:r>
      <w:r>
        <w:t>1).</w:t>
      </w:r>
      <w:r w:rsidR="00AB0BA6">
        <w:t xml:space="preserve"> </w:t>
      </w:r>
      <w:r w:rsidR="00AB0BA6" w:rsidRPr="003E4598">
        <w:rPr>
          <w:b/>
          <w:bCs/>
        </w:rPr>
        <w:t>c.</w:t>
      </w:r>
      <w:r w:rsidR="00AB0BA6">
        <w:t xml:space="preserve"> Population </w:t>
      </w:r>
      <w:r w:rsidR="00B719A9">
        <w:t xml:space="preserve">composition </w:t>
      </w:r>
      <w:r w:rsidR="00AB0BA6">
        <w:t>changes only apply in simulation 3.</w:t>
      </w:r>
    </w:p>
    <w:p w14:paraId="0F5FF4E6" w14:textId="77777777" w:rsidR="001736E6" w:rsidRDefault="001736E6" w:rsidP="00FB6DE5">
      <w:pPr>
        <w:pStyle w:val="BodyText"/>
      </w:pPr>
    </w:p>
    <w:p w14:paraId="4E4A117E" w14:textId="77777777" w:rsidR="00DD403A" w:rsidRDefault="00DD403A" w:rsidP="00FB6DE5">
      <w:pPr>
        <w:pStyle w:val="BodyText"/>
        <w:sectPr w:rsidR="00DD403A" w:rsidSect="002E3F19">
          <w:headerReference w:type="even" r:id="rId40"/>
          <w:headerReference w:type="default" r:id="rId41"/>
          <w:footerReference w:type="even" r:id="rId42"/>
          <w:footerReference w:type="default" r:id="rId43"/>
          <w:pgSz w:w="11906" w:h="16838" w:code="9"/>
          <w:pgMar w:top="1134" w:right="1134" w:bottom="1134" w:left="1134" w:header="794" w:footer="510" w:gutter="0"/>
          <w:cols w:space="708"/>
          <w:docGrid w:linePitch="360"/>
        </w:sectPr>
      </w:pPr>
    </w:p>
    <w:p w14:paraId="286A9B13" w14:textId="1027DFA7" w:rsidR="00015B69" w:rsidRDefault="00015B69" w:rsidP="002C6557">
      <w:pPr>
        <w:pStyle w:val="Heading1"/>
      </w:pPr>
      <w:bookmarkStart w:id="24" w:name="_Toc126176834"/>
      <w:r w:rsidRPr="00B7047A">
        <w:lastRenderedPageBreak/>
        <w:t>Sensitivity</w:t>
      </w:r>
      <w:r>
        <w:t xml:space="preserve"> testing</w:t>
      </w:r>
      <w:bookmarkEnd w:id="24"/>
    </w:p>
    <w:p w14:paraId="32CB7C1E" w14:textId="3264F300" w:rsidR="00D867A0" w:rsidRPr="00BA32C3" w:rsidRDefault="00453951" w:rsidP="00307995">
      <w:pPr>
        <w:pStyle w:val="BodyText"/>
      </w:pPr>
      <w:r w:rsidRPr="00BA32C3">
        <w:t xml:space="preserve">Sensitivity testing was </w:t>
      </w:r>
      <w:r w:rsidR="004C15AA">
        <w:t>conducted</w:t>
      </w:r>
      <w:r w:rsidRPr="00BA32C3">
        <w:t xml:space="preserve"> </w:t>
      </w:r>
      <w:r w:rsidR="00506938" w:rsidRPr="00BA32C3">
        <w:t xml:space="preserve">to examine the extent to which </w:t>
      </w:r>
      <w:r w:rsidR="006B5385">
        <w:t>some</w:t>
      </w:r>
      <w:r w:rsidR="006B5385" w:rsidRPr="00BA32C3">
        <w:t xml:space="preserve"> </w:t>
      </w:r>
      <w:r w:rsidR="00DE66AC" w:rsidRPr="00BA32C3">
        <w:t>aggregate</w:t>
      </w:r>
      <w:r w:rsidR="00F54B72" w:rsidRPr="00BA32C3">
        <w:t xml:space="preserve"> results would change with </w:t>
      </w:r>
      <w:r w:rsidR="00B9461C" w:rsidRPr="00BA32C3">
        <w:t>adjustments</w:t>
      </w:r>
      <w:r w:rsidR="00F54B72" w:rsidRPr="00BA32C3">
        <w:t xml:space="preserve"> to </w:t>
      </w:r>
      <w:r w:rsidR="00000A4D" w:rsidRPr="00BA32C3">
        <w:t xml:space="preserve">uncertain </w:t>
      </w:r>
      <w:r w:rsidR="00F54B72" w:rsidRPr="00BA32C3">
        <w:t>assumptions.</w:t>
      </w:r>
      <w:r w:rsidR="00C1331D" w:rsidRPr="00BA32C3">
        <w:t xml:space="preserve"> Sensitivity testing was undertaken to </w:t>
      </w:r>
      <w:r w:rsidR="00B302D6">
        <w:t>examine</w:t>
      </w:r>
      <w:r w:rsidR="00B302D6" w:rsidRPr="00BA32C3">
        <w:t xml:space="preserve"> </w:t>
      </w:r>
      <w:r w:rsidR="00C1331D" w:rsidRPr="00BA32C3">
        <w:t>the effects of:</w:t>
      </w:r>
    </w:p>
    <w:p w14:paraId="2BD2B8EB" w14:textId="45235C53" w:rsidR="00AF2B77" w:rsidRPr="005D3465" w:rsidRDefault="00C1331D" w:rsidP="00AF2B77">
      <w:pPr>
        <w:pStyle w:val="ListBullet"/>
      </w:pPr>
      <w:r w:rsidRPr="00BA32C3">
        <w:t>h</w:t>
      </w:r>
      <w:r w:rsidR="00872960" w:rsidRPr="00BA32C3">
        <w:t xml:space="preserve">igh and low values of </w:t>
      </w:r>
      <w:r w:rsidR="008104CB" w:rsidRPr="00BA32C3">
        <w:t>shock</w:t>
      </w:r>
      <w:r w:rsidR="00872960" w:rsidRPr="00BA32C3">
        <w:t xml:space="preserve"> sizes (</w:t>
      </w:r>
      <w:r w:rsidR="00872960" w:rsidRPr="005D3465">
        <w:t>outlined in table</w:t>
      </w:r>
      <w:r w:rsidR="004B308E">
        <w:t> </w:t>
      </w:r>
      <w:r w:rsidR="005D3465" w:rsidRPr="005D3465">
        <w:t>3.1</w:t>
      </w:r>
      <w:r w:rsidR="00872960" w:rsidRPr="005D3465">
        <w:t>)</w:t>
      </w:r>
    </w:p>
    <w:p w14:paraId="2BC865F8" w14:textId="2C1FDE37" w:rsidR="00872960" w:rsidRPr="00E7424A" w:rsidRDefault="00C1331D" w:rsidP="00AF2B77">
      <w:pPr>
        <w:pStyle w:val="ListBullet"/>
      </w:pPr>
      <w:r w:rsidRPr="005D3465">
        <w:t>h</w:t>
      </w:r>
      <w:r w:rsidR="00503EC8" w:rsidRPr="005D3465">
        <w:t>igh and low values of select elasticities (outlined in table</w:t>
      </w:r>
      <w:r w:rsidR="004B308E">
        <w:t> </w:t>
      </w:r>
      <w:r w:rsidR="005D3465" w:rsidRPr="005D3465">
        <w:t>2.</w:t>
      </w:r>
      <w:r w:rsidR="000B07A3" w:rsidRPr="005D3465">
        <w:t>1</w:t>
      </w:r>
      <w:r w:rsidR="00503EC8" w:rsidRPr="005D3465">
        <w:t>)</w:t>
      </w:r>
      <w:r w:rsidR="00922E34" w:rsidRPr="005D3465">
        <w:t>,</w:t>
      </w:r>
      <w:r w:rsidR="00922E34" w:rsidRPr="00E7424A">
        <w:t xml:space="preserve"> specifically</w:t>
      </w:r>
      <w:r w:rsidR="00AE425B" w:rsidRPr="00E7424A">
        <w:t xml:space="preserve"> the</w:t>
      </w:r>
      <w:r w:rsidR="00922E34" w:rsidRPr="00E7424A">
        <w:t>:</w:t>
      </w:r>
    </w:p>
    <w:p w14:paraId="554E6BD0" w14:textId="480C22C6" w:rsidR="00922E34" w:rsidRPr="00E7424A" w:rsidRDefault="00555A8E" w:rsidP="008E77CC">
      <w:pPr>
        <w:pStyle w:val="ListBullet2"/>
      </w:pPr>
      <w:r w:rsidRPr="00E7424A">
        <w:t>CES elasticity of substitution between composite consumption commodities (</w:t>
      </w:r>
      <w:r w:rsidR="00205F6C" w:rsidRPr="00E7424A">
        <w:t>identified as ‘</w:t>
      </w:r>
      <w:r w:rsidRPr="00E7424A">
        <w:t>household consumption elasticity</w:t>
      </w:r>
      <w:r w:rsidR="00205F6C" w:rsidRPr="00E7424A">
        <w:t>’ in the charts illustrated below</w:t>
      </w:r>
      <w:r w:rsidRPr="00E7424A">
        <w:t>)</w:t>
      </w:r>
    </w:p>
    <w:p w14:paraId="71D1518C" w14:textId="5BFF6548" w:rsidR="00555A8E" w:rsidRPr="00E7424A" w:rsidRDefault="00AE425B" w:rsidP="008E77CC">
      <w:pPr>
        <w:pStyle w:val="ListBullet2"/>
      </w:pPr>
      <w:r w:rsidRPr="00E7424A">
        <w:t>CES elasticity of substitution between composite labour and capital</w:t>
      </w:r>
      <w:r w:rsidR="00C23557" w:rsidRPr="00E7424A">
        <w:t xml:space="preserve"> (industry factor elasticity)</w:t>
      </w:r>
    </w:p>
    <w:p w14:paraId="4298146D" w14:textId="03F8C26C" w:rsidR="001A7910" w:rsidRPr="00DE4FD4" w:rsidRDefault="00AA6727" w:rsidP="008E77CC">
      <w:pPr>
        <w:pStyle w:val="ListBullet2"/>
      </w:pPr>
      <w:r w:rsidRPr="00E7424A">
        <w:t xml:space="preserve">CES elasticity of substitution between different types of labour </w:t>
      </w:r>
      <w:r w:rsidR="001A7910" w:rsidRPr="00E7424A">
        <w:t>(industry education labour elasticity, and industry age</w:t>
      </w:r>
      <w:r w:rsidR="004B308E">
        <w:noBreakHyphen/>
      </w:r>
      <w:r w:rsidR="001A7910" w:rsidRPr="00E7424A">
        <w:t>sex labour elasticity)</w:t>
      </w:r>
    </w:p>
    <w:p w14:paraId="3ADDBC94" w14:textId="58AF495C" w:rsidR="00000A4D" w:rsidRPr="007635D9" w:rsidRDefault="00EB1169" w:rsidP="00AF2B77">
      <w:pPr>
        <w:pStyle w:val="ListBullet"/>
      </w:pPr>
      <w:r>
        <w:t>using a</w:t>
      </w:r>
      <w:r w:rsidR="00D34B73">
        <w:t xml:space="preserve">n alternative </w:t>
      </w:r>
      <w:r>
        <w:t xml:space="preserve">method to </w:t>
      </w:r>
      <w:r w:rsidR="00645172">
        <w:t>determin</w:t>
      </w:r>
      <w:r w:rsidR="00914941">
        <w:t>e</w:t>
      </w:r>
      <w:r w:rsidR="00645172">
        <w:t xml:space="preserve"> total time endowments (and hence </w:t>
      </w:r>
      <w:r>
        <w:t xml:space="preserve">the initial split of </w:t>
      </w:r>
      <w:r w:rsidR="00645172">
        <w:t xml:space="preserve">time </w:t>
      </w:r>
      <w:r w:rsidR="00914941">
        <w:t>in</w:t>
      </w:r>
      <w:r w:rsidR="00645172">
        <w:t>to</w:t>
      </w:r>
      <w:r>
        <w:t xml:space="preserve"> </w:t>
      </w:r>
      <w:r w:rsidR="00DB4454">
        <w:t>labour and leisure</w:t>
      </w:r>
      <w:r w:rsidR="00914941">
        <w:t>)</w:t>
      </w:r>
      <w:r w:rsidR="00DB4454">
        <w:t xml:space="preserve"> for each individual group in order to achieve </w:t>
      </w:r>
      <w:r w:rsidR="000B3551">
        <w:t xml:space="preserve">income elasticities of labour supply that </w:t>
      </w:r>
      <w:r w:rsidR="00914941">
        <w:t xml:space="preserve">were </w:t>
      </w:r>
      <w:r w:rsidR="000B3551">
        <w:t>closer to plausible values stated in the literature</w:t>
      </w:r>
      <w:r w:rsidR="00865BAD">
        <w:t xml:space="preserve"> (as described in </w:t>
      </w:r>
      <w:r w:rsidR="00D95E13">
        <w:t>chapter</w:t>
      </w:r>
      <w:r w:rsidR="004B308E">
        <w:t> </w:t>
      </w:r>
      <w:r w:rsidR="00865BAD">
        <w:t>2)</w:t>
      </w:r>
    </w:p>
    <w:p w14:paraId="4B274AC5" w14:textId="623F13B8" w:rsidR="003F1233" w:rsidRDefault="000D6F14" w:rsidP="00AF2B77">
      <w:pPr>
        <w:pStyle w:val="ListBullet"/>
      </w:pPr>
      <w:r>
        <w:t xml:space="preserve">separately </w:t>
      </w:r>
      <w:r w:rsidR="000D0C3B">
        <w:t xml:space="preserve">assuming </w:t>
      </w:r>
      <w:r w:rsidR="0008352A">
        <w:t xml:space="preserve">that </w:t>
      </w:r>
      <w:r w:rsidR="0008352A" w:rsidRPr="00E7424A">
        <w:t>there</w:t>
      </w:r>
      <w:r w:rsidR="0008352A">
        <w:t xml:space="preserve"> are some constraints on factors of production, </w:t>
      </w:r>
      <w:r w:rsidR="00DC5906">
        <w:t>specifically</w:t>
      </w:r>
      <w:r w:rsidR="005359CE">
        <w:t xml:space="preserve"> that</w:t>
      </w:r>
      <w:r w:rsidR="00DC5906">
        <w:t>:</w:t>
      </w:r>
    </w:p>
    <w:p w14:paraId="6788C6F8" w14:textId="0DE14538" w:rsidR="00DC5906" w:rsidRDefault="00DC5906" w:rsidP="00DC5906">
      <w:pPr>
        <w:pStyle w:val="ListBullet2"/>
      </w:pPr>
      <w:r>
        <w:t xml:space="preserve">the capital stock </w:t>
      </w:r>
      <w:r w:rsidR="006C6C28">
        <w:t xml:space="preserve">is </w:t>
      </w:r>
      <w:r w:rsidR="007635D9">
        <w:t>fixed</w:t>
      </w:r>
    </w:p>
    <w:p w14:paraId="15B5F5A4" w14:textId="16291FFB" w:rsidR="00852BCF" w:rsidRDefault="007A0C6B" w:rsidP="00DC5906">
      <w:pPr>
        <w:pStyle w:val="ListBullet2"/>
      </w:pPr>
      <w:r>
        <w:t>labour supply</w:t>
      </w:r>
      <w:r w:rsidR="00B21EFE">
        <w:t xml:space="preserve"> by each </w:t>
      </w:r>
      <w:r w:rsidR="008649E8">
        <w:t>individual group</w:t>
      </w:r>
      <w:r>
        <w:t xml:space="preserve"> is fixed</w:t>
      </w:r>
    </w:p>
    <w:p w14:paraId="3D6141CB" w14:textId="3B8C3A88" w:rsidR="00DC5906" w:rsidRPr="00BA32C3" w:rsidRDefault="00C2212F" w:rsidP="007635D9">
      <w:pPr>
        <w:pStyle w:val="ListBullet2"/>
      </w:pPr>
      <w:r>
        <w:t xml:space="preserve">an initial portion of people are unemployed due to </w:t>
      </w:r>
      <w:r w:rsidR="0040375E">
        <w:t>a wage floor</w:t>
      </w:r>
      <w:r w:rsidR="008F168B">
        <w:t>;</w:t>
      </w:r>
      <w:r w:rsidR="0040375E">
        <w:t xml:space="preserve"> that is, </w:t>
      </w:r>
      <w:r w:rsidR="006C6C28">
        <w:t xml:space="preserve">wages </w:t>
      </w:r>
      <w:r w:rsidR="0040375E">
        <w:t xml:space="preserve">are </w:t>
      </w:r>
      <w:r w:rsidR="006C6C28">
        <w:t>sticky downwards.</w:t>
      </w:r>
      <w:r w:rsidR="009E6798">
        <w:rPr>
          <w:rStyle w:val="FootnoteReference"/>
        </w:rPr>
        <w:footnoteReference w:id="13"/>
      </w:r>
    </w:p>
    <w:p w14:paraId="71ACC8E3" w14:textId="2DAA2096" w:rsidR="001445D0" w:rsidRDefault="002456D9" w:rsidP="00DC234F">
      <w:r w:rsidRPr="00E7424A">
        <w:t xml:space="preserve">The effects of </w:t>
      </w:r>
      <w:r w:rsidR="00051E52" w:rsidRPr="00E7424A">
        <w:t xml:space="preserve">these </w:t>
      </w:r>
      <w:r w:rsidR="008132EC" w:rsidRPr="00E7424A">
        <w:t xml:space="preserve">sensitivity </w:t>
      </w:r>
      <w:r w:rsidR="001445D0" w:rsidRPr="00E7424A">
        <w:t>test</w:t>
      </w:r>
      <w:r w:rsidR="00051E52" w:rsidRPr="00E7424A">
        <w:t>s</w:t>
      </w:r>
      <w:r w:rsidR="001445D0" w:rsidRPr="00E7424A">
        <w:t xml:space="preserve"> on some key </w:t>
      </w:r>
      <w:r w:rsidR="00665AB2" w:rsidRPr="00E7424A">
        <w:t xml:space="preserve">output </w:t>
      </w:r>
      <w:r w:rsidR="004D1C39" w:rsidRPr="00E7424A">
        <w:t xml:space="preserve">variables </w:t>
      </w:r>
      <w:r w:rsidR="001445D0" w:rsidRPr="00E7424A">
        <w:t>(changes in real GDP</w:t>
      </w:r>
      <w:r w:rsidR="009369DD" w:rsidRPr="00E7424A">
        <w:t>,</w:t>
      </w:r>
      <w:r w:rsidR="001445D0" w:rsidRPr="00E7424A">
        <w:t xml:space="preserve"> hours worked</w:t>
      </w:r>
      <w:r w:rsidR="00876CAF">
        <w:t>,</w:t>
      </w:r>
      <w:r w:rsidR="001445D0" w:rsidRPr="00E7424A">
        <w:t xml:space="preserve"> real consumer wages</w:t>
      </w:r>
      <w:r w:rsidR="009369DD" w:rsidRPr="00E7424A">
        <w:t>, and EV</w:t>
      </w:r>
      <w:r w:rsidR="001445D0" w:rsidRPr="00E7424A">
        <w:t>)</w:t>
      </w:r>
      <w:r w:rsidR="008132EC" w:rsidRPr="00E7424A">
        <w:t xml:space="preserve"> are illustrated for </w:t>
      </w:r>
      <w:r w:rsidR="00AF6153" w:rsidRPr="00E7424A">
        <w:t xml:space="preserve">select </w:t>
      </w:r>
      <w:r w:rsidR="00421889" w:rsidRPr="00E7424A">
        <w:t>model</w:t>
      </w:r>
      <w:r w:rsidR="008132EC" w:rsidRPr="00E7424A">
        <w:t xml:space="preserve"> simulations in figure</w:t>
      </w:r>
      <w:r w:rsidR="004B308E">
        <w:t> </w:t>
      </w:r>
      <w:r w:rsidR="00C30B75">
        <w:t>4.1</w:t>
      </w:r>
      <w:r w:rsidR="008132EC" w:rsidRPr="00E7424A">
        <w:t xml:space="preserve">. </w:t>
      </w:r>
      <w:r w:rsidR="008229C3" w:rsidRPr="00E7424A">
        <w:t xml:space="preserve">The vertical </w:t>
      </w:r>
      <w:r w:rsidR="00031DA0" w:rsidRPr="00E7424A">
        <w:t xml:space="preserve">grey </w:t>
      </w:r>
      <w:r w:rsidR="008229C3" w:rsidRPr="00E7424A">
        <w:t xml:space="preserve">line on the </w:t>
      </w:r>
      <w:r w:rsidR="00031DA0" w:rsidRPr="00E7424A">
        <w:t xml:space="preserve">charts indicate </w:t>
      </w:r>
      <w:r w:rsidR="004D7741" w:rsidRPr="00E7424A">
        <w:t xml:space="preserve">the value of the variable under the </w:t>
      </w:r>
      <w:r w:rsidR="00A92B5F" w:rsidRPr="00E7424A">
        <w:t>original</w:t>
      </w:r>
      <w:r w:rsidR="004D7741" w:rsidRPr="00E7424A">
        <w:t xml:space="preserve"> shock size and model assumptions. The points on the charts </w:t>
      </w:r>
      <w:r w:rsidR="00D176CD" w:rsidRPr="00E7424A">
        <w:t>indicate the valu</w:t>
      </w:r>
      <w:r w:rsidR="00AC2871" w:rsidRPr="00E7424A">
        <w:t>es under different sensitivity tests</w:t>
      </w:r>
      <w:r w:rsidR="004D7741" w:rsidRPr="00E7424A">
        <w:t xml:space="preserve">, with the horizontal lines highlighting the difference between </w:t>
      </w:r>
      <w:r w:rsidR="003B285E" w:rsidRPr="00E7424A">
        <w:t xml:space="preserve">these values and the values for the </w:t>
      </w:r>
      <w:r w:rsidR="00A92B5F" w:rsidRPr="00E7424A">
        <w:t>original</w:t>
      </w:r>
      <w:r w:rsidR="003B285E" w:rsidRPr="00E7424A">
        <w:t xml:space="preserve"> shock</w:t>
      </w:r>
      <w:r w:rsidR="004D7741" w:rsidRPr="00E7424A">
        <w:t>.</w:t>
      </w:r>
      <w:r w:rsidR="00DC234F" w:rsidRPr="00E7424A">
        <w:t xml:space="preserve"> </w:t>
      </w:r>
      <w:r w:rsidR="00A77EE6" w:rsidRPr="00E7424A">
        <w:t>Sensitivity tests</w:t>
      </w:r>
      <w:r w:rsidR="00DC234F" w:rsidRPr="00E7424A">
        <w:t xml:space="preserve"> with the longest horizontal lines </w:t>
      </w:r>
      <w:r w:rsidR="00492B75" w:rsidRPr="00E7424A">
        <w:t xml:space="preserve">had the largest effect </w:t>
      </w:r>
      <w:r w:rsidR="00EA3A1C" w:rsidRPr="00E7424A">
        <w:t>o</w:t>
      </w:r>
      <w:r w:rsidR="00665AB2" w:rsidRPr="00E7424A">
        <w:t>n results</w:t>
      </w:r>
      <w:r w:rsidR="004D1C39" w:rsidRPr="00E7424A">
        <w:t>.</w:t>
      </w:r>
    </w:p>
    <w:p w14:paraId="42D3A566" w14:textId="7E4B1568" w:rsidR="005B442A" w:rsidRDefault="009E6798" w:rsidP="005B442A">
      <w:r>
        <w:t>T</w:t>
      </w:r>
      <w:r w:rsidR="00C1075C">
        <w:t xml:space="preserve">he </w:t>
      </w:r>
      <w:r w:rsidR="00B85EA9">
        <w:t xml:space="preserve">sensitivity testing </w:t>
      </w:r>
      <w:r w:rsidR="00C1075C">
        <w:t xml:space="preserve">results </w:t>
      </w:r>
      <w:r w:rsidR="003054E6">
        <w:t>illustrate</w:t>
      </w:r>
      <w:r w:rsidR="00B85EA9">
        <w:t xml:space="preserve"> that</w:t>
      </w:r>
      <w:r w:rsidR="00D418CA">
        <w:t xml:space="preserve"> </w:t>
      </w:r>
      <w:r w:rsidR="003C3624">
        <w:t xml:space="preserve">assumptions around </w:t>
      </w:r>
      <w:r w:rsidR="00D418CA">
        <w:t xml:space="preserve">some </w:t>
      </w:r>
      <w:r w:rsidR="003C3624">
        <w:t>constraints on factors of production</w:t>
      </w:r>
      <w:r w:rsidR="00C1075C">
        <w:t xml:space="preserve"> </w:t>
      </w:r>
      <w:r w:rsidR="00A36331">
        <w:t>tend</w:t>
      </w:r>
      <w:r w:rsidR="00646528">
        <w:t>ed</w:t>
      </w:r>
      <w:r w:rsidR="00A36331">
        <w:t xml:space="preserve"> to </w:t>
      </w:r>
      <w:r w:rsidR="00C1075C">
        <w:t xml:space="preserve">have the largest effects on </w:t>
      </w:r>
      <w:r w:rsidR="00610960">
        <w:t>aggregate output</w:t>
      </w:r>
      <w:r w:rsidR="003054E6">
        <w:t xml:space="preserve"> variable</w:t>
      </w:r>
      <w:r w:rsidR="00610960">
        <w:t>s</w:t>
      </w:r>
      <w:r w:rsidR="00C1075C">
        <w:t>.</w:t>
      </w:r>
      <w:r w:rsidR="00A36331">
        <w:t xml:space="preserve"> </w:t>
      </w:r>
    </w:p>
    <w:p w14:paraId="5A7EC4E4" w14:textId="27A84214" w:rsidR="005B442A" w:rsidRDefault="00FE6718" w:rsidP="005B442A">
      <w:r>
        <w:t>W</w:t>
      </w:r>
      <w:r w:rsidR="0017587F">
        <w:t xml:space="preserve">hen the </w:t>
      </w:r>
      <w:r w:rsidR="0017587F" w:rsidRPr="008E77CC">
        <w:rPr>
          <w:b/>
        </w:rPr>
        <w:t xml:space="preserve">capital stock </w:t>
      </w:r>
      <w:r w:rsidR="00646528" w:rsidRPr="008E77CC">
        <w:rPr>
          <w:b/>
        </w:rPr>
        <w:t xml:space="preserve">was </w:t>
      </w:r>
      <w:r w:rsidR="0017587F" w:rsidRPr="008E77CC">
        <w:rPr>
          <w:b/>
        </w:rPr>
        <w:t>fixed</w:t>
      </w:r>
      <w:r w:rsidR="0017587F">
        <w:t xml:space="preserve">, </w:t>
      </w:r>
      <w:r w:rsidR="00AD4350">
        <w:t xml:space="preserve">economic growth </w:t>
      </w:r>
      <w:r w:rsidR="00646528">
        <w:t xml:space="preserve">was </w:t>
      </w:r>
      <w:r w:rsidR="00F728B7">
        <w:t>significantly lower</w:t>
      </w:r>
      <w:r w:rsidR="00AD4350">
        <w:t xml:space="preserve"> because of a lack of capital needed to support production</w:t>
      </w:r>
      <w:r w:rsidR="00A97F5E">
        <w:t xml:space="preserve"> and relatively high capital rental prices</w:t>
      </w:r>
      <w:r w:rsidR="00AD4350">
        <w:t xml:space="preserve">. </w:t>
      </w:r>
      <w:r w:rsidR="00EA3A1C">
        <w:t>For example, in simulation 1b</w:t>
      </w:r>
      <w:r w:rsidR="00AF6153">
        <w:t xml:space="preserve"> </w:t>
      </w:r>
      <w:r w:rsidR="003B2ACA">
        <w:t xml:space="preserve">it was assumed that all </w:t>
      </w:r>
      <w:r w:rsidR="003B2ACA" w:rsidRPr="004B3553">
        <w:t>production inputs (labour, capital and intermediate inputs) could be used more efficiently</w:t>
      </w:r>
      <w:r w:rsidR="003B2ACA">
        <w:t xml:space="preserve"> across</w:t>
      </w:r>
      <w:r w:rsidR="003B2ACA" w:rsidRPr="004B3553">
        <w:t xml:space="preserve"> </w:t>
      </w:r>
      <w:r w:rsidR="003B2ACA">
        <w:t xml:space="preserve">all </w:t>
      </w:r>
      <w:r w:rsidR="003B2ACA" w:rsidRPr="004B3553">
        <w:t>industr</w:t>
      </w:r>
      <w:r w:rsidR="003B2ACA">
        <w:t>ies excluding ‘ownership of dwellings’.</w:t>
      </w:r>
      <w:r w:rsidR="00EA3A1C">
        <w:t xml:space="preserve"> </w:t>
      </w:r>
      <w:r w:rsidR="003B2ACA">
        <w:t>T</w:t>
      </w:r>
      <w:r w:rsidR="00AF6153">
        <w:t>he assumption of a fixed capital stock led to a real GDP increase of only 1.8</w:t>
      </w:r>
      <w:r w:rsidR="002613F9">
        <w:t>%</w:t>
      </w:r>
      <w:r w:rsidR="00AF6153">
        <w:t xml:space="preserve"> instead of </w:t>
      </w:r>
      <w:r w:rsidR="00CD0841">
        <w:t>3.3</w:t>
      </w:r>
      <w:r w:rsidR="002613F9">
        <w:t>%</w:t>
      </w:r>
      <w:r w:rsidR="00CD0841">
        <w:t>.</w:t>
      </w:r>
      <w:r w:rsidR="00EA3A1C">
        <w:t xml:space="preserve"> </w:t>
      </w:r>
      <w:r w:rsidR="00271C10">
        <w:t>This could</w:t>
      </w:r>
      <w:r w:rsidR="003806C5">
        <w:t xml:space="preserve"> be </w:t>
      </w:r>
      <w:r w:rsidR="00F45092">
        <w:t>thought of as representing</w:t>
      </w:r>
      <w:r w:rsidR="00BB52A5">
        <w:t xml:space="preserve"> the short</w:t>
      </w:r>
      <w:r w:rsidR="00F45092">
        <w:noBreakHyphen/>
      </w:r>
      <w:r w:rsidR="00BB52A5">
        <w:t>run</w:t>
      </w:r>
      <w:r w:rsidR="00271C10">
        <w:t xml:space="preserve"> </w:t>
      </w:r>
      <w:r w:rsidR="00BB52A5">
        <w:t xml:space="preserve">effects </w:t>
      </w:r>
      <w:r w:rsidR="001133CC">
        <w:t>of the shock</w:t>
      </w:r>
      <w:r w:rsidR="0001055A">
        <w:t>; that is, the economic impact</w:t>
      </w:r>
      <w:r w:rsidR="00BB52A5">
        <w:t xml:space="preserve"> </w:t>
      </w:r>
      <w:r w:rsidR="00EA3A1C">
        <w:t xml:space="preserve">before </w:t>
      </w:r>
      <w:r w:rsidR="003806C5">
        <w:t xml:space="preserve">the </w:t>
      </w:r>
      <w:r w:rsidR="00BB52A5">
        <w:t xml:space="preserve">capital stock </w:t>
      </w:r>
      <w:r w:rsidR="00EA3A1C">
        <w:t xml:space="preserve">has had a chance </w:t>
      </w:r>
      <w:r w:rsidR="00BB52A5">
        <w:t xml:space="preserve">to </w:t>
      </w:r>
      <w:r w:rsidR="003806C5">
        <w:t>grow</w:t>
      </w:r>
      <w:r w:rsidR="00EA3A1C">
        <w:t xml:space="preserve"> to its steady state level</w:t>
      </w:r>
      <w:r w:rsidR="003806C5">
        <w:t>.</w:t>
      </w:r>
      <w:r w:rsidR="00E674E6">
        <w:t xml:space="preserve"> </w:t>
      </w:r>
    </w:p>
    <w:p w14:paraId="47ED4F66" w14:textId="68146497" w:rsidR="00BB52A5" w:rsidRDefault="004B4808" w:rsidP="005B442A">
      <w:r>
        <w:t xml:space="preserve">Assuming </w:t>
      </w:r>
      <w:r w:rsidR="003806C5" w:rsidRPr="005C078A">
        <w:rPr>
          <w:b/>
        </w:rPr>
        <w:t xml:space="preserve">unemployment </w:t>
      </w:r>
      <w:r w:rsidR="005B0D64" w:rsidRPr="005C078A">
        <w:rPr>
          <w:b/>
        </w:rPr>
        <w:t>and a wage floor</w:t>
      </w:r>
      <w:r w:rsidR="005B0D64">
        <w:t xml:space="preserve"> </w:t>
      </w:r>
      <w:r w:rsidR="003806C5">
        <w:t xml:space="preserve">in the economy </w:t>
      </w:r>
      <w:r>
        <w:t xml:space="preserve">implies that </w:t>
      </w:r>
      <w:r w:rsidR="00A24694">
        <w:t xml:space="preserve">wages </w:t>
      </w:r>
      <w:r w:rsidR="006A7839">
        <w:t xml:space="preserve">were </w:t>
      </w:r>
      <w:r w:rsidR="00D364FD">
        <w:t xml:space="preserve">initially </w:t>
      </w:r>
      <w:r w:rsidR="00A24694">
        <w:t xml:space="preserve">higher </w:t>
      </w:r>
      <w:r w:rsidR="00CD0841">
        <w:t xml:space="preserve">and production was lower </w:t>
      </w:r>
      <w:r w:rsidR="00A24694">
        <w:t xml:space="preserve">than would be </w:t>
      </w:r>
      <w:r w:rsidR="00CD0841">
        <w:t xml:space="preserve">the case </w:t>
      </w:r>
      <w:r w:rsidR="00A24694">
        <w:t>if labour markets cleared</w:t>
      </w:r>
      <w:r w:rsidR="006A7839">
        <w:t>. This meant that</w:t>
      </w:r>
      <w:r w:rsidR="00E912BB">
        <w:t xml:space="preserve"> households </w:t>
      </w:r>
      <w:r w:rsidR="00A97F5E">
        <w:lastRenderedPageBreak/>
        <w:t xml:space="preserve">inefficiently </w:t>
      </w:r>
      <w:r w:rsidR="006A7839">
        <w:t xml:space="preserve">spent </w:t>
      </w:r>
      <w:r w:rsidR="00A97F5E">
        <w:t>more time on leisure and consum</w:t>
      </w:r>
      <w:r w:rsidR="0008571F">
        <w:t>ed</w:t>
      </w:r>
      <w:r w:rsidR="00A97F5E">
        <w:t xml:space="preserve"> less than they would like </w:t>
      </w:r>
      <w:r w:rsidR="00E912BB">
        <w:t>at the given wages</w:t>
      </w:r>
      <w:r w:rsidR="00544E8E">
        <w:t xml:space="preserve">. </w:t>
      </w:r>
      <w:r w:rsidR="009132C0">
        <w:t>T</w:t>
      </w:r>
      <w:r w:rsidR="005B0D64">
        <w:t>he simulated shocks</w:t>
      </w:r>
      <w:r w:rsidR="0077530F">
        <w:t xml:space="preserve"> </w:t>
      </w:r>
      <w:r w:rsidR="00D20BE9">
        <w:t>tend</w:t>
      </w:r>
      <w:r w:rsidR="00646528">
        <w:t>ed</w:t>
      </w:r>
      <w:r w:rsidR="00D20BE9">
        <w:t xml:space="preserve"> to </w:t>
      </w:r>
      <w:r w:rsidR="007A6A21">
        <w:t xml:space="preserve">increase </w:t>
      </w:r>
      <w:r w:rsidR="006B58F2">
        <w:t xml:space="preserve">the </w:t>
      </w:r>
      <w:r w:rsidR="009132C0">
        <w:t>market</w:t>
      </w:r>
      <w:r w:rsidR="004B308E">
        <w:noBreakHyphen/>
      </w:r>
      <w:r w:rsidR="009132C0">
        <w:t xml:space="preserve">clearing </w:t>
      </w:r>
      <w:r w:rsidR="007A6A21">
        <w:t>wage</w:t>
      </w:r>
      <w:r w:rsidR="009132C0">
        <w:t xml:space="preserve"> level because they induced</w:t>
      </w:r>
      <w:r w:rsidR="007A6A21">
        <w:t xml:space="preserve"> </w:t>
      </w:r>
      <w:r w:rsidR="00C759B2">
        <w:t>growth in the economy</w:t>
      </w:r>
      <w:r w:rsidR="003B2ACA">
        <w:t xml:space="preserve">. This brought wages </w:t>
      </w:r>
      <w:r w:rsidR="009C7C8D">
        <w:t xml:space="preserve">closer to </w:t>
      </w:r>
      <w:r w:rsidR="004A0B96">
        <w:t>(or</w:t>
      </w:r>
      <w:r w:rsidR="005B3187">
        <w:t xml:space="preserve"> led them to</w:t>
      </w:r>
      <w:r w:rsidR="004A0B96">
        <w:t xml:space="preserve"> exceed) </w:t>
      </w:r>
      <w:r w:rsidR="009C7C8D">
        <w:t xml:space="preserve">the wage floor and </w:t>
      </w:r>
      <w:r w:rsidR="003B2ACA">
        <w:t xml:space="preserve">led to a reduction in </w:t>
      </w:r>
      <w:r w:rsidR="0077530F">
        <w:t>unemployment</w:t>
      </w:r>
      <w:r w:rsidR="004A0B96">
        <w:t xml:space="preserve"> (</w:t>
      </w:r>
      <w:r w:rsidR="00034099">
        <w:t>to zero for some labour types under some simulations)</w:t>
      </w:r>
      <w:r w:rsidR="009C7C8D">
        <w:t>. This</w:t>
      </w:r>
      <w:r w:rsidR="00DB77AA">
        <w:t xml:space="preserve"> </w:t>
      </w:r>
      <w:r w:rsidR="003B2ACA">
        <w:t xml:space="preserve">also </w:t>
      </w:r>
      <w:r w:rsidR="00ED7B13">
        <w:t xml:space="preserve">led </w:t>
      </w:r>
      <w:r w:rsidR="00DB77AA">
        <w:t xml:space="preserve">to a </w:t>
      </w:r>
      <w:r w:rsidR="00E912BB">
        <w:t>relatively</w:t>
      </w:r>
      <w:r w:rsidR="00DB77AA">
        <w:t xml:space="preserve"> larger</w:t>
      </w:r>
      <w:r w:rsidR="00E912BB">
        <w:t xml:space="preserve"> increase in production</w:t>
      </w:r>
      <w:r w:rsidR="00ED7B13">
        <w:t xml:space="preserve"> </w:t>
      </w:r>
      <w:r w:rsidR="00DB77AA">
        <w:t xml:space="preserve">than </w:t>
      </w:r>
      <w:r w:rsidR="00ED7B13">
        <w:t xml:space="preserve">was </w:t>
      </w:r>
      <w:r w:rsidR="009C7C8D">
        <w:t xml:space="preserve">seen </w:t>
      </w:r>
      <w:r w:rsidR="00DB77AA">
        <w:t xml:space="preserve">under </w:t>
      </w:r>
      <w:r w:rsidR="009C7C8D">
        <w:t>original</w:t>
      </w:r>
      <w:r w:rsidR="00DB77AA">
        <w:t xml:space="preserve"> model assumptions.</w:t>
      </w:r>
      <w:r w:rsidR="00034099">
        <w:t xml:space="preserve"> </w:t>
      </w:r>
      <w:r w:rsidR="00A00542">
        <w:t>While these results are seen in th</w:t>
      </w:r>
      <w:r w:rsidR="00FF5D25">
        <w:t>is</w:t>
      </w:r>
      <w:r w:rsidR="00A00542">
        <w:t xml:space="preserve"> stylised model,</w:t>
      </w:r>
      <w:r w:rsidR="00034099">
        <w:t xml:space="preserve"> it is noted that</w:t>
      </w:r>
      <w:r w:rsidR="00CB314D">
        <w:t>,</w:t>
      </w:r>
      <w:r w:rsidR="00034099">
        <w:t xml:space="preserve"> in reality, </w:t>
      </w:r>
      <w:r w:rsidR="00A31AB2">
        <w:t xml:space="preserve">unemployment is unlikely to fall to such an extent due to other factors </w:t>
      </w:r>
      <w:r w:rsidR="00CB314D">
        <w:t xml:space="preserve">that can </w:t>
      </w:r>
      <w:r w:rsidR="00A31AB2">
        <w:t>affect</w:t>
      </w:r>
      <w:r w:rsidR="00CB314D">
        <w:t xml:space="preserve"> it, such as structural and </w:t>
      </w:r>
      <w:r w:rsidR="005558F5">
        <w:t>frictional</w:t>
      </w:r>
      <w:r w:rsidR="008D5C46">
        <w:t xml:space="preserve"> </w:t>
      </w:r>
      <w:r w:rsidR="001973F6">
        <w:t>factors</w:t>
      </w:r>
      <w:r w:rsidR="00CB314D">
        <w:t>.</w:t>
      </w:r>
    </w:p>
    <w:p w14:paraId="305D56EB" w14:textId="4773FEB5" w:rsidR="008C2DCE" w:rsidRPr="006009F6" w:rsidRDefault="00A03847" w:rsidP="000D7845">
      <w:pPr>
        <w:pStyle w:val="BodyText"/>
        <w:rPr>
          <w:spacing w:val="-2"/>
        </w:rPr>
      </w:pPr>
      <w:r w:rsidRPr="006009F6">
        <w:rPr>
          <w:spacing w:val="-2"/>
        </w:rPr>
        <w:t>Varying the</w:t>
      </w:r>
      <w:r w:rsidR="008C2DCE" w:rsidRPr="006009F6">
        <w:rPr>
          <w:spacing w:val="-2"/>
        </w:rPr>
        <w:t xml:space="preserve"> </w:t>
      </w:r>
      <w:r w:rsidR="008C2DCE" w:rsidRPr="006009F6">
        <w:rPr>
          <w:b/>
          <w:spacing w:val="-2"/>
        </w:rPr>
        <w:t>shock sizes</w:t>
      </w:r>
      <w:r w:rsidR="008C2DCE" w:rsidRPr="006009F6">
        <w:rPr>
          <w:spacing w:val="-2"/>
        </w:rPr>
        <w:t xml:space="preserve"> also ha</w:t>
      </w:r>
      <w:r w:rsidR="00096160" w:rsidRPr="006009F6">
        <w:rPr>
          <w:spacing w:val="-2"/>
        </w:rPr>
        <w:t>d</w:t>
      </w:r>
      <w:r w:rsidR="008C2DCE" w:rsidRPr="006009F6">
        <w:rPr>
          <w:spacing w:val="-2"/>
        </w:rPr>
        <w:t xml:space="preserve"> relatively large effects</w:t>
      </w:r>
      <w:r w:rsidRPr="006009F6">
        <w:rPr>
          <w:spacing w:val="-2"/>
        </w:rPr>
        <w:t xml:space="preserve"> on </w:t>
      </w:r>
      <w:r w:rsidR="00985AB2" w:rsidRPr="006009F6">
        <w:rPr>
          <w:spacing w:val="-2"/>
        </w:rPr>
        <w:t xml:space="preserve">the magnitude of changes in </w:t>
      </w:r>
      <w:r w:rsidRPr="006009F6">
        <w:rPr>
          <w:spacing w:val="-2"/>
        </w:rPr>
        <w:t>key output variables</w:t>
      </w:r>
      <w:r w:rsidR="00985AB2" w:rsidRPr="006009F6">
        <w:rPr>
          <w:spacing w:val="-2"/>
        </w:rPr>
        <w:t>, although</w:t>
      </w:r>
      <w:r w:rsidR="007D62B3" w:rsidRPr="006009F6">
        <w:rPr>
          <w:spacing w:val="-2"/>
        </w:rPr>
        <w:t xml:space="preserve"> the direction of effects tend</w:t>
      </w:r>
      <w:r w:rsidR="009B7BE3" w:rsidRPr="006009F6">
        <w:rPr>
          <w:spacing w:val="-2"/>
        </w:rPr>
        <w:t>ed</w:t>
      </w:r>
      <w:r w:rsidR="007D62B3" w:rsidRPr="006009F6">
        <w:rPr>
          <w:spacing w:val="-2"/>
        </w:rPr>
        <w:t xml:space="preserve"> to be the same</w:t>
      </w:r>
      <w:r w:rsidR="009C7C8D" w:rsidRPr="006009F6">
        <w:rPr>
          <w:spacing w:val="-2"/>
        </w:rPr>
        <w:t xml:space="preserve"> as under the </w:t>
      </w:r>
      <w:r w:rsidR="00B302D6" w:rsidRPr="006009F6">
        <w:rPr>
          <w:spacing w:val="-2"/>
        </w:rPr>
        <w:t>original shock size</w:t>
      </w:r>
      <w:r w:rsidR="007D62B3" w:rsidRPr="006009F6">
        <w:rPr>
          <w:spacing w:val="-2"/>
        </w:rPr>
        <w:t>.</w:t>
      </w:r>
      <w:r w:rsidR="00096160" w:rsidRPr="006009F6">
        <w:rPr>
          <w:spacing w:val="-2"/>
        </w:rPr>
        <w:t xml:space="preserve"> </w:t>
      </w:r>
      <w:r w:rsidR="003F4AF9" w:rsidRPr="006009F6">
        <w:rPr>
          <w:spacing w:val="-2"/>
        </w:rPr>
        <w:t xml:space="preserve">For example, </w:t>
      </w:r>
      <w:r w:rsidR="00597D1D" w:rsidRPr="006009F6">
        <w:rPr>
          <w:spacing w:val="-2"/>
        </w:rPr>
        <w:t xml:space="preserve">in </w:t>
      </w:r>
      <w:r w:rsidR="00096160" w:rsidRPr="006009F6">
        <w:rPr>
          <w:spacing w:val="-2"/>
        </w:rPr>
        <w:t xml:space="preserve">simulation </w:t>
      </w:r>
      <w:r w:rsidR="002358EE" w:rsidRPr="006009F6">
        <w:rPr>
          <w:spacing w:val="-2"/>
        </w:rPr>
        <w:t>1b</w:t>
      </w:r>
      <w:r w:rsidR="00BF1F5E" w:rsidRPr="006009F6">
        <w:rPr>
          <w:spacing w:val="-2"/>
        </w:rPr>
        <w:t>, t</w:t>
      </w:r>
      <w:r w:rsidR="00430C3F" w:rsidRPr="006009F6">
        <w:rPr>
          <w:spacing w:val="-2"/>
        </w:rPr>
        <w:t xml:space="preserve">he </w:t>
      </w:r>
      <w:r w:rsidR="00A71C81" w:rsidRPr="006009F6">
        <w:rPr>
          <w:spacing w:val="-2"/>
        </w:rPr>
        <w:t xml:space="preserve">simulated change in real GDP </w:t>
      </w:r>
      <w:r w:rsidR="0079599E" w:rsidRPr="006009F6">
        <w:rPr>
          <w:spacing w:val="-2"/>
        </w:rPr>
        <w:t xml:space="preserve">was about </w:t>
      </w:r>
      <w:r w:rsidR="001C7EEA" w:rsidRPr="006009F6">
        <w:rPr>
          <w:spacing w:val="-2"/>
        </w:rPr>
        <w:t>3.</w:t>
      </w:r>
      <w:r w:rsidR="00BF1F5E" w:rsidRPr="006009F6">
        <w:rPr>
          <w:spacing w:val="-2"/>
        </w:rPr>
        <w:t>3</w:t>
      </w:r>
      <w:r w:rsidR="002613F9" w:rsidRPr="006009F6">
        <w:rPr>
          <w:spacing w:val="-2"/>
        </w:rPr>
        <w:t>%</w:t>
      </w:r>
      <w:r w:rsidR="001C7EEA" w:rsidRPr="006009F6">
        <w:rPr>
          <w:spacing w:val="-2"/>
        </w:rPr>
        <w:t xml:space="preserve"> </w:t>
      </w:r>
      <w:r w:rsidR="0079599E" w:rsidRPr="006009F6">
        <w:rPr>
          <w:spacing w:val="-2"/>
        </w:rPr>
        <w:t xml:space="preserve">under the </w:t>
      </w:r>
      <w:r w:rsidR="007D6EC6" w:rsidRPr="006009F6">
        <w:rPr>
          <w:spacing w:val="-2"/>
        </w:rPr>
        <w:t xml:space="preserve">original </w:t>
      </w:r>
      <w:r w:rsidR="0079599E" w:rsidRPr="006009F6">
        <w:rPr>
          <w:spacing w:val="-2"/>
        </w:rPr>
        <w:t xml:space="preserve">assumed shock size of </w:t>
      </w:r>
      <w:r w:rsidR="001C7EEA" w:rsidRPr="006009F6">
        <w:rPr>
          <w:spacing w:val="-2"/>
        </w:rPr>
        <w:t xml:space="preserve">a </w:t>
      </w:r>
      <w:r w:rsidR="0079599E" w:rsidRPr="006009F6">
        <w:rPr>
          <w:spacing w:val="-2"/>
        </w:rPr>
        <w:t>1</w:t>
      </w:r>
      <w:r w:rsidR="002613F9" w:rsidRPr="006009F6">
        <w:rPr>
          <w:spacing w:val="-2"/>
        </w:rPr>
        <w:t>%</w:t>
      </w:r>
      <w:r w:rsidR="001C7EEA" w:rsidRPr="006009F6">
        <w:rPr>
          <w:spacing w:val="-2"/>
        </w:rPr>
        <w:t xml:space="preserve"> improvement in </w:t>
      </w:r>
      <w:r w:rsidR="00BF1F5E" w:rsidRPr="006009F6">
        <w:rPr>
          <w:spacing w:val="-2"/>
        </w:rPr>
        <w:t>input</w:t>
      </w:r>
      <w:r w:rsidR="004B308E" w:rsidRPr="006009F6">
        <w:rPr>
          <w:spacing w:val="-2"/>
        </w:rPr>
        <w:noBreakHyphen/>
      </w:r>
      <w:r w:rsidR="00BF1F5E" w:rsidRPr="006009F6">
        <w:rPr>
          <w:spacing w:val="-2"/>
        </w:rPr>
        <w:t xml:space="preserve">neutral technical </w:t>
      </w:r>
      <w:r w:rsidR="001C7EEA" w:rsidRPr="006009F6">
        <w:rPr>
          <w:spacing w:val="-2"/>
        </w:rPr>
        <w:t>efficiency</w:t>
      </w:r>
      <w:r w:rsidR="006C051A" w:rsidRPr="006009F6">
        <w:rPr>
          <w:spacing w:val="-2"/>
        </w:rPr>
        <w:t xml:space="preserve">. The real GDP </w:t>
      </w:r>
      <w:r w:rsidR="00BF1F5E" w:rsidRPr="006009F6">
        <w:rPr>
          <w:spacing w:val="-2"/>
        </w:rPr>
        <w:t xml:space="preserve">increase </w:t>
      </w:r>
      <w:r w:rsidR="001C7EEA" w:rsidRPr="006009F6">
        <w:rPr>
          <w:spacing w:val="-2"/>
        </w:rPr>
        <w:t>ranged from 1.6 to 4.9</w:t>
      </w:r>
      <w:r w:rsidR="002613F9" w:rsidRPr="006009F6">
        <w:rPr>
          <w:spacing w:val="-2"/>
        </w:rPr>
        <w:t>%</w:t>
      </w:r>
      <w:r w:rsidR="001C7EEA" w:rsidRPr="006009F6">
        <w:rPr>
          <w:spacing w:val="-2"/>
        </w:rPr>
        <w:t xml:space="preserve"> </w:t>
      </w:r>
      <w:r w:rsidR="003F47C3" w:rsidRPr="006009F6">
        <w:rPr>
          <w:spacing w:val="-2"/>
        </w:rPr>
        <w:t>under the respective assumptions of a 0.5</w:t>
      </w:r>
      <w:r w:rsidR="002613F9" w:rsidRPr="006009F6">
        <w:rPr>
          <w:spacing w:val="-2"/>
        </w:rPr>
        <w:t>%</w:t>
      </w:r>
      <w:r w:rsidR="003F47C3" w:rsidRPr="006009F6">
        <w:rPr>
          <w:spacing w:val="-2"/>
        </w:rPr>
        <w:t xml:space="preserve"> and 1.5</w:t>
      </w:r>
      <w:r w:rsidR="002613F9" w:rsidRPr="006009F6">
        <w:rPr>
          <w:spacing w:val="-2"/>
        </w:rPr>
        <w:t>%</w:t>
      </w:r>
      <w:r w:rsidR="003F47C3" w:rsidRPr="006009F6">
        <w:rPr>
          <w:spacing w:val="-2"/>
        </w:rPr>
        <w:t xml:space="preserve"> </w:t>
      </w:r>
      <w:r w:rsidR="006C051A" w:rsidRPr="006009F6">
        <w:rPr>
          <w:spacing w:val="-2"/>
        </w:rPr>
        <w:t xml:space="preserve">improvement in </w:t>
      </w:r>
      <w:r w:rsidR="00BF1F5E" w:rsidRPr="006009F6">
        <w:rPr>
          <w:spacing w:val="-2"/>
        </w:rPr>
        <w:t>input</w:t>
      </w:r>
      <w:r w:rsidR="004B308E" w:rsidRPr="006009F6">
        <w:rPr>
          <w:spacing w:val="-2"/>
        </w:rPr>
        <w:noBreakHyphen/>
      </w:r>
      <w:r w:rsidR="00BF1F5E" w:rsidRPr="006009F6">
        <w:rPr>
          <w:spacing w:val="-2"/>
        </w:rPr>
        <w:t xml:space="preserve">neutral technical </w:t>
      </w:r>
      <w:r w:rsidR="006C051A" w:rsidRPr="006009F6">
        <w:rPr>
          <w:spacing w:val="-2"/>
        </w:rPr>
        <w:t>efficiency</w:t>
      </w:r>
      <w:r w:rsidR="003F47C3" w:rsidRPr="006009F6">
        <w:rPr>
          <w:spacing w:val="-2"/>
        </w:rPr>
        <w:t>.</w:t>
      </w:r>
    </w:p>
    <w:p w14:paraId="768F6418" w14:textId="05809AA6" w:rsidR="003C4A96" w:rsidRDefault="00C93B0A" w:rsidP="000D7845">
      <w:pPr>
        <w:pStyle w:val="BodyText"/>
      </w:pPr>
      <w:r>
        <w:t xml:space="preserve">The </w:t>
      </w:r>
      <w:r w:rsidR="002151EF">
        <w:t xml:space="preserve">sensitivity tests for the </w:t>
      </w:r>
      <w:r w:rsidRPr="00F8752C">
        <w:rPr>
          <w:b/>
        </w:rPr>
        <w:t>alternative method of allocating labour and leisure</w:t>
      </w:r>
      <w:r w:rsidR="00A04A18">
        <w:t xml:space="preserve">, and </w:t>
      </w:r>
      <w:r w:rsidR="002151EF">
        <w:t xml:space="preserve">for </w:t>
      </w:r>
      <w:r w:rsidR="00A04A18">
        <w:t xml:space="preserve">the assumption of </w:t>
      </w:r>
      <w:r w:rsidR="00A04A18" w:rsidRPr="00F8752C">
        <w:rPr>
          <w:b/>
        </w:rPr>
        <w:t>fixed</w:t>
      </w:r>
      <w:r w:rsidR="003C4A96" w:rsidRPr="00F8752C">
        <w:rPr>
          <w:b/>
        </w:rPr>
        <w:t xml:space="preserve"> labour supplies</w:t>
      </w:r>
      <w:r w:rsidR="00A04A18">
        <w:t>, ten</w:t>
      </w:r>
      <w:r w:rsidR="00D229C0">
        <w:t>ded to have</w:t>
      </w:r>
      <w:r w:rsidR="003C4A96">
        <w:t xml:space="preserve"> smaller effects on output variables. This is because changes in </w:t>
      </w:r>
      <w:r w:rsidR="00D72CCB">
        <w:t xml:space="preserve">hours worked in </w:t>
      </w:r>
      <w:r w:rsidR="003C4A96">
        <w:t xml:space="preserve">the simulated shocks </w:t>
      </w:r>
      <w:r w:rsidR="00844681">
        <w:t xml:space="preserve">were </w:t>
      </w:r>
      <w:r w:rsidR="003C4A96">
        <w:t xml:space="preserve">relatively small </w:t>
      </w:r>
      <w:r w:rsidR="009D1215">
        <w:t xml:space="preserve">in general under </w:t>
      </w:r>
      <w:r w:rsidR="00A92B5F">
        <w:t>original</w:t>
      </w:r>
      <w:r w:rsidR="009D1215">
        <w:t xml:space="preserve"> model assumptions</w:t>
      </w:r>
      <w:r w:rsidR="003C4A96">
        <w:t xml:space="preserve"> due to </w:t>
      </w:r>
      <w:r w:rsidR="00BF1F5E">
        <w:t xml:space="preserve">various </w:t>
      </w:r>
      <w:r w:rsidR="003C4A96">
        <w:t>competing effects. On the household side, the effect of higher wages had income and substitution effects that work</w:t>
      </w:r>
      <w:r w:rsidR="00231AC3">
        <w:t>ed</w:t>
      </w:r>
      <w:r w:rsidR="003C4A96">
        <w:t xml:space="preserve"> in opposite directions (that is, people may want to substitute towards more work and consumption instead of leisure because of the higher wages, but they can also earn the same income by working less and enjoying more leisure instead). On the producer side, most of the </w:t>
      </w:r>
      <w:r w:rsidR="00BF1F5E">
        <w:t>industry</w:t>
      </w:r>
      <w:r w:rsidR="004B308E">
        <w:noBreakHyphen/>
      </w:r>
      <w:r w:rsidR="00BF1F5E">
        <w:t xml:space="preserve">specific labour </w:t>
      </w:r>
      <w:r w:rsidR="003C4A96">
        <w:t>productivity shocks mean</w:t>
      </w:r>
      <w:r w:rsidR="002C2294">
        <w:t>t</w:t>
      </w:r>
      <w:r w:rsidR="003C4A96">
        <w:t xml:space="preserve"> that industries require</w:t>
      </w:r>
      <w:r w:rsidR="002C2294">
        <w:t>d</w:t>
      </w:r>
      <w:r w:rsidR="003C4A96">
        <w:t xml:space="preserve"> less labour to produce</w:t>
      </w:r>
      <w:r w:rsidR="002C2294">
        <w:t xml:space="preserve"> the same amount of output</w:t>
      </w:r>
      <w:r w:rsidR="003C4A96">
        <w:t>, but subsequent demand effects then increase</w:t>
      </w:r>
      <w:r w:rsidR="00667888">
        <w:t>d</w:t>
      </w:r>
      <w:r w:rsidR="003C4A96">
        <w:t xml:space="preserve"> the amount of labour required.</w:t>
      </w:r>
    </w:p>
    <w:p w14:paraId="06B758DF" w14:textId="7822D44F" w:rsidR="0071044A" w:rsidRDefault="00DC4EAB" w:rsidP="00A36A9B">
      <w:pPr>
        <w:pStyle w:val="BodyText"/>
      </w:pPr>
      <w:r>
        <w:t>Changes to a</w:t>
      </w:r>
      <w:r w:rsidR="007419F8">
        <w:t xml:space="preserve">ssumptions around </w:t>
      </w:r>
      <w:r w:rsidR="007419F8" w:rsidRPr="00835FA7">
        <w:rPr>
          <w:b/>
        </w:rPr>
        <w:t>elasticities</w:t>
      </w:r>
      <w:r w:rsidR="007419F8">
        <w:t xml:space="preserve"> </w:t>
      </w:r>
      <w:r w:rsidR="00D229C0">
        <w:t xml:space="preserve">also </w:t>
      </w:r>
      <w:r w:rsidR="008C2DCE">
        <w:t>tend</w:t>
      </w:r>
      <w:r w:rsidR="006C051A">
        <w:t>ed</w:t>
      </w:r>
      <w:r w:rsidR="008C2DCE">
        <w:t xml:space="preserve"> to have </w:t>
      </w:r>
      <w:r w:rsidR="006C051A">
        <w:t>small</w:t>
      </w:r>
      <w:r w:rsidR="00787D2B">
        <w:t>er</w:t>
      </w:r>
      <w:r w:rsidR="006C051A">
        <w:t xml:space="preserve"> </w:t>
      </w:r>
      <w:r w:rsidR="008C2DCE">
        <w:t xml:space="preserve">effects on aggregate outputs, relative to the </w:t>
      </w:r>
      <w:r w:rsidR="00B302D6">
        <w:t xml:space="preserve">other </w:t>
      </w:r>
      <w:r w:rsidR="007D62B3">
        <w:t>sensitivity tests</w:t>
      </w:r>
      <w:r w:rsidR="00787D2B">
        <w:t xml:space="preserve"> conducted</w:t>
      </w:r>
      <w:r w:rsidR="007D62B3">
        <w:t xml:space="preserve">. </w:t>
      </w:r>
    </w:p>
    <w:p w14:paraId="1F3F994B" w14:textId="106E2897" w:rsidR="00E621A1" w:rsidRDefault="00E621A1" w:rsidP="003130B8">
      <w:pPr>
        <w:pStyle w:val="FigureTableHeading"/>
      </w:pPr>
      <w:bookmarkStart w:id="25" w:name="_Toc30502221"/>
      <w:r>
        <w:lastRenderedPageBreak/>
        <w:t>Figure</w:t>
      </w:r>
      <w:r w:rsidR="004B308E">
        <w:t> </w:t>
      </w:r>
      <w:r w:rsidR="00C30B75">
        <w:t>4.1</w:t>
      </w:r>
      <w:r>
        <w:rPr>
          <w:noProof/>
        </w:rPr>
        <w:t xml:space="preserve"> </w:t>
      </w:r>
      <w:r>
        <w:t xml:space="preserve">– </w:t>
      </w:r>
      <w:r w:rsidR="00334E46">
        <w:t>Select s</w:t>
      </w:r>
      <w:r>
        <w:t>ensitivity testing results</w:t>
      </w:r>
      <w:r w:rsidR="00031DA0" w:rsidRPr="0021777C">
        <w:rPr>
          <w:b/>
          <w:vertAlign w:val="superscript"/>
        </w:rPr>
        <w:t>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9638"/>
      </w:tblGrid>
      <w:tr w:rsidR="00334E46" w:rsidRPr="005550A0" w14:paraId="14104D30" w14:textId="77777777" w:rsidTr="00334E46">
        <w:trPr>
          <w:tblHeader/>
        </w:trPr>
        <w:tc>
          <w:tcPr>
            <w:tcW w:w="5000" w:type="pct"/>
            <w:shd w:val="clear" w:color="auto" w:fill="auto"/>
          </w:tcPr>
          <w:p w14:paraId="15A91ED3" w14:textId="2089A354" w:rsidR="00334E46" w:rsidRPr="00334E46" w:rsidRDefault="00D80DC4" w:rsidP="00334E46">
            <w:pPr>
              <w:pStyle w:val="TableBody"/>
              <w:jc w:val="center"/>
              <w:rPr>
                <w:b/>
                <w:bCs/>
                <w:noProof/>
              </w:rPr>
            </w:pPr>
            <w:r>
              <w:rPr>
                <w:b/>
                <w:bCs/>
                <w:noProof/>
              </w:rPr>
              <w:t xml:space="preserve">a. </w:t>
            </w:r>
            <w:r w:rsidR="00334E46">
              <w:rPr>
                <w:b/>
                <w:bCs/>
                <w:noProof/>
              </w:rPr>
              <w:t>Simulation 1b</w:t>
            </w:r>
            <w:r w:rsidR="00733766">
              <w:rPr>
                <w:b/>
                <w:bCs/>
                <w:noProof/>
              </w:rPr>
              <w:t xml:space="preserve"> — potential productivity benefits of diffusion</w:t>
            </w:r>
          </w:p>
        </w:tc>
      </w:tr>
      <w:tr w:rsidR="00D05BA5" w:rsidRPr="005550A0" w14:paraId="3A24DA27" w14:textId="77777777" w:rsidTr="00D05BA5">
        <w:trPr>
          <w:trHeight w:val="1500"/>
          <w:tblHeader/>
        </w:trPr>
        <w:tc>
          <w:tcPr>
            <w:tcW w:w="5000" w:type="pct"/>
            <w:shd w:val="clear" w:color="auto" w:fill="auto"/>
          </w:tcPr>
          <w:p w14:paraId="25D76AF0" w14:textId="543CB415" w:rsidR="00D05BA5" w:rsidRPr="005550A0" w:rsidRDefault="007E0C40" w:rsidP="00263909">
            <w:pPr>
              <w:pStyle w:val="TableBody"/>
            </w:pPr>
            <w:r w:rsidRPr="007E0C40">
              <w:rPr>
                <w:noProof/>
              </w:rPr>
              <w:drawing>
                <wp:inline distT="0" distB="0" distL="0" distR="0" wp14:anchorId="5A009E36" wp14:editId="2767C0C6">
                  <wp:extent cx="6120130" cy="3588385"/>
                  <wp:effectExtent l="0" t="0" r="0" b="0"/>
                  <wp:docPr id="14" name="Picture 14" descr="Figure 4.1. panel a. This figure includes four charts showing changes in real GDP, equivalent variation, hours worked and real consumer wages, under different sensitivity testing assumptions for simulation 1. Changes to assumed shock sizes and constraints on factors of production had the largest effect on results. More details can be foun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4.1. panel a. This figure includes four charts showing changes in real GDP, equivalent variation, hours worked and real consumer wages, under different sensitivity testing assumptions for simulation 1. Changes to assumed shock sizes and constraints on factors of production had the largest effect on results. More details can be found in the text surrounding this figur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3588385"/>
                          </a:xfrm>
                          <a:prstGeom prst="rect">
                            <a:avLst/>
                          </a:prstGeom>
                          <a:noFill/>
                          <a:ln>
                            <a:noFill/>
                          </a:ln>
                        </pic:spPr>
                      </pic:pic>
                    </a:graphicData>
                  </a:graphic>
                </wp:inline>
              </w:drawing>
            </w:r>
          </w:p>
        </w:tc>
      </w:tr>
      <w:tr w:rsidR="00334E46" w:rsidRPr="005550A0" w14:paraId="2BD62169" w14:textId="77777777" w:rsidTr="000F72F2">
        <w:trPr>
          <w:tblHeader/>
        </w:trPr>
        <w:tc>
          <w:tcPr>
            <w:tcW w:w="5000" w:type="pct"/>
            <w:shd w:val="clear" w:color="auto" w:fill="auto"/>
          </w:tcPr>
          <w:p w14:paraId="34F165AB" w14:textId="16398FB1" w:rsidR="00334E46" w:rsidRPr="00334E46" w:rsidRDefault="00D80DC4" w:rsidP="00334E46">
            <w:pPr>
              <w:pStyle w:val="TableBody"/>
              <w:jc w:val="center"/>
              <w:rPr>
                <w:b/>
                <w:bCs/>
                <w:noProof/>
              </w:rPr>
            </w:pPr>
            <w:r>
              <w:rPr>
                <w:b/>
                <w:bCs/>
                <w:noProof/>
              </w:rPr>
              <w:t xml:space="preserve">b. </w:t>
            </w:r>
            <w:r w:rsidR="00334E46" w:rsidRPr="00334E46">
              <w:rPr>
                <w:b/>
                <w:bCs/>
                <w:noProof/>
              </w:rPr>
              <w:t>Simulation 6</w:t>
            </w:r>
            <w:r w:rsidR="00733766">
              <w:rPr>
                <w:b/>
                <w:bCs/>
                <w:noProof/>
              </w:rPr>
              <w:t xml:space="preserve"> — reducing unnecessary occupational licensing requirements</w:t>
            </w:r>
          </w:p>
        </w:tc>
      </w:tr>
      <w:tr w:rsidR="00D05BA5" w:rsidRPr="005550A0" w14:paraId="34A266AE" w14:textId="77777777" w:rsidTr="00D05BA5">
        <w:trPr>
          <w:trHeight w:val="600"/>
          <w:tblHeader/>
        </w:trPr>
        <w:tc>
          <w:tcPr>
            <w:tcW w:w="5000" w:type="pct"/>
            <w:shd w:val="clear" w:color="auto" w:fill="auto"/>
          </w:tcPr>
          <w:p w14:paraId="3C160AA0" w14:textId="03BB5684" w:rsidR="00D05BA5" w:rsidRDefault="009E64B0">
            <w:pPr>
              <w:pStyle w:val="TableBody"/>
              <w:rPr>
                <w:noProof/>
              </w:rPr>
            </w:pPr>
            <w:r w:rsidRPr="009E64B0">
              <w:rPr>
                <w:noProof/>
              </w:rPr>
              <w:drawing>
                <wp:inline distT="0" distB="0" distL="0" distR="0" wp14:anchorId="53DBA50C" wp14:editId="40E8B980">
                  <wp:extent cx="6120130" cy="3588385"/>
                  <wp:effectExtent l="0" t="0" r="0" b="0"/>
                  <wp:docPr id="15" name="Picture 15" descr="Figure 4.1. panel b. This figure includes four charts showing changes in real GDP, equivalent variation, hours worked and real consumer wages, under different sensitivity testing assumptions for simulation 6. Changes to assumed shock sizes and constraints on factors of production had the largest effect on results. More details can be foun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4.1. panel b. This figure includes four charts showing changes in real GDP, equivalent variation, hours worked and real consumer wages, under different sensitivity testing assumptions for simulation 6. Changes to assumed shock sizes and constraints on factors of production had the largest effect on results. More details can be found in the text surrounding this figur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3588385"/>
                          </a:xfrm>
                          <a:prstGeom prst="rect">
                            <a:avLst/>
                          </a:prstGeom>
                          <a:noFill/>
                          <a:ln>
                            <a:noFill/>
                          </a:ln>
                        </pic:spPr>
                      </pic:pic>
                    </a:graphicData>
                  </a:graphic>
                </wp:inline>
              </w:drawing>
            </w:r>
          </w:p>
        </w:tc>
      </w:tr>
    </w:tbl>
    <w:p w14:paraId="47DCD352" w14:textId="08ED258E" w:rsidR="00051B07" w:rsidRPr="001773D1" w:rsidRDefault="001773D1" w:rsidP="0021777C">
      <w:pPr>
        <w:pStyle w:val="Note"/>
      </w:pPr>
      <w:r w:rsidRPr="0021777C">
        <w:rPr>
          <w:b/>
        </w:rPr>
        <w:t>a.</w:t>
      </w:r>
      <w:r>
        <w:t xml:space="preserve"> The vertical grey line indicates the </w:t>
      </w:r>
      <w:r w:rsidR="00897069">
        <w:t xml:space="preserve">value of the variable under the </w:t>
      </w:r>
      <w:r w:rsidR="00A92B5F">
        <w:t>original</w:t>
      </w:r>
      <w:r w:rsidR="00897069">
        <w:t xml:space="preserve"> shock size and model assumptions.</w:t>
      </w:r>
      <w:r w:rsidR="0097605E">
        <w:t xml:space="preserve"> </w:t>
      </w:r>
      <w:r w:rsidR="0097605E" w:rsidRPr="0097605E">
        <w:t xml:space="preserve">The points indicate the values under different sensitivity tests, with the horizontal lines highlighting the difference between these values and the values for the </w:t>
      </w:r>
      <w:r w:rsidR="00A92B5F">
        <w:t>original</w:t>
      </w:r>
      <w:r w:rsidR="0097605E" w:rsidRPr="0097605E">
        <w:t xml:space="preserve"> shock.</w:t>
      </w:r>
    </w:p>
    <w:p w14:paraId="6D452ED9" w14:textId="77777777" w:rsidR="00EA1F83" w:rsidRDefault="00E621A1" w:rsidP="004C6AC5">
      <w:pPr>
        <w:pStyle w:val="Source"/>
        <w:sectPr w:rsidR="00EA1F83" w:rsidSect="00DD403A">
          <w:headerReference w:type="default" r:id="rId46"/>
          <w:type w:val="oddPage"/>
          <w:pgSz w:w="11906" w:h="16838" w:code="9"/>
          <w:pgMar w:top="1134" w:right="1134" w:bottom="1134" w:left="1134" w:header="794" w:footer="510" w:gutter="0"/>
          <w:cols w:space="708"/>
          <w:docGrid w:linePitch="360"/>
        </w:sectPr>
      </w:pPr>
      <w:r w:rsidRPr="00696447">
        <w:t>Source:</w:t>
      </w:r>
      <w:r w:rsidR="00F45932">
        <w:t xml:space="preserve"> </w:t>
      </w:r>
      <w:r w:rsidR="000F72F2">
        <w:t>Commission estimates</w:t>
      </w:r>
      <w:r w:rsidRPr="00696447">
        <w:t>.</w:t>
      </w:r>
      <w:bookmarkEnd w:id="25"/>
    </w:p>
    <w:p w14:paraId="239984B7" w14:textId="4A2260C8" w:rsidR="00C4682B" w:rsidRDefault="00EB41FE" w:rsidP="00DD403A">
      <w:pPr>
        <w:pStyle w:val="Heading1"/>
      </w:pPr>
      <w:r>
        <w:lastRenderedPageBreak/>
        <w:tab/>
      </w:r>
      <w:bookmarkStart w:id="26" w:name="_Toc126176835"/>
      <w:r w:rsidR="00C4682B" w:rsidRPr="00F63C61">
        <w:t>Model equations</w:t>
      </w:r>
      <w:bookmarkEnd w:id="26"/>
    </w:p>
    <w:p w14:paraId="1076C0D8" w14:textId="1D4AED6C" w:rsidR="001E7CA4" w:rsidRDefault="001E7CA4" w:rsidP="00A52534">
      <w:pPr>
        <w:pStyle w:val="BodyText"/>
      </w:pPr>
      <w:r>
        <w:t>Simple representations of the key equations underlying the model are shown in table</w:t>
      </w:r>
      <w:r w:rsidR="004B308E">
        <w:t> </w:t>
      </w:r>
      <w:r w:rsidR="00364620">
        <w:t>5</w:t>
      </w:r>
      <w:r w:rsidR="00C30B75">
        <w:t>.1</w:t>
      </w:r>
      <w:r>
        <w:t xml:space="preserve">. </w:t>
      </w:r>
      <w:r w:rsidR="00407E8E">
        <w:t xml:space="preserve">These </w:t>
      </w:r>
      <w:r w:rsidR="00F46626">
        <w:t xml:space="preserve">complement the </w:t>
      </w:r>
      <w:r w:rsidR="00A52534">
        <w:t xml:space="preserve">high level diagrams showing the model structure in </w:t>
      </w:r>
      <w:r w:rsidR="00D95E13">
        <w:t>chapter</w:t>
      </w:r>
      <w:r w:rsidR="004B308E">
        <w:t> </w:t>
      </w:r>
      <w:r w:rsidR="00A52534">
        <w:t>1.</w:t>
      </w:r>
      <w:r w:rsidR="00407E8E">
        <w:t xml:space="preserve"> </w:t>
      </w:r>
      <w:r w:rsidR="003E6B58">
        <w:t>T</w:t>
      </w:r>
      <w:r w:rsidR="00B36B04">
        <w:t>he</w:t>
      </w:r>
      <w:r w:rsidR="00A66925">
        <w:t>se</w:t>
      </w:r>
      <w:r w:rsidR="00B36B04">
        <w:t xml:space="preserve"> equations</w:t>
      </w:r>
      <w:r w:rsidR="00A66925">
        <w:t xml:space="preserve"> are not in the </w:t>
      </w:r>
      <w:r w:rsidR="008D4D57">
        <w:t>same</w:t>
      </w:r>
      <w:r w:rsidR="00A66925">
        <w:t xml:space="preserve"> form as they </w:t>
      </w:r>
      <w:r w:rsidR="00A64256">
        <w:t xml:space="preserve">have been included in the GAMS code, which </w:t>
      </w:r>
      <w:r w:rsidR="008D4D57">
        <w:t>were</w:t>
      </w:r>
      <w:r w:rsidR="00A64256">
        <w:t xml:space="preserve"> written as mixed complementarity problems with paired equations and variables.</w:t>
      </w:r>
    </w:p>
    <w:p w14:paraId="36D0D877" w14:textId="77777777" w:rsidR="001E7CA4" w:rsidRPr="0013726F" w:rsidRDefault="001E7CA4" w:rsidP="001E7CA4">
      <w:pPr>
        <w:pStyle w:val="BodyText"/>
      </w:pPr>
      <w:r w:rsidRPr="0013726F">
        <w:t>Subscripts refer to various dimensions in the model:</w:t>
      </w:r>
    </w:p>
    <w:p w14:paraId="050D1757" w14:textId="77777777" w:rsidR="001E7CA4" w:rsidRDefault="001E7CA4" w:rsidP="001E7CA4">
      <w:pPr>
        <w:pStyle w:val="ListBullet"/>
        <w:spacing w:line="259" w:lineRule="auto"/>
        <w:ind w:left="340" w:hanging="340"/>
      </w:pPr>
      <w:r w:rsidRPr="00FB63F4">
        <w:t>c — commodities or industries</w:t>
      </w:r>
    </w:p>
    <w:p w14:paraId="0D314460" w14:textId="77777777" w:rsidR="001E7CA4" w:rsidRPr="00FB63F4" w:rsidRDefault="001E7CA4" w:rsidP="001E7CA4">
      <w:pPr>
        <w:pStyle w:val="ListBullet"/>
        <w:spacing w:line="259" w:lineRule="auto"/>
        <w:ind w:left="340" w:hanging="340"/>
      </w:pPr>
      <w:r>
        <w:t>e — education level</w:t>
      </w:r>
    </w:p>
    <w:p w14:paraId="3618C6E8" w14:textId="59C8B269" w:rsidR="001E7CA4" w:rsidRPr="00FB63F4" w:rsidRDefault="001E7CA4" w:rsidP="001E7CA4">
      <w:pPr>
        <w:pStyle w:val="ListBullet"/>
        <w:spacing w:line="259" w:lineRule="auto"/>
        <w:ind w:left="340" w:hanging="340"/>
      </w:pPr>
      <w:r w:rsidRPr="00FB63F4">
        <w:t>l —</w:t>
      </w:r>
      <w:r w:rsidR="0011026B">
        <w:t xml:space="preserve"> </w:t>
      </w:r>
      <w:r w:rsidRPr="00FB63F4">
        <w:t xml:space="preserve">individual </w:t>
      </w:r>
      <w:r w:rsidR="00105E2E">
        <w:t>groups</w:t>
      </w:r>
      <w:r w:rsidR="00424CA5">
        <w:t xml:space="preserve"> of different age</w:t>
      </w:r>
      <w:r w:rsidR="0011026B">
        <w:t xml:space="preserve"> group</w:t>
      </w:r>
      <w:r w:rsidR="00424CA5">
        <w:t xml:space="preserve">, sex and education </w:t>
      </w:r>
      <w:r w:rsidR="0011026B">
        <w:t xml:space="preserve">level </w:t>
      </w:r>
      <w:r w:rsidR="00424CA5">
        <w:t>combinations</w:t>
      </w:r>
    </w:p>
    <w:p w14:paraId="072ED892" w14:textId="671E8A71" w:rsidR="001E7CA4" w:rsidRPr="00FB63F4" w:rsidRDefault="001E7CA4" w:rsidP="001E7CA4">
      <w:pPr>
        <w:pStyle w:val="ListBullet"/>
        <w:spacing w:line="259" w:lineRule="auto"/>
        <w:ind w:left="340" w:hanging="340"/>
      </w:pPr>
      <w:r w:rsidRPr="00FB63F4">
        <w:t xml:space="preserve">s — source of commodity (domestic </w:t>
      </w:r>
      <w:r w:rsidR="003D5363">
        <w:t xml:space="preserve">‘DOM’ </w:t>
      </w:r>
      <w:r w:rsidRPr="00FB63F4">
        <w:t>or imported</w:t>
      </w:r>
      <w:r w:rsidR="003D5363">
        <w:t xml:space="preserve"> ‘IMP’</w:t>
      </w:r>
      <w:r w:rsidRPr="00FB63F4">
        <w:t>)</w:t>
      </w:r>
    </w:p>
    <w:p w14:paraId="2B37161B" w14:textId="51A18F76" w:rsidR="001E7CA4" w:rsidRPr="00FB63F4" w:rsidRDefault="001E7CA4" w:rsidP="001E7CA4">
      <w:pPr>
        <w:pStyle w:val="ListBullet"/>
        <w:spacing w:line="259" w:lineRule="auto"/>
        <w:ind w:left="340" w:hanging="340"/>
      </w:pPr>
      <w:r w:rsidRPr="00FB63F4">
        <w:t xml:space="preserve">u — user </w:t>
      </w:r>
      <w:r w:rsidR="00D21634">
        <w:t>of domestic and imported commodities</w:t>
      </w:r>
      <w:r w:rsidRPr="00FB63F4">
        <w:t xml:space="preserve"> (industries, household sector</w:t>
      </w:r>
      <w:r w:rsidR="00850C82">
        <w:t xml:space="preserve"> ‘HH’</w:t>
      </w:r>
      <w:r w:rsidRPr="00FB63F4">
        <w:t>, government</w:t>
      </w:r>
      <w:r w:rsidR="00105E2E">
        <w:t xml:space="preserve"> sector</w:t>
      </w:r>
      <w:r w:rsidR="00850C82">
        <w:t xml:space="preserve"> ‘GOV’</w:t>
      </w:r>
      <w:r w:rsidRPr="00FB63F4">
        <w:t>, investment sector</w:t>
      </w:r>
      <w:r w:rsidR="00850C82">
        <w:t xml:space="preserve"> ‘INV’</w:t>
      </w:r>
      <w:r w:rsidRPr="00FB63F4">
        <w:t>)</w:t>
      </w:r>
      <w:r>
        <w:t>.</w:t>
      </w:r>
    </w:p>
    <w:p w14:paraId="7B57E511" w14:textId="77777777" w:rsidR="001E7CA4" w:rsidRPr="0013726F" w:rsidRDefault="001E7CA4" w:rsidP="001E7CA4">
      <w:pPr>
        <w:pStyle w:val="BodyText"/>
      </w:pPr>
      <w:r w:rsidRPr="0013726F">
        <w:t>Text colour refers to types of variables or parameters:</w:t>
      </w:r>
    </w:p>
    <w:p w14:paraId="75FBC684" w14:textId="77777777" w:rsidR="001E7CA4" w:rsidRPr="0013726F" w:rsidRDefault="001E7CA4" w:rsidP="001E7CA4">
      <w:pPr>
        <w:pStyle w:val="ListBullet"/>
        <w:spacing w:line="259" w:lineRule="auto"/>
        <w:ind w:left="340" w:hanging="340"/>
      </w:pPr>
      <w:r w:rsidRPr="0013726F">
        <w:t>black — endogenous variables</w:t>
      </w:r>
    </w:p>
    <w:p w14:paraId="56FBB435" w14:textId="0AAD1B6A" w:rsidR="001E7CA4" w:rsidRPr="003844D9" w:rsidRDefault="003844D9" w:rsidP="001E7CA4">
      <w:pPr>
        <w:pStyle w:val="ListBullet"/>
        <w:spacing w:line="259" w:lineRule="auto"/>
        <w:ind w:left="340" w:hanging="340"/>
        <w:rPr>
          <w:color w:val="265A9A" w:themeColor="background2"/>
        </w:rPr>
      </w:pPr>
      <w:r w:rsidRPr="003844D9">
        <w:rPr>
          <w:color w:val="265A9A" w:themeColor="background2"/>
        </w:rPr>
        <w:t>blue</w:t>
      </w:r>
      <w:r w:rsidR="001E7CA4" w:rsidRPr="003844D9">
        <w:rPr>
          <w:color w:val="265A9A" w:themeColor="background2"/>
        </w:rPr>
        <w:t xml:space="preserve"> — exogenous variables</w:t>
      </w:r>
    </w:p>
    <w:p w14:paraId="113D31A5" w14:textId="0198E238" w:rsidR="001E7CA4" w:rsidRDefault="001E7CA4" w:rsidP="001E7CA4">
      <w:pPr>
        <w:pStyle w:val="ListBullet"/>
        <w:spacing w:line="259" w:lineRule="auto"/>
        <w:ind w:left="340" w:hanging="340"/>
        <w:rPr>
          <w:color w:val="4D7028" w:themeColor="accent2"/>
        </w:rPr>
      </w:pPr>
      <w:r w:rsidRPr="0013726F">
        <w:rPr>
          <w:color w:val="4D7028" w:themeColor="accent2"/>
        </w:rPr>
        <w:t>green — parameters</w:t>
      </w:r>
      <w:r w:rsidR="00CD433B">
        <w:rPr>
          <w:color w:val="4D7028" w:themeColor="accent2"/>
        </w:rPr>
        <w:t xml:space="preserve"> (select parameters shown only)</w:t>
      </w:r>
      <w:r w:rsidRPr="0013726F">
        <w:rPr>
          <w:color w:val="4D7028" w:themeColor="accent2"/>
        </w:rPr>
        <w:t>.</w:t>
      </w:r>
    </w:p>
    <w:p w14:paraId="73A638FE" w14:textId="283FDB86" w:rsidR="001E7CA4" w:rsidRPr="001C228E" w:rsidRDefault="001E7CA4" w:rsidP="001E7CA4">
      <w:pPr>
        <w:pStyle w:val="BodyText"/>
      </w:pPr>
      <w:r>
        <w:t>When markets clear, demand quantities (denoted by Q</w:t>
      </w:r>
      <w:r w:rsidR="009E3AAB">
        <w:rPr>
          <w:vertAlign w:val="superscript"/>
        </w:rPr>
        <w:t>DEM</w:t>
      </w:r>
      <w:r>
        <w:t>) equal supply quantities (</w:t>
      </w:r>
      <w:r w:rsidR="009E3AAB">
        <w:t>Q</w:t>
      </w:r>
      <w:r w:rsidR="009E3AAB">
        <w:rPr>
          <w:vertAlign w:val="superscript"/>
        </w:rPr>
        <w:t>SUP</w:t>
      </w:r>
      <w:r>
        <w:t>), and demand prices (purchaser prices, P</w:t>
      </w:r>
      <w:r w:rsidR="002D7964">
        <w:rPr>
          <w:vertAlign w:val="superscript"/>
        </w:rPr>
        <w:t>DEM</w:t>
      </w:r>
      <w:r>
        <w:t>) equal supply prices (basic prices, P</w:t>
      </w:r>
      <w:r w:rsidR="002D7964">
        <w:rPr>
          <w:vertAlign w:val="superscript"/>
        </w:rPr>
        <w:t>SUP</w:t>
      </w:r>
      <w:r>
        <w:t>) which are also equal to marginal costs. In some parts of the model, where there are taxes or price floors, demand and supply quantities and prices may not equal (noted in the table below).</w:t>
      </w:r>
    </w:p>
    <w:p w14:paraId="4AE54F00" w14:textId="3212F0DD" w:rsidR="001E7CA4" w:rsidRDefault="001E7CA4" w:rsidP="001E7CA4">
      <w:pPr>
        <w:pStyle w:val="FigureTableHeading"/>
      </w:pPr>
      <w:r>
        <w:t>Table</w:t>
      </w:r>
      <w:r w:rsidR="004B308E">
        <w:t> </w:t>
      </w:r>
      <w:r w:rsidR="00C30B75">
        <w:t>5.1</w:t>
      </w:r>
      <w:r>
        <w:rPr>
          <w:noProof/>
        </w:rPr>
        <w:t xml:space="preserve"> – </w:t>
      </w:r>
      <w:r w:rsidR="00407E8E">
        <w:rPr>
          <w:noProof/>
        </w:rPr>
        <w:t xml:space="preserve">Simple representations of model </w:t>
      </w:r>
      <w:r w:rsidR="00407E8E">
        <w:t>e</w:t>
      </w:r>
      <w:r>
        <w:t>quations for key variables</w:t>
      </w:r>
    </w:p>
    <w:tbl>
      <w:tblPr>
        <w:tblW w:w="5000" w:type="pct"/>
        <w:tblBorders>
          <w:bottom w:val="single" w:sz="4" w:space="0" w:color="B3B3B3"/>
          <w:insideH w:val="single" w:sz="4" w:space="0" w:color="B3B3B3"/>
        </w:tblBorders>
        <w:shd w:val="clear" w:color="000000" w:fill="auto"/>
        <w:tblCellMar>
          <w:left w:w="0" w:type="dxa"/>
          <w:right w:w="0"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false,&quot;BandedColumns&quot;:false},&quot;Aaf&quot;:false}"/>
      </w:tblPr>
      <w:tblGrid>
        <w:gridCol w:w="461"/>
        <w:gridCol w:w="9177"/>
      </w:tblGrid>
      <w:tr w:rsidR="001E7CA4" w:rsidRPr="00030C67" w14:paraId="0495F70C" w14:textId="77777777" w:rsidTr="00D44823">
        <w:trPr>
          <w:cantSplit/>
          <w:tblHeader/>
        </w:trPr>
        <w:tc>
          <w:tcPr>
            <w:tcW w:w="239" w:type="pct"/>
            <w:shd w:val="clear" w:color="000000" w:fill="auto"/>
            <w:vAlign w:val="bottom"/>
          </w:tcPr>
          <w:p w14:paraId="5A148E09" w14:textId="77777777" w:rsidR="001E7CA4" w:rsidRPr="000224EE" w:rsidRDefault="001E7CA4" w:rsidP="000224EE">
            <w:pPr>
              <w:pStyle w:val="TableBody"/>
              <w:spacing w:before="45" w:after="45"/>
              <w:ind w:right="108"/>
              <w:rPr>
                <w:rFonts w:ascii="Arial (Body)" w:hAnsi="Arial (Body)"/>
                <w:b/>
                <w:color w:val="265A9A"/>
              </w:rPr>
            </w:pPr>
          </w:p>
        </w:tc>
        <w:tc>
          <w:tcPr>
            <w:tcW w:w="4761" w:type="pct"/>
            <w:shd w:val="clear" w:color="000000" w:fill="auto"/>
            <w:vAlign w:val="bottom"/>
          </w:tcPr>
          <w:p w14:paraId="6199E3B5" w14:textId="3ED31087" w:rsidR="001E7CA4" w:rsidRPr="000224EE" w:rsidRDefault="00364620" w:rsidP="000224EE">
            <w:pPr>
              <w:pStyle w:val="TableBody"/>
              <w:spacing w:before="45" w:after="45"/>
              <w:ind w:right="108"/>
              <w:rPr>
                <w:rFonts w:ascii="Arial (Body)" w:hAnsi="Arial (Body)"/>
                <w:b/>
                <w:color w:val="265A9A"/>
              </w:rPr>
            </w:pPr>
            <w:r>
              <w:rPr>
                <w:rFonts w:ascii="Arial (Body)" w:hAnsi="Arial (Body)"/>
                <w:b/>
                <w:bCs/>
                <w:color w:val="265A9A"/>
              </w:rPr>
              <w:t>Equation</w:t>
            </w:r>
          </w:p>
        </w:tc>
      </w:tr>
      <w:tr w:rsidR="00B44E97" w:rsidRPr="000224EE" w14:paraId="1BBA2AE1" w14:textId="77777777" w:rsidTr="00D44823">
        <w:trPr>
          <w:cantSplit/>
        </w:trPr>
        <w:tc>
          <w:tcPr>
            <w:tcW w:w="239" w:type="pct"/>
            <w:tcBorders>
              <w:bottom w:val="nil"/>
            </w:tcBorders>
            <w:shd w:val="clear" w:color="auto" w:fill="F2F2F2" w:themeFill="background1" w:themeFillShade="F2"/>
          </w:tcPr>
          <w:p w14:paraId="1EE70EC7" w14:textId="77777777" w:rsidR="00B44E97" w:rsidRPr="000224EE" w:rsidRDefault="00B44E97" w:rsidP="008E5700">
            <w:pPr>
              <w:pStyle w:val="TableBody"/>
              <w:numPr>
                <w:ilvl w:val="0"/>
                <w:numId w:val="10"/>
              </w:numPr>
              <w:spacing w:before="45" w:after="45"/>
              <w:ind w:left="57" w:right="108"/>
              <w:rPr>
                <w:rFonts w:ascii="Arial (Body)" w:hAnsi="Arial (Body)"/>
                <w:b/>
                <w:color w:val="265A9A"/>
              </w:rPr>
            </w:pPr>
          </w:p>
        </w:tc>
        <w:tc>
          <w:tcPr>
            <w:tcW w:w="4761" w:type="pct"/>
            <w:tcBorders>
              <w:bottom w:val="nil"/>
            </w:tcBorders>
            <w:shd w:val="clear" w:color="auto" w:fill="F2F2F2" w:themeFill="background1" w:themeFillShade="F2"/>
          </w:tcPr>
          <w:p w14:paraId="212EB7A5" w14:textId="1F6C78FF" w:rsidR="00B44E97" w:rsidRPr="000224EE" w:rsidRDefault="00D44823" w:rsidP="0082759C">
            <w:pPr>
              <w:pStyle w:val="TableHeading"/>
              <w:rPr>
                <w:rFonts w:ascii="Arial (Body)" w:hAnsi="Arial (Body)"/>
                <w:color w:val="000000"/>
              </w:rPr>
            </w:pPr>
            <w:r>
              <w:rPr>
                <w:rFonts w:eastAsiaTheme="minorEastAsia"/>
                <w:bCs/>
                <w:color w:val="000000"/>
              </w:rPr>
              <w:t>Individual groups and labour supply in h</w:t>
            </w:r>
            <w:r w:rsidRPr="0082759C">
              <w:rPr>
                <w:rFonts w:eastAsiaTheme="minorEastAsia"/>
                <w:bCs/>
                <w:color w:val="000000"/>
              </w:rPr>
              <w:t xml:space="preserve">ousehold sector </w:t>
            </w:r>
          </w:p>
        </w:tc>
      </w:tr>
      <w:tr w:rsidR="001E7CA4" w:rsidRPr="00030C67" w14:paraId="715A1C67" w14:textId="77777777" w:rsidTr="00F73778">
        <w:trPr>
          <w:cantSplit/>
        </w:trPr>
        <w:tc>
          <w:tcPr>
            <w:tcW w:w="239" w:type="pct"/>
            <w:tcBorders>
              <w:top w:val="nil"/>
              <w:bottom w:val="nil"/>
            </w:tcBorders>
            <w:shd w:val="clear" w:color="000000" w:fill="auto"/>
          </w:tcPr>
          <w:p w14:paraId="08334122" w14:textId="525B218F" w:rsidR="001E7CA4" w:rsidRPr="000224EE" w:rsidRDefault="00053E5D" w:rsidP="008E5700">
            <w:pPr>
              <w:pStyle w:val="TableBody"/>
              <w:numPr>
                <w:ilvl w:val="0"/>
                <w:numId w:val="10"/>
              </w:numPr>
              <w:spacing w:before="45" w:after="45"/>
              <w:ind w:left="57" w:right="108"/>
              <w:rPr>
                <w:rFonts w:ascii="Arial (Body)" w:hAnsi="Arial (Body)"/>
                <w:b/>
                <w:color w:val="265A9A"/>
              </w:rPr>
            </w:pPr>
            <w:r>
              <w:rPr>
                <w:rFonts w:ascii="Arial (Body)" w:hAnsi="Arial (Body)"/>
                <w:b/>
                <w:color w:val="265A9A"/>
              </w:rPr>
              <w:t>1.</w:t>
            </w:r>
          </w:p>
        </w:tc>
        <w:tc>
          <w:tcPr>
            <w:tcW w:w="4761" w:type="pct"/>
            <w:tcBorders>
              <w:top w:val="nil"/>
              <w:bottom w:val="nil"/>
            </w:tcBorders>
            <w:shd w:val="clear" w:color="000000" w:fill="auto"/>
          </w:tcPr>
          <w:p w14:paraId="31566A8D" w14:textId="76283209" w:rsidR="001E7CA4" w:rsidRPr="000224EE" w:rsidRDefault="001E7CA4" w:rsidP="00F73778">
            <w:pPr>
              <w:pStyle w:val="TableBody"/>
              <w:spacing w:before="45" w:after="45"/>
              <w:ind w:right="108"/>
              <w:rPr>
                <w:rFonts w:ascii="Arial (Body)" w:hAnsi="Arial (Body)"/>
                <w:color w:val="000000"/>
              </w:rPr>
            </w:pPr>
            <w:r w:rsidRPr="000224EE">
              <w:rPr>
                <w:rFonts w:ascii="Arial (Body)" w:hAnsi="Arial (Body)"/>
                <w:color w:val="000000"/>
              </w:rPr>
              <w:t xml:space="preserve">Desired </w:t>
            </w:r>
            <w:r w:rsidR="00D44823">
              <w:rPr>
                <w:rFonts w:ascii="Arial (Body)" w:hAnsi="Arial (Body)"/>
                <w:color w:val="000000"/>
              </w:rPr>
              <w:t>quantity of</w:t>
            </w:r>
            <w:r w:rsidR="00D44823" w:rsidRPr="000224EE">
              <w:rPr>
                <w:rFonts w:ascii="Arial (Body)" w:hAnsi="Arial (Body)"/>
                <w:color w:val="000000"/>
              </w:rPr>
              <w:t xml:space="preserve"> </w:t>
            </w:r>
            <w:r w:rsidR="00D44823">
              <w:rPr>
                <w:rFonts w:ascii="Arial (Body)" w:hAnsi="Arial (Body)"/>
                <w:color w:val="000000"/>
              </w:rPr>
              <w:t xml:space="preserve">composite </w:t>
            </w:r>
            <w:r w:rsidRPr="000224EE">
              <w:rPr>
                <w:rFonts w:ascii="Arial (Body)" w:hAnsi="Arial (Body)"/>
                <w:color w:val="000000"/>
              </w:rPr>
              <w:t xml:space="preserve">consumption </w:t>
            </w:r>
            <w:r w:rsidR="00D44823">
              <w:rPr>
                <w:rFonts w:ascii="Arial (Body)" w:hAnsi="Arial (Body)"/>
                <w:color w:val="000000"/>
              </w:rPr>
              <w:t>bundle</w:t>
            </w:r>
            <w:r w:rsidR="00D44823" w:rsidRPr="000224EE">
              <w:rPr>
                <w:rFonts w:ascii="Arial (Body)" w:hAnsi="Arial (Body)"/>
                <w:color w:val="000000"/>
              </w:rPr>
              <w:t xml:space="preserve"> </w:t>
            </w:r>
            <w:r w:rsidRPr="000224EE">
              <w:rPr>
                <w:rFonts w:ascii="Arial (Body)" w:hAnsi="Arial (Body)"/>
                <w:color w:val="000000"/>
              </w:rPr>
              <w:t xml:space="preserve">per </w:t>
            </w:r>
            <w:r w:rsidR="00E30A36">
              <w:rPr>
                <w:rFonts w:ascii="Arial (Body)" w:hAnsi="Arial (Body)"/>
                <w:color w:val="000000"/>
              </w:rPr>
              <w:t>individual group</w:t>
            </w:r>
            <w:r w:rsidR="00D44823">
              <w:rPr>
                <w:rFonts w:ascii="Arial (Body)" w:hAnsi="Arial (Body)"/>
                <w:color w:val="000000"/>
              </w:rPr>
              <w:t>, via utility maximisation</w:t>
            </w:r>
          </w:p>
          <w:p w14:paraId="5B427BB6" w14:textId="38D5B34D" w:rsidR="001E7CA4" w:rsidRPr="00F73778" w:rsidRDefault="00000000" w:rsidP="00F73778">
            <w:pPr>
              <w:pStyle w:val="TableBody"/>
              <w:spacing w:before="45" w:after="45"/>
              <w:ind w:right="108"/>
              <w:rPr>
                <w:rFonts w:ascii="Arial (Body)" w:hAnsi="Arial (Body)"/>
                <w:color w:val="000000"/>
              </w:rPr>
            </w:pPr>
            <m:oMathPara>
              <m:oMathParaPr>
                <m:jc m:val="left"/>
              </m:oMathParaPr>
              <m:oMath>
                <m:sSubSup>
                  <m:sSubSupPr>
                    <m:ctrlPr>
                      <w:rPr>
                        <w:rFonts w:ascii="Cambria Math" w:hAnsi="Cambria Math"/>
                        <w:i/>
                        <w:color w:val="000000"/>
                      </w:rPr>
                    </m:ctrlPr>
                  </m:sSubSupPr>
                  <m:e>
                    <m:r>
                      <w:rPr>
                        <w:rFonts w:ascii="Cambria Math" w:hAnsi="Cambria Math"/>
                        <w:color w:val="000000"/>
                      </w:rPr>
                      <m:t>DesiredCompConsQ</m:t>
                    </m:r>
                  </m:e>
                  <m:sub>
                    <m:r>
                      <w:rPr>
                        <w:rFonts w:ascii="Cambria Math" w:hAnsi="Cambria Math"/>
                        <w:color w:val="000000"/>
                      </w:rPr>
                      <m:t>l</m:t>
                    </m:r>
                  </m:sub>
                  <m:sup>
                    <m:r>
                      <w:rPr>
                        <w:rFonts w:ascii="Cambria Math" w:hAnsi="Cambria Math"/>
                        <w:color w:val="000000"/>
                      </w:rPr>
                      <m:t>DEM</m:t>
                    </m:r>
                  </m:sup>
                </m:sSubSup>
                <m:r>
                  <w:rPr>
                    <w:rFonts w:ascii="Cambria Math" w:hAnsi="Cambria Math"/>
                    <w:color w:val="000000"/>
                  </w:rPr>
                  <m:t>=CES</m:t>
                </m:r>
                <m:d>
                  <m:dPr>
                    <m:ctrlPr>
                      <w:rPr>
                        <w:rFonts w:ascii="Cambria Math" w:hAnsi="Cambria Math"/>
                        <w:i/>
                        <w:iCs/>
                        <w:color w:val="000000"/>
                      </w:rPr>
                    </m:ctrlPr>
                  </m:dPr>
                  <m:e>
                    <m:r>
                      <w:rPr>
                        <w:rFonts w:ascii="Cambria Math" w:hAnsi="Cambria Math"/>
                        <w:color w:val="000000"/>
                      </w:rPr>
                      <m:t>DesiredIn</m:t>
                    </m:r>
                    <m:sSub>
                      <m:sSubPr>
                        <m:ctrlPr>
                          <w:rPr>
                            <w:rFonts w:ascii="Cambria Math" w:hAnsi="Cambria Math"/>
                            <w:i/>
                            <w:iCs/>
                            <w:color w:val="000000"/>
                          </w:rPr>
                        </m:ctrlPr>
                      </m:sSubPr>
                      <m:e>
                        <m:r>
                          <w:rPr>
                            <w:rFonts w:ascii="Cambria Math" w:hAnsi="Cambria Math"/>
                            <w:color w:val="000000"/>
                          </w:rPr>
                          <m:t>c</m:t>
                        </m:r>
                      </m:e>
                      <m:sub>
                        <m:r>
                          <w:rPr>
                            <w:rFonts w:ascii="Cambria Math" w:hAnsi="Cambria Math"/>
                            <w:color w:val="000000"/>
                          </w:rPr>
                          <m:t>l</m:t>
                        </m:r>
                      </m:sub>
                    </m:sSub>
                    <m:r>
                      <w:rPr>
                        <w:rFonts w:ascii="Cambria Math" w:hAnsi="Cambria Math"/>
                        <w:color w:val="000000"/>
                      </w:rPr>
                      <m:t xml:space="preserve">, </m:t>
                    </m:r>
                    <m:sSubSup>
                      <m:sSubSupPr>
                        <m:ctrlPr>
                          <w:rPr>
                            <w:rFonts w:ascii="Cambria Math" w:hAnsi="Cambria Math"/>
                            <w:i/>
                            <w:color w:val="000000"/>
                          </w:rPr>
                        </m:ctrlPr>
                      </m:sSubSupPr>
                      <m:e>
                        <m:r>
                          <w:rPr>
                            <w:rFonts w:ascii="Cambria Math" w:hAnsi="Cambria Math"/>
                            <w:color w:val="000000"/>
                          </w:rPr>
                          <m:t>GroupCompConsP</m:t>
                        </m:r>
                      </m:e>
                      <m:sub>
                        <m:r>
                          <w:rPr>
                            <w:rFonts w:ascii="Cambria Math" w:hAnsi="Cambria Math"/>
                            <w:color w:val="000000"/>
                          </w:rPr>
                          <m:t>l</m:t>
                        </m:r>
                      </m:sub>
                      <m:sup>
                        <m:r>
                          <w:rPr>
                            <w:rFonts w:ascii="Cambria Math" w:hAnsi="Cambria Math"/>
                            <w:color w:val="000000"/>
                          </w:rPr>
                          <m:t>DEM</m:t>
                        </m:r>
                      </m:sup>
                    </m:sSubSup>
                    <m:r>
                      <w:rPr>
                        <w:rFonts w:ascii="Cambria Math" w:hAnsi="Cambria Math"/>
                        <w:color w:val="000000"/>
                      </w:rPr>
                      <m:t>, Lab</m:t>
                    </m:r>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l</m:t>
                        </m:r>
                      </m:sub>
                      <m:sup>
                        <m:r>
                          <w:rPr>
                            <w:rFonts w:ascii="Cambria Math" w:hAnsi="Cambria Math"/>
                            <w:color w:val="000000"/>
                          </w:rPr>
                          <m:t>SUP</m:t>
                        </m:r>
                      </m:sup>
                    </m:sSubSup>
                  </m:e>
                </m:d>
              </m:oMath>
            </m:oMathPara>
          </w:p>
        </w:tc>
      </w:tr>
      <w:tr w:rsidR="001E7CA4" w:rsidRPr="00030C67" w14:paraId="327AD782" w14:textId="77777777" w:rsidTr="00F73778">
        <w:trPr>
          <w:cantSplit/>
        </w:trPr>
        <w:tc>
          <w:tcPr>
            <w:tcW w:w="239" w:type="pct"/>
            <w:tcBorders>
              <w:top w:val="nil"/>
              <w:bottom w:val="nil"/>
            </w:tcBorders>
            <w:shd w:val="clear" w:color="000000" w:fill="auto"/>
          </w:tcPr>
          <w:p w14:paraId="29008944" w14:textId="0D2A24BD" w:rsidR="001E7CA4" w:rsidRPr="000224EE" w:rsidRDefault="00D44823" w:rsidP="008E5700">
            <w:pPr>
              <w:pStyle w:val="TableBody"/>
              <w:numPr>
                <w:ilvl w:val="0"/>
                <w:numId w:val="10"/>
              </w:numPr>
              <w:spacing w:before="45" w:after="45"/>
              <w:ind w:left="57" w:right="108"/>
              <w:rPr>
                <w:rFonts w:ascii="Arial (Body)" w:hAnsi="Arial (Body)"/>
                <w:b/>
                <w:color w:val="265A9A"/>
              </w:rPr>
            </w:pPr>
            <w:r>
              <w:rPr>
                <w:rFonts w:ascii="Arial (Body)" w:hAnsi="Arial (Body)"/>
                <w:b/>
                <w:color w:val="265A9A"/>
              </w:rPr>
              <w:t>2.</w:t>
            </w:r>
          </w:p>
        </w:tc>
        <w:tc>
          <w:tcPr>
            <w:tcW w:w="4761" w:type="pct"/>
            <w:tcBorders>
              <w:top w:val="nil"/>
              <w:bottom w:val="nil"/>
            </w:tcBorders>
            <w:shd w:val="clear" w:color="000000" w:fill="auto"/>
          </w:tcPr>
          <w:p w14:paraId="149EB445" w14:textId="4ED1240D" w:rsidR="001E7CA4" w:rsidRPr="000224EE" w:rsidRDefault="001E7CA4" w:rsidP="00F73778">
            <w:pPr>
              <w:pStyle w:val="TableBody"/>
              <w:spacing w:before="45" w:after="45"/>
              <w:ind w:right="108"/>
              <w:rPr>
                <w:rFonts w:ascii="Arial (Body)" w:hAnsi="Arial (Body)"/>
                <w:color w:val="000000"/>
              </w:rPr>
            </w:pPr>
            <w:r w:rsidRPr="000224EE">
              <w:rPr>
                <w:rFonts w:ascii="Arial (Body)" w:hAnsi="Arial (Body)"/>
                <w:color w:val="000000"/>
              </w:rPr>
              <w:t xml:space="preserve">Desired leisure per </w:t>
            </w:r>
            <w:r w:rsidR="00E30A36">
              <w:rPr>
                <w:rFonts w:ascii="Arial (Body)" w:hAnsi="Arial (Body)"/>
                <w:color w:val="000000"/>
              </w:rPr>
              <w:t>individual group</w:t>
            </w:r>
            <w:r w:rsidR="00D44823">
              <w:rPr>
                <w:rFonts w:ascii="Arial (Body)" w:hAnsi="Arial (Body)"/>
                <w:color w:val="000000"/>
              </w:rPr>
              <w:t>, via utility maximisation</w:t>
            </w:r>
          </w:p>
          <w:p w14:paraId="2776883F" w14:textId="736D2F99" w:rsidR="001E7CA4" w:rsidRPr="00F73778" w:rsidRDefault="00000000" w:rsidP="00F73778">
            <w:pPr>
              <w:pStyle w:val="TableBody"/>
              <w:spacing w:before="45" w:after="45"/>
              <w:ind w:right="108"/>
              <w:rPr>
                <w:rFonts w:ascii="Arial (Body)" w:hAnsi="Arial (Body)"/>
                <w:color w:val="000000"/>
              </w:rPr>
            </w:pPr>
            <m:oMathPara>
              <m:oMathParaPr>
                <m:jc m:val="left"/>
              </m:oMathParaPr>
              <m:oMath>
                <m:sSubSup>
                  <m:sSubSupPr>
                    <m:ctrlPr>
                      <w:rPr>
                        <w:rFonts w:ascii="Cambria Math" w:hAnsi="Cambria Math"/>
                        <w:i/>
                        <w:color w:val="000000"/>
                      </w:rPr>
                    </m:ctrlPr>
                  </m:sSubSupPr>
                  <m:e>
                    <m:r>
                      <w:rPr>
                        <w:rFonts w:ascii="Cambria Math" w:hAnsi="Cambria Math"/>
                        <w:color w:val="000000"/>
                      </w:rPr>
                      <m:t>DesiredLeisQ</m:t>
                    </m:r>
                  </m:e>
                  <m:sub>
                    <m:r>
                      <w:rPr>
                        <w:rFonts w:ascii="Cambria Math" w:hAnsi="Cambria Math"/>
                        <w:color w:val="000000"/>
                      </w:rPr>
                      <m:t>l</m:t>
                    </m:r>
                  </m:sub>
                  <m:sup>
                    <m:r>
                      <w:rPr>
                        <w:rFonts w:ascii="Cambria Math" w:hAnsi="Cambria Math"/>
                        <w:color w:val="000000"/>
                      </w:rPr>
                      <m:t>DEM</m:t>
                    </m:r>
                  </m:sup>
                </m:sSubSup>
                <m:r>
                  <w:rPr>
                    <w:rFonts w:ascii="Cambria Math" w:hAnsi="Cambria Math"/>
                    <w:color w:val="000000"/>
                  </w:rPr>
                  <m:t>=CES</m:t>
                </m:r>
                <m:d>
                  <m:dPr>
                    <m:ctrlPr>
                      <w:rPr>
                        <w:rFonts w:ascii="Cambria Math" w:hAnsi="Cambria Math"/>
                        <w:i/>
                        <w:iCs/>
                        <w:color w:val="000000"/>
                      </w:rPr>
                    </m:ctrlPr>
                  </m:dPr>
                  <m:e>
                    <m:r>
                      <w:rPr>
                        <w:rFonts w:ascii="Cambria Math" w:hAnsi="Cambria Math"/>
                        <w:color w:val="000000"/>
                      </w:rPr>
                      <m:t>DesiredIn</m:t>
                    </m:r>
                    <m:sSub>
                      <m:sSubPr>
                        <m:ctrlPr>
                          <w:rPr>
                            <w:rFonts w:ascii="Cambria Math" w:hAnsi="Cambria Math"/>
                            <w:i/>
                            <w:iCs/>
                            <w:color w:val="000000"/>
                          </w:rPr>
                        </m:ctrlPr>
                      </m:sSubPr>
                      <m:e>
                        <m:r>
                          <w:rPr>
                            <w:rFonts w:ascii="Cambria Math" w:hAnsi="Cambria Math"/>
                            <w:color w:val="000000"/>
                          </w:rPr>
                          <m:t>c</m:t>
                        </m:r>
                      </m:e>
                      <m:sub>
                        <m:r>
                          <w:rPr>
                            <w:rFonts w:ascii="Cambria Math" w:hAnsi="Cambria Math"/>
                            <w:color w:val="000000"/>
                          </w:rPr>
                          <m:t>l</m:t>
                        </m:r>
                      </m:sub>
                    </m:sSub>
                    <m:r>
                      <w:rPr>
                        <w:rFonts w:ascii="Cambria Math" w:hAnsi="Cambria Math"/>
                        <w:color w:val="000000"/>
                      </w:rPr>
                      <m:t xml:space="preserve">, </m:t>
                    </m:r>
                    <m:sSubSup>
                      <m:sSubSupPr>
                        <m:ctrlPr>
                          <w:rPr>
                            <w:rFonts w:ascii="Cambria Math" w:hAnsi="Cambria Math"/>
                            <w:i/>
                            <w:color w:val="000000"/>
                          </w:rPr>
                        </m:ctrlPr>
                      </m:sSubSupPr>
                      <m:e>
                        <m:r>
                          <w:rPr>
                            <w:rFonts w:ascii="Cambria Math" w:hAnsi="Cambria Math"/>
                            <w:color w:val="000000"/>
                          </w:rPr>
                          <m:t>GroupCompConsP</m:t>
                        </m:r>
                      </m:e>
                      <m:sub>
                        <m:r>
                          <w:rPr>
                            <w:rFonts w:ascii="Cambria Math" w:hAnsi="Cambria Math"/>
                            <w:color w:val="000000"/>
                          </w:rPr>
                          <m:t>l</m:t>
                        </m:r>
                      </m:sub>
                      <m:sup>
                        <m:r>
                          <w:rPr>
                            <w:rFonts w:ascii="Cambria Math" w:hAnsi="Cambria Math"/>
                            <w:color w:val="000000"/>
                          </w:rPr>
                          <m:t>DEM</m:t>
                        </m:r>
                      </m:sup>
                    </m:sSubSup>
                    <m:r>
                      <w:rPr>
                        <w:rFonts w:ascii="Cambria Math" w:hAnsi="Cambria Math"/>
                        <w:color w:val="000000"/>
                      </w:rPr>
                      <m:t>, Lab</m:t>
                    </m:r>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l</m:t>
                        </m:r>
                      </m:sub>
                      <m:sup>
                        <m:r>
                          <w:rPr>
                            <w:rFonts w:ascii="Cambria Math" w:hAnsi="Cambria Math"/>
                            <w:color w:val="000000"/>
                          </w:rPr>
                          <m:t>SUP</m:t>
                        </m:r>
                      </m:sup>
                    </m:sSubSup>
                  </m:e>
                </m:d>
              </m:oMath>
            </m:oMathPara>
          </w:p>
        </w:tc>
      </w:tr>
      <w:tr w:rsidR="001E7CA4" w:rsidRPr="00030C67" w14:paraId="02DCE064" w14:textId="77777777" w:rsidTr="00F73778">
        <w:trPr>
          <w:cantSplit/>
        </w:trPr>
        <w:tc>
          <w:tcPr>
            <w:tcW w:w="239" w:type="pct"/>
            <w:tcBorders>
              <w:top w:val="nil"/>
              <w:bottom w:val="nil"/>
            </w:tcBorders>
            <w:shd w:val="clear" w:color="000000" w:fill="auto"/>
          </w:tcPr>
          <w:p w14:paraId="2DAA71DE" w14:textId="7CF8064F" w:rsidR="001E7CA4" w:rsidRPr="000224EE" w:rsidRDefault="00D44823" w:rsidP="008E5700">
            <w:pPr>
              <w:pStyle w:val="TableBody"/>
              <w:numPr>
                <w:ilvl w:val="0"/>
                <w:numId w:val="10"/>
              </w:numPr>
              <w:spacing w:before="45" w:after="45"/>
              <w:ind w:left="57" w:right="108"/>
              <w:rPr>
                <w:rFonts w:ascii="Arial (Body)" w:hAnsi="Arial (Body)"/>
                <w:b/>
                <w:color w:val="265A9A"/>
              </w:rPr>
            </w:pPr>
            <w:r>
              <w:rPr>
                <w:rFonts w:ascii="Arial (Body)" w:hAnsi="Arial (Body)"/>
                <w:b/>
                <w:color w:val="265A9A"/>
              </w:rPr>
              <w:t>3.</w:t>
            </w:r>
          </w:p>
          <w:p w14:paraId="7EDF0ABE" w14:textId="77777777" w:rsidR="001E7CA4" w:rsidRPr="000224EE" w:rsidRDefault="001E7CA4" w:rsidP="000224EE">
            <w:pPr>
              <w:pStyle w:val="TableBody"/>
              <w:spacing w:before="45" w:after="45"/>
              <w:ind w:right="108"/>
              <w:rPr>
                <w:rFonts w:ascii="Arial (Body)" w:hAnsi="Arial (Body)"/>
                <w:b/>
                <w:color w:val="265A9A"/>
              </w:rPr>
            </w:pPr>
          </w:p>
        </w:tc>
        <w:tc>
          <w:tcPr>
            <w:tcW w:w="4761" w:type="pct"/>
            <w:tcBorders>
              <w:top w:val="nil"/>
              <w:bottom w:val="nil"/>
            </w:tcBorders>
            <w:shd w:val="clear" w:color="000000" w:fill="auto"/>
          </w:tcPr>
          <w:p w14:paraId="4DAC0499" w14:textId="75D766E6" w:rsidR="001E7CA4" w:rsidRPr="000224EE" w:rsidRDefault="001E7CA4" w:rsidP="00F73778">
            <w:pPr>
              <w:pStyle w:val="TableBody"/>
              <w:spacing w:before="45" w:after="45"/>
              <w:ind w:right="108"/>
              <w:rPr>
                <w:rFonts w:ascii="Arial (Body)" w:hAnsi="Arial (Body)"/>
                <w:color w:val="000000"/>
              </w:rPr>
            </w:pPr>
            <w:r w:rsidRPr="000224EE">
              <w:rPr>
                <w:rFonts w:ascii="Arial (Body)" w:hAnsi="Arial (Body)"/>
                <w:color w:val="000000"/>
              </w:rPr>
              <w:t xml:space="preserve">Labour available per </w:t>
            </w:r>
            <w:r w:rsidR="00E30A36">
              <w:rPr>
                <w:rFonts w:ascii="Arial (Body)" w:hAnsi="Arial (Body)"/>
                <w:color w:val="000000"/>
              </w:rPr>
              <w:t>individual group</w:t>
            </w:r>
            <w:r w:rsidR="00D44823">
              <w:rPr>
                <w:rFonts w:ascii="Arial (Body)" w:hAnsi="Arial (Body)"/>
                <w:color w:val="000000"/>
              </w:rPr>
              <w:t>, via utility maximisation</w:t>
            </w:r>
          </w:p>
          <w:p w14:paraId="5B3938DF" w14:textId="411C6A9A" w:rsidR="001E7CA4" w:rsidRPr="00F73778" w:rsidRDefault="00001D91" w:rsidP="00F73778">
            <w:pPr>
              <w:pStyle w:val="TableBody"/>
              <w:spacing w:before="45" w:after="45"/>
              <w:ind w:right="108"/>
              <w:rPr>
                <w:rFonts w:ascii="Arial (Body)" w:hAnsi="Arial (Body)"/>
                <w:color w:val="000000"/>
              </w:rPr>
            </w:pPr>
            <m:oMathPara>
              <m:oMathParaPr>
                <m:jc m:val="left"/>
              </m:oMathParaPr>
              <m:oMath>
                <m:r>
                  <w:rPr>
                    <w:rFonts w:ascii="Cambria Math" w:eastAsiaTheme="minorEastAsia" w:hAnsi="Cambria Math"/>
                    <w:color w:val="000000"/>
                  </w:rPr>
                  <m:t>LabAvailabl</m:t>
                </m:r>
                <m:sSub>
                  <m:sSubPr>
                    <m:ctrlPr>
                      <w:rPr>
                        <w:rFonts w:ascii="Cambria Math" w:eastAsiaTheme="minorEastAsia" w:hAnsi="Cambria Math"/>
                        <w:bCs/>
                        <w:i/>
                        <w:color w:val="000000"/>
                      </w:rPr>
                    </m:ctrlPr>
                  </m:sSubPr>
                  <m:e>
                    <m:r>
                      <w:rPr>
                        <w:rFonts w:ascii="Cambria Math" w:eastAsiaTheme="minorEastAsia" w:hAnsi="Cambria Math"/>
                        <w:color w:val="000000"/>
                      </w:rPr>
                      <m:t>e</m:t>
                    </m:r>
                  </m:e>
                  <m:sub>
                    <m:r>
                      <w:rPr>
                        <w:rFonts w:ascii="Cambria Math" w:eastAsiaTheme="minorEastAsia" w:hAnsi="Cambria Math"/>
                        <w:color w:val="000000"/>
                      </w:rPr>
                      <m:t>l</m:t>
                    </m:r>
                  </m:sub>
                </m:sSub>
                <m:r>
                  <w:rPr>
                    <w:rFonts w:ascii="Cambria Math" w:eastAsiaTheme="minorEastAsia" w:hAnsi="Cambria Math"/>
                    <w:color w:val="000000"/>
                  </w:rPr>
                  <m:t>=</m:t>
                </m:r>
                <m:r>
                  <w:rPr>
                    <w:rFonts w:ascii="Cambria Math" w:eastAsiaTheme="minorEastAsia" w:hAnsi="Cambria Math"/>
                    <w:color w:val="265A9A" w:themeColor="background2"/>
                  </w:rPr>
                  <m:t>TimeEndo</m:t>
                </m:r>
                <m:sSub>
                  <m:sSubPr>
                    <m:ctrlPr>
                      <w:rPr>
                        <w:rFonts w:ascii="Cambria Math" w:eastAsiaTheme="minorEastAsia" w:hAnsi="Cambria Math"/>
                        <w:i/>
                        <w:color w:val="265A9A" w:themeColor="background2"/>
                      </w:rPr>
                    </m:ctrlPr>
                  </m:sSubPr>
                  <m:e>
                    <m:r>
                      <w:rPr>
                        <w:rFonts w:ascii="Cambria Math" w:eastAsiaTheme="minorEastAsia" w:hAnsi="Cambria Math"/>
                        <w:color w:val="265A9A" w:themeColor="background2"/>
                      </w:rPr>
                      <m:t>w</m:t>
                    </m:r>
                  </m:e>
                  <m:sub>
                    <m:r>
                      <w:rPr>
                        <w:rFonts w:ascii="Cambria Math" w:eastAsiaTheme="minorEastAsia" w:hAnsi="Cambria Math"/>
                        <w:color w:val="265A9A" w:themeColor="background2"/>
                      </w:rPr>
                      <m:t>l</m:t>
                    </m:r>
                  </m:sub>
                </m:sSub>
                <m:r>
                  <w:rPr>
                    <w:rFonts w:ascii="Cambria Math" w:eastAsiaTheme="minorEastAsia" w:hAnsi="Cambria Math"/>
                    <w:color w:val="000000"/>
                  </w:rPr>
                  <m:t>-</m:t>
                </m:r>
                <m:sSubSup>
                  <m:sSubSupPr>
                    <m:ctrlPr>
                      <w:rPr>
                        <w:rFonts w:ascii="Cambria Math" w:hAnsi="Cambria Math"/>
                        <w:i/>
                        <w:color w:val="000000"/>
                      </w:rPr>
                    </m:ctrlPr>
                  </m:sSubSupPr>
                  <m:e>
                    <m:r>
                      <w:rPr>
                        <w:rFonts w:ascii="Cambria Math" w:hAnsi="Cambria Math"/>
                        <w:color w:val="000000"/>
                      </w:rPr>
                      <m:t>DesiredLeisQ</m:t>
                    </m:r>
                  </m:e>
                  <m:sub>
                    <m:r>
                      <w:rPr>
                        <w:rFonts w:ascii="Cambria Math" w:hAnsi="Cambria Math"/>
                        <w:color w:val="000000"/>
                      </w:rPr>
                      <m:t>l</m:t>
                    </m:r>
                  </m:sub>
                  <m:sup>
                    <m:r>
                      <w:rPr>
                        <w:rFonts w:ascii="Cambria Math" w:hAnsi="Cambria Math"/>
                        <w:color w:val="000000"/>
                      </w:rPr>
                      <m:t>DEM</m:t>
                    </m:r>
                  </m:sup>
                </m:sSubSup>
              </m:oMath>
            </m:oMathPara>
          </w:p>
        </w:tc>
      </w:tr>
      <w:tr w:rsidR="001E7CA4" w:rsidRPr="00030C67" w14:paraId="0F5808CC" w14:textId="77777777" w:rsidTr="00F73778">
        <w:trPr>
          <w:cantSplit/>
        </w:trPr>
        <w:tc>
          <w:tcPr>
            <w:tcW w:w="239" w:type="pct"/>
            <w:tcBorders>
              <w:top w:val="nil"/>
              <w:bottom w:val="nil"/>
            </w:tcBorders>
            <w:shd w:val="clear" w:color="000000" w:fill="auto"/>
          </w:tcPr>
          <w:p w14:paraId="6E991DD0" w14:textId="77240304" w:rsidR="001E7CA4" w:rsidRPr="000224EE" w:rsidRDefault="00D44823" w:rsidP="008E5700">
            <w:pPr>
              <w:pStyle w:val="TableBody"/>
              <w:numPr>
                <w:ilvl w:val="0"/>
                <w:numId w:val="10"/>
              </w:numPr>
              <w:spacing w:before="45" w:after="45"/>
              <w:ind w:left="57" w:right="108"/>
              <w:rPr>
                <w:rFonts w:ascii="Arial (Body)" w:hAnsi="Arial (Body)"/>
                <w:b/>
                <w:color w:val="265A9A"/>
              </w:rPr>
            </w:pPr>
            <w:r>
              <w:rPr>
                <w:rFonts w:ascii="Arial (Body)" w:hAnsi="Arial (Body)"/>
                <w:b/>
                <w:color w:val="265A9A"/>
              </w:rPr>
              <w:t>4.</w:t>
            </w:r>
          </w:p>
          <w:p w14:paraId="0319AB55" w14:textId="77777777" w:rsidR="001E7CA4" w:rsidRPr="000224EE" w:rsidRDefault="001E7CA4" w:rsidP="000224EE">
            <w:pPr>
              <w:pStyle w:val="TableBody"/>
              <w:spacing w:before="45" w:after="45"/>
              <w:ind w:right="108"/>
              <w:rPr>
                <w:rFonts w:ascii="Arial (Body)" w:hAnsi="Arial (Body)"/>
                <w:b/>
                <w:color w:val="265A9A"/>
              </w:rPr>
            </w:pPr>
          </w:p>
        </w:tc>
        <w:tc>
          <w:tcPr>
            <w:tcW w:w="4761" w:type="pct"/>
            <w:tcBorders>
              <w:top w:val="nil"/>
              <w:bottom w:val="nil"/>
            </w:tcBorders>
            <w:shd w:val="clear" w:color="000000" w:fill="auto"/>
          </w:tcPr>
          <w:p w14:paraId="0ACE7C2D" w14:textId="3BB21D56" w:rsidR="001E7CA4" w:rsidRPr="000224EE" w:rsidRDefault="001E7CA4" w:rsidP="00F73778">
            <w:pPr>
              <w:pStyle w:val="TableBody"/>
              <w:spacing w:before="45" w:after="45"/>
              <w:ind w:right="108"/>
              <w:rPr>
                <w:rFonts w:ascii="Arial (Body)" w:hAnsi="Arial (Body)"/>
                <w:color w:val="000000"/>
              </w:rPr>
            </w:pPr>
            <w:r w:rsidRPr="000224EE">
              <w:rPr>
                <w:rFonts w:ascii="Arial (Body)" w:hAnsi="Arial (Body)"/>
                <w:color w:val="000000"/>
              </w:rPr>
              <w:t xml:space="preserve">Actual </w:t>
            </w:r>
            <w:r w:rsidR="00D44823">
              <w:rPr>
                <w:rFonts w:ascii="Arial (Body)" w:hAnsi="Arial (Body)"/>
                <w:color w:val="000000"/>
              </w:rPr>
              <w:t xml:space="preserve">quantity of composite </w:t>
            </w:r>
            <w:r w:rsidRPr="000224EE">
              <w:rPr>
                <w:rFonts w:ascii="Arial (Body)" w:hAnsi="Arial (Body)"/>
                <w:color w:val="000000"/>
              </w:rPr>
              <w:t xml:space="preserve">consumption </w:t>
            </w:r>
            <w:r w:rsidR="00D44823">
              <w:rPr>
                <w:rFonts w:ascii="Arial (Body)" w:hAnsi="Arial (Body)"/>
                <w:color w:val="000000"/>
              </w:rPr>
              <w:t xml:space="preserve">bundle </w:t>
            </w:r>
            <w:r w:rsidRPr="000224EE">
              <w:rPr>
                <w:rFonts w:ascii="Arial (Body)" w:hAnsi="Arial (Body)"/>
                <w:color w:val="000000"/>
              </w:rPr>
              <w:t xml:space="preserve">per </w:t>
            </w:r>
            <w:r w:rsidR="00E30A36">
              <w:rPr>
                <w:rFonts w:ascii="Arial (Body)" w:hAnsi="Arial (Body)"/>
                <w:color w:val="000000"/>
              </w:rPr>
              <w:t>individual group</w:t>
            </w:r>
          </w:p>
          <w:p w14:paraId="2E7E88D7" w14:textId="7FE8E930" w:rsidR="001E7CA4" w:rsidRPr="00F73778" w:rsidRDefault="00000000" w:rsidP="00F73778">
            <w:pPr>
              <w:pStyle w:val="TableBody"/>
              <w:spacing w:before="45" w:after="45"/>
              <w:ind w:right="108"/>
              <w:rPr>
                <w:rFonts w:ascii="Arial (Body)" w:hAnsi="Arial (Body)"/>
                <w:color w:val="000000"/>
              </w:rPr>
            </w:pPr>
            <m:oMathPara>
              <m:oMathParaPr>
                <m:jc m:val="left"/>
              </m:oMathParaPr>
              <m:oMath>
                <m:sSubSup>
                  <m:sSubSupPr>
                    <m:ctrlPr>
                      <w:rPr>
                        <w:rFonts w:ascii="Cambria Math" w:hAnsi="Cambria Math"/>
                        <w:i/>
                        <w:color w:val="000000"/>
                      </w:rPr>
                    </m:ctrlPr>
                  </m:sSubSupPr>
                  <m:e>
                    <m:r>
                      <w:rPr>
                        <w:rFonts w:ascii="Cambria Math" w:hAnsi="Cambria Math"/>
                        <w:color w:val="000000"/>
                      </w:rPr>
                      <m:t>GroupCompConsQ</m:t>
                    </m:r>
                  </m:e>
                  <m:sub>
                    <m:r>
                      <w:rPr>
                        <w:rFonts w:ascii="Cambria Math" w:hAnsi="Cambria Math"/>
                        <w:color w:val="000000"/>
                      </w:rPr>
                      <m:t>l</m:t>
                    </m:r>
                  </m:sub>
                  <m:sup>
                    <m:r>
                      <w:rPr>
                        <w:rFonts w:ascii="Cambria Math" w:hAnsi="Cambria Math"/>
                        <w:color w:val="000000"/>
                      </w:rPr>
                      <m:t>DEM</m:t>
                    </m:r>
                  </m:sup>
                </m:sSubSup>
                <m:r>
                  <w:rPr>
                    <w:rFonts w:ascii="Cambria Math" w:eastAsiaTheme="minorEastAsia" w:hAnsi="Cambria Math"/>
                    <w:color w:val="000000"/>
                  </w:rPr>
                  <m:t>=</m:t>
                </m:r>
                <m:r>
                  <w:rPr>
                    <w:rFonts w:ascii="Cambria Math" w:hAnsi="Cambria Math"/>
                    <w:color w:val="000000"/>
                  </w:rPr>
                  <m:t>CES</m:t>
                </m:r>
                <m:d>
                  <m:dPr>
                    <m:ctrlPr>
                      <w:rPr>
                        <w:rFonts w:ascii="Cambria Math" w:hAnsi="Cambria Math"/>
                        <w:i/>
                        <w:iCs/>
                        <w:color w:val="000000"/>
                      </w:rPr>
                    </m:ctrlPr>
                  </m:dPr>
                  <m:e>
                    <m:r>
                      <w:rPr>
                        <w:rFonts w:ascii="Cambria Math" w:hAnsi="Cambria Math"/>
                        <w:color w:val="000000"/>
                      </w:rPr>
                      <m:t>In</m:t>
                    </m:r>
                    <m:sSub>
                      <m:sSubPr>
                        <m:ctrlPr>
                          <w:rPr>
                            <w:rFonts w:ascii="Cambria Math" w:hAnsi="Cambria Math"/>
                            <w:i/>
                            <w:iCs/>
                            <w:color w:val="000000"/>
                          </w:rPr>
                        </m:ctrlPr>
                      </m:sSubPr>
                      <m:e>
                        <m:r>
                          <w:rPr>
                            <w:rFonts w:ascii="Cambria Math" w:hAnsi="Cambria Math"/>
                            <w:color w:val="000000"/>
                          </w:rPr>
                          <m:t>c</m:t>
                        </m:r>
                      </m:e>
                      <m:sub>
                        <m:r>
                          <w:rPr>
                            <w:rFonts w:ascii="Cambria Math" w:hAnsi="Cambria Math"/>
                            <w:color w:val="000000"/>
                          </w:rPr>
                          <m:t>l</m:t>
                        </m:r>
                      </m:sub>
                    </m:sSub>
                    <m:r>
                      <w:rPr>
                        <w:rFonts w:ascii="Cambria Math" w:hAnsi="Cambria Math"/>
                        <w:color w:val="000000"/>
                      </w:rPr>
                      <m:t xml:space="preserve">, </m:t>
                    </m:r>
                    <m:sSubSup>
                      <m:sSubSupPr>
                        <m:ctrlPr>
                          <w:rPr>
                            <w:rFonts w:ascii="Cambria Math" w:hAnsi="Cambria Math"/>
                            <w:i/>
                            <w:color w:val="000000"/>
                          </w:rPr>
                        </m:ctrlPr>
                      </m:sSubSupPr>
                      <m:e>
                        <m:r>
                          <w:rPr>
                            <w:rFonts w:ascii="Cambria Math" w:hAnsi="Cambria Math"/>
                            <w:color w:val="000000"/>
                          </w:rPr>
                          <m:t>GroupCompConsP</m:t>
                        </m:r>
                      </m:e>
                      <m:sub>
                        <m:r>
                          <w:rPr>
                            <w:rFonts w:ascii="Cambria Math" w:hAnsi="Cambria Math"/>
                            <w:color w:val="000000"/>
                          </w:rPr>
                          <m:t>l</m:t>
                        </m:r>
                      </m:sub>
                      <m:sup>
                        <m:r>
                          <w:rPr>
                            <w:rFonts w:ascii="Cambria Math" w:hAnsi="Cambria Math"/>
                            <w:color w:val="000000"/>
                          </w:rPr>
                          <m:t>DEM</m:t>
                        </m:r>
                      </m:sup>
                    </m:sSubSup>
                    <m:r>
                      <w:rPr>
                        <w:rFonts w:ascii="Cambria Math" w:hAnsi="Cambria Math"/>
                        <w:color w:val="000000"/>
                      </w:rPr>
                      <m:t>, Lab</m:t>
                    </m:r>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l</m:t>
                        </m:r>
                      </m:sub>
                      <m:sup>
                        <m:r>
                          <w:rPr>
                            <w:rFonts w:ascii="Cambria Math" w:hAnsi="Cambria Math"/>
                            <w:color w:val="000000"/>
                          </w:rPr>
                          <m:t>SUP</m:t>
                        </m:r>
                      </m:sup>
                    </m:sSubSup>
                  </m:e>
                </m:d>
              </m:oMath>
            </m:oMathPara>
          </w:p>
        </w:tc>
      </w:tr>
      <w:tr w:rsidR="001E7CA4" w:rsidRPr="00030C67" w14:paraId="640EC2BF" w14:textId="77777777" w:rsidTr="00F73778">
        <w:trPr>
          <w:cantSplit/>
        </w:trPr>
        <w:tc>
          <w:tcPr>
            <w:tcW w:w="239" w:type="pct"/>
            <w:tcBorders>
              <w:top w:val="nil"/>
              <w:bottom w:val="nil"/>
            </w:tcBorders>
            <w:shd w:val="clear" w:color="000000" w:fill="auto"/>
          </w:tcPr>
          <w:p w14:paraId="3F5621AC" w14:textId="58A27AAD" w:rsidR="001E7CA4" w:rsidRPr="000224EE" w:rsidRDefault="00D44823" w:rsidP="008E5700">
            <w:pPr>
              <w:pStyle w:val="TableBody"/>
              <w:numPr>
                <w:ilvl w:val="0"/>
                <w:numId w:val="10"/>
              </w:numPr>
              <w:spacing w:before="45" w:after="45"/>
              <w:ind w:left="57" w:right="108"/>
              <w:rPr>
                <w:rFonts w:ascii="Arial (Body)" w:hAnsi="Arial (Body)"/>
                <w:b/>
                <w:color w:val="265A9A"/>
              </w:rPr>
            </w:pPr>
            <w:r>
              <w:rPr>
                <w:rFonts w:ascii="Arial (Body)" w:hAnsi="Arial (Body)"/>
                <w:b/>
                <w:color w:val="265A9A"/>
              </w:rPr>
              <w:t>5.</w:t>
            </w:r>
          </w:p>
          <w:p w14:paraId="665699BA" w14:textId="77777777" w:rsidR="001E7CA4" w:rsidRPr="000224EE" w:rsidRDefault="001E7CA4" w:rsidP="000224EE">
            <w:pPr>
              <w:pStyle w:val="TableBody"/>
              <w:spacing w:before="45" w:after="45"/>
              <w:ind w:right="108"/>
              <w:rPr>
                <w:rFonts w:ascii="Arial (Body)" w:hAnsi="Arial (Body)"/>
                <w:b/>
                <w:color w:val="265A9A"/>
              </w:rPr>
            </w:pPr>
          </w:p>
        </w:tc>
        <w:tc>
          <w:tcPr>
            <w:tcW w:w="4761" w:type="pct"/>
            <w:tcBorders>
              <w:top w:val="nil"/>
              <w:bottom w:val="nil"/>
            </w:tcBorders>
            <w:shd w:val="clear" w:color="000000" w:fill="auto"/>
          </w:tcPr>
          <w:p w14:paraId="23545109" w14:textId="74934987" w:rsidR="001E7CA4" w:rsidRPr="000224EE" w:rsidRDefault="001E7CA4" w:rsidP="00F73778">
            <w:pPr>
              <w:pStyle w:val="TableBody"/>
              <w:spacing w:before="45" w:after="45"/>
              <w:ind w:right="108"/>
              <w:rPr>
                <w:rFonts w:ascii="Arial (Body)" w:hAnsi="Arial (Body)"/>
                <w:color w:val="000000"/>
              </w:rPr>
            </w:pPr>
            <w:r w:rsidRPr="000224EE">
              <w:rPr>
                <w:rFonts w:ascii="Arial (Body)" w:hAnsi="Arial (Body)"/>
                <w:color w:val="000000"/>
              </w:rPr>
              <w:t xml:space="preserve">Actual time not in employment </w:t>
            </w:r>
            <w:r w:rsidR="00D44823">
              <w:rPr>
                <w:rFonts w:ascii="Arial (Body)" w:hAnsi="Arial (Body)"/>
                <w:color w:val="000000"/>
              </w:rPr>
              <w:t xml:space="preserve">(leisure and unemployed hours) </w:t>
            </w:r>
            <w:r w:rsidRPr="000224EE">
              <w:rPr>
                <w:rFonts w:ascii="Arial (Body)" w:hAnsi="Arial (Body)"/>
                <w:color w:val="000000"/>
              </w:rPr>
              <w:t xml:space="preserve">per </w:t>
            </w:r>
            <w:r w:rsidR="00E30A36">
              <w:rPr>
                <w:rFonts w:ascii="Arial (Body)" w:hAnsi="Arial (Body)"/>
                <w:color w:val="000000"/>
              </w:rPr>
              <w:t>individual group</w:t>
            </w:r>
          </w:p>
          <w:p w14:paraId="74B57F49" w14:textId="031AF264" w:rsidR="001E7CA4" w:rsidRPr="00F73778" w:rsidRDefault="00001D91" w:rsidP="00F73778">
            <w:pPr>
              <w:pStyle w:val="TableBody"/>
              <w:spacing w:before="45" w:after="45"/>
              <w:ind w:right="108"/>
              <w:rPr>
                <w:rFonts w:ascii="Arial (Body)" w:hAnsi="Arial (Body)"/>
                <w:color w:val="000000"/>
              </w:rPr>
            </w:pPr>
            <m:oMathPara>
              <m:oMathParaPr>
                <m:jc m:val="left"/>
              </m:oMathParaPr>
              <m:oMath>
                <m:r>
                  <w:rPr>
                    <w:rFonts w:ascii="Cambria Math" w:hAnsi="Cambria Math"/>
                    <w:color w:val="000000"/>
                  </w:rPr>
                  <m:t>GroupNonEm</m:t>
                </m:r>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l</m:t>
                    </m:r>
                  </m:sub>
                </m:sSub>
                <m:r>
                  <w:rPr>
                    <w:rFonts w:ascii="Cambria Math" w:hAnsi="Cambria Math"/>
                    <w:color w:val="000000"/>
                  </w:rPr>
                  <m:t>=CES</m:t>
                </m:r>
                <m:d>
                  <m:dPr>
                    <m:ctrlPr>
                      <w:rPr>
                        <w:rFonts w:ascii="Cambria Math" w:hAnsi="Cambria Math"/>
                        <w:i/>
                        <w:iCs/>
                        <w:color w:val="000000"/>
                      </w:rPr>
                    </m:ctrlPr>
                  </m:dPr>
                  <m:e>
                    <m:r>
                      <w:rPr>
                        <w:rFonts w:ascii="Cambria Math" w:hAnsi="Cambria Math"/>
                        <w:color w:val="000000"/>
                      </w:rPr>
                      <m:t>In</m:t>
                    </m:r>
                    <m:sSub>
                      <m:sSubPr>
                        <m:ctrlPr>
                          <w:rPr>
                            <w:rFonts w:ascii="Cambria Math" w:hAnsi="Cambria Math"/>
                            <w:i/>
                            <w:iCs/>
                            <w:color w:val="000000"/>
                          </w:rPr>
                        </m:ctrlPr>
                      </m:sSubPr>
                      <m:e>
                        <m:r>
                          <w:rPr>
                            <w:rFonts w:ascii="Cambria Math" w:hAnsi="Cambria Math"/>
                            <w:color w:val="000000"/>
                          </w:rPr>
                          <m:t>c</m:t>
                        </m:r>
                      </m:e>
                      <m:sub>
                        <m:r>
                          <w:rPr>
                            <w:rFonts w:ascii="Cambria Math" w:hAnsi="Cambria Math"/>
                            <w:color w:val="000000"/>
                          </w:rPr>
                          <m:t>l</m:t>
                        </m:r>
                      </m:sub>
                    </m:sSub>
                    <m:r>
                      <w:rPr>
                        <w:rFonts w:ascii="Cambria Math" w:hAnsi="Cambria Math"/>
                        <w:color w:val="000000"/>
                      </w:rPr>
                      <m:t xml:space="preserve">, </m:t>
                    </m:r>
                    <m:sSubSup>
                      <m:sSubSupPr>
                        <m:ctrlPr>
                          <w:rPr>
                            <w:rFonts w:ascii="Cambria Math" w:hAnsi="Cambria Math"/>
                            <w:i/>
                            <w:color w:val="000000"/>
                          </w:rPr>
                        </m:ctrlPr>
                      </m:sSubSupPr>
                      <m:e>
                        <m:r>
                          <w:rPr>
                            <w:rFonts w:ascii="Cambria Math" w:hAnsi="Cambria Math"/>
                            <w:color w:val="000000"/>
                          </w:rPr>
                          <m:t>GroupCompConsP</m:t>
                        </m:r>
                      </m:e>
                      <m:sub>
                        <m:r>
                          <w:rPr>
                            <w:rFonts w:ascii="Cambria Math" w:hAnsi="Cambria Math"/>
                            <w:color w:val="000000"/>
                          </w:rPr>
                          <m:t>l</m:t>
                        </m:r>
                      </m:sub>
                      <m:sup>
                        <m:r>
                          <w:rPr>
                            <w:rFonts w:ascii="Cambria Math" w:hAnsi="Cambria Math"/>
                            <w:color w:val="000000"/>
                          </w:rPr>
                          <m:t>DEM</m:t>
                        </m:r>
                      </m:sup>
                    </m:sSubSup>
                    <m:r>
                      <w:rPr>
                        <w:rFonts w:ascii="Cambria Math" w:hAnsi="Cambria Math"/>
                        <w:color w:val="000000"/>
                      </w:rPr>
                      <m:t>, Lab</m:t>
                    </m:r>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l</m:t>
                        </m:r>
                      </m:sub>
                      <m:sup>
                        <m:r>
                          <w:rPr>
                            <w:rFonts w:ascii="Cambria Math" w:hAnsi="Cambria Math"/>
                            <w:color w:val="000000"/>
                          </w:rPr>
                          <m:t>SUP</m:t>
                        </m:r>
                      </m:sup>
                    </m:sSubSup>
                  </m:e>
                </m:d>
              </m:oMath>
            </m:oMathPara>
          </w:p>
        </w:tc>
      </w:tr>
      <w:tr w:rsidR="001E7CA4" w:rsidRPr="00030C67" w14:paraId="1D0DEEC1" w14:textId="77777777" w:rsidTr="00F73778">
        <w:trPr>
          <w:cantSplit/>
        </w:trPr>
        <w:tc>
          <w:tcPr>
            <w:tcW w:w="239" w:type="pct"/>
            <w:tcBorders>
              <w:top w:val="nil"/>
              <w:bottom w:val="nil"/>
            </w:tcBorders>
            <w:shd w:val="clear" w:color="000000" w:fill="auto"/>
          </w:tcPr>
          <w:p w14:paraId="2552036A" w14:textId="082EBCFF" w:rsidR="001E7CA4" w:rsidRPr="000224EE" w:rsidRDefault="00D44823" w:rsidP="008E5700">
            <w:pPr>
              <w:pStyle w:val="TableBody"/>
              <w:numPr>
                <w:ilvl w:val="0"/>
                <w:numId w:val="10"/>
              </w:numPr>
              <w:spacing w:before="45" w:after="45"/>
              <w:ind w:left="57" w:right="108"/>
              <w:rPr>
                <w:rFonts w:ascii="Arial (Body)" w:hAnsi="Arial (Body)"/>
                <w:b/>
                <w:color w:val="265A9A"/>
              </w:rPr>
            </w:pPr>
            <w:r>
              <w:rPr>
                <w:rFonts w:ascii="Arial (Body)" w:hAnsi="Arial (Body)"/>
                <w:b/>
                <w:color w:val="265A9A"/>
              </w:rPr>
              <w:t>6.</w:t>
            </w:r>
          </w:p>
        </w:tc>
        <w:tc>
          <w:tcPr>
            <w:tcW w:w="4761" w:type="pct"/>
            <w:tcBorders>
              <w:top w:val="nil"/>
              <w:bottom w:val="nil"/>
            </w:tcBorders>
            <w:shd w:val="clear" w:color="000000" w:fill="auto"/>
          </w:tcPr>
          <w:p w14:paraId="5659ADCF" w14:textId="4C6C6628" w:rsidR="001E7CA4" w:rsidRPr="000224EE" w:rsidRDefault="00D44823" w:rsidP="00F73778">
            <w:pPr>
              <w:pStyle w:val="TableBody"/>
              <w:spacing w:before="45" w:after="45"/>
              <w:ind w:right="108"/>
              <w:rPr>
                <w:rFonts w:ascii="Arial (Body)" w:hAnsi="Arial (Body)"/>
                <w:color w:val="000000"/>
              </w:rPr>
            </w:pPr>
            <w:r>
              <w:rPr>
                <w:rFonts w:ascii="Arial (Body)" w:hAnsi="Arial (Body)"/>
                <w:color w:val="000000"/>
              </w:rPr>
              <w:t>Hours worked</w:t>
            </w:r>
            <w:r w:rsidR="001E7CA4" w:rsidRPr="000224EE">
              <w:rPr>
                <w:rFonts w:ascii="Arial (Body)" w:hAnsi="Arial (Body)"/>
                <w:color w:val="000000"/>
              </w:rPr>
              <w:t xml:space="preserve"> per </w:t>
            </w:r>
            <w:r w:rsidR="00E30A36">
              <w:rPr>
                <w:rFonts w:ascii="Arial (Body)" w:hAnsi="Arial (Body)"/>
                <w:color w:val="000000"/>
              </w:rPr>
              <w:t>individual group</w:t>
            </w:r>
          </w:p>
          <w:p w14:paraId="496DAFCC" w14:textId="306884A2" w:rsidR="001E7CA4" w:rsidRPr="00F73778" w:rsidRDefault="00001D91" w:rsidP="00F73778">
            <w:pPr>
              <w:pStyle w:val="TableBody"/>
              <w:spacing w:before="45" w:after="45"/>
              <w:ind w:right="108"/>
              <w:rPr>
                <w:rFonts w:ascii="Arial (Body)" w:hAnsi="Arial (Body)"/>
                <w:color w:val="000000"/>
              </w:rPr>
            </w:pPr>
            <m:oMathPara>
              <m:oMathParaPr>
                <m:jc m:val="left"/>
              </m:oMathParaPr>
              <m:oMath>
                <m:r>
                  <w:rPr>
                    <w:rFonts w:ascii="Cambria Math" w:eastAsiaTheme="minorEastAsia" w:hAnsi="Cambria Math"/>
                    <w:color w:val="000000"/>
                  </w:rPr>
                  <m:t>Lab</m:t>
                </m:r>
                <m:sSubSup>
                  <m:sSubSupPr>
                    <m:ctrlPr>
                      <w:rPr>
                        <w:rFonts w:ascii="Cambria Math" w:eastAsiaTheme="minorEastAsia" w:hAnsi="Cambria Math"/>
                        <w:i/>
                        <w:color w:val="000000"/>
                      </w:rPr>
                    </m:ctrlPr>
                  </m:sSubSupPr>
                  <m:e>
                    <m:r>
                      <w:rPr>
                        <w:rFonts w:ascii="Cambria Math" w:eastAsiaTheme="minorEastAsia" w:hAnsi="Cambria Math"/>
                        <w:color w:val="000000"/>
                      </w:rPr>
                      <m:t>Q</m:t>
                    </m:r>
                  </m:e>
                  <m:sub>
                    <m:r>
                      <w:rPr>
                        <w:rFonts w:ascii="Cambria Math" w:eastAsiaTheme="minorEastAsia" w:hAnsi="Cambria Math"/>
                        <w:color w:val="000000"/>
                      </w:rPr>
                      <m:t>l</m:t>
                    </m:r>
                  </m:sub>
                  <m:sup>
                    <m:r>
                      <w:rPr>
                        <w:rFonts w:ascii="Cambria Math" w:eastAsiaTheme="minorEastAsia" w:hAnsi="Cambria Math"/>
                        <w:color w:val="000000"/>
                      </w:rPr>
                      <m:t>SUP</m:t>
                    </m:r>
                  </m:sup>
                </m:sSubSup>
                <m:r>
                  <w:rPr>
                    <w:rFonts w:ascii="Cambria Math" w:eastAsiaTheme="minorEastAsia" w:hAnsi="Cambria Math"/>
                    <w:color w:val="000000"/>
                  </w:rPr>
                  <m:t>=</m:t>
                </m:r>
                <m:r>
                  <w:rPr>
                    <w:rFonts w:ascii="Cambria Math" w:eastAsiaTheme="minorEastAsia" w:hAnsi="Cambria Math"/>
                    <w:color w:val="265A9A" w:themeColor="background2"/>
                  </w:rPr>
                  <m:t>TimeEndo</m:t>
                </m:r>
                <m:sSub>
                  <m:sSubPr>
                    <m:ctrlPr>
                      <w:rPr>
                        <w:rFonts w:ascii="Cambria Math" w:eastAsiaTheme="minorEastAsia" w:hAnsi="Cambria Math"/>
                        <w:i/>
                        <w:color w:val="265A9A" w:themeColor="background2"/>
                      </w:rPr>
                    </m:ctrlPr>
                  </m:sSubPr>
                  <m:e>
                    <m:r>
                      <w:rPr>
                        <w:rFonts w:ascii="Cambria Math" w:eastAsiaTheme="minorEastAsia" w:hAnsi="Cambria Math"/>
                        <w:color w:val="265A9A" w:themeColor="background2"/>
                      </w:rPr>
                      <m:t>w</m:t>
                    </m:r>
                  </m:e>
                  <m:sub>
                    <m:r>
                      <w:rPr>
                        <w:rFonts w:ascii="Cambria Math" w:eastAsiaTheme="minorEastAsia" w:hAnsi="Cambria Math"/>
                        <w:color w:val="265A9A" w:themeColor="background2"/>
                      </w:rPr>
                      <m:t>l</m:t>
                    </m:r>
                  </m:sub>
                </m:sSub>
                <m:r>
                  <w:rPr>
                    <w:rFonts w:ascii="Cambria Math" w:eastAsiaTheme="minorEastAsia" w:hAnsi="Cambria Math"/>
                    <w:color w:val="000000"/>
                  </w:rPr>
                  <m:t>-</m:t>
                </m:r>
                <m:r>
                  <w:rPr>
                    <w:rFonts w:ascii="Cambria Math" w:hAnsi="Cambria Math"/>
                    <w:color w:val="000000"/>
                  </w:rPr>
                  <m:t>GroupNonEm</m:t>
                </m:r>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l</m:t>
                    </m:r>
                  </m:sub>
                </m:sSub>
              </m:oMath>
            </m:oMathPara>
          </w:p>
        </w:tc>
      </w:tr>
      <w:tr w:rsidR="001E7CA4" w:rsidRPr="00030C67" w14:paraId="19FF0EC3" w14:textId="77777777" w:rsidTr="00F73778">
        <w:trPr>
          <w:cantSplit/>
        </w:trPr>
        <w:tc>
          <w:tcPr>
            <w:tcW w:w="239" w:type="pct"/>
            <w:tcBorders>
              <w:top w:val="nil"/>
              <w:bottom w:val="nil"/>
            </w:tcBorders>
            <w:shd w:val="clear" w:color="000000" w:fill="auto"/>
          </w:tcPr>
          <w:p w14:paraId="3A8D2D7E" w14:textId="71C0DFAB" w:rsidR="001E7CA4" w:rsidRPr="000224EE" w:rsidRDefault="00D44823" w:rsidP="008E5700">
            <w:pPr>
              <w:pStyle w:val="TableBody"/>
              <w:numPr>
                <w:ilvl w:val="0"/>
                <w:numId w:val="10"/>
              </w:numPr>
              <w:spacing w:before="45" w:after="45"/>
              <w:ind w:left="57" w:right="108"/>
              <w:rPr>
                <w:rFonts w:ascii="Arial (Body)" w:hAnsi="Arial (Body)"/>
                <w:b/>
                <w:color w:val="265A9A"/>
              </w:rPr>
            </w:pPr>
            <w:r>
              <w:rPr>
                <w:rFonts w:ascii="Arial (Body)" w:hAnsi="Arial (Body)"/>
                <w:b/>
                <w:color w:val="265A9A"/>
              </w:rPr>
              <w:lastRenderedPageBreak/>
              <w:t>7.</w:t>
            </w:r>
          </w:p>
        </w:tc>
        <w:tc>
          <w:tcPr>
            <w:tcW w:w="4761" w:type="pct"/>
            <w:tcBorders>
              <w:top w:val="nil"/>
              <w:bottom w:val="nil"/>
            </w:tcBorders>
            <w:shd w:val="clear" w:color="000000" w:fill="auto"/>
          </w:tcPr>
          <w:p w14:paraId="55170A45" w14:textId="0B702008" w:rsidR="001E7CA4" w:rsidRPr="000224EE" w:rsidRDefault="00D44823" w:rsidP="00F73778">
            <w:pPr>
              <w:pStyle w:val="TableBody"/>
              <w:spacing w:before="45" w:after="45"/>
              <w:ind w:right="108"/>
              <w:rPr>
                <w:rFonts w:ascii="Arial (Body)" w:hAnsi="Arial (Body)"/>
                <w:color w:val="000000"/>
              </w:rPr>
            </w:pPr>
            <w:r w:rsidRPr="000224EE">
              <w:rPr>
                <w:rFonts w:ascii="Arial (Body)" w:hAnsi="Arial (Body)"/>
                <w:color w:val="000000"/>
              </w:rPr>
              <w:t>Unemploy</w:t>
            </w:r>
            <w:r>
              <w:rPr>
                <w:rFonts w:ascii="Arial (Body)" w:hAnsi="Arial (Body)"/>
                <w:color w:val="000000"/>
              </w:rPr>
              <w:t>ed hours</w:t>
            </w:r>
            <w:r w:rsidR="001E7CA4" w:rsidRPr="000224EE">
              <w:rPr>
                <w:rFonts w:ascii="Arial (Body)" w:hAnsi="Arial (Body)"/>
                <w:color w:val="000000"/>
              </w:rPr>
              <w:t xml:space="preserve"> per </w:t>
            </w:r>
            <w:r w:rsidR="00E30A36">
              <w:rPr>
                <w:rFonts w:ascii="Arial (Body)" w:hAnsi="Arial (Body)"/>
                <w:color w:val="000000"/>
              </w:rPr>
              <w:t>individual group</w:t>
            </w:r>
          </w:p>
          <w:p w14:paraId="6FF1EE8D" w14:textId="11F99EDC" w:rsidR="001E7CA4" w:rsidRPr="00F73778" w:rsidRDefault="00001D91" w:rsidP="00F73778">
            <w:pPr>
              <w:pStyle w:val="TableBody"/>
              <w:spacing w:before="45" w:after="45"/>
              <w:ind w:right="108"/>
              <w:rPr>
                <w:rFonts w:ascii="Arial (Body)" w:hAnsi="Arial (Body)"/>
                <w:color w:val="000000"/>
              </w:rPr>
            </w:pPr>
            <m:oMathPara>
              <m:oMathParaPr>
                <m:jc m:val="left"/>
              </m:oMathParaPr>
              <m:oMath>
                <m:r>
                  <w:rPr>
                    <w:rFonts w:ascii="Cambria Math" w:hAnsi="Cambria Math"/>
                    <w:color w:val="000000"/>
                  </w:rPr>
                  <m:t>Unemployed</m:t>
                </m:r>
                <m:sSub>
                  <m:sSubPr>
                    <m:ctrlPr>
                      <w:rPr>
                        <w:rFonts w:ascii="Cambria Math" w:hAnsi="Cambria Math"/>
                        <w:i/>
                        <w:color w:val="000000"/>
                      </w:rPr>
                    </m:ctrlPr>
                  </m:sSubPr>
                  <m:e>
                    <m:r>
                      <w:rPr>
                        <w:rFonts w:ascii="Cambria Math" w:hAnsi="Cambria Math"/>
                        <w:color w:val="000000"/>
                      </w:rPr>
                      <m:t>Hours</m:t>
                    </m:r>
                  </m:e>
                  <m:sub>
                    <m:r>
                      <w:rPr>
                        <w:rFonts w:ascii="Cambria Math" w:hAnsi="Cambria Math"/>
                        <w:color w:val="000000"/>
                      </w:rPr>
                      <m:t>l</m:t>
                    </m:r>
                  </m:sub>
                </m:sSub>
                <m:r>
                  <w:rPr>
                    <w:rFonts w:ascii="Cambria Math" w:hAnsi="Cambria Math"/>
                    <w:color w:val="000000"/>
                  </w:rPr>
                  <m:t>=</m:t>
                </m:r>
                <m:r>
                  <w:rPr>
                    <w:rFonts w:ascii="Cambria Math" w:eastAsiaTheme="minorEastAsia" w:hAnsi="Cambria Math"/>
                    <w:color w:val="000000"/>
                  </w:rPr>
                  <m:t>LabAvailabl</m:t>
                </m:r>
                <m:sSub>
                  <m:sSubPr>
                    <m:ctrlPr>
                      <w:rPr>
                        <w:rFonts w:ascii="Cambria Math" w:eastAsiaTheme="minorEastAsia" w:hAnsi="Cambria Math"/>
                        <w:bCs/>
                        <w:i/>
                        <w:color w:val="000000"/>
                      </w:rPr>
                    </m:ctrlPr>
                  </m:sSubPr>
                  <m:e>
                    <m:r>
                      <w:rPr>
                        <w:rFonts w:ascii="Cambria Math" w:eastAsiaTheme="minorEastAsia" w:hAnsi="Cambria Math"/>
                        <w:color w:val="000000"/>
                      </w:rPr>
                      <m:t>e</m:t>
                    </m:r>
                  </m:e>
                  <m:sub>
                    <m:r>
                      <w:rPr>
                        <w:rFonts w:ascii="Cambria Math" w:eastAsiaTheme="minorEastAsia" w:hAnsi="Cambria Math"/>
                        <w:color w:val="000000"/>
                      </w:rPr>
                      <m:t>l</m:t>
                    </m:r>
                  </m:sub>
                </m:sSub>
                <m:r>
                  <w:rPr>
                    <w:rFonts w:ascii="Cambria Math" w:eastAsiaTheme="minorEastAsia" w:hAnsi="Cambria Math"/>
                    <w:color w:val="000000"/>
                  </w:rPr>
                  <m:t>-Lab</m:t>
                </m:r>
                <m:sSubSup>
                  <m:sSubSupPr>
                    <m:ctrlPr>
                      <w:rPr>
                        <w:rFonts w:ascii="Cambria Math" w:eastAsiaTheme="minorEastAsia" w:hAnsi="Cambria Math"/>
                        <w:i/>
                        <w:color w:val="000000"/>
                      </w:rPr>
                    </m:ctrlPr>
                  </m:sSubSupPr>
                  <m:e>
                    <m:r>
                      <w:rPr>
                        <w:rFonts w:ascii="Cambria Math" w:eastAsiaTheme="minorEastAsia" w:hAnsi="Cambria Math"/>
                        <w:color w:val="000000"/>
                      </w:rPr>
                      <m:t>Q</m:t>
                    </m:r>
                  </m:e>
                  <m:sub>
                    <m:r>
                      <w:rPr>
                        <w:rFonts w:ascii="Cambria Math" w:eastAsiaTheme="minorEastAsia" w:hAnsi="Cambria Math"/>
                        <w:color w:val="000000"/>
                      </w:rPr>
                      <m:t>l</m:t>
                    </m:r>
                  </m:sub>
                  <m:sup>
                    <m:r>
                      <w:rPr>
                        <w:rFonts w:ascii="Cambria Math" w:eastAsiaTheme="minorEastAsia" w:hAnsi="Cambria Math"/>
                        <w:color w:val="000000"/>
                      </w:rPr>
                      <m:t>SUP</m:t>
                    </m:r>
                  </m:sup>
                </m:sSubSup>
              </m:oMath>
            </m:oMathPara>
          </w:p>
        </w:tc>
      </w:tr>
      <w:tr w:rsidR="001E7CA4" w:rsidRPr="00030C67" w14:paraId="3EDA95F8" w14:textId="77777777" w:rsidTr="00F73778">
        <w:trPr>
          <w:cantSplit/>
        </w:trPr>
        <w:tc>
          <w:tcPr>
            <w:tcW w:w="239" w:type="pct"/>
            <w:tcBorders>
              <w:top w:val="nil"/>
              <w:bottom w:val="nil"/>
            </w:tcBorders>
            <w:shd w:val="clear" w:color="000000" w:fill="auto"/>
          </w:tcPr>
          <w:p w14:paraId="68E614D2" w14:textId="2DE359EA" w:rsidR="001E7CA4" w:rsidRPr="000224EE" w:rsidRDefault="00D44823" w:rsidP="008E5700">
            <w:pPr>
              <w:pStyle w:val="TableBody"/>
              <w:numPr>
                <w:ilvl w:val="0"/>
                <w:numId w:val="10"/>
              </w:numPr>
              <w:spacing w:before="45" w:after="45"/>
              <w:ind w:left="57" w:right="108"/>
              <w:rPr>
                <w:rFonts w:ascii="Arial (Body)" w:hAnsi="Arial (Body)"/>
                <w:b/>
                <w:color w:val="265A9A"/>
              </w:rPr>
            </w:pPr>
            <w:r>
              <w:rPr>
                <w:rFonts w:ascii="Arial (Body)" w:hAnsi="Arial (Body)"/>
                <w:b/>
                <w:color w:val="265A9A"/>
              </w:rPr>
              <w:t>8.</w:t>
            </w:r>
          </w:p>
        </w:tc>
        <w:tc>
          <w:tcPr>
            <w:tcW w:w="4761" w:type="pct"/>
            <w:tcBorders>
              <w:top w:val="nil"/>
              <w:bottom w:val="nil"/>
            </w:tcBorders>
            <w:shd w:val="clear" w:color="000000" w:fill="auto"/>
          </w:tcPr>
          <w:p w14:paraId="5DB9AF27" w14:textId="28758FD4" w:rsidR="001E7CA4" w:rsidRPr="000224EE" w:rsidRDefault="00D44823" w:rsidP="00F73778">
            <w:pPr>
              <w:pStyle w:val="TableBody"/>
              <w:spacing w:before="45" w:after="45"/>
              <w:ind w:right="108"/>
              <w:rPr>
                <w:rFonts w:ascii="Arial (Body)" w:hAnsi="Arial (Body)"/>
                <w:color w:val="000000"/>
              </w:rPr>
            </w:pPr>
            <w:r>
              <w:rPr>
                <w:rFonts w:ascii="Arial (Body)" w:hAnsi="Arial (Body)"/>
                <w:color w:val="000000"/>
              </w:rPr>
              <w:t>Minimum hourly w</w:t>
            </w:r>
            <w:r w:rsidRPr="000224EE">
              <w:rPr>
                <w:rFonts w:ascii="Arial (Body)" w:hAnsi="Arial (Body)"/>
                <w:color w:val="000000"/>
              </w:rPr>
              <w:t>age</w:t>
            </w:r>
            <w:r w:rsidR="00E30A36">
              <w:rPr>
                <w:rFonts w:ascii="Arial (Body)" w:hAnsi="Arial (Body)"/>
                <w:color w:val="000000"/>
              </w:rPr>
              <w:t xml:space="preserve"> by individual group</w:t>
            </w:r>
          </w:p>
          <w:p w14:paraId="37815677" w14:textId="075E4E99" w:rsidR="001E7CA4" w:rsidRPr="00F73778" w:rsidRDefault="00001D91" w:rsidP="00F73778">
            <w:pPr>
              <w:pStyle w:val="TableBody"/>
              <w:spacing w:before="45" w:after="45"/>
              <w:ind w:right="108"/>
              <w:rPr>
                <w:rFonts w:ascii="Arial (Body)" w:hAnsi="Arial (Body)"/>
                <w:color w:val="000000"/>
              </w:rPr>
            </w:pPr>
            <m:oMathPara>
              <m:oMathParaPr>
                <m:jc m:val="left"/>
              </m:oMathParaPr>
              <m:oMath>
                <m:r>
                  <w:rPr>
                    <w:rFonts w:ascii="Cambria Math" w:hAnsi="Cambria Math"/>
                    <w:color w:val="000000"/>
                  </w:rPr>
                  <m:t>Lab</m:t>
                </m:r>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l</m:t>
                    </m:r>
                  </m:sub>
                  <m:sup>
                    <m:r>
                      <w:rPr>
                        <w:rFonts w:ascii="Cambria Math" w:hAnsi="Cambria Math"/>
                        <w:color w:val="000000"/>
                      </w:rPr>
                      <m:t>SUP</m:t>
                    </m:r>
                  </m:sup>
                </m:sSubSup>
                <m:r>
                  <w:rPr>
                    <w:rFonts w:ascii="Cambria Math" w:hAnsi="Cambria Math"/>
                    <w:color w:val="000000"/>
                  </w:rPr>
                  <m:t>≥</m:t>
                </m:r>
                <m:r>
                  <w:rPr>
                    <w:rFonts w:ascii="Cambria Math" w:hAnsi="Cambria Math"/>
                    <w:color w:val="265A9A" w:themeColor="background2"/>
                  </w:rPr>
                  <m:t>WageFloo</m:t>
                </m:r>
                <m:sSub>
                  <m:sSubPr>
                    <m:ctrlPr>
                      <w:rPr>
                        <w:rFonts w:ascii="Cambria Math" w:hAnsi="Cambria Math"/>
                        <w:i/>
                        <w:color w:val="265A9A" w:themeColor="background2"/>
                      </w:rPr>
                    </m:ctrlPr>
                  </m:sSubPr>
                  <m:e>
                    <m:r>
                      <w:rPr>
                        <w:rFonts w:ascii="Cambria Math" w:hAnsi="Cambria Math"/>
                        <w:color w:val="265A9A" w:themeColor="background2"/>
                      </w:rPr>
                      <m:t>r</m:t>
                    </m:r>
                  </m:e>
                  <m:sub>
                    <m:r>
                      <w:rPr>
                        <w:rFonts w:ascii="Cambria Math" w:hAnsi="Cambria Math"/>
                        <w:color w:val="265A9A" w:themeColor="background2"/>
                      </w:rPr>
                      <m:t>l</m:t>
                    </m:r>
                  </m:sub>
                </m:sSub>
              </m:oMath>
            </m:oMathPara>
          </w:p>
        </w:tc>
      </w:tr>
      <w:tr w:rsidR="001E7CA4" w:rsidRPr="00030C67" w14:paraId="7D5C8663" w14:textId="77777777" w:rsidTr="00F73778">
        <w:trPr>
          <w:cantSplit/>
        </w:trPr>
        <w:tc>
          <w:tcPr>
            <w:tcW w:w="239" w:type="pct"/>
            <w:tcBorders>
              <w:top w:val="nil"/>
              <w:bottom w:val="nil"/>
            </w:tcBorders>
            <w:shd w:val="clear" w:color="000000" w:fill="auto"/>
          </w:tcPr>
          <w:p w14:paraId="62B82408" w14:textId="663DF725" w:rsidR="001E7CA4" w:rsidRPr="000224EE" w:rsidRDefault="00D44823" w:rsidP="008E5700">
            <w:pPr>
              <w:pStyle w:val="TableBody"/>
              <w:numPr>
                <w:ilvl w:val="0"/>
                <w:numId w:val="10"/>
              </w:numPr>
              <w:spacing w:before="45" w:after="45"/>
              <w:ind w:left="57" w:right="108"/>
              <w:rPr>
                <w:rFonts w:ascii="Arial (Body)" w:hAnsi="Arial (Body)"/>
                <w:b/>
                <w:color w:val="265A9A"/>
              </w:rPr>
            </w:pPr>
            <w:r>
              <w:rPr>
                <w:rFonts w:ascii="Arial (Body)" w:hAnsi="Arial (Body)"/>
                <w:b/>
                <w:color w:val="265A9A"/>
              </w:rPr>
              <w:t>9.</w:t>
            </w:r>
          </w:p>
        </w:tc>
        <w:tc>
          <w:tcPr>
            <w:tcW w:w="4761" w:type="pct"/>
            <w:tcBorders>
              <w:top w:val="nil"/>
              <w:bottom w:val="nil"/>
            </w:tcBorders>
            <w:shd w:val="clear" w:color="000000" w:fill="auto"/>
          </w:tcPr>
          <w:p w14:paraId="4D4B380C" w14:textId="035A02ED" w:rsidR="001E7CA4" w:rsidRPr="000224EE" w:rsidRDefault="00E30A36" w:rsidP="00F73778">
            <w:pPr>
              <w:pStyle w:val="TableBody"/>
              <w:spacing w:before="45" w:after="45"/>
              <w:ind w:right="108"/>
              <w:rPr>
                <w:rFonts w:ascii="Arial (Body)" w:hAnsi="Arial (Body)"/>
                <w:color w:val="000000"/>
              </w:rPr>
            </w:pPr>
            <w:r>
              <w:rPr>
                <w:rFonts w:ascii="Arial (Body)" w:hAnsi="Arial (Body)"/>
                <w:color w:val="000000"/>
              </w:rPr>
              <w:t>I</w:t>
            </w:r>
            <w:r w:rsidR="001E7CA4" w:rsidRPr="000224EE">
              <w:rPr>
                <w:rFonts w:ascii="Arial (Body)" w:hAnsi="Arial (Body)"/>
                <w:color w:val="000000"/>
              </w:rPr>
              <w:t>ncome</w:t>
            </w:r>
            <w:r>
              <w:rPr>
                <w:rFonts w:ascii="Arial (Body)" w:hAnsi="Arial (Body)"/>
                <w:color w:val="000000"/>
              </w:rPr>
              <w:t xml:space="preserve"> by individual group</w:t>
            </w:r>
          </w:p>
          <w:p w14:paraId="3C598427" w14:textId="7E577B7C" w:rsidR="00D44823" w:rsidRPr="00F73778" w:rsidRDefault="00001D91" w:rsidP="00F73778">
            <w:pPr>
              <w:pStyle w:val="TableBody"/>
              <w:spacing w:before="45" w:after="45"/>
              <w:ind w:right="108"/>
              <w:rPr>
                <w:rFonts w:ascii="Arial (Body)" w:hAnsi="Arial (Body)"/>
                <w:color w:val="000000"/>
              </w:rPr>
            </w:pPr>
            <m:oMathPara>
              <m:oMathParaPr>
                <m:jc m:val="left"/>
              </m:oMathParaPr>
              <m:oMath>
                <m:r>
                  <w:rPr>
                    <w:rFonts w:ascii="Cambria Math" w:hAnsi="Cambria Math"/>
                    <w:color w:val="000000"/>
                  </w:rPr>
                  <m:t>DesiredIn</m:t>
                </m:r>
                <m:sSub>
                  <m:sSubPr>
                    <m:ctrlPr>
                      <w:rPr>
                        <w:rFonts w:ascii="Cambria Math" w:hAnsi="Cambria Math"/>
                        <w:i/>
                        <w:iCs/>
                        <w:color w:val="000000"/>
                      </w:rPr>
                    </m:ctrlPr>
                  </m:sSubPr>
                  <m:e>
                    <m:r>
                      <w:rPr>
                        <w:rFonts w:ascii="Cambria Math" w:hAnsi="Cambria Math"/>
                        <w:color w:val="000000"/>
                      </w:rPr>
                      <m:t>c</m:t>
                    </m:r>
                  </m:e>
                  <m:sub>
                    <m:r>
                      <w:rPr>
                        <w:rFonts w:ascii="Cambria Math" w:hAnsi="Cambria Math"/>
                        <w:color w:val="000000"/>
                      </w:rPr>
                      <m:t>l</m:t>
                    </m:r>
                  </m:sub>
                </m:sSub>
                <m:r>
                  <w:rPr>
                    <w:rFonts w:ascii="Cambria Math" w:hAnsi="Cambria Math"/>
                    <w:color w:val="000000"/>
                  </w:rPr>
                  <m:t>=</m:t>
                </m:r>
                <m:r>
                  <w:rPr>
                    <w:rFonts w:ascii="Cambria Math" w:eastAsiaTheme="minorEastAsia" w:hAnsi="Cambria Math"/>
                    <w:color w:val="000000"/>
                  </w:rPr>
                  <m:t>LabAvailabl</m:t>
                </m:r>
                <m:sSub>
                  <m:sSubPr>
                    <m:ctrlPr>
                      <w:rPr>
                        <w:rFonts w:ascii="Cambria Math" w:eastAsiaTheme="minorEastAsia" w:hAnsi="Cambria Math"/>
                        <w:bCs/>
                        <w:i/>
                        <w:color w:val="000000"/>
                      </w:rPr>
                    </m:ctrlPr>
                  </m:sSubPr>
                  <m:e>
                    <m:r>
                      <w:rPr>
                        <w:rFonts w:ascii="Cambria Math" w:eastAsiaTheme="minorEastAsia" w:hAnsi="Cambria Math"/>
                        <w:color w:val="000000"/>
                      </w:rPr>
                      <m:t>e</m:t>
                    </m:r>
                  </m:e>
                  <m:sub>
                    <m:r>
                      <w:rPr>
                        <w:rFonts w:ascii="Cambria Math" w:eastAsiaTheme="minorEastAsia" w:hAnsi="Cambria Math"/>
                        <w:color w:val="000000"/>
                      </w:rPr>
                      <m:t>l</m:t>
                    </m:r>
                  </m:sub>
                </m:sSub>
                <m:r>
                  <w:rPr>
                    <w:rFonts w:ascii="Cambria Math" w:hAnsi="Cambria Math"/>
                    <w:color w:val="000000"/>
                  </w:rPr>
                  <m:t>* Lab</m:t>
                </m:r>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l</m:t>
                    </m:r>
                  </m:sub>
                  <m:sup>
                    <m:r>
                      <w:rPr>
                        <w:rFonts w:ascii="Cambria Math" w:hAnsi="Cambria Math"/>
                        <w:color w:val="000000"/>
                      </w:rPr>
                      <m:t>SUP</m:t>
                    </m:r>
                  </m:sup>
                </m:sSubSup>
                <m:r>
                  <w:rPr>
                    <w:rFonts w:ascii="Cambria Math" w:hAnsi="Cambria Math"/>
                    <w:color w:val="000000"/>
                  </w:rPr>
                  <m:t>+GroupCapitalIn</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l</m:t>
                    </m:r>
                  </m:sub>
                </m:sSub>
                <m:r>
                  <w:rPr>
                    <w:rFonts w:ascii="Cambria Math" w:hAnsi="Cambria Math"/>
                    <w:color w:val="000000"/>
                  </w:rPr>
                  <m:t>-GroupIncTa</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l</m:t>
                    </m:r>
                  </m:sub>
                </m:sSub>
                <m:r>
                  <w:rPr>
                    <w:rFonts w:ascii="Cambria Math" w:hAnsi="Cambria Math"/>
                    <w:color w:val="000000"/>
                  </w:rPr>
                  <m:t>-GroupSavin</m:t>
                </m:r>
                <m:sSub>
                  <m:sSubPr>
                    <m:ctrlPr>
                      <w:rPr>
                        <w:rFonts w:ascii="Cambria Math" w:hAnsi="Cambria Math"/>
                        <w:i/>
                        <w:color w:val="000000"/>
                      </w:rPr>
                    </m:ctrlPr>
                  </m:sSubPr>
                  <m:e>
                    <m:r>
                      <w:rPr>
                        <w:rFonts w:ascii="Cambria Math" w:hAnsi="Cambria Math"/>
                        <w:color w:val="000000"/>
                      </w:rPr>
                      <m:t>g</m:t>
                    </m:r>
                  </m:e>
                  <m:sub>
                    <m:r>
                      <w:rPr>
                        <w:rFonts w:ascii="Cambria Math" w:hAnsi="Cambria Math"/>
                        <w:color w:val="000000"/>
                      </w:rPr>
                      <m:t>l</m:t>
                    </m:r>
                  </m:sub>
                </m:sSub>
              </m:oMath>
            </m:oMathPara>
          </w:p>
          <w:p w14:paraId="59B208D6" w14:textId="13C72A37" w:rsidR="001E7CA4" w:rsidRPr="00F73778" w:rsidRDefault="00001D91" w:rsidP="00F73778">
            <w:pPr>
              <w:pStyle w:val="TableBody"/>
              <w:spacing w:before="45" w:after="45"/>
              <w:ind w:right="108"/>
              <w:rPr>
                <w:rFonts w:ascii="Arial (Body)" w:hAnsi="Arial (Body)"/>
                <w:color w:val="000000"/>
              </w:rPr>
            </w:pPr>
            <m:oMathPara>
              <m:oMathParaPr>
                <m:jc m:val="left"/>
              </m:oMathParaPr>
              <m:oMath>
                <m:r>
                  <w:rPr>
                    <w:rFonts w:ascii="Cambria Math" w:hAnsi="Cambria Math"/>
                    <w:color w:val="000000"/>
                  </w:rPr>
                  <m:t>In</m:t>
                </m:r>
                <m:sSub>
                  <m:sSubPr>
                    <m:ctrlPr>
                      <w:rPr>
                        <w:rFonts w:ascii="Cambria Math" w:hAnsi="Cambria Math"/>
                        <w:i/>
                        <w:iCs/>
                        <w:color w:val="000000"/>
                      </w:rPr>
                    </m:ctrlPr>
                  </m:sSubPr>
                  <m:e>
                    <m:r>
                      <w:rPr>
                        <w:rFonts w:ascii="Cambria Math" w:hAnsi="Cambria Math"/>
                        <w:color w:val="000000"/>
                      </w:rPr>
                      <m:t>c</m:t>
                    </m:r>
                  </m:e>
                  <m:sub>
                    <m:r>
                      <w:rPr>
                        <w:rFonts w:ascii="Cambria Math" w:hAnsi="Cambria Math"/>
                        <w:color w:val="000000"/>
                      </w:rPr>
                      <m:t>l</m:t>
                    </m:r>
                  </m:sub>
                </m:sSub>
                <m:r>
                  <w:rPr>
                    <w:rFonts w:ascii="Cambria Math" w:hAnsi="Cambria Math"/>
                    <w:color w:val="000000"/>
                  </w:rPr>
                  <m:t>=</m:t>
                </m:r>
                <m:r>
                  <w:rPr>
                    <w:rFonts w:ascii="Cambria Math" w:eastAsiaTheme="minorEastAsia" w:hAnsi="Cambria Math"/>
                    <w:color w:val="000000"/>
                  </w:rPr>
                  <m:t>Lab</m:t>
                </m:r>
                <m:sSubSup>
                  <m:sSubSupPr>
                    <m:ctrlPr>
                      <w:rPr>
                        <w:rFonts w:ascii="Cambria Math" w:eastAsiaTheme="minorEastAsia" w:hAnsi="Cambria Math"/>
                        <w:i/>
                        <w:color w:val="000000"/>
                      </w:rPr>
                    </m:ctrlPr>
                  </m:sSubSupPr>
                  <m:e>
                    <m:r>
                      <w:rPr>
                        <w:rFonts w:ascii="Cambria Math" w:eastAsiaTheme="minorEastAsia" w:hAnsi="Cambria Math"/>
                        <w:color w:val="000000"/>
                      </w:rPr>
                      <m:t>Q</m:t>
                    </m:r>
                  </m:e>
                  <m:sub>
                    <m:r>
                      <w:rPr>
                        <w:rFonts w:ascii="Cambria Math" w:eastAsiaTheme="minorEastAsia" w:hAnsi="Cambria Math"/>
                        <w:color w:val="000000"/>
                      </w:rPr>
                      <m:t>l</m:t>
                    </m:r>
                  </m:sub>
                  <m:sup>
                    <m:r>
                      <w:rPr>
                        <w:rFonts w:ascii="Cambria Math" w:eastAsiaTheme="minorEastAsia" w:hAnsi="Cambria Math"/>
                        <w:color w:val="000000"/>
                      </w:rPr>
                      <m:t>SUP</m:t>
                    </m:r>
                  </m:sup>
                </m:sSubSup>
                <m:r>
                  <w:rPr>
                    <w:rFonts w:ascii="Cambria Math" w:hAnsi="Cambria Math"/>
                    <w:color w:val="000000"/>
                  </w:rPr>
                  <m:t>* Lab</m:t>
                </m:r>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l</m:t>
                    </m:r>
                  </m:sub>
                  <m:sup>
                    <m:r>
                      <w:rPr>
                        <w:rFonts w:ascii="Cambria Math" w:hAnsi="Cambria Math"/>
                        <w:color w:val="000000"/>
                      </w:rPr>
                      <m:t>SUP</m:t>
                    </m:r>
                  </m:sup>
                </m:sSubSup>
                <m:r>
                  <w:rPr>
                    <w:rFonts w:ascii="Cambria Math" w:hAnsi="Cambria Math"/>
                    <w:color w:val="000000"/>
                  </w:rPr>
                  <m:t>+GroupCapitalIn</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l</m:t>
                    </m:r>
                  </m:sub>
                </m:sSub>
                <m:r>
                  <w:rPr>
                    <w:rFonts w:ascii="Cambria Math" w:hAnsi="Cambria Math"/>
                    <w:color w:val="000000"/>
                  </w:rPr>
                  <m:t>-GroupIncTa</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l</m:t>
                    </m:r>
                  </m:sub>
                </m:sSub>
                <m:r>
                  <w:rPr>
                    <w:rFonts w:ascii="Cambria Math" w:hAnsi="Cambria Math"/>
                    <w:color w:val="000000"/>
                  </w:rPr>
                  <m:t>-GroupSavin</m:t>
                </m:r>
                <m:sSub>
                  <m:sSubPr>
                    <m:ctrlPr>
                      <w:rPr>
                        <w:rFonts w:ascii="Cambria Math" w:hAnsi="Cambria Math"/>
                        <w:i/>
                        <w:color w:val="000000"/>
                      </w:rPr>
                    </m:ctrlPr>
                  </m:sSubPr>
                  <m:e>
                    <m:r>
                      <w:rPr>
                        <w:rFonts w:ascii="Cambria Math" w:hAnsi="Cambria Math"/>
                        <w:color w:val="000000"/>
                      </w:rPr>
                      <m:t>g</m:t>
                    </m:r>
                  </m:e>
                  <m:sub>
                    <m:r>
                      <w:rPr>
                        <w:rFonts w:ascii="Cambria Math" w:hAnsi="Cambria Math"/>
                        <w:color w:val="000000"/>
                      </w:rPr>
                      <m:t>l</m:t>
                    </m:r>
                  </m:sub>
                </m:sSub>
              </m:oMath>
            </m:oMathPara>
          </w:p>
        </w:tc>
      </w:tr>
      <w:tr w:rsidR="001E7CA4" w:rsidRPr="00030C67" w14:paraId="50F334CA" w14:textId="77777777" w:rsidTr="00F73778">
        <w:trPr>
          <w:cantSplit/>
        </w:trPr>
        <w:tc>
          <w:tcPr>
            <w:tcW w:w="239" w:type="pct"/>
            <w:tcBorders>
              <w:top w:val="nil"/>
              <w:bottom w:val="nil"/>
            </w:tcBorders>
            <w:shd w:val="clear" w:color="auto" w:fill="F2F2F2" w:themeFill="background1" w:themeFillShade="F2"/>
          </w:tcPr>
          <w:p w14:paraId="260B06AC" w14:textId="77777777" w:rsidR="001E7CA4" w:rsidRPr="000224EE" w:rsidRDefault="001E7CA4" w:rsidP="000224EE">
            <w:pPr>
              <w:pStyle w:val="TableBody"/>
              <w:spacing w:before="45" w:after="45"/>
              <w:ind w:right="108"/>
              <w:rPr>
                <w:rFonts w:ascii="Arial (Body)" w:hAnsi="Arial (Body)"/>
                <w:b/>
                <w:color w:val="265A9A"/>
              </w:rPr>
            </w:pPr>
          </w:p>
        </w:tc>
        <w:tc>
          <w:tcPr>
            <w:tcW w:w="4761" w:type="pct"/>
            <w:tcBorders>
              <w:top w:val="nil"/>
              <w:bottom w:val="nil"/>
            </w:tcBorders>
            <w:shd w:val="clear" w:color="auto" w:fill="F2F2F2" w:themeFill="background1" w:themeFillShade="F2"/>
          </w:tcPr>
          <w:p w14:paraId="100BCD21" w14:textId="7F527A58" w:rsidR="001E7CA4" w:rsidRPr="000224EE" w:rsidRDefault="001E7CA4" w:rsidP="00F73778">
            <w:pPr>
              <w:pStyle w:val="TableHeading"/>
              <w:rPr>
                <w:rFonts w:ascii="Arial (Body)" w:eastAsiaTheme="minorEastAsia" w:hAnsi="Arial (Body)" w:hint="eastAsia"/>
                <w:b w:val="0"/>
                <w:color w:val="000000"/>
              </w:rPr>
            </w:pPr>
            <w:r w:rsidRPr="00E30A36">
              <w:rPr>
                <w:rFonts w:eastAsiaTheme="minorEastAsia"/>
                <w:color w:val="000000"/>
              </w:rPr>
              <w:t xml:space="preserve">Demands for domestic and imported commodities, and </w:t>
            </w:r>
            <w:r w:rsidR="00D44823" w:rsidRPr="00E30A36">
              <w:rPr>
                <w:rFonts w:eastAsiaTheme="minorEastAsia"/>
                <w:color w:val="000000"/>
              </w:rPr>
              <w:t>composite</w:t>
            </w:r>
            <w:r w:rsidR="00D44823">
              <w:rPr>
                <w:rFonts w:eastAsiaTheme="minorEastAsia"/>
                <w:color w:val="000000"/>
              </w:rPr>
              <w:t>s of domestic and imported</w:t>
            </w:r>
            <w:r w:rsidRPr="00E30A36">
              <w:rPr>
                <w:rFonts w:eastAsiaTheme="minorEastAsia"/>
                <w:color w:val="000000"/>
              </w:rPr>
              <w:t xml:space="preserve"> commodities</w:t>
            </w:r>
            <w:r w:rsidR="00D44823">
              <w:rPr>
                <w:rFonts w:eastAsiaTheme="minorEastAsia"/>
                <w:color w:val="000000"/>
              </w:rPr>
              <w:t>, across each sector</w:t>
            </w:r>
          </w:p>
        </w:tc>
      </w:tr>
      <w:tr w:rsidR="001E7CA4" w:rsidRPr="00030C67" w14:paraId="1318E873" w14:textId="77777777" w:rsidTr="00F73778">
        <w:trPr>
          <w:cantSplit/>
        </w:trPr>
        <w:tc>
          <w:tcPr>
            <w:tcW w:w="239" w:type="pct"/>
            <w:tcBorders>
              <w:top w:val="nil"/>
              <w:bottom w:val="nil"/>
            </w:tcBorders>
            <w:shd w:val="clear" w:color="000000" w:fill="auto"/>
          </w:tcPr>
          <w:p w14:paraId="1D3D17FB" w14:textId="3775B51A" w:rsidR="001E7CA4" w:rsidRPr="000224EE" w:rsidRDefault="00D44823" w:rsidP="008E5700">
            <w:pPr>
              <w:pStyle w:val="TableBody"/>
              <w:numPr>
                <w:ilvl w:val="0"/>
                <w:numId w:val="10"/>
              </w:numPr>
              <w:spacing w:before="45" w:after="45"/>
              <w:ind w:left="57" w:right="108"/>
              <w:rPr>
                <w:rFonts w:ascii="Arial (Body)" w:hAnsi="Arial (Body)"/>
                <w:b/>
                <w:color w:val="265A9A"/>
              </w:rPr>
            </w:pPr>
            <w:r>
              <w:rPr>
                <w:rFonts w:ascii="Arial (Body)" w:hAnsi="Arial (Body)"/>
                <w:b/>
                <w:color w:val="265A9A"/>
              </w:rPr>
              <w:t>1</w:t>
            </w:r>
            <w:r w:rsidR="00CA0821">
              <w:rPr>
                <w:rFonts w:ascii="Arial (Body)" w:hAnsi="Arial (Body)"/>
                <w:b/>
                <w:color w:val="265A9A"/>
              </w:rPr>
              <w:t>0</w:t>
            </w:r>
            <w:r>
              <w:rPr>
                <w:rFonts w:ascii="Arial (Body)" w:hAnsi="Arial (Body)"/>
                <w:b/>
                <w:color w:val="265A9A"/>
              </w:rPr>
              <w:t>.</w:t>
            </w:r>
          </w:p>
        </w:tc>
        <w:tc>
          <w:tcPr>
            <w:tcW w:w="4761" w:type="pct"/>
            <w:tcBorders>
              <w:top w:val="nil"/>
              <w:bottom w:val="nil"/>
            </w:tcBorders>
            <w:shd w:val="clear" w:color="000000" w:fill="auto"/>
          </w:tcPr>
          <w:p w14:paraId="4BCDAF8E" w14:textId="110D4C19" w:rsidR="001E7CA4" w:rsidRPr="000224EE" w:rsidRDefault="001E7CA4" w:rsidP="00F73778">
            <w:pPr>
              <w:pStyle w:val="TableBody"/>
              <w:spacing w:before="45" w:after="45"/>
              <w:ind w:right="108"/>
              <w:rPr>
                <w:rFonts w:ascii="Arial (Body)" w:eastAsiaTheme="minorEastAsia" w:hAnsi="Arial (Body)" w:hint="eastAsia"/>
                <w:color w:val="000000"/>
              </w:rPr>
            </w:pPr>
            <w:r w:rsidRPr="000224EE">
              <w:rPr>
                <w:rFonts w:ascii="Arial (Body)" w:eastAsiaTheme="minorEastAsia" w:hAnsi="Arial (Body)"/>
                <w:color w:val="000000"/>
              </w:rPr>
              <w:t>Demand for domestic and imported commodities per user and commodity</w:t>
            </w:r>
            <w:r w:rsidR="00D44823">
              <w:rPr>
                <w:rFonts w:ascii="Arial (Body)" w:eastAsiaTheme="minorEastAsia" w:hAnsi="Arial (Body)"/>
                <w:color w:val="000000"/>
              </w:rPr>
              <w:t>, to produce composite commodities of domestic and imported commodities, via expenditure minimisation</w:t>
            </w:r>
          </w:p>
          <w:p w14:paraId="2CD4BD58" w14:textId="3104AD61" w:rsidR="001E7CA4" w:rsidRPr="00F73778" w:rsidRDefault="001D257B" w:rsidP="00F73778">
            <w:pPr>
              <w:pStyle w:val="TableBody"/>
              <w:spacing w:before="45" w:after="45"/>
              <w:ind w:right="108"/>
              <w:rPr>
                <w:rFonts w:ascii="Arial (Body)" w:eastAsiaTheme="minorEastAsia" w:hAnsi="Arial (Body)" w:hint="eastAsia"/>
                <w:color w:val="000000"/>
              </w:rPr>
            </w:pPr>
            <m:oMathPara>
              <m:oMathParaPr>
                <m:jc m:val="left"/>
              </m:oMathParaPr>
              <m:oMath>
                <m:r>
                  <w:rPr>
                    <w:rFonts w:ascii="Cambria Math" w:hAnsi="Cambria Math"/>
                    <w:color w:val="000000"/>
                  </w:rPr>
                  <m:t>Commodity</m:t>
                </m:r>
                <m:sSubSup>
                  <m:sSubSupPr>
                    <m:ctrlPr>
                      <w:rPr>
                        <w:rFonts w:ascii="Cambria Math" w:hAnsi="Cambria Math"/>
                        <w:i/>
                        <w:color w:val="000000"/>
                      </w:rPr>
                    </m:ctrlPr>
                  </m:sSubSupPr>
                  <m:e>
                    <m:r>
                      <w:rPr>
                        <w:rFonts w:ascii="Cambria Math" w:hAnsi="Cambria Math"/>
                        <w:color w:val="000000"/>
                      </w:rPr>
                      <m:t>Q</m:t>
                    </m:r>
                  </m:e>
                  <m:sub>
                    <m:r>
                      <w:rPr>
                        <w:rFonts w:ascii="Cambria Math" w:hAnsi="Cambria Math"/>
                        <w:color w:val="000000"/>
                      </w:rPr>
                      <m:t>u</m:t>
                    </m:r>
                    <m:r>
                      <m:rPr>
                        <m:sty m:val="p"/>
                      </m:rPr>
                      <w:rPr>
                        <w:rFonts w:ascii="Cambria Math" w:hAnsi="Cambria Math"/>
                        <w:color w:val="000000"/>
                      </w:rPr>
                      <m:t>,</m:t>
                    </m:r>
                    <m:r>
                      <w:rPr>
                        <w:rFonts w:ascii="Cambria Math" w:hAnsi="Cambria Math"/>
                        <w:color w:val="000000"/>
                      </w:rPr>
                      <m:t>s</m:t>
                    </m:r>
                    <m:r>
                      <m:rPr>
                        <m:sty m:val="p"/>
                      </m:rPr>
                      <w:rPr>
                        <w:rFonts w:ascii="Cambria Math" w:hAnsi="Cambria Math"/>
                        <w:color w:val="000000"/>
                      </w:rPr>
                      <m:t>,</m:t>
                    </m:r>
                    <m:r>
                      <w:rPr>
                        <w:rFonts w:ascii="Cambria Math" w:hAnsi="Cambria Math"/>
                        <w:color w:val="000000"/>
                      </w:rPr>
                      <m:t>c</m:t>
                    </m:r>
                  </m:sub>
                  <m:sup>
                    <m:r>
                      <w:rPr>
                        <w:rFonts w:ascii="Cambria Math" w:hAnsi="Cambria Math"/>
                        <w:color w:val="000000"/>
                      </w:rPr>
                      <m:t>DEM</m:t>
                    </m:r>
                  </m:sup>
                </m:sSubSup>
                <m:r>
                  <m:rPr>
                    <m:sty m:val="p"/>
                  </m:rPr>
                  <w:rPr>
                    <w:rFonts w:ascii="Cambria Math" w:hAnsi="Cambria Math"/>
                    <w:color w:val="000000"/>
                  </w:rPr>
                  <m:t>=</m:t>
                </m:r>
                <m:d>
                  <m:dPr>
                    <m:begChr m:val="{"/>
                    <m:endChr m:val=""/>
                    <m:ctrlPr>
                      <w:rPr>
                        <w:rFonts w:ascii="Cambria Math" w:hAnsi="Cambria Math"/>
                        <w:color w:val="000000"/>
                      </w:rPr>
                    </m:ctrlPr>
                  </m:dPr>
                  <m:e>
                    <m:m>
                      <m:mPr>
                        <m:mcs>
                          <m:mc>
                            <m:mcPr>
                              <m:count m:val="1"/>
                              <m:mcJc m:val="center"/>
                            </m:mcPr>
                          </m:mc>
                        </m:mcs>
                        <m:ctrlPr>
                          <w:rPr>
                            <w:rFonts w:ascii="Cambria Math" w:hAnsi="Cambria Math"/>
                            <w:color w:val="000000"/>
                          </w:rPr>
                        </m:ctrlPr>
                      </m:mPr>
                      <m:mr>
                        <m:e>
                          <m:r>
                            <w:rPr>
                              <w:rFonts w:ascii="Cambria Math" w:hAnsi="Cambria Math"/>
                              <w:color w:val="000000"/>
                            </w:rPr>
                            <m:t>CES</m:t>
                          </m:r>
                          <m:d>
                            <m:dPr>
                              <m:ctrlPr>
                                <w:rPr>
                                  <w:rFonts w:ascii="Cambria Math" w:hAnsi="Cambria Math"/>
                                  <w:color w:val="000000"/>
                                </w:rPr>
                              </m:ctrlPr>
                            </m:dPr>
                            <m:e>
                              <m:r>
                                <w:rPr>
                                  <w:rFonts w:ascii="Cambria Math" w:hAnsi="Cambria Math"/>
                                  <w:color w:val="000000"/>
                                </w:rPr>
                                <m:t>CompComm</m:t>
                              </m:r>
                              <m:sSubSup>
                                <m:sSubSupPr>
                                  <m:ctrlPr>
                                    <w:rPr>
                                      <w:rFonts w:ascii="Cambria Math" w:hAnsi="Cambria Math"/>
                                      <w:i/>
                                      <w:color w:val="000000"/>
                                    </w:rPr>
                                  </m:ctrlPr>
                                </m:sSubSupPr>
                                <m:e>
                                  <m:r>
                                    <w:rPr>
                                      <w:rFonts w:ascii="Cambria Math" w:hAnsi="Cambria Math"/>
                                      <w:color w:val="000000"/>
                                    </w:rPr>
                                    <m:t>Q</m:t>
                                  </m:r>
                                </m:e>
                                <m:sub>
                                  <m:r>
                                    <w:rPr>
                                      <w:rFonts w:ascii="Cambria Math" w:hAnsi="Cambria Math"/>
                                      <w:color w:val="000000"/>
                                    </w:rPr>
                                    <m:t>u</m:t>
                                  </m:r>
                                  <m:r>
                                    <m:rPr>
                                      <m:sty m:val="p"/>
                                    </m:rPr>
                                    <w:rPr>
                                      <w:rFonts w:ascii="Cambria Math" w:hAnsi="Cambria Math"/>
                                      <w:color w:val="000000"/>
                                    </w:rPr>
                                    <m:t>,</m:t>
                                  </m:r>
                                  <m:r>
                                    <w:rPr>
                                      <w:rFonts w:ascii="Cambria Math" w:hAnsi="Cambria Math"/>
                                      <w:color w:val="000000"/>
                                    </w:rPr>
                                    <m:t>c</m:t>
                                  </m:r>
                                </m:sub>
                                <m:sup>
                                  <m:r>
                                    <w:rPr>
                                      <w:rFonts w:ascii="Cambria Math" w:hAnsi="Cambria Math"/>
                                      <w:color w:val="000000"/>
                                    </w:rPr>
                                    <m:t>SUP</m:t>
                                  </m:r>
                                </m:sup>
                              </m:sSubSup>
                              <m:r>
                                <m:rPr>
                                  <m:sty m:val="p"/>
                                </m:rPr>
                                <w:rPr>
                                  <w:rFonts w:ascii="Cambria Math" w:hAnsi="Cambria Math"/>
                                  <w:color w:val="000000"/>
                                </w:rPr>
                                <m:t xml:space="preserve">, </m:t>
                              </m:r>
                              <m:r>
                                <w:rPr>
                                  <w:rFonts w:ascii="Cambria Math" w:hAnsi="Cambria Math"/>
                                  <w:color w:val="000000"/>
                                </w:rPr>
                                <m:t>Commodity</m:t>
                              </m:r>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s</m:t>
                                  </m:r>
                                  <m:r>
                                    <m:rPr>
                                      <m:sty m:val="p"/>
                                    </m:rPr>
                                    <w:rPr>
                                      <w:rFonts w:ascii="Cambria Math" w:hAnsi="Cambria Math"/>
                                      <w:color w:val="000000"/>
                                    </w:rPr>
                                    <m:t>,</m:t>
                                  </m:r>
                                  <m:r>
                                    <w:rPr>
                                      <w:rFonts w:ascii="Cambria Math" w:hAnsi="Cambria Math"/>
                                      <w:color w:val="000000"/>
                                    </w:rPr>
                                    <m:t>c</m:t>
                                  </m:r>
                                </m:sub>
                                <m:sup/>
                              </m:sSubSup>
                            </m:e>
                          </m:d>
                        </m:e>
                      </m:mr>
                      <m:mr>
                        <m:e>
                          <m:r>
                            <w:rPr>
                              <w:rFonts w:ascii="Cambria Math" w:hAnsi="Cambria Math"/>
                              <w:color w:val="000000"/>
                            </w:rPr>
                            <m:t>Leontief</m:t>
                          </m:r>
                          <m:r>
                            <m:rPr>
                              <m:sty m:val="p"/>
                            </m:rPr>
                            <w:rPr>
                              <w:rFonts w:ascii="Cambria Math" w:hAnsi="Cambria Math"/>
                              <w:color w:val="000000"/>
                            </w:rPr>
                            <m:t>(</m:t>
                          </m:r>
                          <m:r>
                            <w:rPr>
                              <w:rFonts w:ascii="Cambria Math" w:hAnsi="Cambria Math"/>
                              <w:color w:val="000000"/>
                            </w:rPr>
                            <m:t>CompComm</m:t>
                          </m:r>
                          <m:sSubSup>
                            <m:sSubSupPr>
                              <m:ctrlPr>
                                <w:rPr>
                                  <w:rFonts w:ascii="Cambria Math" w:hAnsi="Cambria Math"/>
                                  <w:i/>
                                  <w:color w:val="000000"/>
                                </w:rPr>
                              </m:ctrlPr>
                            </m:sSubSupPr>
                            <m:e>
                              <m:r>
                                <w:rPr>
                                  <w:rFonts w:ascii="Cambria Math" w:hAnsi="Cambria Math"/>
                                  <w:color w:val="000000"/>
                                </w:rPr>
                                <m:t>Q</m:t>
                              </m:r>
                            </m:e>
                            <m:sub>
                              <m:r>
                                <w:rPr>
                                  <w:rFonts w:ascii="Cambria Math" w:hAnsi="Cambria Math"/>
                                  <w:color w:val="000000"/>
                                </w:rPr>
                                <m:t>u</m:t>
                              </m:r>
                              <m:r>
                                <m:rPr>
                                  <m:sty m:val="p"/>
                                </m:rPr>
                                <w:rPr>
                                  <w:rFonts w:ascii="Cambria Math" w:hAnsi="Cambria Math"/>
                                  <w:color w:val="000000"/>
                                </w:rPr>
                                <m:t>,</m:t>
                              </m:r>
                              <m:r>
                                <w:rPr>
                                  <w:rFonts w:ascii="Cambria Math" w:hAnsi="Cambria Math"/>
                                  <w:color w:val="000000"/>
                                </w:rPr>
                                <m:t>c</m:t>
                              </m:r>
                            </m:sub>
                            <m:sup>
                              <m:r>
                                <w:rPr>
                                  <w:rFonts w:ascii="Cambria Math" w:hAnsi="Cambria Math"/>
                                  <w:color w:val="000000"/>
                                </w:rPr>
                                <m:t>SUP</m:t>
                              </m:r>
                            </m:sup>
                          </m:sSubSup>
                          <m:r>
                            <m:rPr>
                              <m:sty m:val="p"/>
                            </m:rPr>
                            <w:rPr>
                              <w:rFonts w:ascii="Cambria Math" w:hAnsi="Cambria Math"/>
                              <w:color w:val="000000"/>
                            </w:rPr>
                            <m:t>)</m:t>
                          </m:r>
                        </m:e>
                      </m:mr>
                    </m:m>
                    <m:m>
                      <m:mPr>
                        <m:mcs>
                          <m:mc>
                            <m:mcPr>
                              <m:count m:val="1"/>
                              <m:mcJc m:val="center"/>
                            </m:mcPr>
                          </m:mc>
                        </m:mcs>
                        <m:ctrlPr>
                          <w:rPr>
                            <w:rFonts w:ascii="Cambria Math" w:hAnsi="Cambria Math"/>
                            <w:color w:val="000000"/>
                          </w:rPr>
                        </m:ctrlPr>
                      </m:mPr>
                      <m:mr>
                        <m:e>
                          <m:r>
                            <m:rPr>
                              <m:sty m:val="p"/>
                            </m:rPr>
                            <w:rPr>
                              <w:rFonts w:ascii="Cambria Math" w:hAnsi="Cambria Math"/>
                              <w:color w:val="000000"/>
                            </w:rPr>
                            <m:t> </m:t>
                          </m:r>
                          <m:r>
                            <w:rPr>
                              <w:rFonts w:ascii="Cambria Math" w:hAnsi="Cambria Math"/>
                              <w:color w:val="000000"/>
                            </w:rPr>
                            <m:t>where</m:t>
                          </m:r>
                          <m:r>
                            <m:rPr>
                              <m:sty m:val="p"/>
                            </m:rPr>
                            <w:rPr>
                              <w:rFonts w:ascii="Cambria Math" w:hAnsi="Cambria Math"/>
                              <w:color w:val="000000"/>
                            </w:rPr>
                            <m:t xml:space="preserve"> </m:t>
                          </m:r>
                          <m:r>
                            <w:rPr>
                              <w:rFonts w:ascii="Cambria Math" w:hAnsi="Cambria Math"/>
                              <w:color w:val="000000"/>
                            </w:rPr>
                            <m:t>commodity</m:t>
                          </m:r>
                          <m:r>
                            <m:rPr>
                              <m:sty m:val="p"/>
                            </m:rPr>
                            <w:rPr>
                              <w:rFonts w:ascii="Cambria Math" w:hAnsi="Cambria Math"/>
                              <w:color w:val="000000"/>
                            </w:rPr>
                            <m:t xml:space="preserve"> </m:t>
                          </m:r>
                          <m:r>
                            <w:rPr>
                              <w:rFonts w:ascii="Cambria Math" w:hAnsi="Cambria Math"/>
                              <w:color w:val="000000"/>
                            </w:rPr>
                            <m:t>is</m:t>
                          </m:r>
                          <m:r>
                            <m:rPr>
                              <m:sty m:val="p"/>
                            </m:rPr>
                            <w:rPr>
                              <w:rFonts w:ascii="Cambria Math" w:hAnsi="Cambria Math"/>
                              <w:color w:val="000000"/>
                            </w:rPr>
                            <m:t xml:space="preserve"> </m:t>
                          </m:r>
                          <m:r>
                            <w:rPr>
                              <w:rFonts w:ascii="Cambria Math" w:hAnsi="Cambria Math"/>
                              <w:color w:val="000000"/>
                            </w:rPr>
                            <m:t>substitutable</m:t>
                          </m:r>
                        </m:e>
                      </m:mr>
                      <m:mr>
                        <m:e>
                          <m:r>
                            <w:rPr>
                              <w:rFonts w:ascii="Cambria Math" w:hAnsi="Cambria Math"/>
                              <w:color w:val="000000"/>
                            </w:rPr>
                            <m:t>where</m:t>
                          </m:r>
                          <m:r>
                            <m:rPr>
                              <m:sty m:val="p"/>
                            </m:rPr>
                            <w:rPr>
                              <w:rFonts w:ascii="Cambria Math" w:hAnsi="Cambria Math"/>
                              <w:color w:val="000000"/>
                            </w:rPr>
                            <m:t xml:space="preserve"> </m:t>
                          </m:r>
                          <m:r>
                            <w:rPr>
                              <w:rFonts w:ascii="Cambria Math" w:hAnsi="Cambria Math"/>
                              <w:color w:val="000000"/>
                            </w:rPr>
                            <m:t>commodity</m:t>
                          </m:r>
                          <m:r>
                            <m:rPr>
                              <m:sty m:val="p"/>
                            </m:rPr>
                            <w:rPr>
                              <w:rFonts w:ascii="Cambria Math" w:hAnsi="Cambria Math"/>
                              <w:color w:val="000000"/>
                            </w:rPr>
                            <m:t xml:space="preserve"> </m:t>
                          </m:r>
                          <m:r>
                            <w:rPr>
                              <w:rFonts w:ascii="Cambria Math" w:hAnsi="Cambria Math"/>
                              <w:color w:val="000000"/>
                            </w:rPr>
                            <m:t>is</m:t>
                          </m:r>
                          <m:r>
                            <m:rPr>
                              <m:sty m:val="p"/>
                            </m:rPr>
                            <w:rPr>
                              <w:rFonts w:ascii="Cambria Math" w:hAnsi="Cambria Math"/>
                              <w:color w:val="000000"/>
                            </w:rPr>
                            <m:t xml:space="preserve"> </m:t>
                          </m:r>
                          <m:r>
                            <w:rPr>
                              <w:rFonts w:ascii="Cambria Math" w:hAnsi="Cambria Math"/>
                              <w:color w:val="000000"/>
                            </w:rPr>
                            <m:t>not</m:t>
                          </m:r>
                          <m:r>
                            <m:rPr>
                              <m:sty m:val="p"/>
                            </m:rPr>
                            <w:rPr>
                              <w:rFonts w:ascii="Cambria Math" w:hAnsi="Cambria Math"/>
                              <w:color w:val="000000"/>
                            </w:rPr>
                            <m:t xml:space="preserve"> </m:t>
                          </m:r>
                          <m:r>
                            <w:rPr>
                              <w:rFonts w:ascii="Cambria Math" w:hAnsi="Cambria Math"/>
                              <w:color w:val="000000"/>
                            </w:rPr>
                            <m:t>substitutable</m:t>
                          </m:r>
                        </m:e>
                      </m:mr>
                    </m:m>
                  </m:e>
                </m:d>
              </m:oMath>
            </m:oMathPara>
          </w:p>
        </w:tc>
      </w:tr>
      <w:tr w:rsidR="001E7CA4" w:rsidRPr="00030C67" w14:paraId="42807EED" w14:textId="77777777" w:rsidTr="00F73778">
        <w:trPr>
          <w:cantSplit/>
        </w:trPr>
        <w:tc>
          <w:tcPr>
            <w:tcW w:w="239" w:type="pct"/>
            <w:tcBorders>
              <w:top w:val="nil"/>
              <w:bottom w:val="nil"/>
            </w:tcBorders>
            <w:shd w:val="clear" w:color="000000" w:fill="auto"/>
          </w:tcPr>
          <w:p w14:paraId="5FB63278" w14:textId="50D7CA68" w:rsidR="001E7CA4" w:rsidRPr="000224EE" w:rsidRDefault="00D44823" w:rsidP="008E5700">
            <w:pPr>
              <w:pStyle w:val="TableBody"/>
              <w:numPr>
                <w:ilvl w:val="0"/>
                <w:numId w:val="10"/>
              </w:numPr>
              <w:spacing w:before="45" w:after="45"/>
              <w:ind w:left="57" w:right="108"/>
              <w:rPr>
                <w:rFonts w:ascii="Arial (Body)" w:hAnsi="Arial (Body)"/>
                <w:b/>
                <w:color w:val="265A9A"/>
              </w:rPr>
            </w:pPr>
            <w:r>
              <w:rPr>
                <w:rFonts w:ascii="Arial (Body)" w:hAnsi="Arial (Body)"/>
                <w:b/>
                <w:color w:val="265A9A"/>
              </w:rPr>
              <w:t>1</w:t>
            </w:r>
            <w:r w:rsidR="00CA0821">
              <w:rPr>
                <w:rFonts w:ascii="Arial (Body)" w:hAnsi="Arial (Body)"/>
                <w:b/>
                <w:color w:val="265A9A"/>
              </w:rPr>
              <w:t>1</w:t>
            </w:r>
            <w:r>
              <w:rPr>
                <w:rFonts w:ascii="Arial (Body)" w:hAnsi="Arial (Body)"/>
                <w:b/>
                <w:color w:val="265A9A"/>
              </w:rPr>
              <w:t>.</w:t>
            </w:r>
          </w:p>
        </w:tc>
        <w:tc>
          <w:tcPr>
            <w:tcW w:w="4761" w:type="pct"/>
            <w:tcBorders>
              <w:top w:val="nil"/>
              <w:bottom w:val="nil"/>
            </w:tcBorders>
            <w:shd w:val="clear" w:color="000000" w:fill="auto"/>
          </w:tcPr>
          <w:p w14:paraId="6BBB2246" w14:textId="5FADE826" w:rsidR="001E7CA4" w:rsidRPr="000224EE" w:rsidRDefault="001E7CA4" w:rsidP="00F73778">
            <w:pPr>
              <w:pStyle w:val="TableBody"/>
              <w:spacing w:before="45" w:after="45"/>
              <w:ind w:right="108"/>
              <w:rPr>
                <w:rFonts w:ascii="Arial (Body)" w:eastAsiaTheme="minorEastAsia" w:hAnsi="Arial (Body)" w:hint="eastAsia"/>
                <w:color w:val="000000"/>
              </w:rPr>
            </w:pPr>
            <w:r w:rsidRPr="000224EE">
              <w:rPr>
                <w:rFonts w:ascii="Arial (Body)" w:eastAsiaTheme="minorEastAsia" w:hAnsi="Arial (Body)"/>
                <w:color w:val="000000"/>
              </w:rPr>
              <w:t xml:space="preserve">Industry demand for industry </w:t>
            </w:r>
            <w:r w:rsidR="00D44823" w:rsidRPr="000224EE">
              <w:rPr>
                <w:rFonts w:ascii="Arial (Body)" w:eastAsiaTheme="minorEastAsia" w:hAnsi="Arial (Body)"/>
                <w:color w:val="000000"/>
              </w:rPr>
              <w:t>composite</w:t>
            </w:r>
            <w:r w:rsidR="00D44823">
              <w:rPr>
                <w:rFonts w:ascii="Arial (Body)" w:eastAsiaTheme="minorEastAsia" w:hAnsi="Arial (Body)"/>
                <w:color w:val="000000"/>
              </w:rPr>
              <w:t>s</w:t>
            </w:r>
            <w:r w:rsidRPr="000224EE">
              <w:rPr>
                <w:rFonts w:ascii="Arial (Body)" w:eastAsiaTheme="minorEastAsia" w:hAnsi="Arial (Body)"/>
                <w:color w:val="000000"/>
              </w:rPr>
              <w:t xml:space="preserve"> per industry (c</w:t>
            </w:r>
            <w:r w:rsidR="0031404F">
              <w:rPr>
                <w:rFonts w:ascii="Arial (Body)" w:eastAsiaTheme="minorEastAsia" w:hAnsi="Arial (Body)"/>
                <w:color w:val="000000"/>
              </w:rPr>
              <w:t>’</w:t>
            </w:r>
            <w:r w:rsidRPr="000224EE">
              <w:rPr>
                <w:rFonts w:ascii="Arial (Body)" w:eastAsiaTheme="minorEastAsia" w:hAnsi="Arial (Body)"/>
                <w:color w:val="000000"/>
              </w:rPr>
              <w:t>) and commodity (c</w:t>
            </w:r>
            <w:r w:rsidR="00D44823" w:rsidRPr="000224EE">
              <w:rPr>
                <w:rFonts w:ascii="Arial (Body)" w:eastAsiaTheme="minorEastAsia" w:hAnsi="Arial (Body)"/>
                <w:color w:val="000000"/>
              </w:rPr>
              <w:t>)</w:t>
            </w:r>
            <w:r w:rsidR="00D44823">
              <w:rPr>
                <w:rFonts w:ascii="Arial (Body)" w:eastAsiaTheme="minorEastAsia" w:hAnsi="Arial (Body)"/>
                <w:color w:val="000000"/>
              </w:rPr>
              <w:t>, via expenditure minimisation</w:t>
            </w:r>
          </w:p>
          <w:p w14:paraId="3368EDB8" w14:textId="58AB4EAA" w:rsidR="001E7CA4" w:rsidRPr="00F87317" w:rsidRDefault="00001D91" w:rsidP="00F73778">
            <w:pPr>
              <w:pStyle w:val="TableBody"/>
              <w:spacing w:before="45" w:after="45"/>
              <w:ind w:right="108"/>
              <w:rPr>
                <w:rFonts w:ascii="Arial (Body)" w:eastAsiaTheme="minorEastAsia" w:hAnsi="Arial (Body)" w:hint="eastAsia"/>
                <w:color w:val="000000"/>
              </w:rPr>
            </w:pPr>
            <m:oMathPara>
              <m:oMathParaPr>
                <m:jc m:val="left"/>
              </m:oMathParaPr>
              <m:oMath>
                <m:r>
                  <w:rPr>
                    <w:rFonts w:ascii="Cambria Math" w:hAnsi="Cambria Math"/>
                    <w:color w:val="000000"/>
                  </w:rPr>
                  <m:t>CompComm</m:t>
                </m:r>
                <m:sSubSup>
                  <m:sSubSupPr>
                    <m:ctrlPr>
                      <w:rPr>
                        <w:rFonts w:ascii="Cambria Math" w:hAnsi="Cambria Math"/>
                        <w:i/>
                        <w:color w:val="000000"/>
                      </w:rPr>
                    </m:ctrlPr>
                  </m:sSubSupPr>
                  <m:e>
                    <m:r>
                      <w:rPr>
                        <w:rFonts w:ascii="Cambria Math" w:hAnsi="Cambria Math"/>
                        <w:color w:val="000000"/>
                      </w:rPr>
                      <m:t>Q</m:t>
                    </m:r>
                  </m:e>
                  <m:sub>
                    <m:sSup>
                      <m:sSupPr>
                        <m:ctrlPr>
                          <w:rPr>
                            <w:rFonts w:ascii="Cambria Math" w:hAnsi="Cambria Math"/>
                            <w:i/>
                            <w:color w:val="000000"/>
                          </w:rPr>
                        </m:ctrlPr>
                      </m:sSupPr>
                      <m:e>
                        <m:r>
                          <w:rPr>
                            <w:rFonts w:ascii="Cambria Math" w:hAnsi="Cambria Math"/>
                            <w:color w:val="000000"/>
                          </w:rPr>
                          <m:t>c</m:t>
                        </m:r>
                      </m:e>
                      <m:sup>
                        <m:r>
                          <w:rPr>
                            <w:rFonts w:ascii="Cambria Math" w:hAnsi="Cambria Math"/>
                            <w:color w:val="000000"/>
                          </w:rPr>
                          <m:t>'</m:t>
                        </m:r>
                      </m:sup>
                    </m:sSup>
                    <m:r>
                      <w:rPr>
                        <w:rFonts w:ascii="Cambria Math" w:hAnsi="Cambria Math"/>
                        <w:color w:val="000000"/>
                      </w:rPr>
                      <m:t>,c</m:t>
                    </m:r>
                  </m:sub>
                  <m:sup>
                    <m:r>
                      <w:rPr>
                        <w:rFonts w:ascii="Cambria Math" w:hAnsi="Cambria Math"/>
                        <w:color w:val="000000"/>
                      </w:rPr>
                      <m:t>DEM</m:t>
                    </m:r>
                  </m:sup>
                </m:sSubSup>
                <m:r>
                  <w:rPr>
                    <w:rFonts w:ascii="Cambria Math" w:eastAsiaTheme="minorEastAsia" w:hAnsi="Cambria Math"/>
                    <w:color w:val="000000"/>
                  </w:rPr>
                  <m:t>= Leontief</m:t>
                </m:r>
                <m:d>
                  <m:dPr>
                    <m:ctrlPr>
                      <w:rPr>
                        <w:rFonts w:ascii="Cambria Math" w:eastAsiaTheme="minorEastAsia" w:hAnsi="Cambria Math"/>
                        <w:i/>
                        <w:color w:val="000000"/>
                      </w:rPr>
                    </m:ctrlPr>
                  </m:dPr>
                  <m:e>
                    <m:sSubSup>
                      <m:sSubSupPr>
                        <m:ctrlPr>
                          <w:rPr>
                            <w:rFonts w:ascii="Cambria Math" w:eastAsiaTheme="minorEastAsia" w:hAnsi="Cambria Math"/>
                            <w:i/>
                            <w:color w:val="4D7028" w:themeColor="accent2"/>
                          </w:rPr>
                        </m:ctrlPr>
                      </m:sSubSupPr>
                      <m:e>
                        <m:r>
                          <w:rPr>
                            <w:rFonts w:ascii="Cambria Math" w:eastAsiaTheme="minorEastAsia" w:hAnsi="Cambria Math"/>
                            <w:color w:val="4D7028" w:themeColor="accent2"/>
                          </w:rPr>
                          <m:t>ε</m:t>
                        </m:r>
                      </m:e>
                      <m:sub>
                        <m:sSup>
                          <m:sSupPr>
                            <m:ctrlPr>
                              <w:rPr>
                                <w:rFonts w:ascii="Cambria Math" w:eastAsiaTheme="minorEastAsia" w:hAnsi="Cambria Math"/>
                                <w:i/>
                                <w:color w:val="4D7028" w:themeColor="accent2"/>
                              </w:rPr>
                            </m:ctrlPr>
                          </m:sSupPr>
                          <m:e>
                            <m:r>
                              <w:rPr>
                                <w:rFonts w:ascii="Cambria Math" w:eastAsiaTheme="minorEastAsia" w:hAnsi="Cambria Math"/>
                                <w:color w:val="4D7028" w:themeColor="accent2"/>
                              </w:rPr>
                              <m:t>c</m:t>
                            </m:r>
                          </m:e>
                          <m:sup>
                            <m:r>
                              <w:rPr>
                                <w:rFonts w:ascii="Cambria Math" w:eastAsiaTheme="minorEastAsia" w:hAnsi="Cambria Math"/>
                                <w:color w:val="4D7028" w:themeColor="accent2"/>
                              </w:rPr>
                              <m:t>'</m:t>
                            </m:r>
                          </m:sup>
                        </m:sSup>
                      </m:sub>
                      <m:sup>
                        <m:r>
                          <w:rPr>
                            <w:rFonts w:ascii="Cambria Math" w:eastAsiaTheme="minorEastAsia" w:hAnsi="Cambria Math"/>
                            <w:color w:val="4D7028" w:themeColor="accent2"/>
                          </w:rPr>
                          <m:t>OUTPUT</m:t>
                        </m:r>
                      </m:sup>
                    </m:sSubSup>
                    <m:r>
                      <w:rPr>
                        <w:rFonts w:ascii="Cambria Math" w:eastAsiaTheme="minorEastAsia" w:hAnsi="Cambria Math"/>
                      </w:rPr>
                      <m:t>,</m:t>
                    </m:r>
                    <m:sSubSup>
                      <m:sSubSupPr>
                        <m:ctrlPr>
                          <w:rPr>
                            <w:rFonts w:ascii="Cambria Math" w:eastAsiaTheme="minorEastAsia" w:hAnsi="Cambria Math"/>
                            <w:i/>
                            <w:color w:val="000000"/>
                          </w:rPr>
                        </m:ctrlPr>
                      </m:sSubSupPr>
                      <m:e>
                        <m:r>
                          <w:rPr>
                            <w:rFonts w:ascii="Cambria Math" w:eastAsiaTheme="minorEastAsia" w:hAnsi="Cambria Math"/>
                            <w:color w:val="000000"/>
                          </w:rPr>
                          <m:t>IndOutputQ</m:t>
                        </m:r>
                      </m:e>
                      <m:sub>
                        <m:sSup>
                          <m:sSupPr>
                            <m:ctrlPr>
                              <w:rPr>
                                <w:rFonts w:ascii="Cambria Math" w:eastAsiaTheme="minorEastAsia" w:hAnsi="Cambria Math"/>
                                <w:i/>
                                <w:color w:val="000000"/>
                              </w:rPr>
                            </m:ctrlPr>
                          </m:sSupPr>
                          <m:e>
                            <m:r>
                              <w:rPr>
                                <w:rFonts w:ascii="Cambria Math" w:eastAsiaTheme="minorEastAsia" w:hAnsi="Cambria Math"/>
                                <w:color w:val="000000"/>
                              </w:rPr>
                              <m:t>c</m:t>
                            </m:r>
                          </m:e>
                          <m:sup>
                            <m:r>
                              <w:rPr>
                                <w:rFonts w:ascii="Cambria Math" w:eastAsiaTheme="minorEastAsia" w:hAnsi="Cambria Math"/>
                                <w:color w:val="000000"/>
                              </w:rPr>
                              <m:t>'</m:t>
                            </m:r>
                          </m:sup>
                        </m:sSup>
                      </m:sub>
                      <m:sup>
                        <m:r>
                          <w:rPr>
                            <w:rFonts w:ascii="Cambria Math" w:eastAsiaTheme="minorEastAsia" w:hAnsi="Cambria Math"/>
                            <w:color w:val="000000"/>
                          </w:rPr>
                          <m:t>SUP</m:t>
                        </m:r>
                      </m:sup>
                    </m:sSubSup>
                  </m:e>
                </m:d>
              </m:oMath>
            </m:oMathPara>
          </w:p>
          <w:p w14:paraId="051EBADD" w14:textId="74A45522" w:rsidR="00F87317" w:rsidRPr="00F73778" w:rsidRDefault="00F87317" w:rsidP="00F73778">
            <w:pPr>
              <w:pStyle w:val="TableBody"/>
              <w:spacing w:before="45" w:after="45"/>
              <w:ind w:right="108"/>
              <w:rPr>
                <w:rFonts w:ascii="Arial (Body)" w:eastAsiaTheme="minorEastAsia" w:hAnsi="Arial (Body)" w:hint="eastAsia"/>
                <w:color w:val="000000"/>
              </w:rPr>
            </w:pPr>
            <w:r>
              <w:t xml:space="preserve">Where </w:t>
            </w:r>
            <m:oMath>
              <m:sSubSup>
                <m:sSubSupPr>
                  <m:ctrlPr>
                    <w:rPr>
                      <w:rFonts w:ascii="Cambria Math" w:eastAsiaTheme="minorEastAsia" w:hAnsi="Cambria Math"/>
                      <w:i/>
                      <w:color w:val="4D7028" w:themeColor="accent2"/>
                    </w:rPr>
                  </m:ctrlPr>
                </m:sSubSupPr>
                <m:e>
                  <m:r>
                    <w:rPr>
                      <w:rFonts w:ascii="Cambria Math" w:eastAsiaTheme="minorEastAsia" w:hAnsi="Cambria Math"/>
                      <w:color w:val="4D7028" w:themeColor="accent2"/>
                    </w:rPr>
                    <m:t>ε</m:t>
                  </m:r>
                </m:e>
                <m:sub>
                  <m:sSup>
                    <m:sSupPr>
                      <m:ctrlPr>
                        <w:rPr>
                          <w:rFonts w:ascii="Cambria Math" w:eastAsiaTheme="minorEastAsia" w:hAnsi="Cambria Math"/>
                          <w:i/>
                          <w:color w:val="4D7028" w:themeColor="accent2"/>
                        </w:rPr>
                      </m:ctrlPr>
                    </m:sSupPr>
                    <m:e>
                      <m:r>
                        <w:rPr>
                          <w:rFonts w:ascii="Cambria Math" w:eastAsiaTheme="minorEastAsia" w:hAnsi="Cambria Math"/>
                          <w:color w:val="4D7028" w:themeColor="accent2"/>
                        </w:rPr>
                        <m:t>c</m:t>
                      </m:r>
                    </m:e>
                    <m:sup>
                      <m:r>
                        <w:rPr>
                          <w:rFonts w:ascii="Cambria Math" w:eastAsiaTheme="minorEastAsia" w:hAnsi="Cambria Math"/>
                          <w:color w:val="4D7028" w:themeColor="accent2"/>
                        </w:rPr>
                        <m:t>'</m:t>
                      </m:r>
                    </m:sup>
                  </m:sSup>
                </m:sub>
                <m:sup>
                  <m:r>
                    <w:rPr>
                      <w:rFonts w:ascii="Cambria Math" w:eastAsiaTheme="minorEastAsia" w:hAnsi="Cambria Math"/>
                      <w:color w:val="4D7028" w:themeColor="accent2"/>
                    </w:rPr>
                    <m:t>OUTPUT</m:t>
                  </m:r>
                </m:sup>
              </m:sSubSup>
            </m:oMath>
            <w:r w:rsidRPr="0067372C">
              <w:rPr>
                <w:rFonts w:eastAsiaTheme="minorEastAsia"/>
              </w:rPr>
              <w:t xml:space="preserve"> is a</w:t>
            </w:r>
            <w:r>
              <w:rPr>
                <w:rFonts w:eastAsiaTheme="minorEastAsia"/>
              </w:rPr>
              <w:t>n input</w:t>
            </w:r>
            <w:r>
              <w:rPr>
                <w:rFonts w:eastAsiaTheme="minorEastAsia"/>
              </w:rPr>
              <w:noBreakHyphen/>
              <w:t>neutral technical change parameter associated with the use of the industry composite factor of production and industry composite inputs made of domestic and imported commodities.</w:t>
            </w:r>
          </w:p>
        </w:tc>
      </w:tr>
      <w:tr w:rsidR="001E7CA4" w:rsidRPr="00030C67" w14:paraId="70943960" w14:textId="77777777" w:rsidTr="00F73778">
        <w:trPr>
          <w:cantSplit/>
        </w:trPr>
        <w:tc>
          <w:tcPr>
            <w:tcW w:w="239" w:type="pct"/>
            <w:tcBorders>
              <w:top w:val="nil"/>
              <w:bottom w:val="nil"/>
            </w:tcBorders>
            <w:shd w:val="clear" w:color="000000" w:fill="auto"/>
          </w:tcPr>
          <w:p w14:paraId="56921DCB" w14:textId="66BF8B4F" w:rsidR="001E7CA4" w:rsidRPr="000224EE" w:rsidRDefault="00D44823" w:rsidP="008E5700">
            <w:pPr>
              <w:pStyle w:val="TableBody"/>
              <w:numPr>
                <w:ilvl w:val="0"/>
                <w:numId w:val="10"/>
              </w:numPr>
              <w:spacing w:before="45" w:after="45"/>
              <w:ind w:left="57" w:right="108"/>
              <w:rPr>
                <w:rFonts w:ascii="Arial (Body)" w:hAnsi="Arial (Body)"/>
                <w:b/>
                <w:color w:val="265A9A"/>
              </w:rPr>
            </w:pPr>
            <w:r>
              <w:rPr>
                <w:rFonts w:ascii="Arial (Body)" w:hAnsi="Arial (Body)"/>
                <w:b/>
                <w:color w:val="265A9A"/>
              </w:rPr>
              <w:t>1</w:t>
            </w:r>
            <w:r w:rsidR="00CA0821">
              <w:rPr>
                <w:rFonts w:ascii="Arial (Body)" w:hAnsi="Arial (Body)"/>
                <w:b/>
                <w:color w:val="265A9A"/>
              </w:rPr>
              <w:t>2</w:t>
            </w:r>
            <w:r>
              <w:rPr>
                <w:rFonts w:ascii="Arial (Body)" w:hAnsi="Arial (Body)"/>
                <w:b/>
                <w:color w:val="265A9A"/>
              </w:rPr>
              <w:t>.</w:t>
            </w:r>
          </w:p>
        </w:tc>
        <w:tc>
          <w:tcPr>
            <w:tcW w:w="4761" w:type="pct"/>
            <w:tcBorders>
              <w:top w:val="nil"/>
              <w:bottom w:val="nil"/>
            </w:tcBorders>
            <w:shd w:val="clear" w:color="000000" w:fill="auto"/>
          </w:tcPr>
          <w:p w14:paraId="3E8DCA77" w14:textId="3727A2C3" w:rsidR="001E7CA4" w:rsidRPr="000224EE" w:rsidRDefault="00D44823" w:rsidP="00F73778">
            <w:pPr>
              <w:pStyle w:val="TableBody"/>
              <w:spacing w:before="45" w:after="45"/>
              <w:ind w:right="108"/>
              <w:rPr>
                <w:rFonts w:ascii="Arial (Body)" w:eastAsiaTheme="minorEastAsia" w:hAnsi="Arial (Body)" w:hint="eastAsia"/>
                <w:color w:val="000000"/>
              </w:rPr>
            </w:pPr>
            <w:r>
              <w:rPr>
                <w:rFonts w:ascii="Arial (Body)" w:eastAsiaTheme="minorEastAsia" w:hAnsi="Arial (Body)"/>
                <w:color w:val="000000"/>
              </w:rPr>
              <w:t>Individual group</w:t>
            </w:r>
            <w:r w:rsidRPr="000224EE">
              <w:rPr>
                <w:rFonts w:ascii="Arial (Body)" w:eastAsiaTheme="minorEastAsia" w:hAnsi="Arial (Body)"/>
                <w:color w:val="000000"/>
              </w:rPr>
              <w:t xml:space="preserve"> demand for household composite</w:t>
            </w:r>
            <w:r>
              <w:rPr>
                <w:rFonts w:ascii="Arial (Body)" w:eastAsiaTheme="minorEastAsia" w:hAnsi="Arial (Body)"/>
                <w:color w:val="000000"/>
              </w:rPr>
              <w:t xml:space="preserve">s </w:t>
            </w:r>
            <w:r w:rsidRPr="000224EE">
              <w:rPr>
                <w:rFonts w:ascii="Arial (Body)" w:eastAsiaTheme="minorEastAsia" w:hAnsi="Arial (Body)"/>
                <w:color w:val="000000"/>
              </w:rPr>
              <w:t xml:space="preserve">per </w:t>
            </w:r>
            <w:r>
              <w:rPr>
                <w:rFonts w:ascii="Arial (Body)" w:eastAsiaTheme="minorEastAsia" w:hAnsi="Arial (Body)"/>
                <w:color w:val="000000"/>
              </w:rPr>
              <w:t>individual group</w:t>
            </w:r>
            <w:r w:rsidRPr="000224EE">
              <w:rPr>
                <w:rFonts w:ascii="Arial (Body)" w:eastAsiaTheme="minorEastAsia" w:hAnsi="Arial (Body)"/>
                <w:color w:val="000000"/>
              </w:rPr>
              <w:t xml:space="preserve"> and commodity</w:t>
            </w:r>
            <w:r>
              <w:rPr>
                <w:rFonts w:ascii="Arial (Body)" w:eastAsiaTheme="minorEastAsia" w:hAnsi="Arial (Body)"/>
                <w:color w:val="000000"/>
              </w:rPr>
              <w:t>, via expenditure minimisation</w:t>
            </w:r>
          </w:p>
          <w:p w14:paraId="4B864F6E" w14:textId="203738FA" w:rsidR="00D44823" w:rsidRPr="00F73778" w:rsidRDefault="00001D91" w:rsidP="00F73778">
            <w:pPr>
              <w:pStyle w:val="TableBody"/>
              <w:spacing w:before="45" w:after="45"/>
              <w:ind w:right="108"/>
              <w:rPr>
                <w:rFonts w:ascii="Arial (Body)" w:eastAsiaTheme="minorEastAsia" w:hAnsi="Arial (Body)" w:hint="eastAsia"/>
                <w:color w:val="000000"/>
              </w:rPr>
            </w:pPr>
            <m:oMathPara>
              <m:oMathParaPr>
                <m:jc m:val="left"/>
              </m:oMathParaPr>
              <m:oMath>
                <m:r>
                  <w:rPr>
                    <w:rFonts w:ascii="Cambria Math" w:hAnsi="Cambria Math"/>
                    <w:color w:val="000000"/>
                  </w:rPr>
                  <m:t>GroupCompComm</m:t>
                </m:r>
                <m:sSubSup>
                  <m:sSubSupPr>
                    <m:ctrlPr>
                      <w:rPr>
                        <w:rFonts w:ascii="Cambria Math" w:hAnsi="Cambria Math"/>
                        <w:i/>
                        <w:color w:val="000000"/>
                      </w:rPr>
                    </m:ctrlPr>
                  </m:sSubSupPr>
                  <m:e>
                    <m:r>
                      <w:rPr>
                        <w:rFonts w:ascii="Cambria Math" w:hAnsi="Cambria Math"/>
                        <w:color w:val="000000"/>
                      </w:rPr>
                      <m:t>Q</m:t>
                    </m:r>
                  </m:e>
                  <m:sub>
                    <m:r>
                      <w:rPr>
                        <w:rFonts w:ascii="Cambria Math" w:hAnsi="Cambria Math"/>
                        <w:color w:val="000000"/>
                      </w:rPr>
                      <m:t>l,c</m:t>
                    </m:r>
                  </m:sub>
                  <m:sup>
                    <m:r>
                      <w:rPr>
                        <w:rFonts w:ascii="Cambria Math" w:hAnsi="Cambria Math"/>
                        <w:color w:val="000000"/>
                      </w:rPr>
                      <m:t>DEM</m:t>
                    </m:r>
                  </m:sup>
                </m:sSubSup>
                <m:r>
                  <w:rPr>
                    <w:rFonts w:ascii="Cambria Math" w:hAnsi="Cambria Math"/>
                    <w:color w:val="000000"/>
                  </w:rPr>
                  <m:t>=</m:t>
                </m:r>
                <m:r>
                  <w:rPr>
                    <w:rFonts w:ascii="Cambria Math" w:eastAsiaTheme="minorEastAsia" w:hAnsi="Cambria Math"/>
                    <w:color w:val="000000"/>
                  </w:rPr>
                  <m:t>CES</m:t>
                </m:r>
                <m:d>
                  <m:dPr>
                    <m:ctrlPr>
                      <w:rPr>
                        <w:rFonts w:ascii="Cambria Math" w:eastAsiaTheme="minorEastAsia" w:hAnsi="Cambria Math"/>
                        <w:i/>
                        <w:color w:val="000000"/>
                      </w:rPr>
                    </m:ctrlPr>
                  </m:dPr>
                  <m:e>
                    <m:sSubSup>
                      <m:sSubSupPr>
                        <m:ctrlPr>
                          <w:rPr>
                            <w:rFonts w:ascii="Cambria Math" w:eastAsiaTheme="minorEastAsia" w:hAnsi="Cambria Math"/>
                            <w:i/>
                            <w:color w:val="000000"/>
                          </w:rPr>
                        </m:ctrlPr>
                      </m:sSubSupPr>
                      <m:e>
                        <m:r>
                          <w:rPr>
                            <w:rFonts w:ascii="Cambria Math" w:eastAsiaTheme="minorEastAsia" w:hAnsi="Cambria Math"/>
                            <w:color w:val="000000"/>
                          </w:rPr>
                          <m:t>GroupCompConsQ</m:t>
                        </m:r>
                      </m:e>
                      <m:sub>
                        <m:r>
                          <w:rPr>
                            <w:rFonts w:ascii="Cambria Math" w:eastAsiaTheme="minorEastAsia" w:hAnsi="Cambria Math"/>
                            <w:color w:val="000000"/>
                          </w:rPr>
                          <m:t>l</m:t>
                        </m:r>
                      </m:sub>
                      <m:sup>
                        <m:r>
                          <w:rPr>
                            <w:rFonts w:ascii="Cambria Math" w:eastAsiaTheme="minorEastAsia" w:hAnsi="Cambria Math"/>
                            <w:color w:val="000000"/>
                          </w:rPr>
                          <m:t>SUP</m:t>
                        </m:r>
                      </m:sup>
                    </m:sSubSup>
                    <m:r>
                      <w:rPr>
                        <w:rFonts w:ascii="Cambria Math" w:hAnsi="Cambria Math"/>
                        <w:color w:val="000000"/>
                      </w:rPr>
                      <m:t>,CompComm</m:t>
                    </m:r>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HH,c</m:t>
                        </m:r>
                      </m:sub>
                      <m:sup>
                        <m:r>
                          <w:rPr>
                            <w:rFonts w:ascii="Cambria Math" w:hAnsi="Cambria Math"/>
                            <w:color w:val="000000"/>
                          </w:rPr>
                          <m:t>DEM</m:t>
                        </m:r>
                      </m:sup>
                    </m:sSubSup>
                  </m:e>
                </m:d>
              </m:oMath>
            </m:oMathPara>
          </w:p>
          <w:p w14:paraId="609D0946" w14:textId="1C32A22C" w:rsidR="001E7CA4" w:rsidRPr="00F73778" w:rsidRDefault="00001D91" w:rsidP="00F73778">
            <w:pPr>
              <w:pStyle w:val="TableBody"/>
              <w:spacing w:before="45" w:after="45"/>
              <w:ind w:right="108"/>
              <w:rPr>
                <w:rFonts w:ascii="Arial (Body)" w:eastAsiaTheme="minorEastAsia" w:hAnsi="Arial (Body)" w:hint="eastAsia"/>
                <w:color w:val="000000"/>
              </w:rPr>
            </w:pPr>
            <m:oMathPara>
              <m:oMathParaPr>
                <m:jc m:val="left"/>
              </m:oMathParaPr>
              <m:oMath>
                <m:r>
                  <w:rPr>
                    <w:rFonts w:ascii="Cambria Math" w:hAnsi="Cambria Math"/>
                    <w:color w:val="000000"/>
                  </w:rPr>
                  <m:t>CompComm</m:t>
                </m:r>
                <m:sSubSup>
                  <m:sSubSupPr>
                    <m:ctrlPr>
                      <w:rPr>
                        <w:rFonts w:ascii="Cambria Math" w:hAnsi="Cambria Math"/>
                        <w:i/>
                        <w:color w:val="000000"/>
                      </w:rPr>
                    </m:ctrlPr>
                  </m:sSubSupPr>
                  <m:e>
                    <m:r>
                      <w:rPr>
                        <w:rFonts w:ascii="Cambria Math" w:hAnsi="Cambria Math"/>
                        <w:color w:val="000000"/>
                      </w:rPr>
                      <m:t>Q</m:t>
                    </m:r>
                  </m:e>
                  <m:sub>
                    <m:r>
                      <w:rPr>
                        <w:rFonts w:ascii="Cambria Math" w:hAnsi="Cambria Math"/>
                        <w:color w:val="000000"/>
                      </w:rPr>
                      <m:t>HH,c</m:t>
                    </m:r>
                  </m:sub>
                  <m:sup>
                    <m:r>
                      <w:rPr>
                        <w:rFonts w:ascii="Cambria Math" w:hAnsi="Cambria Math"/>
                        <w:color w:val="000000"/>
                      </w:rPr>
                      <m:t>DEM</m:t>
                    </m:r>
                  </m:sup>
                </m:sSubSup>
                <m:r>
                  <w:rPr>
                    <w:rFonts w:ascii="Cambria Math" w:hAnsi="Cambria Math"/>
                    <w:color w:val="000000"/>
                  </w:rPr>
                  <m:t>=</m:t>
                </m:r>
                <m:nary>
                  <m:naryPr>
                    <m:chr m:val="∑"/>
                    <m:supHide m:val="1"/>
                    <m:ctrlPr>
                      <w:rPr>
                        <w:rFonts w:ascii="Cambria Math" w:hAnsi="Cambria Math"/>
                        <w:i/>
                        <w:color w:val="000000"/>
                      </w:rPr>
                    </m:ctrlPr>
                  </m:naryPr>
                  <m:sub>
                    <m:r>
                      <w:rPr>
                        <w:rFonts w:ascii="Cambria Math" w:hAnsi="Cambria Math"/>
                        <w:color w:val="000000"/>
                      </w:rPr>
                      <m:t>l</m:t>
                    </m:r>
                  </m:sub>
                  <m:sup/>
                  <m:e>
                    <m:r>
                      <w:rPr>
                        <w:rFonts w:ascii="Cambria Math" w:hAnsi="Cambria Math"/>
                        <w:color w:val="000000"/>
                      </w:rPr>
                      <m:t>GroupCompComm</m:t>
                    </m:r>
                    <m:sSubSup>
                      <m:sSubSupPr>
                        <m:ctrlPr>
                          <w:rPr>
                            <w:rFonts w:ascii="Cambria Math" w:hAnsi="Cambria Math"/>
                            <w:i/>
                            <w:color w:val="000000"/>
                          </w:rPr>
                        </m:ctrlPr>
                      </m:sSubSupPr>
                      <m:e>
                        <m:r>
                          <w:rPr>
                            <w:rFonts w:ascii="Cambria Math" w:hAnsi="Cambria Math"/>
                            <w:color w:val="000000"/>
                          </w:rPr>
                          <m:t>Q</m:t>
                        </m:r>
                      </m:e>
                      <m:sub>
                        <m:r>
                          <w:rPr>
                            <w:rFonts w:ascii="Cambria Math" w:hAnsi="Cambria Math"/>
                            <w:color w:val="000000"/>
                          </w:rPr>
                          <m:t>l,c</m:t>
                        </m:r>
                      </m:sub>
                      <m:sup>
                        <m:r>
                          <w:rPr>
                            <w:rFonts w:ascii="Cambria Math" w:hAnsi="Cambria Math"/>
                            <w:color w:val="000000"/>
                          </w:rPr>
                          <m:t>DEM</m:t>
                        </m:r>
                      </m:sup>
                    </m:sSubSup>
                  </m:e>
                </m:nary>
              </m:oMath>
            </m:oMathPara>
          </w:p>
        </w:tc>
      </w:tr>
      <w:tr w:rsidR="001E7CA4" w:rsidRPr="00030C67" w14:paraId="2D70AE18" w14:textId="77777777" w:rsidTr="00F73778">
        <w:trPr>
          <w:cantSplit/>
        </w:trPr>
        <w:tc>
          <w:tcPr>
            <w:tcW w:w="239" w:type="pct"/>
            <w:tcBorders>
              <w:top w:val="nil"/>
              <w:bottom w:val="nil"/>
            </w:tcBorders>
            <w:shd w:val="clear" w:color="000000" w:fill="auto"/>
          </w:tcPr>
          <w:p w14:paraId="016A0BDE" w14:textId="20EF9DDD" w:rsidR="001E7CA4" w:rsidRPr="000224EE" w:rsidRDefault="00D44823" w:rsidP="008E5700">
            <w:pPr>
              <w:pStyle w:val="TableBody"/>
              <w:numPr>
                <w:ilvl w:val="0"/>
                <w:numId w:val="10"/>
              </w:numPr>
              <w:spacing w:before="45" w:after="45"/>
              <w:ind w:left="57" w:right="108"/>
              <w:rPr>
                <w:rFonts w:ascii="Arial (Body)" w:hAnsi="Arial (Body)"/>
                <w:b/>
                <w:color w:val="265A9A"/>
              </w:rPr>
            </w:pPr>
            <w:r>
              <w:rPr>
                <w:rFonts w:ascii="Arial (Body)" w:hAnsi="Arial (Body)"/>
                <w:b/>
                <w:color w:val="265A9A"/>
              </w:rPr>
              <w:t>1</w:t>
            </w:r>
            <w:r w:rsidR="00CA0821">
              <w:rPr>
                <w:rFonts w:ascii="Arial (Body)" w:hAnsi="Arial (Body)"/>
                <w:b/>
                <w:color w:val="265A9A"/>
              </w:rPr>
              <w:t>3</w:t>
            </w:r>
            <w:r>
              <w:rPr>
                <w:rFonts w:ascii="Arial (Body)" w:hAnsi="Arial (Body)"/>
                <w:b/>
                <w:color w:val="265A9A"/>
              </w:rPr>
              <w:t>.</w:t>
            </w:r>
          </w:p>
        </w:tc>
        <w:tc>
          <w:tcPr>
            <w:tcW w:w="4761" w:type="pct"/>
            <w:tcBorders>
              <w:top w:val="nil"/>
              <w:bottom w:val="nil"/>
            </w:tcBorders>
            <w:shd w:val="clear" w:color="000000" w:fill="auto"/>
          </w:tcPr>
          <w:p w14:paraId="5C55FE04" w14:textId="3543B61A" w:rsidR="001E7CA4" w:rsidRPr="000224EE" w:rsidRDefault="001E7CA4" w:rsidP="00F73778">
            <w:pPr>
              <w:pStyle w:val="TableBody"/>
              <w:spacing w:before="45" w:after="45"/>
              <w:ind w:right="108"/>
              <w:rPr>
                <w:rFonts w:ascii="Arial (Body)" w:eastAsiaTheme="minorEastAsia" w:hAnsi="Arial (Body)" w:hint="eastAsia"/>
                <w:color w:val="000000"/>
              </w:rPr>
            </w:pPr>
            <w:r w:rsidRPr="000224EE">
              <w:rPr>
                <w:rFonts w:ascii="Arial (Body)" w:eastAsiaTheme="minorEastAsia" w:hAnsi="Arial (Body)"/>
                <w:color w:val="000000"/>
              </w:rPr>
              <w:t xml:space="preserve">Government </w:t>
            </w:r>
            <w:r w:rsidR="00D44823">
              <w:rPr>
                <w:rFonts w:ascii="Arial (Body)" w:eastAsiaTheme="minorEastAsia" w:hAnsi="Arial (Body)"/>
                <w:color w:val="000000"/>
              </w:rPr>
              <w:t xml:space="preserve">sector </w:t>
            </w:r>
            <w:r w:rsidRPr="000224EE">
              <w:rPr>
                <w:rFonts w:ascii="Arial (Body)" w:eastAsiaTheme="minorEastAsia" w:hAnsi="Arial (Body)"/>
                <w:color w:val="000000"/>
              </w:rPr>
              <w:t xml:space="preserve">demand for government </w:t>
            </w:r>
            <w:r w:rsidR="00D44823" w:rsidRPr="000224EE">
              <w:rPr>
                <w:rFonts w:ascii="Arial (Body)" w:eastAsiaTheme="minorEastAsia" w:hAnsi="Arial (Body)"/>
                <w:color w:val="000000"/>
              </w:rPr>
              <w:t>composite</w:t>
            </w:r>
            <w:r w:rsidR="00D44823">
              <w:rPr>
                <w:rFonts w:ascii="Arial (Body)" w:eastAsiaTheme="minorEastAsia" w:hAnsi="Arial (Body)"/>
                <w:color w:val="000000"/>
              </w:rPr>
              <w:t>s</w:t>
            </w:r>
            <w:r w:rsidRPr="000224EE">
              <w:rPr>
                <w:rFonts w:ascii="Arial (Body)" w:eastAsiaTheme="minorEastAsia" w:hAnsi="Arial (Body)"/>
                <w:color w:val="000000"/>
              </w:rPr>
              <w:t xml:space="preserve"> per commodity</w:t>
            </w:r>
            <w:r w:rsidR="00D44823">
              <w:rPr>
                <w:rFonts w:ascii="Arial (Body)" w:eastAsiaTheme="minorEastAsia" w:hAnsi="Arial (Body)"/>
                <w:color w:val="000000"/>
              </w:rPr>
              <w:t>, via expenditure minimisation</w:t>
            </w:r>
          </w:p>
          <w:p w14:paraId="69FECC66" w14:textId="0E41EDDC" w:rsidR="001E7CA4" w:rsidRPr="00F73778" w:rsidRDefault="00001D91" w:rsidP="00F73778">
            <w:pPr>
              <w:pStyle w:val="TableBody"/>
              <w:spacing w:before="45" w:after="45"/>
              <w:ind w:right="108"/>
              <w:rPr>
                <w:rFonts w:ascii="Arial (Body)" w:eastAsiaTheme="minorEastAsia" w:hAnsi="Arial (Body)" w:hint="eastAsia"/>
                <w:color w:val="000000"/>
              </w:rPr>
            </w:pPr>
            <m:oMathPara>
              <m:oMathParaPr>
                <m:jc m:val="left"/>
              </m:oMathParaPr>
              <m:oMath>
                <m:r>
                  <w:rPr>
                    <w:rFonts w:ascii="Cambria Math" w:hAnsi="Cambria Math"/>
                    <w:color w:val="000000"/>
                  </w:rPr>
                  <m:t>CompComm</m:t>
                </m:r>
                <m:sSubSup>
                  <m:sSubSupPr>
                    <m:ctrlPr>
                      <w:rPr>
                        <w:rFonts w:ascii="Cambria Math" w:hAnsi="Cambria Math"/>
                        <w:i/>
                        <w:color w:val="000000"/>
                      </w:rPr>
                    </m:ctrlPr>
                  </m:sSubSupPr>
                  <m:e>
                    <m:r>
                      <w:rPr>
                        <w:rFonts w:ascii="Cambria Math" w:hAnsi="Cambria Math"/>
                        <w:color w:val="000000"/>
                      </w:rPr>
                      <m:t>Q</m:t>
                    </m:r>
                  </m:e>
                  <m:sub>
                    <m:r>
                      <w:rPr>
                        <w:rFonts w:ascii="Cambria Math" w:hAnsi="Cambria Math"/>
                        <w:color w:val="000000"/>
                      </w:rPr>
                      <m:t>GOV,c</m:t>
                    </m:r>
                  </m:sub>
                  <m:sup>
                    <m:r>
                      <w:rPr>
                        <w:rFonts w:ascii="Cambria Math" w:hAnsi="Cambria Math"/>
                        <w:color w:val="000000"/>
                      </w:rPr>
                      <m:t>DEM</m:t>
                    </m:r>
                  </m:sup>
                </m:sSubSup>
                <m:r>
                  <w:rPr>
                    <w:rFonts w:ascii="Cambria Math" w:hAnsi="Cambria Math"/>
                    <w:color w:val="000000"/>
                  </w:rPr>
                  <m:t>=CobbDouglas</m:t>
                </m:r>
                <m:d>
                  <m:dPr>
                    <m:ctrlPr>
                      <w:rPr>
                        <w:rFonts w:ascii="Cambria Math" w:hAnsi="Cambria Math"/>
                        <w:i/>
                        <w:color w:val="000000"/>
                      </w:rPr>
                    </m:ctrlPr>
                  </m:dPr>
                  <m:e>
                    <m:r>
                      <w:rPr>
                        <w:rFonts w:ascii="Cambria Math" w:hAnsi="Cambria Math"/>
                        <w:color w:val="000000"/>
                      </w:rPr>
                      <m:t>GovQ,CompComm</m:t>
                    </m:r>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GOV,c</m:t>
                        </m:r>
                      </m:sub>
                      <m:sup>
                        <m:r>
                          <w:rPr>
                            <w:rFonts w:ascii="Cambria Math" w:hAnsi="Cambria Math"/>
                            <w:color w:val="000000"/>
                          </w:rPr>
                          <m:t>DEM</m:t>
                        </m:r>
                      </m:sup>
                    </m:sSubSup>
                  </m:e>
                </m:d>
              </m:oMath>
            </m:oMathPara>
          </w:p>
        </w:tc>
      </w:tr>
      <w:tr w:rsidR="001E7CA4" w:rsidRPr="00030C67" w14:paraId="2A2873F4" w14:textId="77777777" w:rsidTr="00F73778">
        <w:trPr>
          <w:cantSplit/>
        </w:trPr>
        <w:tc>
          <w:tcPr>
            <w:tcW w:w="239" w:type="pct"/>
            <w:tcBorders>
              <w:top w:val="nil"/>
              <w:bottom w:val="nil"/>
            </w:tcBorders>
            <w:shd w:val="clear" w:color="000000" w:fill="auto"/>
          </w:tcPr>
          <w:p w14:paraId="56D39F1E" w14:textId="5D67145A" w:rsidR="001E7CA4" w:rsidRPr="000224EE" w:rsidRDefault="00D44823" w:rsidP="008E5700">
            <w:pPr>
              <w:pStyle w:val="TableBody"/>
              <w:numPr>
                <w:ilvl w:val="0"/>
                <w:numId w:val="10"/>
              </w:numPr>
              <w:spacing w:before="45" w:after="45"/>
              <w:ind w:left="57" w:right="108"/>
              <w:rPr>
                <w:rFonts w:ascii="Arial (Body)" w:hAnsi="Arial (Body)"/>
                <w:b/>
                <w:color w:val="265A9A"/>
              </w:rPr>
            </w:pPr>
            <w:r>
              <w:rPr>
                <w:rFonts w:ascii="Arial (Body)" w:hAnsi="Arial (Body)"/>
                <w:b/>
                <w:color w:val="265A9A"/>
              </w:rPr>
              <w:t>1</w:t>
            </w:r>
            <w:r w:rsidR="00CA0821">
              <w:rPr>
                <w:rFonts w:ascii="Arial (Body)" w:hAnsi="Arial (Body)"/>
                <w:b/>
                <w:color w:val="265A9A"/>
              </w:rPr>
              <w:t>4</w:t>
            </w:r>
            <w:r>
              <w:rPr>
                <w:rFonts w:ascii="Arial (Body)" w:hAnsi="Arial (Body)"/>
                <w:b/>
                <w:color w:val="265A9A"/>
              </w:rPr>
              <w:t>.</w:t>
            </w:r>
          </w:p>
        </w:tc>
        <w:tc>
          <w:tcPr>
            <w:tcW w:w="4761" w:type="pct"/>
            <w:tcBorders>
              <w:top w:val="nil"/>
              <w:bottom w:val="nil"/>
            </w:tcBorders>
            <w:shd w:val="clear" w:color="000000" w:fill="auto"/>
          </w:tcPr>
          <w:p w14:paraId="0F8C17EB" w14:textId="04382F41" w:rsidR="001E7CA4" w:rsidRPr="000224EE" w:rsidRDefault="001E7CA4" w:rsidP="00F73778">
            <w:pPr>
              <w:pStyle w:val="TableBody"/>
              <w:spacing w:before="45" w:after="45"/>
              <w:ind w:right="108"/>
              <w:rPr>
                <w:rFonts w:ascii="Arial (Body)" w:eastAsiaTheme="minorEastAsia" w:hAnsi="Arial (Body)" w:hint="eastAsia"/>
                <w:color w:val="000000"/>
              </w:rPr>
            </w:pPr>
            <w:r w:rsidRPr="000224EE">
              <w:rPr>
                <w:rFonts w:ascii="Arial (Body)" w:eastAsiaTheme="minorEastAsia" w:hAnsi="Arial (Body)"/>
                <w:color w:val="000000"/>
              </w:rPr>
              <w:t xml:space="preserve">Investment </w:t>
            </w:r>
            <w:r w:rsidR="00D44823">
              <w:rPr>
                <w:rFonts w:ascii="Arial (Body)" w:eastAsiaTheme="minorEastAsia" w:hAnsi="Arial (Body)"/>
                <w:color w:val="000000"/>
              </w:rPr>
              <w:t xml:space="preserve">sector </w:t>
            </w:r>
            <w:r w:rsidRPr="000224EE">
              <w:rPr>
                <w:rFonts w:ascii="Arial (Body)" w:eastAsiaTheme="minorEastAsia" w:hAnsi="Arial (Body)"/>
                <w:color w:val="000000"/>
              </w:rPr>
              <w:t xml:space="preserve">demand for investment </w:t>
            </w:r>
            <w:r w:rsidR="00D44823" w:rsidRPr="000224EE">
              <w:rPr>
                <w:rFonts w:ascii="Arial (Body)" w:eastAsiaTheme="minorEastAsia" w:hAnsi="Arial (Body)"/>
                <w:color w:val="000000"/>
              </w:rPr>
              <w:t>composit</w:t>
            </w:r>
            <w:r w:rsidR="00D44823">
              <w:rPr>
                <w:rFonts w:ascii="Arial (Body)" w:eastAsiaTheme="minorEastAsia" w:hAnsi="Arial (Body)"/>
                <w:color w:val="000000"/>
              </w:rPr>
              <w:t>es</w:t>
            </w:r>
            <w:r w:rsidRPr="000224EE">
              <w:rPr>
                <w:rFonts w:ascii="Arial (Body)" w:eastAsiaTheme="minorEastAsia" w:hAnsi="Arial (Body)"/>
                <w:color w:val="000000"/>
              </w:rPr>
              <w:t xml:space="preserve"> per commodity</w:t>
            </w:r>
            <w:r w:rsidR="00D44823">
              <w:rPr>
                <w:rFonts w:ascii="Arial (Body)" w:eastAsiaTheme="minorEastAsia" w:hAnsi="Arial (Body)"/>
                <w:color w:val="000000"/>
              </w:rPr>
              <w:t>, via expenditure minimisation</w:t>
            </w:r>
          </w:p>
          <w:p w14:paraId="0C7E59EE" w14:textId="1D1D6482" w:rsidR="001E7CA4" w:rsidRPr="00F73778" w:rsidRDefault="00001D91" w:rsidP="00F73778">
            <w:pPr>
              <w:pStyle w:val="TableBody"/>
              <w:spacing w:before="45" w:after="45"/>
              <w:ind w:right="108"/>
              <w:rPr>
                <w:rFonts w:ascii="Arial (Body)" w:eastAsiaTheme="minorEastAsia" w:hAnsi="Arial (Body)" w:hint="eastAsia"/>
                <w:color w:val="000000"/>
              </w:rPr>
            </w:pPr>
            <m:oMathPara>
              <m:oMathParaPr>
                <m:jc m:val="left"/>
              </m:oMathParaPr>
              <m:oMath>
                <m:r>
                  <w:rPr>
                    <w:rFonts w:ascii="Cambria Math" w:hAnsi="Cambria Math"/>
                    <w:color w:val="000000"/>
                  </w:rPr>
                  <m:t>CompComm</m:t>
                </m:r>
                <m:sSubSup>
                  <m:sSubSupPr>
                    <m:ctrlPr>
                      <w:rPr>
                        <w:rFonts w:ascii="Cambria Math" w:hAnsi="Cambria Math"/>
                        <w:i/>
                        <w:color w:val="000000"/>
                      </w:rPr>
                    </m:ctrlPr>
                  </m:sSubSupPr>
                  <m:e>
                    <m:r>
                      <w:rPr>
                        <w:rFonts w:ascii="Cambria Math" w:hAnsi="Cambria Math"/>
                        <w:color w:val="000000"/>
                      </w:rPr>
                      <m:t>Q</m:t>
                    </m:r>
                  </m:e>
                  <m:sub>
                    <m:r>
                      <w:rPr>
                        <w:rFonts w:ascii="Cambria Math" w:hAnsi="Cambria Math"/>
                        <w:color w:val="000000"/>
                      </w:rPr>
                      <m:t>INV,c</m:t>
                    </m:r>
                  </m:sub>
                  <m:sup>
                    <m:r>
                      <w:rPr>
                        <w:rFonts w:ascii="Cambria Math" w:hAnsi="Cambria Math"/>
                        <w:color w:val="000000"/>
                      </w:rPr>
                      <m:t>DEM</m:t>
                    </m:r>
                  </m:sup>
                </m:sSubSup>
                <m:r>
                  <w:rPr>
                    <w:rFonts w:ascii="Cambria Math" w:hAnsi="Cambria Math"/>
                    <w:color w:val="000000"/>
                  </w:rPr>
                  <m:t>=Leontief</m:t>
                </m:r>
                <m:d>
                  <m:dPr>
                    <m:ctrlPr>
                      <w:rPr>
                        <w:rFonts w:ascii="Cambria Math" w:hAnsi="Cambria Math"/>
                        <w:i/>
                        <w:color w:val="000000"/>
                      </w:rPr>
                    </m:ctrlPr>
                  </m:dPr>
                  <m:e>
                    <m:r>
                      <w:rPr>
                        <w:rFonts w:ascii="Cambria Math" w:hAnsi="Cambria Math"/>
                        <w:color w:val="000000"/>
                      </w:rPr>
                      <m:t>InvQ</m:t>
                    </m:r>
                  </m:e>
                </m:d>
              </m:oMath>
            </m:oMathPara>
          </w:p>
        </w:tc>
      </w:tr>
      <w:tr w:rsidR="001E7CA4" w:rsidRPr="00030C67" w14:paraId="0809507E" w14:textId="77777777" w:rsidTr="00F73778">
        <w:trPr>
          <w:cantSplit/>
        </w:trPr>
        <w:tc>
          <w:tcPr>
            <w:tcW w:w="239" w:type="pct"/>
            <w:tcBorders>
              <w:top w:val="nil"/>
              <w:bottom w:val="nil"/>
            </w:tcBorders>
            <w:shd w:val="clear" w:color="000000" w:fill="auto"/>
          </w:tcPr>
          <w:p w14:paraId="6CF5172D" w14:textId="12F991B9" w:rsidR="001E7CA4" w:rsidRPr="000224EE" w:rsidRDefault="00CA0821" w:rsidP="008E5700">
            <w:pPr>
              <w:pStyle w:val="TableBody"/>
              <w:numPr>
                <w:ilvl w:val="0"/>
                <w:numId w:val="10"/>
              </w:numPr>
              <w:spacing w:before="45" w:after="45"/>
              <w:ind w:left="57" w:right="108"/>
              <w:rPr>
                <w:rFonts w:ascii="Arial (Body)" w:hAnsi="Arial (Body)"/>
                <w:b/>
                <w:color w:val="265A9A"/>
              </w:rPr>
            </w:pPr>
            <w:r>
              <w:rPr>
                <w:rFonts w:ascii="Arial (Body)" w:hAnsi="Arial (Body)"/>
                <w:b/>
                <w:color w:val="265A9A"/>
              </w:rPr>
              <w:t>15</w:t>
            </w:r>
            <w:r w:rsidR="00D44823">
              <w:rPr>
                <w:rFonts w:ascii="Arial (Body)" w:hAnsi="Arial (Body)"/>
                <w:b/>
                <w:color w:val="265A9A"/>
              </w:rPr>
              <w:t>.</w:t>
            </w:r>
          </w:p>
        </w:tc>
        <w:tc>
          <w:tcPr>
            <w:tcW w:w="4761" w:type="pct"/>
            <w:tcBorders>
              <w:top w:val="nil"/>
              <w:bottom w:val="nil"/>
            </w:tcBorders>
            <w:shd w:val="clear" w:color="000000" w:fill="auto"/>
          </w:tcPr>
          <w:p w14:paraId="11871AC1" w14:textId="20F3F532" w:rsidR="001E7CA4" w:rsidRPr="000224EE" w:rsidRDefault="001E7CA4" w:rsidP="00F73778">
            <w:pPr>
              <w:pStyle w:val="TableBody"/>
              <w:spacing w:before="45" w:after="45"/>
              <w:ind w:right="108"/>
              <w:rPr>
                <w:rFonts w:ascii="Arial (Body)" w:eastAsiaTheme="minorEastAsia" w:hAnsi="Arial (Body)" w:hint="eastAsia"/>
                <w:color w:val="000000"/>
              </w:rPr>
            </w:pPr>
            <w:r w:rsidRPr="000224EE">
              <w:rPr>
                <w:rFonts w:ascii="Arial (Body)" w:eastAsiaTheme="minorEastAsia" w:hAnsi="Arial (Body)"/>
                <w:color w:val="000000"/>
              </w:rPr>
              <w:t>Demand price of composite commodities by user</w:t>
            </w:r>
          </w:p>
          <w:p w14:paraId="071A05E7" w14:textId="265F234C" w:rsidR="001E7CA4" w:rsidRPr="00F73778" w:rsidRDefault="00001D91" w:rsidP="00F73778">
            <w:pPr>
              <w:pStyle w:val="TableBody"/>
              <w:spacing w:before="45" w:after="45"/>
              <w:ind w:right="108"/>
              <w:rPr>
                <w:rFonts w:ascii="Arial (Body)" w:eastAsiaTheme="minorEastAsia" w:hAnsi="Arial (Body)" w:hint="eastAsia"/>
                <w:color w:val="000000"/>
              </w:rPr>
            </w:pPr>
            <m:oMathPara>
              <m:oMathParaPr>
                <m:jc m:val="left"/>
              </m:oMathParaPr>
              <m:oMath>
                <m:r>
                  <w:rPr>
                    <w:rFonts w:ascii="Cambria Math" w:hAnsi="Cambria Math"/>
                    <w:color w:val="000000"/>
                  </w:rPr>
                  <m:t>CompComm</m:t>
                </m:r>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u,c</m:t>
                    </m:r>
                  </m:sub>
                  <m:sup>
                    <m:r>
                      <w:rPr>
                        <w:rFonts w:ascii="Cambria Math" w:hAnsi="Cambria Math"/>
                        <w:color w:val="000000"/>
                      </w:rPr>
                      <m:t>DEM</m:t>
                    </m:r>
                  </m:sup>
                </m:sSubSup>
                <m:r>
                  <w:rPr>
                    <w:rFonts w:ascii="Cambria Math" w:hAnsi="Cambria Math"/>
                    <w:color w:val="000000"/>
                  </w:rPr>
                  <m:t>=CompComm</m:t>
                </m:r>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u,c</m:t>
                    </m:r>
                  </m:sub>
                  <m:sup>
                    <m:r>
                      <w:rPr>
                        <w:rFonts w:ascii="Cambria Math" w:hAnsi="Cambria Math"/>
                        <w:color w:val="000000"/>
                      </w:rPr>
                      <m:t>SUP</m:t>
                    </m:r>
                  </m:sup>
                </m:sSubSup>
                <m:r>
                  <w:rPr>
                    <w:rFonts w:ascii="Cambria Math" w:hAnsi="Cambria Math"/>
                    <w:color w:val="000000"/>
                  </w:rPr>
                  <m:t>(1+</m:t>
                </m:r>
                <m:r>
                  <w:rPr>
                    <w:rFonts w:ascii="Cambria Math" w:hAnsi="Cambria Math"/>
                    <w:color w:val="265A9A" w:themeColor="background2"/>
                  </w:rPr>
                  <m:t>CompCommTa</m:t>
                </m:r>
                <m:sSub>
                  <m:sSubPr>
                    <m:ctrlPr>
                      <w:rPr>
                        <w:rFonts w:ascii="Cambria Math" w:hAnsi="Cambria Math"/>
                        <w:i/>
                        <w:color w:val="265A9A" w:themeColor="background2"/>
                      </w:rPr>
                    </m:ctrlPr>
                  </m:sSubPr>
                  <m:e>
                    <m:r>
                      <w:rPr>
                        <w:rFonts w:ascii="Cambria Math" w:hAnsi="Cambria Math"/>
                        <w:color w:val="265A9A" w:themeColor="background2"/>
                      </w:rPr>
                      <m:t>xRate</m:t>
                    </m:r>
                  </m:e>
                  <m:sub>
                    <m:r>
                      <w:rPr>
                        <w:rFonts w:ascii="Cambria Math" w:hAnsi="Cambria Math"/>
                        <w:color w:val="265A9A" w:themeColor="background2"/>
                      </w:rPr>
                      <m:t>u,c</m:t>
                    </m:r>
                  </m:sub>
                </m:sSub>
                <m:r>
                  <w:rPr>
                    <w:rFonts w:ascii="Cambria Math" w:hAnsi="Cambria Math"/>
                    <w:color w:val="000000"/>
                  </w:rPr>
                  <m:t>)</m:t>
                </m:r>
              </m:oMath>
            </m:oMathPara>
          </w:p>
        </w:tc>
      </w:tr>
      <w:tr w:rsidR="00D44823" w:rsidRPr="00030C67" w14:paraId="2178BA98" w14:textId="77777777" w:rsidTr="00F73778">
        <w:trPr>
          <w:cantSplit/>
        </w:trPr>
        <w:tc>
          <w:tcPr>
            <w:tcW w:w="239" w:type="pct"/>
            <w:tcBorders>
              <w:top w:val="nil"/>
              <w:bottom w:val="nil"/>
            </w:tcBorders>
            <w:shd w:val="clear" w:color="000000" w:fill="auto"/>
          </w:tcPr>
          <w:p w14:paraId="6F43F499" w14:textId="27F0F08A" w:rsidR="00D44823" w:rsidRPr="000224EE" w:rsidRDefault="00CA0821" w:rsidP="008E5700">
            <w:pPr>
              <w:pStyle w:val="TableBody"/>
              <w:numPr>
                <w:ilvl w:val="0"/>
                <w:numId w:val="10"/>
              </w:numPr>
              <w:spacing w:before="45" w:after="45"/>
              <w:ind w:left="57" w:right="108"/>
              <w:rPr>
                <w:rFonts w:ascii="Arial (Body)" w:hAnsi="Arial (Body)"/>
                <w:b/>
                <w:color w:val="265A9A"/>
              </w:rPr>
            </w:pPr>
            <w:r>
              <w:rPr>
                <w:rFonts w:ascii="Arial (Body)" w:hAnsi="Arial (Body)"/>
                <w:b/>
                <w:color w:val="265A9A"/>
              </w:rPr>
              <w:t>16</w:t>
            </w:r>
            <w:r w:rsidR="00D44823">
              <w:rPr>
                <w:rFonts w:ascii="Arial (Body)" w:hAnsi="Arial (Body)"/>
                <w:b/>
                <w:color w:val="265A9A"/>
              </w:rPr>
              <w:t>.</w:t>
            </w:r>
          </w:p>
        </w:tc>
        <w:tc>
          <w:tcPr>
            <w:tcW w:w="4761" w:type="pct"/>
            <w:tcBorders>
              <w:top w:val="nil"/>
              <w:bottom w:val="nil"/>
            </w:tcBorders>
            <w:shd w:val="clear" w:color="000000" w:fill="auto"/>
          </w:tcPr>
          <w:p w14:paraId="2DB4AB0E" w14:textId="264236A0" w:rsidR="00D44823" w:rsidRDefault="00CB52C0" w:rsidP="00F73778">
            <w:pPr>
              <w:pStyle w:val="TableBody"/>
              <w:spacing w:before="45" w:after="45"/>
              <w:ind w:right="108"/>
              <w:rPr>
                <w:rFonts w:ascii="Arial (Body)" w:eastAsiaTheme="minorEastAsia" w:hAnsi="Arial (Body)" w:hint="eastAsia"/>
                <w:color w:val="000000"/>
              </w:rPr>
            </w:pPr>
            <w:r>
              <w:rPr>
                <w:rFonts w:ascii="Arial (Body)" w:eastAsiaTheme="minorEastAsia" w:hAnsi="Arial (Body)"/>
                <w:color w:val="000000"/>
              </w:rPr>
              <w:t>P</w:t>
            </w:r>
            <w:r w:rsidR="00D44823">
              <w:rPr>
                <w:rFonts w:ascii="Arial (Body)" w:eastAsiaTheme="minorEastAsia" w:hAnsi="Arial (Body)"/>
                <w:color w:val="000000"/>
              </w:rPr>
              <w:t>rice of imported commodities</w:t>
            </w:r>
          </w:p>
          <w:p w14:paraId="1D0B9323" w14:textId="65855CC3" w:rsidR="00D44823" w:rsidRPr="00F73778" w:rsidRDefault="00001D91" w:rsidP="00F73778">
            <w:pPr>
              <w:pStyle w:val="TableBody"/>
              <w:spacing w:before="45" w:after="45"/>
              <w:ind w:right="108"/>
              <w:rPr>
                <w:rFonts w:ascii="Arial (Body)" w:eastAsiaTheme="minorEastAsia" w:hAnsi="Arial (Body)" w:hint="eastAsia"/>
                <w:color w:val="000000"/>
              </w:rPr>
            </w:pPr>
            <m:oMathPara>
              <m:oMathParaPr>
                <m:jc m:val="left"/>
              </m:oMathParaPr>
              <m:oMath>
                <m:r>
                  <w:rPr>
                    <w:rFonts w:ascii="Cambria Math" w:hAnsi="Cambria Math"/>
                    <w:color w:val="000000"/>
                  </w:rPr>
                  <m:t>Commodity</m:t>
                </m:r>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IMP</m:t>
                    </m:r>
                    <m:r>
                      <m:rPr>
                        <m:sty m:val="p"/>
                      </m:rPr>
                      <w:rPr>
                        <w:rFonts w:ascii="Cambria Math" w:hAnsi="Cambria Math"/>
                        <w:color w:val="000000"/>
                      </w:rPr>
                      <m:t>,</m:t>
                    </m:r>
                    <m:r>
                      <w:rPr>
                        <w:rFonts w:ascii="Cambria Math" w:hAnsi="Cambria Math"/>
                        <w:color w:val="000000"/>
                      </w:rPr>
                      <m:t>c</m:t>
                    </m:r>
                  </m:sub>
                  <m:sup/>
                </m:sSubSup>
                <m:r>
                  <w:rPr>
                    <w:rFonts w:ascii="Cambria Math" w:eastAsiaTheme="minorEastAsia" w:hAnsi="Cambria Math"/>
                    <w:color w:val="000000"/>
                  </w:rPr>
                  <m:t>=</m:t>
                </m:r>
                <m:f>
                  <m:fPr>
                    <m:ctrlPr>
                      <w:rPr>
                        <w:rFonts w:ascii="Cambria Math" w:eastAsiaTheme="minorEastAsia" w:hAnsi="Cambria Math"/>
                        <w:i/>
                        <w:color w:val="000000"/>
                      </w:rPr>
                    </m:ctrlPr>
                  </m:fPr>
                  <m:num>
                    <m:r>
                      <w:rPr>
                        <w:rFonts w:ascii="Cambria Math" w:eastAsiaTheme="minorEastAsia" w:hAnsi="Cambria Math"/>
                        <w:color w:val="265A9A" w:themeColor="background2"/>
                      </w:rPr>
                      <m:t>ImportWorld</m:t>
                    </m:r>
                    <m:sSub>
                      <m:sSubPr>
                        <m:ctrlPr>
                          <w:rPr>
                            <w:rFonts w:ascii="Cambria Math" w:eastAsiaTheme="minorEastAsia" w:hAnsi="Cambria Math"/>
                            <w:i/>
                            <w:color w:val="265A9A" w:themeColor="background2"/>
                          </w:rPr>
                        </m:ctrlPr>
                      </m:sSubPr>
                      <m:e>
                        <m:r>
                          <w:rPr>
                            <w:rFonts w:ascii="Cambria Math" w:eastAsiaTheme="minorEastAsia" w:hAnsi="Cambria Math"/>
                            <w:color w:val="265A9A" w:themeColor="background2"/>
                          </w:rPr>
                          <m:t>P</m:t>
                        </m:r>
                      </m:e>
                      <m:sub>
                        <m:r>
                          <w:rPr>
                            <w:rFonts w:ascii="Cambria Math" w:eastAsiaTheme="minorEastAsia" w:hAnsi="Cambria Math"/>
                            <w:color w:val="265A9A" w:themeColor="background2"/>
                          </w:rPr>
                          <m:t>c</m:t>
                        </m:r>
                      </m:sub>
                    </m:sSub>
                  </m:num>
                  <m:den>
                    <m:r>
                      <w:rPr>
                        <w:rFonts w:ascii="Cambria Math" w:eastAsiaTheme="minorEastAsia" w:hAnsi="Cambria Math"/>
                        <w:color w:val="000000"/>
                      </w:rPr>
                      <m:t>ExchangeRate</m:t>
                    </m:r>
                  </m:den>
                </m:f>
              </m:oMath>
            </m:oMathPara>
          </w:p>
        </w:tc>
      </w:tr>
      <w:tr w:rsidR="0001557F" w:rsidRPr="00030C67" w14:paraId="33F8097F" w14:textId="77777777" w:rsidTr="00CA0821">
        <w:trPr>
          <w:cantSplit/>
        </w:trPr>
        <w:tc>
          <w:tcPr>
            <w:tcW w:w="239" w:type="pct"/>
            <w:tcBorders>
              <w:top w:val="nil"/>
              <w:bottom w:val="nil"/>
            </w:tcBorders>
            <w:shd w:val="clear" w:color="auto" w:fill="F2F2F2" w:themeFill="background1" w:themeFillShade="F2"/>
          </w:tcPr>
          <w:p w14:paraId="3F64A640" w14:textId="77777777" w:rsidR="0001557F" w:rsidRDefault="0001557F" w:rsidP="0001557F">
            <w:pPr>
              <w:pStyle w:val="TableBody"/>
              <w:numPr>
                <w:ilvl w:val="0"/>
                <w:numId w:val="10"/>
              </w:numPr>
              <w:spacing w:before="45" w:after="45"/>
              <w:ind w:left="57" w:right="108"/>
              <w:rPr>
                <w:rFonts w:ascii="Arial (Body)" w:hAnsi="Arial (Body)"/>
                <w:b/>
                <w:color w:val="265A9A"/>
              </w:rPr>
            </w:pPr>
          </w:p>
        </w:tc>
        <w:tc>
          <w:tcPr>
            <w:tcW w:w="4761" w:type="pct"/>
            <w:tcBorders>
              <w:top w:val="nil"/>
              <w:bottom w:val="nil"/>
            </w:tcBorders>
            <w:shd w:val="clear" w:color="auto" w:fill="F2F2F2" w:themeFill="background1" w:themeFillShade="F2"/>
          </w:tcPr>
          <w:p w14:paraId="134AB46A" w14:textId="4C9407C8" w:rsidR="0001557F" w:rsidRPr="00CA0821" w:rsidRDefault="0001557F" w:rsidP="0001557F">
            <w:pPr>
              <w:pStyle w:val="TableBody"/>
              <w:spacing w:before="45" w:after="45"/>
              <w:ind w:right="108"/>
              <w:rPr>
                <w:rFonts w:ascii="Arial (Body)" w:eastAsiaTheme="minorEastAsia" w:hAnsi="Arial (Body)" w:hint="eastAsia"/>
                <w:b/>
                <w:bCs/>
                <w:color w:val="000000"/>
              </w:rPr>
            </w:pPr>
            <w:r w:rsidRPr="00CA0821">
              <w:rPr>
                <w:rFonts w:eastAsiaTheme="minorEastAsia"/>
                <w:b/>
                <w:bCs/>
                <w:color w:val="000000"/>
              </w:rPr>
              <w:t>Demand for factors of production in production sector</w:t>
            </w:r>
          </w:p>
        </w:tc>
      </w:tr>
      <w:tr w:rsidR="0001557F" w:rsidRPr="00030C67" w14:paraId="3B217A41" w14:textId="77777777" w:rsidTr="00F73778">
        <w:trPr>
          <w:cantSplit/>
        </w:trPr>
        <w:tc>
          <w:tcPr>
            <w:tcW w:w="239" w:type="pct"/>
            <w:tcBorders>
              <w:top w:val="nil"/>
              <w:bottom w:val="nil"/>
            </w:tcBorders>
            <w:shd w:val="clear" w:color="000000" w:fill="auto"/>
          </w:tcPr>
          <w:p w14:paraId="48285CA9" w14:textId="32B87DFD" w:rsidR="0001557F" w:rsidRDefault="0001557F" w:rsidP="0001557F">
            <w:pPr>
              <w:pStyle w:val="TableBody"/>
              <w:spacing w:before="45" w:after="45"/>
              <w:ind w:right="108"/>
              <w:rPr>
                <w:rFonts w:ascii="Arial (Body)" w:hAnsi="Arial (Body)"/>
                <w:b/>
                <w:color w:val="265A9A"/>
              </w:rPr>
            </w:pPr>
            <w:r>
              <w:rPr>
                <w:rFonts w:ascii="Arial (Body)" w:hAnsi="Arial (Body)"/>
                <w:b/>
                <w:color w:val="265A9A"/>
              </w:rPr>
              <w:t>1</w:t>
            </w:r>
            <w:r w:rsidR="00CA0821">
              <w:rPr>
                <w:rFonts w:ascii="Arial (Body)" w:hAnsi="Arial (Body)"/>
                <w:b/>
                <w:color w:val="265A9A"/>
              </w:rPr>
              <w:t>7</w:t>
            </w:r>
            <w:r>
              <w:rPr>
                <w:rFonts w:ascii="Arial (Body)" w:hAnsi="Arial (Body)"/>
                <w:b/>
                <w:color w:val="265A9A"/>
              </w:rPr>
              <w:t>.</w:t>
            </w:r>
          </w:p>
        </w:tc>
        <w:tc>
          <w:tcPr>
            <w:tcW w:w="4761" w:type="pct"/>
            <w:tcBorders>
              <w:top w:val="nil"/>
              <w:bottom w:val="nil"/>
            </w:tcBorders>
            <w:shd w:val="clear" w:color="000000" w:fill="auto"/>
          </w:tcPr>
          <w:p w14:paraId="76A649A9" w14:textId="77777777" w:rsidR="0001557F" w:rsidRPr="000224EE" w:rsidRDefault="0001557F" w:rsidP="0001557F">
            <w:pPr>
              <w:pStyle w:val="TableBody"/>
              <w:spacing w:before="45" w:after="45"/>
              <w:ind w:right="108"/>
              <w:rPr>
                <w:rFonts w:ascii="Arial (Body)" w:eastAsiaTheme="minorEastAsia" w:hAnsi="Arial (Body)" w:hint="eastAsia"/>
                <w:color w:val="000000"/>
              </w:rPr>
            </w:pPr>
            <w:r w:rsidRPr="000224EE">
              <w:rPr>
                <w:rFonts w:ascii="Arial (Body)" w:eastAsiaTheme="minorEastAsia" w:hAnsi="Arial (Body)"/>
                <w:color w:val="000000"/>
              </w:rPr>
              <w:t xml:space="preserve">Demand for labour </w:t>
            </w:r>
            <w:r>
              <w:rPr>
                <w:rFonts w:ascii="Arial (Body)" w:eastAsiaTheme="minorEastAsia" w:hAnsi="Arial (Body)"/>
                <w:color w:val="000000"/>
              </w:rPr>
              <w:t xml:space="preserve">hours </w:t>
            </w:r>
            <w:r w:rsidRPr="000224EE">
              <w:rPr>
                <w:rFonts w:ascii="Arial (Body)" w:eastAsiaTheme="minorEastAsia" w:hAnsi="Arial (Body)"/>
                <w:color w:val="000000"/>
              </w:rPr>
              <w:t>per industry</w:t>
            </w:r>
            <w:r>
              <w:rPr>
                <w:rFonts w:ascii="Arial (Body)" w:eastAsiaTheme="minorEastAsia" w:hAnsi="Arial (Body)"/>
                <w:color w:val="000000"/>
              </w:rPr>
              <w:t>, via expenditure minimisation</w:t>
            </w:r>
          </w:p>
          <w:p w14:paraId="6464CC62" w14:textId="77777777" w:rsidR="0001557F" w:rsidRPr="00F73778" w:rsidRDefault="0001557F" w:rsidP="0001557F">
            <w:pPr>
              <w:pStyle w:val="TableBody"/>
              <w:spacing w:before="45" w:after="45"/>
              <w:ind w:right="108"/>
              <w:rPr>
                <w:rFonts w:ascii="Arial (Body)" w:eastAsiaTheme="minorEastAsia" w:hAnsi="Arial (Body)" w:hint="eastAsia"/>
                <w:color w:val="000000"/>
              </w:rPr>
            </w:pPr>
            <m:oMathPara>
              <m:oMathParaPr>
                <m:jc m:val="left"/>
              </m:oMathParaPr>
              <m:oMath>
                <m:r>
                  <w:rPr>
                    <w:rFonts w:ascii="Cambria Math" w:eastAsiaTheme="minorEastAsia" w:hAnsi="Cambria Math"/>
                    <w:color w:val="000000"/>
                  </w:rPr>
                  <m:t>IndLab</m:t>
                </m:r>
                <m:sSubSup>
                  <m:sSubSupPr>
                    <m:ctrlPr>
                      <w:rPr>
                        <w:rFonts w:ascii="Cambria Math" w:eastAsiaTheme="minorEastAsia" w:hAnsi="Cambria Math"/>
                        <w:i/>
                        <w:color w:val="000000"/>
                      </w:rPr>
                    </m:ctrlPr>
                  </m:sSubSupPr>
                  <m:e>
                    <m:r>
                      <w:rPr>
                        <w:rFonts w:ascii="Cambria Math" w:eastAsiaTheme="minorEastAsia" w:hAnsi="Cambria Math"/>
                        <w:color w:val="000000"/>
                      </w:rPr>
                      <m:t>Q</m:t>
                    </m:r>
                  </m:e>
                  <m:sub>
                    <m:r>
                      <w:rPr>
                        <w:rFonts w:ascii="Cambria Math" w:eastAsiaTheme="minorEastAsia" w:hAnsi="Cambria Math"/>
                        <w:color w:val="000000"/>
                      </w:rPr>
                      <m:t>c,l</m:t>
                    </m:r>
                  </m:sub>
                  <m:sup>
                    <m:r>
                      <w:rPr>
                        <w:rFonts w:ascii="Cambria Math" w:eastAsiaTheme="minorEastAsia" w:hAnsi="Cambria Math"/>
                        <w:color w:val="000000"/>
                      </w:rPr>
                      <m:t>DEM</m:t>
                    </m:r>
                  </m:sup>
                </m:sSubSup>
                <m:r>
                  <w:rPr>
                    <w:rFonts w:ascii="Cambria Math" w:hAnsi="Cambria Math"/>
                    <w:color w:val="000000"/>
                  </w:rPr>
                  <m:t>=CES</m:t>
                </m:r>
                <m:d>
                  <m:dPr>
                    <m:ctrlPr>
                      <w:rPr>
                        <w:rFonts w:ascii="Cambria Math" w:hAnsi="Cambria Math"/>
                        <w:i/>
                        <w:color w:val="000000"/>
                      </w:rPr>
                    </m:ctrlPr>
                  </m:dPr>
                  <m:e>
                    <m:sSubSup>
                      <m:sSubSupPr>
                        <m:ctrlPr>
                          <w:rPr>
                            <w:rFonts w:ascii="Cambria Math" w:eastAsiaTheme="minorEastAsia" w:hAnsi="Cambria Math"/>
                            <w:i/>
                            <w:color w:val="4D7028" w:themeColor="accent2"/>
                          </w:rPr>
                        </m:ctrlPr>
                      </m:sSubSupPr>
                      <m:e>
                        <m:r>
                          <w:rPr>
                            <w:rFonts w:ascii="Cambria Math" w:eastAsiaTheme="minorEastAsia" w:hAnsi="Cambria Math"/>
                            <w:color w:val="4D7028" w:themeColor="accent2"/>
                          </w:rPr>
                          <m:t>ε</m:t>
                        </m:r>
                      </m:e>
                      <m:sub>
                        <m:r>
                          <w:rPr>
                            <w:rFonts w:ascii="Cambria Math" w:eastAsiaTheme="minorEastAsia" w:hAnsi="Cambria Math"/>
                            <w:color w:val="4D7028" w:themeColor="accent2"/>
                          </w:rPr>
                          <m:t>c,l</m:t>
                        </m:r>
                      </m:sub>
                      <m:sup>
                        <m:r>
                          <w:rPr>
                            <w:rFonts w:ascii="Cambria Math" w:eastAsiaTheme="minorEastAsia" w:hAnsi="Cambria Math"/>
                            <w:color w:val="4D7028" w:themeColor="accent2"/>
                          </w:rPr>
                          <m:t>LAB</m:t>
                        </m:r>
                      </m:sup>
                    </m:sSubSup>
                    <m:r>
                      <w:rPr>
                        <w:rFonts w:ascii="Cambria Math" w:eastAsiaTheme="minorEastAsia" w:hAnsi="Cambria Math"/>
                        <w:color w:val="000000"/>
                      </w:rPr>
                      <m:t>, IndEducLab</m:t>
                    </m:r>
                    <m:sSubSup>
                      <m:sSubSupPr>
                        <m:ctrlPr>
                          <w:rPr>
                            <w:rFonts w:ascii="Cambria Math" w:eastAsiaTheme="minorEastAsia" w:hAnsi="Cambria Math"/>
                            <w:i/>
                            <w:color w:val="000000"/>
                          </w:rPr>
                        </m:ctrlPr>
                      </m:sSubSupPr>
                      <m:e>
                        <m:r>
                          <w:rPr>
                            <w:rFonts w:ascii="Cambria Math" w:eastAsiaTheme="minorEastAsia" w:hAnsi="Cambria Math"/>
                            <w:color w:val="000000"/>
                          </w:rPr>
                          <m:t>Q</m:t>
                        </m:r>
                      </m:e>
                      <m:sub>
                        <m:r>
                          <w:rPr>
                            <w:rFonts w:ascii="Cambria Math" w:eastAsiaTheme="minorEastAsia" w:hAnsi="Cambria Math"/>
                            <w:color w:val="000000"/>
                          </w:rPr>
                          <m:t>c,e</m:t>
                        </m:r>
                      </m:sub>
                      <m:sup>
                        <m:r>
                          <w:rPr>
                            <w:rFonts w:ascii="Cambria Math" w:eastAsiaTheme="minorEastAsia" w:hAnsi="Cambria Math"/>
                            <w:color w:val="000000"/>
                          </w:rPr>
                          <m:t>SUP</m:t>
                        </m:r>
                      </m:sup>
                    </m:sSubSup>
                    <m:r>
                      <w:rPr>
                        <w:rFonts w:ascii="Cambria Math" w:eastAsiaTheme="minorEastAsia" w:hAnsi="Cambria Math"/>
                        <w:color w:val="000000"/>
                      </w:rPr>
                      <m:t>,</m:t>
                    </m:r>
                    <m:sSubSup>
                      <m:sSubSupPr>
                        <m:ctrlPr>
                          <w:rPr>
                            <w:rFonts w:ascii="Cambria Math" w:hAnsi="Cambria Math"/>
                            <w:i/>
                            <w:color w:val="000000"/>
                          </w:rPr>
                        </m:ctrlPr>
                      </m:sSubSupPr>
                      <m:e>
                        <m:r>
                          <w:rPr>
                            <w:rFonts w:ascii="Cambria Math" w:hAnsi="Cambria Math"/>
                            <w:color w:val="000000"/>
                          </w:rPr>
                          <m:t>LabP</m:t>
                        </m:r>
                      </m:e>
                      <m:sub>
                        <m:r>
                          <w:rPr>
                            <w:rFonts w:ascii="Cambria Math" w:hAnsi="Cambria Math"/>
                            <w:color w:val="000000"/>
                          </w:rPr>
                          <m:t>l</m:t>
                        </m:r>
                      </m:sub>
                      <m:sup>
                        <m:r>
                          <w:rPr>
                            <w:rFonts w:ascii="Cambria Math" w:hAnsi="Cambria Math"/>
                            <w:color w:val="000000"/>
                          </w:rPr>
                          <m:t>DEM</m:t>
                        </m:r>
                      </m:sup>
                    </m:sSubSup>
                  </m:e>
                </m:d>
              </m:oMath>
            </m:oMathPara>
          </w:p>
          <w:p w14:paraId="0A01AC56" w14:textId="77777777" w:rsidR="0001557F" w:rsidRPr="00F73778" w:rsidRDefault="0001557F" w:rsidP="0001557F">
            <w:pPr>
              <w:pStyle w:val="TableBody"/>
              <w:spacing w:before="45" w:after="45"/>
              <w:ind w:right="108"/>
              <w:rPr>
                <w:rFonts w:ascii="Arial (Body)" w:eastAsiaTheme="minorEastAsia" w:hAnsi="Arial (Body)" w:hint="eastAsia"/>
                <w:color w:val="000000"/>
              </w:rPr>
            </w:pPr>
            <m:oMathPara>
              <m:oMathParaPr>
                <m:jc m:val="left"/>
              </m:oMathParaPr>
              <m:oMath>
                <m:r>
                  <w:rPr>
                    <w:rFonts w:ascii="Cambria Math" w:eastAsiaTheme="minorEastAsia" w:hAnsi="Cambria Math"/>
                    <w:color w:val="000000"/>
                  </w:rPr>
                  <m:t>Hour</m:t>
                </m:r>
                <m:sSub>
                  <m:sSubPr>
                    <m:ctrlPr>
                      <w:rPr>
                        <w:rFonts w:ascii="Cambria Math" w:eastAsiaTheme="minorEastAsia" w:hAnsi="Cambria Math"/>
                        <w:i/>
                        <w:color w:val="000000"/>
                      </w:rPr>
                    </m:ctrlPr>
                  </m:sSubPr>
                  <m:e>
                    <m:r>
                      <w:rPr>
                        <w:rFonts w:ascii="Cambria Math" w:eastAsiaTheme="minorEastAsia" w:hAnsi="Cambria Math"/>
                        <w:color w:val="000000"/>
                      </w:rPr>
                      <m:t>s</m:t>
                    </m:r>
                  </m:e>
                  <m:sub>
                    <m:r>
                      <w:rPr>
                        <w:rFonts w:ascii="Cambria Math" w:eastAsiaTheme="minorEastAsia" w:hAnsi="Cambria Math"/>
                        <w:color w:val="000000"/>
                      </w:rPr>
                      <m:t>l</m:t>
                    </m:r>
                  </m:sub>
                </m:sSub>
                <m:r>
                  <w:rPr>
                    <w:rFonts w:ascii="Cambria Math" w:eastAsiaTheme="minorEastAsia" w:hAnsi="Cambria Math"/>
                    <w:color w:val="000000"/>
                  </w:rPr>
                  <m:t>=</m:t>
                </m:r>
                <m:nary>
                  <m:naryPr>
                    <m:chr m:val="∑"/>
                    <m:supHide m:val="1"/>
                    <m:ctrlPr>
                      <w:rPr>
                        <w:rFonts w:ascii="Cambria Math" w:eastAsiaTheme="minorEastAsia" w:hAnsi="Cambria Math"/>
                        <w:i/>
                        <w:color w:val="000000"/>
                      </w:rPr>
                    </m:ctrlPr>
                  </m:naryPr>
                  <m:sub>
                    <m:r>
                      <w:rPr>
                        <w:rFonts w:ascii="Cambria Math" w:eastAsiaTheme="minorEastAsia" w:hAnsi="Cambria Math"/>
                        <w:color w:val="000000"/>
                      </w:rPr>
                      <m:t>c</m:t>
                    </m:r>
                  </m:sub>
                  <m:sup/>
                  <m:e>
                    <m:r>
                      <w:rPr>
                        <w:rFonts w:ascii="Cambria Math" w:eastAsiaTheme="minorEastAsia" w:hAnsi="Cambria Math"/>
                        <w:color w:val="000000"/>
                      </w:rPr>
                      <m:t>IndLab</m:t>
                    </m:r>
                    <m:sSubSup>
                      <m:sSubSupPr>
                        <m:ctrlPr>
                          <w:rPr>
                            <w:rFonts w:ascii="Cambria Math" w:eastAsiaTheme="minorEastAsia" w:hAnsi="Cambria Math"/>
                            <w:i/>
                            <w:color w:val="000000"/>
                          </w:rPr>
                        </m:ctrlPr>
                      </m:sSubSupPr>
                      <m:e>
                        <m:r>
                          <w:rPr>
                            <w:rFonts w:ascii="Cambria Math" w:eastAsiaTheme="minorEastAsia" w:hAnsi="Cambria Math"/>
                            <w:color w:val="000000"/>
                          </w:rPr>
                          <m:t>Q</m:t>
                        </m:r>
                      </m:e>
                      <m:sub>
                        <m:r>
                          <w:rPr>
                            <w:rFonts w:ascii="Cambria Math" w:eastAsiaTheme="minorEastAsia" w:hAnsi="Cambria Math"/>
                            <w:color w:val="000000"/>
                          </w:rPr>
                          <m:t>c,l</m:t>
                        </m:r>
                      </m:sub>
                      <m:sup>
                        <m:r>
                          <w:rPr>
                            <w:rFonts w:ascii="Cambria Math" w:eastAsiaTheme="minorEastAsia" w:hAnsi="Cambria Math"/>
                            <w:color w:val="000000"/>
                          </w:rPr>
                          <m:t>DEM</m:t>
                        </m:r>
                      </m:sup>
                    </m:sSubSup>
                  </m:e>
                </m:nary>
              </m:oMath>
            </m:oMathPara>
          </w:p>
          <w:p w14:paraId="4F779F27" w14:textId="7D3D25D2" w:rsidR="0001557F" w:rsidRDefault="0001557F" w:rsidP="0001557F">
            <w:pPr>
              <w:pStyle w:val="TableBody"/>
              <w:spacing w:before="45" w:after="45"/>
              <w:ind w:right="108"/>
              <w:rPr>
                <w:rFonts w:ascii="Arial (Body)" w:eastAsiaTheme="minorEastAsia" w:hAnsi="Arial (Body)" w:hint="eastAsia"/>
                <w:color w:val="000000"/>
              </w:rPr>
            </w:pPr>
            <w:r w:rsidRPr="000224EE">
              <w:rPr>
                <w:rFonts w:ascii="Arial (Body)" w:hAnsi="Arial (Body)"/>
                <w:color w:val="000000"/>
              </w:rPr>
              <w:t>Where</w:t>
            </w:r>
            <w:r w:rsidRPr="004D6AA9">
              <w:rPr>
                <w:rFonts w:ascii="Arial (Body)" w:hAnsi="Arial (Body)"/>
                <w:color w:val="265A9A" w:themeColor="background2"/>
              </w:rPr>
              <w:t xml:space="preserve"> </w:t>
            </w:r>
            <m:oMath>
              <m:sSubSup>
                <m:sSubSupPr>
                  <m:ctrlPr>
                    <w:rPr>
                      <w:rFonts w:ascii="Cambria Math" w:eastAsiaTheme="minorEastAsia" w:hAnsi="Cambria Math"/>
                      <w:i/>
                      <w:color w:val="4D7028" w:themeColor="accent2"/>
                    </w:rPr>
                  </m:ctrlPr>
                </m:sSubSupPr>
                <m:e>
                  <m:r>
                    <w:rPr>
                      <w:rFonts w:ascii="Cambria Math" w:eastAsiaTheme="minorEastAsia" w:hAnsi="Cambria Math"/>
                      <w:color w:val="4D7028" w:themeColor="accent2"/>
                    </w:rPr>
                    <m:t>ε</m:t>
                  </m:r>
                </m:e>
                <m:sub>
                  <m:r>
                    <w:rPr>
                      <w:rFonts w:ascii="Cambria Math" w:eastAsiaTheme="minorEastAsia" w:hAnsi="Cambria Math"/>
                      <w:color w:val="4D7028" w:themeColor="accent2"/>
                    </w:rPr>
                    <m:t>c,l</m:t>
                  </m:r>
                </m:sub>
                <m:sup>
                  <m:r>
                    <w:rPr>
                      <w:rFonts w:ascii="Cambria Math" w:eastAsiaTheme="minorEastAsia" w:hAnsi="Cambria Math"/>
                      <w:color w:val="4D7028" w:themeColor="accent2"/>
                    </w:rPr>
                    <m:t>LAB</m:t>
                  </m:r>
                </m:sup>
              </m:sSubSup>
            </m:oMath>
            <w:r w:rsidRPr="000224EE">
              <w:rPr>
                <w:rFonts w:ascii="Arial (Body)" w:hAnsi="Arial (Body)"/>
                <w:color w:val="000000"/>
              </w:rPr>
              <w:t xml:space="preserve"> is a </w:t>
            </w:r>
            <w:r>
              <w:t>labour</w:t>
            </w:r>
            <w:r>
              <w:noBreakHyphen/>
              <w:t xml:space="preserve">augmenting technical change </w:t>
            </w:r>
            <w:r w:rsidRPr="000224EE">
              <w:rPr>
                <w:rFonts w:ascii="Arial (Body)" w:hAnsi="Arial (Body)"/>
                <w:color w:val="000000"/>
              </w:rPr>
              <w:t>parameter associated with industry use of labour to produce industry</w:t>
            </w:r>
            <w:r>
              <w:rPr>
                <w:rFonts w:ascii="Arial (Body)" w:hAnsi="Arial (Body)"/>
                <w:color w:val="000000"/>
              </w:rPr>
              <w:noBreakHyphen/>
              <w:t>specific</w:t>
            </w:r>
            <w:r w:rsidRPr="000224EE">
              <w:rPr>
                <w:rFonts w:ascii="Arial (Body)" w:hAnsi="Arial (Body)"/>
                <w:color w:val="000000"/>
              </w:rPr>
              <w:t xml:space="preserve"> </w:t>
            </w:r>
            <w:r>
              <w:rPr>
                <w:rFonts w:ascii="Arial (Body)" w:hAnsi="Arial (Body)"/>
                <w:color w:val="000000"/>
              </w:rPr>
              <w:t>‘</w:t>
            </w:r>
            <w:r w:rsidRPr="000224EE">
              <w:rPr>
                <w:rFonts w:ascii="Arial (Body)" w:hAnsi="Arial (Body)"/>
                <w:color w:val="000000"/>
              </w:rPr>
              <w:t>composite labour by education level’.</w:t>
            </w:r>
          </w:p>
        </w:tc>
      </w:tr>
      <w:tr w:rsidR="0001557F" w:rsidRPr="00030C67" w14:paraId="3D0DC2DC" w14:textId="77777777" w:rsidTr="00F73778">
        <w:trPr>
          <w:cantSplit/>
        </w:trPr>
        <w:tc>
          <w:tcPr>
            <w:tcW w:w="239" w:type="pct"/>
            <w:tcBorders>
              <w:top w:val="nil"/>
              <w:bottom w:val="nil"/>
            </w:tcBorders>
            <w:shd w:val="clear" w:color="000000" w:fill="auto"/>
          </w:tcPr>
          <w:p w14:paraId="67E6A434" w14:textId="687DE7FB" w:rsidR="0001557F" w:rsidRDefault="0001557F" w:rsidP="0001557F">
            <w:pPr>
              <w:pStyle w:val="TableBody"/>
              <w:numPr>
                <w:ilvl w:val="0"/>
                <w:numId w:val="10"/>
              </w:numPr>
              <w:spacing w:before="45" w:after="45"/>
              <w:ind w:left="57" w:right="108"/>
              <w:rPr>
                <w:rFonts w:ascii="Arial (Body)" w:hAnsi="Arial (Body)"/>
                <w:b/>
                <w:color w:val="265A9A"/>
              </w:rPr>
            </w:pPr>
            <w:r>
              <w:rPr>
                <w:rFonts w:ascii="Arial (Body)" w:hAnsi="Arial (Body)"/>
                <w:b/>
                <w:color w:val="265A9A"/>
              </w:rPr>
              <w:t>1</w:t>
            </w:r>
            <w:r w:rsidR="00CA0821">
              <w:rPr>
                <w:rFonts w:ascii="Arial (Body)" w:hAnsi="Arial (Body)"/>
                <w:b/>
                <w:color w:val="265A9A"/>
              </w:rPr>
              <w:t>8</w:t>
            </w:r>
            <w:r>
              <w:rPr>
                <w:rFonts w:ascii="Arial (Body)" w:hAnsi="Arial (Body)"/>
                <w:b/>
                <w:color w:val="265A9A"/>
              </w:rPr>
              <w:t>.</w:t>
            </w:r>
          </w:p>
        </w:tc>
        <w:tc>
          <w:tcPr>
            <w:tcW w:w="4761" w:type="pct"/>
            <w:tcBorders>
              <w:top w:val="nil"/>
              <w:bottom w:val="nil"/>
            </w:tcBorders>
            <w:shd w:val="clear" w:color="000000" w:fill="auto"/>
          </w:tcPr>
          <w:p w14:paraId="2905918A" w14:textId="77777777" w:rsidR="0001557F" w:rsidRPr="000224EE" w:rsidRDefault="0001557F" w:rsidP="0001557F">
            <w:pPr>
              <w:pStyle w:val="TableBody"/>
              <w:spacing w:before="45" w:after="45"/>
              <w:ind w:right="108"/>
              <w:rPr>
                <w:rFonts w:ascii="Arial (Body)" w:eastAsiaTheme="minorEastAsia" w:hAnsi="Arial (Body)" w:hint="eastAsia"/>
                <w:color w:val="000000"/>
              </w:rPr>
            </w:pPr>
            <w:r w:rsidRPr="000224EE">
              <w:rPr>
                <w:rFonts w:ascii="Arial (Body)" w:eastAsiaTheme="minorEastAsia" w:hAnsi="Arial (Body)"/>
                <w:color w:val="000000"/>
              </w:rPr>
              <w:t>Demand for industry</w:t>
            </w:r>
            <w:r>
              <w:rPr>
                <w:rFonts w:ascii="Arial (Body)" w:eastAsiaTheme="minorEastAsia" w:hAnsi="Arial (Body)"/>
                <w:color w:val="000000"/>
              </w:rPr>
              <w:noBreakHyphen/>
              <w:t>specific</w:t>
            </w:r>
            <w:r w:rsidRPr="000224EE">
              <w:rPr>
                <w:rFonts w:ascii="Arial (Body)" w:eastAsiaTheme="minorEastAsia" w:hAnsi="Arial (Body)"/>
                <w:color w:val="000000"/>
              </w:rPr>
              <w:t xml:space="preserve"> </w:t>
            </w:r>
            <w:r>
              <w:rPr>
                <w:rFonts w:ascii="Arial (Body)" w:eastAsiaTheme="minorEastAsia" w:hAnsi="Arial (Body)"/>
                <w:color w:val="000000"/>
              </w:rPr>
              <w:t>‘</w:t>
            </w:r>
            <w:r w:rsidRPr="000224EE">
              <w:rPr>
                <w:rFonts w:ascii="Arial (Body)" w:eastAsiaTheme="minorEastAsia" w:hAnsi="Arial (Body)"/>
                <w:color w:val="000000"/>
              </w:rPr>
              <w:t>composite labour by education level’ per industry</w:t>
            </w:r>
            <w:r>
              <w:rPr>
                <w:rFonts w:ascii="Arial (Body)" w:eastAsiaTheme="minorEastAsia" w:hAnsi="Arial (Body)"/>
                <w:color w:val="000000"/>
              </w:rPr>
              <w:t>, via expenditure minimisation</w:t>
            </w:r>
          </w:p>
          <w:p w14:paraId="163652A8" w14:textId="55AD1CC5" w:rsidR="0001557F" w:rsidRPr="007D6C50" w:rsidRDefault="0001557F" w:rsidP="0001557F">
            <w:pPr>
              <w:pStyle w:val="TableBody"/>
              <w:spacing w:before="45" w:after="45"/>
              <w:ind w:right="108"/>
              <w:rPr>
                <w:rFonts w:ascii="Arial (Body)" w:eastAsiaTheme="minorEastAsia" w:hAnsi="Arial (Body)" w:hint="eastAsia"/>
                <w:color w:val="000000"/>
              </w:rPr>
            </w:pPr>
            <m:oMathPara>
              <m:oMathParaPr>
                <m:jc m:val="left"/>
              </m:oMathParaPr>
              <m:oMath>
                <m:r>
                  <w:rPr>
                    <w:rFonts w:ascii="Cambria Math" w:eastAsiaTheme="minorEastAsia" w:hAnsi="Cambria Math"/>
                    <w:color w:val="000000"/>
                  </w:rPr>
                  <m:t>IndEducLab</m:t>
                </m:r>
                <m:sSubSup>
                  <m:sSubSupPr>
                    <m:ctrlPr>
                      <w:rPr>
                        <w:rFonts w:ascii="Cambria Math" w:eastAsiaTheme="minorEastAsia" w:hAnsi="Cambria Math"/>
                        <w:i/>
                        <w:color w:val="000000"/>
                      </w:rPr>
                    </m:ctrlPr>
                  </m:sSubSupPr>
                  <m:e>
                    <m:r>
                      <w:rPr>
                        <w:rFonts w:ascii="Cambria Math" w:eastAsiaTheme="minorEastAsia" w:hAnsi="Cambria Math"/>
                        <w:color w:val="000000"/>
                      </w:rPr>
                      <m:t>Q</m:t>
                    </m:r>
                  </m:e>
                  <m:sub>
                    <m:r>
                      <w:rPr>
                        <w:rFonts w:ascii="Cambria Math" w:eastAsiaTheme="minorEastAsia" w:hAnsi="Cambria Math"/>
                        <w:color w:val="000000"/>
                      </w:rPr>
                      <m:t>c,e</m:t>
                    </m:r>
                  </m:sub>
                  <m:sup>
                    <m:r>
                      <w:rPr>
                        <w:rFonts w:ascii="Cambria Math" w:eastAsiaTheme="minorEastAsia" w:hAnsi="Cambria Math"/>
                        <w:color w:val="000000"/>
                      </w:rPr>
                      <m:t>DEM</m:t>
                    </m:r>
                  </m:sup>
                </m:sSubSup>
                <m:r>
                  <w:rPr>
                    <w:rFonts w:ascii="Cambria Math" w:hAnsi="Cambria Math"/>
                    <w:color w:val="000000"/>
                  </w:rPr>
                  <m:t>=CES</m:t>
                </m:r>
                <m:d>
                  <m:dPr>
                    <m:ctrlPr>
                      <w:rPr>
                        <w:rFonts w:ascii="Cambria Math" w:hAnsi="Cambria Math"/>
                        <w:i/>
                        <w:color w:val="000000"/>
                      </w:rPr>
                    </m:ctrlPr>
                  </m:dPr>
                  <m:e>
                    <m:r>
                      <w:rPr>
                        <w:rFonts w:ascii="Cambria Math" w:eastAsiaTheme="minorEastAsia" w:hAnsi="Cambria Math"/>
                        <w:color w:val="000000"/>
                      </w:rPr>
                      <m:t>IndCompLab</m:t>
                    </m:r>
                    <m:sSubSup>
                      <m:sSubSupPr>
                        <m:ctrlPr>
                          <w:rPr>
                            <w:rFonts w:ascii="Cambria Math" w:eastAsiaTheme="minorEastAsia" w:hAnsi="Cambria Math"/>
                            <w:i/>
                            <w:color w:val="000000"/>
                          </w:rPr>
                        </m:ctrlPr>
                      </m:sSubSupPr>
                      <m:e>
                        <m:r>
                          <w:rPr>
                            <w:rFonts w:ascii="Cambria Math" w:eastAsiaTheme="minorEastAsia" w:hAnsi="Cambria Math"/>
                            <w:color w:val="000000"/>
                          </w:rPr>
                          <m:t>Q</m:t>
                        </m:r>
                      </m:e>
                      <m:sub>
                        <m:r>
                          <w:rPr>
                            <w:rFonts w:ascii="Cambria Math" w:eastAsiaTheme="minorEastAsia" w:hAnsi="Cambria Math"/>
                            <w:color w:val="000000"/>
                          </w:rPr>
                          <m:t>c</m:t>
                        </m:r>
                      </m:sub>
                      <m:sup>
                        <m:r>
                          <w:rPr>
                            <w:rFonts w:ascii="Cambria Math" w:eastAsiaTheme="minorEastAsia" w:hAnsi="Cambria Math"/>
                            <w:color w:val="000000"/>
                          </w:rPr>
                          <m:t>SUP</m:t>
                        </m:r>
                      </m:sup>
                    </m:sSubSup>
                    <m:r>
                      <w:rPr>
                        <w:rFonts w:ascii="Cambria Math" w:eastAsiaTheme="minorEastAsia" w:hAnsi="Cambria Math"/>
                        <w:color w:val="000000"/>
                      </w:rPr>
                      <m:t>,IndEduc</m:t>
                    </m:r>
                    <m:sSubSup>
                      <m:sSubSupPr>
                        <m:ctrlPr>
                          <w:rPr>
                            <w:rFonts w:ascii="Cambria Math" w:hAnsi="Cambria Math"/>
                            <w:i/>
                            <w:color w:val="000000"/>
                          </w:rPr>
                        </m:ctrlPr>
                      </m:sSubSupPr>
                      <m:e>
                        <m:r>
                          <w:rPr>
                            <w:rFonts w:ascii="Cambria Math" w:hAnsi="Cambria Math"/>
                            <w:color w:val="000000"/>
                          </w:rPr>
                          <m:t>LabP</m:t>
                        </m:r>
                      </m:e>
                      <m:sub>
                        <m:r>
                          <w:rPr>
                            <w:rFonts w:ascii="Cambria Math" w:hAnsi="Cambria Math"/>
                            <w:color w:val="000000"/>
                          </w:rPr>
                          <m:t>c,e</m:t>
                        </m:r>
                      </m:sub>
                      <m:sup>
                        <m:r>
                          <w:rPr>
                            <w:rFonts w:ascii="Cambria Math" w:hAnsi="Cambria Math"/>
                            <w:color w:val="000000"/>
                          </w:rPr>
                          <m:t>DEM</m:t>
                        </m:r>
                      </m:sup>
                    </m:sSubSup>
                  </m:e>
                </m:d>
              </m:oMath>
            </m:oMathPara>
          </w:p>
        </w:tc>
      </w:tr>
      <w:tr w:rsidR="0001557F" w:rsidRPr="00030C67" w14:paraId="6FD35C29" w14:textId="77777777" w:rsidTr="00F73778">
        <w:trPr>
          <w:cantSplit/>
        </w:trPr>
        <w:tc>
          <w:tcPr>
            <w:tcW w:w="239" w:type="pct"/>
            <w:tcBorders>
              <w:top w:val="nil"/>
              <w:bottom w:val="nil"/>
            </w:tcBorders>
            <w:shd w:val="clear" w:color="000000" w:fill="auto"/>
          </w:tcPr>
          <w:p w14:paraId="716FFBB5" w14:textId="04C3FFDC" w:rsidR="0001557F" w:rsidRDefault="0001557F" w:rsidP="0001557F">
            <w:pPr>
              <w:pStyle w:val="TableBody"/>
              <w:numPr>
                <w:ilvl w:val="0"/>
                <w:numId w:val="10"/>
              </w:numPr>
              <w:spacing w:before="45" w:after="45"/>
              <w:ind w:left="57" w:right="108"/>
              <w:rPr>
                <w:rFonts w:ascii="Arial (Body)" w:hAnsi="Arial (Body)"/>
                <w:b/>
                <w:color w:val="265A9A"/>
              </w:rPr>
            </w:pPr>
            <w:r>
              <w:rPr>
                <w:rFonts w:ascii="Arial (Body)" w:hAnsi="Arial (Body)"/>
                <w:b/>
                <w:color w:val="265A9A"/>
              </w:rPr>
              <w:lastRenderedPageBreak/>
              <w:t>1</w:t>
            </w:r>
            <w:r w:rsidR="00CA0821">
              <w:rPr>
                <w:rFonts w:ascii="Arial (Body)" w:hAnsi="Arial (Body)"/>
                <w:b/>
                <w:color w:val="265A9A"/>
              </w:rPr>
              <w:t>9</w:t>
            </w:r>
            <w:r>
              <w:rPr>
                <w:rFonts w:ascii="Arial (Body)" w:hAnsi="Arial (Body)"/>
                <w:b/>
                <w:color w:val="265A9A"/>
              </w:rPr>
              <w:t>.</w:t>
            </w:r>
          </w:p>
        </w:tc>
        <w:tc>
          <w:tcPr>
            <w:tcW w:w="4761" w:type="pct"/>
            <w:tcBorders>
              <w:top w:val="nil"/>
              <w:bottom w:val="nil"/>
            </w:tcBorders>
            <w:shd w:val="clear" w:color="000000" w:fill="auto"/>
          </w:tcPr>
          <w:p w14:paraId="3ADE5EB2" w14:textId="77777777" w:rsidR="0001557F" w:rsidRPr="000224EE" w:rsidRDefault="0001557F" w:rsidP="0001557F">
            <w:pPr>
              <w:pStyle w:val="TableBody"/>
              <w:spacing w:before="45" w:after="45"/>
              <w:ind w:right="108"/>
              <w:rPr>
                <w:rFonts w:ascii="Arial (Body)" w:eastAsiaTheme="minorEastAsia" w:hAnsi="Arial (Body)" w:hint="eastAsia"/>
                <w:color w:val="000000"/>
              </w:rPr>
            </w:pPr>
            <w:r w:rsidRPr="000224EE">
              <w:rPr>
                <w:rFonts w:ascii="Arial (Body)" w:eastAsiaTheme="minorEastAsia" w:hAnsi="Arial (Body)"/>
                <w:color w:val="000000"/>
              </w:rPr>
              <w:t>Demand for industry composite labour per industry</w:t>
            </w:r>
            <w:r>
              <w:rPr>
                <w:rFonts w:ascii="Arial (Body)" w:eastAsiaTheme="minorEastAsia" w:hAnsi="Arial (Body)"/>
                <w:color w:val="000000"/>
              </w:rPr>
              <w:t>, via expenditure minimisation</w:t>
            </w:r>
          </w:p>
          <w:p w14:paraId="7FE39B1E" w14:textId="77777777" w:rsidR="0001557F" w:rsidRPr="00F73778" w:rsidRDefault="0001557F" w:rsidP="0001557F">
            <w:pPr>
              <w:pStyle w:val="TableBody"/>
              <w:spacing w:before="45" w:after="45"/>
              <w:ind w:right="108"/>
              <w:rPr>
                <w:rFonts w:ascii="Arial (Body)" w:eastAsiaTheme="minorEastAsia" w:hAnsi="Arial (Body)" w:hint="eastAsia"/>
                <w:color w:val="000000"/>
              </w:rPr>
            </w:pPr>
            <m:oMathPara>
              <m:oMathParaPr>
                <m:jc m:val="left"/>
              </m:oMathParaPr>
              <m:oMath>
                <m:r>
                  <w:rPr>
                    <w:rFonts w:ascii="Cambria Math" w:hAnsi="Cambria Math"/>
                    <w:color w:val="000000"/>
                  </w:rPr>
                  <m:t>IndCompLab</m:t>
                </m:r>
                <m:sSubSup>
                  <m:sSubSupPr>
                    <m:ctrlPr>
                      <w:rPr>
                        <w:rFonts w:ascii="Cambria Math" w:hAnsi="Cambria Math"/>
                        <w:i/>
                        <w:color w:val="000000"/>
                      </w:rPr>
                    </m:ctrlPr>
                  </m:sSubSupPr>
                  <m:e>
                    <m:r>
                      <w:rPr>
                        <w:rFonts w:ascii="Cambria Math" w:hAnsi="Cambria Math"/>
                        <w:color w:val="000000"/>
                      </w:rPr>
                      <m:t>Q</m:t>
                    </m:r>
                  </m:e>
                  <m:sub>
                    <m:r>
                      <w:rPr>
                        <w:rFonts w:ascii="Cambria Math" w:hAnsi="Cambria Math"/>
                        <w:color w:val="000000"/>
                      </w:rPr>
                      <m:t>c</m:t>
                    </m:r>
                  </m:sub>
                  <m:sup>
                    <m:r>
                      <w:rPr>
                        <w:rFonts w:ascii="Cambria Math" w:hAnsi="Cambria Math"/>
                        <w:color w:val="000000"/>
                      </w:rPr>
                      <m:t>DEM</m:t>
                    </m:r>
                  </m:sup>
                </m:sSubSup>
                <m:r>
                  <w:rPr>
                    <w:rFonts w:ascii="Cambria Math" w:hAnsi="Cambria Math"/>
                    <w:color w:val="000000"/>
                  </w:rPr>
                  <m:t>=CES</m:t>
                </m:r>
                <m:d>
                  <m:dPr>
                    <m:ctrlPr>
                      <w:rPr>
                        <w:rFonts w:ascii="Cambria Math" w:hAnsi="Cambria Math"/>
                        <w:i/>
                        <w:color w:val="000000"/>
                      </w:rPr>
                    </m:ctrlPr>
                  </m:dPr>
                  <m:e>
                    <m:sSubSup>
                      <m:sSubSupPr>
                        <m:ctrlPr>
                          <w:rPr>
                            <w:rFonts w:ascii="Cambria Math" w:hAnsi="Cambria Math"/>
                            <w:i/>
                            <w:color w:val="4D7028" w:themeColor="accent2"/>
                          </w:rPr>
                        </m:ctrlPr>
                      </m:sSubSupPr>
                      <m:e>
                        <m:r>
                          <w:rPr>
                            <w:rFonts w:ascii="Cambria Math" w:hAnsi="Cambria Math"/>
                            <w:color w:val="4D7028" w:themeColor="accent2"/>
                          </w:rPr>
                          <m:t>α</m:t>
                        </m:r>
                      </m:e>
                      <m:sub>
                        <m:r>
                          <w:rPr>
                            <w:rFonts w:ascii="Cambria Math" w:hAnsi="Cambria Math"/>
                            <w:color w:val="4D7028" w:themeColor="accent2"/>
                          </w:rPr>
                          <m:t>c</m:t>
                        </m:r>
                      </m:sub>
                      <m:sup>
                        <m:r>
                          <w:rPr>
                            <w:rFonts w:ascii="Cambria Math" w:hAnsi="Cambria Math"/>
                            <w:color w:val="4D7028" w:themeColor="accent2"/>
                          </w:rPr>
                          <m:t>COMPFACTOR</m:t>
                        </m:r>
                      </m:sup>
                    </m:sSubSup>
                    <m:r>
                      <w:rPr>
                        <w:rFonts w:ascii="Cambria Math" w:hAnsi="Cambria Math"/>
                        <w:color w:val="000000"/>
                      </w:rPr>
                      <m:t>,IndCompFactor</m:t>
                    </m:r>
                    <m:sSubSup>
                      <m:sSubSupPr>
                        <m:ctrlPr>
                          <w:rPr>
                            <w:rFonts w:ascii="Cambria Math" w:eastAsiaTheme="minorEastAsia" w:hAnsi="Cambria Math"/>
                            <w:i/>
                            <w:color w:val="000000"/>
                          </w:rPr>
                        </m:ctrlPr>
                      </m:sSubSupPr>
                      <m:e>
                        <m:r>
                          <w:rPr>
                            <w:rFonts w:ascii="Cambria Math" w:eastAsiaTheme="minorEastAsia" w:hAnsi="Cambria Math"/>
                            <w:color w:val="000000"/>
                          </w:rPr>
                          <m:t>Q</m:t>
                        </m:r>
                      </m:e>
                      <m:sub>
                        <m:r>
                          <w:rPr>
                            <w:rFonts w:ascii="Cambria Math" w:eastAsiaTheme="minorEastAsia" w:hAnsi="Cambria Math"/>
                            <w:color w:val="000000"/>
                          </w:rPr>
                          <m:t>c</m:t>
                        </m:r>
                      </m:sub>
                      <m:sup>
                        <m:r>
                          <w:rPr>
                            <w:rFonts w:ascii="Cambria Math" w:eastAsiaTheme="minorEastAsia" w:hAnsi="Cambria Math"/>
                            <w:color w:val="000000"/>
                          </w:rPr>
                          <m:t>SUP</m:t>
                        </m:r>
                      </m:sup>
                    </m:sSubSup>
                    <m:r>
                      <w:rPr>
                        <w:rFonts w:ascii="Cambria Math" w:eastAsiaTheme="minorEastAsia" w:hAnsi="Cambria Math"/>
                        <w:color w:val="000000"/>
                      </w:rPr>
                      <m:t>,Ind</m:t>
                    </m:r>
                    <m:r>
                      <w:rPr>
                        <w:rFonts w:ascii="Cambria Math" w:hAnsi="Cambria Math"/>
                        <w:color w:val="000000"/>
                      </w:rPr>
                      <m:t>CompLab</m:t>
                    </m:r>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c</m:t>
                        </m:r>
                      </m:sub>
                      <m:sup>
                        <m:r>
                          <w:rPr>
                            <w:rFonts w:ascii="Cambria Math" w:hAnsi="Cambria Math"/>
                            <w:color w:val="000000"/>
                          </w:rPr>
                          <m:t>DEM</m:t>
                        </m:r>
                      </m:sup>
                    </m:sSubSup>
                  </m:e>
                </m:d>
              </m:oMath>
            </m:oMathPara>
          </w:p>
          <w:p w14:paraId="70185074" w14:textId="6AD2E8F5" w:rsidR="0001557F" w:rsidRDefault="0001557F" w:rsidP="0001557F">
            <w:pPr>
              <w:pStyle w:val="TableBody"/>
              <w:spacing w:before="45" w:after="45"/>
              <w:ind w:right="108"/>
              <w:rPr>
                <w:rFonts w:ascii="Arial (Body)" w:eastAsiaTheme="minorEastAsia" w:hAnsi="Arial (Body)" w:hint="eastAsia"/>
                <w:color w:val="000000"/>
              </w:rPr>
            </w:pPr>
            <w:r>
              <w:t xml:space="preserve">Where </w:t>
            </w:r>
            <m:oMath>
              <m:sSubSup>
                <m:sSubSupPr>
                  <m:ctrlPr>
                    <w:rPr>
                      <w:rFonts w:ascii="Cambria Math" w:hAnsi="Cambria Math"/>
                      <w:i/>
                      <w:color w:val="4D7028" w:themeColor="accent2"/>
                    </w:rPr>
                  </m:ctrlPr>
                </m:sSubSupPr>
                <m:e>
                  <m:r>
                    <w:rPr>
                      <w:rFonts w:ascii="Cambria Math" w:hAnsi="Cambria Math"/>
                      <w:color w:val="4D7028" w:themeColor="accent2"/>
                    </w:rPr>
                    <m:t>α</m:t>
                  </m:r>
                </m:e>
                <m:sub>
                  <m:r>
                    <w:rPr>
                      <w:rFonts w:ascii="Cambria Math" w:hAnsi="Cambria Math"/>
                      <w:color w:val="4D7028" w:themeColor="accent2"/>
                    </w:rPr>
                    <m:t>c</m:t>
                  </m:r>
                </m:sub>
                <m:sup>
                  <m:r>
                    <w:rPr>
                      <w:rFonts w:ascii="Cambria Math" w:hAnsi="Cambria Math"/>
                      <w:color w:val="4D7028" w:themeColor="accent2"/>
                    </w:rPr>
                    <m:t>COMPFACTOR</m:t>
                  </m:r>
                </m:sup>
              </m:sSubSup>
            </m:oMath>
            <w:r>
              <w:rPr>
                <w:rFonts w:eastAsiaTheme="minorEastAsia"/>
              </w:rPr>
              <w:t xml:space="preserve"> is a multifactor productivity parameter associated with the use of labour and capital to produce the industry composite factor of production</w:t>
            </w:r>
            <w:r w:rsidR="00737BF6">
              <w:rPr>
                <w:rFonts w:eastAsiaTheme="minorEastAsia"/>
              </w:rPr>
              <w:t xml:space="preserve"> (value added)</w:t>
            </w:r>
            <w:r>
              <w:rPr>
                <w:rFonts w:eastAsiaTheme="minorEastAsia"/>
              </w:rPr>
              <w:t>.</w:t>
            </w:r>
          </w:p>
        </w:tc>
      </w:tr>
      <w:tr w:rsidR="0001557F" w:rsidRPr="00030C67" w14:paraId="46231AE0" w14:textId="77777777" w:rsidTr="00F73778">
        <w:trPr>
          <w:cantSplit/>
        </w:trPr>
        <w:tc>
          <w:tcPr>
            <w:tcW w:w="239" w:type="pct"/>
            <w:tcBorders>
              <w:top w:val="nil"/>
              <w:bottom w:val="nil"/>
            </w:tcBorders>
            <w:shd w:val="clear" w:color="000000" w:fill="auto"/>
          </w:tcPr>
          <w:p w14:paraId="4F6BF989" w14:textId="045339CE" w:rsidR="0001557F" w:rsidRDefault="00CA0821" w:rsidP="0001557F">
            <w:pPr>
              <w:pStyle w:val="TableBody"/>
              <w:numPr>
                <w:ilvl w:val="0"/>
                <w:numId w:val="10"/>
              </w:numPr>
              <w:spacing w:before="45" w:after="45"/>
              <w:ind w:left="57" w:right="108"/>
              <w:rPr>
                <w:rFonts w:ascii="Arial (Body)" w:hAnsi="Arial (Body)"/>
                <w:b/>
                <w:color w:val="265A9A"/>
              </w:rPr>
            </w:pPr>
            <w:r>
              <w:rPr>
                <w:rFonts w:ascii="Arial (Body)" w:hAnsi="Arial (Body)"/>
                <w:b/>
                <w:color w:val="265A9A"/>
              </w:rPr>
              <w:t>20</w:t>
            </w:r>
            <w:r w:rsidR="0001557F">
              <w:rPr>
                <w:rFonts w:ascii="Arial (Body)" w:hAnsi="Arial (Body)"/>
                <w:b/>
                <w:color w:val="265A9A"/>
              </w:rPr>
              <w:t>.</w:t>
            </w:r>
          </w:p>
        </w:tc>
        <w:tc>
          <w:tcPr>
            <w:tcW w:w="4761" w:type="pct"/>
            <w:tcBorders>
              <w:top w:val="nil"/>
              <w:bottom w:val="nil"/>
            </w:tcBorders>
            <w:shd w:val="clear" w:color="000000" w:fill="auto"/>
          </w:tcPr>
          <w:p w14:paraId="719472D1" w14:textId="77777777" w:rsidR="0001557F" w:rsidRPr="000224EE" w:rsidRDefault="0001557F" w:rsidP="0001557F">
            <w:pPr>
              <w:pStyle w:val="TableBody"/>
              <w:spacing w:before="45" w:after="45"/>
              <w:ind w:right="108"/>
              <w:rPr>
                <w:rFonts w:ascii="Arial (Body)" w:eastAsiaTheme="minorEastAsia" w:hAnsi="Arial (Body)" w:hint="eastAsia"/>
                <w:color w:val="000000"/>
              </w:rPr>
            </w:pPr>
            <w:r w:rsidRPr="000224EE">
              <w:rPr>
                <w:rFonts w:ascii="Arial (Body)" w:eastAsiaTheme="minorEastAsia" w:hAnsi="Arial (Body)"/>
                <w:color w:val="000000"/>
              </w:rPr>
              <w:t>Demand for capital per industry</w:t>
            </w:r>
            <w:r>
              <w:rPr>
                <w:rFonts w:ascii="Arial (Body)" w:eastAsiaTheme="minorEastAsia" w:hAnsi="Arial (Body)"/>
                <w:color w:val="000000"/>
              </w:rPr>
              <w:t>, via expenditure minimisation</w:t>
            </w:r>
          </w:p>
          <w:p w14:paraId="6705B130" w14:textId="77777777" w:rsidR="0001557F" w:rsidRPr="00F73778" w:rsidRDefault="0001557F" w:rsidP="0001557F">
            <w:pPr>
              <w:pStyle w:val="TableBody"/>
              <w:spacing w:before="45" w:after="45"/>
              <w:ind w:right="108"/>
              <w:rPr>
                <w:rFonts w:ascii="Arial (Body)" w:eastAsiaTheme="minorEastAsia" w:hAnsi="Arial (Body)" w:hint="eastAsia"/>
                <w:color w:val="000000"/>
              </w:rPr>
            </w:pPr>
            <m:oMathPara>
              <m:oMathParaPr>
                <m:jc m:val="left"/>
              </m:oMathParaPr>
              <m:oMath>
                <m:r>
                  <w:rPr>
                    <w:rFonts w:ascii="Cambria Math" w:eastAsiaTheme="minorEastAsia" w:hAnsi="Cambria Math"/>
                    <w:color w:val="000000"/>
                  </w:rPr>
                  <m:t>IndCap</m:t>
                </m:r>
                <m:sSubSup>
                  <m:sSubSupPr>
                    <m:ctrlPr>
                      <w:rPr>
                        <w:rFonts w:ascii="Cambria Math" w:eastAsiaTheme="minorEastAsia" w:hAnsi="Cambria Math"/>
                        <w:i/>
                        <w:color w:val="000000"/>
                      </w:rPr>
                    </m:ctrlPr>
                  </m:sSubSupPr>
                  <m:e>
                    <m:r>
                      <w:rPr>
                        <w:rFonts w:ascii="Cambria Math" w:eastAsiaTheme="minorEastAsia" w:hAnsi="Cambria Math"/>
                        <w:color w:val="000000"/>
                      </w:rPr>
                      <m:t>Q</m:t>
                    </m:r>
                  </m:e>
                  <m:sub>
                    <m:r>
                      <w:rPr>
                        <w:rFonts w:ascii="Cambria Math" w:eastAsiaTheme="minorEastAsia" w:hAnsi="Cambria Math"/>
                        <w:color w:val="000000"/>
                      </w:rPr>
                      <m:t>c</m:t>
                    </m:r>
                  </m:sub>
                  <m:sup>
                    <m:r>
                      <w:rPr>
                        <w:rFonts w:ascii="Cambria Math" w:eastAsiaTheme="minorEastAsia" w:hAnsi="Cambria Math"/>
                        <w:color w:val="000000"/>
                      </w:rPr>
                      <m:t>DEM</m:t>
                    </m:r>
                  </m:sup>
                </m:sSubSup>
                <m:r>
                  <w:rPr>
                    <w:rFonts w:ascii="Cambria Math" w:eastAsiaTheme="minorEastAsia" w:hAnsi="Cambria Math"/>
                    <w:color w:val="000000"/>
                  </w:rPr>
                  <m:t>=CES</m:t>
                </m:r>
                <m:d>
                  <m:dPr>
                    <m:ctrlPr>
                      <w:rPr>
                        <w:rFonts w:ascii="Cambria Math" w:eastAsiaTheme="minorEastAsia" w:hAnsi="Cambria Math"/>
                        <w:i/>
                        <w:color w:val="000000"/>
                      </w:rPr>
                    </m:ctrlPr>
                  </m:dPr>
                  <m:e>
                    <m:sSubSup>
                      <m:sSubSupPr>
                        <m:ctrlPr>
                          <w:rPr>
                            <w:rFonts w:ascii="Cambria Math" w:hAnsi="Cambria Math"/>
                            <w:i/>
                            <w:color w:val="4D7028" w:themeColor="accent2"/>
                          </w:rPr>
                        </m:ctrlPr>
                      </m:sSubSupPr>
                      <m:e>
                        <m:r>
                          <w:rPr>
                            <w:rFonts w:ascii="Cambria Math" w:hAnsi="Cambria Math"/>
                            <w:color w:val="4D7028" w:themeColor="accent2"/>
                          </w:rPr>
                          <m:t>α</m:t>
                        </m:r>
                      </m:e>
                      <m:sub>
                        <m:r>
                          <w:rPr>
                            <w:rFonts w:ascii="Cambria Math" w:hAnsi="Cambria Math"/>
                            <w:color w:val="4D7028" w:themeColor="accent2"/>
                          </w:rPr>
                          <m:t>c</m:t>
                        </m:r>
                      </m:sub>
                      <m:sup>
                        <m:r>
                          <w:rPr>
                            <w:rFonts w:ascii="Cambria Math" w:hAnsi="Cambria Math"/>
                            <w:color w:val="4D7028" w:themeColor="accent2"/>
                          </w:rPr>
                          <m:t>COMPFACTOR</m:t>
                        </m:r>
                      </m:sup>
                    </m:sSubSup>
                    <m:r>
                      <w:rPr>
                        <w:rFonts w:ascii="Cambria Math" w:hAnsi="Cambria Math"/>
                        <w:color w:val="000000"/>
                      </w:rPr>
                      <m:t>,IndCompFactor</m:t>
                    </m:r>
                    <m:sSubSup>
                      <m:sSubSupPr>
                        <m:ctrlPr>
                          <w:rPr>
                            <w:rFonts w:ascii="Cambria Math" w:eastAsiaTheme="minorEastAsia" w:hAnsi="Cambria Math"/>
                            <w:i/>
                            <w:color w:val="000000"/>
                          </w:rPr>
                        </m:ctrlPr>
                      </m:sSubSupPr>
                      <m:e>
                        <m:r>
                          <w:rPr>
                            <w:rFonts w:ascii="Cambria Math" w:eastAsiaTheme="minorEastAsia" w:hAnsi="Cambria Math"/>
                            <w:color w:val="000000"/>
                          </w:rPr>
                          <m:t>Q</m:t>
                        </m:r>
                      </m:e>
                      <m:sub>
                        <m:r>
                          <w:rPr>
                            <w:rFonts w:ascii="Cambria Math" w:eastAsiaTheme="minorEastAsia" w:hAnsi="Cambria Math"/>
                            <w:color w:val="000000"/>
                          </w:rPr>
                          <m:t>c</m:t>
                        </m:r>
                      </m:sub>
                      <m:sup>
                        <m:r>
                          <w:rPr>
                            <w:rFonts w:ascii="Cambria Math" w:eastAsiaTheme="minorEastAsia" w:hAnsi="Cambria Math"/>
                            <w:color w:val="000000"/>
                          </w:rPr>
                          <m:t>SUP</m:t>
                        </m:r>
                      </m:sup>
                    </m:sSubSup>
                    <m:r>
                      <w:rPr>
                        <w:rFonts w:ascii="Cambria Math" w:eastAsiaTheme="minorEastAsia" w:hAnsi="Cambria Math"/>
                        <w:color w:val="000000"/>
                      </w:rPr>
                      <m:t>,</m:t>
                    </m:r>
                    <m:r>
                      <w:rPr>
                        <w:rFonts w:ascii="Cambria Math" w:hAnsi="Cambria Math"/>
                        <w:color w:val="000000"/>
                      </w:rPr>
                      <m:t>CapP</m:t>
                    </m:r>
                  </m:e>
                </m:d>
              </m:oMath>
            </m:oMathPara>
          </w:p>
          <w:p w14:paraId="7C50E30B" w14:textId="606B629D" w:rsidR="0001557F" w:rsidRPr="00D15CFA" w:rsidRDefault="0001557F" w:rsidP="0001557F">
            <w:pPr>
              <w:pStyle w:val="TableBody"/>
              <w:spacing w:before="45" w:after="45"/>
              <w:ind w:right="108"/>
              <w:rPr>
                <w:rFonts w:ascii="Arial (Body)" w:eastAsiaTheme="minorEastAsia" w:hAnsi="Arial (Body)" w:hint="eastAsia"/>
                <w:color w:val="000000"/>
              </w:rPr>
            </w:pPr>
            <m:oMathPara>
              <m:oMathParaPr>
                <m:jc m:val="left"/>
              </m:oMathParaPr>
              <m:oMath>
                <m:r>
                  <w:rPr>
                    <w:rFonts w:ascii="Cambria Math" w:hAnsi="Cambria Math"/>
                    <w:color w:val="000000"/>
                  </w:rPr>
                  <m:t>CapQ=</m:t>
                </m:r>
                <m:nary>
                  <m:naryPr>
                    <m:chr m:val="∑"/>
                    <m:supHide m:val="1"/>
                    <m:ctrlPr>
                      <w:rPr>
                        <w:rFonts w:ascii="Cambria Math" w:hAnsi="Cambria Math"/>
                        <w:i/>
                        <w:color w:val="000000"/>
                      </w:rPr>
                    </m:ctrlPr>
                  </m:naryPr>
                  <m:sub>
                    <m:r>
                      <w:rPr>
                        <w:rFonts w:ascii="Cambria Math" w:hAnsi="Cambria Math"/>
                        <w:color w:val="000000"/>
                      </w:rPr>
                      <m:t>c</m:t>
                    </m:r>
                  </m:sub>
                  <m:sup/>
                  <m:e>
                    <m:r>
                      <w:rPr>
                        <w:rFonts w:ascii="Cambria Math" w:eastAsiaTheme="minorEastAsia" w:hAnsi="Cambria Math"/>
                        <w:color w:val="000000"/>
                      </w:rPr>
                      <m:t>IndCap</m:t>
                    </m:r>
                    <m:sSubSup>
                      <m:sSubSupPr>
                        <m:ctrlPr>
                          <w:rPr>
                            <w:rFonts w:ascii="Cambria Math" w:eastAsiaTheme="minorEastAsia" w:hAnsi="Cambria Math"/>
                            <w:i/>
                            <w:color w:val="000000"/>
                          </w:rPr>
                        </m:ctrlPr>
                      </m:sSubSupPr>
                      <m:e>
                        <m:r>
                          <w:rPr>
                            <w:rFonts w:ascii="Cambria Math" w:eastAsiaTheme="minorEastAsia" w:hAnsi="Cambria Math"/>
                            <w:color w:val="000000"/>
                          </w:rPr>
                          <m:t>Q</m:t>
                        </m:r>
                      </m:e>
                      <m:sub>
                        <m:r>
                          <w:rPr>
                            <w:rFonts w:ascii="Cambria Math" w:eastAsiaTheme="minorEastAsia" w:hAnsi="Cambria Math"/>
                            <w:color w:val="000000"/>
                          </w:rPr>
                          <m:t>c</m:t>
                        </m:r>
                      </m:sub>
                      <m:sup>
                        <m:r>
                          <w:rPr>
                            <w:rFonts w:ascii="Cambria Math" w:eastAsiaTheme="minorEastAsia" w:hAnsi="Cambria Math"/>
                            <w:color w:val="000000"/>
                          </w:rPr>
                          <m:t>DEM</m:t>
                        </m:r>
                      </m:sup>
                    </m:sSubSup>
                  </m:e>
                </m:nary>
              </m:oMath>
            </m:oMathPara>
          </w:p>
        </w:tc>
      </w:tr>
      <w:tr w:rsidR="0001557F" w:rsidRPr="00030C67" w14:paraId="094AFC39" w14:textId="77777777" w:rsidTr="00F73778">
        <w:trPr>
          <w:cantSplit/>
        </w:trPr>
        <w:tc>
          <w:tcPr>
            <w:tcW w:w="239" w:type="pct"/>
            <w:tcBorders>
              <w:top w:val="nil"/>
              <w:bottom w:val="nil"/>
            </w:tcBorders>
            <w:shd w:val="clear" w:color="000000" w:fill="auto"/>
          </w:tcPr>
          <w:p w14:paraId="6063DD6A" w14:textId="372C8E41" w:rsidR="0001557F" w:rsidRDefault="00CA0821" w:rsidP="0001557F">
            <w:pPr>
              <w:pStyle w:val="TableBody"/>
              <w:numPr>
                <w:ilvl w:val="0"/>
                <w:numId w:val="10"/>
              </w:numPr>
              <w:spacing w:before="45" w:after="45"/>
              <w:ind w:left="57" w:right="108"/>
              <w:rPr>
                <w:rFonts w:ascii="Arial (Body)" w:hAnsi="Arial (Body)"/>
                <w:b/>
                <w:color w:val="265A9A"/>
              </w:rPr>
            </w:pPr>
            <w:r>
              <w:rPr>
                <w:rFonts w:ascii="Arial (Body)" w:hAnsi="Arial (Body)"/>
                <w:b/>
                <w:color w:val="265A9A"/>
              </w:rPr>
              <w:t>21</w:t>
            </w:r>
            <w:r w:rsidR="0001557F">
              <w:rPr>
                <w:rFonts w:ascii="Arial (Body)" w:hAnsi="Arial (Body)"/>
                <w:b/>
                <w:color w:val="265A9A"/>
              </w:rPr>
              <w:t>.</w:t>
            </w:r>
          </w:p>
        </w:tc>
        <w:tc>
          <w:tcPr>
            <w:tcW w:w="4761" w:type="pct"/>
            <w:tcBorders>
              <w:top w:val="nil"/>
              <w:bottom w:val="nil"/>
            </w:tcBorders>
            <w:shd w:val="clear" w:color="000000" w:fill="auto"/>
          </w:tcPr>
          <w:p w14:paraId="7C375C87" w14:textId="77777777" w:rsidR="0001557F" w:rsidRPr="000224EE" w:rsidRDefault="0001557F" w:rsidP="0001557F">
            <w:pPr>
              <w:pStyle w:val="TableBody"/>
              <w:spacing w:before="45" w:after="45"/>
              <w:ind w:right="108"/>
              <w:rPr>
                <w:rFonts w:ascii="Arial (Body)" w:eastAsiaTheme="minorEastAsia" w:hAnsi="Arial (Body)" w:hint="eastAsia"/>
                <w:color w:val="000000"/>
              </w:rPr>
            </w:pPr>
            <w:r w:rsidRPr="000224EE">
              <w:rPr>
                <w:rFonts w:ascii="Arial (Body)" w:eastAsiaTheme="minorEastAsia" w:hAnsi="Arial (Body)"/>
                <w:color w:val="000000"/>
              </w:rPr>
              <w:t xml:space="preserve">Demand for </w:t>
            </w:r>
            <w:r>
              <w:rPr>
                <w:rFonts w:ascii="Arial (Body)" w:eastAsiaTheme="minorEastAsia" w:hAnsi="Arial (Body)"/>
                <w:color w:val="000000"/>
              </w:rPr>
              <w:t>industry composite factor (value added in value terms), via expenditure minimisation</w:t>
            </w:r>
          </w:p>
          <w:p w14:paraId="72E5A8F7" w14:textId="77777777" w:rsidR="0001557F" w:rsidRPr="00F73778" w:rsidRDefault="0001557F" w:rsidP="0001557F">
            <w:pPr>
              <w:pStyle w:val="TableBody"/>
              <w:spacing w:before="45" w:after="45"/>
              <w:ind w:right="108"/>
              <w:rPr>
                <w:rFonts w:ascii="Arial (Body)" w:eastAsiaTheme="minorEastAsia" w:hAnsi="Arial (Body)" w:hint="eastAsia"/>
                <w:color w:val="000000"/>
              </w:rPr>
            </w:pPr>
            <m:oMathPara>
              <m:oMathParaPr>
                <m:jc m:val="left"/>
              </m:oMathParaPr>
              <m:oMath>
                <m:r>
                  <w:rPr>
                    <w:rFonts w:ascii="Cambria Math" w:hAnsi="Cambria Math"/>
                    <w:color w:val="000000"/>
                  </w:rPr>
                  <m:t>IndCompFactor</m:t>
                </m:r>
                <m:sSubSup>
                  <m:sSubSupPr>
                    <m:ctrlPr>
                      <w:rPr>
                        <w:rFonts w:ascii="Cambria Math" w:eastAsiaTheme="minorEastAsia" w:hAnsi="Cambria Math"/>
                        <w:i/>
                        <w:color w:val="000000"/>
                      </w:rPr>
                    </m:ctrlPr>
                  </m:sSubSupPr>
                  <m:e>
                    <m:r>
                      <w:rPr>
                        <w:rFonts w:ascii="Cambria Math" w:eastAsiaTheme="minorEastAsia" w:hAnsi="Cambria Math"/>
                        <w:color w:val="000000"/>
                      </w:rPr>
                      <m:t>Q</m:t>
                    </m:r>
                  </m:e>
                  <m:sub>
                    <m:r>
                      <w:rPr>
                        <w:rFonts w:ascii="Cambria Math" w:eastAsiaTheme="minorEastAsia" w:hAnsi="Cambria Math"/>
                        <w:color w:val="000000"/>
                      </w:rPr>
                      <m:t>c</m:t>
                    </m:r>
                  </m:sub>
                  <m:sup>
                    <m:r>
                      <w:rPr>
                        <w:rFonts w:ascii="Cambria Math" w:eastAsiaTheme="minorEastAsia" w:hAnsi="Cambria Math"/>
                        <w:color w:val="000000"/>
                      </w:rPr>
                      <m:t>DEM</m:t>
                    </m:r>
                  </m:sup>
                </m:sSubSup>
                <m:r>
                  <w:rPr>
                    <w:rFonts w:ascii="Cambria Math" w:eastAsiaTheme="minorEastAsia" w:hAnsi="Cambria Math"/>
                    <w:color w:val="000000"/>
                  </w:rPr>
                  <m:t>=Leontief</m:t>
                </m:r>
                <m:d>
                  <m:dPr>
                    <m:ctrlPr>
                      <w:rPr>
                        <w:rFonts w:ascii="Cambria Math" w:eastAsiaTheme="minorEastAsia" w:hAnsi="Cambria Math"/>
                        <w:i/>
                        <w:color w:val="000000"/>
                      </w:rPr>
                    </m:ctrlPr>
                  </m:dPr>
                  <m:e>
                    <m:sSubSup>
                      <m:sSubSupPr>
                        <m:ctrlPr>
                          <w:rPr>
                            <w:rFonts w:ascii="Cambria Math" w:eastAsiaTheme="minorEastAsia" w:hAnsi="Cambria Math"/>
                            <w:i/>
                            <w:color w:val="4D7028" w:themeColor="accent2"/>
                          </w:rPr>
                        </m:ctrlPr>
                      </m:sSubSupPr>
                      <m:e>
                        <m:r>
                          <w:rPr>
                            <w:rFonts w:ascii="Cambria Math" w:eastAsiaTheme="minorEastAsia" w:hAnsi="Cambria Math"/>
                            <w:color w:val="4D7028" w:themeColor="accent2"/>
                          </w:rPr>
                          <m:t>ε</m:t>
                        </m:r>
                      </m:e>
                      <m:sub>
                        <m:r>
                          <w:rPr>
                            <w:rFonts w:ascii="Cambria Math" w:eastAsiaTheme="minorEastAsia" w:hAnsi="Cambria Math"/>
                            <w:color w:val="4D7028" w:themeColor="accent2"/>
                          </w:rPr>
                          <m:t>c</m:t>
                        </m:r>
                      </m:sub>
                      <m:sup>
                        <m:r>
                          <w:rPr>
                            <w:rFonts w:ascii="Cambria Math" w:eastAsiaTheme="minorEastAsia" w:hAnsi="Cambria Math"/>
                            <w:color w:val="4D7028" w:themeColor="accent2"/>
                          </w:rPr>
                          <m:t>OUTPUT</m:t>
                        </m:r>
                      </m:sup>
                    </m:sSubSup>
                    <m:r>
                      <w:rPr>
                        <w:rFonts w:ascii="Cambria Math" w:eastAsiaTheme="minorEastAsia" w:hAnsi="Cambria Math"/>
                        <w:color w:val="000000"/>
                      </w:rPr>
                      <m:t>,</m:t>
                    </m:r>
                    <m:sSubSup>
                      <m:sSubSupPr>
                        <m:ctrlPr>
                          <w:rPr>
                            <w:rFonts w:ascii="Cambria Math" w:eastAsiaTheme="minorEastAsia" w:hAnsi="Cambria Math"/>
                            <w:i/>
                            <w:color w:val="000000"/>
                          </w:rPr>
                        </m:ctrlPr>
                      </m:sSubSupPr>
                      <m:e>
                        <m:r>
                          <w:rPr>
                            <w:rFonts w:ascii="Cambria Math" w:eastAsiaTheme="minorEastAsia" w:hAnsi="Cambria Math"/>
                            <w:color w:val="000000"/>
                          </w:rPr>
                          <m:t>IndOutputQ</m:t>
                        </m:r>
                      </m:e>
                      <m:sub>
                        <m:r>
                          <w:rPr>
                            <w:rFonts w:ascii="Cambria Math" w:eastAsiaTheme="minorEastAsia" w:hAnsi="Cambria Math"/>
                            <w:color w:val="000000"/>
                          </w:rPr>
                          <m:t>c</m:t>
                        </m:r>
                      </m:sub>
                      <m:sup>
                        <m:r>
                          <w:rPr>
                            <w:rFonts w:ascii="Cambria Math" w:eastAsiaTheme="minorEastAsia" w:hAnsi="Cambria Math"/>
                            <w:color w:val="000000"/>
                          </w:rPr>
                          <m:t>SUP</m:t>
                        </m:r>
                      </m:sup>
                    </m:sSubSup>
                  </m:e>
                </m:d>
              </m:oMath>
            </m:oMathPara>
          </w:p>
          <w:p w14:paraId="7232288F" w14:textId="6F900ABB" w:rsidR="0001557F" w:rsidRDefault="0001557F" w:rsidP="0001557F">
            <w:pPr>
              <w:pStyle w:val="TableBody"/>
              <w:spacing w:before="45" w:after="45"/>
              <w:ind w:right="108"/>
              <w:rPr>
                <w:rFonts w:ascii="Arial (Body)" w:eastAsiaTheme="minorEastAsia" w:hAnsi="Arial (Body)" w:hint="eastAsia"/>
                <w:color w:val="000000"/>
              </w:rPr>
            </w:pPr>
            <w:r>
              <w:t xml:space="preserve">Where </w:t>
            </w:r>
            <m:oMath>
              <m:sSubSup>
                <m:sSubSupPr>
                  <m:ctrlPr>
                    <w:rPr>
                      <w:rFonts w:ascii="Cambria Math" w:eastAsiaTheme="minorEastAsia" w:hAnsi="Cambria Math"/>
                      <w:i/>
                      <w:color w:val="4D7028" w:themeColor="accent2"/>
                    </w:rPr>
                  </m:ctrlPr>
                </m:sSubSupPr>
                <m:e>
                  <m:r>
                    <w:rPr>
                      <w:rFonts w:ascii="Cambria Math" w:eastAsiaTheme="minorEastAsia" w:hAnsi="Cambria Math"/>
                      <w:color w:val="4D7028" w:themeColor="accent2"/>
                    </w:rPr>
                    <m:t>ε</m:t>
                  </m:r>
                </m:e>
                <m:sub>
                  <m:r>
                    <w:rPr>
                      <w:rFonts w:ascii="Cambria Math" w:eastAsiaTheme="minorEastAsia" w:hAnsi="Cambria Math"/>
                      <w:color w:val="4D7028" w:themeColor="accent2"/>
                    </w:rPr>
                    <m:t>c</m:t>
                  </m:r>
                </m:sub>
                <m:sup>
                  <m:r>
                    <w:rPr>
                      <w:rFonts w:ascii="Cambria Math" w:eastAsiaTheme="minorEastAsia" w:hAnsi="Cambria Math"/>
                      <w:color w:val="4D7028" w:themeColor="accent2"/>
                    </w:rPr>
                    <m:t>OUTPUT</m:t>
                  </m:r>
                </m:sup>
              </m:sSubSup>
            </m:oMath>
            <w:r w:rsidRPr="0067372C">
              <w:rPr>
                <w:rFonts w:eastAsiaTheme="minorEastAsia"/>
              </w:rPr>
              <w:t xml:space="preserve"> is a</w:t>
            </w:r>
            <w:r>
              <w:rPr>
                <w:rFonts w:eastAsiaTheme="minorEastAsia"/>
              </w:rPr>
              <w:t>n input</w:t>
            </w:r>
            <w:r>
              <w:rPr>
                <w:rFonts w:eastAsiaTheme="minorEastAsia"/>
              </w:rPr>
              <w:noBreakHyphen/>
              <w:t>neutral technical change parameter associated with the use of the industry composite factor of production and industry composite inputs made of domestic and imported commodities.</w:t>
            </w:r>
          </w:p>
        </w:tc>
      </w:tr>
      <w:tr w:rsidR="0001557F" w:rsidRPr="00030C67" w14:paraId="027757E7" w14:textId="77777777" w:rsidTr="00F73778">
        <w:trPr>
          <w:cantSplit/>
        </w:trPr>
        <w:tc>
          <w:tcPr>
            <w:tcW w:w="239" w:type="pct"/>
            <w:tcBorders>
              <w:top w:val="nil"/>
              <w:bottom w:val="nil"/>
            </w:tcBorders>
            <w:shd w:val="clear" w:color="auto" w:fill="F2F2F2" w:themeFill="background1" w:themeFillShade="F2"/>
          </w:tcPr>
          <w:p w14:paraId="6861ABEA" w14:textId="77777777" w:rsidR="0001557F" w:rsidRPr="000224EE" w:rsidRDefault="0001557F" w:rsidP="0001557F">
            <w:pPr>
              <w:pStyle w:val="TableBody"/>
              <w:spacing w:before="45" w:after="45"/>
              <w:ind w:right="108"/>
              <w:rPr>
                <w:rFonts w:ascii="Arial (Body)" w:hAnsi="Arial (Body)"/>
                <w:b/>
                <w:color w:val="265A9A"/>
              </w:rPr>
            </w:pPr>
          </w:p>
        </w:tc>
        <w:tc>
          <w:tcPr>
            <w:tcW w:w="4761" w:type="pct"/>
            <w:tcBorders>
              <w:top w:val="nil"/>
              <w:bottom w:val="nil"/>
            </w:tcBorders>
            <w:shd w:val="clear" w:color="auto" w:fill="F2F2F2" w:themeFill="background1" w:themeFillShade="F2"/>
          </w:tcPr>
          <w:p w14:paraId="060D2E6A" w14:textId="02B18E3A" w:rsidR="0001557F" w:rsidRPr="00053E5D" w:rsidRDefault="0001557F" w:rsidP="0001557F">
            <w:pPr>
              <w:pStyle w:val="TableHeading"/>
              <w:rPr>
                <w:rFonts w:eastAsiaTheme="minorEastAsia"/>
                <w:color w:val="000000"/>
              </w:rPr>
            </w:pPr>
            <w:r w:rsidRPr="00053E5D">
              <w:rPr>
                <w:rFonts w:eastAsiaTheme="minorEastAsia"/>
                <w:color w:val="000000"/>
              </w:rPr>
              <w:t xml:space="preserve">Industry </w:t>
            </w:r>
            <w:r>
              <w:rPr>
                <w:rFonts w:eastAsiaTheme="minorEastAsia"/>
                <w:color w:val="000000"/>
              </w:rPr>
              <w:t>output</w:t>
            </w:r>
            <w:r w:rsidRPr="00053E5D">
              <w:rPr>
                <w:rFonts w:eastAsiaTheme="minorEastAsia"/>
                <w:color w:val="000000"/>
              </w:rPr>
              <w:t xml:space="preserve">, </w:t>
            </w:r>
            <w:r>
              <w:rPr>
                <w:rFonts w:eastAsiaTheme="minorEastAsia"/>
                <w:color w:val="000000"/>
              </w:rPr>
              <w:t xml:space="preserve">and </w:t>
            </w:r>
            <w:r w:rsidRPr="00053E5D">
              <w:rPr>
                <w:rFonts w:eastAsiaTheme="minorEastAsia"/>
                <w:color w:val="000000"/>
              </w:rPr>
              <w:t>production</w:t>
            </w:r>
            <w:r>
              <w:rPr>
                <w:rFonts w:eastAsiaTheme="minorEastAsia"/>
                <w:color w:val="000000"/>
              </w:rPr>
              <w:t xml:space="preserve"> of</w:t>
            </w:r>
            <w:r w:rsidRPr="00053E5D">
              <w:rPr>
                <w:rFonts w:eastAsiaTheme="minorEastAsia"/>
                <w:color w:val="000000"/>
              </w:rPr>
              <w:t xml:space="preserve"> domestic and exported commodities</w:t>
            </w:r>
            <w:r>
              <w:rPr>
                <w:rFonts w:eastAsiaTheme="minorEastAsia"/>
                <w:color w:val="000000"/>
              </w:rPr>
              <w:t xml:space="preserve"> in production sector</w:t>
            </w:r>
          </w:p>
        </w:tc>
      </w:tr>
      <w:tr w:rsidR="0001557F" w:rsidRPr="00030C67" w14:paraId="43DEB361" w14:textId="77777777" w:rsidTr="00F73778">
        <w:trPr>
          <w:cantSplit/>
        </w:trPr>
        <w:tc>
          <w:tcPr>
            <w:tcW w:w="239" w:type="pct"/>
            <w:tcBorders>
              <w:top w:val="nil"/>
              <w:bottom w:val="nil"/>
            </w:tcBorders>
            <w:shd w:val="clear" w:color="000000" w:fill="auto"/>
          </w:tcPr>
          <w:p w14:paraId="3773D7CA" w14:textId="37CD6A81" w:rsidR="0001557F" w:rsidRPr="000224EE" w:rsidRDefault="0001557F" w:rsidP="0001557F">
            <w:pPr>
              <w:pStyle w:val="TableBody"/>
              <w:numPr>
                <w:ilvl w:val="0"/>
                <w:numId w:val="10"/>
              </w:numPr>
              <w:spacing w:before="45" w:after="45"/>
              <w:ind w:left="57" w:right="108"/>
              <w:rPr>
                <w:rFonts w:ascii="Arial (Body)" w:hAnsi="Arial (Body)"/>
                <w:b/>
                <w:color w:val="265A9A"/>
              </w:rPr>
            </w:pPr>
            <w:r>
              <w:rPr>
                <w:rFonts w:ascii="Arial (Body)" w:hAnsi="Arial (Body)"/>
                <w:b/>
                <w:color w:val="265A9A"/>
              </w:rPr>
              <w:t>22.</w:t>
            </w:r>
          </w:p>
        </w:tc>
        <w:tc>
          <w:tcPr>
            <w:tcW w:w="4761" w:type="pct"/>
            <w:tcBorders>
              <w:top w:val="nil"/>
              <w:bottom w:val="nil"/>
            </w:tcBorders>
            <w:shd w:val="clear" w:color="000000" w:fill="auto"/>
          </w:tcPr>
          <w:p w14:paraId="722A33ED" w14:textId="77777777" w:rsidR="0001557F" w:rsidRPr="000224EE" w:rsidRDefault="0001557F" w:rsidP="0001557F">
            <w:pPr>
              <w:pStyle w:val="TableBody"/>
              <w:spacing w:before="45" w:after="45"/>
              <w:ind w:right="108"/>
              <w:rPr>
                <w:rFonts w:ascii="Arial (Body)" w:eastAsiaTheme="minorEastAsia" w:hAnsi="Arial (Body)" w:hint="eastAsia"/>
                <w:color w:val="000000"/>
              </w:rPr>
            </w:pPr>
            <w:r w:rsidRPr="000224EE">
              <w:rPr>
                <w:rFonts w:ascii="Arial (Body)" w:eastAsiaTheme="minorEastAsia" w:hAnsi="Arial (Body)"/>
                <w:color w:val="000000"/>
              </w:rPr>
              <w:t xml:space="preserve">Supply price of industry output </w:t>
            </w:r>
          </w:p>
          <w:p w14:paraId="5817103E" w14:textId="23A548E4" w:rsidR="0001557F" w:rsidRPr="00F73778" w:rsidRDefault="00000000" w:rsidP="0001557F">
            <w:pPr>
              <w:pStyle w:val="TableBody"/>
              <w:spacing w:before="45" w:after="45"/>
              <w:ind w:right="108"/>
              <w:rPr>
                <w:rFonts w:ascii="Arial (Body)" w:eastAsiaTheme="minorEastAsia" w:hAnsi="Arial (Body)" w:hint="eastAsia"/>
                <w:color w:val="000000"/>
              </w:rPr>
            </w:pPr>
            <m:oMathPara>
              <m:oMathParaPr>
                <m:jc m:val="left"/>
              </m:oMathParaPr>
              <m:oMath>
                <m:sSubSup>
                  <m:sSubSupPr>
                    <m:ctrlPr>
                      <w:rPr>
                        <w:rFonts w:ascii="Cambria Math" w:eastAsiaTheme="minorEastAsia" w:hAnsi="Cambria Math"/>
                        <w:i/>
                        <w:color w:val="000000"/>
                      </w:rPr>
                    </m:ctrlPr>
                  </m:sSubSupPr>
                  <m:e>
                    <m:r>
                      <w:rPr>
                        <w:rFonts w:ascii="Cambria Math" w:eastAsiaTheme="minorEastAsia" w:hAnsi="Cambria Math"/>
                        <w:color w:val="000000"/>
                      </w:rPr>
                      <m:t>IndOutputP</m:t>
                    </m:r>
                  </m:e>
                  <m:sub>
                    <m:r>
                      <w:rPr>
                        <w:rFonts w:ascii="Cambria Math" w:eastAsiaTheme="minorEastAsia" w:hAnsi="Cambria Math"/>
                        <w:color w:val="000000"/>
                      </w:rPr>
                      <m:t>c</m:t>
                    </m:r>
                  </m:sub>
                  <m:sup>
                    <m:r>
                      <w:rPr>
                        <w:rFonts w:ascii="Cambria Math" w:eastAsiaTheme="minorEastAsia" w:hAnsi="Cambria Math"/>
                        <w:color w:val="000000"/>
                      </w:rPr>
                      <m:t>SUP</m:t>
                    </m:r>
                  </m:sup>
                </m:sSubSup>
                <m:r>
                  <w:rPr>
                    <w:rFonts w:ascii="Cambria Math" w:eastAsiaTheme="minorEastAsia" w:hAnsi="Cambria Math"/>
                    <w:color w:val="000000"/>
                  </w:rPr>
                  <m:t>=</m:t>
                </m:r>
                <m:d>
                  <m:dPr>
                    <m:ctrlPr>
                      <w:rPr>
                        <w:rFonts w:ascii="Cambria Math" w:hAnsi="Cambria Math"/>
                        <w:i/>
                        <w:color w:val="000000"/>
                      </w:rPr>
                    </m:ctrlPr>
                  </m:dPr>
                  <m:e>
                    <m:r>
                      <w:rPr>
                        <w:rFonts w:ascii="Cambria Math" w:hAnsi="Cambria Math"/>
                        <w:color w:val="000000"/>
                      </w:rPr>
                      <m:t>1+</m:t>
                    </m:r>
                    <m:r>
                      <w:rPr>
                        <w:rFonts w:ascii="Cambria Math" w:hAnsi="Cambria Math"/>
                        <w:color w:val="265A9A" w:themeColor="background2"/>
                      </w:rPr>
                      <m:t>ProductionTax</m:t>
                    </m:r>
                    <m:sSub>
                      <m:sSubPr>
                        <m:ctrlPr>
                          <w:rPr>
                            <w:rFonts w:ascii="Cambria Math" w:hAnsi="Cambria Math"/>
                            <w:i/>
                            <w:color w:val="265A9A" w:themeColor="background2"/>
                          </w:rPr>
                        </m:ctrlPr>
                      </m:sSubPr>
                      <m:e>
                        <m:r>
                          <w:rPr>
                            <w:rFonts w:ascii="Cambria Math" w:hAnsi="Cambria Math"/>
                            <w:color w:val="265A9A" w:themeColor="background2"/>
                          </w:rPr>
                          <m:t>Rate</m:t>
                        </m:r>
                      </m:e>
                      <m:sub>
                        <m:r>
                          <w:rPr>
                            <w:rFonts w:ascii="Cambria Math" w:hAnsi="Cambria Math"/>
                            <w:color w:val="265A9A" w:themeColor="background2"/>
                          </w:rPr>
                          <m:t>c</m:t>
                        </m:r>
                      </m:sub>
                    </m:sSub>
                  </m:e>
                </m:d>
                <m:r>
                  <w:rPr>
                    <w:rFonts w:ascii="Cambria Math" w:hAnsi="Cambria Math"/>
                    <w:color w:val="000000"/>
                  </w:rPr>
                  <m:t>*</m:t>
                </m:r>
                <m:d>
                  <m:dPr>
                    <m:ctrlPr>
                      <w:rPr>
                        <w:rFonts w:ascii="Cambria Math" w:hAnsi="Cambria Math"/>
                        <w:i/>
                        <w:color w:val="000000"/>
                      </w:rPr>
                    </m:ctrlPr>
                  </m:dPr>
                  <m:e>
                    <m:sSubSup>
                      <m:sSubSupPr>
                        <m:ctrlPr>
                          <w:rPr>
                            <w:rFonts w:ascii="Cambria Math" w:eastAsiaTheme="minorEastAsia" w:hAnsi="Cambria Math"/>
                            <w:i/>
                            <w:color w:val="4D7028" w:themeColor="accent2"/>
                          </w:rPr>
                        </m:ctrlPr>
                      </m:sSubSupPr>
                      <m:e>
                        <m:r>
                          <w:rPr>
                            <w:rFonts w:ascii="Cambria Math" w:eastAsiaTheme="minorEastAsia" w:hAnsi="Cambria Math"/>
                            <w:color w:val="4D7028" w:themeColor="accent2"/>
                          </w:rPr>
                          <m:t>β</m:t>
                        </m:r>
                      </m:e>
                      <m:sub>
                        <m:r>
                          <w:rPr>
                            <w:rFonts w:ascii="Cambria Math" w:eastAsiaTheme="minorEastAsia" w:hAnsi="Cambria Math"/>
                            <w:color w:val="4D7028" w:themeColor="accent2"/>
                          </w:rPr>
                          <m:t>c</m:t>
                        </m:r>
                      </m:sub>
                      <m:sup>
                        <m:r>
                          <w:rPr>
                            <w:rFonts w:ascii="Cambria Math" w:eastAsiaTheme="minorEastAsia" w:hAnsi="Cambria Math"/>
                            <w:color w:val="4D7028" w:themeColor="accent2"/>
                          </w:rPr>
                          <m:t>OUTPUT.COMPFACTOR</m:t>
                        </m:r>
                      </m:sup>
                    </m:sSubSup>
                    <m:f>
                      <m:fPr>
                        <m:ctrlPr>
                          <w:rPr>
                            <w:rFonts w:ascii="Cambria Math" w:hAnsi="Cambria Math"/>
                            <w:i/>
                            <w:color w:val="000000"/>
                          </w:rPr>
                        </m:ctrlPr>
                      </m:fPr>
                      <m:num>
                        <m:r>
                          <w:rPr>
                            <w:rFonts w:ascii="Cambria Math" w:hAnsi="Cambria Math"/>
                            <w:color w:val="000000"/>
                          </w:rPr>
                          <m:t>IndCompFactor</m:t>
                        </m:r>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c</m:t>
                            </m:r>
                          </m:sub>
                          <m:sup>
                            <m:r>
                              <w:rPr>
                                <w:rFonts w:ascii="Cambria Math" w:hAnsi="Cambria Math"/>
                                <w:color w:val="000000"/>
                              </w:rPr>
                              <m:t>DEM</m:t>
                            </m:r>
                          </m:sup>
                        </m:sSubSup>
                      </m:num>
                      <m:den>
                        <m:sSubSup>
                          <m:sSubSupPr>
                            <m:ctrlPr>
                              <w:rPr>
                                <w:rFonts w:ascii="Cambria Math" w:eastAsiaTheme="minorEastAsia" w:hAnsi="Cambria Math"/>
                                <w:i/>
                                <w:color w:val="4D7028" w:themeColor="accent2"/>
                              </w:rPr>
                            </m:ctrlPr>
                          </m:sSubSupPr>
                          <m:e>
                            <m:r>
                              <w:rPr>
                                <w:rFonts w:ascii="Cambria Math" w:eastAsiaTheme="minorEastAsia" w:hAnsi="Cambria Math"/>
                                <w:color w:val="4D7028" w:themeColor="accent2"/>
                              </w:rPr>
                              <m:t>ε</m:t>
                            </m:r>
                          </m:e>
                          <m:sub>
                            <m:r>
                              <w:rPr>
                                <w:rFonts w:ascii="Cambria Math" w:eastAsiaTheme="minorEastAsia" w:hAnsi="Cambria Math"/>
                                <w:color w:val="4D7028" w:themeColor="accent2"/>
                              </w:rPr>
                              <m:t>c</m:t>
                            </m:r>
                          </m:sub>
                          <m:sup>
                            <m:r>
                              <w:rPr>
                                <w:rFonts w:ascii="Cambria Math" w:eastAsiaTheme="minorEastAsia" w:hAnsi="Cambria Math"/>
                                <w:color w:val="4D7028" w:themeColor="accent2"/>
                              </w:rPr>
                              <m:t>OUTPUT</m:t>
                            </m:r>
                          </m:sup>
                        </m:sSubSup>
                      </m:den>
                    </m:f>
                    <m:r>
                      <w:rPr>
                        <w:rFonts w:ascii="Cambria Math" w:hAnsi="Cambria Math"/>
                        <w:color w:val="000000"/>
                      </w:rPr>
                      <m:t>+</m:t>
                    </m:r>
                    <m:nary>
                      <m:naryPr>
                        <m:chr m:val="∑"/>
                        <m:supHide m:val="1"/>
                        <m:ctrlPr>
                          <w:rPr>
                            <w:rFonts w:ascii="Cambria Math" w:eastAsiaTheme="minorEastAsia" w:hAnsi="Cambria Math"/>
                            <w:i/>
                            <w:color w:val="000000"/>
                          </w:rPr>
                        </m:ctrlPr>
                      </m:naryPr>
                      <m:sub>
                        <m:sSup>
                          <m:sSupPr>
                            <m:ctrlPr>
                              <w:rPr>
                                <w:rFonts w:ascii="Cambria Math" w:eastAsiaTheme="minorEastAsia" w:hAnsi="Cambria Math"/>
                                <w:i/>
                                <w:color w:val="000000"/>
                              </w:rPr>
                            </m:ctrlPr>
                          </m:sSupPr>
                          <m:e>
                            <m:r>
                              <w:rPr>
                                <w:rFonts w:ascii="Cambria Math" w:eastAsiaTheme="minorEastAsia" w:hAnsi="Cambria Math"/>
                                <w:color w:val="000000"/>
                              </w:rPr>
                              <m:t>c</m:t>
                            </m:r>
                          </m:e>
                          <m:sup>
                            <m:r>
                              <w:rPr>
                                <w:rFonts w:ascii="Cambria Math" w:eastAsiaTheme="minorEastAsia" w:hAnsi="Cambria Math"/>
                                <w:color w:val="000000"/>
                              </w:rPr>
                              <m:t>'</m:t>
                            </m:r>
                          </m:sup>
                        </m:sSup>
                      </m:sub>
                      <m:sup/>
                      <m:e>
                        <m:sSubSup>
                          <m:sSubSupPr>
                            <m:ctrlPr>
                              <w:rPr>
                                <w:rFonts w:ascii="Cambria Math" w:eastAsiaTheme="minorEastAsia" w:hAnsi="Cambria Math"/>
                                <w:i/>
                                <w:color w:val="4D7028" w:themeColor="accent2"/>
                              </w:rPr>
                            </m:ctrlPr>
                          </m:sSubSupPr>
                          <m:e>
                            <m:r>
                              <w:rPr>
                                <w:rFonts w:ascii="Cambria Math" w:eastAsiaTheme="minorEastAsia" w:hAnsi="Cambria Math"/>
                                <w:color w:val="4D7028" w:themeColor="accent2"/>
                              </w:rPr>
                              <m:t>β</m:t>
                            </m:r>
                          </m:e>
                          <m:sub>
                            <m:r>
                              <w:rPr>
                                <w:rFonts w:ascii="Cambria Math" w:eastAsiaTheme="minorEastAsia" w:hAnsi="Cambria Math"/>
                                <w:color w:val="4D7028" w:themeColor="accent2"/>
                              </w:rPr>
                              <m:t>c</m:t>
                            </m:r>
                          </m:sub>
                          <m:sup>
                            <m:r>
                              <w:rPr>
                                <w:rFonts w:ascii="Cambria Math" w:eastAsiaTheme="minorEastAsia" w:hAnsi="Cambria Math"/>
                                <w:color w:val="4D7028" w:themeColor="accent2"/>
                              </w:rPr>
                              <m:t>OUTPUT.COMPCOMM</m:t>
                            </m:r>
                          </m:sup>
                        </m:sSubSup>
                        <m:f>
                          <m:fPr>
                            <m:ctrlPr>
                              <w:rPr>
                                <w:rFonts w:ascii="Cambria Math" w:hAnsi="Cambria Math"/>
                                <w:i/>
                                <w:color w:val="000000"/>
                              </w:rPr>
                            </m:ctrlPr>
                          </m:fPr>
                          <m:num>
                            <m:r>
                              <w:rPr>
                                <w:rFonts w:ascii="Cambria Math" w:hAnsi="Cambria Math"/>
                                <w:color w:val="000000"/>
                              </w:rPr>
                              <m:t>CompComm</m:t>
                            </m:r>
                            <m:sSubSup>
                              <m:sSubSupPr>
                                <m:ctrlPr>
                                  <w:rPr>
                                    <w:rFonts w:ascii="Cambria Math" w:hAnsi="Cambria Math"/>
                                    <w:i/>
                                    <w:color w:val="000000"/>
                                  </w:rPr>
                                </m:ctrlPr>
                              </m:sSubSupPr>
                              <m:e>
                                <m:r>
                                  <w:rPr>
                                    <w:rFonts w:ascii="Cambria Math" w:hAnsi="Cambria Math"/>
                                    <w:color w:val="000000"/>
                                  </w:rPr>
                                  <m:t>P</m:t>
                                </m:r>
                              </m:e>
                              <m:sub>
                                <m:sSup>
                                  <m:sSupPr>
                                    <m:ctrlPr>
                                      <w:rPr>
                                        <w:rFonts w:ascii="Cambria Math" w:hAnsi="Cambria Math"/>
                                        <w:i/>
                                        <w:color w:val="000000"/>
                                      </w:rPr>
                                    </m:ctrlPr>
                                  </m:sSupPr>
                                  <m:e>
                                    <m:r>
                                      <w:rPr>
                                        <w:rFonts w:ascii="Cambria Math" w:hAnsi="Cambria Math"/>
                                        <w:color w:val="000000"/>
                                      </w:rPr>
                                      <m:t>c</m:t>
                                    </m:r>
                                  </m:e>
                                  <m:sup>
                                    <m:r>
                                      <w:rPr>
                                        <w:rFonts w:ascii="Cambria Math" w:hAnsi="Cambria Math"/>
                                        <w:color w:val="000000"/>
                                      </w:rPr>
                                      <m:t>'</m:t>
                                    </m:r>
                                  </m:sup>
                                </m:sSup>
                                <m:r>
                                  <w:rPr>
                                    <w:rFonts w:ascii="Cambria Math" w:hAnsi="Cambria Math"/>
                                    <w:color w:val="000000"/>
                                  </w:rPr>
                                  <m:t>,c</m:t>
                                </m:r>
                              </m:sub>
                              <m:sup>
                                <m:r>
                                  <w:rPr>
                                    <w:rFonts w:ascii="Cambria Math" w:hAnsi="Cambria Math"/>
                                    <w:color w:val="000000"/>
                                  </w:rPr>
                                  <m:t>DEM</m:t>
                                </m:r>
                              </m:sup>
                            </m:sSubSup>
                          </m:num>
                          <m:den>
                            <m:sSubSup>
                              <m:sSubSupPr>
                                <m:ctrlPr>
                                  <w:rPr>
                                    <w:rFonts w:ascii="Cambria Math" w:eastAsiaTheme="minorEastAsia" w:hAnsi="Cambria Math"/>
                                    <w:i/>
                                    <w:color w:val="4D7028" w:themeColor="accent2"/>
                                  </w:rPr>
                                </m:ctrlPr>
                              </m:sSubSupPr>
                              <m:e>
                                <m:r>
                                  <w:rPr>
                                    <w:rFonts w:ascii="Cambria Math" w:eastAsiaTheme="minorEastAsia" w:hAnsi="Cambria Math"/>
                                    <w:color w:val="4D7028" w:themeColor="accent2"/>
                                  </w:rPr>
                                  <m:t>ε</m:t>
                                </m:r>
                              </m:e>
                              <m:sub>
                                <m:r>
                                  <w:rPr>
                                    <w:rFonts w:ascii="Cambria Math" w:eastAsiaTheme="minorEastAsia" w:hAnsi="Cambria Math"/>
                                    <w:color w:val="4D7028" w:themeColor="accent2"/>
                                  </w:rPr>
                                  <m:t>c</m:t>
                                </m:r>
                              </m:sub>
                              <m:sup>
                                <m:r>
                                  <w:rPr>
                                    <w:rFonts w:ascii="Cambria Math" w:eastAsiaTheme="minorEastAsia" w:hAnsi="Cambria Math"/>
                                    <w:color w:val="4D7028" w:themeColor="accent2"/>
                                  </w:rPr>
                                  <m:t>OUTPUT</m:t>
                                </m:r>
                              </m:sup>
                            </m:sSubSup>
                          </m:den>
                        </m:f>
                      </m:e>
                    </m:nary>
                  </m:e>
                </m:d>
              </m:oMath>
            </m:oMathPara>
          </w:p>
          <w:p w14:paraId="07D71230" w14:textId="65A4E0E0" w:rsidR="0001557F" w:rsidRPr="000224EE" w:rsidRDefault="0001557F" w:rsidP="0001557F">
            <w:pPr>
              <w:pStyle w:val="TableBody"/>
              <w:spacing w:before="45" w:after="45"/>
              <w:ind w:right="108"/>
              <w:rPr>
                <w:rFonts w:ascii="Arial (Body)" w:hAnsi="Arial (Body)"/>
                <w:color w:val="000000"/>
              </w:rPr>
            </w:pPr>
            <w:r w:rsidRPr="000224EE">
              <w:rPr>
                <w:rFonts w:ascii="Arial (Body)" w:hAnsi="Arial (Body)"/>
                <w:color w:val="000000"/>
              </w:rPr>
              <w:t xml:space="preserve">Where </w:t>
            </w:r>
            <m:oMath>
              <m:sSubSup>
                <m:sSubSupPr>
                  <m:ctrlPr>
                    <w:rPr>
                      <w:rFonts w:ascii="Cambria Math" w:eastAsiaTheme="minorEastAsia" w:hAnsi="Cambria Math"/>
                      <w:i/>
                      <w:color w:val="4D7028" w:themeColor="accent2"/>
                    </w:rPr>
                  </m:ctrlPr>
                </m:sSubSupPr>
                <m:e>
                  <m:r>
                    <w:rPr>
                      <w:rFonts w:ascii="Cambria Math" w:eastAsiaTheme="minorEastAsia" w:hAnsi="Cambria Math"/>
                      <w:color w:val="4D7028" w:themeColor="accent2"/>
                    </w:rPr>
                    <m:t>β</m:t>
                  </m:r>
                </m:e>
                <m:sub>
                  <m:r>
                    <w:rPr>
                      <w:rFonts w:ascii="Cambria Math" w:eastAsiaTheme="minorEastAsia" w:hAnsi="Cambria Math"/>
                      <w:color w:val="4D7028" w:themeColor="accent2"/>
                    </w:rPr>
                    <m:t>c</m:t>
                  </m:r>
                </m:sub>
                <m:sup/>
              </m:sSubSup>
            </m:oMath>
            <w:r w:rsidRPr="000224EE">
              <w:rPr>
                <w:rFonts w:ascii="Arial (Body)" w:eastAsiaTheme="minorEastAsia" w:hAnsi="Arial (Body)"/>
                <w:color w:val="000000"/>
              </w:rPr>
              <w:t>are Leontief parameters indicating units of input required per unit of output</w:t>
            </w:r>
            <w:r w:rsidRPr="000224EE">
              <w:rPr>
                <w:rFonts w:ascii="Arial (Body)" w:hAnsi="Arial (Body)"/>
                <w:color w:val="000000"/>
              </w:rPr>
              <w:t>.</w:t>
            </w:r>
          </w:p>
        </w:tc>
      </w:tr>
      <w:tr w:rsidR="0001557F" w:rsidRPr="00030C67" w14:paraId="522B2E73" w14:textId="77777777" w:rsidTr="00F73778">
        <w:trPr>
          <w:cantSplit/>
        </w:trPr>
        <w:tc>
          <w:tcPr>
            <w:tcW w:w="239" w:type="pct"/>
            <w:tcBorders>
              <w:top w:val="nil"/>
              <w:bottom w:val="nil"/>
            </w:tcBorders>
            <w:shd w:val="clear" w:color="000000" w:fill="auto"/>
          </w:tcPr>
          <w:p w14:paraId="51945A1E" w14:textId="3DCAF74F" w:rsidR="0001557F" w:rsidRPr="000224EE" w:rsidRDefault="0001557F" w:rsidP="0001557F">
            <w:pPr>
              <w:pStyle w:val="TableBody"/>
              <w:numPr>
                <w:ilvl w:val="0"/>
                <w:numId w:val="10"/>
              </w:numPr>
              <w:spacing w:before="45" w:after="45"/>
              <w:ind w:left="57" w:right="108"/>
              <w:rPr>
                <w:rFonts w:ascii="Arial (Body)" w:hAnsi="Arial (Body)"/>
                <w:b/>
                <w:color w:val="265A9A"/>
              </w:rPr>
            </w:pPr>
            <w:r>
              <w:rPr>
                <w:rFonts w:ascii="Arial (Body)" w:hAnsi="Arial (Body)"/>
                <w:b/>
                <w:color w:val="265A9A"/>
              </w:rPr>
              <w:t>23.</w:t>
            </w:r>
          </w:p>
        </w:tc>
        <w:tc>
          <w:tcPr>
            <w:tcW w:w="4761" w:type="pct"/>
            <w:tcBorders>
              <w:top w:val="nil"/>
              <w:bottom w:val="nil"/>
            </w:tcBorders>
            <w:shd w:val="clear" w:color="000000" w:fill="auto"/>
          </w:tcPr>
          <w:p w14:paraId="43520E7C" w14:textId="7BE64CAA" w:rsidR="0001557F" w:rsidRPr="000224EE" w:rsidRDefault="0001557F" w:rsidP="0001557F">
            <w:pPr>
              <w:pStyle w:val="TableBody"/>
              <w:spacing w:before="45" w:after="45"/>
              <w:ind w:right="108"/>
              <w:rPr>
                <w:rFonts w:ascii="Arial (Body)" w:eastAsiaTheme="minorEastAsia" w:hAnsi="Arial (Body)" w:hint="eastAsia"/>
                <w:color w:val="000000"/>
              </w:rPr>
            </w:pPr>
            <w:r w:rsidRPr="000224EE">
              <w:rPr>
                <w:rFonts w:ascii="Arial (Body)" w:eastAsiaTheme="minorEastAsia" w:hAnsi="Arial (Body)"/>
                <w:color w:val="000000"/>
              </w:rPr>
              <w:t>Supply of domestic and export commodities</w:t>
            </w:r>
          </w:p>
          <w:p w14:paraId="3E027FDE" w14:textId="3AE0EEBA" w:rsidR="0001557F" w:rsidRPr="00F73778" w:rsidRDefault="0001557F" w:rsidP="0001557F">
            <w:pPr>
              <w:pStyle w:val="TableBody"/>
              <w:spacing w:before="45" w:after="45"/>
              <w:ind w:right="108"/>
              <w:rPr>
                <w:rFonts w:ascii="Arial (Body)" w:eastAsiaTheme="minorEastAsia" w:hAnsi="Arial (Body)" w:hint="eastAsia"/>
                <w:color w:val="000000"/>
              </w:rPr>
            </w:pPr>
            <m:oMathPara>
              <m:oMathParaPr>
                <m:jc m:val="left"/>
              </m:oMathParaPr>
              <m:oMath>
                <m:r>
                  <w:rPr>
                    <w:rFonts w:ascii="Cambria Math" w:hAnsi="Cambria Math"/>
                    <w:color w:val="000000"/>
                  </w:rPr>
                  <m:t>DomCommodity</m:t>
                </m:r>
                <m:sSubSup>
                  <m:sSubSupPr>
                    <m:ctrlPr>
                      <w:rPr>
                        <w:rFonts w:ascii="Cambria Math" w:hAnsi="Cambria Math"/>
                        <w:i/>
                        <w:color w:val="000000"/>
                      </w:rPr>
                    </m:ctrlPr>
                  </m:sSubSupPr>
                  <m:e>
                    <m:r>
                      <w:rPr>
                        <w:rFonts w:ascii="Cambria Math" w:hAnsi="Cambria Math"/>
                        <w:color w:val="000000"/>
                      </w:rPr>
                      <m:t>Q</m:t>
                    </m:r>
                  </m:e>
                  <m:sub>
                    <m:r>
                      <w:rPr>
                        <w:rFonts w:ascii="Cambria Math" w:hAnsi="Cambria Math"/>
                        <w:color w:val="000000"/>
                      </w:rPr>
                      <m:t>c</m:t>
                    </m:r>
                  </m:sub>
                  <m:sup>
                    <m:r>
                      <w:rPr>
                        <w:rFonts w:ascii="Cambria Math" w:hAnsi="Cambria Math"/>
                        <w:color w:val="000000"/>
                      </w:rPr>
                      <m:t>SUP</m:t>
                    </m:r>
                  </m:sup>
                </m:sSubSup>
                <m:r>
                  <w:rPr>
                    <w:rFonts w:ascii="Cambria Math" w:hAnsi="Cambria Math"/>
                    <w:color w:val="000000"/>
                  </w:rPr>
                  <m:t>=CET</m:t>
                </m:r>
                <m:d>
                  <m:dPr>
                    <m:ctrlPr>
                      <w:rPr>
                        <w:rFonts w:ascii="Cambria Math" w:hAnsi="Cambria Math"/>
                        <w:i/>
                        <w:color w:val="000000"/>
                      </w:rPr>
                    </m:ctrlPr>
                  </m:dPr>
                  <m:e>
                    <m:sSubSup>
                      <m:sSubSupPr>
                        <m:ctrlPr>
                          <w:rPr>
                            <w:rFonts w:ascii="Cambria Math" w:eastAsiaTheme="minorEastAsia" w:hAnsi="Cambria Math"/>
                            <w:i/>
                            <w:color w:val="000000"/>
                          </w:rPr>
                        </m:ctrlPr>
                      </m:sSubSupPr>
                      <m:e>
                        <m:r>
                          <w:rPr>
                            <w:rFonts w:ascii="Cambria Math" w:eastAsiaTheme="minorEastAsia" w:hAnsi="Cambria Math"/>
                            <w:color w:val="000000"/>
                          </w:rPr>
                          <m:t>OutputQ</m:t>
                        </m:r>
                      </m:e>
                      <m:sub>
                        <m:r>
                          <w:rPr>
                            <w:rFonts w:ascii="Cambria Math" w:eastAsiaTheme="minorEastAsia" w:hAnsi="Cambria Math"/>
                            <w:color w:val="000000"/>
                          </w:rPr>
                          <m:t>c</m:t>
                        </m:r>
                      </m:sub>
                      <m:sup>
                        <m:r>
                          <w:rPr>
                            <w:rFonts w:ascii="Cambria Math" w:eastAsiaTheme="minorEastAsia" w:hAnsi="Cambria Math"/>
                            <w:color w:val="000000"/>
                          </w:rPr>
                          <m:t>SUP</m:t>
                        </m:r>
                      </m:sup>
                    </m:sSubSup>
                    <m:r>
                      <w:rPr>
                        <w:rFonts w:ascii="Cambria Math" w:eastAsiaTheme="minorEastAsia" w:hAnsi="Cambria Math"/>
                        <w:color w:val="000000"/>
                      </w:rPr>
                      <m:t>,</m:t>
                    </m:r>
                    <m:r>
                      <w:rPr>
                        <w:rFonts w:ascii="Cambria Math" w:hAnsi="Cambria Math"/>
                        <w:color w:val="000000"/>
                      </w:rPr>
                      <m:t>Commodity</m:t>
                    </m:r>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DOM</m:t>
                        </m:r>
                        <m:r>
                          <m:rPr>
                            <m:sty m:val="p"/>
                          </m:rPr>
                          <w:rPr>
                            <w:rFonts w:ascii="Cambria Math" w:hAnsi="Cambria Math"/>
                            <w:color w:val="000000"/>
                          </w:rPr>
                          <m:t>,</m:t>
                        </m:r>
                        <m:r>
                          <w:rPr>
                            <w:rFonts w:ascii="Cambria Math" w:hAnsi="Cambria Math"/>
                            <w:color w:val="000000"/>
                          </w:rPr>
                          <m:t>c</m:t>
                        </m:r>
                      </m:sub>
                      <m:sup/>
                    </m:sSubSup>
                    <m:r>
                      <w:rPr>
                        <w:rFonts w:ascii="Cambria Math" w:hAnsi="Cambria Math"/>
                        <w:color w:val="000000"/>
                      </w:rPr>
                      <m:t>,ExpCommodity</m:t>
                    </m:r>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c</m:t>
                        </m:r>
                      </m:sub>
                      <m:sup>
                        <m:r>
                          <w:rPr>
                            <w:rFonts w:ascii="Cambria Math" w:hAnsi="Cambria Math"/>
                            <w:color w:val="000000"/>
                          </w:rPr>
                          <m:t>SUP</m:t>
                        </m:r>
                      </m:sup>
                    </m:sSubSup>
                  </m:e>
                </m:d>
              </m:oMath>
            </m:oMathPara>
          </w:p>
          <w:p w14:paraId="00F032CE" w14:textId="458ACA3F" w:rsidR="0001557F" w:rsidRPr="00F73778" w:rsidRDefault="0001557F" w:rsidP="0001557F">
            <w:pPr>
              <w:pStyle w:val="TableBody"/>
              <w:spacing w:before="45" w:after="45"/>
              <w:ind w:right="108"/>
              <w:rPr>
                <w:rFonts w:ascii="Arial (Body)" w:eastAsiaTheme="minorEastAsia" w:hAnsi="Arial (Body)" w:hint="eastAsia"/>
                <w:color w:val="000000"/>
              </w:rPr>
            </w:pPr>
            <m:oMathPara>
              <m:oMathParaPr>
                <m:jc m:val="left"/>
              </m:oMathParaPr>
              <m:oMath>
                <m:r>
                  <w:rPr>
                    <w:rFonts w:ascii="Cambria Math" w:hAnsi="Cambria Math"/>
                    <w:color w:val="000000"/>
                  </w:rPr>
                  <m:t>ExpCommodity</m:t>
                </m:r>
                <m:sSubSup>
                  <m:sSubSupPr>
                    <m:ctrlPr>
                      <w:rPr>
                        <w:rFonts w:ascii="Cambria Math" w:hAnsi="Cambria Math"/>
                        <w:i/>
                        <w:color w:val="000000"/>
                      </w:rPr>
                    </m:ctrlPr>
                  </m:sSubSupPr>
                  <m:e>
                    <m:r>
                      <w:rPr>
                        <w:rFonts w:ascii="Cambria Math" w:hAnsi="Cambria Math"/>
                        <w:color w:val="000000"/>
                      </w:rPr>
                      <m:t>Q</m:t>
                    </m:r>
                  </m:e>
                  <m:sub>
                    <m:r>
                      <w:rPr>
                        <w:rFonts w:ascii="Cambria Math" w:hAnsi="Cambria Math"/>
                        <w:color w:val="000000"/>
                      </w:rPr>
                      <m:t>c</m:t>
                    </m:r>
                  </m:sub>
                  <m:sup>
                    <m:r>
                      <w:rPr>
                        <w:rFonts w:ascii="Cambria Math" w:hAnsi="Cambria Math"/>
                        <w:color w:val="000000"/>
                      </w:rPr>
                      <m:t>SUP</m:t>
                    </m:r>
                  </m:sup>
                </m:sSubSup>
                <m:r>
                  <w:rPr>
                    <w:rFonts w:ascii="Cambria Math" w:hAnsi="Cambria Math"/>
                    <w:color w:val="000000"/>
                  </w:rPr>
                  <m:t>=CET</m:t>
                </m:r>
                <m:d>
                  <m:dPr>
                    <m:ctrlPr>
                      <w:rPr>
                        <w:rFonts w:ascii="Cambria Math" w:hAnsi="Cambria Math"/>
                        <w:i/>
                        <w:color w:val="000000"/>
                      </w:rPr>
                    </m:ctrlPr>
                  </m:dPr>
                  <m:e>
                    <m:sSubSup>
                      <m:sSubSupPr>
                        <m:ctrlPr>
                          <w:rPr>
                            <w:rFonts w:ascii="Cambria Math" w:eastAsiaTheme="minorEastAsia" w:hAnsi="Cambria Math"/>
                            <w:i/>
                            <w:color w:val="000000"/>
                          </w:rPr>
                        </m:ctrlPr>
                      </m:sSubSupPr>
                      <m:e>
                        <m:r>
                          <w:rPr>
                            <w:rFonts w:ascii="Cambria Math" w:eastAsiaTheme="minorEastAsia" w:hAnsi="Cambria Math"/>
                            <w:color w:val="000000"/>
                          </w:rPr>
                          <m:t>OutputQ</m:t>
                        </m:r>
                      </m:e>
                      <m:sub>
                        <m:r>
                          <w:rPr>
                            <w:rFonts w:ascii="Cambria Math" w:eastAsiaTheme="minorEastAsia" w:hAnsi="Cambria Math"/>
                            <w:color w:val="000000"/>
                          </w:rPr>
                          <m:t>c</m:t>
                        </m:r>
                      </m:sub>
                      <m:sup>
                        <m:r>
                          <w:rPr>
                            <w:rFonts w:ascii="Cambria Math" w:eastAsiaTheme="minorEastAsia" w:hAnsi="Cambria Math"/>
                            <w:color w:val="000000"/>
                          </w:rPr>
                          <m:t>SUP</m:t>
                        </m:r>
                      </m:sup>
                    </m:sSubSup>
                    <m:r>
                      <w:rPr>
                        <w:rFonts w:ascii="Cambria Math" w:eastAsiaTheme="minorEastAsia" w:hAnsi="Cambria Math"/>
                        <w:color w:val="000000"/>
                      </w:rPr>
                      <m:t>,</m:t>
                    </m:r>
                    <m:r>
                      <w:rPr>
                        <w:rFonts w:ascii="Cambria Math" w:hAnsi="Cambria Math"/>
                        <w:color w:val="000000"/>
                      </w:rPr>
                      <m:t>Commodity</m:t>
                    </m:r>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DOM</m:t>
                        </m:r>
                        <m:r>
                          <m:rPr>
                            <m:sty m:val="p"/>
                          </m:rPr>
                          <w:rPr>
                            <w:rFonts w:ascii="Cambria Math" w:hAnsi="Cambria Math"/>
                            <w:color w:val="000000"/>
                          </w:rPr>
                          <m:t>,</m:t>
                        </m:r>
                        <m:r>
                          <w:rPr>
                            <w:rFonts w:ascii="Cambria Math" w:hAnsi="Cambria Math"/>
                            <w:color w:val="000000"/>
                          </w:rPr>
                          <m:t>c</m:t>
                        </m:r>
                      </m:sub>
                      <m:sup/>
                    </m:sSubSup>
                    <m:r>
                      <w:rPr>
                        <w:rFonts w:ascii="Cambria Math" w:hAnsi="Cambria Math"/>
                        <w:color w:val="000000"/>
                      </w:rPr>
                      <m:t>,ExpCommodity</m:t>
                    </m:r>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c</m:t>
                        </m:r>
                      </m:sub>
                      <m:sup>
                        <m:r>
                          <w:rPr>
                            <w:rFonts w:ascii="Cambria Math" w:hAnsi="Cambria Math"/>
                            <w:color w:val="000000"/>
                          </w:rPr>
                          <m:t>SUP</m:t>
                        </m:r>
                      </m:sup>
                    </m:sSubSup>
                  </m:e>
                </m:d>
              </m:oMath>
            </m:oMathPara>
          </w:p>
        </w:tc>
      </w:tr>
      <w:tr w:rsidR="0001557F" w:rsidRPr="00030C67" w14:paraId="602F292A" w14:textId="77777777" w:rsidTr="00F73778">
        <w:trPr>
          <w:cantSplit/>
        </w:trPr>
        <w:tc>
          <w:tcPr>
            <w:tcW w:w="239" w:type="pct"/>
            <w:tcBorders>
              <w:top w:val="nil"/>
              <w:bottom w:val="nil"/>
            </w:tcBorders>
            <w:shd w:val="clear" w:color="000000" w:fill="auto"/>
          </w:tcPr>
          <w:p w14:paraId="62BB2E1E" w14:textId="7989A41A" w:rsidR="0001557F" w:rsidRPr="000224EE" w:rsidRDefault="0001557F" w:rsidP="0001557F">
            <w:pPr>
              <w:pStyle w:val="TableBody"/>
              <w:numPr>
                <w:ilvl w:val="0"/>
                <w:numId w:val="10"/>
              </w:numPr>
              <w:spacing w:before="45" w:after="45"/>
              <w:ind w:left="57" w:right="108"/>
              <w:rPr>
                <w:rFonts w:ascii="Arial (Body)" w:hAnsi="Arial (Body)"/>
                <w:b/>
                <w:color w:val="265A9A"/>
              </w:rPr>
            </w:pPr>
            <w:r>
              <w:rPr>
                <w:rFonts w:ascii="Arial (Body)" w:hAnsi="Arial (Body)"/>
                <w:b/>
                <w:color w:val="265A9A"/>
              </w:rPr>
              <w:t>24.</w:t>
            </w:r>
          </w:p>
        </w:tc>
        <w:tc>
          <w:tcPr>
            <w:tcW w:w="4761" w:type="pct"/>
            <w:tcBorders>
              <w:top w:val="nil"/>
              <w:bottom w:val="nil"/>
            </w:tcBorders>
            <w:shd w:val="clear" w:color="000000" w:fill="auto"/>
          </w:tcPr>
          <w:p w14:paraId="41E50FC9" w14:textId="1101A10D" w:rsidR="0001557F" w:rsidRPr="000224EE" w:rsidRDefault="0001557F" w:rsidP="0001557F">
            <w:pPr>
              <w:pStyle w:val="TableBody"/>
              <w:spacing w:before="45" w:after="45"/>
              <w:ind w:right="108"/>
              <w:rPr>
                <w:rFonts w:ascii="Arial (Body)" w:eastAsiaTheme="minorEastAsia" w:hAnsi="Arial (Body)" w:hint="eastAsia"/>
                <w:color w:val="000000"/>
              </w:rPr>
            </w:pPr>
            <w:r w:rsidRPr="000224EE">
              <w:rPr>
                <w:rFonts w:ascii="Arial (Body)" w:eastAsiaTheme="minorEastAsia" w:hAnsi="Arial (Body)"/>
                <w:color w:val="000000"/>
              </w:rPr>
              <w:t>Demand for exported commodities</w:t>
            </w:r>
          </w:p>
          <w:p w14:paraId="0B9B7886" w14:textId="0F03C84D" w:rsidR="0001557F" w:rsidRPr="00F73778" w:rsidRDefault="0001557F" w:rsidP="0001557F">
            <w:pPr>
              <w:pStyle w:val="TableBody"/>
              <w:spacing w:before="45" w:after="45"/>
              <w:ind w:right="108"/>
              <w:rPr>
                <w:rFonts w:ascii="Arial (Body)" w:eastAsiaTheme="minorEastAsia" w:hAnsi="Arial (Body)" w:hint="eastAsia"/>
                <w:color w:val="000000"/>
              </w:rPr>
            </w:pPr>
            <m:oMathPara>
              <m:oMathParaPr>
                <m:jc m:val="left"/>
              </m:oMathParaPr>
              <m:oMath>
                <m:r>
                  <w:rPr>
                    <w:rFonts w:ascii="Cambria Math" w:hAnsi="Cambria Math"/>
                    <w:color w:val="000000"/>
                  </w:rPr>
                  <m:t>ExpCommodity</m:t>
                </m:r>
                <m:sSubSup>
                  <m:sSubSupPr>
                    <m:ctrlPr>
                      <w:rPr>
                        <w:rFonts w:ascii="Cambria Math" w:hAnsi="Cambria Math"/>
                        <w:i/>
                        <w:color w:val="000000"/>
                      </w:rPr>
                    </m:ctrlPr>
                  </m:sSubSupPr>
                  <m:e>
                    <m:r>
                      <w:rPr>
                        <w:rFonts w:ascii="Cambria Math" w:hAnsi="Cambria Math"/>
                        <w:color w:val="000000"/>
                      </w:rPr>
                      <m:t>Q</m:t>
                    </m:r>
                  </m:e>
                  <m:sub>
                    <m:r>
                      <w:rPr>
                        <w:rFonts w:ascii="Cambria Math" w:hAnsi="Cambria Math"/>
                        <w:color w:val="000000"/>
                      </w:rPr>
                      <m:t>c</m:t>
                    </m:r>
                  </m:sub>
                  <m:sup>
                    <m:r>
                      <w:rPr>
                        <w:rFonts w:ascii="Cambria Math" w:hAnsi="Cambria Math"/>
                        <w:color w:val="000000"/>
                      </w:rPr>
                      <m:t>DEM</m:t>
                    </m:r>
                  </m:sup>
                </m:sSubSup>
                <m:r>
                  <w:rPr>
                    <w:rFonts w:ascii="Cambria Math" w:hAnsi="Cambria Math"/>
                    <w:color w:val="000000"/>
                  </w:rPr>
                  <m:t>=</m:t>
                </m:r>
                <m:sSup>
                  <m:sSupPr>
                    <m:ctrlPr>
                      <w:rPr>
                        <w:rFonts w:ascii="Cambria Math" w:hAnsi="Cambria Math"/>
                        <w:i/>
                        <w:color w:val="000000"/>
                      </w:rPr>
                    </m:ctrlPr>
                  </m:sSupPr>
                  <m:e>
                    <m:d>
                      <m:dPr>
                        <m:begChr m:val="["/>
                        <m:endChr m:val="]"/>
                        <m:ctrlPr>
                          <w:rPr>
                            <w:rFonts w:ascii="Cambria Math" w:hAnsi="Cambria Math"/>
                            <w:i/>
                            <w:color w:val="000000"/>
                          </w:rPr>
                        </m:ctrlPr>
                      </m:dPr>
                      <m:e>
                        <m:f>
                          <m:fPr>
                            <m:ctrlPr>
                              <w:rPr>
                                <w:rFonts w:ascii="Cambria Math" w:hAnsi="Cambria Math"/>
                                <w:i/>
                                <w:color w:val="000000"/>
                              </w:rPr>
                            </m:ctrlPr>
                          </m:fPr>
                          <m:num>
                            <m:d>
                              <m:dPr>
                                <m:ctrlPr>
                                  <w:rPr>
                                    <w:rFonts w:ascii="Cambria Math" w:hAnsi="Cambria Math"/>
                                    <w:i/>
                                    <w:color w:val="000000"/>
                                  </w:rPr>
                                </m:ctrlPr>
                              </m:dPr>
                              <m:e>
                                <m:r>
                                  <w:rPr>
                                    <w:rFonts w:ascii="Cambria Math" w:hAnsi="Cambria Math"/>
                                    <w:color w:val="000000"/>
                                  </w:rPr>
                                  <m:t>ExpCommodity</m:t>
                                </m:r>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c</m:t>
                                    </m:r>
                                  </m:sub>
                                  <m:sup>
                                    <m:r>
                                      <w:rPr>
                                        <w:rFonts w:ascii="Cambria Math" w:hAnsi="Cambria Math"/>
                                        <w:color w:val="000000"/>
                                      </w:rPr>
                                      <m:t>DEM</m:t>
                                    </m:r>
                                  </m:sup>
                                </m:sSubSup>
                                <m:r>
                                  <w:rPr>
                                    <w:rFonts w:ascii="Cambria Math" w:hAnsi="Cambria Math"/>
                                    <w:color w:val="000000"/>
                                  </w:rPr>
                                  <m:t>*ExchangeRate</m:t>
                                </m:r>
                              </m:e>
                            </m:d>
                            <m:ctrlPr>
                              <w:rPr>
                                <w:rFonts w:ascii="Cambria Math" w:eastAsiaTheme="minorEastAsia" w:hAnsi="Cambria Math"/>
                                <w:i/>
                                <w:color w:val="000000"/>
                              </w:rPr>
                            </m:ctrlPr>
                          </m:num>
                          <m:den>
                            <m:sSubSup>
                              <m:sSubSupPr>
                                <m:ctrlPr>
                                  <w:rPr>
                                    <w:rFonts w:ascii="Cambria Math" w:hAnsi="Cambria Math"/>
                                    <w:i/>
                                    <w:color w:val="4D7028" w:themeColor="accent2"/>
                                  </w:rPr>
                                </m:ctrlPr>
                              </m:sSubSupPr>
                              <m:e>
                                <m:r>
                                  <w:rPr>
                                    <w:rFonts w:ascii="Cambria Math" w:hAnsi="Cambria Math"/>
                                    <w:color w:val="4D7028" w:themeColor="accent2"/>
                                  </w:rPr>
                                  <m:t>α</m:t>
                                </m:r>
                              </m:e>
                              <m:sub>
                                <m:r>
                                  <w:rPr>
                                    <w:rFonts w:ascii="Cambria Math" w:hAnsi="Cambria Math"/>
                                    <w:color w:val="4D7028" w:themeColor="accent2"/>
                                  </w:rPr>
                                  <m:t>c</m:t>
                                </m:r>
                              </m:sub>
                              <m:sup>
                                <m:r>
                                  <w:rPr>
                                    <w:rFonts w:ascii="Cambria Math" w:hAnsi="Cambria Math"/>
                                    <w:color w:val="4D7028" w:themeColor="accent2"/>
                                  </w:rPr>
                                  <m:t>EXP</m:t>
                                </m:r>
                              </m:sup>
                            </m:sSubSup>
                          </m:den>
                        </m:f>
                      </m:e>
                    </m:d>
                    <m:ctrlPr>
                      <w:rPr>
                        <w:rFonts w:ascii="Cambria Math" w:eastAsiaTheme="minorEastAsia" w:hAnsi="Cambria Math"/>
                        <w:i/>
                        <w:color w:val="000000"/>
                      </w:rPr>
                    </m:ctrlPr>
                  </m:e>
                  <m:sup>
                    <m:sSubSup>
                      <m:sSubSupPr>
                        <m:ctrlPr>
                          <w:rPr>
                            <w:rFonts w:ascii="Cambria Math" w:hAnsi="Cambria Math"/>
                            <w:i/>
                            <w:color w:val="4D7028" w:themeColor="accent2"/>
                          </w:rPr>
                        </m:ctrlPr>
                      </m:sSubSupPr>
                      <m:e>
                        <m:r>
                          <w:rPr>
                            <w:rFonts w:ascii="Cambria Math" w:hAnsi="Cambria Math"/>
                            <w:color w:val="4D7028" w:themeColor="accent2"/>
                          </w:rPr>
                          <m:t>σ</m:t>
                        </m:r>
                      </m:e>
                      <m:sub>
                        <m:r>
                          <w:rPr>
                            <w:rFonts w:ascii="Cambria Math" w:hAnsi="Cambria Math"/>
                            <w:color w:val="4D7028" w:themeColor="accent2"/>
                          </w:rPr>
                          <m:t>c</m:t>
                        </m:r>
                      </m:sub>
                      <m:sup>
                        <m:r>
                          <w:rPr>
                            <w:rFonts w:ascii="Cambria Math" w:hAnsi="Cambria Math"/>
                            <w:color w:val="4D7028" w:themeColor="accent2"/>
                          </w:rPr>
                          <m:t>EXP</m:t>
                        </m:r>
                      </m:sup>
                    </m:sSubSup>
                  </m:sup>
                </m:sSup>
              </m:oMath>
            </m:oMathPara>
          </w:p>
          <w:p w14:paraId="666B72BC" w14:textId="571AB8D2" w:rsidR="0001557F" w:rsidRPr="000224EE" w:rsidRDefault="0001557F" w:rsidP="0001557F">
            <w:pPr>
              <w:pStyle w:val="TableBody"/>
              <w:spacing w:before="45" w:after="45"/>
              <w:ind w:right="108"/>
              <w:rPr>
                <w:rFonts w:ascii="Arial (Body)" w:eastAsiaTheme="minorEastAsia" w:hAnsi="Arial (Body)" w:hint="eastAsia"/>
                <w:color w:val="000000"/>
              </w:rPr>
            </w:pPr>
            <w:r w:rsidRPr="000224EE">
              <w:rPr>
                <w:rFonts w:ascii="Arial (Body)" w:eastAsiaTheme="minorEastAsia" w:hAnsi="Arial (Body)"/>
                <w:color w:val="000000"/>
              </w:rPr>
              <w:t xml:space="preserve">Where </w:t>
            </w:r>
            <m:oMath>
              <m:sSubSup>
                <m:sSubSupPr>
                  <m:ctrlPr>
                    <w:rPr>
                      <w:rFonts w:ascii="Cambria Math" w:hAnsi="Cambria Math"/>
                      <w:i/>
                      <w:color w:val="4D7028" w:themeColor="accent2"/>
                    </w:rPr>
                  </m:ctrlPr>
                </m:sSubSupPr>
                <m:e>
                  <m:r>
                    <w:rPr>
                      <w:rFonts w:ascii="Cambria Math" w:hAnsi="Cambria Math"/>
                      <w:color w:val="4D7028" w:themeColor="accent2"/>
                    </w:rPr>
                    <m:t>σ</m:t>
                  </m:r>
                </m:e>
                <m:sub>
                  <m:r>
                    <w:rPr>
                      <w:rFonts w:ascii="Cambria Math" w:hAnsi="Cambria Math"/>
                      <w:color w:val="4D7028" w:themeColor="accent2"/>
                    </w:rPr>
                    <m:t>c</m:t>
                  </m:r>
                </m:sub>
                <m:sup>
                  <m:r>
                    <w:rPr>
                      <w:rFonts w:ascii="Cambria Math" w:hAnsi="Cambria Math"/>
                      <w:color w:val="4D7028" w:themeColor="accent2"/>
                    </w:rPr>
                    <m:t>EXP</m:t>
                  </m:r>
                </m:sup>
              </m:sSubSup>
            </m:oMath>
            <w:r w:rsidRPr="000224EE">
              <w:rPr>
                <w:rFonts w:ascii="Arial (Body)" w:eastAsiaTheme="minorEastAsia" w:hAnsi="Arial (Body)"/>
                <w:color w:val="000000"/>
              </w:rPr>
              <w:t xml:space="preserve"> is the price elasticity of demand and</w:t>
            </w:r>
            <w:r w:rsidRPr="009C012F">
              <w:rPr>
                <w:rFonts w:ascii="Arial (Body)" w:eastAsiaTheme="minorEastAsia" w:hAnsi="Arial (Body)"/>
                <w:color w:val="4D7028" w:themeColor="accent2"/>
              </w:rPr>
              <w:t xml:space="preserve"> </w:t>
            </w:r>
            <m:oMath>
              <m:sSubSup>
                <m:sSubSupPr>
                  <m:ctrlPr>
                    <w:rPr>
                      <w:rFonts w:ascii="Cambria Math" w:hAnsi="Cambria Math"/>
                      <w:i/>
                      <w:color w:val="4D7028" w:themeColor="accent2"/>
                    </w:rPr>
                  </m:ctrlPr>
                </m:sSubSupPr>
                <m:e>
                  <m:r>
                    <w:rPr>
                      <w:rFonts w:ascii="Cambria Math" w:hAnsi="Cambria Math"/>
                      <w:color w:val="4D7028" w:themeColor="accent2"/>
                    </w:rPr>
                    <m:t>α</m:t>
                  </m:r>
                </m:e>
                <m:sub>
                  <m:r>
                    <w:rPr>
                      <w:rFonts w:ascii="Cambria Math" w:hAnsi="Cambria Math"/>
                      <w:color w:val="4D7028" w:themeColor="accent2"/>
                    </w:rPr>
                    <m:t>c</m:t>
                  </m:r>
                </m:sub>
                <m:sup>
                  <m:r>
                    <w:rPr>
                      <w:rFonts w:ascii="Cambria Math" w:hAnsi="Cambria Math"/>
                      <w:color w:val="4D7028" w:themeColor="accent2"/>
                    </w:rPr>
                    <m:t>EXP</m:t>
                  </m:r>
                </m:sup>
              </m:sSubSup>
            </m:oMath>
            <w:r w:rsidRPr="000224EE">
              <w:rPr>
                <w:rFonts w:ascii="Arial (Body)" w:hAnsi="Arial (Body)"/>
                <w:color w:val="000000"/>
              </w:rPr>
              <w:t xml:space="preserve"> is a scaling parameter.</w:t>
            </w:r>
            <w:r w:rsidRPr="000224EE">
              <w:rPr>
                <w:rFonts w:ascii="Arial (Body)" w:eastAsiaTheme="minorEastAsia" w:hAnsi="Arial (Body)"/>
                <w:color w:val="000000"/>
              </w:rPr>
              <w:t xml:space="preserve"> </w:t>
            </w:r>
          </w:p>
        </w:tc>
      </w:tr>
      <w:tr w:rsidR="00EC153F" w:rsidRPr="00030C67" w14:paraId="083F1DD9" w14:textId="77777777" w:rsidTr="00F73778">
        <w:trPr>
          <w:cantSplit/>
        </w:trPr>
        <w:tc>
          <w:tcPr>
            <w:tcW w:w="239" w:type="pct"/>
            <w:tcBorders>
              <w:top w:val="nil"/>
              <w:bottom w:val="nil"/>
            </w:tcBorders>
            <w:shd w:val="clear" w:color="000000" w:fill="auto"/>
          </w:tcPr>
          <w:p w14:paraId="574F311B" w14:textId="5A9BFC88" w:rsidR="00EC153F" w:rsidRDefault="00107691" w:rsidP="0001557F">
            <w:pPr>
              <w:pStyle w:val="TableBody"/>
              <w:numPr>
                <w:ilvl w:val="0"/>
                <w:numId w:val="10"/>
              </w:numPr>
              <w:spacing w:before="45" w:after="45"/>
              <w:ind w:left="57" w:right="108"/>
              <w:rPr>
                <w:rFonts w:ascii="Arial (Body)" w:hAnsi="Arial (Body)"/>
                <w:b/>
                <w:color w:val="265A9A"/>
              </w:rPr>
            </w:pPr>
            <w:r>
              <w:rPr>
                <w:rFonts w:ascii="Arial (Body)" w:hAnsi="Arial (Body)"/>
                <w:b/>
                <w:color w:val="265A9A"/>
              </w:rPr>
              <w:t>25.</w:t>
            </w:r>
          </w:p>
        </w:tc>
        <w:tc>
          <w:tcPr>
            <w:tcW w:w="4761" w:type="pct"/>
            <w:tcBorders>
              <w:top w:val="nil"/>
              <w:bottom w:val="nil"/>
            </w:tcBorders>
            <w:shd w:val="clear" w:color="000000" w:fill="auto"/>
          </w:tcPr>
          <w:p w14:paraId="732CAE9D" w14:textId="02861F5F" w:rsidR="00EC153F" w:rsidRPr="000224EE" w:rsidRDefault="00EC153F" w:rsidP="00EC153F">
            <w:pPr>
              <w:pStyle w:val="TableBody"/>
              <w:spacing w:before="45" w:after="45"/>
              <w:ind w:right="108"/>
              <w:rPr>
                <w:rFonts w:ascii="Arial (Body)" w:eastAsiaTheme="minorEastAsia" w:hAnsi="Arial (Body)" w:hint="eastAsia"/>
                <w:color w:val="000000"/>
              </w:rPr>
            </w:pPr>
            <w:r w:rsidRPr="000224EE">
              <w:rPr>
                <w:rFonts w:ascii="Arial (Body)" w:eastAsiaTheme="minorEastAsia" w:hAnsi="Arial (Body)"/>
                <w:color w:val="000000"/>
              </w:rPr>
              <w:t xml:space="preserve">Demand </w:t>
            </w:r>
            <w:r>
              <w:rPr>
                <w:rFonts w:ascii="Arial (Body)" w:eastAsiaTheme="minorEastAsia" w:hAnsi="Arial (Body)"/>
                <w:color w:val="000000"/>
              </w:rPr>
              <w:t>price</w:t>
            </w:r>
            <w:r w:rsidRPr="000224EE">
              <w:rPr>
                <w:rFonts w:ascii="Arial (Body)" w:eastAsiaTheme="minorEastAsia" w:hAnsi="Arial (Body)"/>
                <w:color w:val="000000"/>
              </w:rPr>
              <w:t xml:space="preserve"> </w:t>
            </w:r>
            <w:r>
              <w:rPr>
                <w:rFonts w:ascii="Arial (Body)" w:eastAsiaTheme="minorEastAsia" w:hAnsi="Arial (Body)"/>
                <w:color w:val="000000"/>
              </w:rPr>
              <w:t xml:space="preserve">of </w:t>
            </w:r>
            <w:r w:rsidRPr="000224EE">
              <w:rPr>
                <w:rFonts w:ascii="Arial (Body)" w:eastAsiaTheme="minorEastAsia" w:hAnsi="Arial (Body)"/>
                <w:color w:val="000000"/>
              </w:rPr>
              <w:t>exported commodities</w:t>
            </w:r>
          </w:p>
          <w:p w14:paraId="141BC41C" w14:textId="73C61DBD" w:rsidR="00EC153F" w:rsidRPr="00EC153F" w:rsidRDefault="00EC153F" w:rsidP="00EC153F">
            <w:pPr>
              <w:pStyle w:val="TableBody"/>
              <w:spacing w:before="45" w:after="45"/>
              <w:ind w:right="108"/>
              <w:rPr>
                <w:rFonts w:ascii="Arial (Body)" w:eastAsiaTheme="minorEastAsia" w:hAnsi="Arial (Body)" w:hint="eastAsia"/>
                <w:color w:val="000000"/>
              </w:rPr>
            </w:pPr>
            <m:oMathPara>
              <m:oMathParaPr>
                <m:jc m:val="left"/>
              </m:oMathParaPr>
              <m:oMath>
                <m:r>
                  <w:rPr>
                    <w:rFonts w:ascii="Cambria Math" w:hAnsi="Cambria Math"/>
                    <w:color w:val="000000"/>
                  </w:rPr>
                  <m:t>ExpCommodity</m:t>
                </m:r>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c</m:t>
                    </m:r>
                  </m:sub>
                  <m:sup>
                    <m:r>
                      <w:rPr>
                        <w:rFonts w:ascii="Cambria Math" w:hAnsi="Cambria Math"/>
                        <w:color w:val="000000"/>
                      </w:rPr>
                      <m:t>DEM</m:t>
                    </m:r>
                  </m:sup>
                </m:sSubSup>
                <m:r>
                  <w:rPr>
                    <w:rFonts w:ascii="Cambria Math" w:hAnsi="Cambria Math"/>
                    <w:color w:val="000000"/>
                  </w:rPr>
                  <m:t>=ExpCommodity</m:t>
                </m:r>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c</m:t>
                    </m:r>
                  </m:sub>
                  <m:sup>
                    <m:r>
                      <w:rPr>
                        <w:rFonts w:ascii="Cambria Math" w:hAnsi="Cambria Math"/>
                        <w:color w:val="000000"/>
                      </w:rPr>
                      <m:t>SUP</m:t>
                    </m:r>
                  </m:sup>
                </m:sSubSup>
                <m:r>
                  <w:rPr>
                    <w:rFonts w:ascii="Cambria Math" w:hAnsi="Cambria Math"/>
                    <w:color w:val="000000"/>
                  </w:rPr>
                  <m:t>(1+</m:t>
                </m:r>
                <m:r>
                  <w:rPr>
                    <w:rFonts w:ascii="Cambria Math" w:hAnsi="Cambria Math"/>
                    <w:color w:val="265A9A" w:themeColor="background2"/>
                  </w:rPr>
                  <m:t>ExpCommodityTaxRat</m:t>
                </m:r>
                <m:sSub>
                  <m:sSubPr>
                    <m:ctrlPr>
                      <w:rPr>
                        <w:rFonts w:ascii="Cambria Math" w:hAnsi="Cambria Math"/>
                        <w:i/>
                        <w:color w:val="265A9A" w:themeColor="background2"/>
                      </w:rPr>
                    </m:ctrlPr>
                  </m:sSubPr>
                  <m:e>
                    <m:r>
                      <w:rPr>
                        <w:rFonts w:ascii="Cambria Math" w:hAnsi="Cambria Math"/>
                        <w:color w:val="265A9A" w:themeColor="background2"/>
                      </w:rPr>
                      <m:t>e</m:t>
                    </m:r>
                  </m:e>
                  <m:sub>
                    <m:r>
                      <w:rPr>
                        <w:rFonts w:ascii="Cambria Math" w:hAnsi="Cambria Math"/>
                        <w:color w:val="265A9A" w:themeColor="background2"/>
                      </w:rPr>
                      <m:t>c</m:t>
                    </m:r>
                  </m:sub>
                </m:sSub>
                <m:r>
                  <w:rPr>
                    <w:rFonts w:ascii="Cambria Math" w:hAnsi="Cambria Math"/>
                    <w:color w:val="000000"/>
                  </w:rPr>
                  <m:t>)</m:t>
                </m:r>
              </m:oMath>
            </m:oMathPara>
          </w:p>
        </w:tc>
      </w:tr>
      <w:tr w:rsidR="0001557F" w:rsidRPr="00030C67" w14:paraId="7AF31526" w14:textId="77777777" w:rsidTr="00F73778">
        <w:trPr>
          <w:cantSplit/>
        </w:trPr>
        <w:tc>
          <w:tcPr>
            <w:tcW w:w="239" w:type="pct"/>
            <w:tcBorders>
              <w:top w:val="nil"/>
              <w:bottom w:val="nil"/>
            </w:tcBorders>
            <w:shd w:val="clear" w:color="auto" w:fill="F2F2F2" w:themeFill="background1" w:themeFillShade="F2"/>
          </w:tcPr>
          <w:p w14:paraId="1A879E00" w14:textId="115CCED5" w:rsidR="0001557F" w:rsidRPr="000224EE" w:rsidRDefault="0001557F" w:rsidP="0001557F">
            <w:pPr>
              <w:pStyle w:val="TableBody"/>
              <w:numPr>
                <w:ilvl w:val="0"/>
                <w:numId w:val="10"/>
              </w:numPr>
              <w:spacing w:before="45" w:after="45"/>
              <w:ind w:left="57" w:right="108"/>
              <w:rPr>
                <w:rFonts w:ascii="Arial (Body)" w:hAnsi="Arial (Body)"/>
                <w:b/>
                <w:color w:val="265A9A"/>
              </w:rPr>
            </w:pPr>
          </w:p>
        </w:tc>
        <w:tc>
          <w:tcPr>
            <w:tcW w:w="4761" w:type="pct"/>
            <w:tcBorders>
              <w:top w:val="nil"/>
              <w:bottom w:val="nil"/>
            </w:tcBorders>
            <w:shd w:val="clear" w:color="auto" w:fill="F2F2F2" w:themeFill="background1" w:themeFillShade="F2"/>
          </w:tcPr>
          <w:p w14:paraId="5FC524CA" w14:textId="669D2A95" w:rsidR="0001557F" w:rsidRPr="005E1C34" w:rsidRDefault="0001557F" w:rsidP="0001557F">
            <w:pPr>
              <w:pStyle w:val="TableBody"/>
              <w:spacing w:before="45" w:after="45"/>
              <w:ind w:right="108"/>
              <w:rPr>
                <w:rFonts w:ascii="Arial (Body)" w:eastAsiaTheme="minorEastAsia" w:hAnsi="Arial (Body)" w:hint="eastAsia"/>
                <w:b/>
                <w:bCs/>
                <w:color w:val="000000"/>
              </w:rPr>
            </w:pPr>
            <w:r w:rsidRPr="005E1C34">
              <w:rPr>
                <w:rFonts w:ascii="Arial (Body)" w:eastAsiaTheme="minorEastAsia" w:hAnsi="Arial (Body)"/>
                <w:b/>
                <w:bCs/>
                <w:color w:val="000000"/>
              </w:rPr>
              <w:t>Investment</w:t>
            </w:r>
            <w:r>
              <w:rPr>
                <w:rFonts w:ascii="Arial (Body)" w:eastAsiaTheme="minorEastAsia" w:hAnsi="Arial (Body)"/>
                <w:b/>
                <w:bCs/>
                <w:color w:val="000000"/>
              </w:rPr>
              <w:t xml:space="preserve">, </w:t>
            </w:r>
            <w:r w:rsidRPr="005E1C34">
              <w:rPr>
                <w:rFonts w:ascii="Arial (Body)" w:eastAsiaTheme="minorEastAsia" w:hAnsi="Arial (Body)"/>
                <w:b/>
                <w:bCs/>
                <w:color w:val="000000"/>
              </w:rPr>
              <w:t xml:space="preserve">capital </w:t>
            </w:r>
            <w:r>
              <w:rPr>
                <w:rFonts w:ascii="Arial (Body)" w:eastAsiaTheme="minorEastAsia" w:hAnsi="Arial (Body)"/>
                <w:b/>
                <w:bCs/>
                <w:color w:val="000000"/>
              </w:rPr>
              <w:t>and saving</w:t>
            </w:r>
          </w:p>
        </w:tc>
      </w:tr>
      <w:tr w:rsidR="0001557F" w:rsidRPr="00030C67" w14:paraId="668A8CA4" w14:textId="77777777" w:rsidTr="00F73778">
        <w:trPr>
          <w:cantSplit/>
        </w:trPr>
        <w:tc>
          <w:tcPr>
            <w:tcW w:w="239" w:type="pct"/>
            <w:tcBorders>
              <w:top w:val="nil"/>
              <w:bottom w:val="nil"/>
            </w:tcBorders>
            <w:shd w:val="clear" w:color="000000" w:fill="auto"/>
          </w:tcPr>
          <w:p w14:paraId="0B4DB9D8" w14:textId="08BE482F" w:rsidR="0001557F" w:rsidRPr="000224EE" w:rsidRDefault="0001557F" w:rsidP="0001557F">
            <w:pPr>
              <w:pStyle w:val="TableBody"/>
              <w:numPr>
                <w:ilvl w:val="0"/>
                <w:numId w:val="10"/>
              </w:numPr>
              <w:spacing w:before="45" w:after="45"/>
              <w:ind w:left="57" w:right="108"/>
              <w:rPr>
                <w:rFonts w:ascii="Arial (Body)" w:hAnsi="Arial (Body)"/>
                <w:b/>
                <w:color w:val="265A9A"/>
              </w:rPr>
            </w:pPr>
            <w:r>
              <w:rPr>
                <w:rFonts w:ascii="Arial (Body)" w:hAnsi="Arial (Body)"/>
                <w:b/>
                <w:color w:val="265A9A"/>
              </w:rPr>
              <w:t>2</w:t>
            </w:r>
            <w:r w:rsidR="00107691">
              <w:rPr>
                <w:rFonts w:ascii="Arial (Body)" w:hAnsi="Arial (Body)"/>
                <w:b/>
                <w:color w:val="265A9A"/>
              </w:rPr>
              <w:t>6</w:t>
            </w:r>
            <w:r>
              <w:rPr>
                <w:rFonts w:ascii="Arial (Body)" w:hAnsi="Arial (Body)"/>
                <w:b/>
                <w:color w:val="265A9A"/>
              </w:rPr>
              <w:t>.</w:t>
            </w:r>
          </w:p>
        </w:tc>
        <w:tc>
          <w:tcPr>
            <w:tcW w:w="4761" w:type="pct"/>
            <w:tcBorders>
              <w:top w:val="nil"/>
              <w:bottom w:val="nil"/>
            </w:tcBorders>
            <w:shd w:val="clear" w:color="000000" w:fill="auto"/>
          </w:tcPr>
          <w:p w14:paraId="7EB759FB" w14:textId="6FC2748F" w:rsidR="0001557F" w:rsidRPr="005E1C34" w:rsidRDefault="0001557F" w:rsidP="0001557F">
            <w:pPr>
              <w:pStyle w:val="TableBody"/>
              <w:spacing w:before="45" w:after="45"/>
              <w:ind w:right="108"/>
              <w:rPr>
                <w:rFonts w:ascii="Arial (Body)" w:eastAsiaTheme="minorEastAsia" w:hAnsi="Arial (Body)" w:hint="eastAsia"/>
                <w:color w:val="000000"/>
              </w:rPr>
            </w:pPr>
            <w:r>
              <w:rPr>
                <w:rFonts w:ascii="Arial (Body)" w:eastAsiaTheme="minorEastAsia" w:hAnsi="Arial (Body)"/>
                <w:color w:val="000000"/>
              </w:rPr>
              <w:t>Total investment and capital</w:t>
            </w:r>
          </w:p>
          <w:p w14:paraId="19B5586E" w14:textId="60514E8D" w:rsidR="0001557F" w:rsidRPr="00F73778" w:rsidRDefault="0001557F" w:rsidP="0001557F">
            <w:pPr>
              <w:pStyle w:val="TableBody"/>
              <w:spacing w:before="45" w:after="45"/>
              <w:ind w:right="108"/>
              <w:rPr>
                <w:rFonts w:ascii="Arial (Body)" w:eastAsiaTheme="minorEastAsia" w:hAnsi="Arial (Body)" w:hint="eastAsia"/>
                <w:color w:val="000000"/>
              </w:rPr>
            </w:pPr>
            <m:oMathPara>
              <m:oMathParaPr>
                <m:jc m:val="left"/>
              </m:oMathParaPr>
              <m:oMath>
                <m:r>
                  <w:rPr>
                    <w:rFonts w:ascii="Cambria Math" w:hAnsi="Cambria Math"/>
                    <w:color w:val="000000"/>
                  </w:rPr>
                  <m:t>InvQ=</m:t>
                </m:r>
                <m:sSub>
                  <m:sSubPr>
                    <m:ctrlPr>
                      <w:rPr>
                        <w:rFonts w:ascii="Cambria Math" w:hAnsi="Cambria Math"/>
                        <w:i/>
                        <w:color w:val="4D7028" w:themeColor="accent2"/>
                      </w:rPr>
                    </m:ctrlPr>
                  </m:sSubPr>
                  <m:e>
                    <m:r>
                      <w:rPr>
                        <w:rFonts w:ascii="Cambria Math" w:hAnsi="Cambria Math"/>
                        <w:color w:val="4D7028" w:themeColor="accent2"/>
                      </w:rPr>
                      <m:t>α</m:t>
                    </m:r>
                  </m:e>
                  <m:sub>
                    <m:r>
                      <w:rPr>
                        <w:rFonts w:ascii="Cambria Math" w:hAnsi="Cambria Math"/>
                        <w:color w:val="4D7028" w:themeColor="accent2"/>
                      </w:rPr>
                      <m:t>INVQ</m:t>
                    </m:r>
                  </m:sub>
                </m:sSub>
                <m:r>
                  <w:rPr>
                    <w:rFonts w:ascii="Cambria Math" w:hAnsi="Cambria Math"/>
                    <w:color w:val="000000"/>
                  </w:rPr>
                  <m:t>CapQ</m:t>
                </m:r>
              </m:oMath>
            </m:oMathPara>
          </w:p>
          <w:p w14:paraId="0367108D" w14:textId="7E481DA1" w:rsidR="0001557F" w:rsidRPr="00F73778" w:rsidRDefault="0001557F" w:rsidP="0001557F">
            <w:pPr>
              <w:pStyle w:val="TableBody"/>
              <w:spacing w:before="45" w:after="45"/>
              <w:ind w:right="108"/>
              <w:rPr>
                <w:rFonts w:ascii="Arial (Body)" w:eastAsiaTheme="minorEastAsia" w:hAnsi="Arial (Body)" w:hint="eastAsia"/>
                <w:color w:val="000000"/>
              </w:rPr>
            </w:pPr>
            <m:oMathPara>
              <m:oMathParaPr>
                <m:jc m:val="left"/>
              </m:oMathParaPr>
              <m:oMath>
                <m:r>
                  <w:rPr>
                    <w:rFonts w:ascii="Cambria Math" w:hAnsi="Cambria Math"/>
                    <w:color w:val="000000"/>
                  </w:rPr>
                  <m:t>CapP=</m:t>
                </m:r>
                <m:sSub>
                  <m:sSubPr>
                    <m:ctrlPr>
                      <w:rPr>
                        <w:rFonts w:ascii="Cambria Math" w:hAnsi="Cambria Math"/>
                        <w:i/>
                        <w:color w:val="4D7028" w:themeColor="accent2"/>
                      </w:rPr>
                    </m:ctrlPr>
                  </m:sSubPr>
                  <m:e>
                    <m:r>
                      <w:rPr>
                        <w:rFonts w:ascii="Cambria Math" w:hAnsi="Cambria Math"/>
                        <w:color w:val="4D7028" w:themeColor="accent2"/>
                      </w:rPr>
                      <m:t>α</m:t>
                    </m:r>
                  </m:e>
                  <m:sub>
                    <m:r>
                      <w:rPr>
                        <w:rFonts w:ascii="Cambria Math" w:hAnsi="Cambria Math"/>
                        <w:color w:val="4D7028" w:themeColor="accent2"/>
                      </w:rPr>
                      <m:t>CAPP</m:t>
                    </m:r>
                  </m:sub>
                </m:sSub>
                <m:r>
                  <w:rPr>
                    <w:rFonts w:ascii="Cambria Math" w:hAnsi="Cambria Math"/>
                    <w:color w:val="000000"/>
                  </w:rPr>
                  <m:t>InvP</m:t>
                </m:r>
              </m:oMath>
            </m:oMathPara>
          </w:p>
          <w:p w14:paraId="3FDF41A0" w14:textId="587EF5A9" w:rsidR="0001557F" w:rsidRPr="004A76C6" w:rsidRDefault="0001557F" w:rsidP="0001557F">
            <w:pPr>
              <w:pStyle w:val="TableBody"/>
              <w:spacing w:before="45" w:after="45"/>
              <w:ind w:right="108"/>
              <w:rPr>
                <w:rFonts w:ascii="Arial (Body)" w:eastAsiaTheme="minorEastAsia" w:hAnsi="Arial (Body)" w:hint="eastAsia"/>
              </w:rPr>
            </w:pPr>
            <w:r>
              <w:rPr>
                <w:rFonts w:ascii="Arial (Body)" w:eastAsiaTheme="minorEastAsia" w:hAnsi="Arial (Body)"/>
                <w:color w:val="000000"/>
              </w:rPr>
              <w:t xml:space="preserve">Where </w:t>
            </w:r>
            <m:oMath>
              <m:sSub>
                <m:sSubPr>
                  <m:ctrlPr>
                    <w:rPr>
                      <w:rFonts w:ascii="Cambria Math" w:hAnsi="Cambria Math"/>
                      <w:i/>
                      <w:color w:val="4D7028" w:themeColor="accent2"/>
                    </w:rPr>
                  </m:ctrlPr>
                </m:sSubPr>
                <m:e>
                  <m:r>
                    <w:rPr>
                      <w:rFonts w:ascii="Cambria Math" w:hAnsi="Cambria Math"/>
                      <w:color w:val="4D7028" w:themeColor="accent2"/>
                    </w:rPr>
                    <m:t>α</m:t>
                  </m:r>
                </m:e>
                <m:sub>
                  <m:r>
                    <w:rPr>
                      <w:rFonts w:ascii="Cambria Math" w:hAnsi="Cambria Math"/>
                      <w:color w:val="4D7028" w:themeColor="accent2"/>
                    </w:rPr>
                    <m:t>INVQ</m:t>
                  </m:r>
                </m:sub>
              </m:sSub>
            </m:oMath>
            <w:r>
              <w:rPr>
                <w:rFonts w:ascii="Arial (Body)" w:eastAsiaTheme="minorEastAsia" w:hAnsi="Arial (Body)"/>
                <w:color w:val="4D7028" w:themeColor="accent2"/>
              </w:rPr>
              <w:t xml:space="preserve"> </w:t>
            </w:r>
            <w:r w:rsidRPr="000B251B">
              <w:rPr>
                <w:rFonts w:ascii="Arial (Body)" w:eastAsiaTheme="minorEastAsia" w:hAnsi="Arial (Body)"/>
              </w:rPr>
              <w:t xml:space="preserve">is the </w:t>
            </w:r>
            <w:r>
              <w:rPr>
                <w:rFonts w:ascii="Arial (Body)" w:eastAsiaTheme="minorEastAsia" w:hAnsi="Arial (Body)"/>
              </w:rPr>
              <w:t xml:space="preserve">fixed ratio of investment to capital quantities, and </w:t>
            </w:r>
            <m:oMath>
              <m:sSub>
                <m:sSubPr>
                  <m:ctrlPr>
                    <w:rPr>
                      <w:rFonts w:ascii="Cambria Math" w:hAnsi="Cambria Math"/>
                      <w:i/>
                      <w:color w:val="4D7028" w:themeColor="accent2"/>
                    </w:rPr>
                  </m:ctrlPr>
                </m:sSubPr>
                <m:e>
                  <m:r>
                    <w:rPr>
                      <w:rFonts w:ascii="Cambria Math" w:hAnsi="Cambria Math"/>
                      <w:color w:val="4D7028" w:themeColor="accent2"/>
                    </w:rPr>
                    <m:t>α</m:t>
                  </m:r>
                </m:e>
                <m:sub>
                  <m:r>
                    <w:rPr>
                      <w:rFonts w:ascii="Cambria Math" w:hAnsi="Cambria Math"/>
                      <w:color w:val="4D7028" w:themeColor="accent2"/>
                    </w:rPr>
                    <m:t>CAPP</m:t>
                  </m:r>
                </m:sub>
              </m:sSub>
            </m:oMath>
            <w:r>
              <w:rPr>
                <w:rFonts w:ascii="Arial (Body)" w:eastAsiaTheme="minorEastAsia" w:hAnsi="Arial (Body)"/>
                <w:color w:val="4D7028" w:themeColor="accent2"/>
              </w:rPr>
              <w:t xml:space="preserve"> </w:t>
            </w:r>
            <w:r>
              <w:rPr>
                <w:rFonts w:ascii="Arial (Body)" w:eastAsiaTheme="minorEastAsia" w:hAnsi="Arial (Body)"/>
              </w:rPr>
              <w:t>is the fixed ratio of capital to investment prices.</w:t>
            </w:r>
          </w:p>
        </w:tc>
      </w:tr>
      <w:tr w:rsidR="0001557F" w:rsidRPr="00030C67" w14:paraId="606A2359" w14:textId="77777777" w:rsidTr="00F73778">
        <w:trPr>
          <w:cantSplit/>
        </w:trPr>
        <w:tc>
          <w:tcPr>
            <w:tcW w:w="239" w:type="pct"/>
            <w:tcBorders>
              <w:top w:val="nil"/>
              <w:bottom w:val="nil"/>
            </w:tcBorders>
            <w:shd w:val="clear" w:color="000000" w:fill="auto"/>
          </w:tcPr>
          <w:p w14:paraId="395BEAF3" w14:textId="7329DD33" w:rsidR="0001557F" w:rsidRPr="000224EE" w:rsidRDefault="0001557F" w:rsidP="0001557F">
            <w:pPr>
              <w:pStyle w:val="TableBody"/>
              <w:numPr>
                <w:ilvl w:val="0"/>
                <w:numId w:val="10"/>
              </w:numPr>
              <w:spacing w:before="45" w:after="45"/>
              <w:ind w:left="57" w:right="108"/>
              <w:rPr>
                <w:rFonts w:ascii="Arial (Body)" w:hAnsi="Arial (Body)"/>
                <w:b/>
                <w:color w:val="265A9A"/>
              </w:rPr>
            </w:pPr>
            <w:r>
              <w:rPr>
                <w:rFonts w:ascii="Arial (Body)" w:hAnsi="Arial (Body)"/>
                <w:b/>
                <w:color w:val="265A9A"/>
              </w:rPr>
              <w:t>2</w:t>
            </w:r>
            <w:r w:rsidR="00107691">
              <w:rPr>
                <w:rFonts w:ascii="Arial (Body)" w:hAnsi="Arial (Body)"/>
                <w:b/>
                <w:color w:val="265A9A"/>
              </w:rPr>
              <w:t>7</w:t>
            </w:r>
            <w:r>
              <w:rPr>
                <w:rFonts w:ascii="Arial (Body)" w:hAnsi="Arial (Body)"/>
                <w:b/>
                <w:color w:val="265A9A"/>
              </w:rPr>
              <w:t>.</w:t>
            </w:r>
          </w:p>
        </w:tc>
        <w:tc>
          <w:tcPr>
            <w:tcW w:w="4761" w:type="pct"/>
            <w:tcBorders>
              <w:top w:val="nil"/>
              <w:bottom w:val="nil"/>
            </w:tcBorders>
            <w:shd w:val="clear" w:color="000000" w:fill="auto"/>
          </w:tcPr>
          <w:p w14:paraId="42F13D2D" w14:textId="3886A783" w:rsidR="0001557F" w:rsidRDefault="0001557F" w:rsidP="0001557F">
            <w:pPr>
              <w:pStyle w:val="TableBody"/>
              <w:spacing w:before="45" w:after="45"/>
              <w:ind w:right="108"/>
              <w:rPr>
                <w:rFonts w:ascii="Arial (Body)" w:eastAsiaTheme="minorEastAsia" w:hAnsi="Arial (Body)" w:hint="eastAsia"/>
                <w:color w:val="000000"/>
              </w:rPr>
            </w:pPr>
            <w:r>
              <w:rPr>
                <w:rFonts w:ascii="Arial (Body)" w:eastAsiaTheme="minorEastAsia" w:hAnsi="Arial (Body)"/>
                <w:color w:val="000000"/>
              </w:rPr>
              <w:t>Domestic and foreign investment and capital</w:t>
            </w:r>
          </w:p>
          <w:p w14:paraId="56FC4BA5" w14:textId="605F156F" w:rsidR="0001557F" w:rsidRPr="00F73778" w:rsidRDefault="0001557F" w:rsidP="0001557F">
            <w:pPr>
              <w:pStyle w:val="TableBody"/>
              <w:spacing w:before="45" w:after="45"/>
              <w:ind w:right="108"/>
              <w:rPr>
                <w:rFonts w:ascii="Arial (Body)" w:eastAsiaTheme="minorEastAsia" w:hAnsi="Arial (Body)" w:hint="eastAsia"/>
                <w:color w:val="265A9A" w:themeColor="background2"/>
              </w:rPr>
            </w:pPr>
            <m:oMathPara>
              <m:oMathParaPr>
                <m:jc m:val="left"/>
              </m:oMathParaPr>
              <m:oMath>
                <m:r>
                  <w:rPr>
                    <w:rFonts w:ascii="Cambria Math" w:hAnsi="Cambria Math"/>
                    <w:color w:val="000000"/>
                  </w:rPr>
                  <m:t>DomesticInvQ=InvQ-</m:t>
                </m:r>
                <m:r>
                  <w:rPr>
                    <w:rFonts w:ascii="Cambria Math" w:hAnsi="Cambria Math"/>
                    <w:color w:val="265A9A" w:themeColor="background2"/>
                  </w:rPr>
                  <m:t>ForeignInvQ</m:t>
                </m:r>
              </m:oMath>
            </m:oMathPara>
          </w:p>
          <w:p w14:paraId="165142BF" w14:textId="53E2CFFD" w:rsidR="0001557F" w:rsidRPr="00F73778" w:rsidRDefault="0001557F" w:rsidP="0001557F">
            <w:pPr>
              <w:pStyle w:val="TableBody"/>
              <w:spacing w:before="45" w:after="45"/>
              <w:ind w:right="108"/>
              <w:rPr>
                <w:rFonts w:ascii="Arial (Body)" w:eastAsiaTheme="minorEastAsia" w:hAnsi="Arial (Body)" w:hint="eastAsia"/>
                <w:color w:val="265A9A" w:themeColor="background2"/>
              </w:rPr>
            </w:pPr>
            <m:oMathPara>
              <m:oMathParaPr>
                <m:jc m:val="left"/>
              </m:oMathParaPr>
              <m:oMath>
                <m:r>
                  <w:rPr>
                    <w:rFonts w:ascii="Cambria Math" w:hAnsi="Cambria Math"/>
                    <w:color w:val="000000"/>
                  </w:rPr>
                  <m:t>DomesticCapQ=CapQ-</m:t>
                </m:r>
                <m:r>
                  <w:rPr>
                    <w:rFonts w:ascii="Cambria Math" w:hAnsi="Cambria Math"/>
                    <w:color w:val="265A9A" w:themeColor="background2"/>
                  </w:rPr>
                  <m:t>ForeignCapQ</m:t>
                </m:r>
              </m:oMath>
            </m:oMathPara>
          </w:p>
        </w:tc>
      </w:tr>
      <w:tr w:rsidR="0001557F" w:rsidRPr="00030C67" w14:paraId="1D2F7B6D" w14:textId="77777777" w:rsidTr="00F73778">
        <w:trPr>
          <w:cantSplit/>
        </w:trPr>
        <w:tc>
          <w:tcPr>
            <w:tcW w:w="239" w:type="pct"/>
            <w:tcBorders>
              <w:top w:val="nil"/>
              <w:bottom w:val="nil"/>
            </w:tcBorders>
            <w:shd w:val="clear" w:color="000000" w:fill="auto"/>
          </w:tcPr>
          <w:p w14:paraId="6818F5C9" w14:textId="1140DB54" w:rsidR="0001557F" w:rsidRPr="000224EE" w:rsidRDefault="0001557F" w:rsidP="0001557F">
            <w:pPr>
              <w:pStyle w:val="TableBody"/>
              <w:numPr>
                <w:ilvl w:val="0"/>
                <w:numId w:val="10"/>
              </w:numPr>
              <w:spacing w:before="45" w:after="45"/>
              <w:ind w:left="57" w:right="108"/>
              <w:rPr>
                <w:rFonts w:ascii="Arial (Body)" w:hAnsi="Arial (Body)"/>
                <w:b/>
                <w:color w:val="265A9A"/>
              </w:rPr>
            </w:pPr>
            <w:r>
              <w:rPr>
                <w:rFonts w:ascii="Arial (Body)" w:hAnsi="Arial (Body)"/>
                <w:b/>
                <w:color w:val="265A9A"/>
              </w:rPr>
              <w:lastRenderedPageBreak/>
              <w:t>2</w:t>
            </w:r>
            <w:r w:rsidR="00107691">
              <w:rPr>
                <w:rFonts w:ascii="Arial (Body)" w:hAnsi="Arial (Body)"/>
                <w:b/>
                <w:color w:val="265A9A"/>
              </w:rPr>
              <w:t>8</w:t>
            </w:r>
            <w:r>
              <w:rPr>
                <w:rFonts w:ascii="Arial (Body)" w:hAnsi="Arial (Body)"/>
                <w:b/>
                <w:color w:val="265A9A"/>
              </w:rPr>
              <w:t>.</w:t>
            </w:r>
          </w:p>
        </w:tc>
        <w:tc>
          <w:tcPr>
            <w:tcW w:w="4761" w:type="pct"/>
            <w:tcBorders>
              <w:top w:val="nil"/>
              <w:bottom w:val="nil"/>
            </w:tcBorders>
            <w:shd w:val="clear" w:color="000000" w:fill="auto"/>
          </w:tcPr>
          <w:p w14:paraId="450CC13C" w14:textId="5A42FB4E" w:rsidR="0001557F" w:rsidRDefault="0001557F" w:rsidP="0001557F">
            <w:pPr>
              <w:pStyle w:val="TableBody"/>
              <w:spacing w:before="45" w:after="45"/>
              <w:ind w:right="108"/>
              <w:rPr>
                <w:rFonts w:ascii="Arial (Body)" w:eastAsiaTheme="minorEastAsia" w:hAnsi="Arial (Body)" w:hint="eastAsia"/>
                <w:color w:val="000000"/>
              </w:rPr>
            </w:pPr>
            <w:r>
              <w:rPr>
                <w:rFonts w:ascii="Arial (Body)" w:eastAsiaTheme="minorEastAsia" w:hAnsi="Arial (Body)"/>
                <w:color w:val="000000"/>
              </w:rPr>
              <w:t>Saving per individual group</w:t>
            </w:r>
          </w:p>
          <w:p w14:paraId="0193F077" w14:textId="44C03350" w:rsidR="0001557F" w:rsidRPr="00F73778" w:rsidRDefault="0001557F" w:rsidP="0001557F">
            <w:pPr>
              <w:pStyle w:val="TableBody"/>
              <w:spacing w:before="45" w:after="45"/>
              <w:ind w:right="108"/>
              <w:rPr>
                <w:rFonts w:ascii="Arial (Body)" w:eastAsiaTheme="minorEastAsia" w:hAnsi="Arial (Body)" w:hint="eastAsia"/>
                <w:color w:val="000000"/>
              </w:rPr>
            </w:pPr>
            <m:oMathPara>
              <m:oMathParaPr>
                <m:jc m:val="left"/>
              </m:oMathParaPr>
              <m:oMath>
                <m:r>
                  <w:rPr>
                    <w:rFonts w:ascii="Cambria Math" w:eastAsiaTheme="minorEastAsia" w:hAnsi="Cambria Math"/>
                    <w:color w:val="000000"/>
                  </w:rPr>
                  <m:t>HHSavingScaleFactor=</m:t>
                </m:r>
                <m:f>
                  <m:fPr>
                    <m:ctrlPr>
                      <w:rPr>
                        <w:rFonts w:ascii="Cambria Math" w:hAnsi="Cambria Math"/>
                        <w:i/>
                        <w:color w:val="000000"/>
                      </w:rPr>
                    </m:ctrlPr>
                  </m:fPr>
                  <m:num>
                    <m:d>
                      <m:dPr>
                        <m:ctrlPr>
                          <w:rPr>
                            <w:rFonts w:ascii="Cambria Math" w:eastAsiaTheme="minorEastAsia" w:hAnsi="Cambria Math"/>
                            <w:i/>
                            <w:color w:val="000000"/>
                          </w:rPr>
                        </m:ctrlPr>
                      </m:dPr>
                      <m:e>
                        <m:r>
                          <w:rPr>
                            <w:rFonts w:ascii="Cambria Math" w:hAnsi="Cambria Math"/>
                            <w:color w:val="000000"/>
                          </w:rPr>
                          <m:t>DomesticInvQ*InvP</m:t>
                        </m:r>
                        <m:ctrlPr>
                          <w:rPr>
                            <w:rFonts w:ascii="Cambria Math" w:hAnsi="Cambria Math"/>
                            <w:i/>
                            <w:color w:val="000000"/>
                          </w:rPr>
                        </m:ctrlPr>
                      </m:e>
                    </m:d>
                    <m:ctrlPr>
                      <w:rPr>
                        <w:rFonts w:ascii="Cambria Math" w:eastAsiaTheme="minorEastAsia" w:hAnsi="Cambria Math" w:hint="eastAsia"/>
                        <w:i/>
                        <w:color w:val="000000"/>
                      </w:rPr>
                    </m:ctrlPr>
                  </m:num>
                  <m:den>
                    <m:nary>
                      <m:naryPr>
                        <m:chr m:val="∑"/>
                        <m:supHide m:val="1"/>
                        <m:ctrlPr>
                          <w:rPr>
                            <w:rFonts w:ascii="Cambria Math" w:eastAsiaTheme="minorEastAsia" w:hAnsi="Cambria Math"/>
                            <w:i/>
                            <w:color w:val="000000"/>
                          </w:rPr>
                        </m:ctrlPr>
                      </m:naryPr>
                      <m:sub>
                        <m:r>
                          <w:rPr>
                            <w:rFonts w:ascii="Cambria Math" w:eastAsiaTheme="minorEastAsia" w:hAnsi="Cambria Math"/>
                            <w:color w:val="000000"/>
                          </w:rPr>
                          <m:t>l</m:t>
                        </m:r>
                      </m:sub>
                      <m:sup/>
                      <m:e>
                        <m:d>
                          <m:dPr>
                            <m:ctrlPr>
                              <w:rPr>
                                <w:rFonts w:ascii="Cambria Math" w:eastAsiaTheme="minorEastAsia" w:hAnsi="Cambria Math"/>
                                <w:i/>
                              </w:rPr>
                            </m:ctrlPr>
                          </m:dPr>
                          <m:e>
                            <m:r>
                              <w:rPr>
                                <w:rFonts w:ascii="Cambria Math" w:eastAsiaTheme="minorEastAsia" w:hAnsi="Cambria Math"/>
                                <w:color w:val="4D7028" w:themeColor="accent2"/>
                              </w:rPr>
                              <m:t>OrigGroupSavingRat</m:t>
                            </m:r>
                            <m:sSub>
                              <m:sSubPr>
                                <m:ctrlPr>
                                  <w:rPr>
                                    <w:rFonts w:ascii="Cambria Math" w:eastAsiaTheme="minorEastAsia" w:hAnsi="Cambria Math"/>
                                    <w:i/>
                                    <w:color w:val="4D7028" w:themeColor="accent2"/>
                                  </w:rPr>
                                </m:ctrlPr>
                              </m:sSubPr>
                              <m:e>
                                <m:r>
                                  <w:rPr>
                                    <w:rFonts w:ascii="Cambria Math" w:eastAsiaTheme="minorEastAsia" w:hAnsi="Cambria Math"/>
                                    <w:color w:val="4D7028" w:themeColor="accent2"/>
                                  </w:rPr>
                                  <m:t>e</m:t>
                                </m:r>
                              </m:e>
                              <m:sub>
                                <m:r>
                                  <w:rPr>
                                    <w:rFonts w:ascii="Cambria Math" w:eastAsiaTheme="minorEastAsia" w:hAnsi="Cambria Math"/>
                                    <w:color w:val="4D7028" w:themeColor="accent2"/>
                                  </w:rPr>
                                  <m:t>l</m:t>
                                </m:r>
                              </m:sub>
                            </m:sSub>
                            <m:r>
                              <w:rPr>
                                <w:rFonts w:ascii="Cambria Math" w:eastAsiaTheme="minorEastAsia" w:hAnsi="Cambria Math"/>
                                <w:color w:val="000000"/>
                              </w:rPr>
                              <m:t>*</m:t>
                            </m:r>
                            <m:d>
                              <m:dPr>
                                <m:ctrlPr>
                                  <w:rPr>
                                    <w:rFonts w:ascii="Cambria Math" w:eastAsiaTheme="minorEastAsia" w:hAnsi="Cambria Math"/>
                                    <w:i/>
                                    <w:color w:val="000000"/>
                                  </w:rPr>
                                </m:ctrlPr>
                              </m:dPr>
                              <m:e>
                                <m:r>
                                  <w:rPr>
                                    <w:rFonts w:ascii="Cambria Math" w:eastAsiaTheme="minorEastAsia" w:hAnsi="Cambria Math"/>
                                    <w:color w:val="000000"/>
                                  </w:rPr>
                                  <m:t>Lab</m:t>
                                </m:r>
                                <m:sSubSup>
                                  <m:sSubSupPr>
                                    <m:ctrlPr>
                                      <w:rPr>
                                        <w:rFonts w:ascii="Cambria Math" w:eastAsiaTheme="minorEastAsia" w:hAnsi="Cambria Math"/>
                                        <w:i/>
                                        <w:color w:val="000000"/>
                                      </w:rPr>
                                    </m:ctrlPr>
                                  </m:sSubSupPr>
                                  <m:e>
                                    <m:r>
                                      <w:rPr>
                                        <w:rFonts w:ascii="Cambria Math" w:eastAsiaTheme="minorEastAsia" w:hAnsi="Cambria Math"/>
                                        <w:color w:val="000000"/>
                                      </w:rPr>
                                      <m:t>Q</m:t>
                                    </m:r>
                                  </m:e>
                                  <m:sub>
                                    <m:r>
                                      <w:rPr>
                                        <w:rFonts w:ascii="Cambria Math" w:eastAsiaTheme="minorEastAsia" w:hAnsi="Cambria Math"/>
                                        <w:color w:val="000000"/>
                                      </w:rPr>
                                      <m:t>l</m:t>
                                    </m:r>
                                  </m:sub>
                                  <m:sup>
                                    <m:r>
                                      <w:rPr>
                                        <w:rFonts w:ascii="Cambria Math" w:eastAsiaTheme="minorEastAsia" w:hAnsi="Cambria Math"/>
                                        <w:color w:val="000000"/>
                                      </w:rPr>
                                      <m:t>SUP</m:t>
                                    </m:r>
                                  </m:sup>
                                </m:sSubSup>
                                <m:r>
                                  <w:rPr>
                                    <w:rFonts w:ascii="Cambria Math" w:hAnsi="Cambria Math"/>
                                    <w:color w:val="000000"/>
                                  </w:rPr>
                                  <m:t>* Lab</m:t>
                                </m:r>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l</m:t>
                                    </m:r>
                                  </m:sub>
                                  <m:sup>
                                    <m:r>
                                      <w:rPr>
                                        <w:rFonts w:ascii="Cambria Math" w:hAnsi="Cambria Math"/>
                                        <w:color w:val="000000"/>
                                      </w:rPr>
                                      <m:t>SUP</m:t>
                                    </m:r>
                                  </m:sup>
                                </m:sSubSup>
                                <m:r>
                                  <w:rPr>
                                    <w:rFonts w:ascii="Cambria Math" w:eastAsiaTheme="minorEastAsia" w:hAnsi="Cambria Math"/>
                                    <w:color w:val="000000"/>
                                  </w:rPr>
                                  <m:t>+GroupCapitalIn</m:t>
                                </m:r>
                                <m:sSub>
                                  <m:sSubPr>
                                    <m:ctrlPr>
                                      <w:rPr>
                                        <w:rFonts w:ascii="Cambria Math" w:eastAsiaTheme="minorEastAsia" w:hAnsi="Cambria Math"/>
                                        <w:i/>
                                        <w:color w:val="000000"/>
                                      </w:rPr>
                                    </m:ctrlPr>
                                  </m:sSubPr>
                                  <m:e>
                                    <m:r>
                                      <w:rPr>
                                        <w:rFonts w:ascii="Cambria Math" w:eastAsiaTheme="minorEastAsia" w:hAnsi="Cambria Math"/>
                                        <w:color w:val="000000"/>
                                      </w:rPr>
                                      <m:t>c</m:t>
                                    </m:r>
                                  </m:e>
                                  <m:sub>
                                    <m:r>
                                      <w:rPr>
                                        <w:rFonts w:ascii="Cambria Math" w:eastAsiaTheme="minorEastAsia" w:hAnsi="Cambria Math"/>
                                        <w:color w:val="000000"/>
                                      </w:rPr>
                                      <m:t>l</m:t>
                                    </m:r>
                                  </m:sub>
                                </m:sSub>
                              </m:e>
                            </m:d>
                            <m:ctrlPr>
                              <w:rPr>
                                <w:rFonts w:ascii="Cambria Math" w:eastAsiaTheme="minorEastAsia" w:hAnsi="Cambria Math"/>
                                <w:i/>
                                <w:color w:val="000000"/>
                              </w:rPr>
                            </m:ctrlPr>
                          </m:e>
                        </m:d>
                        <m:r>
                          <w:rPr>
                            <w:rFonts w:ascii="Cambria Math" w:eastAsiaTheme="minorEastAsia" w:hAnsi="Cambria Math"/>
                            <w:color w:val="000000"/>
                          </w:rPr>
                          <m:t xml:space="preserve"> </m:t>
                        </m:r>
                      </m:e>
                    </m:nary>
                  </m:den>
                </m:f>
              </m:oMath>
            </m:oMathPara>
          </w:p>
          <w:p w14:paraId="209A210C" w14:textId="72424385" w:rsidR="0001557F" w:rsidRPr="00F73778" w:rsidRDefault="0001557F" w:rsidP="0001557F">
            <w:pPr>
              <w:pStyle w:val="TableBody"/>
              <w:spacing w:before="45" w:after="45"/>
              <w:ind w:right="108"/>
              <w:rPr>
                <w:rFonts w:ascii="Arial (Body)" w:eastAsiaTheme="minorEastAsia" w:hAnsi="Arial (Body)" w:hint="eastAsia"/>
                <w:color w:val="000000"/>
              </w:rPr>
            </w:pPr>
            <m:oMathPara>
              <m:oMathParaPr>
                <m:jc m:val="left"/>
              </m:oMathParaPr>
              <m:oMath>
                <m:r>
                  <w:rPr>
                    <w:rFonts w:ascii="Cambria Math" w:hAnsi="Cambria Math"/>
                    <w:color w:val="000000"/>
                  </w:rPr>
                  <m:t>GroupSavin</m:t>
                </m:r>
                <m:sSub>
                  <m:sSubPr>
                    <m:ctrlPr>
                      <w:rPr>
                        <w:rFonts w:ascii="Cambria Math" w:hAnsi="Cambria Math"/>
                        <w:i/>
                        <w:color w:val="000000"/>
                      </w:rPr>
                    </m:ctrlPr>
                  </m:sSubPr>
                  <m:e>
                    <m:r>
                      <w:rPr>
                        <w:rFonts w:ascii="Cambria Math" w:hAnsi="Cambria Math"/>
                        <w:color w:val="000000"/>
                      </w:rPr>
                      <m:t>g</m:t>
                    </m:r>
                  </m:e>
                  <m:sub>
                    <m:r>
                      <w:rPr>
                        <w:rFonts w:ascii="Cambria Math" w:hAnsi="Cambria Math"/>
                        <w:color w:val="000000"/>
                      </w:rPr>
                      <m:t>l</m:t>
                    </m:r>
                  </m:sub>
                </m:sSub>
                <m:r>
                  <w:rPr>
                    <w:rFonts w:ascii="Cambria Math" w:hAnsi="Cambria Math"/>
                    <w:color w:val="000000"/>
                  </w:rPr>
                  <m:t>=</m:t>
                </m:r>
                <m:r>
                  <w:rPr>
                    <w:rFonts w:ascii="Cambria Math" w:eastAsiaTheme="minorEastAsia" w:hAnsi="Cambria Math"/>
                    <w:color w:val="000000"/>
                  </w:rPr>
                  <m:t>HHSavingScaleFactor*</m:t>
                </m:r>
                <m:r>
                  <w:rPr>
                    <w:rFonts w:ascii="Cambria Math" w:eastAsiaTheme="minorEastAsia" w:hAnsi="Cambria Math"/>
                    <w:color w:val="4D7028" w:themeColor="accent2"/>
                  </w:rPr>
                  <m:t>OrigGroupSavingRat</m:t>
                </m:r>
                <m:sSub>
                  <m:sSubPr>
                    <m:ctrlPr>
                      <w:rPr>
                        <w:rFonts w:ascii="Cambria Math" w:eastAsiaTheme="minorEastAsia" w:hAnsi="Cambria Math"/>
                        <w:i/>
                        <w:color w:val="4D7028" w:themeColor="accent2"/>
                      </w:rPr>
                    </m:ctrlPr>
                  </m:sSubPr>
                  <m:e>
                    <m:r>
                      <w:rPr>
                        <w:rFonts w:ascii="Cambria Math" w:eastAsiaTheme="minorEastAsia" w:hAnsi="Cambria Math"/>
                        <w:color w:val="4D7028" w:themeColor="accent2"/>
                      </w:rPr>
                      <m:t>e</m:t>
                    </m:r>
                  </m:e>
                  <m:sub>
                    <m:r>
                      <w:rPr>
                        <w:rFonts w:ascii="Cambria Math" w:eastAsiaTheme="minorEastAsia" w:hAnsi="Cambria Math"/>
                        <w:color w:val="4D7028" w:themeColor="accent2"/>
                      </w:rPr>
                      <m:t>l</m:t>
                    </m:r>
                  </m:sub>
                </m:sSub>
                <m:r>
                  <w:rPr>
                    <w:rFonts w:ascii="Cambria Math" w:eastAsiaTheme="minorEastAsia" w:hAnsi="Cambria Math"/>
                    <w:color w:val="000000"/>
                  </w:rPr>
                  <m:t>*</m:t>
                </m:r>
                <m:d>
                  <m:dPr>
                    <m:ctrlPr>
                      <w:rPr>
                        <w:rFonts w:ascii="Cambria Math" w:eastAsiaTheme="minorEastAsia" w:hAnsi="Cambria Math"/>
                        <w:i/>
                        <w:color w:val="000000"/>
                      </w:rPr>
                    </m:ctrlPr>
                  </m:dPr>
                  <m:e>
                    <m:r>
                      <w:rPr>
                        <w:rFonts w:ascii="Cambria Math" w:eastAsiaTheme="minorEastAsia" w:hAnsi="Cambria Math"/>
                        <w:color w:val="000000"/>
                      </w:rPr>
                      <m:t>Lab</m:t>
                    </m:r>
                    <m:sSubSup>
                      <m:sSubSupPr>
                        <m:ctrlPr>
                          <w:rPr>
                            <w:rFonts w:ascii="Cambria Math" w:eastAsiaTheme="minorEastAsia" w:hAnsi="Cambria Math"/>
                            <w:i/>
                            <w:color w:val="000000"/>
                          </w:rPr>
                        </m:ctrlPr>
                      </m:sSubSupPr>
                      <m:e>
                        <m:r>
                          <w:rPr>
                            <w:rFonts w:ascii="Cambria Math" w:eastAsiaTheme="minorEastAsia" w:hAnsi="Cambria Math"/>
                            <w:color w:val="000000"/>
                          </w:rPr>
                          <m:t>Q</m:t>
                        </m:r>
                      </m:e>
                      <m:sub>
                        <m:r>
                          <w:rPr>
                            <w:rFonts w:ascii="Cambria Math" w:eastAsiaTheme="minorEastAsia" w:hAnsi="Cambria Math"/>
                            <w:color w:val="000000"/>
                          </w:rPr>
                          <m:t>l</m:t>
                        </m:r>
                      </m:sub>
                      <m:sup>
                        <m:r>
                          <w:rPr>
                            <w:rFonts w:ascii="Cambria Math" w:eastAsiaTheme="minorEastAsia" w:hAnsi="Cambria Math"/>
                            <w:color w:val="000000"/>
                          </w:rPr>
                          <m:t>SUP</m:t>
                        </m:r>
                      </m:sup>
                    </m:sSubSup>
                    <m:r>
                      <w:rPr>
                        <w:rFonts w:ascii="Cambria Math" w:hAnsi="Cambria Math"/>
                        <w:color w:val="000000"/>
                      </w:rPr>
                      <m:t>* Lab</m:t>
                    </m:r>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l</m:t>
                        </m:r>
                      </m:sub>
                      <m:sup>
                        <m:r>
                          <w:rPr>
                            <w:rFonts w:ascii="Cambria Math" w:hAnsi="Cambria Math"/>
                            <w:color w:val="000000"/>
                          </w:rPr>
                          <m:t>SUP</m:t>
                        </m:r>
                      </m:sup>
                    </m:sSubSup>
                    <m:r>
                      <w:rPr>
                        <w:rFonts w:ascii="Cambria Math" w:eastAsiaTheme="minorEastAsia" w:hAnsi="Cambria Math"/>
                        <w:color w:val="000000"/>
                      </w:rPr>
                      <m:t>+GroupCapitalIn</m:t>
                    </m:r>
                    <m:sSub>
                      <m:sSubPr>
                        <m:ctrlPr>
                          <w:rPr>
                            <w:rFonts w:ascii="Cambria Math" w:eastAsiaTheme="minorEastAsia" w:hAnsi="Cambria Math"/>
                            <w:i/>
                            <w:color w:val="000000"/>
                          </w:rPr>
                        </m:ctrlPr>
                      </m:sSubPr>
                      <m:e>
                        <m:r>
                          <w:rPr>
                            <w:rFonts w:ascii="Cambria Math" w:eastAsiaTheme="minorEastAsia" w:hAnsi="Cambria Math"/>
                            <w:color w:val="000000"/>
                          </w:rPr>
                          <m:t>c</m:t>
                        </m:r>
                      </m:e>
                      <m:sub>
                        <m:r>
                          <w:rPr>
                            <w:rFonts w:ascii="Cambria Math" w:eastAsiaTheme="minorEastAsia" w:hAnsi="Cambria Math"/>
                            <w:color w:val="000000"/>
                          </w:rPr>
                          <m:t>l</m:t>
                        </m:r>
                      </m:sub>
                    </m:sSub>
                  </m:e>
                </m:d>
              </m:oMath>
            </m:oMathPara>
          </w:p>
        </w:tc>
      </w:tr>
      <w:tr w:rsidR="0001557F" w:rsidRPr="00030C67" w14:paraId="203E6EC4" w14:textId="77777777" w:rsidTr="00F73778">
        <w:trPr>
          <w:cantSplit/>
        </w:trPr>
        <w:tc>
          <w:tcPr>
            <w:tcW w:w="239" w:type="pct"/>
            <w:tcBorders>
              <w:top w:val="nil"/>
              <w:bottom w:val="nil"/>
            </w:tcBorders>
            <w:shd w:val="clear" w:color="000000" w:fill="auto"/>
          </w:tcPr>
          <w:p w14:paraId="26B8A492" w14:textId="74FBE33D" w:rsidR="0001557F" w:rsidRPr="000224EE" w:rsidRDefault="0001557F" w:rsidP="0001557F">
            <w:pPr>
              <w:pStyle w:val="TableBody"/>
              <w:numPr>
                <w:ilvl w:val="0"/>
                <w:numId w:val="10"/>
              </w:numPr>
              <w:spacing w:before="45" w:after="45"/>
              <w:ind w:left="57" w:right="108"/>
              <w:rPr>
                <w:rFonts w:ascii="Arial (Body)" w:hAnsi="Arial (Body)"/>
                <w:b/>
                <w:color w:val="265A9A"/>
              </w:rPr>
            </w:pPr>
            <w:r>
              <w:rPr>
                <w:rFonts w:ascii="Arial (Body)" w:hAnsi="Arial (Body)"/>
                <w:b/>
                <w:color w:val="265A9A"/>
              </w:rPr>
              <w:t>2</w:t>
            </w:r>
            <w:r w:rsidR="00107691">
              <w:rPr>
                <w:rFonts w:ascii="Arial (Body)" w:hAnsi="Arial (Body)"/>
                <w:b/>
                <w:color w:val="265A9A"/>
              </w:rPr>
              <w:t>9</w:t>
            </w:r>
            <w:r>
              <w:rPr>
                <w:rFonts w:ascii="Arial (Body)" w:hAnsi="Arial (Body)"/>
                <w:b/>
                <w:color w:val="265A9A"/>
              </w:rPr>
              <w:t>.</w:t>
            </w:r>
          </w:p>
        </w:tc>
        <w:tc>
          <w:tcPr>
            <w:tcW w:w="4761" w:type="pct"/>
            <w:tcBorders>
              <w:top w:val="nil"/>
              <w:bottom w:val="nil"/>
            </w:tcBorders>
            <w:shd w:val="clear" w:color="000000" w:fill="auto"/>
          </w:tcPr>
          <w:p w14:paraId="48753193" w14:textId="1A4F1E2F" w:rsidR="0001557F" w:rsidRDefault="0001557F" w:rsidP="0001557F">
            <w:pPr>
              <w:pStyle w:val="TableBody"/>
              <w:spacing w:before="45" w:after="45"/>
              <w:ind w:right="108"/>
              <w:rPr>
                <w:rFonts w:ascii="Arial (Body)" w:eastAsiaTheme="minorEastAsia" w:hAnsi="Arial (Body)" w:hint="eastAsia"/>
                <w:color w:val="000000"/>
              </w:rPr>
            </w:pPr>
            <w:r>
              <w:rPr>
                <w:rFonts w:ascii="Arial (Body)" w:eastAsiaTheme="minorEastAsia" w:hAnsi="Arial (Body)"/>
                <w:color w:val="000000"/>
              </w:rPr>
              <w:t>Capital per individual group</w:t>
            </w:r>
          </w:p>
          <w:p w14:paraId="6A74C43D" w14:textId="77777777" w:rsidR="0001557F" w:rsidRPr="00F73778" w:rsidRDefault="0001557F" w:rsidP="0001557F">
            <w:pPr>
              <w:pStyle w:val="TableBody"/>
              <w:spacing w:before="45" w:after="45"/>
              <w:ind w:right="108"/>
              <w:rPr>
                <w:rFonts w:ascii="Arial (Body)" w:eastAsiaTheme="minorEastAsia" w:hAnsi="Arial (Body)" w:hint="eastAsia"/>
                <w:color w:val="000000"/>
              </w:rPr>
            </w:pPr>
            <m:oMathPara>
              <m:oMathParaPr>
                <m:jc m:val="left"/>
              </m:oMathParaPr>
              <m:oMath>
                <m:r>
                  <w:rPr>
                    <w:rFonts w:ascii="Cambria Math" w:eastAsiaTheme="minorEastAsia" w:hAnsi="Cambria Math"/>
                    <w:color w:val="000000"/>
                  </w:rPr>
                  <m:t>HHCapInvScaleFactor=</m:t>
                </m:r>
                <m:f>
                  <m:fPr>
                    <m:ctrlPr>
                      <w:rPr>
                        <w:rFonts w:ascii="Cambria Math" w:hAnsi="Cambria Math"/>
                        <w:i/>
                        <w:color w:val="000000"/>
                      </w:rPr>
                    </m:ctrlPr>
                  </m:fPr>
                  <m:num>
                    <m:d>
                      <m:dPr>
                        <m:ctrlPr>
                          <w:rPr>
                            <w:rFonts w:ascii="Cambria Math" w:eastAsiaTheme="minorEastAsia" w:hAnsi="Cambria Math"/>
                            <w:i/>
                            <w:color w:val="000000"/>
                          </w:rPr>
                        </m:ctrlPr>
                      </m:dPr>
                      <m:e>
                        <m:r>
                          <w:rPr>
                            <w:rFonts w:ascii="Cambria Math" w:hAnsi="Cambria Math"/>
                            <w:color w:val="000000"/>
                          </w:rPr>
                          <m:t>DomesticCapQ*CapP</m:t>
                        </m:r>
                        <m:ctrlPr>
                          <w:rPr>
                            <w:rFonts w:ascii="Cambria Math" w:hAnsi="Cambria Math"/>
                            <w:i/>
                            <w:color w:val="000000"/>
                          </w:rPr>
                        </m:ctrlPr>
                      </m:e>
                    </m:d>
                    <m:ctrlPr>
                      <w:rPr>
                        <w:rFonts w:ascii="Cambria Math" w:eastAsiaTheme="minorEastAsia" w:hAnsi="Cambria Math" w:hint="eastAsia"/>
                        <w:i/>
                        <w:color w:val="000000"/>
                      </w:rPr>
                    </m:ctrlPr>
                  </m:num>
                  <m:den>
                    <m:nary>
                      <m:naryPr>
                        <m:chr m:val="∑"/>
                        <m:supHide m:val="1"/>
                        <m:ctrlPr>
                          <w:rPr>
                            <w:rFonts w:ascii="Cambria Math" w:eastAsiaTheme="minorEastAsia" w:hAnsi="Cambria Math"/>
                            <w:i/>
                            <w:color w:val="000000"/>
                          </w:rPr>
                        </m:ctrlPr>
                      </m:naryPr>
                      <m:sub>
                        <m:r>
                          <w:rPr>
                            <w:rFonts w:ascii="Cambria Math" w:eastAsiaTheme="minorEastAsia" w:hAnsi="Cambria Math"/>
                            <w:color w:val="000000"/>
                          </w:rPr>
                          <m:t>l</m:t>
                        </m:r>
                      </m:sub>
                      <m:sup/>
                      <m:e>
                        <m:d>
                          <m:dPr>
                            <m:ctrlPr>
                              <w:rPr>
                                <w:rFonts w:ascii="Cambria Math" w:eastAsiaTheme="minorEastAsia" w:hAnsi="Cambria Math"/>
                                <w:i/>
                                <w:color w:val="000000"/>
                              </w:rPr>
                            </m:ctrlPr>
                          </m:dPr>
                          <m:e>
                            <m:r>
                              <w:rPr>
                                <w:rFonts w:ascii="Cambria Math" w:eastAsiaTheme="minorEastAsia" w:hAnsi="Cambria Math"/>
                                <w:color w:val="4D7028" w:themeColor="accent2"/>
                              </w:rPr>
                              <m:t>OrigGroupCapInvRati</m:t>
                            </m:r>
                            <m:sSub>
                              <m:sSubPr>
                                <m:ctrlPr>
                                  <w:rPr>
                                    <w:rFonts w:ascii="Cambria Math" w:eastAsiaTheme="minorEastAsia" w:hAnsi="Cambria Math"/>
                                    <w:i/>
                                    <w:color w:val="4D7028" w:themeColor="accent2"/>
                                  </w:rPr>
                                </m:ctrlPr>
                              </m:sSubPr>
                              <m:e>
                                <m:r>
                                  <w:rPr>
                                    <w:rFonts w:ascii="Cambria Math" w:eastAsiaTheme="minorEastAsia" w:hAnsi="Cambria Math"/>
                                    <w:color w:val="4D7028" w:themeColor="accent2"/>
                                  </w:rPr>
                                  <m:t>o</m:t>
                                </m:r>
                              </m:e>
                              <m:sub>
                                <m:r>
                                  <w:rPr>
                                    <w:rFonts w:ascii="Cambria Math" w:eastAsiaTheme="minorEastAsia" w:hAnsi="Cambria Math"/>
                                    <w:color w:val="4D7028" w:themeColor="accent2"/>
                                  </w:rPr>
                                  <m:t>l</m:t>
                                </m:r>
                              </m:sub>
                            </m:sSub>
                            <m:r>
                              <w:rPr>
                                <w:rFonts w:ascii="Cambria Math" w:eastAsiaTheme="minorEastAsia" w:hAnsi="Cambria Math"/>
                                <w:color w:val="000000"/>
                              </w:rPr>
                              <m:t>*GroupSavin</m:t>
                            </m:r>
                            <m:sSub>
                              <m:sSubPr>
                                <m:ctrlPr>
                                  <w:rPr>
                                    <w:rFonts w:ascii="Cambria Math" w:eastAsiaTheme="minorEastAsia" w:hAnsi="Cambria Math"/>
                                    <w:i/>
                                    <w:color w:val="000000"/>
                                  </w:rPr>
                                </m:ctrlPr>
                              </m:sSubPr>
                              <m:e>
                                <m:r>
                                  <w:rPr>
                                    <w:rFonts w:ascii="Cambria Math" w:eastAsiaTheme="minorEastAsia" w:hAnsi="Cambria Math"/>
                                    <w:color w:val="000000"/>
                                  </w:rPr>
                                  <m:t>g</m:t>
                                </m:r>
                              </m:e>
                              <m:sub>
                                <m:r>
                                  <w:rPr>
                                    <w:rFonts w:ascii="Cambria Math" w:eastAsiaTheme="minorEastAsia" w:hAnsi="Cambria Math"/>
                                    <w:color w:val="000000"/>
                                  </w:rPr>
                                  <m:t>l</m:t>
                                </m:r>
                              </m:sub>
                            </m:sSub>
                          </m:e>
                        </m:d>
                      </m:e>
                    </m:nary>
                  </m:den>
                </m:f>
              </m:oMath>
            </m:oMathPara>
          </w:p>
          <w:p w14:paraId="148E29B7" w14:textId="212748FF" w:rsidR="0001557F" w:rsidRPr="00F73778" w:rsidRDefault="0001557F" w:rsidP="0001557F">
            <w:pPr>
              <w:pStyle w:val="TableBody"/>
              <w:spacing w:before="45" w:after="45"/>
              <w:ind w:right="108"/>
              <w:rPr>
                <w:rFonts w:ascii="Arial (Body)" w:eastAsiaTheme="minorEastAsia" w:hAnsi="Arial (Body)" w:hint="eastAsia"/>
                <w:color w:val="000000"/>
              </w:rPr>
            </w:pPr>
            <m:oMathPara>
              <m:oMathParaPr>
                <m:jc m:val="left"/>
              </m:oMathParaPr>
              <m:oMath>
                <m:r>
                  <w:rPr>
                    <w:rFonts w:ascii="Cambria Math" w:hAnsi="Cambria Math"/>
                    <w:color w:val="000000"/>
                  </w:rPr>
                  <m:t>GroupCapitalIn</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l</m:t>
                    </m:r>
                  </m:sub>
                </m:sSub>
                <m:r>
                  <w:rPr>
                    <w:rFonts w:ascii="Cambria Math" w:hAnsi="Cambria Math"/>
                    <w:color w:val="000000"/>
                  </w:rPr>
                  <m:t>=</m:t>
                </m:r>
                <m:r>
                  <w:rPr>
                    <w:rFonts w:ascii="Cambria Math" w:eastAsiaTheme="minorEastAsia" w:hAnsi="Cambria Math"/>
                    <w:color w:val="000000"/>
                  </w:rPr>
                  <m:t>HHCapInvScaleFactor*</m:t>
                </m:r>
                <m:r>
                  <w:rPr>
                    <w:rFonts w:ascii="Cambria Math" w:eastAsiaTheme="minorEastAsia" w:hAnsi="Cambria Math"/>
                    <w:color w:val="4D7028" w:themeColor="accent2"/>
                  </w:rPr>
                  <m:t>OrigGroupCapInvRati</m:t>
                </m:r>
                <m:sSub>
                  <m:sSubPr>
                    <m:ctrlPr>
                      <w:rPr>
                        <w:rFonts w:ascii="Cambria Math" w:eastAsiaTheme="minorEastAsia" w:hAnsi="Cambria Math"/>
                        <w:i/>
                        <w:color w:val="4D7028" w:themeColor="accent2"/>
                      </w:rPr>
                    </m:ctrlPr>
                  </m:sSubPr>
                  <m:e>
                    <m:r>
                      <w:rPr>
                        <w:rFonts w:ascii="Cambria Math" w:eastAsiaTheme="minorEastAsia" w:hAnsi="Cambria Math"/>
                        <w:color w:val="4D7028" w:themeColor="accent2"/>
                      </w:rPr>
                      <m:t>o</m:t>
                    </m:r>
                  </m:e>
                  <m:sub>
                    <m:r>
                      <w:rPr>
                        <w:rFonts w:ascii="Cambria Math" w:eastAsiaTheme="minorEastAsia" w:hAnsi="Cambria Math"/>
                        <w:color w:val="4D7028" w:themeColor="accent2"/>
                      </w:rPr>
                      <m:t>l</m:t>
                    </m:r>
                  </m:sub>
                </m:sSub>
                <m:r>
                  <w:rPr>
                    <w:rFonts w:ascii="Cambria Math" w:eastAsiaTheme="minorEastAsia" w:hAnsi="Cambria Math"/>
                    <w:color w:val="000000"/>
                  </w:rPr>
                  <m:t>*GroupSavin</m:t>
                </m:r>
                <m:sSub>
                  <m:sSubPr>
                    <m:ctrlPr>
                      <w:rPr>
                        <w:rFonts w:ascii="Cambria Math" w:eastAsiaTheme="minorEastAsia" w:hAnsi="Cambria Math"/>
                        <w:i/>
                        <w:color w:val="000000"/>
                      </w:rPr>
                    </m:ctrlPr>
                  </m:sSubPr>
                  <m:e>
                    <m:r>
                      <w:rPr>
                        <w:rFonts w:ascii="Cambria Math" w:eastAsiaTheme="minorEastAsia" w:hAnsi="Cambria Math"/>
                        <w:color w:val="000000"/>
                      </w:rPr>
                      <m:t>g</m:t>
                    </m:r>
                  </m:e>
                  <m:sub>
                    <m:r>
                      <w:rPr>
                        <w:rFonts w:ascii="Cambria Math" w:eastAsiaTheme="minorEastAsia" w:hAnsi="Cambria Math"/>
                        <w:color w:val="000000"/>
                      </w:rPr>
                      <m:t>l</m:t>
                    </m:r>
                  </m:sub>
                </m:sSub>
              </m:oMath>
            </m:oMathPara>
          </w:p>
        </w:tc>
      </w:tr>
      <w:tr w:rsidR="0001557F" w:rsidRPr="00030C67" w14:paraId="7B521274" w14:textId="77777777" w:rsidTr="00F73778">
        <w:trPr>
          <w:cantSplit/>
        </w:trPr>
        <w:tc>
          <w:tcPr>
            <w:tcW w:w="239" w:type="pct"/>
            <w:tcBorders>
              <w:top w:val="nil"/>
              <w:bottom w:val="nil"/>
            </w:tcBorders>
            <w:shd w:val="clear" w:color="auto" w:fill="F2F2F2" w:themeFill="background1" w:themeFillShade="F2"/>
          </w:tcPr>
          <w:p w14:paraId="0C4B0EAC" w14:textId="77777777" w:rsidR="0001557F" w:rsidRPr="000224EE" w:rsidRDefault="0001557F" w:rsidP="0001557F">
            <w:pPr>
              <w:pStyle w:val="TableBody"/>
              <w:spacing w:before="45" w:after="45"/>
              <w:ind w:right="108"/>
              <w:rPr>
                <w:rFonts w:ascii="Arial (Body)" w:hAnsi="Arial (Body)"/>
                <w:b/>
                <w:color w:val="265A9A"/>
              </w:rPr>
            </w:pPr>
          </w:p>
        </w:tc>
        <w:tc>
          <w:tcPr>
            <w:tcW w:w="4761" w:type="pct"/>
            <w:tcBorders>
              <w:top w:val="nil"/>
              <w:bottom w:val="nil"/>
            </w:tcBorders>
            <w:shd w:val="clear" w:color="auto" w:fill="F2F2F2" w:themeFill="background1" w:themeFillShade="F2"/>
          </w:tcPr>
          <w:p w14:paraId="367E8ADE" w14:textId="77777777" w:rsidR="0001557F" w:rsidRPr="00053E5D" w:rsidRDefault="0001557F" w:rsidP="0001557F">
            <w:pPr>
              <w:pStyle w:val="TableHeading"/>
              <w:rPr>
                <w:rFonts w:eastAsiaTheme="minorEastAsia"/>
                <w:color w:val="000000"/>
              </w:rPr>
            </w:pPr>
            <w:r w:rsidRPr="00053E5D">
              <w:rPr>
                <w:rFonts w:eastAsiaTheme="minorEastAsia"/>
                <w:color w:val="000000"/>
              </w:rPr>
              <w:t>Government activity</w:t>
            </w:r>
          </w:p>
        </w:tc>
      </w:tr>
      <w:tr w:rsidR="0001557F" w:rsidRPr="00030C67" w14:paraId="0F98B187" w14:textId="77777777" w:rsidTr="00F73778">
        <w:trPr>
          <w:cantSplit/>
        </w:trPr>
        <w:tc>
          <w:tcPr>
            <w:tcW w:w="239" w:type="pct"/>
            <w:tcBorders>
              <w:top w:val="nil"/>
              <w:bottom w:val="nil"/>
            </w:tcBorders>
            <w:shd w:val="clear" w:color="000000" w:fill="auto"/>
          </w:tcPr>
          <w:p w14:paraId="18784A06" w14:textId="758C0580" w:rsidR="0001557F" w:rsidRPr="000224EE" w:rsidRDefault="00107691" w:rsidP="0001557F">
            <w:pPr>
              <w:pStyle w:val="TableBody"/>
              <w:spacing w:before="45" w:after="45"/>
              <w:ind w:right="108"/>
              <w:rPr>
                <w:rFonts w:ascii="Arial (Body)" w:hAnsi="Arial (Body)"/>
                <w:b/>
                <w:color w:val="265A9A"/>
              </w:rPr>
            </w:pPr>
            <w:r>
              <w:rPr>
                <w:rFonts w:ascii="Arial (Body)" w:hAnsi="Arial (Body)"/>
                <w:b/>
                <w:color w:val="265A9A"/>
              </w:rPr>
              <w:t>30</w:t>
            </w:r>
            <w:r w:rsidR="0001557F">
              <w:rPr>
                <w:rFonts w:ascii="Arial (Body)" w:hAnsi="Arial (Body)"/>
                <w:b/>
                <w:color w:val="265A9A"/>
              </w:rPr>
              <w:t>.</w:t>
            </w:r>
          </w:p>
        </w:tc>
        <w:tc>
          <w:tcPr>
            <w:tcW w:w="4761" w:type="pct"/>
            <w:tcBorders>
              <w:top w:val="nil"/>
              <w:bottom w:val="nil"/>
            </w:tcBorders>
            <w:shd w:val="clear" w:color="000000" w:fill="auto"/>
          </w:tcPr>
          <w:p w14:paraId="4398596B" w14:textId="632EA232" w:rsidR="0001557F" w:rsidRDefault="0001557F" w:rsidP="0001557F">
            <w:pPr>
              <w:pStyle w:val="TableBody"/>
            </w:pPr>
            <w:r>
              <w:t>Total government expenditure</w:t>
            </w:r>
          </w:p>
          <w:p w14:paraId="76383D5B" w14:textId="77777777" w:rsidR="0001557F" w:rsidRPr="00F73778" w:rsidRDefault="0001557F" w:rsidP="0001557F">
            <w:pPr>
              <w:pStyle w:val="TableBody"/>
              <w:rPr>
                <w:rFonts w:eastAsiaTheme="minorEastAsia"/>
                <w:color w:val="000000"/>
              </w:rPr>
            </w:pPr>
            <m:oMathPara>
              <m:oMathParaPr>
                <m:jc m:val="left"/>
              </m:oMathParaPr>
              <m:oMath>
                <m:r>
                  <w:rPr>
                    <w:rFonts w:ascii="Cambria Math" w:hAnsi="Cambria Math"/>
                    <w:color w:val="000000"/>
                  </w:rPr>
                  <m:t>GovQ*GovP=</m:t>
                </m:r>
                <m:sSub>
                  <m:sSubPr>
                    <m:ctrlPr>
                      <w:rPr>
                        <w:rFonts w:ascii="Cambria Math" w:hAnsi="Cambria Math"/>
                        <w:i/>
                        <w:color w:val="4D7028" w:themeColor="accent2"/>
                      </w:rPr>
                    </m:ctrlPr>
                  </m:sSubPr>
                  <m:e>
                    <m:r>
                      <w:rPr>
                        <w:rFonts w:ascii="Cambria Math" w:hAnsi="Cambria Math"/>
                        <w:color w:val="4D7028" w:themeColor="accent2"/>
                      </w:rPr>
                      <m:t>α</m:t>
                    </m:r>
                  </m:e>
                  <m:sub>
                    <m:r>
                      <w:rPr>
                        <w:rFonts w:ascii="Cambria Math" w:hAnsi="Cambria Math"/>
                        <w:color w:val="4D7028" w:themeColor="accent2"/>
                      </w:rPr>
                      <m:t>GOV</m:t>
                    </m:r>
                  </m:sub>
                </m:sSub>
                <m:r>
                  <w:rPr>
                    <w:rFonts w:ascii="Cambria Math" w:hAnsi="Cambria Math"/>
                    <w:color w:val="000000"/>
                  </w:rPr>
                  <m:t>NominalGDP</m:t>
                </m:r>
              </m:oMath>
            </m:oMathPara>
          </w:p>
          <w:p w14:paraId="59BC91C2" w14:textId="1BEFA59D" w:rsidR="0001557F" w:rsidRPr="00053E5D" w:rsidRDefault="0001557F" w:rsidP="0001557F">
            <w:pPr>
              <w:pStyle w:val="TableBody"/>
            </w:pPr>
            <w:r>
              <w:rPr>
                <w:rFonts w:eastAsiaTheme="minorEastAsia"/>
              </w:rPr>
              <w:t xml:space="preserve">Where </w:t>
            </w:r>
            <m:oMath>
              <m:sSub>
                <m:sSubPr>
                  <m:ctrlPr>
                    <w:rPr>
                      <w:rFonts w:ascii="Cambria Math" w:hAnsi="Cambria Math"/>
                      <w:i/>
                      <w:color w:val="4D7028" w:themeColor="accent2"/>
                    </w:rPr>
                  </m:ctrlPr>
                </m:sSubPr>
                <m:e>
                  <m:r>
                    <w:rPr>
                      <w:rFonts w:ascii="Cambria Math" w:hAnsi="Cambria Math"/>
                      <w:color w:val="4D7028" w:themeColor="accent2"/>
                    </w:rPr>
                    <m:t>α</m:t>
                  </m:r>
                </m:e>
                <m:sub>
                  <m:r>
                    <w:rPr>
                      <w:rFonts w:ascii="Cambria Math" w:hAnsi="Cambria Math"/>
                      <w:color w:val="4D7028" w:themeColor="accent2"/>
                    </w:rPr>
                    <m:t>GOV</m:t>
                  </m:r>
                </m:sub>
              </m:sSub>
            </m:oMath>
            <w:r>
              <w:rPr>
                <w:rFonts w:eastAsiaTheme="minorEastAsia"/>
                <w:color w:val="4D7028" w:themeColor="accent2"/>
              </w:rPr>
              <w:t xml:space="preserve"> </w:t>
            </w:r>
            <w:r w:rsidRPr="00054E05">
              <w:rPr>
                <w:rFonts w:eastAsiaTheme="minorEastAsia"/>
              </w:rPr>
              <w:t xml:space="preserve">is </w:t>
            </w:r>
            <w:r>
              <w:rPr>
                <w:rFonts w:eastAsiaTheme="minorEastAsia"/>
              </w:rPr>
              <w:t>the fixed government share of nominal GDP.</w:t>
            </w:r>
          </w:p>
        </w:tc>
      </w:tr>
      <w:tr w:rsidR="0001557F" w:rsidRPr="00030C67" w14:paraId="5194F7D0" w14:textId="77777777" w:rsidTr="00DE07D8">
        <w:trPr>
          <w:cantSplit/>
        </w:trPr>
        <w:tc>
          <w:tcPr>
            <w:tcW w:w="239" w:type="pct"/>
            <w:tcBorders>
              <w:top w:val="nil"/>
              <w:bottom w:val="nil"/>
            </w:tcBorders>
            <w:shd w:val="clear" w:color="000000" w:fill="auto"/>
          </w:tcPr>
          <w:p w14:paraId="169AED9F" w14:textId="495BBFFE" w:rsidR="0001557F" w:rsidRPr="000224EE" w:rsidRDefault="0001557F" w:rsidP="0001557F">
            <w:pPr>
              <w:pStyle w:val="TableBody"/>
              <w:numPr>
                <w:ilvl w:val="0"/>
                <w:numId w:val="10"/>
              </w:numPr>
              <w:spacing w:before="45" w:after="45"/>
              <w:ind w:left="57" w:right="108"/>
              <w:rPr>
                <w:rFonts w:ascii="Arial (Body)" w:hAnsi="Arial (Body)"/>
                <w:b/>
                <w:color w:val="265A9A"/>
              </w:rPr>
            </w:pPr>
            <w:r>
              <w:rPr>
                <w:rFonts w:ascii="Arial (Body)" w:hAnsi="Arial (Body)"/>
                <w:b/>
                <w:color w:val="265A9A"/>
              </w:rPr>
              <w:t>3</w:t>
            </w:r>
            <w:r w:rsidR="00107691">
              <w:rPr>
                <w:rFonts w:ascii="Arial (Body)" w:hAnsi="Arial (Body)"/>
                <w:b/>
                <w:color w:val="265A9A"/>
              </w:rPr>
              <w:t>1</w:t>
            </w:r>
            <w:r>
              <w:rPr>
                <w:rFonts w:ascii="Arial (Body)" w:hAnsi="Arial (Body)"/>
                <w:b/>
                <w:color w:val="265A9A"/>
              </w:rPr>
              <w:t>.</w:t>
            </w:r>
          </w:p>
        </w:tc>
        <w:tc>
          <w:tcPr>
            <w:tcW w:w="4761" w:type="pct"/>
            <w:tcBorders>
              <w:top w:val="nil"/>
              <w:bottom w:val="nil"/>
            </w:tcBorders>
            <w:shd w:val="clear" w:color="000000" w:fill="auto"/>
          </w:tcPr>
          <w:p w14:paraId="509A9B71" w14:textId="77777777" w:rsidR="0001557F" w:rsidRPr="000224EE" w:rsidRDefault="0001557F" w:rsidP="0001557F">
            <w:pPr>
              <w:pStyle w:val="TableBody"/>
              <w:spacing w:before="45" w:after="45"/>
              <w:ind w:right="108"/>
              <w:rPr>
                <w:rFonts w:ascii="Arial (Body)" w:eastAsiaTheme="minorEastAsia" w:hAnsi="Arial (Body)" w:hint="eastAsia"/>
                <w:color w:val="000000"/>
              </w:rPr>
            </w:pPr>
            <w:r w:rsidRPr="000224EE">
              <w:rPr>
                <w:rFonts w:ascii="Arial (Body)" w:eastAsiaTheme="minorEastAsia" w:hAnsi="Arial (Body)"/>
                <w:color w:val="000000"/>
              </w:rPr>
              <w:t xml:space="preserve">Government budget balance </w:t>
            </w:r>
          </w:p>
          <w:p w14:paraId="564A1E1C" w14:textId="2B8A3821" w:rsidR="0001557F" w:rsidRPr="00F73778" w:rsidRDefault="0001557F" w:rsidP="0001557F">
            <w:pPr>
              <w:pStyle w:val="TableBody"/>
              <w:spacing w:before="45" w:after="45"/>
              <w:ind w:right="108"/>
              <w:rPr>
                <w:rFonts w:ascii="Arial (Body)" w:eastAsiaTheme="minorEastAsia" w:hAnsi="Arial (Body)" w:hint="eastAsia"/>
                <w:color w:val="000000"/>
              </w:rPr>
            </w:pPr>
            <m:oMathPara>
              <m:oMathParaPr>
                <m:jc m:val="left"/>
              </m:oMathParaPr>
              <m:oMath>
                <m:r>
                  <w:rPr>
                    <w:rFonts w:ascii="Cambria Math" w:hAnsi="Cambria Math"/>
                    <w:color w:val="000000"/>
                  </w:rPr>
                  <m:t>GovQ*GovP=HHIncTax+</m:t>
                </m:r>
                <m:r>
                  <w:rPr>
                    <w:rFonts w:ascii="Cambria Math" w:hAnsi="Cambria Math"/>
                    <w:color w:val="265A9A" w:themeColor="background2"/>
                  </w:rPr>
                  <m:t>ForeignCapIncTaxRate</m:t>
                </m:r>
                <m:r>
                  <w:rPr>
                    <w:rFonts w:ascii="Cambria Math" w:hAnsi="Cambria Math"/>
                    <w:color w:val="000000"/>
                  </w:rPr>
                  <m:t>*</m:t>
                </m:r>
                <m:r>
                  <w:rPr>
                    <w:rFonts w:ascii="Cambria Math" w:hAnsi="Cambria Math"/>
                    <w:color w:val="265A9A" w:themeColor="background2"/>
                  </w:rPr>
                  <m:t>ForeignCapQ</m:t>
                </m:r>
                <m:r>
                  <w:rPr>
                    <w:rFonts w:ascii="Cambria Math" w:hAnsi="Cambria Math"/>
                    <w:color w:val="000000"/>
                  </w:rPr>
                  <m:t>*CapP+</m:t>
                </m:r>
                <m:nary>
                  <m:naryPr>
                    <m:chr m:val="∑"/>
                    <m:supHide m:val="1"/>
                    <m:ctrlPr>
                      <w:rPr>
                        <w:rFonts w:ascii="Cambria Math" w:hAnsi="Cambria Math"/>
                        <w:i/>
                        <w:color w:val="000000"/>
                      </w:rPr>
                    </m:ctrlPr>
                  </m:naryPr>
                  <m:sub>
                    <m:r>
                      <w:rPr>
                        <w:rFonts w:ascii="Cambria Math" w:hAnsi="Cambria Math"/>
                        <w:color w:val="000000"/>
                      </w:rPr>
                      <m:t>c</m:t>
                    </m:r>
                  </m:sub>
                  <m:sup/>
                  <m:e>
                    <m:d>
                      <m:dPr>
                        <m:ctrlPr>
                          <w:rPr>
                            <w:rFonts w:ascii="Cambria Math" w:hAnsi="Cambria Math"/>
                            <w:i/>
                            <w:color w:val="000000"/>
                          </w:rPr>
                        </m:ctrlPr>
                      </m:dPr>
                      <m:e>
                        <m:r>
                          <w:rPr>
                            <w:rFonts w:ascii="Cambria Math" w:hAnsi="Cambria Math"/>
                            <w:color w:val="265A9A" w:themeColor="background2"/>
                          </w:rPr>
                          <m:t>ProductionTax</m:t>
                        </m:r>
                        <m:sSub>
                          <m:sSubPr>
                            <m:ctrlPr>
                              <w:rPr>
                                <w:rFonts w:ascii="Cambria Math" w:hAnsi="Cambria Math"/>
                                <w:i/>
                                <w:color w:val="265A9A" w:themeColor="background2"/>
                              </w:rPr>
                            </m:ctrlPr>
                          </m:sSubPr>
                          <m:e>
                            <m:r>
                              <w:rPr>
                                <w:rFonts w:ascii="Cambria Math" w:hAnsi="Cambria Math"/>
                                <w:color w:val="265A9A" w:themeColor="background2"/>
                              </w:rPr>
                              <m:t>Rate</m:t>
                            </m:r>
                          </m:e>
                          <m:sub>
                            <m:r>
                              <w:rPr>
                                <w:rFonts w:ascii="Cambria Math" w:hAnsi="Cambria Math"/>
                                <w:color w:val="265A9A" w:themeColor="background2"/>
                              </w:rPr>
                              <m:t>c</m:t>
                            </m:r>
                          </m:sub>
                        </m:sSub>
                        <m:f>
                          <m:fPr>
                            <m:ctrlPr>
                              <w:rPr>
                                <w:rFonts w:ascii="Cambria Math" w:hAnsi="Cambria Math"/>
                                <w:i/>
                                <w:color w:val="000000"/>
                              </w:rPr>
                            </m:ctrlPr>
                          </m:fPr>
                          <m:num>
                            <m:sSubSup>
                              <m:sSubSupPr>
                                <m:ctrlPr>
                                  <w:rPr>
                                    <w:rFonts w:ascii="Cambria Math" w:eastAsiaTheme="minorEastAsia" w:hAnsi="Cambria Math"/>
                                    <w:i/>
                                    <w:color w:val="000000"/>
                                  </w:rPr>
                                </m:ctrlPr>
                              </m:sSubSupPr>
                              <m:e>
                                <m:r>
                                  <w:rPr>
                                    <w:rFonts w:ascii="Cambria Math" w:eastAsiaTheme="minorEastAsia" w:hAnsi="Cambria Math"/>
                                    <w:color w:val="000000"/>
                                  </w:rPr>
                                  <m:t>IndOutputQ</m:t>
                                </m:r>
                              </m:e>
                              <m:sub>
                                <m:r>
                                  <w:rPr>
                                    <w:rFonts w:ascii="Cambria Math" w:eastAsiaTheme="minorEastAsia" w:hAnsi="Cambria Math"/>
                                    <w:color w:val="000000"/>
                                  </w:rPr>
                                  <m:t>c</m:t>
                                </m:r>
                              </m:sub>
                              <m:sup>
                                <m:r>
                                  <w:rPr>
                                    <w:rFonts w:ascii="Cambria Math" w:eastAsiaTheme="minorEastAsia" w:hAnsi="Cambria Math"/>
                                    <w:color w:val="000000"/>
                                  </w:rPr>
                                  <m:t>SUP</m:t>
                                </m:r>
                              </m:sup>
                            </m:sSubSup>
                            <m:r>
                              <w:rPr>
                                <w:rFonts w:ascii="Cambria Math" w:eastAsiaTheme="minorEastAsia" w:hAnsi="Cambria Math"/>
                                <w:color w:val="000000"/>
                              </w:rPr>
                              <m:t>*</m:t>
                            </m:r>
                            <m:sSubSup>
                              <m:sSubSupPr>
                                <m:ctrlPr>
                                  <w:rPr>
                                    <w:rFonts w:ascii="Cambria Math" w:eastAsiaTheme="minorEastAsia" w:hAnsi="Cambria Math"/>
                                    <w:i/>
                                    <w:color w:val="000000"/>
                                  </w:rPr>
                                </m:ctrlPr>
                              </m:sSubSupPr>
                              <m:e>
                                <m:r>
                                  <w:rPr>
                                    <w:rFonts w:ascii="Cambria Math" w:eastAsiaTheme="minorEastAsia" w:hAnsi="Cambria Math"/>
                                    <w:color w:val="000000"/>
                                  </w:rPr>
                                  <m:t>IndOutputP</m:t>
                                </m:r>
                              </m:e>
                              <m:sub>
                                <m:r>
                                  <w:rPr>
                                    <w:rFonts w:ascii="Cambria Math" w:eastAsiaTheme="minorEastAsia" w:hAnsi="Cambria Math"/>
                                    <w:color w:val="000000"/>
                                  </w:rPr>
                                  <m:t>c</m:t>
                                </m:r>
                              </m:sub>
                              <m:sup>
                                <m:r>
                                  <w:rPr>
                                    <w:rFonts w:ascii="Cambria Math" w:eastAsiaTheme="minorEastAsia" w:hAnsi="Cambria Math"/>
                                    <w:color w:val="000000"/>
                                  </w:rPr>
                                  <m:t>SUP</m:t>
                                </m:r>
                              </m:sup>
                            </m:sSubSup>
                          </m:num>
                          <m:den>
                            <m:r>
                              <w:rPr>
                                <w:rFonts w:ascii="Cambria Math" w:hAnsi="Cambria Math"/>
                                <w:color w:val="000000"/>
                              </w:rPr>
                              <m:t>1+</m:t>
                            </m:r>
                            <m:r>
                              <w:rPr>
                                <w:rFonts w:ascii="Cambria Math" w:hAnsi="Cambria Math"/>
                                <w:color w:val="265A9A" w:themeColor="background2"/>
                              </w:rPr>
                              <m:t>ProductionTax</m:t>
                            </m:r>
                            <m:sSub>
                              <m:sSubPr>
                                <m:ctrlPr>
                                  <w:rPr>
                                    <w:rFonts w:ascii="Cambria Math" w:hAnsi="Cambria Math"/>
                                    <w:i/>
                                    <w:color w:val="265A9A" w:themeColor="background2"/>
                                  </w:rPr>
                                </m:ctrlPr>
                              </m:sSubPr>
                              <m:e>
                                <m:r>
                                  <w:rPr>
                                    <w:rFonts w:ascii="Cambria Math" w:hAnsi="Cambria Math"/>
                                    <w:color w:val="265A9A" w:themeColor="background2"/>
                                  </w:rPr>
                                  <m:t>Rate</m:t>
                                </m:r>
                              </m:e>
                              <m:sub>
                                <m:r>
                                  <w:rPr>
                                    <w:rFonts w:ascii="Cambria Math" w:hAnsi="Cambria Math"/>
                                    <w:color w:val="265A9A" w:themeColor="background2"/>
                                  </w:rPr>
                                  <m:t>c</m:t>
                                </m:r>
                              </m:sub>
                            </m:sSub>
                          </m:den>
                        </m:f>
                      </m:e>
                    </m:d>
                  </m:e>
                </m:nary>
                <m:r>
                  <w:rPr>
                    <w:rFonts w:ascii="Cambria Math" w:hAnsi="Cambria Math"/>
                    <w:color w:val="000000"/>
                  </w:rPr>
                  <m:t>+</m:t>
                </m:r>
                <m:nary>
                  <m:naryPr>
                    <m:chr m:val="∑"/>
                    <m:supHide m:val="1"/>
                    <m:ctrlPr>
                      <w:rPr>
                        <w:rFonts w:ascii="Cambria Math" w:hAnsi="Cambria Math"/>
                        <w:i/>
                        <w:color w:val="000000"/>
                      </w:rPr>
                    </m:ctrlPr>
                  </m:naryPr>
                  <m:sub>
                    <m:r>
                      <w:rPr>
                        <w:rFonts w:ascii="Cambria Math" w:hAnsi="Cambria Math"/>
                        <w:color w:val="000000"/>
                      </w:rPr>
                      <m:t>c</m:t>
                    </m:r>
                  </m:sub>
                  <m:sup/>
                  <m:e>
                    <m:nary>
                      <m:naryPr>
                        <m:chr m:val="∑"/>
                        <m:supHide m:val="1"/>
                        <m:ctrlPr>
                          <w:rPr>
                            <w:rFonts w:ascii="Cambria Math" w:hAnsi="Cambria Math"/>
                            <w:i/>
                            <w:color w:val="000000"/>
                          </w:rPr>
                        </m:ctrlPr>
                      </m:naryPr>
                      <m:sub>
                        <m:r>
                          <w:rPr>
                            <w:rFonts w:ascii="Cambria Math" w:hAnsi="Cambria Math"/>
                            <w:color w:val="000000"/>
                          </w:rPr>
                          <m:t>u</m:t>
                        </m:r>
                      </m:sub>
                      <m:sup/>
                      <m:e>
                        <m:d>
                          <m:dPr>
                            <m:ctrlPr>
                              <w:rPr>
                                <w:rFonts w:ascii="Cambria Math" w:hAnsi="Cambria Math"/>
                                <w:i/>
                                <w:color w:val="000000"/>
                              </w:rPr>
                            </m:ctrlPr>
                          </m:dPr>
                          <m:e>
                            <m:r>
                              <w:rPr>
                                <w:rFonts w:ascii="Cambria Math" w:hAnsi="Cambria Math"/>
                                <w:color w:val="265A9A" w:themeColor="background2"/>
                              </w:rPr>
                              <m:t>CompCommTa</m:t>
                            </m:r>
                            <m:sSub>
                              <m:sSubPr>
                                <m:ctrlPr>
                                  <w:rPr>
                                    <w:rFonts w:ascii="Cambria Math" w:hAnsi="Cambria Math"/>
                                    <w:i/>
                                    <w:color w:val="265A9A" w:themeColor="background2"/>
                                  </w:rPr>
                                </m:ctrlPr>
                              </m:sSubPr>
                              <m:e>
                                <m:r>
                                  <w:rPr>
                                    <w:rFonts w:ascii="Cambria Math" w:hAnsi="Cambria Math"/>
                                    <w:color w:val="265A9A" w:themeColor="background2"/>
                                  </w:rPr>
                                  <m:t>xRate</m:t>
                                </m:r>
                              </m:e>
                              <m:sub>
                                <m:r>
                                  <w:rPr>
                                    <w:rFonts w:ascii="Cambria Math" w:hAnsi="Cambria Math"/>
                                    <w:color w:val="265A9A" w:themeColor="background2"/>
                                  </w:rPr>
                                  <m:t>u,c</m:t>
                                </m:r>
                              </m:sub>
                            </m:sSub>
                            <m:f>
                              <m:fPr>
                                <m:ctrlPr>
                                  <w:rPr>
                                    <w:rFonts w:ascii="Cambria Math" w:hAnsi="Cambria Math"/>
                                    <w:i/>
                                    <w:color w:val="000000"/>
                                  </w:rPr>
                                </m:ctrlPr>
                              </m:fPr>
                              <m:num>
                                <m:r>
                                  <w:rPr>
                                    <w:rFonts w:ascii="Cambria Math" w:hAnsi="Cambria Math"/>
                                    <w:color w:val="000000"/>
                                  </w:rPr>
                                  <m:t>CompComm</m:t>
                                </m:r>
                                <m:sSubSup>
                                  <m:sSubSupPr>
                                    <m:ctrlPr>
                                      <w:rPr>
                                        <w:rFonts w:ascii="Cambria Math" w:hAnsi="Cambria Math"/>
                                        <w:i/>
                                        <w:color w:val="000000"/>
                                      </w:rPr>
                                    </m:ctrlPr>
                                  </m:sSubSupPr>
                                  <m:e>
                                    <m:r>
                                      <w:rPr>
                                        <w:rFonts w:ascii="Cambria Math" w:hAnsi="Cambria Math"/>
                                        <w:color w:val="000000"/>
                                      </w:rPr>
                                      <m:t>Q</m:t>
                                    </m:r>
                                  </m:e>
                                  <m:sub>
                                    <m:r>
                                      <w:rPr>
                                        <w:rFonts w:ascii="Cambria Math" w:hAnsi="Cambria Math"/>
                                        <w:color w:val="000000"/>
                                      </w:rPr>
                                      <m:t>u,c</m:t>
                                    </m:r>
                                  </m:sub>
                                  <m:sup>
                                    <m:r>
                                      <w:rPr>
                                        <w:rFonts w:ascii="Cambria Math" w:hAnsi="Cambria Math"/>
                                        <w:color w:val="000000"/>
                                      </w:rPr>
                                      <m:t>DEM</m:t>
                                    </m:r>
                                  </m:sup>
                                </m:sSubSup>
                                <m:r>
                                  <w:rPr>
                                    <w:rFonts w:ascii="Cambria Math" w:hAnsi="Cambria Math"/>
                                    <w:color w:val="000000"/>
                                  </w:rPr>
                                  <m:t>*CompComm</m:t>
                                </m:r>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u,c</m:t>
                                    </m:r>
                                  </m:sub>
                                  <m:sup>
                                    <m:r>
                                      <w:rPr>
                                        <w:rFonts w:ascii="Cambria Math" w:hAnsi="Cambria Math"/>
                                        <w:color w:val="000000"/>
                                      </w:rPr>
                                      <m:t>DEM</m:t>
                                    </m:r>
                                  </m:sup>
                                </m:sSubSup>
                              </m:num>
                              <m:den>
                                <m:r>
                                  <w:rPr>
                                    <w:rFonts w:ascii="Cambria Math" w:hAnsi="Cambria Math"/>
                                    <w:color w:val="000000"/>
                                  </w:rPr>
                                  <m:t>1+</m:t>
                                </m:r>
                                <m:r>
                                  <w:rPr>
                                    <w:rFonts w:ascii="Cambria Math" w:hAnsi="Cambria Math"/>
                                    <w:color w:val="265A9A" w:themeColor="background2"/>
                                  </w:rPr>
                                  <m:t>CompCommTa</m:t>
                                </m:r>
                                <m:sSub>
                                  <m:sSubPr>
                                    <m:ctrlPr>
                                      <w:rPr>
                                        <w:rFonts w:ascii="Cambria Math" w:hAnsi="Cambria Math"/>
                                        <w:i/>
                                        <w:color w:val="265A9A" w:themeColor="background2"/>
                                      </w:rPr>
                                    </m:ctrlPr>
                                  </m:sSubPr>
                                  <m:e>
                                    <m:r>
                                      <w:rPr>
                                        <w:rFonts w:ascii="Cambria Math" w:hAnsi="Cambria Math"/>
                                        <w:color w:val="265A9A" w:themeColor="background2"/>
                                      </w:rPr>
                                      <m:t>xRate</m:t>
                                    </m:r>
                                  </m:e>
                                  <m:sub>
                                    <m:r>
                                      <w:rPr>
                                        <w:rFonts w:ascii="Cambria Math" w:hAnsi="Cambria Math"/>
                                        <w:color w:val="265A9A" w:themeColor="background2"/>
                                      </w:rPr>
                                      <m:t>u,c</m:t>
                                    </m:r>
                                  </m:sub>
                                </m:sSub>
                              </m:den>
                            </m:f>
                          </m:e>
                        </m:d>
                      </m:e>
                    </m:nary>
                  </m:e>
                </m:nary>
                <m:r>
                  <w:rPr>
                    <w:rFonts w:ascii="Cambria Math" w:hAnsi="Cambria Math"/>
                    <w:color w:val="000000"/>
                  </w:rPr>
                  <m:t>+</m:t>
                </m:r>
                <m:nary>
                  <m:naryPr>
                    <m:chr m:val="∑"/>
                    <m:supHide m:val="1"/>
                    <m:ctrlPr>
                      <w:rPr>
                        <w:rFonts w:ascii="Cambria Math" w:hAnsi="Cambria Math"/>
                        <w:i/>
                        <w:color w:val="000000"/>
                      </w:rPr>
                    </m:ctrlPr>
                  </m:naryPr>
                  <m:sub>
                    <m:r>
                      <w:rPr>
                        <w:rFonts w:ascii="Cambria Math" w:hAnsi="Cambria Math"/>
                        <w:color w:val="000000"/>
                      </w:rPr>
                      <m:t>c</m:t>
                    </m:r>
                  </m:sub>
                  <m:sup/>
                  <m:e>
                    <m:d>
                      <m:dPr>
                        <m:ctrlPr>
                          <w:rPr>
                            <w:rFonts w:ascii="Cambria Math" w:hAnsi="Cambria Math"/>
                            <w:i/>
                            <w:color w:val="000000"/>
                          </w:rPr>
                        </m:ctrlPr>
                      </m:dPr>
                      <m:e>
                        <m:r>
                          <w:rPr>
                            <w:rFonts w:ascii="Cambria Math" w:hAnsi="Cambria Math"/>
                            <w:color w:val="265A9A" w:themeColor="background2"/>
                          </w:rPr>
                          <m:t>ExpCommodityTaxRat</m:t>
                        </m:r>
                        <m:sSub>
                          <m:sSubPr>
                            <m:ctrlPr>
                              <w:rPr>
                                <w:rFonts w:ascii="Cambria Math" w:hAnsi="Cambria Math"/>
                                <w:i/>
                                <w:color w:val="265A9A" w:themeColor="background2"/>
                              </w:rPr>
                            </m:ctrlPr>
                          </m:sSubPr>
                          <m:e>
                            <m:r>
                              <w:rPr>
                                <w:rFonts w:ascii="Cambria Math" w:hAnsi="Cambria Math"/>
                                <w:color w:val="265A9A" w:themeColor="background2"/>
                              </w:rPr>
                              <m:t>e</m:t>
                            </m:r>
                          </m:e>
                          <m:sub>
                            <m:r>
                              <w:rPr>
                                <w:rFonts w:ascii="Cambria Math" w:hAnsi="Cambria Math"/>
                                <w:color w:val="265A9A" w:themeColor="background2"/>
                              </w:rPr>
                              <m:t>c</m:t>
                            </m:r>
                          </m:sub>
                        </m:sSub>
                        <m:f>
                          <m:fPr>
                            <m:ctrlPr>
                              <w:rPr>
                                <w:rFonts w:ascii="Cambria Math" w:hAnsi="Cambria Math"/>
                                <w:i/>
                                <w:color w:val="000000"/>
                              </w:rPr>
                            </m:ctrlPr>
                          </m:fPr>
                          <m:num>
                            <m:r>
                              <w:rPr>
                                <w:rFonts w:ascii="Cambria Math" w:hAnsi="Cambria Math"/>
                                <w:color w:val="000000"/>
                              </w:rPr>
                              <m:t>ExpCommodity</m:t>
                            </m:r>
                            <m:sSubSup>
                              <m:sSubSupPr>
                                <m:ctrlPr>
                                  <w:rPr>
                                    <w:rFonts w:ascii="Cambria Math" w:hAnsi="Cambria Math"/>
                                    <w:i/>
                                    <w:color w:val="000000"/>
                                  </w:rPr>
                                </m:ctrlPr>
                              </m:sSubSupPr>
                              <m:e>
                                <m:r>
                                  <w:rPr>
                                    <w:rFonts w:ascii="Cambria Math" w:hAnsi="Cambria Math"/>
                                    <w:color w:val="000000"/>
                                  </w:rPr>
                                  <m:t>Q</m:t>
                                </m:r>
                              </m:e>
                              <m:sub>
                                <m:r>
                                  <w:rPr>
                                    <w:rFonts w:ascii="Cambria Math" w:hAnsi="Cambria Math"/>
                                    <w:color w:val="000000"/>
                                  </w:rPr>
                                  <m:t>c</m:t>
                                </m:r>
                              </m:sub>
                              <m:sup>
                                <m:r>
                                  <w:rPr>
                                    <w:rFonts w:ascii="Cambria Math" w:hAnsi="Cambria Math"/>
                                    <w:color w:val="000000"/>
                                  </w:rPr>
                                  <m:t>DEM</m:t>
                                </m:r>
                              </m:sup>
                            </m:sSubSup>
                            <m:r>
                              <w:rPr>
                                <w:rFonts w:ascii="Cambria Math" w:hAnsi="Cambria Math"/>
                                <w:color w:val="000000"/>
                              </w:rPr>
                              <m:t>*ExpCommodity</m:t>
                            </m:r>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c</m:t>
                                </m:r>
                              </m:sub>
                              <m:sup>
                                <m:r>
                                  <w:rPr>
                                    <w:rFonts w:ascii="Cambria Math" w:hAnsi="Cambria Math"/>
                                    <w:color w:val="000000"/>
                                  </w:rPr>
                                  <m:t>DEM</m:t>
                                </m:r>
                              </m:sup>
                            </m:sSubSup>
                          </m:num>
                          <m:den>
                            <m:r>
                              <w:rPr>
                                <w:rFonts w:ascii="Cambria Math" w:hAnsi="Cambria Math"/>
                                <w:color w:val="000000"/>
                              </w:rPr>
                              <m:t>1+</m:t>
                            </m:r>
                            <m:r>
                              <w:rPr>
                                <w:rFonts w:ascii="Cambria Math" w:hAnsi="Cambria Math"/>
                                <w:color w:val="265A9A" w:themeColor="background2"/>
                              </w:rPr>
                              <m:t>ExpCommodityTaxRat</m:t>
                            </m:r>
                            <m:sSub>
                              <m:sSubPr>
                                <m:ctrlPr>
                                  <w:rPr>
                                    <w:rFonts w:ascii="Cambria Math" w:hAnsi="Cambria Math"/>
                                    <w:i/>
                                    <w:color w:val="265A9A" w:themeColor="background2"/>
                                  </w:rPr>
                                </m:ctrlPr>
                              </m:sSubPr>
                              <m:e>
                                <m:r>
                                  <w:rPr>
                                    <w:rFonts w:ascii="Cambria Math" w:hAnsi="Cambria Math"/>
                                    <w:color w:val="265A9A" w:themeColor="background2"/>
                                  </w:rPr>
                                  <m:t>e</m:t>
                                </m:r>
                              </m:e>
                              <m:sub>
                                <m:r>
                                  <w:rPr>
                                    <w:rFonts w:ascii="Cambria Math" w:hAnsi="Cambria Math"/>
                                    <w:color w:val="265A9A" w:themeColor="background2"/>
                                  </w:rPr>
                                  <m:t>c</m:t>
                                </m:r>
                              </m:sub>
                            </m:sSub>
                          </m:den>
                        </m:f>
                      </m:e>
                    </m:d>
                  </m:e>
                </m:nary>
              </m:oMath>
            </m:oMathPara>
          </w:p>
        </w:tc>
      </w:tr>
      <w:tr w:rsidR="0001557F" w:rsidRPr="00030C67" w14:paraId="17788FBB" w14:textId="77777777" w:rsidTr="00DE07D8">
        <w:trPr>
          <w:cantSplit/>
        </w:trPr>
        <w:tc>
          <w:tcPr>
            <w:tcW w:w="239" w:type="pct"/>
            <w:tcBorders>
              <w:top w:val="nil"/>
              <w:bottom w:val="single" w:sz="4" w:space="0" w:color="BFBFBF" w:themeColor="background1" w:themeShade="BF"/>
            </w:tcBorders>
            <w:shd w:val="clear" w:color="000000" w:fill="auto"/>
          </w:tcPr>
          <w:p w14:paraId="5AF3D3E2" w14:textId="57E9487B" w:rsidR="0001557F" w:rsidRPr="000224EE" w:rsidRDefault="0001557F" w:rsidP="0001557F">
            <w:pPr>
              <w:pStyle w:val="TableBody"/>
              <w:numPr>
                <w:ilvl w:val="0"/>
                <w:numId w:val="10"/>
              </w:numPr>
              <w:spacing w:before="45" w:after="45"/>
              <w:ind w:left="57" w:right="108"/>
              <w:rPr>
                <w:rFonts w:ascii="Arial (Body)" w:hAnsi="Arial (Body)"/>
                <w:b/>
                <w:color w:val="265A9A"/>
              </w:rPr>
            </w:pPr>
            <w:r>
              <w:rPr>
                <w:rFonts w:ascii="Arial (Body)" w:hAnsi="Arial (Body)"/>
                <w:b/>
                <w:color w:val="265A9A"/>
              </w:rPr>
              <w:t>3</w:t>
            </w:r>
            <w:r w:rsidR="00107691">
              <w:rPr>
                <w:rFonts w:ascii="Arial (Body)" w:hAnsi="Arial (Body)"/>
                <w:b/>
                <w:color w:val="265A9A"/>
              </w:rPr>
              <w:t>2</w:t>
            </w:r>
            <w:r>
              <w:rPr>
                <w:rFonts w:ascii="Arial (Body)" w:hAnsi="Arial (Body)"/>
                <w:b/>
                <w:color w:val="265A9A"/>
              </w:rPr>
              <w:t>.</w:t>
            </w:r>
          </w:p>
        </w:tc>
        <w:tc>
          <w:tcPr>
            <w:tcW w:w="4761" w:type="pct"/>
            <w:tcBorders>
              <w:top w:val="nil"/>
              <w:bottom w:val="single" w:sz="4" w:space="0" w:color="BFBFBF" w:themeColor="background1" w:themeShade="BF"/>
            </w:tcBorders>
            <w:shd w:val="clear" w:color="000000" w:fill="auto"/>
          </w:tcPr>
          <w:p w14:paraId="57145F77" w14:textId="263E59A2" w:rsidR="0001557F" w:rsidRPr="000224EE" w:rsidRDefault="0001557F" w:rsidP="0001557F">
            <w:pPr>
              <w:pStyle w:val="TableBody"/>
              <w:spacing w:before="45" w:after="45"/>
              <w:ind w:right="108"/>
              <w:rPr>
                <w:rFonts w:ascii="Arial (Body)" w:eastAsiaTheme="minorEastAsia" w:hAnsi="Arial (Body)" w:hint="eastAsia"/>
                <w:color w:val="000000"/>
              </w:rPr>
            </w:pPr>
            <w:r>
              <w:rPr>
                <w:rFonts w:ascii="Arial (Body)" w:eastAsiaTheme="minorEastAsia" w:hAnsi="Arial (Body)"/>
                <w:color w:val="000000"/>
              </w:rPr>
              <w:t>Income tax per individual group</w:t>
            </w:r>
          </w:p>
          <w:p w14:paraId="359D9328" w14:textId="5BC1D3DC" w:rsidR="0001557F" w:rsidRPr="00F73778" w:rsidRDefault="0001557F" w:rsidP="0001557F">
            <w:pPr>
              <w:pStyle w:val="TableBody"/>
              <w:spacing w:before="45" w:after="45"/>
              <w:ind w:right="108"/>
              <w:rPr>
                <w:rFonts w:ascii="Arial (Body)" w:eastAsiaTheme="minorEastAsia" w:hAnsi="Arial (Body)" w:hint="eastAsia"/>
                <w:color w:val="000000"/>
              </w:rPr>
            </w:pPr>
            <m:oMathPara>
              <m:oMathParaPr>
                <m:jc m:val="left"/>
              </m:oMathParaPr>
              <m:oMath>
                <m:r>
                  <w:rPr>
                    <w:rFonts w:ascii="Cambria Math" w:eastAsiaTheme="minorEastAsia" w:hAnsi="Cambria Math"/>
                    <w:color w:val="000000"/>
                  </w:rPr>
                  <m:t>HHTaxScaleFactor=</m:t>
                </m:r>
                <m:f>
                  <m:fPr>
                    <m:ctrlPr>
                      <w:rPr>
                        <w:rFonts w:ascii="Cambria Math" w:hAnsi="Cambria Math"/>
                        <w:i/>
                        <w:color w:val="000000"/>
                      </w:rPr>
                    </m:ctrlPr>
                  </m:fPr>
                  <m:num>
                    <m:r>
                      <w:rPr>
                        <w:rFonts w:ascii="Cambria Math" w:hAnsi="Cambria Math"/>
                        <w:color w:val="000000"/>
                      </w:rPr>
                      <m:t>HHIncTax</m:t>
                    </m:r>
                  </m:num>
                  <m:den>
                    <m:nary>
                      <m:naryPr>
                        <m:chr m:val="∑"/>
                        <m:supHide m:val="1"/>
                        <m:ctrlPr>
                          <w:rPr>
                            <w:rFonts w:ascii="Cambria Math" w:hAnsi="Cambria Math"/>
                            <w:i/>
                            <w:color w:val="000000"/>
                          </w:rPr>
                        </m:ctrlPr>
                      </m:naryPr>
                      <m:sub>
                        <m:r>
                          <w:rPr>
                            <w:rFonts w:ascii="Cambria Math" w:hAnsi="Cambria Math"/>
                            <w:color w:val="000000"/>
                          </w:rPr>
                          <m:t>l</m:t>
                        </m:r>
                      </m:sub>
                      <m:sup/>
                      <m:e>
                        <m:d>
                          <m:dPr>
                            <m:ctrlPr>
                              <w:rPr>
                                <w:rFonts w:ascii="Cambria Math" w:hAnsi="Cambria Math"/>
                                <w:i/>
                                <w:color w:val="000000"/>
                              </w:rPr>
                            </m:ctrlPr>
                          </m:dPr>
                          <m:e>
                            <m:r>
                              <w:rPr>
                                <w:rFonts w:ascii="Cambria Math" w:hAnsi="Cambria Math"/>
                                <w:color w:val="4D7028" w:themeColor="accent2"/>
                              </w:rPr>
                              <m:t>OrigGroupTaxRat</m:t>
                            </m:r>
                            <m:sSub>
                              <m:sSubPr>
                                <m:ctrlPr>
                                  <w:rPr>
                                    <w:rFonts w:ascii="Cambria Math" w:hAnsi="Cambria Math"/>
                                    <w:i/>
                                    <w:color w:val="4D7028" w:themeColor="accent2"/>
                                  </w:rPr>
                                </m:ctrlPr>
                              </m:sSubPr>
                              <m:e>
                                <m:r>
                                  <w:rPr>
                                    <w:rFonts w:ascii="Cambria Math" w:hAnsi="Cambria Math"/>
                                    <w:color w:val="4D7028" w:themeColor="accent2"/>
                                  </w:rPr>
                                  <m:t>e</m:t>
                                </m:r>
                              </m:e>
                              <m:sub>
                                <m:r>
                                  <w:rPr>
                                    <w:rFonts w:ascii="Cambria Math" w:hAnsi="Cambria Math"/>
                                    <w:color w:val="4D7028" w:themeColor="accent2"/>
                                  </w:rPr>
                                  <m:t>l</m:t>
                                </m:r>
                              </m:sub>
                            </m:sSub>
                            <m:r>
                              <w:rPr>
                                <w:rFonts w:ascii="Cambria Math" w:hAnsi="Cambria Math"/>
                                <w:color w:val="000000"/>
                              </w:rPr>
                              <m:t>*</m:t>
                            </m:r>
                            <m:d>
                              <m:dPr>
                                <m:ctrlPr>
                                  <w:rPr>
                                    <w:rFonts w:ascii="Cambria Math" w:eastAsiaTheme="minorEastAsia" w:hAnsi="Cambria Math"/>
                                    <w:i/>
                                    <w:color w:val="000000"/>
                                  </w:rPr>
                                </m:ctrlPr>
                              </m:dPr>
                              <m:e>
                                <m:r>
                                  <w:rPr>
                                    <w:rFonts w:ascii="Cambria Math" w:eastAsiaTheme="minorEastAsia" w:hAnsi="Cambria Math"/>
                                    <w:color w:val="000000"/>
                                  </w:rPr>
                                  <m:t>Lab</m:t>
                                </m:r>
                                <m:sSubSup>
                                  <m:sSubSupPr>
                                    <m:ctrlPr>
                                      <w:rPr>
                                        <w:rFonts w:ascii="Cambria Math" w:eastAsiaTheme="minorEastAsia" w:hAnsi="Cambria Math"/>
                                        <w:i/>
                                        <w:color w:val="000000"/>
                                      </w:rPr>
                                    </m:ctrlPr>
                                  </m:sSubSupPr>
                                  <m:e>
                                    <m:r>
                                      <w:rPr>
                                        <w:rFonts w:ascii="Cambria Math" w:eastAsiaTheme="minorEastAsia" w:hAnsi="Cambria Math"/>
                                        <w:color w:val="000000"/>
                                      </w:rPr>
                                      <m:t>Q</m:t>
                                    </m:r>
                                  </m:e>
                                  <m:sub>
                                    <m:r>
                                      <w:rPr>
                                        <w:rFonts w:ascii="Cambria Math" w:eastAsiaTheme="minorEastAsia" w:hAnsi="Cambria Math"/>
                                        <w:color w:val="000000"/>
                                      </w:rPr>
                                      <m:t>l</m:t>
                                    </m:r>
                                  </m:sub>
                                  <m:sup>
                                    <m:r>
                                      <w:rPr>
                                        <w:rFonts w:ascii="Cambria Math" w:eastAsiaTheme="minorEastAsia" w:hAnsi="Cambria Math"/>
                                        <w:color w:val="000000"/>
                                      </w:rPr>
                                      <m:t>SUP</m:t>
                                    </m:r>
                                  </m:sup>
                                </m:sSubSup>
                                <m:r>
                                  <w:rPr>
                                    <w:rFonts w:ascii="Cambria Math" w:hAnsi="Cambria Math"/>
                                    <w:color w:val="000000"/>
                                  </w:rPr>
                                  <m:t>* Lab</m:t>
                                </m:r>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l</m:t>
                                    </m:r>
                                  </m:sub>
                                  <m:sup>
                                    <m:r>
                                      <w:rPr>
                                        <w:rFonts w:ascii="Cambria Math" w:hAnsi="Cambria Math"/>
                                        <w:color w:val="000000"/>
                                      </w:rPr>
                                      <m:t>SUP</m:t>
                                    </m:r>
                                  </m:sup>
                                </m:sSubSup>
                                <m:r>
                                  <w:rPr>
                                    <w:rFonts w:ascii="Cambria Math" w:eastAsiaTheme="minorEastAsia" w:hAnsi="Cambria Math"/>
                                    <w:color w:val="000000"/>
                                  </w:rPr>
                                  <m:t>+GroupCapitalIn</m:t>
                                </m:r>
                                <m:sSub>
                                  <m:sSubPr>
                                    <m:ctrlPr>
                                      <w:rPr>
                                        <w:rFonts w:ascii="Cambria Math" w:eastAsiaTheme="minorEastAsia" w:hAnsi="Cambria Math"/>
                                        <w:i/>
                                        <w:color w:val="000000"/>
                                      </w:rPr>
                                    </m:ctrlPr>
                                  </m:sSubPr>
                                  <m:e>
                                    <m:r>
                                      <w:rPr>
                                        <w:rFonts w:ascii="Cambria Math" w:eastAsiaTheme="minorEastAsia" w:hAnsi="Cambria Math"/>
                                        <w:color w:val="000000"/>
                                      </w:rPr>
                                      <m:t>c</m:t>
                                    </m:r>
                                  </m:e>
                                  <m:sub>
                                    <m:r>
                                      <w:rPr>
                                        <w:rFonts w:ascii="Cambria Math" w:eastAsiaTheme="minorEastAsia" w:hAnsi="Cambria Math"/>
                                        <w:color w:val="000000"/>
                                      </w:rPr>
                                      <m:t>l</m:t>
                                    </m:r>
                                  </m:sub>
                                </m:sSub>
                              </m:e>
                            </m:d>
                          </m:e>
                        </m:d>
                      </m:e>
                    </m:nary>
                  </m:den>
                </m:f>
              </m:oMath>
            </m:oMathPara>
          </w:p>
          <w:p w14:paraId="439F3451" w14:textId="27757D5E" w:rsidR="0001557F" w:rsidRPr="00F73778" w:rsidRDefault="0001557F" w:rsidP="0001557F">
            <w:pPr>
              <w:pStyle w:val="TableBody"/>
              <w:spacing w:before="45" w:after="45"/>
              <w:ind w:right="108"/>
              <w:rPr>
                <w:rFonts w:ascii="Arial (Body)" w:eastAsiaTheme="minorEastAsia" w:hAnsi="Arial (Body)" w:hint="eastAsia"/>
                <w:color w:val="000000"/>
              </w:rPr>
            </w:pPr>
            <m:oMathPara>
              <m:oMathParaPr>
                <m:jc m:val="left"/>
              </m:oMathParaPr>
              <m:oMath>
                <m:r>
                  <w:rPr>
                    <w:rFonts w:ascii="Cambria Math" w:hAnsi="Cambria Math"/>
                    <w:color w:val="000000"/>
                  </w:rPr>
                  <m:t>GroupIncTa</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l</m:t>
                    </m:r>
                  </m:sub>
                </m:sSub>
                <m:r>
                  <w:rPr>
                    <w:rFonts w:ascii="Cambria Math" w:eastAsiaTheme="minorEastAsia" w:hAnsi="Cambria Math"/>
                    <w:color w:val="000000"/>
                  </w:rPr>
                  <m:t>=HHTaxScaleFactor*</m:t>
                </m:r>
                <m:r>
                  <w:rPr>
                    <w:rFonts w:ascii="Cambria Math" w:hAnsi="Cambria Math"/>
                    <w:color w:val="4D7028" w:themeColor="accent2"/>
                  </w:rPr>
                  <m:t>OrigGroupTaxRat</m:t>
                </m:r>
                <m:sSub>
                  <m:sSubPr>
                    <m:ctrlPr>
                      <w:rPr>
                        <w:rFonts w:ascii="Cambria Math" w:hAnsi="Cambria Math"/>
                        <w:i/>
                        <w:color w:val="4D7028" w:themeColor="accent2"/>
                      </w:rPr>
                    </m:ctrlPr>
                  </m:sSubPr>
                  <m:e>
                    <m:r>
                      <w:rPr>
                        <w:rFonts w:ascii="Cambria Math" w:hAnsi="Cambria Math"/>
                        <w:color w:val="4D7028" w:themeColor="accent2"/>
                      </w:rPr>
                      <m:t>e</m:t>
                    </m:r>
                  </m:e>
                  <m:sub>
                    <m:r>
                      <w:rPr>
                        <w:rFonts w:ascii="Cambria Math" w:hAnsi="Cambria Math"/>
                        <w:color w:val="4D7028" w:themeColor="accent2"/>
                      </w:rPr>
                      <m:t>l</m:t>
                    </m:r>
                  </m:sub>
                </m:sSub>
                <m:r>
                  <w:rPr>
                    <w:rFonts w:ascii="Cambria Math" w:hAnsi="Cambria Math"/>
                    <w:color w:val="000000"/>
                  </w:rPr>
                  <m:t>*</m:t>
                </m:r>
                <m:d>
                  <m:dPr>
                    <m:ctrlPr>
                      <w:rPr>
                        <w:rFonts w:ascii="Cambria Math" w:eastAsiaTheme="minorEastAsia" w:hAnsi="Cambria Math"/>
                        <w:i/>
                        <w:color w:val="000000"/>
                      </w:rPr>
                    </m:ctrlPr>
                  </m:dPr>
                  <m:e>
                    <m:r>
                      <w:rPr>
                        <w:rFonts w:ascii="Cambria Math" w:eastAsiaTheme="minorEastAsia" w:hAnsi="Cambria Math"/>
                        <w:color w:val="000000"/>
                      </w:rPr>
                      <m:t>Lab</m:t>
                    </m:r>
                    <m:sSubSup>
                      <m:sSubSupPr>
                        <m:ctrlPr>
                          <w:rPr>
                            <w:rFonts w:ascii="Cambria Math" w:eastAsiaTheme="minorEastAsia" w:hAnsi="Cambria Math"/>
                            <w:i/>
                            <w:color w:val="000000"/>
                          </w:rPr>
                        </m:ctrlPr>
                      </m:sSubSupPr>
                      <m:e>
                        <m:r>
                          <w:rPr>
                            <w:rFonts w:ascii="Cambria Math" w:eastAsiaTheme="minorEastAsia" w:hAnsi="Cambria Math"/>
                            <w:color w:val="000000"/>
                          </w:rPr>
                          <m:t>Q</m:t>
                        </m:r>
                      </m:e>
                      <m:sub>
                        <m:r>
                          <w:rPr>
                            <w:rFonts w:ascii="Cambria Math" w:eastAsiaTheme="minorEastAsia" w:hAnsi="Cambria Math"/>
                            <w:color w:val="000000"/>
                          </w:rPr>
                          <m:t>l</m:t>
                        </m:r>
                      </m:sub>
                      <m:sup>
                        <m:r>
                          <w:rPr>
                            <w:rFonts w:ascii="Cambria Math" w:eastAsiaTheme="minorEastAsia" w:hAnsi="Cambria Math"/>
                            <w:color w:val="000000"/>
                          </w:rPr>
                          <m:t>SUP</m:t>
                        </m:r>
                      </m:sup>
                    </m:sSubSup>
                    <m:r>
                      <w:rPr>
                        <w:rFonts w:ascii="Cambria Math" w:hAnsi="Cambria Math"/>
                        <w:color w:val="000000"/>
                      </w:rPr>
                      <m:t>* Lab</m:t>
                    </m:r>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l</m:t>
                        </m:r>
                      </m:sub>
                      <m:sup>
                        <m:r>
                          <w:rPr>
                            <w:rFonts w:ascii="Cambria Math" w:hAnsi="Cambria Math"/>
                            <w:color w:val="000000"/>
                          </w:rPr>
                          <m:t>SUP</m:t>
                        </m:r>
                      </m:sup>
                    </m:sSubSup>
                    <m:r>
                      <w:rPr>
                        <w:rFonts w:ascii="Cambria Math" w:eastAsiaTheme="minorEastAsia" w:hAnsi="Cambria Math"/>
                        <w:color w:val="000000"/>
                      </w:rPr>
                      <m:t>+GroupCapitalIn</m:t>
                    </m:r>
                    <m:sSub>
                      <m:sSubPr>
                        <m:ctrlPr>
                          <w:rPr>
                            <w:rFonts w:ascii="Cambria Math" w:eastAsiaTheme="minorEastAsia" w:hAnsi="Cambria Math"/>
                            <w:i/>
                            <w:color w:val="000000"/>
                          </w:rPr>
                        </m:ctrlPr>
                      </m:sSubPr>
                      <m:e>
                        <m:r>
                          <w:rPr>
                            <w:rFonts w:ascii="Cambria Math" w:eastAsiaTheme="minorEastAsia" w:hAnsi="Cambria Math"/>
                            <w:color w:val="000000"/>
                          </w:rPr>
                          <m:t>c</m:t>
                        </m:r>
                      </m:e>
                      <m:sub>
                        <m:r>
                          <w:rPr>
                            <w:rFonts w:ascii="Cambria Math" w:eastAsiaTheme="minorEastAsia" w:hAnsi="Cambria Math"/>
                            <w:color w:val="000000"/>
                          </w:rPr>
                          <m:t>l</m:t>
                        </m:r>
                      </m:sub>
                    </m:sSub>
                  </m:e>
                </m:d>
              </m:oMath>
            </m:oMathPara>
          </w:p>
        </w:tc>
      </w:tr>
    </w:tbl>
    <w:p w14:paraId="4536285C" w14:textId="77777777" w:rsidR="00C4682B" w:rsidRPr="00EB637B" w:rsidRDefault="00C4682B" w:rsidP="00F95D72">
      <w:pPr>
        <w:pStyle w:val="BodyText"/>
      </w:pPr>
    </w:p>
    <w:p w14:paraId="0F788D84" w14:textId="77777777" w:rsidR="004C211E" w:rsidRDefault="004C211E" w:rsidP="006A31C3">
      <w:pPr>
        <w:pStyle w:val="Heading1-nobackground"/>
        <w:sectPr w:rsidR="004C211E" w:rsidSect="00DD403A">
          <w:headerReference w:type="default" r:id="rId47"/>
          <w:type w:val="oddPage"/>
          <w:pgSz w:w="11906" w:h="16838" w:code="9"/>
          <w:pgMar w:top="1134" w:right="1134" w:bottom="1134" w:left="1134" w:header="794" w:footer="510" w:gutter="0"/>
          <w:cols w:space="708"/>
          <w:docGrid w:linePitch="360"/>
        </w:sectPr>
      </w:pPr>
    </w:p>
    <w:p w14:paraId="4D0FAD6B" w14:textId="3D0D2BE1" w:rsidR="00A86051" w:rsidRDefault="00470030" w:rsidP="006A31C3">
      <w:pPr>
        <w:pStyle w:val="Heading1-nobackground"/>
      </w:pPr>
      <w:bookmarkStart w:id="27" w:name="_Toc126176836"/>
      <w:r>
        <w:lastRenderedPageBreak/>
        <w:t xml:space="preserve">Attachment </w:t>
      </w:r>
      <w:r w:rsidR="007C4F9A">
        <w:t xml:space="preserve">A </w:t>
      </w:r>
      <w:r>
        <w:t xml:space="preserve">— </w:t>
      </w:r>
      <w:r w:rsidR="007C4F9A">
        <w:t xml:space="preserve">Review of </w:t>
      </w:r>
      <w:r w:rsidR="0034116F">
        <w:t>‘</w:t>
      </w:r>
      <w:r w:rsidR="00675198">
        <w:t>whole</w:t>
      </w:r>
      <w:r w:rsidR="0034116F">
        <w:noBreakHyphen/>
      </w:r>
      <w:r w:rsidR="00675198">
        <w:t>of</w:t>
      </w:r>
      <w:r w:rsidR="0034116F">
        <w:noBreakHyphen/>
      </w:r>
      <w:r w:rsidR="00675198">
        <w:t>economy modelling</w:t>
      </w:r>
      <w:r w:rsidR="0034116F">
        <w:t>’</w:t>
      </w:r>
      <w:bookmarkEnd w:id="27"/>
    </w:p>
    <w:p w14:paraId="31229556" w14:textId="4C174819" w:rsidR="0034116F" w:rsidRDefault="0034116F" w:rsidP="0034116F">
      <w:pPr>
        <w:pStyle w:val="BodyText"/>
      </w:pPr>
      <w:r>
        <w:t xml:space="preserve">LY Cao, </w:t>
      </w:r>
      <w:r w:rsidR="00C47B2B" w:rsidRPr="00C47B2B">
        <w:t xml:space="preserve">Australian Bureau of Agricultural and Resource Economics and Sciences </w:t>
      </w:r>
      <w:r w:rsidR="00C47B2B">
        <w:t>(</w:t>
      </w:r>
      <w:r>
        <w:t>ABARES</w:t>
      </w:r>
      <w:r w:rsidR="00C47B2B">
        <w:t>)</w:t>
      </w:r>
      <w:r>
        <w:t>, Canberra</w:t>
      </w:r>
      <w:r w:rsidR="000774D6">
        <w:t>.</w:t>
      </w:r>
    </w:p>
    <w:p w14:paraId="16C7CF79" w14:textId="01D6EA10" w:rsidR="0034116F" w:rsidRDefault="0034116F" w:rsidP="0034116F">
      <w:pPr>
        <w:pStyle w:val="BodyText"/>
      </w:pPr>
      <w:r>
        <w:t>I found the modelling appendix is well written and structured. It presents the CGE model developed by the Productivity Commission. The model is purposely built inhouse to suit the needs of the Commission’s inquiry.</w:t>
      </w:r>
      <w:r w:rsidR="005456C0">
        <w:t xml:space="preserve"> </w:t>
      </w:r>
      <w:r>
        <w:t>The model is considered as a standard, static, national CGE model with connection to the rest of world through trade, investment and foreign ownership of capital. One feature I would like to highlight is that the model represents Australian households in detail. It includes households by age group, gender and education level. This enables a kind of microsimulation</w:t>
      </w:r>
      <w:r w:rsidR="004B308E">
        <w:noBreakHyphen/>
      </w:r>
      <w:r>
        <w:t>type modelling to understand different effects of reforms on different household groups, for example, how economic benefits of a productivity reform are distributed across household groups (is the reform leading to improvement of equality or the opposite?).</w:t>
      </w:r>
      <w:r w:rsidR="00AF7A75">
        <w:t xml:space="preserve"> </w:t>
      </w:r>
      <w:r>
        <w:t>The model also includes endogenous labour supply through labour and leisure choices, which allows understanding of insights on labour supply responses across household groups under a set of stylised productivity reforms simulated in this inquiry.</w:t>
      </w:r>
      <w:r w:rsidR="005456C0">
        <w:t xml:space="preserve"> </w:t>
      </w:r>
    </w:p>
    <w:p w14:paraId="0A6F1686" w14:textId="288C7530" w:rsidR="0034116F" w:rsidRPr="005C5E10" w:rsidRDefault="0034116F" w:rsidP="0034116F">
      <w:pPr>
        <w:pStyle w:val="BodyText"/>
        <w:rPr>
          <w:spacing w:val="-4"/>
        </w:rPr>
      </w:pPr>
      <w:r w:rsidRPr="005C5E10">
        <w:rPr>
          <w:spacing w:val="-4"/>
        </w:rPr>
        <w:t>I found the model is well documented in this appendix. The closure assumptions, nesting structures of each block, databases, parameterisation and calibration are all discussed in detail. Given the representation of multiple household groups in the model, additional sources (such as SIH and HES) of data to input</w:t>
      </w:r>
      <w:r w:rsidR="004B308E" w:rsidRPr="005C5E10">
        <w:rPr>
          <w:spacing w:val="-4"/>
        </w:rPr>
        <w:noBreakHyphen/>
      </w:r>
      <w:r w:rsidRPr="005C5E10">
        <w:rPr>
          <w:spacing w:val="-4"/>
        </w:rPr>
        <w:t xml:space="preserve">output tables are used to calibrate the household block. I found the household block is relatively complex but a very useful feature in this model, compared </w:t>
      </w:r>
      <w:r w:rsidR="003109E1" w:rsidRPr="005C5E10">
        <w:rPr>
          <w:spacing w:val="-4"/>
        </w:rPr>
        <w:t>with</w:t>
      </w:r>
      <w:r w:rsidRPr="005C5E10">
        <w:rPr>
          <w:spacing w:val="-4"/>
        </w:rPr>
        <w:t xml:space="preserve"> some of other standard CGE models, since it introduces endogenous labour supply and potential unemployment through wage floor constraint for each household group.</w:t>
      </w:r>
    </w:p>
    <w:p w14:paraId="62BFC3AE" w14:textId="7373E86C" w:rsidR="0034116F" w:rsidRDefault="0034116F" w:rsidP="0034116F">
      <w:pPr>
        <w:pStyle w:val="BodyText"/>
      </w:pPr>
      <w:r>
        <w:t xml:space="preserve">The model is used to run a number of scenarios to gain insights of reforms. Each scenario represents a set of stylised productivity shocks for relevant sectors and/or household groups from hypothetical reforms. Overall, I found the model implementation of the channels of shocks is sensible, and the model results are largely as expected for each scenario, noting the closure assumptions and model parameters used. All results are well interpreted in the appendix. </w:t>
      </w:r>
    </w:p>
    <w:p w14:paraId="71C2E278" w14:textId="77777777" w:rsidR="0034116F" w:rsidRDefault="0034116F" w:rsidP="0034116F">
      <w:pPr>
        <w:pStyle w:val="BodyText"/>
      </w:pPr>
      <w:r>
        <w:t xml:space="preserve">My specific comments are listed below: </w:t>
      </w:r>
    </w:p>
    <w:p w14:paraId="5C7703E3" w14:textId="77777777" w:rsidR="0034116F" w:rsidRDefault="0034116F" w:rsidP="00317C65">
      <w:pPr>
        <w:pStyle w:val="ListNumber"/>
      </w:pPr>
      <w:r>
        <w:t>I would suggest also to report the model results on gross national income, since it captures foreign income transfers</w:t>
      </w:r>
    </w:p>
    <w:p w14:paraId="5CDD03B0" w14:textId="77777777" w:rsidR="0034116F" w:rsidRDefault="0034116F" w:rsidP="00317C65">
      <w:pPr>
        <w:pStyle w:val="ListNumber"/>
      </w:pPr>
      <w:r>
        <w:t xml:space="preserve">For the aggregation of sectors used, i.e. 17 sectors, some justifications for the choice would be useful </w:t>
      </w:r>
    </w:p>
    <w:p w14:paraId="25E36A2E" w14:textId="77777777" w:rsidR="0034116F" w:rsidRDefault="0034116F" w:rsidP="00317C65">
      <w:pPr>
        <w:pStyle w:val="ListNumber"/>
      </w:pPr>
      <w:r>
        <w:t>For the primary factors in the model, note that land is not a separate factor. This can be considered as a limitation of the model, since land is an important input to Agriculture.</w:t>
      </w:r>
    </w:p>
    <w:p w14:paraId="206D2820" w14:textId="77777777" w:rsidR="0034116F" w:rsidRDefault="0034116F" w:rsidP="00317C65">
      <w:pPr>
        <w:pStyle w:val="ListNumber"/>
      </w:pPr>
      <w:r>
        <w:t>In relation with the model closure, suggest adding some reasons for keeping foreign investment fixed, when simulated domestic productivity increases</w:t>
      </w:r>
    </w:p>
    <w:p w14:paraId="16A91D0F" w14:textId="77777777" w:rsidR="0034116F" w:rsidRDefault="0034116F" w:rsidP="00317C65">
      <w:pPr>
        <w:pStyle w:val="ListNumber"/>
      </w:pPr>
      <w:r>
        <w:t>It would be useful to make it clear that an endogenous lump sum transfer to households is used to balance the government budget</w:t>
      </w:r>
    </w:p>
    <w:p w14:paraId="70CC7C39" w14:textId="77777777" w:rsidR="0034116F" w:rsidRDefault="0034116F" w:rsidP="00317C65">
      <w:pPr>
        <w:pStyle w:val="ListNumber"/>
      </w:pPr>
      <w:r>
        <w:t>Determining investment to keep capital stock constant implies the assumption of the capital stock being in a steady state. This has implications on domestic investment and savings required. Whether assuming a trend growth of capital stock would be more appropriate?</w:t>
      </w:r>
    </w:p>
    <w:p w14:paraId="6FC68440" w14:textId="77777777" w:rsidR="0034116F" w:rsidRDefault="0034116F" w:rsidP="00317C65">
      <w:pPr>
        <w:pStyle w:val="ListNumber"/>
      </w:pPr>
      <w:r>
        <w:t xml:space="preserve">Model limitations may include: not dynamic and cannot simulate a time path of effects; land is not a separate primary factor (also see comment 3); both capital and labour are assumed perfectly mobile across sectors. If capital is immobile, for example, the gain would be smaller. </w:t>
      </w:r>
    </w:p>
    <w:p w14:paraId="2DCC7AAB" w14:textId="77777777" w:rsidR="0034116F" w:rsidRDefault="0034116F" w:rsidP="00317C65">
      <w:pPr>
        <w:pStyle w:val="ListNumber"/>
      </w:pPr>
      <w:r>
        <w:lastRenderedPageBreak/>
        <w:t>It would be interesting to know what the implied labour supply elasticity is with the assumed parameter of 0.5 for the ratio of total hours worked to the total time available</w:t>
      </w:r>
    </w:p>
    <w:p w14:paraId="188ACFDC" w14:textId="4EEA51E9" w:rsidR="0034116F" w:rsidRDefault="0034116F" w:rsidP="00317C65">
      <w:pPr>
        <w:pStyle w:val="ListNumber"/>
      </w:pPr>
      <w:r>
        <w:t>For the trade elasticities, a reference source could also include the GTAP database</w:t>
      </w:r>
    </w:p>
    <w:p w14:paraId="2054E751" w14:textId="77777777" w:rsidR="0034116F" w:rsidRDefault="0034116F" w:rsidP="00317C65">
      <w:pPr>
        <w:pStyle w:val="ListNumber"/>
      </w:pPr>
      <w:r>
        <w:t>For the CET elasticity between export and domestic market, depending on commodities, the number could be even higher. I tend to believe that a larger elasticity implies bigger effects.</w:t>
      </w:r>
    </w:p>
    <w:p w14:paraId="743AD155" w14:textId="77777777" w:rsidR="0034116F" w:rsidRDefault="0034116F" w:rsidP="00317C65">
      <w:pPr>
        <w:pStyle w:val="ListNumber"/>
      </w:pPr>
      <w:r>
        <w:t xml:space="preserve">That costs of implementing reforms are not included in the modelling can be added to the limitations of the modelling </w:t>
      </w:r>
    </w:p>
    <w:p w14:paraId="0F7DB1F4" w14:textId="77777777" w:rsidR="0034116F" w:rsidRDefault="0034116F" w:rsidP="00317C65">
      <w:pPr>
        <w:pStyle w:val="ListNumber"/>
      </w:pPr>
      <w:r>
        <w:t>The design for scenario 3a) and 3b) could be confusing, particularly in terms of comparison of results, whether 3b) is compared against the normal baseline or the 3a)</w:t>
      </w:r>
    </w:p>
    <w:p w14:paraId="64208BB8" w14:textId="296534B1" w:rsidR="0034116F" w:rsidRDefault="0034116F" w:rsidP="00317C65">
      <w:pPr>
        <w:pStyle w:val="ListNumber"/>
      </w:pPr>
      <w:r>
        <w:t>For scenario 5, the shocks are interpreted as in short</w:t>
      </w:r>
      <w:r w:rsidR="004B308E">
        <w:noBreakHyphen/>
      </w:r>
      <w:r>
        <w:t>run, long</w:t>
      </w:r>
      <w:r w:rsidR="004B308E">
        <w:noBreakHyphen/>
      </w:r>
      <w:r>
        <w:t>run and very long</w:t>
      </w:r>
      <w:r w:rsidR="004B308E">
        <w:noBreakHyphen/>
      </w:r>
      <w:r>
        <w:t>run; while the model closure does not change accordingly – some explanations on the reasoning would be useful</w:t>
      </w:r>
    </w:p>
    <w:p w14:paraId="4F9D06E2" w14:textId="0AF997EB" w:rsidR="0034116F" w:rsidRDefault="0034116F" w:rsidP="00317C65">
      <w:pPr>
        <w:pStyle w:val="ListNumber"/>
      </w:pPr>
      <w:r>
        <w:t>For the table on Whole</w:t>
      </w:r>
      <w:r w:rsidR="004B308E">
        <w:noBreakHyphen/>
      </w:r>
      <w:r>
        <w:t>of</w:t>
      </w:r>
      <w:r w:rsidR="004B308E">
        <w:noBreakHyphen/>
      </w:r>
      <w:r>
        <w:t>economy outputs, it would be good to include a note that the prices are relative to the fixed numeraire which is CPI</w:t>
      </w:r>
    </w:p>
    <w:p w14:paraId="561DDB4D" w14:textId="77777777" w:rsidR="0034116F" w:rsidRPr="00BD6724" w:rsidRDefault="0034116F" w:rsidP="00317C65">
      <w:pPr>
        <w:pStyle w:val="ListNumber"/>
        <w:rPr>
          <w:spacing w:val="-2"/>
        </w:rPr>
      </w:pPr>
      <w:r w:rsidRPr="00BD6724">
        <w:rPr>
          <w:spacing w:val="-2"/>
        </w:rPr>
        <w:t>In terms of reporting the results across sectors, are there any better metrics to measure the relative impacts between sectors, for example, change in GDP relative to change in the output of the shocked sector</w:t>
      </w:r>
    </w:p>
    <w:p w14:paraId="5272F296" w14:textId="0A04EC47" w:rsidR="0034116F" w:rsidRDefault="0034116F" w:rsidP="00317C65">
      <w:pPr>
        <w:pStyle w:val="ListNumber"/>
      </w:pPr>
      <w:r>
        <w:t>Some interpretation of sector</w:t>
      </w:r>
      <w:r w:rsidR="004B308E">
        <w:noBreakHyphen/>
      </w:r>
      <w:r>
        <w:t xml:space="preserve">specific impacts could be related to the capital intensity of the affected sector – as the intensity would drive the requirement for capital, given capital is flexible in this modelling </w:t>
      </w:r>
    </w:p>
    <w:p w14:paraId="1ED147A0" w14:textId="77777777" w:rsidR="0034116F" w:rsidRDefault="0034116F" w:rsidP="00317C65">
      <w:pPr>
        <w:pStyle w:val="ListNumber"/>
      </w:pPr>
      <w:r>
        <w:t>The interpretations of the results are mostly on labour. I’d suggest including the effects on capital as well in the interpretations.</w:t>
      </w:r>
    </w:p>
    <w:p w14:paraId="5DB58483" w14:textId="77777777" w:rsidR="0034116F" w:rsidRDefault="0034116F" w:rsidP="00317C65">
      <w:pPr>
        <w:pStyle w:val="ListNumber"/>
      </w:pPr>
      <w:r>
        <w:t>In the first chart for the sim 2: what would be the reasons for the price drop for other manufacturing, and quantity drop for advanced manufacturing?</w:t>
      </w:r>
    </w:p>
    <w:p w14:paraId="17A9890F" w14:textId="77777777" w:rsidR="0034116F" w:rsidRDefault="0034116F" w:rsidP="00317C65">
      <w:pPr>
        <w:pStyle w:val="ListNumber"/>
      </w:pPr>
      <w:r>
        <w:t xml:space="preserve">Interpretation for 3a) and 3b) could be made clearer (also see the comment 12 above). </w:t>
      </w:r>
    </w:p>
    <w:p w14:paraId="5DFBB467" w14:textId="44E0244B" w:rsidR="0034116F" w:rsidRPr="00D75102" w:rsidRDefault="0034116F" w:rsidP="00317C65">
      <w:pPr>
        <w:pStyle w:val="ListNumber"/>
      </w:pPr>
      <w:r>
        <w:t xml:space="preserve">The first chart in sim 5, based on the impacts on price and quantity, the implied price elasticity of demand for school education is greater than </w:t>
      </w:r>
      <w:r w:rsidR="004B308E">
        <w:noBreakHyphen/>
      </w:r>
      <w:r>
        <w:t xml:space="preserve">1. Any estimate of this elasticity in the literature? Also, note in the second chart for sim 5 in relation with long run shocks, the implied elasticity for school education is much </w:t>
      </w:r>
      <w:r w:rsidRPr="00D75102">
        <w:t>smaller (or much bigger in absolute value).</w:t>
      </w:r>
    </w:p>
    <w:p w14:paraId="1C44B6DA" w14:textId="54CFE031" w:rsidR="0034116F" w:rsidRPr="00BD6724" w:rsidRDefault="0034116F" w:rsidP="00317C65">
      <w:pPr>
        <w:pStyle w:val="ListNumber"/>
        <w:rPr>
          <w:spacing w:val="-4"/>
        </w:rPr>
      </w:pPr>
      <w:r w:rsidRPr="00BD6724">
        <w:rPr>
          <w:spacing w:val="-4"/>
        </w:rPr>
        <w:t>For sim 6, are the employment falls for older age groups due to the income effect as a result of higher wage?</w:t>
      </w:r>
    </w:p>
    <w:p w14:paraId="166E47D9" w14:textId="6492F341" w:rsidR="0034116F" w:rsidRPr="00BD6724" w:rsidRDefault="0034116F" w:rsidP="00317C65">
      <w:pPr>
        <w:pStyle w:val="ListNumber"/>
        <w:rPr>
          <w:spacing w:val="-4"/>
        </w:rPr>
      </w:pPr>
      <w:r w:rsidRPr="00BD6724">
        <w:rPr>
          <w:spacing w:val="-4"/>
        </w:rPr>
        <w:t>I found the sensitivity test results are useful, which provide a range of possible estimates, depending on parameter values and closure assumptions. The directions of changes with the changes in parameters and closure assumptions are largely as expected with good interpretations provided in the appendix. But it seems there are too many charts. An additional test could include alternative assumption on the foreign investment.</w:t>
      </w:r>
      <w:r w:rsidR="005456C0" w:rsidRPr="00BD6724">
        <w:rPr>
          <w:spacing w:val="-4"/>
        </w:rPr>
        <w:t xml:space="preserve"> </w:t>
      </w:r>
    </w:p>
    <w:p w14:paraId="0FD0510F" w14:textId="1F12E818" w:rsidR="0034116F" w:rsidRDefault="0034116F" w:rsidP="0034116F">
      <w:pPr>
        <w:pStyle w:val="BodyText"/>
      </w:pPr>
      <w:r>
        <w:t>In summary, my specific comments above are mainly related to closure setting, for example, is it appropriate to assume foreign capital stock and investment fixed in all of the productivity sims? In terms of interpretation of results – I was thinking some rules of thumb in understanding the impacts of productivity shocks. For example, the relative impact on GDP would depend on labour shares and GDP shares of a shocked sector. As capital is endogenous, the results would also depend on how much capital is increased. The other point is whether we could draw any guidance to understand the impact on quantity given the impact on price, from the perspective of price elasticity of demand (if there are any estimates of these elasticities in the literature) (i.e. related to the comment 20).</w:t>
      </w:r>
      <w:r w:rsidR="005456C0">
        <w:t xml:space="preserve"> </w:t>
      </w:r>
    </w:p>
    <w:p w14:paraId="5EAAAC33" w14:textId="29B58348" w:rsidR="00981193" w:rsidRDefault="0034116F" w:rsidP="00981193">
      <w:pPr>
        <w:pStyle w:val="BodyText"/>
        <w:sectPr w:rsidR="00981193" w:rsidSect="00625D85">
          <w:headerReference w:type="default" r:id="rId48"/>
          <w:type w:val="oddPage"/>
          <w:pgSz w:w="11906" w:h="16838" w:code="9"/>
          <w:pgMar w:top="1134" w:right="1134" w:bottom="1134" w:left="1134" w:header="794" w:footer="510" w:gutter="0"/>
          <w:cols w:space="708"/>
          <w:docGrid w:linePitch="360"/>
        </w:sectPr>
      </w:pPr>
      <w:r>
        <w:t>A final point I would like to mention that the modelling presented in the appendix has also taken inputs from the public modelling workshops in which I also participated – these inputs include, for example, the suggested parameter values to use in the modelling and model closure assumptions.</w:t>
      </w:r>
      <w:bookmarkStart w:id="28" w:name="_Toc126176837"/>
    </w:p>
    <w:p w14:paraId="1CA1E9C7" w14:textId="32AE38AF" w:rsidR="00FB4146" w:rsidRPr="00FA1C04" w:rsidRDefault="009456E8" w:rsidP="00FA1C04">
      <w:pPr>
        <w:pStyle w:val="Heading1-nobackground"/>
      </w:pPr>
      <w:r w:rsidRPr="00FA1C04">
        <w:lastRenderedPageBreak/>
        <w:t>Abbreviations</w:t>
      </w:r>
      <w:bookmarkEnd w:id="28"/>
    </w:p>
    <w:tbl>
      <w:tblPr>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5"/>
        <w:gridCol w:w="7653"/>
      </w:tblGrid>
      <w:tr w:rsidR="00DC19C2" w:rsidRPr="00DC19C2" w14:paraId="1BD45A7A" w14:textId="77777777" w:rsidTr="00D40280">
        <w:tc>
          <w:tcPr>
            <w:tcW w:w="1985" w:type="dxa"/>
            <w:tcBorders>
              <w:top w:val="single" w:sz="4" w:space="0" w:color="BFBFBF" w:themeColor="background1" w:themeShade="BF"/>
              <w:bottom w:val="nil"/>
            </w:tcBorders>
            <w:shd w:val="clear" w:color="auto" w:fill="auto"/>
            <w:vAlign w:val="bottom"/>
          </w:tcPr>
          <w:p w14:paraId="48C09E45" w14:textId="77777777" w:rsidR="00FB4146" w:rsidRPr="002F5101" w:rsidRDefault="00FB4146" w:rsidP="00815643">
            <w:pPr>
              <w:spacing w:before="45" w:after="45"/>
              <w:ind w:left="57" w:right="108"/>
              <w:rPr>
                <w:rFonts w:ascii="Arial (Body)" w:hAnsi="Arial (Body)"/>
                <w:bCs/>
                <w:sz w:val="18"/>
              </w:rPr>
            </w:pPr>
            <w:r w:rsidRPr="002F5101">
              <w:rPr>
                <w:rFonts w:ascii="Arial (Body)" w:hAnsi="Arial (Body)"/>
                <w:b/>
                <w:color w:val="265A9A"/>
                <w:sz w:val="18"/>
              </w:rPr>
              <w:t>ABS</w:t>
            </w:r>
          </w:p>
        </w:tc>
        <w:tc>
          <w:tcPr>
            <w:tcW w:w="7653" w:type="dxa"/>
            <w:tcBorders>
              <w:top w:val="single" w:sz="4" w:space="0" w:color="BFBFBF" w:themeColor="background1" w:themeShade="BF"/>
              <w:bottom w:val="nil"/>
            </w:tcBorders>
            <w:shd w:val="clear" w:color="auto" w:fill="auto"/>
            <w:vAlign w:val="bottom"/>
          </w:tcPr>
          <w:p w14:paraId="2084A5AB" w14:textId="36B1FE2F" w:rsidR="00FB4146" w:rsidRPr="00DC19C2" w:rsidRDefault="001156E6" w:rsidP="00815643">
            <w:pPr>
              <w:spacing w:before="45" w:after="45"/>
              <w:ind w:left="57" w:right="108"/>
              <w:rPr>
                <w:rFonts w:ascii="Arial (Body)" w:hAnsi="Arial (Body)"/>
                <w:bCs/>
                <w:sz w:val="18"/>
              </w:rPr>
            </w:pPr>
            <w:r w:rsidRPr="00DC19C2">
              <w:rPr>
                <w:rFonts w:ascii="Arial (Body)" w:hAnsi="Arial (Body)"/>
                <w:bCs/>
                <w:sz w:val="18"/>
              </w:rPr>
              <w:t>Australian Bureau of Statistics</w:t>
            </w:r>
          </w:p>
        </w:tc>
      </w:tr>
      <w:tr w:rsidR="00FB4146" w:rsidRPr="00815643" w14:paraId="301095CC" w14:textId="77777777" w:rsidTr="00720024">
        <w:tc>
          <w:tcPr>
            <w:tcW w:w="1985" w:type="dxa"/>
            <w:tcBorders>
              <w:top w:val="nil"/>
              <w:bottom w:val="nil"/>
            </w:tcBorders>
            <w:shd w:val="clear" w:color="auto" w:fill="F2F2F2"/>
          </w:tcPr>
          <w:p w14:paraId="3C9FCD7E" w14:textId="77777777" w:rsidR="00FB4146" w:rsidRPr="00815643" w:rsidRDefault="00FB4146" w:rsidP="00815643">
            <w:pPr>
              <w:spacing w:before="45" w:after="45"/>
              <w:ind w:left="57" w:right="108"/>
              <w:rPr>
                <w:rFonts w:ascii="Arial (Body)" w:hAnsi="Arial (Body)"/>
                <w:b/>
                <w:color w:val="265A9A"/>
                <w:sz w:val="18"/>
              </w:rPr>
            </w:pPr>
            <w:r w:rsidRPr="00815643">
              <w:rPr>
                <w:rFonts w:ascii="Arial (Body)" w:hAnsi="Arial (Body)"/>
                <w:b/>
                <w:color w:val="265A9A"/>
                <w:sz w:val="18"/>
              </w:rPr>
              <w:t>CES</w:t>
            </w:r>
          </w:p>
        </w:tc>
        <w:tc>
          <w:tcPr>
            <w:tcW w:w="7653" w:type="dxa"/>
            <w:tcBorders>
              <w:top w:val="nil"/>
              <w:bottom w:val="nil"/>
            </w:tcBorders>
            <w:shd w:val="clear" w:color="auto" w:fill="F2F2F2"/>
          </w:tcPr>
          <w:p w14:paraId="599B2613" w14:textId="628494FA" w:rsidR="00FB4146" w:rsidRPr="00815643" w:rsidRDefault="001156E6" w:rsidP="00815643">
            <w:pPr>
              <w:spacing w:before="45" w:after="45"/>
              <w:ind w:left="57" w:right="108"/>
              <w:rPr>
                <w:rFonts w:ascii="Arial (Body)" w:hAnsi="Arial (Body)"/>
                <w:color w:val="000000"/>
                <w:sz w:val="18"/>
              </w:rPr>
            </w:pPr>
            <w:r w:rsidRPr="00815643">
              <w:rPr>
                <w:rFonts w:ascii="Arial (Body)" w:hAnsi="Arial (Body)"/>
                <w:color w:val="000000"/>
                <w:sz w:val="18"/>
              </w:rPr>
              <w:t>Constant elasticity of substitution</w:t>
            </w:r>
          </w:p>
        </w:tc>
      </w:tr>
      <w:tr w:rsidR="00FB4146" w:rsidRPr="00815643" w14:paraId="4E72384A" w14:textId="77777777" w:rsidTr="00720024">
        <w:tc>
          <w:tcPr>
            <w:tcW w:w="1985" w:type="dxa"/>
            <w:tcBorders>
              <w:top w:val="nil"/>
              <w:bottom w:val="nil"/>
            </w:tcBorders>
            <w:shd w:val="clear" w:color="auto" w:fill="auto"/>
          </w:tcPr>
          <w:p w14:paraId="074F865C" w14:textId="77777777" w:rsidR="00FB4146" w:rsidRPr="00815643" w:rsidRDefault="00FB4146" w:rsidP="00815643">
            <w:pPr>
              <w:spacing w:before="45" w:after="45"/>
              <w:ind w:left="57" w:right="108"/>
              <w:rPr>
                <w:rFonts w:ascii="Arial (Body)" w:hAnsi="Arial (Body)"/>
                <w:b/>
                <w:color w:val="265A9A"/>
                <w:sz w:val="18"/>
              </w:rPr>
            </w:pPr>
            <w:r w:rsidRPr="00815643">
              <w:rPr>
                <w:rFonts w:ascii="Arial (Body)" w:hAnsi="Arial (Body)"/>
                <w:b/>
                <w:color w:val="265A9A"/>
                <w:sz w:val="18"/>
              </w:rPr>
              <w:t>CET</w:t>
            </w:r>
          </w:p>
        </w:tc>
        <w:tc>
          <w:tcPr>
            <w:tcW w:w="7653" w:type="dxa"/>
            <w:tcBorders>
              <w:top w:val="nil"/>
              <w:bottom w:val="nil"/>
            </w:tcBorders>
            <w:shd w:val="clear" w:color="auto" w:fill="auto"/>
          </w:tcPr>
          <w:p w14:paraId="10E22355" w14:textId="093F2E10" w:rsidR="00FB4146" w:rsidRPr="00815643" w:rsidRDefault="001156E6" w:rsidP="00815643">
            <w:pPr>
              <w:spacing w:before="45" w:after="45"/>
              <w:ind w:left="57" w:right="108"/>
              <w:rPr>
                <w:rFonts w:ascii="Arial (Body)" w:hAnsi="Arial (Body)"/>
                <w:color w:val="000000"/>
                <w:sz w:val="18"/>
              </w:rPr>
            </w:pPr>
            <w:r w:rsidRPr="00815643">
              <w:rPr>
                <w:rFonts w:ascii="Arial (Body)" w:hAnsi="Arial (Body)"/>
                <w:color w:val="000000"/>
                <w:sz w:val="18"/>
              </w:rPr>
              <w:t>Constant elasticity of transformation</w:t>
            </w:r>
          </w:p>
        </w:tc>
      </w:tr>
      <w:tr w:rsidR="00FB4146" w:rsidRPr="00815643" w14:paraId="2A86E634" w14:textId="77777777" w:rsidTr="00720024">
        <w:tc>
          <w:tcPr>
            <w:tcW w:w="1985" w:type="dxa"/>
            <w:tcBorders>
              <w:bottom w:val="nil"/>
            </w:tcBorders>
            <w:shd w:val="clear" w:color="auto" w:fill="F2F2F2"/>
          </w:tcPr>
          <w:p w14:paraId="0EE64282" w14:textId="77777777" w:rsidR="00FB4146" w:rsidRPr="00815643" w:rsidRDefault="00FB4146" w:rsidP="00815643">
            <w:pPr>
              <w:spacing w:before="45" w:after="45"/>
              <w:ind w:left="57" w:right="108"/>
              <w:rPr>
                <w:rFonts w:ascii="Arial (Body)" w:hAnsi="Arial (Body)"/>
                <w:b/>
                <w:color w:val="265A9A"/>
                <w:sz w:val="18"/>
              </w:rPr>
            </w:pPr>
            <w:r w:rsidRPr="00815643">
              <w:rPr>
                <w:rFonts w:ascii="Arial (Body)" w:hAnsi="Arial (Body)"/>
                <w:b/>
                <w:color w:val="265A9A"/>
                <w:sz w:val="18"/>
              </w:rPr>
              <w:t>CGE</w:t>
            </w:r>
          </w:p>
        </w:tc>
        <w:tc>
          <w:tcPr>
            <w:tcW w:w="7653" w:type="dxa"/>
            <w:tcBorders>
              <w:bottom w:val="nil"/>
            </w:tcBorders>
            <w:shd w:val="clear" w:color="auto" w:fill="F2F2F2"/>
          </w:tcPr>
          <w:p w14:paraId="32921D9D" w14:textId="626309F4" w:rsidR="00FB4146" w:rsidRPr="00815643" w:rsidRDefault="001156E6" w:rsidP="00815643">
            <w:pPr>
              <w:spacing w:before="45" w:after="45"/>
              <w:ind w:left="57" w:right="108"/>
              <w:rPr>
                <w:rFonts w:ascii="Arial (Body)" w:hAnsi="Arial (Body)"/>
                <w:color w:val="000000"/>
                <w:sz w:val="18"/>
              </w:rPr>
            </w:pPr>
            <w:r w:rsidRPr="00815643">
              <w:rPr>
                <w:rFonts w:ascii="Arial (Body)" w:hAnsi="Arial (Body)"/>
                <w:color w:val="000000"/>
                <w:sz w:val="18"/>
              </w:rPr>
              <w:t>Computable general equilibrium</w:t>
            </w:r>
          </w:p>
        </w:tc>
      </w:tr>
      <w:tr w:rsidR="00FB4146" w:rsidRPr="00815643" w14:paraId="338B730A" w14:textId="77777777" w:rsidTr="00720024">
        <w:tc>
          <w:tcPr>
            <w:tcW w:w="1985" w:type="dxa"/>
            <w:tcBorders>
              <w:top w:val="nil"/>
              <w:bottom w:val="nil"/>
            </w:tcBorders>
            <w:shd w:val="clear" w:color="auto" w:fill="auto"/>
          </w:tcPr>
          <w:p w14:paraId="143A2E63" w14:textId="77777777" w:rsidR="00FB4146" w:rsidRPr="00815643" w:rsidRDefault="00FB4146" w:rsidP="00815643">
            <w:pPr>
              <w:spacing w:before="45" w:after="45"/>
              <w:ind w:left="57" w:right="108"/>
              <w:rPr>
                <w:rFonts w:ascii="Arial (Body)" w:hAnsi="Arial (Body)"/>
                <w:b/>
                <w:color w:val="265A9A"/>
                <w:sz w:val="18"/>
              </w:rPr>
            </w:pPr>
            <w:r w:rsidRPr="00815643">
              <w:rPr>
                <w:rFonts w:ascii="Arial (Body)" w:hAnsi="Arial (Body)"/>
                <w:b/>
                <w:color w:val="265A9A"/>
                <w:sz w:val="18"/>
              </w:rPr>
              <w:t>CPI</w:t>
            </w:r>
          </w:p>
        </w:tc>
        <w:tc>
          <w:tcPr>
            <w:tcW w:w="7653" w:type="dxa"/>
            <w:tcBorders>
              <w:top w:val="nil"/>
              <w:bottom w:val="nil"/>
            </w:tcBorders>
            <w:shd w:val="clear" w:color="auto" w:fill="auto"/>
          </w:tcPr>
          <w:p w14:paraId="1712491C" w14:textId="5828D8B9" w:rsidR="00FB4146" w:rsidRPr="00815643" w:rsidRDefault="001156E6" w:rsidP="00815643">
            <w:pPr>
              <w:spacing w:before="45" w:after="45"/>
              <w:ind w:left="57" w:right="108"/>
              <w:rPr>
                <w:rFonts w:ascii="Arial (Body)" w:hAnsi="Arial (Body)"/>
                <w:color w:val="000000"/>
                <w:sz w:val="18"/>
              </w:rPr>
            </w:pPr>
            <w:r w:rsidRPr="00815643">
              <w:rPr>
                <w:rFonts w:ascii="Arial (Body)" w:hAnsi="Arial (Body)"/>
                <w:color w:val="000000"/>
                <w:sz w:val="18"/>
              </w:rPr>
              <w:t>Consumer price index</w:t>
            </w:r>
          </w:p>
        </w:tc>
      </w:tr>
      <w:tr w:rsidR="00FB4146" w:rsidRPr="00815643" w14:paraId="046963E9" w14:textId="77777777" w:rsidTr="00720024">
        <w:tc>
          <w:tcPr>
            <w:tcW w:w="1985" w:type="dxa"/>
            <w:tcBorders>
              <w:bottom w:val="nil"/>
            </w:tcBorders>
            <w:shd w:val="clear" w:color="auto" w:fill="F2F2F2"/>
          </w:tcPr>
          <w:p w14:paraId="6B2D638C" w14:textId="77777777" w:rsidR="00FB4146" w:rsidRPr="00815643" w:rsidRDefault="00FB4146" w:rsidP="00815643">
            <w:pPr>
              <w:spacing w:before="45" w:after="45"/>
              <w:ind w:left="57" w:right="108"/>
              <w:rPr>
                <w:rFonts w:ascii="Arial (Body)" w:hAnsi="Arial (Body)"/>
                <w:b/>
                <w:color w:val="265A9A"/>
                <w:sz w:val="18"/>
              </w:rPr>
            </w:pPr>
            <w:r w:rsidRPr="00815643">
              <w:rPr>
                <w:rFonts w:ascii="Arial (Body)" w:hAnsi="Arial (Body)"/>
                <w:b/>
                <w:color w:val="265A9A"/>
                <w:sz w:val="18"/>
              </w:rPr>
              <w:t>EV</w:t>
            </w:r>
          </w:p>
        </w:tc>
        <w:tc>
          <w:tcPr>
            <w:tcW w:w="7653" w:type="dxa"/>
            <w:tcBorders>
              <w:bottom w:val="nil"/>
            </w:tcBorders>
            <w:shd w:val="clear" w:color="auto" w:fill="F2F2F2"/>
          </w:tcPr>
          <w:p w14:paraId="4750DE35" w14:textId="12A0286F" w:rsidR="00FB4146" w:rsidRPr="00815643" w:rsidRDefault="001156E6" w:rsidP="00815643">
            <w:pPr>
              <w:spacing w:before="45" w:after="45"/>
              <w:ind w:left="57" w:right="108"/>
              <w:rPr>
                <w:rFonts w:ascii="Arial (Body)" w:hAnsi="Arial (Body)"/>
                <w:color w:val="000000"/>
                <w:sz w:val="18"/>
              </w:rPr>
            </w:pPr>
            <w:r w:rsidRPr="00815643">
              <w:rPr>
                <w:rFonts w:ascii="Arial (Body)" w:hAnsi="Arial (Body)"/>
                <w:color w:val="000000"/>
                <w:sz w:val="18"/>
              </w:rPr>
              <w:t>Equivalent variation</w:t>
            </w:r>
          </w:p>
        </w:tc>
      </w:tr>
      <w:tr w:rsidR="00FB4146" w:rsidRPr="00815643" w14:paraId="5EE80D61" w14:textId="77777777" w:rsidTr="00720024">
        <w:tc>
          <w:tcPr>
            <w:tcW w:w="1985" w:type="dxa"/>
            <w:tcBorders>
              <w:top w:val="nil"/>
              <w:bottom w:val="nil"/>
            </w:tcBorders>
            <w:shd w:val="clear" w:color="auto" w:fill="auto"/>
          </w:tcPr>
          <w:p w14:paraId="5A2A8E27" w14:textId="77777777" w:rsidR="00FB4146" w:rsidRPr="00815643" w:rsidRDefault="00FB4146" w:rsidP="00815643">
            <w:pPr>
              <w:spacing w:before="45" w:after="45"/>
              <w:ind w:left="57" w:right="108"/>
              <w:rPr>
                <w:rFonts w:ascii="Arial (Body)" w:hAnsi="Arial (Body)"/>
                <w:b/>
                <w:color w:val="265A9A"/>
                <w:sz w:val="18"/>
              </w:rPr>
            </w:pPr>
            <w:r w:rsidRPr="00815643">
              <w:rPr>
                <w:rFonts w:ascii="Arial (Body)" w:hAnsi="Arial (Body)"/>
                <w:b/>
                <w:color w:val="265A9A"/>
                <w:sz w:val="18"/>
              </w:rPr>
              <w:t>GAMS</w:t>
            </w:r>
          </w:p>
        </w:tc>
        <w:tc>
          <w:tcPr>
            <w:tcW w:w="7653" w:type="dxa"/>
            <w:tcBorders>
              <w:top w:val="nil"/>
              <w:bottom w:val="nil"/>
            </w:tcBorders>
            <w:shd w:val="clear" w:color="auto" w:fill="auto"/>
          </w:tcPr>
          <w:p w14:paraId="2D9C43F6" w14:textId="3BE6D88D" w:rsidR="00FB4146" w:rsidRPr="00815643" w:rsidRDefault="00316DFE" w:rsidP="00815643">
            <w:pPr>
              <w:spacing w:before="45" w:after="45"/>
              <w:ind w:left="57" w:right="108"/>
              <w:rPr>
                <w:rFonts w:ascii="Arial (Body)" w:hAnsi="Arial (Body)"/>
                <w:color w:val="000000"/>
                <w:sz w:val="18"/>
              </w:rPr>
            </w:pPr>
            <w:r w:rsidRPr="00815643">
              <w:rPr>
                <w:rFonts w:ascii="Arial (Body)" w:hAnsi="Arial (Body)"/>
                <w:color w:val="000000"/>
                <w:sz w:val="18"/>
              </w:rPr>
              <w:t>G</w:t>
            </w:r>
            <w:r w:rsidR="00D015EE" w:rsidRPr="00815643">
              <w:rPr>
                <w:rFonts w:ascii="Arial (Body)" w:hAnsi="Arial (Body)"/>
                <w:color w:val="000000"/>
                <w:sz w:val="18"/>
              </w:rPr>
              <w:t xml:space="preserve">eneral algebraic </w:t>
            </w:r>
            <w:r w:rsidR="00E03B22" w:rsidRPr="00815643">
              <w:rPr>
                <w:rFonts w:ascii="Arial (Body)" w:hAnsi="Arial (Body)"/>
                <w:color w:val="000000"/>
                <w:sz w:val="18"/>
              </w:rPr>
              <w:t>modelling</w:t>
            </w:r>
            <w:r w:rsidR="00D015EE" w:rsidRPr="00815643">
              <w:rPr>
                <w:rFonts w:ascii="Arial (Body)" w:hAnsi="Arial (Body)"/>
                <w:color w:val="000000"/>
                <w:sz w:val="18"/>
              </w:rPr>
              <w:t xml:space="preserve"> system</w:t>
            </w:r>
          </w:p>
        </w:tc>
      </w:tr>
      <w:tr w:rsidR="00FB4146" w:rsidRPr="00815643" w14:paraId="09367869" w14:textId="77777777" w:rsidTr="00720024">
        <w:tc>
          <w:tcPr>
            <w:tcW w:w="1985" w:type="dxa"/>
            <w:tcBorders>
              <w:bottom w:val="nil"/>
            </w:tcBorders>
            <w:shd w:val="clear" w:color="auto" w:fill="F2F2F2"/>
          </w:tcPr>
          <w:p w14:paraId="07563A5A" w14:textId="77777777" w:rsidR="00FB4146" w:rsidRPr="00815643" w:rsidRDefault="00FB4146" w:rsidP="00815643">
            <w:pPr>
              <w:spacing w:before="45" w:after="45"/>
              <w:ind w:left="57" w:right="108"/>
              <w:rPr>
                <w:rFonts w:ascii="Arial (Body)" w:hAnsi="Arial (Body)"/>
                <w:b/>
                <w:color w:val="265A9A"/>
                <w:sz w:val="18"/>
              </w:rPr>
            </w:pPr>
            <w:r w:rsidRPr="00815643">
              <w:rPr>
                <w:rFonts w:ascii="Arial (Body)" w:hAnsi="Arial (Body)"/>
                <w:b/>
                <w:color w:val="265A9A"/>
                <w:sz w:val="18"/>
              </w:rPr>
              <w:t>GDP</w:t>
            </w:r>
          </w:p>
        </w:tc>
        <w:tc>
          <w:tcPr>
            <w:tcW w:w="7653" w:type="dxa"/>
            <w:tcBorders>
              <w:bottom w:val="nil"/>
            </w:tcBorders>
            <w:shd w:val="clear" w:color="auto" w:fill="F2F2F2"/>
          </w:tcPr>
          <w:p w14:paraId="120948B1" w14:textId="6222B329" w:rsidR="00FB4146" w:rsidRPr="00815643" w:rsidRDefault="001156E6" w:rsidP="00815643">
            <w:pPr>
              <w:spacing w:before="45" w:after="45"/>
              <w:ind w:left="57" w:right="108"/>
              <w:rPr>
                <w:rFonts w:ascii="Arial (Body)" w:hAnsi="Arial (Body)"/>
                <w:color w:val="000000"/>
                <w:sz w:val="18"/>
              </w:rPr>
            </w:pPr>
            <w:r w:rsidRPr="00815643">
              <w:rPr>
                <w:rFonts w:ascii="Arial (Body)" w:hAnsi="Arial (Body)"/>
                <w:color w:val="000000"/>
                <w:sz w:val="18"/>
              </w:rPr>
              <w:t>Gross domestic product</w:t>
            </w:r>
          </w:p>
        </w:tc>
      </w:tr>
      <w:tr w:rsidR="00FB4146" w:rsidRPr="00815643" w14:paraId="4FAC39B9" w14:textId="77777777" w:rsidTr="00720024">
        <w:tc>
          <w:tcPr>
            <w:tcW w:w="1985" w:type="dxa"/>
            <w:tcBorders>
              <w:top w:val="nil"/>
              <w:bottom w:val="nil"/>
            </w:tcBorders>
            <w:shd w:val="clear" w:color="auto" w:fill="auto"/>
          </w:tcPr>
          <w:p w14:paraId="09B5F9E9" w14:textId="77777777" w:rsidR="00FB4146" w:rsidRPr="00815643" w:rsidRDefault="00FB4146" w:rsidP="00815643">
            <w:pPr>
              <w:spacing w:before="45" w:after="45"/>
              <w:ind w:left="57" w:right="108"/>
              <w:rPr>
                <w:rFonts w:ascii="Arial (Body)" w:hAnsi="Arial (Body)"/>
                <w:b/>
                <w:color w:val="265A9A"/>
                <w:sz w:val="18"/>
              </w:rPr>
            </w:pPr>
            <w:r w:rsidRPr="00815643">
              <w:rPr>
                <w:rFonts w:ascii="Arial (Body)" w:hAnsi="Arial (Body)"/>
                <w:b/>
                <w:color w:val="265A9A"/>
                <w:sz w:val="18"/>
              </w:rPr>
              <w:t>GNI</w:t>
            </w:r>
          </w:p>
        </w:tc>
        <w:tc>
          <w:tcPr>
            <w:tcW w:w="7653" w:type="dxa"/>
            <w:tcBorders>
              <w:top w:val="nil"/>
              <w:bottom w:val="nil"/>
            </w:tcBorders>
            <w:shd w:val="clear" w:color="auto" w:fill="auto"/>
          </w:tcPr>
          <w:p w14:paraId="2541281A" w14:textId="74A26C61" w:rsidR="00FB4146" w:rsidRPr="00815643" w:rsidRDefault="001156E6" w:rsidP="00815643">
            <w:pPr>
              <w:spacing w:before="45" w:after="45"/>
              <w:ind w:left="57" w:right="108"/>
              <w:rPr>
                <w:rFonts w:ascii="Arial (Body)" w:hAnsi="Arial (Body)"/>
                <w:color w:val="000000"/>
                <w:sz w:val="18"/>
              </w:rPr>
            </w:pPr>
            <w:r w:rsidRPr="00815643">
              <w:rPr>
                <w:rFonts w:ascii="Arial (Body)" w:hAnsi="Arial (Body)"/>
                <w:color w:val="000000"/>
                <w:sz w:val="18"/>
              </w:rPr>
              <w:t>Gross national income</w:t>
            </w:r>
          </w:p>
        </w:tc>
      </w:tr>
      <w:tr w:rsidR="00FB4146" w:rsidRPr="00815643" w14:paraId="5471F353" w14:textId="77777777" w:rsidTr="00720024">
        <w:tc>
          <w:tcPr>
            <w:tcW w:w="1985" w:type="dxa"/>
            <w:tcBorders>
              <w:bottom w:val="nil"/>
            </w:tcBorders>
            <w:shd w:val="clear" w:color="auto" w:fill="F2F2F2"/>
          </w:tcPr>
          <w:p w14:paraId="1D2F449A" w14:textId="77777777" w:rsidR="00FB4146" w:rsidRPr="00815643" w:rsidRDefault="00FB4146" w:rsidP="00815643">
            <w:pPr>
              <w:spacing w:before="45" w:after="45"/>
              <w:ind w:left="57" w:right="108"/>
              <w:rPr>
                <w:rFonts w:ascii="Arial (Body)" w:hAnsi="Arial (Body)"/>
                <w:b/>
                <w:color w:val="265A9A"/>
                <w:sz w:val="18"/>
              </w:rPr>
            </w:pPr>
            <w:r w:rsidRPr="00815643">
              <w:rPr>
                <w:rFonts w:ascii="Arial (Body)" w:hAnsi="Arial (Body)"/>
                <w:b/>
                <w:color w:val="265A9A"/>
                <w:sz w:val="18"/>
              </w:rPr>
              <w:t>GTAP</w:t>
            </w:r>
          </w:p>
        </w:tc>
        <w:tc>
          <w:tcPr>
            <w:tcW w:w="7653" w:type="dxa"/>
            <w:tcBorders>
              <w:bottom w:val="nil"/>
            </w:tcBorders>
            <w:shd w:val="clear" w:color="auto" w:fill="F2F2F2"/>
          </w:tcPr>
          <w:p w14:paraId="39678BFB" w14:textId="047378D5" w:rsidR="00FB4146" w:rsidRPr="00815643" w:rsidRDefault="006C2734" w:rsidP="00815643">
            <w:pPr>
              <w:spacing w:before="45" w:after="45"/>
              <w:ind w:left="57" w:right="108"/>
              <w:rPr>
                <w:rFonts w:ascii="Arial (Body)" w:hAnsi="Arial (Body)"/>
                <w:color w:val="000000"/>
                <w:sz w:val="18"/>
              </w:rPr>
            </w:pPr>
            <w:r w:rsidRPr="00815643">
              <w:rPr>
                <w:rFonts w:ascii="Arial (Body)" w:hAnsi="Arial (Body)"/>
                <w:color w:val="000000"/>
                <w:sz w:val="18"/>
              </w:rPr>
              <w:t>Global Trade Analysis Project</w:t>
            </w:r>
          </w:p>
        </w:tc>
      </w:tr>
      <w:tr w:rsidR="00FB4146" w:rsidRPr="00815643" w14:paraId="1CD2726C" w14:textId="77777777" w:rsidTr="00720024">
        <w:tc>
          <w:tcPr>
            <w:tcW w:w="1985" w:type="dxa"/>
            <w:tcBorders>
              <w:top w:val="nil"/>
              <w:bottom w:val="nil"/>
            </w:tcBorders>
            <w:shd w:val="clear" w:color="auto" w:fill="auto"/>
          </w:tcPr>
          <w:p w14:paraId="32909A82" w14:textId="77777777" w:rsidR="00FB4146" w:rsidRPr="00815643" w:rsidRDefault="00FB4146" w:rsidP="00815643">
            <w:pPr>
              <w:spacing w:before="45" w:after="45"/>
              <w:ind w:left="57" w:right="108"/>
              <w:rPr>
                <w:rFonts w:ascii="Arial (Body)" w:hAnsi="Arial (Body)"/>
                <w:b/>
                <w:color w:val="265A9A"/>
                <w:sz w:val="18"/>
              </w:rPr>
            </w:pPr>
            <w:r w:rsidRPr="00815643">
              <w:rPr>
                <w:rFonts w:ascii="Arial (Body)" w:hAnsi="Arial (Body)"/>
                <w:b/>
                <w:color w:val="265A9A"/>
                <w:sz w:val="18"/>
              </w:rPr>
              <w:t>GVA</w:t>
            </w:r>
          </w:p>
        </w:tc>
        <w:tc>
          <w:tcPr>
            <w:tcW w:w="7653" w:type="dxa"/>
            <w:tcBorders>
              <w:top w:val="nil"/>
              <w:bottom w:val="nil"/>
            </w:tcBorders>
            <w:shd w:val="clear" w:color="auto" w:fill="auto"/>
          </w:tcPr>
          <w:p w14:paraId="70844185" w14:textId="4CA8F8F7" w:rsidR="00FB4146" w:rsidRPr="00815643" w:rsidRDefault="001156E6" w:rsidP="00815643">
            <w:pPr>
              <w:spacing w:before="45" w:after="45"/>
              <w:ind w:left="57" w:right="108"/>
              <w:rPr>
                <w:rFonts w:ascii="Arial (Body)" w:hAnsi="Arial (Body)"/>
                <w:color w:val="000000"/>
                <w:sz w:val="18"/>
              </w:rPr>
            </w:pPr>
            <w:r w:rsidRPr="00815643">
              <w:rPr>
                <w:rFonts w:ascii="Arial (Body)" w:hAnsi="Arial (Body)"/>
                <w:color w:val="000000"/>
                <w:sz w:val="18"/>
              </w:rPr>
              <w:t>Gross value added</w:t>
            </w:r>
          </w:p>
        </w:tc>
      </w:tr>
      <w:tr w:rsidR="00FB4146" w:rsidRPr="00815643" w14:paraId="4D0BE945" w14:textId="77777777" w:rsidTr="00720024">
        <w:tc>
          <w:tcPr>
            <w:tcW w:w="1985" w:type="dxa"/>
            <w:tcBorders>
              <w:bottom w:val="nil"/>
            </w:tcBorders>
            <w:shd w:val="clear" w:color="auto" w:fill="F2F2F2"/>
          </w:tcPr>
          <w:p w14:paraId="507C4A50" w14:textId="77777777" w:rsidR="00FB4146" w:rsidRPr="00815643" w:rsidRDefault="00FB4146" w:rsidP="00815643">
            <w:pPr>
              <w:spacing w:before="45" w:after="45"/>
              <w:ind w:left="57" w:right="108"/>
              <w:rPr>
                <w:rFonts w:ascii="Arial (Body)" w:hAnsi="Arial (Body)"/>
                <w:b/>
                <w:color w:val="265A9A"/>
                <w:sz w:val="18"/>
              </w:rPr>
            </w:pPr>
            <w:r w:rsidRPr="00815643">
              <w:rPr>
                <w:rFonts w:ascii="Arial (Body)" w:hAnsi="Arial (Body)"/>
                <w:b/>
                <w:color w:val="265A9A"/>
                <w:sz w:val="18"/>
              </w:rPr>
              <w:t>HES</w:t>
            </w:r>
          </w:p>
        </w:tc>
        <w:tc>
          <w:tcPr>
            <w:tcW w:w="7653" w:type="dxa"/>
            <w:tcBorders>
              <w:bottom w:val="nil"/>
            </w:tcBorders>
            <w:shd w:val="clear" w:color="auto" w:fill="F2F2F2"/>
          </w:tcPr>
          <w:p w14:paraId="4B3BB7ED" w14:textId="390033F8" w:rsidR="00FB4146" w:rsidRPr="00815643" w:rsidRDefault="001156E6" w:rsidP="00815643">
            <w:pPr>
              <w:spacing w:before="45" w:after="45"/>
              <w:ind w:left="57" w:right="108"/>
              <w:rPr>
                <w:rFonts w:ascii="Arial (Body)" w:hAnsi="Arial (Body)"/>
                <w:color w:val="000000"/>
                <w:sz w:val="18"/>
              </w:rPr>
            </w:pPr>
            <w:r w:rsidRPr="00815643">
              <w:rPr>
                <w:rFonts w:ascii="Arial (Body)" w:hAnsi="Arial (Body)"/>
                <w:color w:val="000000"/>
                <w:sz w:val="18"/>
              </w:rPr>
              <w:t xml:space="preserve">Household </w:t>
            </w:r>
            <w:r w:rsidR="00DB148E" w:rsidRPr="00815643">
              <w:rPr>
                <w:rFonts w:ascii="Arial (Body)" w:hAnsi="Arial (Body)"/>
                <w:color w:val="000000"/>
                <w:sz w:val="18"/>
              </w:rPr>
              <w:t>E</w:t>
            </w:r>
            <w:r w:rsidRPr="00815643">
              <w:rPr>
                <w:rFonts w:ascii="Arial (Body)" w:hAnsi="Arial (Body)"/>
                <w:color w:val="000000"/>
                <w:sz w:val="18"/>
              </w:rPr>
              <w:t xml:space="preserve">xpenditure </w:t>
            </w:r>
            <w:r w:rsidR="00DB148E" w:rsidRPr="00815643">
              <w:rPr>
                <w:rFonts w:ascii="Arial (Body)" w:hAnsi="Arial (Body)"/>
                <w:color w:val="000000"/>
                <w:sz w:val="18"/>
              </w:rPr>
              <w:t>S</w:t>
            </w:r>
            <w:r w:rsidRPr="00815643">
              <w:rPr>
                <w:rFonts w:ascii="Arial (Body)" w:hAnsi="Arial (Body)"/>
                <w:color w:val="000000"/>
                <w:sz w:val="18"/>
              </w:rPr>
              <w:t>urvey</w:t>
            </w:r>
          </w:p>
        </w:tc>
      </w:tr>
      <w:tr w:rsidR="00FB4146" w:rsidRPr="00815643" w14:paraId="75B0447D" w14:textId="77777777" w:rsidTr="00720024">
        <w:tc>
          <w:tcPr>
            <w:tcW w:w="1985" w:type="dxa"/>
            <w:tcBorders>
              <w:top w:val="nil"/>
              <w:bottom w:val="nil"/>
            </w:tcBorders>
            <w:shd w:val="clear" w:color="auto" w:fill="auto"/>
          </w:tcPr>
          <w:p w14:paraId="5D00E4AA" w14:textId="77777777" w:rsidR="00FB4146" w:rsidRPr="00815643" w:rsidRDefault="00FB4146" w:rsidP="00815643">
            <w:pPr>
              <w:spacing w:before="45" w:after="45"/>
              <w:ind w:left="57" w:right="108"/>
              <w:rPr>
                <w:rFonts w:ascii="Arial (Body)" w:hAnsi="Arial (Body)"/>
                <w:b/>
                <w:color w:val="265A9A"/>
                <w:sz w:val="18"/>
              </w:rPr>
            </w:pPr>
            <w:r w:rsidRPr="00815643">
              <w:rPr>
                <w:rFonts w:ascii="Arial (Body)" w:hAnsi="Arial (Body)"/>
                <w:b/>
                <w:color w:val="265A9A"/>
                <w:sz w:val="18"/>
              </w:rPr>
              <w:t>ICT</w:t>
            </w:r>
          </w:p>
        </w:tc>
        <w:tc>
          <w:tcPr>
            <w:tcW w:w="7653" w:type="dxa"/>
            <w:tcBorders>
              <w:top w:val="nil"/>
              <w:bottom w:val="nil"/>
            </w:tcBorders>
            <w:shd w:val="clear" w:color="auto" w:fill="auto"/>
          </w:tcPr>
          <w:p w14:paraId="06513D7B" w14:textId="757C7100" w:rsidR="00FB4146" w:rsidRPr="00815643" w:rsidRDefault="008C1660" w:rsidP="00815643">
            <w:pPr>
              <w:spacing w:before="45" w:after="45"/>
              <w:ind w:left="57" w:right="108"/>
              <w:rPr>
                <w:rFonts w:ascii="Arial (Body)" w:hAnsi="Arial (Body)"/>
                <w:color w:val="000000"/>
                <w:sz w:val="18"/>
              </w:rPr>
            </w:pPr>
            <w:r w:rsidRPr="00815643">
              <w:rPr>
                <w:rFonts w:ascii="Arial (Body)" w:hAnsi="Arial (Body)"/>
                <w:color w:val="000000"/>
                <w:sz w:val="18"/>
              </w:rPr>
              <w:t>Information and communication technologies</w:t>
            </w:r>
          </w:p>
        </w:tc>
      </w:tr>
      <w:tr w:rsidR="00FB4146" w:rsidRPr="00815643" w14:paraId="169CB93A" w14:textId="77777777" w:rsidTr="00720024">
        <w:tc>
          <w:tcPr>
            <w:tcW w:w="1985" w:type="dxa"/>
            <w:tcBorders>
              <w:bottom w:val="nil"/>
            </w:tcBorders>
            <w:shd w:val="clear" w:color="auto" w:fill="F2F2F2"/>
          </w:tcPr>
          <w:p w14:paraId="06406115" w14:textId="77777777" w:rsidR="00FB4146" w:rsidRPr="00815643" w:rsidRDefault="00FB4146" w:rsidP="00815643">
            <w:pPr>
              <w:spacing w:before="45" w:after="45"/>
              <w:ind w:left="57" w:right="108"/>
              <w:rPr>
                <w:rFonts w:ascii="Arial (Body)" w:hAnsi="Arial (Body)"/>
                <w:b/>
                <w:color w:val="265A9A"/>
                <w:sz w:val="18"/>
              </w:rPr>
            </w:pPr>
            <w:r w:rsidRPr="00815643">
              <w:rPr>
                <w:rFonts w:ascii="Arial (Body)" w:hAnsi="Arial (Body)"/>
                <w:b/>
                <w:color w:val="265A9A"/>
                <w:sz w:val="18"/>
              </w:rPr>
              <w:t>IO</w:t>
            </w:r>
          </w:p>
        </w:tc>
        <w:tc>
          <w:tcPr>
            <w:tcW w:w="7653" w:type="dxa"/>
            <w:tcBorders>
              <w:bottom w:val="nil"/>
            </w:tcBorders>
            <w:shd w:val="clear" w:color="auto" w:fill="F2F2F2"/>
          </w:tcPr>
          <w:p w14:paraId="6ED904DE" w14:textId="549085C5" w:rsidR="00FB4146" w:rsidRPr="00815643" w:rsidRDefault="001156E6" w:rsidP="00815643">
            <w:pPr>
              <w:spacing w:before="45" w:after="45"/>
              <w:ind w:left="57" w:right="108"/>
              <w:rPr>
                <w:rFonts w:ascii="Arial (Body)" w:hAnsi="Arial (Body)"/>
                <w:color w:val="000000"/>
                <w:sz w:val="18"/>
              </w:rPr>
            </w:pPr>
            <w:r w:rsidRPr="00815643">
              <w:rPr>
                <w:rFonts w:ascii="Arial (Body)" w:hAnsi="Arial (Body)"/>
                <w:color w:val="000000"/>
                <w:sz w:val="18"/>
              </w:rPr>
              <w:t>Input</w:t>
            </w:r>
            <w:r w:rsidR="004B308E" w:rsidRPr="00815643">
              <w:rPr>
                <w:rFonts w:ascii="Arial (Body)" w:hAnsi="Arial (Body)"/>
                <w:color w:val="000000"/>
                <w:sz w:val="18"/>
              </w:rPr>
              <w:noBreakHyphen/>
            </w:r>
            <w:r w:rsidRPr="00815643">
              <w:rPr>
                <w:rFonts w:ascii="Arial (Body)" w:hAnsi="Arial (Body)"/>
                <w:color w:val="000000"/>
                <w:sz w:val="18"/>
              </w:rPr>
              <w:t>output</w:t>
            </w:r>
          </w:p>
        </w:tc>
      </w:tr>
      <w:tr w:rsidR="00FB4146" w:rsidRPr="00815643" w14:paraId="188F0580" w14:textId="77777777" w:rsidTr="00720024">
        <w:tc>
          <w:tcPr>
            <w:tcW w:w="1985" w:type="dxa"/>
            <w:tcBorders>
              <w:top w:val="nil"/>
              <w:bottom w:val="nil"/>
            </w:tcBorders>
            <w:shd w:val="clear" w:color="auto" w:fill="auto"/>
          </w:tcPr>
          <w:p w14:paraId="6024FDE7" w14:textId="77777777" w:rsidR="00FB4146" w:rsidRPr="00815643" w:rsidRDefault="00FB4146" w:rsidP="00815643">
            <w:pPr>
              <w:spacing w:before="45" w:after="45"/>
              <w:ind w:left="57" w:right="108"/>
              <w:rPr>
                <w:rFonts w:ascii="Arial (Body)" w:hAnsi="Arial (Body)"/>
                <w:b/>
                <w:color w:val="265A9A"/>
                <w:sz w:val="18"/>
              </w:rPr>
            </w:pPr>
            <w:r w:rsidRPr="00815643">
              <w:rPr>
                <w:rFonts w:ascii="Arial (Body)" w:hAnsi="Arial (Body)"/>
                <w:b/>
                <w:color w:val="265A9A"/>
                <w:sz w:val="18"/>
              </w:rPr>
              <w:t>SAM</w:t>
            </w:r>
          </w:p>
        </w:tc>
        <w:tc>
          <w:tcPr>
            <w:tcW w:w="7653" w:type="dxa"/>
            <w:tcBorders>
              <w:top w:val="nil"/>
              <w:bottom w:val="nil"/>
            </w:tcBorders>
            <w:shd w:val="clear" w:color="auto" w:fill="auto"/>
          </w:tcPr>
          <w:p w14:paraId="062D7285" w14:textId="17588777" w:rsidR="00FB4146" w:rsidRPr="00815643" w:rsidRDefault="001156E6" w:rsidP="00815643">
            <w:pPr>
              <w:spacing w:before="45" w:after="45"/>
              <w:ind w:left="57" w:right="108"/>
              <w:rPr>
                <w:rFonts w:ascii="Arial (Body)" w:hAnsi="Arial (Body)"/>
                <w:color w:val="000000"/>
                <w:sz w:val="18"/>
              </w:rPr>
            </w:pPr>
            <w:r w:rsidRPr="00815643">
              <w:rPr>
                <w:rFonts w:ascii="Arial (Body)" w:hAnsi="Arial (Body)"/>
                <w:color w:val="000000"/>
                <w:sz w:val="18"/>
              </w:rPr>
              <w:t>Social accounting matrix</w:t>
            </w:r>
          </w:p>
        </w:tc>
      </w:tr>
      <w:tr w:rsidR="00FB4146" w:rsidRPr="00815643" w14:paraId="3975BD89" w14:textId="77777777" w:rsidTr="00720024">
        <w:tc>
          <w:tcPr>
            <w:tcW w:w="1985" w:type="dxa"/>
            <w:tcBorders>
              <w:bottom w:val="nil"/>
            </w:tcBorders>
            <w:shd w:val="clear" w:color="auto" w:fill="F2F2F2"/>
          </w:tcPr>
          <w:p w14:paraId="41D2C748" w14:textId="77777777" w:rsidR="00FB4146" w:rsidRPr="00815643" w:rsidRDefault="00FB4146" w:rsidP="00815643">
            <w:pPr>
              <w:spacing w:before="45" w:after="45"/>
              <w:ind w:left="57" w:right="108"/>
              <w:rPr>
                <w:rFonts w:ascii="Arial (Body)" w:hAnsi="Arial (Body)"/>
                <w:b/>
                <w:color w:val="265A9A"/>
                <w:sz w:val="18"/>
              </w:rPr>
            </w:pPr>
            <w:r w:rsidRPr="00815643">
              <w:rPr>
                <w:rFonts w:ascii="Arial (Body)" w:hAnsi="Arial (Body)"/>
                <w:b/>
                <w:color w:val="265A9A"/>
                <w:sz w:val="18"/>
              </w:rPr>
              <w:t>SIH</w:t>
            </w:r>
          </w:p>
        </w:tc>
        <w:tc>
          <w:tcPr>
            <w:tcW w:w="7653" w:type="dxa"/>
            <w:tcBorders>
              <w:bottom w:val="nil"/>
            </w:tcBorders>
            <w:shd w:val="clear" w:color="auto" w:fill="F2F2F2"/>
          </w:tcPr>
          <w:p w14:paraId="4E33EF72" w14:textId="0D3B6063" w:rsidR="00FB4146" w:rsidRPr="00815643" w:rsidRDefault="001156E6" w:rsidP="00815643">
            <w:pPr>
              <w:spacing w:before="45" w:after="45"/>
              <w:ind w:left="57" w:right="108"/>
              <w:rPr>
                <w:rFonts w:ascii="Arial (Body)" w:hAnsi="Arial (Body)"/>
                <w:color w:val="000000"/>
                <w:sz w:val="18"/>
              </w:rPr>
            </w:pPr>
            <w:r w:rsidRPr="00815643">
              <w:rPr>
                <w:rFonts w:ascii="Arial (Body)" w:hAnsi="Arial (Body)"/>
                <w:color w:val="000000"/>
                <w:sz w:val="18"/>
              </w:rPr>
              <w:t>Survey of Income and Housing</w:t>
            </w:r>
          </w:p>
        </w:tc>
      </w:tr>
      <w:tr w:rsidR="00FB4146" w:rsidRPr="00815643" w14:paraId="4D08123F" w14:textId="77777777" w:rsidTr="00720024">
        <w:trPr>
          <w:trHeight w:val="149"/>
        </w:trPr>
        <w:tc>
          <w:tcPr>
            <w:tcW w:w="1985" w:type="dxa"/>
            <w:tcBorders>
              <w:top w:val="nil"/>
            </w:tcBorders>
            <w:shd w:val="clear" w:color="auto" w:fill="auto"/>
          </w:tcPr>
          <w:p w14:paraId="74F4F16E" w14:textId="77777777" w:rsidR="00FB4146" w:rsidRPr="00815643" w:rsidRDefault="00FB4146" w:rsidP="00815643">
            <w:pPr>
              <w:spacing w:before="45" w:after="45"/>
              <w:ind w:left="57" w:right="108"/>
              <w:rPr>
                <w:rFonts w:ascii="Arial (Body)" w:hAnsi="Arial (Body)"/>
                <w:b/>
                <w:color w:val="265A9A"/>
                <w:sz w:val="18"/>
              </w:rPr>
            </w:pPr>
            <w:r w:rsidRPr="00815643">
              <w:rPr>
                <w:rFonts w:ascii="Arial (Body)" w:hAnsi="Arial (Body)"/>
                <w:b/>
                <w:color w:val="265A9A"/>
                <w:sz w:val="18"/>
              </w:rPr>
              <w:t>VET</w:t>
            </w:r>
          </w:p>
        </w:tc>
        <w:tc>
          <w:tcPr>
            <w:tcW w:w="7653" w:type="dxa"/>
            <w:tcBorders>
              <w:top w:val="nil"/>
            </w:tcBorders>
            <w:shd w:val="clear" w:color="auto" w:fill="auto"/>
          </w:tcPr>
          <w:p w14:paraId="73DEFFCB" w14:textId="3CC7D5ED" w:rsidR="00FB4146" w:rsidRPr="00815643" w:rsidRDefault="008C1660" w:rsidP="00815643">
            <w:pPr>
              <w:spacing w:before="45" w:after="45"/>
              <w:ind w:left="57" w:right="108"/>
              <w:rPr>
                <w:rFonts w:ascii="Arial (Body)" w:hAnsi="Arial (Body)"/>
                <w:color w:val="000000"/>
                <w:sz w:val="18"/>
              </w:rPr>
            </w:pPr>
            <w:r w:rsidRPr="00815643">
              <w:rPr>
                <w:rFonts w:ascii="Arial (Body)" w:hAnsi="Arial (Body)"/>
                <w:color w:val="000000"/>
                <w:sz w:val="18"/>
              </w:rPr>
              <w:t>Vocational education and training</w:t>
            </w:r>
          </w:p>
        </w:tc>
      </w:tr>
    </w:tbl>
    <w:p w14:paraId="1C867434" w14:textId="77777777" w:rsidR="00625D85" w:rsidRDefault="00625D85" w:rsidP="00FB4146">
      <w:pPr>
        <w:pStyle w:val="BodyText"/>
        <w:sectPr w:rsidR="00625D85" w:rsidSect="00981193">
          <w:headerReference w:type="default" r:id="rId49"/>
          <w:pgSz w:w="11906" w:h="16838" w:code="9"/>
          <w:pgMar w:top="1134" w:right="1134" w:bottom="1134" w:left="1134" w:header="794" w:footer="510" w:gutter="0"/>
          <w:cols w:space="708"/>
          <w:docGrid w:linePitch="360"/>
        </w:sectPr>
      </w:pPr>
    </w:p>
    <w:p w14:paraId="757824A0" w14:textId="18D56B97" w:rsidR="00737E90" w:rsidRDefault="00624975" w:rsidP="00624975">
      <w:pPr>
        <w:pStyle w:val="Heading1-nobackground"/>
      </w:pPr>
      <w:bookmarkStart w:id="29" w:name="_Toc126176838"/>
      <w:r>
        <w:lastRenderedPageBreak/>
        <w:t>References</w:t>
      </w:r>
      <w:bookmarkEnd w:id="29"/>
    </w:p>
    <w:p w14:paraId="54359113" w14:textId="77777777" w:rsidR="00EC5D17" w:rsidRDefault="00EC5D17" w:rsidP="00EC5D17">
      <w:pPr>
        <w:pStyle w:val="Reference"/>
        <w:sectPr w:rsidR="00EC5D17" w:rsidSect="00625D85">
          <w:headerReference w:type="default" r:id="rId50"/>
          <w:type w:val="oddPage"/>
          <w:pgSz w:w="11906" w:h="16838" w:code="9"/>
          <w:pgMar w:top="1134" w:right="1134" w:bottom="1134" w:left="1134" w:header="794" w:footer="510" w:gutter="0"/>
          <w:cols w:space="708"/>
          <w:docGrid w:linePitch="360"/>
        </w:sectPr>
      </w:pPr>
    </w:p>
    <w:p w14:paraId="519AFC07" w14:textId="71465495" w:rsidR="00BD4918" w:rsidRPr="00386C27" w:rsidRDefault="00BD4918" w:rsidP="00386C27">
      <w:pPr>
        <w:pStyle w:val="Reference"/>
        <w:rPr>
          <w:rFonts w:cstheme="minorHAnsi"/>
          <w:szCs w:val="16"/>
        </w:rPr>
      </w:pPr>
      <w:r w:rsidRPr="00386C27">
        <w:rPr>
          <w:rFonts w:cstheme="minorHAnsi"/>
          <w:szCs w:val="16"/>
        </w:rPr>
        <w:t xml:space="preserve">Abrell, J. 2017, </w:t>
      </w:r>
      <w:r w:rsidRPr="00386C27">
        <w:rPr>
          <w:rFonts w:cstheme="minorHAnsi"/>
          <w:i/>
          <w:iCs/>
          <w:szCs w:val="16"/>
        </w:rPr>
        <w:t>Some Examples of MCP Models</w:t>
      </w:r>
      <w:r w:rsidR="008723D6">
        <w:rPr>
          <w:rFonts w:cstheme="minorHAnsi"/>
          <w:szCs w:val="16"/>
        </w:rPr>
        <w:t xml:space="preserve">, </w:t>
      </w:r>
      <w:r w:rsidR="008723D6" w:rsidRPr="008723D6">
        <w:rPr>
          <w:rFonts w:cstheme="minorHAnsi"/>
          <w:szCs w:val="16"/>
        </w:rPr>
        <w:t>Center for Energy Policy and Economics, ETH Zurich.</w:t>
      </w:r>
    </w:p>
    <w:p w14:paraId="41C376F4" w14:textId="3B841848" w:rsidR="00BD4918" w:rsidRPr="00386C27" w:rsidRDefault="00BD4918" w:rsidP="00386C27">
      <w:pPr>
        <w:pStyle w:val="Reference"/>
        <w:rPr>
          <w:rFonts w:cstheme="minorHAnsi"/>
          <w:szCs w:val="16"/>
        </w:rPr>
      </w:pPr>
      <w:r w:rsidRPr="00386C27">
        <w:rPr>
          <w:rFonts w:cstheme="minorHAnsi"/>
          <w:szCs w:val="16"/>
        </w:rPr>
        <w:t xml:space="preserve">ABS (Australian Bureau of Statistics) 2007, </w:t>
      </w:r>
      <w:r w:rsidRPr="00386C27">
        <w:rPr>
          <w:rFonts w:cstheme="minorHAnsi"/>
          <w:i/>
          <w:iCs/>
          <w:szCs w:val="16"/>
        </w:rPr>
        <w:t>Australian Social Trends, 2007</w:t>
      </w:r>
      <w:r w:rsidRPr="00386C27">
        <w:rPr>
          <w:rFonts w:cstheme="minorHAnsi"/>
          <w:szCs w:val="16"/>
        </w:rPr>
        <w:t>, One</w:t>
      </w:r>
      <w:r w:rsidR="004B308E">
        <w:rPr>
          <w:rFonts w:cstheme="minorHAnsi"/>
          <w:szCs w:val="16"/>
        </w:rPr>
        <w:noBreakHyphen/>
      </w:r>
      <w:r w:rsidRPr="00386C27">
        <w:rPr>
          <w:rFonts w:cstheme="minorHAnsi"/>
          <w:szCs w:val="16"/>
        </w:rPr>
        <w:t>parent families,</w:t>
      </w:r>
      <w:r w:rsidR="00887778">
        <w:rPr>
          <w:rFonts w:cstheme="minorHAnsi"/>
          <w:szCs w:val="16"/>
        </w:rPr>
        <w:t>Cat. no. 4102.0, 7 August</w:t>
      </w:r>
      <w:r w:rsidR="00834FC4">
        <w:rPr>
          <w:rFonts w:cstheme="minorHAnsi"/>
          <w:szCs w:val="16"/>
        </w:rPr>
        <w:t>.</w:t>
      </w:r>
      <w:r w:rsidRPr="00386C27">
        <w:rPr>
          <w:rFonts w:cstheme="minorHAnsi"/>
          <w:szCs w:val="16"/>
        </w:rPr>
        <w:t>.</w:t>
      </w:r>
    </w:p>
    <w:p w14:paraId="02B74363" w14:textId="58A23A77" w:rsidR="00BD4918" w:rsidRPr="00386C27" w:rsidRDefault="00BD4918" w:rsidP="00386C27">
      <w:pPr>
        <w:pStyle w:val="Reference"/>
        <w:rPr>
          <w:rFonts w:cstheme="minorHAnsi"/>
          <w:szCs w:val="16"/>
        </w:rPr>
      </w:pPr>
      <w:r w:rsidRPr="00386C27">
        <w:rPr>
          <w:rFonts w:cstheme="minorHAnsi"/>
          <w:szCs w:val="16"/>
        </w:rPr>
        <w:t>——</w:t>
      </w:r>
      <w:r w:rsidR="00D7614D">
        <w:rPr>
          <w:rFonts w:cstheme="minorHAnsi"/>
          <w:szCs w:val="16"/>
        </w:rPr>
        <w:t> </w:t>
      </w:r>
      <w:r w:rsidRPr="00386C27">
        <w:rPr>
          <w:rFonts w:cstheme="minorHAnsi"/>
          <w:szCs w:val="16"/>
        </w:rPr>
        <w:t xml:space="preserve">2016a, </w:t>
      </w:r>
      <w:r w:rsidRPr="00386C27">
        <w:rPr>
          <w:rFonts w:cstheme="minorHAnsi"/>
          <w:i/>
          <w:iCs/>
          <w:szCs w:val="16"/>
        </w:rPr>
        <w:t>Australian Census and Migrants Integrated Dataset 2016</w:t>
      </w:r>
      <w:r w:rsidRPr="00386C27">
        <w:rPr>
          <w:rFonts w:cstheme="minorHAnsi"/>
          <w:szCs w:val="16"/>
        </w:rPr>
        <w:t>.</w:t>
      </w:r>
    </w:p>
    <w:p w14:paraId="4BA0F126" w14:textId="28BC1A8B" w:rsidR="00BD4918" w:rsidRPr="005F1D0E" w:rsidRDefault="00BD4918" w:rsidP="00386C27">
      <w:pPr>
        <w:pStyle w:val="Reference"/>
        <w:rPr>
          <w:rFonts w:cstheme="minorHAnsi"/>
          <w:spacing w:val="-4"/>
          <w:szCs w:val="16"/>
        </w:rPr>
      </w:pPr>
      <w:r w:rsidRPr="005F1D0E">
        <w:rPr>
          <w:rFonts w:cstheme="minorHAnsi"/>
          <w:spacing w:val="-4"/>
          <w:szCs w:val="16"/>
        </w:rPr>
        <w:t>——</w:t>
      </w:r>
      <w:r w:rsidR="00D7614D" w:rsidRPr="005F1D0E">
        <w:rPr>
          <w:rFonts w:cstheme="minorHAnsi"/>
          <w:spacing w:val="-4"/>
          <w:szCs w:val="16"/>
        </w:rPr>
        <w:t> </w:t>
      </w:r>
      <w:r w:rsidRPr="005F1D0E">
        <w:rPr>
          <w:rFonts w:cstheme="minorHAnsi"/>
          <w:spacing w:val="-4"/>
          <w:szCs w:val="16"/>
        </w:rPr>
        <w:t xml:space="preserve">2016b, </w:t>
      </w:r>
      <w:r w:rsidRPr="005F1D0E">
        <w:rPr>
          <w:rFonts w:cstheme="minorHAnsi"/>
          <w:i/>
          <w:iCs/>
          <w:spacing w:val="-4"/>
          <w:szCs w:val="16"/>
        </w:rPr>
        <w:t>Australian Census of Population and Housing 2016</w:t>
      </w:r>
      <w:r w:rsidRPr="005F1D0E">
        <w:rPr>
          <w:rFonts w:cstheme="minorHAnsi"/>
          <w:spacing w:val="-4"/>
          <w:szCs w:val="16"/>
        </w:rPr>
        <w:t>.</w:t>
      </w:r>
    </w:p>
    <w:p w14:paraId="785023E2" w14:textId="364BBD94" w:rsidR="00BD4918" w:rsidRPr="00386C27" w:rsidRDefault="00BD4918" w:rsidP="00386C27">
      <w:pPr>
        <w:pStyle w:val="Reference"/>
        <w:rPr>
          <w:rFonts w:cstheme="minorHAnsi"/>
          <w:szCs w:val="16"/>
        </w:rPr>
      </w:pPr>
      <w:r w:rsidRPr="00386C27">
        <w:rPr>
          <w:rFonts w:cstheme="minorHAnsi"/>
          <w:szCs w:val="16"/>
        </w:rPr>
        <w:t>——</w:t>
      </w:r>
      <w:r w:rsidR="00D7614D">
        <w:rPr>
          <w:rFonts w:cstheme="minorHAnsi"/>
          <w:szCs w:val="16"/>
        </w:rPr>
        <w:t> </w:t>
      </w:r>
      <w:r w:rsidRPr="00386C27">
        <w:rPr>
          <w:rFonts w:cstheme="minorHAnsi"/>
          <w:szCs w:val="16"/>
        </w:rPr>
        <w:t xml:space="preserve">2017, </w:t>
      </w:r>
      <w:r w:rsidRPr="00386C27">
        <w:rPr>
          <w:rFonts w:cstheme="minorHAnsi"/>
          <w:i/>
          <w:iCs/>
          <w:szCs w:val="16"/>
        </w:rPr>
        <w:t>Microdata: Household Expenditure, Income and Housing, 2015</w:t>
      </w:r>
      <w:r w:rsidR="004B308E">
        <w:rPr>
          <w:rFonts w:cstheme="minorHAnsi"/>
          <w:i/>
          <w:iCs/>
          <w:szCs w:val="16"/>
        </w:rPr>
        <w:noBreakHyphen/>
      </w:r>
      <w:r w:rsidRPr="00386C27">
        <w:rPr>
          <w:rFonts w:cstheme="minorHAnsi"/>
          <w:i/>
          <w:iCs/>
          <w:szCs w:val="16"/>
        </w:rPr>
        <w:t>16</w:t>
      </w:r>
      <w:r w:rsidRPr="00386C27">
        <w:rPr>
          <w:rFonts w:cstheme="minorHAnsi"/>
          <w:szCs w:val="16"/>
        </w:rPr>
        <w:t>, https://www.abs.gov.au/AUSSTATS/abs@.nsf/Lookup/6540.0Main+Features12015</w:t>
      </w:r>
      <w:r w:rsidR="004B308E">
        <w:rPr>
          <w:rFonts w:cstheme="minorHAnsi"/>
          <w:szCs w:val="16"/>
        </w:rPr>
        <w:noBreakHyphen/>
      </w:r>
      <w:r w:rsidRPr="00386C27">
        <w:rPr>
          <w:rFonts w:cstheme="minorHAnsi"/>
          <w:szCs w:val="16"/>
        </w:rPr>
        <w:t>16 (accessed 30</w:t>
      </w:r>
      <w:r w:rsidR="004B308E">
        <w:rPr>
          <w:rFonts w:cstheme="minorHAnsi"/>
          <w:szCs w:val="16"/>
        </w:rPr>
        <w:t> </w:t>
      </w:r>
      <w:r w:rsidRPr="00386C27">
        <w:rPr>
          <w:rFonts w:cstheme="minorHAnsi"/>
          <w:szCs w:val="16"/>
        </w:rPr>
        <w:t>November 2022).</w:t>
      </w:r>
    </w:p>
    <w:p w14:paraId="357D8738" w14:textId="39F90FB2" w:rsidR="00BD4918" w:rsidRPr="00386C27" w:rsidRDefault="00BD4918" w:rsidP="00386C27">
      <w:pPr>
        <w:pStyle w:val="Reference"/>
        <w:rPr>
          <w:rFonts w:cstheme="minorHAnsi"/>
          <w:szCs w:val="16"/>
        </w:rPr>
      </w:pPr>
      <w:r w:rsidRPr="00386C27">
        <w:rPr>
          <w:rFonts w:cstheme="minorHAnsi"/>
          <w:szCs w:val="16"/>
        </w:rPr>
        <w:t>——</w:t>
      </w:r>
      <w:r w:rsidR="00D7614D">
        <w:rPr>
          <w:rFonts w:cstheme="minorHAnsi"/>
          <w:szCs w:val="16"/>
        </w:rPr>
        <w:t> </w:t>
      </w:r>
      <w:r w:rsidRPr="00386C27">
        <w:rPr>
          <w:rFonts w:cstheme="minorHAnsi"/>
          <w:szCs w:val="16"/>
        </w:rPr>
        <w:t xml:space="preserve">2019a, </w:t>
      </w:r>
      <w:r w:rsidRPr="00386C27">
        <w:rPr>
          <w:rFonts w:cstheme="minorHAnsi"/>
          <w:i/>
          <w:iCs/>
          <w:szCs w:val="16"/>
        </w:rPr>
        <w:t>Australian Demographic Statistics, Jun 2019</w:t>
      </w:r>
      <w:r w:rsidRPr="00386C27">
        <w:rPr>
          <w:rFonts w:cstheme="minorHAnsi"/>
          <w:szCs w:val="16"/>
        </w:rPr>
        <w:t>, https://www.abs.gov.au/</w:t>
      </w:r>
      <w:r w:rsidR="000D03D8">
        <w:rPr>
          <w:rFonts w:cstheme="minorHAnsi"/>
          <w:szCs w:val="16"/>
        </w:rPr>
        <w:br/>
      </w:r>
      <w:r w:rsidRPr="00386C27">
        <w:rPr>
          <w:rFonts w:cstheme="minorHAnsi"/>
          <w:szCs w:val="16"/>
        </w:rPr>
        <w:t>AUSSTATS/abs@.nsf/Lookup/3101.0Main+Features1Jun%202019 (accessed 30</w:t>
      </w:r>
      <w:r w:rsidR="004B308E">
        <w:rPr>
          <w:rFonts w:cstheme="minorHAnsi"/>
          <w:szCs w:val="16"/>
        </w:rPr>
        <w:t> </w:t>
      </w:r>
      <w:r w:rsidRPr="00386C27">
        <w:rPr>
          <w:rFonts w:cstheme="minorHAnsi"/>
          <w:szCs w:val="16"/>
        </w:rPr>
        <w:t>November 2022).</w:t>
      </w:r>
    </w:p>
    <w:p w14:paraId="2BB93B66" w14:textId="2188A0B6" w:rsidR="00BD4918" w:rsidRPr="00386C27" w:rsidRDefault="00BD4918" w:rsidP="00386C27">
      <w:pPr>
        <w:pStyle w:val="Reference"/>
        <w:rPr>
          <w:rFonts w:cstheme="minorHAnsi"/>
          <w:szCs w:val="16"/>
        </w:rPr>
      </w:pPr>
      <w:r w:rsidRPr="00386C27">
        <w:rPr>
          <w:rFonts w:cstheme="minorHAnsi"/>
          <w:szCs w:val="16"/>
        </w:rPr>
        <w:t>——</w:t>
      </w:r>
      <w:r w:rsidR="00D7614D">
        <w:rPr>
          <w:rFonts w:cstheme="minorHAnsi"/>
          <w:szCs w:val="16"/>
        </w:rPr>
        <w:t> </w:t>
      </w:r>
      <w:r w:rsidRPr="00386C27">
        <w:rPr>
          <w:rFonts w:cstheme="minorHAnsi"/>
          <w:szCs w:val="16"/>
        </w:rPr>
        <w:t xml:space="preserve">2019b, </w:t>
      </w:r>
      <w:r w:rsidRPr="00386C27">
        <w:rPr>
          <w:rFonts w:cstheme="minorHAnsi"/>
          <w:i/>
          <w:iCs/>
          <w:szCs w:val="16"/>
        </w:rPr>
        <w:t>Microdata: Income and Housing, 2017</w:t>
      </w:r>
      <w:r w:rsidR="004B308E">
        <w:rPr>
          <w:rFonts w:cstheme="minorHAnsi"/>
          <w:i/>
          <w:iCs/>
          <w:szCs w:val="16"/>
        </w:rPr>
        <w:noBreakHyphen/>
      </w:r>
      <w:r w:rsidRPr="00386C27">
        <w:rPr>
          <w:rFonts w:cstheme="minorHAnsi"/>
          <w:i/>
          <w:iCs/>
          <w:szCs w:val="16"/>
        </w:rPr>
        <w:t>18</w:t>
      </w:r>
      <w:r w:rsidRPr="00386C27">
        <w:rPr>
          <w:rFonts w:cstheme="minorHAnsi"/>
          <w:szCs w:val="16"/>
        </w:rPr>
        <w:t>, https://www.abs.gov.au/statistics/microdata</w:t>
      </w:r>
      <w:r w:rsidR="004B308E">
        <w:rPr>
          <w:rFonts w:cstheme="minorHAnsi"/>
          <w:szCs w:val="16"/>
        </w:rPr>
        <w:noBreakHyphen/>
      </w:r>
      <w:r w:rsidRPr="00386C27">
        <w:rPr>
          <w:rFonts w:cstheme="minorHAnsi"/>
          <w:szCs w:val="16"/>
        </w:rPr>
        <w:t>tablebuilder/available</w:t>
      </w:r>
      <w:r w:rsidR="004B308E">
        <w:rPr>
          <w:rFonts w:cstheme="minorHAnsi"/>
          <w:szCs w:val="16"/>
        </w:rPr>
        <w:noBreakHyphen/>
      </w:r>
      <w:r w:rsidRPr="00386C27">
        <w:rPr>
          <w:rFonts w:cstheme="minorHAnsi"/>
          <w:szCs w:val="16"/>
        </w:rPr>
        <w:t>microdata</w:t>
      </w:r>
      <w:r w:rsidR="004B308E">
        <w:rPr>
          <w:rFonts w:cstheme="minorHAnsi"/>
          <w:szCs w:val="16"/>
        </w:rPr>
        <w:noBreakHyphen/>
      </w:r>
      <w:r w:rsidRPr="00386C27">
        <w:rPr>
          <w:rFonts w:cstheme="minorHAnsi"/>
          <w:szCs w:val="16"/>
        </w:rPr>
        <w:t>tablebuilder/income</w:t>
      </w:r>
      <w:r w:rsidR="004B308E">
        <w:rPr>
          <w:rFonts w:cstheme="minorHAnsi"/>
          <w:szCs w:val="16"/>
        </w:rPr>
        <w:noBreakHyphen/>
      </w:r>
      <w:r w:rsidRPr="00386C27">
        <w:rPr>
          <w:rFonts w:cstheme="minorHAnsi"/>
          <w:szCs w:val="16"/>
        </w:rPr>
        <w:t>and</w:t>
      </w:r>
      <w:r w:rsidR="004B308E">
        <w:rPr>
          <w:rFonts w:cstheme="minorHAnsi"/>
          <w:szCs w:val="16"/>
        </w:rPr>
        <w:noBreakHyphen/>
      </w:r>
      <w:r w:rsidRPr="00386C27">
        <w:rPr>
          <w:rFonts w:cstheme="minorHAnsi"/>
          <w:szCs w:val="16"/>
        </w:rPr>
        <w:t>housing</w:t>
      </w:r>
      <w:r w:rsidR="004B308E">
        <w:rPr>
          <w:rFonts w:cstheme="minorHAnsi"/>
          <w:szCs w:val="16"/>
        </w:rPr>
        <w:noBreakHyphen/>
      </w:r>
      <w:r w:rsidRPr="00386C27">
        <w:rPr>
          <w:rFonts w:cstheme="minorHAnsi"/>
          <w:szCs w:val="16"/>
        </w:rPr>
        <w:t>australia (accessed 30</w:t>
      </w:r>
      <w:r w:rsidR="002E0086">
        <w:rPr>
          <w:rFonts w:cstheme="minorHAnsi"/>
          <w:szCs w:val="16"/>
        </w:rPr>
        <w:t> </w:t>
      </w:r>
      <w:r w:rsidRPr="00386C27">
        <w:rPr>
          <w:rFonts w:cstheme="minorHAnsi"/>
          <w:szCs w:val="16"/>
        </w:rPr>
        <w:t>November 2022).</w:t>
      </w:r>
    </w:p>
    <w:p w14:paraId="7C28798A" w14:textId="56BD06F6" w:rsidR="00BD4918" w:rsidRPr="00386C27" w:rsidRDefault="00BD4918" w:rsidP="00386C27">
      <w:pPr>
        <w:pStyle w:val="Reference"/>
        <w:rPr>
          <w:rFonts w:cstheme="minorHAnsi"/>
          <w:szCs w:val="16"/>
        </w:rPr>
      </w:pPr>
      <w:r w:rsidRPr="00386C27">
        <w:rPr>
          <w:rFonts w:cstheme="minorHAnsi"/>
          <w:szCs w:val="16"/>
        </w:rPr>
        <w:t>——</w:t>
      </w:r>
      <w:r w:rsidR="00D7614D">
        <w:rPr>
          <w:rFonts w:cstheme="minorHAnsi"/>
          <w:szCs w:val="16"/>
        </w:rPr>
        <w:t> </w:t>
      </w:r>
      <w:r w:rsidRPr="00386C27">
        <w:rPr>
          <w:rFonts w:cstheme="minorHAnsi"/>
          <w:szCs w:val="16"/>
        </w:rPr>
        <w:t xml:space="preserve">2021a, </w:t>
      </w:r>
      <w:r w:rsidRPr="00386C27">
        <w:rPr>
          <w:rFonts w:cstheme="minorHAnsi"/>
          <w:i/>
          <w:iCs/>
          <w:szCs w:val="16"/>
        </w:rPr>
        <w:t>Australian National Accounts: Input</w:t>
      </w:r>
      <w:r w:rsidR="004B308E">
        <w:rPr>
          <w:rFonts w:cstheme="minorHAnsi"/>
          <w:i/>
          <w:iCs/>
          <w:szCs w:val="16"/>
        </w:rPr>
        <w:noBreakHyphen/>
      </w:r>
      <w:r w:rsidRPr="00386C27">
        <w:rPr>
          <w:rFonts w:cstheme="minorHAnsi"/>
          <w:i/>
          <w:iCs/>
          <w:szCs w:val="16"/>
        </w:rPr>
        <w:t>Output Tables, 2018</w:t>
      </w:r>
      <w:r w:rsidR="004B308E">
        <w:rPr>
          <w:rFonts w:cstheme="minorHAnsi"/>
          <w:i/>
          <w:iCs/>
          <w:szCs w:val="16"/>
        </w:rPr>
        <w:noBreakHyphen/>
      </w:r>
      <w:r w:rsidRPr="00386C27">
        <w:rPr>
          <w:rFonts w:cstheme="minorHAnsi"/>
          <w:i/>
          <w:iCs/>
          <w:szCs w:val="16"/>
        </w:rPr>
        <w:t>19</w:t>
      </w:r>
      <w:r w:rsidRPr="00386C27">
        <w:rPr>
          <w:rFonts w:cstheme="minorHAnsi"/>
          <w:szCs w:val="16"/>
        </w:rPr>
        <w:t>, https://www.abs.gov.au/statistics/economy/</w:t>
      </w:r>
      <w:r w:rsidR="00E46630">
        <w:rPr>
          <w:rFonts w:cstheme="minorHAnsi"/>
          <w:szCs w:val="16"/>
        </w:rPr>
        <w:br/>
      </w:r>
      <w:r w:rsidRPr="00386C27">
        <w:rPr>
          <w:rFonts w:cstheme="minorHAnsi"/>
          <w:szCs w:val="16"/>
        </w:rPr>
        <w:t>national</w:t>
      </w:r>
      <w:r w:rsidR="004B308E">
        <w:rPr>
          <w:rFonts w:cstheme="minorHAnsi"/>
          <w:szCs w:val="16"/>
        </w:rPr>
        <w:noBreakHyphen/>
      </w:r>
      <w:r w:rsidRPr="00386C27">
        <w:rPr>
          <w:rFonts w:cstheme="minorHAnsi"/>
          <w:szCs w:val="16"/>
        </w:rPr>
        <w:t>accounts/australian</w:t>
      </w:r>
      <w:r w:rsidR="004B308E">
        <w:rPr>
          <w:rFonts w:cstheme="minorHAnsi"/>
          <w:szCs w:val="16"/>
        </w:rPr>
        <w:noBreakHyphen/>
      </w:r>
      <w:r w:rsidRPr="00386C27">
        <w:rPr>
          <w:rFonts w:cstheme="minorHAnsi"/>
          <w:szCs w:val="16"/>
        </w:rPr>
        <w:t>national</w:t>
      </w:r>
      <w:r w:rsidR="004B308E">
        <w:rPr>
          <w:rFonts w:cstheme="minorHAnsi"/>
          <w:szCs w:val="16"/>
        </w:rPr>
        <w:noBreakHyphen/>
      </w:r>
      <w:r w:rsidRPr="00386C27">
        <w:rPr>
          <w:rFonts w:cstheme="minorHAnsi"/>
          <w:szCs w:val="16"/>
        </w:rPr>
        <w:t>accounts</w:t>
      </w:r>
      <w:r w:rsidR="004B308E">
        <w:rPr>
          <w:rFonts w:cstheme="minorHAnsi"/>
          <w:szCs w:val="16"/>
        </w:rPr>
        <w:noBreakHyphen/>
      </w:r>
      <w:r w:rsidRPr="00386C27">
        <w:rPr>
          <w:rFonts w:cstheme="minorHAnsi"/>
          <w:szCs w:val="16"/>
        </w:rPr>
        <w:t>input</w:t>
      </w:r>
      <w:r w:rsidR="004B308E">
        <w:rPr>
          <w:rFonts w:cstheme="minorHAnsi"/>
          <w:szCs w:val="16"/>
        </w:rPr>
        <w:noBreakHyphen/>
      </w:r>
      <w:r w:rsidRPr="00386C27">
        <w:rPr>
          <w:rFonts w:cstheme="minorHAnsi"/>
          <w:szCs w:val="16"/>
        </w:rPr>
        <w:t>output</w:t>
      </w:r>
      <w:r w:rsidR="004B308E">
        <w:rPr>
          <w:rFonts w:cstheme="minorHAnsi"/>
          <w:szCs w:val="16"/>
        </w:rPr>
        <w:noBreakHyphen/>
      </w:r>
      <w:r w:rsidRPr="00386C27">
        <w:rPr>
          <w:rFonts w:cstheme="minorHAnsi"/>
          <w:szCs w:val="16"/>
        </w:rPr>
        <w:t>tables/2018</w:t>
      </w:r>
      <w:r w:rsidR="004B308E">
        <w:rPr>
          <w:rFonts w:cstheme="minorHAnsi"/>
          <w:szCs w:val="16"/>
        </w:rPr>
        <w:noBreakHyphen/>
      </w:r>
      <w:r w:rsidRPr="00386C27">
        <w:rPr>
          <w:rFonts w:cstheme="minorHAnsi"/>
          <w:szCs w:val="16"/>
        </w:rPr>
        <w:t>19 (accessed 1</w:t>
      </w:r>
      <w:r w:rsidR="004B308E">
        <w:rPr>
          <w:rFonts w:cstheme="minorHAnsi"/>
          <w:szCs w:val="16"/>
        </w:rPr>
        <w:t> </w:t>
      </w:r>
      <w:r w:rsidRPr="00386C27">
        <w:rPr>
          <w:rFonts w:cstheme="minorHAnsi"/>
          <w:szCs w:val="16"/>
        </w:rPr>
        <w:t>December 2022).</w:t>
      </w:r>
    </w:p>
    <w:p w14:paraId="37CB99E5" w14:textId="1803D461" w:rsidR="00BD4918" w:rsidRPr="00386C27" w:rsidRDefault="00BD4918" w:rsidP="00386C27">
      <w:pPr>
        <w:pStyle w:val="Reference"/>
        <w:rPr>
          <w:rFonts w:cstheme="minorHAnsi"/>
          <w:szCs w:val="16"/>
        </w:rPr>
      </w:pPr>
      <w:r w:rsidRPr="00386C27">
        <w:rPr>
          <w:rFonts w:cstheme="minorHAnsi"/>
          <w:szCs w:val="16"/>
        </w:rPr>
        <w:t>——</w:t>
      </w:r>
      <w:r w:rsidR="00D7614D">
        <w:rPr>
          <w:rFonts w:cstheme="minorHAnsi"/>
          <w:szCs w:val="16"/>
        </w:rPr>
        <w:t> </w:t>
      </w:r>
      <w:r w:rsidRPr="00386C27">
        <w:rPr>
          <w:rFonts w:cstheme="minorHAnsi"/>
          <w:szCs w:val="16"/>
        </w:rPr>
        <w:t xml:space="preserve">2021b, </w:t>
      </w:r>
      <w:r w:rsidRPr="00386C27">
        <w:rPr>
          <w:rFonts w:cstheme="minorHAnsi"/>
          <w:i/>
          <w:iCs/>
          <w:szCs w:val="16"/>
        </w:rPr>
        <w:t>Balance of Payments and International Investment Position, Australia</w:t>
      </w:r>
      <w:r w:rsidRPr="00386C27">
        <w:rPr>
          <w:rFonts w:cstheme="minorHAnsi"/>
          <w:szCs w:val="16"/>
        </w:rPr>
        <w:t>, September 2021, https://www.abs.gov.au/statistics/economy/international</w:t>
      </w:r>
      <w:r w:rsidR="004B308E">
        <w:rPr>
          <w:rFonts w:cstheme="minorHAnsi"/>
          <w:szCs w:val="16"/>
        </w:rPr>
        <w:noBreakHyphen/>
      </w:r>
      <w:r w:rsidRPr="00386C27">
        <w:rPr>
          <w:rFonts w:cstheme="minorHAnsi"/>
          <w:szCs w:val="16"/>
        </w:rPr>
        <w:t>trade/balance</w:t>
      </w:r>
      <w:r w:rsidR="004B308E">
        <w:rPr>
          <w:rFonts w:cstheme="minorHAnsi"/>
          <w:szCs w:val="16"/>
        </w:rPr>
        <w:noBreakHyphen/>
      </w:r>
      <w:r w:rsidRPr="00386C27">
        <w:rPr>
          <w:rFonts w:cstheme="minorHAnsi"/>
          <w:szCs w:val="16"/>
        </w:rPr>
        <w:t>payments</w:t>
      </w:r>
      <w:r w:rsidR="004B308E">
        <w:rPr>
          <w:rFonts w:cstheme="minorHAnsi"/>
          <w:szCs w:val="16"/>
        </w:rPr>
        <w:noBreakHyphen/>
      </w:r>
      <w:r w:rsidRPr="00386C27">
        <w:rPr>
          <w:rFonts w:cstheme="minorHAnsi"/>
          <w:szCs w:val="16"/>
        </w:rPr>
        <w:t>and</w:t>
      </w:r>
      <w:r w:rsidR="004B308E">
        <w:rPr>
          <w:rFonts w:cstheme="minorHAnsi"/>
          <w:szCs w:val="16"/>
        </w:rPr>
        <w:noBreakHyphen/>
      </w:r>
      <w:r w:rsidRPr="00386C27">
        <w:rPr>
          <w:rFonts w:cstheme="minorHAnsi"/>
          <w:szCs w:val="16"/>
        </w:rPr>
        <w:t>international-investment</w:t>
      </w:r>
      <w:r w:rsidR="004B308E">
        <w:rPr>
          <w:rFonts w:cstheme="minorHAnsi"/>
          <w:szCs w:val="16"/>
        </w:rPr>
        <w:noBreakHyphen/>
      </w:r>
      <w:r w:rsidRPr="00386C27">
        <w:rPr>
          <w:rFonts w:cstheme="minorHAnsi"/>
          <w:szCs w:val="16"/>
        </w:rPr>
        <w:t>position</w:t>
      </w:r>
      <w:r w:rsidR="004B308E">
        <w:rPr>
          <w:rFonts w:cstheme="minorHAnsi"/>
          <w:szCs w:val="16"/>
        </w:rPr>
        <w:noBreakHyphen/>
      </w:r>
      <w:r w:rsidR="00E46630">
        <w:rPr>
          <w:rFonts w:cstheme="minorHAnsi"/>
          <w:szCs w:val="16"/>
        </w:rPr>
        <w:br/>
      </w:r>
      <w:r w:rsidRPr="00386C27">
        <w:rPr>
          <w:rFonts w:cstheme="minorHAnsi"/>
          <w:szCs w:val="16"/>
        </w:rPr>
        <w:t>australia/</w:t>
      </w:r>
      <w:r w:rsidR="00E46630">
        <w:rPr>
          <w:rFonts w:cstheme="minorHAnsi"/>
          <w:szCs w:val="16"/>
        </w:rPr>
        <w:t>z</w:t>
      </w:r>
      <w:r w:rsidRPr="00386C27">
        <w:rPr>
          <w:rFonts w:cstheme="minorHAnsi"/>
          <w:szCs w:val="16"/>
        </w:rPr>
        <w:t>sep</w:t>
      </w:r>
      <w:r w:rsidR="004B308E">
        <w:rPr>
          <w:rFonts w:cstheme="minorHAnsi"/>
          <w:szCs w:val="16"/>
        </w:rPr>
        <w:noBreakHyphen/>
      </w:r>
      <w:r w:rsidRPr="00386C27">
        <w:rPr>
          <w:rFonts w:cstheme="minorHAnsi"/>
          <w:szCs w:val="16"/>
        </w:rPr>
        <w:t>2021 (accessed 31</w:t>
      </w:r>
      <w:r w:rsidR="002E0086">
        <w:rPr>
          <w:rFonts w:cstheme="minorHAnsi"/>
          <w:szCs w:val="16"/>
        </w:rPr>
        <w:t> </w:t>
      </w:r>
      <w:r w:rsidRPr="00386C27">
        <w:rPr>
          <w:rFonts w:cstheme="minorHAnsi"/>
          <w:szCs w:val="16"/>
        </w:rPr>
        <w:t>January 2023).</w:t>
      </w:r>
    </w:p>
    <w:p w14:paraId="18DBBC49" w14:textId="2EF65B60" w:rsidR="00BD4918" w:rsidRPr="00386C27" w:rsidRDefault="00BD4918" w:rsidP="00386C27">
      <w:pPr>
        <w:pStyle w:val="Reference"/>
        <w:rPr>
          <w:rFonts w:cstheme="minorHAnsi"/>
          <w:szCs w:val="16"/>
        </w:rPr>
      </w:pPr>
      <w:r w:rsidRPr="00386C27">
        <w:rPr>
          <w:rFonts w:cstheme="minorHAnsi"/>
          <w:szCs w:val="16"/>
        </w:rPr>
        <w:t>——</w:t>
      </w:r>
      <w:r w:rsidR="00D7614D">
        <w:rPr>
          <w:rFonts w:cstheme="minorHAnsi"/>
          <w:szCs w:val="16"/>
        </w:rPr>
        <w:t> </w:t>
      </w:r>
      <w:r w:rsidRPr="00386C27">
        <w:rPr>
          <w:rFonts w:cstheme="minorHAnsi"/>
          <w:szCs w:val="16"/>
        </w:rPr>
        <w:t xml:space="preserve">2022a, </w:t>
      </w:r>
      <w:r w:rsidRPr="00386C27">
        <w:rPr>
          <w:rFonts w:cstheme="minorHAnsi"/>
          <w:i/>
          <w:iCs/>
          <w:szCs w:val="16"/>
        </w:rPr>
        <w:t>Labour Force, Australia, Detailed, June 2022</w:t>
      </w:r>
      <w:r w:rsidRPr="00386C27">
        <w:rPr>
          <w:rFonts w:cstheme="minorHAnsi"/>
          <w:szCs w:val="16"/>
        </w:rPr>
        <w:t>, https://www.abs.gov.au/statistics/labour/employment</w:t>
      </w:r>
      <w:r w:rsidR="004B308E">
        <w:rPr>
          <w:rFonts w:cstheme="minorHAnsi"/>
          <w:szCs w:val="16"/>
        </w:rPr>
        <w:noBreakHyphen/>
      </w:r>
      <w:r w:rsidRPr="00386C27">
        <w:rPr>
          <w:rFonts w:cstheme="minorHAnsi"/>
          <w:szCs w:val="16"/>
        </w:rPr>
        <w:t>and</w:t>
      </w:r>
      <w:r w:rsidR="004B308E">
        <w:rPr>
          <w:rFonts w:cstheme="minorHAnsi"/>
          <w:szCs w:val="16"/>
        </w:rPr>
        <w:noBreakHyphen/>
      </w:r>
      <w:r w:rsidRPr="00386C27">
        <w:rPr>
          <w:rFonts w:cstheme="minorHAnsi"/>
          <w:szCs w:val="16"/>
        </w:rPr>
        <w:t>unemployment/labour</w:t>
      </w:r>
      <w:r w:rsidR="004B308E">
        <w:rPr>
          <w:rFonts w:cstheme="minorHAnsi"/>
          <w:szCs w:val="16"/>
        </w:rPr>
        <w:noBreakHyphen/>
      </w:r>
      <w:r w:rsidRPr="00386C27">
        <w:rPr>
          <w:rFonts w:cstheme="minorHAnsi"/>
          <w:szCs w:val="16"/>
        </w:rPr>
        <w:t>force-australia-detailed/jun</w:t>
      </w:r>
      <w:r w:rsidR="002E0086">
        <w:rPr>
          <w:rFonts w:cstheme="minorHAnsi"/>
          <w:szCs w:val="16"/>
        </w:rPr>
        <w:noBreakHyphen/>
      </w:r>
      <w:r w:rsidRPr="00386C27">
        <w:rPr>
          <w:rFonts w:cstheme="minorHAnsi"/>
          <w:szCs w:val="16"/>
        </w:rPr>
        <w:t>2022 (accessed 31</w:t>
      </w:r>
      <w:r w:rsidR="004B308E">
        <w:rPr>
          <w:rFonts w:cstheme="minorHAnsi"/>
          <w:szCs w:val="16"/>
        </w:rPr>
        <w:t> </w:t>
      </w:r>
      <w:r w:rsidRPr="00386C27">
        <w:rPr>
          <w:rFonts w:cstheme="minorHAnsi"/>
          <w:szCs w:val="16"/>
        </w:rPr>
        <w:t>January 2023).</w:t>
      </w:r>
    </w:p>
    <w:p w14:paraId="40D30B0B" w14:textId="5F6F1F9E" w:rsidR="00BD4918" w:rsidRPr="00386C27" w:rsidRDefault="00BD4918" w:rsidP="00386C27">
      <w:pPr>
        <w:pStyle w:val="Reference"/>
        <w:rPr>
          <w:rFonts w:cstheme="minorHAnsi"/>
          <w:szCs w:val="16"/>
        </w:rPr>
      </w:pPr>
      <w:r w:rsidRPr="00386C27">
        <w:rPr>
          <w:rFonts w:cstheme="minorHAnsi"/>
          <w:szCs w:val="16"/>
        </w:rPr>
        <w:t>——</w:t>
      </w:r>
      <w:r w:rsidR="00D7614D">
        <w:rPr>
          <w:rFonts w:cstheme="minorHAnsi"/>
          <w:szCs w:val="16"/>
        </w:rPr>
        <w:t> </w:t>
      </w:r>
      <w:r w:rsidRPr="00386C27">
        <w:rPr>
          <w:rFonts w:cstheme="minorHAnsi"/>
          <w:szCs w:val="16"/>
        </w:rPr>
        <w:t xml:space="preserve">2022b, </w:t>
      </w:r>
      <w:r w:rsidRPr="00386C27">
        <w:rPr>
          <w:rFonts w:cstheme="minorHAnsi"/>
          <w:i/>
          <w:iCs/>
          <w:szCs w:val="16"/>
        </w:rPr>
        <w:t>Schools, Australia 2021</w:t>
      </w:r>
      <w:r w:rsidRPr="00386C27">
        <w:rPr>
          <w:rFonts w:cstheme="minorHAnsi"/>
          <w:szCs w:val="16"/>
        </w:rPr>
        <w:t>, Cat. no. 4221.0, https://www.abs.gov.au/statistics/people/education/schools/latest</w:t>
      </w:r>
      <w:r w:rsidR="002E0086">
        <w:rPr>
          <w:rFonts w:cstheme="minorHAnsi"/>
          <w:szCs w:val="16"/>
        </w:rPr>
        <w:noBreakHyphen/>
      </w:r>
      <w:r w:rsidRPr="00386C27">
        <w:rPr>
          <w:rFonts w:cstheme="minorHAnsi"/>
          <w:szCs w:val="16"/>
        </w:rPr>
        <w:t>release (accessed 30</w:t>
      </w:r>
      <w:r w:rsidR="002E0086">
        <w:rPr>
          <w:rFonts w:cstheme="minorHAnsi"/>
          <w:szCs w:val="16"/>
        </w:rPr>
        <w:t> </w:t>
      </w:r>
      <w:r w:rsidRPr="00386C27">
        <w:rPr>
          <w:rFonts w:cstheme="minorHAnsi"/>
          <w:szCs w:val="16"/>
        </w:rPr>
        <w:t>October 2022).</w:t>
      </w:r>
    </w:p>
    <w:p w14:paraId="7B5B8C9E" w14:textId="2271E8D2" w:rsidR="00BD4918" w:rsidRPr="00386C27" w:rsidRDefault="00BD4918" w:rsidP="00386C27">
      <w:pPr>
        <w:pStyle w:val="Reference"/>
        <w:rPr>
          <w:rFonts w:cstheme="minorHAnsi"/>
          <w:szCs w:val="16"/>
        </w:rPr>
      </w:pPr>
      <w:r w:rsidRPr="00386C27">
        <w:rPr>
          <w:rFonts w:cstheme="minorHAnsi"/>
          <w:szCs w:val="16"/>
        </w:rPr>
        <w:t xml:space="preserve">Adams, P., Dixon, J. and Horridge, M. 2015, </w:t>
      </w:r>
      <w:r w:rsidRPr="00386C27">
        <w:rPr>
          <w:rFonts w:cstheme="minorHAnsi"/>
          <w:i/>
          <w:iCs/>
          <w:szCs w:val="16"/>
        </w:rPr>
        <w:t>The Victoria University Regional Model (VURM): Technical Documentation, Version 1.0</w:t>
      </w:r>
      <w:r w:rsidRPr="00386C27">
        <w:rPr>
          <w:rFonts w:cstheme="minorHAnsi"/>
          <w:szCs w:val="16"/>
        </w:rPr>
        <w:t>, Working Paper, No. G</w:t>
      </w:r>
      <w:r w:rsidR="002E0086">
        <w:rPr>
          <w:rFonts w:cstheme="minorHAnsi"/>
          <w:szCs w:val="16"/>
        </w:rPr>
        <w:noBreakHyphen/>
      </w:r>
      <w:r w:rsidRPr="00386C27">
        <w:rPr>
          <w:rFonts w:cstheme="minorHAnsi"/>
          <w:szCs w:val="16"/>
        </w:rPr>
        <w:t>254, Centre of Policy Studies, Melbourne.</w:t>
      </w:r>
    </w:p>
    <w:p w14:paraId="022E919F" w14:textId="77777777" w:rsidR="00BD4918" w:rsidRPr="00386C27" w:rsidRDefault="00BD4918" w:rsidP="00386C27">
      <w:pPr>
        <w:pStyle w:val="Reference"/>
        <w:rPr>
          <w:rFonts w:cstheme="minorHAnsi"/>
          <w:szCs w:val="16"/>
        </w:rPr>
      </w:pPr>
      <w:r w:rsidRPr="00386C27">
        <w:rPr>
          <w:rFonts w:cstheme="minorHAnsi"/>
          <w:szCs w:val="16"/>
        </w:rPr>
        <w:t xml:space="preserve">Agbahey, J., Siddig, K. and Grethe, H. 2020, ‘Implications of labor supply specifications in CGE models: A demonstration for employment of Palestinian labor in Israel and its impact on the West Bank economy’, </w:t>
      </w:r>
      <w:r w:rsidRPr="00386C27">
        <w:rPr>
          <w:rFonts w:cstheme="minorHAnsi"/>
          <w:i/>
          <w:iCs/>
          <w:szCs w:val="16"/>
        </w:rPr>
        <w:t>Economic Analysis and Policy</w:t>
      </w:r>
      <w:r w:rsidRPr="00386C27">
        <w:rPr>
          <w:rFonts w:cstheme="minorHAnsi"/>
          <w:szCs w:val="16"/>
        </w:rPr>
        <w:t>, vol. 68, pp. 265–284.</w:t>
      </w:r>
    </w:p>
    <w:p w14:paraId="4F953CEE" w14:textId="77777777" w:rsidR="00BD4918" w:rsidRPr="00386C27" w:rsidRDefault="00BD4918" w:rsidP="00386C27">
      <w:pPr>
        <w:pStyle w:val="Reference"/>
        <w:rPr>
          <w:rFonts w:cstheme="minorHAnsi"/>
          <w:szCs w:val="16"/>
        </w:rPr>
      </w:pPr>
      <w:r w:rsidRPr="00386C27">
        <w:rPr>
          <w:rFonts w:cstheme="minorHAnsi"/>
          <w:szCs w:val="16"/>
        </w:rPr>
        <w:t xml:space="preserve">Autor, D. 2018, </w:t>
      </w:r>
      <w:r w:rsidRPr="00386C27">
        <w:rPr>
          <w:rFonts w:cstheme="minorHAnsi"/>
          <w:i/>
          <w:iCs/>
          <w:szCs w:val="16"/>
        </w:rPr>
        <w:t>Lecture Note: The Canonical Model of Skill Differentials</w:t>
      </w:r>
      <w:r w:rsidRPr="00386C27">
        <w:rPr>
          <w:rFonts w:cstheme="minorHAnsi"/>
          <w:szCs w:val="16"/>
        </w:rPr>
        <w:t>, MIT and NBER.</w:t>
      </w:r>
    </w:p>
    <w:p w14:paraId="2B4F4AD6" w14:textId="44E58EB9" w:rsidR="00BD4918" w:rsidRPr="00386C27" w:rsidRDefault="00BD4918" w:rsidP="00386C27">
      <w:pPr>
        <w:pStyle w:val="Reference"/>
        <w:rPr>
          <w:rFonts w:cstheme="minorHAnsi"/>
          <w:szCs w:val="16"/>
        </w:rPr>
      </w:pPr>
      <w:r w:rsidRPr="00386C27">
        <w:rPr>
          <w:rFonts w:cstheme="minorHAnsi"/>
          <w:szCs w:val="16"/>
        </w:rPr>
        <w:t xml:space="preserve">Bambalaite, I., Nicoletti, G. and von Rueden, C. 2020, </w:t>
      </w:r>
      <w:r w:rsidRPr="00386C27">
        <w:rPr>
          <w:rFonts w:cstheme="minorHAnsi"/>
          <w:i/>
          <w:iCs/>
          <w:szCs w:val="16"/>
        </w:rPr>
        <w:t>Occupational Entry Regulations and Their Effects on Productivity in Services: Firm</w:t>
      </w:r>
      <w:r w:rsidR="002E0086">
        <w:rPr>
          <w:rFonts w:cstheme="minorHAnsi"/>
          <w:i/>
          <w:iCs/>
          <w:szCs w:val="16"/>
        </w:rPr>
        <w:noBreakHyphen/>
      </w:r>
      <w:r w:rsidRPr="00386C27">
        <w:rPr>
          <w:rFonts w:cstheme="minorHAnsi"/>
          <w:i/>
          <w:iCs/>
          <w:szCs w:val="16"/>
        </w:rPr>
        <w:t>Level Evidence</w:t>
      </w:r>
      <w:r w:rsidRPr="00386C27">
        <w:rPr>
          <w:rFonts w:cstheme="minorHAnsi"/>
          <w:szCs w:val="16"/>
        </w:rPr>
        <w:t>, OECD Economics Department Working Papers, 31</w:t>
      </w:r>
      <w:r w:rsidR="004B308E">
        <w:rPr>
          <w:rFonts w:cstheme="minorHAnsi"/>
          <w:szCs w:val="16"/>
        </w:rPr>
        <w:t> </w:t>
      </w:r>
      <w:r w:rsidRPr="00386C27">
        <w:rPr>
          <w:rFonts w:cstheme="minorHAnsi"/>
          <w:szCs w:val="16"/>
        </w:rPr>
        <w:t>March 1605.</w:t>
      </w:r>
    </w:p>
    <w:p w14:paraId="1BF6AC17" w14:textId="77777777" w:rsidR="00BD4918" w:rsidRPr="00386C27" w:rsidRDefault="00BD4918" w:rsidP="00386C27">
      <w:pPr>
        <w:pStyle w:val="Reference"/>
        <w:rPr>
          <w:rFonts w:cstheme="minorHAnsi"/>
          <w:szCs w:val="16"/>
        </w:rPr>
      </w:pPr>
      <w:r w:rsidRPr="00386C27">
        <w:rPr>
          <w:rFonts w:cstheme="minorHAnsi"/>
          <w:szCs w:val="16"/>
        </w:rPr>
        <w:t xml:space="preserve">Blankenou, W. and Cassou, S.P. 2011, ‘Industry differences in the elasticity of substitution and rate of biased technological change between skilled and unskilled labor’, </w:t>
      </w:r>
      <w:r w:rsidRPr="00386C27">
        <w:rPr>
          <w:rFonts w:cstheme="minorHAnsi"/>
          <w:i/>
          <w:iCs/>
          <w:szCs w:val="16"/>
        </w:rPr>
        <w:t>Applied Economics</w:t>
      </w:r>
      <w:r w:rsidRPr="00386C27">
        <w:rPr>
          <w:rFonts w:cstheme="minorHAnsi"/>
          <w:szCs w:val="16"/>
        </w:rPr>
        <w:t>, vol. 43, no. 23, pp. 3129–3142.</w:t>
      </w:r>
    </w:p>
    <w:p w14:paraId="6134B89C" w14:textId="5F1D7721" w:rsidR="00BD4918" w:rsidRPr="00386C27" w:rsidRDefault="00BD4918" w:rsidP="00386C27">
      <w:pPr>
        <w:pStyle w:val="Reference"/>
        <w:rPr>
          <w:rFonts w:cstheme="minorHAnsi"/>
          <w:szCs w:val="16"/>
        </w:rPr>
      </w:pPr>
      <w:r w:rsidRPr="00386C27">
        <w:rPr>
          <w:rFonts w:cstheme="minorHAnsi"/>
          <w:szCs w:val="16"/>
        </w:rPr>
        <w:t>Boeters, S. and Savard, L. 2013, ‘Chapter</w:t>
      </w:r>
      <w:r w:rsidR="004B308E">
        <w:rPr>
          <w:rFonts w:cstheme="minorHAnsi"/>
          <w:szCs w:val="16"/>
        </w:rPr>
        <w:t> </w:t>
      </w:r>
      <w:r w:rsidRPr="00386C27">
        <w:rPr>
          <w:rFonts w:cstheme="minorHAnsi"/>
          <w:szCs w:val="16"/>
        </w:rPr>
        <w:t xml:space="preserve">26 - The labour market in computable general equilibrium models’, </w:t>
      </w:r>
      <w:r w:rsidRPr="00386C27">
        <w:rPr>
          <w:rFonts w:cstheme="minorHAnsi"/>
          <w:i/>
          <w:iCs/>
          <w:szCs w:val="16"/>
        </w:rPr>
        <w:t>Handbook of Computable General Equilibrium Modeling</w:t>
      </w:r>
      <w:r w:rsidRPr="00386C27">
        <w:rPr>
          <w:rFonts w:cstheme="minorHAnsi"/>
          <w:szCs w:val="16"/>
        </w:rPr>
        <w:t>, vol 1, Elsevier, pp. 1645–1718.</w:t>
      </w:r>
    </w:p>
    <w:p w14:paraId="3E9B12BC" w14:textId="77777777" w:rsidR="00BD4918" w:rsidRPr="00386C27" w:rsidRDefault="00BD4918" w:rsidP="00386C27">
      <w:pPr>
        <w:pStyle w:val="Reference"/>
        <w:rPr>
          <w:rFonts w:cstheme="minorHAnsi"/>
          <w:szCs w:val="16"/>
        </w:rPr>
      </w:pPr>
      <w:r w:rsidRPr="00386C27">
        <w:rPr>
          <w:rFonts w:cstheme="minorHAnsi"/>
          <w:szCs w:val="16"/>
        </w:rPr>
        <w:t xml:space="preserve">Braga, M., Paccagnella, M. and Pellizzari, M. 2016, ‘The impact of college teaching on students’ academic and labor market outcomes’, </w:t>
      </w:r>
      <w:r w:rsidRPr="00386C27">
        <w:rPr>
          <w:rFonts w:cstheme="minorHAnsi"/>
          <w:i/>
          <w:iCs/>
          <w:szCs w:val="16"/>
        </w:rPr>
        <w:t>Journal of Labor Economics</w:t>
      </w:r>
      <w:r w:rsidRPr="00386C27">
        <w:rPr>
          <w:rFonts w:cstheme="minorHAnsi"/>
          <w:szCs w:val="16"/>
        </w:rPr>
        <w:t>, vol. 34, no. 3, pp. 781–822.</w:t>
      </w:r>
    </w:p>
    <w:p w14:paraId="5E2A9CDF" w14:textId="77777777" w:rsidR="00BD4918" w:rsidRPr="00386C27" w:rsidRDefault="00BD4918" w:rsidP="00386C27">
      <w:pPr>
        <w:pStyle w:val="Reference"/>
        <w:rPr>
          <w:rFonts w:cstheme="minorHAnsi"/>
          <w:szCs w:val="16"/>
        </w:rPr>
      </w:pPr>
      <w:r w:rsidRPr="00386C27">
        <w:rPr>
          <w:rFonts w:cstheme="minorHAnsi"/>
          <w:szCs w:val="16"/>
        </w:rPr>
        <w:t xml:space="preserve">Bullen, J., Conigrave, B., Elderfield, A., Karmel, C., Lucas, L., Murphy, C., Ruberl, H., Stoney, N. and Yao, H. 2021, </w:t>
      </w:r>
      <w:r w:rsidRPr="00386C27">
        <w:rPr>
          <w:rFonts w:cstheme="minorHAnsi"/>
          <w:i/>
          <w:iCs/>
          <w:szCs w:val="16"/>
        </w:rPr>
        <w:t>The Treasury Macroeconometric Model of Australia: Modelling Approach</w:t>
      </w:r>
      <w:r w:rsidRPr="00386C27">
        <w:rPr>
          <w:rFonts w:cstheme="minorHAnsi"/>
          <w:szCs w:val="16"/>
        </w:rPr>
        <w:t>, Treasury Paper, Australian Treasury.</w:t>
      </w:r>
    </w:p>
    <w:p w14:paraId="23D10A67" w14:textId="77777777" w:rsidR="00BD4918" w:rsidRPr="00386C27" w:rsidRDefault="00BD4918" w:rsidP="00386C27">
      <w:pPr>
        <w:pStyle w:val="Reference"/>
        <w:rPr>
          <w:rFonts w:cstheme="minorHAnsi"/>
          <w:szCs w:val="16"/>
        </w:rPr>
      </w:pPr>
      <w:r w:rsidRPr="00386C27">
        <w:rPr>
          <w:rFonts w:cstheme="minorHAnsi"/>
          <w:szCs w:val="16"/>
        </w:rPr>
        <w:t xml:space="preserve">Cardona, M., Kretschmer, T. and Strobel, T. 2013, ‘ICT and productivity: conclusions from the empirical literature’, </w:t>
      </w:r>
      <w:r w:rsidRPr="00386C27">
        <w:rPr>
          <w:rFonts w:cstheme="minorHAnsi"/>
          <w:i/>
          <w:iCs/>
          <w:szCs w:val="16"/>
        </w:rPr>
        <w:t>Information Economics and Policy</w:t>
      </w:r>
      <w:r w:rsidRPr="00386C27">
        <w:rPr>
          <w:rFonts w:cstheme="minorHAnsi"/>
          <w:szCs w:val="16"/>
        </w:rPr>
        <w:t>, vol. 25, pp. 109–125.</w:t>
      </w:r>
    </w:p>
    <w:p w14:paraId="2588E0C5" w14:textId="77777777" w:rsidR="00BD4918" w:rsidRPr="00386C27" w:rsidRDefault="00BD4918" w:rsidP="00386C27">
      <w:pPr>
        <w:pStyle w:val="Reference"/>
        <w:rPr>
          <w:rFonts w:cstheme="minorHAnsi"/>
          <w:szCs w:val="16"/>
        </w:rPr>
      </w:pPr>
      <w:r w:rsidRPr="00386C27">
        <w:rPr>
          <w:rFonts w:cstheme="minorHAnsi"/>
          <w:szCs w:val="16"/>
        </w:rPr>
        <w:t xml:space="preserve">Cheong, D. and Sonnenschein, X. 2012, </w:t>
      </w:r>
      <w:r w:rsidRPr="00386C27">
        <w:rPr>
          <w:rFonts w:cstheme="minorHAnsi"/>
          <w:i/>
          <w:iCs/>
          <w:szCs w:val="16"/>
        </w:rPr>
        <w:t>Trade Liberalisation and Employment in Indonesia: A CGE Analysis</w:t>
      </w:r>
      <w:r w:rsidRPr="00386C27">
        <w:rPr>
          <w:rFonts w:cstheme="minorHAnsi"/>
          <w:szCs w:val="16"/>
        </w:rPr>
        <w:t>, Conference Paper, 15th Annual Conference on Global Economic Analysis, Geneva, Switzerland.</w:t>
      </w:r>
    </w:p>
    <w:p w14:paraId="0F23A6C2" w14:textId="77777777" w:rsidR="00BD4918" w:rsidRPr="00386C27" w:rsidRDefault="00BD4918" w:rsidP="00386C27">
      <w:pPr>
        <w:pStyle w:val="Reference"/>
        <w:rPr>
          <w:rFonts w:cstheme="minorHAnsi"/>
          <w:szCs w:val="16"/>
        </w:rPr>
      </w:pPr>
      <w:r w:rsidRPr="00386C27">
        <w:rPr>
          <w:rFonts w:cstheme="minorHAnsi"/>
          <w:szCs w:val="16"/>
        </w:rPr>
        <w:t xml:space="preserve">Chetty, R., Friedman, J.N., Hilger, N., Saez, E., Whitmore Schanzenbach, D. and Yagan, D. 2011, ‘How does your kindergarten classroom affect your earnings? Evidence from Project Star’, </w:t>
      </w:r>
      <w:r w:rsidRPr="00386C27">
        <w:rPr>
          <w:rFonts w:cstheme="minorHAnsi"/>
          <w:i/>
          <w:iCs/>
          <w:szCs w:val="16"/>
        </w:rPr>
        <w:t>Quarterly Journal of Economics</w:t>
      </w:r>
      <w:r w:rsidRPr="00386C27">
        <w:rPr>
          <w:rFonts w:cstheme="minorHAnsi"/>
          <w:szCs w:val="16"/>
        </w:rPr>
        <w:t>, vol. 126, no. 4, pp. 1593–1660.</w:t>
      </w:r>
    </w:p>
    <w:p w14:paraId="65C11500" w14:textId="77777777" w:rsidR="00BD4918" w:rsidRPr="00386C27" w:rsidRDefault="00BD4918" w:rsidP="00386C27">
      <w:pPr>
        <w:pStyle w:val="Reference"/>
        <w:rPr>
          <w:rFonts w:cstheme="minorHAnsi"/>
          <w:szCs w:val="16"/>
        </w:rPr>
      </w:pPr>
      <w:r w:rsidRPr="00386C27">
        <w:rPr>
          <w:rFonts w:cstheme="minorHAnsi"/>
          <w:szCs w:val="16"/>
        </w:rPr>
        <w:t xml:space="preserve">Clements, K., Mariano, M.J. and Verikios, G. 2020, </w:t>
      </w:r>
      <w:r w:rsidRPr="00386C27">
        <w:rPr>
          <w:rFonts w:cstheme="minorHAnsi"/>
          <w:i/>
          <w:iCs/>
          <w:szCs w:val="16"/>
        </w:rPr>
        <w:t>Foreign-Domestic Substitution, Import Penetration and CGE Modelling</w:t>
      </w:r>
      <w:r w:rsidRPr="00386C27">
        <w:rPr>
          <w:rFonts w:cstheme="minorHAnsi"/>
          <w:szCs w:val="16"/>
        </w:rPr>
        <w:t>, Griffith Business School Discussion Paper Series - Economics and business statistics.</w:t>
      </w:r>
    </w:p>
    <w:p w14:paraId="3B4F8781" w14:textId="77777777" w:rsidR="00BD4918" w:rsidRPr="00386C27" w:rsidRDefault="00BD4918" w:rsidP="00386C27">
      <w:pPr>
        <w:pStyle w:val="Reference"/>
        <w:rPr>
          <w:rFonts w:cstheme="minorHAnsi"/>
          <w:szCs w:val="16"/>
        </w:rPr>
      </w:pPr>
      <w:r w:rsidRPr="00386C27">
        <w:rPr>
          <w:rFonts w:cstheme="minorHAnsi"/>
          <w:szCs w:val="16"/>
        </w:rPr>
        <w:t xml:space="preserve">Currie, J. and Thomas, D. 2001, ‘Early test scores, school quality and SES: Longrun effects on wage and employment outcomes’, </w:t>
      </w:r>
      <w:r w:rsidRPr="00386C27">
        <w:rPr>
          <w:rFonts w:cstheme="minorHAnsi"/>
          <w:i/>
          <w:iCs/>
          <w:szCs w:val="16"/>
        </w:rPr>
        <w:t>Worker Wellbeing in a Changing Labor Market (Research in Labor Economics</w:t>
      </w:r>
      <w:r w:rsidRPr="00386C27">
        <w:rPr>
          <w:rFonts w:cstheme="minorHAnsi"/>
          <w:szCs w:val="16"/>
        </w:rPr>
        <w:t>, vol 20, Emerald Group Publishing Limited, Bingley, pp. 103–132.</w:t>
      </w:r>
    </w:p>
    <w:p w14:paraId="750E25EB" w14:textId="77777777" w:rsidR="00BD4918" w:rsidRPr="00386C27" w:rsidRDefault="00BD4918" w:rsidP="00386C27">
      <w:pPr>
        <w:pStyle w:val="Reference"/>
        <w:rPr>
          <w:rFonts w:cstheme="minorHAnsi"/>
          <w:szCs w:val="16"/>
        </w:rPr>
      </w:pPr>
      <w:r w:rsidRPr="00386C27">
        <w:rPr>
          <w:rFonts w:cstheme="minorHAnsi"/>
          <w:szCs w:val="16"/>
        </w:rPr>
        <w:t xml:space="preserve">Dandie, S. and Mercante, J. 2007, </w:t>
      </w:r>
      <w:r w:rsidRPr="00386C27">
        <w:rPr>
          <w:rFonts w:cstheme="minorHAnsi"/>
          <w:i/>
          <w:iCs/>
          <w:szCs w:val="16"/>
        </w:rPr>
        <w:t>Australian Labour Supply Elasticities: Comparison and Critical Review</w:t>
      </w:r>
      <w:r w:rsidRPr="00386C27">
        <w:rPr>
          <w:rFonts w:cstheme="minorHAnsi"/>
          <w:szCs w:val="16"/>
        </w:rPr>
        <w:t>, Treasury Working Paper, 2007–04, Australian Treasury.</w:t>
      </w:r>
    </w:p>
    <w:p w14:paraId="3AD1A235" w14:textId="2E051DC9" w:rsidR="00BD4918" w:rsidRPr="00386C27" w:rsidRDefault="00BD4918" w:rsidP="00386C27">
      <w:pPr>
        <w:pStyle w:val="Reference"/>
        <w:rPr>
          <w:rFonts w:cstheme="minorHAnsi"/>
          <w:szCs w:val="16"/>
        </w:rPr>
      </w:pPr>
      <w:r w:rsidRPr="00386C27">
        <w:rPr>
          <w:rFonts w:cstheme="minorHAnsi"/>
          <w:szCs w:val="16"/>
        </w:rPr>
        <w:t xml:space="preserve">De Giorgi, G., Paccagnella, M. and Pellizzari, M. 2013, </w:t>
      </w:r>
      <w:r w:rsidRPr="00386C27">
        <w:rPr>
          <w:rFonts w:cstheme="minorHAnsi"/>
          <w:i/>
          <w:iCs/>
          <w:szCs w:val="16"/>
        </w:rPr>
        <w:t xml:space="preserve">Gender </w:t>
      </w:r>
      <w:r w:rsidR="0047164A">
        <w:rPr>
          <w:rFonts w:cstheme="minorHAnsi"/>
          <w:i/>
          <w:iCs/>
          <w:szCs w:val="16"/>
        </w:rPr>
        <w:t>C</w:t>
      </w:r>
      <w:r w:rsidRPr="00386C27">
        <w:rPr>
          <w:rFonts w:cstheme="minorHAnsi"/>
          <w:i/>
          <w:iCs/>
          <w:szCs w:val="16"/>
        </w:rPr>
        <w:t xml:space="preserve">omplementarities in the </w:t>
      </w:r>
      <w:r w:rsidR="0047164A">
        <w:rPr>
          <w:rFonts w:cstheme="minorHAnsi"/>
          <w:i/>
          <w:iCs/>
          <w:szCs w:val="16"/>
        </w:rPr>
        <w:t>L</w:t>
      </w:r>
      <w:r w:rsidRPr="00386C27">
        <w:rPr>
          <w:rFonts w:cstheme="minorHAnsi"/>
          <w:i/>
          <w:iCs/>
          <w:szCs w:val="16"/>
        </w:rPr>
        <w:t xml:space="preserve">abor </w:t>
      </w:r>
      <w:r w:rsidR="0047164A">
        <w:rPr>
          <w:rFonts w:cstheme="minorHAnsi"/>
          <w:i/>
          <w:iCs/>
          <w:szCs w:val="16"/>
        </w:rPr>
        <w:t>M</w:t>
      </w:r>
      <w:r w:rsidRPr="00386C27">
        <w:rPr>
          <w:rFonts w:cstheme="minorHAnsi"/>
          <w:i/>
          <w:iCs/>
          <w:szCs w:val="16"/>
        </w:rPr>
        <w:t>arket</w:t>
      </w:r>
      <w:r w:rsidRPr="00386C27">
        <w:rPr>
          <w:rFonts w:cstheme="minorHAnsi"/>
          <w:szCs w:val="16"/>
        </w:rPr>
        <w:t>, Occasional Paper, 183, Bank of Italy.</w:t>
      </w:r>
    </w:p>
    <w:p w14:paraId="17488C38" w14:textId="77777777" w:rsidR="00BD4918" w:rsidRPr="00386C27" w:rsidRDefault="00BD4918" w:rsidP="00386C27">
      <w:pPr>
        <w:pStyle w:val="Reference"/>
        <w:rPr>
          <w:rFonts w:cstheme="minorHAnsi"/>
          <w:szCs w:val="16"/>
        </w:rPr>
      </w:pPr>
      <w:r w:rsidRPr="00386C27">
        <w:rPr>
          <w:rFonts w:cstheme="minorHAnsi"/>
          <w:szCs w:val="16"/>
        </w:rPr>
        <w:t xml:space="preserve">Delahaye, E.E. and Milot, C.A. 2020, </w:t>
      </w:r>
      <w:r w:rsidRPr="00386C27">
        <w:rPr>
          <w:rFonts w:cstheme="minorHAnsi"/>
          <w:i/>
          <w:iCs/>
          <w:szCs w:val="16"/>
        </w:rPr>
        <w:t>Measuring the UK Economy’s Armington Elasticities</w:t>
      </w:r>
      <w:r w:rsidRPr="00386C27">
        <w:rPr>
          <w:rFonts w:cstheme="minorHAnsi"/>
          <w:szCs w:val="16"/>
        </w:rPr>
        <w:t>, Conference Paper, 23rd Annual Conference on Global Economic Analysis, Global Trade Analysis Project.</w:t>
      </w:r>
    </w:p>
    <w:p w14:paraId="55380653" w14:textId="77777777" w:rsidR="00BD4918" w:rsidRPr="00386C27" w:rsidRDefault="00BD4918" w:rsidP="00386C27">
      <w:pPr>
        <w:pStyle w:val="Reference"/>
        <w:rPr>
          <w:rFonts w:cstheme="minorHAnsi"/>
          <w:szCs w:val="16"/>
        </w:rPr>
      </w:pPr>
      <w:r w:rsidRPr="00386C27">
        <w:rPr>
          <w:rFonts w:cstheme="minorHAnsi"/>
          <w:szCs w:val="16"/>
        </w:rPr>
        <w:t xml:space="preserve">DIIS and IP Australia (Department of Industry, Innovation and Science and IP Australia) 2017, </w:t>
      </w:r>
      <w:r w:rsidRPr="00386C27">
        <w:rPr>
          <w:rFonts w:cstheme="minorHAnsi"/>
          <w:i/>
          <w:iCs/>
          <w:szCs w:val="16"/>
        </w:rPr>
        <w:t>A Patent Analytics Study on the Australian Advanced Manufacturing Industry</w:t>
      </w:r>
      <w:r w:rsidRPr="00386C27">
        <w:rPr>
          <w:rFonts w:cstheme="minorHAnsi"/>
          <w:szCs w:val="16"/>
        </w:rPr>
        <w:t>.</w:t>
      </w:r>
    </w:p>
    <w:p w14:paraId="61579104" w14:textId="77777777" w:rsidR="00BD4918" w:rsidRPr="00386C27" w:rsidRDefault="00BD4918" w:rsidP="00386C27">
      <w:pPr>
        <w:pStyle w:val="Reference"/>
        <w:rPr>
          <w:rFonts w:cstheme="minorHAnsi"/>
          <w:szCs w:val="16"/>
        </w:rPr>
      </w:pPr>
      <w:r w:rsidRPr="00386C27">
        <w:rPr>
          <w:rFonts w:cstheme="minorHAnsi"/>
          <w:szCs w:val="16"/>
        </w:rPr>
        <w:t xml:space="preserve">Dixon, J. and Nassios, J. 2019, </w:t>
      </w:r>
      <w:r w:rsidRPr="00386C27">
        <w:rPr>
          <w:rFonts w:cstheme="minorHAnsi"/>
          <w:i/>
          <w:iCs/>
          <w:szCs w:val="16"/>
        </w:rPr>
        <w:t>Evaluating Gender Impacts in Employment: A CGE Framework for Policy Makers</w:t>
      </w:r>
      <w:r w:rsidRPr="00386C27">
        <w:rPr>
          <w:rFonts w:cstheme="minorHAnsi"/>
          <w:szCs w:val="16"/>
        </w:rPr>
        <w:t>, Conference Paper, 22nd Annual Conference on Global Economic Analysis.</w:t>
      </w:r>
    </w:p>
    <w:p w14:paraId="776331BF" w14:textId="6915A60A" w:rsidR="00BD4918" w:rsidRPr="00386C27" w:rsidRDefault="00BD4918" w:rsidP="00386C27">
      <w:pPr>
        <w:pStyle w:val="Reference"/>
        <w:rPr>
          <w:rFonts w:cstheme="minorHAnsi"/>
          <w:szCs w:val="16"/>
        </w:rPr>
      </w:pPr>
      <w:r w:rsidRPr="00386C27">
        <w:rPr>
          <w:rFonts w:cstheme="minorHAnsi"/>
          <w:szCs w:val="16"/>
        </w:rPr>
        <w:t xml:space="preserve">Fox, A. 2002, </w:t>
      </w:r>
      <w:r w:rsidRPr="00386C27">
        <w:rPr>
          <w:rFonts w:cstheme="minorHAnsi"/>
          <w:i/>
          <w:iCs/>
          <w:szCs w:val="16"/>
        </w:rPr>
        <w:t>Incorporating Labor</w:t>
      </w:r>
      <w:r w:rsidR="002E0086">
        <w:rPr>
          <w:rFonts w:cstheme="minorHAnsi"/>
          <w:i/>
          <w:iCs/>
          <w:szCs w:val="16"/>
        </w:rPr>
        <w:noBreakHyphen/>
      </w:r>
      <w:r w:rsidRPr="00386C27">
        <w:rPr>
          <w:rFonts w:cstheme="minorHAnsi"/>
          <w:i/>
          <w:iCs/>
          <w:szCs w:val="16"/>
        </w:rPr>
        <w:t>Leisure Choice into a Static General Equilibrium Model</w:t>
      </w:r>
      <w:r w:rsidRPr="00386C27">
        <w:rPr>
          <w:rFonts w:cstheme="minorHAnsi"/>
          <w:szCs w:val="16"/>
        </w:rPr>
        <w:t>, Conference Paper, 5th Annual Conference on Global Economic Analysis.</w:t>
      </w:r>
    </w:p>
    <w:p w14:paraId="337870C9" w14:textId="11B9AE62" w:rsidR="00BD4918" w:rsidRPr="00386C27" w:rsidRDefault="00BD4918" w:rsidP="00386C27">
      <w:pPr>
        <w:pStyle w:val="Reference"/>
        <w:rPr>
          <w:rFonts w:cstheme="minorHAnsi"/>
          <w:szCs w:val="16"/>
        </w:rPr>
      </w:pPr>
      <w:r w:rsidRPr="00386C27">
        <w:rPr>
          <w:rFonts w:cstheme="minorHAnsi"/>
          <w:szCs w:val="16"/>
        </w:rPr>
        <w:lastRenderedPageBreak/>
        <w:t xml:space="preserve">Gechert, S., Havranek, T., Irsova, Z. and Kolcunova, D. 2019, </w:t>
      </w:r>
      <w:r w:rsidRPr="00386C27">
        <w:rPr>
          <w:rFonts w:cstheme="minorHAnsi"/>
          <w:i/>
          <w:iCs/>
          <w:szCs w:val="16"/>
        </w:rPr>
        <w:t>Death to the Cobb</w:t>
      </w:r>
      <w:r w:rsidR="002E0086">
        <w:rPr>
          <w:rFonts w:cstheme="minorHAnsi"/>
          <w:i/>
          <w:iCs/>
          <w:szCs w:val="16"/>
        </w:rPr>
        <w:noBreakHyphen/>
      </w:r>
      <w:r w:rsidRPr="00386C27">
        <w:rPr>
          <w:rFonts w:cstheme="minorHAnsi"/>
          <w:i/>
          <w:iCs/>
          <w:szCs w:val="16"/>
        </w:rPr>
        <w:t>Douglas Production Function</w:t>
      </w:r>
      <w:r w:rsidRPr="00386C27">
        <w:rPr>
          <w:rFonts w:cstheme="minorHAnsi"/>
          <w:szCs w:val="16"/>
        </w:rPr>
        <w:t>, Working Paper, 26/2019, Institute of Economic Studies.</w:t>
      </w:r>
    </w:p>
    <w:p w14:paraId="2E8BA75D" w14:textId="77777777" w:rsidR="00BD4918" w:rsidRPr="00386C27" w:rsidRDefault="00BD4918" w:rsidP="00386C27">
      <w:pPr>
        <w:pStyle w:val="Reference"/>
        <w:rPr>
          <w:rFonts w:cstheme="minorHAnsi"/>
          <w:szCs w:val="16"/>
        </w:rPr>
      </w:pPr>
      <w:r w:rsidRPr="00386C27">
        <w:rPr>
          <w:rFonts w:cstheme="minorHAnsi"/>
          <w:szCs w:val="16"/>
        </w:rPr>
        <w:t xml:space="preserve">Gharibnavaz, M.R. and Verikios, G. 2018, </w:t>
      </w:r>
      <w:r w:rsidRPr="00386C27">
        <w:rPr>
          <w:rFonts w:cstheme="minorHAnsi"/>
          <w:i/>
          <w:iCs/>
          <w:szCs w:val="16"/>
        </w:rPr>
        <w:t>Estimating LES Parameters with Heterogeneous Households for a CGE Model</w:t>
      </w:r>
      <w:r w:rsidRPr="00386C27">
        <w:rPr>
          <w:rFonts w:cstheme="minorHAnsi"/>
          <w:szCs w:val="16"/>
        </w:rPr>
        <w:t>, Conference Paper, 21st Annual Conference on Global Economic Analysis.</w:t>
      </w:r>
    </w:p>
    <w:p w14:paraId="3EA0542E" w14:textId="020ECEBA" w:rsidR="00BD4918" w:rsidRPr="00386C27" w:rsidRDefault="00BD4918" w:rsidP="00386C27">
      <w:pPr>
        <w:pStyle w:val="Reference"/>
        <w:rPr>
          <w:rFonts w:cstheme="minorHAnsi"/>
          <w:szCs w:val="16"/>
        </w:rPr>
      </w:pPr>
      <w:r w:rsidRPr="00386C27">
        <w:rPr>
          <w:rFonts w:cstheme="minorHAnsi"/>
          <w:szCs w:val="16"/>
        </w:rPr>
        <w:t xml:space="preserve">Ghosh, P.K. 2018, </w:t>
      </w:r>
      <w:r w:rsidRPr="00386C27">
        <w:rPr>
          <w:rFonts w:cstheme="minorHAnsi"/>
          <w:i/>
          <w:iCs/>
          <w:szCs w:val="16"/>
        </w:rPr>
        <w:t>A</w:t>
      </w:r>
      <w:r w:rsidR="005461E6">
        <w:rPr>
          <w:rFonts w:cstheme="minorHAnsi"/>
          <w:i/>
          <w:iCs/>
          <w:szCs w:val="16"/>
        </w:rPr>
        <w:t xml:space="preserve"> S</w:t>
      </w:r>
      <w:r w:rsidRPr="00386C27">
        <w:rPr>
          <w:rFonts w:cstheme="minorHAnsi"/>
          <w:i/>
          <w:iCs/>
          <w:szCs w:val="16"/>
        </w:rPr>
        <w:t xml:space="preserve">tudy of the </w:t>
      </w:r>
      <w:r w:rsidR="005461E6">
        <w:rPr>
          <w:rFonts w:cstheme="minorHAnsi"/>
          <w:i/>
          <w:iCs/>
          <w:szCs w:val="16"/>
        </w:rPr>
        <w:t>L</w:t>
      </w:r>
      <w:r w:rsidRPr="00386C27">
        <w:rPr>
          <w:rFonts w:cstheme="minorHAnsi"/>
          <w:i/>
          <w:iCs/>
          <w:szCs w:val="16"/>
        </w:rPr>
        <w:t>ong</w:t>
      </w:r>
      <w:r w:rsidR="002E0086">
        <w:rPr>
          <w:rFonts w:cstheme="minorHAnsi"/>
          <w:i/>
          <w:iCs/>
          <w:szCs w:val="16"/>
        </w:rPr>
        <w:noBreakHyphen/>
      </w:r>
      <w:r w:rsidRPr="00386C27">
        <w:rPr>
          <w:rFonts w:cstheme="minorHAnsi"/>
          <w:i/>
          <w:iCs/>
          <w:szCs w:val="16"/>
        </w:rPr>
        <w:t xml:space="preserve">run </w:t>
      </w:r>
      <w:r w:rsidR="005461E6">
        <w:rPr>
          <w:rFonts w:cstheme="minorHAnsi"/>
          <w:i/>
          <w:iCs/>
          <w:szCs w:val="16"/>
        </w:rPr>
        <w:t>S</w:t>
      </w:r>
      <w:r w:rsidRPr="00386C27">
        <w:rPr>
          <w:rFonts w:cstheme="minorHAnsi"/>
          <w:i/>
          <w:iCs/>
          <w:szCs w:val="16"/>
        </w:rPr>
        <w:t xml:space="preserve">ubstitutability </w:t>
      </w:r>
      <w:r w:rsidR="005461E6">
        <w:rPr>
          <w:rFonts w:cstheme="minorHAnsi"/>
          <w:i/>
          <w:iCs/>
          <w:szCs w:val="16"/>
        </w:rPr>
        <w:t>B</w:t>
      </w:r>
      <w:r w:rsidRPr="00386C27">
        <w:rPr>
          <w:rFonts w:cstheme="minorHAnsi"/>
          <w:i/>
          <w:iCs/>
          <w:szCs w:val="16"/>
        </w:rPr>
        <w:t xml:space="preserve">etween </w:t>
      </w:r>
      <w:r w:rsidR="005461E6">
        <w:rPr>
          <w:rFonts w:cstheme="minorHAnsi"/>
          <w:i/>
          <w:iCs/>
          <w:szCs w:val="16"/>
        </w:rPr>
        <w:t>M</w:t>
      </w:r>
      <w:r w:rsidRPr="00386C27">
        <w:rPr>
          <w:rFonts w:cstheme="minorHAnsi"/>
          <w:i/>
          <w:iCs/>
          <w:szCs w:val="16"/>
        </w:rPr>
        <w:t xml:space="preserve">en and </w:t>
      </w:r>
      <w:r w:rsidR="005461E6">
        <w:rPr>
          <w:rFonts w:cstheme="minorHAnsi"/>
          <w:i/>
          <w:iCs/>
          <w:szCs w:val="16"/>
        </w:rPr>
        <w:t>W</w:t>
      </w:r>
      <w:r w:rsidRPr="00386C27">
        <w:rPr>
          <w:rFonts w:cstheme="minorHAnsi"/>
          <w:i/>
          <w:iCs/>
          <w:szCs w:val="16"/>
        </w:rPr>
        <w:t>omen</w:t>
      </w:r>
      <w:r w:rsidRPr="00386C27">
        <w:rPr>
          <w:rFonts w:cstheme="minorHAnsi"/>
          <w:szCs w:val="16"/>
        </w:rPr>
        <w:t>, Conference Paper, IZA Conference Mimeo.</w:t>
      </w:r>
    </w:p>
    <w:p w14:paraId="27CA47CC" w14:textId="77777777" w:rsidR="00BD4918" w:rsidRPr="00720024" w:rsidRDefault="00BD4918" w:rsidP="00386C27">
      <w:pPr>
        <w:pStyle w:val="Reference"/>
        <w:rPr>
          <w:rFonts w:cstheme="minorHAnsi"/>
          <w:spacing w:val="-4"/>
          <w:szCs w:val="16"/>
        </w:rPr>
      </w:pPr>
      <w:r w:rsidRPr="00720024">
        <w:rPr>
          <w:rFonts w:cstheme="minorHAnsi"/>
          <w:spacing w:val="-4"/>
          <w:szCs w:val="16"/>
        </w:rPr>
        <w:t xml:space="preserve">Giesecke, J.A., King, C., Nassios, J. and Tran, N.H. 2021, ‘The impact of GST reform on Australia’s state and territory economies’, </w:t>
      </w:r>
      <w:r w:rsidRPr="00720024">
        <w:rPr>
          <w:rFonts w:cstheme="minorHAnsi"/>
          <w:i/>
          <w:iCs/>
          <w:spacing w:val="-4"/>
          <w:szCs w:val="16"/>
        </w:rPr>
        <w:t>Applied Economics</w:t>
      </w:r>
      <w:r w:rsidRPr="00720024">
        <w:rPr>
          <w:rFonts w:cstheme="minorHAnsi"/>
          <w:spacing w:val="-4"/>
          <w:szCs w:val="16"/>
        </w:rPr>
        <w:t>, vol. 53, no. 51, pp. 5929–5947.</w:t>
      </w:r>
    </w:p>
    <w:p w14:paraId="163123D8" w14:textId="0B622E82" w:rsidR="00BD4918" w:rsidRPr="00386C27" w:rsidRDefault="00BD4918" w:rsidP="00386C27">
      <w:pPr>
        <w:pStyle w:val="Reference"/>
        <w:rPr>
          <w:rFonts w:cstheme="minorHAnsi"/>
          <w:szCs w:val="16"/>
        </w:rPr>
      </w:pPr>
      <w:r w:rsidRPr="00386C27">
        <w:rPr>
          <w:rFonts w:cstheme="minorHAnsi"/>
          <w:szCs w:val="16"/>
        </w:rPr>
        <w:t>Go, D.S. 1994, ‘External shocks, adjustment policies and investment in a developing economy: Illustrations from a forward</w:t>
      </w:r>
      <w:r w:rsidR="002E0086">
        <w:rPr>
          <w:rFonts w:cstheme="minorHAnsi"/>
          <w:szCs w:val="16"/>
        </w:rPr>
        <w:noBreakHyphen/>
      </w:r>
      <w:r w:rsidRPr="00386C27">
        <w:rPr>
          <w:rFonts w:cstheme="minorHAnsi"/>
          <w:szCs w:val="16"/>
        </w:rPr>
        <w:t xml:space="preserve">looking CGE model of the Philippines’, </w:t>
      </w:r>
      <w:r w:rsidRPr="00386C27">
        <w:rPr>
          <w:rFonts w:cstheme="minorHAnsi"/>
          <w:i/>
          <w:iCs/>
          <w:szCs w:val="16"/>
        </w:rPr>
        <w:t>Journal of Development Economics</w:t>
      </w:r>
      <w:r w:rsidRPr="00386C27">
        <w:rPr>
          <w:rFonts w:cstheme="minorHAnsi"/>
          <w:szCs w:val="16"/>
        </w:rPr>
        <w:t>, vol. 44, no. 2, pp. 229–261.</w:t>
      </w:r>
    </w:p>
    <w:p w14:paraId="7638DAED" w14:textId="77777777" w:rsidR="00BD4918" w:rsidRPr="00386C27" w:rsidRDefault="00BD4918" w:rsidP="00386C27">
      <w:pPr>
        <w:pStyle w:val="Reference"/>
        <w:rPr>
          <w:rFonts w:cstheme="minorHAnsi"/>
          <w:szCs w:val="16"/>
        </w:rPr>
      </w:pPr>
      <w:r w:rsidRPr="00386C27">
        <w:rPr>
          <w:rFonts w:cstheme="minorHAnsi"/>
          <w:szCs w:val="16"/>
        </w:rPr>
        <w:t xml:space="preserve">Guisinger, A.Y. 2020, ‘Gender differences in the volatility of work hours and labor demand’, </w:t>
      </w:r>
      <w:r w:rsidRPr="00386C27">
        <w:rPr>
          <w:rFonts w:cstheme="minorHAnsi"/>
          <w:i/>
          <w:iCs/>
          <w:szCs w:val="16"/>
        </w:rPr>
        <w:t>Journal of Macroeconomics</w:t>
      </w:r>
      <w:r w:rsidRPr="00386C27">
        <w:rPr>
          <w:rFonts w:cstheme="minorHAnsi"/>
          <w:szCs w:val="16"/>
        </w:rPr>
        <w:t>, vol. 66, no. 103254.</w:t>
      </w:r>
    </w:p>
    <w:p w14:paraId="7E339E8B" w14:textId="7D9E3DB1" w:rsidR="00BD4918" w:rsidRPr="00386C27" w:rsidRDefault="00BD4918" w:rsidP="00386C27">
      <w:pPr>
        <w:pStyle w:val="Reference"/>
        <w:rPr>
          <w:rFonts w:cstheme="minorHAnsi"/>
          <w:szCs w:val="16"/>
        </w:rPr>
      </w:pPr>
      <w:r w:rsidRPr="00386C27">
        <w:rPr>
          <w:rFonts w:cstheme="minorHAnsi"/>
          <w:szCs w:val="16"/>
        </w:rPr>
        <w:t xml:space="preserve">Havranek, T., Irsova, Z., Laslopova, L. and Zeynalova, O. 2020, </w:t>
      </w:r>
      <w:r w:rsidRPr="00386C27">
        <w:rPr>
          <w:rFonts w:cstheme="minorHAnsi"/>
          <w:i/>
          <w:iCs/>
          <w:szCs w:val="16"/>
        </w:rPr>
        <w:t xml:space="preserve">The </w:t>
      </w:r>
      <w:r w:rsidR="00E97815">
        <w:rPr>
          <w:rFonts w:cstheme="minorHAnsi"/>
          <w:i/>
          <w:iCs/>
          <w:szCs w:val="16"/>
        </w:rPr>
        <w:t>E</w:t>
      </w:r>
      <w:r w:rsidRPr="00386C27">
        <w:rPr>
          <w:rFonts w:cstheme="minorHAnsi"/>
          <w:i/>
          <w:iCs/>
          <w:szCs w:val="16"/>
        </w:rPr>
        <w:t xml:space="preserve">lasticity of </w:t>
      </w:r>
      <w:r w:rsidR="00E97815">
        <w:rPr>
          <w:rFonts w:cstheme="minorHAnsi"/>
          <w:i/>
          <w:iCs/>
          <w:szCs w:val="16"/>
        </w:rPr>
        <w:t>S</w:t>
      </w:r>
      <w:r w:rsidRPr="00386C27">
        <w:rPr>
          <w:rFonts w:cstheme="minorHAnsi"/>
          <w:i/>
          <w:iCs/>
          <w:szCs w:val="16"/>
        </w:rPr>
        <w:t xml:space="preserve">ubstitution </w:t>
      </w:r>
      <w:r w:rsidR="00E97815">
        <w:rPr>
          <w:rFonts w:cstheme="minorHAnsi"/>
          <w:i/>
          <w:iCs/>
          <w:szCs w:val="16"/>
        </w:rPr>
        <w:t>B</w:t>
      </w:r>
      <w:r w:rsidRPr="00386C27">
        <w:rPr>
          <w:rFonts w:cstheme="minorHAnsi"/>
          <w:i/>
          <w:iCs/>
          <w:szCs w:val="16"/>
        </w:rPr>
        <w:t xml:space="preserve">etween </w:t>
      </w:r>
      <w:r w:rsidR="00E97815">
        <w:rPr>
          <w:rFonts w:cstheme="minorHAnsi"/>
          <w:i/>
          <w:iCs/>
          <w:szCs w:val="16"/>
        </w:rPr>
        <w:t>S</w:t>
      </w:r>
      <w:r w:rsidRPr="00386C27">
        <w:rPr>
          <w:rFonts w:cstheme="minorHAnsi"/>
          <w:i/>
          <w:iCs/>
          <w:szCs w:val="16"/>
        </w:rPr>
        <w:t xml:space="preserve">killed and </w:t>
      </w:r>
      <w:r w:rsidR="007531A2">
        <w:rPr>
          <w:rFonts w:cstheme="minorHAnsi"/>
          <w:i/>
          <w:iCs/>
          <w:szCs w:val="16"/>
        </w:rPr>
        <w:t>U</w:t>
      </w:r>
      <w:r w:rsidRPr="00386C27">
        <w:rPr>
          <w:rFonts w:cstheme="minorHAnsi"/>
          <w:i/>
          <w:iCs/>
          <w:szCs w:val="16"/>
        </w:rPr>
        <w:t xml:space="preserve">nskilled </w:t>
      </w:r>
      <w:r w:rsidR="00E97815">
        <w:rPr>
          <w:rFonts w:cstheme="minorHAnsi"/>
          <w:i/>
          <w:iCs/>
          <w:szCs w:val="16"/>
        </w:rPr>
        <w:t>L</w:t>
      </w:r>
      <w:r w:rsidRPr="00386C27">
        <w:rPr>
          <w:rFonts w:cstheme="minorHAnsi"/>
          <w:i/>
          <w:iCs/>
          <w:szCs w:val="16"/>
        </w:rPr>
        <w:t xml:space="preserve">abor: </w:t>
      </w:r>
      <w:r w:rsidR="007531A2">
        <w:rPr>
          <w:rFonts w:cstheme="minorHAnsi"/>
          <w:i/>
          <w:iCs/>
          <w:szCs w:val="16"/>
        </w:rPr>
        <w:t>A</w:t>
      </w:r>
      <w:r w:rsidRPr="00386C27">
        <w:rPr>
          <w:rFonts w:cstheme="minorHAnsi"/>
          <w:i/>
          <w:iCs/>
          <w:szCs w:val="16"/>
        </w:rPr>
        <w:t xml:space="preserve"> </w:t>
      </w:r>
      <w:r w:rsidR="007531A2">
        <w:rPr>
          <w:rFonts w:cstheme="minorHAnsi"/>
          <w:i/>
          <w:iCs/>
          <w:szCs w:val="16"/>
        </w:rPr>
        <w:t>M</w:t>
      </w:r>
      <w:r w:rsidRPr="00386C27">
        <w:rPr>
          <w:rFonts w:cstheme="minorHAnsi"/>
          <w:i/>
          <w:iCs/>
          <w:szCs w:val="16"/>
        </w:rPr>
        <w:t>eta</w:t>
      </w:r>
      <w:r w:rsidR="002E0086">
        <w:rPr>
          <w:rFonts w:cstheme="minorHAnsi"/>
          <w:i/>
          <w:iCs/>
          <w:szCs w:val="16"/>
        </w:rPr>
        <w:noBreakHyphen/>
      </w:r>
      <w:r w:rsidRPr="00386C27">
        <w:rPr>
          <w:rFonts w:cstheme="minorHAnsi"/>
          <w:i/>
          <w:iCs/>
          <w:szCs w:val="16"/>
        </w:rPr>
        <w:t>analysis</w:t>
      </w:r>
      <w:r w:rsidRPr="00386C27">
        <w:rPr>
          <w:rFonts w:cstheme="minorHAnsi"/>
          <w:szCs w:val="16"/>
        </w:rPr>
        <w:t>, Munich Personal RePEc Archive, 102598.</w:t>
      </w:r>
    </w:p>
    <w:p w14:paraId="1D5642CB" w14:textId="0170DEF6" w:rsidR="00BD4918" w:rsidRPr="00386C27" w:rsidRDefault="00BD4918" w:rsidP="00386C27">
      <w:pPr>
        <w:pStyle w:val="Reference"/>
        <w:rPr>
          <w:rFonts w:cstheme="minorHAnsi"/>
          <w:szCs w:val="16"/>
        </w:rPr>
      </w:pPr>
      <w:r w:rsidRPr="00386C27">
        <w:rPr>
          <w:rFonts w:cstheme="minorHAnsi"/>
          <w:szCs w:val="16"/>
        </w:rPr>
        <w:t>Hertel, T.W. and van der Mensbrugghe, D. 2019, ‘Chapter</w:t>
      </w:r>
      <w:r w:rsidR="004B308E">
        <w:rPr>
          <w:rFonts w:cstheme="minorHAnsi"/>
          <w:szCs w:val="16"/>
        </w:rPr>
        <w:t> </w:t>
      </w:r>
      <w:r w:rsidRPr="00386C27">
        <w:rPr>
          <w:rFonts w:cstheme="minorHAnsi"/>
          <w:szCs w:val="16"/>
        </w:rPr>
        <w:t xml:space="preserve">14 Behavioral Parameters’, </w:t>
      </w:r>
      <w:r w:rsidRPr="00386C27">
        <w:rPr>
          <w:rFonts w:cstheme="minorHAnsi"/>
          <w:i/>
          <w:iCs/>
          <w:szCs w:val="16"/>
        </w:rPr>
        <w:t>Center for Global Trade Analysis</w:t>
      </w:r>
      <w:r w:rsidRPr="00386C27">
        <w:rPr>
          <w:rFonts w:cstheme="minorHAnsi"/>
          <w:szCs w:val="16"/>
        </w:rPr>
        <w:t>.</w:t>
      </w:r>
    </w:p>
    <w:p w14:paraId="114D28CF" w14:textId="4F392781" w:rsidR="00BD4918" w:rsidRPr="00386C27" w:rsidRDefault="00BD4918" w:rsidP="00386C27">
      <w:pPr>
        <w:pStyle w:val="Reference"/>
        <w:rPr>
          <w:rFonts w:cstheme="minorHAnsi"/>
          <w:szCs w:val="16"/>
        </w:rPr>
      </w:pPr>
      <w:r w:rsidRPr="00386C27">
        <w:rPr>
          <w:rFonts w:cstheme="minorHAnsi"/>
          <w:szCs w:val="16"/>
        </w:rPr>
        <w:t xml:space="preserve">Hinson, M., Wende, S. and Womack, P. 2020, </w:t>
      </w:r>
      <w:r w:rsidRPr="00386C27">
        <w:rPr>
          <w:rFonts w:cstheme="minorHAnsi"/>
          <w:i/>
          <w:iCs/>
          <w:szCs w:val="16"/>
        </w:rPr>
        <w:t>Modelling Industry</w:t>
      </w:r>
      <w:r w:rsidR="002E0086">
        <w:rPr>
          <w:rFonts w:cstheme="minorHAnsi"/>
          <w:i/>
          <w:iCs/>
          <w:szCs w:val="16"/>
        </w:rPr>
        <w:noBreakHyphen/>
      </w:r>
      <w:r w:rsidRPr="00386C27">
        <w:rPr>
          <w:rFonts w:cstheme="minorHAnsi"/>
          <w:i/>
          <w:iCs/>
          <w:szCs w:val="16"/>
        </w:rPr>
        <w:t>Specific Policy Using Treasury’s Industry Model (TIM): A Dynamic General Equilibrium Model of the Australian Economy</w:t>
      </w:r>
      <w:r w:rsidRPr="00386C27">
        <w:rPr>
          <w:rFonts w:cstheme="minorHAnsi"/>
          <w:szCs w:val="16"/>
        </w:rPr>
        <w:t>, Conference Paper, 23rd Annual Conference on Global Economic Analysis.</w:t>
      </w:r>
    </w:p>
    <w:p w14:paraId="5823567A" w14:textId="77777777" w:rsidR="00BD4918" w:rsidRPr="00386C27" w:rsidRDefault="00BD4918" w:rsidP="00386C27">
      <w:pPr>
        <w:pStyle w:val="Reference"/>
        <w:rPr>
          <w:rFonts w:cstheme="minorHAnsi"/>
          <w:szCs w:val="16"/>
        </w:rPr>
      </w:pPr>
      <w:r w:rsidRPr="00386C27">
        <w:rPr>
          <w:rFonts w:cstheme="minorHAnsi"/>
          <w:szCs w:val="16"/>
        </w:rPr>
        <w:t xml:space="preserve">Hosoe, N., Gasawa, K. and Hashimoto, H. 2010, </w:t>
      </w:r>
      <w:r w:rsidRPr="00386C27">
        <w:rPr>
          <w:rFonts w:cstheme="minorHAnsi"/>
          <w:i/>
          <w:iCs/>
          <w:szCs w:val="16"/>
        </w:rPr>
        <w:t>Textbook of Computable General Equilibrium Modelling: Programming and Simulations</w:t>
      </w:r>
      <w:r w:rsidRPr="00386C27">
        <w:rPr>
          <w:rFonts w:cstheme="minorHAnsi"/>
          <w:szCs w:val="16"/>
        </w:rPr>
        <w:t>, Palgrave Macmillan, United Kingdom.</w:t>
      </w:r>
    </w:p>
    <w:p w14:paraId="5EB978E2" w14:textId="77777777" w:rsidR="00BD4918" w:rsidRPr="00386C27" w:rsidRDefault="00BD4918" w:rsidP="00386C27">
      <w:pPr>
        <w:pStyle w:val="Reference"/>
        <w:rPr>
          <w:rFonts w:cstheme="minorHAnsi"/>
          <w:szCs w:val="16"/>
        </w:rPr>
      </w:pPr>
      <w:r w:rsidRPr="00386C27">
        <w:rPr>
          <w:rFonts w:cstheme="minorHAnsi"/>
          <w:szCs w:val="16"/>
        </w:rPr>
        <w:t xml:space="preserve">Hunter, J., Haywood, A. and Parkinson, N. 2022, </w:t>
      </w:r>
      <w:r w:rsidRPr="00386C27">
        <w:rPr>
          <w:rFonts w:cstheme="minorHAnsi"/>
          <w:i/>
          <w:iCs/>
          <w:szCs w:val="16"/>
        </w:rPr>
        <w:t>Ending the Lesson Lottery: How to Improve Curriculum Planning in Schools</w:t>
      </w:r>
      <w:r w:rsidRPr="00386C27">
        <w:rPr>
          <w:rFonts w:cstheme="minorHAnsi"/>
          <w:szCs w:val="16"/>
        </w:rPr>
        <w:t>, Grattan Institute.</w:t>
      </w:r>
    </w:p>
    <w:p w14:paraId="0C5F6BE4" w14:textId="77777777" w:rsidR="00BD4918" w:rsidRPr="00386C27" w:rsidRDefault="00BD4918" w:rsidP="00386C27">
      <w:pPr>
        <w:pStyle w:val="Reference"/>
        <w:rPr>
          <w:rFonts w:cstheme="minorHAnsi"/>
          <w:szCs w:val="16"/>
        </w:rPr>
      </w:pPr>
      <w:r w:rsidRPr="00386C27">
        <w:rPr>
          <w:rFonts w:cstheme="minorHAnsi"/>
          <w:szCs w:val="16"/>
        </w:rPr>
        <w:t xml:space="preserve">Independent Economics 2015, </w:t>
      </w:r>
      <w:r w:rsidRPr="00386C27">
        <w:rPr>
          <w:rFonts w:cstheme="minorHAnsi"/>
          <w:i/>
          <w:iCs/>
          <w:szCs w:val="16"/>
        </w:rPr>
        <w:t>Austalia’s Comparative Advantage: Economic Scenarios</w:t>
      </w:r>
      <w:r w:rsidRPr="00386C27">
        <w:rPr>
          <w:rFonts w:cstheme="minorHAnsi"/>
          <w:szCs w:val="16"/>
        </w:rPr>
        <w:t>, Prepared for the Australian Council of Learned Academies (ACOLA), May.</w:t>
      </w:r>
    </w:p>
    <w:p w14:paraId="43BAD1FC" w14:textId="1DAF0D8F" w:rsidR="00BD4918" w:rsidRPr="00DD3882" w:rsidRDefault="00BD4918" w:rsidP="00386C27">
      <w:pPr>
        <w:pStyle w:val="Reference"/>
        <w:rPr>
          <w:rFonts w:cstheme="minorHAnsi"/>
          <w:spacing w:val="-4"/>
          <w:szCs w:val="16"/>
        </w:rPr>
      </w:pPr>
      <w:r w:rsidRPr="00DD3882">
        <w:rPr>
          <w:rFonts w:cstheme="minorHAnsi"/>
          <w:spacing w:val="-4"/>
          <w:szCs w:val="16"/>
        </w:rPr>
        <w:t xml:space="preserve">Jerzmanowski, M. and Tamura, R. 2020, </w:t>
      </w:r>
      <w:r w:rsidRPr="00DD3882">
        <w:rPr>
          <w:rFonts w:cstheme="minorHAnsi"/>
          <w:i/>
          <w:iCs/>
          <w:spacing w:val="-4"/>
          <w:szCs w:val="16"/>
        </w:rPr>
        <w:t xml:space="preserve">Aggregate </w:t>
      </w:r>
      <w:r w:rsidR="001457D6" w:rsidRPr="00DD3882">
        <w:rPr>
          <w:rFonts w:cstheme="minorHAnsi"/>
          <w:i/>
          <w:iCs/>
          <w:spacing w:val="-4"/>
          <w:szCs w:val="16"/>
        </w:rPr>
        <w:t>E</w:t>
      </w:r>
      <w:r w:rsidRPr="00DD3882">
        <w:rPr>
          <w:rFonts w:cstheme="minorHAnsi"/>
          <w:i/>
          <w:iCs/>
          <w:spacing w:val="-4"/>
          <w:szCs w:val="16"/>
        </w:rPr>
        <w:t xml:space="preserve">lasticity of </w:t>
      </w:r>
      <w:r w:rsidR="001457D6" w:rsidRPr="00DD3882">
        <w:rPr>
          <w:rFonts w:cstheme="minorHAnsi"/>
          <w:i/>
          <w:iCs/>
          <w:spacing w:val="-4"/>
          <w:szCs w:val="16"/>
        </w:rPr>
        <w:t>S</w:t>
      </w:r>
      <w:r w:rsidRPr="00DD3882">
        <w:rPr>
          <w:rFonts w:cstheme="minorHAnsi"/>
          <w:i/>
          <w:iCs/>
          <w:spacing w:val="-4"/>
          <w:szCs w:val="16"/>
        </w:rPr>
        <w:t xml:space="preserve">ubstitution </w:t>
      </w:r>
      <w:r w:rsidR="001457D6" w:rsidRPr="00DD3882">
        <w:rPr>
          <w:rFonts w:cstheme="minorHAnsi"/>
          <w:i/>
          <w:iCs/>
          <w:spacing w:val="-4"/>
          <w:szCs w:val="16"/>
        </w:rPr>
        <w:t>B</w:t>
      </w:r>
      <w:r w:rsidRPr="00DD3882">
        <w:rPr>
          <w:rFonts w:cstheme="minorHAnsi"/>
          <w:i/>
          <w:iCs/>
          <w:spacing w:val="-4"/>
          <w:szCs w:val="16"/>
        </w:rPr>
        <w:t xml:space="preserve">etween </w:t>
      </w:r>
      <w:r w:rsidR="001457D6" w:rsidRPr="00DD3882">
        <w:rPr>
          <w:rFonts w:cstheme="minorHAnsi"/>
          <w:i/>
          <w:iCs/>
          <w:spacing w:val="-4"/>
          <w:szCs w:val="16"/>
        </w:rPr>
        <w:t>S</w:t>
      </w:r>
      <w:r w:rsidRPr="00DD3882">
        <w:rPr>
          <w:rFonts w:cstheme="minorHAnsi"/>
          <w:i/>
          <w:iCs/>
          <w:spacing w:val="-4"/>
          <w:szCs w:val="16"/>
        </w:rPr>
        <w:t xml:space="preserve">kills: </w:t>
      </w:r>
      <w:r w:rsidR="001457D6" w:rsidRPr="00DD3882">
        <w:rPr>
          <w:rFonts w:cstheme="minorHAnsi"/>
          <w:i/>
          <w:iCs/>
          <w:spacing w:val="-4"/>
          <w:szCs w:val="16"/>
        </w:rPr>
        <w:t>E</w:t>
      </w:r>
      <w:r w:rsidRPr="00DD3882">
        <w:rPr>
          <w:rFonts w:cstheme="minorHAnsi"/>
          <w:i/>
          <w:iCs/>
          <w:spacing w:val="-4"/>
          <w:szCs w:val="16"/>
        </w:rPr>
        <w:t xml:space="preserve">stimates from a </w:t>
      </w:r>
      <w:r w:rsidR="001457D6" w:rsidRPr="00DD3882">
        <w:rPr>
          <w:rFonts w:cstheme="minorHAnsi"/>
          <w:i/>
          <w:iCs/>
          <w:spacing w:val="-4"/>
          <w:szCs w:val="16"/>
        </w:rPr>
        <w:t>M</w:t>
      </w:r>
      <w:r w:rsidRPr="00DD3882">
        <w:rPr>
          <w:rFonts w:cstheme="minorHAnsi"/>
          <w:i/>
          <w:iCs/>
          <w:spacing w:val="-4"/>
          <w:szCs w:val="16"/>
        </w:rPr>
        <w:t xml:space="preserve">acroeconomic </w:t>
      </w:r>
      <w:r w:rsidR="001457D6" w:rsidRPr="00DD3882">
        <w:rPr>
          <w:rFonts w:cstheme="minorHAnsi"/>
          <w:i/>
          <w:iCs/>
          <w:spacing w:val="-4"/>
          <w:szCs w:val="16"/>
        </w:rPr>
        <w:t>A</w:t>
      </w:r>
      <w:r w:rsidRPr="00DD3882">
        <w:rPr>
          <w:rFonts w:cstheme="minorHAnsi"/>
          <w:i/>
          <w:iCs/>
          <w:spacing w:val="-4"/>
          <w:szCs w:val="16"/>
        </w:rPr>
        <w:t>pproach</w:t>
      </w:r>
      <w:r w:rsidRPr="00DD3882">
        <w:rPr>
          <w:rFonts w:cstheme="minorHAnsi"/>
          <w:spacing w:val="-4"/>
          <w:szCs w:val="16"/>
        </w:rPr>
        <w:t>, Munich Personal RePEc Archive, 100768.</w:t>
      </w:r>
    </w:p>
    <w:p w14:paraId="71168750" w14:textId="1C2FFB7F" w:rsidR="00BD4918" w:rsidRPr="00386C27" w:rsidRDefault="00BD4918" w:rsidP="00386C27">
      <w:pPr>
        <w:pStyle w:val="Reference"/>
        <w:rPr>
          <w:rFonts w:cstheme="minorHAnsi"/>
          <w:szCs w:val="16"/>
        </w:rPr>
      </w:pPr>
      <w:r w:rsidRPr="00386C27">
        <w:rPr>
          <w:rFonts w:cstheme="minorHAnsi"/>
          <w:szCs w:val="16"/>
        </w:rPr>
        <w:t xml:space="preserve">Kopecna, V., Scasny, M. and Recka, L. 2020, </w:t>
      </w:r>
      <w:r w:rsidRPr="00386C27">
        <w:rPr>
          <w:rFonts w:cstheme="minorHAnsi"/>
          <w:i/>
          <w:iCs/>
          <w:szCs w:val="16"/>
        </w:rPr>
        <w:t xml:space="preserve">Estimating the </w:t>
      </w:r>
      <w:r w:rsidR="001457D6">
        <w:rPr>
          <w:rFonts w:cstheme="minorHAnsi"/>
          <w:i/>
          <w:iCs/>
          <w:szCs w:val="16"/>
        </w:rPr>
        <w:t>E</w:t>
      </w:r>
      <w:r w:rsidRPr="00386C27">
        <w:rPr>
          <w:rFonts w:cstheme="minorHAnsi"/>
          <w:i/>
          <w:iCs/>
          <w:szCs w:val="16"/>
        </w:rPr>
        <w:t xml:space="preserve">lasticity of </w:t>
      </w:r>
      <w:r w:rsidR="001457D6">
        <w:rPr>
          <w:rFonts w:cstheme="minorHAnsi"/>
          <w:i/>
          <w:iCs/>
          <w:szCs w:val="16"/>
        </w:rPr>
        <w:t>S</w:t>
      </w:r>
      <w:r w:rsidRPr="00386C27">
        <w:rPr>
          <w:rFonts w:cstheme="minorHAnsi"/>
          <w:i/>
          <w:iCs/>
          <w:szCs w:val="16"/>
        </w:rPr>
        <w:t xml:space="preserve">ubstitution in CES </w:t>
      </w:r>
      <w:r w:rsidR="001457D6">
        <w:rPr>
          <w:rFonts w:cstheme="minorHAnsi"/>
          <w:i/>
          <w:iCs/>
          <w:szCs w:val="16"/>
        </w:rPr>
        <w:t>P</w:t>
      </w:r>
      <w:r w:rsidRPr="00386C27">
        <w:rPr>
          <w:rFonts w:cstheme="minorHAnsi"/>
          <w:i/>
          <w:iCs/>
          <w:szCs w:val="16"/>
        </w:rPr>
        <w:t xml:space="preserve">roduction </w:t>
      </w:r>
      <w:r w:rsidR="001457D6">
        <w:rPr>
          <w:rFonts w:cstheme="minorHAnsi"/>
          <w:i/>
          <w:iCs/>
          <w:szCs w:val="16"/>
        </w:rPr>
        <w:t>F</w:t>
      </w:r>
      <w:r w:rsidRPr="00386C27">
        <w:rPr>
          <w:rFonts w:cstheme="minorHAnsi"/>
          <w:i/>
          <w:iCs/>
          <w:szCs w:val="16"/>
        </w:rPr>
        <w:t xml:space="preserve">unction: </w:t>
      </w:r>
      <w:r w:rsidR="001457D6">
        <w:rPr>
          <w:rFonts w:cstheme="minorHAnsi"/>
          <w:i/>
          <w:iCs/>
          <w:szCs w:val="16"/>
        </w:rPr>
        <w:t>E</w:t>
      </w:r>
      <w:r w:rsidRPr="00386C27">
        <w:rPr>
          <w:rFonts w:cstheme="minorHAnsi"/>
          <w:i/>
          <w:iCs/>
          <w:szCs w:val="16"/>
        </w:rPr>
        <w:t xml:space="preserve">xamining </w:t>
      </w:r>
      <w:r w:rsidR="001457D6">
        <w:rPr>
          <w:rFonts w:cstheme="minorHAnsi"/>
          <w:i/>
          <w:iCs/>
          <w:szCs w:val="16"/>
        </w:rPr>
        <w:t>D</w:t>
      </w:r>
      <w:r w:rsidRPr="00386C27">
        <w:rPr>
          <w:rFonts w:cstheme="minorHAnsi"/>
          <w:i/>
          <w:iCs/>
          <w:szCs w:val="16"/>
        </w:rPr>
        <w:t xml:space="preserve">ifferent </w:t>
      </w:r>
      <w:r w:rsidR="001457D6">
        <w:rPr>
          <w:rFonts w:cstheme="minorHAnsi"/>
          <w:i/>
          <w:iCs/>
          <w:szCs w:val="16"/>
        </w:rPr>
        <w:t>N</w:t>
      </w:r>
      <w:r w:rsidRPr="00386C27">
        <w:rPr>
          <w:rFonts w:cstheme="minorHAnsi"/>
          <w:i/>
          <w:iCs/>
          <w:szCs w:val="16"/>
        </w:rPr>
        <w:t xml:space="preserve">esting </w:t>
      </w:r>
      <w:r w:rsidR="001457D6">
        <w:rPr>
          <w:rFonts w:cstheme="minorHAnsi"/>
          <w:i/>
          <w:iCs/>
          <w:szCs w:val="16"/>
        </w:rPr>
        <w:t>S</w:t>
      </w:r>
      <w:r w:rsidRPr="00386C27">
        <w:rPr>
          <w:rFonts w:cstheme="minorHAnsi"/>
          <w:i/>
          <w:iCs/>
          <w:szCs w:val="16"/>
        </w:rPr>
        <w:t xml:space="preserve">tructures and EU </w:t>
      </w:r>
      <w:r w:rsidR="001457D6">
        <w:rPr>
          <w:rFonts w:cstheme="minorHAnsi"/>
          <w:i/>
          <w:iCs/>
          <w:szCs w:val="16"/>
        </w:rPr>
        <w:t>R</w:t>
      </w:r>
      <w:r w:rsidRPr="00386C27">
        <w:rPr>
          <w:rFonts w:cstheme="minorHAnsi"/>
          <w:i/>
          <w:iCs/>
          <w:szCs w:val="16"/>
        </w:rPr>
        <w:t>egions</w:t>
      </w:r>
      <w:r w:rsidRPr="00386C27">
        <w:rPr>
          <w:rFonts w:cstheme="minorHAnsi"/>
          <w:szCs w:val="16"/>
        </w:rPr>
        <w:t>, Working Paper, 43/2020, Institute of Economic Studies.</w:t>
      </w:r>
    </w:p>
    <w:p w14:paraId="0851EEF1" w14:textId="77777777" w:rsidR="00BD4918" w:rsidRPr="00386C27" w:rsidRDefault="00BD4918" w:rsidP="00386C27">
      <w:pPr>
        <w:pStyle w:val="Reference"/>
        <w:rPr>
          <w:rFonts w:cstheme="minorHAnsi"/>
          <w:szCs w:val="16"/>
        </w:rPr>
      </w:pPr>
      <w:r w:rsidRPr="00386C27">
        <w:rPr>
          <w:rFonts w:cstheme="minorHAnsi"/>
          <w:szCs w:val="16"/>
        </w:rPr>
        <w:t xml:space="preserve">KPMG Econtech 2010, </w:t>
      </w:r>
      <w:r w:rsidRPr="00386C27">
        <w:rPr>
          <w:rFonts w:cstheme="minorHAnsi"/>
          <w:i/>
          <w:iCs/>
          <w:szCs w:val="16"/>
        </w:rPr>
        <w:t>CGE Analysis of the Current Australian Tax System</w:t>
      </w:r>
      <w:r w:rsidRPr="00386C27">
        <w:rPr>
          <w:rFonts w:cstheme="minorHAnsi"/>
          <w:szCs w:val="16"/>
        </w:rPr>
        <w:t>, Report prepared for Commonwealth Treasury, Final Report.</w:t>
      </w:r>
    </w:p>
    <w:p w14:paraId="4A485629" w14:textId="77777777" w:rsidR="00BD4918" w:rsidRPr="00386C27" w:rsidRDefault="00BD4918" w:rsidP="00386C27">
      <w:pPr>
        <w:pStyle w:val="Reference"/>
        <w:rPr>
          <w:rFonts w:cstheme="minorHAnsi"/>
          <w:szCs w:val="16"/>
        </w:rPr>
      </w:pPr>
      <w:r w:rsidRPr="00386C27">
        <w:rPr>
          <w:rFonts w:cstheme="minorHAnsi"/>
          <w:szCs w:val="16"/>
        </w:rPr>
        <w:t xml:space="preserve">Lavy, V. 2015, ‘Do differences in schools’ instruction time explain international achievement gaps? Evidence from </w:t>
      </w:r>
      <w:r w:rsidRPr="00386C27">
        <w:rPr>
          <w:rFonts w:cstheme="minorHAnsi"/>
          <w:szCs w:val="16"/>
        </w:rPr>
        <w:t xml:space="preserve">developed and developing countries’, </w:t>
      </w:r>
      <w:r w:rsidRPr="00386C27">
        <w:rPr>
          <w:rFonts w:cstheme="minorHAnsi"/>
          <w:i/>
          <w:iCs/>
          <w:szCs w:val="16"/>
        </w:rPr>
        <w:t>The Economic Journal</w:t>
      </w:r>
      <w:r w:rsidRPr="00386C27">
        <w:rPr>
          <w:rFonts w:cstheme="minorHAnsi"/>
          <w:szCs w:val="16"/>
        </w:rPr>
        <w:t>, vol. 125, no. 588, pp. F397–F424.</w:t>
      </w:r>
    </w:p>
    <w:p w14:paraId="541E4F17" w14:textId="77777777" w:rsidR="00BD4918" w:rsidRPr="00DD3882" w:rsidRDefault="00BD4918" w:rsidP="00386C27">
      <w:pPr>
        <w:pStyle w:val="Reference"/>
        <w:rPr>
          <w:rFonts w:cstheme="minorHAnsi"/>
          <w:spacing w:val="-2"/>
          <w:szCs w:val="16"/>
        </w:rPr>
      </w:pPr>
      <w:r w:rsidRPr="00DD3882">
        <w:rPr>
          <w:rFonts w:cstheme="minorHAnsi"/>
          <w:spacing w:val="-2"/>
          <w:szCs w:val="16"/>
        </w:rPr>
        <w:t xml:space="preserve">Merette, M. 2007, </w:t>
      </w:r>
      <w:r w:rsidRPr="00DD3882">
        <w:rPr>
          <w:rFonts w:cstheme="minorHAnsi"/>
          <w:i/>
          <w:iCs/>
          <w:spacing w:val="-2"/>
          <w:szCs w:val="16"/>
        </w:rPr>
        <w:t>Substitution Between Young and Old Workers in an Ageing Context</w:t>
      </w:r>
      <w:r w:rsidRPr="00DD3882">
        <w:rPr>
          <w:rFonts w:cstheme="minorHAnsi"/>
          <w:spacing w:val="-2"/>
          <w:szCs w:val="16"/>
        </w:rPr>
        <w:t>, Conference Paper, International Conference on Policy Modeling, Sao Paulo, Brazil.</w:t>
      </w:r>
    </w:p>
    <w:p w14:paraId="29CD0A49" w14:textId="77777777" w:rsidR="00BD4918" w:rsidRPr="00386C27" w:rsidRDefault="00BD4918" w:rsidP="00386C27">
      <w:pPr>
        <w:pStyle w:val="Reference"/>
        <w:rPr>
          <w:rFonts w:cstheme="minorHAnsi"/>
          <w:szCs w:val="16"/>
        </w:rPr>
      </w:pPr>
      <w:r w:rsidRPr="00386C27">
        <w:rPr>
          <w:rFonts w:cstheme="minorHAnsi"/>
          <w:szCs w:val="16"/>
        </w:rPr>
        <w:t xml:space="preserve">Murphy, C. 2018, </w:t>
      </w:r>
      <w:r w:rsidRPr="00386C27">
        <w:rPr>
          <w:rFonts w:cstheme="minorHAnsi"/>
          <w:i/>
          <w:iCs/>
          <w:szCs w:val="16"/>
        </w:rPr>
        <w:t>Modelling Australian Corporate Tax Reforms: Updated for the Recent US Corporate Tax Changes</w:t>
      </w:r>
      <w:r w:rsidRPr="00386C27">
        <w:rPr>
          <w:rFonts w:cstheme="minorHAnsi"/>
          <w:szCs w:val="16"/>
        </w:rPr>
        <w:t>, Working Paper, 2/2018, Tax and Transfer Policy Institute.</w:t>
      </w:r>
    </w:p>
    <w:p w14:paraId="3A105FB2" w14:textId="3C17B766" w:rsidR="00BD4918" w:rsidRPr="00F94AEA" w:rsidRDefault="00BD4918" w:rsidP="00386C27">
      <w:pPr>
        <w:pStyle w:val="Reference"/>
        <w:rPr>
          <w:rFonts w:cstheme="minorHAnsi"/>
          <w:spacing w:val="-4"/>
          <w:szCs w:val="16"/>
        </w:rPr>
      </w:pPr>
      <w:r w:rsidRPr="00F94AEA">
        <w:rPr>
          <w:rFonts w:cstheme="minorHAnsi"/>
          <w:spacing w:val="-4"/>
          <w:szCs w:val="16"/>
        </w:rPr>
        <w:t>Murphy, F., Pierru, A. and Smeers, Y. 2016, ‘A tutorial on building policy models as mixed</w:t>
      </w:r>
      <w:r w:rsidR="002E0086" w:rsidRPr="00F94AEA">
        <w:rPr>
          <w:rFonts w:cstheme="minorHAnsi"/>
          <w:spacing w:val="-4"/>
          <w:szCs w:val="16"/>
        </w:rPr>
        <w:noBreakHyphen/>
      </w:r>
      <w:r w:rsidRPr="00F94AEA">
        <w:rPr>
          <w:rFonts w:cstheme="minorHAnsi"/>
          <w:spacing w:val="-4"/>
          <w:szCs w:val="16"/>
        </w:rPr>
        <w:t xml:space="preserve">complementarity problems’, </w:t>
      </w:r>
      <w:r w:rsidRPr="00F94AEA">
        <w:rPr>
          <w:rFonts w:cstheme="minorHAnsi"/>
          <w:i/>
          <w:iCs/>
          <w:spacing w:val="-4"/>
          <w:szCs w:val="16"/>
        </w:rPr>
        <w:t>INFORMS Journal on Applied Analytics</w:t>
      </w:r>
      <w:r w:rsidRPr="00F94AEA">
        <w:rPr>
          <w:rFonts w:cstheme="minorHAnsi"/>
          <w:spacing w:val="-4"/>
          <w:szCs w:val="16"/>
        </w:rPr>
        <w:t>, vol. 46, no. 6, pp. 465–481.</w:t>
      </w:r>
    </w:p>
    <w:p w14:paraId="21340CF4" w14:textId="5ABE0BFE" w:rsidR="00BD4918" w:rsidRPr="00386C27" w:rsidRDefault="00BD4918" w:rsidP="00386C27">
      <w:pPr>
        <w:pStyle w:val="Reference"/>
        <w:rPr>
          <w:rFonts w:cstheme="minorHAnsi"/>
          <w:szCs w:val="16"/>
        </w:rPr>
      </w:pPr>
      <w:r w:rsidRPr="00386C27">
        <w:rPr>
          <w:rFonts w:cstheme="minorHAnsi"/>
          <w:szCs w:val="16"/>
        </w:rPr>
        <w:t xml:space="preserve">NSC (National Skills Commission) 2022, </w:t>
      </w:r>
      <w:r w:rsidRPr="00386C27">
        <w:rPr>
          <w:rFonts w:cstheme="minorHAnsi"/>
          <w:i/>
          <w:iCs/>
          <w:szCs w:val="16"/>
        </w:rPr>
        <w:t>Employment Projections</w:t>
      </w:r>
      <w:r w:rsidRPr="00386C27">
        <w:rPr>
          <w:rFonts w:cstheme="minorHAnsi"/>
          <w:szCs w:val="16"/>
        </w:rPr>
        <w:t>, https://labourmarketinsights.gov.au/our-research/employment</w:t>
      </w:r>
      <w:r w:rsidR="002E0086">
        <w:rPr>
          <w:rFonts w:cstheme="minorHAnsi"/>
          <w:szCs w:val="16"/>
        </w:rPr>
        <w:noBreakHyphen/>
      </w:r>
      <w:r w:rsidRPr="00386C27">
        <w:rPr>
          <w:rFonts w:cstheme="minorHAnsi"/>
          <w:szCs w:val="16"/>
        </w:rPr>
        <w:t>projections/ (accessed 23</w:t>
      </w:r>
      <w:r w:rsidR="004B308E">
        <w:rPr>
          <w:rFonts w:cstheme="minorHAnsi"/>
          <w:szCs w:val="16"/>
        </w:rPr>
        <w:t> </w:t>
      </w:r>
      <w:r w:rsidRPr="00386C27">
        <w:rPr>
          <w:rFonts w:cstheme="minorHAnsi"/>
          <w:szCs w:val="16"/>
        </w:rPr>
        <w:t>May 2022).</w:t>
      </w:r>
    </w:p>
    <w:p w14:paraId="64E1A596" w14:textId="77777777" w:rsidR="00BD4918" w:rsidRPr="00386C27" w:rsidRDefault="00BD4918" w:rsidP="00386C27">
      <w:pPr>
        <w:pStyle w:val="Reference"/>
        <w:rPr>
          <w:rFonts w:cstheme="minorHAnsi"/>
          <w:szCs w:val="16"/>
        </w:rPr>
      </w:pPr>
      <w:r w:rsidRPr="00386C27">
        <w:rPr>
          <w:rFonts w:cstheme="minorHAnsi"/>
          <w:szCs w:val="16"/>
        </w:rPr>
        <w:t xml:space="preserve">PC (Productivity Commission) 2022, </w:t>
      </w:r>
      <w:r w:rsidRPr="00386C27">
        <w:rPr>
          <w:rFonts w:cstheme="minorHAnsi"/>
          <w:i/>
          <w:iCs/>
          <w:szCs w:val="16"/>
        </w:rPr>
        <w:t>The nuisance cost of tariffs</w:t>
      </w:r>
      <w:r w:rsidRPr="00386C27">
        <w:rPr>
          <w:rFonts w:cstheme="minorHAnsi"/>
          <w:szCs w:val="16"/>
        </w:rPr>
        <w:t>, Research paper, Canberra.</w:t>
      </w:r>
    </w:p>
    <w:p w14:paraId="3F9A4721" w14:textId="08A9CE7A" w:rsidR="00BD4918" w:rsidRPr="00386C27" w:rsidRDefault="00BD4918" w:rsidP="00386C27">
      <w:pPr>
        <w:pStyle w:val="Reference"/>
        <w:rPr>
          <w:rFonts w:cstheme="minorHAnsi"/>
          <w:szCs w:val="16"/>
        </w:rPr>
      </w:pPr>
      <w:r w:rsidRPr="00386C27">
        <w:rPr>
          <w:rFonts w:cstheme="minorHAnsi"/>
          <w:szCs w:val="16"/>
        </w:rPr>
        <w:t>——</w:t>
      </w:r>
      <w:r w:rsidR="00D7614D">
        <w:rPr>
          <w:rFonts w:cstheme="minorHAnsi"/>
          <w:szCs w:val="16"/>
        </w:rPr>
        <w:t> </w:t>
      </w:r>
      <w:r w:rsidRPr="00386C27">
        <w:rPr>
          <w:rFonts w:cstheme="minorHAnsi"/>
          <w:szCs w:val="16"/>
        </w:rPr>
        <w:t xml:space="preserve">2023, </w:t>
      </w:r>
      <w:r w:rsidRPr="00386C27">
        <w:rPr>
          <w:rFonts w:cstheme="minorHAnsi"/>
          <w:i/>
          <w:iCs/>
          <w:szCs w:val="16"/>
        </w:rPr>
        <w:t>Review of the National Schools Reform Agreement</w:t>
      </w:r>
      <w:r w:rsidRPr="00386C27">
        <w:rPr>
          <w:rFonts w:cstheme="minorHAnsi"/>
          <w:szCs w:val="16"/>
        </w:rPr>
        <w:t xml:space="preserve">, </w:t>
      </w:r>
      <w:r w:rsidR="004417CB">
        <w:rPr>
          <w:rFonts w:cstheme="minorHAnsi"/>
          <w:szCs w:val="16"/>
        </w:rPr>
        <w:t xml:space="preserve">Study </w:t>
      </w:r>
      <w:r w:rsidRPr="00386C27">
        <w:rPr>
          <w:rFonts w:cstheme="minorHAnsi"/>
          <w:szCs w:val="16"/>
        </w:rPr>
        <w:t>Report, Canberra.</w:t>
      </w:r>
    </w:p>
    <w:p w14:paraId="1CA79C73" w14:textId="72A49229" w:rsidR="00BD4918" w:rsidRPr="00386C27" w:rsidRDefault="00BD4918" w:rsidP="00386C27">
      <w:pPr>
        <w:pStyle w:val="Reference"/>
        <w:rPr>
          <w:rFonts w:cstheme="minorHAnsi"/>
          <w:szCs w:val="16"/>
        </w:rPr>
      </w:pPr>
      <w:r w:rsidRPr="00386C27">
        <w:rPr>
          <w:rFonts w:cstheme="minorHAnsi"/>
          <w:szCs w:val="16"/>
        </w:rPr>
        <w:t>Qi, H. 2014, ‘Real wages and labor supply in a quasi life</w:t>
      </w:r>
      <w:r w:rsidR="002E0086">
        <w:rPr>
          <w:rFonts w:cstheme="minorHAnsi"/>
          <w:szCs w:val="16"/>
        </w:rPr>
        <w:noBreakHyphen/>
      </w:r>
      <w:r w:rsidRPr="00386C27">
        <w:rPr>
          <w:rFonts w:cstheme="minorHAnsi"/>
          <w:szCs w:val="16"/>
        </w:rPr>
        <w:t xml:space="preserve">cycle framework: a macro compression by Swedish National Transfer Accounts (1985–2003)’, </w:t>
      </w:r>
      <w:r w:rsidRPr="00386C27">
        <w:rPr>
          <w:rFonts w:cstheme="minorHAnsi"/>
          <w:i/>
          <w:iCs/>
          <w:szCs w:val="16"/>
        </w:rPr>
        <w:t>Vienna Yearbook of Population Research</w:t>
      </w:r>
      <w:r w:rsidRPr="00386C27">
        <w:rPr>
          <w:rFonts w:cstheme="minorHAnsi"/>
          <w:szCs w:val="16"/>
        </w:rPr>
        <w:t>, vol. 12, pp. 83–114.</w:t>
      </w:r>
    </w:p>
    <w:p w14:paraId="6529AAFC" w14:textId="77777777" w:rsidR="00BD4918" w:rsidRPr="00386C27" w:rsidRDefault="00BD4918" w:rsidP="00386C27">
      <w:pPr>
        <w:pStyle w:val="Reference"/>
        <w:rPr>
          <w:rFonts w:cstheme="minorHAnsi"/>
          <w:szCs w:val="16"/>
        </w:rPr>
      </w:pPr>
      <w:r w:rsidRPr="00386C27">
        <w:rPr>
          <w:rFonts w:cstheme="minorHAnsi"/>
          <w:szCs w:val="16"/>
        </w:rPr>
        <w:t xml:space="preserve">Rose, H. 2006, ‘Do gains in test scores explain labor market outcomes?’, </w:t>
      </w:r>
      <w:r w:rsidRPr="00386C27">
        <w:rPr>
          <w:rFonts w:cstheme="minorHAnsi"/>
          <w:i/>
          <w:iCs/>
          <w:szCs w:val="16"/>
        </w:rPr>
        <w:t>Economics of Education Review</w:t>
      </w:r>
      <w:r w:rsidRPr="00386C27">
        <w:rPr>
          <w:rFonts w:cstheme="minorHAnsi"/>
          <w:szCs w:val="16"/>
        </w:rPr>
        <w:t>, vol. 25, no. 4, pp. 430–446.</w:t>
      </w:r>
    </w:p>
    <w:p w14:paraId="0A918321" w14:textId="59687E12" w:rsidR="00BD4918" w:rsidRPr="00386C27" w:rsidRDefault="00BD4918" w:rsidP="00386C27">
      <w:pPr>
        <w:pStyle w:val="Reference"/>
        <w:rPr>
          <w:rFonts w:cstheme="minorHAnsi"/>
          <w:szCs w:val="16"/>
        </w:rPr>
      </w:pPr>
      <w:r w:rsidRPr="00386C27">
        <w:rPr>
          <w:rFonts w:cstheme="minorHAnsi"/>
          <w:szCs w:val="16"/>
        </w:rPr>
        <w:t>Sanchez, C., M.V. 2004, ‘Chapter</w:t>
      </w:r>
      <w:r w:rsidR="004B308E">
        <w:rPr>
          <w:rFonts w:cstheme="minorHAnsi"/>
          <w:szCs w:val="16"/>
        </w:rPr>
        <w:t> </w:t>
      </w:r>
      <w:r w:rsidRPr="00386C27">
        <w:rPr>
          <w:rFonts w:cstheme="minorHAnsi"/>
          <w:szCs w:val="16"/>
        </w:rPr>
        <w:t xml:space="preserve">7: calibration, solution and validation of the CGE model’, </w:t>
      </w:r>
      <w:r w:rsidRPr="00386C27">
        <w:rPr>
          <w:rFonts w:cstheme="minorHAnsi"/>
          <w:i/>
          <w:iCs/>
          <w:szCs w:val="16"/>
        </w:rPr>
        <w:t>Rising inequality and falling poverty in Costa Rica’s agriculture during trade reform: a macro</w:t>
      </w:r>
      <w:r w:rsidR="002E0086">
        <w:rPr>
          <w:rFonts w:cstheme="minorHAnsi"/>
          <w:i/>
          <w:iCs/>
          <w:szCs w:val="16"/>
        </w:rPr>
        <w:noBreakHyphen/>
      </w:r>
      <w:r w:rsidRPr="00386C27">
        <w:rPr>
          <w:rFonts w:cstheme="minorHAnsi"/>
          <w:i/>
          <w:iCs/>
          <w:szCs w:val="16"/>
        </w:rPr>
        <w:t>micro general equilibrium analysis</w:t>
      </w:r>
      <w:r w:rsidRPr="00386C27">
        <w:rPr>
          <w:rFonts w:cstheme="minorHAnsi"/>
          <w:szCs w:val="16"/>
        </w:rPr>
        <w:t>, Shaker, Maastricht, pp. 189–226 and related appendices.</w:t>
      </w:r>
    </w:p>
    <w:p w14:paraId="0B604CF4" w14:textId="77777777" w:rsidR="00BD4918" w:rsidRPr="00386C27" w:rsidRDefault="00BD4918" w:rsidP="00386C27">
      <w:pPr>
        <w:pStyle w:val="Reference"/>
        <w:rPr>
          <w:rFonts w:cstheme="minorHAnsi"/>
          <w:szCs w:val="16"/>
        </w:rPr>
      </w:pPr>
      <w:r w:rsidRPr="00386C27">
        <w:rPr>
          <w:rFonts w:cstheme="minorHAnsi"/>
          <w:szCs w:val="16"/>
        </w:rPr>
        <w:t xml:space="preserve">Turnovsky, S.J. 2002, ‘Intertemporal and intratemporal substitution, and the speed of convergence in the neoclassical growth model’, </w:t>
      </w:r>
      <w:r w:rsidRPr="00386C27">
        <w:rPr>
          <w:rFonts w:cstheme="minorHAnsi"/>
          <w:i/>
          <w:iCs/>
          <w:szCs w:val="16"/>
        </w:rPr>
        <w:t>Journal of Economic Dynamics &amp; Control</w:t>
      </w:r>
      <w:r w:rsidRPr="00386C27">
        <w:rPr>
          <w:rFonts w:cstheme="minorHAnsi"/>
          <w:szCs w:val="16"/>
        </w:rPr>
        <w:t>, vol. 26, pp. 1765–1785.</w:t>
      </w:r>
    </w:p>
    <w:p w14:paraId="0874D674" w14:textId="085EA2F3" w:rsidR="00BD4918" w:rsidRPr="00386C27" w:rsidRDefault="00BD4918" w:rsidP="00386C27">
      <w:pPr>
        <w:pStyle w:val="Reference"/>
        <w:rPr>
          <w:rFonts w:cstheme="minorHAnsi"/>
          <w:szCs w:val="16"/>
        </w:rPr>
      </w:pPr>
      <w:r w:rsidRPr="00386C27">
        <w:rPr>
          <w:rFonts w:cstheme="minorHAnsi"/>
          <w:szCs w:val="16"/>
        </w:rPr>
        <w:t xml:space="preserve">Verikios, G., Hanslow, K., Mariano, M.J.M. and Clements, K. 2021, </w:t>
      </w:r>
      <w:r w:rsidRPr="00386C27">
        <w:rPr>
          <w:rFonts w:cstheme="minorHAnsi"/>
          <w:i/>
          <w:iCs/>
          <w:szCs w:val="16"/>
        </w:rPr>
        <w:t xml:space="preserve">Understanding the Australian </w:t>
      </w:r>
      <w:r w:rsidR="00B066F8">
        <w:rPr>
          <w:rFonts w:cstheme="minorHAnsi"/>
          <w:i/>
          <w:iCs/>
          <w:szCs w:val="16"/>
        </w:rPr>
        <w:t>E</w:t>
      </w:r>
      <w:r w:rsidRPr="00386C27">
        <w:rPr>
          <w:rFonts w:cstheme="minorHAnsi"/>
          <w:i/>
          <w:iCs/>
          <w:szCs w:val="16"/>
        </w:rPr>
        <w:t xml:space="preserve">conomy: a </w:t>
      </w:r>
      <w:r w:rsidR="00B066F8">
        <w:rPr>
          <w:rFonts w:cstheme="minorHAnsi"/>
          <w:i/>
          <w:iCs/>
          <w:szCs w:val="16"/>
        </w:rPr>
        <w:t>C</w:t>
      </w:r>
      <w:r w:rsidRPr="00386C27">
        <w:rPr>
          <w:rFonts w:cstheme="minorHAnsi"/>
          <w:i/>
          <w:iCs/>
          <w:szCs w:val="16"/>
        </w:rPr>
        <w:t xml:space="preserve">omputable </w:t>
      </w:r>
      <w:r w:rsidR="00B066F8">
        <w:rPr>
          <w:rFonts w:cstheme="minorHAnsi"/>
          <w:i/>
          <w:iCs/>
          <w:szCs w:val="16"/>
        </w:rPr>
        <w:t>G</w:t>
      </w:r>
      <w:r w:rsidRPr="00386C27">
        <w:rPr>
          <w:rFonts w:cstheme="minorHAnsi"/>
          <w:i/>
          <w:iCs/>
          <w:szCs w:val="16"/>
        </w:rPr>
        <w:t xml:space="preserve">eneral </w:t>
      </w:r>
      <w:r w:rsidR="00B066F8">
        <w:rPr>
          <w:rFonts w:cstheme="minorHAnsi"/>
          <w:i/>
          <w:iCs/>
          <w:szCs w:val="16"/>
        </w:rPr>
        <w:t>E</w:t>
      </w:r>
      <w:r w:rsidRPr="00386C27">
        <w:rPr>
          <w:rFonts w:cstheme="minorHAnsi"/>
          <w:i/>
          <w:iCs/>
          <w:szCs w:val="16"/>
        </w:rPr>
        <w:t xml:space="preserve">quilibrium </w:t>
      </w:r>
      <w:r w:rsidR="00B066F8">
        <w:rPr>
          <w:rFonts w:cstheme="minorHAnsi"/>
          <w:i/>
          <w:iCs/>
          <w:szCs w:val="16"/>
        </w:rPr>
        <w:t>M</w:t>
      </w:r>
      <w:r w:rsidRPr="00386C27">
        <w:rPr>
          <w:rFonts w:cstheme="minorHAnsi"/>
          <w:i/>
          <w:iCs/>
          <w:szCs w:val="16"/>
        </w:rPr>
        <w:t xml:space="preserve">odel with </w:t>
      </w:r>
      <w:r w:rsidR="00B066F8">
        <w:rPr>
          <w:rFonts w:cstheme="minorHAnsi"/>
          <w:i/>
          <w:iCs/>
          <w:szCs w:val="16"/>
        </w:rPr>
        <w:t>U</w:t>
      </w:r>
      <w:r w:rsidRPr="00386C27">
        <w:rPr>
          <w:rFonts w:cstheme="minorHAnsi"/>
          <w:i/>
          <w:iCs/>
          <w:szCs w:val="16"/>
        </w:rPr>
        <w:t xml:space="preserve">pdated </w:t>
      </w:r>
      <w:r w:rsidR="00B066F8">
        <w:rPr>
          <w:rFonts w:cstheme="minorHAnsi"/>
          <w:i/>
          <w:iCs/>
          <w:szCs w:val="16"/>
        </w:rPr>
        <w:t>D</w:t>
      </w:r>
      <w:r w:rsidRPr="00386C27">
        <w:rPr>
          <w:rFonts w:cstheme="minorHAnsi"/>
          <w:i/>
          <w:iCs/>
          <w:szCs w:val="16"/>
        </w:rPr>
        <w:t xml:space="preserve">ata and </w:t>
      </w:r>
      <w:r w:rsidR="00B066F8">
        <w:rPr>
          <w:rFonts w:cstheme="minorHAnsi"/>
          <w:i/>
          <w:iCs/>
          <w:szCs w:val="16"/>
        </w:rPr>
        <w:t>P</w:t>
      </w:r>
      <w:r w:rsidRPr="00386C27">
        <w:rPr>
          <w:rFonts w:cstheme="minorHAnsi"/>
          <w:i/>
          <w:iCs/>
          <w:szCs w:val="16"/>
        </w:rPr>
        <w:t>arameters</w:t>
      </w:r>
      <w:r w:rsidRPr="00386C27">
        <w:rPr>
          <w:rFonts w:cstheme="minorHAnsi"/>
          <w:szCs w:val="16"/>
        </w:rPr>
        <w:t>, Discussion Paper, Griffith Business School.</w:t>
      </w:r>
    </w:p>
    <w:p w14:paraId="0553E142" w14:textId="77777777" w:rsidR="00BD4918" w:rsidRPr="00386C27" w:rsidRDefault="00BD4918" w:rsidP="00386C27">
      <w:pPr>
        <w:pStyle w:val="Reference"/>
        <w:rPr>
          <w:rFonts w:cstheme="minorHAnsi"/>
          <w:szCs w:val="16"/>
        </w:rPr>
      </w:pPr>
      <w:r w:rsidRPr="00386C27">
        <w:rPr>
          <w:rFonts w:cstheme="minorHAnsi"/>
          <w:szCs w:val="16"/>
        </w:rPr>
        <w:t xml:space="preserve">Vu, T.M. and Yamada, H. 2022, ‘Returns in wage and employment from test scores: evidence from Vietnamese National University entrance exams 2009 and household data 2018–2020’, Routledge, </w:t>
      </w:r>
      <w:r w:rsidRPr="00386C27">
        <w:rPr>
          <w:rFonts w:cstheme="minorHAnsi"/>
          <w:i/>
          <w:iCs/>
          <w:szCs w:val="16"/>
        </w:rPr>
        <w:t>Applied Economics Letters</w:t>
      </w:r>
      <w:r w:rsidRPr="00386C27">
        <w:rPr>
          <w:rFonts w:cstheme="minorHAnsi"/>
          <w:szCs w:val="16"/>
        </w:rPr>
        <w:t>, pp. 1–4.</w:t>
      </w:r>
    </w:p>
    <w:p w14:paraId="7DF54E88" w14:textId="77777777" w:rsidR="00BD4918" w:rsidRPr="00386C27" w:rsidRDefault="00BD4918" w:rsidP="00386C27">
      <w:pPr>
        <w:pStyle w:val="Reference"/>
        <w:rPr>
          <w:rFonts w:cstheme="minorHAnsi"/>
          <w:szCs w:val="16"/>
        </w:rPr>
      </w:pPr>
      <w:r w:rsidRPr="00386C27">
        <w:rPr>
          <w:rFonts w:cstheme="minorHAnsi"/>
          <w:szCs w:val="16"/>
        </w:rPr>
        <w:t xml:space="preserve">Warr, P.G. and Lapiz, E.A. 1994, </w:t>
      </w:r>
      <w:r w:rsidRPr="00386C27">
        <w:rPr>
          <w:rFonts w:cstheme="minorHAnsi"/>
          <w:i/>
          <w:iCs/>
          <w:szCs w:val="16"/>
        </w:rPr>
        <w:t>Estimation of Elasticities of Substitution/Transformation Between Domestic and Imported/Exported Commodities</w:t>
      </w:r>
      <w:r w:rsidRPr="00386C27">
        <w:rPr>
          <w:rFonts w:cstheme="minorHAnsi"/>
          <w:szCs w:val="16"/>
        </w:rPr>
        <w:t>, The PARA General Equilibrium Model of the Thai Economy.</w:t>
      </w:r>
    </w:p>
    <w:p w14:paraId="46D2A207" w14:textId="184F6846" w:rsidR="00BD4918" w:rsidRPr="00386C27" w:rsidRDefault="00BD4918" w:rsidP="00386C27">
      <w:pPr>
        <w:pStyle w:val="Reference"/>
        <w:rPr>
          <w:rFonts w:cstheme="minorHAnsi"/>
          <w:szCs w:val="16"/>
        </w:rPr>
      </w:pPr>
      <w:r w:rsidRPr="00386C27">
        <w:rPr>
          <w:rFonts w:cstheme="minorHAnsi"/>
          <w:szCs w:val="16"/>
        </w:rPr>
        <w:t>Watts, T.W. 2020, ‘Academic achievement and economic attainment: reexamining associations between test scores and long</w:t>
      </w:r>
      <w:r w:rsidR="002E0086">
        <w:rPr>
          <w:rFonts w:cstheme="minorHAnsi"/>
          <w:szCs w:val="16"/>
        </w:rPr>
        <w:noBreakHyphen/>
      </w:r>
      <w:r w:rsidRPr="00386C27">
        <w:rPr>
          <w:rFonts w:cstheme="minorHAnsi"/>
          <w:szCs w:val="16"/>
        </w:rPr>
        <w:t xml:space="preserve">run earnings’, </w:t>
      </w:r>
      <w:r w:rsidRPr="00386C27">
        <w:rPr>
          <w:rFonts w:cstheme="minorHAnsi"/>
          <w:i/>
          <w:iCs/>
          <w:szCs w:val="16"/>
        </w:rPr>
        <w:t>AERA Open</w:t>
      </w:r>
      <w:r w:rsidRPr="00386C27">
        <w:rPr>
          <w:rFonts w:cstheme="minorHAnsi"/>
          <w:szCs w:val="16"/>
        </w:rPr>
        <w:t>, vol. 6, no. 2, pp. 1–16.</w:t>
      </w:r>
    </w:p>
    <w:p w14:paraId="199ED2AB" w14:textId="77777777" w:rsidR="00BD4918" w:rsidRPr="00386C27" w:rsidRDefault="00BD4918" w:rsidP="00386C27">
      <w:pPr>
        <w:pStyle w:val="Reference"/>
        <w:rPr>
          <w:rFonts w:cstheme="minorHAnsi"/>
          <w:szCs w:val="16"/>
        </w:rPr>
      </w:pPr>
      <w:r w:rsidRPr="00386C27">
        <w:rPr>
          <w:rFonts w:cstheme="minorHAnsi"/>
          <w:szCs w:val="16"/>
        </w:rPr>
        <w:t xml:space="preserve">Wedel, K. 2021, ‘Instruction time and student achievement: The moderating role of teacher qualifications’, </w:t>
      </w:r>
      <w:r w:rsidRPr="00386C27">
        <w:rPr>
          <w:rFonts w:cstheme="minorHAnsi"/>
          <w:i/>
          <w:iCs/>
          <w:szCs w:val="16"/>
        </w:rPr>
        <w:t>Economics of Education Review</w:t>
      </w:r>
      <w:r w:rsidRPr="00386C27">
        <w:rPr>
          <w:rFonts w:cstheme="minorHAnsi"/>
          <w:szCs w:val="16"/>
        </w:rPr>
        <w:t>, vol. 85, no. 102183.</w:t>
      </w:r>
    </w:p>
    <w:p w14:paraId="1302778C" w14:textId="77777777" w:rsidR="00DB5D30" w:rsidRPr="00DB5D30" w:rsidRDefault="00DB5D30" w:rsidP="00DB5D30">
      <w:pPr>
        <w:pStyle w:val="Reference"/>
        <w:rPr>
          <w:rFonts w:cstheme="minorHAnsi"/>
          <w:szCs w:val="16"/>
        </w:rPr>
      </w:pPr>
    </w:p>
    <w:p w14:paraId="60B0DE65" w14:textId="77777777" w:rsidR="00DB5D30" w:rsidRPr="00DB5D30" w:rsidRDefault="00DB5D30" w:rsidP="00DB5D30">
      <w:pPr>
        <w:pStyle w:val="Reference"/>
        <w:rPr>
          <w:rFonts w:cstheme="minorHAnsi"/>
          <w:szCs w:val="16"/>
        </w:rPr>
        <w:sectPr w:rsidR="00DB5D30" w:rsidRPr="00DB5D30" w:rsidSect="00DB5D30">
          <w:headerReference w:type="default" r:id="rId51"/>
          <w:type w:val="continuous"/>
          <w:pgSz w:w="11906" w:h="16838" w:code="9"/>
          <w:pgMar w:top="1134" w:right="1134" w:bottom="1134" w:left="1134" w:header="794" w:footer="510" w:gutter="0"/>
          <w:cols w:num="2" w:space="708"/>
          <w:docGrid w:linePitch="360"/>
        </w:sectPr>
      </w:pPr>
    </w:p>
    <w:p w14:paraId="7C1345DD" w14:textId="273940DE" w:rsidR="00A86051" w:rsidRPr="00386C27" w:rsidRDefault="00A86051" w:rsidP="00386C27">
      <w:pPr>
        <w:pStyle w:val="Reference"/>
        <w:rPr>
          <w:rFonts w:cstheme="minorHAnsi"/>
          <w:szCs w:val="16"/>
        </w:rPr>
      </w:pPr>
    </w:p>
    <w:sectPr w:rsidR="00A86051" w:rsidRPr="00386C27" w:rsidSect="00EC5D17">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43E3F" w14:textId="77777777" w:rsidR="007A3A6C" w:rsidRDefault="007A3A6C" w:rsidP="008017BC">
      <w:r>
        <w:separator/>
      </w:r>
    </w:p>
    <w:p w14:paraId="1A949D2D" w14:textId="77777777" w:rsidR="007A3A6C" w:rsidRDefault="007A3A6C"/>
  </w:endnote>
  <w:endnote w:type="continuationSeparator" w:id="0">
    <w:p w14:paraId="124F2C24" w14:textId="77777777" w:rsidR="007A3A6C" w:rsidRDefault="007A3A6C" w:rsidP="008017BC">
      <w:r>
        <w:continuationSeparator/>
      </w:r>
    </w:p>
    <w:p w14:paraId="025D13BC" w14:textId="77777777" w:rsidR="007A3A6C" w:rsidRDefault="007A3A6C"/>
  </w:endnote>
  <w:endnote w:type="continuationNotice" w:id="1">
    <w:p w14:paraId="4801F992" w14:textId="77777777" w:rsidR="007A3A6C" w:rsidRDefault="007A3A6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6BB37" w14:textId="77777777" w:rsidR="003C4FAE" w:rsidRPr="00187F05" w:rsidRDefault="003C4FAE"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AD437" w14:textId="77777777" w:rsidR="003C4FAE" w:rsidRDefault="003C4FAE">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3173C" w14:textId="77777777" w:rsidR="003C4FAE" w:rsidRDefault="003C4FAE">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F262" w14:textId="77777777" w:rsidR="00D525B3" w:rsidRDefault="00D525B3"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0473160"/>
      <w:docPartObj>
        <w:docPartGallery w:val="Page Numbers (Bottom of Page)"/>
        <w:docPartUnique/>
      </w:docPartObj>
    </w:sdtPr>
    <w:sdtContent>
      <w:sdt>
        <w:sdtPr>
          <w:id w:val="984735669"/>
          <w:docPartObj>
            <w:docPartGallery w:val="Page Numbers (Top of Page)"/>
            <w:docPartUnique/>
          </w:docPartObj>
        </w:sdtPr>
        <w:sdtContent>
          <w:p w14:paraId="7A630945" w14:textId="77777777" w:rsidR="00D525B3" w:rsidRDefault="00D525B3"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5359698"/>
      <w:docPartObj>
        <w:docPartGallery w:val="Page Numbers (Bottom of Page)"/>
        <w:docPartUnique/>
      </w:docPartObj>
    </w:sdtPr>
    <w:sdtContent>
      <w:sdt>
        <w:sdtPr>
          <w:id w:val="-453647501"/>
          <w:docPartObj>
            <w:docPartGallery w:val="Page Numbers (Top of Page)"/>
            <w:docPartUnique/>
          </w:docPartObj>
        </w:sdtPr>
        <w:sdtContent>
          <w:p w14:paraId="0BCCF623" w14:textId="77777777" w:rsidR="00CC0287" w:rsidRDefault="00CC028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9508640"/>
      <w:docPartObj>
        <w:docPartGallery w:val="Page Numbers (Bottom of Page)"/>
        <w:docPartUnique/>
      </w:docPartObj>
    </w:sdtPr>
    <w:sdtContent>
      <w:sdt>
        <w:sdtPr>
          <w:id w:val="-1935661825"/>
          <w:docPartObj>
            <w:docPartGallery w:val="Page Numbers (Top of Page)"/>
            <w:docPartUnique/>
          </w:docPartObj>
        </w:sdtPr>
        <w:sdtContent>
          <w:p w14:paraId="3CF2D52C" w14:textId="77777777" w:rsidR="00D525B3" w:rsidRDefault="00D525B3">
            <w:pPr>
              <w:pStyle w:val="Footer-right"/>
              <w:jc w:val="lef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917CB" w14:textId="77777777" w:rsidR="00F05871" w:rsidRDefault="00F04EA7">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8629165"/>
      <w:docPartObj>
        <w:docPartGallery w:val="Page Numbers (Bottom of Page)"/>
        <w:docPartUnique/>
      </w:docPartObj>
    </w:sdtPr>
    <w:sdtContent>
      <w:sdt>
        <w:sdtPr>
          <w:id w:val="643083832"/>
          <w:docPartObj>
            <w:docPartGallery w:val="Page Numbers (Top of Page)"/>
            <w:docPartUnique/>
          </w:docPartObj>
        </w:sdtPr>
        <w:sdtContent>
          <w:p w14:paraId="75DB3A63" w14:textId="77777777" w:rsidR="00F05871"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D8BC3" w14:textId="77777777" w:rsidR="007A3A6C" w:rsidRPr="00C238D1" w:rsidRDefault="007A3A6C" w:rsidP="00273E86">
      <w:pPr>
        <w:spacing w:after="0" w:line="240" w:lineRule="auto"/>
        <w:rPr>
          <w:rStyle w:val="ColourDarkBlue"/>
        </w:rPr>
      </w:pPr>
      <w:r w:rsidRPr="00C238D1">
        <w:rPr>
          <w:rStyle w:val="ColourDarkBlue"/>
        </w:rPr>
        <w:continuationSeparator/>
      </w:r>
    </w:p>
  </w:footnote>
  <w:footnote w:type="continuationSeparator" w:id="0">
    <w:p w14:paraId="1D5D6389" w14:textId="77777777" w:rsidR="007A3A6C" w:rsidRPr="001D7D9B" w:rsidRDefault="007A3A6C" w:rsidP="001D7D9B">
      <w:pPr>
        <w:spacing w:after="0" w:line="240" w:lineRule="auto"/>
        <w:rPr>
          <w:color w:val="265A9A" w:themeColor="background2"/>
        </w:rPr>
      </w:pPr>
      <w:r w:rsidRPr="00C238D1">
        <w:rPr>
          <w:rStyle w:val="ColourDarkBlue"/>
        </w:rPr>
        <w:continuationSeparator/>
      </w:r>
    </w:p>
  </w:footnote>
  <w:footnote w:type="continuationNotice" w:id="1">
    <w:p w14:paraId="432EE2BB" w14:textId="77777777" w:rsidR="007A3A6C" w:rsidRDefault="007A3A6C"/>
  </w:footnote>
  <w:footnote w:id="2">
    <w:p w14:paraId="28D4188F" w14:textId="5B15FA73" w:rsidR="00624564" w:rsidRDefault="00624564" w:rsidP="0037013C">
      <w:pPr>
        <w:pStyle w:val="FootnoteText"/>
      </w:pPr>
      <w:r>
        <w:rPr>
          <w:rStyle w:val="FootnoteReference"/>
        </w:rPr>
        <w:footnoteRef/>
      </w:r>
      <w:r>
        <w:t xml:space="preserve"> </w:t>
      </w:r>
      <w:r w:rsidR="00184C85">
        <w:t>Consultations</w:t>
      </w:r>
      <w:r w:rsidR="003831DB">
        <w:t>, including</w:t>
      </w:r>
      <w:r w:rsidR="003319CD">
        <w:t xml:space="preserve"> </w:t>
      </w:r>
      <w:r w:rsidR="003831DB">
        <w:t>a</w:t>
      </w:r>
      <w:r>
        <w:t xml:space="preserve"> </w:t>
      </w:r>
      <w:r w:rsidRPr="00624564">
        <w:rPr>
          <w:rStyle w:val="FootnoteTextChar"/>
        </w:rPr>
        <w:t xml:space="preserve">workshop </w:t>
      </w:r>
      <w:r w:rsidR="00197E46">
        <w:rPr>
          <w:rStyle w:val="FootnoteTextChar"/>
        </w:rPr>
        <w:t>in November 2022</w:t>
      </w:r>
      <w:r w:rsidR="00875557">
        <w:rPr>
          <w:rStyle w:val="FootnoteTextChar"/>
        </w:rPr>
        <w:t>, were held</w:t>
      </w:r>
      <w:r w:rsidRPr="00624564">
        <w:rPr>
          <w:rStyle w:val="FootnoteTextChar"/>
        </w:rPr>
        <w:t xml:space="preserve"> to receive feedback on the development of the model</w:t>
      </w:r>
      <w:r w:rsidR="00DE0025">
        <w:rPr>
          <w:rStyle w:val="FootnoteTextChar"/>
        </w:rPr>
        <w:t xml:space="preserve"> and simulation results</w:t>
      </w:r>
      <w:r w:rsidRPr="00624564">
        <w:rPr>
          <w:rStyle w:val="FootnoteTextChar"/>
        </w:rPr>
        <w:t xml:space="preserve">. </w:t>
      </w:r>
      <w:r w:rsidR="009E008A">
        <w:rPr>
          <w:rStyle w:val="FootnoteTextChar"/>
        </w:rPr>
        <w:t xml:space="preserve">The model and </w:t>
      </w:r>
      <w:r w:rsidR="00091666">
        <w:rPr>
          <w:rStyle w:val="FootnoteTextChar"/>
        </w:rPr>
        <w:t xml:space="preserve">results contained in a draft version of this </w:t>
      </w:r>
      <w:r w:rsidR="009165A0">
        <w:rPr>
          <w:rStyle w:val="FootnoteTextChar"/>
        </w:rPr>
        <w:t xml:space="preserve">volume </w:t>
      </w:r>
      <w:r w:rsidR="009E008A">
        <w:rPr>
          <w:rStyle w:val="FootnoteTextChar"/>
        </w:rPr>
        <w:t xml:space="preserve">were also reviewed by </w:t>
      </w:r>
      <w:r w:rsidR="00733A09">
        <w:rPr>
          <w:rStyle w:val="FootnoteTextChar"/>
        </w:rPr>
        <w:t>LY</w:t>
      </w:r>
      <w:r w:rsidR="004E2058">
        <w:rPr>
          <w:rStyle w:val="FootnoteTextChar"/>
        </w:rPr>
        <w:t> </w:t>
      </w:r>
      <w:r w:rsidR="00733A09">
        <w:rPr>
          <w:rStyle w:val="FootnoteTextChar"/>
        </w:rPr>
        <w:t>Cao</w:t>
      </w:r>
      <w:r w:rsidR="00F125CF">
        <w:rPr>
          <w:rStyle w:val="FootnoteTextChar"/>
        </w:rPr>
        <w:t>, with</w:t>
      </w:r>
      <w:r w:rsidR="00A56DF2">
        <w:rPr>
          <w:rStyle w:val="FootnoteTextChar"/>
        </w:rPr>
        <w:t xml:space="preserve"> </w:t>
      </w:r>
      <w:r w:rsidR="00F125CF">
        <w:rPr>
          <w:rStyle w:val="FootnoteTextChar"/>
        </w:rPr>
        <w:t>t</w:t>
      </w:r>
      <w:r w:rsidR="009165A0">
        <w:rPr>
          <w:rStyle w:val="FootnoteTextChar"/>
        </w:rPr>
        <w:t xml:space="preserve">he review report attached at the end of this volume. </w:t>
      </w:r>
      <w:r w:rsidRPr="00624564">
        <w:rPr>
          <w:rStyle w:val="FootnoteTextChar"/>
        </w:rPr>
        <w:t xml:space="preserve">The feedback received </w:t>
      </w:r>
      <w:r w:rsidR="008E1911">
        <w:rPr>
          <w:rStyle w:val="FootnoteTextChar"/>
        </w:rPr>
        <w:t xml:space="preserve">through these methods </w:t>
      </w:r>
      <w:r w:rsidRPr="00624564">
        <w:rPr>
          <w:rStyle w:val="FootnoteTextChar"/>
        </w:rPr>
        <w:t xml:space="preserve">was greatly appreciated and the Commission thanks </w:t>
      </w:r>
      <w:r w:rsidR="0037013C">
        <w:rPr>
          <w:rStyle w:val="FootnoteTextChar"/>
        </w:rPr>
        <w:t>participants</w:t>
      </w:r>
      <w:r w:rsidR="0037013C" w:rsidRPr="00624564">
        <w:rPr>
          <w:rStyle w:val="FootnoteTextChar"/>
        </w:rPr>
        <w:t xml:space="preserve"> </w:t>
      </w:r>
      <w:r w:rsidRPr="00624564">
        <w:rPr>
          <w:rStyle w:val="FootnoteTextChar"/>
        </w:rPr>
        <w:t xml:space="preserve">for their time and </w:t>
      </w:r>
      <w:r w:rsidRPr="005846FF">
        <w:t>engagement.</w:t>
      </w:r>
    </w:p>
  </w:footnote>
  <w:footnote w:id="3">
    <w:p w14:paraId="2AF20F93" w14:textId="77777777" w:rsidR="00C1406E" w:rsidRDefault="00C1406E" w:rsidP="00C1406E">
      <w:pPr>
        <w:pStyle w:val="FootnoteText"/>
      </w:pPr>
      <w:r>
        <w:rPr>
          <w:rStyle w:val="FootnoteReference"/>
        </w:rPr>
        <w:footnoteRef/>
      </w:r>
      <w:r>
        <w:t xml:space="preserve"> This is due to Walras’ law which implies that if all but one market clears, then the last market also clears and its market clearing constraint is redundant.</w:t>
      </w:r>
    </w:p>
  </w:footnote>
  <w:footnote w:id="4">
    <w:p w14:paraId="234C3F7D" w14:textId="4F528685" w:rsidR="00C1406E" w:rsidRDefault="00C1406E" w:rsidP="00C1406E">
      <w:pPr>
        <w:pStyle w:val="FootnoteText"/>
      </w:pPr>
      <w:r w:rsidRPr="00D84671">
        <w:rPr>
          <w:rStyle w:val="FootnoteReference"/>
        </w:rPr>
        <w:footnoteRef/>
      </w:r>
      <w:r w:rsidRPr="00BF5E29">
        <w:rPr>
          <w:rStyle w:val="FootnoteTextChar"/>
          <w:sz w:val="20"/>
          <w:szCs w:val="22"/>
        </w:rPr>
        <w:t xml:space="preserve"> </w:t>
      </w:r>
      <w:r w:rsidRPr="00992359">
        <w:rPr>
          <w:rStyle w:val="FootnoteTextChar"/>
        </w:rPr>
        <w:t xml:space="preserve">The model was built using the GAMS software and the equations formulated as mixed complementarity problems. This </w:t>
      </w:r>
      <w:r>
        <w:rPr>
          <w:rStyle w:val="FootnoteTextChar"/>
        </w:rPr>
        <w:t xml:space="preserve">formulation </w:t>
      </w:r>
      <w:r w:rsidRPr="00992359">
        <w:rPr>
          <w:rStyle w:val="FootnoteTextChar"/>
        </w:rPr>
        <w:t>allows for explicit pairing between an economic variable and its equation either as an equality o</w:t>
      </w:r>
      <w:r>
        <w:rPr>
          <w:rStyle w:val="FootnoteTextChar"/>
        </w:rPr>
        <w:t>r</w:t>
      </w:r>
      <w:r w:rsidRPr="00992359">
        <w:rPr>
          <w:rStyle w:val="FootnoteTextChar"/>
        </w:rPr>
        <w:t xml:space="preserve"> inequality constraint</w:t>
      </w:r>
      <w:r w:rsidR="00074913">
        <w:rPr>
          <w:rStyle w:val="FootnoteTextChar"/>
        </w:rPr>
        <w:t xml:space="preserve"> </w:t>
      </w:r>
      <w:r w:rsidR="00074913" w:rsidRPr="00992359">
        <w:rPr>
          <w:rStyle w:val="FootnoteTextChar"/>
        </w:rPr>
        <w:t>(Abrell 2017; Murphy, Pierru and Smeers 2016)</w:t>
      </w:r>
      <w:r w:rsidRPr="00992359">
        <w:rPr>
          <w:rStyle w:val="FootnoteTextChar"/>
        </w:rPr>
        <w:t xml:space="preserve">. For example, </w:t>
      </w:r>
      <w:r>
        <w:rPr>
          <w:rStyle w:val="FootnoteTextChar"/>
        </w:rPr>
        <w:t>a wage floor was implemented in some sensitivity testing simulations (</w:t>
      </w:r>
      <w:r w:rsidR="00D95E13">
        <w:t>chapter</w:t>
      </w:r>
      <w:r w:rsidR="00D95E13">
        <w:rPr>
          <w:rStyle w:val="FootnoteTextChar"/>
        </w:rPr>
        <w:t xml:space="preserve"> </w:t>
      </w:r>
      <w:r>
        <w:rPr>
          <w:rStyle w:val="FootnoteTextChar"/>
        </w:rPr>
        <w:t>4) as an inequality constraint, with unemployment as its paired variable</w:t>
      </w:r>
      <w:r w:rsidRPr="00992359">
        <w:rPr>
          <w:rStyle w:val="FootnoteTextChar"/>
        </w:rPr>
        <w:t>.</w:t>
      </w:r>
    </w:p>
  </w:footnote>
  <w:footnote w:id="5">
    <w:p w14:paraId="5413541C" w14:textId="70981A29" w:rsidR="005E2D3F" w:rsidRDefault="005E2D3F" w:rsidP="007C45FF">
      <w:pPr>
        <w:pStyle w:val="FootnoteText"/>
      </w:pPr>
      <w:r w:rsidRPr="005772B5">
        <w:rPr>
          <w:rStyle w:val="FootnoteReference"/>
        </w:rPr>
        <w:footnoteRef/>
      </w:r>
      <w:r>
        <w:t xml:space="preserve"> </w:t>
      </w:r>
      <w:r w:rsidRPr="001D0654">
        <w:rPr>
          <w:rStyle w:val="FootnoteTextChar"/>
        </w:rPr>
        <w:t xml:space="preserve">The model includes the option of a wage floor, </w:t>
      </w:r>
      <w:r>
        <w:rPr>
          <w:rStyle w:val="FootnoteTextChar"/>
        </w:rPr>
        <w:t>which can</w:t>
      </w:r>
      <w:r w:rsidRPr="001D0654">
        <w:rPr>
          <w:rStyle w:val="FootnoteTextChar"/>
        </w:rPr>
        <w:t xml:space="preserve"> drive a wedge between </w:t>
      </w:r>
      <w:r w:rsidR="003327F4">
        <w:rPr>
          <w:rStyle w:val="FootnoteTextChar"/>
        </w:rPr>
        <w:t>hours actually worked</w:t>
      </w:r>
      <w:r w:rsidRPr="001D0654">
        <w:rPr>
          <w:rStyle w:val="FootnoteTextChar"/>
        </w:rPr>
        <w:t xml:space="preserve"> and available labour, creating unemployment</w:t>
      </w:r>
      <w:r>
        <w:rPr>
          <w:rStyle w:val="FootnoteTextChar"/>
        </w:rPr>
        <w:t xml:space="preserve"> </w:t>
      </w:r>
      <w:r w:rsidRPr="001D0654">
        <w:rPr>
          <w:rStyle w:val="FootnoteTextChar"/>
        </w:rPr>
        <w:t>endogenous</w:t>
      </w:r>
      <w:r>
        <w:rPr>
          <w:rStyle w:val="FootnoteTextChar"/>
        </w:rPr>
        <w:t>ly</w:t>
      </w:r>
      <w:r w:rsidRPr="001D0654">
        <w:rPr>
          <w:rStyle w:val="FootnoteTextChar"/>
        </w:rPr>
        <w:t xml:space="preserve">. A wage floor can illustrate the effects of wages that are sticky downwards, for example due to long-term contracts or </w:t>
      </w:r>
      <w:r w:rsidR="00A4398D">
        <w:rPr>
          <w:rStyle w:val="FootnoteTextChar"/>
        </w:rPr>
        <w:t>labour market rigidities</w:t>
      </w:r>
      <w:r w:rsidRPr="001D0654">
        <w:rPr>
          <w:rStyle w:val="FootnoteTextChar"/>
        </w:rPr>
        <w:t xml:space="preserve">. The wage floor </w:t>
      </w:r>
      <w:r>
        <w:rPr>
          <w:rStyle w:val="FootnoteTextChar"/>
        </w:rPr>
        <w:t>is</w:t>
      </w:r>
      <w:r w:rsidRPr="001D0654">
        <w:rPr>
          <w:rStyle w:val="FootnoteTextChar"/>
        </w:rPr>
        <w:t xml:space="preserve"> used to test the sensitivity of some modelled scenario results. </w:t>
      </w:r>
      <w:r>
        <w:rPr>
          <w:rStyle w:val="FootnoteTextChar"/>
        </w:rPr>
        <w:t>It</w:t>
      </w:r>
      <w:r w:rsidRPr="001D0654">
        <w:rPr>
          <w:rStyle w:val="FootnoteTextChar"/>
        </w:rPr>
        <w:t xml:space="preserve"> is implemented via an intermediate household decision, where individual cohorts first choose how much they would like to work, given prevailing wages and prices. If there is a binding wage floor, labour supply will exceed labour demand, inducing unemployment.</w:t>
      </w:r>
      <w:r w:rsidRPr="0013726F">
        <w:t xml:space="preserve"> </w:t>
      </w:r>
    </w:p>
  </w:footnote>
  <w:footnote w:id="6">
    <w:p w14:paraId="68CA707C" w14:textId="5A7E0F33" w:rsidR="00413C50" w:rsidRPr="00271A1D" w:rsidRDefault="00413C50" w:rsidP="00413C50">
      <w:pPr>
        <w:pStyle w:val="FootnoteText"/>
      </w:pPr>
      <w:r w:rsidRPr="00D84671">
        <w:rPr>
          <w:rStyle w:val="FootnoteReference"/>
        </w:rPr>
        <w:footnoteRef/>
      </w:r>
      <w:r w:rsidRPr="00BF5E29">
        <w:rPr>
          <w:rStyle w:val="FootnoteReference"/>
          <w:sz w:val="20"/>
          <w:vertAlign w:val="baseline"/>
        </w:rPr>
        <w:t xml:space="preserve"> </w:t>
      </w:r>
      <w:r>
        <w:t>I</w:t>
      </w:r>
      <w:r w:rsidRPr="00271A1D">
        <w:t xml:space="preserve">ndustries that comprise ‘advanced manufacturing’ </w:t>
      </w:r>
      <w:r w:rsidR="00DD0CF1">
        <w:t>were</w:t>
      </w:r>
      <w:r w:rsidR="00DD0CF1" w:rsidRPr="00271A1D">
        <w:t xml:space="preserve"> </w:t>
      </w:r>
      <w:r w:rsidRPr="00271A1D">
        <w:t xml:space="preserve">identified with reference to industries listed in a study of Australian advanced manufacturing </w:t>
      </w:r>
      <w:r w:rsidR="007B4C28" w:rsidRPr="007B4C28">
        <w:rPr>
          <w:rFonts w:ascii="Arial" w:hAnsi="Arial" w:cs="Arial"/>
          <w:szCs w:val="24"/>
        </w:rPr>
        <w:t>(DIIS and IP Australia 2017, pp. 85–86)</w:t>
      </w:r>
      <w:r w:rsidRPr="00271A1D">
        <w:t>.</w:t>
      </w:r>
      <w:r w:rsidR="00936646">
        <w:t xml:space="preserve"> These </w:t>
      </w:r>
      <w:r w:rsidR="00F662F4">
        <w:t>include</w:t>
      </w:r>
      <w:r w:rsidR="00936646">
        <w:t xml:space="preserve"> </w:t>
      </w:r>
      <w:r w:rsidR="007225C3">
        <w:t xml:space="preserve">industries covered under </w:t>
      </w:r>
      <w:r w:rsidR="00AF2D15">
        <w:t xml:space="preserve">‘basic chemical manufacturing’, </w:t>
      </w:r>
      <w:r w:rsidR="00F662F4">
        <w:t xml:space="preserve">‘cleaning compound and toilet preparation manufacturing’, </w:t>
      </w:r>
      <w:r w:rsidR="00BD7C6E">
        <w:t>‘transport equipment manufacturing’</w:t>
      </w:r>
      <w:r w:rsidR="00AE3B97">
        <w:t xml:space="preserve"> and ‘machinery and equipment manufacturing’. </w:t>
      </w:r>
    </w:p>
  </w:footnote>
  <w:footnote w:id="7">
    <w:p w14:paraId="394A313E" w14:textId="5532FC60" w:rsidR="00413C50" w:rsidRPr="00EF3510" w:rsidRDefault="00413C50" w:rsidP="00413C50">
      <w:pPr>
        <w:pStyle w:val="FootnoteText"/>
        <w:rPr>
          <w:spacing w:val="-4"/>
        </w:rPr>
      </w:pPr>
      <w:r w:rsidRPr="00EF3510">
        <w:rPr>
          <w:rStyle w:val="FootnoteReference"/>
          <w:spacing w:val="-4"/>
        </w:rPr>
        <w:footnoteRef/>
      </w:r>
      <w:r w:rsidRPr="00EF3510">
        <w:rPr>
          <w:rStyle w:val="FootnoteReference"/>
          <w:spacing w:val="-4"/>
          <w:sz w:val="20"/>
          <w:vertAlign w:val="baseline"/>
        </w:rPr>
        <w:t xml:space="preserve"> </w:t>
      </w:r>
      <w:r w:rsidRPr="00EF3510">
        <w:rPr>
          <w:spacing w:val="-4"/>
        </w:rPr>
        <w:t>‘Technology and telecommunications’ includes ‘internet service providers, internet publishing and broadcasting, websearch portals and data processing’</w:t>
      </w:r>
      <w:r w:rsidR="00D66E83" w:rsidRPr="00EF3510">
        <w:rPr>
          <w:spacing w:val="-4"/>
        </w:rPr>
        <w:t>,</w:t>
      </w:r>
      <w:r w:rsidRPr="00EF3510">
        <w:rPr>
          <w:spacing w:val="-4"/>
        </w:rPr>
        <w:t xml:space="preserve"> ‘telecommunication services’</w:t>
      </w:r>
      <w:r w:rsidR="00D66E83" w:rsidRPr="00EF3510">
        <w:rPr>
          <w:spacing w:val="-4"/>
        </w:rPr>
        <w:t xml:space="preserve"> and</w:t>
      </w:r>
      <w:r w:rsidRPr="00EF3510">
        <w:rPr>
          <w:spacing w:val="-4"/>
        </w:rPr>
        <w:t xml:space="preserve"> ‘computer systems design and related services’.</w:t>
      </w:r>
    </w:p>
  </w:footnote>
  <w:footnote w:id="8">
    <w:p w14:paraId="6E4FFC73" w14:textId="558941F7" w:rsidR="00413C50" w:rsidRDefault="00413C50" w:rsidP="00413C50">
      <w:pPr>
        <w:pStyle w:val="FootnoteText"/>
      </w:pPr>
      <w:r w:rsidRPr="00D84671">
        <w:rPr>
          <w:rStyle w:val="FootnoteReference"/>
        </w:rPr>
        <w:footnoteRef/>
      </w:r>
      <w:r w:rsidRPr="00BF5E29">
        <w:rPr>
          <w:rStyle w:val="FootnoteReference"/>
          <w:sz w:val="20"/>
          <w:vertAlign w:val="baseline"/>
        </w:rPr>
        <w:t xml:space="preserve"> </w:t>
      </w:r>
      <w:r w:rsidRPr="00271A1D">
        <w:t xml:space="preserve">‘Other services’ include </w:t>
      </w:r>
      <w:r w:rsidR="00BE28E8">
        <w:t xml:space="preserve">energy and </w:t>
      </w:r>
      <w:r w:rsidRPr="00271A1D">
        <w:t>utilities, rental and real estate services, administrative and support services, arts and recreation, repair and maintenance, and personal services.</w:t>
      </w:r>
      <w:r w:rsidR="00BE28E8">
        <w:t xml:space="preserve"> These services were</w:t>
      </w:r>
      <w:r w:rsidR="003B57E0">
        <w:t xml:space="preserve"> grouped together </w:t>
      </w:r>
      <w:r w:rsidR="006E29E8">
        <w:t xml:space="preserve">for the model </w:t>
      </w:r>
      <w:r w:rsidR="003B57E0">
        <w:t>because they were</w:t>
      </w:r>
      <w:r w:rsidR="00BE28E8">
        <w:t xml:space="preserve"> not </w:t>
      </w:r>
      <w:r w:rsidR="003B57E0">
        <w:t xml:space="preserve">separately </w:t>
      </w:r>
      <w:r w:rsidR="00BE28E8">
        <w:t xml:space="preserve">considered </w:t>
      </w:r>
      <w:r w:rsidR="003B57E0">
        <w:t>to be key industries of interest for the simulation scenarios</w:t>
      </w:r>
      <w:r w:rsidR="00937566">
        <w:t>.</w:t>
      </w:r>
    </w:p>
  </w:footnote>
  <w:footnote w:id="9">
    <w:p w14:paraId="0315CFA1" w14:textId="6E51425D" w:rsidR="0034656E" w:rsidRPr="00CB2A01" w:rsidRDefault="0034656E">
      <w:pPr>
        <w:pStyle w:val="FootnoteText"/>
        <w:rPr>
          <w:spacing w:val="-4"/>
        </w:rPr>
      </w:pPr>
      <w:r w:rsidRPr="00CB2A01">
        <w:rPr>
          <w:rStyle w:val="FootnoteReference"/>
          <w:spacing w:val="-4"/>
        </w:rPr>
        <w:footnoteRef/>
      </w:r>
      <w:r w:rsidRPr="00CB2A01">
        <w:rPr>
          <w:spacing w:val="-4"/>
        </w:rPr>
        <w:t xml:space="preserve"> There are two CES processes for creating composite labour for each industry. The first involves combining age-sex </w:t>
      </w:r>
      <w:r w:rsidRPr="00CB2A01">
        <w:rPr>
          <w:rStyle w:val="FootnoteTextChar"/>
          <w:spacing w:val="-4"/>
        </w:rPr>
        <w:t>labour combinations to create a composite labour by education level. The second involves combining each education</w:t>
      </w:r>
      <w:r w:rsidR="002C0E80" w:rsidRPr="00CB2A01">
        <w:rPr>
          <w:rStyle w:val="FootnoteTextChar"/>
          <w:spacing w:val="-4"/>
        </w:rPr>
        <w:noBreakHyphen/>
      </w:r>
      <w:r w:rsidRPr="00CB2A01">
        <w:rPr>
          <w:rStyle w:val="FootnoteTextChar"/>
          <w:spacing w:val="-4"/>
        </w:rPr>
        <w:t>level labour composite into a single industry composite labour. Note that while producers are not actually able to discriminate in their hiring choices by age group or sex, assuming imperfect substitution of labour by age group and sex in the model provides a simple way of reflecting differences that exist due to people’s preferences for working in certain industries.</w:t>
      </w:r>
    </w:p>
  </w:footnote>
  <w:footnote w:id="10">
    <w:p w14:paraId="52041540" w14:textId="0A7FE5E2" w:rsidR="0087436C" w:rsidRDefault="0087436C" w:rsidP="0087436C">
      <w:pPr>
        <w:pStyle w:val="FootnoteText"/>
      </w:pPr>
      <w:r w:rsidRPr="005772B5">
        <w:rPr>
          <w:rStyle w:val="FootnoteReference"/>
        </w:rPr>
        <w:footnoteRef/>
      </w:r>
      <w:r>
        <w:t xml:space="preserve"> </w:t>
      </w:r>
      <w:r w:rsidRPr="00BE702F">
        <w:t xml:space="preserve">A SAM records data on transactions (inflows and outflows) between economic agents in an economy. </w:t>
      </w:r>
      <w:r>
        <w:t xml:space="preserve">It </w:t>
      </w:r>
      <w:r w:rsidRPr="00BE702F">
        <w:t xml:space="preserve">is a square matrix </w:t>
      </w:r>
      <w:r>
        <w:t xml:space="preserve">where each row and column represents an activity, commodity, factor or institutional sector. Each cell shows the payment from the column account to the row account. </w:t>
      </w:r>
      <w:r w:rsidRPr="00BE702F">
        <w:t>The SAM must be balanced — that is,</w:t>
      </w:r>
      <w:r>
        <w:t xml:space="preserve"> all inflows must equal outflows for a particular account.</w:t>
      </w:r>
      <w:r w:rsidRPr="00BE702F">
        <w:t xml:space="preserve"> The structure of the SAM (</w:t>
      </w:r>
      <w:r>
        <w:t xml:space="preserve">that is, </w:t>
      </w:r>
      <w:r w:rsidRPr="00BE702F">
        <w:t>the economic agents</w:t>
      </w:r>
      <w:r>
        <w:t xml:space="preserve"> included and the flows between them</w:t>
      </w:r>
      <w:r w:rsidRPr="00BE702F">
        <w:t xml:space="preserve">) must </w:t>
      </w:r>
      <w:r>
        <w:t xml:space="preserve">also </w:t>
      </w:r>
      <w:r w:rsidRPr="00BE702F">
        <w:t xml:space="preserve">concord with the CGE model’s structure and equations. </w:t>
      </w:r>
    </w:p>
  </w:footnote>
  <w:footnote w:id="11">
    <w:p w14:paraId="0257C6E4" w14:textId="6DC4E877" w:rsidR="000A5317" w:rsidRDefault="000A5317">
      <w:pPr>
        <w:pStyle w:val="FootnoteText"/>
      </w:pPr>
      <w:r>
        <w:rPr>
          <w:rStyle w:val="FootnoteReference"/>
        </w:rPr>
        <w:footnoteRef/>
      </w:r>
      <w:r>
        <w:t xml:space="preserve"> </w:t>
      </w:r>
      <w:r w:rsidR="007644A2">
        <w:t>Note that the income elasticity of labour supply is not the same as the wage elasticity of labour supply, which is discussed subsequently. The income elasticity of labour supply is c</w:t>
      </w:r>
      <w:r>
        <w:t xml:space="preserve">alculated as the change in labour supply with respect to a change in non-labour income by an amount that would increase </w:t>
      </w:r>
      <w:r w:rsidR="002E1A72">
        <w:t xml:space="preserve">total </w:t>
      </w:r>
      <w:r>
        <w:t xml:space="preserve">disposable income </w:t>
      </w:r>
      <w:r w:rsidR="002E1A72">
        <w:t>(</w:t>
      </w:r>
      <w:r w:rsidR="00DE05A0">
        <w:t xml:space="preserve">from labour and non-labour sources) </w:t>
      </w:r>
      <w:r>
        <w:t>by 1</w:t>
      </w:r>
      <w:r w:rsidR="002613F9">
        <w:t>%</w:t>
      </w:r>
      <w:r>
        <w:t xml:space="preserve"> if labour supply did not react</w:t>
      </w:r>
      <w:r w:rsidR="00D361F8">
        <w:t xml:space="preserve"> </w:t>
      </w:r>
      <w:r w:rsidR="009A0543" w:rsidRPr="009A0543">
        <w:rPr>
          <w:rFonts w:ascii="Arial" w:hAnsi="Arial" w:cs="Arial"/>
          <w:szCs w:val="24"/>
        </w:rPr>
        <w:t>(Boeters and Savard 2013, p. 1653)</w:t>
      </w:r>
      <w:r>
        <w:t>.</w:t>
      </w:r>
    </w:p>
  </w:footnote>
  <w:footnote w:id="12">
    <w:p w14:paraId="0D2D1E02" w14:textId="727108B6" w:rsidR="001E7A15" w:rsidRDefault="001E7A15">
      <w:pPr>
        <w:pStyle w:val="FootnoteText"/>
      </w:pPr>
      <w:r>
        <w:rPr>
          <w:rStyle w:val="FootnoteReference"/>
        </w:rPr>
        <w:footnoteRef/>
      </w:r>
      <w:r>
        <w:t xml:space="preserve"> As cited in Giesecke et al. </w:t>
      </w:r>
      <w:r w:rsidR="006E42BA" w:rsidRPr="006E42BA">
        <w:rPr>
          <w:rFonts w:ascii="Arial" w:hAnsi="Arial" w:cs="Arial"/>
          <w:szCs w:val="24"/>
        </w:rPr>
        <w:t>(2021, p. 5934)</w:t>
      </w:r>
      <w:r>
        <w:t xml:space="preserve">, </w:t>
      </w:r>
      <w:r w:rsidR="009147A3">
        <w:t xml:space="preserve">past research suggests that </w:t>
      </w:r>
      <w:r w:rsidR="003E3164">
        <w:t xml:space="preserve">income </w:t>
      </w:r>
      <w:r w:rsidR="00931226">
        <w:t xml:space="preserve">elasticities </w:t>
      </w:r>
      <w:r w:rsidR="003E3164">
        <w:t xml:space="preserve">of labour supply </w:t>
      </w:r>
      <w:r w:rsidR="00931226">
        <w:t>for married women are more negative</w:t>
      </w:r>
      <w:r w:rsidR="003E3164">
        <w:t xml:space="preserve"> than for married men</w:t>
      </w:r>
      <w:r w:rsidR="00931226">
        <w:t xml:space="preserve">, </w:t>
      </w:r>
      <w:r w:rsidR="003E3164">
        <w:t xml:space="preserve">and </w:t>
      </w:r>
      <w:r w:rsidR="00E31311">
        <w:t>elasticities for lone parents</w:t>
      </w:r>
      <w:r w:rsidR="003E3164">
        <w:t xml:space="preserve"> are more negative than for couple families</w:t>
      </w:r>
      <w:r w:rsidR="00E31311">
        <w:t>.</w:t>
      </w:r>
      <w:r w:rsidR="00242531">
        <w:t xml:space="preserve"> </w:t>
      </w:r>
      <w:r w:rsidR="00AD445B">
        <w:t>L</w:t>
      </w:r>
      <w:r w:rsidR="00DD4E72">
        <w:t xml:space="preserve">one parents </w:t>
      </w:r>
      <w:r w:rsidR="00AD445B">
        <w:t xml:space="preserve">have also been found </w:t>
      </w:r>
      <w:r w:rsidR="00DD4E72">
        <w:t>to have lower levels of education</w:t>
      </w:r>
      <w:r w:rsidR="003D2868">
        <w:t xml:space="preserve"> </w:t>
      </w:r>
      <w:r w:rsidR="00AD445B">
        <w:t xml:space="preserve">on average </w:t>
      </w:r>
      <w:r w:rsidR="00755A8D" w:rsidRPr="00755A8D">
        <w:rPr>
          <w:rFonts w:ascii="Arial" w:hAnsi="Arial" w:cs="Arial"/>
          <w:szCs w:val="24"/>
        </w:rPr>
        <w:t>(ABS 2007)</w:t>
      </w:r>
      <w:r w:rsidR="003D2868">
        <w:t>.</w:t>
      </w:r>
    </w:p>
  </w:footnote>
  <w:footnote w:id="13">
    <w:p w14:paraId="1D4B28AF" w14:textId="0F3C1F6A" w:rsidR="009E6798" w:rsidRDefault="009E6798">
      <w:pPr>
        <w:pStyle w:val="FootnoteText"/>
      </w:pPr>
      <w:r>
        <w:rPr>
          <w:rStyle w:val="FootnoteReference"/>
        </w:rPr>
        <w:footnoteRef/>
      </w:r>
      <w:r>
        <w:t xml:space="preserve"> </w:t>
      </w:r>
      <w:r w:rsidR="008F168B">
        <w:t>S</w:t>
      </w:r>
      <w:r w:rsidR="006620B4">
        <w:t xml:space="preserve">ensitivity tests </w:t>
      </w:r>
      <w:r w:rsidR="008F168B">
        <w:t xml:space="preserve">in some simulations </w:t>
      </w:r>
      <w:r w:rsidR="00F5395A">
        <w:t>we</w:t>
      </w:r>
      <w:r w:rsidR="005C77DF">
        <w:t xml:space="preserve">re not </w:t>
      </w:r>
      <w:r w:rsidR="00F5395A">
        <w:t>analysed</w:t>
      </w:r>
      <w:r w:rsidR="00763352">
        <w:t>,</w:t>
      </w:r>
      <w:r w:rsidR="00F5395A">
        <w:t xml:space="preserve"> where </w:t>
      </w:r>
      <w:r w:rsidR="00A2281F">
        <w:t xml:space="preserve">it </w:t>
      </w:r>
      <w:r w:rsidR="00F5395A">
        <w:t xml:space="preserve">was </w:t>
      </w:r>
      <w:r w:rsidR="00A2281F">
        <w:t xml:space="preserve">likely that the model </w:t>
      </w:r>
      <w:r w:rsidR="00F5395A">
        <w:t xml:space="preserve">had </w:t>
      </w:r>
      <w:r w:rsidR="00A2281F">
        <w:t>not solve</w:t>
      </w:r>
      <w:r w:rsidR="00F5395A">
        <w:t>d</w:t>
      </w:r>
      <w:r w:rsidR="00A2281F">
        <w:t xml:space="preserve"> optimally.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98395" w14:textId="77777777" w:rsidR="003C4FAE" w:rsidRPr="007215EF" w:rsidRDefault="003C4FAE" w:rsidP="007215EF">
    <w:r w:rsidRPr="007215EF">
      <w:rPr>
        <w:noProof/>
      </w:rPr>
      <w:drawing>
        <wp:anchor distT="0" distB="0" distL="114300" distR="114300" simplePos="0" relativeHeight="251658240" behindDoc="0" locked="1" layoutInCell="1" allowOverlap="1" wp14:anchorId="68A146A1" wp14:editId="0E1F8301">
          <wp:simplePos x="0" y="0"/>
          <wp:positionH relativeFrom="margin">
            <wp:align>left</wp:align>
          </wp:positionH>
          <wp:positionV relativeFrom="page">
            <wp:align>top</wp:align>
          </wp:positionV>
          <wp:extent cx="2235600" cy="1058400"/>
          <wp:effectExtent l="0" t="0" r="0" b="8890"/>
          <wp:wrapNone/>
          <wp:docPr id="7"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89C3D8" w14:textId="77777777" w:rsidR="003C4FAE" w:rsidRPr="005965BC" w:rsidRDefault="003C4FAE"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A40F8" w14:textId="28172D70" w:rsidR="00D525B3" w:rsidRDefault="00FC71E7">
    <w:pPr>
      <w:pStyle w:val="Header-KeylineRight"/>
      <w:jc w:val="left"/>
    </w:pPr>
    <w:fldSimple w:instr=" STYLEREF  &quot;Heading 1&quot;  \* MERGEFORMAT ">
      <w:r w:rsidR="00EF7B01">
        <w:rPr>
          <w:noProof/>
        </w:rPr>
        <w:t>Simulations and output variables</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2C8E1" w14:textId="4679C8D0" w:rsidR="00BB5C22" w:rsidRPr="001736E6" w:rsidRDefault="00436F5D" w:rsidP="001736E6">
    <w:pPr>
      <w:pStyle w:val="Header-Keyline"/>
    </w:pPr>
    <w:r>
      <w:rPr>
        <w:rStyle w:val="Strong"/>
      </w:rPr>
      <w:t>5-year Productivity Inquiry: Whole-of-economy modelling</w:t>
    </w:r>
    <w:r w:rsidR="00BB5C22">
      <w:t xml:space="preserve"> Inquiry </w:t>
    </w:r>
    <w:r w:rsidR="00EC0665">
      <w:t>r</w:t>
    </w:r>
    <w:r w:rsidR="00BB5C22">
      <w:t>eport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B2C92" w14:textId="541EB77A" w:rsidR="00BB5C22" w:rsidRDefault="00102D0D" w:rsidP="00E11646">
    <w:pPr>
      <w:pStyle w:val="Header-KeylineRight"/>
      <w:spacing w:after="120"/>
    </w:pPr>
    <w:r>
      <w:t xml:space="preserve">Simulations and </w:t>
    </w:r>
    <w:r w:rsidDel="00344A35">
      <w:t>output variables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A4F89" w14:textId="6E73E37D" w:rsidR="00EA1F83" w:rsidRDefault="00EA1F83" w:rsidP="001736E6">
    <w:pPr>
      <w:pStyle w:val="Header-KeylineRight"/>
    </w:pPr>
    <w:r>
      <w:t>Sensitivity testing</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54582" w14:textId="57D568C8" w:rsidR="00EA1F83" w:rsidRDefault="00EA1F83" w:rsidP="00283296">
    <w:pPr>
      <w:pStyle w:val="Header-KeylineRight"/>
    </w:pPr>
    <w:r>
      <w:t>Model equations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2D953" w14:textId="5C4887E0" w:rsidR="00625D85" w:rsidRDefault="00DE07D8" w:rsidP="00283296">
    <w:pPr>
      <w:pStyle w:val="Header-KeylineRight"/>
    </w:pPr>
    <w:r>
      <w:t>Review of ‘whole</w:t>
    </w:r>
    <w:r>
      <w:noBreakHyphen/>
      <w:t>of</w:t>
    </w:r>
    <w:r>
      <w:noBreakHyphen/>
      <w:t>economy modelling’</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8EA46" w14:textId="77777777" w:rsidR="00DE07D8" w:rsidRDefault="00DE07D8" w:rsidP="00283296">
    <w:pPr>
      <w:pStyle w:val="Header-KeylineRight"/>
    </w:pPr>
    <w:r>
      <w:t>Abbreviations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4AF5C" w14:textId="67D276F7" w:rsidR="00815643" w:rsidRDefault="00815643" w:rsidP="00283296">
    <w:pPr>
      <w:pStyle w:val="Header-KeylineRight"/>
    </w:pPr>
    <w:r>
      <w:t>References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0ACCB" w14:textId="77777777" w:rsidR="00DB5D30" w:rsidRDefault="00DB5D30" w:rsidP="00E11646">
    <w:pPr>
      <w:pStyle w:val="Header-KeylineRight"/>
      <w:spacing w:after="120"/>
    </w:pPr>
    <w:r>
      <w:t>References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B526E" w14:textId="3605F13C" w:rsidR="00D525B3" w:rsidRPr="00554670" w:rsidRDefault="00436F5D" w:rsidP="00CB630A">
    <w:pPr>
      <w:pStyle w:val="Header-Keyline"/>
    </w:pPr>
    <w:r>
      <w:rPr>
        <w:rStyle w:val="Strong"/>
      </w:rPr>
      <w:t>5-year Productivity Inquiry: Whole-of-economy modelling</w:t>
    </w:r>
    <w:r w:rsidR="002D4A56">
      <w:t xml:space="preserve"> Inquiry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8D77E" w14:textId="75DDFB07" w:rsidR="00D525B3" w:rsidRDefault="00FC71E7">
    <w:pPr>
      <w:pStyle w:val="Header-KeylineRight"/>
    </w:pPr>
    <w:fldSimple w:instr=" STYLEREF  &quot;Heading 1&quot;  \* MERGEFORMAT ">
      <w:r w:rsidR="00EF7B01" w:rsidRPr="00EF7B01">
        <w:rPr>
          <w:b/>
          <w:bCs/>
          <w:noProof/>
          <w:lang w:val="en-US"/>
        </w:rPr>
        <w:t>Model structure</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72605" w14:textId="5CA6ABCC" w:rsidR="002D4A56" w:rsidRDefault="00436F5D" w:rsidP="002D4A56">
    <w:pPr>
      <w:pStyle w:val="Header-Keyline"/>
    </w:pPr>
    <w:r>
      <w:rPr>
        <w:rStyle w:val="Strong"/>
      </w:rPr>
      <w:t>5-year Productivity Inquiry: Whole-of-economy modelling</w:t>
    </w:r>
    <w:r w:rsidR="002D4A56">
      <w:t xml:space="preserve"> Inquiry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D7BAC" w14:textId="204E3896" w:rsidR="00D123A6" w:rsidRDefault="005C7A93">
    <w:pPr>
      <w:pStyle w:val="Header-KeylineRight"/>
    </w:pPr>
    <w:r>
      <w:t>Contents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473FE" w14:textId="5BC61FD8" w:rsidR="005C7A93" w:rsidRDefault="005C7A93">
    <w:pPr>
      <w:pStyle w:val="Header-KeylineRight"/>
    </w:pPr>
    <w:r>
      <w:t>Preface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1FDAB" w14:textId="33240CA6" w:rsidR="005C7A93" w:rsidRDefault="005C7A93">
    <w:pPr>
      <w:pStyle w:val="Header-KeylineRight"/>
    </w:pPr>
    <w:r>
      <w:t>Model structure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4C9E2" w14:textId="073D8786" w:rsidR="001A1A4C" w:rsidRDefault="008370E7">
    <w:pPr>
      <w:pStyle w:val="Header-KeylineRight"/>
    </w:pPr>
    <w:r>
      <w:t>Data sources and parameters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604CB" w14:textId="376FEE82" w:rsidR="004A4B2E" w:rsidRDefault="004A4B2E">
    <w:pPr>
      <w:pStyle w:val="Header-KeylineRight"/>
    </w:pPr>
    <w:r>
      <w:t>Simulations and output variables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5168952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8348D31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9D766E"/>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8294E6C"/>
    <w:multiLevelType w:val="singleLevel"/>
    <w:tmpl w:val="DE7E2246"/>
    <w:numStyleLink w:val="Figure"/>
  </w:abstractNum>
  <w:abstractNum w:abstractNumId="6"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F3E6C9D"/>
    <w:multiLevelType w:val="multilevel"/>
    <w:tmpl w:val="FF8069A4"/>
    <w:numStyleLink w:val="Bullets"/>
  </w:abstractNum>
  <w:abstractNum w:abstractNumId="9" w15:restartNumberingAfterBreak="0">
    <w:nsid w:val="10B516A3"/>
    <w:multiLevelType w:val="multilevel"/>
    <w:tmpl w:val="EE6A07A2"/>
    <w:numStyleLink w:val="ListHeadings"/>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9CB2ECD"/>
    <w:multiLevelType w:val="multilevel"/>
    <w:tmpl w:val="BBF4FED8"/>
    <w:lvl w:ilvl="0">
      <w:start w:val="6"/>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D665246"/>
    <w:multiLevelType w:val="multilevel"/>
    <w:tmpl w:val="55366B42"/>
    <w:numStyleLink w:val="LetteredList"/>
  </w:abstractNum>
  <w:abstractNum w:abstractNumId="15" w15:restartNumberingAfterBreak="0">
    <w:nsid w:val="2DFE29AF"/>
    <w:multiLevelType w:val="multilevel"/>
    <w:tmpl w:val="72768BCE"/>
    <w:numStyleLink w:val="AppendixHeadingList"/>
  </w:abstractNum>
  <w:abstractNum w:abstractNumId="16" w15:restartNumberingAfterBreak="0">
    <w:nsid w:val="38E55CCD"/>
    <w:multiLevelType w:val="hybridMultilevel"/>
    <w:tmpl w:val="E47C2560"/>
    <w:lvl w:ilvl="0" w:tplc="335CD1DA">
      <w:start w:val="1"/>
      <w:numFmt w:val="decimal"/>
      <w:lvlText w:val="%1."/>
      <w:lvlJc w:val="left"/>
      <w:pPr>
        <w:ind w:left="417" w:hanging="360"/>
      </w:pPr>
      <w:rPr>
        <w:rFonts w:hint="default"/>
        <w:color w:val="265A9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0B80DDA"/>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8"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9BD2AAB"/>
    <w:multiLevelType w:val="multilevel"/>
    <w:tmpl w:val="C046CFE2"/>
    <w:lvl w:ilvl="0">
      <w:start w:val="4"/>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6791AD6"/>
    <w:multiLevelType w:val="multilevel"/>
    <w:tmpl w:val="88D01B36"/>
    <w:lvl w:ilvl="0">
      <w:start w:val="7"/>
      <w:numFmt w:val="upperLetter"/>
      <w:isLgl/>
      <w:lvlText w:val="%1."/>
      <w:lvlJc w:val="left"/>
      <w:pPr>
        <w:ind w:left="1418" w:hanging="851"/>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96A0C8C"/>
    <w:multiLevelType w:val="multilevel"/>
    <w:tmpl w:val="1FA8DC2A"/>
    <w:numStyleLink w:val="Numbering"/>
  </w:abstractNum>
  <w:abstractNum w:abstractNumId="22" w15:restartNumberingAfterBreak="0">
    <w:nsid w:val="5A3C0025"/>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3"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4" w15:restartNumberingAfterBreak="0">
    <w:nsid w:val="6134636A"/>
    <w:multiLevelType w:val="multilevel"/>
    <w:tmpl w:val="1FA8DC2A"/>
    <w:numStyleLink w:val="Numbering"/>
  </w:abstractNum>
  <w:abstractNum w:abstractNumId="25" w15:restartNumberingAfterBreak="0">
    <w:nsid w:val="6F932C66"/>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61B4A1B"/>
    <w:multiLevelType w:val="multilevel"/>
    <w:tmpl w:val="4F48000A"/>
    <w:numStyleLink w:val="Alphalist"/>
  </w:abstractNum>
  <w:num w:numId="1" w16cid:durableId="1133059745">
    <w:abstractNumId w:val="10"/>
  </w:num>
  <w:num w:numId="2" w16cid:durableId="1250963285">
    <w:abstractNumId w:val="13"/>
  </w:num>
  <w:num w:numId="3" w16cid:durableId="1435400297">
    <w:abstractNumId w:val="23"/>
  </w:num>
  <w:num w:numId="4" w16cid:durableId="2078701068">
    <w:abstractNumId w:val="14"/>
  </w:num>
  <w:num w:numId="5" w16cid:durableId="1957785768">
    <w:abstractNumId w:val="26"/>
  </w:num>
  <w:num w:numId="6" w16cid:durableId="360864218">
    <w:abstractNumId w:val="0"/>
  </w:num>
  <w:num w:numId="7" w16cid:durableId="1804998074">
    <w:abstractNumId w:val="4"/>
  </w:num>
  <w:num w:numId="8" w16cid:durableId="435945962">
    <w:abstractNumId w:val="2"/>
  </w:num>
  <w:num w:numId="9" w16cid:durableId="1418743519">
    <w:abstractNumId w:val="1"/>
  </w:num>
  <w:num w:numId="10" w16cid:durableId="326178079">
    <w:abstractNumId w:val="16"/>
  </w:num>
  <w:num w:numId="11" w16cid:durableId="1188716740">
    <w:abstractNumId w:val="8"/>
  </w:num>
  <w:num w:numId="12" w16cid:durableId="1060397108">
    <w:abstractNumId w:val="25"/>
  </w:num>
  <w:num w:numId="13" w16cid:durableId="2008362316">
    <w:abstractNumId w:val="22"/>
  </w:num>
  <w:num w:numId="14" w16cid:durableId="1751154519">
    <w:abstractNumId w:val="17"/>
  </w:num>
  <w:num w:numId="15" w16cid:durableId="17246742">
    <w:abstractNumId w:val="3"/>
  </w:num>
  <w:num w:numId="16" w16cid:durableId="1392580249">
    <w:abstractNumId w:val="24"/>
  </w:num>
  <w:num w:numId="17" w16cid:durableId="174687298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7652885">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168596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1266271">
    <w:abstractNumId w:val="6"/>
  </w:num>
  <w:num w:numId="21" w16cid:durableId="927691683">
    <w:abstractNumId w:val="12"/>
  </w:num>
  <w:num w:numId="22" w16cid:durableId="85923842">
    <w:abstractNumId w:val="15"/>
  </w:num>
  <w:num w:numId="23" w16cid:durableId="19086856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100622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44619918">
    <w:abstractNumId w:val="9"/>
  </w:num>
  <w:num w:numId="26" w16cid:durableId="2108649602">
    <w:abstractNumId w:val="19"/>
  </w:num>
  <w:num w:numId="27" w16cid:durableId="2014533139">
    <w:abstractNumId w:val="11"/>
  </w:num>
  <w:num w:numId="28" w16cid:durableId="21025562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95608353">
    <w:abstractNumId w:val="20"/>
  </w:num>
  <w:num w:numId="30" w16cid:durableId="1726637131">
    <w:abstractNumId w:val="5"/>
  </w:num>
  <w:num w:numId="31" w16cid:durableId="897398887">
    <w:abstractNumId w:val="7"/>
  </w:num>
  <w:num w:numId="32" w16cid:durableId="523833441">
    <w:abstractNumId w:val="18"/>
  </w:num>
  <w:num w:numId="33" w16cid:durableId="1631206414">
    <w:abstractNumId w:val="8"/>
  </w:num>
  <w:num w:numId="34" w16cid:durableId="549074431">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33803477">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9CE"/>
    <w:rsid w:val="00000075"/>
    <w:rsid w:val="00000922"/>
    <w:rsid w:val="00000A4D"/>
    <w:rsid w:val="00000A78"/>
    <w:rsid w:val="00000C32"/>
    <w:rsid w:val="00000F35"/>
    <w:rsid w:val="00000F3C"/>
    <w:rsid w:val="0000114C"/>
    <w:rsid w:val="00001772"/>
    <w:rsid w:val="00001908"/>
    <w:rsid w:val="00001A56"/>
    <w:rsid w:val="00001D91"/>
    <w:rsid w:val="00001EC5"/>
    <w:rsid w:val="00001F4F"/>
    <w:rsid w:val="000022D1"/>
    <w:rsid w:val="0000234B"/>
    <w:rsid w:val="00002780"/>
    <w:rsid w:val="00002988"/>
    <w:rsid w:val="00002A43"/>
    <w:rsid w:val="00002BBF"/>
    <w:rsid w:val="00002C17"/>
    <w:rsid w:val="00002D3F"/>
    <w:rsid w:val="00002E5D"/>
    <w:rsid w:val="00002E67"/>
    <w:rsid w:val="0000313E"/>
    <w:rsid w:val="00003152"/>
    <w:rsid w:val="000033C5"/>
    <w:rsid w:val="000034CF"/>
    <w:rsid w:val="000034F5"/>
    <w:rsid w:val="000038FA"/>
    <w:rsid w:val="00003AA5"/>
    <w:rsid w:val="00003EF4"/>
    <w:rsid w:val="000041E3"/>
    <w:rsid w:val="000043C9"/>
    <w:rsid w:val="00004489"/>
    <w:rsid w:val="00004637"/>
    <w:rsid w:val="000048EC"/>
    <w:rsid w:val="0000497C"/>
    <w:rsid w:val="000049A6"/>
    <w:rsid w:val="000050C2"/>
    <w:rsid w:val="0000517F"/>
    <w:rsid w:val="000052BF"/>
    <w:rsid w:val="000052EA"/>
    <w:rsid w:val="0000535C"/>
    <w:rsid w:val="00005490"/>
    <w:rsid w:val="0000550D"/>
    <w:rsid w:val="0000559E"/>
    <w:rsid w:val="00005942"/>
    <w:rsid w:val="00005C79"/>
    <w:rsid w:val="00005F7B"/>
    <w:rsid w:val="00006322"/>
    <w:rsid w:val="000064DA"/>
    <w:rsid w:val="000067C0"/>
    <w:rsid w:val="00006962"/>
    <w:rsid w:val="00007319"/>
    <w:rsid w:val="000077FB"/>
    <w:rsid w:val="00007B22"/>
    <w:rsid w:val="00007D7D"/>
    <w:rsid w:val="00007DA2"/>
    <w:rsid w:val="00007DF0"/>
    <w:rsid w:val="00007EB8"/>
    <w:rsid w:val="000100B5"/>
    <w:rsid w:val="000104C6"/>
    <w:rsid w:val="0001053C"/>
    <w:rsid w:val="0001055A"/>
    <w:rsid w:val="000105BB"/>
    <w:rsid w:val="00010725"/>
    <w:rsid w:val="000108D1"/>
    <w:rsid w:val="00010B02"/>
    <w:rsid w:val="00010B80"/>
    <w:rsid w:val="00010FDF"/>
    <w:rsid w:val="00011375"/>
    <w:rsid w:val="00011477"/>
    <w:rsid w:val="0001189F"/>
    <w:rsid w:val="000118B7"/>
    <w:rsid w:val="000118F9"/>
    <w:rsid w:val="000119E0"/>
    <w:rsid w:val="00011BBF"/>
    <w:rsid w:val="00011CAB"/>
    <w:rsid w:val="00011CAC"/>
    <w:rsid w:val="00011DB7"/>
    <w:rsid w:val="000120DE"/>
    <w:rsid w:val="00012203"/>
    <w:rsid w:val="0001238B"/>
    <w:rsid w:val="000124C0"/>
    <w:rsid w:val="000125BB"/>
    <w:rsid w:val="00012834"/>
    <w:rsid w:val="00012A7C"/>
    <w:rsid w:val="00012AF2"/>
    <w:rsid w:val="0001302D"/>
    <w:rsid w:val="000131B5"/>
    <w:rsid w:val="00013291"/>
    <w:rsid w:val="000133B9"/>
    <w:rsid w:val="000137B8"/>
    <w:rsid w:val="00013872"/>
    <w:rsid w:val="000138F0"/>
    <w:rsid w:val="00013A17"/>
    <w:rsid w:val="00013A33"/>
    <w:rsid w:val="00013C7A"/>
    <w:rsid w:val="00013CF8"/>
    <w:rsid w:val="00013D8B"/>
    <w:rsid w:val="00013DD5"/>
    <w:rsid w:val="00013DD8"/>
    <w:rsid w:val="00014546"/>
    <w:rsid w:val="00014866"/>
    <w:rsid w:val="00014902"/>
    <w:rsid w:val="000149C9"/>
    <w:rsid w:val="00014A62"/>
    <w:rsid w:val="00014BA5"/>
    <w:rsid w:val="00014C90"/>
    <w:rsid w:val="00014D99"/>
    <w:rsid w:val="00014DF8"/>
    <w:rsid w:val="00014E57"/>
    <w:rsid w:val="00014F5D"/>
    <w:rsid w:val="0001557F"/>
    <w:rsid w:val="00015721"/>
    <w:rsid w:val="000159B4"/>
    <w:rsid w:val="000159EE"/>
    <w:rsid w:val="00015B69"/>
    <w:rsid w:val="00015CA4"/>
    <w:rsid w:val="00015DA8"/>
    <w:rsid w:val="0001643A"/>
    <w:rsid w:val="00016C8D"/>
    <w:rsid w:val="00016C99"/>
    <w:rsid w:val="00016D71"/>
    <w:rsid w:val="00017443"/>
    <w:rsid w:val="00017578"/>
    <w:rsid w:val="0001790C"/>
    <w:rsid w:val="00017933"/>
    <w:rsid w:val="00017BAB"/>
    <w:rsid w:val="00017D7D"/>
    <w:rsid w:val="000203A6"/>
    <w:rsid w:val="0002049C"/>
    <w:rsid w:val="0002052E"/>
    <w:rsid w:val="000205AE"/>
    <w:rsid w:val="00020B05"/>
    <w:rsid w:val="00020BE3"/>
    <w:rsid w:val="00020D17"/>
    <w:rsid w:val="00020D3F"/>
    <w:rsid w:val="00021241"/>
    <w:rsid w:val="000214A3"/>
    <w:rsid w:val="00021798"/>
    <w:rsid w:val="000219C5"/>
    <w:rsid w:val="00021C51"/>
    <w:rsid w:val="00021C66"/>
    <w:rsid w:val="00021CA7"/>
    <w:rsid w:val="00021CEF"/>
    <w:rsid w:val="00021D5B"/>
    <w:rsid w:val="00021E24"/>
    <w:rsid w:val="0002232A"/>
    <w:rsid w:val="000224EE"/>
    <w:rsid w:val="000225A0"/>
    <w:rsid w:val="000226F4"/>
    <w:rsid w:val="00022AE3"/>
    <w:rsid w:val="00022B5F"/>
    <w:rsid w:val="00022E40"/>
    <w:rsid w:val="00022F71"/>
    <w:rsid w:val="00023340"/>
    <w:rsid w:val="0002398C"/>
    <w:rsid w:val="00023A44"/>
    <w:rsid w:val="00023F21"/>
    <w:rsid w:val="0002445E"/>
    <w:rsid w:val="00024B35"/>
    <w:rsid w:val="00024BC4"/>
    <w:rsid w:val="0002539B"/>
    <w:rsid w:val="000253D1"/>
    <w:rsid w:val="0002568A"/>
    <w:rsid w:val="00025816"/>
    <w:rsid w:val="00025825"/>
    <w:rsid w:val="00025E23"/>
    <w:rsid w:val="00025F3A"/>
    <w:rsid w:val="0002604B"/>
    <w:rsid w:val="00026139"/>
    <w:rsid w:val="00026145"/>
    <w:rsid w:val="000265A7"/>
    <w:rsid w:val="00026605"/>
    <w:rsid w:val="0002661A"/>
    <w:rsid w:val="0002664F"/>
    <w:rsid w:val="000268D5"/>
    <w:rsid w:val="000269FD"/>
    <w:rsid w:val="00026C04"/>
    <w:rsid w:val="00026C19"/>
    <w:rsid w:val="00026CCF"/>
    <w:rsid w:val="00026E76"/>
    <w:rsid w:val="00026F2C"/>
    <w:rsid w:val="000277E1"/>
    <w:rsid w:val="00027E6C"/>
    <w:rsid w:val="00027ED2"/>
    <w:rsid w:val="0003008A"/>
    <w:rsid w:val="000300AF"/>
    <w:rsid w:val="000305E8"/>
    <w:rsid w:val="000307B6"/>
    <w:rsid w:val="0003080A"/>
    <w:rsid w:val="00030938"/>
    <w:rsid w:val="00030DD8"/>
    <w:rsid w:val="00031341"/>
    <w:rsid w:val="000314B2"/>
    <w:rsid w:val="00031740"/>
    <w:rsid w:val="00031781"/>
    <w:rsid w:val="00031830"/>
    <w:rsid w:val="00031D31"/>
    <w:rsid w:val="00031D49"/>
    <w:rsid w:val="00031DA0"/>
    <w:rsid w:val="00031E39"/>
    <w:rsid w:val="0003203D"/>
    <w:rsid w:val="000320B0"/>
    <w:rsid w:val="00032111"/>
    <w:rsid w:val="0003239B"/>
    <w:rsid w:val="00032661"/>
    <w:rsid w:val="000326EA"/>
    <w:rsid w:val="0003275C"/>
    <w:rsid w:val="000327F5"/>
    <w:rsid w:val="0003291B"/>
    <w:rsid w:val="00032935"/>
    <w:rsid w:val="00032AC0"/>
    <w:rsid w:val="00032B38"/>
    <w:rsid w:val="00032C0F"/>
    <w:rsid w:val="00032E0D"/>
    <w:rsid w:val="00032FDC"/>
    <w:rsid w:val="0003311F"/>
    <w:rsid w:val="000331E4"/>
    <w:rsid w:val="0003338D"/>
    <w:rsid w:val="00033619"/>
    <w:rsid w:val="00033931"/>
    <w:rsid w:val="000339C6"/>
    <w:rsid w:val="00033C9E"/>
    <w:rsid w:val="00033D46"/>
    <w:rsid w:val="00034099"/>
    <w:rsid w:val="00034151"/>
    <w:rsid w:val="00034196"/>
    <w:rsid w:val="000341B8"/>
    <w:rsid w:val="000342B9"/>
    <w:rsid w:val="00034323"/>
    <w:rsid w:val="0003463D"/>
    <w:rsid w:val="00034870"/>
    <w:rsid w:val="0003488A"/>
    <w:rsid w:val="0003488D"/>
    <w:rsid w:val="000348BC"/>
    <w:rsid w:val="00034AAC"/>
    <w:rsid w:val="00034B20"/>
    <w:rsid w:val="00035025"/>
    <w:rsid w:val="00035026"/>
    <w:rsid w:val="00035477"/>
    <w:rsid w:val="00035DD6"/>
    <w:rsid w:val="0003603E"/>
    <w:rsid w:val="00036043"/>
    <w:rsid w:val="00036074"/>
    <w:rsid w:val="0003647C"/>
    <w:rsid w:val="000364C5"/>
    <w:rsid w:val="0003677B"/>
    <w:rsid w:val="0003680D"/>
    <w:rsid w:val="000368C9"/>
    <w:rsid w:val="00036A6E"/>
    <w:rsid w:val="00036C32"/>
    <w:rsid w:val="00036CE4"/>
    <w:rsid w:val="00036D18"/>
    <w:rsid w:val="00036D7D"/>
    <w:rsid w:val="000370C3"/>
    <w:rsid w:val="00037143"/>
    <w:rsid w:val="00037291"/>
    <w:rsid w:val="00037A42"/>
    <w:rsid w:val="00037A88"/>
    <w:rsid w:val="00037AB7"/>
    <w:rsid w:val="000402A2"/>
    <w:rsid w:val="000402F3"/>
    <w:rsid w:val="0004045F"/>
    <w:rsid w:val="000405F6"/>
    <w:rsid w:val="00040772"/>
    <w:rsid w:val="000408B8"/>
    <w:rsid w:val="000409B7"/>
    <w:rsid w:val="00040A55"/>
    <w:rsid w:val="000415BE"/>
    <w:rsid w:val="000415EC"/>
    <w:rsid w:val="00041772"/>
    <w:rsid w:val="00041D66"/>
    <w:rsid w:val="00041F05"/>
    <w:rsid w:val="00041F8F"/>
    <w:rsid w:val="00042119"/>
    <w:rsid w:val="000423A6"/>
    <w:rsid w:val="000423C9"/>
    <w:rsid w:val="00042416"/>
    <w:rsid w:val="000426A2"/>
    <w:rsid w:val="00042CDA"/>
    <w:rsid w:val="00042E11"/>
    <w:rsid w:val="00042E1D"/>
    <w:rsid w:val="00043000"/>
    <w:rsid w:val="00043040"/>
    <w:rsid w:val="00043495"/>
    <w:rsid w:val="0004349D"/>
    <w:rsid w:val="0004377A"/>
    <w:rsid w:val="000437EF"/>
    <w:rsid w:val="00043B65"/>
    <w:rsid w:val="00043E62"/>
    <w:rsid w:val="00043F91"/>
    <w:rsid w:val="00044154"/>
    <w:rsid w:val="00044300"/>
    <w:rsid w:val="00044599"/>
    <w:rsid w:val="000446DA"/>
    <w:rsid w:val="00044784"/>
    <w:rsid w:val="00044BA2"/>
    <w:rsid w:val="00044D74"/>
    <w:rsid w:val="00045031"/>
    <w:rsid w:val="000450BB"/>
    <w:rsid w:val="00045505"/>
    <w:rsid w:val="00045926"/>
    <w:rsid w:val="00045AA7"/>
    <w:rsid w:val="00045F5D"/>
    <w:rsid w:val="00045FB8"/>
    <w:rsid w:val="000461FF"/>
    <w:rsid w:val="000463CB"/>
    <w:rsid w:val="000465C7"/>
    <w:rsid w:val="0004671E"/>
    <w:rsid w:val="0004678B"/>
    <w:rsid w:val="000469C9"/>
    <w:rsid w:val="00046A87"/>
    <w:rsid w:val="0004732D"/>
    <w:rsid w:val="0004739D"/>
    <w:rsid w:val="00047448"/>
    <w:rsid w:val="00047460"/>
    <w:rsid w:val="0004776B"/>
    <w:rsid w:val="00047894"/>
    <w:rsid w:val="00047AB5"/>
    <w:rsid w:val="00047C00"/>
    <w:rsid w:val="00047F56"/>
    <w:rsid w:val="000503BA"/>
    <w:rsid w:val="00050559"/>
    <w:rsid w:val="00050714"/>
    <w:rsid w:val="000508E0"/>
    <w:rsid w:val="00050AC9"/>
    <w:rsid w:val="00050B21"/>
    <w:rsid w:val="00050B41"/>
    <w:rsid w:val="00050C4B"/>
    <w:rsid w:val="00050DE3"/>
    <w:rsid w:val="00050E5A"/>
    <w:rsid w:val="00050F04"/>
    <w:rsid w:val="00050FD5"/>
    <w:rsid w:val="0005101A"/>
    <w:rsid w:val="0005119B"/>
    <w:rsid w:val="00051256"/>
    <w:rsid w:val="00051290"/>
    <w:rsid w:val="000513B8"/>
    <w:rsid w:val="0005151B"/>
    <w:rsid w:val="00051981"/>
    <w:rsid w:val="00051A37"/>
    <w:rsid w:val="00051B07"/>
    <w:rsid w:val="00051DCB"/>
    <w:rsid w:val="00051E52"/>
    <w:rsid w:val="00051E53"/>
    <w:rsid w:val="00052028"/>
    <w:rsid w:val="00052250"/>
    <w:rsid w:val="0005246F"/>
    <w:rsid w:val="00052559"/>
    <w:rsid w:val="00052657"/>
    <w:rsid w:val="00052A02"/>
    <w:rsid w:val="00052A7A"/>
    <w:rsid w:val="00052B57"/>
    <w:rsid w:val="00052DCA"/>
    <w:rsid w:val="00052EFC"/>
    <w:rsid w:val="00052FA1"/>
    <w:rsid w:val="00053045"/>
    <w:rsid w:val="00053097"/>
    <w:rsid w:val="0005311A"/>
    <w:rsid w:val="00053AF5"/>
    <w:rsid w:val="00053B9B"/>
    <w:rsid w:val="00053E5D"/>
    <w:rsid w:val="00053EAF"/>
    <w:rsid w:val="000540BD"/>
    <w:rsid w:val="00054138"/>
    <w:rsid w:val="0005459E"/>
    <w:rsid w:val="00054632"/>
    <w:rsid w:val="00054922"/>
    <w:rsid w:val="00054AF5"/>
    <w:rsid w:val="00054C6A"/>
    <w:rsid w:val="00054C95"/>
    <w:rsid w:val="00054CC6"/>
    <w:rsid w:val="00054E05"/>
    <w:rsid w:val="00054EB3"/>
    <w:rsid w:val="0005562B"/>
    <w:rsid w:val="00055908"/>
    <w:rsid w:val="00055DCF"/>
    <w:rsid w:val="00055DE2"/>
    <w:rsid w:val="000561CF"/>
    <w:rsid w:val="00056252"/>
    <w:rsid w:val="000562E2"/>
    <w:rsid w:val="000562E9"/>
    <w:rsid w:val="00056761"/>
    <w:rsid w:val="00056811"/>
    <w:rsid w:val="00056820"/>
    <w:rsid w:val="00056F8D"/>
    <w:rsid w:val="000570DD"/>
    <w:rsid w:val="00057258"/>
    <w:rsid w:val="0005749D"/>
    <w:rsid w:val="000574F1"/>
    <w:rsid w:val="000575EF"/>
    <w:rsid w:val="0005774F"/>
    <w:rsid w:val="00057783"/>
    <w:rsid w:val="00057AF8"/>
    <w:rsid w:val="00057C6A"/>
    <w:rsid w:val="00057E0F"/>
    <w:rsid w:val="00057F4F"/>
    <w:rsid w:val="000600E2"/>
    <w:rsid w:val="0006024B"/>
    <w:rsid w:val="00060265"/>
    <w:rsid w:val="00060302"/>
    <w:rsid w:val="0006041F"/>
    <w:rsid w:val="000607C2"/>
    <w:rsid w:val="00060936"/>
    <w:rsid w:val="00060B3D"/>
    <w:rsid w:val="00060ECB"/>
    <w:rsid w:val="00060F0B"/>
    <w:rsid w:val="00061142"/>
    <w:rsid w:val="000612F2"/>
    <w:rsid w:val="00061399"/>
    <w:rsid w:val="000614FF"/>
    <w:rsid w:val="00061631"/>
    <w:rsid w:val="000618C6"/>
    <w:rsid w:val="00061E80"/>
    <w:rsid w:val="00061EA2"/>
    <w:rsid w:val="0006207D"/>
    <w:rsid w:val="000620F4"/>
    <w:rsid w:val="00062110"/>
    <w:rsid w:val="000622AC"/>
    <w:rsid w:val="0006267D"/>
    <w:rsid w:val="00062A44"/>
    <w:rsid w:val="00062ADF"/>
    <w:rsid w:val="00062C60"/>
    <w:rsid w:val="00062F34"/>
    <w:rsid w:val="0006317E"/>
    <w:rsid w:val="0006318F"/>
    <w:rsid w:val="000633FC"/>
    <w:rsid w:val="00063415"/>
    <w:rsid w:val="00063464"/>
    <w:rsid w:val="000636A4"/>
    <w:rsid w:val="0006371D"/>
    <w:rsid w:val="00063A42"/>
    <w:rsid w:val="00063D7A"/>
    <w:rsid w:val="00063E32"/>
    <w:rsid w:val="00063F83"/>
    <w:rsid w:val="000640E9"/>
    <w:rsid w:val="00064502"/>
    <w:rsid w:val="00064561"/>
    <w:rsid w:val="000645D4"/>
    <w:rsid w:val="0006475C"/>
    <w:rsid w:val="00064826"/>
    <w:rsid w:val="00064B33"/>
    <w:rsid w:val="00064CAF"/>
    <w:rsid w:val="000651C2"/>
    <w:rsid w:val="00065571"/>
    <w:rsid w:val="00065661"/>
    <w:rsid w:val="00065A35"/>
    <w:rsid w:val="00065B84"/>
    <w:rsid w:val="00065E5E"/>
    <w:rsid w:val="00065F00"/>
    <w:rsid w:val="000661E8"/>
    <w:rsid w:val="00066288"/>
    <w:rsid w:val="0006632A"/>
    <w:rsid w:val="000663FC"/>
    <w:rsid w:val="00066610"/>
    <w:rsid w:val="00066C3D"/>
    <w:rsid w:val="00066D90"/>
    <w:rsid w:val="000677AE"/>
    <w:rsid w:val="000677CE"/>
    <w:rsid w:val="00067B6B"/>
    <w:rsid w:val="00067C9D"/>
    <w:rsid w:val="00067CAD"/>
    <w:rsid w:val="00067F17"/>
    <w:rsid w:val="0007008B"/>
    <w:rsid w:val="00070175"/>
    <w:rsid w:val="0007048A"/>
    <w:rsid w:val="00070EBF"/>
    <w:rsid w:val="00070EF8"/>
    <w:rsid w:val="00070F04"/>
    <w:rsid w:val="00071012"/>
    <w:rsid w:val="00071164"/>
    <w:rsid w:val="00071B36"/>
    <w:rsid w:val="00072014"/>
    <w:rsid w:val="00072252"/>
    <w:rsid w:val="0007233B"/>
    <w:rsid w:val="00072416"/>
    <w:rsid w:val="000724AE"/>
    <w:rsid w:val="0007254B"/>
    <w:rsid w:val="00072738"/>
    <w:rsid w:val="000727B4"/>
    <w:rsid w:val="00072A05"/>
    <w:rsid w:val="00072E2E"/>
    <w:rsid w:val="00072EAD"/>
    <w:rsid w:val="0007311A"/>
    <w:rsid w:val="00073130"/>
    <w:rsid w:val="00073B90"/>
    <w:rsid w:val="00073D18"/>
    <w:rsid w:val="00073D4A"/>
    <w:rsid w:val="00073ECE"/>
    <w:rsid w:val="0007421D"/>
    <w:rsid w:val="000746C6"/>
    <w:rsid w:val="0007478E"/>
    <w:rsid w:val="00074913"/>
    <w:rsid w:val="000749F8"/>
    <w:rsid w:val="0007519D"/>
    <w:rsid w:val="000751B5"/>
    <w:rsid w:val="00075708"/>
    <w:rsid w:val="000757E9"/>
    <w:rsid w:val="000758E8"/>
    <w:rsid w:val="000758F0"/>
    <w:rsid w:val="00075949"/>
    <w:rsid w:val="00075BF1"/>
    <w:rsid w:val="00075CF9"/>
    <w:rsid w:val="00075DC4"/>
    <w:rsid w:val="0007656E"/>
    <w:rsid w:val="00076698"/>
    <w:rsid w:val="0007671B"/>
    <w:rsid w:val="00076742"/>
    <w:rsid w:val="00076998"/>
    <w:rsid w:val="00076A0B"/>
    <w:rsid w:val="00076A87"/>
    <w:rsid w:val="000770F9"/>
    <w:rsid w:val="00077397"/>
    <w:rsid w:val="000774D6"/>
    <w:rsid w:val="000776BD"/>
    <w:rsid w:val="0007776A"/>
    <w:rsid w:val="000777A7"/>
    <w:rsid w:val="00077946"/>
    <w:rsid w:val="00077A4E"/>
    <w:rsid w:val="00077A56"/>
    <w:rsid w:val="00077A76"/>
    <w:rsid w:val="00077AD8"/>
    <w:rsid w:val="00077E61"/>
    <w:rsid w:val="000802B7"/>
    <w:rsid w:val="0008037D"/>
    <w:rsid w:val="0008038F"/>
    <w:rsid w:val="00080447"/>
    <w:rsid w:val="00080538"/>
    <w:rsid w:val="00080671"/>
    <w:rsid w:val="0008079B"/>
    <w:rsid w:val="0008100C"/>
    <w:rsid w:val="000811EC"/>
    <w:rsid w:val="0008130D"/>
    <w:rsid w:val="000813CA"/>
    <w:rsid w:val="0008190B"/>
    <w:rsid w:val="000819AA"/>
    <w:rsid w:val="00081BA0"/>
    <w:rsid w:val="00081C4B"/>
    <w:rsid w:val="00081CA5"/>
    <w:rsid w:val="00081F04"/>
    <w:rsid w:val="00082253"/>
    <w:rsid w:val="00082275"/>
    <w:rsid w:val="000824F4"/>
    <w:rsid w:val="00082598"/>
    <w:rsid w:val="00082911"/>
    <w:rsid w:val="00082E2A"/>
    <w:rsid w:val="000830F3"/>
    <w:rsid w:val="00083408"/>
    <w:rsid w:val="0008352A"/>
    <w:rsid w:val="00083A5C"/>
    <w:rsid w:val="000840D0"/>
    <w:rsid w:val="00084246"/>
    <w:rsid w:val="00084660"/>
    <w:rsid w:val="000847BF"/>
    <w:rsid w:val="00084A1C"/>
    <w:rsid w:val="00084C9E"/>
    <w:rsid w:val="0008502A"/>
    <w:rsid w:val="00085258"/>
    <w:rsid w:val="00085263"/>
    <w:rsid w:val="0008545E"/>
    <w:rsid w:val="0008571F"/>
    <w:rsid w:val="000858EB"/>
    <w:rsid w:val="00085B77"/>
    <w:rsid w:val="00085BE8"/>
    <w:rsid w:val="00085D59"/>
    <w:rsid w:val="00085DA7"/>
    <w:rsid w:val="00085FB9"/>
    <w:rsid w:val="00086029"/>
    <w:rsid w:val="0008606E"/>
    <w:rsid w:val="000860ED"/>
    <w:rsid w:val="0008647E"/>
    <w:rsid w:val="0008665A"/>
    <w:rsid w:val="00086700"/>
    <w:rsid w:val="000867DC"/>
    <w:rsid w:val="0008693D"/>
    <w:rsid w:val="00086BCE"/>
    <w:rsid w:val="000871AA"/>
    <w:rsid w:val="0008770D"/>
    <w:rsid w:val="0008786D"/>
    <w:rsid w:val="00087921"/>
    <w:rsid w:val="00087BDC"/>
    <w:rsid w:val="00087FFC"/>
    <w:rsid w:val="00090408"/>
    <w:rsid w:val="00090491"/>
    <w:rsid w:val="000904B4"/>
    <w:rsid w:val="00090999"/>
    <w:rsid w:val="00090C63"/>
    <w:rsid w:val="00090EDD"/>
    <w:rsid w:val="00090F88"/>
    <w:rsid w:val="00090FA1"/>
    <w:rsid w:val="00091286"/>
    <w:rsid w:val="00091305"/>
    <w:rsid w:val="00091493"/>
    <w:rsid w:val="00091666"/>
    <w:rsid w:val="00091848"/>
    <w:rsid w:val="0009187D"/>
    <w:rsid w:val="00091B66"/>
    <w:rsid w:val="00091B72"/>
    <w:rsid w:val="00091C86"/>
    <w:rsid w:val="00091E12"/>
    <w:rsid w:val="000920F9"/>
    <w:rsid w:val="0009227E"/>
    <w:rsid w:val="000922EC"/>
    <w:rsid w:val="00092338"/>
    <w:rsid w:val="0009273D"/>
    <w:rsid w:val="00092D64"/>
    <w:rsid w:val="000930D3"/>
    <w:rsid w:val="000932C3"/>
    <w:rsid w:val="0009330C"/>
    <w:rsid w:val="000933AA"/>
    <w:rsid w:val="0009360C"/>
    <w:rsid w:val="00093E47"/>
    <w:rsid w:val="00094234"/>
    <w:rsid w:val="000942E2"/>
    <w:rsid w:val="0009434E"/>
    <w:rsid w:val="00094810"/>
    <w:rsid w:val="000949DC"/>
    <w:rsid w:val="00094A79"/>
    <w:rsid w:val="00094B48"/>
    <w:rsid w:val="00094BC6"/>
    <w:rsid w:val="00094CD8"/>
    <w:rsid w:val="00094CF6"/>
    <w:rsid w:val="00094D2B"/>
    <w:rsid w:val="00094E67"/>
    <w:rsid w:val="0009535E"/>
    <w:rsid w:val="0009553D"/>
    <w:rsid w:val="00095920"/>
    <w:rsid w:val="00095B91"/>
    <w:rsid w:val="00095BEB"/>
    <w:rsid w:val="00095C09"/>
    <w:rsid w:val="0009600F"/>
    <w:rsid w:val="00096160"/>
    <w:rsid w:val="00096173"/>
    <w:rsid w:val="0009663A"/>
    <w:rsid w:val="0009671B"/>
    <w:rsid w:val="00096757"/>
    <w:rsid w:val="00096A14"/>
    <w:rsid w:val="00096BE9"/>
    <w:rsid w:val="00096FD1"/>
    <w:rsid w:val="000971AD"/>
    <w:rsid w:val="000973A6"/>
    <w:rsid w:val="00097703"/>
    <w:rsid w:val="00097714"/>
    <w:rsid w:val="000978F9"/>
    <w:rsid w:val="00097D62"/>
    <w:rsid w:val="00097E70"/>
    <w:rsid w:val="000A0075"/>
    <w:rsid w:val="000A0116"/>
    <w:rsid w:val="000A01F8"/>
    <w:rsid w:val="000A023F"/>
    <w:rsid w:val="000A024D"/>
    <w:rsid w:val="000A0793"/>
    <w:rsid w:val="000A08C6"/>
    <w:rsid w:val="000A0D7D"/>
    <w:rsid w:val="000A0F08"/>
    <w:rsid w:val="000A1170"/>
    <w:rsid w:val="000A12A8"/>
    <w:rsid w:val="000A15CA"/>
    <w:rsid w:val="000A17AA"/>
    <w:rsid w:val="000A1AF5"/>
    <w:rsid w:val="000A1B4D"/>
    <w:rsid w:val="000A20F1"/>
    <w:rsid w:val="000A2762"/>
    <w:rsid w:val="000A2776"/>
    <w:rsid w:val="000A2AC4"/>
    <w:rsid w:val="000A2C72"/>
    <w:rsid w:val="000A2C89"/>
    <w:rsid w:val="000A34D6"/>
    <w:rsid w:val="000A35A6"/>
    <w:rsid w:val="000A3711"/>
    <w:rsid w:val="000A38AA"/>
    <w:rsid w:val="000A393C"/>
    <w:rsid w:val="000A3998"/>
    <w:rsid w:val="000A39A5"/>
    <w:rsid w:val="000A3ADC"/>
    <w:rsid w:val="000A3B61"/>
    <w:rsid w:val="000A4574"/>
    <w:rsid w:val="000A458E"/>
    <w:rsid w:val="000A46D8"/>
    <w:rsid w:val="000A4E6F"/>
    <w:rsid w:val="000A5317"/>
    <w:rsid w:val="000A56B9"/>
    <w:rsid w:val="000A5730"/>
    <w:rsid w:val="000A5884"/>
    <w:rsid w:val="000A58A0"/>
    <w:rsid w:val="000A5A11"/>
    <w:rsid w:val="000A5B95"/>
    <w:rsid w:val="000A5DBC"/>
    <w:rsid w:val="000A5EB7"/>
    <w:rsid w:val="000A5FCB"/>
    <w:rsid w:val="000A62AB"/>
    <w:rsid w:val="000A63D9"/>
    <w:rsid w:val="000A641E"/>
    <w:rsid w:val="000A660F"/>
    <w:rsid w:val="000A678C"/>
    <w:rsid w:val="000A6DC8"/>
    <w:rsid w:val="000A6F82"/>
    <w:rsid w:val="000A7133"/>
    <w:rsid w:val="000A7244"/>
    <w:rsid w:val="000A725E"/>
    <w:rsid w:val="000A765A"/>
    <w:rsid w:val="000A76FC"/>
    <w:rsid w:val="000A7CC6"/>
    <w:rsid w:val="000A7DA3"/>
    <w:rsid w:val="000A7EC3"/>
    <w:rsid w:val="000B00AA"/>
    <w:rsid w:val="000B0458"/>
    <w:rsid w:val="000B073D"/>
    <w:rsid w:val="000B07A3"/>
    <w:rsid w:val="000B08D4"/>
    <w:rsid w:val="000B099C"/>
    <w:rsid w:val="000B0A2E"/>
    <w:rsid w:val="000B0C47"/>
    <w:rsid w:val="000B0CB0"/>
    <w:rsid w:val="000B0D25"/>
    <w:rsid w:val="000B0D80"/>
    <w:rsid w:val="000B0E6D"/>
    <w:rsid w:val="000B0E79"/>
    <w:rsid w:val="000B0EB9"/>
    <w:rsid w:val="000B0F9E"/>
    <w:rsid w:val="000B123A"/>
    <w:rsid w:val="000B14A9"/>
    <w:rsid w:val="000B1673"/>
    <w:rsid w:val="000B19E9"/>
    <w:rsid w:val="000B1BB1"/>
    <w:rsid w:val="000B2317"/>
    <w:rsid w:val="000B23CE"/>
    <w:rsid w:val="000B251B"/>
    <w:rsid w:val="000B28C2"/>
    <w:rsid w:val="000B28F3"/>
    <w:rsid w:val="000B29E7"/>
    <w:rsid w:val="000B29EC"/>
    <w:rsid w:val="000B2AD6"/>
    <w:rsid w:val="000B2B2C"/>
    <w:rsid w:val="000B2F6E"/>
    <w:rsid w:val="000B3296"/>
    <w:rsid w:val="000B3546"/>
    <w:rsid w:val="000B3551"/>
    <w:rsid w:val="000B3794"/>
    <w:rsid w:val="000B41AB"/>
    <w:rsid w:val="000B429F"/>
    <w:rsid w:val="000B42F8"/>
    <w:rsid w:val="000B4405"/>
    <w:rsid w:val="000B4446"/>
    <w:rsid w:val="000B44A4"/>
    <w:rsid w:val="000B481C"/>
    <w:rsid w:val="000B497F"/>
    <w:rsid w:val="000B49CD"/>
    <w:rsid w:val="000B4A72"/>
    <w:rsid w:val="000B4AEC"/>
    <w:rsid w:val="000B5105"/>
    <w:rsid w:val="000B525F"/>
    <w:rsid w:val="000B5885"/>
    <w:rsid w:val="000B594F"/>
    <w:rsid w:val="000B5A72"/>
    <w:rsid w:val="000B5C64"/>
    <w:rsid w:val="000B5CCD"/>
    <w:rsid w:val="000B60D5"/>
    <w:rsid w:val="000B614A"/>
    <w:rsid w:val="000B61A7"/>
    <w:rsid w:val="000B646C"/>
    <w:rsid w:val="000B69AF"/>
    <w:rsid w:val="000B6B45"/>
    <w:rsid w:val="000B6D6F"/>
    <w:rsid w:val="000B6E7A"/>
    <w:rsid w:val="000B6F90"/>
    <w:rsid w:val="000B74F5"/>
    <w:rsid w:val="000B752E"/>
    <w:rsid w:val="000B7667"/>
    <w:rsid w:val="000B7C97"/>
    <w:rsid w:val="000B7D4B"/>
    <w:rsid w:val="000B7D64"/>
    <w:rsid w:val="000B7F1D"/>
    <w:rsid w:val="000C01A5"/>
    <w:rsid w:val="000C0233"/>
    <w:rsid w:val="000C090B"/>
    <w:rsid w:val="000C0A0C"/>
    <w:rsid w:val="000C10A2"/>
    <w:rsid w:val="000C10AE"/>
    <w:rsid w:val="000C12CA"/>
    <w:rsid w:val="000C16D1"/>
    <w:rsid w:val="000C179B"/>
    <w:rsid w:val="000C1B7D"/>
    <w:rsid w:val="000C1CD9"/>
    <w:rsid w:val="000C1F9E"/>
    <w:rsid w:val="000C2117"/>
    <w:rsid w:val="000C2505"/>
    <w:rsid w:val="000C259C"/>
    <w:rsid w:val="000C26D2"/>
    <w:rsid w:val="000C293D"/>
    <w:rsid w:val="000C2A2C"/>
    <w:rsid w:val="000C3098"/>
    <w:rsid w:val="000C322C"/>
    <w:rsid w:val="000C33FA"/>
    <w:rsid w:val="000C3429"/>
    <w:rsid w:val="000C3468"/>
    <w:rsid w:val="000C3534"/>
    <w:rsid w:val="000C36AC"/>
    <w:rsid w:val="000C36D5"/>
    <w:rsid w:val="000C3811"/>
    <w:rsid w:val="000C3BA3"/>
    <w:rsid w:val="000C4218"/>
    <w:rsid w:val="000C42EE"/>
    <w:rsid w:val="000C43CC"/>
    <w:rsid w:val="000C43D2"/>
    <w:rsid w:val="000C445C"/>
    <w:rsid w:val="000C460C"/>
    <w:rsid w:val="000C4674"/>
    <w:rsid w:val="000C4A3B"/>
    <w:rsid w:val="000C4A86"/>
    <w:rsid w:val="000C4AE2"/>
    <w:rsid w:val="000C57BB"/>
    <w:rsid w:val="000C57C5"/>
    <w:rsid w:val="000C59FA"/>
    <w:rsid w:val="000C5BC0"/>
    <w:rsid w:val="000C5DAA"/>
    <w:rsid w:val="000C5DCB"/>
    <w:rsid w:val="000C5E44"/>
    <w:rsid w:val="000C6039"/>
    <w:rsid w:val="000C605F"/>
    <w:rsid w:val="000C6084"/>
    <w:rsid w:val="000C60C8"/>
    <w:rsid w:val="000C60E7"/>
    <w:rsid w:val="000C6233"/>
    <w:rsid w:val="000C651C"/>
    <w:rsid w:val="000C66A9"/>
    <w:rsid w:val="000C690E"/>
    <w:rsid w:val="000C6946"/>
    <w:rsid w:val="000C6A38"/>
    <w:rsid w:val="000C6A77"/>
    <w:rsid w:val="000C6B77"/>
    <w:rsid w:val="000C6F60"/>
    <w:rsid w:val="000C73B7"/>
    <w:rsid w:val="000C7520"/>
    <w:rsid w:val="000C7697"/>
    <w:rsid w:val="000C7711"/>
    <w:rsid w:val="000C7BA5"/>
    <w:rsid w:val="000C7CA3"/>
    <w:rsid w:val="000C7E18"/>
    <w:rsid w:val="000C7F4A"/>
    <w:rsid w:val="000D033F"/>
    <w:rsid w:val="000D03D8"/>
    <w:rsid w:val="000D0407"/>
    <w:rsid w:val="000D0A61"/>
    <w:rsid w:val="000D0C16"/>
    <w:rsid w:val="000D0C3B"/>
    <w:rsid w:val="000D0EAA"/>
    <w:rsid w:val="000D0EE0"/>
    <w:rsid w:val="000D1004"/>
    <w:rsid w:val="000D1549"/>
    <w:rsid w:val="000D168B"/>
    <w:rsid w:val="000D1721"/>
    <w:rsid w:val="000D173F"/>
    <w:rsid w:val="000D1A9A"/>
    <w:rsid w:val="000D1C36"/>
    <w:rsid w:val="000D1D09"/>
    <w:rsid w:val="000D1D2C"/>
    <w:rsid w:val="000D1DB8"/>
    <w:rsid w:val="000D2315"/>
    <w:rsid w:val="000D23A8"/>
    <w:rsid w:val="000D26C7"/>
    <w:rsid w:val="000D26CD"/>
    <w:rsid w:val="000D2799"/>
    <w:rsid w:val="000D2B63"/>
    <w:rsid w:val="000D2C08"/>
    <w:rsid w:val="000D2C1D"/>
    <w:rsid w:val="000D2F20"/>
    <w:rsid w:val="000D2FCF"/>
    <w:rsid w:val="000D32C3"/>
    <w:rsid w:val="000D3528"/>
    <w:rsid w:val="000D356D"/>
    <w:rsid w:val="000D3C5D"/>
    <w:rsid w:val="000D3E90"/>
    <w:rsid w:val="000D412B"/>
    <w:rsid w:val="000D4194"/>
    <w:rsid w:val="000D4226"/>
    <w:rsid w:val="000D4772"/>
    <w:rsid w:val="000D4AA5"/>
    <w:rsid w:val="000D4B52"/>
    <w:rsid w:val="000D4DFD"/>
    <w:rsid w:val="000D5249"/>
    <w:rsid w:val="000D5285"/>
    <w:rsid w:val="000D528F"/>
    <w:rsid w:val="000D564B"/>
    <w:rsid w:val="000D56B3"/>
    <w:rsid w:val="000D58BB"/>
    <w:rsid w:val="000D5CE6"/>
    <w:rsid w:val="000D610F"/>
    <w:rsid w:val="000D62F8"/>
    <w:rsid w:val="000D6659"/>
    <w:rsid w:val="000D6931"/>
    <w:rsid w:val="000D6B9A"/>
    <w:rsid w:val="000D6F14"/>
    <w:rsid w:val="000D70E6"/>
    <w:rsid w:val="000D72E6"/>
    <w:rsid w:val="000D739A"/>
    <w:rsid w:val="000D74DE"/>
    <w:rsid w:val="000D7661"/>
    <w:rsid w:val="000D7845"/>
    <w:rsid w:val="000D787C"/>
    <w:rsid w:val="000D7944"/>
    <w:rsid w:val="000D79A4"/>
    <w:rsid w:val="000D7AD4"/>
    <w:rsid w:val="000D7DBC"/>
    <w:rsid w:val="000D7E4C"/>
    <w:rsid w:val="000E022C"/>
    <w:rsid w:val="000E0899"/>
    <w:rsid w:val="000E0938"/>
    <w:rsid w:val="000E0A61"/>
    <w:rsid w:val="000E0D94"/>
    <w:rsid w:val="000E0F32"/>
    <w:rsid w:val="000E0F3D"/>
    <w:rsid w:val="000E0F3E"/>
    <w:rsid w:val="000E10C5"/>
    <w:rsid w:val="000E1276"/>
    <w:rsid w:val="000E13AD"/>
    <w:rsid w:val="000E14E4"/>
    <w:rsid w:val="000E186F"/>
    <w:rsid w:val="000E1DC4"/>
    <w:rsid w:val="000E22C8"/>
    <w:rsid w:val="000E2572"/>
    <w:rsid w:val="000E25F0"/>
    <w:rsid w:val="000E2981"/>
    <w:rsid w:val="000E2A10"/>
    <w:rsid w:val="000E2D3E"/>
    <w:rsid w:val="000E2F77"/>
    <w:rsid w:val="000E3004"/>
    <w:rsid w:val="000E3361"/>
    <w:rsid w:val="000E3B9D"/>
    <w:rsid w:val="000E3CB4"/>
    <w:rsid w:val="000E3CC9"/>
    <w:rsid w:val="000E3D32"/>
    <w:rsid w:val="000E42DB"/>
    <w:rsid w:val="000E43B0"/>
    <w:rsid w:val="000E44DE"/>
    <w:rsid w:val="000E469A"/>
    <w:rsid w:val="000E4871"/>
    <w:rsid w:val="000E4B05"/>
    <w:rsid w:val="000E4E75"/>
    <w:rsid w:val="000E511C"/>
    <w:rsid w:val="000E5270"/>
    <w:rsid w:val="000E52FE"/>
    <w:rsid w:val="000E532A"/>
    <w:rsid w:val="000E534F"/>
    <w:rsid w:val="000E5483"/>
    <w:rsid w:val="000E54D0"/>
    <w:rsid w:val="000E5533"/>
    <w:rsid w:val="000E55B9"/>
    <w:rsid w:val="000E573C"/>
    <w:rsid w:val="000E593C"/>
    <w:rsid w:val="000E5D7B"/>
    <w:rsid w:val="000E61CF"/>
    <w:rsid w:val="000E6499"/>
    <w:rsid w:val="000E6642"/>
    <w:rsid w:val="000E691D"/>
    <w:rsid w:val="000E6945"/>
    <w:rsid w:val="000E6D53"/>
    <w:rsid w:val="000E6E05"/>
    <w:rsid w:val="000E6E49"/>
    <w:rsid w:val="000E72A8"/>
    <w:rsid w:val="000E72E4"/>
    <w:rsid w:val="000E77C0"/>
    <w:rsid w:val="000E7D8A"/>
    <w:rsid w:val="000F0034"/>
    <w:rsid w:val="000F02F4"/>
    <w:rsid w:val="000F0308"/>
    <w:rsid w:val="000F037C"/>
    <w:rsid w:val="000F04D8"/>
    <w:rsid w:val="000F0749"/>
    <w:rsid w:val="000F0753"/>
    <w:rsid w:val="000F11B9"/>
    <w:rsid w:val="000F1565"/>
    <w:rsid w:val="000F1624"/>
    <w:rsid w:val="000F1638"/>
    <w:rsid w:val="000F173F"/>
    <w:rsid w:val="000F194B"/>
    <w:rsid w:val="000F1A01"/>
    <w:rsid w:val="000F1D95"/>
    <w:rsid w:val="000F1F4B"/>
    <w:rsid w:val="000F2127"/>
    <w:rsid w:val="000F23E5"/>
    <w:rsid w:val="000F281E"/>
    <w:rsid w:val="000F29CB"/>
    <w:rsid w:val="000F2B99"/>
    <w:rsid w:val="000F3348"/>
    <w:rsid w:val="000F3364"/>
    <w:rsid w:val="000F39CA"/>
    <w:rsid w:val="000F411D"/>
    <w:rsid w:val="000F4217"/>
    <w:rsid w:val="000F4488"/>
    <w:rsid w:val="000F478F"/>
    <w:rsid w:val="000F48D3"/>
    <w:rsid w:val="000F4F6D"/>
    <w:rsid w:val="000F50F8"/>
    <w:rsid w:val="000F53E2"/>
    <w:rsid w:val="000F5714"/>
    <w:rsid w:val="000F5B13"/>
    <w:rsid w:val="000F5B9A"/>
    <w:rsid w:val="000F604E"/>
    <w:rsid w:val="000F60FF"/>
    <w:rsid w:val="000F6475"/>
    <w:rsid w:val="000F66D7"/>
    <w:rsid w:val="000F693A"/>
    <w:rsid w:val="000F69B9"/>
    <w:rsid w:val="000F6DA5"/>
    <w:rsid w:val="000F705E"/>
    <w:rsid w:val="000F72F2"/>
    <w:rsid w:val="000F73D3"/>
    <w:rsid w:val="000F7422"/>
    <w:rsid w:val="000F7571"/>
    <w:rsid w:val="000F7F82"/>
    <w:rsid w:val="0010012B"/>
    <w:rsid w:val="001002D7"/>
    <w:rsid w:val="001003C9"/>
    <w:rsid w:val="001006DB"/>
    <w:rsid w:val="001006E6"/>
    <w:rsid w:val="00100809"/>
    <w:rsid w:val="001008F1"/>
    <w:rsid w:val="00100C2A"/>
    <w:rsid w:val="00100D89"/>
    <w:rsid w:val="00100FAB"/>
    <w:rsid w:val="001015E5"/>
    <w:rsid w:val="00101714"/>
    <w:rsid w:val="00101809"/>
    <w:rsid w:val="001019D6"/>
    <w:rsid w:val="001019DE"/>
    <w:rsid w:val="00101A33"/>
    <w:rsid w:val="00101D06"/>
    <w:rsid w:val="00101F62"/>
    <w:rsid w:val="00102017"/>
    <w:rsid w:val="0010228B"/>
    <w:rsid w:val="0010267B"/>
    <w:rsid w:val="001026D7"/>
    <w:rsid w:val="00102730"/>
    <w:rsid w:val="001027AD"/>
    <w:rsid w:val="00102AF7"/>
    <w:rsid w:val="00102CE5"/>
    <w:rsid w:val="00102D0D"/>
    <w:rsid w:val="00102D77"/>
    <w:rsid w:val="00102FE2"/>
    <w:rsid w:val="00103016"/>
    <w:rsid w:val="001031DD"/>
    <w:rsid w:val="00103276"/>
    <w:rsid w:val="001032F5"/>
    <w:rsid w:val="00103680"/>
    <w:rsid w:val="0010379E"/>
    <w:rsid w:val="00103B7C"/>
    <w:rsid w:val="00103CF3"/>
    <w:rsid w:val="00103DCC"/>
    <w:rsid w:val="00103EDC"/>
    <w:rsid w:val="00103F64"/>
    <w:rsid w:val="00104295"/>
    <w:rsid w:val="001044DB"/>
    <w:rsid w:val="0010460A"/>
    <w:rsid w:val="001048AE"/>
    <w:rsid w:val="001049AC"/>
    <w:rsid w:val="0010512C"/>
    <w:rsid w:val="001051FF"/>
    <w:rsid w:val="001053E4"/>
    <w:rsid w:val="00105A21"/>
    <w:rsid w:val="00105ACB"/>
    <w:rsid w:val="00105E2E"/>
    <w:rsid w:val="00105E8F"/>
    <w:rsid w:val="001060E9"/>
    <w:rsid w:val="00106167"/>
    <w:rsid w:val="0010619E"/>
    <w:rsid w:val="001062AC"/>
    <w:rsid w:val="00106A01"/>
    <w:rsid w:val="00107105"/>
    <w:rsid w:val="0010728B"/>
    <w:rsid w:val="00107300"/>
    <w:rsid w:val="0010735B"/>
    <w:rsid w:val="001074FC"/>
    <w:rsid w:val="00107594"/>
    <w:rsid w:val="001075BE"/>
    <w:rsid w:val="00107691"/>
    <w:rsid w:val="001076A2"/>
    <w:rsid w:val="00107B0F"/>
    <w:rsid w:val="00107E13"/>
    <w:rsid w:val="00107E39"/>
    <w:rsid w:val="00107E55"/>
    <w:rsid w:val="00107E8E"/>
    <w:rsid w:val="0011026B"/>
    <w:rsid w:val="001103E0"/>
    <w:rsid w:val="0011052C"/>
    <w:rsid w:val="00110B32"/>
    <w:rsid w:val="00110B51"/>
    <w:rsid w:val="00110CD8"/>
    <w:rsid w:val="00110E36"/>
    <w:rsid w:val="00111069"/>
    <w:rsid w:val="00111273"/>
    <w:rsid w:val="001113A4"/>
    <w:rsid w:val="001116B3"/>
    <w:rsid w:val="001116E9"/>
    <w:rsid w:val="00111A99"/>
    <w:rsid w:val="00111B44"/>
    <w:rsid w:val="00111C3B"/>
    <w:rsid w:val="00111D22"/>
    <w:rsid w:val="00111EFB"/>
    <w:rsid w:val="00111F12"/>
    <w:rsid w:val="00111F8F"/>
    <w:rsid w:val="00111FA1"/>
    <w:rsid w:val="0011217E"/>
    <w:rsid w:val="00112274"/>
    <w:rsid w:val="001122CA"/>
    <w:rsid w:val="001123E5"/>
    <w:rsid w:val="0011253D"/>
    <w:rsid w:val="001129D5"/>
    <w:rsid w:val="001129DC"/>
    <w:rsid w:val="00112E8F"/>
    <w:rsid w:val="001131A3"/>
    <w:rsid w:val="001131D7"/>
    <w:rsid w:val="001131F2"/>
    <w:rsid w:val="00113352"/>
    <w:rsid w:val="001133CC"/>
    <w:rsid w:val="001135A8"/>
    <w:rsid w:val="00113A12"/>
    <w:rsid w:val="00113C92"/>
    <w:rsid w:val="00113D61"/>
    <w:rsid w:val="001140A7"/>
    <w:rsid w:val="001142E7"/>
    <w:rsid w:val="00114846"/>
    <w:rsid w:val="0011485F"/>
    <w:rsid w:val="00114DA6"/>
    <w:rsid w:val="00115549"/>
    <w:rsid w:val="001156E6"/>
    <w:rsid w:val="00115702"/>
    <w:rsid w:val="0011575A"/>
    <w:rsid w:val="0011585B"/>
    <w:rsid w:val="001158D9"/>
    <w:rsid w:val="00115D88"/>
    <w:rsid w:val="001162AB"/>
    <w:rsid w:val="00116325"/>
    <w:rsid w:val="00116483"/>
    <w:rsid w:val="0011673F"/>
    <w:rsid w:val="00116A02"/>
    <w:rsid w:val="00116E13"/>
    <w:rsid w:val="0011703E"/>
    <w:rsid w:val="0011748C"/>
    <w:rsid w:val="0011759F"/>
    <w:rsid w:val="00117640"/>
    <w:rsid w:val="00117775"/>
    <w:rsid w:val="00120082"/>
    <w:rsid w:val="001201B6"/>
    <w:rsid w:val="0012021C"/>
    <w:rsid w:val="0012024A"/>
    <w:rsid w:val="001205EA"/>
    <w:rsid w:val="00120792"/>
    <w:rsid w:val="00120E69"/>
    <w:rsid w:val="00120EFB"/>
    <w:rsid w:val="00121441"/>
    <w:rsid w:val="0012169C"/>
    <w:rsid w:val="001216EB"/>
    <w:rsid w:val="001217E5"/>
    <w:rsid w:val="00121A94"/>
    <w:rsid w:val="00121D92"/>
    <w:rsid w:val="00122900"/>
    <w:rsid w:val="00122B19"/>
    <w:rsid w:val="00122B6D"/>
    <w:rsid w:val="00122B84"/>
    <w:rsid w:val="00122E73"/>
    <w:rsid w:val="00122F46"/>
    <w:rsid w:val="001232BC"/>
    <w:rsid w:val="001232F0"/>
    <w:rsid w:val="001234E8"/>
    <w:rsid w:val="00123782"/>
    <w:rsid w:val="00123A21"/>
    <w:rsid w:val="0012404B"/>
    <w:rsid w:val="0012415F"/>
    <w:rsid w:val="001243E7"/>
    <w:rsid w:val="001244B6"/>
    <w:rsid w:val="0012452B"/>
    <w:rsid w:val="001245D3"/>
    <w:rsid w:val="00124756"/>
    <w:rsid w:val="00124C06"/>
    <w:rsid w:val="00124D9B"/>
    <w:rsid w:val="0012500E"/>
    <w:rsid w:val="00125224"/>
    <w:rsid w:val="00125916"/>
    <w:rsid w:val="001259D3"/>
    <w:rsid w:val="00125AC3"/>
    <w:rsid w:val="00125AEA"/>
    <w:rsid w:val="00125FB5"/>
    <w:rsid w:val="00126467"/>
    <w:rsid w:val="0012648D"/>
    <w:rsid w:val="001268BC"/>
    <w:rsid w:val="00126917"/>
    <w:rsid w:val="0012698C"/>
    <w:rsid w:val="00126A93"/>
    <w:rsid w:val="00126BF0"/>
    <w:rsid w:val="00126CF5"/>
    <w:rsid w:val="00126F83"/>
    <w:rsid w:val="001272C7"/>
    <w:rsid w:val="001273DF"/>
    <w:rsid w:val="00127489"/>
    <w:rsid w:val="00127B31"/>
    <w:rsid w:val="00127C39"/>
    <w:rsid w:val="00127D67"/>
    <w:rsid w:val="001302D5"/>
    <w:rsid w:val="00130335"/>
    <w:rsid w:val="00130348"/>
    <w:rsid w:val="0013036B"/>
    <w:rsid w:val="00130870"/>
    <w:rsid w:val="0013099D"/>
    <w:rsid w:val="00130CBE"/>
    <w:rsid w:val="00130FCE"/>
    <w:rsid w:val="00131020"/>
    <w:rsid w:val="00131173"/>
    <w:rsid w:val="00131501"/>
    <w:rsid w:val="0013159A"/>
    <w:rsid w:val="001317BA"/>
    <w:rsid w:val="001321A6"/>
    <w:rsid w:val="00132513"/>
    <w:rsid w:val="00132635"/>
    <w:rsid w:val="00132C9A"/>
    <w:rsid w:val="00132D32"/>
    <w:rsid w:val="00132D49"/>
    <w:rsid w:val="00133020"/>
    <w:rsid w:val="0013330F"/>
    <w:rsid w:val="00133473"/>
    <w:rsid w:val="00133506"/>
    <w:rsid w:val="001336F3"/>
    <w:rsid w:val="00133F43"/>
    <w:rsid w:val="00134015"/>
    <w:rsid w:val="0013416C"/>
    <w:rsid w:val="00134817"/>
    <w:rsid w:val="00134819"/>
    <w:rsid w:val="00134F67"/>
    <w:rsid w:val="00135086"/>
    <w:rsid w:val="001350F4"/>
    <w:rsid w:val="00135442"/>
    <w:rsid w:val="001355DA"/>
    <w:rsid w:val="001356E8"/>
    <w:rsid w:val="001358F8"/>
    <w:rsid w:val="00136106"/>
    <w:rsid w:val="00136395"/>
    <w:rsid w:val="00136454"/>
    <w:rsid w:val="00136A14"/>
    <w:rsid w:val="00136BEC"/>
    <w:rsid w:val="00137103"/>
    <w:rsid w:val="0013722E"/>
    <w:rsid w:val="001374A8"/>
    <w:rsid w:val="0013760E"/>
    <w:rsid w:val="00137A5A"/>
    <w:rsid w:val="00137FAB"/>
    <w:rsid w:val="001406FF"/>
    <w:rsid w:val="0014089D"/>
    <w:rsid w:val="00140B08"/>
    <w:rsid w:val="00140B74"/>
    <w:rsid w:val="00140B93"/>
    <w:rsid w:val="00140C8F"/>
    <w:rsid w:val="00140DB8"/>
    <w:rsid w:val="00140E28"/>
    <w:rsid w:val="00140ECD"/>
    <w:rsid w:val="0014122B"/>
    <w:rsid w:val="001414EC"/>
    <w:rsid w:val="001415BB"/>
    <w:rsid w:val="0014190F"/>
    <w:rsid w:val="0014197F"/>
    <w:rsid w:val="00141BF2"/>
    <w:rsid w:val="00141C57"/>
    <w:rsid w:val="001421E0"/>
    <w:rsid w:val="00142231"/>
    <w:rsid w:val="00142251"/>
    <w:rsid w:val="00142259"/>
    <w:rsid w:val="00142479"/>
    <w:rsid w:val="001424E4"/>
    <w:rsid w:val="001425BF"/>
    <w:rsid w:val="001427EF"/>
    <w:rsid w:val="001429D4"/>
    <w:rsid w:val="00142AB5"/>
    <w:rsid w:val="00142B0D"/>
    <w:rsid w:val="00142DED"/>
    <w:rsid w:val="00142EA6"/>
    <w:rsid w:val="00142F04"/>
    <w:rsid w:val="001433D2"/>
    <w:rsid w:val="001435F4"/>
    <w:rsid w:val="001436E9"/>
    <w:rsid w:val="001438AC"/>
    <w:rsid w:val="00143A8C"/>
    <w:rsid w:val="00143B3E"/>
    <w:rsid w:val="00143B62"/>
    <w:rsid w:val="00143C2C"/>
    <w:rsid w:val="00143EED"/>
    <w:rsid w:val="00143F99"/>
    <w:rsid w:val="001440A0"/>
    <w:rsid w:val="001441A6"/>
    <w:rsid w:val="001442ED"/>
    <w:rsid w:val="001443A8"/>
    <w:rsid w:val="001445D0"/>
    <w:rsid w:val="00144840"/>
    <w:rsid w:val="00144AC9"/>
    <w:rsid w:val="00144BAC"/>
    <w:rsid w:val="001452F6"/>
    <w:rsid w:val="001456FD"/>
    <w:rsid w:val="001457D6"/>
    <w:rsid w:val="00145A93"/>
    <w:rsid w:val="00145C45"/>
    <w:rsid w:val="00145DE3"/>
    <w:rsid w:val="00145FB6"/>
    <w:rsid w:val="001465BD"/>
    <w:rsid w:val="00146BB5"/>
    <w:rsid w:val="00146E72"/>
    <w:rsid w:val="0014724D"/>
    <w:rsid w:val="001472B3"/>
    <w:rsid w:val="0014754E"/>
    <w:rsid w:val="00147844"/>
    <w:rsid w:val="001479D6"/>
    <w:rsid w:val="00147BEB"/>
    <w:rsid w:val="0015032C"/>
    <w:rsid w:val="00150784"/>
    <w:rsid w:val="001508F4"/>
    <w:rsid w:val="00150A37"/>
    <w:rsid w:val="00150AEB"/>
    <w:rsid w:val="00150B3C"/>
    <w:rsid w:val="00150B9F"/>
    <w:rsid w:val="00150C89"/>
    <w:rsid w:val="00150CCB"/>
    <w:rsid w:val="00151419"/>
    <w:rsid w:val="001514FD"/>
    <w:rsid w:val="00151812"/>
    <w:rsid w:val="00151C51"/>
    <w:rsid w:val="00151C7E"/>
    <w:rsid w:val="00151C95"/>
    <w:rsid w:val="0015237C"/>
    <w:rsid w:val="001523D2"/>
    <w:rsid w:val="001529F5"/>
    <w:rsid w:val="00152C5D"/>
    <w:rsid w:val="00152D1F"/>
    <w:rsid w:val="00152EEA"/>
    <w:rsid w:val="00153289"/>
    <w:rsid w:val="0015340C"/>
    <w:rsid w:val="00153449"/>
    <w:rsid w:val="001534F9"/>
    <w:rsid w:val="001536AE"/>
    <w:rsid w:val="0015377A"/>
    <w:rsid w:val="0015388A"/>
    <w:rsid w:val="00153A3B"/>
    <w:rsid w:val="00154015"/>
    <w:rsid w:val="00154378"/>
    <w:rsid w:val="0015442A"/>
    <w:rsid w:val="0015493E"/>
    <w:rsid w:val="00154976"/>
    <w:rsid w:val="00154B92"/>
    <w:rsid w:val="00154D53"/>
    <w:rsid w:val="00154E0D"/>
    <w:rsid w:val="00154FB5"/>
    <w:rsid w:val="00155176"/>
    <w:rsid w:val="001555EB"/>
    <w:rsid w:val="00155759"/>
    <w:rsid w:val="00155888"/>
    <w:rsid w:val="00155AB8"/>
    <w:rsid w:val="00155BD2"/>
    <w:rsid w:val="00155C9B"/>
    <w:rsid w:val="00155D73"/>
    <w:rsid w:val="00155E24"/>
    <w:rsid w:val="00156007"/>
    <w:rsid w:val="001561CC"/>
    <w:rsid w:val="001562FE"/>
    <w:rsid w:val="0015630F"/>
    <w:rsid w:val="0015669B"/>
    <w:rsid w:val="0015671E"/>
    <w:rsid w:val="001568EA"/>
    <w:rsid w:val="00156A0A"/>
    <w:rsid w:val="001570B4"/>
    <w:rsid w:val="0015714C"/>
    <w:rsid w:val="001571EF"/>
    <w:rsid w:val="00157254"/>
    <w:rsid w:val="001573C9"/>
    <w:rsid w:val="00157689"/>
    <w:rsid w:val="00157703"/>
    <w:rsid w:val="0015775E"/>
    <w:rsid w:val="0015780E"/>
    <w:rsid w:val="00157BB3"/>
    <w:rsid w:val="00157EE0"/>
    <w:rsid w:val="001600A7"/>
    <w:rsid w:val="001600E3"/>
    <w:rsid w:val="001600E9"/>
    <w:rsid w:val="001601C1"/>
    <w:rsid w:val="00160682"/>
    <w:rsid w:val="00160938"/>
    <w:rsid w:val="00160FEC"/>
    <w:rsid w:val="001610E5"/>
    <w:rsid w:val="00161183"/>
    <w:rsid w:val="00161305"/>
    <w:rsid w:val="00161336"/>
    <w:rsid w:val="00161703"/>
    <w:rsid w:val="00161BC8"/>
    <w:rsid w:val="00161E19"/>
    <w:rsid w:val="00161F86"/>
    <w:rsid w:val="0016216C"/>
    <w:rsid w:val="00162318"/>
    <w:rsid w:val="00162661"/>
    <w:rsid w:val="00162B70"/>
    <w:rsid w:val="00162C00"/>
    <w:rsid w:val="00162C8D"/>
    <w:rsid w:val="00162CAC"/>
    <w:rsid w:val="0016300F"/>
    <w:rsid w:val="0016388E"/>
    <w:rsid w:val="00163F67"/>
    <w:rsid w:val="001640E9"/>
    <w:rsid w:val="001641D0"/>
    <w:rsid w:val="001642A3"/>
    <w:rsid w:val="0016493A"/>
    <w:rsid w:val="001654C6"/>
    <w:rsid w:val="001654F5"/>
    <w:rsid w:val="001655AB"/>
    <w:rsid w:val="0016587C"/>
    <w:rsid w:val="00165963"/>
    <w:rsid w:val="001659C9"/>
    <w:rsid w:val="0016663A"/>
    <w:rsid w:val="0016675F"/>
    <w:rsid w:val="001667F1"/>
    <w:rsid w:val="0016687F"/>
    <w:rsid w:val="001669F8"/>
    <w:rsid w:val="00166AF4"/>
    <w:rsid w:val="001671B0"/>
    <w:rsid w:val="001678DC"/>
    <w:rsid w:val="001678E4"/>
    <w:rsid w:val="0016794D"/>
    <w:rsid w:val="0016798A"/>
    <w:rsid w:val="00167C1E"/>
    <w:rsid w:val="00167F34"/>
    <w:rsid w:val="00167FF0"/>
    <w:rsid w:val="00170499"/>
    <w:rsid w:val="00170704"/>
    <w:rsid w:val="00170BDF"/>
    <w:rsid w:val="00170F5B"/>
    <w:rsid w:val="00170F61"/>
    <w:rsid w:val="00170F84"/>
    <w:rsid w:val="001710B7"/>
    <w:rsid w:val="0017148B"/>
    <w:rsid w:val="001714F3"/>
    <w:rsid w:val="00171578"/>
    <w:rsid w:val="00171628"/>
    <w:rsid w:val="00171854"/>
    <w:rsid w:val="00171A94"/>
    <w:rsid w:val="00171B11"/>
    <w:rsid w:val="00171B8C"/>
    <w:rsid w:val="00172261"/>
    <w:rsid w:val="00172297"/>
    <w:rsid w:val="00172452"/>
    <w:rsid w:val="0017278C"/>
    <w:rsid w:val="00172961"/>
    <w:rsid w:val="00172C0B"/>
    <w:rsid w:val="001730EF"/>
    <w:rsid w:val="001732BA"/>
    <w:rsid w:val="001733DA"/>
    <w:rsid w:val="00173499"/>
    <w:rsid w:val="001736E6"/>
    <w:rsid w:val="00173ABB"/>
    <w:rsid w:val="00173D55"/>
    <w:rsid w:val="00173E54"/>
    <w:rsid w:val="00173F13"/>
    <w:rsid w:val="001742C7"/>
    <w:rsid w:val="001746A1"/>
    <w:rsid w:val="00174B28"/>
    <w:rsid w:val="00174CD5"/>
    <w:rsid w:val="00174FDA"/>
    <w:rsid w:val="00174FE4"/>
    <w:rsid w:val="001750FC"/>
    <w:rsid w:val="001752DE"/>
    <w:rsid w:val="00175476"/>
    <w:rsid w:val="0017587F"/>
    <w:rsid w:val="00175B59"/>
    <w:rsid w:val="00175CDA"/>
    <w:rsid w:val="00175D80"/>
    <w:rsid w:val="00175E37"/>
    <w:rsid w:val="00175E91"/>
    <w:rsid w:val="00176137"/>
    <w:rsid w:val="0017617A"/>
    <w:rsid w:val="00176342"/>
    <w:rsid w:val="001763B1"/>
    <w:rsid w:val="001765BE"/>
    <w:rsid w:val="00176705"/>
    <w:rsid w:val="00176E6A"/>
    <w:rsid w:val="00176F97"/>
    <w:rsid w:val="0017707C"/>
    <w:rsid w:val="001770BC"/>
    <w:rsid w:val="00177154"/>
    <w:rsid w:val="001772E3"/>
    <w:rsid w:val="00177301"/>
    <w:rsid w:val="001773D1"/>
    <w:rsid w:val="001774B0"/>
    <w:rsid w:val="00177507"/>
    <w:rsid w:val="00177561"/>
    <w:rsid w:val="00177CD9"/>
    <w:rsid w:val="00177F3A"/>
    <w:rsid w:val="001800FB"/>
    <w:rsid w:val="001804B2"/>
    <w:rsid w:val="0018061D"/>
    <w:rsid w:val="00180774"/>
    <w:rsid w:val="001809AA"/>
    <w:rsid w:val="00180AB2"/>
    <w:rsid w:val="00180AE2"/>
    <w:rsid w:val="00180AFE"/>
    <w:rsid w:val="00180C1C"/>
    <w:rsid w:val="00180CEE"/>
    <w:rsid w:val="00180D1E"/>
    <w:rsid w:val="00180FDF"/>
    <w:rsid w:val="001813D9"/>
    <w:rsid w:val="00181457"/>
    <w:rsid w:val="0018165A"/>
    <w:rsid w:val="0018169E"/>
    <w:rsid w:val="00181865"/>
    <w:rsid w:val="001819E0"/>
    <w:rsid w:val="001819F6"/>
    <w:rsid w:val="00181AE6"/>
    <w:rsid w:val="0018207B"/>
    <w:rsid w:val="0018216D"/>
    <w:rsid w:val="00182315"/>
    <w:rsid w:val="001825AB"/>
    <w:rsid w:val="0018269A"/>
    <w:rsid w:val="001826BD"/>
    <w:rsid w:val="001827F5"/>
    <w:rsid w:val="00182B33"/>
    <w:rsid w:val="00182DBF"/>
    <w:rsid w:val="0018303A"/>
    <w:rsid w:val="00183265"/>
    <w:rsid w:val="001834D5"/>
    <w:rsid w:val="00183542"/>
    <w:rsid w:val="00183550"/>
    <w:rsid w:val="00183670"/>
    <w:rsid w:val="00183991"/>
    <w:rsid w:val="001839A5"/>
    <w:rsid w:val="00183A21"/>
    <w:rsid w:val="00183F8D"/>
    <w:rsid w:val="00183FB6"/>
    <w:rsid w:val="00184019"/>
    <w:rsid w:val="001840F8"/>
    <w:rsid w:val="001840FB"/>
    <w:rsid w:val="00184167"/>
    <w:rsid w:val="0018420E"/>
    <w:rsid w:val="0018446D"/>
    <w:rsid w:val="00184940"/>
    <w:rsid w:val="00184A91"/>
    <w:rsid w:val="00184ADF"/>
    <w:rsid w:val="00184B60"/>
    <w:rsid w:val="00184C62"/>
    <w:rsid w:val="00184C7E"/>
    <w:rsid w:val="00184C85"/>
    <w:rsid w:val="00184D07"/>
    <w:rsid w:val="00184E2E"/>
    <w:rsid w:val="00184E45"/>
    <w:rsid w:val="00184F3D"/>
    <w:rsid w:val="0018505B"/>
    <w:rsid w:val="001850E2"/>
    <w:rsid w:val="00185119"/>
    <w:rsid w:val="0018523E"/>
    <w:rsid w:val="001853B1"/>
    <w:rsid w:val="001853D9"/>
    <w:rsid w:val="00185473"/>
    <w:rsid w:val="00185493"/>
    <w:rsid w:val="001854BB"/>
    <w:rsid w:val="00185662"/>
    <w:rsid w:val="001859B4"/>
    <w:rsid w:val="00185CE9"/>
    <w:rsid w:val="00186220"/>
    <w:rsid w:val="001862F4"/>
    <w:rsid w:val="001863AC"/>
    <w:rsid w:val="00186780"/>
    <w:rsid w:val="001868C5"/>
    <w:rsid w:val="00186C31"/>
    <w:rsid w:val="00187099"/>
    <w:rsid w:val="00187212"/>
    <w:rsid w:val="00187385"/>
    <w:rsid w:val="001874F1"/>
    <w:rsid w:val="00187626"/>
    <w:rsid w:val="00187F05"/>
    <w:rsid w:val="00187F0D"/>
    <w:rsid w:val="00187F92"/>
    <w:rsid w:val="00190076"/>
    <w:rsid w:val="00190305"/>
    <w:rsid w:val="001906D1"/>
    <w:rsid w:val="001908F0"/>
    <w:rsid w:val="001909C8"/>
    <w:rsid w:val="00190A92"/>
    <w:rsid w:val="00190B1E"/>
    <w:rsid w:val="0019120F"/>
    <w:rsid w:val="00191A2E"/>
    <w:rsid w:val="00191A89"/>
    <w:rsid w:val="00191F2C"/>
    <w:rsid w:val="00191F9F"/>
    <w:rsid w:val="00191FAB"/>
    <w:rsid w:val="00191FAE"/>
    <w:rsid w:val="0019234D"/>
    <w:rsid w:val="001923B9"/>
    <w:rsid w:val="00192499"/>
    <w:rsid w:val="0019281B"/>
    <w:rsid w:val="00192BE9"/>
    <w:rsid w:val="00192CA8"/>
    <w:rsid w:val="00192D6F"/>
    <w:rsid w:val="00192E3E"/>
    <w:rsid w:val="00192EDB"/>
    <w:rsid w:val="00193461"/>
    <w:rsid w:val="0019359F"/>
    <w:rsid w:val="001935B9"/>
    <w:rsid w:val="00193852"/>
    <w:rsid w:val="00193AA8"/>
    <w:rsid w:val="00193BE1"/>
    <w:rsid w:val="00193C74"/>
    <w:rsid w:val="00193E30"/>
    <w:rsid w:val="00193FB9"/>
    <w:rsid w:val="001941CE"/>
    <w:rsid w:val="00194286"/>
    <w:rsid w:val="0019461A"/>
    <w:rsid w:val="00194716"/>
    <w:rsid w:val="00194B1C"/>
    <w:rsid w:val="00194BBA"/>
    <w:rsid w:val="00194DCF"/>
    <w:rsid w:val="00194F36"/>
    <w:rsid w:val="00194F74"/>
    <w:rsid w:val="00194FF6"/>
    <w:rsid w:val="001950FD"/>
    <w:rsid w:val="001951EC"/>
    <w:rsid w:val="00195306"/>
    <w:rsid w:val="0019547C"/>
    <w:rsid w:val="001957BF"/>
    <w:rsid w:val="00195858"/>
    <w:rsid w:val="001958C2"/>
    <w:rsid w:val="00195A13"/>
    <w:rsid w:val="00195A72"/>
    <w:rsid w:val="00195AE1"/>
    <w:rsid w:val="00195ECC"/>
    <w:rsid w:val="00195F00"/>
    <w:rsid w:val="00195F4B"/>
    <w:rsid w:val="00196218"/>
    <w:rsid w:val="00196753"/>
    <w:rsid w:val="00196801"/>
    <w:rsid w:val="00196949"/>
    <w:rsid w:val="00196AE0"/>
    <w:rsid w:val="00196B1F"/>
    <w:rsid w:val="00196B9E"/>
    <w:rsid w:val="00196C6F"/>
    <w:rsid w:val="00196F4B"/>
    <w:rsid w:val="00197370"/>
    <w:rsid w:val="001973F6"/>
    <w:rsid w:val="00197676"/>
    <w:rsid w:val="00197903"/>
    <w:rsid w:val="00197BA8"/>
    <w:rsid w:val="00197C02"/>
    <w:rsid w:val="00197E46"/>
    <w:rsid w:val="00197FA3"/>
    <w:rsid w:val="001A0600"/>
    <w:rsid w:val="001A0AB1"/>
    <w:rsid w:val="001A0B39"/>
    <w:rsid w:val="001A0BFE"/>
    <w:rsid w:val="001A0D05"/>
    <w:rsid w:val="001A0D77"/>
    <w:rsid w:val="001A17C5"/>
    <w:rsid w:val="001A196A"/>
    <w:rsid w:val="001A1A4C"/>
    <w:rsid w:val="001A1D95"/>
    <w:rsid w:val="001A2310"/>
    <w:rsid w:val="001A2407"/>
    <w:rsid w:val="001A24F4"/>
    <w:rsid w:val="001A2565"/>
    <w:rsid w:val="001A2988"/>
    <w:rsid w:val="001A2A31"/>
    <w:rsid w:val="001A2B73"/>
    <w:rsid w:val="001A2C15"/>
    <w:rsid w:val="001A30C2"/>
    <w:rsid w:val="001A31D9"/>
    <w:rsid w:val="001A341D"/>
    <w:rsid w:val="001A360D"/>
    <w:rsid w:val="001A36D1"/>
    <w:rsid w:val="001A3752"/>
    <w:rsid w:val="001A39AA"/>
    <w:rsid w:val="001A405A"/>
    <w:rsid w:val="001A410C"/>
    <w:rsid w:val="001A425A"/>
    <w:rsid w:val="001A4367"/>
    <w:rsid w:val="001A45E0"/>
    <w:rsid w:val="001A46E0"/>
    <w:rsid w:val="001A483B"/>
    <w:rsid w:val="001A490B"/>
    <w:rsid w:val="001A4B1E"/>
    <w:rsid w:val="001A4B67"/>
    <w:rsid w:val="001A5060"/>
    <w:rsid w:val="001A52A1"/>
    <w:rsid w:val="001A52F4"/>
    <w:rsid w:val="001A5405"/>
    <w:rsid w:val="001A5514"/>
    <w:rsid w:val="001A5688"/>
    <w:rsid w:val="001A5EE3"/>
    <w:rsid w:val="001A5F00"/>
    <w:rsid w:val="001A5F56"/>
    <w:rsid w:val="001A62ED"/>
    <w:rsid w:val="001A645B"/>
    <w:rsid w:val="001A6503"/>
    <w:rsid w:val="001A692C"/>
    <w:rsid w:val="001A6B2F"/>
    <w:rsid w:val="001A6C8E"/>
    <w:rsid w:val="001A6CD3"/>
    <w:rsid w:val="001A6D52"/>
    <w:rsid w:val="001A6ED4"/>
    <w:rsid w:val="001A70CB"/>
    <w:rsid w:val="001A726B"/>
    <w:rsid w:val="001A73F4"/>
    <w:rsid w:val="001A7789"/>
    <w:rsid w:val="001A77C4"/>
    <w:rsid w:val="001A7910"/>
    <w:rsid w:val="001A798D"/>
    <w:rsid w:val="001A7C1C"/>
    <w:rsid w:val="001A7CE7"/>
    <w:rsid w:val="001B000B"/>
    <w:rsid w:val="001B0355"/>
    <w:rsid w:val="001B073D"/>
    <w:rsid w:val="001B0771"/>
    <w:rsid w:val="001B0826"/>
    <w:rsid w:val="001B08B6"/>
    <w:rsid w:val="001B091D"/>
    <w:rsid w:val="001B0C98"/>
    <w:rsid w:val="001B0D59"/>
    <w:rsid w:val="001B0E07"/>
    <w:rsid w:val="001B1161"/>
    <w:rsid w:val="001B126A"/>
    <w:rsid w:val="001B1352"/>
    <w:rsid w:val="001B15B4"/>
    <w:rsid w:val="001B164B"/>
    <w:rsid w:val="001B1762"/>
    <w:rsid w:val="001B17AC"/>
    <w:rsid w:val="001B19FC"/>
    <w:rsid w:val="001B1AB1"/>
    <w:rsid w:val="001B1E26"/>
    <w:rsid w:val="001B1F1B"/>
    <w:rsid w:val="001B1F26"/>
    <w:rsid w:val="001B2542"/>
    <w:rsid w:val="001B254C"/>
    <w:rsid w:val="001B2850"/>
    <w:rsid w:val="001B29B1"/>
    <w:rsid w:val="001B2B8A"/>
    <w:rsid w:val="001B2D61"/>
    <w:rsid w:val="001B3250"/>
    <w:rsid w:val="001B3634"/>
    <w:rsid w:val="001B3696"/>
    <w:rsid w:val="001B3C2F"/>
    <w:rsid w:val="001B3CEF"/>
    <w:rsid w:val="001B3D8F"/>
    <w:rsid w:val="001B3E7B"/>
    <w:rsid w:val="001B4065"/>
    <w:rsid w:val="001B4416"/>
    <w:rsid w:val="001B4579"/>
    <w:rsid w:val="001B45E0"/>
    <w:rsid w:val="001B4800"/>
    <w:rsid w:val="001B48AB"/>
    <w:rsid w:val="001B4DBC"/>
    <w:rsid w:val="001B4DFD"/>
    <w:rsid w:val="001B51FD"/>
    <w:rsid w:val="001B5258"/>
    <w:rsid w:val="001B5333"/>
    <w:rsid w:val="001B559B"/>
    <w:rsid w:val="001B588D"/>
    <w:rsid w:val="001B59B6"/>
    <w:rsid w:val="001B5F6A"/>
    <w:rsid w:val="001B6338"/>
    <w:rsid w:val="001B63E7"/>
    <w:rsid w:val="001B6A69"/>
    <w:rsid w:val="001B6F40"/>
    <w:rsid w:val="001B6F4F"/>
    <w:rsid w:val="001B7146"/>
    <w:rsid w:val="001B7238"/>
    <w:rsid w:val="001B72B2"/>
    <w:rsid w:val="001B78BD"/>
    <w:rsid w:val="001B7D3C"/>
    <w:rsid w:val="001C02AF"/>
    <w:rsid w:val="001C03EC"/>
    <w:rsid w:val="001C049F"/>
    <w:rsid w:val="001C070B"/>
    <w:rsid w:val="001C098A"/>
    <w:rsid w:val="001C0993"/>
    <w:rsid w:val="001C0BC7"/>
    <w:rsid w:val="001C1094"/>
    <w:rsid w:val="001C11BE"/>
    <w:rsid w:val="001C143E"/>
    <w:rsid w:val="001C1941"/>
    <w:rsid w:val="001C20B1"/>
    <w:rsid w:val="001C20E5"/>
    <w:rsid w:val="001C215F"/>
    <w:rsid w:val="001C2199"/>
    <w:rsid w:val="001C27B2"/>
    <w:rsid w:val="001C2A5A"/>
    <w:rsid w:val="001C2CE8"/>
    <w:rsid w:val="001C2D8D"/>
    <w:rsid w:val="001C3006"/>
    <w:rsid w:val="001C32FC"/>
    <w:rsid w:val="001C33A0"/>
    <w:rsid w:val="001C33BE"/>
    <w:rsid w:val="001C3579"/>
    <w:rsid w:val="001C3951"/>
    <w:rsid w:val="001C3B57"/>
    <w:rsid w:val="001C3BFA"/>
    <w:rsid w:val="001C3C99"/>
    <w:rsid w:val="001C3EE6"/>
    <w:rsid w:val="001C3F71"/>
    <w:rsid w:val="001C413F"/>
    <w:rsid w:val="001C43DA"/>
    <w:rsid w:val="001C444F"/>
    <w:rsid w:val="001C4650"/>
    <w:rsid w:val="001C46E4"/>
    <w:rsid w:val="001C48C1"/>
    <w:rsid w:val="001C4B43"/>
    <w:rsid w:val="001C4CDB"/>
    <w:rsid w:val="001C4DF9"/>
    <w:rsid w:val="001C4FF1"/>
    <w:rsid w:val="001C5158"/>
    <w:rsid w:val="001C5174"/>
    <w:rsid w:val="001C523B"/>
    <w:rsid w:val="001C5361"/>
    <w:rsid w:val="001C53A6"/>
    <w:rsid w:val="001C5614"/>
    <w:rsid w:val="001C57DA"/>
    <w:rsid w:val="001C5AE2"/>
    <w:rsid w:val="001C5C25"/>
    <w:rsid w:val="001C5C91"/>
    <w:rsid w:val="001C5D18"/>
    <w:rsid w:val="001C6068"/>
    <w:rsid w:val="001C6539"/>
    <w:rsid w:val="001C6610"/>
    <w:rsid w:val="001C6A8C"/>
    <w:rsid w:val="001C7092"/>
    <w:rsid w:val="001C72BF"/>
    <w:rsid w:val="001C733D"/>
    <w:rsid w:val="001C75B6"/>
    <w:rsid w:val="001C7835"/>
    <w:rsid w:val="001C79EC"/>
    <w:rsid w:val="001C79F6"/>
    <w:rsid w:val="001C7EEA"/>
    <w:rsid w:val="001D00CF"/>
    <w:rsid w:val="001D00ED"/>
    <w:rsid w:val="001D03D9"/>
    <w:rsid w:val="001D03DF"/>
    <w:rsid w:val="001D0B46"/>
    <w:rsid w:val="001D0C45"/>
    <w:rsid w:val="001D0D4C"/>
    <w:rsid w:val="001D0EAD"/>
    <w:rsid w:val="001D0ECF"/>
    <w:rsid w:val="001D0F0E"/>
    <w:rsid w:val="001D1152"/>
    <w:rsid w:val="001D1BB9"/>
    <w:rsid w:val="001D206C"/>
    <w:rsid w:val="001D23E8"/>
    <w:rsid w:val="001D24FD"/>
    <w:rsid w:val="001D257B"/>
    <w:rsid w:val="001D2A0C"/>
    <w:rsid w:val="001D2D45"/>
    <w:rsid w:val="001D3001"/>
    <w:rsid w:val="001D3063"/>
    <w:rsid w:val="001D31D8"/>
    <w:rsid w:val="001D34AB"/>
    <w:rsid w:val="001D3900"/>
    <w:rsid w:val="001D392D"/>
    <w:rsid w:val="001D3A41"/>
    <w:rsid w:val="001D3B32"/>
    <w:rsid w:val="001D3FC6"/>
    <w:rsid w:val="001D4050"/>
    <w:rsid w:val="001D4227"/>
    <w:rsid w:val="001D45E3"/>
    <w:rsid w:val="001D4779"/>
    <w:rsid w:val="001D4BB9"/>
    <w:rsid w:val="001D4DAD"/>
    <w:rsid w:val="001D54EF"/>
    <w:rsid w:val="001D553B"/>
    <w:rsid w:val="001D56DC"/>
    <w:rsid w:val="001D57BA"/>
    <w:rsid w:val="001D5A4C"/>
    <w:rsid w:val="001D5C4F"/>
    <w:rsid w:val="001D5D98"/>
    <w:rsid w:val="001D611B"/>
    <w:rsid w:val="001D6126"/>
    <w:rsid w:val="001D6368"/>
    <w:rsid w:val="001D637A"/>
    <w:rsid w:val="001D6508"/>
    <w:rsid w:val="001D6654"/>
    <w:rsid w:val="001D680A"/>
    <w:rsid w:val="001D6A8D"/>
    <w:rsid w:val="001D6C1F"/>
    <w:rsid w:val="001D6F18"/>
    <w:rsid w:val="001D70AA"/>
    <w:rsid w:val="001D7328"/>
    <w:rsid w:val="001D755B"/>
    <w:rsid w:val="001D76DB"/>
    <w:rsid w:val="001D78C1"/>
    <w:rsid w:val="001D790A"/>
    <w:rsid w:val="001D79B9"/>
    <w:rsid w:val="001D7C0A"/>
    <w:rsid w:val="001D7D3D"/>
    <w:rsid w:val="001D7D9B"/>
    <w:rsid w:val="001D7DCB"/>
    <w:rsid w:val="001D7EE1"/>
    <w:rsid w:val="001E0015"/>
    <w:rsid w:val="001E001C"/>
    <w:rsid w:val="001E00A7"/>
    <w:rsid w:val="001E0647"/>
    <w:rsid w:val="001E0653"/>
    <w:rsid w:val="001E0CFD"/>
    <w:rsid w:val="001E0DDE"/>
    <w:rsid w:val="001E0EB3"/>
    <w:rsid w:val="001E0F27"/>
    <w:rsid w:val="001E0F3D"/>
    <w:rsid w:val="001E116D"/>
    <w:rsid w:val="001E1500"/>
    <w:rsid w:val="001E1551"/>
    <w:rsid w:val="001E1858"/>
    <w:rsid w:val="001E1A36"/>
    <w:rsid w:val="001E1B48"/>
    <w:rsid w:val="001E1E67"/>
    <w:rsid w:val="001E1F02"/>
    <w:rsid w:val="001E1F32"/>
    <w:rsid w:val="001E2021"/>
    <w:rsid w:val="001E2196"/>
    <w:rsid w:val="001E22C9"/>
    <w:rsid w:val="001E24EC"/>
    <w:rsid w:val="001E25E7"/>
    <w:rsid w:val="001E2D79"/>
    <w:rsid w:val="001E32DE"/>
    <w:rsid w:val="001E3343"/>
    <w:rsid w:val="001E3493"/>
    <w:rsid w:val="001E35C1"/>
    <w:rsid w:val="001E35D2"/>
    <w:rsid w:val="001E3912"/>
    <w:rsid w:val="001E3B7C"/>
    <w:rsid w:val="001E3BBE"/>
    <w:rsid w:val="001E3D03"/>
    <w:rsid w:val="001E3D42"/>
    <w:rsid w:val="001E3E15"/>
    <w:rsid w:val="001E3F70"/>
    <w:rsid w:val="001E4414"/>
    <w:rsid w:val="001E45BB"/>
    <w:rsid w:val="001E4789"/>
    <w:rsid w:val="001E488E"/>
    <w:rsid w:val="001E4A85"/>
    <w:rsid w:val="001E5056"/>
    <w:rsid w:val="001E5081"/>
    <w:rsid w:val="001E5461"/>
    <w:rsid w:val="001E553B"/>
    <w:rsid w:val="001E5B4E"/>
    <w:rsid w:val="001E5B68"/>
    <w:rsid w:val="001E5C89"/>
    <w:rsid w:val="001E5E2B"/>
    <w:rsid w:val="001E5FA2"/>
    <w:rsid w:val="001E641D"/>
    <w:rsid w:val="001E6659"/>
    <w:rsid w:val="001E66C5"/>
    <w:rsid w:val="001E68ED"/>
    <w:rsid w:val="001E6934"/>
    <w:rsid w:val="001E6BB6"/>
    <w:rsid w:val="001E6BBD"/>
    <w:rsid w:val="001E6E0B"/>
    <w:rsid w:val="001E6E46"/>
    <w:rsid w:val="001E6F44"/>
    <w:rsid w:val="001E6F99"/>
    <w:rsid w:val="001E7288"/>
    <w:rsid w:val="001E7476"/>
    <w:rsid w:val="001E7572"/>
    <w:rsid w:val="001E7946"/>
    <w:rsid w:val="001E7A15"/>
    <w:rsid w:val="001E7AAE"/>
    <w:rsid w:val="001E7BAD"/>
    <w:rsid w:val="001E7CA4"/>
    <w:rsid w:val="001E7CBF"/>
    <w:rsid w:val="001F0495"/>
    <w:rsid w:val="001F0ADF"/>
    <w:rsid w:val="001F0C4D"/>
    <w:rsid w:val="001F0D34"/>
    <w:rsid w:val="001F1013"/>
    <w:rsid w:val="001F13C1"/>
    <w:rsid w:val="001F1543"/>
    <w:rsid w:val="001F1558"/>
    <w:rsid w:val="001F156E"/>
    <w:rsid w:val="001F15BD"/>
    <w:rsid w:val="001F1BA4"/>
    <w:rsid w:val="001F1E9A"/>
    <w:rsid w:val="001F20F6"/>
    <w:rsid w:val="001F21D2"/>
    <w:rsid w:val="001F2451"/>
    <w:rsid w:val="001F254A"/>
    <w:rsid w:val="001F2612"/>
    <w:rsid w:val="001F28E9"/>
    <w:rsid w:val="001F29CF"/>
    <w:rsid w:val="001F2AB9"/>
    <w:rsid w:val="001F2BEA"/>
    <w:rsid w:val="001F2C8E"/>
    <w:rsid w:val="001F2CAE"/>
    <w:rsid w:val="001F2F0B"/>
    <w:rsid w:val="001F3084"/>
    <w:rsid w:val="001F3B0A"/>
    <w:rsid w:val="001F3C80"/>
    <w:rsid w:val="001F3DC2"/>
    <w:rsid w:val="001F3E71"/>
    <w:rsid w:val="001F3F33"/>
    <w:rsid w:val="001F4397"/>
    <w:rsid w:val="001F446D"/>
    <w:rsid w:val="001F44EF"/>
    <w:rsid w:val="001F4546"/>
    <w:rsid w:val="001F4643"/>
    <w:rsid w:val="001F46E9"/>
    <w:rsid w:val="001F47C9"/>
    <w:rsid w:val="001F48BD"/>
    <w:rsid w:val="001F48C4"/>
    <w:rsid w:val="001F4C51"/>
    <w:rsid w:val="001F4CEA"/>
    <w:rsid w:val="001F4D23"/>
    <w:rsid w:val="001F4FE3"/>
    <w:rsid w:val="001F509A"/>
    <w:rsid w:val="001F560D"/>
    <w:rsid w:val="001F581C"/>
    <w:rsid w:val="001F5C67"/>
    <w:rsid w:val="001F5C69"/>
    <w:rsid w:val="001F5E42"/>
    <w:rsid w:val="001F6066"/>
    <w:rsid w:val="001F665D"/>
    <w:rsid w:val="001F6859"/>
    <w:rsid w:val="001F68D4"/>
    <w:rsid w:val="001F6A7E"/>
    <w:rsid w:val="001F6B0A"/>
    <w:rsid w:val="001F6CEA"/>
    <w:rsid w:val="001F6D67"/>
    <w:rsid w:val="001F6E20"/>
    <w:rsid w:val="001F6E75"/>
    <w:rsid w:val="001F7018"/>
    <w:rsid w:val="001F764B"/>
    <w:rsid w:val="001F7765"/>
    <w:rsid w:val="001F79A7"/>
    <w:rsid w:val="001F7FF4"/>
    <w:rsid w:val="0020018F"/>
    <w:rsid w:val="0020042C"/>
    <w:rsid w:val="0020049B"/>
    <w:rsid w:val="00200552"/>
    <w:rsid w:val="0020071F"/>
    <w:rsid w:val="00200900"/>
    <w:rsid w:val="00201320"/>
    <w:rsid w:val="00201635"/>
    <w:rsid w:val="002017BA"/>
    <w:rsid w:val="00201916"/>
    <w:rsid w:val="00201A30"/>
    <w:rsid w:val="00201A48"/>
    <w:rsid w:val="00201F12"/>
    <w:rsid w:val="00201FF2"/>
    <w:rsid w:val="0020204A"/>
    <w:rsid w:val="00202278"/>
    <w:rsid w:val="0020229B"/>
    <w:rsid w:val="00202349"/>
    <w:rsid w:val="00202461"/>
    <w:rsid w:val="0020249B"/>
    <w:rsid w:val="00202976"/>
    <w:rsid w:val="00202A70"/>
    <w:rsid w:val="00202AF1"/>
    <w:rsid w:val="00202C71"/>
    <w:rsid w:val="0020312C"/>
    <w:rsid w:val="0020325C"/>
    <w:rsid w:val="00203422"/>
    <w:rsid w:val="0020346A"/>
    <w:rsid w:val="002035CB"/>
    <w:rsid w:val="002036E2"/>
    <w:rsid w:val="00203735"/>
    <w:rsid w:val="002038E8"/>
    <w:rsid w:val="002038EB"/>
    <w:rsid w:val="0020390E"/>
    <w:rsid w:val="00203EF2"/>
    <w:rsid w:val="00204194"/>
    <w:rsid w:val="00204466"/>
    <w:rsid w:val="002046C2"/>
    <w:rsid w:val="002046C4"/>
    <w:rsid w:val="0020485A"/>
    <w:rsid w:val="00204956"/>
    <w:rsid w:val="00204E2F"/>
    <w:rsid w:val="00204FC9"/>
    <w:rsid w:val="002052D4"/>
    <w:rsid w:val="0020560A"/>
    <w:rsid w:val="00205848"/>
    <w:rsid w:val="00205AB9"/>
    <w:rsid w:val="00205B1A"/>
    <w:rsid w:val="00205F6C"/>
    <w:rsid w:val="002060FF"/>
    <w:rsid w:val="002061CF"/>
    <w:rsid w:val="00206484"/>
    <w:rsid w:val="00206502"/>
    <w:rsid w:val="0020657C"/>
    <w:rsid w:val="002065F2"/>
    <w:rsid w:val="002066C9"/>
    <w:rsid w:val="00206751"/>
    <w:rsid w:val="00206762"/>
    <w:rsid w:val="002067EC"/>
    <w:rsid w:val="0020680B"/>
    <w:rsid w:val="00206EF9"/>
    <w:rsid w:val="002071DF"/>
    <w:rsid w:val="0020749E"/>
    <w:rsid w:val="002076DA"/>
    <w:rsid w:val="00207799"/>
    <w:rsid w:val="0020790B"/>
    <w:rsid w:val="00207B6F"/>
    <w:rsid w:val="00207BD5"/>
    <w:rsid w:val="00207E18"/>
    <w:rsid w:val="00207F12"/>
    <w:rsid w:val="002102A2"/>
    <w:rsid w:val="002102F4"/>
    <w:rsid w:val="00210394"/>
    <w:rsid w:val="002104F6"/>
    <w:rsid w:val="00210615"/>
    <w:rsid w:val="002106DF"/>
    <w:rsid w:val="002106E3"/>
    <w:rsid w:val="002108B3"/>
    <w:rsid w:val="00210D06"/>
    <w:rsid w:val="002111E1"/>
    <w:rsid w:val="002112EC"/>
    <w:rsid w:val="00211433"/>
    <w:rsid w:val="002114A5"/>
    <w:rsid w:val="00211947"/>
    <w:rsid w:val="00211974"/>
    <w:rsid w:val="002119BD"/>
    <w:rsid w:val="00211BB9"/>
    <w:rsid w:val="00211F9E"/>
    <w:rsid w:val="002123A6"/>
    <w:rsid w:val="00212402"/>
    <w:rsid w:val="002124DE"/>
    <w:rsid w:val="00212C4D"/>
    <w:rsid w:val="002130A6"/>
    <w:rsid w:val="0021358C"/>
    <w:rsid w:val="00213704"/>
    <w:rsid w:val="00213825"/>
    <w:rsid w:val="00213A44"/>
    <w:rsid w:val="00213C96"/>
    <w:rsid w:val="00213D67"/>
    <w:rsid w:val="002144B9"/>
    <w:rsid w:val="00214565"/>
    <w:rsid w:val="002146E1"/>
    <w:rsid w:val="00214979"/>
    <w:rsid w:val="00214C67"/>
    <w:rsid w:val="00214D3E"/>
    <w:rsid w:val="00214EB1"/>
    <w:rsid w:val="0021515E"/>
    <w:rsid w:val="002151EF"/>
    <w:rsid w:val="00215291"/>
    <w:rsid w:val="002153B5"/>
    <w:rsid w:val="00215400"/>
    <w:rsid w:val="002154BB"/>
    <w:rsid w:val="002156A7"/>
    <w:rsid w:val="00215998"/>
    <w:rsid w:val="00215C57"/>
    <w:rsid w:val="00215D5E"/>
    <w:rsid w:val="00216415"/>
    <w:rsid w:val="00216425"/>
    <w:rsid w:val="00216441"/>
    <w:rsid w:val="002164EB"/>
    <w:rsid w:val="00216587"/>
    <w:rsid w:val="002167EE"/>
    <w:rsid w:val="00216C0A"/>
    <w:rsid w:val="00217495"/>
    <w:rsid w:val="00217579"/>
    <w:rsid w:val="0021777C"/>
    <w:rsid w:val="00217793"/>
    <w:rsid w:val="002177EC"/>
    <w:rsid w:val="0021784F"/>
    <w:rsid w:val="00217A7B"/>
    <w:rsid w:val="00217E44"/>
    <w:rsid w:val="00217FE5"/>
    <w:rsid w:val="002201A5"/>
    <w:rsid w:val="00220637"/>
    <w:rsid w:val="0022064A"/>
    <w:rsid w:val="0022072D"/>
    <w:rsid w:val="002209AA"/>
    <w:rsid w:val="00220BB1"/>
    <w:rsid w:val="00220FC4"/>
    <w:rsid w:val="0022104A"/>
    <w:rsid w:val="0022109D"/>
    <w:rsid w:val="00221800"/>
    <w:rsid w:val="00221AB7"/>
    <w:rsid w:val="00221B64"/>
    <w:rsid w:val="00221CC4"/>
    <w:rsid w:val="00221E18"/>
    <w:rsid w:val="0022200C"/>
    <w:rsid w:val="002220AB"/>
    <w:rsid w:val="002220B5"/>
    <w:rsid w:val="00222146"/>
    <w:rsid w:val="0022218A"/>
    <w:rsid w:val="0022221D"/>
    <w:rsid w:val="00222373"/>
    <w:rsid w:val="00222633"/>
    <w:rsid w:val="00222913"/>
    <w:rsid w:val="00222C18"/>
    <w:rsid w:val="00222CA4"/>
    <w:rsid w:val="00222F8A"/>
    <w:rsid w:val="002231B1"/>
    <w:rsid w:val="00223566"/>
    <w:rsid w:val="00223746"/>
    <w:rsid w:val="00223A00"/>
    <w:rsid w:val="00223B15"/>
    <w:rsid w:val="00223E7C"/>
    <w:rsid w:val="00223FD3"/>
    <w:rsid w:val="0022448E"/>
    <w:rsid w:val="00224521"/>
    <w:rsid w:val="00224680"/>
    <w:rsid w:val="00224786"/>
    <w:rsid w:val="002247CE"/>
    <w:rsid w:val="00224A20"/>
    <w:rsid w:val="00224A83"/>
    <w:rsid w:val="00224F56"/>
    <w:rsid w:val="00224FAD"/>
    <w:rsid w:val="00225161"/>
    <w:rsid w:val="002252DF"/>
    <w:rsid w:val="00225D01"/>
    <w:rsid w:val="00225DEC"/>
    <w:rsid w:val="0022607B"/>
    <w:rsid w:val="00226696"/>
    <w:rsid w:val="00226850"/>
    <w:rsid w:val="00226902"/>
    <w:rsid w:val="00226A25"/>
    <w:rsid w:val="00226A84"/>
    <w:rsid w:val="00226B97"/>
    <w:rsid w:val="00226CBE"/>
    <w:rsid w:val="00226D3A"/>
    <w:rsid w:val="002270A2"/>
    <w:rsid w:val="0022718F"/>
    <w:rsid w:val="00227199"/>
    <w:rsid w:val="002274B5"/>
    <w:rsid w:val="00227712"/>
    <w:rsid w:val="00227790"/>
    <w:rsid w:val="00227D04"/>
    <w:rsid w:val="002301E5"/>
    <w:rsid w:val="002302D8"/>
    <w:rsid w:val="002305F5"/>
    <w:rsid w:val="00230BCB"/>
    <w:rsid w:val="00230C27"/>
    <w:rsid w:val="00230DB4"/>
    <w:rsid w:val="00230FC0"/>
    <w:rsid w:val="00231170"/>
    <w:rsid w:val="00231194"/>
    <w:rsid w:val="00231243"/>
    <w:rsid w:val="00231251"/>
    <w:rsid w:val="002315C5"/>
    <w:rsid w:val="002315FD"/>
    <w:rsid w:val="00231AC3"/>
    <w:rsid w:val="002321D1"/>
    <w:rsid w:val="002326CE"/>
    <w:rsid w:val="002329BF"/>
    <w:rsid w:val="00232BF9"/>
    <w:rsid w:val="00233019"/>
    <w:rsid w:val="002331CD"/>
    <w:rsid w:val="00233278"/>
    <w:rsid w:val="002332CA"/>
    <w:rsid w:val="0023333C"/>
    <w:rsid w:val="002334FD"/>
    <w:rsid w:val="002335D3"/>
    <w:rsid w:val="00233CC6"/>
    <w:rsid w:val="002341AC"/>
    <w:rsid w:val="00234319"/>
    <w:rsid w:val="0023433A"/>
    <w:rsid w:val="002343DB"/>
    <w:rsid w:val="00234437"/>
    <w:rsid w:val="002348C4"/>
    <w:rsid w:val="00234DD8"/>
    <w:rsid w:val="00235669"/>
    <w:rsid w:val="002358EE"/>
    <w:rsid w:val="0023597F"/>
    <w:rsid w:val="0023632B"/>
    <w:rsid w:val="002363D4"/>
    <w:rsid w:val="002365EF"/>
    <w:rsid w:val="002368A6"/>
    <w:rsid w:val="00236CF7"/>
    <w:rsid w:val="00236E0F"/>
    <w:rsid w:val="00236EDA"/>
    <w:rsid w:val="0023700B"/>
    <w:rsid w:val="00237023"/>
    <w:rsid w:val="002370C2"/>
    <w:rsid w:val="00237123"/>
    <w:rsid w:val="00237193"/>
    <w:rsid w:val="002371C1"/>
    <w:rsid w:val="00237293"/>
    <w:rsid w:val="002372DC"/>
    <w:rsid w:val="00237578"/>
    <w:rsid w:val="002376A8"/>
    <w:rsid w:val="00237854"/>
    <w:rsid w:val="002378CC"/>
    <w:rsid w:val="0023799D"/>
    <w:rsid w:val="002379A2"/>
    <w:rsid w:val="00240225"/>
    <w:rsid w:val="0024032B"/>
    <w:rsid w:val="00240479"/>
    <w:rsid w:val="00240911"/>
    <w:rsid w:val="00240B97"/>
    <w:rsid w:val="00240D8A"/>
    <w:rsid w:val="00240ED4"/>
    <w:rsid w:val="0024111A"/>
    <w:rsid w:val="002411B4"/>
    <w:rsid w:val="00241B6A"/>
    <w:rsid w:val="00241B6C"/>
    <w:rsid w:val="00241B7B"/>
    <w:rsid w:val="00241BA1"/>
    <w:rsid w:val="00241BAB"/>
    <w:rsid w:val="00241E0B"/>
    <w:rsid w:val="00241F07"/>
    <w:rsid w:val="00242405"/>
    <w:rsid w:val="00242531"/>
    <w:rsid w:val="0024280F"/>
    <w:rsid w:val="00242863"/>
    <w:rsid w:val="0024297D"/>
    <w:rsid w:val="00242A78"/>
    <w:rsid w:val="00242B30"/>
    <w:rsid w:val="00242E0D"/>
    <w:rsid w:val="00243326"/>
    <w:rsid w:val="0024366F"/>
    <w:rsid w:val="00243A1F"/>
    <w:rsid w:val="00243D2E"/>
    <w:rsid w:val="00244004"/>
    <w:rsid w:val="0024405E"/>
    <w:rsid w:val="00244770"/>
    <w:rsid w:val="002447B4"/>
    <w:rsid w:val="00244810"/>
    <w:rsid w:val="0024485B"/>
    <w:rsid w:val="00244FD1"/>
    <w:rsid w:val="00245111"/>
    <w:rsid w:val="002456D9"/>
    <w:rsid w:val="002457DE"/>
    <w:rsid w:val="00245891"/>
    <w:rsid w:val="00245B94"/>
    <w:rsid w:val="00245C13"/>
    <w:rsid w:val="00245EE5"/>
    <w:rsid w:val="00246230"/>
    <w:rsid w:val="002462C2"/>
    <w:rsid w:val="00246435"/>
    <w:rsid w:val="00246679"/>
    <w:rsid w:val="0024690E"/>
    <w:rsid w:val="00246BCF"/>
    <w:rsid w:val="00246D7E"/>
    <w:rsid w:val="00247105"/>
    <w:rsid w:val="00247521"/>
    <w:rsid w:val="002476D9"/>
    <w:rsid w:val="002478C3"/>
    <w:rsid w:val="00247C0B"/>
    <w:rsid w:val="00247C1C"/>
    <w:rsid w:val="00247CB8"/>
    <w:rsid w:val="00247CE3"/>
    <w:rsid w:val="00247D67"/>
    <w:rsid w:val="002502C1"/>
    <w:rsid w:val="002504C3"/>
    <w:rsid w:val="00250518"/>
    <w:rsid w:val="00250C67"/>
    <w:rsid w:val="00250EA6"/>
    <w:rsid w:val="00251089"/>
    <w:rsid w:val="002510C1"/>
    <w:rsid w:val="00251245"/>
    <w:rsid w:val="00251267"/>
    <w:rsid w:val="002512C4"/>
    <w:rsid w:val="00251382"/>
    <w:rsid w:val="00251478"/>
    <w:rsid w:val="002514D4"/>
    <w:rsid w:val="0025162E"/>
    <w:rsid w:val="002516D7"/>
    <w:rsid w:val="002517EA"/>
    <w:rsid w:val="002517EB"/>
    <w:rsid w:val="00251A7C"/>
    <w:rsid w:val="00251CA2"/>
    <w:rsid w:val="00251D18"/>
    <w:rsid w:val="00252031"/>
    <w:rsid w:val="0025231C"/>
    <w:rsid w:val="00252350"/>
    <w:rsid w:val="00252ADD"/>
    <w:rsid w:val="00252BB0"/>
    <w:rsid w:val="00252DF1"/>
    <w:rsid w:val="00252E5C"/>
    <w:rsid w:val="002531A2"/>
    <w:rsid w:val="0025343B"/>
    <w:rsid w:val="00253EF8"/>
    <w:rsid w:val="00254111"/>
    <w:rsid w:val="00254657"/>
    <w:rsid w:val="002546CD"/>
    <w:rsid w:val="00254A60"/>
    <w:rsid w:val="00254E38"/>
    <w:rsid w:val="00254ED0"/>
    <w:rsid w:val="00255337"/>
    <w:rsid w:val="00255888"/>
    <w:rsid w:val="002559D5"/>
    <w:rsid w:val="00255AAE"/>
    <w:rsid w:val="00256209"/>
    <w:rsid w:val="00256229"/>
    <w:rsid w:val="0025623D"/>
    <w:rsid w:val="002565DD"/>
    <w:rsid w:val="00256A10"/>
    <w:rsid w:val="00256A66"/>
    <w:rsid w:val="00256CEE"/>
    <w:rsid w:val="00256FA6"/>
    <w:rsid w:val="002572C7"/>
    <w:rsid w:val="00257474"/>
    <w:rsid w:val="0025785F"/>
    <w:rsid w:val="00257D4E"/>
    <w:rsid w:val="00257E7B"/>
    <w:rsid w:val="00257ED9"/>
    <w:rsid w:val="0026008D"/>
    <w:rsid w:val="002601BB"/>
    <w:rsid w:val="0026045D"/>
    <w:rsid w:val="00260533"/>
    <w:rsid w:val="002605DE"/>
    <w:rsid w:val="002606BE"/>
    <w:rsid w:val="0026075A"/>
    <w:rsid w:val="00260A04"/>
    <w:rsid w:val="00260C6A"/>
    <w:rsid w:val="00260D7E"/>
    <w:rsid w:val="00260EAC"/>
    <w:rsid w:val="002613F9"/>
    <w:rsid w:val="00261772"/>
    <w:rsid w:val="002619CC"/>
    <w:rsid w:val="00261A74"/>
    <w:rsid w:val="00261BC9"/>
    <w:rsid w:val="00261EE9"/>
    <w:rsid w:val="002621BB"/>
    <w:rsid w:val="002624A3"/>
    <w:rsid w:val="002625DA"/>
    <w:rsid w:val="00262718"/>
    <w:rsid w:val="00262A40"/>
    <w:rsid w:val="00262AB4"/>
    <w:rsid w:val="00262AFD"/>
    <w:rsid w:val="0026324A"/>
    <w:rsid w:val="0026324C"/>
    <w:rsid w:val="00263438"/>
    <w:rsid w:val="002634DB"/>
    <w:rsid w:val="00263650"/>
    <w:rsid w:val="00263909"/>
    <w:rsid w:val="00263958"/>
    <w:rsid w:val="00263E6C"/>
    <w:rsid w:val="00264431"/>
    <w:rsid w:val="0026480F"/>
    <w:rsid w:val="0026526B"/>
    <w:rsid w:val="00265631"/>
    <w:rsid w:val="00265918"/>
    <w:rsid w:val="002659BA"/>
    <w:rsid w:val="00265DFA"/>
    <w:rsid w:val="00265E98"/>
    <w:rsid w:val="00266222"/>
    <w:rsid w:val="00266335"/>
    <w:rsid w:val="00266397"/>
    <w:rsid w:val="002663EF"/>
    <w:rsid w:val="002663FE"/>
    <w:rsid w:val="002667C0"/>
    <w:rsid w:val="00266861"/>
    <w:rsid w:val="0026699C"/>
    <w:rsid w:val="00266AFF"/>
    <w:rsid w:val="00266E01"/>
    <w:rsid w:val="00267125"/>
    <w:rsid w:val="00267489"/>
    <w:rsid w:val="00267618"/>
    <w:rsid w:val="002676FE"/>
    <w:rsid w:val="00267871"/>
    <w:rsid w:val="00267958"/>
    <w:rsid w:val="00267982"/>
    <w:rsid w:val="00267A9E"/>
    <w:rsid w:val="00267DCA"/>
    <w:rsid w:val="0027037F"/>
    <w:rsid w:val="00270446"/>
    <w:rsid w:val="00270834"/>
    <w:rsid w:val="0027092E"/>
    <w:rsid w:val="00270EDF"/>
    <w:rsid w:val="00270F38"/>
    <w:rsid w:val="00270FF6"/>
    <w:rsid w:val="0027102B"/>
    <w:rsid w:val="00271158"/>
    <w:rsid w:val="002716F1"/>
    <w:rsid w:val="002717E0"/>
    <w:rsid w:val="002718ED"/>
    <w:rsid w:val="00271A1D"/>
    <w:rsid w:val="00271AAC"/>
    <w:rsid w:val="00271C10"/>
    <w:rsid w:val="00271DC1"/>
    <w:rsid w:val="00271F09"/>
    <w:rsid w:val="00271F15"/>
    <w:rsid w:val="00271F52"/>
    <w:rsid w:val="0027225D"/>
    <w:rsid w:val="0027237B"/>
    <w:rsid w:val="002726F0"/>
    <w:rsid w:val="00272761"/>
    <w:rsid w:val="0027293A"/>
    <w:rsid w:val="00272BB9"/>
    <w:rsid w:val="00272BC7"/>
    <w:rsid w:val="00272DE0"/>
    <w:rsid w:val="00272E59"/>
    <w:rsid w:val="002731D3"/>
    <w:rsid w:val="00273236"/>
    <w:rsid w:val="00273A7F"/>
    <w:rsid w:val="00273A89"/>
    <w:rsid w:val="00273A9D"/>
    <w:rsid w:val="00273AA6"/>
    <w:rsid w:val="00273E86"/>
    <w:rsid w:val="00273EB5"/>
    <w:rsid w:val="00274005"/>
    <w:rsid w:val="002740B9"/>
    <w:rsid w:val="002742DD"/>
    <w:rsid w:val="0027433B"/>
    <w:rsid w:val="00274638"/>
    <w:rsid w:val="0027493E"/>
    <w:rsid w:val="00274B49"/>
    <w:rsid w:val="00274C80"/>
    <w:rsid w:val="00274E4C"/>
    <w:rsid w:val="00274F94"/>
    <w:rsid w:val="0027509C"/>
    <w:rsid w:val="0027509F"/>
    <w:rsid w:val="002751DD"/>
    <w:rsid w:val="0027523C"/>
    <w:rsid w:val="00275503"/>
    <w:rsid w:val="00275746"/>
    <w:rsid w:val="00275A29"/>
    <w:rsid w:val="00275AF5"/>
    <w:rsid w:val="00275D36"/>
    <w:rsid w:val="00275FAE"/>
    <w:rsid w:val="002765E4"/>
    <w:rsid w:val="002768FF"/>
    <w:rsid w:val="0027693A"/>
    <w:rsid w:val="00277032"/>
    <w:rsid w:val="00277375"/>
    <w:rsid w:val="00277389"/>
    <w:rsid w:val="002774DB"/>
    <w:rsid w:val="00277AB1"/>
    <w:rsid w:val="00277AE8"/>
    <w:rsid w:val="00277BDA"/>
    <w:rsid w:val="00277C35"/>
    <w:rsid w:val="00277E33"/>
    <w:rsid w:val="00277ED4"/>
    <w:rsid w:val="00280207"/>
    <w:rsid w:val="00280431"/>
    <w:rsid w:val="0028050E"/>
    <w:rsid w:val="002806D9"/>
    <w:rsid w:val="00280778"/>
    <w:rsid w:val="00280F44"/>
    <w:rsid w:val="002810A8"/>
    <w:rsid w:val="002810F5"/>
    <w:rsid w:val="002811F9"/>
    <w:rsid w:val="00281329"/>
    <w:rsid w:val="00281330"/>
    <w:rsid w:val="002814E6"/>
    <w:rsid w:val="002818C0"/>
    <w:rsid w:val="002818C3"/>
    <w:rsid w:val="00281A54"/>
    <w:rsid w:val="00281BBB"/>
    <w:rsid w:val="00281D72"/>
    <w:rsid w:val="00281EE9"/>
    <w:rsid w:val="00281F31"/>
    <w:rsid w:val="00282224"/>
    <w:rsid w:val="002825C9"/>
    <w:rsid w:val="002826B4"/>
    <w:rsid w:val="0028274B"/>
    <w:rsid w:val="0028294C"/>
    <w:rsid w:val="00282AE5"/>
    <w:rsid w:val="00282B78"/>
    <w:rsid w:val="00282CB2"/>
    <w:rsid w:val="00282D13"/>
    <w:rsid w:val="00283296"/>
    <w:rsid w:val="002832C2"/>
    <w:rsid w:val="002833EC"/>
    <w:rsid w:val="002836AE"/>
    <w:rsid w:val="002838E3"/>
    <w:rsid w:val="00283B40"/>
    <w:rsid w:val="00283CE6"/>
    <w:rsid w:val="00283FFC"/>
    <w:rsid w:val="0028404F"/>
    <w:rsid w:val="0028447B"/>
    <w:rsid w:val="0028456F"/>
    <w:rsid w:val="0028475C"/>
    <w:rsid w:val="00284785"/>
    <w:rsid w:val="002847F2"/>
    <w:rsid w:val="0028497B"/>
    <w:rsid w:val="00284A3A"/>
    <w:rsid w:val="00285021"/>
    <w:rsid w:val="002858B7"/>
    <w:rsid w:val="00285CC7"/>
    <w:rsid w:val="00285D50"/>
    <w:rsid w:val="00285E3B"/>
    <w:rsid w:val="00285EFB"/>
    <w:rsid w:val="00285F0A"/>
    <w:rsid w:val="00285FEA"/>
    <w:rsid w:val="0028607B"/>
    <w:rsid w:val="002860D0"/>
    <w:rsid w:val="002861D8"/>
    <w:rsid w:val="002861F3"/>
    <w:rsid w:val="0028620C"/>
    <w:rsid w:val="0028635A"/>
    <w:rsid w:val="00286407"/>
    <w:rsid w:val="0028679A"/>
    <w:rsid w:val="00286A80"/>
    <w:rsid w:val="00286AED"/>
    <w:rsid w:val="00287114"/>
    <w:rsid w:val="0028740B"/>
    <w:rsid w:val="0028749E"/>
    <w:rsid w:val="002874FB"/>
    <w:rsid w:val="002877C0"/>
    <w:rsid w:val="00287979"/>
    <w:rsid w:val="00287A81"/>
    <w:rsid w:val="00287D86"/>
    <w:rsid w:val="00287ED9"/>
    <w:rsid w:val="00290A96"/>
    <w:rsid w:val="00290C28"/>
    <w:rsid w:val="00291A4B"/>
    <w:rsid w:val="00291A51"/>
    <w:rsid w:val="00291E4D"/>
    <w:rsid w:val="00291F12"/>
    <w:rsid w:val="00292398"/>
    <w:rsid w:val="002925F5"/>
    <w:rsid w:val="0029274E"/>
    <w:rsid w:val="00292871"/>
    <w:rsid w:val="00292C69"/>
    <w:rsid w:val="00292F97"/>
    <w:rsid w:val="0029325C"/>
    <w:rsid w:val="00293396"/>
    <w:rsid w:val="002936B4"/>
    <w:rsid w:val="00293741"/>
    <w:rsid w:val="002938A0"/>
    <w:rsid w:val="00293C23"/>
    <w:rsid w:val="00293D77"/>
    <w:rsid w:val="0029404E"/>
    <w:rsid w:val="002945D9"/>
    <w:rsid w:val="00294689"/>
    <w:rsid w:val="002947A3"/>
    <w:rsid w:val="00294A57"/>
    <w:rsid w:val="00294B26"/>
    <w:rsid w:val="00294F82"/>
    <w:rsid w:val="0029503A"/>
    <w:rsid w:val="002951E6"/>
    <w:rsid w:val="002951FB"/>
    <w:rsid w:val="00295276"/>
    <w:rsid w:val="00295330"/>
    <w:rsid w:val="00295461"/>
    <w:rsid w:val="0029555A"/>
    <w:rsid w:val="002957BE"/>
    <w:rsid w:val="0029585E"/>
    <w:rsid w:val="00295CBD"/>
    <w:rsid w:val="00295D07"/>
    <w:rsid w:val="00295DD0"/>
    <w:rsid w:val="00295EC4"/>
    <w:rsid w:val="00295F09"/>
    <w:rsid w:val="00296121"/>
    <w:rsid w:val="002961B0"/>
    <w:rsid w:val="002961F5"/>
    <w:rsid w:val="00296350"/>
    <w:rsid w:val="002966D8"/>
    <w:rsid w:val="002967A5"/>
    <w:rsid w:val="0029693A"/>
    <w:rsid w:val="00296B87"/>
    <w:rsid w:val="00296C79"/>
    <w:rsid w:val="00296CCA"/>
    <w:rsid w:val="0029750B"/>
    <w:rsid w:val="0029765B"/>
    <w:rsid w:val="0029765D"/>
    <w:rsid w:val="0029772A"/>
    <w:rsid w:val="002978FA"/>
    <w:rsid w:val="00297B1C"/>
    <w:rsid w:val="00297C45"/>
    <w:rsid w:val="00297C8C"/>
    <w:rsid w:val="00297F83"/>
    <w:rsid w:val="002A009E"/>
    <w:rsid w:val="002A017C"/>
    <w:rsid w:val="002A0298"/>
    <w:rsid w:val="002A03A8"/>
    <w:rsid w:val="002A0524"/>
    <w:rsid w:val="002A08D8"/>
    <w:rsid w:val="002A0CF9"/>
    <w:rsid w:val="002A1403"/>
    <w:rsid w:val="002A1519"/>
    <w:rsid w:val="002A1588"/>
    <w:rsid w:val="002A1629"/>
    <w:rsid w:val="002A16D3"/>
    <w:rsid w:val="002A1CA9"/>
    <w:rsid w:val="002A1CCD"/>
    <w:rsid w:val="002A1DC4"/>
    <w:rsid w:val="002A1DD3"/>
    <w:rsid w:val="002A1E90"/>
    <w:rsid w:val="002A2044"/>
    <w:rsid w:val="002A2048"/>
    <w:rsid w:val="002A21F4"/>
    <w:rsid w:val="002A21FD"/>
    <w:rsid w:val="002A23A1"/>
    <w:rsid w:val="002A24CB"/>
    <w:rsid w:val="002A257D"/>
    <w:rsid w:val="002A2655"/>
    <w:rsid w:val="002A2896"/>
    <w:rsid w:val="002A28E2"/>
    <w:rsid w:val="002A2921"/>
    <w:rsid w:val="002A294C"/>
    <w:rsid w:val="002A2B29"/>
    <w:rsid w:val="002A2B2C"/>
    <w:rsid w:val="002A2BCB"/>
    <w:rsid w:val="002A2C70"/>
    <w:rsid w:val="002A2C96"/>
    <w:rsid w:val="002A2DD3"/>
    <w:rsid w:val="002A2E4B"/>
    <w:rsid w:val="002A3119"/>
    <w:rsid w:val="002A3211"/>
    <w:rsid w:val="002A3326"/>
    <w:rsid w:val="002A345A"/>
    <w:rsid w:val="002A3558"/>
    <w:rsid w:val="002A36F6"/>
    <w:rsid w:val="002A36FB"/>
    <w:rsid w:val="002A375F"/>
    <w:rsid w:val="002A3A33"/>
    <w:rsid w:val="002A3B23"/>
    <w:rsid w:val="002A3F5F"/>
    <w:rsid w:val="002A40A0"/>
    <w:rsid w:val="002A40BA"/>
    <w:rsid w:val="002A43C1"/>
    <w:rsid w:val="002A456E"/>
    <w:rsid w:val="002A468E"/>
    <w:rsid w:val="002A469D"/>
    <w:rsid w:val="002A4760"/>
    <w:rsid w:val="002A47DD"/>
    <w:rsid w:val="002A4897"/>
    <w:rsid w:val="002A4A5F"/>
    <w:rsid w:val="002A4A6A"/>
    <w:rsid w:val="002A4B8C"/>
    <w:rsid w:val="002A4FBC"/>
    <w:rsid w:val="002A50CE"/>
    <w:rsid w:val="002A549B"/>
    <w:rsid w:val="002A54EC"/>
    <w:rsid w:val="002A5BD8"/>
    <w:rsid w:val="002A5E2D"/>
    <w:rsid w:val="002A5F6E"/>
    <w:rsid w:val="002A60AD"/>
    <w:rsid w:val="002A60DA"/>
    <w:rsid w:val="002A6274"/>
    <w:rsid w:val="002A62E6"/>
    <w:rsid w:val="002A62F2"/>
    <w:rsid w:val="002A63FD"/>
    <w:rsid w:val="002A6629"/>
    <w:rsid w:val="002A6D42"/>
    <w:rsid w:val="002A707E"/>
    <w:rsid w:val="002A7396"/>
    <w:rsid w:val="002A7554"/>
    <w:rsid w:val="002A7C8C"/>
    <w:rsid w:val="002A7D52"/>
    <w:rsid w:val="002A7DCC"/>
    <w:rsid w:val="002A7E25"/>
    <w:rsid w:val="002A7EF0"/>
    <w:rsid w:val="002B007A"/>
    <w:rsid w:val="002B0094"/>
    <w:rsid w:val="002B044C"/>
    <w:rsid w:val="002B0577"/>
    <w:rsid w:val="002B058C"/>
    <w:rsid w:val="002B0952"/>
    <w:rsid w:val="002B0D3B"/>
    <w:rsid w:val="002B0D68"/>
    <w:rsid w:val="002B1175"/>
    <w:rsid w:val="002B11D1"/>
    <w:rsid w:val="002B12C2"/>
    <w:rsid w:val="002B1370"/>
    <w:rsid w:val="002B13CF"/>
    <w:rsid w:val="002B16B1"/>
    <w:rsid w:val="002B1D9D"/>
    <w:rsid w:val="002B1E24"/>
    <w:rsid w:val="002B1EB8"/>
    <w:rsid w:val="002B21BC"/>
    <w:rsid w:val="002B22AA"/>
    <w:rsid w:val="002B22B4"/>
    <w:rsid w:val="002B232F"/>
    <w:rsid w:val="002B25B9"/>
    <w:rsid w:val="002B268C"/>
    <w:rsid w:val="002B282A"/>
    <w:rsid w:val="002B35C2"/>
    <w:rsid w:val="002B35D8"/>
    <w:rsid w:val="002B36C5"/>
    <w:rsid w:val="002B3756"/>
    <w:rsid w:val="002B3AAF"/>
    <w:rsid w:val="002B3C9A"/>
    <w:rsid w:val="002B3DBC"/>
    <w:rsid w:val="002B3E61"/>
    <w:rsid w:val="002B425A"/>
    <w:rsid w:val="002B49BE"/>
    <w:rsid w:val="002B4A78"/>
    <w:rsid w:val="002B4BD3"/>
    <w:rsid w:val="002B5152"/>
    <w:rsid w:val="002B5289"/>
    <w:rsid w:val="002B53EA"/>
    <w:rsid w:val="002B5732"/>
    <w:rsid w:val="002B57E6"/>
    <w:rsid w:val="002B5B0B"/>
    <w:rsid w:val="002B6121"/>
    <w:rsid w:val="002B67B9"/>
    <w:rsid w:val="002B6A8D"/>
    <w:rsid w:val="002B6AB1"/>
    <w:rsid w:val="002B6BA0"/>
    <w:rsid w:val="002B6CAD"/>
    <w:rsid w:val="002B7264"/>
    <w:rsid w:val="002B74EA"/>
    <w:rsid w:val="002B759D"/>
    <w:rsid w:val="002B75F7"/>
    <w:rsid w:val="002B78C0"/>
    <w:rsid w:val="002B7AF7"/>
    <w:rsid w:val="002B7C1B"/>
    <w:rsid w:val="002B7C3A"/>
    <w:rsid w:val="002B7F18"/>
    <w:rsid w:val="002B7F55"/>
    <w:rsid w:val="002C02F7"/>
    <w:rsid w:val="002C03AA"/>
    <w:rsid w:val="002C03C1"/>
    <w:rsid w:val="002C08E5"/>
    <w:rsid w:val="002C097B"/>
    <w:rsid w:val="002C0C46"/>
    <w:rsid w:val="002C0D97"/>
    <w:rsid w:val="002C0DC7"/>
    <w:rsid w:val="002C0E80"/>
    <w:rsid w:val="002C0E9B"/>
    <w:rsid w:val="002C1085"/>
    <w:rsid w:val="002C17CD"/>
    <w:rsid w:val="002C1973"/>
    <w:rsid w:val="002C1AA5"/>
    <w:rsid w:val="002C1ACF"/>
    <w:rsid w:val="002C1B3E"/>
    <w:rsid w:val="002C1BFD"/>
    <w:rsid w:val="002C1CFF"/>
    <w:rsid w:val="002C1E26"/>
    <w:rsid w:val="002C1E44"/>
    <w:rsid w:val="002C20D8"/>
    <w:rsid w:val="002C2294"/>
    <w:rsid w:val="002C24E1"/>
    <w:rsid w:val="002C25AC"/>
    <w:rsid w:val="002C27A4"/>
    <w:rsid w:val="002C2A43"/>
    <w:rsid w:val="002C2D85"/>
    <w:rsid w:val="002C2E6D"/>
    <w:rsid w:val="002C2FEE"/>
    <w:rsid w:val="002C301E"/>
    <w:rsid w:val="002C30CA"/>
    <w:rsid w:val="002C33B2"/>
    <w:rsid w:val="002C3A70"/>
    <w:rsid w:val="002C3C55"/>
    <w:rsid w:val="002C3C72"/>
    <w:rsid w:val="002C4014"/>
    <w:rsid w:val="002C40B6"/>
    <w:rsid w:val="002C42BF"/>
    <w:rsid w:val="002C4316"/>
    <w:rsid w:val="002C4415"/>
    <w:rsid w:val="002C46BE"/>
    <w:rsid w:val="002C4C79"/>
    <w:rsid w:val="002C518D"/>
    <w:rsid w:val="002C5458"/>
    <w:rsid w:val="002C57AE"/>
    <w:rsid w:val="002C5AE3"/>
    <w:rsid w:val="002C6013"/>
    <w:rsid w:val="002C6557"/>
    <w:rsid w:val="002C65CB"/>
    <w:rsid w:val="002C690D"/>
    <w:rsid w:val="002C6C32"/>
    <w:rsid w:val="002C6D9B"/>
    <w:rsid w:val="002C6DCA"/>
    <w:rsid w:val="002C6E1C"/>
    <w:rsid w:val="002C7196"/>
    <w:rsid w:val="002C724B"/>
    <w:rsid w:val="002C739C"/>
    <w:rsid w:val="002C740D"/>
    <w:rsid w:val="002C7567"/>
    <w:rsid w:val="002C78AB"/>
    <w:rsid w:val="002C78EC"/>
    <w:rsid w:val="002C797E"/>
    <w:rsid w:val="002C7CC8"/>
    <w:rsid w:val="002C7CDF"/>
    <w:rsid w:val="002C7FED"/>
    <w:rsid w:val="002D026F"/>
    <w:rsid w:val="002D08EA"/>
    <w:rsid w:val="002D0BE4"/>
    <w:rsid w:val="002D0CE0"/>
    <w:rsid w:val="002D0EB5"/>
    <w:rsid w:val="002D1030"/>
    <w:rsid w:val="002D15A3"/>
    <w:rsid w:val="002D176E"/>
    <w:rsid w:val="002D18CD"/>
    <w:rsid w:val="002D1AD6"/>
    <w:rsid w:val="002D1B96"/>
    <w:rsid w:val="002D1DD4"/>
    <w:rsid w:val="002D216D"/>
    <w:rsid w:val="002D21D0"/>
    <w:rsid w:val="002D238D"/>
    <w:rsid w:val="002D253B"/>
    <w:rsid w:val="002D256D"/>
    <w:rsid w:val="002D2763"/>
    <w:rsid w:val="002D2E36"/>
    <w:rsid w:val="002D3122"/>
    <w:rsid w:val="002D346B"/>
    <w:rsid w:val="002D3698"/>
    <w:rsid w:val="002D391E"/>
    <w:rsid w:val="002D39BD"/>
    <w:rsid w:val="002D3ADF"/>
    <w:rsid w:val="002D3C71"/>
    <w:rsid w:val="002D3D89"/>
    <w:rsid w:val="002D4062"/>
    <w:rsid w:val="002D40D9"/>
    <w:rsid w:val="002D41B0"/>
    <w:rsid w:val="002D43EA"/>
    <w:rsid w:val="002D4606"/>
    <w:rsid w:val="002D4657"/>
    <w:rsid w:val="002D4789"/>
    <w:rsid w:val="002D48E3"/>
    <w:rsid w:val="002D49DF"/>
    <w:rsid w:val="002D4A2E"/>
    <w:rsid w:val="002D4A56"/>
    <w:rsid w:val="002D4C91"/>
    <w:rsid w:val="002D4E49"/>
    <w:rsid w:val="002D4E99"/>
    <w:rsid w:val="002D4FC8"/>
    <w:rsid w:val="002D50CB"/>
    <w:rsid w:val="002D5593"/>
    <w:rsid w:val="002D56FD"/>
    <w:rsid w:val="002D58CE"/>
    <w:rsid w:val="002D58E8"/>
    <w:rsid w:val="002D5C59"/>
    <w:rsid w:val="002D5E4D"/>
    <w:rsid w:val="002D5E61"/>
    <w:rsid w:val="002D60FD"/>
    <w:rsid w:val="002D6280"/>
    <w:rsid w:val="002D6447"/>
    <w:rsid w:val="002D65B2"/>
    <w:rsid w:val="002D65CD"/>
    <w:rsid w:val="002D69B3"/>
    <w:rsid w:val="002D6A36"/>
    <w:rsid w:val="002D6B82"/>
    <w:rsid w:val="002D6D77"/>
    <w:rsid w:val="002D6D8F"/>
    <w:rsid w:val="002D6DF7"/>
    <w:rsid w:val="002D6EDE"/>
    <w:rsid w:val="002D709D"/>
    <w:rsid w:val="002D7322"/>
    <w:rsid w:val="002D7491"/>
    <w:rsid w:val="002D7754"/>
    <w:rsid w:val="002D7964"/>
    <w:rsid w:val="002D7BA1"/>
    <w:rsid w:val="002D7CDA"/>
    <w:rsid w:val="002D7F0B"/>
    <w:rsid w:val="002E0086"/>
    <w:rsid w:val="002E0370"/>
    <w:rsid w:val="002E06D3"/>
    <w:rsid w:val="002E0CD8"/>
    <w:rsid w:val="002E0D09"/>
    <w:rsid w:val="002E121C"/>
    <w:rsid w:val="002E1292"/>
    <w:rsid w:val="002E1494"/>
    <w:rsid w:val="002E186F"/>
    <w:rsid w:val="002E1899"/>
    <w:rsid w:val="002E1A2A"/>
    <w:rsid w:val="002E1A72"/>
    <w:rsid w:val="002E20E7"/>
    <w:rsid w:val="002E24B1"/>
    <w:rsid w:val="002E24B2"/>
    <w:rsid w:val="002E258A"/>
    <w:rsid w:val="002E28A9"/>
    <w:rsid w:val="002E29F7"/>
    <w:rsid w:val="002E2AFA"/>
    <w:rsid w:val="002E2BA4"/>
    <w:rsid w:val="002E2C31"/>
    <w:rsid w:val="002E2EB1"/>
    <w:rsid w:val="002E2F10"/>
    <w:rsid w:val="002E314F"/>
    <w:rsid w:val="002E320D"/>
    <w:rsid w:val="002E35BD"/>
    <w:rsid w:val="002E3796"/>
    <w:rsid w:val="002E37C5"/>
    <w:rsid w:val="002E390E"/>
    <w:rsid w:val="002E3940"/>
    <w:rsid w:val="002E3B75"/>
    <w:rsid w:val="002E3B8A"/>
    <w:rsid w:val="002E3C64"/>
    <w:rsid w:val="002E3D1E"/>
    <w:rsid w:val="002E3D55"/>
    <w:rsid w:val="002E3DB4"/>
    <w:rsid w:val="002E3F19"/>
    <w:rsid w:val="002E4143"/>
    <w:rsid w:val="002E4316"/>
    <w:rsid w:val="002E45F9"/>
    <w:rsid w:val="002E4626"/>
    <w:rsid w:val="002E4893"/>
    <w:rsid w:val="002E4D80"/>
    <w:rsid w:val="002E4DB2"/>
    <w:rsid w:val="002E500A"/>
    <w:rsid w:val="002E5037"/>
    <w:rsid w:val="002E514F"/>
    <w:rsid w:val="002E51D2"/>
    <w:rsid w:val="002E53A5"/>
    <w:rsid w:val="002E53D4"/>
    <w:rsid w:val="002E547C"/>
    <w:rsid w:val="002E55E4"/>
    <w:rsid w:val="002E5A7C"/>
    <w:rsid w:val="002E5BDF"/>
    <w:rsid w:val="002E5EDB"/>
    <w:rsid w:val="002E602B"/>
    <w:rsid w:val="002E65AE"/>
    <w:rsid w:val="002E6883"/>
    <w:rsid w:val="002E6960"/>
    <w:rsid w:val="002E6F2F"/>
    <w:rsid w:val="002E70CA"/>
    <w:rsid w:val="002E70FC"/>
    <w:rsid w:val="002E71B5"/>
    <w:rsid w:val="002E7204"/>
    <w:rsid w:val="002E773E"/>
    <w:rsid w:val="002E7771"/>
    <w:rsid w:val="002E7A0E"/>
    <w:rsid w:val="002E7EFA"/>
    <w:rsid w:val="002E7FC7"/>
    <w:rsid w:val="002F0004"/>
    <w:rsid w:val="002F0039"/>
    <w:rsid w:val="002F00B4"/>
    <w:rsid w:val="002F0160"/>
    <w:rsid w:val="002F037E"/>
    <w:rsid w:val="002F04C9"/>
    <w:rsid w:val="002F04E8"/>
    <w:rsid w:val="002F0B65"/>
    <w:rsid w:val="002F0E42"/>
    <w:rsid w:val="002F1035"/>
    <w:rsid w:val="002F12AD"/>
    <w:rsid w:val="002F1500"/>
    <w:rsid w:val="002F16AD"/>
    <w:rsid w:val="002F1C24"/>
    <w:rsid w:val="002F1C7E"/>
    <w:rsid w:val="002F1FAC"/>
    <w:rsid w:val="002F1FDA"/>
    <w:rsid w:val="002F2012"/>
    <w:rsid w:val="002F21D5"/>
    <w:rsid w:val="002F21F1"/>
    <w:rsid w:val="002F21F5"/>
    <w:rsid w:val="002F26A1"/>
    <w:rsid w:val="002F26FC"/>
    <w:rsid w:val="002F2AB5"/>
    <w:rsid w:val="002F2F28"/>
    <w:rsid w:val="002F3037"/>
    <w:rsid w:val="002F307F"/>
    <w:rsid w:val="002F320C"/>
    <w:rsid w:val="002F36A5"/>
    <w:rsid w:val="002F3A56"/>
    <w:rsid w:val="002F3AAB"/>
    <w:rsid w:val="002F426F"/>
    <w:rsid w:val="002F4272"/>
    <w:rsid w:val="002F45C0"/>
    <w:rsid w:val="002F460C"/>
    <w:rsid w:val="002F4762"/>
    <w:rsid w:val="002F4998"/>
    <w:rsid w:val="002F4CA0"/>
    <w:rsid w:val="002F50AA"/>
    <w:rsid w:val="002F50BE"/>
    <w:rsid w:val="002F5101"/>
    <w:rsid w:val="002F531E"/>
    <w:rsid w:val="002F538D"/>
    <w:rsid w:val="002F572C"/>
    <w:rsid w:val="002F579E"/>
    <w:rsid w:val="002F5859"/>
    <w:rsid w:val="002F5861"/>
    <w:rsid w:val="002F5962"/>
    <w:rsid w:val="002F5F23"/>
    <w:rsid w:val="002F601B"/>
    <w:rsid w:val="002F62A6"/>
    <w:rsid w:val="002F6386"/>
    <w:rsid w:val="002F63A7"/>
    <w:rsid w:val="002F646B"/>
    <w:rsid w:val="002F6504"/>
    <w:rsid w:val="002F667C"/>
    <w:rsid w:val="002F6AFC"/>
    <w:rsid w:val="002F6B3C"/>
    <w:rsid w:val="002F6CFD"/>
    <w:rsid w:val="002F74D9"/>
    <w:rsid w:val="002F766A"/>
    <w:rsid w:val="002F79D0"/>
    <w:rsid w:val="002F79D7"/>
    <w:rsid w:val="002F7CA5"/>
    <w:rsid w:val="002F7CE5"/>
    <w:rsid w:val="002F7D64"/>
    <w:rsid w:val="003001E3"/>
    <w:rsid w:val="0030022B"/>
    <w:rsid w:val="0030023E"/>
    <w:rsid w:val="003003C8"/>
    <w:rsid w:val="00300675"/>
    <w:rsid w:val="003006C1"/>
    <w:rsid w:val="003009CB"/>
    <w:rsid w:val="00300A57"/>
    <w:rsid w:val="00300F43"/>
    <w:rsid w:val="003010FE"/>
    <w:rsid w:val="003013BD"/>
    <w:rsid w:val="0030184D"/>
    <w:rsid w:val="00301C38"/>
    <w:rsid w:val="00301D44"/>
    <w:rsid w:val="00301F0C"/>
    <w:rsid w:val="00302230"/>
    <w:rsid w:val="0030227E"/>
    <w:rsid w:val="003023EE"/>
    <w:rsid w:val="00302520"/>
    <w:rsid w:val="003026EA"/>
    <w:rsid w:val="00302779"/>
    <w:rsid w:val="00302C03"/>
    <w:rsid w:val="00302C4E"/>
    <w:rsid w:val="00302C7D"/>
    <w:rsid w:val="00302E11"/>
    <w:rsid w:val="00302F98"/>
    <w:rsid w:val="0030326F"/>
    <w:rsid w:val="00303358"/>
    <w:rsid w:val="00303438"/>
    <w:rsid w:val="00303704"/>
    <w:rsid w:val="00303812"/>
    <w:rsid w:val="00303824"/>
    <w:rsid w:val="0030398F"/>
    <w:rsid w:val="0030402C"/>
    <w:rsid w:val="003041D1"/>
    <w:rsid w:val="0030462F"/>
    <w:rsid w:val="0030481C"/>
    <w:rsid w:val="00304904"/>
    <w:rsid w:val="003049F1"/>
    <w:rsid w:val="00304ABF"/>
    <w:rsid w:val="00305171"/>
    <w:rsid w:val="003052F2"/>
    <w:rsid w:val="00305414"/>
    <w:rsid w:val="003054A0"/>
    <w:rsid w:val="003054E6"/>
    <w:rsid w:val="00305504"/>
    <w:rsid w:val="00305772"/>
    <w:rsid w:val="003059BA"/>
    <w:rsid w:val="003062E0"/>
    <w:rsid w:val="00306462"/>
    <w:rsid w:val="00306A53"/>
    <w:rsid w:val="00306B49"/>
    <w:rsid w:val="00306B8C"/>
    <w:rsid w:val="00306BB0"/>
    <w:rsid w:val="00306CE2"/>
    <w:rsid w:val="00306DAF"/>
    <w:rsid w:val="003070D0"/>
    <w:rsid w:val="0030712A"/>
    <w:rsid w:val="003071E7"/>
    <w:rsid w:val="00307251"/>
    <w:rsid w:val="00307347"/>
    <w:rsid w:val="00307677"/>
    <w:rsid w:val="00307995"/>
    <w:rsid w:val="00307CA8"/>
    <w:rsid w:val="00307E93"/>
    <w:rsid w:val="00310041"/>
    <w:rsid w:val="0031039B"/>
    <w:rsid w:val="00310473"/>
    <w:rsid w:val="003105C4"/>
    <w:rsid w:val="003109E1"/>
    <w:rsid w:val="00310C7D"/>
    <w:rsid w:val="00310C91"/>
    <w:rsid w:val="00310D6E"/>
    <w:rsid w:val="00310E35"/>
    <w:rsid w:val="0031118A"/>
    <w:rsid w:val="003112EE"/>
    <w:rsid w:val="0031159C"/>
    <w:rsid w:val="003116F8"/>
    <w:rsid w:val="00311734"/>
    <w:rsid w:val="003117B7"/>
    <w:rsid w:val="003117E4"/>
    <w:rsid w:val="00311D4A"/>
    <w:rsid w:val="00311F96"/>
    <w:rsid w:val="003120F3"/>
    <w:rsid w:val="0031218B"/>
    <w:rsid w:val="003122E6"/>
    <w:rsid w:val="003123D9"/>
    <w:rsid w:val="0031255E"/>
    <w:rsid w:val="00312932"/>
    <w:rsid w:val="00312BE4"/>
    <w:rsid w:val="00312C7C"/>
    <w:rsid w:val="003130A7"/>
    <w:rsid w:val="003130B8"/>
    <w:rsid w:val="00313376"/>
    <w:rsid w:val="003134C1"/>
    <w:rsid w:val="00313729"/>
    <w:rsid w:val="0031375F"/>
    <w:rsid w:val="00313980"/>
    <w:rsid w:val="00313BB0"/>
    <w:rsid w:val="00313C67"/>
    <w:rsid w:val="00313E75"/>
    <w:rsid w:val="00314008"/>
    <w:rsid w:val="0031404F"/>
    <w:rsid w:val="0031420E"/>
    <w:rsid w:val="0031428C"/>
    <w:rsid w:val="003142D8"/>
    <w:rsid w:val="00314669"/>
    <w:rsid w:val="00314A70"/>
    <w:rsid w:val="00314AED"/>
    <w:rsid w:val="00314D05"/>
    <w:rsid w:val="00314E6F"/>
    <w:rsid w:val="00314F13"/>
    <w:rsid w:val="00314F34"/>
    <w:rsid w:val="0031531C"/>
    <w:rsid w:val="003159FB"/>
    <w:rsid w:val="00315AB4"/>
    <w:rsid w:val="00315F8D"/>
    <w:rsid w:val="003163E1"/>
    <w:rsid w:val="00316417"/>
    <w:rsid w:val="003164B5"/>
    <w:rsid w:val="003167F8"/>
    <w:rsid w:val="003168B1"/>
    <w:rsid w:val="00316A4F"/>
    <w:rsid w:val="00316DFE"/>
    <w:rsid w:val="00317169"/>
    <w:rsid w:val="003172C2"/>
    <w:rsid w:val="003172D4"/>
    <w:rsid w:val="00317547"/>
    <w:rsid w:val="00317C65"/>
    <w:rsid w:val="00317D25"/>
    <w:rsid w:val="0032009D"/>
    <w:rsid w:val="00320167"/>
    <w:rsid w:val="003202B1"/>
    <w:rsid w:val="003202EB"/>
    <w:rsid w:val="00320692"/>
    <w:rsid w:val="00320A2F"/>
    <w:rsid w:val="00321193"/>
    <w:rsid w:val="003214C3"/>
    <w:rsid w:val="00321669"/>
    <w:rsid w:val="0032181A"/>
    <w:rsid w:val="00321A8D"/>
    <w:rsid w:val="00321A94"/>
    <w:rsid w:val="00321BF3"/>
    <w:rsid w:val="00321BF4"/>
    <w:rsid w:val="00321E33"/>
    <w:rsid w:val="00321E63"/>
    <w:rsid w:val="00321EC2"/>
    <w:rsid w:val="00322026"/>
    <w:rsid w:val="00322053"/>
    <w:rsid w:val="00322292"/>
    <w:rsid w:val="00322611"/>
    <w:rsid w:val="0032294C"/>
    <w:rsid w:val="00322A1A"/>
    <w:rsid w:val="00322C28"/>
    <w:rsid w:val="00322E37"/>
    <w:rsid w:val="00322F31"/>
    <w:rsid w:val="00322FF2"/>
    <w:rsid w:val="00323400"/>
    <w:rsid w:val="00323A61"/>
    <w:rsid w:val="00323B13"/>
    <w:rsid w:val="00323B84"/>
    <w:rsid w:val="00323DA8"/>
    <w:rsid w:val="00323F56"/>
    <w:rsid w:val="00324219"/>
    <w:rsid w:val="0032437D"/>
    <w:rsid w:val="003243AA"/>
    <w:rsid w:val="00324682"/>
    <w:rsid w:val="00324A2E"/>
    <w:rsid w:val="003250F7"/>
    <w:rsid w:val="00325181"/>
    <w:rsid w:val="0032549D"/>
    <w:rsid w:val="003254A6"/>
    <w:rsid w:val="00325787"/>
    <w:rsid w:val="00325880"/>
    <w:rsid w:val="00325C21"/>
    <w:rsid w:val="00325E3B"/>
    <w:rsid w:val="00325E58"/>
    <w:rsid w:val="00325F41"/>
    <w:rsid w:val="00326029"/>
    <w:rsid w:val="003261A9"/>
    <w:rsid w:val="003262DC"/>
    <w:rsid w:val="00326366"/>
    <w:rsid w:val="00326908"/>
    <w:rsid w:val="00326A36"/>
    <w:rsid w:val="00326B12"/>
    <w:rsid w:val="00326D97"/>
    <w:rsid w:val="00326FF2"/>
    <w:rsid w:val="0032720A"/>
    <w:rsid w:val="00327374"/>
    <w:rsid w:val="0032757E"/>
    <w:rsid w:val="003275CC"/>
    <w:rsid w:val="003276E0"/>
    <w:rsid w:val="003278EC"/>
    <w:rsid w:val="00327DEB"/>
    <w:rsid w:val="00327FA1"/>
    <w:rsid w:val="00330073"/>
    <w:rsid w:val="0033021E"/>
    <w:rsid w:val="00330229"/>
    <w:rsid w:val="00330258"/>
    <w:rsid w:val="00330593"/>
    <w:rsid w:val="00330704"/>
    <w:rsid w:val="003307D6"/>
    <w:rsid w:val="00330952"/>
    <w:rsid w:val="00330E26"/>
    <w:rsid w:val="00330EAF"/>
    <w:rsid w:val="0033109C"/>
    <w:rsid w:val="003314A4"/>
    <w:rsid w:val="00331557"/>
    <w:rsid w:val="003315C5"/>
    <w:rsid w:val="003317C0"/>
    <w:rsid w:val="003317D7"/>
    <w:rsid w:val="003319CD"/>
    <w:rsid w:val="003319EB"/>
    <w:rsid w:val="00331CC0"/>
    <w:rsid w:val="00331E07"/>
    <w:rsid w:val="00331E0E"/>
    <w:rsid w:val="0033204D"/>
    <w:rsid w:val="003320D5"/>
    <w:rsid w:val="003321EE"/>
    <w:rsid w:val="003322D9"/>
    <w:rsid w:val="00332582"/>
    <w:rsid w:val="003327F4"/>
    <w:rsid w:val="00332816"/>
    <w:rsid w:val="00332B7A"/>
    <w:rsid w:val="00332F34"/>
    <w:rsid w:val="00333214"/>
    <w:rsid w:val="00333828"/>
    <w:rsid w:val="0033386F"/>
    <w:rsid w:val="003338DD"/>
    <w:rsid w:val="00333D57"/>
    <w:rsid w:val="00333E0E"/>
    <w:rsid w:val="00333FB9"/>
    <w:rsid w:val="00334008"/>
    <w:rsid w:val="0033419F"/>
    <w:rsid w:val="00334218"/>
    <w:rsid w:val="0033453F"/>
    <w:rsid w:val="003345EE"/>
    <w:rsid w:val="00334DBF"/>
    <w:rsid w:val="00334E39"/>
    <w:rsid w:val="00334E46"/>
    <w:rsid w:val="00334E99"/>
    <w:rsid w:val="00334EDF"/>
    <w:rsid w:val="00334F60"/>
    <w:rsid w:val="003352D1"/>
    <w:rsid w:val="003353FE"/>
    <w:rsid w:val="003356D7"/>
    <w:rsid w:val="00335AB9"/>
    <w:rsid w:val="00335C81"/>
    <w:rsid w:val="003360F8"/>
    <w:rsid w:val="00336220"/>
    <w:rsid w:val="00336485"/>
    <w:rsid w:val="003365CC"/>
    <w:rsid w:val="00336627"/>
    <w:rsid w:val="00336778"/>
    <w:rsid w:val="003367A7"/>
    <w:rsid w:val="003368EB"/>
    <w:rsid w:val="00336A7C"/>
    <w:rsid w:val="00336B54"/>
    <w:rsid w:val="00336CA5"/>
    <w:rsid w:val="00336DAD"/>
    <w:rsid w:val="00336E70"/>
    <w:rsid w:val="00336ECB"/>
    <w:rsid w:val="00336F13"/>
    <w:rsid w:val="00336F51"/>
    <w:rsid w:val="00336FEB"/>
    <w:rsid w:val="00337000"/>
    <w:rsid w:val="00337231"/>
    <w:rsid w:val="003372B4"/>
    <w:rsid w:val="003372BC"/>
    <w:rsid w:val="003372DE"/>
    <w:rsid w:val="00337BB8"/>
    <w:rsid w:val="00337C16"/>
    <w:rsid w:val="00337C59"/>
    <w:rsid w:val="00340032"/>
    <w:rsid w:val="0034003C"/>
    <w:rsid w:val="003407BE"/>
    <w:rsid w:val="00340A59"/>
    <w:rsid w:val="00340B81"/>
    <w:rsid w:val="00340BC8"/>
    <w:rsid w:val="00340FAE"/>
    <w:rsid w:val="0034112D"/>
    <w:rsid w:val="0034116F"/>
    <w:rsid w:val="00341407"/>
    <w:rsid w:val="003414FA"/>
    <w:rsid w:val="0034178E"/>
    <w:rsid w:val="00341795"/>
    <w:rsid w:val="003417F2"/>
    <w:rsid w:val="00341B82"/>
    <w:rsid w:val="00341C58"/>
    <w:rsid w:val="00341FF2"/>
    <w:rsid w:val="003422F8"/>
    <w:rsid w:val="0034232A"/>
    <w:rsid w:val="003428E1"/>
    <w:rsid w:val="00342AEF"/>
    <w:rsid w:val="00342B6E"/>
    <w:rsid w:val="00342CFC"/>
    <w:rsid w:val="00342F80"/>
    <w:rsid w:val="0034322E"/>
    <w:rsid w:val="00343578"/>
    <w:rsid w:val="0034359C"/>
    <w:rsid w:val="00343600"/>
    <w:rsid w:val="00343983"/>
    <w:rsid w:val="00343992"/>
    <w:rsid w:val="00343E15"/>
    <w:rsid w:val="00344368"/>
    <w:rsid w:val="003448CA"/>
    <w:rsid w:val="00344A35"/>
    <w:rsid w:val="003450EE"/>
    <w:rsid w:val="003450FC"/>
    <w:rsid w:val="0034514B"/>
    <w:rsid w:val="00345525"/>
    <w:rsid w:val="00345740"/>
    <w:rsid w:val="003458D8"/>
    <w:rsid w:val="003458F4"/>
    <w:rsid w:val="00345A24"/>
    <w:rsid w:val="00345ABD"/>
    <w:rsid w:val="003462E3"/>
    <w:rsid w:val="0034656E"/>
    <w:rsid w:val="00346617"/>
    <w:rsid w:val="0034680A"/>
    <w:rsid w:val="00346940"/>
    <w:rsid w:val="00346B8C"/>
    <w:rsid w:val="00346BC6"/>
    <w:rsid w:val="00346C12"/>
    <w:rsid w:val="00346E15"/>
    <w:rsid w:val="003471AD"/>
    <w:rsid w:val="003472DA"/>
    <w:rsid w:val="00347483"/>
    <w:rsid w:val="0034757E"/>
    <w:rsid w:val="003476CB"/>
    <w:rsid w:val="0034770A"/>
    <w:rsid w:val="0034777D"/>
    <w:rsid w:val="00347EC2"/>
    <w:rsid w:val="00350657"/>
    <w:rsid w:val="003509E5"/>
    <w:rsid w:val="00350CC0"/>
    <w:rsid w:val="00350CE0"/>
    <w:rsid w:val="00350E92"/>
    <w:rsid w:val="00350F05"/>
    <w:rsid w:val="00350F0E"/>
    <w:rsid w:val="00350F14"/>
    <w:rsid w:val="00350F2B"/>
    <w:rsid w:val="00350FB3"/>
    <w:rsid w:val="003510C1"/>
    <w:rsid w:val="003511B5"/>
    <w:rsid w:val="0035138A"/>
    <w:rsid w:val="003519D0"/>
    <w:rsid w:val="003519FF"/>
    <w:rsid w:val="00351D20"/>
    <w:rsid w:val="003521AC"/>
    <w:rsid w:val="003524B6"/>
    <w:rsid w:val="00352B47"/>
    <w:rsid w:val="00352C61"/>
    <w:rsid w:val="0035313E"/>
    <w:rsid w:val="00353373"/>
    <w:rsid w:val="00353414"/>
    <w:rsid w:val="003534B2"/>
    <w:rsid w:val="00353A1E"/>
    <w:rsid w:val="00353C2C"/>
    <w:rsid w:val="00353C4F"/>
    <w:rsid w:val="00353C7D"/>
    <w:rsid w:val="00354436"/>
    <w:rsid w:val="00354696"/>
    <w:rsid w:val="00354C34"/>
    <w:rsid w:val="00354C84"/>
    <w:rsid w:val="0035510A"/>
    <w:rsid w:val="0035517A"/>
    <w:rsid w:val="0035519A"/>
    <w:rsid w:val="00355242"/>
    <w:rsid w:val="003552EF"/>
    <w:rsid w:val="003555D5"/>
    <w:rsid w:val="003556EF"/>
    <w:rsid w:val="00355977"/>
    <w:rsid w:val="00355EF7"/>
    <w:rsid w:val="00355F7F"/>
    <w:rsid w:val="0035623C"/>
    <w:rsid w:val="0035627E"/>
    <w:rsid w:val="003562FC"/>
    <w:rsid w:val="003565AE"/>
    <w:rsid w:val="003565FE"/>
    <w:rsid w:val="00356942"/>
    <w:rsid w:val="00356ABC"/>
    <w:rsid w:val="00356BEB"/>
    <w:rsid w:val="00356C57"/>
    <w:rsid w:val="00357493"/>
    <w:rsid w:val="00357A2F"/>
    <w:rsid w:val="00357A6B"/>
    <w:rsid w:val="00357C18"/>
    <w:rsid w:val="00357C58"/>
    <w:rsid w:val="00357D42"/>
    <w:rsid w:val="003603A3"/>
    <w:rsid w:val="0036059A"/>
    <w:rsid w:val="003605EF"/>
    <w:rsid w:val="00360618"/>
    <w:rsid w:val="00360A13"/>
    <w:rsid w:val="00360A29"/>
    <w:rsid w:val="00360AE2"/>
    <w:rsid w:val="00360E84"/>
    <w:rsid w:val="00361095"/>
    <w:rsid w:val="00361244"/>
    <w:rsid w:val="0036134F"/>
    <w:rsid w:val="003614C5"/>
    <w:rsid w:val="0036171D"/>
    <w:rsid w:val="00361861"/>
    <w:rsid w:val="00361EB9"/>
    <w:rsid w:val="00361EDC"/>
    <w:rsid w:val="0036220A"/>
    <w:rsid w:val="00362329"/>
    <w:rsid w:val="0036247F"/>
    <w:rsid w:val="003626AB"/>
    <w:rsid w:val="0036287A"/>
    <w:rsid w:val="00362947"/>
    <w:rsid w:val="00362971"/>
    <w:rsid w:val="00362B7E"/>
    <w:rsid w:val="00362D9E"/>
    <w:rsid w:val="00362E83"/>
    <w:rsid w:val="00362FE7"/>
    <w:rsid w:val="0036350F"/>
    <w:rsid w:val="0036363F"/>
    <w:rsid w:val="003636F1"/>
    <w:rsid w:val="00363991"/>
    <w:rsid w:val="00363BB9"/>
    <w:rsid w:val="00363DAD"/>
    <w:rsid w:val="00363E57"/>
    <w:rsid w:val="00363F2C"/>
    <w:rsid w:val="00363F5A"/>
    <w:rsid w:val="00363FF8"/>
    <w:rsid w:val="00364060"/>
    <w:rsid w:val="003640E1"/>
    <w:rsid w:val="003641AA"/>
    <w:rsid w:val="0036422F"/>
    <w:rsid w:val="00364620"/>
    <w:rsid w:val="0036466F"/>
    <w:rsid w:val="003647C0"/>
    <w:rsid w:val="003648E0"/>
    <w:rsid w:val="00364997"/>
    <w:rsid w:val="00364C28"/>
    <w:rsid w:val="00365024"/>
    <w:rsid w:val="00365071"/>
    <w:rsid w:val="0036533B"/>
    <w:rsid w:val="00365919"/>
    <w:rsid w:val="00365949"/>
    <w:rsid w:val="003659EB"/>
    <w:rsid w:val="00365A90"/>
    <w:rsid w:val="00365B43"/>
    <w:rsid w:val="00365DF6"/>
    <w:rsid w:val="0036633F"/>
    <w:rsid w:val="003663D4"/>
    <w:rsid w:val="0036663A"/>
    <w:rsid w:val="00366D27"/>
    <w:rsid w:val="00366FAA"/>
    <w:rsid w:val="00367000"/>
    <w:rsid w:val="00367081"/>
    <w:rsid w:val="0036709B"/>
    <w:rsid w:val="00367306"/>
    <w:rsid w:val="00367422"/>
    <w:rsid w:val="00367463"/>
    <w:rsid w:val="00367519"/>
    <w:rsid w:val="00367725"/>
    <w:rsid w:val="00367C27"/>
    <w:rsid w:val="00367C72"/>
    <w:rsid w:val="00367CB0"/>
    <w:rsid w:val="00370031"/>
    <w:rsid w:val="0037012E"/>
    <w:rsid w:val="0037013C"/>
    <w:rsid w:val="003702D0"/>
    <w:rsid w:val="003706B1"/>
    <w:rsid w:val="003708A2"/>
    <w:rsid w:val="00370952"/>
    <w:rsid w:val="00370BCC"/>
    <w:rsid w:val="00370FD6"/>
    <w:rsid w:val="003711C1"/>
    <w:rsid w:val="003713AF"/>
    <w:rsid w:val="00371611"/>
    <w:rsid w:val="00371896"/>
    <w:rsid w:val="003718B4"/>
    <w:rsid w:val="003719D3"/>
    <w:rsid w:val="00371AB1"/>
    <w:rsid w:val="00371CA2"/>
    <w:rsid w:val="00371DD2"/>
    <w:rsid w:val="003721D8"/>
    <w:rsid w:val="0037229F"/>
    <w:rsid w:val="0037242D"/>
    <w:rsid w:val="00372AA5"/>
    <w:rsid w:val="00372EFF"/>
    <w:rsid w:val="00373345"/>
    <w:rsid w:val="00373808"/>
    <w:rsid w:val="00373851"/>
    <w:rsid w:val="0037393E"/>
    <w:rsid w:val="0037397F"/>
    <w:rsid w:val="00373A2C"/>
    <w:rsid w:val="00373B01"/>
    <w:rsid w:val="00373DF3"/>
    <w:rsid w:val="00373E29"/>
    <w:rsid w:val="00373EEF"/>
    <w:rsid w:val="00373F5A"/>
    <w:rsid w:val="0037404D"/>
    <w:rsid w:val="003743E9"/>
    <w:rsid w:val="003743EB"/>
    <w:rsid w:val="00374550"/>
    <w:rsid w:val="0037483A"/>
    <w:rsid w:val="00374848"/>
    <w:rsid w:val="0037485E"/>
    <w:rsid w:val="00374925"/>
    <w:rsid w:val="00374B4F"/>
    <w:rsid w:val="00374E2B"/>
    <w:rsid w:val="00374EEC"/>
    <w:rsid w:val="00375012"/>
    <w:rsid w:val="00375044"/>
    <w:rsid w:val="0037561C"/>
    <w:rsid w:val="003758BD"/>
    <w:rsid w:val="0037597F"/>
    <w:rsid w:val="00375A83"/>
    <w:rsid w:val="00375DFF"/>
    <w:rsid w:val="003760A4"/>
    <w:rsid w:val="00376491"/>
    <w:rsid w:val="0037655B"/>
    <w:rsid w:val="00376613"/>
    <w:rsid w:val="00376932"/>
    <w:rsid w:val="00376CEF"/>
    <w:rsid w:val="00376CF8"/>
    <w:rsid w:val="00376D1A"/>
    <w:rsid w:val="00376D20"/>
    <w:rsid w:val="003771F5"/>
    <w:rsid w:val="0037721D"/>
    <w:rsid w:val="0037746B"/>
    <w:rsid w:val="00377685"/>
    <w:rsid w:val="003777C6"/>
    <w:rsid w:val="003777CA"/>
    <w:rsid w:val="003778B0"/>
    <w:rsid w:val="00377BB4"/>
    <w:rsid w:val="00377CDD"/>
    <w:rsid w:val="00377CF9"/>
    <w:rsid w:val="00377E2A"/>
    <w:rsid w:val="00380084"/>
    <w:rsid w:val="00380168"/>
    <w:rsid w:val="00380274"/>
    <w:rsid w:val="003805E4"/>
    <w:rsid w:val="003806C5"/>
    <w:rsid w:val="00380890"/>
    <w:rsid w:val="003809E8"/>
    <w:rsid w:val="0038102A"/>
    <w:rsid w:val="00381819"/>
    <w:rsid w:val="003818F9"/>
    <w:rsid w:val="00381E04"/>
    <w:rsid w:val="00381EA4"/>
    <w:rsid w:val="00382347"/>
    <w:rsid w:val="0038246F"/>
    <w:rsid w:val="00382759"/>
    <w:rsid w:val="00382965"/>
    <w:rsid w:val="003829BE"/>
    <w:rsid w:val="00382A49"/>
    <w:rsid w:val="00382B53"/>
    <w:rsid w:val="00382C0F"/>
    <w:rsid w:val="00382CC7"/>
    <w:rsid w:val="00382D87"/>
    <w:rsid w:val="00382DDA"/>
    <w:rsid w:val="00382E18"/>
    <w:rsid w:val="00382E5D"/>
    <w:rsid w:val="00382EFB"/>
    <w:rsid w:val="00382FFB"/>
    <w:rsid w:val="00383062"/>
    <w:rsid w:val="00383167"/>
    <w:rsid w:val="003831BE"/>
    <w:rsid w:val="003831DB"/>
    <w:rsid w:val="003833B4"/>
    <w:rsid w:val="003835CF"/>
    <w:rsid w:val="00383656"/>
    <w:rsid w:val="0038371B"/>
    <w:rsid w:val="00383C23"/>
    <w:rsid w:val="00383F4D"/>
    <w:rsid w:val="00383FD5"/>
    <w:rsid w:val="003844D9"/>
    <w:rsid w:val="00384790"/>
    <w:rsid w:val="00384B80"/>
    <w:rsid w:val="00384BA4"/>
    <w:rsid w:val="00384F6A"/>
    <w:rsid w:val="00384F90"/>
    <w:rsid w:val="00384FB8"/>
    <w:rsid w:val="003850C5"/>
    <w:rsid w:val="003851A1"/>
    <w:rsid w:val="00385724"/>
    <w:rsid w:val="00385A35"/>
    <w:rsid w:val="00385D5A"/>
    <w:rsid w:val="00385DA5"/>
    <w:rsid w:val="00385DD9"/>
    <w:rsid w:val="00385EB1"/>
    <w:rsid w:val="00385FFA"/>
    <w:rsid w:val="0038608D"/>
    <w:rsid w:val="003865EF"/>
    <w:rsid w:val="003867C1"/>
    <w:rsid w:val="00386A67"/>
    <w:rsid w:val="00386B37"/>
    <w:rsid w:val="00386C27"/>
    <w:rsid w:val="00386CDD"/>
    <w:rsid w:val="00386CEF"/>
    <w:rsid w:val="00386D20"/>
    <w:rsid w:val="0038797A"/>
    <w:rsid w:val="00387B91"/>
    <w:rsid w:val="00387D4D"/>
    <w:rsid w:val="00387F3D"/>
    <w:rsid w:val="00390105"/>
    <w:rsid w:val="003901B1"/>
    <w:rsid w:val="00390251"/>
    <w:rsid w:val="0039056C"/>
    <w:rsid w:val="003906A4"/>
    <w:rsid w:val="00390BA1"/>
    <w:rsid w:val="00390BDE"/>
    <w:rsid w:val="00390C91"/>
    <w:rsid w:val="00390CA0"/>
    <w:rsid w:val="00390DE7"/>
    <w:rsid w:val="003912EA"/>
    <w:rsid w:val="003913BA"/>
    <w:rsid w:val="003915C8"/>
    <w:rsid w:val="0039169A"/>
    <w:rsid w:val="0039198C"/>
    <w:rsid w:val="00392097"/>
    <w:rsid w:val="0039238C"/>
    <w:rsid w:val="003923ED"/>
    <w:rsid w:val="0039271C"/>
    <w:rsid w:val="00392939"/>
    <w:rsid w:val="00392BC4"/>
    <w:rsid w:val="00392DF9"/>
    <w:rsid w:val="00392EB3"/>
    <w:rsid w:val="00392F92"/>
    <w:rsid w:val="00393127"/>
    <w:rsid w:val="00393299"/>
    <w:rsid w:val="003934D7"/>
    <w:rsid w:val="00393787"/>
    <w:rsid w:val="003937F0"/>
    <w:rsid w:val="00393C59"/>
    <w:rsid w:val="00393CD0"/>
    <w:rsid w:val="00393E8D"/>
    <w:rsid w:val="00393F11"/>
    <w:rsid w:val="00393F7F"/>
    <w:rsid w:val="003941FD"/>
    <w:rsid w:val="0039448D"/>
    <w:rsid w:val="00394530"/>
    <w:rsid w:val="00394873"/>
    <w:rsid w:val="003948B0"/>
    <w:rsid w:val="00394922"/>
    <w:rsid w:val="00394B45"/>
    <w:rsid w:val="00394C89"/>
    <w:rsid w:val="00394FEA"/>
    <w:rsid w:val="003950CC"/>
    <w:rsid w:val="003951EB"/>
    <w:rsid w:val="003953E5"/>
    <w:rsid w:val="0039577B"/>
    <w:rsid w:val="0039579B"/>
    <w:rsid w:val="003957CA"/>
    <w:rsid w:val="00395C52"/>
    <w:rsid w:val="00395C67"/>
    <w:rsid w:val="00395C92"/>
    <w:rsid w:val="00395D1E"/>
    <w:rsid w:val="00395DC1"/>
    <w:rsid w:val="00396162"/>
    <w:rsid w:val="0039628B"/>
    <w:rsid w:val="0039629A"/>
    <w:rsid w:val="003962CE"/>
    <w:rsid w:val="00396501"/>
    <w:rsid w:val="003967D8"/>
    <w:rsid w:val="00396888"/>
    <w:rsid w:val="003969A4"/>
    <w:rsid w:val="003969ED"/>
    <w:rsid w:val="00396C19"/>
    <w:rsid w:val="00397251"/>
    <w:rsid w:val="003973A1"/>
    <w:rsid w:val="003973C0"/>
    <w:rsid w:val="003975CD"/>
    <w:rsid w:val="00397774"/>
    <w:rsid w:val="0039785B"/>
    <w:rsid w:val="00397A94"/>
    <w:rsid w:val="00397B31"/>
    <w:rsid w:val="00397B81"/>
    <w:rsid w:val="00397FF4"/>
    <w:rsid w:val="003A028E"/>
    <w:rsid w:val="003A0304"/>
    <w:rsid w:val="003A0329"/>
    <w:rsid w:val="003A03F5"/>
    <w:rsid w:val="003A05DF"/>
    <w:rsid w:val="003A08BB"/>
    <w:rsid w:val="003A0985"/>
    <w:rsid w:val="003A0A75"/>
    <w:rsid w:val="003A0B69"/>
    <w:rsid w:val="003A0C10"/>
    <w:rsid w:val="003A0E1C"/>
    <w:rsid w:val="003A0EBA"/>
    <w:rsid w:val="003A0F42"/>
    <w:rsid w:val="003A0FC6"/>
    <w:rsid w:val="003A1771"/>
    <w:rsid w:val="003A1ADE"/>
    <w:rsid w:val="003A1D3B"/>
    <w:rsid w:val="003A1E9A"/>
    <w:rsid w:val="003A2167"/>
    <w:rsid w:val="003A21C7"/>
    <w:rsid w:val="003A21D0"/>
    <w:rsid w:val="003A2380"/>
    <w:rsid w:val="003A240B"/>
    <w:rsid w:val="003A2472"/>
    <w:rsid w:val="003A2B79"/>
    <w:rsid w:val="003A2C3E"/>
    <w:rsid w:val="003A2DFC"/>
    <w:rsid w:val="003A30ED"/>
    <w:rsid w:val="003A390B"/>
    <w:rsid w:val="003A39BB"/>
    <w:rsid w:val="003A39C5"/>
    <w:rsid w:val="003A39F4"/>
    <w:rsid w:val="003A3AD3"/>
    <w:rsid w:val="003A3AEB"/>
    <w:rsid w:val="003A420D"/>
    <w:rsid w:val="003A43E2"/>
    <w:rsid w:val="003A440D"/>
    <w:rsid w:val="003A448E"/>
    <w:rsid w:val="003A46E4"/>
    <w:rsid w:val="003A4930"/>
    <w:rsid w:val="003A4DBE"/>
    <w:rsid w:val="003A57B1"/>
    <w:rsid w:val="003A5AC1"/>
    <w:rsid w:val="003A61F4"/>
    <w:rsid w:val="003A64B8"/>
    <w:rsid w:val="003A64F4"/>
    <w:rsid w:val="003A677E"/>
    <w:rsid w:val="003A69B0"/>
    <w:rsid w:val="003A6C93"/>
    <w:rsid w:val="003A6EA3"/>
    <w:rsid w:val="003A6EB1"/>
    <w:rsid w:val="003A6F4E"/>
    <w:rsid w:val="003A713E"/>
    <w:rsid w:val="003A7146"/>
    <w:rsid w:val="003A743E"/>
    <w:rsid w:val="003A746B"/>
    <w:rsid w:val="003A7A1A"/>
    <w:rsid w:val="003A7ADE"/>
    <w:rsid w:val="003A7CAA"/>
    <w:rsid w:val="003A7F7F"/>
    <w:rsid w:val="003B0192"/>
    <w:rsid w:val="003B026D"/>
    <w:rsid w:val="003B06EE"/>
    <w:rsid w:val="003B0C62"/>
    <w:rsid w:val="003B0DA1"/>
    <w:rsid w:val="003B0F67"/>
    <w:rsid w:val="003B105C"/>
    <w:rsid w:val="003B1154"/>
    <w:rsid w:val="003B15B1"/>
    <w:rsid w:val="003B19F6"/>
    <w:rsid w:val="003B1AE1"/>
    <w:rsid w:val="003B1B45"/>
    <w:rsid w:val="003B1B7E"/>
    <w:rsid w:val="003B1DCB"/>
    <w:rsid w:val="003B2393"/>
    <w:rsid w:val="003B2544"/>
    <w:rsid w:val="003B2746"/>
    <w:rsid w:val="003B27F1"/>
    <w:rsid w:val="003B285E"/>
    <w:rsid w:val="003B2A34"/>
    <w:rsid w:val="003B2ACA"/>
    <w:rsid w:val="003B2DDD"/>
    <w:rsid w:val="003B2F0C"/>
    <w:rsid w:val="003B31CA"/>
    <w:rsid w:val="003B34C0"/>
    <w:rsid w:val="003B3519"/>
    <w:rsid w:val="003B36B6"/>
    <w:rsid w:val="003B37AC"/>
    <w:rsid w:val="003B3FF8"/>
    <w:rsid w:val="003B41A3"/>
    <w:rsid w:val="003B464C"/>
    <w:rsid w:val="003B46EE"/>
    <w:rsid w:val="003B4ACC"/>
    <w:rsid w:val="003B4BCA"/>
    <w:rsid w:val="003B4D58"/>
    <w:rsid w:val="003B4F3B"/>
    <w:rsid w:val="003B518A"/>
    <w:rsid w:val="003B535F"/>
    <w:rsid w:val="003B537F"/>
    <w:rsid w:val="003B54F0"/>
    <w:rsid w:val="003B5666"/>
    <w:rsid w:val="003B5706"/>
    <w:rsid w:val="003B572C"/>
    <w:rsid w:val="003B57E0"/>
    <w:rsid w:val="003B589D"/>
    <w:rsid w:val="003B5C39"/>
    <w:rsid w:val="003B5CAA"/>
    <w:rsid w:val="003B5CFB"/>
    <w:rsid w:val="003B5E8E"/>
    <w:rsid w:val="003B5F2C"/>
    <w:rsid w:val="003B5FB9"/>
    <w:rsid w:val="003B6081"/>
    <w:rsid w:val="003B6108"/>
    <w:rsid w:val="003B6111"/>
    <w:rsid w:val="003B6276"/>
    <w:rsid w:val="003B628D"/>
    <w:rsid w:val="003B62CA"/>
    <w:rsid w:val="003B6535"/>
    <w:rsid w:val="003B6BF6"/>
    <w:rsid w:val="003B6C24"/>
    <w:rsid w:val="003B6C2F"/>
    <w:rsid w:val="003B6C81"/>
    <w:rsid w:val="003B6D1E"/>
    <w:rsid w:val="003B6E2C"/>
    <w:rsid w:val="003B6EAA"/>
    <w:rsid w:val="003B7277"/>
    <w:rsid w:val="003B751A"/>
    <w:rsid w:val="003B76BA"/>
    <w:rsid w:val="003B7B7A"/>
    <w:rsid w:val="003B7BFB"/>
    <w:rsid w:val="003B7DB1"/>
    <w:rsid w:val="003B7E7F"/>
    <w:rsid w:val="003B7F53"/>
    <w:rsid w:val="003C01D4"/>
    <w:rsid w:val="003C035D"/>
    <w:rsid w:val="003C03E1"/>
    <w:rsid w:val="003C0452"/>
    <w:rsid w:val="003C07C4"/>
    <w:rsid w:val="003C0890"/>
    <w:rsid w:val="003C09B2"/>
    <w:rsid w:val="003C0B60"/>
    <w:rsid w:val="003C0EB6"/>
    <w:rsid w:val="003C0EDC"/>
    <w:rsid w:val="003C1891"/>
    <w:rsid w:val="003C1988"/>
    <w:rsid w:val="003C1A82"/>
    <w:rsid w:val="003C1D46"/>
    <w:rsid w:val="003C226D"/>
    <w:rsid w:val="003C24D7"/>
    <w:rsid w:val="003C2520"/>
    <w:rsid w:val="003C256B"/>
    <w:rsid w:val="003C2A68"/>
    <w:rsid w:val="003C2A92"/>
    <w:rsid w:val="003C2CC3"/>
    <w:rsid w:val="003C2F06"/>
    <w:rsid w:val="003C3128"/>
    <w:rsid w:val="003C318B"/>
    <w:rsid w:val="003C31C9"/>
    <w:rsid w:val="003C32DA"/>
    <w:rsid w:val="003C3624"/>
    <w:rsid w:val="003C3C0A"/>
    <w:rsid w:val="003C3D25"/>
    <w:rsid w:val="003C3EE3"/>
    <w:rsid w:val="003C41AE"/>
    <w:rsid w:val="003C433A"/>
    <w:rsid w:val="003C45A5"/>
    <w:rsid w:val="003C469B"/>
    <w:rsid w:val="003C47EE"/>
    <w:rsid w:val="003C484F"/>
    <w:rsid w:val="003C4A96"/>
    <w:rsid w:val="003C4B76"/>
    <w:rsid w:val="003C4B90"/>
    <w:rsid w:val="003C4C4D"/>
    <w:rsid w:val="003C4D2F"/>
    <w:rsid w:val="003C4DB6"/>
    <w:rsid w:val="003C4E2A"/>
    <w:rsid w:val="003C4F3E"/>
    <w:rsid w:val="003C4FAE"/>
    <w:rsid w:val="003C52A8"/>
    <w:rsid w:val="003C54AC"/>
    <w:rsid w:val="003C54E6"/>
    <w:rsid w:val="003C5515"/>
    <w:rsid w:val="003C5531"/>
    <w:rsid w:val="003C56D9"/>
    <w:rsid w:val="003C59BD"/>
    <w:rsid w:val="003C5AE4"/>
    <w:rsid w:val="003C5B4B"/>
    <w:rsid w:val="003C5D58"/>
    <w:rsid w:val="003C63C3"/>
    <w:rsid w:val="003C6559"/>
    <w:rsid w:val="003C655D"/>
    <w:rsid w:val="003C66DD"/>
    <w:rsid w:val="003C6736"/>
    <w:rsid w:val="003C6956"/>
    <w:rsid w:val="003C69BF"/>
    <w:rsid w:val="003C6BB6"/>
    <w:rsid w:val="003C6BC4"/>
    <w:rsid w:val="003C6BEF"/>
    <w:rsid w:val="003C6E52"/>
    <w:rsid w:val="003C70F1"/>
    <w:rsid w:val="003C7977"/>
    <w:rsid w:val="003D001D"/>
    <w:rsid w:val="003D0188"/>
    <w:rsid w:val="003D0729"/>
    <w:rsid w:val="003D0745"/>
    <w:rsid w:val="003D09EE"/>
    <w:rsid w:val="003D0A23"/>
    <w:rsid w:val="003D0A2D"/>
    <w:rsid w:val="003D0C18"/>
    <w:rsid w:val="003D0CF7"/>
    <w:rsid w:val="003D0D2D"/>
    <w:rsid w:val="003D0D91"/>
    <w:rsid w:val="003D0D93"/>
    <w:rsid w:val="003D0F3B"/>
    <w:rsid w:val="003D11C7"/>
    <w:rsid w:val="003D1362"/>
    <w:rsid w:val="003D16A1"/>
    <w:rsid w:val="003D16B1"/>
    <w:rsid w:val="003D16D1"/>
    <w:rsid w:val="003D16F3"/>
    <w:rsid w:val="003D18CA"/>
    <w:rsid w:val="003D1AAC"/>
    <w:rsid w:val="003D1F8A"/>
    <w:rsid w:val="003D1FFA"/>
    <w:rsid w:val="003D23A3"/>
    <w:rsid w:val="003D2406"/>
    <w:rsid w:val="003D2488"/>
    <w:rsid w:val="003D2673"/>
    <w:rsid w:val="003D2868"/>
    <w:rsid w:val="003D2937"/>
    <w:rsid w:val="003D29C1"/>
    <w:rsid w:val="003D2AE8"/>
    <w:rsid w:val="003D2B26"/>
    <w:rsid w:val="003D2D3F"/>
    <w:rsid w:val="003D2D6F"/>
    <w:rsid w:val="003D2DCA"/>
    <w:rsid w:val="003D2DD0"/>
    <w:rsid w:val="003D2E2A"/>
    <w:rsid w:val="003D2E2B"/>
    <w:rsid w:val="003D2E52"/>
    <w:rsid w:val="003D2EBF"/>
    <w:rsid w:val="003D3047"/>
    <w:rsid w:val="003D3267"/>
    <w:rsid w:val="003D3350"/>
    <w:rsid w:val="003D351C"/>
    <w:rsid w:val="003D36B9"/>
    <w:rsid w:val="003D3702"/>
    <w:rsid w:val="003D403B"/>
    <w:rsid w:val="003D4528"/>
    <w:rsid w:val="003D4596"/>
    <w:rsid w:val="003D459A"/>
    <w:rsid w:val="003D4A0E"/>
    <w:rsid w:val="003D4C7A"/>
    <w:rsid w:val="003D5088"/>
    <w:rsid w:val="003D5133"/>
    <w:rsid w:val="003D51B0"/>
    <w:rsid w:val="003D5363"/>
    <w:rsid w:val="003D53A6"/>
    <w:rsid w:val="003D5452"/>
    <w:rsid w:val="003D5835"/>
    <w:rsid w:val="003D5856"/>
    <w:rsid w:val="003D5A4B"/>
    <w:rsid w:val="003D5B6F"/>
    <w:rsid w:val="003D5CE2"/>
    <w:rsid w:val="003D5CFC"/>
    <w:rsid w:val="003D5D9C"/>
    <w:rsid w:val="003D5FC1"/>
    <w:rsid w:val="003D6188"/>
    <w:rsid w:val="003D61AA"/>
    <w:rsid w:val="003D6E65"/>
    <w:rsid w:val="003D7384"/>
    <w:rsid w:val="003D7544"/>
    <w:rsid w:val="003D754E"/>
    <w:rsid w:val="003D7673"/>
    <w:rsid w:val="003D7CFC"/>
    <w:rsid w:val="003D7E1E"/>
    <w:rsid w:val="003D7F54"/>
    <w:rsid w:val="003E0162"/>
    <w:rsid w:val="003E02BA"/>
    <w:rsid w:val="003E05C4"/>
    <w:rsid w:val="003E0693"/>
    <w:rsid w:val="003E06D8"/>
    <w:rsid w:val="003E0B26"/>
    <w:rsid w:val="003E0C71"/>
    <w:rsid w:val="003E0EFB"/>
    <w:rsid w:val="003E13A3"/>
    <w:rsid w:val="003E14EA"/>
    <w:rsid w:val="003E1526"/>
    <w:rsid w:val="003E17BE"/>
    <w:rsid w:val="003E1805"/>
    <w:rsid w:val="003E1A38"/>
    <w:rsid w:val="003E1CA2"/>
    <w:rsid w:val="003E1DCF"/>
    <w:rsid w:val="003E1ED0"/>
    <w:rsid w:val="003E1EE3"/>
    <w:rsid w:val="003E1F74"/>
    <w:rsid w:val="003E2686"/>
    <w:rsid w:val="003E30DA"/>
    <w:rsid w:val="003E3157"/>
    <w:rsid w:val="003E3164"/>
    <w:rsid w:val="003E3490"/>
    <w:rsid w:val="003E34E5"/>
    <w:rsid w:val="003E36C0"/>
    <w:rsid w:val="003E41A3"/>
    <w:rsid w:val="003E41B2"/>
    <w:rsid w:val="003E4263"/>
    <w:rsid w:val="003E44C3"/>
    <w:rsid w:val="003E4598"/>
    <w:rsid w:val="003E4751"/>
    <w:rsid w:val="003E47CB"/>
    <w:rsid w:val="003E4879"/>
    <w:rsid w:val="003E492F"/>
    <w:rsid w:val="003E4D24"/>
    <w:rsid w:val="003E4D62"/>
    <w:rsid w:val="003E4D7E"/>
    <w:rsid w:val="003E4E38"/>
    <w:rsid w:val="003E540A"/>
    <w:rsid w:val="003E5531"/>
    <w:rsid w:val="003E58D1"/>
    <w:rsid w:val="003E5AA2"/>
    <w:rsid w:val="003E5F03"/>
    <w:rsid w:val="003E5F33"/>
    <w:rsid w:val="003E6055"/>
    <w:rsid w:val="003E648C"/>
    <w:rsid w:val="003E6537"/>
    <w:rsid w:val="003E66FE"/>
    <w:rsid w:val="003E672D"/>
    <w:rsid w:val="003E6B21"/>
    <w:rsid w:val="003E6B58"/>
    <w:rsid w:val="003E6BFE"/>
    <w:rsid w:val="003E7174"/>
    <w:rsid w:val="003E7207"/>
    <w:rsid w:val="003E7365"/>
    <w:rsid w:val="003E7668"/>
    <w:rsid w:val="003E777E"/>
    <w:rsid w:val="003E77E6"/>
    <w:rsid w:val="003E793D"/>
    <w:rsid w:val="003E7A9B"/>
    <w:rsid w:val="003E7DB1"/>
    <w:rsid w:val="003F0050"/>
    <w:rsid w:val="003F01FE"/>
    <w:rsid w:val="003F028B"/>
    <w:rsid w:val="003F0887"/>
    <w:rsid w:val="003F08F6"/>
    <w:rsid w:val="003F0956"/>
    <w:rsid w:val="003F0BE1"/>
    <w:rsid w:val="003F0C13"/>
    <w:rsid w:val="003F0DDF"/>
    <w:rsid w:val="003F0E4B"/>
    <w:rsid w:val="003F1016"/>
    <w:rsid w:val="003F10A2"/>
    <w:rsid w:val="003F1159"/>
    <w:rsid w:val="003F1233"/>
    <w:rsid w:val="003F1639"/>
    <w:rsid w:val="003F1750"/>
    <w:rsid w:val="003F1A7F"/>
    <w:rsid w:val="003F1B4C"/>
    <w:rsid w:val="003F1C69"/>
    <w:rsid w:val="003F2028"/>
    <w:rsid w:val="003F216B"/>
    <w:rsid w:val="003F223A"/>
    <w:rsid w:val="003F246A"/>
    <w:rsid w:val="003F28CE"/>
    <w:rsid w:val="003F29A6"/>
    <w:rsid w:val="003F2AC9"/>
    <w:rsid w:val="003F3197"/>
    <w:rsid w:val="003F3380"/>
    <w:rsid w:val="003F341F"/>
    <w:rsid w:val="003F355E"/>
    <w:rsid w:val="003F363F"/>
    <w:rsid w:val="003F3659"/>
    <w:rsid w:val="003F384F"/>
    <w:rsid w:val="003F3917"/>
    <w:rsid w:val="003F396A"/>
    <w:rsid w:val="003F3E1E"/>
    <w:rsid w:val="003F4192"/>
    <w:rsid w:val="003F421B"/>
    <w:rsid w:val="003F4288"/>
    <w:rsid w:val="003F43FC"/>
    <w:rsid w:val="003F4790"/>
    <w:rsid w:val="003F47C3"/>
    <w:rsid w:val="003F4AF9"/>
    <w:rsid w:val="003F4D03"/>
    <w:rsid w:val="003F4D36"/>
    <w:rsid w:val="003F4D68"/>
    <w:rsid w:val="003F4F1A"/>
    <w:rsid w:val="003F4FD9"/>
    <w:rsid w:val="003F519A"/>
    <w:rsid w:val="003F52A3"/>
    <w:rsid w:val="003F5442"/>
    <w:rsid w:val="003F56E0"/>
    <w:rsid w:val="003F5700"/>
    <w:rsid w:val="003F5D12"/>
    <w:rsid w:val="003F5D5F"/>
    <w:rsid w:val="003F5DB8"/>
    <w:rsid w:val="003F5E08"/>
    <w:rsid w:val="003F5F3A"/>
    <w:rsid w:val="003F6133"/>
    <w:rsid w:val="003F6414"/>
    <w:rsid w:val="003F6568"/>
    <w:rsid w:val="003F67CD"/>
    <w:rsid w:val="003F68DD"/>
    <w:rsid w:val="003F6A03"/>
    <w:rsid w:val="003F6A3A"/>
    <w:rsid w:val="003F6D77"/>
    <w:rsid w:val="003F6E18"/>
    <w:rsid w:val="003F6F1A"/>
    <w:rsid w:val="003F7273"/>
    <w:rsid w:val="003F732F"/>
    <w:rsid w:val="003F7E1B"/>
    <w:rsid w:val="003F7F06"/>
    <w:rsid w:val="003F7F30"/>
    <w:rsid w:val="004000A9"/>
    <w:rsid w:val="00400125"/>
    <w:rsid w:val="004003A2"/>
    <w:rsid w:val="0040060F"/>
    <w:rsid w:val="0040068D"/>
    <w:rsid w:val="0040087E"/>
    <w:rsid w:val="00400A62"/>
    <w:rsid w:val="00400D1B"/>
    <w:rsid w:val="00400D66"/>
    <w:rsid w:val="00401295"/>
    <w:rsid w:val="004013A1"/>
    <w:rsid w:val="00401497"/>
    <w:rsid w:val="0040155E"/>
    <w:rsid w:val="004017DF"/>
    <w:rsid w:val="00401A0E"/>
    <w:rsid w:val="00401AB1"/>
    <w:rsid w:val="00401BC8"/>
    <w:rsid w:val="00401D72"/>
    <w:rsid w:val="00401D76"/>
    <w:rsid w:val="00401E0C"/>
    <w:rsid w:val="00401FC1"/>
    <w:rsid w:val="00402205"/>
    <w:rsid w:val="0040230C"/>
    <w:rsid w:val="0040258F"/>
    <w:rsid w:val="004025A6"/>
    <w:rsid w:val="00402660"/>
    <w:rsid w:val="004026C7"/>
    <w:rsid w:val="00402976"/>
    <w:rsid w:val="00402B55"/>
    <w:rsid w:val="00402C76"/>
    <w:rsid w:val="0040307F"/>
    <w:rsid w:val="004030AF"/>
    <w:rsid w:val="004032F8"/>
    <w:rsid w:val="0040375E"/>
    <w:rsid w:val="004037CE"/>
    <w:rsid w:val="0040385A"/>
    <w:rsid w:val="0040395C"/>
    <w:rsid w:val="00403EED"/>
    <w:rsid w:val="0040414F"/>
    <w:rsid w:val="004042E3"/>
    <w:rsid w:val="0040433F"/>
    <w:rsid w:val="00404544"/>
    <w:rsid w:val="0040463D"/>
    <w:rsid w:val="0040472A"/>
    <w:rsid w:val="00404775"/>
    <w:rsid w:val="004049B3"/>
    <w:rsid w:val="00404A6D"/>
    <w:rsid w:val="00404D8C"/>
    <w:rsid w:val="00404E4F"/>
    <w:rsid w:val="00405197"/>
    <w:rsid w:val="004051E3"/>
    <w:rsid w:val="0040550D"/>
    <w:rsid w:val="0040554D"/>
    <w:rsid w:val="00405AFB"/>
    <w:rsid w:val="00405B7E"/>
    <w:rsid w:val="00405E33"/>
    <w:rsid w:val="00405F48"/>
    <w:rsid w:val="00406380"/>
    <w:rsid w:val="00406490"/>
    <w:rsid w:val="004064F7"/>
    <w:rsid w:val="00406B8A"/>
    <w:rsid w:val="00406EEA"/>
    <w:rsid w:val="0040744A"/>
    <w:rsid w:val="00407461"/>
    <w:rsid w:val="00407AAD"/>
    <w:rsid w:val="00407D33"/>
    <w:rsid w:val="00407DF4"/>
    <w:rsid w:val="00407E8E"/>
    <w:rsid w:val="00407F10"/>
    <w:rsid w:val="00407FD9"/>
    <w:rsid w:val="00410042"/>
    <w:rsid w:val="00410305"/>
    <w:rsid w:val="00410486"/>
    <w:rsid w:val="00410512"/>
    <w:rsid w:val="0041059C"/>
    <w:rsid w:val="004107C8"/>
    <w:rsid w:val="0041092B"/>
    <w:rsid w:val="00410975"/>
    <w:rsid w:val="00410CCB"/>
    <w:rsid w:val="004112B6"/>
    <w:rsid w:val="00411474"/>
    <w:rsid w:val="004114F7"/>
    <w:rsid w:val="004115E4"/>
    <w:rsid w:val="00411620"/>
    <w:rsid w:val="00411934"/>
    <w:rsid w:val="0041198C"/>
    <w:rsid w:val="0041218B"/>
    <w:rsid w:val="004125E5"/>
    <w:rsid w:val="004126C5"/>
    <w:rsid w:val="0041298E"/>
    <w:rsid w:val="00412B76"/>
    <w:rsid w:val="00412BD7"/>
    <w:rsid w:val="00412C11"/>
    <w:rsid w:val="00413052"/>
    <w:rsid w:val="004130F0"/>
    <w:rsid w:val="004137A8"/>
    <w:rsid w:val="00413828"/>
    <w:rsid w:val="004138D2"/>
    <w:rsid w:val="00413B68"/>
    <w:rsid w:val="00413C50"/>
    <w:rsid w:val="00413D3F"/>
    <w:rsid w:val="0041406D"/>
    <w:rsid w:val="004140C2"/>
    <w:rsid w:val="00414136"/>
    <w:rsid w:val="00414138"/>
    <w:rsid w:val="00414265"/>
    <w:rsid w:val="00414417"/>
    <w:rsid w:val="00414432"/>
    <w:rsid w:val="00414D42"/>
    <w:rsid w:val="00414DAD"/>
    <w:rsid w:val="004152B0"/>
    <w:rsid w:val="00415415"/>
    <w:rsid w:val="0041547A"/>
    <w:rsid w:val="00415484"/>
    <w:rsid w:val="0041586E"/>
    <w:rsid w:val="004158E0"/>
    <w:rsid w:val="0041597D"/>
    <w:rsid w:val="00415FE2"/>
    <w:rsid w:val="0041605B"/>
    <w:rsid w:val="004161F9"/>
    <w:rsid w:val="00416204"/>
    <w:rsid w:val="00416464"/>
    <w:rsid w:val="00416796"/>
    <w:rsid w:val="00416AAD"/>
    <w:rsid w:val="00416B06"/>
    <w:rsid w:val="00416B31"/>
    <w:rsid w:val="00416CBF"/>
    <w:rsid w:val="0041760D"/>
    <w:rsid w:val="0041766E"/>
    <w:rsid w:val="00417C2A"/>
    <w:rsid w:val="00417F3D"/>
    <w:rsid w:val="00417FAA"/>
    <w:rsid w:val="004201FB"/>
    <w:rsid w:val="0042035E"/>
    <w:rsid w:val="0042047D"/>
    <w:rsid w:val="00420584"/>
    <w:rsid w:val="004208F3"/>
    <w:rsid w:val="00420F0E"/>
    <w:rsid w:val="00420FE5"/>
    <w:rsid w:val="00421168"/>
    <w:rsid w:val="00421253"/>
    <w:rsid w:val="00421773"/>
    <w:rsid w:val="00421889"/>
    <w:rsid w:val="004218C6"/>
    <w:rsid w:val="00421947"/>
    <w:rsid w:val="00421A0F"/>
    <w:rsid w:val="00421A4F"/>
    <w:rsid w:val="00421BBF"/>
    <w:rsid w:val="00421D64"/>
    <w:rsid w:val="00421D7A"/>
    <w:rsid w:val="00421E4F"/>
    <w:rsid w:val="00421E89"/>
    <w:rsid w:val="00422259"/>
    <w:rsid w:val="0042228A"/>
    <w:rsid w:val="004222EB"/>
    <w:rsid w:val="00422427"/>
    <w:rsid w:val="00422692"/>
    <w:rsid w:val="00422749"/>
    <w:rsid w:val="004227E7"/>
    <w:rsid w:val="004228AC"/>
    <w:rsid w:val="00422C04"/>
    <w:rsid w:val="00423019"/>
    <w:rsid w:val="004232EE"/>
    <w:rsid w:val="0042339A"/>
    <w:rsid w:val="00423851"/>
    <w:rsid w:val="00423B15"/>
    <w:rsid w:val="00423BE2"/>
    <w:rsid w:val="00423C0B"/>
    <w:rsid w:val="00423C57"/>
    <w:rsid w:val="00423CB0"/>
    <w:rsid w:val="00423CDB"/>
    <w:rsid w:val="00423D54"/>
    <w:rsid w:val="00423F41"/>
    <w:rsid w:val="00423F6D"/>
    <w:rsid w:val="004243EF"/>
    <w:rsid w:val="004247EF"/>
    <w:rsid w:val="00424842"/>
    <w:rsid w:val="0042493C"/>
    <w:rsid w:val="00424C7E"/>
    <w:rsid w:val="00424CA5"/>
    <w:rsid w:val="00424CB8"/>
    <w:rsid w:val="00424D31"/>
    <w:rsid w:val="00424E5D"/>
    <w:rsid w:val="00424E98"/>
    <w:rsid w:val="0042508F"/>
    <w:rsid w:val="0042550B"/>
    <w:rsid w:val="004257BD"/>
    <w:rsid w:val="00425A83"/>
    <w:rsid w:val="00425DC5"/>
    <w:rsid w:val="00425F7F"/>
    <w:rsid w:val="00426184"/>
    <w:rsid w:val="004264F2"/>
    <w:rsid w:val="00426651"/>
    <w:rsid w:val="004266E9"/>
    <w:rsid w:val="00426795"/>
    <w:rsid w:val="00426A70"/>
    <w:rsid w:val="0042720C"/>
    <w:rsid w:val="0042742C"/>
    <w:rsid w:val="00427610"/>
    <w:rsid w:val="00427767"/>
    <w:rsid w:val="004278F5"/>
    <w:rsid w:val="0043012D"/>
    <w:rsid w:val="004301DE"/>
    <w:rsid w:val="004301F8"/>
    <w:rsid w:val="00430350"/>
    <w:rsid w:val="004303D2"/>
    <w:rsid w:val="004308CB"/>
    <w:rsid w:val="00430C3F"/>
    <w:rsid w:val="004318E2"/>
    <w:rsid w:val="00432041"/>
    <w:rsid w:val="004320BA"/>
    <w:rsid w:val="00432306"/>
    <w:rsid w:val="0043243E"/>
    <w:rsid w:val="004324CC"/>
    <w:rsid w:val="00432596"/>
    <w:rsid w:val="0043261E"/>
    <w:rsid w:val="004329A0"/>
    <w:rsid w:val="00432BE2"/>
    <w:rsid w:val="00432ECC"/>
    <w:rsid w:val="0043326D"/>
    <w:rsid w:val="004332CB"/>
    <w:rsid w:val="004334B2"/>
    <w:rsid w:val="00433584"/>
    <w:rsid w:val="004335DF"/>
    <w:rsid w:val="00433911"/>
    <w:rsid w:val="0043391D"/>
    <w:rsid w:val="00433A7D"/>
    <w:rsid w:val="00433C31"/>
    <w:rsid w:val="00434277"/>
    <w:rsid w:val="00434475"/>
    <w:rsid w:val="0043452D"/>
    <w:rsid w:val="00434710"/>
    <w:rsid w:val="00434833"/>
    <w:rsid w:val="00434DFC"/>
    <w:rsid w:val="00435451"/>
    <w:rsid w:val="0043567C"/>
    <w:rsid w:val="00435701"/>
    <w:rsid w:val="0043582D"/>
    <w:rsid w:val="00435A4C"/>
    <w:rsid w:val="00435B17"/>
    <w:rsid w:val="00435BD8"/>
    <w:rsid w:val="00435E32"/>
    <w:rsid w:val="00435F52"/>
    <w:rsid w:val="0043602E"/>
    <w:rsid w:val="00436066"/>
    <w:rsid w:val="0043614C"/>
    <w:rsid w:val="00436406"/>
    <w:rsid w:val="00436433"/>
    <w:rsid w:val="004367AB"/>
    <w:rsid w:val="004369A4"/>
    <w:rsid w:val="00436DF2"/>
    <w:rsid w:val="00436F19"/>
    <w:rsid w:val="00436F5D"/>
    <w:rsid w:val="004372F7"/>
    <w:rsid w:val="00437450"/>
    <w:rsid w:val="004375A7"/>
    <w:rsid w:val="00437674"/>
    <w:rsid w:val="004379C2"/>
    <w:rsid w:val="00437B2F"/>
    <w:rsid w:val="00437D67"/>
    <w:rsid w:val="00437F3D"/>
    <w:rsid w:val="00437F7D"/>
    <w:rsid w:val="00440095"/>
    <w:rsid w:val="004400E8"/>
    <w:rsid w:val="004404F6"/>
    <w:rsid w:val="0044051B"/>
    <w:rsid w:val="004408D1"/>
    <w:rsid w:val="00440969"/>
    <w:rsid w:val="00440A10"/>
    <w:rsid w:val="00440B14"/>
    <w:rsid w:val="00440C4F"/>
    <w:rsid w:val="00440DA6"/>
    <w:rsid w:val="00440F57"/>
    <w:rsid w:val="00440FBD"/>
    <w:rsid w:val="00441325"/>
    <w:rsid w:val="004417CB"/>
    <w:rsid w:val="00441AAD"/>
    <w:rsid w:val="00441B0D"/>
    <w:rsid w:val="00441D02"/>
    <w:rsid w:val="00441EDD"/>
    <w:rsid w:val="00441F1B"/>
    <w:rsid w:val="00441F3F"/>
    <w:rsid w:val="00442418"/>
    <w:rsid w:val="00442874"/>
    <w:rsid w:val="004429A6"/>
    <w:rsid w:val="00442B26"/>
    <w:rsid w:val="00442FDE"/>
    <w:rsid w:val="0044304C"/>
    <w:rsid w:val="00443070"/>
    <w:rsid w:val="004431D0"/>
    <w:rsid w:val="004432F7"/>
    <w:rsid w:val="004433C9"/>
    <w:rsid w:val="00443501"/>
    <w:rsid w:val="00443A6A"/>
    <w:rsid w:val="00443C83"/>
    <w:rsid w:val="00443E49"/>
    <w:rsid w:val="00443E5E"/>
    <w:rsid w:val="00443ED1"/>
    <w:rsid w:val="00444036"/>
    <w:rsid w:val="00444566"/>
    <w:rsid w:val="00444B9B"/>
    <w:rsid w:val="00444C47"/>
    <w:rsid w:val="00444D0E"/>
    <w:rsid w:val="00444DF6"/>
    <w:rsid w:val="00444E34"/>
    <w:rsid w:val="00444E7D"/>
    <w:rsid w:val="00444F0D"/>
    <w:rsid w:val="004450B2"/>
    <w:rsid w:val="004450C4"/>
    <w:rsid w:val="0044532B"/>
    <w:rsid w:val="004454E2"/>
    <w:rsid w:val="00445701"/>
    <w:rsid w:val="0044570D"/>
    <w:rsid w:val="004457C4"/>
    <w:rsid w:val="004460F9"/>
    <w:rsid w:val="00446226"/>
    <w:rsid w:val="004462B0"/>
    <w:rsid w:val="004462B1"/>
    <w:rsid w:val="00446334"/>
    <w:rsid w:val="00446399"/>
    <w:rsid w:val="00446851"/>
    <w:rsid w:val="004470E2"/>
    <w:rsid w:val="00447150"/>
    <w:rsid w:val="004472A6"/>
    <w:rsid w:val="00447682"/>
    <w:rsid w:val="00447731"/>
    <w:rsid w:val="00447A45"/>
    <w:rsid w:val="00450C80"/>
    <w:rsid w:val="00450D4C"/>
    <w:rsid w:val="00451205"/>
    <w:rsid w:val="0045126C"/>
    <w:rsid w:val="004512E6"/>
    <w:rsid w:val="0045150F"/>
    <w:rsid w:val="004515B4"/>
    <w:rsid w:val="00451757"/>
    <w:rsid w:val="004517C2"/>
    <w:rsid w:val="004517FE"/>
    <w:rsid w:val="00451998"/>
    <w:rsid w:val="00451ADF"/>
    <w:rsid w:val="00451B7C"/>
    <w:rsid w:val="00451DB1"/>
    <w:rsid w:val="00451F70"/>
    <w:rsid w:val="0045291C"/>
    <w:rsid w:val="00452990"/>
    <w:rsid w:val="0045348B"/>
    <w:rsid w:val="00453743"/>
    <w:rsid w:val="0045379B"/>
    <w:rsid w:val="0045382A"/>
    <w:rsid w:val="00453951"/>
    <w:rsid w:val="00453EDE"/>
    <w:rsid w:val="00453F90"/>
    <w:rsid w:val="004544D6"/>
    <w:rsid w:val="00454C1D"/>
    <w:rsid w:val="00454E1E"/>
    <w:rsid w:val="004551A4"/>
    <w:rsid w:val="00455381"/>
    <w:rsid w:val="0045539F"/>
    <w:rsid w:val="00455498"/>
    <w:rsid w:val="004554E7"/>
    <w:rsid w:val="00455650"/>
    <w:rsid w:val="004559EF"/>
    <w:rsid w:val="00455BA3"/>
    <w:rsid w:val="00455C9D"/>
    <w:rsid w:val="00456068"/>
    <w:rsid w:val="00456173"/>
    <w:rsid w:val="00456205"/>
    <w:rsid w:val="0045652F"/>
    <w:rsid w:val="00456C61"/>
    <w:rsid w:val="00456E85"/>
    <w:rsid w:val="00456F28"/>
    <w:rsid w:val="00457251"/>
    <w:rsid w:val="00457597"/>
    <w:rsid w:val="00457650"/>
    <w:rsid w:val="00457763"/>
    <w:rsid w:val="00457AF8"/>
    <w:rsid w:val="00460007"/>
    <w:rsid w:val="004605AA"/>
    <w:rsid w:val="00460732"/>
    <w:rsid w:val="00460865"/>
    <w:rsid w:val="00460986"/>
    <w:rsid w:val="00460ECB"/>
    <w:rsid w:val="00461522"/>
    <w:rsid w:val="004615AA"/>
    <w:rsid w:val="00461753"/>
    <w:rsid w:val="00461B8D"/>
    <w:rsid w:val="00461BEA"/>
    <w:rsid w:val="00461C0B"/>
    <w:rsid w:val="00461C74"/>
    <w:rsid w:val="00461CE9"/>
    <w:rsid w:val="004620F1"/>
    <w:rsid w:val="004621D7"/>
    <w:rsid w:val="0046225B"/>
    <w:rsid w:val="00462305"/>
    <w:rsid w:val="0046231A"/>
    <w:rsid w:val="00462407"/>
    <w:rsid w:val="00462534"/>
    <w:rsid w:val="00462898"/>
    <w:rsid w:val="00462CF5"/>
    <w:rsid w:val="00462FA9"/>
    <w:rsid w:val="004631DD"/>
    <w:rsid w:val="004633DB"/>
    <w:rsid w:val="00463544"/>
    <w:rsid w:val="004635FD"/>
    <w:rsid w:val="00463757"/>
    <w:rsid w:val="00463BF0"/>
    <w:rsid w:val="00463C5A"/>
    <w:rsid w:val="00463FB3"/>
    <w:rsid w:val="00464238"/>
    <w:rsid w:val="00464440"/>
    <w:rsid w:val="004644A7"/>
    <w:rsid w:val="0046467B"/>
    <w:rsid w:val="004648F4"/>
    <w:rsid w:val="0046495F"/>
    <w:rsid w:val="00464C3B"/>
    <w:rsid w:val="00464E3F"/>
    <w:rsid w:val="00465050"/>
    <w:rsid w:val="004655EC"/>
    <w:rsid w:val="00465632"/>
    <w:rsid w:val="004658E1"/>
    <w:rsid w:val="00465F3C"/>
    <w:rsid w:val="00465F61"/>
    <w:rsid w:val="00466161"/>
    <w:rsid w:val="0046617B"/>
    <w:rsid w:val="004668D0"/>
    <w:rsid w:val="00466D9B"/>
    <w:rsid w:val="00466F42"/>
    <w:rsid w:val="00466F99"/>
    <w:rsid w:val="00467193"/>
    <w:rsid w:val="004672D0"/>
    <w:rsid w:val="00467487"/>
    <w:rsid w:val="00467708"/>
    <w:rsid w:val="00467774"/>
    <w:rsid w:val="00467807"/>
    <w:rsid w:val="004678DA"/>
    <w:rsid w:val="0046797B"/>
    <w:rsid w:val="00467C2D"/>
    <w:rsid w:val="00467E2B"/>
    <w:rsid w:val="00470030"/>
    <w:rsid w:val="00470129"/>
    <w:rsid w:val="004701D7"/>
    <w:rsid w:val="00470A08"/>
    <w:rsid w:val="00470BF1"/>
    <w:rsid w:val="00470CA0"/>
    <w:rsid w:val="00470CA2"/>
    <w:rsid w:val="00471147"/>
    <w:rsid w:val="004711E8"/>
    <w:rsid w:val="004714F3"/>
    <w:rsid w:val="0047164A"/>
    <w:rsid w:val="004716FB"/>
    <w:rsid w:val="00471808"/>
    <w:rsid w:val="00471AF7"/>
    <w:rsid w:val="00472895"/>
    <w:rsid w:val="004728A0"/>
    <w:rsid w:val="00472A3B"/>
    <w:rsid w:val="00472C2D"/>
    <w:rsid w:val="00472D1E"/>
    <w:rsid w:val="0047302C"/>
    <w:rsid w:val="00473207"/>
    <w:rsid w:val="0047329B"/>
    <w:rsid w:val="004732FE"/>
    <w:rsid w:val="0047332D"/>
    <w:rsid w:val="004733F9"/>
    <w:rsid w:val="004734E9"/>
    <w:rsid w:val="004736A6"/>
    <w:rsid w:val="004736CD"/>
    <w:rsid w:val="00473978"/>
    <w:rsid w:val="004739A6"/>
    <w:rsid w:val="00473AFD"/>
    <w:rsid w:val="0047418A"/>
    <w:rsid w:val="004742DD"/>
    <w:rsid w:val="00474422"/>
    <w:rsid w:val="0047456B"/>
    <w:rsid w:val="00474579"/>
    <w:rsid w:val="004747A4"/>
    <w:rsid w:val="00474838"/>
    <w:rsid w:val="0047491B"/>
    <w:rsid w:val="00474989"/>
    <w:rsid w:val="00474A7B"/>
    <w:rsid w:val="00475231"/>
    <w:rsid w:val="00475679"/>
    <w:rsid w:val="00475711"/>
    <w:rsid w:val="0047599F"/>
    <w:rsid w:val="00475A15"/>
    <w:rsid w:val="00475DF7"/>
    <w:rsid w:val="00475F0F"/>
    <w:rsid w:val="0047603D"/>
    <w:rsid w:val="004760CF"/>
    <w:rsid w:val="00476165"/>
    <w:rsid w:val="0047633D"/>
    <w:rsid w:val="00476515"/>
    <w:rsid w:val="00476691"/>
    <w:rsid w:val="00476B19"/>
    <w:rsid w:val="00476C21"/>
    <w:rsid w:val="00476DC7"/>
    <w:rsid w:val="00476FFA"/>
    <w:rsid w:val="00477C04"/>
    <w:rsid w:val="0048007E"/>
    <w:rsid w:val="00480403"/>
    <w:rsid w:val="00480A05"/>
    <w:rsid w:val="00480D0F"/>
    <w:rsid w:val="00480DED"/>
    <w:rsid w:val="004812CF"/>
    <w:rsid w:val="00481379"/>
    <w:rsid w:val="00481BB3"/>
    <w:rsid w:val="00481CB4"/>
    <w:rsid w:val="00482318"/>
    <w:rsid w:val="004828DB"/>
    <w:rsid w:val="0048296C"/>
    <w:rsid w:val="00482B70"/>
    <w:rsid w:val="00482BE8"/>
    <w:rsid w:val="00482D24"/>
    <w:rsid w:val="004833FE"/>
    <w:rsid w:val="00483BC6"/>
    <w:rsid w:val="00483DB6"/>
    <w:rsid w:val="004842A6"/>
    <w:rsid w:val="00484421"/>
    <w:rsid w:val="00484557"/>
    <w:rsid w:val="00484CB1"/>
    <w:rsid w:val="00484E96"/>
    <w:rsid w:val="00484FEF"/>
    <w:rsid w:val="00485455"/>
    <w:rsid w:val="00485624"/>
    <w:rsid w:val="00485A6B"/>
    <w:rsid w:val="00485C4A"/>
    <w:rsid w:val="00485DDF"/>
    <w:rsid w:val="00485E6E"/>
    <w:rsid w:val="00485F9A"/>
    <w:rsid w:val="00486755"/>
    <w:rsid w:val="00486939"/>
    <w:rsid w:val="00486FDF"/>
    <w:rsid w:val="0048741B"/>
    <w:rsid w:val="00487482"/>
    <w:rsid w:val="00487572"/>
    <w:rsid w:val="004875EF"/>
    <w:rsid w:val="00487605"/>
    <w:rsid w:val="0048780C"/>
    <w:rsid w:val="00487907"/>
    <w:rsid w:val="00487B92"/>
    <w:rsid w:val="00490082"/>
    <w:rsid w:val="0049008A"/>
    <w:rsid w:val="00490122"/>
    <w:rsid w:val="00490249"/>
    <w:rsid w:val="0049052B"/>
    <w:rsid w:val="00490894"/>
    <w:rsid w:val="00490914"/>
    <w:rsid w:val="00490C2F"/>
    <w:rsid w:val="00490C4F"/>
    <w:rsid w:val="00490C58"/>
    <w:rsid w:val="00491004"/>
    <w:rsid w:val="0049159E"/>
    <w:rsid w:val="00491995"/>
    <w:rsid w:val="00491CDE"/>
    <w:rsid w:val="004921F0"/>
    <w:rsid w:val="0049240F"/>
    <w:rsid w:val="00492553"/>
    <w:rsid w:val="00492779"/>
    <w:rsid w:val="0049283C"/>
    <w:rsid w:val="00492A5D"/>
    <w:rsid w:val="00492B75"/>
    <w:rsid w:val="00492BA4"/>
    <w:rsid w:val="00492BFE"/>
    <w:rsid w:val="00492DC3"/>
    <w:rsid w:val="0049317C"/>
    <w:rsid w:val="00493571"/>
    <w:rsid w:val="00493718"/>
    <w:rsid w:val="00493951"/>
    <w:rsid w:val="00493A99"/>
    <w:rsid w:val="00493AD0"/>
    <w:rsid w:val="00493D05"/>
    <w:rsid w:val="00493D5B"/>
    <w:rsid w:val="00493EEA"/>
    <w:rsid w:val="004941A7"/>
    <w:rsid w:val="004941BC"/>
    <w:rsid w:val="0049438E"/>
    <w:rsid w:val="004943BB"/>
    <w:rsid w:val="0049456F"/>
    <w:rsid w:val="004945FE"/>
    <w:rsid w:val="00494646"/>
    <w:rsid w:val="00494799"/>
    <w:rsid w:val="004947B3"/>
    <w:rsid w:val="00494B44"/>
    <w:rsid w:val="00494B82"/>
    <w:rsid w:val="00494C68"/>
    <w:rsid w:val="00494DEE"/>
    <w:rsid w:val="00494E7D"/>
    <w:rsid w:val="0049501D"/>
    <w:rsid w:val="004950F7"/>
    <w:rsid w:val="004952DE"/>
    <w:rsid w:val="0049540C"/>
    <w:rsid w:val="00495880"/>
    <w:rsid w:val="00495921"/>
    <w:rsid w:val="00495E52"/>
    <w:rsid w:val="00495ED3"/>
    <w:rsid w:val="00495EEA"/>
    <w:rsid w:val="00496087"/>
    <w:rsid w:val="00496174"/>
    <w:rsid w:val="0049658B"/>
    <w:rsid w:val="00496700"/>
    <w:rsid w:val="00496A75"/>
    <w:rsid w:val="00496B89"/>
    <w:rsid w:val="00496DA7"/>
    <w:rsid w:val="00496E5C"/>
    <w:rsid w:val="00496F47"/>
    <w:rsid w:val="0049703B"/>
    <w:rsid w:val="00497174"/>
    <w:rsid w:val="004973EF"/>
    <w:rsid w:val="00497475"/>
    <w:rsid w:val="00497750"/>
    <w:rsid w:val="00497CBB"/>
    <w:rsid w:val="00497D0C"/>
    <w:rsid w:val="00497FBB"/>
    <w:rsid w:val="00497FBD"/>
    <w:rsid w:val="004A01C9"/>
    <w:rsid w:val="004A01F4"/>
    <w:rsid w:val="004A02A5"/>
    <w:rsid w:val="004A046B"/>
    <w:rsid w:val="004A055E"/>
    <w:rsid w:val="004A08D7"/>
    <w:rsid w:val="004A0B96"/>
    <w:rsid w:val="004A0CD2"/>
    <w:rsid w:val="004A1177"/>
    <w:rsid w:val="004A1333"/>
    <w:rsid w:val="004A1367"/>
    <w:rsid w:val="004A13CD"/>
    <w:rsid w:val="004A151A"/>
    <w:rsid w:val="004A152A"/>
    <w:rsid w:val="004A1DA5"/>
    <w:rsid w:val="004A1FBA"/>
    <w:rsid w:val="004A21C3"/>
    <w:rsid w:val="004A2292"/>
    <w:rsid w:val="004A2683"/>
    <w:rsid w:val="004A27CB"/>
    <w:rsid w:val="004A2930"/>
    <w:rsid w:val="004A2A7D"/>
    <w:rsid w:val="004A2D21"/>
    <w:rsid w:val="004A2FB8"/>
    <w:rsid w:val="004A3124"/>
    <w:rsid w:val="004A3267"/>
    <w:rsid w:val="004A35E7"/>
    <w:rsid w:val="004A35EA"/>
    <w:rsid w:val="004A377E"/>
    <w:rsid w:val="004A3964"/>
    <w:rsid w:val="004A3AE7"/>
    <w:rsid w:val="004A3C07"/>
    <w:rsid w:val="004A3C70"/>
    <w:rsid w:val="004A3F20"/>
    <w:rsid w:val="004A448D"/>
    <w:rsid w:val="004A44A6"/>
    <w:rsid w:val="004A44BA"/>
    <w:rsid w:val="004A47CD"/>
    <w:rsid w:val="004A485A"/>
    <w:rsid w:val="004A48D7"/>
    <w:rsid w:val="004A4A9A"/>
    <w:rsid w:val="004A4B2E"/>
    <w:rsid w:val="004A4B7A"/>
    <w:rsid w:val="004A4E06"/>
    <w:rsid w:val="004A4E3B"/>
    <w:rsid w:val="004A5043"/>
    <w:rsid w:val="004A5084"/>
    <w:rsid w:val="004A50B3"/>
    <w:rsid w:val="004A5220"/>
    <w:rsid w:val="004A5586"/>
    <w:rsid w:val="004A57A1"/>
    <w:rsid w:val="004A59A4"/>
    <w:rsid w:val="004A5A64"/>
    <w:rsid w:val="004A5B24"/>
    <w:rsid w:val="004A5CEB"/>
    <w:rsid w:val="004A5D6B"/>
    <w:rsid w:val="004A5DB0"/>
    <w:rsid w:val="004A6004"/>
    <w:rsid w:val="004A60D0"/>
    <w:rsid w:val="004A6875"/>
    <w:rsid w:val="004A6A77"/>
    <w:rsid w:val="004A6AF6"/>
    <w:rsid w:val="004A6C10"/>
    <w:rsid w:val="004A72A6"/>
    <w:rsid w:val="004A7616"/>
    <w:rsid w:val="004A76C6"/>
    <w:rsid w:val="004A794D"/>
    <w:rsid w:val="004A7CA5"/>
    <w:rsid w:val="004A7ECF"/>
    <w:rsid w:val="004A7FA4"/>
    <w:rsid w:val="004B002D"/>
    <w:rsid w:val="004B035D"/>
    <w:rsid w:val="004B04CA"/>
    <w:rsid w:val="004B0723"/>
    <w:rsid w:val="004B0882"/>
    <w:rsid w:val="004B08BD"/>
    <w:rsid w:val="004B0AB3"/>
    <w:rsid w:val="004B0E20"/>
    <w:rsid w:val="004B0F84"/>
    <w:rsid w:val="004B1099"/>
    <w:rsid w:val="004B11BB"/>
    <w:rsid w:val="004B1531"/>
    <w:rsid w:val="004B159D"/>
    <w:rsid w:val="004B1CBA"/>
    <w:rsid w:val="004B1F95"/>
    <w:rsid w:val="004B1FBF"/>
    <w:rsid w:val="004B2147"/>
    <w:rsid w:val="004B2241"/>
    <w:rsid w:val="004B224D"/>
    <w:rsid w:val="004B2358"/>
    <w:rsid w:val="004B243E"/>
    <w:rsid w:val="004B2518"/>
    <w:rsid w:val="004B2642"/>
    <w:rsid w:val="004B26D6"/>
    <w:rsid w:val="004B2BEC"/>
    <w:rsid w:val="004B2C44"/>
    <w:rsid w:val="004B2D07"/>
    <w:rsid w:val="004B2D0F"/>
    <w:rsid w:val="004B2DA9"/>
    <w:rsid w:val="004B308E"/>
    <w:rsid w:val="004B310B"/>
    <w:rsid w:val="004B3115"/>
    <w:rsid w:val="004B31B3"/>
    <w:rsid w:val="004B31D2"/>
    <w:rsid w:val="004B321F"/>
    <w:rsid w:val="004B3265"/>
    <w:rsid w:val="004B3553"/>
    <w:rsid w:val="004B37D0"/>
    <w:rsid w:val="004B3A02"/>
    <w:rsid w:val="004B3AF1"/>
    <w:rsid w:val="004B3D04"/>
    <w:rsid w:val="004B3E86"/>
    <w:rsid w:val="004B3EFD"/>
    <w:rsid w:val="004B3FAE"/>
    <w:rsid w:val="004B40A7"/>
    <w:rsid w:val="004B42D6"/>
    <w:rsid w:val="004B43F8"/>
    <w:rsid w:val="004B44B6"/>
    <w:rsid w:val="004B44F6"/>
    <w:rsid w:val="004B451B"/>
    <w:rsid w:val="004B4808"/>
    <w:rsid w:val="004B490D"/>
    <w:rsid w:val="004B491A"/>
    <w:rsid w:val="004B4FDB"/>
    <w:rsid w:val="004B548A"/>
    <w:rsid w:val="004B5755"/>
    <w:rsid w:val="004B5811"/>
    <w:rsid w:val="004B5AFF"/>
    <w:rsid w:val="004B5CE1"/>
    <w:rsid w:val="004B5F30"/>
    <w:rsid w:val="004B5FCA"/>
    <w:rsid w:val="004B5FDB"/>
    <w:rsid w:val="004B609E"/>
    <w:rsid w:val="004B6346"/>
    <w:rsid w:val="004B63FA"/>
    <w:rsid w:val="004B64B1"/>
    <w:rsid w:val="004B65BB"/>
    <w:rsid w:val="004B67FE"/>
    <w:rsid w:val="004B68B4"/>
    <w:rsid w:val="004B6917"/>
    <w:rsid w:val="004B69BB"/>
    <w:rsid w:val="004B6A7A"/>
    <w:rsid w:val="004B73E5"/>
    <w:rsid w:val="004B75DA"/>
    <w:rsid w:val="004B75EA"/>
    <w:rsid w:val="004B7686"/>
    <w:rsid w:val="004B785C"/>
    <w:rsid w:val="004B7866"/>
    <w:rsid w:val="004B78C8"/>
    <w:rsid w:val="004B78F3"/>
    <w:rsid w:val="004B7BC2"/>
    <w:rsid w:val="004C010E"/>
    <w:rsid w:val="004C0165"/>
    <w:rsid w:val="004C0718"/>
    <w:rsid w:val="004C07BD"/>
    <w:rsid w:val="004C084B"/>
    <w:rsid w:val="004C0980"/>
    <w:rsid w:val="004C0F9A"/>
    <w:rsid w:val="004C10F9"/>
    <w:rsid w:val="004C15AA"/>
    <w:rsid w:val="004C1683"/>
    <w:rsid w:val="004C1893"/>
    <w:rsid w:val="004C195D"/>
    <w:rsid w:val="004C1A94"/>
    <w:rsid w:val="004C211E"/>
    <w:rsid w:val="004C21C0"/>
    <w:rsid w:val="004C2218"/>
    <w:rsid w:val="004C2630"/>
    <w:rsid w:val="004C26AC"/>
    <w:rsid w:val="004C276E"/>
    <w:rsid w:val="004C2A37"/>
    <w:rsid w:val="004C2C0D"/>
    <w:rsid w:val="004C2C78"/>
    <w:rsid w:val="004C2CEA"/>
    <w:rsid w:val="004C2EDB"/>
    <w:rsid w:val="004C2FA9"/>
    <w:rsid w:val="004C31F7"/>
    <w:rsid w:val="004C33D1"/>
    <w:rsid w:val="004C3412"/>
    <w:rsid w:val="004C34D2"/>
    <w:rsid w:val="004C3D74"/>
    <w:rsid w:val="004C3DC3"/>
    <w:rsid w:val="004C3E48"/>
    <w:rsid w:val="004C4093"/>
    <w:rsid w:val="004C4386"/>
    <w:rsid w:val="004C43EE"/>
    <w:rsid w:val="004C45A1"/>
    <w:rsid w:val="004C4706"/>
    <w:rsid w:val="004C47C6"/>
    <w:rsid w:val="004C4823"/>
    <w:rsid w:val="004C49DD"/>
    <w:rsid w:val="004C4C17"/>
    <w:rsid w:val="004C4C6A"/>
    <w:rsid w:val="004C4DC0"/>
    <w:rsid w:val="004C4EE1"/>
    <w:rsid w:val="004C4EFF"/>
    <w:rsid w:val="004C564E"/>
    <w:rsid w:val="004C56C5"/>
    <w:rsid w:val="004C6029"/>
    <w:rsid w:val="004C61A0"/>
    <w:rsid w:val="004C68F8"/>
    <w:rsid w:val="004C69D1"/>
    <w:rsid w:val="004C6AC5"/>
    <w:rsid w:val="004C6C32"/>
    <w:rsid w:val="004C6D0D"/>
    <w:rsid w:val="004C79F8"/>
    <w:rsid w:val="004C7A04"/>
    <w:rsid w:val="004C7A68"/>
    <w:rsid w:val="004C7EB2"/>
    <w:rsid w:val="004C7F12"/>
    <w:rsid w:val="004D00C5"/>
    <w:rsid w:val="004D0104"/>
    <w:rsid w:val="004D0290"/>
    <w:rsid w:val="004D04C9"/>
    <w:rsid w:val="004D06B5"/>
    <w:rsid w:val="004D0BA4"/>
    <w:rsid w:val="004D0CF9"/>
    <w:rsid w:val="004D0D68"/>
    <w:rsid w:val="004D0E77"/>
    <w:rsid w:val="004D0FB2"/>
    <w:rsid w:val="004D1710"/>
    <w:rsid w:val="004D17B0"/>
    <w:rsid w:val="004D17D5"/>
    <w:rsid w:val="004D1A8B"/>
    <w:rsid w:val="004D1AB2"/>
    <w:rsid w:val="004D1B57"/>
    <w:rsid w:val="004D1C39"/>
    <w:rsid w:val="004D1CC6"/>
    <w:rsid w:val="004D20BC"/>
    <w:rsid w:val="004D2116"/>
    <w:rsid w:val="004D22F2"/>
    <w:rsid w:val="004D2354"/>
    <w:rsid w:val="004D23CA"/>
    <w:rsid w:val="004D2422"/>
    <w:rsid w:val="004D2520"/>
    <w:rsid w:val="004D260B"/>
    <w:rsid w:val="004D2631"/>
    <w:rsid w:val="004D2881"/>
    <w:rsid w:val="004D2B53"/>
    <w:rsid w:val="004D2C84"/>
    <w:rsid w:val="004D2D25"/>
    <w:rsid w:val="004D2E05"/>
    <w:rsid w:val="004D2EB7"/>
    <w:rsid w:val="004D3271"/>
    <w:rsid w:val="004D3330"/>
    <w:rsid w:val="004D34AA"/>
    <w:rsid w:val="004D3601"/>
    <w:rsid w:val="004D3924"/>
    <w:rsid w:val="004D3FBF"/>
    <w:rsid w:val="004D40FB"/>
    <w:rsid w:val="004D429C"/>
    <w:rsid w:val="004D4330"/>
    <w:rsid w:val="004D43C6"/>
    <w:rsid w:val="004D47DF"/>
    <w:rsid w:val="004D4863"/>
    <w:rsid w:val="004D4B49"/>
    <w:rsid w:val="004D4C44"/>
    <w:rsid w:val="004D4D37"/>
    <w:rsid w:val="004D50B7"/>
    <w:rsid w:val="004D51F4"/>
    <w:rsid w:val="004D53A5"/>
    <w:rsid w:val="004D54A8"/>
    <w:rsid w:val="004D5913"/>
    <w:rsid w:val="004D5ACC"/>
    <w:rsid w:val="004D61A0"/>
    <w:rsid w:val="004D61CD"/>
    <w:rsid w:val="004D64D0"/>
    <w:rsid w:val="004D6A8A"/>
    <w:rsid w:val="004D6AA9"/>
    <w:rsid w:val="004D7082"/>
    <w:rsid w:val="004D7231"/>
    <w:rsid w:val="004D754C"/>
    <w:rsid w:val="004D7721"/>
    <w:rsid w:val="004D7741"/>
    <w:rsid w:val="004D78E1"/>
    <w:rsid w:val="004D7947"/>
    <w:rsid w:val="004D7C9C"/>
    <w:rsid w:val="004D7D51"/>
    <w:rsid w:val="004D7D54"/>
    <w:rsid w:val="004D7D66"/>
    <w:rsid w:val="004D7F58"/>
    <w:rsid w:val="004E0143"/>
    <w:rsid w:val="004E0523"/>
    <w:rsid w:val="004E058A"/>
    <w:rsid w:val="004E0915"/>
    <w:rsid w:val="004E0AA4"/>
    <w:rsid w:val="004E0B8B"/>
    <w:rsid w:val="004E0C3E"/>
    <w:rsid w:val="004E0E51"/>
    <w:rsid w:val="004E1041"/>
    <w:rsid w:val="004E10B9"/>
    <w:rsid w:val="004E1229"/>
    <w:rsid w:val="004E1233"/>
    <w:rsid w:val="004E1292"/>
    <w:rsid w:val="004E13D9"/>
    <w:rsid w:val="004E166D"/>
    <w:rsid w:val="004E171B"/>
    <w:rsid w:val="004E183F"/>
    <w:rsid w:val="004E1DDB"/>
    <w:rsid w:val="004E1E74"/>
    <w:rsid w:val="004E2058"/>
    <w:rsid w:val="004E24D5"/>
    <w:rsid w:val="004E24FF"/>
    <w:rsid w:val="004E259C"/>
    <w:rsid w:val="004E25C2"/>
    <w:rsid w:val="004E28C6"/>
    <w:rsid w:val="004E30C3"/>
    <w:rsid w:val="004E373F"/>
    <w:rsid w:val="004E38A0"/>
    <w:rsid w:val="004E3913"/>
    <w:rsid w:val="004E39BF"/>
    <w:rsid w:val="004E3B91"/>
    <w:rsid w:val="004E3E8D"/>
    <w:rsid w:val="004E4BC4"/>
    <w:rsid w:val="004E514A"/>
    <w:rsid w:val="004E532D"/>
    <w:rsid w:val="004E5387"/>
    <w:rsid w:val="004E5909"/>
    <w:rsid w:val="004E5A0E"/>
    <w:rsid w:val="004E5AEE"/>
    <w:rsid w:val="004E5BDA"/>
    <w:rsid w:val="004E5E3E"/>
    <w:rsid w:val="004E5EB2"/>
    <w:rsid w:val="004E6392"/>
    <w:rsid w:val="004E676F"/>
    <w:rsid w:val="004E6774"/>
    <w:rsid w:val="004E685D"/>
    <w:rsid w:val="004E68A9"/>
    <w:rsid w:val="004E6AB5"/>
    <w:rsid w:val="004E6D0C"/>
    <w:rsid w:val="004E6DE1"/>
    <w:rsid w:val="004E6E10"/>
    <w:rsid w:val="004E75E2"/>
    <w:rsid w:val="004E7BD5"/>
    <w:rsid w:val="004E7E99"/>
    <w:rsid w:val="004E7F99"/>
    <w:rsid w:val="004F03E4"/>
    <w:rsid w:val="004F070A"/>
    <w:rsid w:val="004F0813"/>
    <w:rsid w:val="004F09C9"/>
    <w:rsid w:val="004F0C6B"/>
    <w:rsid w:val="004F1061"/>
    <w:rsid w:val="004F1068"/>
    <w:rsid w:val="004F10E0"/>
    <w:rsid w:val="004F1129"/>
    <w:rsid w:val="004F138F"/>
    <w:rsid w:val="004F13CC"/>
    <w:rsid w:val="004F1709"/>
    <w:rsid w:val="004F1846"/>
    <w:rsid w:val="004F2096"/>
    <w:rsid w:val="004F20B0"/>
    <w:rsid w:val="004F20CB"/>
    <w:rsid w:val="004F23F1"/>
    <w:rsid w:val="004F276F"/>
    <w:rsid w:val="004F29FE"/>
    <w:rsid w:val="004F2D0A"/>
    <w:rsid w:val="004F2FD9"/>
    <w:rsid w:val="004F3168"/>
    <w:rsid w:val="004F362C"/>
    <w:rsid w:val="004F3A79"/>
    <w:rsid w:val="004F3B16"/>
    <w:rsid w:val="004F3C73"/>
    <w:rsid w:val="004F3D0A"/>
    <w:rsid w:val="004F3E3B"/>
    <w:rsid w:val="004F40A7"/>
    <w:rsid w:val="004F40E8"/>
    <w:rsid w:val="004F420C"/>
    <w:rsid w:val="004F45D3"/>
    <w:rsid w:val="004F4657"/>
    <w:rsid w:val="004F4A3E"/>
    <w:rsid w:val="004F4C60"/>
    <w:rsid w:val="004F4E82"/>
    <w:rsid w:val="004F4F8B"/>
    <w:rsid w:val="004F519E"/>
    <w:rsid w:val="004F522E"/>
    <w:rsid w:val="004F558B"/>
    <w:rsid w:val="004F61E0"/>
    <w:rsid w:val="004F6AEF"/>
    <w:rsid w:val="004F6CA9"/>
    <w:rsid w:val="004F6DB3"/>
    <w:rsid w:val="004F72AB"/>
    <w:rsid w:val="004F731E"/>
    <w:rsid w:val="004F752D"/>
    <w:rsid w:val="004F7646"/>
    <w:rsid w:val="004F7853"/>
    <w:rsid w:val="004F7933"/>
    <w:rsid w:val="004F7A2F"/>
    <w:rsid w:val="004F7B32"/>
    <w:rsid w:val="004F7E5C"/>
    <w:rsid w:val="004F7FE1"/>
    <w:rsid w:val="00500123"/>
    <w:rsid w:val="0050023D"/>
    <w:rsid w:val="005008FB"/>
    <w:rsid w:val="00500916"/>
    <w:rsid w:val="0050096B"/>
    <w:rsid w:val="005009A9"/>
    <w:rsid w:val="00500B4D"/>
    <w:rsid w:val="00500F85"/>
    <w:rsid w:val="00500FA3"/>
    <w:rsid w:val="0050138D"/>
    <w:rsid w:val="005013AB"/>
    <w:rsid w:val="00501414"/>
    <w:rsid w:val="0050146A"/>
    <w:rsid w:val="005014A4"/>
    <w:rsid w:val="00501744"/>
    <w:rsid w:val="00501879"/>
    <w:rsid w:val="00501B28"/>
    <w:rsid w:val="00501C25"/>
    <w:rsid w:val="00501CFC"/>
    <w:rsid w:val="005020E3"/>
    <w:rsid w:val="005021A5"/>
    <w:rsid w:val="005021B6"/>
    <w:rsid w:val="00502A7B"/>
    <w:rsid w:val="00502B16"/>
    <w:rsid w:val="005030E4"/>
    <w:rsid w:val="00503172"/>
    <w:rsid w:val="005033D0"/>
    <w:rsid w:val="005036BA"/>
    <w:rsid w:val="005038B1"/>
    <w:rsid w:val="00503B44"/>
    <w:rsid w:val="00503B78"/>
    <w:rsid w:val="00503B88"/>
    <w:rsid w:val="00503C68"/>
    <w:rsid w:val="00503E44"/>
    <w:rsid w:val="00503EC8"/>
    <w:rsid w:val="0050404A"/>
    <w:rsid w:val="00504106"/>
    <w:rsid w:val="00504142"/>
    <w:rsid w:val="00504237"/>
    <w:rsid w:val="005045AF"/>
    <w:rsid w:val="0050492C"/>
    <w:rsid w:val="0050496D"/>
    <w:rsid w:val="005049C1"/>
    <w:rsid w:val="00504AF1"/>
    <w:rsid w:val="00504CAC"/>
    <w:rsid w:val="00504CFC"/>
    <w:rsid w:val="00504FDD"/>
    <w:rsid w:val="00505488"/>
    <w:rsid w:val="005054FC"/>
    <w:rsid w:val="005056F1"/>
    <w:rsid w:val="0050599A"/>
    <w:rsid w:val="005061A4"/>
    <w:rsid w:val="005063CB"/>
    <w:rsid w:val="00506632"/>
    <w:rsid w:val="0050670B"/>
    <w:rsid w:val="00506731"/>
    <w:rsid w:val="00506922"/>
    <w:rsid w:val="00506938"/>
    <w:rsid w:val="00506D23"/>
    <w:rsid w:val="00506D32"/>
    <w:rsid w:val="00506D7F"/>
    <w:rsid w:val="00506DDC"/>
    <w:rsid w:val="00506E3F"/>
    <w:rsid w:val="00507108"/>
    <w:rsid w:val="00507254"/>
    <w:rsid w:val="00507298"/>
    <w:rsid w:val="0050738E"/>
    <w:rsid w:val="00507D30"/>
    <w:rsid w:val="00507E10"/>
    <w:rsid w:val="00507E5B"/>
    <w:rsid w:val="00507F64"/>
    <w:rsid w:val="005100CC"/>
    <w:rsid w:val="00510283"/>
    <w:rsid w:val="005105D6"/>
    <w:rsid w:val="0051077B"/>
    <w:rsid w:val="00510839"/>
    <w:rsid w:val="00510B17"/>
    <w:rsid w:val="005113BA"/>
    <w:rsid w:val="0051170B"/>
    <w:rsid w:val="00511B29"/>
    <w:rsid w:val="00511EC4"/>
    <w:rsid w:val="00511F89"/>
    <w:rsid w:val="005120AA"/>
    <w:rsid w:val="005120CF"/>
    <w:rsid w:val="00512174"/>
    <w:rsid w:val="00512229"/>
    <w:rsid w:val="00512340"/>
    <w:rsid w:val="005124ED"/>
    <w:rsid w:val="00512511"/>
    <w:rsid w:val="0051267E"/>
    <w:rsid w:val="005126B9"/>
    <w:rsid w:val="0051296D"/>
    <w:rsid w:val="0051297C"/>
    <w:rsid w:val="00512AE1"/>
    <w:rsid w:val="00512BC1"/>
    <w:rsid w:val="00512BD1"/>
    <w:rsid w:val="00512BFD"/>
    <w:rsid w:val="00512CC7"/>
    <w:rsid w:val="00512CDA"/>
    <w:rsid w:val="00512F18"/>
    <w:rsid w:val="005130D5"/>
    <w:rsid w:val="005132CC"/>
    <w:rsid w:val="005134A6"/>
    <w:rsid w:val="0051351A"/>
    <w:rsid w:val="005135B2"/>
    <w:rsid w:val="0051374D"/>
    <w:rsid w:val="005137FE"/>
    <w:rsid w:val="00513810"/>
    <w:rsid w:val="00513A48"/>
    <w:rsid w:val="00513C7F"/>
    <w:rsid w:val="005141E8"/>
    <w:rsid w:val="005146A9"/>
    <w:rsid w:val="005147B1"/>
    <w:rsid w:val="00514BB9"/>
    <w:rsid w:val="00514E8F"/>
    <w:rsid w:val="00515078"/>
    <w:rsid w:val="005150AF"/>
    <w:rsid w:val="00515387"/>
    <w:rsid w:val="005154BC"/>
    <w:rsid w:val="00515646"/>
    <w:rsid w:val="0051572C"/>
    <w:rsid w:val="005159A7"/>
    <w:rsid w:val="00515C34"/>
    <w:rsid w:val="00516099"/>
    <w:rsid w:val="005161F1"/>
    <w:rsid w:val="0051625F"/>
    <w:rsid w:val="005163A9"/>
    <w:rsid w:val="0051649A"/>
    <w:rsid w:val="00516538"/>
    <w:rsid w:val="005165A7"/>
    <w:rsid w:val="005165E9"/>
    <w:rsid w:val="00516624"/>
    <w:rsid w:val="005166D4"/>
    <w:rsid w:val="00516A89"/>
    <w:rsid w:val="00516B13"/>
    <w:rsid w:val="00516C94"/>
    <w:rsid w:val="00516C9E"/>
    <w:rsid w:val="00516D52"/>
    <w:rsid w:val="0051703A"/>
    <w:rsid w:val="00517257"/>
    <w:rsid w:val="00517B62"/>
    <w:rsid w:val="00517B87"/>
    <w:rsid w:val="00517D0E"/>
    <w:rsid w:val="00517F2A"/>
    <w:rsid w:val="005200AB"/>
    <w:rsid w:val="005200D2"/>
    <w:rsid w:val="005201BF"/>
    <w:rsid w:val="00520271"/>
    <w:rsid w:val="005203D0"/>
    <w:rsid w:val="005203F3"/>
    <w:rsid w:val="00520856"/>
    <w:rsid w:val="00520A3A"/>
    <w:rsid w:val="00520A62"/>
    <w:rsid w:val="00520BB4"/>
    <w:rsid w:val="00520CEE"/>
    <w:rsid w:val="00521150"/>
    <w:rsid w:val="005215B5"/>
    <w:rsid w:val="00521642"/>
    <w:rsid w:val="00521773"/>
    <w:rsid w:val="005217A6"/>
    <w:rsid w:val="00521966"/>
    <w:rsid w:val="00521AC0"/>
    <w:rsid w:val="00521E6A"/>
    <w:rsid w:val="00521F7E"/>
    <w:rsid w:val="005224C8"/>
    <w:rsid w:val="005229E4"/>
    <w:rsid w:val="00522B5F"/>
    <w:rsid w:val="00522CBE"/>
    <w:rsid w:val="00522EE7"/>
    <w:rsid w:val="00522F39"/>
    <w:rsid w:val="0052300C"/>
    <w:rsid w:val="00523369"/>
    <w:rsid w:val="005240BB"/>
    <w:rsid w:val="005241B9"/>
    <w:rsid w:val="00524419"/>
    <w:rsid w:val="00524847"/>
    <w:rsid w:val="00524BDD"/>
    <w:rsid w:val="00524CE3"/>
    <w:rsid w:val="00524D5C"/>
    <w:rsid w:val="00524EBD"/>
    <w:rsid w:val="00524FE6"/>
    <w:rsid w:val="00525705"/>
    <w:rsid w:val="0052591B"/>
    <w:rsid w:val="00525998"/>
    <w:rsid w:val="005259D6"/>
    <w:rsid w:val="00525B38"/>
    <w:rsid w:val="00525D94"/>
    <w:rsid w:val="00525E0A"/>
    <w:rsid w:val="00525FE7"/>
    <w:rsid w:val="005268D0"/>
    <w:rsid w:val="005268D6"/>
    <w:rsid w:val="005269ED"/>
    <w:rsid w:val="00526A82"/>
    <w:rsid w:val="00526B25"/>
    <w:rsid w:val="00526EC9"/>
    <w:rsid w:val="00526F00"/>
    <w:rsid w:val="00526F6A"/>
    <w:rsid w:val="00527045"/>
    <w:rsid w:val="005274B3"/>
    <w:rsid w:val="005275E7"/>
    <w:rsid w:val="0052760F"/>
    <w:rsid w:val="005276E5"/>
    <w:rsid w:val="005277AD"/>
    <w:rsid w:val="00527A18"/>
    <w:rsid w:val="00527A65"/>
    <w:rsid w:val="00527CE4"/>
    <w:rsid w:val="00527EF4"/>
    <w:rsid w:val="00530097"/>
    <w:rsid w:val="005301B1"/>
    <w:rsid w:val="00530917"/>
    <w:rsid w:val="00530A7F"/>
    <w:rsid w:val="00530E0B"/>
    <w:rsid w:val="00530E38"/>
    <w:rsid w:val="00531058"/>
    <w:rsid w:val="005312C1"/>
    <w:rsid w:val="005314BC"/>
    <w:rsid w:val="00531752"/>
    <w:rsid w:val="0053178A"/>
    <w:rsid w:val="00531A98"/>
    <w:rsid w:val="00531B2A"/>
    <w:rsid w:val="00531C4C"/>
    <w:rsid w:val="00531E00"/>
    <w:rsid w:val="00531ED0"/>
    <w:rsid w:val="005320CA"/>
    <w:rsid w:val="005322C4"/>
    <w:rsid w:val="005326F6"/>
    <w:rsid w:val="005328BB"/>
    <w:rsid w:val="00532A3E"/>
    <w:rsid w:val="00532A63"/>
    <w:rsid w:val="00532EC5"/>
    <w:rsid w:val="00533125"/>
    <w:rsid w:val="00533214"/>
    <w:rsid w:val="005333FB"/>
    <w:rsid w:val="0053362F"/>
    <w:rsid w:val="005338D0"/>
    <w:rsid w:val="00533D12"/>
    <w:rsid w:val="00534191"/>
    <w:rsid w:val="005342AD"/>
    <w:rsid w:val="0053452F"/>
    <w:rsid w:val="00534628"/>
    <w:rsid w:val="005346EA"/>
    <w:rsid w:val="00534C97"/>
    <w:rsid w:val="0053518E"/>
    <w:rsid w:val="005351A1"/>
    <w:rsid w:val="005354F2"/>
    <w:rsid w:val="005355DA"/>
    <w:rsid w:val="005357F2"/>
    <w:rsid w:val="005358E8"/>
    <w:rsid w:val="005359CE"/>
    <w:rsid w:val="00535D27"/>
    <w:rsid w:val="00535D5C"/>
    <w:rsid w:val="00535F07"/>
    <w:rsid w:val="005365D3"/>
    <w:rsid w:val="005367C2"/>
    <w:rsid w:val="0053699C"/>
    <w:rsid w:val="00536B0C"/>
    <w:rsid w:val="00536F43"/>
    <w:rsid w:val="00536F7C"/>
    <w:rsid w:val="00537174"/>
    <w:rsid w:val="005371A5"/>
    <w:rsid w:val="00537B40"/>
    <w:rsid w:val="00540558"/>
    <w:rsid w:val="0054060F"/>
    <w:rsid w:val="005406E2"/>
    <w:rsid w:val="0054077F"/>
    <w:rsid w:val="005407AF"/>
    <w:rsid w:val="0054084F"/>
    <w:rsid w:val="00540863"/>
    <w:rsid w:val="00540B70"/>
    <w:rsid w:val="00540BBD"/>
    <w:rsid w:val="00540C95"/>
    <w:rsid w:val="00541308"/>
    <w:rsid w:val="005413CC"/>
    <w:rsid w:val="00541561"/>
    <w:rsid w:val="00541954"/>
    <w:rsid w:val="00541A90"/>
    <w:rsid w:val="00541B7C"/>
    <w:rsid w:val="00541C9D"/>
    <w:rsid w:val="0054208C"/>
    <w:rsid w:val="0054229F"/>
    <w:rsid w:val="005424F4"/>
    <w:rsid w:val="00542510"/>
    <w:rsid w:val="00542781"/>
    <w:rsid w:val="005428E0"/>
    <w:rsid w:val="00542D93"/>
    <w:rsid w:val="00543080"/>
    <w:rsid w:val="005432EA"/>
    <w:rsid w:val="00543474"/>
    <w:rsid w:val="005434BD"/>
    <w:rsid w:val="0054384F"/>
    <w:rsid w:val="00543897"/>
    <w:rsid w:val="00543D1A"/>
    <w:rsid w:val="00543E87"/>
    <w:rsid w:val="00543F78"/>
    <w:rsid w:val="00543FC1"/>
    <w:rsid w:val="005441C5"/>
    <w:rsid w:val="00544407"/>
    <w:rsid w:val="00544841"/>
    <w:rsid w:val="005448F7"/>
    <w:rsid w:val="0054492D"/>
    <w:rsid w:val="00544AA2"/>
    <w:rsid w:val="00544AA6"/>
    <w:rsid w:val="00544BE8"/>
    <w:rsid w:val="00544D6C"/>
    <w:rsid w:val="00544E11"/>
    <w:rsid w:val="00544E8E"/>
    <w:rsid w:val="005454AB"/>
    <w:rsid w:val="0054550E"/>
    <w:rsid w:val="005456C0"/>
    <w:rsid w:val="005457C7"/>
    <w:rsid w:val="00545AD3"/>
    <w:rsid w:val="00545AE2"/>
    <w:rsid w:val="00545B7F"/>
    <w:rsid w:val="00545CDC"/>
    <w:rsid w:val="00545F96"/>
    <w:rsid w:val="00546100"/>
    <w:rsid w:val="0054619D"/>
    <w:rsid w:val="005461E6"/>
    <w:rsid w:val="005461F8"/>
    <w:rsid w:val="00546221"/>
    <w:rsid w:val="00546241"/>
    <w:rsid w:val="0054632A"/>
    <w:rsid w:val="005463C9"/>
    <w:rsid w:val="0054648E"/>
    <w:rsid w:val="00546516"/>
    <w:rsid w:val="00546769"/>
    <w:rsid w:val="005468E2"/>
    <w:rsid w:val="00546D6A"/>
    <w:rsid w:val="00546DA3"/>
    <w:rsid w:val="00546ECC"/>
    <w:rsid w:val="00547155"/>
    <w:rsid w:val="00547211"/>
    <w:rsid w:val="0054776C"/>
    <w:rsid w:val="005478D0"/>
    <w:rsid w:val="005478D4"/>
    <w:rsid w:val="0054793F"/>
    <w:rsid w:val="00547982"/>
    <w:rsid w:val="00547A43"/>
    <w:rsid w:val="00547A97"/>
    <w:rsid w:val="00547B88"/>
    <w:rsid w:val="00547B96"/>
    <w:rsid w:val="00550174"/>
    <w:rsid w:val="0055056D"/>
    <w:rsid w:val="0055066C"/>
    <w:rsid w:val="005506BD"/>
    <w:rsid w:val="005507AE"/>
    <w:rsid w:val="00550807"/>
    <w:rsid w:val="00550C99"/>
    <w:rsid w:val="00550EF6"/>
    <w:rsid w:val="0055129F"/>
    <w:rsid w:val="005512D9"/>
    <w:rsid w:val="005513D5"/>
    <w:rsid w:val="005514D8"/>
    <w:rsid w:val="005519E3"/>
    <w:rsid w:val="00551A05"/>
    <w:rsid w:val="00551AE9"/>
    <w:rsid w:val="00551B1C"/>
    <w:rsid w:val="00551B4A"/>
    <w:rsid w:val="00551BB2"/>
    <w:rsid w:val="00552274"/>
    <w:rsid w:val="0055233B"/>
    <w:rsid w:val="0055238E"/>
    <w:rsid w:val="005528BC"/>
    <w:rsid w:val="00552A6D"/>
    <w:rsid w:val="00552B0D"/>
    <w:rsid w:val="00552C3C"/>
    <w:rsid w:val="00552E39"/>
    <w:rsid w:val="0055330A"/>
    <w:rsid w:val="005533AC"/>
    <w:rsid w:val="00553413"/>
    <w:rsid w:val="005534B5"/>
    <w:rsid w:val="00553EB0"/>
    <w:rsid w:val="00554076"/>
    <w:rsid w:val="005540D8"/>
    <w:rsid w:val="00554233"/>
    <w:rsid w:val="0055427E"/>
    <w:rsid w:val="005544C3"/>
    <w:rsid w:val="005545B3"/>
    <w:rsid w:val="00554670"/>
    <w:rsid w:val="00554AC9"/>
    <w:rsid w:val="00554B6F"/>
    <w:rsid w:val="00554C83"/>
    <w:rsid w:val="00554D4A"/>
    <w:rsid w:val="00554EE0"/>
    <w:rsid w:val="00555009"/>
    <w:rsid w:val="00555030"/>
    <w:rsid w:val="00555353"/>
    <w:rsid w:val="00555380"/>
    <w:rsid w:val="00555428"/>
    <w:rsid w:val="005554B6"/>
    <w:rsid w:val="005555B3"/>
    <w:rsid w:val="00555622"/>
    <w:rsid w:val="00555632"/>
    <w:rsid w:val="005556AD"/>
    <w:rsid w:val="00555800"/>
    <w:rsid w:val="005558CA"/>
    <w:rsid w:val="005558F5"/>
    <w:rsid w:val="005559B3"/>
    <w:rsid w:val="00555A8E"/>
    <w:rsid w:val="00555AA6"/>
    <w:rsid w:val="00555AB2"/>
    <w:rsid w:val="00555DC4"/>
    <w:rsid w:val="00556041"/>
    <w:rsid w:val="00556214"/>
    <w:rsid w:val="0055658D"/>
    <w:rsid w:val="00556635"/>
    <w:rsid w:val="0055664F"/>
    <w:rsid w:val="005566B9"/>
    <w:rsid w:val="005566FB"/>
    <w:rsid w:val="00556D57"/>
    <w:rsid w:val="005573D4"/>
    <w:rsid w:val="00557465"/>
    <w:rsid w:val="00557D56"/>
    <w:rsid w:val="00560091"/>
    <w:rsid w:val="005601F3"/>
    <w:rsid w:val="005606B3"/>
    <w:rsid w:val="0056081C"/>
    <w:rsid w:val="00560835"/>
    <w:rsid w:val="00560C94"/>
    <w:rsid w:val="00560EFF"/>
    <w:rsid w:val="00560F75"/>
    <w:rsid w:val="0056101B"/>
    <w:rsid w:val="00561129"/>
    <w:rsid w:val="00561204"/>
    <w:rsid w:val="0056137F"/>
    <w:rsid w:val="005615FC"/>
    <w:rsid w:val="005617E6"/>
    <w:rsid w:val="005618BA"/>
    <w:rsid w:val="00561CC0"/>
    <w:rsid w:val="0056202A"/>
    <w:rsid w:val="00562246"/>
    <w:rsid w:val="005623E1"/>
    <w:rsid w:val="00562410"/>
    <w:rsid w:val="00562576"/>
    <w:rsid w:val="0056262A"/>
    <w:rsid w:val="0056269A"/>
    <w:rsid w:val="0056284F"/>
    <w:rsid w:val="0056285A"/>
    <w:rsid w:val="005628EA"/>
    <w:rsid w:val="005629F8"/>
    <w:rsid w:val="00562A6B"/>
    <w:rsid w:val="00562F4C"/>
    <w:rsid w:val="0056316C"/>
    <w:rsid w:val="005632F7"/>
    <w:rsid w:val="005634D2"/>
    <w:rsid w:val="00563579"/>
    <w:rsid w:val="005635BD"/>
    <w:rsid w:val="005635CC"/>
    <w:rsid w:val="00563619"/>
    <w:rsid w:val="005636F9"/>
    <w:rsid w:val="0056389B"/>
    <w:rsid w:val="00563917"/>
    <w:rsid w:val="0056394C"/>
    <w:rsid w:val="00563B6D"/>
    <w:rsid w:val="00563F93"/>
    <w:rsid w:val="00563FF6"/>
    <w:rsid w:val="00564189"/>
    <w:rsid w:val="0056446A"/>
    <w:rsid w:val="0056464C"/>
    <w:rsid w:val="00564692"/>
    <w:rsid w:val="005646CA"/>
    <w:rsid w:val="0056473B"/>
    <w:rsid w:val="00564DD9"/>
    <w:rsid w:val="00564EBF"/>
    <w:rsid w:val="00564F97"/>
    <w:rsid w:val="0056501E"/>
    <w:rsid w:val="00565117"/>
    <w:rsid w:val="00565283"/>
    <w:rsid w:val="00565B89"/>
    <w:rsid w:val="00565C9E"/>
    <w:rsid w:val="00566090"/>
    <w:rsid w:val="00566268"/>
    <w:rsid w:val="0056639A"/>
    <w:rsid w:val="005668A5"/>
    <w:rsid w:val="0056699D"/>
    <w:rsid w:val="00566BFD"/>
    <w:rsid w:val="00566C36"/>
    <w:rsid w:val="00566D6C"/>
    <w:rsid w:val="00566FBD"/>
    <w:rsid w:val="0056748F"/>
    <w:rsid w:val="00567522"/>
    <w:rsid w:val="00567AC1"/>
    <w:rsid w:val="00567E44"/>
    <w:rsid w:val="00567E88"/>
    <w:rsid w:val="00570150"/>
    <w:rsid w:val="00570525"/>
    <w:rsid w:val="00570601"/>
    <w:rsid w:val="005708F9"/>
    <w:rsid w:val="00570ACB"/>
    <w:rsid w:val="00570E67"/>
    <w:rsid w:val="00571127"/>
    <w:rsid w:val="0057118D"/>
    <w:rsid w:val="00571371"/>
    <w:rsid w:val="00571455"/>
    <w:rsid w:val="005714AF"/>
    <w:rsid w:val="00571629"/>
    <w:rsid w:val="005716EF"/>
    <w:rsid w:val="00571C54"/>
    <w:rsid w:val="00571C79"/>
    <w:rsid w:val="00571ED7"/>
    <w:rsid w:val="00571F5C"/>
    <w:rsid w:val="00572077"/>
    <w:rsid w:val="005724EB"/>
    <w:rsid w:val="005728C7"/>
    <w:rsid w:val="00572934"/>
    <w:rsid w:val="005729D8"/>
    <w:rsid w:val="005729DA"/>
    <w:rsid w:val="00572AC1"/>
    <w:rsid w:val="00572C23"/>
    <w:rsid w:val="00572C35"/>
    <w:rsid w:val="00572E0C"/>
    <w:rsid w:val="00572E88"/>
    <w:rsid w:val="00572FD7"/>
    <w:rsid w:val="005737AD"/>
    <w:rsid w:val="00573B76"/>
    <w:rsid w:val="00573D1C"/>
    <w:rsid w:val="00573EAB"/>
    <w:rsid w:val="00573EB9"/>
    <w:rsid w:val="00573FC2"/>
    <w:rsid w:val="005740C9"/>
    <w:rsid w:val="005743BD"/>
    <w:rsid w:val="00574451"/>
    <w:rsid w:val="00574617"/>
    <w:rsid w:val="0057472E"/>
    <w:rsid w:val="00574816"/>
    <w:rsid w:val="00574888"/>
    <w:rsid w:val="0057492B"/>
    <w:rsid w:val="00574C2C"/>
    <w:rsid w:val="00575356"/>
    <w:rsid w:val="005754AB"/>
    <w:rsid w:val="00575979"/>
    <w:rsid w:val="00575EA9"/>
    <w:rsid w:val="005760D5"/>
    <w:rsid w:val="00576423"/>
    <w:rsid w:val="00576448"/>
    <w:rsid w:val="005769D9"/>
    <w:rsid w:val="00576AEA"/>
    <w:rsid w:val="00576EC7"/>
    <w:rsid w:val="00577044"/>
    <w:rsid w:val="00577237"/>
    <w:rsid w:val="00577493"/>
    <w:rsid w:val="0057776C"/>
    <w:rsid w:val="00577CED"/>
    <w:rsid w:val="00577F08"/>
    <w:rsid w:val="00577F47"/>
    <w:rsid w:val="00580F2E"/>
    <w:rsid w:val="00580F9A"/>
    <w:rsid w:val="00581028"/>
    <w:rsid w:val="005811AF"/>
    <w:rsid w:val="0058137E"/>
    <w:rsid w:val="0058152D"/>
    <w:rsid w:val="00581B48"/>
    <w:rsid w:val="00581C40"/>
    <w:rsid w:val="00581EE3"/>
    <w:rsid w:val="00581F09"/>
    <w:rsid w:val="00581F11"/>
    <w:rsid w:val="00581F51"/>
    <w:rsid w:val="005826F4"/>
    <w:rsid w:val="005827E1"/>
    <w:rsid w:val="00582AC6"/>
    <w:rsid w:val="00582BBC"/>
    <w:rsid w:val="00582C37"/>
    <w:rsid w:val="00582DE0"/>
    <w:rsid w:val="00582E64"/>
    <w:rsid w:val="005831BA"/>
    <w:rsid w:val="0058369E"/>
    <w:rsid w:val="00583799"/>
    <w:rsid w:val="00583889"/>
    <w:rsid w:val="00583A40"/>
    <w:rsid w:val="00583B2E"/>
    <w:rsid w:val="00583C92"/>
    <w:rsid w:val="005841F5"/>
    <w:rsid w:val="00584579"/>
    <w:rsid w:val="005845E1"/>
    <w:rsid w:val="005846C3"/>
    <w:rsid w:val="005846FF"/>
    <w:rsid w:val="005847C0"/>
    <w:rsid w:val="00584951"/>
    <w:rsid w:val="00584B13"/>
    <w:rsid w:val="00584F8C"/>
    <w:rsid w:val="00584FC1"/>
    <w:rsid w:val="00585045"/>
    <w:rsid w:val="005850F2"/>
    <w:rsid w:val="00585321"/>
    <w:rsid w:val="00585395"/>
    <w:rsid w:val="00585655"/>
    <w:rsid w:val="00585778"/>
    <w:rsid w:val="005857F3"/>
    <w:rsid w:val="005859F6"/>
    <w:rsid w:val="00585BC5"/>
    <w:rsid w:val="00585D05"/>
    <w:rsid w:val="00585D77"/>
    <w:rsid w:val="00586098"/>
    <w:rsid w:val="0058633F"/>
    <w:rsid w:val="005864FA"/>
    <w:rsid w:val="0058657B"/>
    <w:rsid w:val="005868A1"/>
    <w:rsid w:val="005868E8"/>
    <w:rsid w:val="00586C93"/>
    <w:rsid w:val="00586D5A"/>
    <w:rsid w:val="00586F8A"/>
    <w:rsid w:val="00586F99"/>
    <w:rsid w:val="005870B7"/>
    <w:rsid w:val="005871C3"/>
    <w:rsid w:val="0058733B"/>
    <w:rsid w:val="0058742C"/>
    <w:rsid w:val="0058749A"/>
    <w:rsid w:val="00587665"/>
    <w:rsid w:val="00587720"/>
    <w:rsid w:val="00587ED7"/>
    <w:rsid w:val="00587F46"/>
    <w:rsid w:val="00587FB6"/>
    <w:rsid w:val="00590275"/>
    <w:rsid w:val="00590868"/>
    <w:rsid w:val="00590D09"/>
    <w:rsid w:val="00590D0D"/>
    <w:rsid w:val="00590E61"/>
    <w:rsid w:val="0059156A"/>
    <w:rsid w:val="0059162B"/>
    <w:rsid w:val="00591D39"/>
    <w:rsid w:val="00591D65"/>
    <w:rsid w:val="00591D9A"/>
    <w:rsid w:val="00591DAB"/>
    <w:rsid w:val="00591FA8"/>
    <w:rsid w:val="00591FEF"/>
    <w:rsid w:val="0059283F"/>
    <w:rsid w:val="00592894"/>
    <w:rsid w:val="005928F7"/>
    <w:rsid w:val="00592F63"/>
    <w:rsid w:val="00593214"/>
    <w:rsid w:val="00593314"/>
    <w:rsid w:val="005934A5"/>
    <w:rsid w:val="0059359E"/>
    <w:rsid w:val="005935E8"/>
    <w:rsid w:val="0059368E"/>
    <w:rsid w:val="00593808"/>
    <w:rsid w:val="005938F6"/>
    <w:rsid w:val="00593A45"/>
    <w:rsid w:val="00593A90"/>
    <w:rsid w:val="00593B4C"/>
    <w:rsid w:val="00593BF5"/>
    <w:rsid w:val="00593FCD"/>
    <w:rsid w:val="005943C7"/>
    <w:rsid w:val="0059443D"/>
    <w:rsid w:val="00594496"/>
    <w:rsid w:val="005945ED"/>
    <w:rsid w:val="00594888"/>
    <w:rsid w:val="005948FA"/>
    <w:rsid w:val="00594960"/>
    <w:rsid w:val="00594A74"/>
    <w:rsid w:val="00594E0B"/>
    <w:rsid w:val="00594E4B"/>
    <w:rsid w:val="00594F80"/>
    <w:rsid w:val="0059544C"/>
    <w:rsid w:val="005954D6"/>
    <w:rsid w:val="00595617"/>
    <w:rsid w:val="005956D3"/>
    <w:rsid w:val="0059589A"/>
    <w:rsid w:val="00595A56"/>
    <w:rsid w:val="00595A70"/>
    <w:rsid w:val="00595B76"/>
    <w:rsid w:val="00596365"/>
    <w:rsid w:val="0059647D"/>
    <w:rsid w:val="005965BC"/>
    <w:rsid w:val="005969B6"/>
    <w:rsid w:val="00596BD5"/>
    <w:rsid w:val="00596D5E"/>
    <w:rsid w:val="00596DA5"/>
    <w:rsid w:val="00596E3F"/>
    <w:rsid w:val="00596FDA"/>
    <w:rsid w:val="0059708F"/>
    <w:rsid w:val="0059723A"/>
    <w:rsid w:val="005973E0"/>
    <w:rsid w:val="00597406"/>
    <w:rsid w:val="00597512"/>
    <w:rsid w:val="00597640"/>
    <w:rsid w:val="005978A0"/>
    <w:rsid w:val="00597A95"/>
    <w:rsid w:val="00597AA9"/>
    <w:rsid w:val="00597D1D"/>
    <w:rsid w:val="005A035D"/>
    <w:rsid w:val="005A044F"/>
    <w:rsid w:val="005A0975"/>
    <w:rsid w:val="005A0A39"/>
    <w:rsid w:val="005A0CFC"/>
    <w:rsid w:val="005A13AE"/>
    <w:rsid w:val="005A13B0"/>
    <w:rsid w:val="005A1798"/>
    <w:rsid w:val="005A1880"/>
    <w:rsid w:val="005A18C4"/>
    <w:rsid w:val="005A1B77"/>
    <w:rsid w:val="005A1C7F"/>
    <w:rsid w:val="005A233D"/>
    <w:rsid w:val="005A272E"/>
    <w:rsid w:val="005A2E87"/>
    <w:rsid w:val="005A320C"/>
    <w:rsid w:val="005A33A0"/>
    <w:rsid w:val="005A3484"/>
    <w:rsid w:val="005A35F6"/>
    <w:rsid w:val="005A364F"/>
    <w:rsid w:val="005A3987"/>
    <w:rsid w:val="005A3ACD"/>
    <w:rsid w:val="005A3D6D"/>
    <w:rsid w:val="005A3EC1"/>
    <w:rsid w:val="005A42B8"/>
    <w:rsid w:val="005A45FF"/>
    <w:rsid w:val="005A47C1"/>
    <w:rsid w:val="005A4876"/>
    <w:rsid w:val="005A4877"/>
    <w:rsid w:val="005A48B1"/>
    <w:rsid w:val="005A4B91"/>
    <w:rsid w:val="005A4CBF"/>
    <w:rsid w:val="005A4CD5"/>
    <w:rsid w:val="005A4D11"/>
    <w:rsid w:val="005A4E2A"/>
    <w:rsid w:val="005A4E7F"/>
    <w:rsid w:val="005A51DE"/>
    <w:rsid w:val="005A52A3"/>
    <w:rsid w:val="005A59F6"/>
    <w:rsid w:val="005A5BFD"/>
    <w:rsid w:val="005A5C63"/>
    <w:rsid w:val="005A5CE1"/>
    <w:rsid w:val="005A5DCC"/>
    <w:rsid w:val="005A601B"/>
    <w:rsid w:val="005A6031"/>
    <w:rsid w:val="005A607B"/>
    <w:rsid w:val="005A60C4"/>
    <w:rsid w:val="005A62B4"/>
    <w:rsid w:val="005A659C"/>
    <w:rsid w:val="005A6762"/>
    <w:rsid w:val="005A69AE"/>
    <w:rsid w:val="005A69C9"/>
    <w:rsid w:val="005A6BCA"/>
    <w:rsid w:val="005A6DBB"/>
    <w:rsid w:val="005A6FC3"/>
    <w:rsid w:val="005A6FC8"/>
    <w:rsid w:val="005A71BA"/>
    <w:rsid w:val="005A74B7"/>
    <w:rsid w:val="005A74D4"/>
    <w:rsid w:val="005A7566"/>
    <w:rsid w:val="005A7646"/>
    <w:rsid w:val="005A771F"/>
    <w:rsid w:val="005A7792"/>
    <w:rsid w:val="005A77CE"/>
    <w:rsid w:val="005A7894"/>
    <w:rsid w:val="005A7986"/>
    <w:rsid w:val="005A7AB2"/>
    <w:rsid w:val="005A7B52"/>
    <w:rsid w:val="005A7BB7"/>
    <w:rsid w:val="005A7D60"/>
    <w:rsid w:val="005A7E78"/>
    <w:rsid w:val="005B0019"/>
    <w:rsid w:val="005B025B"/>
    <w:rsid w:val="005B03ED"/>
    <w:rsid w:val="005B083F"/>
    <w:rsid w:val="005B0B4D"/>
    <w:rsid w:val="005B0D64"/>
    <w:rsid w:val="005B0E0A"/>
    <w:rsid w:val="005B0E7A"/>
    <w:rsid w:val="005B102F"/>
    <w:rsid w:val="005B12DE"/>
    <w:rsid w:val="005B13AA"/>
    <w:rsid w:val="005B15C0"/>
    <w:rsid w:val="005B15F8"/>
    <w:rsid w:val="005B16A9"/>
    <w:rsid w:val="005B1776"/>
    <w:rsid w:val="005B18F0"/>
    <w:rsid w:val="005B1910"/>
    <w:rsid w:val="005B19B3"/>
    <w:rsid w:val="005B1BA3"/>
    <w:rsid w:val="005B20D2"/>
    <w:rsid w:val="005B242C"/>
    <w:rsid w:val="005B251C"/>
    <w:rsid w:val="005B25CF"/>
    <w:rsid w:val="005B26B2"/>
    <w:rsid w:val="005B2919"/>
    <w:rsid w:val="005B2ABF"/>
    <w:rsid w:val="005B2AD5"/>
    <w:rsid w:val="005B2C8F"/>
    <w:rsid w:val="005B2DE4"/>
    <w:rsid w:val="005B2ED2"/>
    <w:rsid w:val="005B3187"/>
    <w:rsid w:val="005B31BF"/>
    <w:rsid w:val="005B32FB"/>
    <w:rsid w:val="005B332B"/>
    <w:rsid w:val="005B3436"/>
    <w:rsid w:val="005B3673"/>
    <w:rsid w:val="005B3798"/>
    <w:rsid w:val="005B3CA3"/>
    <w:rsid w:val="005B3D36"/>
    <w:rsid w:val="005B3F74"/>
    <w:rsid w:val="005B41C8"/>
    <w:rsid w:val="005B41FF"/>
    <w:rsid w:val="005B4360"/>
    <w:rsid w:val="005B43DE"/>
    <w:rsid w:val="005B442A"/>
    <w:rsid w:val="005B459D"/>
    <w:rsid w:val="005B45DF"/>
    <w:rsid w:val="005B46BE"/>
    <w:rsid w:val="005B4774"/>
    <w:rsid w:val="005B49AB"/>
    <w:rsid w:val="005B49B6"/>
    <w:rsid w:val="005B4AE5"/>
    <w:rsid w:val="005B4BA9"/>
    <w:rsid w:val="005B4D84"/>
    <w:rsid w:val="005B4E64"/>
    <w:rsid w:val="005B50B4"/>
    <w:rsid w:val="005B5621"/>
    <w:rsid w:val="005B57CA"/>
    <w:rsid w:val="005B59E2"/>
    <w:rsid w:val="005B5BEB"/>
    <w:rsid w:val="005B5E73"/>
    <w:rsid w:val="005B6154"/>
    <w:rsid w:val="005B6187"/>
    <w:rsid w:val="005B6309"/>
    <w:rsid w:val="005B6447"/>
    <w:rsid w:val="005B6B91"/>
    <w:rsid w:val="005B6BD9"/>
    <w:rsid w:val="005B6D47"/>
    <w:rsid w:val="005B6F1A"/>
    <w:rsid w:val="005B6FCE"/>
    <w:rsid w:val="005B719B"/>
    <w:rsid w:val="005B73B7"/>
    <w:rsid w:val="005B73E4"/>
    <w:rsid w:val="005B782B"/>
    <w:rsid w:val="005B78C0"/>
    <w:rsid w:val="005B7AB9"/>
    <w:rsid w:val="005B7BFB"/>
    <w:rsid w:val="005B7FE4"/>
    <w:rsid w:val="005C029F"/>
    <w:rsid w:val="005C02D0"/>
    <w:rsid w:val="005C05E0"/>
    <w:rsid w:val="005C06CA"/>
    <w:rsid w:val="005C078A"/>
    <w:rsid w:val="005C09A6"/>
    <w:rsid w:val="005C0C88"/>
    <w:rsid w:val="005C0DC3"/>
    <w:rsid w:val="005C0EC9"/>
    <w:rsid w:val="005C0FAA"/>
    <w:rsid w:val="005C104D"/>
    <w:rsid w:val="005C11F4"/>
    <w:rsid w:val="005C135C"/>
    <w:rsid w:val="005C1606"/>
    <w:rsid w:val="005C1972"/>
    <w:rsid w:val="005C1B72"/>
    <w:rsid w:val="005C1BE3"/>
    <w:rsid w:val="005C1C06"/>
    <w:rsid w:val="005C1C88"/>
    <w:rsid w:val="005C1DA2"/>
    <w:rsid w:val="005C1E3F"/>
    <w:rsid w:val="005C1F48"/>
    <w:rsid w:val="005C2094"/>
    <w:rsid w:val="005C20DE"/>
    <w:rsid w:val="005C2182"/>
    <w:rsid w:val="005C23E7"/>
    <w:rsid w:val="005C23F7"/>
    <w:rsid w:val="005C2789"/>
    <w:rsid w:val="005C29F2"/>
    <w:rsid w:val="005C2A3B"/>
    <w:rsid w:val="005C2A42"/>
    <w:rsid w:val="005C2B0E"/>
    <w:rsid w:val="005C2BB3"/>
    <w:rsid w:val="005C2C10"/>
    <w:rsid w:val="005C2E2B"/>
    <w:rsid w:val="005C31F2"/>
    <w:rsid w:val="005C33C3"/>
    <w:rsid w:val="005C347F"/>
    <w:rsid w:val="005C3546"/>
    <w:rsid w:val="005C3770"/>
    <w:rsid w:val="005C37E0"/>
    <w:rsid w:val="005C39C1"/>
    <w:rsid w:val="005C39E3"/>
    <w:rsid w:val="005C3F11"/>
    <w:rsid w:val="005C42F8"/>
    <w:rsid w:val="005C42FB"/>
    <w:rsid w:val="005C432E"/>
    <w:rsid w:val="005C46F3"/>
    <w:rsid w:val="005C4720"/>
    <w:rsid w:val="005C487C"/>
    <w:rsid w:val="005C4980"/>
    <w:rsid w:val="005C4BF8"/>
    <w:rsid w:val="005C4D05"/>
    <w:rsid w:val="005C4DAC"/>
    <w:rsid w:val="005C4F1D"/>
    <w:rsid w:val="005C5384"/>
    <w:rsid w:val="005C53D9"/>
    <w:rsid w:val="005C54B9"/>
    <w:rsid w:val="005C5748"/>
    <w:rsid w:val="005C5856"/>
    <w:rsid w:val="005C587D"/>
    <w:rsid w:val="005C58EC"/>
    <w:rsid w:val="005C59EC"/>
    <w:rsid w:val="005C5A1C"/>
    <w:rsid w:val="005C5CD5"/>
    <w:rsid w:val="005C5D4F"/>
    <w:rsid w:val="005C5E10"/>
    <w:rsid w:val="005C5EC7"/>
    <w:rsid w:val="005C5EE9"/>
    <w:rsid w:val="005C5FE0"/>
    <w:rsid w:val="005C61E2"/>
    <w:rsid w:val="005C62D7"/>
    <w:rsid w:val="005C6618"/>
    <w:rsid w:val="005C666D"/>
    <w:rsid w:val="005C67DD"/>
    <w:rsid w:val="005C685B"/>
    <w:rsid w:val="005C69D2"/>
    <w:rsid w:val="005C6AE9"/>
    <w:rsid w:val="005C6B56"/>
    <w:rsid w:val="005C6D74"/>
    <w:rsid w:val="005C6F1B"/>
    <w:rsid w:val="005C6FCD"/>
    <w:rsid w:val="005C7107"/>
    <w:rsid w:val="005C73B6"/>
    <w:rsid w:val="005C7400"/>
    <w:rsid w:val="005C775B"/>
    <w:rsid w:val="005C77DF"/>
    <w:rsid w:val="005C7A00"/>
    <w:rsid w:val="005C7A07"/>
    <w:rsid w:val="005C7A93"/>
    <w:rsid w:val="005C7AEA"/>
    <w:rsid w:val="005C7CC3"/>
    <w:rsid w:val="005C7E99"/>
    <w:rsid w:val="005C7EE4"/>
    <w:rsid w:val="005D0020"/>
    <w:rsid w:val="005D0189"/>
    <w:rsid w:val="005D0639"/>
    <w:rsid w:val="005D06C4"/>
    <w:rsid w:val="005D071F"/>
    <w:rsid w:val="005D089B"/>
    <w:rsid w:val="005D0A0C"/>
    <w:rsid w:val="005D0AC6"/>
    <w:rsid w:val="005D1039"/>
    <w:rsid w:val="005D117C"/>
    <w:rsid w:val="005D15C5"/>
    <w:rsid w:val="005D178C"/>
    <w:rsid w:val="005D1CA5"/>
    <w:rsid w:val="005D1CDA"/>
    <w:rsid w:val="005D22D0"/>
    <w:rsid w:val="005D22E9"/>
    <w:rsid w:val="005D24E2"/>
    <w:rsid w:val="005D2AC2"/>
    <w:rsid w:val="005D2BED"/>
    <w:rsid w:val="005D2C3E"/>
    <w:rsid w:val="005D2DC9"/>
    <w:rsid w:val="005D3465"/>
    <w:rsid w:val="005D36DB"/>
    <w:rsid w:val="005D374B"/>
    <w:rsid w:val="005D3BAF"/>
    <w:rsid w:val="005D3EC1"/>
    <w:rsid w:val="005D3FCC"/>
    <w:rsid w:val="005D4049"/>
    <w:rsid w:val="005D430C"/>
    <w:rsid w:val="005D451C"/>
    <w:rsid w:val="005D4597"/>
    <w:rsid w:val="005D45CE"/>
    <w:rsid w:val="005D481E"/>
    <w:rsid w:val="005D4A80"/>
    <w:rsid w:val="005D4A9C"/>
    <w:rsid w:val="005D4B89"/>
    <w:rsid w:val="005D4BEA"/>
    <w:rsid w:val="005D501A"/>
    <w:rsid w:val="005D549C"/>
    <w:rsid w:val="005D55BD"/>
    <w:rsid w:val="005D58FD"/>
    <w:rsid w:val="005D5BE9"/>
    <w:rsid w:val="005D5C99"/>
    <w:rsid w:val="005D5E4C"/>
    <w:rsid w:val="005D61C9"/>
    <w:rsid w:val="005D668C"/>
    <w:rsid w:val="005D6876"/>
    <w:rsid w:val="005D6B0F"/>
    <w:rsid w:val="005D6B8B"/>
    <w:rsid w:val="005D6DF3"/>
    <w:rsid w:val="005D7205"/>
    <w:rsid w:val="005D723D"/>
    <w:rsid w:val="005D7429"/>
    <w:rsid w:val="005D74E4"/>
    <w:rsid w:val="005D75B9"/>
    <w:rsid w:val="005D76D5"/>
    <w:rsid w:val="005D7771"/>
    <w:rsid w:val="005D77E6"/>
    <w:rsid w:val="005D7C42"/>
    <w:rsid w:val="005D7CD6"/>
    <w:rsid w:val="005D7D2E"/>
    <w:rsid w:val="005D7EB2"/>
    <w:rsid w:val="005E05AD"/>
    <w:rsid w:val="005E09EB"/>
    <w:rsid w:val="005E0E62"/>
    <w:rsid w:val="005E0F94"/>
    <w:rsid w:val="005E14E3"/>
    <w:rsid w:val="005E150D"/>
    <w:rsid w:val="005E16A5"/>
    <w:rsid w:val="005E1970"/>
    <w:rsid w:val="005E1C34"/>
    <w:rsid w:val="005E1F7E"/>
    <w:rsid w:val="005E2083"/>
    <w:rsid w:val="005E2583"/>
    <w:rsid w:val="005E261C"/>
    <w:rsid w:val="005E26F7"/>
    <w:rsid w:val="005E2C11"/>
    <w:rsid w:val="005E2D3F"/>
    <w:rsid w:val="005E363C"/>
    <w:rsid w:val="005E3645"/>
    <w:rsid w:val="005E375A"/>
    <w:rsid w:val="005E3903"/>
    <w:rsid w:val="005E3A27"/>
    <w:rsid w:val="005E3A3C"/>
    <w:rsid w:val="005E3AC3"/>
    <w:rsid w:val="005E3C05"/>
    <w:rsid w:val="005E42F4"/>
    <w:rsid w:val="005E4470"/>
    <w:rsid w:val="005E4918"/>
    <w:rsid w:val="005E4FEA"/>
    <w:rsid w:val="005E500F"/>
    <w:rsid w:val="005E544E"/>
    <w:rsid w:val="005E5484"/>
    <w:rsid w:val="005E54CC"/>
    <w:rsid w:val="005E560B"/>
    <w:rsid w:val="005E5696"/>
    <w:rsid w:val="005E5794"/>
    <w:rsid w:val="005E58A7"/>
    <w:rsid w:val="005E59F8"/>
    <w:rsid w:val="005E5A12"/>
    <w:rsid w:val="005E5B33"/>
    <w:rsid w:val="005E5E6C"/>
    <w:rsid w:val="005E5E90"/>
    <w:rsid w:val="005E6362"/>
    <w:rsid w:val="005E644A"/>
    <w:rsid w:val="005E65B9"/>
    <w:rsid w:val="005E6817"/>
    <w:rsid w:val="005E6C15"/>
    <w:rsid w:val="005E6D20"/>
    <w:rsid w:val="005E6D6D"/>
    <w:rsid w:val="005E6E31"/>
    <w:rsid w:val="005E6E73"/>
    <w:rsid w:val="005E7136"/>
    <w:rsid w:val="005E72E2"/>
    <w:rsid w:val="005E7656"/>
    <w:rsid w:val="005E78FE"/>
    <w:rsid w:val="005E797E"/>
    <w:rsid w:val="005E7A7A"/>
    <w:rsid w:val="005E7B4F"/>
    <w:rsid w:val="005E7EDE"/>
    <w:rsid w:val="005E7F7D"/>
    <w:rsid w:val="005F0030"/>
    <w:rsid w:val="005F00CC"/>
    <w:rsid w:val="005F0225"/>
    <w:rsid w:val="005F0310"/>
    <w:rsid w:val="005F0326"/>
    <w:rsid w:val="005F0668"/>
    <w:rsid w:val="005F0870"/>
    <w:rsid w:val="005F08D2"/>
    <w:rsid w:val="005F0941"/>
    <w:rsid w:val="005F0B2D"/>
    <w:rsid w:val="005F0FF5"/>
    <w:rsid w:val="005F1391"/>
    <w:rsid w:val="005F1455"/>
    <w:rsid w:val="005F15CC"/>
    <w:rsid w:val="005F1A3C"/>
    <w:rsid w:val="005F1A5A"/>
    <w:rsid w:val="005F1B59"/>
    <w:rsid w:val="005F1C49"/>
    <w:rsid w:val="005F1D0E"/>
    <w:rsid w:val="005F1F22"/>
    <w:rsid w:val="005F1F9C"/>
    <w:rsid w:val="005F1FF1"/>
    <w:rsid w:val="005F21F3"/>
    <w:rsid w:val="005F245D"/>
    <w:rsid w:val="005F24BD"/>
    <w:rsid w:val="005F273F"/>
    <w:rsid w:val="005F28EF"/>
    <w:rsid w:val="005F2AD5"/>
    <w:rsid w:val="005F2DC1"/>
    <w:rsid w:val="005F2F57"/>
    <w:rsid w:val="005F3119"/>
    <w:rsid w:val="005F33FC"/>
    <w:rsid w:val="005F34D3"/>
    <w:rsid w:val="005F368D"/>
    <w:rsid w:val="005F3958"/>
    <w:rsid w:val="005F3CA8"/>
    <w:rsid w:val="005F3CF0"/>
    <w:rsid w:val="005F3F11"/>
    <w:rsid w:val="005F3FB0"/>
    <w:rsid w:val="005F40B3"/>
    <w:rsid w:val="005F4271"/>
    <w:rsid w:val="005F45D7"/>
    <w:rsid w:val="005F48E8"/>
    <w:rsid w:val="005F4B58"/>
    <w:rsid w:val="005F4D8E"/>
    <w:rsid w:val="005F50C8"/>
    <w:rsid w:val="005F5260"/>
    <w:rsid w:val="005F5579"/>
    <w:rsid w:val="005F5652"/>
    <w:rsid w:val="005F575D"/>
    <w:rsid w:val="005F5905"/>
    <w:rsid w:val="005F5946"/>
    <w:rsid w:val="005F5AE0"/>
    <w:rsid w:val="005F5C00"/>
    <w:rsid w:val="005F5F47"/>
    <w:rsid w:val="005F5F53"/>
    <w:rsid w:val="005F6170"/>
    <w:rsid w:val="005F63A3"/>
    <w:rsid w:val="005F6987"/>
    <w:rsid w:val="005F69DE"/>
    <w:rsid w:val="005F6C79"/>
    <w:rsid w:val="005F70C7"/>
    <w:rsid w:val="005F7214"/>
    <w:rsid w:val="005F72C3"/>
    <w:rsid w:val="005F7320"/>
    <w:rsid w:val="005F735E"/>
    <w:rsid w:val="005F755F"/>
    <w:rsid w:val="005F75AF"/>
    <w:rsid w:val="005F75EA"/>
    <w:rsid w:val="005F76BD"/>
    <w:rsid w:val="005F7D56"/>
    <w:rsid w:val="005F7EAA"/>
    <w:rsid w:val="005F7FC6"/>
    <w:rsid w:val="00600142"/>
    <w:rsid w:val="00600277"/>
    <w:rsid w:val="0060051C"/>
    <w:rsid w:val="00600988"/>
    <w:rsid w:val="006009F6"/>
    <w:rsid w:val="00600AC5"/>
    <w:rsid w:val="00600EFE"/>
    <w:rsid w:val="00600F3C"/>
    <w:rsid w:val="006011F1"/>
    <w:rsid w:val="00601350"/>
    <w:rsid w:val="00601646"/>
    <w:rsid w:val="00601658"/>
    <w:rsid w:val="00601957"/>
    <w:rsid w:val="006019D4"/>
    <w:rsid w:val="00601B52"/>
    <w:rsid w:val="00602009"/>
    <w:rsid w:val="0060224E"/>
    <w:rsid w:val="00602450"/>
    <w:rsid w:val="00602772"/>
    <w:rsid w:val="00602946"/>
    <w:rsid w:val="00602F14"/>
    <w:rsid w:val="00602FD5"/>
    <w:rsid w:val="00603CAE"/>
    <w:rsid w:val="00603DB6"/>
    <w:rsid w:val="00603FD5"/>
    <w:rsid w:val="006041D6"/>
    <w:rsid w:val="00604234"/>
    <w:rsid w:val="0060431E"/>
    <w:rsid w:val="00604917"/>
    <w:rsid w:val="00604FF6"/>
    <w:rsid w:val="00605099"/>
    <w:rsid w:val="006051D8"/>
    <w:rsid w:val="006052BF"/>
    <w:rsid w:val="006055C9"/>
    <w:rsid w:val="0060561A"/>
    <w:rsid w:val="00605794"/>
    <w:rsid w:val="00605894"/>
    <w:rsid w:val="00605A24"/>
    <w:rsid w:val="00605B1F"/>
    <w:rsid w:val="00605BDB"/>
    <w:rsid w:val="00605C9F"/>
    <w:rsid w:val="00605CF0"/>
    <w:rsid w:val="00605D3D"/>
    <w:rsid w:val="00606210"/>
    <w:rsid w:val="0060681F"/>
    <w:rsid w:val="00606887"/>
    <w:rsid w:val="0060689E"/>
    <w:rsid w:val="00606B95"/>
    <w:rsid w:val="00606BDA"/>
    <w:rsid w:val="00606D8F"/>
    <w:rsid w:val="00607114"/>
    <w:rsid w:val="006073F1"/>
    <w:rsid w:val="006074B1"/>
    <w:rsid w:val="006074DC"/>
    <w:rsid w:val="00607837"/>
    <w:rsid w:val="00607BBE"/>
    <w:rsid w:val="00607C52"/>
    <w:rsid w:val="00607F03"/>
    <w:rsid w:val="00607F7F"/>
    <w:rsid w:val="006100CB"/>
    <w:rsid w:val="00610627"/>
    <w:rsid w:val="006106E0"/>
    <w:rsid w:val="0061091F"/>
    <w:rsid w:val="00610960"/>
    <w:rsid w:val="0061096F"/>
    <w:rsid w:val="00610A49"/>
    <w:rsid w:val="00610A72"/>
    <w:rsid w:val="00610F6C"/>
    <w:rsid w:val="00611042"/>
    <w:rsid w:val="00611123"/>
    <w:rsid w:val="006111AC"/>
    <w:rsid w:val="006115E3"/>
    <w:rsid w:val="00611803"/>
    <w:rsid w:val="00611954"/>
    <w:rsid w:val="00611A30"/>
    <w:rsid w:val="00611C8C"/>
    <w:rsid w:val="00612162"/>
    <w:rsid w:val="00612226"/>
    <w:rsid w:val="00612757"/>
    <w:rsid w:val="006128A1"/>
    <w:rsid w:val="006128B7"/>
    <w:rsid w:val="00612983"/>
    <w:rsid w:val="00612D0F"/>
    <w:rsid w:val="00612E2D"/>
    <w:rsid w:val="00612E36"/>
    <w:rsid w:val="006131FA"/>
    <w:rsid w:val="00613337"/>
    <w:rsid w:val="006134E1"/>
    <w:rsid w:val="00613674"/>
    <w:rsid w:val="00613725"/>
    <w:rsid w:val="00613AD7"/>
    <w:rsid w:val="00613B5E"/>
    <w:rsid w:val="00613BC7"/>
    <w:rsid w:val="00613E13"/>
    <w:rsid w:val="00613F89"/>
    <w:rsid w:val="006140AA"/>
    <w:rsid w:val="006141B7"/>
    <w:rsid w:val="00614924"/>
    <w:rsid w:val="0061498F"/>
    <w:rsid w:val="00614B88"/>
    <w:rsid w:val="006150FD"/>
    <w:rsid w:val="0061512B"/>
    <w:rsid w:val="00615367"/>
    <w:rsid w:val="00615500"/>
    <w:rsid w:val="0061564A"/>
    <w:rsid w:val="006158C7"/>
    <w:rsid w:val="00615907"/>
    <w:rsid w:val="00615932"/>
    <w:rsid w:val="00615B30"/>
    <w:rsid w:val="00615CAE"/>
    <w:rsid w:val="00615DB3"/>
    <w:rsid w:val="00615F68"/>
    <w:rsid w:val="006160D4"/>
    <w:rsid w:val="006163CC"/>
    <w:rsid w:val="006163DC"/>
    <w:rsid w:val="00616471"/>
    <w:rsid w:val="00616557"/>
    <w:rsid w:val="006165A3"/>
    <w:rsid w:val="006165FE"/>
    <w:rsid w:val="006166B6"/>
    <w:rsid w:val="006167FC"/>
    <w:rsid w:val="0061683B"/>
    <w:rsid w:val="00616B00"/>
    <w:rsid w:val="00616DC8"/>
    <w:rsid w:val="006172A4"/>
    <w:rsid w:val="006174DC"/>
    <w:rsid w:val="00617511"/>
    <w:rsid w:val="00617882"/>
    <w:rsid w:val="0061799B"/>
    <w:rsid w:val="00617A4D"/>
    <w:rsid w:val="00617E77"/>
    <w:rsid w:val="00617EE6"/>
    <w:rsid w:val="00620037"/>
    <w:rsid w:val="0062010B"/>
    <w:rsid w:val="006203B7"/>
    <w:rsid w:val="006204DC"/>
    <w:rsid w:val="00620548"/>
    <w:rsid w:val="006205E3"/>
    <w:rsid w:val="006207A5"/>
    <w:rsid w:val="0062091B"/>
    <w:rsid w:val="00620EEB"/>
    <w:rsid w:val="006210D6"/>
    <w:rsid w:val="0062113D"/>
    <w:rsid w:val="00621486"/>
    <w:rsid w:val="006214A4"/>
    <w:rsid w:val="00621987"/>
    <w:rsid w:val="00621BF3"/>
    <w:rsid w:val="00621D6E"/>
    <w:rsid w:val="00621DD9"/>
    <w:rsid w:val="00621EA2"/>
    <w:rsid w:val="00621EE8"/>
    <w:rsid w:val="006220D8"/>
    <w:rsid w:val="006222D5"/>
    <w:rsid w:val="00622552"/>
    <w:rsid w:val="006227B7"/>
    <w:rsid w:val="00622A3C"/>
    <w:rsid w:val="00622BA9"/>
    <w:rsid w:val="0062335E"/>
    <w:rsid w:val="0062347F"/>
    <w:rsid w:val="006234D7"/>
    <w:rsid w:val="00623B18"/>
    <w:rsid w:val="00623DC1"/>
    <w:rsid w:val="0062402F"/>
    <w:rsid w:val="0062423A"/>
    <w:rsid w:val="006244B8"/>
    <w:rsid w:val="00624564"/>
    <w:rsid w:val="006246C8"/>
    <w:rsid w:val="00624975"/>
    <w:rsid w:val="00624B90"/>
    <w:rsid w:val="00624C00"/>
    <w:rsid w:val="00624CB5"/>
    <w:rsid w:val="00624E66"/>
    <w:rsid w:val="00624FFD"/>
    <w:rsid w:val="0062537E"/>
    <w:rsid w:val="00625765"/>
    <w:rsid w:val="006259E2"/>
    <w:rsid w:val="00625ADF"/>
    <w:rsid w:val="00625B92"/>
    <w:rsid w:val="00625D85"/>
    <w:rsid w:val="0062606F"/>
    <w:rsid w:val="0062607B"/>
    <w:rsid w:val="00626193"/>
    <w:rsid w:val="006263BB"/>
    <w:rsid w:val="006265A1"/>
    <w:rsid w:val="006266C3"/>
    <w:rsid w:val="00626B3C"/>
    <w:rsid w:val="00626CAD"/>
    <w:rsid w:val="00626F1C"/>
    <w:rsid w:val="00626FB3"/>
    <w:rsid w:val="006272CC"/>
    <w:rsid w:val="006273AC"/>
    <w:rsid w:val="006276C5"/>
    <w:rsid w:val="006279CD"/>
    <w:rsid w:val="00627ABD"/>
    <w:rsid w:val="00627BF7"/>
    <w:rsid w:val="00627E35"/>
    <w:rsid w:val="00627ECA"/>
    <w:rsid w:val="00627FFB"/>
    <w:rsid w:val="00630052"/>
    <w:rsid w:val="0063053C"/>
    <w:rsid w:val="006305AD"/>
    <w:rsid w:val="00630686"/>
    <w:rsid w:val="00630959"/>
    <w:rsid w:val="00630A1D"/>
    <w:rsid w:val="00630AF3"/>
    <w:rsid w:val="00630B66"/>
    <w:rsid w:val="00630BB0"/>
    <w:rsid w:val="00630DC0"/>
    <w:rsid w:val="00630E07"/>
    <w:rsid w:val="00630F02"/>
    <w:rsid w:val="0063105C"/>
    <w:rsid w:val="006312FC"/>
    <w:rsid w:val="006318B1"/>
    <w:rsid w:val="00631A35"/>
    <w:rsid w:val="00631AEA"/>
    <w:rsid w:val="00631B9A"/>
    <w:rsid w:val="00632284"/>
    <w:rsid w:val="00632481"/>
    <w:rsid w:val="006324F8"/>
    <w:rsid w:val="006325CC"/>
    <w:rsid w:val="00632760"/>
    <w:rsid w:val="00632989"/>
    <w:rsid w:val="00632A4B"/>
    <w:rsid w:val="00632ABF"/>
    <w:rsid w:val="00633613"/>
    <w:rsid w:val="0063362F"/>
    <w:rsid w:val="00633EAD"/>
    <w:rsid w:val="00634163"/>
    <w:rsid w:val="006343C1"/>
    <w:rsid w:val="0063459D"/>
    <w:rsid w:val="006347E8"/>
    <w:rsid w:val="0063491B"/>
    <w:rsid w:val="00635141"/>
    <w:rsid w:val="00635154"/>
    <w:rsid w:val="006351CA"/>
    <w:rsid w:val="006351F2"/>
    <w:rsid w:val="006352C9"/>
    <w:rsid w:val="00635B19"/>
    <w:rsid w:val="00635BFC"/>
    <w:rsid w:val="00635CC0"/>
    <w:rsid w:val="00635ED5"/>
    <w:rsid w:val="00636021"/>
    <w:rsid w:val="00636076"/>
    <w:rsid w:val="00636124"/>
    <w:rsid w:val="006361F8"/>
    <w:rsid w:val="0063669C"/>
    <w:rsid w:val="006367C1"/>
    <w:rsid w:val="00636F25"/>
    <w:rsid w:val="00636FE3"/>
    <w:rsid w:val="00637182"/>
    <w:rsid w:val="006371B6"/>
    <w:rsid w:val="0063777B"/>
    <w:rsid w:val="0063778B"/>
    <w:rsid w:val="00637997"/>
    <w:rsid w:val="006379C3"/>
    <w:rsid w:val="006379C8"/>
    <w:rsid w:val="00637DC7"/>
    <w:rsid w:val="00640034"/>
    <w:rsid w:val="006400DE"/>
    <w:rsid w:val="00640268"/>
    <w:rsid w:val="006402DA"/>
    <w:rsid w:val="00640308"/>
    <w:rsid w:val="00640E6F"/>
    <w:rsid w:val="0064134F"/>
    <w:rsid w:val="00641354"/>
    <w:rsid w:val="00641454"/>
    <w:rsid w:val="00641953"/>
    <w:rsid w:val="00641A0E"/>
    <w:rsid w:val="00641C2F"/>
    <w:rsid w:val="00641C9F"/>
    <w:rsid w:val="00641D45"/>
    <w:rsid w:val="00641EC8"/>
    <w:rsid w:val="00642175"/>
    <w:rsid w:val="006422A5"/>
    <w:rsid w:val="006423D4"/>
    <w:rsid w:val="00642433"/>
    <w:rsid w:val="00642510"/>
    <w:rsid w:val="0064261D"/>
    <w:rsid w:val="00642D06"/>
    <w:rsid w:val="00642D74"/>
    <w:rsid w:val="006431F5"/>
    <w:rsid w:val="0064323A"/>
    <w:rsid w:val="006432DF"/>
    <w:rsid w:val="006432F0"/>
    <w:rsid w:val="0064362F"/>
    <w:rsid w:val="006436F6"/>
    <w:rsid w:val="00643710"/>
    <w:rsid w:val="0064387B"/>
    <w:rsid w:val="00643C31"/>
    <w:rsid w:val="00644128"/>
    <w:rsid w:val="00644599"/>
    <w:rsid w:val="0064461D"/>
    <w:rsid w:val="006448BB"/>
    <w:rsid w:val="0064492C"/>
    <w:rsid w:val="00644AC6"/>
    <w:rsid w:val="00644E47"/>
    <w:rsid w:val="00645172"/>
    <w:rsid w:val="00645231"/>
    <w:rsid w:val="0064567E"/>
    <w:rsid w:val="0064568E"/>
    <w:rsid w:val="00645699"/>
    <w:rsid w:val="006456F1"/>
    <w:rsid w:val="006458C4"/>
    <w:rsid w:val="006459AB"/>
    <w:rsid w:val="00645A7A"/>
    <w:rsid w:val="00645DC4"/>
    <w:rsid w:val="00645E75"/>
    <w:rsid w:val="00645E98"/>
    <w:rsid w:val="00646351"/>
    <w:rsid w:val="0064651F"/>
    <w:rsid w:val="00646528"/>
    <w:rsid w:val="006467C5"/>
    <w:rsid w:val="00646806"/>
    <w:rsid w:val="00646898"/>
    <w:rsid w:val="006469C3"/>
    <w:rsid w:val="00646E71"/>
    <w:rsid w:val="0064715D"/>
    <w:rsid w:val="00647174"/>
    <w:rsid w:val="006472E1"/>
    <w:rsid w:val="006475BD"/>
    <w:rsid w:val="00647BAB"/>
    <w:rsid w:val="00647E66"/>
    <w:rsid w:val="00647ED8"/>
    <w:rsid w:val="00650014"/>
    <w:rsid w:val="00650454"/>
    <w:rsid w:val="00650783"/>
    <w:rsid w:val="00650AAD"/>
    <w:rsid w:val="00650CA5"/>
    <w:rsid w:val="00650DC9"/>
    <w:rsid w:val="00650F55"/>
    <w:rsid w:val="0065111C"/>
    <w:rsid w:val="0065123E"/>
    <w:rsid w:val="006512EE"/>
    <w:rsid w:val="00651668"/>
    <w:rsid w:val="0065191D"/>
    <w:rsid w:val="006520C5"/>
    <w:rsid w:val="00652352"/>
    <w:rsid w:val="006523F5"/>
    <w:rsid w:val="006525B5"/>
    <w:rsid w:val="006527FF"/>
    <w:rsid w:val="0065285D"/>
    <w:rsid w:val="00652B49"/>
    <w:rsid w:val="00652CB0"/>
    <w:rsid w:val="00652D35"/>
    <w:rsid w:val="00652E89"/>
    <w:rsid w:val="00652F3C"/>
    <w:rsid w:val="00652FA6"/>
    <w:rsid w:val="0065324E"/>
    <w:rsid w:val="00653256"/>
    <w:rsid w:val="0065329A"/>
    <w:rsid w:val="0065370B"/>
    <w:rsid w:val="006537B0"/>
    <w:rsid w:val="006537FA"/>
    <w:rsid w:val="006539D9"/>
    <w:rsid w:val="00653E3C"/>
    <w:rsid w:val="00653EF6"/>
    <w:rsid w:val="00654429"/>
    <w:rsid w:val="0065464B"/>
    <w:rsid w:val="0065484B"/>
    <w:rsid w:val="00654DEF"/>
    <w:rsid w:val="00654EC4"/>
    <w:rsid w:val="0065562C"/>
    <w:rsid w:val="006557CB"/>
    <w:rsid w:val="006558D0"/>
    <w:rsid w:val="006558DD"/>
    <w:rsid w:val="00655A0A"/>
    <w:rsid w:val="00655A35"/>
    <w:rsid w:val="00655D96"/>
    <w:rsid w:val="00655F37"/>
    <w:rsid w:val="00655F99"/>
    <w:rsid w:val="006565B7"/>
    <w:rsid w:val="006565D1"/>
    <w:rsid w:val="00656637"/>
    <w:rsid w:val="006569BD"/>
    <w:rsid w:val="00656A8A"/>
    <w:rsid w:val="00656C46"/>
    <w:rsid w:val="00657345"/>
    <w:rsid w:val="00657793"/>
    <w:rsid w:val="00657841"/>
    <w:rsid w:val="00657B07"/>
    <w:rsid w:val="00657B57"/>
    <w:rsid w:val="00657BF9"/>
    <w:rsid w:val="006601BB"/>
    <w:rsid w:val="006601C7"/>
    <w:rsid w:val="00660346"/>
    <w:rsid w:val="006608A7"/>
    <w:rsid w:val="00660A39"/>
    <w:rsid w:val="00660A9D"/>
    <w:rsid w:val="00660B1B"/>
    <w:rsid w:val="00660B25"/>
    <w:rsid w:val="00661445"/>
    <w:rsid w:val="006616DE"/>
    <w:rsid w:val="00661992"/>
    <w:rsid w:val="006619FF"/>
    <w:rsid w:val="00661A38"/>
    <w:rsid w:val="00661B2E"/>
    <w:rsid w:val="00661CCB"/>
    <w:rsid w:val="00661DC4"/>
    <w:rsid w:val="00661EEB"/>
    <w:rsid w:val="00661FF7"/>
    <w:rsid w:val="006620A7"/>
    <w:rsid w:val="006620B4"/>
    <w:rsid w:val="00662189"/>
    <w:rsid w:val="00662209"/>
    <w:rsid w:val="006622F7"/>
    <w:rsid w:val="006625BE"/>
    <w:rsid w:val="0066287D"/>
    <w:rsid w:val="006628C6"/>
    <w:rsid w:val="00662A70"/>
    <w:rsid w:val="00662A87"/>
    <w:rsid w:val="00662A9D"/>
    <w:rsid w:val="00662D40"/>
    <w:rsid w:val="00662D84"/>
    <w:rsid w:val="0066324A"/>
    <w:rsid w:val="00663376"/>
    <w:rsid w:val="00663469"/>
    <w:rsid w:val="0066369C"/>
    <w:rsid w:val="006638E4"/>
    <w:rsid w:val="0066394E"/>
    <w:rsid w:val="00663E1B"/>
    <w:rsid w:val="00663E83"/>
    <w:rsid w:val="00664042"/>
    <w:rsid w:val="00664524"/>
    <w:rsid w:val="00664724"/>
    <w:rsid w:val="00664976"/>
    <w:rsid w:val="00664B85"/>
    <w:rsid w:val="00664BEE"/>
    <w:rsid w:val="00664C8C"/>
    <w:rsid w:val="0066508B"/>
    <w:rsid w:val="006651E7"/>
    <w:rsid w:val="00665382"/>
    <w:rsid w:val="00665520"/>
    <w:rsid w:val="00665656"/>
    <w:rsid w:val="00665931"/>
    <w:rsid w:val="006659A2"/>
    <w:rsid w:val="00665AB2"/>
    <w:rsid w:val="00665BF8"/>
    <w:rsid w:val="00665D4C"/>
    <w:rsid w:val="00665E8A"/>
    <w:rsid w:val="00665FE0"/>
    <w:rsid w:val="00666076"/>
    <w:rsid w:val="00666227"/>
    <w:rsid w:val="00666281"/>
    <w:rsid w:val="00666343"/>
    <w:rsid w:val="0066663F"/>
    <w:rsid w:val="00666791"/>
    <w:rsid w:val="00666811"/>
    <w:rsid w:val="006668CF"/>
    <w:rsid w:val="00666C23"/>
    <w:rsid w:val="00666CEC"/>
    <w:rsid w:val="00666D42"/>
    <w:rsid w:val="00666D5A"/>
    <w:rsid w:val="00666D89"/>
    <w:rsid w:val="00666ED4"/>
    <w:rsid w:val="00667156"/>
    <w:rsid w:val="006673FC"/>
    <w:rsid w:val="0066753E"/>
    <w:rsid w:val="00667543"/>
    <w:rsid w:val="006675A0"/>
    <w:rsid w:val="006675FD"/>
    <w:rsid w:val="0066770C"/>
    <w:rsid w:val="00667888"/>
    <w:rsid w:val="00667CFE"/>
    <w:rsid w:val="006700EA"/>
    <w:rsid w:val="0067045D"/>
    <w:rsid w:val="0067061D"/>
    <w:rsid w:val="006706D2"/>
    <w:rsid w:val="00670833"/>
    <w:rsid w:val="00670871"/>
    <w:rsid w:val="0067091B"/>
    <w:rsid w:val="00670BC4"/>
    <w:rsid w:val="00670E8F"/>
    <w:rsid w:val="00671212"/>
    <w:rsid w:val="0067135C"/>
    <w:rsid w:val="0067173B"/>
    <w:rsid w:val="0067187B"/>
    <w:rsid w:val="00671A80"/>
    <w:rsid w:val="00672594"/>
    <w:rsid w:val="006725A6"/>
    <w:rsid w:val="006725E5"/>
    <w:rsid w:val="006726F6"/>
    <w:rsid w:val="0067274B"/>
    <w:rsid w:val="00672955"/>
    <w:rsid w:val="00672AA8"/>
    <w:rsid w:val="00672B1B"/>
    <w:rsid w:val="00672ECC"/>
    <w:rsid w:val="0067339C"/>
    <w:rsid w:val="00673484"/>
    <w:rsid w:val="00673536"/>
    <w:rsid w:val="0067372C"/>
    <w:rsid w:val="00673818"/>
    <w:rsid w:val="00673A3E"/>
    <w:rsid w:val="00673B04"/>
    <w:rsid w:val="00673E77"/>
    <w:rsid w:val="00674144"/>
    <w:rsid w:val="006742F5"/>
    <w:rsid w:val="0067449C"/>
    <w:rsid w:val="00674D15"/>
    <w:rsid w:val="00674F10"/>
    <w:rsid w:val="00674F8E"/>
    <w:rsid w:val="00674FFC"/>
    <w:rsid w:val="0067502D"/>
    <w:rsid w:val="00675113"/>
    <w:rsid w:val="0067515A"/>
    <w:rsid w:val="00675198"/>
    <w:rsid w:val="00675252"/>
    <w:rsid w:val="006755AE"/>
    <w:rsid w:val="00675614"/>
    <w:rsid w:val="0067572E"/>
    <w:rsid w:val="00675A4B"/>
    <w:rsid w:val="00675AFD"/>
    <w:rsid w:val="00675F78"/>
    <w:rsid w:val="00675FC4"/>
    <w:rsid w:val="00676261"/>
    <w:rsid w:val="00676454"/>
    <w:rsid w:val="00676655"/>
    <w:rsid w:val="0067693B"/>
    <w:rsid w:val="00676964"/>
    <w:rsid w:val="00676E3A"/>
    <w:rsid w:val="00677333"/>
    <w:rsid w:val="00677546"/>
    <w:rsid w:val="00677751"/>
    <w:rsid w:val="006778D7"/>
    <w:rsid w:val="00677913"/>
    <w:rsid w:val="00677996"/>
    <w:rsid w:val="00677B00"/>
    <w:rsid w:val="00677CD5"/>
    <w:rsid w:val="00677EFA"/>
    <w:rsid w:val="00677F41"/>
    <w:rsid w:val="006800D4"/>
    <w:rsid w:val="006806E2"/>
    <w:rsid w:val="00680990"/>
    <w:rsid w:val="00680A3E"/>
    <w:rsid w:val="00680B31"/>
    <w:rsid w:val="00680D95"/>
    <w:rsid w:val="0068103A"/>
    <w:rsid w:val="00681052"/>
    <w:rsid w:val="00681156"/>
    <w:rsid w:val="00681434"/>
    <w:rsid w:val="0068156F"/>
    <w:rsid w:val="00681638"/>
    <w:rsid w:val="00681951"/>
    <w:rsid w:val="006819BB"/>
    <w:rsid w:val="00681C10"/>
    <w:rsid w:val="00681EF6"/>
    <w:rsid w:val="00682089"/>
    <w:rsid w:val="00682777"/>
    <w:rsid w:val="00682893"/>
    <w:rsid w:val="006828C2"/>
    <w:rsid w:val="00682A75"/>
    <w:rsid w:val="00682FF9"/>
    <w:rsid w:val="0068312D"/>
    <w:rsid w:val="0068320B"/>
    <w:rsid w:val="00683280"/>
    <w:rsid w:val="00683287"/>
    <w:rsid w:val="006832E4"/>
    <w:rsid w:val="006832ED"/>
    <w:rsid w:val="00683390"/>
    <w:rsid w:val="0068355D"/>
    <w:rsid w:val="00683A73"/>
    <w:rsid w:val="00683B50"/>
    <w:rsid w:val="00683EFD"/>
    <w:rsid w:val="006843FD"/>
    <w:rsid w:val="00684522"/>
    <w:rsid w:val="00684A3A"/>
    <w:rsid w:val="00684B3E"/>
    <w:rsid w:val="00684D1C"/>
    <w:rsid w:val="00684D71"/>
    <w:rsid w:val="00684ED0"/>
    <w:rsid w:val="00685B30"/>
    <w:rsid w:val="00685B63"/>
    <w:rsid w:val="00685B6A"/>
    <w:rsid w:val="00685F07"/>
    <w:rsid w:val="00685F12"/>
    <w:rsid w:val="00685F35"/>
    <w:rsid w:val="0068609A"/>
    <w:rsid w:val="006860E3"/>
    <w:rsid w:val="006864F0"/>
    <w:rsid w:val="006864F7"/>
    <w:rsid w:val="0068664B"/>
    <w:rsid w:val="006866E0"/>
    <w:rsid w:val="006869FE"/>
    <w:rsid w:val="00686E30"/>
    <w:rsid w:val="00686F4F"/>
    <w:rsid w:val="00686FAD"/>
    <w:rsid w:val="00687001"/>
    <w:rsid w:val="006870DC"/>
    <w:rsid w:val="00687191"/>
    <w:rsid w:val="006871A7"/>
    <w:rsid w:val="0068724F"/>
    <w:rsid w:val="006873A3"/>
    <w:rsid w:val="00687709"/>
    <w:rsid w:val="006877A5"/>
    <w:rsid w:val="00687881"/>
    <w:rsid w:val="00687EF0"/>
    <w:rsid w:val="00687FE6"/>
    <w:rsid w:val="006900E5"/>
    <w:rsid w:val="00690356"/>
    <w:rsid w:val="0069098B"/>
    <w:rsid w:val="00690D76"/>
    <w:rsid w:val="00690F77"/>
    <w:rsid w:val="00690FB7"/>
    <w:rsid w:val="00691269"/>
    <w:rsid w:val="006918D1"/>
    <w:rsid w:val="00691909"/>
    <w:rsid w:val="00691B42"/>
    <w:rsid w:val="00691B8A"/>
    <w:rsid w:val="006923AE"/>
    <w:rsid w:val="0069258F"/>
    <w:rsid w:val="00692AA9"/>
    <w:rsid w:val="00692AC7"/>
    <w:rsid w:val="00692B03"/>
    <w:rsid w:val="00692B15"/>
    <w:rsid w:val="00692F31"/>
    <w:rsid w:val="00693049"/>
    <w:rsid w:val="006932F3"/>
    <w:rsid w:val="006933B6"/>
    <w:rsid w:val="006933FE"/>
    <w:rsid w:val="0069348F"/>
    <w:rsid w:val="006934F4"/>
    <w:rsid w:val="006937D0"/>
    <w:rsid w:val="00693E00"/>
    <w:rsid w:val="0069402F"/>
    <w:rsid w:val="006941E9"/>
    <w:rsid w:val="00694586"/>
    <w:rsid w:val="00694A04"/>
    <w:rsid w:val="00694CAB"/>
    <w:rsid w:val="00694F9C"/>
    <w:rsid w:val="006955D1"/>
    <w:rsid w:val="0069565F"/>
    <w:rsid w:val="006956F4"/>
    <w:rsid w:val="00695729"/>
    <w:rsid w:val="006957D0"/>
    <w:rsid w:val="006958C6"/>
    <w:rsid w:val="006958D6"/>
    <w:rsid w:val="00695AF3"/>
    <w:rsid w:val="00695CDF"/>
    <w:rsid w:val="00695F6B"/>
    <w:rsid w:val="006960F0"/>
    <w:rsid w:val="00696125"/>
    <w:rsid w:val="006966F5"/>
    <w:rsid w:val="00696B1C"/>
    <w:rsid w:val="00696B95"/>
    <w:rsid w:val="00696C95"/>
    <w:rsid w:val="00696D7E"/>
    <w:rsid w:val="006974CE"/>
    <w:rsid w:val="006975D7"/>
    <w:rsid w:val="00697621"/>
    <w:rsid w:val="006977E5"/>
    <w:rsid w:val="0069786F"/>
    <w:rsid w:val="0069798A"/>
    <w:rsid w:val="00697A64"/>
    <w:rsid w:val="00697B17"/>
    <w:rsid w:val="00697D89"/>
    <w:rsid w:val="00697E78"/>
    <w:rsid w:val="00697FA9"/>
    <w:rsid w:val="006A0175"/>
    <w:rsid w:val="006A02E1"/>
    <w:rsid w:val="006A0874"/>
    <w:rsid w:val="006A0BA3"/>
    <w:rsid w:val="006A0C88"/>
    <w:rsid w:val="006A0DF3"/>
    <w:rsid w:val="006A0E28"/>
    <w:rsid w:val="006A0E8C"/>
    <w:rsid w:val="006A0ED7"/>
    <w:rsid w:val="006A1280"/>
    <w:rsid w:val="006A16A0"/>
    <w:rsid w:val="006A18E2"/>
    <w:rsid w:val="006A193D"/>
    <w:rsid w:val="006A1DAF"/>
    <w:rsid w:val="006A1DEF"/>
    <w:rsid w:val="006A1F54"/>
    <w:rsid w:val="006A2049"/>
    <w:rsid w:val="006A220E"/>
    <w:rsid w:val="006A26A6"/>
    <w:rsid w:val="006A2850"/>
    <w:rsid w:val="006A2908"/>
    <w:rsid w:val="006A299F"/>
    <w:rsid w:val="006A2C8C"/>
    <w:rsid w:val="006A2CFC"/>
    <w:rsid w:val="006A2D65"/>
    <w:rsid w:val="006A31C3"/>
    <w:rsid w:val="006A37A3"/>
    <w:rsid w:val="006A3BF6"/>
    <w:rsid w:val="006A4047"/>
    <w:rsid w:val="006A406E"/>
    <w:rsid w:val="006A4199"/>
    <w:rsid w:val="006A4479"/>
    <w:rsid w:val="006A483C"/>
    <w:rsid w:val="006A4923"/>
    <w:rsid w:val="006A49B1"/>
    <w:rsid w:val="006A4CB8"/>
    <w:rsid w:val="006A4D4D"/>
    <w:rsid w:val="006A4F0C"/>
    <w:rsid w:val="006A4F40"/>
    <w:rsid w:val="006A5025"/>
    <w:rsid w:val="006A50DF"/>
    <w:rsid w:val="006A537A"/>
    <w:rsid w:val="006A54BA"/>
    <w:rsid w:val="006A55E3"/>
    <w:rsid w:val="006A572C"/>
    <w:rsid w:val="006A580A"/>
    <w:rsid w:val="006A597D"/>
    <w:rsid w:val="006A59D4"/>
    <w:rsid w:val="006A5BDD"/>
    <w:rsid w:val="006A5C15"/>
    <w:rsid w:val="006A6174"/>
    <w:rsid w:val="006A63E1"/>
    <w:rsid w:val="006A660C"/>
    <w:rsid w:val="006A692F"/>
    <w:rsid w:val="006A69B3"/>
    <w:rsid w:val="006A6C1B"/>
    <w:rsid w:val="006A6D2F"/>
    <w:rsid w:val="006A6DD1"/>
    <w:rsid w:val="006A7069"/>
    <w:rsid w:val="006A71DE"/>
    <w:rsid w:val="006A7259"/>
    <w:rsid w:val="006A7280"/>
    <w:rsid w:val="006A73F4"/>
    <w:rsid w:val="006A763F"/>
    <w:rsid w:val="006A7839"/>
    <w:rsid w:val="006A7A9A"/>
    <w:rsid w:val="006A7DD2"/>
    <w:rsid w:val="006A7EFF"/>
    <w:rsid w:val="006B007F"/>
    <w:rsid w:val="006B025B"/>
    <w:rsid w:val="006B031C"/>
    <w:rsid w:val="006B0594"/>
    <w:rsid w:val="006B0752"/>
    <w:rsid w:val="006B0811"/>
    <w:rsid w:val="006B0892"/>
    <w:rsid w:val="006B089A"/>
    <w:rsid w:val="006B0A7A"/>
    <w:rsid w:val="006B0C48"/>
    <w:rsid w:val="006B0F73"/>
    <w:rsid w:val="006B1528"/>
    <w:rsid w:val="006B1585"/>
    <w:rsid w:val="006B1589"/>
    <w:rsid w:val="006B1686"/>
    <w:rsid w:val="006B17B6"/>
    <w:rsid w:val="006B18BF"/>
    <w:rsid w:val="006B1D52"/>
    <w:rsid w:val="006B205F"/>
    <w:rsid w:val="006B21B1"/>
    <w:rsid w:val="006B23AB"/>
    <w:rsid w:val="006B23BD"/>
    <w:rsid w:val="006B23DC"/>
    <w:rsid w:val="006B294B"/>
    <w:rsid w:val="006B2A98"/>
    <w:rsid w:val="006B2AC3"/>
    <w:rsid w:val="006B2BDD"/>
    <w:rsid w:val="006B2D84"/>
    <w:rsid w:val="006B2F2D"/>
    <w:rsid w:val="006B3143"/>
    <w:rsid w:val="006B34FA"/>
    <w:rsid w:val="006B3554"/>
    <w:rsid w:val="006B3573"/>
    <w:rsid w:val="006B360F"/>
    <w:rsid w:val="006B3B0E"/>
    <w:rsid w:val="006B3E46"/>
    <w:rsid w:val="006B3F4F"/>
    <w:rsid w:val="006B3F99"/>
    <w:rsid w:val="006B3FAD"/>
    <w:rsid w:val="006B48C5"/>
    <w:rsid w:val="006B4931"/>
    <w:rsid w:val="006B4AB7"/>
    <w:rsid w:val="006B4AF4"/>
    <w:rsid w:val="006B4E1C"/>
    <w:rsid w:val="006B5066"/>
    <w:rsid w:val="006B5210"/>
    <w:rsid w:val="006B5281"/>
    <w:rsid w:val="006B5385"/>
    <w:rsid w:val="006B541C"/>
    <w:rsid w:val="006B55E7"/>
    <w:rsid w:val="006B5615"/>
    <w:rsid w:val="006B56EA"/>
    <w:rsid w:val="006B57B1"/>
    <w:rsid w:val="006B58F2"/>
    <w:rsid w:val="006B5A53"/>
    <w:rsid w:val="006B5E0A"/>
    <w:rsid w:val="006B6020"/>
    <w:rsid w:val="006B60FB"/>
    <w:rsid w:val="006B6517"/>
    <w:rsid w:val="006B65C0"/>
    <w:rsid w:val="006B676D"/>
    <w:rsid w:val="006B6876"/>
    <w:rsid w:val="006B68BF"/>
    <w:rsid w:val="006B6CE4"/>
    <w:rsid w:val="006B6E05"/>
    <w:rsid w:val="006B71A1"/>
    <w:rsid w:val="006B71E6"/>
    <w:rsid w:val="006B77BD"/>
    <w:rsid w:val="006B77ED"/>
    <w:rsid w:val="006B79C4"/>
    <w:rsid w:val="006B7C91"/>
    <w:rsid w:val="006B7D3E"/>
    <w:rsid w:val="006C051A"/>
    <w:rsid w:val="006C060C"/>
    <w:rsid w:val="006C06F2"/>
    <w:rsid w:val="006C0A63"/>
    <w:rsid w:val="006C0B71"/>
    <w:rsid w:val="006C0C75"/>
    <w:rsid w:val="006C0EF3"/>
    <w:rsid w:val="006C0F14"/>
    <w:rsid w:val="006C104E"/>
    <w:rsid w:val="006C1227"/>
    <w:rsid w:val="006C13EB"/>
    <w:rsid w:val="006C1487"/>
    <w:rsid w:val="006C14AE"/>
    <w:rsid w:val="006C14DB"/>
    <w:rsid w:val="006C1524"/>
    <w:rsid w:val="006C1C92"/>
    <w:rsid w:val="006C1EEF"/>
    <w:rsid w:val="006C2304"/>
    <w:rsid w:val="006C25B4"/>
    <w:rsid w:val="006C26DA"/>
    <w:rsid w:val="006C2734"/>
    <w:rsid w:val="006C28AC"/>
    <w:rsid w:val="006C2DF8"/>
    <w:rsid w:val="006C2E11"/>
    <w:rsid w:val="006C2E5A"/>
    <w:rsid w:val="006C30F9"/>
    <w:rsid w:val="006C33B7"/>
    <w:rsid w:val="006C3635"/>
    <w:rsid w:val="006C36D5"/>
    <w:rsid w:val="006C3876"/>
    <w:rsid w:val="006C388D"/>
    <w:rsid w:val="006C3DE5"/>
    <w:rsid w:val="006C3EF4"/>
    <w:rsid w:val="006C465E"/>
    <w:rsid w:val="006C47A7"/>
    <w:rsid w:val="006C48AC"/>
    <w:rsid w:val="006C4AF4"/>
    <w:rsid w:val="006C4B6C"/>
    <w:rsid w:val="006C4C50"/>
    <w:rsid w:val="006C4C82"/>
    <w:rsid w:val="006C4DC0"/>
    <w:rsid w:val="006C504C"/>
    <w:rsid w:val="006C52BB"/>
    <w:rsid w:val="006C532B"/>
    <w:rsid w:val="006C5568"/>
    <w:rsid w:val="006C55D9"/>
    <w:rsid w:val="006C58FE"/>
    <w:rsid w:val="006C596D"/>
    <w:rsid w:val="006C5B84"/>
    <w:rsid w:val="006C5BE0"/>
    <w:rsid w:val="006C5C23"/>
    <w:rsid w:val="006C5C6A"/>
    <w:rsid w:val="006C5E49"/>
    <w:rsid w:val="006C5F3E"/>
    <w:rsid w:val="006C6704"/>
    <w:rsid w:val="006C6799"/>
    <w:rsid w:val="006C6847"/>
    <w:rsid w:val="006C6876"/>
    <w:rsid w:val="006C68E7"/>
    <w:rsid w:val="006C6B85"/>
    <w:rsid w:val="006C6C28"/>
    <w:rsid w:val="006C6CA8"/>
    <w:rsid w:val="006C6CBC"/>
    <w:rsid w:val="006C6D47"/>
    <w:rsid w:val="006C6F8A"/>
    <w:rsid w:val="006C7416"/>
    <w:rsid w:val="006C786B"/>
    <w:rsid w:val="006C79F8"/>
    <w:rsid w:val="006C7B85"/>
    <w:rsid w:val="006C7BF6"/>
    <w:rsid w:val="006C7CB1"/>
    <w:rsid w:val="006C7D65"/>
    <w:rsid w:val="006C7FCF"/>
    <w:rsid w:val="006D0324"/>
    <w:rsid w:val="006D0451"/>
    <w:rsid w:val="006D095B"/>
    <w:rsid w:val="006D0DA4"/>
    <w:rsid w:val="006D0DCE"/>
    <w:rsid w:val="006D10DA"/>
    <w:rsid w:val="006D1135"/>
    <w:rsid w:val="006D1A43"/>
    <w:rsid w:val="006D1E9D"/>
    <w:rsid w:val="006D2200"/>
    <w:rsid w:val="006D222F"/>
    <w:rsid w:val="006D2372"/>
    <w:rsid w:val="006D28C8"/>
    <w:rsid w:val="006D291B"/>
    <w:rsid w:val="006D2A73"/>
    <w:rsid w:val="006D3042"/>
    <w:rsid w:val="006D305D"/>
    <w:rsid w:val="006D30FD"/>
    <w:rsid w:val="006D31D6"/>
    <w:rsid w:val="006D3464"/>
    <w:rsid w:val="006D3602"/>
    <w:rsid w:val="006D399C"/>
    <w:rsid w:val="006D3BB5"/>
    <w:rsid w:val="006D3D76"/>
    <w:rsid w:val="006D3F2F"/>
    <w:rsid w:val="006D3FBC"/>
    <w:rsid w:val="006D43DF"/>
    <w:rsid w:val="006D443A"/>
    <w:rsid w:val="006D47BE"/>
    <w:rsid w:val="006D4F09"/>
    <w:rsid w:val="006D4F38"/>
    <w:rsid w:val="006D5309"/>
    <w:rsid w:val="006D538D"/>
    <w:rsid w:val="006D5488"/>
    <w:rsid w:val="006D5593"/>
    <w:rsid w:val="006D578E"/>
    <w:rsid w:val="006D5BEB"/>
    <w:rsid w:val="006D5F47"/>
    <w:rsid w:val="006D5F4F"/>
    <w:rsid w:val="006D64B8"/>
    <w:rsid w:val="006D6856"/>
    <w:rsid w:val="006D692A"/>
    <w:rsid w:val="006D6BBB"/>
    <w:rsid w:val="006D6D58"/>
    <w:rsid w:val="006D6E94"/>
    <w:rsid w:val="006D6FF5"/>
    <w:rsid w:val="006D721C"/>
    <w:rsid w:val="006D7244"/>
    <w:rsid w:val="006D73D8"/>
    <w:rsid w:val="006D763E"/>
    <w:rsid w:val="006D7795"/>
    <w:rsid w:val="006D7B55"/>
    <w:rsid w:val="006D7B78"/>
    <w:rsid w:val="006D7BC3"/>
    <w:rsid w:val="006D7C5B"/>
    <w:rsid w:val="006D7C76"/>
    <w:rsid w:val="006D7FDD"/>
    <w:rsid w:val="006E01BC"/>
    <w:rsid w:val="006E0267"/>
    <w:rsid w:val="006E02CD"/>
    <w:rsid w:val="006E047E"/>
    <w:rsid w:val="006E04CD"/>
    <w:rsid w:val="006E0518"/>
    <w:rsid w:val="006E07F8"/>
    <w:rsid w:val="006E09E9"/>
    <w:rsid w:val="006E0A49"/>
    <w:rsid w:val="006E0CC0"/>
    <w:rsid w:val="006E0D7B"/>
    <w:rsid w:val="006E0EEA"/>
    <w:rsid w:val="006E0F2B"/>
    <w:rsid w:val="006E11E5"/>
    <w:rsid w:val="006E13EA"/>
    <w:rsid w:val="006E158A"/>
    <w:rsid w:val="006E15C9"/>
    <w:rsid w:val="006E169B"/>
    <w:rsid w:val="006E18E7"/>
    <w:rsid w:val="006E1A75"/>
    <w:rsid w:val="006E1B32"/>
    <w:rsid w:val="006E1E3C"/>
    <w:rsid w:val="006E1FD5"/>
    <w:rsid w:val="006E2354"/>
    <w:rsid w:val="006E2379"/>
    <w:rsid w:val="006E2412"/>
    <w:rsid w:val="006E2444"/>
    <w:rsid w:val="006E25AC"/>
    <w:rsid w:val="006E2809"/>
    <w:rsid w:val="006E29E8"/>
    <w:rsid w:val="006E2AF5"/>
    <w:rsid w:val="006E2D4A"/>
    <w:rsid w:val="006E302B"/>
    <w:rsid w:val="006E30EF"/>
    <w:rsid w:val="006E32E5"/>
    <w:rsid w:val="006E33F2"/>
    <w:rsid w:val="006E3453"/>
    <w:rsid w:val="006E3536"/>
    <w:rsid w:val="006E38FF"/>
    <w:rsid w:val="006E3935"/>
    <w:rsid w:val="006E398C"/>
    <w:rsid w:val="006E3A82"/>
    <w:rsid w:val="006E3DF9"/>
    <w:rsid w:val="006E3F2B"/>
    <w:rsid w:val="006E4028"/>
    <w:rsid w:val="006E415B"/>
    <w:rsid w:val="006E420A"/>
    <w:rsid w:val="006E42BA"/>
    <w:rsid w:val="006E447C"/>
    <w:rsid w:val="006E465D"/>
    <w:rsid w:val="006E4B0D"/>
    <w:rsid w:val="006E4DCA"/>
    <w:rsid w:val="006E5231"/>
    <w:rsid w:val="006E532A"/>
    <w:rsid w:val="006E5393"/>
    <w:rsid w:val="006E54A3"/>
    <w:rsid w:val="006E5889"/>
    <w:rsid w:val="006E5BC3"/>
    <w:rsid w:val="006E5E31"/>
    <w:rsid w:val="006E612D"/>
    <w:rsid w:val="006E617E"/>
    <w:rsid w:val="006E63BF"/>
    <w:rsid w:val="006E63C1"/>
    <w:rsid w:val="006E6439"/>
    <w:rsid w:val="006E69D3"/>
    <w:rsid w:val="006E6A0C"/>
    <w:rsid w:val="006E6DB7"/>
    <w:rsid w:val="006E6F00"/>
    <w:rsid w:val="006E7156"/>
    <w:rsid w:val="006E739F"/>
    <w:rsid w:val="006E73A4"/>
    <w:rsid w:val="006E7646"/>
    <w:rsid w:val="006E7A90"/>
    <w:rsid w:val="006F01C1"/>
    <w:rsid w:val="006F0AFD"/>
    <w:rsid w:val="006F0BC0"/>
    <w:rsid w:val="006F0BD7"/>
    <w:rsid w:val="006F0BDA"/>
    <w:rsid w:val="006F0D73"/>
    <w:rsid w:val="006F12A9"/>
    <w:rsid w:val="006F137F"/>
    <w:rsid w:val="006F1672"/>
    <w:rsid w:val="006F169C"/>
    <w:rsid w:val="006F1A47"/>
    <w:rsid w:val="006F1A82"/>
    <w:rsid w:val="006F1B4E"/>
    <w:rsid w:val="006F1CE3"/>
    <w:rsid w:val="006F1DFE"/>
    <w:rsid w:val="006F1EA8"/>
    <w:rsid w:val="006F2068"/>
    <w:rsid w:val="006F2279"/>
    <w:rsid w:val="006F24B4"/>
    <w:rsid w:val="006F2506"/>
    <w:rsid w:val="006F270B"/>
    <w:rsid w:val="006F2932"/>
    <w:rsid w:val="006F2CD6"/>
    <w:rsid w:val="006F2D59"/>
    <w:rsid w:val="006F2DDE"/>
    <w:rsid w:val="006F2EA4"/>
    <w:rsid w:val="006F2EF2"/>
    <w:rsid w:val="006F32B3"/>
    <w:rsid w:val="006F3520"/>
    <w:rsid w:val="006F36E1"/>
    <w:rsid w:val="006F3B68"/>
    <w:rsid w:val="006F3C76"/>
    <w:rsid w:val="006F3DFE"/>
    <w:rsid w:val="006F4114"/>
    <w:rsid w:val="006F45CE"/>
    <w:rsid w:val="006F477C"/>
    <w:rsid w:val="006F4A97"/>
    <w:rsid w:val="006F4B0A"/>
    <w:rsid w:val="006F4DD8"/>
    <w:rsid w:val="006F4F86"/>
    <w:rsid w:val="006F5239"/>
    <w:rsid w:val="006F5251"/>
    <w:rsid w:val="006F530F"/>
    <w:rsid w:val="006F5325"/>
    <w:rsid w:val="006F53B7"/>
    <w:rsid w:val="006F5690"/>
    <w:rsid w:val="006F56C4"/>
    <w:rsid w:val="006F59F2"/>
    <w:rsid w:val="006F5BA3"/>
    <w:rsid w:val="006F5D92"/>
    <w:rsid w:val="006F61B8"/>
    <w:rsid w:val="006F65D1"/>
    <w:rsid w:val="006F6682"/>
    <w:rsid w:val="006F6814"/>
    <w:rsid w:val="006F6884"/>
    <w:rsid w:val="006F6A37"/>
    <w:rsid w:val="006F6AF0"/>
    <w:rsid w:val="006F6B93"/>
    <w:rsid w:val="006F6DB2"/>
    <w:rsid w:val="006F6EBA"/>
    <w:rsid w:val="006F6EE9"/>
    <w:rsid w:val="006F7087"/>
    <w:rsid w:val="006F7359"/>
    <w:rsid w:val="006F7451"/>
    <w:rsid w:val="006F7771"/>
    <w:rsid w:val="006F7CDE"/>
    <w:rsid w:val="0070060A"/>
    <w:rsid w:val="0070085F"/>
    <w:rsid w:val="00700901"/>
    <w:rsid w:val="00700A07"/>
    <w:rsid w:val="00700A1E"/>
    <w:rsid w:val="00700AEA"/>
    <w:rsid w:val="00700CF4"/>
    <w:rsid w:val="00700EBD"/>
    <w:rsid w:val="00701100"/>
    <w:rsid w:val="007013E8"/>
    <w:rsid w:val="0070174E"/>
    <w:rsid w:val="00701887"/>
    <w:rsid w:val="00701B32"/>
    <w:rsid w:val="00701E87"/>
    <w:rsid w:val="00701FE5"/>
    <w:rsid w:val="007021E0"/>
    <w:rsid w:val="007027C2"/>
    <w:rsid w:val="00702A36"/>
    <w:rsid w:val="00702B21"/>
    <w:rsid w:val="00702C83"/>
    <w:rsid w:val="00702D44"/>
    <w:rsid w:val="00702FAB"/>
    <w:rsid w:val="00703075"/>
    <w:rsid w:val="00703088"/>
    <w:rsid w:val="00703151"/>
    <w:rsid w:val="0070324E"/>
    <w:rsid w:val="0070330D"/>
    <w:rsid w:val="007035BA"/>
    <w:rsid w:val="007038BF"/>
    <w:rsid w:val="007038D7"/>
    <w:rsid w:val="0070396C"/>
    <w:rsid w:val="007039DE"/>
    <w:rsid w:val="00703C35"/>
    <w:rsid w:val="007042E5"/>
    <w:rsid w:val="007044E0"/>
    <w:rsid w:val="0070456E"/>
    <w:rsid w:val="00704891"/>
    <w:rsid w:val="00704D37"/>
    <w:rsid w:val="00704DA9"/>
    <w:rsid w:val="00704E47"/>
    <w:rsid w:val="00705157"/>
    <w:rsid w:val="0070569B"/>
    <w:rsid w:val="00705849"/>
    <w:rsid w:val="00705EAC"/>
    <w:rsid w:val="00706176"/>
    <w:rsid w:val="00706242"/>
    <w:rsid w:val="0070642C"/>
    <w:rsid w:val="007064BE"/>
    <w:rsid w:val="00706699"/>
    <w:rsid w:val="0070671D"/>
    <w:rsid w:val="007067CE"/>
    <w:rsid w:val="00706873"/>
    <w:rsid w:val="0070691F"/>
    <w:rsid w:val="00706A9B"/>
    <w:rsid w:val="00706AE9"/>
    <w:rsid w:val="00706CC0"/>
    <w:rsid w:val="00706D92"/>
    <w:rsid w:val="00706D98"/>
    <w:rsid w:val="00706E04"/>
    <w:rsid w:val="00706E7D"/>
    <w:rsid w:val="00707122"/>
    <w:rsid w:val="007072CE"/>
    <w:rsid w:val="007072F7"/>
    <w:rsid w:val="00707717"/>
    <w:rsid w:val="00707756"/>
    <w:rsid w:val="00707AFA"/>
    <w:rsid w:val="00707C61"/>
    <w:rsid w:val="00707E96"/>
    <w:rsid w:val="00707FB5"/>
    <w:rsid w:val="0071008D"/>
    <w:rsid w:val="0071027D"/>
    <w:rsid w:val="0071044A"/>
    <w:rsid w:val="0071091F"/>
    <w:rsid w:val="00710DC1"/>
    <w:rsid w:val="0071126B"/>
    <w:rsid w:val="0071141F"/>
    <w:rsid w:val="00711474"/>
    <w:rsid w:val="00711B1A"/>
    <w:rsid w:val="00711DB1"/>
    <w:rsid w:val="00711EC1"/>
    <w:rsid w:val="0071234A"/>
    <w:rsid w:val="007123E1"/>
    <w:rsid w:val="00712652"/>
    <w:rsid w:val="00712E9F"/>
    <w:rsid w:val="00713210"/>
    <w:rsid w:val="00713539"/>
    <w:rsid w:val="00713762"/>
    <w:rsid w:val="00713BAC"/>
    <w:rsid w:val="00713FE1"/>
    <w:rsid w:val="0071421E"/>
    <w:rsid w:val="00714488"/>
    <w:rsid w:val="007145B1"/>
    <w:rsid w:val="007145D1"/>
    <w:rsid w:val="00714663"/>
    <w:rsid w:val="0071482D"/>
    <w:rsid w:val="00714860"/>
    <w:rsid w:val="0071493E"/>
    <w:rsid w:val="007150BB"/>
    <w:rsid w:val="007151ED"/>
    <w:rsid w:val="00715398"/>
    <w:rsid w:val="007153B3"/>
    <w:rsid w:val="00715735"/>
    <w:rsid w:val="007157F1"/>
    <w:rsid w:val="007158C6"/>
    <w:rsid w:val="0071590F"/>
    <w:rsid w:val="00716000"/>
    <w:rsid w:val="0071655A"/>
    <w:rsid w:val="0071658F"/>
    <w:rsid w:val="00716BA0"/>
    <w:rsid w:val="007173B2"/>
    <w:rsid w:val="007173CC"/>
    <w:rsid w:val="00717638"/>
    <w:rsid w:val="007176C9"/>
    <w:rsid w:val="00717786"/>
    <w:rsid w:val="0071780D"/>
    <w:rsid w:val="0071790A"/>
    <w:rsid w:val="00720024"/>
    <w:rsid w:val="007202E7"/>
    <w:rsid w:val="00720452"/>
    <w:rsid w:val="00720482"/>
    <w:rsid w:val="00720507"/>
    <w:rsid w:val="00720619"/>
    <w:rsid w:val="007206F2"/>
    <w:rsid w:val="0072077A"/>
    <w:rsid w:val="007207E5"/>
    <w:rsid w:val="007208A4"/>
    <w:rsid w:val="0072095E"/>
    <w:rsid w:val="00720BDD"/>
    <w:rsid w:val="00720BE1"/>
    <w:rsid w:val="00720C8C"/>
    <w:rsid w:val="00720E33"/>
    <w:rsid w:val="00720E64"/>
    <w:rsid w:val="00721050"/>
    <w:rsid w:val="00721265"/>
    <w:rsid w:val="00721331"/>
    <w:rsid w:val="007215EF"/>
    <w:rsid w:val="0072183A"/>
    <w:rsid w:val="00721854"/>
    <w:rsid w:val="00721C44"/>
    <w:rsid w:val="00721E20"/>
    <w:rsid w:val="00721E24"/>
    <w:rsid w:val="00721E80"/>
    <w:rsid w:val="0072238D"/>
    <w:rsid w:val="0072247C"/>
    <w:rsid w:val="00722567"/>
    <w:rsid w:val="007225C3"/>
    <w:rsid w:val="007225CC"/>
    <w:rsid w:val="0072275B"/>
    <w:rsid w:val="00722799"/>
    <w:rsid w:val="007228F5"/>
    <w:rsid w:val="007228FA"/>
    <w:rsid w:val="00722929"/>
    <w:rsid w:val="00722AF7"/>
    <w:rsid w:val="00722BC1"/>
    <w:rsid w:val="00722E63"/>
    <w:rsid w:val="00722EBF"/>
    <w:rsid w:val="00722ECA"/>
    <w:rsid w:val="00723256"/>
    <w:rsid w:val="00723336"/>
    <w:rsid w:val="00723792"/>
    <w:rsid w:val="00723E6A"/>
    <w:rsid w:val="00723E96"/>
    <w:rsid w:val="00723EBE"/>
    <w:rsid w:val="00723F15"/>
    <w:rsid w:val="007241F2"/>
    <w:rsid w:val="007243A0"/>
    <w:rsid w:val="007245A3"/>
    <w:rsid w:val="007245FF"/>
    <w:rsid w:val="00724650"/>
    <w:rsid w:val="00724825"/>
    <w:rsid w:val="00724BA6"/>
    <w:rsid w:val="00724E1E"/>
    <w:rsid w:val="00724E8D"/>
    <w:rsid w:val="00724EC4"/>
    <w:rsid w:val="00724F71"/>
    <w:rsid w:val="0072509C"/>
    <w:rsid w:val="00725395"/>
    <w:rsid w:val="00725882"/>
    <w:rsid w:val="00725947"/>
    <w:rsid w:val="00725B6A"/>
    <w:rsid w:val="00725DFD"/>
    <w:rsid w:val="00725EFD"/>
    <w:rsid w:val="00725F9B"/>
    <w:rsid w:val="00726085"/>
    <w:rsid w:val="007260ED"/>
    <w:rsid w:val="00726176"/>
    <w:rsid w:val="007261D3"/>
    <w:rsid w:val="007269A2"/>
    <w:rsid w:val="00726CF0"/>
    <w:rsid w:val="00727048"/>
    <w:rsid w:val="007270D5"/>
    <w:rsid w:val="00727441"/>
    <w:rsid w:val="00727ABF"/>
    <w:rsid w:val="00727B65"/>
    <w:rsid w:val="00727D33"/>
    <w:rsid w:val="00727DCB"/>
    <w:rsid w:val="00730120"/>
    <w:rsid w:val="007301C9"/>
    <w:rsid w:val="007302C1"/>
    <w:rsid w:val="007304BA"/>
    <w:rsid w:val="007304F7"/>
    <w:rsid w:val="007308F9"/>
    <w:rsid w:val="00730C96"/>
    <w:rsid w:val="00730C9B"/>
    <w:rsid w:val="007310FE"/>
    <w:rsid w:val="007312EB"/>
    <w:rsid w:val="00731313"/>
    <w:rsid w:val="00731334"/>
    <w:rsid w:val="00731352"/>
    <w:rsid w:val="0073159D"/>
    <w:rsid w:val="007315FA"/>
    <w:rsid w:val="0073164F"/>
    <w:rsid w:val="0073174D"/>
    <w:rsid w:val="007319DD"/>
    <w:rsid w:val="00731A20"/>
    <w:rsid w:val="00731ABB"/>
    <w:rsid w:val="007321E9"/>
    <w:rsid w:val="00732278"/>
    <w:rsid w:val="00732386"/>
    <w:rsid w:val="00732410"/>
    <w:rsid w:val="0073277E"/>
    <w:rsid w:val="007327E6"/>
    <w:rsid w:val="007329BB"/>
    <w:rsid w:val="00732BCB"/>
    <w:rsid w:val="00732BFB"/>
    <w:rsid w:val="00732E07"/>
    <w:rsid w:val="00732FD2"/>
    <w:rsid w:val="00733648"/>
    <w:rsid w:val="0073372E"/>
    <w:rsid w:val="00733766"/>
    <w:rsid w:val="007337B2"/>
    <w:rsid w:val="00733A09"/>
    <w:rsid w:val="00733B41"/>
    <w:rsid w:val="00733D73"/>
    <w:rsid w:val="0073416B"/>
    <w:rsid w:val="00734AC4"/>
    <w:rsid w:val="00735342"/>
    <w:rsid w:val="00735620"/>
    <w:rsid w:val="0073565E"/>
    <w:rsid w:val="0073583F"/>
    <w:rsid w:val="00735AA6"/>
    <w:rsid w:val="00735C4E"/>
    <w:rsid w:val="00735DC6"/>
    <w:rsid w:val="00735F07"/>
    <w:rsid w:val="00736030"/>
    <w:rsid w:val="0073686D"/>
    <w:rsid w:val="00736BB9"/>
    <w:rsid w:val="00736C1C"/>
    <w:rsid w:val="00736F9B"/>
    <w:rsid w:val="00737037"/>
    <w:rsid w:val="007371E4"/>
    <w:rsid w:val="00737303"/>
    <w:rsid w:val="007373F6"/>
    <w:rsid w:val="00737574"/>
    <w:rsid w:val="0073788A"/>
    <w:rsid w:val="0073793D"/>
    <w:rsid w:val="00737B57"/>
    <w:rsid w:val="00737B70"/>
    <w:rsid w:val="00737BF6"/>
    <w:rsid w:val="00737CC3"/>
    <w:rsid w:val="00737E90"/>
    <w:rsid w:val="0074016B"/>
    <w:rsid w:val="0074029F"/>
    <w:rsid w:val="00740678"/>
    <w:rsid w:val="0074093E"/>
    <w:rsid w:val="00740BFD"/>
    <w:rsid w:val="00740D04"/>
    <w:rsid w:val="00740F68"/>
    <w:rsid w:val="00741255"/>
    <w:rsid w:val="00741774"/>
    <w:rsid w:val="007417E3"/>
    <w:rsid w:val="007418F2"/>
    <w:rsid w:val="00741984"/>
    <w:rsid w:val="007419F8"/>
    <w:rsid w:val="00741A0F"/>
    <w:rsid w:val="00741A2F"/>
    <w:rsid w:val="00741D99"/>
    <w:rsid w:val="007422D2"/>
    <w:rsid w:val="007424E0"/>
    <w:rsid w:val="00742612"/>
    <w:rsid w:val="007427BC"/>
    <w:rsid w:val="0074284C"/>
    <w:rsid w:val="00742DAE"/>
    <w:rsid w:val="00742F0D"/>
    <w:rsid w:val="007430FE"/>
    <w:rsid w:val="00743135"/>
    <w:rsid w:val="007431EC"/>
    <w:rsid w:val="00743546"/>
    <w:rsid w:val="00743548"/>
    <w:rsid w:val="00743583"/>
    <w:rsid w:val="007436A5"/>
    <w:rsid w:val="00743B73"/>
    <w:rsid w:val="0074404A"/>
    <w:rsid w:val="0074404E"/>
    <w:rsid w:val="00744120"/>
    <w:rsid w:val="007441CC"/>
    <w:rsid w:val="007446F5"/>
    <w:rsid w:val="00744C52"/>
    <w:rsid w:val="00744E08"/>
    <w:rsid w:val="00744FFF"/>
    <w:rsid w:val="007451B4"/>
    <w:rsid w:val="00745253"/>
    <w:rsid w:val="00745515"/>
    <w:rsid w:val="0074558B"/>
    <w:rsid w:val="0074575B"/>
    <w:rsid w:val="00745BAB"/>
    <w:rsid w:val="00745BF7"/>
    <w:rsid w:val="00745CFD"/>
    <w:rsid w:val="00746196"/>
    <w:rsid w:val="00746403"/>
    <w:rsid w:val="00746613"/>
    <w:rsid w:val="0074667A"/>
    <w:rsid w:val="00746A64"/>
    <w:rsid w:val="00746BE5"/>
    <w:rsid w:val="00746E03"/>
    <w:rsid w:val="00746EAF"/>
    <w:rsid w:val="00746F73"/>
    <w:rsid w:val="007470FD"/>
    <w:rsid w:val="0074740F"/>
    <w:rsid w:val="00747492"/>
    <w:rsid w:val="00747DD7"/>
    <w:rsid w:val="00747EF3"/>
    <w:rsid w:val="00747F0A"/>
    <w:rsid w:val="00747FB2"/>
    <w:rsid w:val="007500C9"/>
    <w:rsid w:val="007502C8"/>
    <w:rsid w:val="00750329"/>
    <w:rsid w:val="00750367"/>
    <w:rsid w:val="00750C22"/>
    <w:rsid w:val="00750CED"/>
    <w:rsid w:val="00750EBC"/>
    <w:rsid w:val="00750EF1"/>
    <w:rsid w:val="00751126"/>
    <w:rsid w:val="00751262"/>
    <w:rsid w:val="00751446"/>
    <w:rsid w:val="00751598"/>
    <w:rsid w:val="00751BC8"/>
    <w:rsid w:val="007521F1"/>
    <w:rsid w:val="00752A4B"/>
    <w:rsid w:val="00752A71"/>
    <w:rsid w:val="00752AD0"/>
    <w:rsid w:val="00752E20"/>
    <w:rsid w:val="00753054"/>
    <w:rsid w:val="007530DA"/>
    <w:rsid w:val="007531A2"/>
    <w:rsid w:val="00753411"/>
    <w:rsid w:val="0075386F"/>
    <w:rsid w:val="0075396A"/>
    <w:rsid w:val="00753A8E"/>
    <w:rsid w:val="00753B68"/>
    <w:rsid w:val="00753CDB"/>
    <w:rsid w:val="00753ED0"/>
    <w:rsid w:val="00753F07"/>
    <w:rsid w:val="00753F21"/>
    <w:rsid w:val="00754100"/>
    <w:rsid w:val="00754477"/>
    <w:rsid w:val="007547A1"/>
    <w:rsid w:val="0075492A"/>
    <w:rsid w:val="007549D9"/>
    <w:rsid w:val="00754B8B"/>
    <w:rsid w:val="00754BB7"/>
    <w:rsid w:val="00754D37"/>
    <w:rsid w:val="00754FD7"/>
    <w:rsid w:val="0075589A"/>
    <w:rsid w:val="0075597B"/>
    <w:rsid w:val="00755A8D"/>
    <w:rsid w:val="00755BDF"/>
    <w:rsid w:val="00755F45"/>
    <w:rsid w:val="00756023"/>
    <w:rsid w:val="007562F7"/>
    <w:rsid w:val="007563A3"/>
    <w:rsid w:val="0075659B"/>
    <w:rsid w:val="0075668F"/>
    <w:rsid w:val="00756A3D"/>
    <w:rsid w:val="00756F5B"/>
    <w:rsid w:val="00757246"/>
    <w:rsid w:val="007579A7"/>
    <w:rsid w:val="00757A3A"/>
    <w:rsid w:val="00757D92"/>
    <w:rsid w:val="00757E81"/>
    <w:rsid w:val="00757FC5"/>
    <w:rsid w:val="0076014C"/>
    <w:rsid w:val="00760304"/>
    <w:rsid w:val="0076032E"/>
    <w:rsid w:val="00760379"/>
    <w:rsid w:val="00760469"/>
    <w:rsid w:val="0076057A"/>
    <w:rsid w:val="007605D2"/>
    <w:rsid w:val="0076064A"/>
    <w:rsid w:val="00760657"/>
    <w:rsid w:val="00760E1B"/>
    <w:rsid w:val="00760F97"/>
    <w:rsid w:val="007612B8"/>
    <w:rsid w:val="007612C9"/>
    <w:rsid w:val="007612FF"/>
    <w:rsid w:val="007613AC"/>
    <w:rsid w:val="007613CC"/>
    <w:rsid w:val="00761525"/>
    <w:rsid w:val="00761664"/>
    <w:rsid w:val="00761AD0"/>
    <w:rsid w:val="007623C2"/>
    <w:rsid w:val="0076256D"/>
    <w:rsid w:val="00762CF7"/>
    <w:rsid w:val="00762D15"/>
    <w:rsid w:val="00762F1A"/>
    <w:rsid w:val="00762F69"/>
    <w:rsid w:val="0076307F"/>
    <w:rsid w:val="00763097"/>
    <w:rsid w:val="00763179"/>
    <w:rsid w:val="00763352"/>
    <w:rsid w:val="0076340D"/>
    <w:rsid w:val="007635D9"/>
    <w:rsid w:val="007636E5"/>
    <w:rsid w:val="0076376F"/>
    <w:rsid w:val="00763B5D"/>
    <w:rsid w:val="00763D8A"/>
    <w:rsid w:val="00763ECA"/>
    <w:rsid w:val="00763EE7"/>
    <w:rsid w:val="00763F63"/>
    <w:rsid w:val="00764058"/>
    <w:rsid w:val="007640DC"/>
    <w:rsid w:val="007640F4"/>
    <w:rsid w:val="00764231"/>
    <w:rsid w:val="007642E3"/>
    <w:rsid w:val="007644A2"/>
    <w:rsid w:val="007646C6"/>
    <w:rsid w:val="00764891"/>
    <w:rsid w:val="007648EB"/>
    <w:rsid w:val="00764B62"/>
    <w:rsid w:val="00764CAE"/>
    <w:rsid w:val="00764D5A"/>
    <w:rsid w:val="00764D89"/>
    <w:rsid w:val="00764FE1"/>
    <w:rsid w:val="00764FE3"/>
    <w:rsid w:val="007650F3"/>
    <w:rsid w:val="0076517C"/>
    <w:rsid w:val="0076538C"/>
    <w:rsid w:val="00765556"/>
    <w:rsid w:val="0076574B"/>
    <w:rsid w:val="00765758"/>
    <w:rsid w:val="00765A4A"/>
    <w:rsid w:val="00765B3E"/>
    <w:rsid w:val="00765ED0"/>
    <w:rsid w:val="00765F5D"/>
    <w:rsid w:val="00766091"/>
    <w:rsid w:val="00766213"/>
    <w:rsid w:val="007662FF"/>
    <w:rsid w:val="00766479"/>
    <w:rsid w:val="007667FC"/>
    <w:rsid w:val="007669DE"/>
    <w:rsid w:val="00766C42"/>
    <w:rsid w:val="00766C5E"/>
    <w:rsid w:val="00766E19"/>
    <w:rsid w:val="00766F17"/>
    <w:rsid w:val="00767076"/>
    <w:rsid w:val="00767135"/>
    <w:rsid w:val="0076713B"/>
    <w:rsid w:val="00767192"/>
    <w:rsid w:val="007672C6"/>
    <w:rsid w:val="007672F8"/>
    <w:rsid w:val="00767335"/>
    <w:rsid w:val="0076736D"/>
    <w:rsid w:val="0076743A"/>
    <w:rsid w:val="007675E0"/>
    <w:rsid w:val="00767626"/>
    <w:rsid w:val="00767800"/>
    <w:rsid w:val="007678F0"/>
    <w:rsid w:val="00767A30"/>
    <w:rsid w:val="00767A73"/>
    <w:rsid w:val="00767D60"/>
    <w:rsid w:val="00767DEF"/>
    <w:rsid w:val="00767EAE"/>
    <w:rsid w:val="00767F44"/>
    <w:rsid w:val="00770052"/>
    <w:rsid w:val="007700CE"/>
    <w:rsid w:val="00770379"/>
    <w:rsid w:val="007705DA"/>
    <w:rsid w:val="007709C8"/>
    <w:rsid w:val="007709F6"/>
    <w:rsid w:val="00770B2A"/>
    <w:rsid w:val="00770DB0"/>
    <w:rsid w:val="00771316"/>
    <w:rsid w:val="00771357"/>
    <w:rsid w:val="00771592"/>
    <w:rsid w:val="00771667"/>
    <w:rsid w:val="007717B4"/>
    <w:rsid w:val="00771912"/>
    <w:rsid w:val="00771A1F"/>
    <w:rsid w:val="00771A6E"/>
    <w:rsid w:val="00771DB1"/>
    <w:rsid w:val="00771E70"/>
    <w:rsid w:val="00771EC3"/>
    <w:rsid w:val="00771F28"/>
    <w:rsid w:val="00772002"/>
    <w:rsid w:val="007722C6"/>
    <w:rsid w:val="0077247D"/>
    <w:rsid w:val="00772583"/>
    <w:rsid w:val="007727EE"/>
    <w:rsid w:val="00772ACA"/>
    <w:rsid w:val="00772B33"/>
    <w:rsid w:val="00772C11"/>
    <w:rsid w:val="00772C73"/>
    <w:rsid w:val="00772CB4"/>
    <w:rsid w:val="00772E2F"/>
    <w:rsid w:val="00772FFE"/>
    <w:rsid w:val="00773128"/>
    <w:rsid w:val="0077320E"/>
    <w:rsid w:val="00773419"/>
    <w:rsid w:val="0077352C"/>
    <w:rsid w:val="00773A5A"/>
    <w:rsid w:val="00773C10"/>
    <w:rsid w:val="00773C8A"/>
    <w:rsid w:val="0077418C"/>
    <w:rsid w:val="007745EB"/>
    <w:rsid w:val="00774898"/>
    <w:rsid w:val="00774D15"/>
    <w:rsid w:val="00774EBF"/>
    <w:rsid w:val="00774FC1"/>
    <w:rsid w:val="00775165"/>
    <w:rsid w:val="00775174"/>
    <w:rsid w:val="007752FF"/>
    <w:rsid w:val="0077530F"/>
    <w:rsid w:val="0077534A"/>
    <w:rsid w:val="007754B5"/>
    <w:rsid w:val="007755C9"/>
    <w:rsid w:val="007755D3"/>
    <w:rsid w:val="00775F3F"/>
    <w:rsid w:val="00776185"/>
    <w:rsid w:val="007761AD"/>
    <w:rsid w:val="0077638B"/>
    <w:rsid w:val="007763FF"/>
    <w:rsid w:val="00776447"/>
    <w:rsid w:val="007764A9"/>
    <w:rsid w:val="00776666"/>
    <w:rsid w:val="007766BB"/>
    <w:rsid w:val="007767EA"/>
    <w:rsid w:val="00777A4A"/>
    <w:rsid w:val="00777E65"/>
    <w:rsid w:val="00777F6A"/>
    <w:rsid w:val="00780372"/>
    <w:rsid w:val="0078048A"/>
    <w:rsid w:val="007804C4"/>
    <w:rsid w:val="007805E0"/>
    <w:rsid w:val="007806DD"/>
    <w:rsid w:val="007809E2"/>
    <w:rsid w:val="00780A21"/>
    <w:rsid w:val="00780AB1"/>
    <w:rsid w:val="00780BCB"/>
    <w:rsid w:val="00780DCC"/>
    <w:rsid w:val="00780F3B"/>
    <w:rsid w:val="007812FC"/>
    <w:rsid w:val="0078149D"/>
    <w:rsid w:val="0078164D"/>
    <w:rsid w:val="00781667"/>
    <w:rsid w:val="007816B5"/>
    <w:rsid w:val="007817EB"/>
    <w:rsid w:val="00781AC2"/>
    <w:rsid w:val="007821C1"/>
    <w:rsid w:val="0078256F"/>
    <w:rsid w:val="00782866"/>
    <w:rsid w:val="00782BA3"/>
    <w:rsid w:val="00782BA6"/>
    <w:rsid w:val="0078318B"/>
    <w:rsid w:val="007831D1"/>
    <w:rsid w:val="00783E0B"/>
    <w:rsid w:val="007842C3"/>
    <w:rsid w:val="0078460F"/>
    <w:rsid w:val="00784658"/>
    <w:rsid w:val="00784E62"/>
    <w:rsid w:val="0078500B"/>
    <w:rsid w:val="007850BB"/>
    <w:rsid w:val="007852CB"/>
    <w:rsid w:val="0078533C"/>
    <w:rsid w:val="0078543C"/>
    <w:rsid w:val="0078546F"/>
    <w:rsid w:val="007854C2"/>
    <w:rsid w:val="00785519"/>
    <w:rsid w:val="00785878"/>
    <w:rsid w:val="00785B63"/>
    <w:rsid w:val="007861C8"/>
    <w:rsid w:val="00786303"/>
    <w:rsid w:val="0078644F"/>
    <w:rsid w:val="00786690"/>
    <w:rsid w:val="00786701"/>
    <w:rsid w:val="007867A3"/>
    <w:rsid w:val="00786841"/>
    <w:rsid w:val="0078686A"/>
    <w:rsid w:val="00786884"/>
    <w:rsid w:val="00786D8A"/>
    <w:rsid w:val="007870B0"/>
    <w:rsid w:val="00787491"/>
    <w:rsid w:val="0078749A"/>
    <w:rsid w:val="0078750D"/>
    <w:rsid w:val="007875B9"/>
    <w:rsid w:val="007876C7"/>
    <w:rsid w:val="0078778E"/>
    <w:rsid w:val="007877DA"/>
    <w:rsid w:val="007878DF"/>
    <w:rsid w:val="00787BF1"/>
    <w:rsid w:val="00787D2B"/>
    <w:rsid w:val="00787D3F"/>
    <w:rsid w:val="00787DED"/>
    <w:rsid w:val="007902B3"/>
    <w:rsid w:val="007903BE"/>
    <w:rsid w:val="00790CBC"/>
    <w:rsid w:val="00790D31"/>
    <w:rsid w:val="007911BC"/>
    <w:rsid w:val="00791584"/>
    <w:rsid w:val="0079168D"/>
    <w:rsid w:val="0079190D"/>
    <w:rsid w:val="00791A49"/>
    <w:rsid w:val="00791E98"/>
    <w:rsid w:val="00791F76"/>
    <w:rsid w:val="00792016"/>
    <w:rsid w:val="007921CA"/>
    <w:rsid w:val="007921F1"/>
    <w:rsid w:val="0079292E"/>
    <w:rsid w:val="00792FAE"/>
    <w:rsid w:val="00793061"/>
    <w:rsid w:val="0079334C"/>
    <w:rsid w:val="007933D3"/>
    <w:rsid w:val="00793611"/>
    <w:rsid w:val="00793FAD"/>
    <w:rsid w:val="0079442A"/>
    <w:rsid w:val="007944F1"/>
    <w:rsid w:val="00794599"/>
    <w:rsid w:val="00794676"/>
    <w:rsid w:val="00794727"/>
    <w:rsid w:val="00794A4B"/>
    <w:rsid w:val="00795117"/>
    <w:rsid w:val="00795349"/>
    <w:rsid w:val="00795351"/>
    <w:rsid w:val="00795662"/>
    <w:rsid w:val="00795756"/>
    <w:rsid w:val="0079599E"/>
    <w:rsid w:val="00795A19"/>
    <w:rsid w:val="00795A9C"/>
    <w:rsid w:val="00795B83"/>
    <w:rsid w:val="00796552"/>
    <w:rsid w:val="00796725"/>
    <w:rsid w:val="00796AB7"/>
    <w:rsid w:val="00796AC7"/>
    <w:rsid w:val="00796CB3"/>
    <w:rsid w:val="00796D1D"/>
    <w:rsid w:val="00796F7C"/>
    <w:rsid w:val="00797031"/>
    <w:rsid w:val="00797316"/>
    <w:rsid w:val="00797352"/>
    <w:rsid w:val="00797460"/>
    <w:rsid w:val="007975DC"/>
    <w:rsid w:val="00797894"/>
    <w:rsid w:val="00797A7C"/>
    <w:rsid w:val="00797CA1"/>
    <w:rsid w:val="00797F16"/>
    <w:rsid w:val="00797FF3"/>
    <w:rsid w:val="007A014C"/>
    <w:rsid w:val="007A0226"/>
    <w:rsid w:val="007A0363"/>
    <w:rsid w:val="007A037B"/>
    <w:rsid w:val="007A049D"/>
    <w:rsid w:val="007A0641"/>
    <w:rsid w:val="007A08CB"/>
    <w:rsid w:val="007A0B8E"/>
    <w:rsid w:val="007A0C6B"/>
    <w:rsid w:val="007A0E8D"/>
    <w:rsid w:val="007A1044"/>
    <w:rsid w:val="007A1209"/>
    <w:rsid w:val="007A15E8"/>
    <w:rsid w:val="007A1663"/>
    <w:rsid w:val="007A1685"/>
    <w:rsid w:val="007A1808"/>
    <w:rsid w:val="007A18B1"/>
    <w:rsid w:val="007A198C"/>
    <w:rsid w:val="007A199D"/>
    <w:rsid w:val="007A1CBD"/>
    <w:rsid w:val="007A1D88"/>
    <w:rsid w:val="007A1EEE"/>
    <w:rsid w:val="007A21CF"/>
    <w:rsid w:val="007A2484"/>
    <w:rsid w:val="007A26E1"/>
    <w:rsid w:val="007A2911"/>
    <w:rsid w:val="007A29A1"/>
    <w:rsid w:val="007A29C3"/>
    <w:rsid w:val="007A2C7C"/>
    <w:rsid w:val="007A3071"/>
    <w:rsid w:val="007A3311"/>
    <w:rsid w:val="007A351B"/>
    <w:rsid w:val="007A3722"/>
    <w:rsid w:val="007A38C3"/>
    <w:rsid w:val="007A3A6C"/>
    <w:rsid w:val="007A3B3E"/>
    <w:rsid w:val="007A45BA"/>
    <w:rsid w:val="007A47FB"/>
    <w:rsid w:val="007A47FE"/>
    <w:rsid w:val="007A4932"/>
    <w:rsid w:val="007A5068"/>
    <w:rsid w:val="007A5468"/>
    <w:rsid w:val="007A5B7D"/>
    <w:rsid w:val="007A5E87"/>
    <w:rsid w:val="007A5FF4"/>
    <w:rsid w:val="007A613A"/>
    <w:rsid w:val="007A6252"/>
    <w:rsid w:val="007A62D5"/>
    <w:rsid w:val="007A642C"/>
    <w:rsid w:val="007A66BB"/>
    <w:rsid w:val="007A6A21"/>
    <w:rsid w:val="007A6B0D"/>
    <w:rsid w:val="007A6D34"/>
    <w:rsid w:val="007A6D3C"/>
    <w:rsid w:val="007A70AC"/>
    <w:rsid w:val="007A72D6"/>
    <w:rsid w:val="007A74E7"/>
    <w:rsid w:val="007A7670"/>
    <w:rsid w:val="007A76C5"/>
    <w:rsid w:val="007A77C0"/>
    <w:rsid w:val="007A7806"/>
    <w:rsid w:val="007A78B6"/>
    <w:rsid w:val="007A7E80"/>
    <w:rsid w:val="007A7EE7"/>
    <w:rsid w:val="007B046B"/>
    <w:rsid w:val="007B05D6"/>
    <w:rsid w:val="007B0C82"/>
    <w:rsid w:val="007B0FD5"/>
    <w:rsid w:val="007B119F"/>
    <w:rsid w:val="007B140B"/>
    <w:rsid w:val="007B1672"/>
    <w:rsid w:val="007B1719"/>
    <w:rsid w:val="007B17B3"/>
    <w:rsid w:val="007B18D8"/>
    <w:rsid w:val="007B1923"/>
    <w:rsid w:val="007B1A08"/>
    <w:rsid w:val="007B1A55"/>
    <w:rsid w:val="007B1CB2"/>
    <w:rsid w:val="007B1EC7"/>
    <w:rsid w:val="007B23F7"/>
    <w:rsid w:val="007B2423"/>
    <w:rsid w:val="007B2468"/>
    <w:rsid w:val="007B24B9"/>
    <w:rsid w:val="007B2733"/>
    <w:rsid w:val="007B28F8"/>
    <w:rsid w:val="007B2BD8"/>
    <w:rsid w:val="007B2FB7"/>
    <w:rsid w:val="007B3097"/>
    <w:rsid w:val="007B31C0"/>
    <w:rsid w:val="007B348A"/>
    <w:rsid w:val="007B359C"/>
    <w:rsid w:val="007B3663"/>
    <w:rsid w:val="007B372C"/>
    <w:rsid w:val="007B3992"/>
    <w:rsid w:val="007B3B1A"/>
    <w:rsid w:val="007B3C9A"/>
    <w:rsid w:val="007B3E2D"/>
    <w:rsid w:val="007B42B2"/>
    <w:rsid w:val="007B438B"/>
    <w:rsid w:val="007B43A2"/>
    <w:rsid w:val="007B443E"/>
    <w:rsid w:val="007B4787"/>
    <w:rsid w:val="007B4A96"/>
    <w:rsid w:val="007B4C28"/>
    <w:rsid w:val="007B4CF0"/>
    <w:rsid w:val="007B5138"/>
    <w:rsid w:val="007B54B6"/>
    <w:rsid w:val="007B54E1"/>
    <w:rsid w:val="007B57A3"/>
    <w:rsid w:val="007B57B5"/>
    <w:rsid w:val="007B5DAB"/>
    <w:rsid w:val="007B5E22"/>
    <w:rsid w:val="007B619E"/>
    <w:rsid w:val="007B61F5"/>
    <w:rsid w:val="007B623E"/>
    <w:rsid w:val="007B6355"/>
    <w:rsid w:val="007B6437"/>
    <w:rsid w:val="007B65D2"/>
    <w:rsid w:val="007B65F2"/>
    <w:rsid w:val="007B6962"/>
    <w:rsid w:val="007B69D6"/>
    <w:rsid w:val="007B6A85"/>
    <w:rsid w:val="007B6B2F"/>
    <w:rsid w:val="007B6C85"/>
    <w:rsid w:val="007B6CE5"/>
    <w:rsid w:val="007B7059"/>
    <w:rsid w:val="007B714A"/>
    <w:rsid w:val="007B7156"/>
    <w:rsid w:val="007B7257"/>
    <w:rsid w:val="007B74EA"/>
    <w:rsid w:val="007B783C"/>
    <w:rsid w:val="007B79FD"/>
    <w:rsid w:val="007B7A84"/>
    <w:rsid w:val="007B7AD5"/>
    <w:rsid w:val="007B7B89"/>
    <w:rsid w:val="007B7D87"/>
    <w:rsid w:val="007B7DD4"/>
    <w:rsid w:val="007C0341"/>
    <w:rsid w:val="007C0352"/>
    <w:rsid w:val="007C03A3"/>
    <w:rsid w:val="007C03AD"/>
    <w:rsid w:val="007C0559"/>
    <w:rsid w:val="007C06AE"/>
    <w:rsid w:val="007C06DB"/>
    <w:rsid w:val="007C08DC"/>
    <w:rsid w:val="007C090F"/>
    <w:rsid w:val="007C0C0C"/>
    <w:rsid w:val="007C0DBE"/>
    <w:rsid w:val="007C111C"/>
    <w:rsid w:val="007C11B0"/>
    <w:rsid w:val="007C150F"/>
    <w:rsid w:val="007C1613"/>
    <w:rsid w:val="007C163B"/>
    <w:rsid w:val="007C17BB"/>
    <w:rsid w:val="007C18B9"/>
    <w:rsid w:val="007C229E"/>
    <w:rsid w:val="007C23D2"/>
    <w:rsid w:val="007C2977"/>
    <w:rsid w:val="007C29B7"/>
    <w:rsid w:val="007C2C3B"/>
    <w:rsid w:val="007C32C4"/>
    <w:rsid w:val="007C3475"/>
    <w:rsid w:val="007C359C"/>
    <w:rsid w:val="007C3816"/>
    <w:rsid w:val="007C3C12"/>
    <w:rsid w:val="007C3C86"/>
    <w:rsid w:val="007C3E74"/>
    <w:rsid w:val="007C4064"/>
    <w:rsid w:val="007C4122"/>
    <w:rsid w:val="007C4180"/>
    <w:rsid w:val="007C419C"/>
    <w:rsid w:val="007C41BA"/>
    <w:rsid w:val="007C450D"/>
    <w:rsid w:val="007C45FF"/>
    <w:rsid w:val="007C47A8"/>
    <w:rsid w:val="007C4834"/>
    <w:rsid w:val="007C487B"/>
    <w:rsid w:val="007C4C17"/>
    <w:rsid w:val="007C4C76"/>
    <w:rsid w:val="007C4E8B"/>
    <w:rsid w:val="007C4F9A"/>
    <w:rsid w:val="007C50BA"/>
    <w:rsid w:val="007C54F3"/>
    <w:rsid w:val="007C5D8F"/>
    <w:rsid w:val="007C625F"/>
    <w:rsid w:val="007C663B"/>
    <w:rsid w:val="007C6721"/>
    <w:rsid w:val="007C6811"/>
    <w:rsid w:val="007C68A1"/>
    <w:rsid w:val="007C6AEE"/>
    <w:rsid w:val="007C6D8C"/>
    <w:rsid w:val="007C6EA7"/>
    <w:rsid w:val="007C70F1"/>
    <w:rsid w:val="007C74BA"/>
    <w:rsid w:val="007C7593"/>
    <w:rsid w:val="007C774F"/>
    <w:rsid w:val="007C7819"/>
    <w:rsid w:val="007C792D"/>
    <w:rsid w:val="007C7979"/>
    <w:rsid w:val="007C7B8A"/>
    <w:rsid w:val="007C7E54"/>
    <w:rsid w:val="007C7FFC"/>
    <w:rsid w:val="007D006F"/>
    <w:rsid w:val="007D00CD"/>
    <w:rsid w:val="007D00E0"/>
    <w:rsid w:val="007D0124"/>
    <w:rsid w:val="007D02C3"/>
    <w:rsid w:val="007D034F"/>
    <w:rsid w:val="007D0BD5"/>
    <w:rsid w:val="007D0C71"/>
    <w:rsid w:val="007D0F90"/>
    <w:rsid w:val="007D0FF6"/>
    <w:rsid w:val="007D1194"/>
    <w:rsid w:val="007D13D8"/>
    <w:rsid w:val="007D1424"/>
    <w:rsid w:val="007D144A"/>
    <w:rsid w:val="007D14BA"/>
    <w:rsid w:val="007D1569"/>
    <w:rsid w:val="007D174C"/>
    <w:rsid w:val="007D1812"/>
    <w:rsid w:val="007D193B"/>
    <w:rsid w:val="007D1B64"/>
    <w:rsid w:val="007D1B7C"/>
    <w:rsid w:val="007D1E75"/>
    <w:rsid w:val="007D20BE"/>
    <w:rsid w:val="007D20EB"/>
    <w:rsid w:val="007D2118"/>
    <w:rsid w:val="007D23A4"/>
    <w:rsid w:val="007D2570"/>
    <w:rsid w:val="007D25EB"/>
    <w:rsid w:val="007D26CD"/>
    <w:rsid w:val="007D2D06"/>
    <w:rsid w:val="007D2E66"/>
    <w:rsid w:val="007D30D7"/>
    <w:rsid w:val="007D34EE"/>
    <w:rsid w:val="007D36D8"/>
    <w:rsid w:val="007D3C7F"/>
    <w:rsid w:val="007D3C98"/>
    <w:rsid w:val="007D3DCB"/>
    <w:rsid w:val="007D3EF4"/>
    <w:rsid w:val="007D4046"/>
    <w:rsid w:val="007D4141"/>
    <w:rsid w:val="007D44B6"/>
    <w:rsid w:val="007D44C2"/>
    <w:rsid w:val="007D455A"/>
    <w:rsid w:val="007D4867"/>
    <w:rsid w:val="007D495B"/>
    <w:rsid w:val="007D4C1D"/>
    <w:rsid w:val="007D4D5B"/>
    <w:rsid w:val="007D50BA"/>
    <w:rsid w:val="007D5139"/>
    <w:rsid w:val="007D51F3"/>
    <w:rsid w:val="007D536A"/>
    <w:rsid w:val="007D5430"/>
    <w:rsid w:val="007D55B8"/>
    <w:rsid w:val="007D57B1"/>
    <w:rsid w:val="007D5A4D"/>
    <w:rsid w:val="007D5A80"/>
    <w:rsid w:val="007D5B83"/>
    <w:rsid w:val="007D5BA0"/>
    <w:rsid w:val="007D5DE9"/>
    <w:rsid w:val="007D5EB4"/>
    <w:rsid w:val="007D6108"/>
    <w:rsid w:val="007D6134"/>
    <w:rsid w:val="007D62B3"/>
    <w:rsid w:val="007D6434"/>
    <w:rsid w:val="007D647F"/>
    <w:rsid w:val="007D65DB"/>
    <w:rsid w:val="007D67BA"/>
    <w:rsid w:val="007D6802"/>
    <w:rsid w:val="007D68D2"/>
    <w:rsid w:val="007D6C50"/>
    <w:rsid w:val="007D6D44"/>
    <w:rsid w:val="007D6DDD"/>
    <w:rsid w:val="007D6EC6"/>
    <w:rsid w:val="007D705B"/>
    <w:rsid w:val="007D7121"/>
    <w:rsid w:val="007D7419"/>
    <w:rsid w:val="007D78B0"/>
    <w:rsid w:val="007D7C74"/>
    <w:rsid w:val="007D7CE7"/>
    <w:rsid w:val="007D7D46"/>
    <w:rsid w:val="007D7D84"/>
    <w:rsid w:val="007E0307"/>
    <w:rsid w:val="007E0A22"/>
    <w:rsid w:val="007E0AFC"/>
    <w:rsid w:val="007E0C40"/>
    <w:rsid w:val="007E0D9B"/>
    <w:rsid w:val="007E0E2E"/>
    <w:rsid w:val="007E112A"/>
    <w:rsid w:val="007E1151"/>
    <w:rsid w:val="007E1329"/>
    <w:rsid w:val="007E1729"/>
    <w:rsid w:val="007E1833"/>
    <w:rsid w:val="007E1928"/>
    <w:rsid w:val="007E1A38"/>
    <w:rsid w:val="007E21E9"/>
    <w:rsid w:val="007E2352"/>
    <w:rsid w:val="007E23E2"/>
    <w:rsid w:val="007E256E"/>
    <w:rsid w:val="007E25B3"/>
    <w:rsid w:val="007E27AF"/>
    <w:rsid w:val="007E2891"/>
    <w:rsid w:val="007E2942"/>
    <w:rsid w:val="007E2E16"/>
    <w:rsid w:val="007E2EB4"/>
    <w:rsid w:val="007E3185"/>
    <w:rsid w:val="007E33C2"/>
    <w:rsid w:val="007E3478"/>
    <w:rsid w:val="007E3525"/>
    <w:rsid w:val="007E36ED"/>
    <w:rsid w:val="007E389B"/>
    <w:rsid w:val="007E39AE"/>
    <w:rsid w:val="007E4367"/>
    <w:rsid w:val="007E458B"/>
    <w:rsid w:val="007E45DE"/>
    <w:rsid w:val="007E475F"/>
    <w:rsid w:val="007E4A3E"/>
    <w:rsid w:val="007E50E7"/>
    <w:rsid w:val="007E53DA"/>
    <w:rsid w:val="007E5596"/>
    <w:rsid w:val="007E573B"/>
    <w:rsid w:val="007E5742"/>
    <w:rsid w:val="007E58CA"/>
    <w:rsid w:val="007E59F6"/>
    <w:rsid w:val="007E5BE7"/>
    <w:rsid w:val="007E5DC7"/>
    <w:rsid w:val="007E5DF5"/>
    <w:rsid w:val="007E64D8"/>
    <w:rsid w:val="007E6551"/>
    <w:rsid w:val="007E67A4"/>
    <w:rsid w:val="007E6880"/>
    <w:rsid w:val="007E689B"/>
    <w:rsid w:val="007E696C"/>
    <w:rsid w:val="007E6A3E"/>
    <w:rsid w:val="007E6C50"/>
    <w:rsid w:val="007E6C92"/>
    <w:rsid w:val="007E6DDE"/>
    <w:rsid w:val="007E7339"/>
    <w:rsid w:val="007E740A"/>
    <w:rsid w:val="007E768D"/>
    <w:rsid w:val="007E781B"/>
    <w:rsid w:val="007E7A00"/>
    <w:rsid w:val="007E7A1D"/>
    <w:rsid w:val="007E7C17"/>
    <w:rsid w:val="007E7DE6"/>
    <w:rsid w:val="007E7ECF"/>
    <w:rsid w:val="007F016C"/>
    <w:rsid w:val="007F01B9"/>
    <w:rsid w:val="007F02C3"/>
    <w:rsid w:val="007F0480"/>
    <w:rsid w:val="007F04FD"/>
    <w:rsid w:val="007F06A1"/>
    <w:rsid w:val="007F0822"/>
    <w:rsid w:val="007F094B"/>
    <w:rsid w:val="007F0AF1"/>
    <w:rsid w:val="007F0C49"/>
    <w:rsid w:val="007F0CD2"/>
    <w:rsid w:val="007F0DE4"/>
    <w:rsid w:val="007F0E5E"/>
    <w:rsid w:val="007F136B"/>
    <w:rsid w:val="007F1461"/>
    <w:rsid w:val="007F154B"/>
    <w:rsid w:val="007F198F"/>
    <w:rsid w:val="007F1FDB"/>
    <w:rsid w:val="007F2101"/>
    <w:rsid w:val="007F2338"/>
    <w:rsid w:val="007F24A1"/>
    <w:rsid w:val="007F24FB"/>
    <w:rsid w:val="007F273C"/>
    <w:rsid w:val="007F2B73"/>
    <w:rsid w:val="007F2DAA"/>
    <w:rsid w:val="007F2DB1"/>
    <w:rsid w:val="007F2EA9"/>
    <w:rsid w:val="007F2EF2"/>
    <w:rsid w:val="007F2FDF"/>
    <w:rsid w:val="007F30F2"/>
    <w:rsid w:val="007F32EB"/>
    <w:rsid w:val="007F3545"/>
    <w:rsid w:val="007F38D6"/>
    <w:rsid w:val="007F39A8"/>
    <w:rsid w:val="007F39B8"/>
    <w:rsid w:val="007F3C2D"/>
    <w:rsid w:val="007F3D24"/>
    <w:rsid w:val="007F3FFF"/>
    <w:rsid w:val="007F40E2"/>
    <w:rsid w:val="007F4785"/>
    <w:rsid w:val="007F48BB"/>
    <w:rsid w:val="007F5039"/>
    <w:rsid w:val="007F58A6"/>
    <w:rsid w:val="007F5BDB"/>
    <w:rsid w:val="007F6067"/>
    <w:rsid w:val="007F61A1"/>
    <w:rsid w:val="007F61FA"/>
    <w:rsid w:val="007F64B3"/>
    <w:rsid w:val="007F6750"/>
    <w:rsid w:val="007F68E9"/>
    <w:rsid w:val="007F728A"/>
    <w:rsid w:val="007F73C4"/>
    <w:rsid w:val="007F7B8A"/>
    <w:rsid w:val="007F7BC7"/>
    <w:rsid w:val="007F7C9B"/>
    <w:rsid w:val="007F7CC4"/>
    <w:rsid w:val="007F7CF1"/>
    <w:rsid w:val="007F7D71"/>
    <w:rsid w:val="008001CE"/>
    <w:rsid w:val="0080038A"/>
    <w:rsid w:val="008004C8"/>
    <w:rsid w:val="008004D8"/>
    <w:rsid w:val="00800CA4"/>
    <w:rsid w:val="008017BC"/>
    <w:rsid w:val="00801B2A"/>
    <w:rsid w:val="00801C2C"/>
    <w:rsid w:val="00801C30"/>
    <w:rsid w:val="008020CE"/>
    <w:rsid w:val="00802282"/>
    <w:rsid w:val="008023DC"/>
    <w:rsid w:val="0080261A"/>
    <w:rsid w:val="0080265D"/>
    <w:rsid w:val="00802B5A"/>
    <w:rsid w:val="00802B69"/>
    <w:rsid w:val="00802C29"/>
    <w:rsid w:val="00803047"/>
    <w:rsid w:val="008031AE"/>
    <w:rsid w:val="0080322B"/>
    <w:rsid w:val="008032E9"/>
    <w:rsid w:val="00803528"/>
    <w:rsid w:val="008035C3"/>
    <w:rsid w:val="008036C3"/>
    <w:rsid w:val="00803776"/>
    <w:rsid w:val="00803BBD"/>
    <w:rsid w:val="00803BF8"/>
    <w:rsid w:val="00803D2F"/>
    <w:rsid w:val="00803DCC"/>
    <w:rsid w:val="00803F26"/>
    <w:rsid w:val="00803FB9"/>
    <w:rsid w:val="0080410E"/>
    <w:rsid w:val="00804211"/>
    <w:rsid w:val="0080429C"/>
    <w:rsid w:val="008042F9"/>
    <w:rsid w:val="008044EB"/>
    <w:rsid w:val="008046D7"/>
    <w:rsid w:val="00804A49"/>
    <w:rsid w:val="00804A7C"/>
    <w:rsid w:val="00804B8B"/>
    <w:rsid w:val="00804BAE"/>
    <w:rsid w:val="00804D71"/>
    <w:rsid w:val="00804E59"/>
    <w:rsid w:val="0080549A"/>
    <w:rsid w:val="0080559D"/>
    <w:rsid w:val="00805612"/>
    <w:rsid w:val="00805D33"/>
    <w:rsid w:val="00805DA2"/>
    <w:rsid w:val="00805DAD"/>
    <w:rsid w:val="00805E5C"/>
    <w:rsid w:val="00806277"/>
    <w:rsid w:val="008066D5"/>
    <w:rsid w:val="00806A41"/>
    <w:rsid w:val="00806B05"/>
    <w:rsid w:val="00806F08"/>
    <w:rsid w:val="00806F1E"/>
    <w:rsid w:val="00806F63"/>
    <w:rsid w:val="008070CE"/>
    <w:rsid w:val="00807322"/>
    <w:rsid w:val="008073B9"/>
    <w:rsid w:val="008074AB"/>
    <w:rsid w:val="00807510"/>
    <w:rsid w:val="00807561"/>
    <w:rsid w:val="00807719"/>
    <w:rsid w:val="00807809"/>
    <w:rsid w:val="00807989"/>
    <w:rsid w:val="00807999"/>
    <w:rsid w:val="00807F06"/>
    <w:rsid w:val="00807F2F"/>
    <w:rsid w:val="00810180"/>
    <w:rsid w:val="008102B1"/>
    <w:rsid w:val="0081035D"/>
    <w:rsid w:val="008103A0"/>
    <w:rsid w:val="008104CB"/>
    <w:rsid w:val="008104DC"/>
    <w:rsid w:val="00810AF1"/>
    <w:rsid w:val="00810C76"/>
    <w:rsid w:val="00810CB5"/>
    <w:rsid w:val="00810CCF"/>
    <w:rsid w:val="00810D61"/>
    <w:rsid w:val="0081107D"/>
    <w:rsid w:val="00811196"/>
    <w:rsid w:val="00811385"/>
    <w:rsid w:val="00811464"/>
    <w:rsid w:val="00811665"/>
    <w:rsid w:val="008118A4"/>
    <w:rsid w:val="00811A4A"/>
    <w:rsid w:val="00811F14"/>
    <w:rsid w:val="00812571"/>
    <w:rsid w:val="00812702"/>
    <w:rsid w:val="00812D43"/>
    <w:rsid w:val="00812D99"/>
    <w:rsid w:val="00812E5B"/>
    <w:rsid w:val="0081322D"/>
    <w:rsid w:val="008132EC"/>
    <w:rsid w:val="00813720"/>
    <w:rsid w:val="00813999"/>
    <w:rsid w:val="00813DC1"/>
    <w:rsid w:val="008142B2"/>
    <w:rsid w:val="008142CF"/>
    <w:rsid w:val="008145CC"/>
    <w:rsid w:val="00814638"/>
    <w:rsid w:val="008146A8"/>
    <w:rsid w:val="00814C9C"/>
    <w:rsid w:val="00814E68"/>
    <w:rsid w:val="008150AC"/>
    <w:rsid w:val="008150B9"/>
    <w:rsid w:val="008151C5"/>
    <w:rsid w:val="0081522B"/>
    <w:rsid w:val="00815301"/>
    <w:rsid w:val="0081533C"/>
    <w:rsid w:val="0081538F"/>
    <w:rsid w:val="00815585"/>
    <w:rsid w:val="00815643"/>
    <w:rsid w:val="00815EE9"/>
    <w:rsid w:val="00815FED"/>
    <w:rsid w:val="008160BD"/>
    <w:rsid w:val="0081612B"/>
    <w:rsid w:val="008161D7"/>
    <w:rsid w:val="00816386"/>
    <w:rsid w:val="00816832"/>
    <w:rsid w:val="00816861"/>
    <w:rsid w:val="0081694A"/>
    <w:rsid w:val="00817183"/>
    <w:rsid w:val="00817273"/>
    <w:rsid w:val="00817A93"/>
    <w:rsid w:val="00817CD9"/>
    <w:rsid w:val="0082010F"/>
    <w:rsid w:val="0082063B"/>
    <w:rsid w:val="00820661"/>
    <w:rsid w:val="00820DC4"/>
    <w:rsid w:val="00820ED2"/>
    <w:rsid w:val="00820F26"/>
    <w:rsid w:val="00821102"/>
    <w:rsid w:val="0082112C"/>
    <w:rsid w:val="0082121E"/>
    <w:rsid w:val="00821286"/>
    <w:rsid w:val="0082143C"/>
    <w:rsid w:val="00821500"/>
    <w:rsid w:val="008215E6"/>
    <w:rsid w:val="0082160B"/>
    <w:rsid w:val="00821615"/>
    <w:rsid w:val="0082182E"/>
    <w:rsid w:val="00821A8E"/>
    <w:rsid w:val="00821B09"/>
    <w:rsid w:val="00821B39"/>
    <w:rsid w:val="00821BF4"/>
    <w:rsid w:val="00821CD0"/>
    <w:rsid w:val="00821E4C"/>
    <w:rsid w:val="00822017"/>
    <w:rsid w:val="008220AD"/>
    <w:rsid w:val="0082212A"/>
    <w:rsid w:val="008226B7"/>
    <w:rsid w:val="0082280B"/>
    <w:rsid w:val="008229C3"/>
    <w:rsid w:val="00822D49"/>
    <w:rsid w:val="00822E1C"/>
    <w:rsid w:val="00822E6B"/>
    <w:rsid w:val="0082326B"/>
    <w:rsid w:val="0082344A"/>
    <w:rsid w:val="00823751"/>
    <w:rsid w:val="00823B19"/>
    <w:rsid w:val="0082437F"/>
    <w:rsid w:val="00824544"/>
    <w:rsid w:val="0082462F"/>
    <w:rsid w:val="00824755"/>
    <w:rsid w:val="0082494A"/>
    <w:rsid w:val="00824CA7"/>
    <w:rsid w:val="00824D43"/>
    <w:rsid w:val="00824E3E"/>
    <w:rsid w:val="00825074"/>
    <w:rsid w:val="008250B9"/>
    <w:rsid w:val="0082530E"/>
    <w:rsid w:val="0082532A"/>
    <w:rsid w:val="00825435"/>
    <w:rsid w:val="00825566"/>
    <w:rsid w:val="00825909"/>
    <w:rsid w:val="00825B87"/>
    <w:rsid w:val="00825D8C"/>
    <w:rsid w:val="00825E6A"/>
    <w:rsid w:val="00825E76"/>
    <w:rsid w:val="00825F08"/>
    <w:rsid w:val="008263EA"/>
    <w:rsid w:val="0082652A"/>
    <w:rsid w:val="0082668C"/>
    <w:rsid w:val="0082668F"/>
    <w:rsid w:val="00826BD2"/>
    <w:rsid w:val="00826E05"/>
    <w:rsid w:val="008270B6"/>
    <w:rsid w:val="0082745E"/>
    <w:rsid w:val="008274E1"/>
    <w:rsid w:val="0082759C"/>
    <w:rsid w:val="00827814"/>
    <w:rsid w:val="0082783F"/>
    <w:rsid w:val="00827DD8"/>
    <w:rsid w:val="00830044"/>
    <w:rsid w:val="00830365"/>
    <w:rsid w:val="00830392"/>
    <w:rsid w:val="0083084C"/>
    <w:rsid w:val="00830992"/>
    <w:rsid w:val="00830CBF"/>
    <w:rsid w:val="00830FFD"/>
    <w:rsid w:val="0083120D"/>
    <w:rsid w:val="008312AB"/>
    <w:rsid w:val="00831348"/>
    <w:rsid w:val="00831761"/>
    <w:rsid w:val="00831773"/>
    <w:rsid w:val="00831B37"/>
    <w:rsid w:val="00831DF4"/>
    <w:rsid w:val="00831F2F"/>
    <w:rsid w:val="00831F6C"/>
    <w:rsid w:val="00831FBE"/>
    <w:rsid w:val="0083220F"/>
    <w:rsid w:val="008323FC"/>
    <w:rsid w:val="00832787"/>
    <w:rsid w:val="008327E0"/>
    <w:rsid w:val="008328FE"/>
    <w:rsid w:val="00832B86"/>
    <w:rsid w:val="00832D93"/>
    <w:rsid w:val="00832F43"/>
    <w:rsid w:val="00832FF2"/>
    <w:rsid w:val="00833680"/>
    <w:rsid w:val="008338DB"/>
    <w:rsid w:val="0083398A"/>
    <w:rsid w:val="00833F22"/>
    <w:rsid w:val="008344D6"/>
    <w:rsid w:val="00834629"/>
    <w:rsid w:val="00834AD8"/>
    <w:rsid w:val="00834E65"/>
    <w:rsid w:val="00834F34"/>
    <w:rsid w:val="00834FC4"/>
    <w:rsid w:val="0083502F"/>
    <w:rsid w:val="00835383"/>
    <w:rsid w:val="008354EC"/>
    <w:rsid w:val="0083553C"/>
    <w:rsid w:val="00835686"/>
    <w:rsid w:val="00835781"/>
    <w:rsid w:val="00835C5C"/>
    <w:rsid w:val="00835FA7"/>
    <w:rsid w:val="0083606C"/>
    <w:rsid w:val="00836262"/>
    <w:rsid w:val="0083691C"/>
    <w:rsid w:val="00836A12"/>
    <w:rsid w:val="00836C56"/>
    <w:rsid w:val="00836E3A"/>
    <w:rsid w:val="00836FB7"/>
    <w:rsid w:val="008370E7"/>
    <w:rsid w:val="008371C1"/>
    <w:rsid w:val="00837210"/>
    <w:rsid w:val="008373F9"/>
    <w:rsid w:val="0083751D"/>
    <w:rsid w:val="00837705"/>
    <w:rsid w:val="00837AE2"/>
    <w:rsid w:val="00837B36"/>
    <w:rsid w:val="00837BA5"/>
    <w:rsid w:val="00837BBB"/>
    <w:rsid w:val="00837CC9"/>
    <w:rsid w:val="00837E7D"/>
    <w:rsid w:val="00840021"/>
    <w:rsid w:val="0084019E"/>
    <w:rsid w:val="00840503"/>
    <w:rsid w:val="00840A05"/>
    <w:rsid w:val="00840A40"/>
    <w:rsid w:val="00840AE6"/>
    <w:rsid w:val="00840CCD"/>
    <w:rsid w:val="00840FA7"/>
    <w:rsid w:val="008410AA"/>
    <w:rsid w:val="008411A4"/>
    <w:rsid w:val="008411CE"/>
    <w:rsid w:val="00841213"/>
    <w:rsid w:val="008413C4"/>
    <w:rsid w:val="008416E7"/>
    <w:rsid w:val="008416FB"/>
    <w:rsid w:val="00841814"/>
    <w:rsid w:val="00841E8C"/>
    <w:rsid w:val="00842284"/>
    <w:rsid w:val="0084238D"/>
    <w:rsid w:val="008425A3"/>
    <w:rsid w:val="00842BB3"/>
    <w:rsid w:val="00842C5A"/>
    <w:rsid w:val="00842C6A"/>
    <w:rsid w:val="00842F78"/>
    <w:rsid w:val="00843038"/>
    <w:rsid w:val="00843376"/>
    <w:rsid w:val="008436FD"/>
    <w:rsid w:val="00843899"/>
    <w:rsid w:val="00843A32"/>
    <w:rsid w:val="00843FFF"/>
    <w:rsid w:val="008440E8"/>
    <w:rsid w:val="0084432A"/>
    <w:rsid w:val="008444D2"/>
    <w:rsid w:val="00844616"/>
    <w:rsid w:val="00844681"/>
    <w:rsid w:val="008447DF"/>
    <w:rsid w:val="008448E0"/>
    <w:rsid w:val="00844BA9"/>
    <w:rsid w:val="00844D60"/>
    <w:rsid w:val="00844F97"/>
    <w:rsid w:val="00845361"/>
    <w:rsid w:val="00845443"/>
    <w:rsid w:val="00845737"/>
    <w:rsid w:val="00845971"/>
    <w:rsid w:val="008459EB"/>
    <w:rsid w:val="00845A5B"/>
    <w:rsid w:val="00845C99"/>
    <w:rsid w:val="00845D4F"/>
    <w:rsid w:val="0084641F"/>
    <w:rsid w:val="0084651B"/>
    <w:rsid w:val="00846627"/>
    <w:rsid w:val="00846D35"/>
    <w:rsid w:val="00846DB0"/>
    <w:rsid w:val="008471A0"/>
    <w:rsid w:val="008472B8"/>
    <w:rsid w:val="00847838"/>
    <w:rsid w:val="00847BFA"/>
    <w:rsid w:val="00847CE6"/>
    <w:rsid w:val="00850218"/>
    <w:rsid w:val="0085021A"/>
    <w:rsid w:val="0085023A"/>
    <w:rsid w:val="008502B3"/>
    <w:rsid w:val="0085041E"/>
    <w:rsid w:val="008505EE"/>
    <w:rsid w:val="0085084E"/>
    <w:rsid w:val="00850C82"/>
    <w:rsid w:val="00850F3A"/>
    <w:rsid w:val="008510CB"/>
    <w:rsid w:val="00851101"/>
    <w:rsid w:val="00851289"/>
    <w:rsid w:val="00851571"/>
    <w:rsid w:val="00851828"/>
    <w:rsid w:val="00851916"/>
    <w:rsid w:val="00851D3D"/>
    <w:rsid w:val="00851F41"/>
    <w:rsid w:val="0085222F"/>
    <w:rsid w:val="00852672"/>
    <w:rsid w:val="0085279C"/>
    <w:rsid w:val="008527E8"/>
    <w:rsid w:val="008529A2"/>
    <w:rsid w:val="00852BCF"/>
    <w:rsid w:val="00852BED"/>
    <w:rsid w:val="00852CAC"/>
    <w:rsid w:val="00852E21"/>
    <w:rsid w:val="00852EA2"/>
    <w:rsid w:val="00853402"/>
    <w:rsid w:val="008536D4"/>
    <w:rsid w:val="0085381C"/>
    <w:rsid w:val="008538FD"/>
    <w:rsid w:val="00853A17"/>
    <w:rsid w:val="00853C04"/>
    <w:rsid w:val="008542E8"/>
    <w:rsid w:val="0085431E"/>
    <w:rsid w:val="00854353"/>
    <w:rsid w:val="0085439B"/>
    <w:rsid w:val="00854503"/>
    <w:rsid w:val="0085479B"/>
    <w:rsid w:val="00854D57"/>
    <w:rsid w:val="00854E29"/>
    <w:rsid w:val="00854E4B"/>
    <w:rsid w:val="00854F0E"/>
    <w:rsid w:val="00855052"/>
    <w:rsid w:val="00855304"/>
    <w:rsid w:val="00855964"/>
    <w:rsid w:val="00855BB1"/>
    <w:rsid w:val="00855D9D"/>
    <w:rsid w:val="00855F6E"/>
    <w:rsid w:val="00856199"/>
    <w:rsid w:val="008561E7"/>
    <w:rsid w:val="008565CC"/>
    <w:rsid w:val="00856825"/>
    <w:rsid w:val="00856AA5"/>
    <w:rsid w:val="00856B5D"/>
    <w:rsid w:val="00856BCC"/>
    <w:rsid w:val="008572BF"/>
    <w:rsid w:val="0085742B"/>
    <w:rsid w:val="00857895"/>
    <w:rsid w:val="008579B4"/>
    <w:rsid w:val="00857B0F"/>
    <w:rsid w:val="00857B1F"/>
    <w:rsid w:val="00857D6B"/>
    <w:rsid w:val="008600AA"/>
    <w:rsid w:val="008602CD"/>
    <w:rsid w:val="008604FD"/>
    <w:rsid w:val="008607FB"/>
    <w:rsid w:val="008609A3"/>
    <w:rsid w:val="00860CF5"/>
    <w:rsid w:val="00860D1D"/>
    <w:rsid w:val="00860D39"/>
    <w:rsid w:val="00860EAF"/>
    <w:rsid w:val="00860FEB"/>
    <w:rsid w:val="0086111D"/>
    <w:rsid w:val="00861692"/>
    <w:rsid w:val="00861823"/>
    <w:rsid w:val="008619E0"/>
    <w:rsid w:val="00861CCF"/>
    <w:rsid w:val="00861CE5"/>
    <w:rsid w:val="00861D72"/>
    <w:rsid w:val="00861E81"/>
    <w:rsid w:val="00861EE1"/>
    <w:rsid w:val="0086210D"/>
    <w:rsid w:val="0086217A"/>
    <w:rsid w:val="008621D2"/>
    <w:rsid w:val="00862235"/>
    <w:rsid w:val="008624E6"/>
    <w:rsid w:val="00862514"/>
    <w:rsid w:val="008625C4"/>
    <w:rsid w:val="008625FC"/>
    <w:rsid w:val="00862F4D"/>
    <w:rsid w:val="00862FC6"/>
    <w:rsid w:val="00863214"/>
    <w:rsid w:val="00863660"/>
    <w:rsid w:val="008636D7"/>
    <w:rsid w:val="008637B2"/>
    <w:rsid w:val="008637D8"/>
    <w:rsid w:val="00863967"/>
    <w:rsid w:val="008639A4"/>
    <w:rsid w:val="00863A9F"/>
    <w:rsid w:val="00864002"/>
    <w:rsid w:val="008642FF"/>
    <w:rsid w:val="00864460"/>
    <w:rsid w:val="008645CA"/>
    <w:rsid w:val="00864714"/>
    <w:rsid w:val="00864730"/>
    <w:rsid w:val="00864746"/>
    <w:rsid w:val="00864766"/>
    <w:rsid w:val="00864907"/>
    <w:rsid w:val="008649E8"/>
    <w:rsid w:val="00864FA8"/>
    <w:rsid w:val="008657C1"/>
    <w:rsid w:val="00865821"/>
    <w:rsid w:val="00865897"/>
    <w:rsid w:val="008658C8"/>
    <w:rsid w:val="00865A29"/>
    <w:rsid w:val="00865BAD"/>
    <w:rsid w:val="00865BE0"/>
    <w:rsid w:val="00865D38"/>
    <w:rsid w:val="00865DE6"/>
    <w:rsid w:val="008666A9"/>
    <w:rsid w:val="0086726E"/>
    <w:rsid w:val="0086750B"/>
    <w:rsid w:val="008676FB"/>
    <w:rsid w:val="008677BF"/>
    <w:rsid w:val="0086788B"/>
    <w:rsid w:val="00867A17"/>
    <w:rsid w:val="0087025F"/>
    <w:rsid w:val="008702B5"/>
    <w:rsid w:val="0087051C"/>
    <w:rsid w:val="008706AC"/>
    <w:rsid w:val="00870B12"/>
    <w:rsid w:val="00870D07"/>
    <w:rsid w:val="00870E49"/>
    <w:rsid w:val="00870EE9"/>
    <w:rsid w:val="00870F90"/>
    <w:rsid w:val="00870FB3"/>
    <w:rsid w:val="00871372"/>
    <w:rsid w:val="008718CA"/>
    <w:rsid w:val="00871A6C"/>
    <w:rsid w:val="00871CA9"/>
    <w:rsid w:val="00871E9F"/>
    <w:rsid w:val="00871EFD"/>
    <w:rsid w:val="00871F06"/>
    <w:rsid w:val="00871FC1"/>
    <w:rsid w:val="00872031"/>
    <w:rsid w:val="008721FA"/>
    <w:rsid w:val="008723D6"/>
    <w:rsid w:val="008724F7"/>
    <w:rsid w:val="00872960"/>
    <w:rsid w:val="00872A6F"/>
    <w:rsid w:val="00872ADF"/>
    <w:rsid w:val="00872D42"/>
    <w:rsid w:val="00872D82"/>
    <w:rsid w:val="0087343E"/>
    <w:rsid w:val="0087366E"/>
    <w:rsid w:val="00873A8B"/>
    <w:rsid w:val="00873AFE"/>
    <w:rsid w:val="0087436C"/>
    <w:rsid w:val="0087457F"/>
    <w:rsid w:val="008746F8"/>
    <w:rsid w:val="00874782"/>
    <w:rsid w:val="008748D4"/>
    <w:rsid w:val="00874BC1"/>
    <w:rsid w:val="00874E23"/>
    <w:rsid w:val="00874E24"/>
    <w:rsid w:val="00874E7C"/>
    <w:rsid w:val="00874EAE"/>
    <w:rsid w:val="00874F6E"/>
    <w:rsid w:val="008752FA"/>
    <w:rsid w:val="008754B7"/>
    <w:rsid w:val="00875557"/>
    <w:rsid w:val="0087563C"/>
    <w:rsid w:val="008758A1"/>
    <w:rsid w:val="00875CCB"/>
    <w:rsid w:val="00875DF3"/>
    <w:rsid w:val="00876090"/>
    <w:rsid w:val="0087613D"/>
    <w:rsid w:val="008764BD"/>
    <w:rsid w:val="0087668F"/>
    <w:rsid w:val="00876CAF"/>
    <w:rsid w:val="00876D3A"/>
    <w:rsid w:val="00876E96"/>
    <w:rsid w:val="00877200"/>
    <w:rsid w:val="0087731C"/>
    <w:rsid w:val="0087769C"/>
    <w:rsid w:val="00877A99"/>
    <w:rsid w:val="00877B11"/>
    <w:rsid w:val="00877D82"/>
    <w:rsid w:val="00877E62"/>
    <w:rsid w:val="008800F4"/>
    <w:rsid w:val="008802FD"/>
    <w:rsid w:val="0088036E"/>
    <w:rsid w:val="008804CC"/>
    <w:rsid w:val="008808E5"/>
    <w:rsid w:val="008809D0"/>
    <w:rsid w:val="00880BCF"/>
    <w:rsid w:val="00880C74"/>
    <w:rsid w:val="00880E3D"/>
    <w:rsid w:val="00880E4C"/>
    <w:rsid w:val="00880E88"/>
    <w:rsid w:val="00880FD1"/>
    <w:rsid w:val="008811AD"/>
    <w:rsid w:val="0088122F"/>
    <w:rsid w:val="0088127E"/>
    <w:rsid w:val="008812BB"/>
    <w:rsid w:val="0088133A"/>
    <w:rsid w:val="008815D9"/>
    <w:rsid w:val="0088176C"/>
    <w:rsid w:val="0088178B"/>
    <w:rsid w:val="0088186E"/>
    <w:rsid w:val="00881BC2"/>
    <w:rsid w:val="00881C75"/>
    <w:rsid w:val="008820BA"/>
    <w:rsid w:val="00882323"/>
    <w:rsid w:val="00882483"/>
    <w:rsid w:val="00882546"/>
    <w:rsid w:val="0088274C"/>
    <w:rsid w:val="00882B88"/>
    <w:rsid w:val="00882D47"/>
    <w:rsid w:val="00882D7B"/>
    <w:rsid w:val="00882E17"/>
    <w:rsid w:val="0088307D"/>
    <w:rsid w:val="008830E6"/>
    <w:rsid w:val="00883293"/>
    <w:rsid w:val="008833F3"/>
    <w:rsid w:val="008834D2"/>
    <w:rsid w:val="008838FD"/>
    <w:rsid w:val="00883A30"/>
    <w:rsid w:val="00883B45"/>
    <w:rsid w:val="00884195"/>
    <w:rsid w:val="008843F7"/>
    <w:rsid w:val="0088446E"/>
    <w:rsid w:val="008845B1"/>
    <w:rsid w:val="0088469F"/>
    <w:rsid w:val="00884707"/>
    <w:rsid w:val="00884862"/>
    <w:rsid w:val="008848E1"/>
    <w:rsid w:val="00884D77"/>
    <w:rsid w:val="00884ED4"/>
    <w:rsid w:val="00884F96"/>
    <w:rsid w:val="0088521E"/>
    <w:rsid w:val="00885302"/>
    <w:rsid w:val="00885D01"/>
    <w:rsid w:val="00885D0B"/>
    <w:rsid w:val="00885DED"/>
    <w:rsid w:val="008863EF"/>
    <w:rsid w:val="00886487"/>
    <w:rsid w:val="008869FA"/>
    <w:rsid w:val="00886A00"/>
    <w:rsid w:val="00886B90"/>
    <w:rsid w:val="00886C0D"/>
    <w:rsid w:val="00886E5D"/>
    <w:rsid w:val="00886F6A"/>
    <w:rsid w:val="0088743C"/>
    <w:rsid w:val="00887571"/>
    <w:rsid w:val="00887778"/>
    <w:rsid w:val="00887906"/>
    <w:rsid w:val="00887E8E"/>
    <w:rsid w:val="008900FD"/>
    <w:rsid w:val="00890629"/>
    <w:rsid w:val="00890693"/>
    <w:rsid w:val="00890757"/>
    <w:rsid w:val="00890776"/>
    <w:rsid w:val="008907C0"/>
    <w:rsid w:val="00890C6F"/>
    <w:rsid w:val="008910A0"/>
    <w:rsid w:val="00891147"/>
    <w:rsid w:val="00891210"/>
    <w:rsid w:val="00891226"/>
    <w:rsid w:val="00891424"/>
    <w:rsid w:val="008915C0"/>
    <w:rsid w:val="008916A8"/>
    <w:rsid w:val="0089177D"/>
    <w:rsid w:val="00891864"/>
    <w:rsid w:val="0089186E"/>
    <w:rsid w:val="00891B97"/>
    <w:rsid w:val="00891C0A"/>
    <w:rsid w:val="00891C26"/>
    <w:rsid w:val="00891C3E"/>
    <w:rsid w:val="00892165"/>
    <w:rsid w:val="008923AC"/>
    <w:rsid w:val="008923EB"/>
    <w:rsid w:val="00892575"/>
    <w:rsid w:val="008926B0"/>
    <w:rsid w:val="00892AC4"/>
    <w:rsid w:val="00892CF9"/>
    <w:rsid w:val="00892E39"/>
    <w:rsid w:val="00892EF0"/>
    <w:rsid w:val="0089336C"/>
    <w:rsid w:val="008934E9"/>
    <w:rsid w:val="0089350E"/>
    <w:rsid w:val="00893597"/>
    <w:rsid w:val="008935FA"/>
    <w:rsid w:val="008937C9"/>
    <w:rsid w:val="008937D7"/>
    <w:rsid w:val="00893864"/>
    <w:rsid w:val="0089396D"/>
    <w:rsid w:val="00893B70"/>
    <w:rsid w:val="00893BB8"/>
    <w:rsid w:val="00893C0F"/>
    <w:rsid w:val="00893D27"/>
    <w:rsid w:val="008941C2"/>
    <w:rsid w:val="00894282"/>
    <w:rsid w:val="0089429A"/>
    <w:rsid w:val="0089442D"/>
    <w:rsid w:val="00894608"/>
    <w:rsid w:val="0089469F"/>
    <w:rsid w:val="008946DC"/>
    <w:rsid w:val="008946E0"/>
    <w:rsid w:val="008948F1"/>
    <w:rsid w:val="00894B7B"/>
    <w:rsid w:val="00894BDE"/>
    <w:rsid w:val="00894C72"/>
    <w:rsid w:val="00895026"/>
    <w:rsid w:val="00895480"/>
    <w:rsid w:val="0089554E"/>
    <w:rsid w:val="00895604"/>
    <w:rsid w:val="00895803"/>
    <w:rsid w:val="0089584C"/>
    <w:rsid w:val="00895C30"/>
    <w:rsid w:val="00895F9C"/>
    <w:rsid w:val="00896213"/>
    <w:rsid w:val="00896528"/>
    <w:rsid w:val="008968B6"/>
    <w:rsid w:val="008968D6"/>
    <w:rsid w:val="00896B3A"/>
    <w:rsid w:val="00896C7F"/>
    <w:rsid w:val="00896CEF"/>
    <w:rsid w:val="00896FB3"/>
    <w:rsid w:val="00897069"/>
    <w:rsid w:val="0089712C"/>
    <w:rsid w:val="0089748E"/>
    <w:rsid w:val="00897793"/>
    <w:rsid w:val="008979AC"/>
    <w:rsid w:val="00897B86"/>
    <w:rsid w:val="00897E74"/>
    <w:rsid w:val="00897F48"/>
    <w:rsid w:val="008A0133"/>
    <w:rsid w:val="008A01E2"/>
    <w:rsid w:val="008A023D"/>
    <w:rsid w:val="008A0352"/>
    <w:rsid w:val="008A03FB"/>
    <w:rsid w:val="008A071B"/>
    <w:rsid w:val="008A0B41"/>
    <w:rsid w:val="008A0D35"/>
    <w:rsid w:val="008A0D52"/>
    <w:rsid w:val="008A0EE5"/>
    <w:rsid w:val="008A11F1"/>
    <w:rsid w:val="008A1216"/>
    <w:rsid w:val="008A1302"/>
    <w:rsid w:val="008A1444"/>
    <w:rsid w:val="008A1632"/>
    <w:rsid w:val="008A16FC"/>
    <w:rsid w:val="008A1780"/>
    <w:rsid w:val="008A17BA"/>
    <w:rsid w:val="008A180B"/>
    <w:rsid w:val="008A1847"/>
    <w:rsid w:val="008A1A8B"/>
    <w:rsid w:val="008A1B2C"/>
    <w:rsid w:val="008A1CD1"/>
    <w:rsid w:val="008A2078"/>
    <w:rsid w:val="008A212A"/>
    <w:rsid w:val="008A2257"/>
    <w:rsid w:val="008A2522"/>
    <w:rsid w:val="008A25C9"/>
    <w:rsid w:val="008A25E4"/>
    <w:rsid w:val="008A2A9D"/>
    <w:rsid w:val="008A2DDA"/>
    <w:rsid w:val="008A2E1D"/>
    <w:rsid w:val="008A2E66"/>
    <w:rsid w:val="008A2E7E"/>
    <w:rsid w:val="008A2F00"/>
    <w:rsid w:val="008A3174"/>
    <w:rsid w:val="008A33C3"/>
    <w:rsid w:val="008A343B"/>
    <w:rsid w:val="008A3593"/>
    <w:rsid w:val="008A388C"/>
    <w:rsid w:val="008A38E4"/>
    <w:rsid w:val="008A3A79"/>
    <w:rsid w:val="008A3DB5"/>
    <w:rsid w:val="008A4124"/>
    <w:rsid w:val="008A422A"/>
    <w:rsid w:val="008A4951"/>
    <w:rsid w:val="008A4F36"/>
    <w:rsid w:val="008A4FC8"/>
    <w:rsid w:val="008A524F"/>
    <w:rsid w:val="008A569C"/>
    <w:rsid w:val="008A56B4"/>
    <w:rsid w:val="008A587D"/>
    <w:rsid w:val="008A59F9"/>
    <w:rsid w:val="008A5A02"/>
    <w:rsid w:val="008A5A84"/>
    <w:rsid w:val="008A5C9A"/>
    <w:rsid w:val="008A5D81"/>
    <w:rsid w:val="008A5DB8"/>
    <w:rsid w:val="008A5EA8"/>
    <w:rsid w:val="008A6048"/>
    <w:rsid w:val="008A6167"/>
    <w:rsid w:val="008A626C"/>
    <w:rsid w:val="008A630A"/>
    <w:rsid w:val="008A6501"/>
    <w:rsid w:val="008A6531"/>
    <w:rsid w:val="008A6B56"/>
    <w:rsid w:val="008A6B93"/>
    <w:rsid w:val="008A6F83"/>
    <w:rsid w:val="008A7580"/>
    <w:rsid w:val="008B042B"/>
    <w:rsid w:val="008B05C3"/>
    <w:rsid w:val="008B0ACA"/>
    <w:rsid w:val="008B0EFD"/>
    <w:rsid w:val="008B123C"/>
    <w:rsid w:val="008B1592"/>
    <w:rsid w:val="008B1621"/>
    <w:rsid w:val="008B16FD"/>
    <w:rsid w:val="008B194E"/>
    <w:rsid w:val="008B1C3F"/>
    <w:rsid w:val="008B1F0C"/>
    <w:rsid w:val="008B1F79"/>
    <w:rsid w:val="008B2043"/>
    <w:rsid w:val="008B21D5"/>
    <w:rsid w:val="008B2515"/>
    <w:rsid w:val="008B27ED"/>
    <w:rsid w:val="008B2BDB"/>
    <w:rsid w:val="008B2EE8"/>
    <w:rsid w:val="008B2F62"/>
    <w:rsid w:val="008B32B9"/>
    <w:rsid w:val="008B3547"/>
    <w:rsid w:val="008B358B"/>
    <w:rsid w:val="008B36BB"/>
    <w:rsid w:val="008B3792"/>
    <w:rsid w:val="008B38D5"/>
    <w:rsid w:val="008B3B84"/>
    <w:rsid w:val="008B3C92"/>
    <w:rsid w:val="008B4394"/>
    <w:rsid w:val="008B4752"/>
    <w:rsid w:val="008B48A7"/>
    <w:rsid w:val="008B4965"/>
    <w:rsid w:val="008B4A7F"/>
    <w:rsid w:val="008B4E17"/>
    <w:rsid w:val="008B505A"/>
    <w:rsid w:val="008B5121"/>
    <w:rsid w:val="008B513B"/>
    <w:rsid w:val="008B520A"/>
    <w:rsid w:val="008B5626"/>
    <w:rsid w:val="008B56B0"/>
    <w:rsid w:val="008B5840"/>
    <w:rsid w:val="008B5D05"/>
    <w:rsid w:val="008B60D8"/>
    <w:rsid w:val="008B619B"/>
    <w:rsid w:val="008B61C6"/>
    <w:rsid w:val="008B62E0"/>
    <w:rsid w:val="008B64F4"/>
    <w:rsid w:val="008B6623"/>
    <w:rsid w:val="008B69BF"/>
    <w:rsid w:val="008B6AF9"/>
    <w:rsid w:val="008B6BBD"/>
    <w:rsid w:val="008B6C71"/>
    <w:rsid w:val="008B6F48"/>
    <w:rsid w:val="008B719B"/>
    <w:rsid w:val="008B71A4"/>
    <w:rsid w:val="008B787D"/>
    <w:rsid w:val="008B78B1"/>
    <w:rsid w:val="008B7F81"/>
    <w:rsid w:val="008C0556"/>
    <w:rsid w:val="008C0812"/>
    <w:rsid w:val="008C0CA5"/>
    <w:rsid w:val="008C0CB3"/>
    <w:rsid w:val="008C0CC9"/>
    <w:rsid w:val="008C0F9A"/>
    <w:rsid w:val="008C1055"/>
    <w:rsid w:val="008C11FC"/>
    <w:rsid w:val="008C129F"/>
    <w:rsid w:val="008C139F"/>
    <w:rsid w:val="008C1660"/>
    <w:rsid w:val="008C183F"/>
    <w:rsid w:val="008C1B2D"/>
    <w:rsid w:val="008C1B3D"/>
    <w:rsid w:val="008C1CCF"/>
    <w:rsid w:val="008C1E60"/>
    <w:rsid w:val="008C1F05"/>
    <w:rsid w:val="008C1F58"/>
    <w:rsid w:val="008C2259"/>
    <w:rsid w:val="008C23D6"/>
    <w:rsid w:val="008C2407"/>
    <w:rsid w:val="008C28A2"/>
    <w:rsid w:val="008C2DCE"/>
    <w:rsid w:val="008C3010"/>
    <w:rsid w:val="008C30F1"/>
    <w:rsid w:val="008C3513"/>
    <w:rsid w:val="008C3FEA"/>
    <w:rsid w:val="008C4102"/>
    <w:rsid w:val="008C415D"/>
    <w:rsid w:val="008C42CD"/>
    <w:rsid w:val="008C4436"/>
    <w:rsid w:val="008C44DD"/>
    <w:rsid w:val="008C46B9"/>
    <w:rsid w:val="008C4A99"/>
    <w:rsid w:val="008C4F4D"/>
    <w:rsid w:val="008C5017"/>
    <w:rsid w:val="008C502D"/>
    <w:rsid w:val="008C5109"/>
    <w:rsid w:val="008C5604"/>
    <w:rsid w:val="008C569F"/>
    <w:rsid w:val="008C58E5"/>
    <w:rsid w:val="008C5955"/>
    <w:rsid w:val="008C5AED"/>
    <w:rsid w:val="008C5B97"/>
    <w:rsid w:val="008C5E66"/>
    <w:rsid w:val="008C5EE5"/>
    <w:rsid w:val="008C6176"/>
    <w:rsid w:val="008C6265"/>
    <w:rsid w:val="008C6415"/>
    <w:rsid w:val="008C66AC"/>
    <w:rsid w:val="008C66D2"/>
    <w:rsid w:val="008C6AAB"/>
    <w:rsid w:val="008C6E57"/>
    <w:rsid w:val="008C6E8F"/>
    <w:rsid w:val="008C6EB4"/>
    <w:rsid w:val="008C708B"/>
    <w:rsid w:val="008C730D"/>
    <w:rsid w:val="008C774C"/>
    <w:rsid w:val="008C785A"/>
    <w:rsid w:val="008C7893"/>
    <w:rsid w:val="008C7B24"/>
    <w:rsid w:val="008D0160"/>
    <w:rsid w:val="008D0753"/>
    <w:rsid w:val="008D07A2"/>
    <w:rsid w:val="008D0813"/>
    <w:rsid w:val="008D0865"/>
    <w:rsid w:val="008D097D"/>
    <w:rsid w:val="008D09CE"/>
    <w:rsid w:val="008D0D84"/>
    <w:rsid w:val="008D0E1B"/>
    <w:rsid w:val="008D0F39"/>
    <w:rsid w:val="008D1070"/>
    <w:rsid w:val="008D1150"/>
    <w:rsid w:val="008D11F8"/>
    <w:rsid w:val="008D14D7"/>
    <w:rsid w:val="008D1598"/>
    <w:rsid w:val="008D1825"/>
    <w:rsid w:val="008D19FD"/>
    <w:rsid w:val="008D1AAC"/>
    <w:rsid w:val="008D1ABD"/>
    <w:rsid w:val="008D1C31"/>
    <w:rsid w:val="008D1E9F"/>
    <w:rsid w:val="008D1F7D"/>
    <w:rsid w:val="008D20A1"/>
    <w:rsid w:val="008D2264"/>
    <w:rsid w:val="008D2BA2"/>
    <w:rsid w:val="008D2DA3"/>
    <w:rsid w:val="008D31CE"/>
    <w:rsid w:val="008D344E"/>
    <w:rsid w:val="008D34DA"/>
    <w:rsid w:val="008D3524"/>
    <w:rsid w:val="008D3636"/>
    <w:rsid w:val="008D369F"/>
    <w:rsid w:val="008D3880"/>
    <w:rsid w:val="008D3A0D"/>
    <w:rsid w:val="008D3B88"/>
    <w:rsid w:val="008D3BEE"/>
    <w:rsid w:val="008D3C83"/>
    <w:rsid w:val="008D3EFC"/>
    <w:rsid w:val="008D416C"/>
    <w:rsid w:val="008D434E"/>
    <w:rsid w:val="008D43F5"/>
    <w:rsid w:val="008D44EB"/>
    <w:rsid w:val="008D45A6"/>
    <w:rsid w:val="008D462C"/>
    <w:rsid w:val="008D4A50"/>
    <w:rsid w:val="008D4A66"/>
    <w:rsid w:val="008D4D57"/>
    <w:rsid w:val="008D509C"/>
    <w:rsid w:val="008D51E5"/>
    <w:rsid w:val="008D51F4"/>
    <w:rsid w:val="008D5448"/>
    <w:rsid w:val="008D5559"/>
    <w:rsid w:val="008D5C46"/>
    <w:rsid w:val="008D5C74"/>
    <w:rsid w:val="008D5EC0"/>
    <w:rsid w:val="008D60A7"/>
    <w:rsid w:val="008D621C"/>
    <w:rsid w:val="008D64FB"/>
    <w:rsid w:val="008D6925"/>
    <w:rsid w:val="008D6995"/>
    <w:rsid w:val="008D6A02"/>
    <w:rsid w:val="008D6A29"/>
    <w:rsid w:val="008D78C5"/>
    <w:rsid w:val="008D78E9"/>
    <w:rsid w:val="008D79FB"/>
    <w:rsid w:val="008D7B20"/>
    <w:rsid w:val="008D7C8F"/>
    <w:rsid w:val="008D7CEC"/>
    <w:rsid w:val="008D7E1C"/>
    <w:rsid w:val="008D7F9A"/>
    <w:rsid w:val="008E03FE"/>
    <w:rsid w:val="008E077A"/>
    <w:rsid w:val="008E0AFD"/>
    <w:rsid w:val="008E0C81"/>
    <w:rsid w:val="008E0E3A"/>
    <w:rsid w:val="008E1121"/>
    <w:rsid w:val="008E1382"/>
    <w:rsid w:val="008E1790"/>
    <w:rsid w:val="008E1801"/>
    <w:rsid w:val="008E18A0"/>
    <w:rsid w:val="008E1911"/>
    <w:rsid w:val="008E1C9F"/>
    <w:rsid w:val="008E205A"/>
    <w:rsid w:val="008E2396"/>
    <w:rsid w:val="008E254B"/>
    <w:rsid w:val="008E25D6"/>
    <w:rsid w:val="008E29E8"/>
    <w:rsid w:val="008E2B30"/>
    <w:rsid w:val="008E2FDF"/>
    <w:rsid w:val="008E31A6"/>
    <w:rsid w:val="008E3496"/>
    <w:rsid w:val="008E34F0"/>
    <w:rsid w:val="008E35F3"/>
    <w:rsid w:val="008E3E5A"/>
    <w:rsid w:val="008E3E6D"/>
    <w:rsid w:val="008E3F6F"/>
    <w:rsid w:val="008E4607"/>
    <w:rsid w:val="008E4856"/>
    <w:rsid w:val="008E4AAB"/>
    <w:rsid w:val="008E4C79"/>
    <w:rsid w:val="008E500D"/>
    <w:rsid w:val="008E523E"/>
    <w:rsid w:val="008E5244"/>
    <w:rsid w:val="008E5507"/>
    <w:rsid w:val="008E5700"/>
    <w:rsid w:val="008E5932"/>
    <w:rsid w:val="008E5CE4"/>
    <w:rsid w:val="008E5D75"/>
    <w:rsid w:val="008E5DCA"/>
    <w:rsid w:val="008E5E8B"/>
    <w:rsid w:val="008E6368"/>
    <w:rsid w:val="008E6677"/>
    <w:rsid w:val="008E6D96"/>
    <w:rsid w:val="008E6FE1"/>
    <w:rsid w:val="008E75CF"/>
    <w:rsid w:val="008E77B9"/>
    <w:rsid w:val="008E77CC"/>
    <w:rsid w:val="008E7988"/>
    <w:rsid w:val="008E7BD4"/>
    <w:rsid w:val="008E7CCB"/>
    <w:rsid w:val="008E7E4E"/>
    <w:rsid w:val="008E7F8B"/>
    <w:rsid w:val="008E7F9F"/>
    <w:rsid w:val="008F0015"/>
    <w:rsid w:val="008F011A"/>
    <w:rsid w:val="008F0A95"/>
    <w:rsid w:val="008F0B2B"/>
    <w:rsid w:val="008F0BA3"/>
    <w:rsid w:val="008F0C6B"/>
    <w:rsid w:val="008F0E55"/>
    <w:rsid w:val="008F0F55"/>
    <w:rsid w:val="008F1251"/>
    <w:rsid w:val="008F158C"/>
    <w:rsid w:val="008F168B"/>
    <w:rsid w:val="008F1746"/>
    <w:rsid w:val="008F189E"/>
    <w:rsid w:val="008F2132"/>
    <w:rsid w:val="008F24DC"/>
    <w:rsid w:val="008F2595"/>
    <w:rsid w:val="008F2760"/>
    <w:rsid w:val="008F27CD"/>
    <w:rsid w:val="008F2943"/>
    <w:rsid w:val="008F2976"/>
    <w:rsid w:val="008F2B0C"/>
    <w:rsid w:val="008F2B2F"/>
    <w:rsid w:val="008F2BA6"/>
    <w:rsid w:val="008F2C94"/>
    <w:rsid w:val="008F2FCF"/>
    <w:rsid w:val="008F3111"/>
    <w:rsid w:val="008F345F"/>
    <w:rsid w:val="008F39A8"/>
    <w:rsid w:val="008F3C11"/>
    <w:rsid w:val="008F3CF4"/>
    <w:rsid w:val="008F3FD6"/>
    <w:rsid w:val="008F46C1"/>
    <w:rsid w:val="008F473C"/>
    <w:rsid w:val="008F49B1"/>
    <w:rsid w:val="008F4B11"/>
    <w:rsid w:val="008F4E72"/>
    <w:rsid w:val="008F4FCA"/>
    <w:rsid w:val="008F5017"/>
    <w:rsid w:val="008F5034"/>
    <w:rsid w:val="008F546A"/>
    <w:rsid w:val="008F564E"/>
    <w:rsid w:val="008F567D"/>
    <w:rsid w:val="008F56B6"/>
    <w:rsid w:val="008F5A69"/>
    <w:rsid w:val="008F5C25"/>
    <w:rsid w:val="008F5DC3"/>
    <w:rsid w:val="008F5DD2"/>
    <w:rsid w:val="008F6391"/>
    <w:rsid w:val="008F66C2"/>
    <w:rsid w:val="008F6884"/>
    <w:rsid w:val="008F68C2"/>
    <w:rsid w:val="008F6F1A"/>
    <w:rsid w:val="008F6FB7"/>
    <w:rsid w:val="008F70BB"/>
    <w:rsid w:val="008F7193"/>
    <w:rsid w:val="008F726E"/>
    <w:rsid w:val="008F72D7"/>
    <w:rsid w:val="008F781B"/>
    <w:rsid w:val="008F7833"/>
    <w:rsid w:val="008F7897"/>
    <w:rsid w:val="008F7A67"/>
    <w:rsid w:val="008F7AD5"/>
    <w:rsid w:val="008F7C3A"/>
    <w:rsid w:val="008F7CD3"/>
    <w:rsid w:val="0090010C"/>
    <w:rsid w:val="00900255"/>
    <w:rsid w:val="009003AC"/>
    <w:rsid w:val="009007A1"/>
    <w:rsid w:val="0090084C"/>
    <w:rsid w:val="009012A8"/>
    <w:rsid w:val="0090137A"/>
    <w:rsid w:val="009015DE"/>
    <w:rsid w:val="0090185F"/>
    <w:rsid w:val="00901CFD"/>
    <w:rsid w:val="00901DA7"/>
    <w:rsid w:val="0090254C"/>
    <w:rsid w:val="0090285C"/>
    <w:rsid w:val="00902929"/>
    <w:rsid w:val="00902CCC"/>
    <w:rsid w:val="00902E12"/>
    <w:rsid w:val="00902F1E"/>
    <w:rsid w:val="00902FA5"/>
    <w:rsid w:val="009031A1"/>
    <w:rsid w:val="00903370"/>
    <w:rsid w:val="0090345A"/>
    <w:rsid w:val="0090366D"/>
    <w:rsid w:val="009036D7"/>
    <w:rsid w:val="009036FC"/>
    <w:rsid w:val="00903AEF"/>
    <w:rsid w:val="00903BCE"/>
    <w:rsid w:val="00904001"/>
    <w:rsid w:val="0090440E"/>
    <w:rsid w:val="009044FF"/>
    <w:rsid w:val="00904DAE"/>
    <w:rsid w:val="00904F3B"/>
    <w:rsid w:val="00905045"/>
    <w:rsid w:val="00905246"/>
    <w:rsid w:val="009055BA"/>
    <w:rsid w:val="009055DD"/>
    <w:rsid w:val="009056F6"/>
    <w:rsid w:val="0090595C"/>
    <w:rsid w:val="00905BC0"/>
    <w:rsid w:val="009061D6"/>
    <w:rsid w:val="00906233"/>
    <w:rsid w:val="00906284"/>
    <w:rsid w:val="009062D4"/>
    <w:rsid w:val="0090677E"/>
    <w:rsid w:val="00906808"/>
    <w:rsid w:val="00906CD9"/>
    <w:rsid w:val="00907006"/>
    <w:rsid w:val="0090722F"/>
    <w:rsid w:val="009072F6"/>
    <w:rsid w:val="00907400"/>
    <w:rsid w:val="0090744A"/>
    <w:rsid w:val="009077D8"/>
    <w:rsid w:val="0090792E"/>
    <w:rsid w:val="00907C0B"/>
    <w:rsid w:val="00907C73"/>
    <w:rsid w:val="00907CCD"/>
    <w:rsid w:val="00907D8D"/>
    <w:rsid w:val="00907E1D"/>
    <w:rsid w:val="00907F87"/>
    <w:rsid w:val="0091009A"/>
    <w:rsid w:val="0091033C"/>
    <w:rsid w:val="00910E0D"/>
    <w:rsid w:val="00910F3D"/>
    <w:rsid w:val="0091120B"/>
    <w:rsid w:val="009119E5"/>
    <w:rsid w:val="00911A1E"/>
    <w:rsid w:val="00911A9F"/>
    <w:rsid w:val="00911AAF"/>
    <w:rsid w:val="00911E1A"/>
    <w:rsid w:val="00912039"/>
    <w:rsid w:val="0091212C"/>
    <w:rsid w:val="00912227"/>
    <w:rsid w:val="009124D8"/>
    <w:rsid w:val="009125F8"/>
    <w:rsid w:val="00912634"/>
    <w:rsid w:val="00912B75"/>
    <w:rsid w:val="00912C84"/>
    <w:rsid w:val="009132C0"/>
    <w:rsid w:val="009133DD"/>
    <w:rsid w:val="0091349A"/>
    <w:rsid w:val="0091355E"/>
    <w:rsid w:val="009137A2"/>
    <w:rsid w:val="009138F5"/>
    <w:rsid w:val="00913912"/>
    <w:rsid w:val="00913A04"/>
    <w:rsid w:val="00913AAA"/>
    <w:rsid w:val="00913EE4"/>
    <w:rsid w:val="00913FA4"/>
    <w:rsid w:val="00914399"/>
    <w:rsid w:val="00914402"/>
    <w:rsid w:val="009145DF"/>
    <w:rsid w:val="009147A3"/>
    <w:rsid w:val="00914941"/>
    <w:rsid w:val="00914A3B"/>
    <w:rsid w:val="00914B10"/>
    <w:rsid w:val="00914D7D"/>
    <w:rsid w:val="009151FB"/>
    <w:rsid w:val="0091530C"/>
    <w:rsid w:val="00915335"/>
    <w:rsid w:val="00915385"/>
    <w:rsid w:val="00915768"/>
    <w:rsid w:val="009158BF"/>
    <w:rsid w:val="00915967"/>
    <w:rsid w:val="00915B54"/>
    <w:rsid w:val="00915C12"/>
    <w:rsid w:val="00915EBA"/>
    <w:rsid w:val="0091649F"/>
    <w:rsid w:val="009165A0"/>
    <w:rsid w:val="00916684"/>
    <w:rsid w:val="009167B6"/>
    <w:rsid w:val="00916A32"/>
    <w:rsid w:val="00916A37"/>
    <w:rsid w:val="00916CA8"/>
    <w:rsid w:val="00916D26"/>
    <w:rsid w:val="009171B3"/>
    <w:rsid w:val="00917713"/>
    <w:rsid w:val="00917910"/>
    <w:rsid w:val="0091796D"/>
    <w:rsid w:val="00917A60"/>
    <w:rsid w:val="00917C89"/>
    <w:rsid w:val="00917F93"/>
    <w:rsid w:val="009206F4"/>
    <w:rsid w:val="00920AD2"/>
    <w:rsid w:val="00920C11"/>
    <w:rsid w:val="00920D75"/>
    <w:rsid w:val="00920E52"/>
    <w:rsid w:val="00920F39"/>
    <w:rsid w:val="009211C0"/>
    <w:rsid w:val="00921319"/>
    <w:rsid w:val="00921417"/>
    <w:rsid w:val="00921862"/>
    <w:rsid w:val="00921BDB"/>
    <w:rsid w:val="00921D35"/>
    <w:rsid w:val="00921DC9"/>
    <w:rsid w:val="00921E0B"/>
    <w:rsid w:val="0092238A"/>
    <w:rsid w:val="009223B2"/>
    <w:rsid w:val="00922D75"/>
    <w:rsid w:val="00922E34"/>
    <w:rsid w:val="00922F77"/>
    <w:rsid w:val="0092308B"/>
    <w:rsid w:val="009230A5"/>
    <w:rsid w:val="009233BE"/>
    <w:rsid w:val="009234A6"/>
    <w:rsid w:val="0092393A"/>
    <w:rsid w:val="009239CE"/>
    <w:rsid w:val="00923A09"/>
    <w:rsid w:val="00923BEB"/>
    <w:rsid w:val="00923EB8"/>
    <w:rsid w:val="00923FC8"/>
    <w:rsid w:val="00924147"/>
    <w:rsid w:val="009247E5"/>
    <w:rsid w:val="00924AD7"/>
    <w:rsid w:val="00924CB8"/>
    <w:rsid w:val="00924D57"/>
    <w:rsid w:val="00924EA6"/>
    <w:rsid w:val="0092535B"/>
    <w:rsid w:val="009259B3"/>
    <w:rsid w:val="00925A07"/>
    <w:rsid w:val="00925B56"/>
    <w:rsid w:val="00925EA5"/>
    <w:rsid w:val="00925F5C"/>
    <w:rsid w:val="009260B4"/>
    <w:rsid w:val="0092620B"/>
    <w:rsid w:val="0092650B"/>
    <w:rsid w:val="00926948"/>
    <w:rsid w:val="009269A3"/>
    <w:rsid w:val="00926B7E"/>
    <w:rsid w:val="00926E93"/>
    <w:rsid w:val="00927113"/>
    <w:rsid w:val="009272B1"/>
    <w:rsid w:val="00927792"/>
    <w:rsid w:val="009278B0"/>
    <w:rsid w:val="00927A99"/>
    <w:rsid w:val="00927D36"/>
    <w:rsid w:val="00927E7A"/>
    <w:rsid w:val="00927F25"/>
    <w:rsid w:val="0093003A"/>
    <w:rsid w:val="009302BF"/>
    <w:rsid w:val="00930539"/>
    <w:rsid w:val="0093068F"/>
    <w:rsid w:val="009306E5"/>
    <w:rsid w:val="009307EB"/>
    <w:rsid w:val="00930868"/>
    <w:rsid w:val="00930DD0"/>
    <w:rsid w:val="00930E94"/>
    <w:rsid w:val="00931200"/>
    <w:rsid w:val="00931226"/>
    <w:rsid w:val="009312E5"/>
    <w:rsid w:val="00931747"/>
    <w:rsid w:val="009318C4"/>
    <w:rsid w:val="00931B2A"/>
    <w:rsid w:val="00931D91"/>
    <w:rsid w:val="00931F1C"/>
    <w:rsid w:val="0093241E"/>
    <w:rsid w:val="009324D5"/>
    <w:rsid w:val="00932742"/>
    <w:rsid w:val="00932C59"/>
    <w:rsid w:val="00932D9E"/>
    <w:rsid w:val="00932EFC"/>
    <w:rsid w:val="009334F8"/>
    <w:rsid w:val="00933571"/>
    <w:rsid w:val="00933714"/>
    <w:rsid w:val="0093385D"/>
    <w:rsid w:val="00933DCF"/>
    <w:rsid w:val="00933DE7"/>
    <w:rsid w:val="00933E00"/>
    <w:rsid w:val="00933E08"/>
    <w:rsid w:val="009340A2"/>
    <w:rsid w:val="009342FC"/>
    <w:rsid w:val="00934404"/>
    <w:rsid w:val="00934446"/>
    <w:rsid w:val="009344A6"/>
    <w:rsid w:val="009346FD"/>
    <w:rsid w:val="00934945"/>
    <w:rsid w:val="00934C76"/>
    <w:rsid w:val="0093522F"/>
    <w:rsid w:val="00935399"/>
    <w:rsid w:val="009356D2"/>
    <w:rsid w:val="0093597D"/>
    <w:rsid w:val="00935AE7"/>
    <w:rsid w:val="00935AE8"/>
    <w:rsid w:val="00935DA5"/>
    <w:rsid w:val="00935E7C"/>
    <w:rsid w:val="00935FF1"/>
    <w:rsid w:val="00936017"/>
    <w:rsid w:val="00936068"/>
    <w:rsid w:val="00936157"/>
    <w:rsid w:val="00936426"/>
    <w:rsid w:val="0093658F"/>
    <w:rsid w:val="009365A6"/>
    <w:rsid w:val="009365DC"/>
    <w:rsid w:val="00936646"/>
    <w:rsid w:val="009369DD"/>
    <w:rsid w:val="00936A26"/>
    <w:rsid w:val="00936D88"/>
    <w:rsid w:val="00937068"/>
    <w:rsid w:val="00937566"/>
    <w:rsid w:val="0093758C"/>
    <w:rsid w:val="009375E4"/>
    <w:rsid w:val="00937780"/>
    <w:rsid w:val="00937804"/>
    <w:rsid w:val="00937D22"/>
    <w:rsid w:val="00937D5A"/>
    <w:rsid w:val="00937ED5"/>
    <w:rsid w:val="00940037"/>
    <w:rsid w:val="00940199"/>
    <w:rsid w:val="0094057B"/>
    <w:rsid w:val="009408E7"/>
    <w:rsid w:val="009409B2"/>
    <w:rsid w:val="009411FE"/>
    <w:rsid w:val="00941409"/>
    <w:rsid w:val="009414DB"/>
    <w:rsid w:val="00941552"/>
    <w:rsid w:val="00941659"/>
    <w:rsid w:val="00941859"/>
    <w:rsid w:val="00942068"/>
    <w:rsid w:val="009421C6"/>
    <w:rsid w:val="00942263"/>
    <w:rsid w:val="009423A8"/>
    <w:rsid w:val="009424AE"/>
    <w:rsid w:val="009424F1"/>
    <w:rsid w:val="00942612"/>
    <w:rsid w:val="009427CE"/>
    <w:rsid w:val="00942974"/>
    <w:rsid w:val="009429C2"/>
    <w:rsid w:val="009429D4"/>
    <w:rsid w:val="00942ADD"/>
    <w:rsid w:val="00942B5B"/>
    <w:rsid w:val="009433B6"/>
    <w:rsid w:val="00943418"/>
    <w:rsid w:val="009434EA"/>
    <w:rsid w:val="00943541"/>
    <w:rsid w:val="00943771"/>
    <w:rsid w:val="00943806"/>
    <w:rsid w:val="00943C5A"/>
    <w:rsid w:val="00943C87"/>
    <w:rsid w:val="00943D0F"/>
    <w:rsid w:val="00943E32"/>
    <w:rsid w:val="00943E86"/>
    <w:rsid w:val="00944A9B"/>
    <w:rsid w:val="00944BE5"/>
    <w:rsid w:val="00944C44"/>
    <w:rsid w:val="00944FC5"/>
    <w:rsid w:val="009450DE"/>
    <w:rsid w:val="0094539A"/>
    <w:rsid w:val="0094543E"/>
    <w:rsid w:val="009456E8"/>
    <w:rsid w:val="00945940"/>
    <w:rsid w:val="009459B7"/>
    <w:rsid w:val="009459D2"/>
    <w:rsid w:val="00946351"/>
    <w:rsid w:val="00946378"/>
    <w:rsid w:val="009466B2"/>
    <w:rsid w:val="009468B3"/>
    <w:rsid w:val="009468DD"/>
    <w:rsid w:val="00946B2A"/>
    <w:rsid w:val="009473E3"/>
    <w:rsid w:val="009473F4"/>
    <w:rsid w:val="009475F0"/>
    <w:rsid w:val="009475F6"/>
    <w:rsid w:val="00947B35"/>
    <w:rsid w:val="00950356"/>
    <w:rsid w:val="00950369"/>
    <w:rsid w:val="00950384"/>
    <w:rsid w:val="009504D0"/>
    <w:rsid w:val="009506A9"/>
    <w:rsid w:val="009508C7"/>
    <w:rsid w:val="00950B7A"/>
    <w:rsid w:val="00950D7A"/>
    <w:rsid w:val="00950E2B"/>
    <w:rsid w:val="00950E3B"/>
    <w:rsid w:val="00951059"/>
    <w:rsid w:val="009512CB"/>
    <w:rsid w:val="00951379"/>
    <w:rsid w:val="009517CC"/>
    <w:rsid w:val="009519DC"/>
    <w:rsid w:val="00951B74"/>
    <w:rsid w:val="00952104"/>
    <w:rsid w:val="00952227"/>
    <w:rsid w:val="00952258"/>
    <w:rsid w:val="00952B6D"/>
    <w:rsid w:val="00952F75"/>
    <w:rsid w:val="00953069"/>
    <w:rsid w:val="0095330C"/>
    <w:rsid w:val="00953751"/>
    <w:rsid w:val="00953834"/>
    <w:rsid w:val="0095383E"/>
    <w:rsid w:val="00953B2A"/>
    <w:rsid w:val="00953BDA"/>
    <w:rsid w:val="00953C94"/>
    <w:rsid w:val="00953E2A"/>
    <w:rsid w:val="00953E47"/>
    <w:rsid w:val="00953F71"/>
    <w:rsid w:val="0095434B"/>
    <w:rsid w:val="0095435D"/>
    <w:rsid w:val="0095459D"/>
    <w:rsid w:val="00954826"/>
    <w:rsid w:val="009548AF"/>
    <w:rsid w:val="00954909"/>
    <w:rsid w:val="00954D7D"/>
    <w:rsid w:val="00954F51"/>
    <w:rsid w:val="0095570D"/>
    <w:rsid w:val="009558C2"/>
    <w:rsid w:val="009558F4"/>
    <w:rsid w:val="00955BA3"/>
    <w:rsid w:val="00955E2F"/>
    <w:rsid w:val="00955F62"/>
    <w:rsid w:val="00956130"/>
    <w:rsid w:val="009562FF"/>
    <w:rsid w:val="009563D4"/>
    <w:rsid w:val="00956578"/>
    <w:rsid w:val="009567C0"/>
    <w:rsid w:val="00956E55"/>
    <w:rsid w:val="0095706A"/>
    <w:rsid w:val="00957204"/>
    <w:rsid w:val="00957458"/>
    <w:rsid w:val="009575EB"/>
    <w:rsid w:val="009576F0"/>
    <w:rsid w:val="00957C52"/>
    <w:rsid w:val="00957DC1"/>
    <w:rsid w:val="00960004"/>
    <w:rsid w:val="00960014"/>
    <w:rsid w:val="009600B9"/>
    <w:rsid w:val="00960197"/>
    <w:rsid w:val="0096027E"/>
    <w:rsid w:val="00960359"/>
    <w:rsid w:val="009603E3"/>
    <w:rsid w:val="00960699"/>
    <w:rsid w:val="009607DB"/>
    <w:rsid w:val="00960DAA"/>
    <w:rsid w:val="00960FEE"/>
    <w:rsid w:val="0096138F"/>
    <w:rsid w:val="00961542"/>
    <w:rsid w:val="009615D4"/>
    <w:rsid w:val="00961673"/>
    <w:rsid w:val="009617A7"/>
    <w:rsid w:val="009617D2"/>
    <w:rsid w:val="00961A56"/>
    <w:rsid w:val="00961F8D"/>
    <w:rsid w:val="009623EE"/>
    <w:rsid w:val="00962741"/>
    <w:rsid w:val="00962765"/>
    <w:rsid w:val="00962905"/>
    <w:rsid w:val="00962C83"/>
    <w:rsid w:val="00962D2D"/>
    <w:rsid w:val="00962F3C"/>
    <w:rsid w:val="00963069"/>
    <w:rsid w:val="00963217"/>
    <w:rsid w:val="0096360B"/>
    <w:rsid w:val="00963665"/>
    <w:rsid w:val="00963846"/>
    <w:rsid w:val="0096395C"/>
    <w:rsid w:val="009639C5"/>
    <w:rsid w:val="00963A6D"/>
    <w:rsid w:val="00963D08"/>
    <w:rsid w:val="00963D55"/>
    <w:rsid w:val="00963D88"/>
    <w:rsid w:val="00963E58"/>
    <w:rsid w:val="00963FAD"/>
    <w:rsid w:val="009642A7"/>
    <w:rsid w:val="009642FA"/>
    <w:rsid w:val="0096449B"/>
    <w:rsid w:val="00964632"/>
    <w:rsid w:val="009646DC"/>
    <w:rsid w:val="009649A1"/>
    <w:rsid w:val="00964B10"/>
    <w:rsid w:val="00964B7E"/>
    <w:rsid w:val="00964C2E"/>
    <w:rsid w:val="00964D7A"/>
    <w:rsid w:val="00964F3B"/>
    <w:rsid w:val="00965012"/>
    <w:rsid w:val="00965177"/>
    <w:rsid w:val="009651C1"/>
    <w:rsid w:val="00965272"/>
    <w:rsid w:val="009653CC"/>
    <w:rsid w:val="00965405"/>
    <w:rsid w:val="009654AB"/>
    <w:rsid w:val="00965798"/>
    <w:rsid w:val="00965C67"/>
    <w:rsid w:val="00965FBC"/>
    <w:rsid w:val="0096606D"/>
    <w:rsid w:val="00966141"/>
    <w:rsid w:val="0096648C"/>
    <w:rsid w:val="009664C8"/>
    <w:rsid w:val="009665BD"/>
    <w:rsid w:val="00966785"/>
    <w:rsid w:val="009669C9"/>
    <w:rsid w:val="00966ABA"/>
    <w:rsid w:val="00966BC4"/>
    <w:rsid w:val="009671C1"/>
    <w:rsid w:val="009675E2"/>
    <w:rsid w:val="00967C0D"/>
    <w:rsid w:val="00967C6F"/>
    <w:rsid w:val="00967E17"/>
    <w:rsid w:val="00970095"/>
    <w:rsid w:val="009706A3"/>
    <w:rsid w:val="009706CE"/>
    <w:rsid w:val="00970820"/>
    <w:rsid w:val="00970A20"/>
    <w:rsid w:val="00970AB9"/>
    <w:rsid w:val="00970AC9"/>
    <w:rsid w:val="00970CB5"/>
    <w:rsid w:val="00970CCB"/>
    <w:rsid w:val="00970D89"/>
    <w:rsid w:val="00970F2D"/>
    <w:rsid w:val="00970FAA"/>
    <w:rsid w:val="00971174"/>
    <w:rsid w:val="00971444"/>
    <w:rsid w:val="0097163D"/>
    <w:rsid w:val="00971873"/>
    <w:rsid w:val="00971B79"/>
    <w:rsid w:val="009721F8"/>
    <w:rsid w:val="0097266A"/>
    <w:rsid w:val="00972B35"/>
    <w:rsid w:val="00972C7B"/>
    <w:rsid w:val="00972F1B"/>
    <w:rsid w:val="00972F95"/>
    <w:rsid w:val="009731B4"/>
    <w:rsid w:val="009731B6"/>
    <w:rsid w:val="009731CD"/>
    <w:rsid w:val="0097324D"/>
    <w:rsid w:val="009733F8"/>
    <w:rsid w:val="00973976"/>
    <w:rsid w:val="00973BF2"/>
    <w:rsid w:val="00973E14"/>
    <w:rsid w:val="00973F1A"/>
    <w:rsid w:val="0097406F"/>
    <w:rsid w:val="0097421D"/>
    <w:rsid w:val="00974416"/>
    <w:rsid w:val="00974677"/>
    <w:rsid w:val="009746DF"/>
    <w:rsid w:val="00974852"/>
    <w:rsid w:val="00974B8E"/>
    <w:rsid w:val="00974E9B"/>
    <w:rsid w:val="0097506B"/>
    <w:rsid w:val="00975072"/>
    <w:rsid w:val="00975186"/>
    <w:rsid w:val="0097574D"/>
    <w:rsid w:val="009757F4"/>
    <w:rsid w:val="00975871"/>
    <w:rsid w:val="00975CF7"/>
    <w:rsid w:val="00975D4A"/>
    <w:rsid w:val="00975D6F"/>
    <w:rsid w:val="00975E26"/>
    <w:rsid w:val="00976023"/>
    <w:rsid w:val="0097605E"/>
    <w:rsid w:val="00976061"/>
    <w:rsid w:val="0097606C"/>
    <w:rsid w:val="009760D9"/>
    <w:rsid w:val="00976641"/>
    <w:rsid w:val="00976E4A"/>
    <w:rsid w:val="00977205"/>
    <w:rsid w:val="00977391"/>
    <w:rsid w:val="0097740A"/>
    <w:rsid w:val="0097768C"/>
    <w:rsid w:val="00977730"/>
    <w:rsid w:val="00977806"/>
    <w:rsid w:val="00977A76"/>
    <w:rsid w:val="00977B93"/>
    <w:rsid w:val="00977F47"/>
    <w:rsid w:val="00977F74"/>
    <w:rsid w:val="00980218"/>
    <w:rsid w:val="00980365"/>
    <w:rsid w:val="009803CC"/>
    <w:rsid w:val="009803F2"/>
    <w:rsid w:val="00980461"/>
    <w:rsid w:val="0098047E"/>
    <w:rsid w:val="009804AA"/>
    <w:rsid w:val="00980926"/>
    <w:rsid w:val="00980BD6"/>
    <w:rsid w:val="00980F87"/>
    <w:rsid w:val="00980FB0"/>
    <w:rsid w:val="00981057"/>
    <w:rsid w:val="00981193"/>
    <w:rsid w:val="009812F6"/>
    <w:rsid w:val="00981534"/>
    <w:rsid w:val="00981596"/>
    <w:rsid w:val="00981C16"/>
    <w:rsid w:val="00982071"/>
    <w:rsid w:val="009820D5"/>
    <w:rsid w:val="00982C66"/>
    <w:rsid w:val="00982DD4"/>
    <w:rsid w:val="00982F60"/>
    <w:rsid w:val="00983114"/>
    <w:rsid w:val="009831F8"/>
    <w:rsid w:val="00983371"/>
    <w:rsid w:val="00983695"/>
    <w:rsid w:val="009838B3"/>
    <w:rsid w:val="00983A9E"/>
    <w:rsid w:val="00983EDD"/>
    <w:rsid w:val="00984263"/>
    <w:rsid w:val="009842A1"/>
    <w:rsid w:val="00984346"/>
    <w:rsid w:val="00984863"/>
    <w:rsid w:val="00984A83"/>
    <w:rsid w:val="00984E32"/>
    <w:rsid w:val="00984FB7"/>
    <w:rsid w:val="009851D2"/>
    <w:rsid w:val="00985288"/>
    <w:rsid w:val="0098570B"/>
    <w:rsid w:val="0098571A"/>
    <w:rsid w:val="00985990"/>
    <w:rsid w:val="00985AB2"/>
    <w:rsid w:val="00985AE7"/>
    <w:rsid w:val="00985C08"/>
    <w:rsid w:val="00985FB9"/>
    <w:rsid w:val="00986125"/>
    <w:rsid w:val="00986328"/>
    <w:rsid w:val="009864AF"/>
    <w:rsid w:val="0098663A"/>
    <w:rsid w:val="00986B25"/>
    <w:rsid w:val="00986D0F"/>
    <w:rsid w:val="00986E4E"/>
    <w:rsid w:val="00986FDF"/>
    <w:rsid w:val="00986FFE"/>
    <w:rsid w:val="0098702E"/>
    <w:rsid w:val="009870AF"/>
    <w:rsid w:val="0098718B"/>
    <w:rsid w:val="00987BED"/>
    <w:rsid w:val="00987D1A"/>
    <w:rsid w:val="00987D3B"/>
    <w:rsid w:val="00987D9B"/>
    <w:rsid w:val="00987E11"/>
    <w:rsid w:val="00987F96"/>
    <w:rsid w:val="00990054"/>
    <w:rsid w:val="00990081"/>
    <w:rsid w:val="0099010B"/>
    <w:rsid w:val="0099013D"/>
    <w:rsid w:val="009901F4"/>
    <w:rsid w:val="0099049A"/>
    <w:rsid w:val="009906AB"/>
    <w:rsid w:val="009907FF"/>
    <w:rsid w:val="00990A30"/>
    <w:rsid w:val="00990FAD"/>
    <w:rsid w:val="0099120B"/>
    <w:rsid w:val="0099150D"/>
    <w:rsid w:val="009917C4"/>
    <w:rsid w:val="009917CB"/>
    <w:rsid w:val="0099197C"/>
    <w:rsid w:val="0099216E"/>
    <w:rsid w:val="00992171"/>
    <w:rsid w:val="0099219B"/>
    <w:rsid w:val="00992273"/>
    <w:rsid w:val="009922DD"/>
    <w:rsid w:val="00992359"/>
    <w:rsid w:val="00992445"/>
    <w:rsid w:val="00992656"/>
    <w:rsid w:val="00992C88"/>
    <w:rsid w:val="00992CCC"/>
    <w:rsid w:val="00992F0A"/>
    <w:rsid w:val="00992FD3"/>
    <w:rsid w:val="00993064"/>
    <w:rsid w:val="009933AE"/>
    <w:rsid w:val="009933EE"/>
    <w:rsid w:val="00993474"/>
    <w:rsid w:val="00993506"/>
    <w:rsid w:val="009936A1"/>
    <w:rsid w:val="0099389A"/>
    <w:rsid w:val="009938F3"/>
    <w:rsid w:val="00993C9F"/>
    <w:rsid w:val="00993D77"/>
    <w:rsid w:val="00993E26"/>
    <w:rsid w:val="00993FDE"/>
    <w:rsid w:val="009940B4"/>
    <w:rsid w:val="009940BC"/>
    <w:rsid w:val="009941E3"/>
    <w:rsid w:val="00994230"/>
    <w:rsid w:val="00994360"/>
    <w:rsid w:val="00994384"/>
    <w:rsid w:val="00994FC3"/>
    <w:rsid w:val="009950C1"/>
    <w:rsid w:val="00995363"/>
    <w:rsid w:val="009954E8"/>
    <w:rsid w:val="00995696"/>
    <w:rsid w:val="0099590A"/>
    <w:rsid w:val="00995B39"/>
    <w:rsid w:val="00995B4E"/>
    <w:rsid w:val="00995CA2"/>
    <w:rsid w:val="0099603B"/>
    <w:rsid w:val="009965CA"/>
    <w:rsid w:val="0099660C"/>
    <w:rsid w:val="009966F8"/>
    <w:rsid w:val="00996806"/>
    <w:rsid w:val="0099692C"/>
    <w:rsid w:val="009969C3"/>
    <w:rsid w:val="00996A56"/>
    <w:rsid w:val="00996AAF"/>
    <w:rsid w:val="00996E9E"/>
    <w:rsid w:val="00996EC9"/>
    <w:rsid w:val="00996ED2"/>
    <w:rsid w:val="00997016"/>
    <w:rsid w:val="0099745C"/>
    <w:rsid w:val="00997468"/>
    <w:rsid w:val="009974AC"/>
    <w:rsid w:val="009975D4"/>
    <w:rsid w:val="00997CDA"/>
    <w:rsid w:val="00997F78"/>
    <w:rsid w:val="009A02D2"/>
    <w:rsid w:val="009A04F4"/>
    <w:rsid w:val="009A0543"/>
    <w:rsid w:val="009A05A6"/>
    <w:rsid w:val="009A06BA"/>
    <w:rsid w:val="009A0844"/>
    <w:rsid w:val="009A0A13"/>
    <w:rsid w:val="009A0DCA"/>
    <w:rsid w:val="009A0E6D"/>
    <w:rsid w:val="009A10DE"/>
    <w:rsid w:val="009A1178"/>
    <w:rsid w:val="009A11BC"/>
    <w:rsid w:val="009A14B7"/>
    <w:rsid w:val="009A182F"/>
    <w:rsid w:val="009A18BD"/>
    <w:rsid w:val="009A1A6E"/>
    <w:rsid w:val="009A1AD5"/>
    <w:rsid w:val="009A1DA1"/>
    <w:rsid w:val="009A1EA4"/>
    <w:rsid w:val="009A20B3"/>
    <w:rsid w:val="009A2516"/>
    <w:rsid w:val="009A2789"/>
    <w:rsid w:val="009A27E9"/>
    <w:rsid w:val="009A2924"/>
    <w:rsid w:val="009A296D"/>
    <w:rsid w:val="009A2A24"/>
    <w:rsid w:val="009A2A43"/>
    <w:rsid w:val="009A2A68"/>
    <w:rsid w:val="009A2AC7"/>
    <w:rsid w:val="009A2F17"/>
    <w:rsid w:val="009A3012"/>
    <w:rsid w:val="009A3897"/>
    <w:rsid w:val="009A399A"/>
    <w:rsid w:val="009A3AB5"/>
    <w:rsid w:val="009A3C2B"/>
    <w:rsid w:val="009A3D59"/>
    <w:rsid w:val="009A3DC7"/>
    <w:rsid w:val="009A4174"/>
    <w:rsid w:val="009A420C"/>
    <w:rsid w:val="009A435D"/>
    <w:rsid w:val="009A4383"/>
    <w:rsid w:val="009A4597"/>
    <w:rsid w:val="009A4812"/>
    <w:rsid w:val="009A4A5C"/>
    <w:rsid w:val="009A4C9F"/>
    <w:rsid w:val="009A51FB"/>
    <w:rsid w:val="009A54B4"/>
    <w:rsid w:val="009A54D6"/>
    <w:rsid w:val="009A5757"/>
    <w:rsid w:val="009A595F"/>
    <w:rsid w:val="009A59F8"/>
    <w:rsid w:val="009A5D5D"/>
    <w:rsid w:val="009A5D70"/>
    <w:rsid w:val="009A5DA0"/>
    <w:rsid w:val="009A5F94"/>
    <w:rsid w:val="009A5FB8"/>
    <w:rsid w:val="009A63C7"/>
    <w:rsid w:val="009A6525"/>
    <w:rsid w:val="009A6876"/>
    <w:rsid w:val="009A6A27"/>
    <w:rsid w:val="009A6A84"/>
    <w:rsid w:val="009A6C2C"/>
    <w:rsid w:val="009A6E52"/>
    <w:rsid w:val="009A7267"/>
    <w:rsid w:val="009A73E0"/>
    <w:rsid w:val="009A76E4"/>
    <w:rsid w:val="009A7A93"/>
    <w:rsid w:val="009A7E9E"/>
    <w:rsid w:val="009A7EB4"/>
    <w:rsid w:val="009A7F08"/>
    <w:rsid w:val="009A7FA8"/>
    <w:rsid w:val="009A7FBD"/>
    <w:rsid w:val="009B0142"/>
    <w:rsid w:val="009B01A5"/>
    <w:rsid w:val="009B027C"/>
    <w:rsid w:val="009B03D0"/>
    <w:rsid w:val="009B0490"/>
    <w:rsid w:val="009B0735"/>
    <w:rsid w:val="009B0747"/>
    <w:rsid w:val="009B0870"/>
    <w:rsid w:val="009B08F4"/>
    <w:rsid w:val="009B092D"/>
    <w:rsid w:val="009B09AA"/>
    <w:rsid w:val="009B0B3B"/>
    <w:rsid w:val="009B0C43"/>
    <w:rsid w:val="009B0CE5"/>
    <w:rsid w:val="009B0E5B"/>
    <w:rsid w:val="009B0EFA"/>
    <w:rsid w:val="009B1351"/>
    <w:rsid w:val="009B1B2F"/>
    <w:rsid w:val="009B1C5D"/>
    <w:rsid w:val="009B1D64"/>
    <w:rsid w:val="009B1FF9"/>
    <w:rsid w:val="009B2020"/>
    <w:rsid w:val="009B2141"/>
    <w:rsid w:val="009B2236"/>
    <w:rsid w:val="009B24B1"/>
    <w:rsid w:val="009B24B2"/>
    <w:rsid w:val="009B274A"/>
    <w:rsid w:val="009B27C6"/>
    <w:rsid w:val="009B29DC"/>
    <w:rsid w:val="009B2A99"/>
    <w:rsid w:val="009B2BED"/>
    <w:rsid w:val="009B2E44"/>
    <w:rsid w:val="009B2E4F"/>
    <w:rsid w:val="009B2FE6"/>
    <w:rsid w:val="009B31DA"/>
    <w:rsid w:val="009B359C"/>
    <w:rsid w:val="009B3718"/>
    <w:rsid w:val="009B3908"/>
    <w:rsid w:val="009B395A"/>
    <w:rsid w:val="009B39CA"/>
    <w:rsid w:val="009B3B53"/>
    <w:rsid w:val="009B40F5"/>
    <w:rsid w:val="009B44C5"/>
    <w:rsid w:val="009B4691"/>
    <w:rsid w:val="009B4D53"/>
    <w:rsid w:val="009B4FBF"/>
    <w:rsid w:val="009B534C"/>
    <w:rsid w:val="009B564C"/>
    <w:rsid w:val="009B568A"/>
    <w:rsid w:val="009B5802"/>
    <w:rsid w:val="009B5A67"/>
    <w:rsid w:val="009B5B2A"/>
    <w:rsid w:val="009B5E73"/>
    <w:rsid w:val="009B600B"/>
    <w:rsid w:val="009B617A"/>
    <w:rsid w:val="009B6670"/>
    <w:rsid w:val="009B6A9E"/>
    <w:rsid w:val="009B6C6A"/>
    <w:rsid w:val="009B6F50"/>
    <w:rsid w:val="009B7053"/>
    <w:rsid w:val="009B7206"/>
    <w:rsid w:val="009B753A"/>
    <w:rsid w:val="009B77BE"/>
    <w:rsid w:val="009B7BE3"/>
    <w:rsid w:val="009B7C09"/>
    <w:rsid w:val="009B7D9E"/>
    <w:rsid w:val="009B7ED5"/>
    <w:rsid w:val="009C00AF"/>
    <w:rsid w:val="009C00F4"/>
    <w:rsid w:val="009C012F"/>
    <w:rsid w:val="009C01F7"/>
    <w:rsid w:val="009C020E"/>
    <w:rsid w:val="009C02A7"/>
    <w:rsid w:val="009C02AB"/>
    <w:rsid w:val="009C0403"/>
    <w:rsid w:val="009C082F"/>
    <w:rsid w:val="009C097E"/>
    <w:rsid w:val="009C0A99"/>
    <w:rsid w:val="009C0C98"/>
    <w:rsid w:val="009C1049"/>
    <w:rsid w:val="009C12F4"/>
    <w:rsid w:val="009C1343"/>
    <w:rsid w:val="009C156E"/>
    <w:rsid w:val="009C15A1"/>
    <w:rsid w:val="009C1A6B"/>
    <w:rsid w:val="009C1B7B"/>
    <w:rsid w:val="009C22CA"/>
    <w:rsid w:val="009C27B1"/>
    <w:rsid w:val="009C288E"/>
    <w:rsid w:val="009C28D8"/>
    <w:rsid w:val="009C2A5A"/>
    <w:rsid w:val="009C2AA6"/>
    <w:rsid w:val="009C2EC7"/>
    <w:rsid w:val="009C3528"/>
    <w:rsid w:val="009C3660"/>
    <w:rsid w:val="009C3D44"/>
    <w:rsid w:val="009C3EE5"/>
    <w:rsid w:val="009C3F04"/>
    <w:rsid w:val="009C4ADC"/>
    <w:rsid w:val="009C4AEC"/>
    <w:rsid w:val="009C4B3A"/>
    <w:rsid w:val="009C4FD6"/>
    <w:rsid w:val="009C535F"/>
    <w:rsid w:val="009C5A57"/>
    <w:rsid w:val="009C5C82"/>
    <w:rsid w:val="009C5D25"/>
    <w:rsid w:val="009C5E1C"/>
    <w:rsid w:val="009C6075"/>
    <w:rsid w:val="009C60D1"/>
    <w:rsid w:val="009C6152"/>
    <w:rsid w:val="009C6235"/>
    <w:rsid w:val="009C62D9"/>
    <w:rsid w:val="009C651F"/>
    <w:rsid w:val="009C67F9"/>
    <w:rsid w:val="009C6B03"/>
    <w:rsid w:val="009C6BF4"/>
    <w:rsid w:val="009C6C11"/>
    <w:rsid w:val="009C6E9F"/>
    <w:rsid w:val="009C6EBC"/>
    <w:rsid w:val="009C71CD"/>
    <w:rsid w:val="009C72CA"/>
    <w:rsid w:val="009C738E"/>
    <w:rsid w:val="009C7610"/>
    <w:rsid w:val="009C7C8D"/>
    <w:rsid w:val="009C7CCC"/>
    <w:rsid w:val="009C7CFC"/>
    <w:rsid w:val="009C7D43"/>
    <w:rsid w:val="009C7DCE"/>
    <w:rsid w:val="009C7EF8"/>
    <w:rsid w:val="009C7F2E"/>
    <w:rsid w:val="009D00E0"/>
    <w:rsid w:val="009D0243"/>
    <w:rsid w:val="009D032E"/>
    <w:rsid w:val="009D0AF0"/>
    <w:rsid w:val="009D0DD2"/>
    <w:rsid w:val="009D108C"/>
    <w:rsid w:val="009D1215"/>
    <w:rsid w:val="009D133E"/>
    <w:rsid w:val="009D13D0"/>
    <w:rsid w:val="009D1635"/>
    <w:rsid w:val="009D1843"/>
    <w:rsid w:val="009D1DA7"/>
    <w:rsid w:val="009D1EC9"/>
    <w:rsid w:val="009D1F50"/>
    <w:rsid w:val="009D2267"/>
    <w:rsid w:val="009D2327"/>
    <w:rsid w:val="009D24F5"/>
    <w:rsid w:val="009D270F"/>
    <w:rsid w:val="009D27F5"/>
    <w:rsid w:val="009D2D7A"/>
    <w:rsid w:val="009D2F38"/>
    <w:rsid w:val="009D3013"/>
    <w:rsid w:val="009D309D"/>
    <w:rsid w:val="009D33BC"/>
    <w:rsid w:val="009D34B5"/>
    <w:rsid w:val="009D3545"/>
    <w:rsid w:val="009D379C"/>
    <w:rsid w:val="009D384C"/>
    <w:rsid w:val="009D3C60"/>
    <w:rsid w:val="009D3DD9"/>
    <w:rsid w:val="009D3E6D"/>
    <w:rsid w:val="009D3ED9"/>
    <w:rsid w:val="009D4097"/>
    <w:rsid w:val="009D4148"/>
    <w:rsid w:val="009D4442"/>
    <w:rsid w:val="009D479E"/>
    <w:rsid w:val="009D4880"/>
    <w:rsid w:val="009D49B3"/>
    <w:rsid w:val="009D4B07"/>
    <w:rsid w:val="009D4BE5"/>
    <w:rsid w:val="009D4C64"/>
    <w:rsid w:val="009D4D70"/>
    <w:rsid w:val="009D4E95"/>
    <w:rsid w:val="009D505A"/>
    <w:rsid w:val="009D528D"/>
    <w:rsid w:val="009D561B"/>
    <w:rsid w:val="009D575A"/>
    <w:rsid w:val="009D597F"/>
    <w:rsid w:val="009D59C5"/>
    <w:rsid w:val="009D5D90"/>
    <w:rsid w:val="009D60B1"/>
    <w:rsid w:val="009D6265"/>
    <w:rsid w:val="009D6274"/>
    <w:rsid w:val="009D62AE"/>
    <w:rsid w:val="009D65BC"/>
    <w:rsid w:val="009D6699"/>
    <w:rsid w:val="009D6972"/>
    <w:rsid w:val="009D6B62"/>
    <w:rsid w:val="009D6E16"/>
    <w:rsid w:val="009D6F12"/>
    <w:rsid w:val="009D7505"/>
    <w:rsid w:val="009D75F9"/>
    <w:rsid w:val="009D78E4"/>
    <w:rsid w:val="009D7A7E"/>
    <w:rsid w:val="009D7A93"/>
    <w:rsid w:val="009D7B89"/>
    <w:rsid w:val="009D7C7A"/>
    <w:rsid w:val="009D7F93"/>
    <w:rsid w:val="009D7FBC"/>
    <w:rsid w:val="009E006E"/>
    <w:rsid w:val="009E008A"/>
    <w:rsid w:val="009E015C"/>
    <w:rsid w:val="009E05B7"/>
    <w:rsid w:val="009E0671"/>
    <w:rsid w:val="009E077C"/>
    <w:rsid w:val="009E0D80"/>
    <w:rsid w:val="009E0EFE"/>
    <w:rsid w:val="009E0F30"/>
    <w:rsid w:val="009E103A"/>
    <w:rsid w:val="009E10A7"/>
    <w:rsid w:val="009E1764"/>
    <w:rsid w:val="009E193B"/>
    <w:rsid w:val="009E19A3"/>
    <w:rsid w:val="009E19AB"/>
    <w:rsid w:val="009E1C9E"/>
    <w:rsid w:val="009E1DAA"/>
    <w:rsid w:val="009E1EBB"/>
    <w:rsid w:val="009E23EE"/>
    <w:rsid w:val="009E2690"/>
    <w:rsid w:val="009E26A8"/>
    <w:rsid w:val="009E2A8B"/>
    <w:rsid w:val="009E2AE1"/>
    <w:rsid w:val="009E2B83"/>
    <w:rsid w:val="009E2BF5"/>
    <w:rsid w:val="009E2BF7"/>
    <w:rsid w:val="009E2D5E"/>
    <w:rsid w:val="009E3034"/>
    <w:rsid w:val="009E3359"/>
    <w:rsid w:val="009E3696"/>
    <w:rsid w:val="009E3948"/>
    <w:rsid w:val="009E3AAB"/>
    <w:rsid w:val="009E405B"/>
    <w:rsid w:val="009E408B"/>
    <w:rsid w:val="009E4118"/>
    <w:rsid w:val="009E47DD"/>
    <w:rsid w:val="009E4BD2"/>
    <w:rsid w:val="009E4BEA"/>
    <w:rsid w:val="009E4C0F"/>
    <w:rsid w:val="009E4DC0"/>
    <w:rsid w:val="009E4F5C"/>
    <w:rsid w:val="009E548B"/>
    <w:rsid w:val="009E5594"/>
    <w:rsid w:val="009E55C0"/>
    <w:rsid w:val="009E5610"/>
    <w:rsid w:val="009E5AE9"/>
    <w:rsid w:val="009E5E34"/>
    <w:rsid w:val="009E5EC1"/>
    <w:rsid w:val="009E5F5C"/>
    <w:rsid w:val="009E627D"/>
    <w:rsid w:val="009E6428"/>
    <w:rsid w:val="009E6465"/>
    <w:rsid w:val="009E64B0"/>
    <w:rsid w:val="009E64C3"/>
    <w:rsid w:val="009E6529"/>
    <w:rsid w:val="009E654B"/>
    <w:rsid w:val="009E6795"/>
    <w:rsid w:val="009E6798"/>
    <w:rsid w:val="009E6816"/>
    <w:rsid w:val="009E69A1"/>
    <w:rsid w:val="009E6AF8"/>
    <w:rsid w:val="009E6BC6"/>
    <w:rsid w:val="009E6FE2"/>
    <w:rsid w:val="009E71CC"/>
    <w:rsid w:val="009E7330"/>
    <w:rsid w:val="009E73CE"/>
    <w:rsid w:val="009E762E"/>
    <w:rsid w:val="009E76E8"/>
    <w:rsid w:val="009E7B17"/>
    <w:rsid w:val="009E7B1C"/>
    <w:rsid w:val="009E7B2A"/>
    <w:rsid w:val="009E7B90"/>
    <w:rsid w:val="009E7D83"/>
    <w:rsid w:val="009E7EE9"/>
    <w:rsid w:val="009F0294"/>
    <w:rsid w:val="009F04AF"/>
    <w:rsid w:val="009F0630"/>
    <w:rsid w:val="009F0722"/>
    <w:rsid w:val="009F0760"/>
    <w:rsid w:val="009F0807"/>
    <w:rsid w:val="009F08A1"/>
    <w:rsid w:val="009F0E35"/>
    <w:rsid w:val="009F1083"/>
    <w:rsid w:val="009F1263"/>
    <w:rsid w:val="009F1286"/>
    <w:rsid w:val="009F12D0"/>
    <w:rsid w:val="009F1500"/>
    <w:rsid w:val="009F1801"/>
    <w:rsid w:val="009F1850"/>
    <w:rsid w:val="009F1965"/>
    <w:rsid w:val="009F1CBF"/>
    <w:rsid w:val="009F1D8A"/>
    <w:rsid w:val="009F203C"/>
    <w:rsid w:val="009F2111"/>
    <w:rsid w:val="009F2825"/>
    <w:rsid w:val="009F2853"/>
    <w:rsid w:val="009F2A16"/>
    <w:rsid w:val="009F2C1B"/>
    <w:rsid w:val="009F2D25"/>
    <w:rsid w:val="009F2D6B"/>
    <w:rsid w:val="009F2DC9"/>
    <w:rsid w:val="009F2E2E"/>
    <w:rsid w:val="009F35CA"/>
    <w:rsid w:val="009F3973"/>
    <w:rsid w:val="009F3BEB"/>
    <w:rsid w:val="009F400F"/>
    <w:rsid w:val="009F4678"/>
    <w:rsid w:val="009F4972"/>
    <w:rsid w:val="009F4A93"/>
    <w:rsid w:val="009F4C18"/>
    <w:rsid w:val="009F4D9A"/>
    <w:rsid w:val="009F5469"/>
    <w:rsid w:val="009F5616"/>
    <w:rsid w:val="009F563E"/>
    <w:rsid w:val="009F56E4"/>
    <w:rsid w:val="009F57D8"/>
    <w:rsid w:val="009F5949"/>
    <w:rsid w:val="009F59F9"/>
    <w:rsid w:val="009F5A04"/>
    <w:rsid w:val="009F5C7E"/>
    <w:rsid w:val="009F5CFA"/>
    <w:rsid w:val="009F6023"/>
    <w:rsid w:val="009F60F2"/>
    <w:rsid w:val="009F61AA"/>
    <w:rsid w:val="009F6401"/>
    <w:rsid w:val="009F6AD3"/>
    <w:rsid w:val="009F6CCC"/>
    <w:rsid w:val="009F6D66"/>
    <w:rsid w:val="009F7167"/>
    <w:rsid w:val="009F7240"/>
    <w:rsid w:val="009F7527"/>
    <w:rsid w:val="009F75AC"/>
    <w:rsid w:val="009F78B1"/>
    <w:rsid w:val="009F7B7C"/>
    <w:rsid w:val="009F7D11"/>
    <w:rsid w:val="009F7E44"/>
    <w:rsid w:val="00A00458"/>
    <w:rsid w:val="00A00539"/>
    <w:rsid w:val="00A00540"/>
    <w:rsid w:val="00A00542"/>
    <w:rsid w:val="00A0099F"/>
    <w:rsid w:val="00A00ED1"/>
    <w:rsid w:val="00A00F58"/>
    <w:rsid w:val="00A0105A"/>
    <w:rsid w:val="00A01332"/>
    <w:rsid w:val="00A01424"/>
    <w:rsid w:val="00A015B7"/>
    <w:rsid w:val="00A01826"/>
    <w:rsid w:val="00A01A4E"/>
    <w:rsid w:val="00A01B54"/>
    <w:rsid w:val="00A01B89"/>
    <w:rsid w:val="00A01F15"/>
    <w:rsid w:val="00A0219B"/>
    <w:rsid w:val="00A02372"/>
    <w:rsid w:val="00A024A3"/>
    <w:rsid w:val="00A029A7"/>
    <w:rsid w:val="00A02B8E"/>
    <w:rsid w:val="00A02CA4"/>
    <w:rsid w:val="00A02D94"/>
    <w:rsid w:val="00A02E45"/>
    <w:rsid w:val="00A031C2"/>
    <w:rsid w:val="00A03847"/>
    <w:rsid w:val="00A03CF1"/>
    <w:rsid w:val="00A03EF2"/>
    <w:rsid w:val="00A03F5C"/>
    <w:rsid w:val="00A04065"/>
    <w:rsid w:val="00A041B5"/>
    <w:rsid w:val="00A04217"/>
    <w:rsid w:val="00A04936"/>
    <w:rsid w:val="00A04A18"/>
    <w:rsid w:val="00A04C51"/>
    <w:rsid w:val="00A04C7A"/>
    <w:rsid w:val="00A05003"/>
    <w:rsid w:val="00A055A5"/>
    <w:rsid w:val="00A056FD"/>
    <w:rsid w:val="00A057DC"/>
    <w:rsid w:val="00A05B75"/>
    <w:rsid w:val="00A05C75"/>
    <w:rsid w:val="00A05E5D"/>
    <w:rsid w:val="00A0609B"/>
    <w:rsid w:val="00A060ED"/>
    <w:rsid w:val="00A06376"/>
    <w:rsid w:val="00A06494"/>
    <w:rsid w:val="00A064A0"/>
    <w:rsid w:val="00A06864"/>
    <w:rsid w:val="00A06E8C"/>
    <w:rsid w:val="00A06EBD"/>
    <w:rsid w:val="00A0702A"/>
    <w:rsid w:val="00A070E7"/>
    <w:rsid w:val="00A073B6"/>
    <w:rsid w:val="00A0757A"/>
    <w:rsid w:val="00A0769E"/>
    <w:rsid w:val="00A076A8"/>
    <w:rsid w:val="00A076AE"/>
    <w:rsid w:val="00A077CA"/>
    <w:rsid w:val="00A079D1"/>
    <w:rsid w:val="00A07C25"/>
    <w:rsid w:val="00A07CFA"/>
    <w:rsid w:val="00A07DF9"/>
    <w:rsid w:val="00A101D5"/>
    <w:rsid w:val="00A101E1"/>
    <w:rsid w:val="00A10519"/>
    <w:rsid w:val="00A105BF"/>
    <w:rsid w:val="00A1069E"/>
    <w:rsid w:val="00A10846"/>
    <w:rsid w:val="00A10999"/>
    <w:rsid w:val="00A109F9"/>
    <w:rsid w:val="00A10A5E"/>
    <w:rsid w:val="00A10BFA"/>
    <w:rsid w:val="00A10E28"/>
    <w:rsid w:val="00A10F68"/>
    <w:rsid w:val="00A10FEA"/>
    <w:rsid w:val="00A110B3"/>
    <w:rsid w:val="00A11385"/>
    <w:rsid w:val="00A11407"/>
    <w:rsid w:val="00A1159A"/>
    <w:rsid w:val="00A1176A"/>
    <w:rsid w:val="00A11839"/>
    <w:rsid w:val="00A119DC"/>
    <w:rsid w:val="00A11A6D"/>
    <w:rsid w:val="00A11F30"/>
    <w:rsid w:val="00A12012"/>
    <w:rsid w:val="00A121B9"/>
    <w:rsid w:val="00A12494"/>
    <w:rsid w:val="00A12683"/>
    <w:rsid w:val="00A128B7"/>
    <w:rsid w:val="00A12BCB"/>
    <w:rsid w:val="00A12CB4"/>
    <w:rsid w:val="00A12EB3"/>
    <w:rsid w:val="00A12F13"/>
    <w:rsid w:val="00A1304F"/>
    <w:rsid w:val="00A13105"/>
    <w:rsid w:val="00A13132"/>
    <w:rsid w:val="00A132E8"/>
    <w:rsid w:val="00A1333B"/>
    <w:rsid w:val="00A1359E"/>
    <w:rsid w:val="00A13664"/>
    <w:rsid w:val="00A13814"/>
    <w:rsid w:val="00A13937"/>
    <w:rsid w:val="00A13B51"/>
    <w:rsid w:val="00A13B6D"/>
    <w:rsid w:val="00A13C32"/>
    <w:rsid w:val="00A13C74"/>
    <w:rsid w:val="00A13EE8"/>
    <w:rsid w:val="00A14409"/>
    <w:rsid w:val="00A1443F"/>
    <w:rsid w:val="00A14833"/>
    <w:rsid w:val="00A14C10"/>
    <w:rsid w:val="00A14C86"/>
    <w:rsid w:val="00A150C3"/>
    <w:rsid w:val="00A15676"/>
    <w:rsid w:val="00A15837"/>
    <w:rsid w:val="00A1593F"/>
    <w:rsid w:val="00A159E3"/>
    <w:rsid w:val="00A15BD1"/>
    <w:rsid w:val="00A15D21"/>
    <w:rsid w:val="00A15DB5"/>
    <w:rsid w:val="00A15EB8"/>
    <w:rsid w:val="00A16304"/>
    <w:rsid w:val="00A16360"/>
    <w:rsid w:val="00A16368"/>
    <w:rsid w:val="00A1654E"/>
    <w:rsid w:val="00A166E1"/>
    <w:rsid w:val="00A167AE"/>
    <w:rsid w:val="00A16881"/>
    <w:rsid w:val="00A168B3"/>
    <w:rsid w:val="00A16A4D"/>
    <w:rsid w:val="00A16C70"/>
    <w:rsid w:val="00A16D75"/>
    <w:rsid w:val="00A17843"/>
    <w:rsid w:val="00A17BC2"/>
    <w:rsid w:val="00A17D2A"/>
    <w:rsid w:val="00A17DFD"/>
    <w:rsid w:val="00A17F38"/>
    <w:rsid w:val="00A17FA2"/>
    <w:rsid w:val="00A17FF1"/>
    <w:rsid w:val="00A20039"/>
    <w:rsid w:val="00A2003A"/>
    <w:rsid w:val="00A20133"/>
    <w:rsid w:val="00A2020D"/>
    <w:rsid w:val="00A2027A"/>
    <w:rsid w:val="00A20427"/>
    <w:rsid w:val="00A2076F"/>
    <w:rsid w:val="00A207E0"/>
    <w:rsid w:val="00A209D9"/>
    <w:rsid w:val="00A20C2C"/>
    <w:rsid w:val="00A20E5F"/>
    <w:rsid w:val="00A2132A"/>
    <w:rsid w:val="00A213E2"/>
    <w:rsid w:val="00A21750"/>
    <w:rsid w:val="00A219B9"/>
    <w:rsid w:val="00A21BF3"/>
    <w:rsid w:val="00A21EEA"/>
    <w:rsid w:val="00A22076"/>
    <w:rsid w:val="00A22429"/>
    <w:rsid w:val="00A224B4"/>
    <w:rsid w:val="00A22516"/>
    <w:rsid w:val="00A2281F"/>
    <w:rsid w:val="00A228CB"/>
    <w:rsid w:val="00A22961"/>
    <w:rsid w:val="00A22D08"/>
    <w:rsid w:val="00A2305B"/>
    <w:rsid w:val="00A233E2"/>
    <w:rsid w:val="00A235F1"/>
    <w:rsid w:val="00A23627"/>
    <w:rsid w:val="00A237EA"/>
    <w:rsid w:val="00A238A5"/>
    <w:rsid w:val="00A23A8E"/>
    <w:rsid w:val="00A23BAD"/>
    <w:rsid w:val="00A23D2D"/>
    <w:rsid w:val="00A24058"/>
    <w:rsid w:val="00A24694"/>
    <w:rsid w:val="00A24BC9"/>
    <w:rsid w:val="00A2501A"/>
    <w:rsid w:val="00A25081"/>
    <w:rsid w:val="00A25497"/>
    <w:rsid w:val="00A25605"/>
    <w:rsid w:val="00A263DA"/>
    <w:rsid w:val="00A26474"/>
    <w:rsid w:val="00A266CC"/>
    <w:rsid w:val="00A26D54"/>
    <w:rsid w:val="00A26F7E"/>
    <w:rsid w:val="00A27157"/>
    <w:rsid w:val="00A27289"/>
    <w:rsid w:val="00A273F7"/>
    <w:rsid w:val="00A279E4"/>
    <w:rsid w:val="00A27A10"/>
    <w:rsid w:val="00A30000"/>
    <w:rsid w:val="00A30055"/>
    <w:rsid w:val="00A30066"/>
    <w:rsid w:val="00A307BD"/>
    <w:rsid w:val="00A30BD3"/>
    <w:rsid w:val="00A30C5A"/>
    <w:rsid w:val="00A311BC"/>
    <w:rsid w:val="00A315D9"/>
    <w:rsid w:val="00A31749"/>
    <w:rsid w:val="00A3175A"/>
    <w:rsid w:val="00A31901"/>
    <w:rsid w:val="00A31AA7"/>
    <w:rsid w:val="00A31AB2"/>
    <w:rsid w:val="00A321DF"/>
    <w:rsid w:val="00A32383"/>
    <w:rsid w:val="00A325EF"/>
    <w:rsid w:val="00A32EF5"/>
    <w:rsid w:val="00A333AA"/>
    <w:rsid w:val="00A33434"/>
    <w:rsid w:val="00A3393F"/>
    <w:rsid w:val="00A33A74"/>
    <w:rsid w:val="00A33B4D"/>
    <w:rsid w:val="00A33BA4"/>
    <w:rsid w:val="00A33C81"/>
    <w:rsid w:val="00A3444C"/>
    <w:rsid w:val="00A344BA"/>
    <w:rsid w:val="00A3455C"/>
    <w:rsid w:val="00A346DF"/>
    <w:rsid w:val="00A34B61"/>
    <w:rsid w:val="00A34FF6"/>
    <w:rsid w:val="00A3506D"/>
    <w:rsid w:val="00A35147"/>
    <w:rsid w:val="00A3552F"/>
    <w:rsid w:val="00A3593C"/>
    <w:rsid w:val="00A35B0E"/>
    <w:rsid w:val="00A35CDA"/>
    <w:rsid w:val="00A36101"/>
    <w:rsid w:val="00A36200"/>
    <w:rsid w:val="00A36331"/>
    <w:rsid w:val="00A364FE"/>
    <w:rsid w:val="00A36548"/>
    <w:rsid w:val="00A367CD"/>
    <w:rsid w:val="00A3695E"/>
    <w:rsid w:val="00A36A9B"/>
    <w:rsid w:val="00A36AC3"/>
    <w:rsid w:val="00A36B63"/>
    <w:rsid w:val="00A3728F"/>
    <w:rsid w:val="00A373AC"/>
    <w:rsid w:val="00A37765"/>
    <w:rsid w:val="00A377B2"/>
    <w:rsid w:val="00A3788C"/>
    <w:rsid w:val="00A37AC5"/>
    <w:rsid w:val="00A37E93"/>
    <w:rsid w:val="00A37EB2"/>
    <w:rsid w:val="00A40313"/>
    <w:rsid w:val="00A4034B"/>
    <w:rsid w:val="00A4040A"/>
    <w:rsid w:val="00A404E6"/>
    <w:rsid w:val="00A40617"/>
    <w:rsid w:val="00A40629"/>
    <w:rsid w:val="00A40698"/>
    <w:rsid w:val="00A4080E"/>
    <w:rsid w:val="00A40834"/>
    <w:rsid w:val="00A40ADD"/>
    <w:rsid w:val="00A4102D"/>
    <w:rsid w:val="00A412B2"/>
    <w:rsid w:val="00A4131B"/>
    <w:rsid w:val="00A414FA"/>
    <w:rsid w:val="00A416AD"/>
    <w:rsid w:val="00A416B7"/>
    <w:rsid w:val="00A417AF"/>
    <w:rsid w:val="00A417E6"/>
    <w:rsid w:val="00A41A20"/>
    <w:rsid w:val="00A41BD1"/>
    <w:rsid w:val="00A41F6C"/>
    <w:rsid w:val="00A41F99"/>
    <w:rsid w:val="00A421FF"/>
    <w:rsid w:val="00A42824"/>
    <w:rsid w:val="00A428DE"/>
    <w:rsid w:val="00A429B2"/>
    <w:rsid w:val="00A42AAF"/>
    <w:rsid w:val="00A42ABE"/>
    <w:rsid w:val="00A42F65"/>
    <w:rsid w:val="00A42FC8"/>
    <w:rsid w:val="00A42FEC"/>
    <w:rsid w:val="00A43000"/>
    <w:rsid w:val="00A43283"/>
    <w:rsid w:val="00A433B4"/>
    <w:rsid w:val="00A43616"/>
    <w:rsid w:val="00A4363C"/>
    <w:rsid w:val="00A436ED"/>
    <w:rsid w:val="00A4398D"/>
    <w:rsid w:val="00A43ED2"/>
    <w:rsid w:val="00A43F38"/>
    <w:rsid w:val="00A4431D"/>
    <w:rsid w:val="00A444C8"/>
    <w:rsid w:val="00A444DD"/>
    <w:rsid w:val="00A445D4"/>
    <w:rsid w:val="00A4478E"/>
    <w:rsid w:val="00A44866"/>
    <w:rsid w:val="00A44915"/>
    <w:rsid w:val="00A4491E"/>
    <w:rsid w:val="00A449E8"/>
    <w:rsid w:val="00A44D2D"/>
    <w:rsid w:val="00A455EE"/>
    <w:rsid w:val="00A457AE"/>
    <w:rsid w:val="00A45825"/>
    <w:rsid w:val="00A46012"/>
    <w:rsid w:val="00A46095"/>
    <w:rsid w:val="00A46408"/>
    <w:rsid w:val="00A46919"/>
    <w:rsid w:val="00A46993"/>
    <w:rsid w:val="00A46A2D"/>
    <w:rsid w:val="00A46FDB"/>
    <w:rsid w:val="00A471AE"/>
    <w:rsid w:val="00A472EB"/>
    <w:rsid w:val="00A47438"/>
    <w:rsid w:val="00A4771D"/>
    <w:rsid w:val="00A47915"/>
    <w:rsid w:val="00A47A27"/>
    <w:rsid w:val="00A47A4F"/>
    <w:rsid w:val="00A47A89"/>
    <w:rsid w:val="00A47B81"/>
    <w:rsid w:val="00A47C3E"/>
    <w:rsid w:val="00A503B9"/>
    <w:rsid w:val="00A50B13"/>
    <w:rsid w:val="00A50B54"/>
    <w:rsid w:val="00A50CD9"/>
    <w:rsid w:val="00A50E6E"/>
    <w:rsid w:val="00A50E91"/>
    <w:rsid w:val="00A51374"/>
    <w:rsid w:val="00A51575"/>
    <w:rsid w:val="00A51670"/>
    <w:rsid w:val="00A51936"/>
    <w:rsid w:val="00A51990"/>
    <w:rsid w:val="00A519D6"/>
    <w:rsid w:val="00A51A72"/>
    <w:rsid w:val="00A51DE1"/>
    <w:rsid w:val="00A51DFA"/>
    <w:rsid w:val="00A5222A"/>
    <w:rsid w:val="00A52408"/>
    <w:rsid w:val="00A52423"/>
    <w:rsid w:val="00A52534"/>
    <w:rsid w:val="00A52733"/>
    <w:rsid w:val="00A528BC"/>
    <w:rsid w:val="00A528F0"/>
    <w:rsid w:val="00A52919"/>
    <w:rsid w:val="00A529ED"/>
    <w:rsid w:val="00A53357"/>
    <w:rsid w:val="00A53382"/>
    <w:rsid w:val="00A5339F"/>
    <w:rsid w:val="00A5357E"/>
    <w:rsid w:val="00A53676"/>
    <w:rsid w:val="00A53BC6"/>
    <w:rsid w:val="00A53CFD"/>
    <w:rsid w:val="00A53DCA"/>
    <w:rsid w:val="00A54244"/>
    <w:rsid w:val="00A54672"/>
    <w:rsid w:val="00A54839"/>
    <w:rsid w:val="00A54AB3"/>
    <w:rsid w:val="00A54E1B"/>
    <w:rsid w:val="00A54F51"/>
    <w:rsid w:val="00A54FB5"/>
    <w:rsid w:val="00A55120"/>
    <w:rsid w:val="00A55129"/>
    <w:rsid w:val="00A5529A"/>
    <w:rsid w:val="00A55366"/>
    <w:rsid w:val="00A5561A"/>
    <w:rsid w:val="00A55662"/>
    <w:rsid w:val="00A557E6"/>
    <w:rsid w:val="00A557EA"/>
    <w:rsid w:val="00A55800"/>
    <w:rsid w:val="00A559AF"/>
    <w:rsid w:val="00A559D9"/>
    <w:rsid w:val="00A55C49"/>
    <w:rsid w:val="00A55D1D"/>
    <w:rsid w:val="00A55DCA"/>
    <w:rsid w:val="00A5600D"/>
    <w:rsid w:val="00A56449"/>
    <w:rsid w:val="00A56455"/>
    <w:rsid w:val="00A56778"/>
    <w:rsid w:val="00A56953"/>
    <w:rsid w:val="00A56BCA"/>
    <w:rsid w:val="00A56DC5"/>
    <w:rsid w:val="00A56DF2"/>
    <w:rsid w:val="00A56F84"/>
    <w:rsid w:val="00A56FBE"/>
    <w:rsid w:val="00A56FEA"/>
    <w:rsid w:val="00A5703F"/>
    <w:rsid w:val="00A57314"/>
    <w:rsid w:val="00A576A7"/>
    <w:rsid w:val="00A579E7"/>
    <w:rsid w:val="00A57BC1"/>
    <w:rsid w:val="00A57CCA"/>
    <w:rsid w:val="00A57EB4"/>
    <w:rsid w:val="00A60012"/>
    <w:rsid w:val="00A60139"/>
    <w:rsid w:val="00A604A9"/>
    <w:rsid w:val="00A60833"/>
    <w:rsid w:val="00A60880"/>
    <w:rsid w:val="00A608FC"/>
    <w:rsid w:val="00A60CEF"/>
    <w:rsid w:val="00A60D81"/>
    <w:rsid w:val="00A60DB9"/>
    <w:rsid w:val="00A60E1A"/>
    <w:rsid w:val="00A60EDD"/>
    <w:rsid w:val="00A60F04"/>
    <w:rsid w:val="00A60F3F"/>
    <w:rsid w:val="00A610C6"/>
    <w:rsid w:val="00A613A8"/>
    <w:rsid w:val="00A613DD"/>
    <w:rsid w:val="00A61500"/>
    <w:rsid w:val="00A61569"/>
    <w:rsid w:val="00A61713"/>
    <w:rsid w:val="00A61846"/>
    <w:rsid w:val="00A619D1"/>
    <w:rsid w:val="00A61BCD"/>
    <w:rsid w:val="00A61C31"/>
    <w:rsid w:val="00A61CAB"/>
    <w:rsid w:val="00A6202E"/>
    <w:rsid w:val="00A62451"/>
    <w:rsid w:val="00A625FF"/>
    <w:rsid w:val="00A628EE"/>
    <w:rsid w:val="00A6297B"/>
    <w:rsid w:val="00A62AED"/>
    <w:rsid w:val="00A62C66"/>
    <w:rsid w:val="00A62E0A"/>
    <w:rsid w:val="00A62E9D"/>
    <w:rsid w:val="00A63120"/>
    <w:rsid w:val="00A631DF"/>
    <w:rsid w:val="00A638FB"/>
    <w:rsid w:val="00A639C6"/>
    <w:rsid w:val="00A639D6"/>
    <w:rsid w:val="00A63ACE"/>
    <w:rsid w:val="00A63B25"/>
    <w:rsid w:val="00A63D00"/>
    <w:rsid w:val="00A63D20"/>
    <w:rsid w:val="00A63FAD"/>
    <w:rsid w:val="00A63FB7"/>
    <w:rsid w:val="00A64256"/>
    <w:rsid w:val="00A642EE"/>
    <w:rsid w:val="00A642FE"/>
    <w:rsid w:val="00A64678"/>
    <w:rsid w:val="00A64827"/>
    <w:rsid w:val="00A64860"/>
    <w:rsid w:val="00A6487B"/>
    <w:rsid w:val="00A648B7"/>
    <w:rsid w:val="00A64B87"/>
    <w:rsid w:val="00A64D32"/>
    <w:rsid w:val="00A64F81"/>
    <w:rsid w:val="00A6517F"/>
    <w:rsid w:val="00A6551B"/>
    <w:rsid w:val="00A655C1"/>
    <w:rsid w:val="00A6591F"/>
    <w:rsid w:val="00A65B17"/>
    <w:rsid w:val="00A65C87"/>
    <w:rsid w:val="00A65CA2"/>
    <w:rsid w:val="00A65DCB"/>
    <w:rsid w:val="00A65FD8"/>
    <w:rsid w:val="00A66421"/>
    <w:rsid w:val="00A665A2"/>
    <w:rsid w:val="00A66925"/>
    <w:rsid w:val="00A66BFC"/>
    <w:rsid w:val="00A67096"/>
    <w:rsid w:val="00A672E5"/>
    <w:rsid w:val="00A67971"/>
    <w:rsid w:val="00A67B85"/>
    <w:rsid w:val="00A701BE"/>
    <w:rsid w:val="00A70790"/>
    <w:rsid w:val="00A70BE8"/>
    <w:rsid w:val="00A70FAD"/>
    <w:rsid w:val="00A711BF"/>
    <w:rsid w:val="00A7180E"/>
    <w:rsid w:val="00A718F1"/>
    <w:rsid w:val="00A7191F"/>
    <w:rsid w:val="00A71B7F"/>
    <w:rsid w:val="00A71C2C"/>
    <w:rsid w:val="00A71C81"/>
    <w:rsid w:val="00A72221"/>
    <w:rsid w:val="00A7263A"/>
    <w:rsid w:val="00A72722"/>
    <w:rsid w:val="00A7282D"/>
    <w:rsid w:val="00A72840"/>
    <w:rsid w:val="00A72B46"/>
    <w:rsid w:val="00A72D01"/>
    <w:rsid w:val="00A72E26"/>
    <w:rsid w:val="00A72F23"/>
    <w:rsid w:val="00A731ED"/>
    <w:rsid w:val="00A731F4"/>
    <w:rsid w:val="00A73314"/>
    <w:rsid w:val="00A7352E"/>
    <w:rsid w:val="00A73613"/>
    <w:rsid w:val="00A73694"/>
    <w:rsid w:val="00A736F4"/>
    <w:rsid w:val="00A73815"/>
    <w:rsid w:val="00A73A9A"/>
    <w:rsid w:val="00A74113"/>
    <w:rsid w:val="00A74392"/>
    <w:rsid w:val="00A74E5B"/>
    <w:rsid w:val="00A74E81"/>
    <w:rsid w:val="00A75640"/>
    <w:rsid w:val="00A7574E"/>
    <w:rsid w:val="00A75776"/>
    <w:rsid w:val="00A75964"/>
    <w:rsid w:val="00A75A97"/>
    <w:rsid w:val="00A75B98"/>
    <w:rsid w:val="00A75CBF"/>
    <w:rsid w:val="00A75DAF"/>
    <w:rsid w:val="00A75DCB"/>
    <w:rsid w:val="00A75EC5"/>
    <w:rsid w:val="00A7613A"/>
    <w:rsid w:val="00A761C6"/>
    <w:rsid w:val="00A76431"/>
    <w:rsid w:val="00A7716D"/>
    <w:rsid w:val="00A77296"/>
    <w:rsid w:val="00A773FA"/>
    <w:rsid w:val="00A7745E"/>
    <w:rsid w:val="00A775A9"/>
    <w:rsid w:val="00A775DE"/>
    <w:rsid w:val="00A7790D"/>
    <w:rsid w:val="00A77952"/>
    <w:rsid w:val="00A77EE6"/>
    <w:rsid w:val="00A800E7"/>
    <w:rsid w:val="00A8017C"/>
    <w:rsid w:val="00A80336"/>
    <w:rsid w:val="00A80476"/>
    <w:rsid w:val="00A805FC"/>
    <w:rsid w:val="00A8081B"/>
    <w:rsid w:val="00A80F63"/>
    <w:rsid w:val="00A812BD"/>
    <w:rsid w:val="00A812ED"/>
    <w:rsid w:val="00A8135D"/>
    <w:rsid w:val="00A81449"/>
    <w:rsid w:val="00A81492"/>
    <w:rsid w:val="00A81778"/>
    <w:rsid w:val="00A817DD"/>
    <w:rsid w:val="00A8183A"/>
    <w:rsid w:val="00A81A01"/>
    <w:rsid w:val="00A81AD5"/>
    <w:rsid w:val="00A81DB1"/>
    <w:rsid w:val="00A81F1F"/>
    <w:rsid w:val="00A81FDA"/>
    <w:rsid w:val="00A822FC"/>
    <w:rsid w:val="00A82618"/>
    <w:rsid w:val="00A826B1"/>
    <w:rsid w:val="00A82EC1"/>
    <w:rsid w:val="00A830FD"/>
    <w:rsid w:val="00A83580"/>
    <w:rsid w:val="00A836AE"/>
    <w:rsid w:val="00A836F3"/>
    <w:rsid w:val="00A83725"/>
    <w:rsid w:val="00A837EB"/>
    <w:rsid w:val="00A83887"/>
    <w:rsid w:val="00A83B4E"/>
    <w:rsid w:val="00A83D08"/>
    <w:rsid w:val="00A83D0D"/>
    <w:rsid w:val="00A83E9B"/>
    <w:rsid w:val="00A83F40"/>
    <w:rsid w:val="00A84129"/>
    <w:rsid w:val="00A845DC"/>
    <w:rsid w:val="00A84DE8"/>
    <w:rsid w:val="00A84E5F"/>
    <w:rsid w:val="00A84F9F"/>
    <w:rsid w:val="00A85137"/>
    <w:rsid w:val="00A851D6"/>
    <w:rsid w:val="00A85411"/>
    <w:rsid w:val="00A8582F"/>
    <w:rsid w:val="00A858CF"/>
    <w:rsid w:val="00A85B4F"/>
    <w:rsid w:val="00A85E4B"/>
    <w:rsid w:val="00A86051"/>
    <w:rsid w:val="00A86107"/>
    <w:rsid w:val="00A8625F"/>
    <w:rsid w:val="00A86311"/>
    <w:rsid w:val="00A8677A"/>
    <w:rsid w:val="00A86965"/>
    <w:rsid w:val="00A86C5B"/>
    <w:rsid w:val="00A86F02"/>
    <w:rsid w:val="00A8736C"/>
    <w:rsid w:val="00A876D7"/>
    <w:rsid w:val="00A876FF"/>
    <w:rsid w:val="00A8777D"/>
    <w:rsid w:val="00A87956"/>
    <w:rsid w:val="00A87A0C"/>
    <w:rsid w:val="00A87AB4"/>
    <w:rsid w:val="00A87B20"/>
    <w:rsid w:val="00A87C69"/>
    <w:rsid w:val="00A87D6B"/>
    <w:rsid w:val="00A90151"/>
    <w:rsid w:val="00A901A5"/>
    <w:rsid w:val="00A901C0"/>
    <w:rsid w:val="00A90256"/>
    <w:rsid w:val="00A903DA"/>
    <w:rsid w:val="00A90415"/>
    <w:rsid w:val="00A90516"/>
    <w:rsid w:val="00A905C3"/>
    <w:rsid w:val="00A90829"/>
    <w:rsid w:val="00A90849"/>
    <w:rsid w:val="00A90C30"/>
    <w:rsid w:val="00A90D6D"/>
    <w:rsid w:val="00A90E16"/>
    <w:rsid w:val="00A90FC6"/>
    <w:rsid w:val="00A912EB"/>
    <w:rsid w:val="00A91370"/>
    <w:rsid w:val="00A9151B"/>
    <w:rsid w:val="00A915F4"/>
    <w:rsid w:val="00A9184A"/>
    <w:rsid w:val="00A91C1B"/>
    <w:rsid w:val="00A91D2F"/>
    <w:rsid w:val="00A91EC1"/>
    <w:rsid w:val="00A91EF9"/>
    <w:rsid w:val="00A91FFB"/>
    <w:rsid w:val="00A92081"/>
    <w:rsid w:val="00A921ED"/>
    <w:rsid w:val="00A922A9"/>
    <w:rsid w:val="00A9235E"/>
    <w:rsid w:val="00A92515"/>
    <w:rsid w:val="00A9266D"/>
    <w:rsid w:val="00A92678"/>
    <w:rsid w:val="00A927D3"/>
    <w:rsid w:val="00A92A28"/>
    <w:rsid w:val="00A92AAC"/>
    <w:rsid w:val="00A92B4F"/>
    <w:rsid w:val="00A92B5F"/>
    <w:rsid w:val="00A92C4D"/>
    <w:rsid w:val="00A931EC"/>
    <w:rsid w:val="00A9331D"/>
    <w:rsid w:val="00A933B7"/>
    <w:rsid w:val="00A93513"/>
    <w:rsid w:val="00A93557"/>
    <w:rsid w:val="00A9359B"/>
    <w:rsid w:val="00A939A1"/>
    <w:rsid w:val="00A93B18"/>
    <w:rsid w:val="00A93B44"/>
    <w:rsid w:val="00A93DC1"/>
    <w:rsid w:val="00A944B3"/>
    <w:rsid w:val="00A94500"/>
    <w:rsid w:val="00A94516"/>
    <w:rsid w:val="00A9469F"/>
    <w:rsid w:val="00A946CB"/>
    <w:rsid w:val="00A94FBE"/>
    <w:rsid w:val="00A94FEE"/>
    <w:rsid w:val="00A95118"/>
    <w:rsid w:val="00A951BB"/>
    <w:rsid w:val="00A9524C"/>
    <w:rsid w:val="00A9545C"/>
    <w:rsid w:val="00A95512"/>
    <w:rsid w:val="00A956D8"/>
    <w:rsid w:val="00A9587B"/>
    <w:rsid w:val="00A959F9"/>
    <w:rsid w:val="00A95C55"/>
    <w:rsid w:val="00A95EAB"/>
    <w:rsid w:val="00A95FFB"/>
    <w:rsid w:val="00A961B3"/>
    <w:rsid w:val="00A962EB"/>
    <w:rsid w:val="00A964D0"/>
    <w:rsid w:val="00A965E6"/>
    <w:rsid w:val="00A965FF"/>
    <w:rsid w:val="00A9670F"/>
    <w:rsid w:val="00A96842"/>
    <w:rsid w:val="00A96B15"/>
    <w:rsid w:val="00A96B72"/>
    <w:rsid w:val="00A96CFE"/>
    <w:rsid w:val="00A970A6"/>
    <w:rsid w:val="00A971FD"/>
    <w:rsid w:val="00A9721B"/>
    <w:rsid w:val="00A9735D"/>
    <w:rsid w:val="00A97571"/>
    <w:rsid w:val="00A975A9"/>
    <w:rsid w:val="00A975BE"/>
    <w:rsid w:val="00A9796F"/>
    <w:rsid w:val="00A97990"/>
    <w:rsid w:val="00A97AEF"/>
    <w:rsid w:val="00A97F5E"/>
    <w:rsid w:val="00AA037D"/>
    <w:rsid w:val="00AA05F2"/>
    <w:rsid w:val="00AA0A6C"/>
    <w:rsid w:val="00AA0BB1"/>
    <w:rsid w:val="00AA0C8D"/>
    <w:rsid w:val="00AA0CDC"/>
    <w:rsid w:val="00AA0E24"/>
    <w:rsid w:val="00AA100B"/>
    <w:rsid w:val="00AA1245"/>
    <w:rsid w:val="00AA12A1"/>
    <w:rsid w:val="00AA12F3"/>
    <w:rsid w:val="00AA1415"/>
    <w:rsid w:val="00AA141C"/>
    <w:rsid w:val="00AA15CB"/>
    <w:rsid w:val="00AA163B"/>
    <w:rsid w:val="00AA1D52"/>
    <w:rsid w:val="00AA1FC4"/>
    <w:rsid w:val="00AA24C4"/>
    <w:rsid w:val="00AA26B0"/>
    <w:rsid w:val="00AA2704"/>
    <w:rsid w:val="00AA2729"/>
    <w:rsid w:val="00AA29EC"/>
    <w:rsid w:val="00AA2A0C"/>
    <w:rsid w:val="00AA2BA7"/>
    <w:rsid w:val="00AA2D44"/>
    <w:rsid w:val="00AA2F0E"/>
    <w:rsid w:val="00AA3080"/>
    <w:rsid w:val="00AA3239"/>
    <w:rsid w:val="00AA33DE"/>
    <w:rsid w:val="00AA3552"/>
    <w:rsid w:val="00AA3569"/>
    <w:rsid w:val="00AA35C1"/>
    <w:rsid w:val="00AA389E"/>
    <w:rsid w:val="00AA3949"/>
    <w:rsid w:val="00AA3C01"/>
    <w:rsid w:val="00AA3E04"/>
    <w:rsid w:val="00AA4127"/>
    <w:rsid w:val="00AA477A"/>
    <w:rsid w:val="00AA4852"/>
    <w:rsid w:val="00AA48B6"/>
    <w:rsid w:val="00AA4A11"/>
    <w:rsid w:val="00AA4CAE"/>
    <w:rsid w:val="00AA4DA2"/>
    <w:rsid w:val="00AA4FA2"/>
    <w:rsid w:val="00AA51B8"/>
    <w:rsid w:val="00AA5932"/>
    <w:rsid w:val="00AA5B2A"/>
    <w:rsid w:val="00AA5BE9"/>
    <w:rsid w:val="00AA5C15"/>
    <w:rsid w:val="00AA5E73"/>
    <w:rsid w:val="00AA5EC2"/>
    <w:rsid w:val="00AA6020"/>
    <w:rsid w:val="00AA63A6"/>
    <w:rsid w:val="00AA6429"/>
    <w:rsid w:val="00AA66A1"/>
    <w:rsid w:val="00AA6727"/>
    <w:rsid w:val="00AA6CA1"/>
    <w:rsid w:val="00AA72D9"/>
    <w:rsid w:val="00AA7301"/>
    <w:rsid w:val="00AA732A"/>
    <w:rsid w:val="00AA73E2"/>
    <w:rsid w:val="00AA7528"/>
    <w:rsid w:val="00AA77DE"/>
    <w:rsid w:val="00AA7AC2"/>
    <w:rsid w:val="00AB02AB"/>
    <w:rsid w:val="00AB0313"/>
    <w:rsid w:val="00AB0434"/>
    <w:rsid w:val="00AB0464"/>
    <w:rsid w:val="00AB04C2"/>
    <w:rsid w:val="00AB050F"/>
    <w:rsid w:val="00AB0555"/>
    <w:rsid w:val="00AB078D"/>
    <w:rsid w:val="00AB0BA6"/>
    <w:rsid w:val="00AB0EF2"/>
    <w:rsid w:val="00AB10DE"/>
    <w:rsid w:val="00AB10F4"/>
    <w:rsid w:val="00AB1362"/>
    <w:rsid w:val="00AB14C2"/>
    <w:rsid w:val="00AB1519"/>
    <w:rsid w:val="00AB1547"/>
    <w:rsid w:val="00AB16A1"/>
    <w:rsid w:val="00AB1A71"/>
    <w:rsid w:val="00AB1CA9"/>
    <w:rsid w:val="00AB1CF5"/>
    <w:rsid w:val="00AB2137"/>
    <w:rsid w:val="00AB22CE"/>
    <w:rsid w:val="00AB25CB"/>
    <w:rsid w:val="00AB2701"/>
    <w:rsid w:val="00AB275C"/>
    <w:rsid w:val="00AB27C9"/>
    <w:rsid w:val="00AB28ED"/>
    <w:rsid w:val="00AB2D17"/>
    <w:rsid w:val="00AB342A"/>
    <w:rsid w:val="00AB34AD"/>
    <w:rsid w:val="00AB3AC0"/>
    <w:rsid w:val="00AB3EAA"/>
    <w:rsid w:val="00AB410F"/>
    <w:rsid w:val="00AB41B3"/>
    <w:rsid w:val="00AB4310"/>
    <w:rsid w:val="00AB434E"/>
    <w:rsid w:val="00AB46E2"/>
    <w:rsid w:val="00AB4C37"/>
    <w:rsid w:val="00AB4FA7"/>
    <w:rsid w:val="00AB50B3"/>
    <w:rsid w:val="00AB52BA"/>
    <w:rsid w:val="00AB55B9"/>
    <w:rsid w:val="00AB568C"/>
    <w:rsid w:val="00AB56E7"/>
    <w:rsid w:val="00AB592D"/>
    <w:rsid w:val="00AB59F3"/>
    <w:rsid w:val="00AB5D2C"/>
    <w:rsid w:val="00AB5DBD"/>
    <w:rsid w:val="00AB5E27"/>
    <w:rsid w:val="00AB5E33"/>
    <w:rsid w:val="00AB607A"/>
    <w:rsid w:val="00AB67DB"/>
    <w:rsid w:val="00AB6839"/>
    <w:rsid w:val="00AB7245"/>
    <w:rsid w:val="00AB736A"/>
    <w:rsid w:val="00AB74DF"/>
    <w:rsid w:val="00AB74EA"/>
    <w:rsid w:val="00AB77D0"/>
    <w:rsid w:val="00AB7B51"/>
    <w:rsid w:val="00AB7B6B"/>
    <w:rsid w:val="00AC004F"/>
    <w:rsid w:val="00AC02C6"/>
    <w:rsid w:val="00AC06FA"/>
    <w:rsid w:val="00AC073D"/>
    <w:rsid w:val="00AC1069"/>
    <w:rsid w:val="00AC1842"/>
    <w:rsid w:val="00AC1960"/>
    <w:rsid w:val="00AC1BD8"/>
    <w:rsid w:val="00AC1D8C"/>
    <w:rsid w:val="00AC1EFF"/>
    <w:rsid w:val="00AC1F83"/>
    <w:rsid w:val="00AC1FAA"/>
    <w:rsid w:val="00AC214F"/>
    <w:rsid w:val="00AC274C"/>
    <w:rsid w:val="00AC27B2"/>
    <w:rsid w:val="00AC2859"/>
    <w:rsid w:val="00AC2871"/>
    <w:rsid w:val="00AC2BDD"/>
    <w:rsid w:val="00AC2E15"/>
    <w:rsid w:val="00AC2EA7"/>
    <w:rsid w:val="00AC3571"/>
    <w:rsid w:val="00AC3688"/>
    <w:rsid w:val="00AC3726"/>
    <w:rsid w:val="00AC37EA"/>
    <w:rsid w:val="00AC39DE"/>
    <w:rsid w:val="00AC3AF7"/>
    <w:rsid w:val="00AC3B8A"/>
    <w:rsid w:val="00AC3F8B"/>
    <w:rsid w:val="00AC402F"/>
    <w:rsid w:val="00AC4088"/>
    <w:rsid w:val="00AC4341"/>
    <w:rsid w:val="00AC45EB"/>
    <w:rsid w:val="00AC46C6"/>
    <w:rsid w:val="00AC48D9"/>
    <w:rsid w:val="00AC4A50"/>
    <w:rsid w:val="00AC4A99"/>
    <w:rsid w:val="00AC4F7C"/>
    <w:rsid w:val="00AC5215"/>
    <w:rsid w:val="00AC546D"/>
    <w:rsid w:val="00AC5833"/>
    <w:rsid w:val="00AC587D"/>
    <w:rsid w:val="00AC5900"/>
    <w:rsid w:val="00AC5B8B"/>
    <w:rsid w:val="00AC5E5D"/>
    <w:rsid w:val="00AC5F10"/>
    <w:rsid w:val="00AC5F80"/>
    <w:rsid w:val="00AC5FAF"/>
    <w:rsid w:val="00AC6046"/>
    <w:rsid w:val="00AC61DB"/>
    <w:rsid w:val="00AC63AC"/>
    <w:rsid w:val="00AC6637"/>
    <w:rsid w:val="00AC6704"/>
    <w:rsid w:val="00AC677E"/>
    <w:rsid w:val="00AC6807"/>
    <w:rsid w:val="00AC69D8"/>
    <w:rsid w:val="00AC6AFF"/>
    <w:rsid w:val="00AC6BE1"/>
    <w:rsid w:val="00AC7355"/>
    <w:rsid w:val="00AC74F1"/>
    <w:rsid w:val="00AC75D9"/>
    <w:rsid w:val="00AC76C9"/>
    <w:rsid w:val="00AC7730"/>
    <w:rsid w:val="00AC7870"/>
    <w:rsid w:val="00AC78D7"/>
    <w:rsid w:val="00AD043A"/>
    <w:rsid w:val="00AD047E"/>
    <w:rsid w:val="00AD04CC"/>
    <w:rsid w:val="00AD0705"/>
    <w:rsid w:val="00AD07FD"/>
    <w:rsid w:val="00AD0825"/>
    <w:rsid w:val="00AD0D28"/>
    <w:rsid w:val="00AD0DBD"/>
    <w:rsid w:val="00AD0F14"/>
    <w:rsid w:val="00AD1084"/>
    <w:rsid w:val="00AD13D5"/>
    <w:rsid w:val="00AD16C0"/>
    <w:rsid w:val="00AD1AA2"/>
    <w:rsid w:val="00AD1C35"/>
    <w:rsid w:val="00AD1CE7"/>
    <w:rsid w:val="00AD1D63"/>
    <w:rsid w:val="00AD1E67"/>
    <w:rsid w:val="00AD2178"/>
    <w:rsid w:val="00AD255E"/>
    <w:rsid w:val="00AD29E2"/>
    <w:rsid w:val="00AD2A1B"/>
    <w:rsid w:val="00AD2B42"/>
    <w:rsid w:val="00AD2F61"/>
    <w:rsid w:val="00AD315F"/>
    <w:rsid w:val="00AD318B"/>
    <w:rsid w:val="00AD330D"/>
    <w:rsid w:val="00AD3861"/>
    <w:rsid w:val="00AD3A48"/>
    <w:rsid w:val="00AD3DC4"/>
    <w:rsid w:val="00AD3E75"/>
    <w:rsid w:val="00AD40F8"/>
    <w:rsid w:val="00AD4124"/>
    <w:rsid w:val="00AD4153"/>
    <w:rsid w:val="00AD4350"/>
    <w:rsid w:val="00AD438D"/>
    <w:rsid w:val="00AD445B"/>
    <w:rsid w:val="00AD4476"/>
    <w:rsid w:val="00AD450A"/>
    <w:rsid w:val="00AD48BF"/>
    <w:rsid w:val="00AD495C"/>
    <w:rsid w:val="00AD4E9B"/>
    <w:rsid w:val="00AD5037"/>
    <w:rsid w:val="00AD52AF"/>
    <w:rsid w:val="00AD553A"/>
    <w:rsid w:val="00AD58B4"/>
    <w:rsid w:val="00AD5B91"/>
    <w:rsid w:val="00AD5CC2"/>
    <w:rsid w:val="00AD5D10"/>
    <w:rsid w:val="00AD5D19"/>
    <w:rsid w:val="00AD62AC"/>
    <w:rsid w:val="00AD6309"/>
    <w:rsid w:val="00AD65EF"/>
    <w:rsid w:val="00AD67D0"/>
    <w:rsid w:val="00AD69C2"/>
    <w:rsid w:val="00AD6B56"/>
    <w:rsid w:val="00AD6C59"/>
    <w:rsid w:val="00AD6C6B"/>
    <w:rsid w:val="00AD6CAD"/>
    <w:rsid w:val="00AD6F03"/>
    <w:rsid w:val="00AD7132"/>
    <w:rsid w:val="00AD71B0"/>
    <w:rsid w:val="00AD71C0"/>
    <w:rsid w:val="00AD7575"/>
    <w:rsid w:val="00AD75D6"/>
    <w:rsid w:val="00AD7824"/>
    <w:rsid w:val="00AD79D6"/>
    <w:rsid w:val="00AD7A30"/>
    <w:rsid w:val="00AD7B8B"/>
    <w:rsid w:val="00AD7C19"/>
    <w:rsid w:val="00AD7D66"/>
    <w:rsid w:val="00AD7EE3"/>
    <w:rsid w:val="00AD7FD7"/>
    <w:rsid w:val="00AE0192"/>
    <w:rsid w:val="00AE07DA"/>
    <w:rsid w:val="00AE0B98"/>
    <w:rsid w:val="00AE0BB1"/>
    <w:rsid w:val="00AE0C27"/>
    <w:rsid w:val="00AE0C9B"/>
    <w:rsid w:val="00AE1428"/>
    <w:rsid w:val="00AE1774"/>
    <w:rsid w:val="00AE199E"/>
    <w:rsid w:val="00AE19B5"/>
    <w:rsid w:val="00AE1A94"/>
    <w:rsid w:val="00AE1DEA"/>
    <w:rsid w:val="00AE22A6"/>
    <w:rsid w:val="00AE2304"/>
    <w:rsid w:val="00AE23BA"/>
    <w:rsid w:val="00AE2444"/>
    <w:rsid w:val="00AE25BE"/>
    <w:rsid w:val="00AE28A8"/>
    <w:rsid w:val="00AE2994"/>
    <w:rsid w:val="00AE2C7C"/>
    <w:rsid w:val="00AE2C8D"/>
    <w:rsid w:val="00AE34CD"/>
    <w:rsid w:val="00AE34DA"/>
    <w:rsid w:val="00AE377F"/>
    <w:rsid w:val="00AE3B97"/>
    <w:rsid w:val="00AE3CFB"/>
    <w:rsid w:val="00AE3D58"/>
    <w:rsid w:val="00AE3FD0"/>
    <w:rsid w:val="00AE3FEA"/>
    <w:rsid w:val="00AE41FE"/>
    <w:rsid w:val="00AE425B"/>
    <w:rsid w:val="00AE432B"/>
    <w:rsid w:val="00AE4474"/>
    <w:rsid w:val="00AE44CA"/>
    <w:rsid w:val="00AE4692"/>
    <w:rsid w:val="00AE4A32"/>
    <w:rsid w:val="00AE4A34"/>
    <w:rsid w:val="00AE4B74"/>
    <w:rsid w:val="00AE4CB2"/>
    <w:rsid w:val="00AE4F5F"/>
    <w:rsid w:val="00AE5857"/>
    <w:rsid w:val="00AE5CDF"/>
    <w:rsid w:val="00AE5D26"/>
    <w:rsid w:val="00AE610C"/>
    <w:rsid w:val="00AE6267"/>
    <w:rsid w:val="00AE626E"/>
    <w:rsid w:val="00AE63BA"/>
    <w:rsid w:val="00AE6C32"/>
    <w:rsid w:val="00AE6E32"/>
    <w:rsid w:val="00AE7081"/>
    <w:rsid w:val="00AE708B"/>
    <w:rsid w:val="00AE70F3"/>
    <w:rsid w:val="00AE710B"/>
    <w:rsid w:val="00AE7156"/>
    <w:rsid w:val="00AE715E"/>
    <w:rsid w:val="00AE71CC"/>
    <w:rsid w:val="00AE78CE"/>
    <w:rsid w:val="00AE7A3E"/>
    <w:rsid w:val="00AE7B96"/>
    <w:rsid w:val="00AE7BC5"/>
    <w:rsid w:val="00AE7F33"/>
    <w:rsid w:val="00AF01BE"/>
    <w:rsid w:val="00AF0424"/>
    <w:rsid w:val="00AF0619"/>
    <w:rsid w:val="00AF07B2"/>
    <w:rsid w:val="00AF0ECE"/>
    <w:rsid w:val="00AF0EED"/>
    <w:rsid w:val="00AF0F96"/>
    <w:rsid w:val="00AF0FA7"/>
    <w:rsid w:val="00AF0FAC"/>
    <w:rsid w:val="00AF134E"/>
    <w:rsid w:val="00AF1435"/>
    <w:rsid w:val="00AF14DB"/>
    <w:rsid w:val="00AF151B"/>
    <w:rsid w:val="00AF1753"/>
    <w:rsid w:val="00AF182C"/>
    <w:rsid w:val="00AF1946"/>
    <w:rsid w:val="00AF1D48"/>
    <w:rsid w:val="00AF1D7B"/>
    <w:rsid w:val="00AF1E13"/>
    <w:rsid w:val="00AF1E24"/>
    <w:rsid w:val="00AF1F01"/>
    <w:rsid w:val="00AF1FB5"/>
    <w:rsid w:val="00AF2057"/>
    <w:rsid w:val="00AF2157"/>
    <w:rsid w:val="00AF231D"/>
    <w:rsid w:val="00AF239A"/>
    <w:rsid w:val="00AF264D"/>
    <w:rsid w:val="00AF28A2"/>
    <w:rsid w:val="00AF2A52"/>
    <w:rsid w:val="00AF2B77"/>
    <w:rsid w:val="00AF2D15"/>
    <w:rsid w:val="00AF2F55"/>
    <w:rsid w:val="00AF3426"/>
    <w:rsid w:val="00AF346F"/>
    <w:rsid w:val="00AF34E5"/>
    <w:rsid w:val="00AF37DE"/>
    <w:rsid w:val="00AF3AA4"/>
    <w:rsid w:val="00AF3B2A"/>
    <w:rsid w:val="00AF3BD9"/>
    <w:rsid w:val="00AF3C53"/>
    <w:rsid w:val="00AF3D8A"/>
    <w:rsid w:val="00AF400A"/>
    <w:rsid w:val="00AF4243"/>
    <w:rsid w:val="00AF431D"/>
    <w:rsid w:val="00AF433E"/>
    <w:rsid w:val="00AF479F"/>
    <w:rsid w:val="00AF48B6"/>
    <w:rsid w:val="00AF4B7D"/>
    <w:rsid w:val="00AF4CC1"/>
    <w:rsid w:val="00AF4E52"/>
    <w:rsid w:val="00AF4F53"/>
    <w:rsid w:val="00AF4F66"/>
    <w:rsid w:val="00AF544C"/>
    <w:rsid w:val="00AF581B"/>
    <w:rsid w:val="00AF5B41"/>
    <w:rsid w:val="00AF5C45"/>
    <w:rsid w:val="00AF5D71"/>
    <w:rsid w:val="00AF5F83"/>
    <w:rsid w:val="00AF6145"/>
    <w:rsid w:val="00AF6153"/>
    <w:rsid w:val="00AF621C"/>
    <w:rsid w:val="00AF693B"/>
    <w:rsid w:val="00AF6B77"/>
    <w:rsid w:val="00AF6B99"/>
    <w:rsid w:val="00AF6BE1"/>
    <w:rsid w:val="00AF729B"/>
    <w:rsid w:val="00AF74C9"/>
    <w:rsid w:val="00AF7564"/>
    <w:rsid w:val="00AF7684"/>
    <w:rsid w:val="00AF76D0"/>
    <w:rsid w:val="00AF7A75"/>
    <w:rsid w:val="00AF7B88"/>
    <w:rsid w:val="00AF7DC4"/>
    <w:rsid w:val="00AF7E04"/>
    <w:rsid w:val="00AF7F83"/>
    <w:rsid w:val="00B00060"/>
    <w:rsid w:val="00B001E5"/>
    <w:rsid w:val="00B00330"/>
    <w:rsid w:val="00B0033F"/>
    <w:rsid w:val="00B0059A"/>
    <w:rsid w:val="00B0070C"/>
    <w:rsid w:val="00B00A70"/>
    <w:rsid w:val="00B00BFA"/>
    <w:rsid w:val="00B00C61"/>
    <w:rsid w:val="00B00D13"/>
    <w:rsid w:val="00B00D8B"/>
    <w:rsid w:val="00B00ECE"/>
    <w:rsid w:val="00B01120"/>
    <w:rsid w:val="00B01346"/>
    <w:rsid w:val="00B01409"/>
    <w:rsid w:val="00B014BE"/>
    <w:rsid w:val="00B015B0"/>
    <w:rsid w:val="00B01AC0"/>
    <w:rsid w:val="00B01EED"/>
    <w:rsid w:val="00B02207"/>
    <w:rsid w:val="00B0242C"/>
    <w:rsid w:val="00B025D5"/>
    <w:rsid w:val="00B02B33"/>
    <w:rsid w:val="00B02B94"/>
    <w:rsid w:val="00B02F23"/>
    <w:rsid w:val="00B03462"/>
    <w:rsid w:val="00B03793"/>
    <w:rsid w:val="00B03A39"/>
    <w:rsid w:val="00B03F95"/>
    <w:rsid w:val="00B04120"/>
    <w:rsid w:val="00B042BB"/>
    <w:rsid w:val="00B04467"/>
    <w:rsid w:val="00B044BC"/>
    <w:rsid w:val="00B0458B"/>
    <w:rsid w:val="00B04638"/>
    <w:rsid w:val="00B046BE"/>
    <w:rsid w:val="00B04757"/>
    <w:rsid w:val="00B04B66"/>
    <w:rsid w:val="00B04C1E"/>
    <w:rsid w:val="00B053D1"/>
    <w:rsid w:val="00B055DE"/>
    <w:rsid w:val="00B056AB"/>
    <w:rsid w:val="00B057B8"/>
    <w:rsid w:val="00B05885"/>
    <w:rsid w:val="00B058A3"/>
    <w:rsid w:val="00B0598B"/>
    <w:rsid w:val="00B05A52"/>
    <w:rsid w:val="00B05AC0"/>
    <w:rsid w:val="00B05B16"/>
    <w:rsid w:val="00B05B48"/>
    <w:rsid w:val="00B05CA2"/>
    <w:rsid w:val="00B05EA5"/>
    <w:rsid w:val="00B05F4F"/>
    <w:rsid w:val="00B060CE"/>
    <w:rsid w:val="00B06222"/>
    <w:rsid w:val="00B066F8"/>
    <w:rsid w:val="00B0675E"/>
    <w:rsid w:val="00B067E7"/>
    <w:rsid w:val="00B0680E"/>
    <w:rsid w:val="00B06AB6"/>
    <w:rsid w:val="00B06B11"/>
    <w:rsid w:val="00B06CBD"/>
    <w:rsid w:val="00B06D9A"/>
    <w:rsid w:val="00B07081"/>
    <w:rsid w:val="00B0717B"/>
    <w:rsid w:val="00B07526"/>
    <w:rsid w:val="00B07708"/>
    <w:rsid w:val="00B07714"/>
    <w:rsid w:val="00B07886"/>
    <w:rsid w:val="00B07B82"/>
    <w:rsid w:val="00B07D33"/>
    <w:rsid w:val="00B100E6"/>
    <w:rsid w:val="00B103BA"/>
    <w:rsid w:val="00B103CF"/>
    <w:rsid w:val="00B10517"/>
    <w:rsid w:val="00B10659"/>
    <w:rsid w:val="00B10764"/>
    <w:rsid w:val="00B1088E"/>
    <w:rsid w:val="00B10B32"/>
    <w:rsid w:val="00B10DD4"/>
    <w:rsid w:val="00B10E30"/>
    <w:rsid w:val="00B111AE"/>
    <w:rsid w:val="00B112DC"/>
    <w:rsid w:val="00B1131C"/>
    <w:rsid w:val="00B118AB"/>
    <w:rsid w:val="00B11B51"/>
    <w:rsid w:val="00B11F80"/>
    <w:rsid w:val="00B12579"/>
    <w:rsid w:val="00B1318B"/>
    <w:rsid w:val="00B13296"/>
    <w:rsid w:val="00B133F5"/>
    <w:rsid w:val="00B13A24"/>
    <w:rsid w:val="00B13FF5"/>
    <w:rsid w:val="00B14295"/>
    <w:rsid w:val="00B1429D"/>
    <w:rsid w:val="00B148CC"/>
    <w:rsid w:val="00B14A25"/>
    <w:rsid w:val="00B14ABF"/>
    <w:rsid w:val="00B14EEF"/>
    <w:rsid w:val="00B1544E"/>
    <w:rsid w:val="00B154F7"/>
    <w:rsid w:val="00B1558E"/>
    <w:rsid w:val="00B15659"/>
    <w:rsid w:val="00B156F5"/>
    <w:rsid w:val="00B15B59"/>
    <w:rsid w:val="00B15B7B"/>
    <w:rsid w:val="00B15CE3"/>
    <w:rsid w:val="00B1619D"/>
    <w:rsid w:val="00B161FF"/>
    <w:rsid w:val="00B16315"/>
    <w:rsid w:val="00B163B8"/>
    <w:rsid w:val="00B167F1"/>
    <w:rsid w:val="00B16856"/>
    <w:rsid w:val="00B169AC"/>
    <w:rsid w:val="00B16BB4"/>
    <w:rsid w:val="00B16C7A"/>
    <w:rsid w:val="00B16CE2"/>
    <w:rsid w:val="00B16DF0"/>
    <w:rsid w:val="00B16ED7"/>
    <w:rsid w:val="00B16F27"/>
    <w:rsid w:val="00B16FAC"/>
    <w:rsid w:val="00B16FC3"/>
    <w:rsid w:val="00B17059"/>
    <w:rsid w:val="00B17167"/>
    <w:rsid w:val="00B1723C"/>
    <w:rsid w:val="00B1728F"/>
    <w:rsid w:val="00B175AE"/>
    <w:rsid w:val="00B17768"/>
    <w:rsid w:val="00B177DB"/>
    <w:rsid w:val="00B17CDD"/>
    <w:rsid w:val="00B17E2A"/>
    <w:rsid w:val="00B17E82"/>
    <w:rsid w:val="00B17FDE"/>
    <w:rsid w:val="00B200D5"/>
    <w:rsid w:val="00B20187"/>
    <w:rsid w:val="00B2034D"/>
    <w:rsid w:val="00B205DE"/>
    <w:rsid w:val="00B20663"/>
    <w:rsid w:val="00B2067B"/>
    <w:rsid w:val="00B206CA"/>
    <w:rsid w:val="00B2084B"/>
    <w:rsid w:val="00B20882"/>
    <w:rsid w:val="00B209E0"/>
    <w:rsid w:val="00B20BB8"/>
    <w:rsid w:val="00B20E78"/>
    <w:rsid w:val="00B20F82"/>
    <w:rsid w:val="00B210B9"/>
    <w:rsid w:val="00B2131C"/>
    <w:rsid w:val="00B2133C"/>
    <w:rsid w:val="00B214D8"/>
    <w:rsid w:val="00B21971"/>
    <w:rsid w:val="00B219C8"/>
    <w:rsid w:val="00B21C20"/>
    <w:rsid w:val="00B21E8A"/>
    <w:rsid w:val="00B21EFE"/>
    <w:rsid w:val="00B220F0"/>
    <w:rsid w:val="00B2222E"/>
    <w:rsid w:val="00B222FE"/>
    <w:rsid w:val="00B223D0"/>
    <w:rsid w:val="00B227B8"/>
    <w:rsid w:val="00B2281C"/>
    <w:rsid w:val="00B228A2"/>
    <w:rsid w:val="00B22907"/>
    <w:rsid w:val="00B22ADC"/>
    <w:rsid w:val="00B22D9C"/>
    <w:rsid w:val="00B230BD"/>
    <w:rsid w:val="00B2321E"/>
    <w:rsid w:val="00B23258"/>
    <w:rsid w:val="00B23283"/>
    <w:rsid w:val="00B23374"/>
    <w:rsid w:val="00B23603"/>
    <w:rsid w:val="00B236CF"/>
    <w:rsid w:val="00B2370F"/>
    <w:rsid w:val="00B23981"/>
    <w:rsid w:val="00B23B86"/>
    <w:rsid w:val="00B24111"/>
    <w:rsid w:val="00B24144"/>
    <w:rsid w:val="00B24377"/>
    <w:rsid w:val="00B24736"/>
    <w:rsid w:val="00B24988"/>
    <w:rsid w:val="00B24A35"/>
    <w:rsid w:val="00B24CA8"/>
    <w:rsid w:val="00B24D39"/>
    <w:rsid w:val="00B24D8E"/>
    <w:rsid w:val="00B24DC4"/>
    <w:rsid w:val="00B24DF9"/>
    <w:rsid w:val="00B24E53"/>
    <w:rsid w:val="00B2521E"/>
    <w:rsid w:val="00B2536B"/>
    <w:rsid w:val="00B25482"/>
    <w:rsid w:val="00B2548A"/>
    <w:rsid w:val="00B254FF"/>
    <w:rsid w:val="00B25918"/>
    <w:rsid w:val="00B25BA3"/>
    <w:rsid w:val="00B25E5F"/>
    <w:rsid w:val="00B264C6"/>
    <w:rsid w:val="00B26902"/>
    <w:rsid w:val="00B26C5A"/>
    <w:rsid w:val="00B270BB"/>
    <w:rsid w:val="00B274E0"/>
    <w:rsid w:val="00B2775D"/>
    <w:rsid w:val="00B2776D"/>
    <w:rsid w:val="00B27A89"/>
    <w:rsid w:val="00B27AA8"/>
    <w:rsid w:val="00B27AF3"/>
    <w:rsid w:val="00B27AF4"/>
    <w:rsid w:val="00B27B5A"/>
    <w:rsid w:val="00B27E18"/>
    <w:rsid w:val="00B27EE2"/>
    <w:rsid w:val="00B27F80"/>
    <w:rsid w:val="00B3021C"/>
    <w:rsid w:val="00B302D6"/>
    <w:rsid w:val="00B302FA"/>
    <w:rsid w:val="00B305FF"/>
    <w:rsid w:val="00B3083F"/>
    <w:rsid w:val="00B30C16"/>
    <w:rsid w:val="00B30F77"/>
    <w:rsid w:val="00B31072"/>
    <w:rsid w:val="00B31196"/>
    <w:rsid w:val="00B31240"/>
    <w:rsid w:val="00B31277"/>
    <w:rsid w:val="00B31316"/>
    <w:rsid w:val="00B313E8"/>
    <w:rsid w:val="00B31537"/>
    <w:rsid w:val="00B31725"/>
    <w:rsid w:val="00B31758"/>
    <w:rsid w:val="00B319BB"/>
    <w:rsid w:val="00B321E9"/>
    <w:rsid w:val="00B325FC"/>
    <w:rsid w:val="00B32747"/>
    <w:rsid w:val="00B32938"/>
    <w:rsid w:val="00B329CC"/>
    <w:rsid w:val="00B32B3B"/>
    <w:rsid w:val="00B32D6C"/>
    <w:rsid w:val="00B32E6F"/>
    <w:rsid w:val="00B32E8D"/>
    <w:rsid w:val="00B33053"/>
    <w:rsid w:val="00B330B9"/>
    <w:rsid w:val="00B33266"/>
    <w:rsid w:val="00B33650"/>
    <w:rsid w:val="00B33790"/>
    <w:rsid w:val="00B33BC5"/>
    <w:rsid w:val="00B33F4B"/>
    <w:rsid w:val="00B34048"/>
    <w:rsid w:val="00B34072"/>
    <w:rsid w:val="00B3411A"/>
    <w:rsid w:val="00B3454D"/>
    <w:rsid w:val="00B3455D"/>
    <w:rsid w:val="00B34C1E"/>
    <w:rsid w:val="00B34D3A"/>
    <w:rsid w:val="00B34E48"/>
    <w:rsid w:val="00B35018"/>
    <w:rsid w:val="00B35541"/>
    <w:rsid w:val="00B35870"/>
    <w:rsid w:val="00B35B4A"/>
    <w:rsid w:val="00B35C01"/>
    <w:rsid w:val="00B35D27"/>
    <w:rsid w:val="00B35F8B"/>
    <w:rsid w:val="00B3605D"/>
    <w:rsid w:val="00B361C2"/>
    <w:rsid w:val="00B3632F"/>
    <w:rsid w:val="00B3652A"/>
    <w:rsid w:val="00B3670D"/>
    <w:rsid w:val="00B36B04"/>
    <w:rsid w:val="00B36BA5"/>
    <w:rsid w:val="00B36F72"/>
    <w:rsid w:val="00B370BD"/>
    <w:rsid w:val="00B371DD"/>
    <w:rsid w:val="00B371ED"/>
    <w:rsid w:val="00B37293"/>
    <w:rsid w:val="00B37383"/>
    <w:rsid w:val="00B3749D"/>
    <w:rsid w:val="00B377CA"/>
    <w:rsid w:val="00B37A2A"/>
    <w:rsid w:val="00B37C49"/>
    <w:rsid w:val="00B403FA"/>
    <w:rsid w:val="00B40562"/>
    <w:rsid w:val="00B40DDF"/>
    <w:rsid w:val="00B4113D"/>
    <w:rsid w:val="00B413BB"/>
    <w:rsid w:val="00B41907"/>
    <w:rsid w:val="00B4191D"/>
    <w:rsid w:val="00B41B66"/>
    <w:rsid w:val="00B42198"/>
    <w:rsid w:val="00B42774"/>
    <w:rsid w:val="00B4310D"/>
    <w:rsid w:val="00B431F9"/>
    <w:rsid w:val="00B4323D"/>
    <w:rsid w:val="00B432BF"/>
    <w:rsid w:val="00B4375E"/>
    <w:rsid w:val="00B43D66"/>
    <w:rsid w:val="00B4406F"/>
    <w:rsid w:val="00B441B9"/>
    <w:rsid w:val="00B443CC"/>
    <w:rsid w:val="00B4441C"/>
    <w:rsid w:val="00B44716"/>
    <w:rsid w:val="00B44C82"/>
    <w:rsid w:val="00B44C91"/>
    <w:rsid w:val="00B44DD8"/>
    <w:rsid w:val="00B44E97"/>
    <w:rsid w:val="00B451B2"/>
    <w:rsid w:val="00B45262"/>
    <w:rsid w:val="00B45631"/>
    <w:rsid w:val="00B4568C"/>
    <w:rsid w:val="00B45787"/>
    <w:rsid w:val="00B45AAD"/>
    <w:rsid w:val="00B45C79"/>
    <w:rsid w:val="00B45CB1"/>
    <w:rsid w:val="00B45DA2"/>
    <w:rsid w:val="00B45DC1"/>
    <w:rsid w:val="00B45DEB"/>
    <w:rsid w:val="00B45F8D"/>
    <w:rsid w:val="00B4657D"/>
    <w:rsid w:val="00B46930"/>
    <w:rsid w:val="00B46A3E"/>
    <w:rsid w:val="00B46B49"/>
    <w:rsid w:val="00B46CE9"/>
    <w:rsid w:val="00B47838"/>
    <w:rsid w:val="00B501D9"/>
    <w:rsid w:val="00B50229"/>
    <w:rsid w:val="00B503F9"/>
    <w:rsid w:val="00B506BA"/>
    <w:rsid w:val="00B5077B"/>
    <w:rsid w:val="00B508BF"/>
    <w:rsid w:val="00B50ACB"/>
    <w:rsid w:val="00B50DAE"/>
    <w:rsid w:val="00B50EC3"/>
    <w:rsid w:val="00B50ED2"/>
    <w:rsid w:val="00B5105B"/>
    <w:rsid w:val="00B5106C"/>
    <w:rsid w:val="00B5125E"/>
    <w:rsid w:val="00B51278"/>
    <w:rsid w:val="00B51347"/>
    <w:rsid w:val="00B5171E"/>
    <w:rsid w:val="00B517A0"/>
    <w:rsid w:val="00B52098"/>
    <w:rsid w:val="00B5221D"/>
    <w:rsid w:val="00B52374"/>
    <w:rsid w:val="00B5248F"/>
    <w:rsid w:val="00B528F0"/>
    <w:rsid w:val="00B52B3E"/>
    <w:rsid w:val="00B52E0D"/>
    <w:rsid w:val="00B52E17"/>
    <w:rsid w:val="00B52F8E"/>
    <w:rsid w:val="00B5319F"/>
    <w:rsid w:val="00B53379"/>
    <w:rsid w:val="00B534B4"/>
    <w:rsid w:val="00B53519"/>
    <w:rsid w:val="00B5362D"/>
    <w:rsid w:val="00B5364C"/>
    <w:rsid w:val="00B536DF"/>
    <w:rsid w:val="00B539F2"/>
    <w:rsid w:val="00B53A15"/>
    <w:rsid w:val="00B53C19"/>
    <w:rsid w:val="00B53E5C"/>
    <w:rsid w:val="00B53F48"/>
    <w:rsid w:val="00B541DD"/>
    <w:rsid w:val="00B54926"/>
    <w:rsid w:val="00B54AED"/>
    <w:rsid w:val="00B54D3C"/>
    <w:rsid w:val="00B5505C"/>
    <w:rsid w:val="00B551B7"/>
    <w:rsid w:val="00B554BE"/>
    <w:rsid w:val="00B55523"/>
    <w:rsid w:val="00B555C3"/>
    <w:rsid w:val="00B5566D"/>
    <w:rsid w:val="00B55730"/>
    <w:rsid w:val="00B55817"/>
    <w:rsid w:val="00B55D91"/>
    <w:rsid w:val="00B55E6A"/>
    <w:rsid w:val="00B5660E"/>
    <w:rsid w:val="00B56898"/>
    <w:rsid w:val="00B569C8"/>
    <w:rsid w:val="00B56B13"/>
    <w:rsid w:val="00B56DD2"/>
    <w:rsid w:val="00B56E63"/>
    <w:rsid w:val="00B56ED3"/>
    <w:rsid w:val="00B56F19"/>
    <w:rsid w:val="00B56F52"/>
    <w:rsid w:val="00B57265"/>
    <w:rsid w:val="00B57432"/>
    <w:rsid w:val="00B57522"/>
    <w:rsid w:val="00B575B3"/>
    <w:rsid w:val="00B5797D"/>
    <w:rsid w:val="00B60169"/>
    <w:rsid w:val="00B6016B"/>
    <w:rsid w:val="00B60507"/>
    <w:rsid w:val="00B605B9"/>
    <w:rsid w:val="00B608C7"/>
    <w:rsid w:val="00B60AE9"/>
    <w:rsid w:val="00B60E39"/>
    <w:rsid w:val="00B60EEA"/>
    <w:rsid w:val="00B610D8"/>
    <w:rsid w:val="00B61618"/>
    <w:rsid w:val="00B6187D"/>
    <w:rsid w:val="00B61AB1"/>
    <w:rsid w:val="00B61EF8"/>
    <w:rsid w:val="00B6212E"/>
    <w:rsid w:val="00B621DC"/>
    <w:rsid w:val="00B62740"/>
    <w:rsid w:val="00B627D8"/>
    <w:rsid w:val="00B6293A"/>
    <w:rsid w:val="00B629C0"/>
    <w:rsid w:val="00B62C11"/>
    <w:rsid w:val="00B62C45"/>
    <w:rsid w:val="00B62DE3"/>
    <w:rsid w:val="00B62F8F"/>
    <w:rsid w:val="00B6317C"/>
    <w:rsid w:val="00B6321B"/>
    <w:rsid w:val="00B632AD"/>
    <w:rsid w:val="00B632C0"/>
    <w:rsid w:val="00B63387"/>
    <w:rsid w:val="00B6352D"/>
    <w:rsid w:val="00B6378B"/>
    <w:rsid w:val="00B63E0B"/>
    <w:rsid w:val="00B64066"/>
    <w:rsid w:val="00B647F7"/>
    <w:rsid w:val="00B6488D"/>
    <w:rsid w:val="00B6497A"/>
    <w:rsid w:val="00B649B0"/>
    <w:rsid w:val="00B64E53"/>
    <w:rsid w:val="00B64F6E"/>
    <w:rsid w:val="00B64FE6"/>
    <w:rsid w:val="00B6502C"/>
    <w:rsid w:val="00B65033"/>
    <w:rsid w:val="00B65199"/>
    <w:rsid w:val="00B6525D"/>
    <w:rsid w:val="00B65477"/>
    <w:rsid w:val="00B65511"/>
    <w:rsid w:val="00B65515"/>
    <w:rsid w:val="00B656F1"/>
    <w:rsid w:val="00B65A2C"/>
    <w:rsid w:val="00B65DAA"/>
    <w:rsid w:val="00B6602C"/>
    <w:rsid w:val="00B66435"/>
    <w:rsid w:val="00B6653E"/>
    <w:rsid w:val="00B6680A"/>
    <w:rsid w:val="00B669D3"/>
    <w:rsid w:val="00B66A23"/>
    <w:rsid w:val="00B66B2F"/>
    <w:rsid w:val="00B66C84"/>
    <w:rsid w:val="00B6700B"/>
    <w:rsid w:val="00B6713B"/>
    <w:rsid w:val="00B6719A"/>
    <w:rsid w:val="00B671C9"/>
    <w:rsid w:val="00B671D4"/>
    <w:rsid w:val="00B67334"/>
    <w:rsid w:val="00B6734C"/>
    <w:rsid w:val="00B67352"/>
    <w:rsid w:val="00B67504"/>
    <w:rsid w:val="00B67B55"/>
    <w:rsid w:val="00B67D7A"/>
    <w:rsid w:val="00B67E53"/>
    <w:rsid w:val="00B70087"/>
    <w:rsid w:val="00B70251"/>
    <w:rsid w:val="00B70291"/>
    <w:rsid w:val="00B70420"/>
    <w:rsid w:val="00B7047A"/>
    <w:rsid w:val="00B707E6"/>
    <w:rsid w:val="00B707FE"/>
    <w:rsid w:val="00B70963"/>
    <w:rsid w:val="00B70BAD"/>
    <w:rsid w:val="00B70BE6"/>
    <w:rsid w:val="00B70BF7"/>
    <w:rsid w:val="00B70EF6"/>
    <w:rsid w:val="00B7102A"/>
    <w:rsid w:val="00B71094"/>
    <w:rsid w:val="00B71135"/>
    <w:rsid w:val="00B7128B"/>
    <w:rsid w:val="00B715BD"/>
    <w:rsid w:val="00B717A5"/>
    <w:rsid w:val="00B7199D"/>
    <w:rsid w:val="00B719A9"/>
    <w:rsid w:val="00B719DD"/>
    <w:rsid w:val="00B71B7B"/>
    <w:rsid w:val="00B71C16"/>
    <w:rsid w:val="00B71C5A"/>
    <w:rsid w:val="00B71D2B"/>
    <w:rsid w:val="00B71DBC"/>
    <w:rsid w:val="00B71F76"/>
    <w:rsid w:val="00B720EC"/>
    <w:rsid w:val="00B72254"/>
    <w:rsid w:val="00B7228F"/>
    <w:rsid w:val="00B7243C"/>
    <w:rsid w:val="00B72860"/>
    <w:rsid w:val="00B72ACA"/>
    <w:rsid w:val="00B72DEE"/>
    <w:rsid w:val="00B72E78"/>
    <w:rsid w:val="00B730CB"/>
    <w:rsid w:val="00B73467"/>
    <w:rsid w:val="00B737C6"/>
    <w:rsid w:val="00B73884"/>
    <w:rsid w:val="00B7393D"/>
    <w:rsid w:val="00B73A28"/>
    <w:rsid w:val="00B73A2D"/>
    <w:rsid w:val="00B73CD4"/>
    <w:rsid w:val="00B73E5A"/>
    <w:rsid w:val="00B7407E"/>
    <w:rsid w:val="00B7414D"/>
    <w:rsid w:val="00B74203"/>
    <w:rsid w:val="00B7442B"/>
    <w:rsid w:val="00B74638"/>
    <w:rsid w:val="00B749FB"/>
    <w:rsid w:val="00B74F7F"/>
    <w:rsid w:val="00B75034"/>
    <w:rsid w:val="00B75289"/>
    <w:rsid w:val="00B752DC"/>
    <w:rsid w:val="00B7539B"/>
    <w:rsid w:val="00B75616"/>
    <w:rsid w:val="00B75B08"/>
    <w:rsid w:val="00B75DC5"/>
    <w:rsid w:val="00B7625C"/>
    <w:rsid w:val="00B7626D"/>
    <w:rsid w:val="00B762F3"/>
    <w:rsid w:val="00B76396"/>
    <w:rsid w:val="00B76410"/>
    <w:rsid w:val="00B7663C"/>
    <w:rsid w:val="00B766E5"/>
    <w:rsid w:val="00B766F9"/>
    <w:rsid w:val="00B76E3E"/>
    <w:rsid w:val="00B7726E"/>
    <w:rsid w:val="00B77549"/>
    <w:rsid w:val="00B77605"/>
    <w:rsid w:val="00B77634"/>
    <w:rsid w:val="00B7765D"/>
    <w:rsid w:val="00B776B2"/>
    <w:rsid w:val="00B77917"/>
    <w:rsid w:val="00B77989"/>
    <w:rsid w:val="00B77F28"/>
    <w:rsid w:val="00B800F4"/>
    <w:rsid w:val="00B80167"/>
    <w:rsid w:val="00B80291"/>
    <w:rsid w:val="00B80311"/>
    <w:rsid w:val="00B8041D"/>
    <w:rsid w:val="00B80F15"/>
    <w:rsid w:val="00B810F5"/>
    <w:rsid w:val="00B81245"/>
    <w:rsid w:val="00B81432"/>
    <w:rsid w:val="00B81592"/>
    <w:rsid w:val="00B81F6E"/>
    <w:rsid w:val="00B81F71"/>
    <w:rsid w:val="00B82165"/>
    <w:rsid w:val="00B82323"/>
    <w:rsid w:val="00B82734"/>
    <w:rsid w:val="00B82A75"/>
    <w:rsid w:val="00B82C26"/>
    <w:rsid w:val="00B82C62"/>
    <w:rsid w:val="00B82D08"/>
    <w:rsid w:val="00B830A4"/>
    <w:rsid w:val="00B83303"/>
    <w:rsid w:val="00B83326"/>
    <w:rsid w:val="00B835D4"/>
    <w:rsid w:val="00B83C04"/>
    <w:rsid w:val="00B83D7D"/>
    <w:rsid w:val="00B83E6B"/>
    <w:rsid w:val="00B83F01"/>
    <w:rsid w:val="00B84078"/>
    <w:rsid w:val="00B8415F"/>
    <w:rsid w:val="00B8426B"/>
    <w:rsid w:val="00B84297"/>
    <w:rsid w:val="00B843B8"/>
    <w:rsid w:val="00B84840"/>
    <w:rsid w:val="00B84869"/>
    <w:rsid w:val="00B84872"/>
    <w:rsid w:val="00B84BC0"/>
    <w:rsid w:val="00B84E6B"/>
    <w:rsid w:val="00B84F5E"/>
    <w:rsid w:val="00B853BE"/>
    <w:rsid w:val="00B85689"/>
    <w:rsid w:val="00B85B8E"/>
    <w:rsid w:val="00B85DB1"/>
    <w:rsid w:val="00B85EA9"/>
    <w:rsid w:val="00B8622D"/>
    <w:rsid w:val="00B865C6"/>
    <w:rsid w:val="00B86607"/>
    <w:rsid w:val="00B86694"/>
    <w:rsid w:val="00B87205"/>
    <w:rsid w:val="00B8722D"/>
    <w:rsid w:val="00B8725B"/>
    <w:rsid w:val="00B873B3"/>
    <w:rsid w:val="00B87859"/>
    <w:rsid w:val="00B87880"/>
    <w:rsid w:val="00B878E8"/>
    <w:rsid w:val="00B87AA7"/>
    <w:rsid w:val="00B90482"/>
    <w:rsid w:val="00B904BA"/>
    <w:rsid w:val="00B9092B"/>
    <w:rsid w:val="00B90C3D"/>
    <w:rsid w:val="00B90F3C"/>
    <w:rsid w:val="00B9117F"/>
    <w:rsid w:val="00B912D7"/>
    <w:rsid w:val="00B91542"/>
    <w:rsid w:val="00B91916"/>
    <w:rsid w:val="00B91D47"/>
    <w:rsid w:val="00B91FBC"/>
    <w:rsid w:val="00B92063"/>
    <w:rsid w:val="00B92221"/>
    <w:rsid w:val="00B924A2"/>
    <w:rsid w:val="00B924CC"/>
    <w:rsid w:val="00B92663"/>
    <w:rsid w:val="00B928F6"/>
    <w:rsid w:val="00B92BC2"/>
    <w:rsid w:val="00B92DA2"/>
    <w:rsid w:val="00B92E36"/>
    <w:rsid w:val="00B9313F"/>
    <w:rsid w:val="00B93472"/>
    <w:rsid w:val="00B93AC4"/>
    <w:rsid w:val="00B93D62"/>
    <w:rsid w:val="00B93ECC"/>
    <w:rsid w:val="00B93F87"/>
    <w:rsid w:val="00B94167"/>
    <w:rsid w:val="00B9423E"/>
    <w:rsid w:val="00B945C4"/>
    <w:rsid w:val="00B9461C"/>
    <w:rsid w:val="00B94764"/>
    <w:rsid w:val="00B94947"/>
    <w:rsid w:val="00B949F0"/>
    <w:rsid w:val="00B94D01"/>
    <w:rsid w:val="00B94EED"/>
    <w:rsid w:val="00B94FB6"/>
    <w:rsid w:val="00B95006"/>
    <w:rsid w:val="00B950FE"/>
    <w:rsid w:val="00B95243"/>
    <w:rsid w:val="00B953E2"/>
    <w:rsid w:val="00B95571"/>
    <w:rsid w:val="00B955D9"/>
    <w:rsid w:val="00B956DA"/>
    <w:rsid w:val="00B957E2"/>
    <w:rsid w:val="00B95837"/>
    <w:rsid w:val="00B95919"/>
    <w:rsid w:val="00B95E25"/>
    <w:rsid w:val="00B96113"/>
    <w:rsid w:val="00B9639A"/>
    <w:rsid w:val="00B964A7"/>
    <w:rsid w:val="00B9674C"/>
    <w:rsid w:val="00B9679D"/>
    <w:rsid w:val="00B96FA1"/>
    <w:rsid w:val="00B97098"/>
    <w:rsid w:val="00B97493"/>
    <w:rsid w:val="00B9768E"/>
    <w:rsid w:val="00B97BF8"/>
    <w:rsid w:val="00B97D26"/>
    <w:rsid w:val="00B97FFB"/>
    <w:rsid w:val="00BA0689"/>
    <w:rsid w:val="00BA0816"/>
    <w:rsid w:val="00BA081F"/>
    <w:rsid w:val="00BA0882"/>
    <w:rsid w:val="00BA0A79"/>
    <w:rsid w:val="00BA0C36"/>
    <w:rsid w:val="00BA0D63"/>
    <w:rsid w:val="00BA0E5D"/>
    <w:rsid w:val="00BA0F08"/>
    <w:rsid w:val="00BA1105"/>
    <w:rsid w:val="00BA14A6"/>
    <w:rsid w:val="00BA16B6"/>
    <w:rsid w:val="00BA1A09"/>
    <w:rsid w:val="00BA1AA2"/>
    <w:rsid w:val="00BA1BDE"/>
    <w:rsid w:val="00BA1D1F"/>
    <w:rsid w:val="00BA1DF2"/>
    <w:rsid w:val="00BA1E25"/>
    <w:rsid w:val="00BA1E43"/>
    <w:rsid w:val="00BA272D"/>
    <w:rsid w:val="00BA2774"/>
    <w:rsid w:val="00BA284C"/>
    <w:rsid w:val="00BA287C"/>
    <w:rsid w:val="00BA289D"/>
    <w:rsid w:val="00BA2907"/>
    <w:rsid w:val="00BA291C"/>
    <w:rsid w:val="00BA2A83"/>
    <w:rsid w:val="00BA2C0C"/>
    <w:rsid w:val="00BA2EF1"/>
    <w:rsid w:val="00BA300A"/>
    <w:rsid w:val="00BA30B9"/>
    <w:rsid w:val="00BA3126"/>
    <w:rsid w:val="00BA32C3"/>
    <w:rsid w:val="00BA355F"/>
    <w:rsid w:val="00BA35F4"/>
    <w:rsid w:val="00BA36E7"/>
    <w:rsid w:val="00BA3A1D"/>
    <w:rsid w:val="00BA3C07"/>
    <w:rsid w:val="00BA3CA3"/>
    <w:rsid w:val="00BA3CB8"/>
    <w:rsid w:val="00BA3F2E"/>
    <w:rsid w:val="00BA40D4"/>
    <w:rsid w:val="00BA43E9"/>
    <w:rsid w:val="00BA4594"/>
    <w:rsid w:val="00BA4E75"/>
    <w:rsid w:val="00BA5181"/>
    <w:rsid w:val="00BA55CB"/>
    <w:rsid w:val="00BA574E"/>
    <w:rsid w:val="00BA57F5"/>
    <w:rsid w:val="00BA5934"/>
    <w:rsid w:val="00BA5B23"/>
    <w:rsid w:val="00BA5B85"/>
    <w:rsid w:val="00BA5C2F"/>
    <w:rsid w:val="00BA5F65"/>
    <w:rsid w:val="00BA618C"/>
    <w:rsid w:val="00BA61CA"/>
    <w:rsid w:val="00BA62AD"/>
    <w:rsid w:val="00BA64EB"/>
    <w:rsid w:val="00BA6542"/>
    <w:rsid w:val="00BA6AA8"/>
    <w:rsid w:val="00BA6EF5"/>
    <w:rsid w:val="00BA6F76"/>
    <w:rsid w:val="00BA6FBC"/>
    <w:rsid w:val="00BA7010"/>
    <w:rsid w:val="00BA728F"/>
    <w:rsid w:val="00BA74A4"/>
    <w:rsid w:val="00BA7520"/>
    <w:rsid w:val="00BA7623"/>
    <w:rsid w:val="00BA79B2"/>
    <w:rsid w:val="00BA7AA5"/>
    <w:rsid w:val="00BA7B66"/>
    <w:rsid w:val="00BA7E70"/>
    <w:rsid w:val="00BB0021"/>
    <w:rsid w:val="00BB0578"/>
    <w:rsid w:val="00BB06A7"/>
    <w:rsid w:val="00BB06C8"/>
    <w:rsid w:val="00BB0848"/>
    <w:rsid w:val="00BB0B85"/>
    <w:rsid w:val="00BB0BA9"/>
    <w:rsid w:val="00BB0EC5"/>
    <w:rsid w:val="00BB12CA"/>
    <w:rsid w:val="00BB12F1"/>
    <w:rsid w:val="00BB13D8"/>
    <w:rsid w:val="00BB1504"/>
    <w:rsid w:val="00BB152A"/>
    <w:rsid w:val="00BB1672"/>
    <w:rsid w:val="00BB1812"/>
    <w:rsid w:val="00BB1852"/>
    <w:rsid w:val="00BB18E5"/>
    <w:rsid w:val="00BB1933"/>
    <w:rsid w:val="00BB1B63"/>
    <w:rsid w:val="00BB2051"/>
    <w:rsid w:val="00BB213A"/>
    <w:rsid w:val="00BB22CC"/>
    <w:rsid w:val="00BB2327"/>
    <w:rsid w:val="00BB247E"/>
    <w:rsid w:val="00BB2708"/>
    <w:rsid w:val="00BB2843"/>
    <w:rsid w:val="00BB2C91"/>
    <w:rsid w:val="00BB30D6"/>
    <w:rsid w:val="00BB30DA"/>
    <w:rsid w:val="00BB34EE"/>
    <w:rsid w:val="00BB366D"/>
    <w:rsid w:val="00BB36BD"/>
    <w:rsid w:val="00BB39AA"/>
    <w:rsid w:val="00BB3A15"/>
    <w:rsid w:val="00BB3A95"/>
    <w:rsid w:val="00BB3CFB"/>
    <w:rsid w:val="00BB3D47"/>
    <w:rsid w:val="00BB4186"/>
    <w:rsid w:val="00BB4254"/>
    <w:rsid w:val="00BB4421"/>
    <w:rsid w:val="00BB44AB"/>
    <w:rsid w:val="00BB44B5"/>
    <w:rsid w:val="00BB44D0"/>
    <w:rsid w:val="00BB48B4"/>
    <w:rsid w:val="00BB4BE9"/>
    <w:rsid w:val="00BB5040"/>
    <w:rsid w:val="00BB52A5"/>
    <w:rsid w:val="00BB5442"/>
    <w:rsid w:val="00BB5AD5"/>
    <w:rsid w:val="00BB5C22"/>
    <w:rsid w:val="00BB5D6B"/>
    <w:rsid w:val="00BB602B"/>
    <w:rsid w:val="00BB6314"/>
    <w:rsid w:val="00BB669E"/>
    <w:rsid w:val="00BB67AC"/>
    <w:rsid w:val="00BB685C"/>
    <w:rsid w:val="00BB6870"/>
    <w:rsid w:val="00BB698F"/>
    <w:rsid w:val="00BB6DFF"/>
    <w:rsid w:val="00BB6F5D"/>
    <w:rsid w:val="00BB7081"/>
    <w:rsid w:val="00BB735F"/>
    <w:rsid w:val="00BB73E1"/>
    <w:rsid w:val="00BB7774"/>
    <w:rsid w:val="00BB793B"/>
    <w:rsid w:val="00BB7C94"/>
    <w:rsid w:val="00BB7CAD"/>
    <w:rsid w:val="00BB7E50"/>
    <w:rsid w:val="00BB7F7B"/>
    <w:rsid w:val="00BB7FB9"/>
    <w:rsid w:val="00BC008E"/>
    <w:rsid w:val="00BC03EE"/>
    <w:rsid w:val="00BC04D3"/>
    <w:rsid w:val="00BC0B2B"/>
    <w:rsid w:val="00BC0B61"/>
    <w:rsid w:val="00BC0B9A"/>
    <w:rsid w:val="00BC0DCE"/>
    <w:rsid w:val="00BC0F32"/>
    <w:rsid w:val="00BC122B"/>
    <w:rsid w:val="00BC127C"/>
    <w:rsid w:val="00BC139A"/>
    <w:rsid w:val="00BC160C"/>
    <w:rsid w:val="00BC1674"/>
    <w:rsid w:val="00BC1A94"/>
    <w:rsid w:val="00BC1CA6"/>
    <w:rsid w:val="00BC1E62"/>
    <w:rsid w:val="00BC21B7"/>
    <w:rsid w:val="00BC2572"/>
    <w:rsid w:val="00BC26B1"/>
    <w:rsid w:val="00BC2D78"/>
    <w:rsid w:val="00BC307E"/>
    <w:rsid w:val="00BC3275"/>
    <w:rsid w:val="00BC33F7"/>
    <w:rsid w:val="00BC34B2"/>
    <w:rsid w:val="00BC3B0B"/>
    <w:rsid w:val="00BC3CC9"/>
    <w:rsid w:val="00BC3E62"/>
    <w:rsid w:val="00BC43A1"/>
    <w:rsid w:val="00BC44E2"/>
    <w:rsid w:val="00BC477A"/>
    <w:rsid w:val="00BC48E2"/>
    <w:rsid w:val="00BC4B45"/>
    <w:rsid w:val="00BC4B80"/>
    <w:rsid w:val="00BC4BFA"/>
    <w:rsid w:val="00BC4CA4"/>
    <w:rsid w:val="00BC4DCD"/>
    <w:rsid w:val="00BC4EE4"/>
    <w:rsid w:val="00BC501B"/>
    <w:rsid w:val="00BC51FD"/>
    <w:rsid w:val="00BC5355"/>
    <w:rsid w:val="00BC53F0"/>
    <w:rsid w:val="00BC54CD"/>
    <w:rsid w:val="00BC5830"/>
    <w:rsid w:val="00BC584F"/>
    <w:rsid w:val="00BC5911"/>
    <w:rsid w:val="00BC592F"/>
    <w:rsid w:val="00BC5B64"/>
    <w:rsid w:val="00BC5D13"/>
    <w:rsid w:val="00BC5D70"/>
    <w:rsid w:val="00BC5D7E"/>
    <w:rsid w:val="00BC6111"/>
    <w:rsid w:val="00BC6153"/>
    <w:rsid w:val="00BC626C"/>
    <w:rsid w:val="00BC6343"/>
    <w:rsid w:val="00BC65B8"/>
    <w:rsid w:val="00BC6606"/>
    <w:rsid w:val="00BC66A0"/>
    <w:rsid w:val="00BC6732"/>
    <w:rsid w:val="00BC6734"/>
    <w:rsid w:val="00BC6ADD"/>
    <w:rsid w:val="00BC6AE7"/>
    <w:rsid w:val="00BC6D60"/>
    <w:rsid w:val="00BC6E46"/>
    <w:rsid w:val="00BC72CA"/>
    <w:rsid w:val="00BC753C"/>
    <w:rsid w:val="00BC7797"/>
    <w:rsid w:val="00BC78B9"/>
    <w:rsid w:val="00BC790C"/>
    <w:rsid w:val="00BC7BCA"/>
    <w:rsid w:val="00BC7C1B"/>
    <w:rsid w:val="00BD01F7"/>
    <w:rsid w:val="00BD09F7"/>
    <w:rsid w:val="00BD0BEE"/>
    <w:rsid w:val="00BD0C9A"/>
    <w:rsid w:val="00BD0F5F"/>
    <w:rsid w:val="00BD112F"/>
    <w:rsid w:val="00BD1809"/>
    <w:rsid w:val="00BD190D"/>
    <w:rsid w:val="00BD19F8"/>
    <w:rsid w:val="00BD1B0A"/>
    <w:rsid w:val="00BD1BDB"/>
    <w:rsid w:val="00BD1D81"/>
    <w:rsid w:val="00BD1FAE"/>
    <w:rsid w:val="00BD2393"/>
    <w:rsid w:val="00BD2568"/>
    <w:rsid w:val="00BD2BC0"/>
    <w:rsid w:val="00BD2CD8"/>
    <w:rsid w:val="00BD2E20"/>
    <w:rsid w:val="00BD3409"/>
    <w:rsid w:val="00BD3B21"/>
    <w:rsid w:val="00BD3B3B"/>
    <w:rsid w:val="00BD3BB9"/>
    <w:rsid w:val="00BD3EB6"/>
    <w:rsid w:val="00BD425D"/>
    <w:rsid w:val="00BD4293"/>
    <w:rsid w:val="00BD42AC"/>
    <w:rsid w:val="00BD4304"/>
    <w:rsid w:val="00BD43A9"/>
    <w:rsid w:val="00BD465D"/>
    <w:rsid w:val="00BD46A3"/>
    <w:rsid w:val="00BD47A4"/>
    <w:rsid w:val="00BD4918"/>
    <w:rsid w:val="00BD493E"/>
    <w:rsid w:val="00BD4A93"/>
    <w:rsid w:val="00BD4C5C"/>
    <w:rsid w:val="00BD4C6A"/>
    <w:rsid w:val="00BD4D06"/>
    <w:rsid w:val="00BD4D6D"/>
    <w:rsid w:val="00BD4DA0"/>
    <w:rsid w:val="00BD525B"/>
    <w:rsid w:val="00BD52BA"/>
    <w:rsid w:val="00BD5436"/>
    <w:rsid w:val="00BD558A"/>
    <w:rsid w:val="00BD5849"/>
    <w:rsid w:val="00BD58CC"/>
    <w:rsid w:val="00BD5985"/>
    <w:rsid w:val="00BD62BF"/>
    <w:rsid w:val="00BD6328"/>
    <w:rsid w:val="00BD633B"/>
    <w:rsid w:val="00BD6346"/>
    <w:rsid w:val="00BD65AE"/>
    <w:rsid w:val="00BD6625"/>
    <w:rsid w:val="00BD6724"/>
    <w:rsid w:val="00BD69C0"/>
    <w:rsid w:val="00BD6AB1"/>
    <w:rsid w:val="00BD6D9E"/>
    <w:rsid w:val="00BD7480"/>
    <w:rsid w:val="00BD7778"/>
    <w:rsid w:val="00BD77B1"/>
    <w:rsid w:val="00BD791A"/>
    <w:rsid w:val="00BD7AF3"/>
    <w:rsid w:val="00BD7B4F"/>
    <w:rsid w:val="00BD7BC7"/>
    <w:rsid w:val="00BD7C6E"/>
    <w:rsid w:val="00BD7CCB"/>
    <w:rsid w:val="00BD7F60"/>
    <w:rsid w:val="00BE01B4"/>
    <w:rsid w:val="00BE0255"/>
    <w:rsid w:val="00BE03F6"/>
    <w:rsid w:val="00BE04F3"/>
    <w:rsid w:val="00BE0583"/>
    <w:rsid w:val="00BE06CC"/>
    <w:rsid w:val="00BE06D1"/>
    <w:rsid w:val="00BE09DE"/>
    <w:rsid w:val="00BE0BE0"/>
    <w:rsid w:val="00BE0BE3"/>
    <w:rsid w:val="00BE0E61"/>
    <w:rsid w:val="00BE11B9"/>
    <w:rsid w:val="00BE1233"/>
    <w:rsid w:val="00BE15A1"/>
    <w:rsid w:val="00BE17DA"/>
    <w:rsid w:val="00BE1C60"/>
    <w:rsid w:val="00BE1CEE"/>
    <w:rsid w:val="00BE2298"/>
    <w:rsid w:val="00BE2524"/>
    <w:rsid w:val="00BE2738"/>
    <w:rsid w:val="00BE2762"/>
    <w:rsid w:val="00BE28E8"/>
    <w:rsid w:val="00BE29B2"/>
    <w:rsid w:val="00BE29D1"/>
    <w:rsid w:val="00BE2C14"/>
    <w:rsid w:val="00BE2E2E"/>
    <w:rsid w:val="00BE31AD"/>
    <w:rsid w:val="00BE35BD"/>
    <w:rsid w:val="00BE3ACA"/>
    <w:rsid w:val="00BE3B7E"/>
    <w:rsid w:val="00BE3C2C"/>
    <w:rsid w:val="00BE3DBC"/>
    <w:rsid w:val="00BE3DD7"/>
    <w:rsid w:val="00BE3E63"/>
    <w:rsid w:val="00BE45BC"/>
    <w:rsid w:val="00BE4D91"/>
    <w:rsid w:val="00BE516A"/>
    <w:rsid w:val="00BE5187"/>
    <w:rsid w:val="00BE54AE"/>
    <w:rsid w:val="00BE55BC"/>
    <w:rsid w:val="00BE5812"/>
    <w:rsid w:val="00BE59EC"/>
    <w:rsid w:val="00BE5A6E"/>
    <w:rsid w:val="00BE5B13"/>
    <w:rsid w:val="00BE5BAA"/>
    <w:rsid w:val="00BE5D6E"/>
    <w:rsid w:val="00BE5FC6"/>
    <w:rsid w:val="00BE606B"/>
    <w:rsid w:val="00BE60C7"/>
    <w:rsid w:val="00BE60D9"/>
    <w:rsid w:val="00BE62F1"/>
    <w:rsid w:val="00BE63E7"/>
    <w:rsid w:val="00BE6638"/>
    <w:rsid w:val="00BE67BA"/>
    <w:rsid w:val="00BE67D5"/>
    <w:rsid w:val="00BE6801"/>
    <w:rsid w:val="00BE71D3"/>
    <w:rsid w:val="00BE720B"/>
    <w:rsid w:val="00BE73F1"/>
    <w:rsid w:val="00BE75AC"/>
    <w:rsid w:val="00BE7726"/>
    <w:rsid w:val="00BE775F"/>
    <w:rsid w:val="00BE7B4D"/>
    <w:rsid w:val="00BE7B90"/>
    <w:rsid w:val="00BF006F"/>
    <w:rsid w:val="00BF0077"/>
    <w:rsid w:val="00BF02BF"/>
    <w:rsid w:val="00BF0403"/>
    <w:rsid w:val="00BF0847"/>
    <w:rsid w:val="00BF0AA2"/>
    <w:rsid w:val="00BF0C57"/>
    <w:rsid w:val="00BF0C5E"/>
    <w:rsid w:val="00BF0DB3"/>
    <w:rsid w:val="00BF0E14"/>
    <w:rsid w:val="00BF0EF2"/>
    <w:rsid w:val="00BF10DD"/>
    <w:rsid w:val="00BF1147"/>
    <w:rsid w:val="00BF11A0"/>
    <w:rsid w:val="00BF121E"/>
    <w:rsid w:val="00BF1309"/>
    <w:rsid w:val="00BF134B"/>
    <w:rsid w:val="00BF13B0"/>
    <w:rsid w:val="00BF13BE"/>
    <w:rsid w:val="00BF1447"/>
    <w:rsid w:val="00BF15CB"/>
    <w:rsid w:val="00BF16C4"/>
    <w:rsid w:val="00BF1879"/>
    <w:rsid w:val="00BF18ED"/>
    <w:rsid w:val="00BF19C5"/>
    <w:rsid w:val="00BF1A63"/>
    <w:rsid w:val="00BF1BDE"/>
    <w:rsid w:val="00BF1CB7"/>
    <w:rsid w:val="00BF1F5E"/>
    <w:rsid w:val="00BF2047"/>
    <w:rsid w:val="00BF21F4"/>
    <w:rsid w:val="00BF24D4"/>
    <w:rsid w:val="00BF25AF"/>
    <w:rsid w:val="00BF25EF"/>
    <w:rsid w:val="00BF262E"/>
    <w:rsid w:val="00BF2918"/>
    <w:rsid w:val="00BF2963"/>
    <w:rsid w:val="00BF29A8"/>
    <w:rsid w:val="00BF29EF"/>
    <w:rsid w:val="00BF3056"/>
    <w:rsid w:val="00BF30EB"/>
    <w:rsid w:val="00BF3318"/>
    <w:rsid w:val="00BF339C"/>
    <w:rsid w:val="00BF3539"/>
    <w:rsid w:val="00BF36D6"/>
    <w:rsid w:val="00BF36EA"/>
    <w:rsid w:val="00BF3993"/>
    <w:rsid w:val="00BF3AC8"/>
    <w:rsid w:val="00BF3DBE"/>
    <w:rsid w:val="00BF3F0F"/>
    <w:rsid w:val="00BF42C4"/>
    <w:rsid w:val="00BF4BA8"/>
    <w:rsid w:val="00BF500E"/>
    <w:rsid w:val="00BF50E9"/>
    <w:rsid w:val="00BF537E"/>
    <w:rsid w:val="00BF557D"/>
    <w:rsid w:val="00BF57DC"/>
    <w:rsid w:val="00BF5E29"/>
    <w:rsid w:val="00BF5F40"/>
    <w:rsid w:val="00BF6172"/>
    <w:rsid w:val="00BF62EC"/>
    <w:rsid w:val="00BF63E1"/>
    <w:rsid w:val="00BF66D2"/>
    <w:rsid w:val="00BF6874"/>
    <w:rsid w:val="00BF68C8"/>
    <w:rsid w:val="00BF6A24"/>
    <w:rsid w:val="00BF6C56"/>
    <w:rsid w:val="00BF6E21"/>
    <w:rsid w:val="00BF6EA0"/>
    <w:rsid w:val="00BF7107"/>
    <w:rsid w:val="00BF71B0"/>
    <w:rsid w:val="00BF73C2"/>
    <w:rsid w:val="00BF7527"/>
    <w:rsid w:val="00BF75A5"/>
    <w:rsid w:val="00BF7739"/>
    <w:rsid w:val="00BF7772"/>
    <w:rsid w:val="00BF7AD7"/>
    <w:rsid w:val="00BF7C2E"/>
    <w:rsid w:val="00BF7CC6"/>
    <w:rsid w:val="00BF7CFC"/>
    <w:rsid w:val="00C00295"/>
    <w:rsid w:val="00C0029F"/>
    <w:rsid w:val="00C0033C"/>
    <w:rsid w:val="00C0043A"/>
    <w:rsid w:val="00C00630"/>
    <w:rsid w:val="00C00845"/>
    <w:rsid w:val="00C00850"/>
    <w:rsid w:val="00C008E6"/>
    <w:rsid w:val="00C00928"/>
    <w:rsid w:val="00C00A86"/>
    <w:rsid w:val="00C00C1E"/>
    <w:rsid w:val="00C00F1D"/>
    <w:rsid w:val="00C01222"/>
    <w:rsid w:val="00C0155C"/>
    <w:rsid w:val="00C016A3"/>
    <w:rsid w:val="00C0179B"/>
    <w:rsid w:val="00C01C69"/>
    <w:rsid w:val="00C01D90"/>
    <w:rsid w:val="00C01E68"/>
    <w:rsid w:val="00C0200B"/>
    <w:rsid w:val="00C024A9"/>
    <w:rsid w:val="00C0269B"/>
    <w:rsid w:val="00C027A4"/>
    <w:rsid w:val="00C028FE"/>
    <w:rsid w:val="00C02DC9"/>
    <w:rsid w:val="00C03163"/>
    <w:rsid w:val="00C03338"/>
    <w:rsid w:val="00C0335E"/>
    <w:rsid w:val="00C0338F"/>
    <w:rsid w:val="00C03576"/>
    <w:rsid w:val="00C035A9"/>
    <w:rsid w:val="00C03722"/>
    <w:rsid w:val="00C03816"/>
    <w:rsid w:val="00C03A22"/>
    <w:rsid w:val="00C03A9D"/>
    <w:rsid w:val="00C03D4B"/>
    <w:rsid w:val="00C04043"/>
    <w:rsid w:val="00C0429E"/>
    <w:rsid w:val="00C045DE"/>
    <w:rsid w:val="00C04621"/>
    <w:rsid w:val="00C04AD8"/>
    <w:rsid w:val="00C04FFE"/>
    <w:rsid w:val="00C0515A"/>
    <w:rsid w:val="00C055A4"/>
    <w:rsid w:val="00C056E7"/>
    <w:rsid w:val="00C05732"/>
    <w:rsid w:val="00C057ED"/>
    <w:rsid w:val="00C061AB"/>
    <w:rsid w:val="00C065A7"/>
    <w:rsid w:val="00C06883"/>
    <w:rsid w:val="00C0691D"/>
    <w:rsid w:val="00C06A2C"/>
    <w:rsid w:val="00C06FAD"/>
    <w:rsid w:val="00C073B3"/>
    <w:rsid w:val="00C076A4"/>
    <w:rsid w:val="00C07990"/>
    <w:rsid w:val="00C07B0A"/>
    <w:rsid w:val="00C07DF0"/>
    <w:rsid w:val="00C1000A"/>
    <w:rsid w:val="00C101AE"/>
    <w:rsid w:val="00C102F9"/>
    <w:rsid w:val="00C10311"/>
    <w:rsid w:val="00C10528"/>
    <w:rsid w:val="00C1075C"/>
    <w:rsid w:val="00C10903"/>
    <w:rsid w:val="00C10B48"/>
    <w:rsid w:val="00C10C29"/>
    <w:rsid w:val="00C10E11"/>
    <w:rsid w:val="00C1145D"/>
    <w:rsid w:val="00C1161F"/>
    <w:rsid w:val="00C11778"/>
    <w:rsid w:val="00C118F0"/>
    <w:rsid w:val="00C11924"/>
    <w:rsid w:val="00C11AEF"/>
    <w:rsid w:val="00C11EBF"/>
    <w:rsid w:val="00C120D1"/>
    <w:rsid w:val="00C122A6"/>
    <w:rsid w:val="00C1237D"/>
    <w:rsid w:val="00C12599"/>
    <w:rsid w:val="00C12A27"/>
    <w:rsid w:val="00C12C01"/>
    <w:rsid w:val="00C12DC2"/>
    <w:rsid w:val="00C1331D"/>
    <w:rsid w:val="00C13441"/>
    <w:rsid w:val="00C1366F"/>
    <w:rsid w:val="00C13677"/>
    <w:rsid w:val="00C13756"/>
    <w:rsid w:val="00C138E2"/>
    <w:rsid w:val="00C13993"/>
    <w:rsid w:val="00C13B37"/>
    <w:rsid w:val="00C14016"/>
    <w:rsid w:val="00C1406E"/>
    <w:rsid w:val="00C140DB"/>
    <w:rsid w:val="00C14258"/>
    <w:rsid w:val="00C142F2"/>
    <w:rsid w:val="00C14328"/>
    <w:rsid w:val="00C14367"/>
    <w:rsid w:val="00C14427"/>
    <w:rsid w:val="00C1459A"/>
    <w:rsid w:val="00C146FB"/>
    <w:rsid w:val="00C1477E"/>
    <w:rsid w:val="00C14AA1"/>
    <w:rsid w:val="00C14B2A"/>
    <w:rsid w:val="00C14E45"/>
    <w:rsid w:val="00C14F4D"/>
    <w:rsid w:val="00C15180"/>
    <w:rsid w:val="00C1555D"/>
    <w:rsid w:val="00C15912"/>
    <w:rsid w:val="00C15CDF"/>
    <w:rsid w:val="00C160D7"/>
    <w:rsid w:val="00C161A5"/>
    <w:rsid w:val="00C16946"/>
    <w:rsid w:val="00C16DB4"/>
    <w:rsid w:val="00C16DD0"/>
    <w:rsid w:val="00C16F9B"/>
    <w:rsid w:val="00C17125"/>
    <w:rsid w:val="00C171A4"/>
    <w:rsid w:val="00C17292"/>
    <w:rsid w:val="00C17310"/>
    <w:rsid w:val="00C17338"/>
    <w:rsid w:val="00C173C2"/>
    <w:rsid w:val="00C173EB"/>
    <w:rsid w:val="00C1743D"/>
    <w:rsid w:val="00C176A0"/>
    <w:rsid w:val="00C176C7"/>
    <w:rsid w:val="00C179E1"/>
    <w:rsid w:val="00C17B40"/>
    <w:rsid w:val="00C17B8C"/>
    <w:rsid w:val="00C2038B"/>
    <w:rsid w:val="00C206CA"/>
    <w:rsid w:val="00C20864"/>
    <w:rsid w:val="00C20D33"/>
    <w:rsid w:val="00C20D3B"/>
    <w:rsid w:val="00C20E29"/>
    <w:rsid w:val="00C20F29"/>
    <w:rsid w:val="00C20F3B"/>
    <w:rsid w:val="00C21158"/>
    <w:rsid w:val="00C213F7"/>
    <w:rsid w:val="00C21856"/>
    <w:rsid w:val="00C21A02"/>
    <w:rsid w:val="00C21AB0"/>
    <w:rsid w:val="00C21BD7"/>
    <w:rsid w:val="00C21BEA"/>
    <w:rsid w:val="00C2212F"/>
    <w:rsid w:val="00C2215D"/>
    <w:rsid w:val="00C221A0"/>
    <w:rsid w:val="00C22375"/>
    <w:rsid w:val="00C2262F"/>
    <w:rsid w:val="00C2266E"/>
    <w:rsid w:val="00C22A57"/>
    <w:rsid w:val="00C22A76"/>
    <w:rsid w:val="00C22D65"/>
    <w:rsid w:val="00C230A1"/>
    <w:rsid w:val="00C23168"/>
    <w:rsid w:val="00C234B0"/>
    <w:rsid w:val="00C23551"/>
    <w:rsid w:val="00C23557"/>
    <w:rsid w:val="00C2360E"/>
    <w:rsid w:val="00C236F5"/>
    <w:rsid w:val="00C23790"/>
    <w:rsid w:val="00C238B2"/>
    <w:rsid w:val="00C238D1"/>
    <w:rsid w:val="00C23988"/>
    <w:rsid w:val="00C23C08"/>
    <w:rsid w:val="00C23C7B"/>
    <w:rsid w:val="00C23D77"/>
    <w:rsid w:val="00C23DC2"/>
    <w:rsid w:val="00C23FBE"/>
    <w:rsid w:val="00C2431D"/>
    <w:rsid w:val="00C2434D"/>
    <w:rsid w:val="00C243D8"/>
    <w:rsid w:val="00C24645"/>
    <w:rsid w:val="00C24B78"/>
    <w:rsid w:val="00C24BCC"/>
    <w:rsid w:val="00C24CA4"/>
    <w:rsid w:val="00C24D94"/>
    <w:rsid w:val="00C24E8D"/>
    <w:rsid w:val="00C2502F"/>
    <w:rsid w:val="00C25261"/>
    <w:rsid w:val="00C252F2"/>
    <w:rsid w:val="00C2555D"/>
    <w:rsid w:val="00C2564F"/>
    <w:rsid w:val="00C25974"/>
    <w:rsid w:val="00C25B27"/>
    <w:rsid w:val="00C25C46"/>
    <w:rsid w:val="00C268BB"/>
    <w:rsid w:val="00C26DD2"/>
    <w:rsid w:val="00C26FF1"/>
    <w:rsid w:val="00C271DE"/>
    <w:rsid w:val="00C27203"/>
    <w:rsid w:val="00C272FD"/>
    <w:rsid w:val="00C27424"/>
    <w:rsid w:val="00C2770B"/>
    <w:rsid w:val="00C277C5"/>
    <w:rsid w:val="00C278CA"/>
    <w:rsid w:val="00C27A32"/>
    <w:rsid w:val="00C27D83"/>
    <w:rsid w:val="00C30470"/>
    <w:rsid w:val="00C3061A"/>
    <w:rsid w:val="00C30641"/>
    <w:rsid w:val="00C306C9"/>
    <w:rsid w:val="00C309D5"/>
    <w:rsid w:val="00C30AA2"/>
    <w:rsid w:val="00C30B13"/>
    <w:rsid w:val="00C30B75"/>
    <w:rsid w:val="00C30BA4"/>
    <w:rsid w:val="00C30C8A"/>
    <w:rsid w:val="00C30F0C"/>
    <w:rsid w:val="00C31040"/>
    <w:rsid w:val="00C31310"/>
    <w:rsid w:val="00C31488"/>
    <w:rsid w:val="00C31568"/>
    <w:rsid w:val="00C31780"/>
    <w:rsid w:val="00C317D4"/>
    <w:rsid w:val="00C318AD"/>
    <w:rsid w:val="00C319DC"/>
    <w:rsid w:val="00C31A30"/>
    <w:rsid w:val="00C31BD2"/>
    <w:rsid w:val="00C31C9A"/>
    <w:rsid w:val="00C31D4C"/>
    <w:rsid w:val="00C31E23"/>
    <w:rsid w:val="00C31E94"/>
    <w:rsid w:val="00C3202C"/>
    <w:rsid w:val="00C32096"/>
    <w:rsid w:val="00C323E6"/>
    <w:rsid w:val="00C325AA"/>
    <w:rsid w:val="00C326F9"/>
    <w:rsid w:val="00C3286D"/>
    <w:rsid w:val="00C32960"/>
    <w:rsid w:val="00C32977"/>
    <w:rsid w:val="00C32C98"/>
    <w:rsid w:val="00C32E82"/>
    <w:rsid w:val="00C330E2"/>
    <w:rsid w:val="00C336CE"/>
    <w:rsid w:val="00C336D2"/>
    <w:rsid w:val="00C33774"/>
    <w:rsid w:val="00C33976"/>
    <w:rsid w:val="00C33AA0"/>
    <w:rsid w:val="00C33C9E"/>
    <w:rsid w:val="00C33DAE"/>
    <w:rsid w:val="00C33E6E"/>
    <w:rsid w:val="00C33EF8"/>
    <w:rsid w:val="00C34030"/>
    <w:rsid w:val="00C34074"/>
    <w:rsid w:val="00C340C6"/>
    <w:rsid w:val="00C3451F"/>
    <w:rsid w:val="00C345D2"/>
    <w:rsid w:val="00C34812"/>
    <w:rsid w:val="00C34A58"/>
    <w:rsid w:val="00C34D54"/>
    <w:rsid w:val="00C350EC"/>
    <w:rsid w:val="00C35126"/>
    <w:rsid w:val="00C352B5"/>
    <w:rsid w:val="00C353D7"/>
    <w:rsid w:val="00C35656"/>
    <w:rsid w:val="00C3566D"/>
    <w:rsid w:val="00C35A5B"/>
    <w:rsid w:val="00C35A7C"/>
    <w:rsid w:val="00C35BA9"/>
    <w:rsid w:val="00C35BD5"/>
    <w:rsid w:val="00C35CFD"/>
    <w:rsid w:val="00C35DB1"/>
    <w:rsid w:val="00C360A1"/>
    <w:rsid w:val="00C362E3"/>
    <w:rsid w:val="00C362E8"/>
    <w:rsid w:val="00C3637B"/>
    <w:rsid w:val="00C36643"/>
    <w:rsid w:val="00C36957"/>
    <w:rsid w:val="00C3695A"/>
    <w:rsid w:val="00C36F02"/>
    <w:rsid w:val="00C36FFC"/>
    <w:rsid w:val="00C3724F"/>
    <w:rsid w:val="00C3731B"/>
    <w:rsid w:val="00C375EB"/>
    <w:rsid w:val="00C37633"/>
    <w:rsid w:val="00C376F4"/>
    <w:rsid w:val="00C3788C"/>
    <w:rsid w:val="00C37A29"/>
    <w:rsid w:val="00C37B26"/>
    <w:rsid w:val="00C37B2F"/>
    <w:rsid w:val="00C37CA1"/>
    <w:rsid w:val="00C37CCE"/>
    <w:rsid w:val="00C37CE4"/>
    <w:rsid w:val="00C37EFB"/>
    <w:rsid w:val="00C40403"/>
    <w:rsid w:val="00C40947"/>
    <w:rsid w:val="00C40BA1"/>
    <w:rsid w:val="00C41AEA"/>
    <w:rsid w:val="00C41DA5"/>
    <w:rsid w:val="00C41E8D"/>
    <w:rsid w:val="00C42050"/>
    <w:rsid w:val="00C4206A"/>
    <w:rsid w:val="00C42256"/>
    <w:rsid w:val="00C42265"/>
    <w:rsid w:val="00C42292"/>
    <w:rsid w:val="00C42424"/>
    <w:rsid w:val="00C42430"/>
    <w:rsid w:val="00C4261F"/>
    <w:rsid w:val="00C429EF"/>
    <w:rsid w:val="00C42A01"/>
    <w:rsid w:val="00C42B63"/>
    <w:rsid w:val="00C42B8B"/>
    <w:rsid w:val="00C42C19"/>
    <w:rsid w:val="00C42F8A"/>
    <w:rsid w:val="00C430DB"/>
    <w:rsid w:val="00C431AA"/>
    <w:rsid w:val="00C43278"/>
    <w:rsid w:val="00C43287"/>
    <w:rsid w:val="00C432B6"/>
    <w:rsid w:val="00C43732"/>
    <w:rsid w:val="00C439CB"/>
    <w:rsid w:val="00C43C6F"/>
    <w:rsid w:val="00C43EF8"/>
    <w:rsid w:val="00C44062"/>
    <w:rsid w:val="00C441EA"/>
    <w:rsid w:val="00C44969"/>
    <w:rsid w:val="00C44B1A"/>
    <w:rsid w:val="00C44B61"/>
    <w:rsid w:val="00C44E27"/>
    <w:rsid w:val="00C44FED"/>
    <w:rsid w:val="00C45062"/>
    <w:rsid w:val="00C451CB"/>
    <w:rsid w:val="00C455AB"/>
    <w:rsid w:val="00C45860"/>
    <w:rsid w:val="00C458D5"/>
    <w:rsid w:val="00C45D09"/>
    <w:rsid w:val="00C45FD1"/>
    <w:rsid w:val="00C460B8"/>
    <w:rsid w:val="00C4682B"/>
    <w:rsid w:val="00C46AA8"/>
    <w:rsid w:val="00C46CBF"/>
    <w:rsid w:val="00C47078"/>
    <w:rsid w:val="00C470E1"/>
    <w:rsid w:val="00C47108"/>
    <w:rsid w:val="00C47255"/>
    <w:rsid w:val="00C47441"/>
    <w:rsid w:val="00C474A5"/>
    <w:rsid w:val="00C47607"/>
    <w:rsid w:val="00C477C5"/>
    <w:rsid w:val="00C4785C"/>
    <w:rsid w:val="00C479B5"/>
    <w:rsid w:val="00C47AE6"/>
    <w:rsid w:val="00C47B2B"/>
    <w:rsid w:val="00C47B86"/>
    <w:rsid w:val="00C47D23"/>
    <w:rsid w:val="00C47DDB"/>
    <w:rsid w:val="00C50070"/>
    <w:rsid w:val="00C50085"/>
    <w:rsid w:val="00C50345"/>
    <w:rsid w:val="00C5046F"/>
    <w:rsid w:val="00C5139A"/>
    <w:rsid w:val="00C51430"/>
    <w:rsid w:val="00C51996"/>
    <w:rsid w:val="00C5199F"/>
    <w:rsid w:val="00C51D84"/>
    <w:rsid w:val="00C51FB8"/>
    <w:rsid w:val="00C52079"/>
    <w:rsid w:val="00C52080"/>
    <w:rsid w:val="00C522AF"/>
    <w:rsid w:val="00C524FA"/>
    <w:rsid w:val="00C52664"/>
    <w:rsid w:val="00C5278D"/>
    <w:rsid w:val="00C527DC"/>
    <w:rsid w:val="00C5280E"/>
    <w:rsid w:val="00C528C5"/>
    <w:rsid w:val="00C52B0B"/>
    <w:rsid w:val="00C52B6E"/>
    <w:rsid w:val="00C52E2B"/>
    <w:rsid w:val="00C53165"/>
    <w:rsid w:val="00C53299"/>
    <w:rsid w:val="00C532D2"/>
    <w:rsid w:val="00C53406"/>
    <w:rsid w:val="00C534AF"/>
    <w:rsid w:val="00C53568"/>
    <w:rsid w:val="00C53806"/>
    <w:rsid w:val="00C53B84"/>
    <w:rsid w:val="00C53C6E"/>
    <w:rsid w:val="00C53CAF"/>
    <w:rsid w:val="00C53ED1"/>
    <w:rsid w:val="00C53EFF"/>
    <w:rsid w:val="00C53FB8"/>
    <w:rsid w:val="00C5404E"/>
    <w:rsid w:val="00C54347"/>
    <w:rsid w:val="00C543F2"/>
    <w:rsid w:val="00C5442D"/>
    <w:rsid w:val="00C54461"/>
    <w:rsid w:val="00C54544"/>
    <w:rsid w:val="00C55006"/>
    <w:rsid w:val="00C55051"/>
    <w:rsid w:val="00C55085"/>
    <w:rsid w:val="00C5566C"/>
    <w:rsid w:val="00C5586A"/>
    <w:rsid w:val="00C55C70"/>
    <w:rsid w:val="00C55E4F"/>
    <w:rsid w:val="00C561D6"/>
    <w:rsid w:val="00C56222"/>
    <w:rsid w:val="00C56314"/>
    <w:rsid w:val="00C563F9"/>
    <w:rsid w:val="00C567DB"/>
    <w:rsid w:val="00C56AD4"/>
    <w:rsid w:val="00C56B3F"/>
    <w:rsid w:val="00C56B70"/>
    <w:rsid w:val="00C56D33"/>
    <w:rsid w:val="00C56D73"/>
    <w:rsid w:val="00C577FC"/>
    <w:rsid w:val="00C5787E"/>
    <w:rsid w:val="00C579EA"/>
    <w:rsid w:val="00C57A09"/>
    <w:rsid w:val="00C57C3F"/>
    <w:rsid w:val="00C601F0"/>
    <w:rsid w:val="00C605A8"/>
    <w:rsid w:val="00C605DE"/>
    <w:rsid w:val="00C607CB"/>
    <w:rsid w:val="00C60B80"/>
    <w:rsid w:val="00C60B9F"/>
    <w:rsid w:val="00C60BBC"/>
    <w:rsid w:val="00C60C10"/>
    <w:rsid w:val="00C61033"/>
    <w:rsid w:val="00C618F2"/>
    <w:rsid w:val="00C61998"/>
    <w:rsid w:val="00C61A8E"/>
    <w:rsid w:val="00C61BF7"/>
    <w:rsid w:val="00C61CFB"/>
    <w:rsid w:val="00C61D1F"/>
    <w:rsid w:val="00C6226E"/>
    <w:rsid w:val="00C62299"/>
    <w:rsid w:val="00C622CD"/>
    <w:rsid w:val="00C62607"/>
    <w:rsid w:val="00C628B3"/>
    <w:rsid w:val="00C62B0F"/>
    <w:rsid w:val="00C62D71"/>
    <w:rsid w:val="00C62E31"/>
    <w:rsid w:val="00C62F2D"/>
    <w:rsid w:val="00C62F7D"/>
    <w:rsid w:val="00C62FF0"/>
    <w:rsid w:val="00C631FF"/>
    <w:rsid w:val="00C63238"/>
    <w:rsid w:val="00C635B8"/>
    <w:rsid w:val="00C635C7"/>
    <w:rsid w:val="00C63707"/>
    <w:rsid w:val="00C637C0"/>
    <w:rsid w:val="00C638D6"/>
    <w:rsid w:val="00C63DA2"/>
    <w:rsid w:val="00C63DD6"/>
    <w:rsid w:val="00C63EA7"/>
    <w:rsid w:val="00C6408F"/>
    <w:rsid w:val="00C641A3"/>
    <w:rsid w:val="00C64298"/>
    <w:rsid w:val="00C642B7"/>
    <w:rsid w:val="00C6446C"/>
    <w:rsid w:val="00C644D3"/>
    <w:rsid w:val="00C646A5"/>
    <w:rsid w:val="00C64B7E"/>
    <w:rsid w:val="00C64E94"/>
    <w:rsid w:val="00C64FBA"/>
    <w:rsid w:val="00C6508D"/>
    <w:rsid w:val="00C6537E"/>
    <w:rsid w:val="00C65618"/>
    <w:rsid w:val="00C656BD"/>
    <w:rsid w:val="00C658A6"/>
    <w:rsid w:val="00C65B34"/>
    <w:rsid w:val="00C65B57"/>
    <w:rsid w:val="00C65E4D"/>
    <w:rsid w:val="00C65E5D"/>
    <w:rsid w:val="00C65F86"/>
    <w:rsid w:val="00C660CB"/>
    <w:rsid w:val="00C661DE"/>
    <w:rsid w:val="00C6647E"/>
    <w:rsid w:val="00C6657E"/>
    <w:rsid w:val="00C667CB"/>
    <w:rsid w:val="00C6690A"/>
    <w:rsid w:val="00C669CA"/>
    <w:rsid w:val="00C66A2A"/>
    <w:rsid w:val="00C66B84"/>
    <w:rsid w:val="00C67075"/>
    <w:rsid w:val="00C67129"/>
    <w:rsid w:val="00C67244"/>
    <w:rsid w:val="00C675BA"/>
    <w:rsid w:val="00C677D8"/>
    <w:rsid w:val="00C67853"/>
    <w:rsid w:val="00C67A2E"/>
    <w:rsid w:val="00C67E4E"/>
    <w:rsid w:val="00C67E69"/>
    <w:rsid w:val="00C7044B"/>
    <w:rsid w:val="00C7098E"/>
    <w:rsid w:val="00C70C18"/>
    <w:rsid w:val="00C70D27"/>
    <w:rsid w:val="00C70D80"/>
    <w:rsid w:val="00C70EFC"/>
    <w:rsid w:val="00C70F34"/>
    <w:rsid w:val="00C70FA3"/>
    <w:rsid w:val="00C71462"/>
    <w:rsid w:val="00C71688"/>
    <w:rsid w:val="00C718C2"/>
    <w:rsid w:val="00C72096"/>
    <w:rsid w:val="00C72413"/>
    <w:rsid w:val="00C7252F"/>
    <w:rsid w:val="00C72530"/>
    <w:rsid w:val="00C72574"/>
    <w:rsid w:val="00C7280B"/>
    <w:rsid w:val="00C72A0A"/>
    <w:rsid w:val="00C72AC3"/>
    <w:rsid w:val="00C72C8C"/>
    <w:rsid w:val="00C72D6C"/>
    <w:rsid w:val="00C72DD8"/>
    <w:rsid w:val="00C72F7B"/>
    <w:rsid w:val="00C72FDC"/>
    <w:rsid w:val="00C732F1"/>
    <w:rsid w:val="00C733D8"/>
    <w:rsid w:val="00C7362A"/>
    <w:rsid w:val="00C73699"/>
    <w:rsid w:val="00C73764"/>
    <w:rsid w:val="00C738AD"/>
    <w:rsid w:val="00C73E90"/>
    <w:rsid w:val="00C73FA6"/>
    <w:rsid w:val="00C74077"/>
    <w:rsid w:val="00C7431C"/>
    <w:rsid w:val="00C7447A"/>
    <w:rsid w:val="00C74D38"/>
    <w:rsid w:val="00C75061"/>
    <w:rsid w:val="00C75194"/>
    <w:rsid w:val="00C75201"/>
    <w:rsid w:val="00C7580A"/>
    <w:rsid w:val="00C758A1"/>
    <w:rsid w:val="00C758DE"/>
    <w:rsid w:val="00C7593A"/>
    <w:rsid w:val="00C759B2"/>
    <w:rsid w:val="00C75BE0"/>
    <w:rsid w:val="00C75C56"/>
    <w:rsid w:val="00C75D8A"/>
    <w:rsid w:val="00C75F1D"/>
    <w:rsid w:val="00C762A3"/>
    <w:rsid w:val="00C764B6"/>
    <w:rsid w:val="00C7659D"/>
    <w:rsid w:val="00C7672E"/>
    <w:rsid w:val="00C76A91"/>
    <w:rsid w:val="00C76B54"/>
    <w:rsid w:val="00C76B7D"/>
    <w:rsid w:val="00C76B81"/>
    <w:rsid w:val="00C76EAC"/>
    <w:rsid w:val="00C77093"/>
    <w:rsid w:val="00C770DA"/>
    <w:rsid w:val="00C77362"/>
    <w:rsid w:val="00C77480"/>
    <w:rsid w:val="00C77629"/>
    <w:rsid w:val="00C7786D"/>
    <w:rsid w:val="00C7789F"/>
    <w:rsid w:val="00C77979"/>
    <w:rsid w:val="00C77D41"/>
    <w:rsid w:val="00C77F13"/>
    <w:rsid w:val="00C77FA4"/>
    <w:rsid w:val="00C8019F"/>
    <w:rsid w:val="00C802CB"/>
    <w:rsid w:val="00C8038A"/>
    <w:rsid w:val="00C80403"/>
    <w:rsid w:val="00C80923"/>
    <w:rsid w:val="00C80B6D"/>
    <w:rsid w:val="00C814B5"/>
    <w:rsid w:val="00C81B5A"/>
    <w:rsid w:val="00C81CBD"/>
    <w:rsid w:val="00C81DD8"/>
    <w:rsid w:val="00C81DFA"/>
    <w:rsid w:val="00C820CC"/>
    <w:rsid w:val="00C822A5"/>
    <w:rsid w:val="00C82633"/>
    <w:rsid w:val="00C82680"/>
    <w:rsid w:val="00C826FC"/>
    <w:rsid w:val="00C828A1"/>
    <w:rsid w:val="00C829B7"/>
    <w:rsid w:val="00C82A3B"/>
    <w:rsid w:val="00C82BDD"/>
    <w:rsid w:val="00C82CFC"/>
    <w:rsid w:val="00C82E9E"/>
    <w:rsid w:val="00C82F20"/>
    <w:rsid w:val="00C8312B"/>
    <w:rsid w:val="00C8339B"/>
    <w:rsid w:val="00C83649"/>
    <w:rsid w:val="00C836B5"/>
    <w:rsid w:val="00C83B72"/>
    <w:rsid w:val="00C83D37"/>
    <w:rsid w:val="00C84790"/>
    <w:rsid w:val="00C84B4C"/>
    <w:rsid w:val="00C84BB4"/>
    <w:rsid w:val="00C85B2A"/>
    <w:rsid w:val="00C85B2B"/>
    <w:rsid w:val="00C85DF3"/>
    <w:rsid w:val="00C866F9"/>
    <w:rsid w:val="00C8688D"/>
    <w:rsid w:val="00C86DAC"/>
    <w:rsid w:val="00C86F19"/>
    <w:rsid w:val="00C87212"/>
    <w:rsid w:val="00C873E5"/>
    <w:rsid w:val="00C87456"/>
    <w:rsid w:val="00C874E9"/>
    <w:rsid w:val="00C87508"/>
    <w:rsid w:val="00C87B81"/>
    <w:rsid w:val="00C90174"/>
    <w:rsid w:val="00C908BF"/>
    <w:rsid w:val="00C90A18"/>
    <w:rsid w:val="00C90C7A"/>
    <w:rsid w:val="00C90E54"/>
    <w:rsid w:val="00C91113"/>
    <w:rsid w:val="00C91164"/>
    <w:rsid w:val="00C9134A"/>
    <w:rsid w:val="00C9137D"/>
    <w:rsid w:val="00C91704"/>
    <w:rsid w:val="00C917E7"/>
    <w:rsid w:val="00C9185D"/>
    <w:rsid w:val="00C918B7"/>
    <w:rsid w:val="00C91C2A"/>
    <w:rsid w:val="00C91F6F"/>
    <w:rsid w:val="00C920EB"/>
    <w:rsid w:val="00C923EE"/>
    <w:rsid w:val="00C92582"/>
    <w:rsid w:val="00C927B2"/>
    <w:rsid w:val="00C92C1B"/>
    <w:rsid w:val="00C92E58"/>
    <w:rsid w:val="00C9301F"/>
    <w:rsid w:val="00C93111"/>
    <w:rsid w:val="00C932F3"/>
    <w:rsid w:val="00C934AB"/>
    <w:rsid w:val="00C936A1"/>
    <w:rsid w:val="00C9375A"/>
    <w:rsid w:val="00C93ACB"/>
    <w:rsid w:val="00C93B0A"/>
    <w:rsid w:val="00C93C8B"/>
    <w:rsid w:val="00C93E1F"/>
    <w:rsid w:val="00C94015"/>
    <w:rsid w:val="00C94172"/>
    <w:rsid w:val="00C941A3"/>
    <w:rsid w:val="00C94370"/>
    <w:rsid w:val="00C943BB"/>
    <w:rsid w:val="00C94544"/>
    <w:rsid w:val="00C9470B"/>
    <w:rsid w:val="00C94828"/>
    <w:rsid w:val="00C94C8C"/>
    <w:rsid w:val="00C94EB8"/>
    <w:rsid w:val="00C95370"/>
    <w:rsid w:val="00C9541E"/>
    <w:rsid w:val="00C95545"/>
    <w:rsid w:val="00C9588B"/>
    <w:rsid w:val="00C95F1F"/>
    <w:rsid w:val="00C96314"/>
    <w:rsid w:val="00C96328"/>
    <w:rsid w:val="00C963DA"/>
    <w:rsid w:val="00C9687B"/>
    <w:rsid w:val="00C96FF1"/>
    <w:rsid w:val="00C9731D"/>
    <w:rsid w:val="00C974B8"/>
    <w:rsid w:val="00C979CF"/>
    <w:rsid w:val="00C97CC2"/>
    <w:rsid w:val="00C97DC0"/>
    <w:rsid w:val="00C97F2C"/>
    <w:rsid w:val="00CA0313"/>
    <w:rsid w:val="00CA03D5"/>
    <w:rsid w:val="00CA057E"/>
    <w:rsid w:val="00CA05B2"/>
    <w:rsid w:val="00CA064C"/>
    <w:rsid w:val="00CA0821"/>
    <w:rsid w:val="00CA0B3F"/>
    <w:rsid w:val="00CA0CF7"/>
    <w:rsid w:val="00CA1046"/>
    <w:rsid w:val="00CA1057"/>
    <w:rsid w:val="00CA105A"/>
    <w:rsid w:val="00CA10A4"/>
    <w:rsid w:val="00CA11F2"/>
    <w:rsid w:val="00CA19F1"/>
    <w:rsid w:val="00CA1B10"/>
    <w:rsid w:val="00CA2194"/>
    <w:rsid w:val="00CA2355"/>
    <w:rsid w:val="00CA2539"/>
    <w:rsid w:val="00CA2547"/>
    <w:rsid w:val="00CA2596"/>
    <w:rsid w:val="00CA2794"/>
    <w:rsid w:val="00CA2A7A"/>
    <w:rsid w:val="00CA318E"/>
    <w:rsid w:val="00CA3300"/>
    <w:rsid w:val="00CA37C9"/>
    <w:rsid w:val="00CA39DF"/>
    <w:rsid w:val="00CA39E1"/>
    <w:rsid w:val="00CA3F60"/>
    <w:rsid w:val="00CA4024"/>
    <w:rsid w:val="00CA4322"/>
    <w:rsid w:val="00CA4628"/>
    <w:rsid w:val="00CA46E1"/>
    <w:rsid w:val="00CA4A05"/>
    <w:rsid w:val="00CA4AA4"/>
    <w:rsid w:val="00CA4C64"/>
    <w:rsid w:val="00CA4EA5"/>
    <w:rsid w:val="00CA5000"/>
    <w:rsid w:val="00CA50DB"/>
    <w:rsid w:val="00CA517C"/>
    <w:rsid w:val="00CA542F"/>
    <w:rsid w:val="00CA5924"/>
    <w:rsid w:val="00CA59D6"/>
    <w:rsid w:val="00CA5C9B"/>
    <w:rsid w:val="00CA5D34"/>
    <w:rsid w:val="00CA5E5D"/>
    <w:rsid w:val="00CA6197"/>
    <w:rsid w:val="00CA6BF0"/>
    <w:rsid w:val="00CA6FAD"/>
    <w:rsid w:val="00CA70E5"/>
    <w:rsid w:val="00CA7137"/>
    <w:rsid w:val="00CA7175"/>
    <w:rsid w:val="00CA7190"/>
    <w:rsid w:val="00CA7453"/>
    <w:rsid w:val="00CA749C"/>
    <w:rsid w:val="00CA7612"/>
    <w:rsid w:val="00CA7792"/>
    <w:rsid w:val="00CA7A1A"/>
    <w:rsid w:val="00CA7BF1"/>
    <w:rsid w:val="00CA7BF7"/>
    <w:rsid w:val="00CA7EE3"/>
    <w:rsid w:val="00CA7F20"/>
    <w:rsid w:val="00CA7FCB"/>
    <w:rsid w:val="00CB029E"/>
    <w:rsid w:val="00CB02F3"/>
    <w:rsid w:val="00CB06CD"/>
    <w:rsid w:val="00CB07C2"/>
    <w:rsid w:val="00CB0E93"/>
    <w:rsid w:val="00CB0F92"/>
    <w:rsid w:val="00CB11C0"/>
    <w:rsid w:val="00CB15CF"/>
    <w:rsid w:val="00CB1699"/>
    <w:rsid w:val="00CB1747"/>
    <w:rsid w:val="00CB1A89"/>
    <w:rsid w:val="00CB1D39"/>
    <w:rsid w:val="00CB1E59"/>
    <w:rsid w:val="00CB2255"/>
    <w:rsid w:val="00CB247A"/>
    <w:rsid w:val="00CB2A01"/>
    <w:rsid w:val="00CB2B0D"/>
    <w:rsid w:val="00CB2D19"/>
    <w:rsid w:val="00CB2D64"/>
    <w:rsid w:val="00CB2F17"/>
    <w:rsid w:val="00CB309A"/>
    <w:rsid w:val="00CB314D"/>
    <w:rsid w:val="00CB335E"/>
    <w:rsid w:val="00CB3384"/>
    <w:rsid w:val="00CB34BC"/>
    <w:rsid w:val="00CB363B"/>
    <w:rsid w:val="00CB3688"/>
    <w:rsid w:val="00CB3923"/>
    <w:rsid w:val="00CB3930"/>
    <w:rsid w:val="00CB3AA4"/>
    <w:rsid w:val="00CB3BA2"/>
    <w:rsid w:val="00CB4011"/>
    <w:rsid w:val="00CB45F5"/>
    <w:rsid w:val="00CB4BF1"/>
    <w:rsid w:val="00CB4E88"/>
    <w:rsid w:val="00CB4F51"/>
    <w:rsid w:val="00CB50A4"/>
    <w:rsid w:val="00CB51EC"/>
    <w:rsid w:val="00CB52C0"/>
    <w:rsid w:val="00CB54DD"/>
    <w:rsid w:val="00CB55CC"/>
    <w:rsid w:val="00CB5736"/>
    <w:rsid w:val="00CB5957"/>
    <w:rsid w:val="00CB5A35"/>
    <w:rsid w:val="00CB5ACF"/>
    <w:rsid w:val="00CB5DCD"/>
    <w:rsid w:val="00CB5FCC"/>
    <w:rsid w:val="00CB610E"/>
    <w:rsid w:val="00CB630A"/>
    <w:rsid w:val="00CB644F"/>
    <w:rsid w:val="00CB64EE"/>
    <w:rsid w:val="00CB6808"/>
    <w:rsid w:val="00CB6942"/>
    <w:rsid w:val="00CB69F7"/>
    <w:rsid w:val="00CB6AE2"/>
    <w:rsid w:val="00CB6C0E"/>
    <w:rsid w:val="00CB6D10"/>
    <w:rsid w:val="00CB708E"/>
    <w:rsid w:val="00CB716D"/>
    <w:rsid w:val="00CB7185"/>
    <w:rsid w:val="00CB72DD"/>
    <w:rsid w:val="00CB7803"/>
    <w:rsid w:val="00CB7B55"/>
    <w:rsid w:val="00CB7DA8"/>
    <w:rsid w:val="00CB7E56"/>
    <w:rsid w:val="00CC0023"/>
    <w:rsid w:val="00CC0205"/>
    <w:rsid w:val="00CC0287"/>
    <w:rsid w:val="00CC02DD"/>
    <w:rsid w:val="00CC0475"/>
    <w:rsid w:val="00CC0723"/>
    <w:rsid w:val="00CC07CC"/>
    <w:rsid w:val="00CC0DD2"/>
    <w:rsid w:val="00CC100C"/>
    <w:rsid w:val="00CC1104"/>
    <w:rsid w:val="00CC12DD"/>
    <w:rsid w:val="00CC1614"/>
    <w:rsid w:val="00CC19F8"/>
    <w:rsid w:val="00CC1FF3"/>
    <w:rsid w:val="00CC22A7"/>
    <w:rsid w:val="00CC238B"/>
    <w:rsid w:val="00CC23F4"/>
    <w:rsid w:val="00CC26DE"/>
    <w:rsid w:val="00CC27D7"/>
    <w:rsid w:val="00CC2867"/>
    <w:rsid w:val="00CC28E1"/>
    <w:rsid w:val="00CC28EF"/>
    <w:rsid w:val="00CC2B60"/>
    <w:rsid w:val="00CC2F01"/>
    <w:rsid w:val="00CC2FE6"/>
    <w:rsid w:val="00CC324B"/>
    <w:rsid w:val="00CC32C0"/>
    <w:rsid w:val="00CC34CC"/>
    <w:rsid w:val="00CC3514"/>
    <w:rsid w:val="00CC359C"/>
    <w:rsid w:val="00CC360B"/>
    <w:rsid w:val="00CC36C0"/>
    <w:rsid w:val="00CC37A3"/>
    <w:rsid w:val="00CC37AE"/>
    <w:rsid w:val="00CC39C6"/>
    <w:rsid w:val="00CC3A49"/>
    <w:rsid w:val="00CC3AC0"/>
    <w:rsid w:val="00CC3DE4"/>
    <w:rsid w:val="00CC3E9C"/>
    <w:rsid w:val="00CC4067"/>
    <w:rsid w:val="00CC413A"/>
    <w:rsid w:val="00CC43D2"/>
    <w:rsid w:val="00CC450E"/>
    <w:rsid w:val="00CC459B"/>
    <w:rsid w:val="00CC4727"/>
    <w:rsid w:val="00CC4962"/>
    <w:rsid w:val="00CC4AD9"/>
    <w:rsid w:val="00CC4D07"/>
    <w:rsid w:val="00CC4D39"/>
    <w:rsid w:val="00CC5132"/>
    <w:rsid w:val="00CC52A2"/>
    <w:rsid w:val="00CC533B"/>
    <w:rsid w:val="00CC53B1"/>
    <w:rsid w:val="00CC5660"/>
    <w:rsid w:val="00CC57DF"/>
    <w:rsid w:val="00CC5F5B"/>
    <w:rsid w:val="00CC60E9"/>
    <w:rsid w:val="00CC6889"/>
    <w:rsid w:val="00CC6989"/>
    <w:rsid w:val="00CC6A4D"/>
    <w:rsid w:val="00CC6A52"/>
    <w:rsid w:val="00CC6A64"/>
    <w:rsid w:val="00CC6BC2"/>
    <w:rsid w:val="00CC6C98"/>
    <w:rsid w:val="00CC6D08"/>
    <w:rsid w:val="00CC6DB5"/>
    <w:rsid w:val="00CC6F1B"/>
    <w:rsid w:val="00CC6F9A"/>
    <w:rsid w:val="00CC72C5"/>
    <w:rsid w:val="00CC73B4"/>
    <w:rsid w:val="00CC759C"/>
    <w:rsid w:val="00CC75DF"/>
    <w:rsid w:val="00CC7614"/>
    <w:rsid w:val="00CC76F3"/>
    <w:rsid w:val="00CC7734"/>
    <w:rsid w:val="00CC77CA"/>
    <w:rsid w:val="00CC7875"/>
    <w:rsid w:val="00CC7BD3"/>
    <w:rsid w:val="00CD00DD"/>
    <w:rsid w:val="00CD01A8"/>
    <w:rsid w:val="00CD03BF"/>
    <w:rsid w:val="00CD03C3"/>
    <w:rsid w:val="00CD05D8"/>
    <w:rsid w:val="00CD0833"/>
    <w:rsid w:val="00CD0837"/>
    <w:rsid w:val="00CD0841"/>
    <w:rsid w:val="00CD0A89"/>
    <w:rsid w:val="00CD0ECA"/>
    <w:rsid w:val="00CD147F"/>
    <w:rsid w:val="00CD1499"/>
    <w:rsid w:val="00CD14C2"/>
    <w:rsid w:val="00CD171E"/>
    <w:rsid w:val="00CD1A79"/>
    <w:rsid w:val="00CD21E0"/>
    <w:rsid w:val="00CD2792"/>
    <w:rsid w:val="00CD2911"/>
    <w:rsid w:val="00CD2C69"/>
    <w:rsid w:val="00CD2F12"/>
    <w:rsid w:val="00CD3362"/>
    <w:rsid w:val="00CD3A0A"/>
    <w:rsid w:val="00CD3A0D"/>
    <w:rsid w:val="00CD3AEF"/>
    <w:rsid w:val="00CD3D86"/>
    <w:rsid w:val="00CD3E81"/>
    <w:rsid w:val="00CD3EB4"/>
    <w:rsid w:val="00CD3EC8"/>
    <w:rsid w:val="00CD433B"/>
    <w:rsid w:val="00CD44F9"/>
    <w:rsid w:val="00CD454A"/>
    <w:rsid w:val="00CD4760"/>
    <w:rsid w:val="00CD49A7"/>
    <w:rsid w:val="00CD4A92"/>
    <w:rsid w:val="00CD5247"/>
    <w:rsid w:val="00CD5355"/>
    <w:rsid w:val="00CD5823"/>
    <w:rsid w:val="00CD586F"/>
    <w:rsid w:val="00CD5AB5"/>
    <w:rsid w:val="00CD5AD3"/>
    <w:rsid w:val="00CD5B5E"/>
    <w:rsid w:val="00CD5C1B"/>
    <w:rsid w:val="00CD5D75"/>
    <w:rsid w:val="00CD5F5B"/>
    <w:rsid w:val="00CD61EB"/>
    <w:rsid w:val="00CD6806"/>
    <w:rsid w:val="00CD6860"/>
    <w:rsid w:val="00CD69DF"/>
    <w:rsid w:val="00CD6DEF"/>
    <w:rsid w:val="00CD70DC"/>
    <w:rsid w:val="00CD713F"/>
    <w:rsid w:val="00CD7781"/>
    <w:rsid w:val="00CD7838"/>
    <w:rsid w:val="00CD7C0F"/>
    <w:rsid w:val="00CD7E42"/>
    <w:rsid w:val="00CD7F00"/>
    <w:rsid w:val="00CD7F44"/>
    <w:rsid w:val="00CD7F65"/>
    <w:rsid w:val="00CE006C"/>
    <w:rsid w:val="00CE01BE"/>
    <w:rsid w:val="00CE0446"/>
    <w:rsid w:val="00CE055A"/>
    <w:rsid w:val="00CE0605"/>
    <w:rsid w:val="00CE06D9"/>
    <w:rsid w:val="00CE0CA8"/>
    <w:rsid w:val="00CE0DF3"/>
    <w:rsid w:val="00CE101C"/>
    <w:rsid w:val="00CE166D"/>
    <w:rsid w:val="00CE1E02"/>
    <w:rsid w:val="00CE1E82"/>
    <w:rsid w:val="00CE1EF2"/>
    <w:rsid w:val="00CE278F"/>
    <w:rsid w:val="00CE2ACA"/>
    <w:rsid w:val="00CE2C2C"/>
    <w:rsid w:val="00CE2DF7"/>
    <w:rsid w:val="00CE3415"/>
    <w:rsid w:val="00CE34C7"/>
    <w:rsid w:val="00CE35E0"/>
    <w:rsid w:val="00CE3A7C"/>
    <w:rsid w:val="00CE41B3"/>
    <w:rsid w:val="00CE42B7"/>
    <w:rsid w:val="00CE43AF"/>
    <w:rsid w:val="00CE43DE"/>
    <w:rsid w:val="00CE44A2"/>
    <w:rsid w:val="00CE44F3"/>
    <w:rsid w:val="00CE4567"/>
    <w:rsid w:val="00CE48B9"/>
    <w:rsid w:val="00CE4C57"/>
    <w:rsid w:val="00CE4CEA"/>
    <w:rsid w:val="00CE4D05"/>
    <w:rsid w:val="00CE4D32"/>
    <w:rsid w:val="00CE4D3A"/>
    <w:rsid w:val="00CE4E6C"/>
    <w:rsid w:val="00CE4FAC"/>
    <w:rsid w:val="00CE4FB5"/>
    <w:rsid w:val="00CE5179"/>
    <w:rsid w:val="00CE51E4"/>
    <w:rsid w:val="00CE5384"/>
    <w:rsid w:val="00CE53EC"/>
    <w:rsid w:val="00CE5410"/>
    <w:rsid w:val="00CE5529"/>
    <w:rsid w:val="00CE56AD"/>
    <w:rsid w:val="00CE5B84"/>
    <w:rsid w:val="00CE5C0C"/>
    <w:rsid w:val="00CE5D6E"/>
    <w:rsid w:val="00CE63AD"/>
    <w:rsid w:val="00CE64FD"/>
    <w:rsid w:val="00CE6619"/>
    <w:rsid w:val="00CE68BC"/>
    <w:rsid w:val="00CE68F9"/>
    <w:rsid w:val="00CE69BF"/>
    <w:rsid w:val="00CE6C55"/>
    <w:rsid w:val="00CE7236"/>
    <w:rsid w:val="00CE747F"/>
    <w:rsid w:val="00CE752B"/>
    <w:rsid w:val="00CE768D"/>
    <w:rsid w:val="00CE77D6"/>
    <w:rsid w:val="00CE7E1B"/>
    <w:rsid w:val="00CF02F0"/>
    <w:rsid w:val="00CF046F"/>
    <w:rsid w:val="00CF04F5"/>
    <w:rsid w:val="00CF06AE"/>
    <w:rsid w:val="00CF0876"/>
    <w:rsid w:val="00CF0CA7"/>
    <w:rsid w:val="00CF0CB5"/>
    <w:rsid w:val="00CF0D8C"/>
    <w:rsid w:val="00CF1588"/>
    <w:rsid w:val="00CF1717"/>
    <w:rsid w:val="00CF172C"/>
    <w:rsid w:val="00CF1B94"/>
    <w:rsid w:val="00CF1B9F"/>
    <w:rsid w:val="00CF1C3F"/>
    <w:rsid w:val="00CF1C8D"/>
    <w:rsid w:val="00CF1CF6"/>
    <w:rsid w:val="00CF201D"/>
    <w:rsid w:val="00CF2031"/>
    <w:rsid w:val="00CF221E"/>
    <w:rsid w:val="00CF2243"/>
    <w:rsid w:val="00CF2255"/>
    <w:rsid w:val="00CF2514"/>
    <w:rsid w:val="00CF26CF"/>
    <w:rsid w:val="00CF2765"/>
    <w:rsid w:val="00CF283F"/>
    <w:rsid w:val="00CF2A80"/>
    <w:rsid w:val="00CF2CD8"/>
    <w:rsid w:val="00CF2E40"/>
    <w:rsid w:val="00CF2EED"/>
    <w:rsid w:val="00CF2F93"/>
    <w:rsid w:val="00CF2FA7"/>
    <w:rsid w:val="00CF3012"/>
    <w:rsid w:val="00CF3781"/>
    <w:rsid w:val="00CF389E"/>
    <w:rsid w:val="00CF3994"/>
    <w:rsid w:val="00CF3CF0"/>
    <w:rsid w:val="00CF3E27"/>
    <w:rsid w:val="00CF3FB0"/>
    <w:rsid w:val="00CF4592"/>
    <w:rsid w:val="00CF46F4"/>
    <w:rsid w:val="00CF4847"/>
    <w:rsid w:val="00CF48B6"/>
    <w:rsid w:val="00CF4AF1"/>
    <w:rsid w:val="00CF4BC6"/>
    <w:rsid w:val="00CF4E72"/>
    <w:rsid w:val="00CF5242"/>
    <w:rsid w:val="00CF52BE"/>
    <w:rsid w:val="00CF5305"/>
    <w:rsid w:val="00CF53E8"/>
    <w:rsid w:val="00CF541C"/>
    <w:rsid w:val="00CF570B"/>
    <w:rsid w:val="00CF58DE"/>
    <w:rsid w:val="00CF5A07"/>
    <w:rsid w:val="00CF5DCB"/>
    <w:rsid w:val="00CF5DFA"/>
    <w:rsid w:val="00CF5E80"/>
    <w:rsid w:val="00CF60EA"/>
    <w:rsid w:val="00CF6195"/>
    <w:rsid w:val="00CF63CB"/>
    <w:rsid w:val="00CF6571"/>
    <w:rsid w:val="00CF66D6"/>
    <w:rsid w:val="00CF67CB"/>
    <w:rsid w:val="00CF6B38"/>
    <w:rsid w:val="00CF6E3C"/>
    <w:rsid w:val="00CF6F69"/>
    <w:rsid w:val="00CF71FD"/>
    <w:rsid w:val="00CF736B"/>
    <w:rsid w:val="00CF76DA"/>
    <w:rsid w:val="00CF7708"/>
    <w:rsid w:val="00CF79E4"/>
    <w:rsid w:val="00CF7B31"/>
    <w:rsid w:val="00CF7BFF"/>
    <w:rsid w:val="00CF7CE6"/>
    <w:rsid w:val="00CF7DE9"/>
    <w:rsid w:val="00CF7F06"/>
    <w:rsid w:val="00CF7F3B"/>
    <w:rsid w:val="00D002E2"/>
    <w:rsid w:val="00D00AF2"/>
    <w:rsid w:val="00D00C21"/>
    <w:rsid w:val="00D00C8E"/>
    <w:rsid w:val="00D01023"/>
    <w:rsid w:val="00D0104C"/>
    <w:rsid w:val="00D01057"/>
    <w:rsid w:val="00D013BB"/>
    <w:rsid w:val="00D015EE"/>
    <w:rsid w:val="00D01615"/>
    <w:rsid w:val="00D0196B"/>
    <w:rsid w:val="00D01EEE"/>
    <w:rsid w:val="00D01FAE"/>
    <w:rsid w:val="00D02433"/>
    <w:rsid w:val="00D02522"/>
    <w:rsid w:val="00D0263F"/>
    <w:rsid w:val="00D02936"/>
    <w:rsid w:val="00D02AE3"/>
    <w:rsid w:val="00D02EAE"/>
    <w:rsid w:val="00D02EEB"/>
    <w:rsid w:val="00D0352E"/>
    <w:rsid w:val="00D035D8"/>
    <w:rsid w:val="00D03685"/>
    <w:rsid w:val="00D03B52"/>
    <w:rsid w:val="00D03C2A"/>
    <w:rsid w:val="00D03ED5"/>
    <w:rsid w:val="00D03FE7"/>
    <w:rsid w:val="00D041FB"/>
    <w:rsid w:val="00D04216"/>
    <w:rsid w:val="00D042F4"/>
    <w:rsid w:val="00D0498F"/>
    <w:rsid w:val="00D049BF"/>
    <w:rsid w:val="00D04EF0"/>
    <w:rsid w:val="00D04F0F"/>
    <w:rsid w:val="00D0527C"/>
    <w:rsid w:val="00D05372"/>
    <w:rsid w:val="00D055C8"/>
    <w:rsid w:val="00D056DE"/>
    <w:rsid w:val="00D057C8"/>
    <w:rsid w:val="00D05883"/>
    <w:rsid w:val="00D05AE6"/>
    <w:rsid w:val="00D05BA5"/>
    <w:rsid w:val="00D05D11"/>
    <w:rsid w:val="00D05EA3"/>
    <w:rsid w:val="00D05FD3"/>
    <w:rsid w:val="00D069C5"/>
    <w:rsid w:val="00D06A5A"/>
    <w:rsid w:val="00D06A94"/>
    <w:rsid w:val="00D06ABB"/>
    <w:rsid w:val="00D06B26"/>
    <w:rsid w:val="00D06CA8"/>
    <w:rsid w:val="00D06E13"/>
    <w:rsid w:val="00D06F18"/>
    <w:rsid w:val="00D074D0"/>
    <w:rsid w:val="00D0755A"/>
    <w:rsid w:val="00D0755D"/>
    <w:rsid w:val="00D07623"/>
    <w:rsid w:val="00D07739"/>
    <w:rsid w:val="00D07CF2"/>
    <w:rsid w:val="00D07E58"/>
    <w:rsid w:val="00D07F3D"/>
    <w:rsid w:val="00D07FE0"/>
    <w:rsid w:val="00D10472"/>
    <w:rsid w:val="00D10692"/>
    <w:rsid w:val="00D10793"/>
    <w:rsid w:val="00D10E3D"/>
    <w:rsid w:val="00D10E5B"/>
    <w:rsid w:val="00D10F14"/>
    <w:rsid w:val="00D10F34"/>
    <w:rsid w:val="00D11237"/>
    <w:rsid w:val="00D112AD"/>
    <w:rsid w:val="00D114A0"/>
    <w:rsid w:val="00D11689"/>
    <w:rsid w:val="00D11753"/>
    <w:rsid w:val="00D119CD"/>
    <w:rsid w:val="00D11AA4"/>
    <w:rsid w:val="00D11AB7"/>
    <w:rsid w:val="00D12380"/>
    <w:rsid w:val="00D123A6"/>
    <w:rsid w:val="00D1271F"/>
    <w:rsid w:val="00D12766"/>
    <w:rsid w:val="00D132FE"/>
    <w:rsid w:val="00D135DD"/>
    <w:rsid w:val="00D136A4"/>
    <w:rsid w:val="00D1393B"/>
    <w:rsid w:val="00D13973"/>
    <w:rsid w:val="00D13BDE"/>
    <w:rsid w:val="00D13D0A"/>
    <w:rsid w:val="00D13E47"/>
    <w:rsid w:val="00D14044"/>
    <w:rsid w:val="00D141F0"/>
    <w:rsid w:val="00D143AE"/>
    <w:rsid w:val="00D144B8"/>
    <w:rsid w:val="00D1466B"/>
    <w:rsid w:val="00D147F1"/>
    <w:rsid w:val="00D14BCD"/>
    <w:rsid w:val="00D14DED"/>
    <w:rsid w:val="00D14F4B"/>
    <w:rsid w:val="00D14F85"/>
    <w:rsid w:val="00D15113"/>
    <w:rsid w:val="00D15114"/>
    <w:rsid w:val="00D1515A"/>
    <w:rsid w:val="00D152DC"/>
    <w:rsid w:val="00D15388"/>
    <w:rsid w:val="00D155C0"/>
    <w:rsid w:val="00D157CC"/>
    <w:rsid w:val="00D157E3"/>
    <w:rsid w:val="00D15A70"/>
    <w:rsid w:val="00D15B7C"/>
    <w:rsid w:val="00D15B7D"/>
    <w:rsid w:val="00D15CC4"/>
    <w:rsid w:val="00D15CFA"/>
    <w:rsid w:val="00D160C5"/>
    <w:rsid w:val="00D16480"/>
    <w:rsid w:val="00D164BC"/>
    <w:rsid w:val="00D16512"/>
    <w:rsid w:val="00D165AF"/>
    <w:rsid w:val="00D16839"/>
    <w:rsid w:val="00D16A61"/>
    <w:rsid w:val="00D16F74"/>
    <w:rsid w:val="00D1700D"/>
    <w:rsid w:val="00D174F1"/>
    <w:rsid w:val="00D176CD"/>
    <w:rsid w:val="00D17AFF"/>
    <w:rsid w:val="00D17E70"/>
    <w:rsid w:val="00D17FD9"/>
    <w:rsid w:val="00D201A1"/>
    <w:rsid w:val="00D2033A"/>
    <w:rsid w:val="00D206A2"/>
    <w:rsid w:val="00D2070D"/>
    <w:rsid w:val="00D20932"/>
    <w:rsid w:val="00D20B51"/>
    <w:rsid w:val="00D20BE9"/>
    <w:rsid w:val="00D20E00"/>
    <w:rsid w:val="00D2109B"/>
    <w:rsid w:val="00D2132F"/>
    <w:rsid w:val="00D21634"/>
    <w:rsid w:val="00D21C55"/>
    <w:rsid w:val="00D21E7C"/>
    <w:rsid w:val="00D22656"/>
    <w:rsid w:val="00D22744"/>
    <w:rsid w:val="00D22775"/>
    <w:rsid w:val="00D22815"/>
    <w:rsid w:val="00D229C0"/>
    <w:rsid w:val="00D229CF"/>
    <w:rsid w:val="00D2324A"/>
    <w:rsid w:val="00D23277"/>
    <w:rsid w:val="00D23752"/>
    <w:rsid w:val="00D23865"/>
    <w:rsid w:val="00D239EA"/>
    <w:rsid w:val="00D23AF4"/>
    <w:rsid w:val="00D23B0D"/>
    <w:rsid w:val="00D24418"/>
    <w:rsid w:val="00D24539"/>
    <w:rsid w:val="00D24909"/>
    <w:rsid w:val="00D24A88"/>
    <w:rsid w:val="00D24B76"/>
    <w:rsid w:val="00D24C65"/>
    <w:rsid w:val="00D255F2"/>
    <w:rsid w:val="00D2568D"/>
    <w:rsid w:val="00D25B56"/>
    <w:rsid w:val="00D25BDF"/>
    <w:rsid w:val="00D25D11"/>
    <w:rsid w:val="00D25D7D"/>
    <w:rsid w:val="00D26081"/>
    <w:rsid w:val="00D264E2"/>
    <w:rsid w:val="00D267A8"/>
    <w:rsid w:val="00D26C50"/>
    <w:rsid w:val="00D26D91"/>
    <w:rsid w:val="00D27007"/>
    <w:rsid w:val="00D27202"/>
    <w:rsid w:val="00D27606"/>
    <w:rsid w:val="00D27620"/>
    <w:rsid w:val="00D278EF"/>
    <w:rsid w:val="00D2794D"/>
    <w:rsid w:val="00D27B10"/>
    <w:rsid w:val="00D27D35"/>
    <w:rsid w:val="00D27F35"/>
    <w:rsid w:val="00D301B2"/>
    <w:rsid w:val="00D30791"/>
    <w:rsid w:val="00D307DB"/>
    <w:rsid w:val="00D308A6"/>
    <w:rsid w:val="00D30EDB"/>
    <w:rsid w:val="00D31157"/>
    <w:rsid w:val="00D3130C"/>
    <w:rsid w:val="00D318A3"/>
    <w:rsid w:val="00D3197F"/>
    <w:rsid w:val="00D319AF"/>
    <w:rsid w:val="00D31E3E"/>
    <w:rsid w:val="00D31F29"/>
    <w:rsid w:val="00D31F7C"/>
    <w:rsid w:val="00D323A5"/>
    <w:rsid w:val="00D323DA"/>
    <w:rsid w:val="00D325C3"/>
    <w:rsid w:val="00D326CA"/>
    <w:rsid w:val="00D32708"/>
    <w:rsid w:val="00D327FB"/>
    <w:rsid w:val="00D32B7B"/>
    <w:rsid w:val="00D32BA8"/>
    <w:rsid w:val="00D32C65"/>
    <w:rsid w:val="00D330CA"/>
    <w:rsid w:val="00D3316D"/>
    <w:rsid w:val="00D331F1"/>
    <w:rsid w:val="00D33470"/>
    <w:rsid w:val="00D33582"/>
    <w:rsid w:val="00D33894"/>
    <w:rsid w:val="00D33C05"/>
    <w:rsid w:val="00D34491"/>
    <w:rsid w:val="00D3463F"/>
    <w:rsid w:val="00D346D3"/>
    <w:rsid w:val="00D34734"/>
    <w:rsid w:val="00D348FB"/>
    <w:rsid w:val="00D34B73"/>
    <w:rsid w:val="00D35108"/>
    <w:rsid w:val="00D3587B"/>
    <w:rsid w:val="00D35B13"/>
    <w:rsid w:val="00D35B8A"/>
    <w:rsid w:val="00D35C19"/>
    <w:rsid w:val="00D361F1"/>
    <w:rsid w:val="00D361F8"/>
    <w:rsid w:val="00D3643B"/>
    <w:rsid w:val="00D364EA"/>
    <w:rsid w:val="00D364FD"/>
    <w:rsid w:val="00D3656F"/>
    <w:rsid w:val="00D3684B"/>
    <w:rsid w:val="00D368F8"/>
    <w:rsid w:val="00D36DDA"/>
    <w:rsid w:val="00D377F2"/>
    <w:rsid w:val="00D37882"/>
    <w:rsid w:val="00D379D5"/>
    <w:rsid w:val="00D37C8F"/>
    <w:rsid w:val="00D37EFB"/>
    <w:rsid w:val="00D40280"/>
    <w:rsid w:val="00D40288"/>
    <w:rsid w:val="00D402CE"/>
    <w:rsid w:val="00D403D4"/>
    <w:rsid w:val="00D40578"/>
    <w:rsid w:val="00D40708"/>
    <w:rsid w:val="00D4087B"/>
    <w:rsid w:val="00D40890"/>
    <w:rsid w:val="00D40CAF"/>
    <w:rsid w:val="00D40CB0"/>
    <w:rsid w:val="00D40DC4"/>
    <w:rsid w:val="00D40DE6"/>
    <w:rsid w:val="00D40E7E"/>
    <w:rsid w:val="00D413D8"/>
    <w:rsid w:val="00D4168C"/>
    <w:rsid w:val="00D41740"/>
    <w:rsid w:val="00D418CA"/>
    <w:rsid w:val="00D41930"/>
    <w:rsid w:val="00D41AF1"/>
    <w:rsid w:val="00D41E61"/>
    <w:rsid w:val="00D41FB3"/>
    <w:rsid w:val="00D42500"/>
    <w:rsid w:val="00D42772"/>
    <w:rsid w:val="00D4298A"/>
    <w:rsid w:val="00D42CDE"/>
    <w:rsid w:val="00D42E03"/>
    <w:rsid w:val="00D42F4C"/>
    <w:rsid w:val="00D42FA1"/>
    <w:rsid w:val="00D4311A"/>
    <w:rsid w:val="00D435DC"/>
    <w:rsid w:val="00D437BC"/>
    <w:rsid w:val="00D438E6"/>
    <w:rsid w:val="00D4392A"/>
    <w:rsid w:val="00D43B18"/>
    <w:rsid w:val="00D43C82"/>
    <w:rsid w:val="00D43CCB"/>
    <w:rsid w:val="00D44024"/>
    <w:rsid w:val="00D441D8"/>
    <w:rsid w:val="00D44338"/>
    <w:rsid w:val="00D44597"/>
    <w:rsid w:val="00D44823"/>
    <w:rsid w:val="00D448D2"/>
    <w:rsid w:val="00D44982"/>
    <w:rsid w:val="00D44AC6"/>
    <w:rsid w:val="00D44B9C"/>
    <w:rsid w:val="00D44CFA"/>
    <w:rsid w:val="00D44D01"/>
    <w:rsid w:val="00D44DE5"/>
    <w:rsid w:val="00D44F51"/>
    <w:rsid w:val="00D45480"/>
    <w:rsid w:val="00D4571D"/>
    <w:rsid w:val="00D4579F"/>
    <w:rsid w:val="00D458AB"/>
    <w:rsid w:val="00D458CA"/>
    <w:rsid w:val="00D45A6F"/>
    <w:rsid w:val="00D45B84"/>
    <w:rsid w:val="00D45B99"/>
    <w:rsid w:val="00D45BC7"/>
    <w:rsid w:val="00D45C41"/>
    <w:rsid w:val="00D45CE6"/>
    <w:rsid w:val="00D45D72"/>
    <w:rsid w:val="00D45FEC"/>
    <w:rsid w:val="00D46009"/>
    <w:rsid w:val="00D461A0"/>
    <w:rsid w:val="00D46655"/>
    <w:rsid w:val="00D468D6"/>
    <w:rsid w:val="00D4699C"/>
    <w:rsid w:val="00D469C1"/>
    <w:rsid w:val="00D46B99"/>
    <w:rsid w:val="00D46C54"/>
    <w:rsid w:val="00D46C5F"/>
    <w:rsid w:val="00D46D62"/>
    <w:rsid w:val="00D46EBB"/>
    <w:rsid w:val="00D46FD9"/>
    <w:rsid w:val="00D46FE2"/>
    <w:rsid w:val="00D46FEA"/>
    <w:rsid w:val="00D4763F"/>
    <w:rsid w:val="00D476DC"/>
    <w:rsid w:val="00D47773"/>
    <w:rsid w:val="00D477C5"/>
    <w:rsid w:val="00D47907"/>
    <w:rsid w:val="00D47963"/>
    <w:rsid w:val="00D47A14"/>
    <w:rsid w:val="00D47E3C"/>
    <w:rsid w:val="00D50034"/>
    <w:rsid w:val="00D5017E"/>
    <w:rsid w:val="00D5075A"/>
    <w:rsid w:val="00D508CE"/>
    <w:rsid w:val="00D509FB"/>
    <w:rsid w:val="00D50A51"/>
    <w:rsid w:val="00D50AA5"/>
    <w:rsid w:val="00D50FF6"/>
    <w:rsid w:val="00D511D2"/>
    <w:rsid w:val="00D5120E"/>
    <w:rsid w:val="00D5123E"/>
    <w:rsid w:val="00D516E5"/>
    <w:rsid w:val="00D5176E"/>
    <w:rsid w:val="00D51B95"/>
    <w:rsid w:val="00D51CD3"/>
    <w:rsid w:val="00D51D7C"/>
    <w:rsid w:val="00D51F1B"/>
    <w:rsid w:val="00D5200B"/>
    <w:rsid w:val="00D522C8"/>
    <w:rsid w:val="00D52452"/>
    <w:rsid w:val="00D52464"/>
    <w:rsid w:val="00D525B3"/>
    <w:rsid w:val="00D527A9"/>
    <w:rsid w:val="00D529FF"/>
    <w:rsid w:val="00D52AE5"/>
    <w:rsid w:val="00D53053"/>
    <w:rsid w:val="00D53144"/>
    <w:rsid w:val="00D5335D"/>
    <w:rsid w:val="00D5342D"/>
    <w:rsid w:val="00D53440"/>
    <w:rsid w:val="00D53474"/>
    <w:rsid w:val="00D538F5"/>
    <w:rsid w:val="00D53D8C"/>
    <w:rsid w:val="00D53F6D"/>
    <w:rsid w:val="00D540D1"/>
    <w:rsid w:val="00D54884"/>
    <w:rsid w:val="00D54A65"/>
    <w:rsid w:val="00D54AFC"/>
    <w:rsid w:val="00D54FF4"/>
    <w:rsid w:val="00D552B0"/>
    <w:rsid w:val="00D5563C"/>
    <w:rsid w:val="00D5584A"/>
    <w:rsid w:val="00D558F3"/>
    <w:rsid w:val="00D55BCB"/>
    <w:rsid w:val="00D55D1F"/>
    <w:rsid w:val="00D55EF1"/>
    <w:rsid w:val="00D56366"/>
    <w:rsid w:val="00D564AA"/>
    <w:rsid w:val="00D5664E"/>
    <w:rsid w:val="00D5667E"/>
    <w:rsid w:val="00D569C8"/>
    <w:rsid w:val="00D56A09"/>
    <w:rsid w:val="00D56E0B"/>
    <w:rsid w:val="00D57305"/>
    <w:rsid w:val="00D574DA"/>
    <w:rsid w:val="00D5756D"/>
    <w:rsid w:val="00D576F0"/>
    <w:rsid w:val="00D5780E"/>
    <w:rsid w:val="00D57814"/>
    <w:rsid w:val="00D57909"/>
    <w:rsid w:val="00D57A75"/>
    <w:rsid w:val="00D57AA4"/>
    <w:rsid w:val="00D57B99"/>
    <w:rsid w:val="00D57C07"/>
    <w:rsid w:val="00D603CB"/>
    <w:rsid w:val="00D60498"/>
    <w:rsid w:val="00D60649"/>
    <w:rsid w:val="00D608EC"/>
    <w:rsid w:val="00D60A6A"/>
    <w:rsid w:val="00D60A8D"/>
    <w:rsid w:val="00D60B66"/>
    <w:rsid w:val="00D60BCE"/>
    <w:rsid w:val="00D60C9C"/>
    <w:rsid w:val="00D60F54"/>
    <w:rsid w:val="00D61148"/>
    <w:rsid w:val="00D612D1"/>
    <w:rsid w:val="00D6135A"/>
    <w:rsid w:val="00D614AD"/>
    <w:rsid w:val="00D615A5"/>
    <w:rsid w:val="00D61650"/>
    <w:rsid w:val="00D617F0"/>
    <w:rsid w:val="00D61885"/>
    <w:rsid w:val="00D61969"/>
    <w:rsid w:val="00D619DF"/>
    <w:rsid w:val="00D61B7A"/>
    <w:rsid w:val="00D61E88"/>
    <w:rsid w:val="00D62092"/>
    <w:rsid w:val="00D6217E"/>
    <w:rsid w:val="00D623A6"/>
    <w:rsid w:val="00D6258D"/>
    <w:rsid w:val="00D625B6"/>
    <w:rsid w:val="00D62982"/>
    <w:rsid w:val="00D62A47"/>
    <w:rsid w:val="00D62FAF"/>
    <w:rsid w:val="00D62FE9"/>
    <w:rsid w:val="00D6314D"/>
    <w:rsid w:val="00D63331"/>
    <w:rsid w:val="00D63721"/>
    <w:rsid w:val="00D6389F"/>
    <w:rsid w:val="00D638E9"/>
    <w:rsid w:val="00D63A51"/>
    <w:rsid w:val="00D63BB6"/>
    <w:rsid w:val="00D63D0C"/>
    <w:rsid w:val="00D63E1C"/>
    <w:rsid w:val="00D64011"/>
    <w:rsid w:val="00D64078"/>
    <w:rsid w:val="00D64181"/>
    <w:rsid w:val="00D64552"/>
    <w:rsid w:val="00D6455C"/>
    <w:rsid w:val="00D64A33"/>
    <w:rsid w:val="00D64C35"/>
    <w:rsid w:val="00D64C62"/>
    <w:rsid w:val="00D64D59"/>
    <w:rsid w:val="00D64EF6"/>
    <w:rsid w:val="00D6514A"/>
    <w:rsid w:val="00D6544C"/>
    <w:rsid w:val="00D654B4"/>
    <w:rsid w:val="00D65AB9"/>
    <w:rsid w:val="00D65BED"/>
    <w:rsid w:val="00D65D14"/>
    <w:rsid w:val="00D66008"/>
    <w:rsid w:val="00D66080"/>
    <w:rsid w:val="00D6627F"/>
    <w:rsid w:val="00D66385"/>
    <w:rsid w:val="00D665A2"/>
    <w:rsid w:val="00D665ED"/>
    <w:rsid w:val="00D666D9"/>
    <w:rsid w:val="00D66981"/>
    <w:rsid w:val="00D66BD3"/>
    <w:rsid w:val="00D66CA7"/>
    <w:rsid w:val="00D66E83"/>
    <w:rsid w:val="00D66EEF"/>
    <w:rsid w:val="00D66F54"/>
    <w:rsid w:val="00D673A9"/>
    <w:rsid w:val="00D67A83"/>
    <w:rsid w:val="00D67F95"/>
    <w:rsid w:val="00D70116"/>
    <w:rsid w:val="00D7016C"/>
    <w:rsid w:val="00D70788"/>
    <w:rsid w:val="00D70AF6"/>
    <w:rsid w:val="00D70BED"/>
    <w:rsid w:val="00D70C2C"/>
    <w:rsid w:val="00D70E37"/>
    <w:rsid w:val="00D71155"/>
    <w:rsid w:val="00D71268"/>
    <w:rsid w:val="00D71270"/>
    <w:rsid w:val="00D7127C"/>
    <w:rsid w:val="00D71357"/>
    <w:rsid w:val="00D713F1"/>
    <w:rsid w:val="00D71427"/>
    <w:rsid w:val="00D71736"/>
    <w:rsid w:val="00D71925"/>
    <w:rsid w:val="00D71AE3"/>
    <w:rsid w:val="00D71E59"/>
    <w:rsid w:val="00D720E6"/>
    <w:rsid w:val="00D72193"/>
    <w:rsid w:val="00D7239A"/>
    <w:rsid w:val="00D723C3"/>
    <w:rsid w:val="00D72AC7"/>
    <w:rsid w:val="00D72CCB"/>
    <w:rsid w:val="00D72CDF"/>
    <w:rsid w:val="00D72E24"/>
    <w:rsid w:val="00D72F24"/>
    <w:rsid w:val="00D72F62"/>
    <w:rsid w:val="00D731EA"/>
    <w:rsid w:val="00D7327A"/>
    <w:rsid w:val="00D73281"/>
    <w:rsid w:val="00D734CC"/>
    <w:rsid w:val="00D734D7"/>
    <w:rsid w:val="00D7372D"/>
    <w:rsid w:val="00D73CA5"/>
    <w:rsid w:val="00D73CD4"/>
    <w:rsid w:val="00D73DCF"/>
    <w:rsid w:val="00D7415E"/>
    <w:rsid w:val="00D74546"/>
    <w:rsid w:val="00D74872"/>
    <w:rsid w:val="00D748A8"/>
    <w:rsid w:val="00D74D10"/>
    <w:rsid w:val="00D74DFF"/>
    <w:rsid w:val="00D75102"/>
    <w:rsid w:val="00D752C8"/>
    <w:rsid w:val="00D75ECD"/>
    <w:rsid w:val="00D76119"/>
    <w:rsid w:val="00D7614D"/>
    <w:rsid w:val="00D7640B"/>
    <w:rsid w:val="00D766F0"/>
    <w:rsid w:val="00D76983"/>
    <w:rsid w:val="00D76B5D"/>
    <w:rsid w:val="00D76C69"/>
    <w:rsid w:val="00D76E00"/>
    <w:rsid w:val="00D7714B"/>
    <w:rsid w:val="00D773A1"/>
    <w:rsid w:val="00D7740C"/>
    <w:rsid w:val="00D7743F"/>
    <w:rsid w:val="00D774C9"/>
    <w:rsid w:val="00D77769"/>
    <w:rsid w:val="00D77B89"/>
    <w:rsid w:val="00D77BA3"/>
    <w:rsid w:val="00D77D45"/>
    <w:rsid w:val="00D77FA9"/>
    <w:rsid w:val="00D80381"/>
    <w:rsid w:val="00D804C1"/>
    <w:rsid w:val="00D80B2B"/>
    <w:rsid w:val="00D80BF8"/>
    <w:rsid w:val="00D80DC4"/>
    <w:rsid w:val="00D80E4E"/>
    <w:rsid w:val="00D813DB"/>
    <w:rsid w:val="00D81403"/>
    <w:rsid w:val="00D81523"/>
    <w:rsid w:val="00D8194C"/>
    <w:rsid w:val="00D81E01"/>
    <w:rsid w:val="00D81E42"/>
    <w:rsid w:val="00D81F39"/>
    <w:rsid w:val="00D82055"/>
    <w:rsid w:val="00D823B3"/>
    <w:rsid w:val="00D824FA"/>
    <w:rsid w:val="00D824FB"/>
    <w:rsid w:val="00D82771"/>
    <w:rsid w:val="00D82ADF"/>
    <w:rsid w:val="00D82B12"/>
    <w:rsid w:val="00D82D42"/>
    <w:rsid w:val="00D82FD1"/>
    <w:rsid w:val="00D82FD8"/>
    <w:rsid w:val="00D833C4"/>
    <w:rsid w:val="00D833CF"/>
    <w:rsid w:val="00D83725"/>
    <w:rsid w:val="00D83923"/>
    <w:rsid w:val="00D83A72"/>
    <w:rsid w:val="00D842F6"/>
    <w:rsid w:val="00D84611"/>
    <w:rsid w:val="00D84671"/>
    <w:rsid w:val="00D84852"/>
    <w:rsid w:val="00D8486C"/>
    <w:rsid w:val="00D85122"/>
    <w:rsid w:val="00D85186"/>
    <w:rsid w:val="00D8548B"/>
    <w:rsid w:val="00D854E4"/>
    <w:rsid w:val="00D8585E"/>
    <w:rsid w:val="00D85901"/>
    <w:rsid w:val="00D8590E"/>
    <w:rsid w:val="00D85C80"/>
    <w:rsid w:val="00D85DC5"/>
    <w:rsid w:val="00D85DDB"/>
    <w:rsid w:val="00D86478"/>
    <w:rsid w:val="00D8650F"/>
    <w:rsid w:val="00D8663A"/>
    <w:rsid w:val="00D86772"/>
    <w:rsid w:val="00D867A0"/>
    <w:rsid w:val="00D868FF"/>
    <w:rsid w:val="00D86932"/>
    <w:rsid w:val="00D86BD3"/>
    <w:rsid w:val="00D86FF1"/>
    <w:rsid w:val="00D87045"/>
    <w:rsid w:val="00D87354"/>
    <w:rsid w:val="00D87567"/>
    <w:rsid w:val="00D876F9"/>
    <w:rsid w:val="00D877AD"/>
    <w:rsid w:val="00D87C3D"/>
    <w:rsid w:val="00D87F7B"/>
    <w:rsid w:val="00D903D9"/>
    <w:rsid w:val="00D9048C"/>
    <w:rsid w:val="00D905AD"/>
    <w:rsid w:val="00D906FE"/>
    <w:rsid w:val="00D907D9"/>
    <w:rsid w:val="00D90B99"/>
    <w:rsid w:val="00D90D09"/>
    <w:rsid w:val="00D90DD7"/>
    <w:rsid w:val="00D9155F"/>
    <w:rsid w:val="00D919BA"/>
    <w:rsid w:val="00D91ADE"/>
    <w:rsid w:val="00D91DDA"/>
    <w:rsid w:val="00D91E44"/>
    <w:rsid w:val="00D9242D"/>
    <w:rsid w:val="00D925AC"/>
    <w:rsid w:val="00D92EFE"/>
    <w:rsid w:val="00D93035"/>
    <w:rsid w:val="00D9332C"/>
    <w:rsid w:val="00D934D1"/>
    <w:rsid w:val="00D9362F"/>
    <w:rsid w:val="00D937C9"/>
    <w:rsid w:val="00D93859"/>
    <w:rsid w:val="00D939BB"/>
    <w:rsid w:val="00D93B80"/>
    <w:rsid w:val="00D93BF0"/>
    <w:rsid w:val="00D94158"/>
    <w:rsid w:val="00D9419D"/>
    <w:rsid w:val="00D943A0"/>
    <w:rsid w:val="00D9454A"/>
    <w:rsid w:val="00D94792"/>
    <w:rsid w:val="00D94FBA"/>
    <w:rsid w:val="00D95287"/>
    <w:rsid w:val="00D952F5"/>
    <w:rsid w:val="00D95352"/>
    <w:rsid w:val="00D95496"/>
    <w:rsid w:val="00D95618"/>
    <w:rsid w:val="00D9569B"/>
    <w:rsid w:val="00D95AA2"/>
    <w:rsid w:val="00D95C61"/>
    <w:rsid w:val="00D95E13"/>
    <w:rsid w:val="00D95F5C"/>
    <w:rsid w:val="00D961E8"/>
    <w:rsid w:val="00D9624C"/>
    <w:rsid w:val="00D96393"/>
    <w:rsid w:val="00D969BE"/>
    <w:rsid w:val="00D96D5F"/>
    <w:rsid w:val="00D96ECE"/>
    <w:rsid w:val="00D96F65"/>
    <w:rsid w:val="00D9714C"/>
    <w:rsid w:val="00D973A3"/>
    <w:rsid w:val="00D973BD"/>
    <w:rsid w:val="00D97B1D"/>
    <w:rsid w:val="00D97D03"/>
    <w:rsid w:val="00D97DFB"/>
    <w:rsid w:val="00D97E08"/>
    <w:rsid w:val="00D97F5A"/>
    <w:rsid w:val="00DA013A"/>
    <w:rsid w:val="00DA02B0"/>
    <w:rsid w:val="00DA08A3"/>
    <w:rsid w:val="00DA08CB"/>
    <w:rsid w:val="00DA0A56"/>
    <w:rsid w:val="00DA0BDF"/>
    <w:rsid w:val="00DA0E16"/>
    <w:rsid w:val="00DA0E19"/>
    <w:rsid w:val="00DA0E80"/>
    <w:rsid w:val="00DA0E82"/>
    <w:rsid w:val="00DA0EE9"/>
    <w:rsid w:val="00DA136C"/>
    <w:rsid w:val="00DA1443"/>
    <w:rsid w:val="00DA1449"/>
    <w:rsid w:val="00DA147E"/>
    <w:rsid w:val="00DA183A"/>
    <w:rsid w:val="00DA1BBA"/>
    <w:rsid w:val="00DA1C0A"/>
    <w:rsid w:val="00DA1EF5"/>
    <w:rsid w:val="00DA1F01"/>
    <w:rsid w:val="00DA20E7"/>
    <w:rsid w:val="00DA241C"/>
    <w:rsid w:val="00DA26FF"/>
    <w:rsid w:val="00DA2798"/>
    <w:rsid w:val="00DA2950"/>
    <w:rsid w:val="00DA2AA3"/>
    <w:rsid w:val="00DA2AE7"/>
    <w:rsid w:val="00DA3017"/>
    <w:rsid w:val="00DA30DA"/>
    <w:rsid w:val="00DA32C7"/>
    <w:rsid w:val="00DA3743"/>
    <w:rsid w:val="00DA374F"/>
    <w:rsid w:val="00DA377F"/>
    <w:rsid w:val="00DA388A"/>
    <w:rsid w:val="00DA3945"/>
    <w:rsid w:val="00DA3C1E"/>
    <w:rsid w:val="00DA3CF1"/>
    <w:rsid w:val="00DA3E1C"/>
    <w:rsid w:val="00DA466E"/>
    <w:rsid w:val="00DA46D1"/>
    <w:rsid w:val="00DA47BF"/>
    <w:rsid w:val="00DA483C"/>
    <w:rsid w:val="00DA5293"/>
    <w:rsid w:val="00DA5484"/>
    <w:rsid w:val="00DA5498"/>
    <w:rsid w:val="00DA550F"/>
    <w:rsid w:val="00DA55F6"/>
    <w:rsid w:val="00DA57CA"/>
    <w:rsid w:val="00DA585A"/>
    <w:rsid w:val="00DA5AAE"/>
    <w:rsid w:val="00DA5C63"/>
    <w:rsid w:val="00DA5E19"/>
    <w:rsid w:val="00DA5FE5"/>
    <w:rsid w:val="00DA61F2"/>
    <w:rsid w:val="00DA64BB"/>
    <w:rsid w:val="00DA65A4"/>
    <w:rsid w:val="00DA65FF"/>
    <w:rsid w:val="00DA6617"/>
    <w:rsid w:val="00DA6842"/>
    <w:rsid w:val="00DA6A8C"/>
    <w:rsid w:val="00DA6D12"/>
    <w:rsid w:val="00DA7057"/>
    <w:rsid w:val="00DA7244"/>
    <w:rsid w:val="00DA7451"/>
    <w:rsid w:val="00DA758D"/>
    <w:rsid w:val="00DA773E"/>
    <w:rsid w:val="00DA78DF"/>
    <w:rsid w:val="00DA7A4C"/>
    <w:rsid w:val="00DA7D89"/>
    <w:rsid w:val="00DA7FD9"/>
    <w:rsid w:val="00DB0451"/>
    <w:rsid w:val="00DB0509"/>
    <w:rsid w:val="00DB0571"/>
    <w:rsid w:val="00DB061A"/>
    <w:rsid w:val="00DB071D"/>
    <w:rsid w:val="00DB07F9"/>
    <w:rsid w:val="00DB0CC6"/>
    <w:rsid w:val="00DB0D49"/>
    <w:rsid w:val="00DB132A"/>
    <w:rsid w:val="00DB13CF"/>
    <w:rsid w:val="00DB148E"/>
    <w:rsid w:val="00DB179F"/>
    <w:rsid w:val="00DB17B5"/>
    <w:rsid w:val="00DB1CB1"/>
    <w:rsid w:val="00DB201B"/>
    <w:rsid w:val="00DB2377"/>
    <w:rsid w:val="00DB23EA"/>
    <w:rsid w:val="00DB23ED"/>
    <w:rsid w:val="00DB247F"/>
    <w:rsid w:val="00DB275B"/>
    <w:rsid w:val="00DB2840"/>
    <w:rsid w:val="00DB28AC"/>
    <w:rsid w:val="00DB2A08"/>
    <w:rsid w:val="00DB2AD6"/>
    <w:rsid w:val="00DB2BC3"/>
    <w:rsid w:val="00DB2D84"/>
    <w:rsid w:val="00DB32B7"/>
    <w:rsid w:val="00DB33EC"/>
    <w:rsid w:val="00DB3601"/>
    <w:rsid w:val="00DB382E"/>
    <w:rsid w:val="00DB3A15"/>
    <w:rsid w:val="00DB3EBB"/>
    <w:rsid w:val="00DB3EFF"/>
    <w:rsid w:val="00DB3F47"/>
    <w:rsid w:val="00DB4216"/>
    <w:rsid w:val="00DB4454"/>
    <w:rsid w:val="00DB46D0"/>
    <w:rsid w:val="00DB4B28"/>
    <w:rsid w:val="00DB51B1"/>
    <w:rsid w:val="00DB51FB"/>
    <w:rsid w:val="00DB52FA"/>
    <w:rsid w:val="00DB55CD"/>
    <w:rsid w:val="00DB57AA"/>
    <w:rsid w:val="00DB58A6"/>
    <w:rsid w:val="00DB58C0"/>
    <w:rsid w:val="00DB5925"/>
    <w:rsid w:val="00DB5A83"/>
    <w:rsid w:val="00DB5C45"/>
    <w:rsid w:val="00DB5D30"/>
    <w:rsid w:val="00DB5EA1"/>
    <w:rsid w:val="00DB62C9"/>
    <w:rsid w:val="00DB63CA"/>
    <w:rsid w:val="00DB662E"/>
    <w:rsid w:val="00DB67D1"/>
    <w:rsid w:val="00DB68CB"/>
    <w:rsid w:val="00DB6986"/>
    <w:rsid w:val="00DB699C"/>
    <w:rsid w:val="00DB6A6F"/>
    <w:rsid w:val="00DB6AB0"/>
    <w:rsid w:val="00DB6AEF"/>
    <w:rsid w:val="00DB6E3F"/>
    <w:rsid w:val="00DB71AE"/>
    <w:rsid w:val="00DB72E2"/>
    <w:rsid w:val="00DB7354"/>
    <w:rsid w:val="00DB758E"/>
    <w:rsid w:val="00DB77AA"/>
    <w:rsid w:val="00DB78B9"/>
    <w:rsid w:val="00DB7B3F"/>
    <w:rsid w:val="00DB7D89"/>
    <w:rsid w:val="00DB7E8D"/>
    <w:rsid w:val="00DB7EC3"/>
    <w:rsid w:val="00DC0041"/>
    <w:rsid w:val="00DC0059"/>
    <w:rsid w:val="00DC053B"/>
    <w:rsid w:val="00DC0717"/>
    <w:rsid w:val="00DC07A3"/>
    <w:rsid w:val="00DC095B"/>
    <w:rsid w:val="00DC0C74"/>
    <w:rsid w:val="00DC0E7D"/>
    <w:rsid w:val="00DC0EA1"/>
    <w:rsid w:val="00DC1012"/>
    <w:rsid w:val="00DC1160"/>
    <w:rsid w:val="00DC155B"/>
    <w:rsid w:val="00DC1722"/>
    <w:rsid w:val="00DC18C2"/>
    <w:rsid w:val="00DC18D8"/>
    <w:rsid w:val="00DC19C2"/>
    <w:rsid w:val="00DC19C5"/>
    <w:rsid w:val="00DC1A27"/>
    <w:rsid w:val="00DC1B37"/>
    <w:rsid w:val="00DC1BF0"/>
    <w:rsid w:val="00DC2181"/>
    <w:rsid w:val="00DC234F"/>
    <w:rsid w:val="00DC294A"/>
    <w:rsid w:val="00DC2BDE"/>
    <w:rsid w:val="00DC2C40"/>
    <w:rsid w:val="00DC2C5F"/>
    <w:rsid w:val="00DC2CCD"/>
    <w:rsid w:val="00DC2E22"/>
    <w:rsid w:val="00DC3031"/>
    <w:rsid w:val="00DC3182"/>
    <w:rsid w:val="00DC342C"/>
    <w:rsid w:val="00DC350E"/>
    <w:rsid w:val="00DC393C"/>
    <w:rsid w:val="00DC3D46"/>
    <w:rsid w:val="00DC4047"/>
    <w:rsid w:val="00DC41A2"/>
    <w:rsid w:val="00DC41DF"/>
    <w:rsid w:val="00DC4237"/>
    <w:rsid w:val="00DC4309"/>
    <w:rsid w:val="00DC43EB"/>
    <w:rsid w:val="00DC4424"/>
    <w:rsid w:val="00DC4446"/>
    <w:rsid w:val="00DC444C"/>
    <w:rsid w:val="00DC4691"/>
    <w:rsid w:val="00DC472F"/>
    <w:rsid w:val="00DC4834"/>
    <w:rsid w:val="00DC4881"/>
    <w:rsid w:val="00DC4891"/>
    <w:rsid w:val="00DC4E42"/>
    <w:rsid w:val="00DC4EAB"/>
    <w:rsid w:val="00DC4EDB"/>
    <w:rsid w:val="00DC55E7"/>
    <w:rsid w:val="00DC5606"/>
    <w:rsid w:val="00DC5711"/>
    <w:rsid w:val="00DC5767"/>
    <w:rsid w:val="00DC5906"/>
    <w:rsid w:val="00DC5DFF"/>
    <w:rsid w:val="00DC60E7"/>
    <w:rsid w:val="00DC6274"/>
    <w:rsid w:val="00DC62CC"/>
    <w:rsid w:val="00DC63E8"/>
    <w:rsid w:val="00DC663D"/>
    <w:rsid w:val="00DC680C"/>
    <w:rsid w:val="00DC6A10"/>
    <w:rsid w:val="00DC6A8A"/>
    <w:rsid w:val="00DC6AE2"/>
    <w:rsid w:val="00DC6CA0"/>
    <w:rsid w:val="00DC6F5E"/>
    <w:rsid w:val="00DC6FE6"/>
    <w:rsid w:val="00DC70A5"/>
    <w:rsid w:val="00DC719D"/>
    <w:rsid w:val="00DC7384"/>
    <w:rsid w:val="00DC74CB"/>
    <w:rsid w:val="00DC7752"/>
    <w:rsid w:val="00DC7E54"/>
    <w:rsid w:val="00DC7E5F"/>
    <w:rsid w:val="00DD013D"/>
    <w:rsid w:val="00DD0194"/>
    <w:rsid w:val="00DD024A"/>
    <w:rsid w:val="00DD0328"/>
    <w:rsid w:val="00DD0344"/>
    <w:rsid w:val="00DD03B0"/>
    <w:rsid w:val="00DD0844"/>
    <w:rsid w:val="00DD08CB"/>
    <w:rsid w:val="00DD0991"/>
    <w:rsid w:val="00DD0B69"/>
    <w:rsid w:val="00DD0CF1"/>
    <w:rsid w:val="00DD0D78"/>
    <w:rsid w:val="00DD0EAE"/>
    <w:rsid w:val="00DD0EEE"/>
    <w:rsid w:val="00DD1270"/>
    <w:rsid w:val="00DD134A"/>
    <w:rsid w:val="00DD1497"/>
    <w:rsid w:val="00DD1A59"/>
    <w:rsid w:val="00DD1BEB"/>
    <w:rsid w:val="00DD1C30"/>
    <w:rsid w:val="00DD1F7B"/>
    <w:rsid w:val="00DD20D3"/>
    <w:rsid w:val="00DD220D"/>
    <w:rsid w:val="00DD23A1"/>
    <w:rsid w:val="00DD25E7"/>
    <w:rsid w:val="00DD26AE"/>
    <w:rsid w:val="00DD279E"/>
    <w:rsid w:val="00DD28A6"/>
    <w:rsid w:val="00DD2A9B"/>
    <w:rsid w:val="00DD2B89"/>
    <w:rsid w:val="00DD2EDF"/>
    <w:rsid w:val="00DD2F11"/>
    <w:rsid w:val="00DD2FC9"/>
    <w:rsid w:val="00DD3221"/>
    <w:rsid w:val="00DD3256"/>
    <w:rsid w:val="00DD3382"/>
    <w:rsid w:val="00DD346D"/>
    <w:rsid w:val="00DD36B2"/>
    <w:rsid w:val="00DD376E"/>
    <w:rsid w:val="00DD3882"/>
    <w:rsid w:val="00DD39EC"/>
    <w:rsid w:val="00DD3C3B"/>
    <w:rsid w:val="00DD3D21"/>
    <w:rsid w:val="00DD3E49"/>
    <w:rsid w:val="00DD3E70"/>
    <w:rsid w:val="00DD403A"/>
    <w:rsid w:val="00DD4394"/>
    <w:rsid w:val="00DD45D6"/>
    <w:rsid w:val="00DD4E72"/>
    <w:rsid w:val="00DD5098"/>
    <w:rsid w:val="00DD51D5"/>
    <w:rsid w:val="00DD521D"/>
    <w:rsid w:val="00DD5222"/>
    <w:rsid w:val="00DD54A4"/>
    <w:rsid w:val="00DD54DA"/>
    <w:rsid w:val="00DD558E"/>
    <w:rsid w:val="00DD5725"/>
    <w:rsid w:val="00DD579A"/>
    <w:rsid w:val="00DD5B17"/>
    <w:rsid w:val="00DD6473"/>
    <w:rsid w:val="00DD660E"/>
    <w:rsid w:val="00DD6852"/>
    <w:rsid w:val="00DD6BC1"/>
    <w:rsid w:val="00DD6E5E"/>
    <w:rsid w:val="00DD6FB0"/>
    <w:rsid w:val="00DD72A0"/>
    <w:rsid w:val="00DD74CA"/>
    <w:rsid w:val="00DD7786"/>
    <w:rsid w:val="00DD7C9E"/>
    <w:rsid w:val="00DD7DDD"/>
    <w:rsid w:val="00DD7E0D"/>
    <w:rsid w:val="00DD7ECC"/>
    <w:rsid w:val="00DD7F0D"/>
    <w:rsid w:val="00DD7FF7"/>
    <w:rsid w:val="00DE0025"/>
    <w:rsid w:val="00DE0074"/>
    <w:rsid w:val="00DE05A0"/>
    <w:rsid w:val="00DE07D8"/>
    <w:rsid w:val="00DE0961"/>
    <w:rsid w:val="00DE09C3"/>
    <w:rsid w:val="00DE153F"/>
    <w:rsid w:val="00DE1550"/>
    <w:rsid w:val="00DE1562"/>
    <w:rsid w:val="00DE16AC"/>
    <w:rsid w:val="00DE1760"/>
    <w:rsid w:val="00DE1A2C"/>
    <w:rsid w:val="00DE1B63"/>
    <w:rsid w:val="00DE1BAD"/>
    <w:rsid w:val="00DE1D41"/>
    <w:rsid w:val="00DE2090"/>
    <w:rsid w:val="00DE20B5"/>
    <w:rsid w:val="00DE214C"/>
    <w:rsid w:val="00DE239E"/>
    <w:rsid w:val="00DE2538"/>
    <w:rsid w:val="00DE25CF"/>
    <w:rsid w:val="00DE2901"/>
    <w:rsid w:val="00DE29D4"/>
    <w:rsid w:val="00DE29F7"/>
    <w:rsid w:val="00DE2E72"/>
    <w:rsid w:val="00DE3D4F"/>
    <w:rsid w:val="00DE3EB4"/>
    <w:rsid w:val="00DE3F6B"/>
    <w:rsid w:val="00DE4811"/>
    <w:rsid w:val="00DE498E"/>
    <w:rsid w:val="00DE4AB7"/>
    <w:rsid w:val="00DE4BFC"/>
    <w:rsid w:val="00DE4C70"/>
    <w:rsid w:val="00DE4CFE"/>
    <w:rsid w:val="00DE4DCD"/>
    <w:rsid w:val="00DE4F5D"/>
    <w:rsid w:val="00DE4FD4"/>
    <w:rsid w:val="00DE52FB"/>
    <w:rsid w:val="00DE548C"/>
    <w:rsid w:val="00DE5505"/>
    <w:rsid w:val="00DE56D0"/>
    <w:rsid w:val="00DE56E6"/>
    <w:rsid w:val="00DE57F3"/>
    <w:rsid w:val="00DE583A"/>
    <w:rsid w:val="00DE5860"/>
    <w:rsid w:val="00DE5A3C"/>
    <w:rsid w:val="00DE5CBA"/>
    <w:rsid w:val="00DE662D"/>
    <w:rsid w:val="00DE66AC"/>
    <w:rsid w:val="00DE6CE7"/>
    <w:rsid w:val="00DE6E2A"/>
    <w:rsid w:val="00DE701C"/>
    <w:rsid w:val="00DE71BC"/>
    <w:rsid w:val="00DE77CB"/>
    <w:rsid w:val="00DE780C"/>
    <w:rsid w:val="00DE7B36"/>
    <w:rsid w:val="00DE7E00"/>
    <w:rsid w:val="00DE7E12"/>
    <w:rsid w:val="00DE7F1F"/>
    <w:rsid w:val="00DF0177"/>
    <w:rsid w:val="00DF0309"/>
    <w:rsid w:val="00DF0387"/>
    <w:rsid w:val="00DF0599"/>
    <w:rsid w:val="00DF0CB5"/>
    <w:rsid w:val="00DF0D20"/>
    <w:rsid w:val="00DF0E3A"/>
    <w:rsid w:val="00DF0F44"/>
    <w:rsid w:val="00DF16DC"/>
    <w:rsid w:val="00DF1751"/>
    <w:rsid w:val="00DF183E"/>
    <w:rsid w:val="00DF1A1B"/>
    <w:rsid w:val="00DF1CEE"/>
    <w:rsid w:val="00DF1EC9"/>
    <w:rsid w:val="00DF1ECC"/>
    <w:rsid w:val="00DF236E"/>
    <w:rsid w:val="00DF2765"/>
    <w:rsid w:val="00DF2ECE"/>
    <w:rsid w:val="00DF3161"/>
    <w:rsid w:val="00DF31AD"/>
    <w:rsid w:val="00DF356F"/>
    <w:rsid w:val="00DF3593"/>
    <w:rsid w:val="00DF3984"/>
    <w:rsid w:val="00DF3BC3"/>
    <w:rsid w:val="00DF3CAF"/>
    <w:rsid w:val="00DF3CC5"/>
    <w:rsid w:val="00DF3D88"/>
    <w:rsid w:val="00DF3EBA"/>
    <w:rsid w:val="00DF3FFE"/>
    <w:rsid w:val="00DF40FD"/>
    <w:rsid w:val="00DF4112"/>
    <w:rsid w:val="00DF427B"/>
    <w:rsid w:val="00DF4299"/>
    <w:rsid w:val="00DF42D3"/>
    <w:rsid w:val="00DF4420"/>
    <w:rsid w:val="00DF4504"/>
    <w:rsid w:val="00DF4910"/>
    <w:rsid w:val="00DF4E3E"/>
    <w:rsid w:val="00DF4F6D"/>
    <w:rsid w:val="00DF5073"/>
    <w:rsid w:val="00DF50A4"/>
    <w:rsid w:val="00DF54B7"/>
    <w:rsid w:val="00DF57D9"/>
    <w:rsid w:val="00DF5AA9"/>
    <w:rsid w:val="00DF5D63"/>
    <w:rsid w:val="00DF6060"/>
    <w:rsid w:val="00DF60B9"/>
    <w:rsid w:val="00DF60CE"/>
    <w:rsid w:val="00DF6253"/>
    <w:rsid w:val="00DF62B2"/>
    <w:rsid w:val="00DF63B7"/>
    <w:rsid w:val="00DF6432"/>
    <w:rsid w:val="00DF653C"/>
    <w:rsid w:val="00DF6854"/>
    <w:rsid w:val="00DF6898"/>
    <w:rsid w:val="00DF6B45"/>
    <w:rsid w:val="00DF6B9C"/>
    <w:rsid w:val="00DF6F48"/>
    <w:rsid w:val="00DF70DD"/>
    <w:rsid w:val="00DF733F"/>
    <w:rsid w:val="00DF7480"/>
    <w:rsid w:val="00DF77CB"/>
    <w:rsid w:val="00DF78EB"/>
    <w:rsid w:val="00DF792A"/>
    <w:rsid w:val="00DF7973"/>
    <w:rsid w:val="00DF7B6F"/>
    <w:rsid w:val="00DF7CDA"/>
    <w:rsid w:val="00DF7CDD"/>
    <w:rsid w:val="00DF7D16"/>
    <w:rsid w:val="00DF7E7B"/>
    <w:rsid w:val="00E00313"/>
    <w:rsid w:val="00E0048C"/>
    <w:rsid w:val="00E005DC"/>
    <w:rsid w:val="00E00C6B"/>
    <w:rsid w:val="00E00DC1"/>
    <w:rsid w:val="00E00FC6"/>
    <w:rsid w:val="00E010CD"/>
    <w:rsid w:val="00E010D6"/>
    <w:rsid w:val="00E01B24"/>
    <w:rsid w:val="00E025BC"/>
    <w:rsid w:val="00E025E0"/>
    <w:rsid w:val="00E027C7"/>
    <w:rsid w:val="00E0299D"/>
    <w:rsid w:val="00E029A2"/>
    <w:rsid w:val="00E02A67"/>
    <w:rsid w:val="00E02BA5"/>
    <w:rsid w:val="00E02C5E"/>
    <w:rsid w:val="00E02EDC"/>
    <w:rsid w:val="00E030B9"/>
    <w:rsid w:val="00E030ED"/>
    <w:rsid w:val="00E033E0"/>
    <w:rsid w:val="00E03465"/>
    <w:rsid w:val="00E034A5"/>
    <w:rsid w:val="00E03533"/>
    <w:rsid w:val="00E03A27"/>
    <w:rsid w:val="00E03B22"/>
    <w:rsid w:val="00E03F02"/>
    <w:rsid w:val="00E03F44"/>
    <w:rsid w:val="00E03FF5"/>
    <w:rsid w:val="00E03FF6"/>
    <w:rsid w:val="00E0438D"/>
    <w:rsid w:val="00E0453D"/>
    <w:rsid w:val="00E04784"/>
    <w:rsid w:val="00E047A1"/>
    <w:rsid w:val="00E048E6"/>
    <w:rsid w:val="00E04AFB"/>
    <w:rsid w:val="00E04C36"/>
    <w:rsid w:val="00E04F7A"/>
    <w:rsid w:val="00E0553D"/>
    <w:rsid w:val="00E05600"/>
    <w:rsid w:val="00E058B3"/>
    <w:rsid w:val="00E059E3"/>
    <w:rsid w:val="00E05B9A"/>
    <w:rsid w:val="00E05CCD"/>
    <w:rsid w:val="00E05FA6"/>
    <w:rsid w:val="00E0643E"/>
    <w:rsid w:val="00E064BC"/>
    <w:rsid w:val="00E06775"/>
    <w:rsid w:val="00E06967"/>
    <w:rsid w:val="00E069A6"/>
    <w:rsid w:val="00E069F3"/>
    <w:rsid w:val="00E06A74"/>
    <w:rsid w:val="00E0732D"/>
    <w:rsid w:val="00E07460"/>
    <w:rsid w:val="00E0777A"/>
    <w:rsid w:val="00E0791E"/>
    <w:rsid w:val="00E079E3"/>
    <w:rsid w:val="00E079F1"/>
    <w:rsid w:val="00E07A7F"/>
    <w:rsid w:val="00E07BCF"/>
    <w:rsid w:val="00E07C1E"/>
    <w:rsid w:val="00E07DD2"/>
    <w:rsid w:val="00E07DEA"/>
    <w:rsid w:val="00E10124"/>
    <w:rsid w:val="00E104E9"/>
    <w:rsid w:val="00E105AB"/>
    <w:rsid w:val="00E10849"/>
    <w:rsid w:val="00E109F6"/>
    <w:rsid w:val="00E10B1D"/>
    <w:rsid w:val="00E10EAD"/>
    <w:rsid w:val="00E11046"/>
    <w:rsid w:val="00E11530"/>
    <w:rsid w:val="00E11541"/>
    <w:rsid w:val="00E11646"/>
    <w:rsid w:val="00E11706"/>
    <w:rsid w:val="00E11AD6"/>
    <w:rsid w:val="00E11AEE"/>
    <w:rsid w:val="00E11CF4"/>
    <w:rsid w:val="00E11E98"/>
    <w:rsid w:val="00E11EF2"/>
    <w:rsid w:val="00E1262F"/>
    <w:rsid w:val="00E126B6"/>
    <w:rsid w:val="00E12827"/>
    <w:rsid w:val="00E132CE"/>
    <w:rsid w:val="00E13464"/>
    <w:rsid w:val="00E136ED"/>
    <w:rsid w:val="00E137F0"/>
    <w:rsid w:val="00E139E2"/>
    <w:rsid w:val="00E13CBF"/>
    <w:rsid w:val="00E13E06"/>
    <w:rsid w:val="00E14223"/>
    <w:rsid w:val="00E146E5"/>
    <w:rsid w:val="00E14899"/>
    <w:rsid w:val="00E14B92"/>
    <w:rsid w:val="00E14D15"/>
    <w:rsid w:val="00E14EC0"/>
    <w:rsid w:val="00E1524E"/>
    <w:rsid w:val="00E15274"/>
    <w:rsid w:val="00E15399"/>
    <w:rsid w:val="00E15447"/>
    <w:rsid w:val="00E15A2F"/>
    <w:rsid w:val="00E15AAC"/>
    <w:rsid w:val="00E15BAC"/>
    <w:rsid w:val="00E15C9D"/>
    <w:rsid w:val="00E15FD9"/>
    <w:rsid w:val="00E16287"/>
    <w:rsid w:val="00E163BA"/>
    <w:rsid w:val="00E1653A"/>
    <w:rsid w:val="00E165A0"/>
    <w:rsid w:val="00E167BA"/>
    <w:rsid w:val="00E1692B"/>
    <w:rsid w:val="00E16A2C"/>
    <w:rsid w:val="00E16BE2"/>
    <w:rsid w:val="00E16BE3"/>
    <w:rsid w:val="00E16DA4"/>
    <w:rsid w:val="00E171C4"/>
    <w:rsid w:val="00E17207"/>
    <w:rsid w:val="00E1725C"/>
    <w:rsid w:val="00E173D7"/>
    <w:rsid w:val="00E17587"/>
    <w:rsid w:val="00E177F6"/>
    <w:rsid w:val="00E20136"/>
    <w:rsid w:val="00E2018E"/>
    <w:rsid w:val="00E201B8"/>
    <w:rsid w:val="00E20226"/>
    <w:rsid w:val="00E20355"/>
    <w:rsid w:val="00E203C7"/>
    <w:rsid w:val="00E206F4"/>
    <w:rsid w:val="00E20A1D"/>
    <w:rsid w:val="00E20A7E"/>
    <w:rsid w:val="00E20EFA"/>
    <w:rsid w:val="00E20F9C"/>
    <w:rsid w:val="00E20FC7"/>
    <w:rsid w:val="00E210F9"/>
    <w:rsid w:val="00E2115C"/>
    <w:rsid w:val="00E213E3"/>
    <w:rsid w:val="00E213EF"/>
    <w:rsid w:val="00E2158C"/>
    <w:rsid w:val="00E215EE"/>
    <w:rsid w:val="00E219C6"/>
    <w:rsid w:val="00E22321"/>
    <w:rsid w:val="00E22581"/>
    <w:rsid w:val="00E22AA2"/>
    <w:rsid w:val="00E22B97"/>
    <w:rsid w:val="00E22C31"/>
    <w:rsid w:val="00E22C66"/>
    <w:rsid w:val="00E22C95"/>
    <w:rsid w:val="00E22CDF"/>
    <w:rsid w:val="00E22CFF"/>
    <w:rsid w:val="00E22DF7"/>
    <w:rsid w:val="00E22ED4"/>
    <w:rsid w:val="00E22F44"/>
    <w:rsid w:val="00E23101"/>
    <w:rsid w:val="00E231A4"/>
    <w:rsid w:val="00E234F7"/>
    <w:rsid w:val="00E23A54"/>
    <w:rsid w:val="00E23B3F"/>
    <w:rsid w:val="00E249F7"/>
    <w:rsid w:val="00E249FC"/>
    <w:rsid w:val="00E24C79"/>
    <w:rsid w:val="00E24CDA"/>
    <w:rsid w:val="00E24CE4"/>
    <w:rsid w:val="00E24D74"/>
    <w:rsid w:val="00E24D8D"/>
    <w:rsid w:val="00E2515A"/>
    <w:rsid w:val="00E2545D"/>
    <w:rsid w:val="00E25474"/>
    <w:rsid w:val="00E25491"/>
    <w:rsid w:val="00E254DA"/>
    <w:rsid w:val="00E257AA"/>
    <w:rsid w:val="00E25851"/>
    <w:rsid w:val="00E25C9D"/>
    <w:rsid w:val="00E25FBC"/>
    <w:rsid w:val="00E26071"/>
    <w:rsid w:val="00E26076"/>
    <w:rsid w:val="00E26448"/>
    <w:rsid w:val="00E265A3"/>
    <w:rsid w:val="00E26889"/>
    <w:rsid w:val="00E269A7"/>
    <w:rsid w:val="00E26DB6"/>
    <w:rsid w:val="00E26E63"/>
    <w:rsid w:val="00E26E82"/>
    <w:rsid w:val="00E27113"/>
    <w:rsid w:val="00E271AD"/>
    <w:rsid w:val="00E272B8"/>
    <w:rsid w:val="00E27571"/>
    <w:rsid w:val="00E275E5"/>
    <w:rsid w:val="00E2796A"/>
    <w:rsid w:val="00E27CAF"/>
    <w:rsid w:val="00E27E32"/>
    <w:rsid w:val="00E3013C"/>
    <w:rsid w:val="00E3014C"/>
    <w:rsid w:val="00E301DC"/>
    <w:rsid w:val="00E30355"/>
    <w:rsid w:val="00E30393"/>
    <w:rsid w:val="00E303F0"/>
    <w:rsid w:val="00E308EA"/>
    <w:rsid w:val="00E308FF"/>
    <w:rsid w:val="00E30901"/>
    <w:rsid w:val="00E30A36"/>
    <w:rsid w:val="00E30A37"/>
    <w:rsid w:val="00E30AB4"/>
    <w:rsid w:val="00E30B16"/>
    <w:rsid w:val="00E30BB7"/>
    <w:rsid w:val="00E3105E"/>
    <w:rsid w:val="00E31311"/>
    <w:rsid w:val="00E31602"/>
    <w:rsid w:val="00E316BF"/>
    <w:rsid w:val="00E31CFE"/>
    <w:rsid w:val="00E31D07"/>
    <w:rsid w:val="00E31DE0"/>
    <w:rsid w:val="00E31F65"/>
    <w:rsid w:val="00E3211F"/>
    <w:rsid w:val="00E321E7"/>
    <w:rsid w:val="00E3232C"/>
    <w:rsid w:val="00E32400"/>
    <w:rsid w:val="00E324EB"/>
    <w:rsid w:val="00E32E06"/>
    <w:rsid w:val="00E32EE5"/>
    <w:rsid w:val="00E32F07"/>
    <w:rsid w:val="00E32F93"/>
    <w:rsid w:val="00E3364F"/>
    <w:rsid w:val="00E3368B"/>
    <w:rsid w:val="00E341A2"/>
    <w:rsid w:val="00E3422D"/>
    <w:rsid w:val="00E34332"/>
    <w:rsid w:val="00E343BD"/>
    <w:rsid w:val="00E34418"/>
    <w:rsid w:val="00E3454B"/>
    <w:rsid w:val="00E346CC"/>
    <w:rsid w:val="00E34730"/>
    <w:rsid w:val="00E347C5"/>
    <w:rsid w:val="00E34AFE"/>
    <w:rsid w:val="00E34CD8"/>
    <w:rsid w:val="00E34D55"/>
    <w:rsid w:val="00E34DC4"/>
    <w:rsid w:val="00E34F3D"/>
    <w:rsid w:val="00E352A1"/>
    <w:rsid w:val="00E35655"/>
    <w:rsid w:val="00E35975"/>
    <w:rsid w:val="00E35DDE"/>
    <w:rsid w:val="00E35EB3"/>
    <w:rsid w:val="00E36126"/>
    <w:rsid w:val="00E363BD"/>
    <w:rsid w:val="00E36661"/>
    <w:rsid w:val="00E36680"/>
    <w:rsid w:val="00E3675F"/>
    <w:rsid w:val="00E36901"/>
    <w:rsid w:val="00E36C94"/>
    <w:rsid w:val="00E36F8B"/>
    <w:rsid w:val="00E371A4"/>
    <w:rsid w:val="00E37480"/>
    <w:rsid w:val="00E3748D"/>
    <w:rsid w:val="00E374A2"/>
    <w:rsid w:val="00E374A6"/>
    <w:rsid w:val="00E37955"/>
    <w:rsid w:val="00E379F7"/>
    <w:rsid w:val="00E37B78"/>
    <w:rsid w:val="00E37BBE"/>
    <w:rsid w:val="00E37F47"/>
    <w:rsid w:val="00E40328"/>
    <w:rsid w:val="00E40413"/>
    <w:rsid w:val="00E4047B"/>
    <w:rsid w:val="00E405BC"/>
    <w:rsid w:val="00E405BD"/>
    <w:rsid w:val="00E40633"/>
    <w:rsid w:val="00E406F8"/>
    <w:rsid w:val="00E40B3E"/>
    <w:rsid w:val="00E40BB3"/>
    <w:rsid w:val="00E41256"/>
    <w:rsid w:val="00E413D0"/>
    <w:rsid w:val="00E413F6"/>
    <w:rsid w:val="00E4173F"/>
    <w:rsid w:val="00E41744"/>
    <w:rsid w:val="00E41A1B"/>
    <w:rsid w:val="00E41E53"/>
    <w:rsid w:val="00E421DD"/>
    <w:rsid w:val="00E4226A"/>
    <w:rsid w:val="00E42277"/>
    <w:rsid w:val="00E42285"/>
    <w:rsid w:val="00E42328"/>
    <w:rsid w:val="00E4274B"/>
    <w:rsid w:val="00E427F7"/>
    <w:rsid w:val="00E42AFC"/>
    <w:rsid w:val="00E42DA0"/>
    <w:rsid w:val="00E43011"/>
    <w:rsid w:val="00E43046"/>
    <w:rsid w:val="00E43363"/>
    <w:rsid w:val="00E43675"/>
    <w:rsid w:val="00E43676"/>
    <w:rsid w:val="00E4390D"/>
    <w:rsid w:val="00E43ACB"/>
    <w:rsid w:val="00E43DA1"/>
    <w:rsid w:val="00E43E90"/>
    <w:rsid w:val="00E43FF8"/>
    <w:rsid w:val="00E4426B"/>
    <w:rsid w:val="00E44575"/>
    <w:rsid w:val="00E447FE"/>
    <w:rsid w:val="00E44945"/>
    <w:rsid w:val="00E44DF9"/>
    <w:rsid w:val="00E44E63"/>
    <w:rsid w:val="00E44EA1"/>
    <w:rsid w:val="00E45044"/>
    <w:rsid w:val="00E451A7"/>
    <w:rsid w:val="00E45223"/>
    <w:rsid w:val="00E45705"/>
    <w:rsid w:val="00E45822"/>
    <w:rsid w:val="00E45DC3"/>
    <w:rsid w:val="00E46158"/>
    <w:rsid w:val="00E46203"/>
    <w:rsid w:val="00E46626"/>
    <w:rsid w:val="00E46630"/>
    <w:rsid w:val="00E46728"/>
    <w:rsid w:val="00E46843"/>
    <w:rsid w:val="00E46DEA"/>
    <w:rsid w:val="00E47101"/>
    <w:rsid w:val="00E47107"/>
    <w:rsid w:val="00E47396"/>
    <w:rsid w:val="00E47432"/>
    <w:rsid w:val="00E4759A"/>
    <w:rsid w:val="00E476B8"/>
    <w:rsid w:val="00E47740"/>
    <w:rsid w:val="00E478FE"/>
    <w:rsid w:val="00E47B87"/>
    <w:rsid w:val="00E50358"/>
    <w:rsid w:val="00E503BD"/>
    <w:rsid w:val="00E50518"/>
    <w:rsid w:val="00E50801"/>
    <w:rsid w:val="00E50D40"/>
    <w:rsid w:val="00E50F67"/>
    <w:rsid w:val="00E511A9"/>
    <w:rsid w:val="00E51340"/>
    <w:rsid w:val="00E51454"/>
    <w:rsid w:val="00E514A8"/>
    <w:rsid w:val="00E51C55"/>
    <w:rsid w:val="00E51CB7"/>
    <w:rsid w:val="00E51FCF"/>
    <w:rsid w:val="00E523B4"/>
    <w:rsid w:val="00E523F1"/>
    <w:rsid w:val="00E527B6"/>
    <w:rsid w:val="00E529E1"/>
    <w:rsid w:val="00E52C63"/>
    <w:rsid w:val="00E52D50"/>
    <w:rsid w:val="00E52D52"/>
    <w:rsid w:val="00E52E1C"/>
    <w:rsid w:val="00E5354D"/>
    <w:rsid w:val="00E53585"/>
    <w:rsid w:val="00E53626"/>
    <w:rsid w:val="00E5379F"/>
    <w:rsid w:val="00E53B2F"/>
    <w:rsid w:val="00E53D82"/>
    <w:rsid w:val="00E53F02"/>
    <w:rsid w:val="00E540A1"/>
    <w:rsid w:val="00E54293"/>
    <w:rsid w:val="00E5433E"/>
    <w:rsid w:val="00E543FA"/>
    <w:rsid w:val="00E5468D"/>
    <w:rsid w:val="00E54879"/>
    <w:rsid w:val="00E549F1"/>
    <w:rsid w:val="00E54ACD"/>
    <w:rsid w:val="00E54B2B"/>
    <w:rsid w:val="00E54B80"/>
    <w:rsid w:val="00E551B5"/>
    <w:rsid w:val="00E55763"/>
    <w:rsid w:val="00E559A2"/>
    <w:rsid w:val="00E56162"/>
    <w:rsid w:val="00E567B8"/>
    <w:rsid w:val="00E56803"/>
    <w:rsid w:val="00E56B74"/>
    <w:rsid w:val="00E56C15"/>
    <w:rsid w:val="00E56DB0"/>
    <w:rsid w:val="00E57237"/>
    <w:rsid w:val="00E572CE"/>
    <w:rsid w:val="00E57398"/>
    <w:rsid w:val="00E575B2"/>
    <w:rsid w:val="00E5773D"/>
    <w:rsid w:val="00E57A66"/>
    <w:rsid w:val="00E60716"/>
    <w:rsid w:val="00E60C57"/>
    <w:rsid w:val="00E60E42"/>
    <w:rsid w:val="00E611DB"/>
    <w:rsid w:val="00E61632"/>
    <w:rsid w:val="00E61711"/>
    <w:rsid w:val="00E6189D"/>
    <w:rsid w:val="00E61BF9"/>
    <w:rsid w:val="00E61CDC"/>
    <w:rsid w:val="00E61E8E"/>
    <w:rsid w:val="00E621A1"/>
    <w:rsid w:val="00E6227D"/>
    <w:rsid w:val="00E6237A"/>
    <w:rsid w:val="00E626FE"/>
    <w:rsid w:val="00E627E9"/>
    <w:rsid w:val="00E62A16"/>
    <w:rsid w:val="00E62A87"/>
    <w:rsid w:val="00E62AAC"/>
    <w:rsid w:val="00E62C96"/>
    <w:rsid w:val="00E62FB2"/>
    <w:rsid w:val="00E63103"/>
    <w:rsid w:val="00E6321A"/>
    <w:rsid w:val="00E63286"/>
    <w:rsid w:val="00E6337A"/>
    <w:rsid w:val="00E635D6"/>
    <w:rsid w:val="00E63912"/>
    <w:rsid w:val="00E63A0D"/>
    <w:rsid w:val="00E63DE8"/>
    <w:rsid w:val="00E63F5A"/>
    <w:rsid w:val="00E63F5B"/>
    <w:rsid w:val="00E6411A"/>
    <w:rsid w:val="00E6425E"/>
    <w:rsid w:val="00E643D6"/>
    <w:rsid w:val="00E6487B"/>
    <w:rsid w:val="00E648D1"/>
    <w:rsid w:val="00E64CE0"/>
    <w:rsid w:val="00E65013"/>
    <w:rsid w:val="00E650B8"/>
    <w:rsid w:val="00E65171"/>
    <w:rsid w:val="00E65934"/>
    <w:rsid w:val="00E65BEA"/>
    <w:rsid w:val="00E65D0E"/>
    <w:rsid w:val="00E65DAB"/>
    <w:rsid w:val="00E65F31"/>
    <w:rsid w:val="00E66AAC"/>
    <w:rsid w:val="00E66ABA"/>
    <w:rsid w:val="00E66B72"/>
    <w:rsid w:val="00E66BAD"/>
    <w:rsid w:val="00E66BB2"/>
    <w:rsid w:val="00E66BDA"/>
    <w:rsid w:val="00E66FCC"/>
    <w:rsid w:val="00E67210"/>
    <w:rsid w:val="00E672C4"/>
    <w:rsid w:val="00E674E6"/>
    <w:rsid w:val="00E67569"/>
    <w:rsid w:val="00E67CB9"/>
    <w:rsid w:val="00E67CC1"/>
    <w:rsid w:val="00E67D80"/>
    <w:rsid w:val="00E67E74"/>
    <w:rsid w:val="00E67F3C"/>
    <w:rsid w:val="00E70A85"/>
    <w:rsid w:val="00E70DD7"/>
    <w:rsid w:val="00E71106"/>
    <w:rsid w:val="00E715A1"/>
    <w:rsid w:val="00E715CD"/>
    <w:rsid w:val="00E715E3"/>
    <w:rsid w:val="00E719DA"/>
    <w:rsid w:val="00E71B6F"/>
    <w:rsid w:val="00E71D00"/>
    <w:rsid w:val="00E723B0"/>
    <w:rsid w:val="00E724F5"/>
    <w:rsid w:val="00E724F6"/>
    <w:rsid w:val="00E72543"/>
    <w:rsid w:val="00E7255F"/>
    <w:rsid w:val="00E725CF"/>
    <w:rsid w:val="00E7260F"/>
    <w:rsid w:val="00E7276D"/>
    <w:rsid w:val="00E7290A"/>
    <w:rsid w:val="00E72952"/>
    <w:rsid w:val="00E729B0"/>
    <w:rsid w:val="00E72D32"/>
    <w:rsid w:val="00E72EE0"/>
    <w:rsid w:val="00E73088"/>
    <w:rsid w:val="00E730C6"/>
    <w:rsid w:val="00E731AA"/>
    <w:rsid w:val="00E733C6"/>
    <w:rsid w:val="00E73790"/>
    <w:rsid w:val="00E73912"/>
    <w:rsid w:val="00E73A73"/>
    <w:rsid w:val="00E73CFA"/>
    <w:rsid w:val="00E73DD3"/>
    <w:rsid w:val="00E73E9E"/>
    <w:rsid w:val="00E73F56"/>
    <w:rsid w:val="00E73F71"/>
    <w:rsid w:val="00E740C5"/>
    <w:rsid w:val="00E741FB"/>
    <w:rsid w:val="00E7424A"/>
    <w:rsid w:val="00E743A4"/>
    <w:rsid w:val="00E7449B"/>
    <w:rsid w:val="00E748F6"/>
    <w:rsid w:val="00E74C7C"/>
    <w:rsid w:val="00E74D0C"/>
    <w:rsid w:val="00E74D20"/>
    <w:rsid w:val="00E74F3E"/>
    <w:rsid w:val="00E754B3"/>
    <w:rsid w:val="00E7585B"/>
    <w:rsid w:val="00E7590E"/>
    <w:rsid w:val="00E75B73"/>
    <w:rsid w:val="00E75CB1"/>
    <w:rsid w:val="00E75D50"/>
    <w:rsid w:val="00E75EE8"/>
    <w:rsid w:val="00E75F81"/>
    <w:rsid w:val="00E7614F"/>
    <w:rsid w:val="00E762CA"/>
    <w:rsid w:val="00E762DD"/>
    <w:rsid w:val="00E76326"/>
    <w:rsid w:val="00E76821"/>
    <w:rsid w:val="00E76A35"/>
    <w:rsid w:val="00E76DEC"/>
    <w:rsid w:val="00E76EE6"/>
    <w:rsid w:val="00E773C2"/>
    <w:rsid w:val="00E77476"/>
    <w:rsid w:val="00E775F8"/>
    <w:rsid w:val="00E777C5"/>
    <w:rsid w:val="00E77BF2"/>
    <w:rsid w:val="00E77C7C"/>
    <w:rsid w:val="00E77DF8"/>
    <w:rsid w:val="00E80340"/>
    <w:rsid w:val="00E8057B"/>
    <w:rsid w:val="00E80BCE"/>
    <w:rsid w:val="00E80D21"/>
    <w:rsid w:val="00E810C8"/>
    <w:rsid w:val="00E81157"/>
    <w:rsid w:val="00E81382"/>
    <w:rsid w:val="00E813F3"/>
    <w:rsid w:val="00E814A0"/>
    <w:rsid w:val="00E8175E"/>
    <w:rsid w:val="00E818F2"/>
    <w:rsid w:val="00E81AF4"/>
    <w:rsid w:val="00E81D00"/>
    <w:rsid w:val="00E81E26"/>
    <w:rsid w:val="00E8213A"/>
    <w:rsid w:val="00E8213C"/>
    <w:rsid w:val="00E82168"/>
    <w:rsid w:val="00E82266"/>
    <w:rsid w:val="00E822B1"/>
    <w:rsid w:val="00E822DB"/>
    <w:rsid w:val="00E82507"/>
    <w:rsid w:val="00E82898"/>
    <w:rsid w:val="00E828EF"/>
    <w:rsid w:val="00E82B5E"/>
    <w:rsid w:val="00E82BEF"/>
    <w:rsid w:val="00E82D7A"/>
    <w:rsid w:val="00E82DC7"/>
    <w:rsid w:val="00E83226"/>
    <w:rsid w:val="00E83751"/>
    <w:rsid w:val="00E83780"/>
    <w:rsid w:val="00E83D5E"/>
    <w:rsid w:val="00E83E4D"/>
    <w:rsid w:val="00E83FAF"/>
    <w:rsid w:val="00E84012"/>
    <w:rsid w:val="00E84013"/>
    <w:rsid w:val="00E84219"/>
    <w:rsid w:val="00E84287"/>
    <w:rsid w:val="00E8439A"/>
    <w:rsid w:val="00E84454"/>
    <w:rsid w:val="00E84A59"/>
    <w:rsid w:val="00E84EF6"/>
    <w:rsid w:val="00E8526C"/>
    <w:rsid w:val="00E8587F"/>
    <w:rsid w:val="00E859D5"/>
    <w:rsid w:val="00E85B1C"/>
    <w:rsid w:val="00E85C47"/>
    <w:rsid w:val="00E85CA2"/>
    <w:rsid w:val="00E85EB5"/>
    <w:rsid w:val="00E85EF6"/>
    <w:rsid w:val="00E85F49"/>
    <w:rsid w:val="00E860AC"/>
    <w:rsid w:val="00E8633B"/>
    <w:rsid w:val="00E864FE"/>
    <w:rsid w:val="00E86583"/>
    <w:rsid w:val="00E8672E"/>
    <w:rsid w:val="00E86867"/>
    <w:rsid w:val="00E86887"/>
    <w:rsid w:val="00E86A0B"/>
    <w:rsid w:val="00E86A36"/>
    <w:rsid w:val="00E86D9F"/>
    <w:rsid w:val="00E870BB"/>
    <w:rsid w:val="00E871A1"/>
    <w:rsid w:val="00E872A8"/>
    <w:rsid w:val="00E874BE"/>
    <w:rsid w:val="00E874FF"/>
    <w:rsid w:val="00E87840"/>
    <w:rsid w:val="00E900AE"/>
    <w:rsid w:val="00E901B7"/>
    <w:rsid w:val="00E90388"/>
    <w:rsid w:val="00E905DA"/>
    <w:rsid w:val="00E90798"/>
    <w:rsid w:val="00E9083E"/>
    <w:rsid w:val="00E9085B"/>
    <w:rsid w:val="00E908D7"/>
    <w:rsid w:val="00E909A7"/>
    <w:rsid w:val="00E90ACA"/>
    <w:rsid w:val="00E90D40"/>
    <w:rsid w:val="00E90DFC"/>
    <w:rsid w:val="00E912BB"/>
    <w:rsid w:val="00E91318"/>
    <w:rsid w:val="00E918BF"/>
    <w:rsid w:val="00E91A7E"/>
    <w:rsid w:val="00E91B02"/>
    <w:rsid w:val="00E91FE7"/>
    <w:rsid w:val="00E91FED"/>
    <w:rsid w:val="00E92810"/>
    <w:rsid w:val="00E92986"/>
    <w:rsid w:val="00E92BA7"/>
    <w:rsid w:val="00E92ED3"/>
    <w:rsid w:val="00E92F24"/>
    <w:rsid w:val="00E931E0"/>
    <w:rsid w:val="00E93348"/>
    <w:rsid w:val="00E93374"/>
    <w:rsid w:val="00E93499"/>
    <w:rsid w:val="00E9364F"/>
    <w:rsid w:val="00E93A8F"/>
    <w:rsid w:val="00E93D04"/>
    <w:rsid w:val="00E94018"/>
    <w:rsid w:val="00E9420B"/>
    <w:rsid w:val="00E944AC"/>
    <w:rsid w:val="00E944D6"/>
    <w:rsid w:val="00E94580"/>
    <w:rsid w:val="00E948C4"/>
    <w:rsid w:val="00E948E5"/>
    <w:rsid w:val="00E94940"/>
    <w:rsid w:val="00E94B73"/>
    <w:rsid w:val="00E94E0C"/>
    <w:rsid w:val="00E94E2E"/>
    <w:rsid w:val="00E94F36"/>
    <w:rsid w:val="00E94FA6"/>
    <w:rsid w:val="00E95239"/>
    <w:rsid w:val="00E9524D"/>
    <w:rsid w:val="00E9529F"/>
    <w:rsid w:val="00E95621"/>
    <w:rsid w:val="00E9596B"/>
    <w:rsid w:val="00E95A31"/>
    <w:rsid w:val="00E95DB8"/>
    <w:rsid w:val="00E95E26"/>
    <w:rsid w:val="00E96121"/>
    <w:rsid w:val="00E96260"/>
    <w:rsid w:val="00E962FA"/>
    <w:rsid w:val="00E96454"/>
    <w:rsid w:val="00E96672"/>
    <w:rsid w:val="00E9683F"/>
    <w:rsid w:val="00E968E2"/>
    <w:rsid w:val="00E96A1A"/>
    <w:rsid w:val="00E96C1B"/>
    <w:rsid w:val="00E96CE3"/>
    <w:rsid w:val="00E9701D"/>
    <w:rsid w:val="00E9714F"/>
    <w:rsid w:val="00E975C1"/>
    <w:rsid w:val="00E97772"/>
    <w:rsid w:val="00E97815"/>
    <w:rsid w:val="00E97E5E"/>
    <w:rsid w:val="00EA02F6"/>
    <w:rsid w:val="00EA0331"/>
    <w:rsid w:val="00EA04CD"/>
    <w:rsid w:val="00EA0934"/>
    <w:rsid w:val="00EA09E1"/>
    <w:rsid w:val="00EA0AEF"/>
    <w:rsid w:val="00EA0C58"/>
    <w:rsid w:val="00EA1130"/>
    <w:rsid w:val="00EA1257"/>
    <w:rsid w:val="00EA13F0"/>
    <w:rsid w:val="00EA1438"/>
    <w:rsid w:val="00EA16B3"/>
    <w:rsid w:val="00EA16C4"/>
    <w:rsid w:val="00EA16E8"/>
    <w:rsid w:val="00EA1738"/>
    <w:rsid w:val="00EA1943"/>
    <w:rsid w:val="00EA1BEF"/>
    <w:rsid w:val="00EA1DE7"/>
    <w:rsid w:val="00EA1F83"/>
    <w:rsid w:val="00EA208A"/>
    <w:rsid w:val="00EA2129"/>
    <w:rsid w:val="00EA21EF"/>
    <w:rsid w:val="00EA21F6"/>
    <w:rsid w:val="00EA22DE"/>
    <w:rsid w:val="00EA235D"/>
    <w:rsid w:val="00EA2500"/>
    <w:rsid w:val="00EA2541"/>
    <w:rsid w:val="00EA2665"/>
    <w:rsid w:val="00EA2BFF"/>
    <w:rsid w:val="00EA2CA1"/>
    <w:rsid w:val="00EA2CB1"/>
    <w:rsid w:val="00EA2F00"/>
    <w:rsid w:val="00EA2FA5"/>
    <w:rsid w:val="00EA31D9"/>
    <w:rsid w:val="00EA3457"/>
    <w:rsid w:val="00EA34D2"/>
    <w:rsid w:val="00EA394A"/>
    <w:rsid w:val="00EA3963"/>
    <w:rsid w:val="00EA3A1C"/>
    <w:rsid w:val="00EA3A58"/>
    <w:rsid w:val="00EA3AA6"/>
    <w:rsid w:val="00EA3D48"/>
    <w:rsid w:val="00EA3E33"/>
    <w:rsid w:val="00EA3F3F"/>
    <w:rsid w:val="00EA4199"/>
    <w:rsid w:val="00EA429D"/>
    <w:rsid w:val="00EA4330"/>
    <w:rsid w:val="00EA4935"/>
    <w:rsid w:val="00EA4A1C"/>
    <w:rsid w:val="00EA4D76"/>
    <w:rsid w:val="00EA4E30"/>
    <w:rsid w:val="00EA5500"/>
    <w:rsid w:val="00EA56B7"/>
    <w:rsid w:val="00EA5798"/>
    <w:rsid w:val="00EA5EBD"/>
    <w:rsid w:val="00EA5FC6"/>
    <w:rsid w:val="00EA606C"/>
    <w:rsid w:val="00EA62DB"/>
    <w:rsid w:val="00EA65B0"/>
    <w:rsid w:val="00EA6717"/>
    <w:rsid w:val="00EA67A5"/>
    <w:rsid w:val="00EA6BF4"/>
    <w:rsid w:val="00EA6EBA"/>
    <w:rsid w:val="00EA6EEC"/>
    <w:rsid w:val="00EA736C"/>
    <w:rsid w:val="00EA73DB"/>
    <w:rsid w:val="00EA76D5"/>
    <w:rsid w:val="00EA7734"/>
    <w:rsid w:val="00EA7A16"/>
    <w:rsid w:val="00EA7A70"/>
    <w:rsid w:val="00EA7C26"/>
    <w:rsid w:val="00EA7E34"/>
    <w:rsid w:val="00EB006D"/>
    <w:rsid w:val="00EB0081"/>
    <w:rsid w:val="00EB04C7"/>
    <w:rsid w:val="00EB0C6F"/>
    <w:rsid w:val="00EB1169"/>
    <w:rsid w:val="00EB11E0"/>
    <w:rsid w:val="00EB12CA"/>
    <w:rsid w:val="00EB12E0"/>
    <w:rsid w:val="00EB13A3"/>
    <w:rsid w:val="00EB17FC"/>
    <w:rsid w:val="00EB1978"/>
    <w:rsid w:val="00EB1A02"/>
    <w:rsid w:val="00EB1B39"/>
    <w:rsid w:val="00EB1BC6"/>
    <w:rsid w:val="00EB1CD6"/>
    <w:rsid w:val="00EB20C6"/>
    <w:rsid w:val="00EB26BF"/>
    <w:rsid w:val="00EB2919"/>
    <w:rsid w:val="00EB2C33"/>
    <w:rsid w:val="00EB304F"/>
    <w:rsid w:val="00EB34C3"/>
    <w:rsid w:val="00EB362C"/>
    <w:rsid w:val="00EB3903"/>
    <w:rsid w:val="00EB3DA6"/>
    <w:rsid w:val="00EB3F2A"/>
    <w:rsid w:val="00EB3F9D"/>
    <w:rsid w:val="00EB4146"/>
    <w:rsid w:val="00EB41FE"/>
    <w:rsid w:val="00EB4541"/>
    <w:rsid w:val="00EB468C"/>
    <w:rsid w:val="00EB4796"/>
    <w:rsid w:val="00EB4CAC"/>
    <w:rsid w:val="00EB4CD8"/>
    <w:rsid w:val="00EB4D46"/>
    <w:rsid w:val="00EB50A4"/>
    <w:rsid w:val="00EB53B6"/>
    <w:rsid w:val="00EB57B2"/>
    <w:rsid w:val="00EB5DC6"/>
    <w:rsid w:val="00EB5E9B"/>
    <w:rsid w:val="00EB602B"/>
    <w:rsid w:val="00EB602D"/>
    <w:rsid w:val="00EB628C"/>
    <w:rsid w:val="00EB6291"/>
    <w:rsid w:val="00EB66A0"/>
    <w:rsid w:val="00EB671F"/>
    <w:rsid w:val="00EB67C5"/>
    <w:rsid w:val="00EB69D8"/>
    <w:rsid w:val="00EB6A5C"/>
    <w:rsid w:val="00EB6D3D"/>
    <w:rsid w:val="00EB6FB1"/>
    <w:rsid w:val="00EB71C1"/>
    <w:rsid w:val="00EB721E"/>
    <w:rsid w:val="00EB7B93"/>
    <w:rsid w:val="00EC00CD"/>
    <w:rsid w:val="00EC0327"/>
    <w:rsid w:val="00EC0507"/>
    <w:rsid w:val="00EC0665"/>
    <w:rsid w:val="00EC06CB"/>
    <w:rsid w:val="00EC07A3"/>
    <w:rsid w:val="00EC080D"/>
    <w:rsid w:val="00EC0A1C"/>
    <w:rsid w:val="00EC0A61"/>
    <w:rsid w:val="00EC0DB8"/>
    <w:rsid w:val="00EC0E55"/>
    <w:rsid w:val="00EC0E8E"/>
    <w:rsid w:val="00EC0FA2"/>
    <w:rsid w:val="00EC1171"/>
    <w:rsid w:val="00EC11C4"/>
    <w:rsid w:val="00EC1247"/>
    <w:rsid w:val="00EC1406"/>
    <w:rsid w:val="00EC153F"/>
    <w:rsid w:val="00EC169C"/>
    <w:rsid w:val="00EC182D"/>
    <w:rsid w:val="00EC1C1E"/>
    <w:rsid w:val="00EC1C8B"/>
    <w:rsid w:val="00EC22E1"/>
    <w:rsid w:val="00EC29F3"/>
    <w:rsid w:val="00EC2A78"/>
    <w:rsid w:val="00EC2F9D"/>
    <w:rsid w:val="00EC3173"/>
    <w:rsid w:val="00EC31A5"/>
    <w:rsid w:val="00EC357C"/>
    <w:rsid w:val="00EC36D5"/>
    <w:rsid w:val="00EC3864"/>
    <w:rsid w:val="00EC3894"/>
    <w:rsid w:val="00EC3A19"/>
    <w:rsid w:val="00EC3A71"/>
    <w:rsid w:val="00EC3C2F"/>
    <w:rsid w:val="00EC4396"/>
    <w:rsid w:val="00EC4435"/>
    <w:rsid w:val="00EC4485"/>
    <w:rsid w:val="00EC44FF"/>
    <w:rsid w:val="00EC4505"/>
    <w:rsid w:val="00EC4A55"/>
    <w:rsid w:val="00EC4AE6"/>
    <w:rsid w:val="00EC4C15"/>
    <w:rsid w:val="00EC5119"/>
    <w:rsid w:val="00EC5124"/>
    <w:rsid w:val="00EC52AE"/>
    <w:rsid w:val="00EC575B"/>
    <w:rsid w:val="00EC5762"/>
    <w:rsid w:val="00EC58F1"/>
    <w:rsid w:val="00EC5BFE"/>
    <w:rsid w:val="00EC5C2C"/>
    <w:rsid w:val="00EC5D17"/>
    <w:rsid w:val="00EC5DAA"/>
    <w:rsid w:val="00EC5DB1"/>
    <w:rsid w:val="00EC5DFF"/>
    <w:rsid w:val="00EC6065"/>
    <w:rsid w:val="00EC62CE"/>
    <w:rsid w:val="00EC6556"/>
    <w:rsid w:val="00EC680E"/>
    <w:rsid w:val="00EC6A0C"/>
    <w:rsid w:val="00EC727B"/>
    <w:rsid w:val="00EC78BD"/>
    <w:rsid w:val="00EC7A5D"/>
    <w:rsid w:val="00EC7A6D"/>
    <w:rsid w:val="00EC7AA0"/>
    <w:rsid w:val="00EC7BB4"/>
    <w:rsid w:val="00EC7EC1"/>
    <w:rsid w:val="00ED0611"/>
    <w:rsid w:val="00ED07D6"/>
    <w:rsid w:val="00ED0AEE"/>
    <w:rsid w:val="00ED0EAA"/>
    <w:rsid w:val="00ED1064"/>
    <w:rsid w:val="00ED10D0"/>
    <w:rsid w:val="00ED165B"/>
    <w:rsid w:val="00ED16BB"/>
    <w:rsid w:val="00ED1748"/>
    <w:rsid w:val="00ED17ED"/>
    <w:rsid w:val="00ED1813"/>
    <w:rsid w:val="00ED1990"/>
    <w:rsid w:val="00ED19AF"/>
    <w:rsid w:val="00ED1C83"/>
    <w:rsid w:val="00ED1E02"/>
    <w:rsid w:val="00ED1F89"/>
    <w:rsid w:val="00ED2163"/>
    <w:rsid w:val="00ED21D1"/>
    <w:rsid w:val="00ED228E"/>
    <w:rsid w:val="00ED233B"/>
    <w:rsid w:val="00ED2957"/>
    <w:rsid w:val="00ED2A9C"/>
    <w:rsid w:val="00ED2AC3"/>
    <w:rsid w:val="00ED2CA1"/>
    <w:rsid w:val="00ED2EE1"/>
    <w:rsid w:val="00ED31B9"/>
    <w:rsid w:val="00ED340D"/>
    <w:rsid w:val="00ED345A"/>
    <w:rsid w:val="00ED3571"/>
    <w:rsid w:val="00ED3585"/>
    <w:rsid w:val="00ED36A6"/>
    <w:rsid w:val="00ED3CF2"/>
    <w:rsid w:val="00ED3EB1"/>
    <w:rsid w:val="00ED3FB5"/>
    <w:rsid w:val="00ED4024"/>
    <w:rsid w:val="00ED411B"/>
    <w:rsid w:val="00ED453B"/>
    <w:rsid w:val="00ED4570"/>
    <w:rsid w:val="00ED494D"/>
    <w:rsid w:val="00ED4983"/>
    <w:rsid w:val="00ED4BB4"/>
    <w:rsid w:val="00ED4CF0"/>
    <w:rsid w:val="00ED4DAF"/>
    <w:rsid w:val="00ED54C9"/>
    <w:rsid w:val="00ED5697"/>
    <w:rsid w:val="00ED58A5"/>
    <w:rsid w:val="00ED5A39"/>
    <w:rsid w:val="00ED5BE6"/>
    <w:rsid w:val="00ED5CB0"/>
    <w:rsid w:val="00ED5D41"/>
    <w:rsid w:val="00ED5DEA"/>
    <w:rsid w:val="00ED5EEB"/>
    <w:rsid w:val="00ED5F13"/>
    <w:rsid w:val="00ED5FE3"/>
    <w:rsid w:val="00ED6006"/>
    <w:rsid w:val="00ED6189"/>
    <w:rsid w:val="00ED67DE"/>
    <w:rsid w:val="00ED6B72"/>
    <w:rsid w:val="00ED6BB5"/>
    <w:rsid w:val="00ED6C91"/>
    <w:rsid w:val="00ED6C9C"/>
    <w:rsid w:val="00ED6FE5"/>
    <w:rsid w:val="00ED7283"/>
    <w:rsid w:val="00ED73E5"/>
    <w:rsid w:val="00ED73E7"/>
    <w:rsid w:val="00ED7727"/>
    <w:rsid w:val="00ED7B13"/>
    <w:rsid w:val="00ED7BCB"/>
    <w:rsid w:val="00ED7D5F"/>
    <w:rsid w:val="00EE0174"/>
    <w:rsid w:val="00EE0610"/>
    <w:rsid w:val="00EE070A"/>
    <w:rsid w:val="00EE0A82"/>
    <w:rsid w:val="00EE0C3D"/>
    <w:rsid w:val="00EE0F2D"/>
    <w:rsid w:val="00EE0FD4"/>
    <w:rsid w:val="00EE115B"/>
    <w:rsid w:val="00EE11B0"/>
    <w:rsid w:val="00EE13B7"/>
    <w:rsid w:val="00EE146E"/>
    <w:rsid w:val="00EE18C7"/>
    <w:rsid w:val="00EE1BA6"/>
    <w:rsid w:val="00EE1DDD"/>
    <w:rsid w:val="00EE1E51"/>
    <w:rsid w:val="00EE1F66"/>
    <w:rsid w:val="00EE1FA4"/>
    <w:rsid w:val="00EE2002"/>
    <w:rsid w:val="00EE23DE"/>
    <w:rsid w:val="00EE25B9"/>
    <w:rsid w:val="00EE266B"/>
    <w:rsid w:val="00EE2714"/>
    <w:rsid w:val="00EE2751"/>
    <w:rsid w:val="00EE2884"/>
    <w:rsid w:val="00EE2977"/>
    <w:rsid w:val="00EE2E38"/>
    <w:rsid w:val="00EE2EFA"/>
    <w:rsid w:val="00EE30A8"/>
    <w:rsid w:val="00EE3312"/>
    <w:rsid w:val="00EE36E0"/>
    <w:rsid w:val="00EE3A81"/>
    <w:rsid w:val="00EE3B77"/>
    <w:rsid w:val="00EE3E27"/>
    <w:rsid w:val="00EE41B3"/>
    <w:rsid w:val="00EE41C9"/>
    <w:rsid w:val="00EE4454"/>
    <w:rsid w:val="00EE4457"/>
    <w:rsid w:val="00EE48BB"/>
    <w:rsid w:val="00EE49FA"/>
    <w:rsid w:val="00EE4AC9"/>
    <w:rsid w:val="00EE4CBF"/>
    <w:rsid w:val="00EE4D2E"/>
    <w:rsid w:val="00EE52B6"/>
    <w:rsid w:val="00EE5441"/>
    <w:rsid w:val="00EE55EE"/>
    <w:rsid w:val="00EE5DE1"/>
    <w:rsid w:val="00EE611D"/>
    <w:rsid w:val="00EE61AB"/>
    <w:rsid w:val="00EE625E"/>
    <w:rsid w:val="00EE62AE"/>
    <w:rsid w:val="00EE62D5"/>
    <w:rsid w:val="00EE6DA6"/>
    <w:rsid w:val="00EE6E95"/>
    <w:rsid w:val="00EE6EF6"/>
    <w:rsid w:val="00EE6F14"/>
    <w:rsid w:val="00EE6FA5"/>
    <w:rsid w:val="00EE72D0"/>
    <w:rsid w:val="00EE72E7"/>
    <w:rsid w:val="00EE76B1"/>
    <w:rsid w:val="00EE7B72"/>
    <w:rsid w:val="00EE7F6C"/>
    <w:rsid w:val="00EF0090"/>
    <w:rsid w:val="00EF01EA"/>
    <w:rsid w:val="00EF0660"/>
    <w:rsid w:val="00EF06C8"/>
    <w:rsid w:val="00EF07EA"/>
    <w:rsid w:val="00EF0A3F"/>
    <w:rsid w:val="00EF0C47"/>
    <w:rsid w:val="00EF13B4"/>
    <w:rsid w:val="00EF163B"/>
    <w:rsid w:val="00EF17DD"/>
    <w:rsid w:val="00EF17E9"/>
    <w:rsid w:val="00EF18EC"/>
    <w:rsid w:val="00EF1BCC"/>
    <w:rsid w:val="00EF212D"/>
    <w:rsid w:val="00EF2274"/>
    <w:rsid w:val="00EF22DF"/>
    <w:rsid w:val="00EF25DD"/>
    <w:rsid w:val="00EF28F0"/>
    <w:rsid w:val="00EF29A4"/>
    <w:rsid w:val="00EF2A2A"/>
    <w:rsid w:val="00EF2A38"/>
    <w:rsid w:val="00EF2D2B"/>
    <w:rsid w:val="00EF32DC"/>
    <w:rsid w:val="00EF349A"/>
    <w:rsid w:val="00EF3510"/>
    <w:rsid w:val="00EF3720"/>
    <w:rsid w:val="00EF3E25"/>
    <w:rsid w:val="00EF3F23"/>
    <w:rsid w:val="00EF3FB7"/>
    <w:rsid w:val="00EF4114"/>
    <w:rsid w:val="00EF4144"/>
    <w:rsid w:val="00EF4232"/>
    <w:rsid w:val="00EF4318"/>
    <w:rsid w:val="00EF44C5"/>
    <w:rsid w:val="00EF44CE"/>
    <w:rsid w:val="00EF454A"/>
    <w:rsid w:val="00EF47C1"/>
    <w:rsid w:val="00EF49BA"/>
    <w:rsid w:val="00EF4C9D"/>
    <w:rsid w:val="00EF4F58"/>
    <w:rsid w:val="00EF5092"/>
    <w:rsid w:val="00EF5151"/>
    <w:rsid w:val="00EF5189"/>
    <w:rsid w:val="00EF535E"/>
    <w:rsid w:val="00EF539A"/>
    <w:rsid w:val="00EF5697"/>
    <w:rsid w:val="00EF57FD"/>
    <w:rsid w:val="00EF587A"/>
    <w:rsid w:val="00EF58D0"/>
    <w:rsid w:val="00EF5A6F"/>
    <w:rsid w:val="00EF5BCC"/>
    <w:rsid w:val="00EF5BF0"/>
    <w:rsid w:val="00EF5C6B"/>
    <w:rsid w:val="00EF5F95"/>
    <w:rsid w:val="00EF5FBD"/>
    <w:rsid w:val="00EF622E"/>
    <w:rsid w:val="00EF6613"/>
    <w:rsid w:val="00EF6AC9"/>
    <w:rsid w:val="00EF6B29"/>
    <w:rsid w:val="00EF6D48"/>
    <w:rsid w:val="00EF6D52"/>
    <w:rsid w:val="00EF6F13"/>
    <w:rsid w:val="00EF6FAC"/>
    <w:rsid w:val="00EF7002"/>
    <w:rsid w:val="00EF7079"/>
    <w:rsid w:val="00EF723F"/>
    <w:rsid w:val="00EF7588"/>
    <w:rsid w:val="00EF7608"/>
    <w:rsid w:val="00EF76E6"/>
    <w:rsid w:val="00EF7B01"/>
    <w:rsid w:val="00EF7B69"/>
    <w:rsid w:val="00EF7CD9"/>
    <w:rsid w:val="00EF7DE2"/>
    <w:rsid w:val="00F000CA"/>
    <w:rsid w:val="00F002BF"/>
    <w:rsid w:val="00F00477"/>
    <w:rsid w:val="00F004CD"/>
    <w:rsid w:val="00F00802"/>
    <w:rsid w:val="00F00C87"/>
    <w:rsid w:val="00F00D26"/>
    <w:rsid w:val="00F00EFB"/>
    <w:rsid w:val="00F00F95"/>
    <w:rsid w:val="00F0139B"/>
    <w:rsid w:val="00F01427"/>
    <w:rsid w:val="00F017E1"/>
    <w:rsid w:val="00F0182E"/>
    <w:rsid w:val="00F01DDC"/>
    <w:rsid w:val="00F01EAA"/>
    <w:rsid w:val="00F02058"/>
    <w:rsid w:val="00F0219B"/>
    <w:rsid w:val="00F02285"/>
    <w:rsid w:val="00F022F6"/>
    <w:rsid w:val="00F0249A"/>
    <w:rsid w:val="00F02501"/>
    <w:rsid w:val="00F02503"/>
    <w:rsid w:val="00F0271B"/>
    <w:rsid w:val="00F0274F"/>
    <w:rsid w:val="00F027FB"/>
    <w:rsid w:val="00F028EA"/>
    <w:rsid w:val="00F02DC1"/>
    <w:rsid w:val="00F031C9"/>
    <w:rsid w:val="00F03462"/>
    <w:rsid w:val="00F038F6"/>
    <w:rsid w:val="00F03D56"/>
    <w:rsid w:val="00F03FE0"/>
    <w:rsid w:val="00F0465B"/>
    <w:rsid w:val="00F046E3"/>
    <w:rsid w:val="00F047FE"/>
    <w:rsid w:val="00F04A34"/>
    <w:rsid w:val="00F04EA7"/>
    <w:rsid w:val="00F04EFC"/>
    <w:rsid w:val="00F052C3"/>
    <w:rsid w:val="00F05871"/>
    <w:rsid w:val="00F05975"/>
    <w:rsid w:val="00F059D2"/>
    <w:rsid w:val="00F05A62"/>
    <w:rsid w:val="00F05ECC"/>
    <w:rsid w:val="00F06447"/>
    <w:rsid w:val="00F0674A"/>
    <w:rsid w:val="00F067CC"/>
    <w:rsid w:val="00F069B2"/>
    <w:rsid w:val="00F06C09"/>
    <w:rsid w:val="00F06DF5"/>
    <w:rsid w:val="00F06FD9"/>
    <w:rsid w:val="00F071C1"/>
    <w:rsid w:val="00F072A5"/>
    <w:rsid w:val="00F0743B"/>
    <w:rsid w:val="00F075AF"/>
    <w:rsid w:val="00F0777D"/>
    <w:rsid w:val="00F0785D"/>
    <w:rsid w:val="00F07B90"/>
    <w:rsid w:val="00F07BA6"/>
    <w:rsid w:val="00F07C9C"/>
    <w:rsid w:val="00F10309"/>
    <w:rsid w:val="00F10456"/>
    <w:rsid w:val="00F10557"/>
    <w:rsid w:val="00F106CF"/>
    <w:rsid w:val="00F106D1"/>
    <w:rsid w:val="00F1070F"/>
    <w:rsid w:val="00F1086C"/>
    <w:rsid w:val="00F108C1"/>
    <w:rsid w:val="00F10E38"/>
    <w:rsid w:val="00F10E73"/>
    <w:rsid w:val="00F110B8"/>
    <w:rsid w:val="00F110C9"/>
    <w:rsid w:val="00F112BA"/>
    <w:rsid w:val="00F11954"/>
    <w:rsid w:val="00F11A92"/>
    <w:rsid w:val="00F11BB5"/>
    <w:rsid w:val="00F11F6C"/>
    <w:rsid w:val="00F12083"/>
    <w:rsid w:val="00F120BB"/>
    <w:rsid w:val="00F120D5"/>
    <w:rsid w:val="00F12127"/>
    <w:rsid w:val="00F12448"/>
    <w:rsid w:val="00F125CF"/>
    <w:rsid w:val="00F12792"/>
    <w:rsid w:val="00F127AC"/>
    <w:rsid w:val="00F12C7E"/>
    <w:rsid w:val="00F12D55"/>
    <w:rsid w:val="00F12DE5"/>
    <w:rsid w:val="00F13502"/>
    <w:rsid w:val="00F13A06"/>
    <w:rsid w:val="00F13B54"/>
    <w:rsid w:val="00F14A88"/>
    <w:rsid w:val="00F14AE0"/>
    <w:rsid w:val="00F14BF9"/>
    <w:rsid w:val="00F14D90"/>
    <w:rsid w:val="00F14E57"/>
    <w:rsid w:val="00F14E64"/>
    <w:rsid w:val="00F14EB2"/>
    <w:rsid w:val="00F15066"/>
    <w:rsid w:val="00F15187"/>
    <w:rsid w:val="00F151CA"/>
    <w:rsid w:val="00F15287"/>
    <w:rsid w:val="00F1535B"/>
    <w:rsid w:val="00F15635"/>
    <w:rsid w:val="00F15823"/>
    <w:rsid w:val="00F15ACA"/>
    <w:rsid w:val="00F15BCF"/>
    <w:rsid w:val="00F16153"/>
    <w:rsid w:val="00F16165"/>
    <w:rsid w:val="00F161DD"/>
    <w:rsid w:val="00F161FF"/>
    <w:rsid w:val="00F162D4"/>
    <w:rsid w:val="00F16328"/>
    <w:rsid w:val="00F16422"/>
    <w:rsid w:val="00F16535"/>
    <w:rsid w:val="00F1670C"/>
    <w:rsid w:val="00F167C3"/>
    <w:rsid w:val="00F1689A"/>
    <w:rsid w:val="00F16B10"/>
    <w:rsid w:val="00F16B1E"/>
    <w:rsid w:val="00F16BDE"/>
    <w:rsid w:val="00F16C8F"/>
    <w:rsid w:val="00F16F3F"/>
    <w:rsid w:val="00F1718D"/>
    <w:rsid w:val="00F172E2"/>
    <w:rsid w:val="00F1733F"/>
    <w:rsid w:val="00F17365"/>
    <w:rsid w:val="00F17585"/>
    <w:rsid w:val="00F176A1"/>
    <w:rsid w:val="00F178E8"/>
    <w:rsid w:val="00F17ACC"/>
    <w:rsid w:val="00F17D81"/>
    <w:rsid w:val="00F20285"/>
    <w:rsid w:val="00F202D3"/>
    <w:rsid w:val="00F202EA"/>
    <w:rsid w:val="00F2058B"/>
    <w:rsid w:val="00F208B3"/>
    <w:rsid w:val="00F20A47"/>
    <w:rsid w:val="00F20AA2"/>
    <w:rsid w:val="00F20DAA"/>
    <w:rsid w:val="00F20E4F"/>
    <w:rsid w:val="00F2140C"/>
    <w:rsid w:val="00F2168F"/>
    <w:rsid w:val="00F21ACC"/>
    <w:rsid w:val="00F21BD7"/>
    <w:rsid w:val="00F21DF5"/>
    <w:rsid w:val="00F21E93"/>
    <w:rsid w:val="00F21E99"/>
    <w:rsid w:val="00F21FDB"/>
    <w:rsid w:val="00F22013"/>
    <w:rsid w:val="00F22124"/>
    <w:rsid w:val="00F22586"/>
    <w:rsid w:val="00F2283D"/>
    <w:rsid w:val="00F22C7C"/>
    <w:rsid w:val="00F22CF9"/>
    <w:rsid w:val="00F23557"/>
    <w:rsid w:val="00F23604"/>
    <w:rsid w:val="00F23779"/>
    <w:rsid w:val="00F239B0"/>
    <w:rsid w:val="00F23A87"/>
    <w:rsid w:val="00F23C46"/>
    <w:rsid w:val="00F242CC"/>
    <w:rsid w:val="00F24749"/>
    <w:rsid w:val="00F247A0"/>
    <w:rsid w:val="00F24A9B"/>
    <w:rsid w:val="00F24AC9"/>
    <w:rsid w:val="00F24ECA"/>
    <w:rsid w:val="00F24ED6"/>
    <w:rsid w:val="00F24F6D"/>
    <w:rsid w:val="00F256D1"/>
    <w:rsid w:val="00F25706"/>
    <w:rsid w:val="00F25932"/>
    <w:rsid w:val="00F25AE6"/>
    <w:rsid w:val="00F25BC7"/>
    <w:rsid w:val="00F25CB4"/>
    <w:rsid w:val="00F25DF5"/>
    <w:rsid w:val="00F2628A"/>
    <w:rsid w:val="00F264AD"/>
    <w:rsid w:val="00F265FC"/>
    <w:rsid w:val="00F266A7"/>
    <w:rsid w:val="00F26718"/>
    <w:rsid w:val="00F267AE"/>
    <w:rsid w:val="00F268C8"/>
    <w:rsid w:val="00F268FD"/>
    <w:rsid w:val="00F269A1"/>
    <w:rsid w:val="00F26A40"/>
    <w:rsid w:val="00F26C0D"/>
    <w:rsid w:val="00F26E4F"/>
    <w:rsid w:val="00F26E9D"/>
    <w:rsid w:val="00F2706C"/>
    <w:rsid w:val="00F273B9"/>
    <w:rsid w:val="00F27594"/>
    <w:rsid w:val="00F27E18"/>
    <w:rsid w:val="00F27EAA"/>
    <w:rsid w:val="00F27F5D"/>
    <w:rsid w:val="00F27FB0"/>
    <w:rsid w:val="00F3016B"/>
    <w:rsid w:val="00F301B7"/>
    <w:rsid w:val="00F304A7"/>
    <w:rsid w:val="00F304FF"/>
    <w:rsid w:val="00F30F72"/>
    <w:rsid w:val="00F30FE3"/>
    <w:rsid w:val="00F31345"/>
    <w:rsid w:val="00F31575"/>
    <w:rsid w:val="00F3169C"/>
    <w:rsid w:val="00F31788"/>
    <w:rsid w:val="00F31C1C"/>
    <w:rsid w:val="00F31CA4"/>
    <w:rsid w:val="00F3209B"/>
    <w:rsid w:val="00F3214C"/>
    <w:rsid w:val="00F32269"/>
    <w:rsid w:val="00F32565"/>
    <w:rsid w:val="00F3288F"/>
    <w:rsid w:val="00F32A51"/>
    <w:rsid w:val="00F32ADC"/>
    <w:rsid w:val="00F32DE9"/>
    <w:rsid w:val="00F32EC3"/>
    <w:rsid w:val="00F32F64"/>
    <w:rsid w:val="00F32FE2"/>
    <w:rsid w:val="00F330FA"/>
    <w:rsid w:val="00F33295"/>
    <w:rsid w:val="00F33E10"/>
    <w:rsid w:val="00F33F8D"/>
    <w:rsid w:val="00F34089"/>
    <w:rsid w:val="00F34116"/>
    <w:rsid w:val="00F3434A"/>
    <w:rsid w:val="00F343D8"/>
    <w:rsid w:val="00F34546"/>
    <w:rsid w:val="00F34ADD"/>
    <w:rsid w:val="00F34B4E"/>
    <w:rsid w:val="00F34EA6"/>
    <w:rsid w:val="00F34F6F"/>
    <w:rsid w:val="00F34FD9"/>
    <w:rsid w:val="00F350FC"/>
    <w:rsid w:val="00F3519E"/>
    <w:rsid w:val="00F351C9"/>
    <w:rsid w:val="00F35536"/>
    <w:rsid w:val="00F35631"/>
    <w:rsid w:val="00F36007"/>
    <w:rsid w:val="00F362D4"/>
    <w:rsid w:val="00F36556"/>
    <w:rsid w:val="00F368F7"/>
    <w:rsid w:val="00F36ACE"/>
    <w:rsid w:val="00F36BB4"/>
    <w:rsid w:val="00F36C2F"/>
    <w:rsid w:val="00F36D8D"/>
    <w:rsid w:val="00F36E0E"/>
    <w:rsid w:val="00F36E75"/>
    <w:rsid w:val="00F37003"/>
    <w:rsid w:val="00F3716C"/>
    <w:rsid w:val="00F37204"/>
    <w:rsid w:val="00F3732C"/>
    <w:rsid w:val="00F3736F"/>
    <w:rsid w:val="00F378C2"/>
    <w:rsid w:val="00F37CB6"/>
    <w:rsid w:val="00F37E6F"/>
    <w:rsid w:val="00F37F65"/>
    <w:rsid w:val="00F4007D"/>
    <w:rsid w:val="00F4010B"/>
    <w:rsid w:val="00F402FB"/>
    <w:rsid w:val="00F403AB"/>
    <w:rsid w:val="00F403F6"/>
    <w:rsid w:val="00F40596"/>
    <w:rsid w:val="00F4071C"/>
    <w:rsid w:val="00F4091E"/>
    <w:rsid w:val="00F40AB4"/>
    <w:rsid w:val="00F40E6B"/>
    <w:rsid w:val="00F4171A"/>
    <w:rsid w:val="00F41730"/>
    <w:rsid w:val="00F417B5"/>
    <w:rsid w:val="00F41808"/>
    <w:rsid w:val="00F41B0E"/>
    <w:rsid w:val="00F41C75"/>
    <w:rsid w:val="00F41CCE"/>
    <w:rsid w:val="00F420B0"/>
    <w:rsid w:val="00F424E2"/>
    <w:rsid w:val="00F42EDA"/>
    <w:rsid w:val="00F42FE1"/>
    <w:rsid w:val="00F43048"/>
    <w:rsid w:val="00F43105"/>
    <w:rsid w:val="00F431D8"/>
    <w:rsid w:val="00F43409"/>
    <w:rsid w:val="00F43717"/>
    <w:rsid w:val="00F437AF"/>
    <w:rsid w:val="00F437FB"/>
    <w:rsid w:val="00F439B9"/>
    <w:rsid w:val="00F43C86"/>
    <w:rsid w:val="00F43D4C"/>
    <w:rsid w:val="00F43E15"/>
    <w:rsid w:val="00F44252"/>
    <w:rsid w:val="00F443D0"/>
    <w:rsid w:val="00F444C5"/>
    <w:rsid w:val="00F44518"/>
    <w:rsid w:val="00F448B4"/>
    <w:rsid w:val="00F44A07"/>
    <w:rsid w:val="00F44BA0"/>
    <w:rsid w:val="00F44BC5"/>
    <w:rsid w:val="00F44FD9"/>
    <w:rsid w:val="00F45092"/>
    <w:rsid w:val="00F454D1"/>
    <w:rsid w:val="00F454FE"/>
    <w:rsid w:val="00F45667"/>
    <w:rsid w:val="00F45932"/>
    <w:rsid w:val="00F459CE"/>
    <w:rsid w:val="00F45A77"/>
    <w:rsid w:val="00F45CD1"/>
    <w:rsid w:val="00F45D3A"/>
    <w:rsid w:val="00F45E2E"/>
    <w:rsid w:val="00F4608D"/>
    <w:rsid w:val="00F46403"/>
    <w:rsid w:val="00F465A1"/>
    <w:rsid w:val="00F46626"/>
    <w:rsid w:val="00F46913"/>
    <w:rsid w:val="00F46A1C"/>
    <w:rsid w:val="00F46A5F"/>
    <w:rsid w:val="00F46AC2"/>
    <w:rsid w:val="00F46C06"/>
    <w:rsid w:val="00F46E42"/>
    <w:rsid w:val="00F46ED1"/>
    <w:rsid w:val="00F46FDE"/>
    <w:rsid w:val="00F4702C"/>
    <w:rsid w:val="00F47074"/>
    <w:rsid w:val="00F47362"/>
    <w:rsid w:val="00F47410"/>
    <w:rsid w:val="00F4747C"/>
    <w:rsid w:val="00F4748A"/>
    <w:rsid w:val="00F4776F"/>
    <w:rsid w:val="00F47770"/>
    <w:rsid w:val="00F47AD5"/>
    <w:rsid w:val="00F47CB7"/>
    <w:rsid w:val="00F47CE4"/>
    <w:rsid w:val="00F5016C"/>
    <w:rsid w:val="00F505B8"/>
    <w:rsid w:val="00F50966"/>
    <w:rsid w:val="00F50CB5"/>
    <w:rsid w:val="00F50F18"/>
    <w:rsid w:val="00F5100C"/>
    <w:rsid w:val="00F51421"/>
    <w:rsid w:val="00F515EA"/>
    <w:rsid w:val="00F517C9"/>
    <w:rsid w:val="00F51B32"/>
    <w:rsid w:val="00F51BF4"/>
    <w:rsid w:val="00F51F9F"/>
    <w:rsid w:val="00F520BB"/>
    <w:rsid w:val="00F5234D"/>
    <w:rsid w:val="00F525A8"/>
    <w:rsid w:val="00F52652"/>
    <w:rsid w:val="00F5294B"/>
    <w:rsid w:val="00F52AF4"/>
    <w:rsid w:val="00F52B45"/>
    <w:rsid w:val="00F52CA6"/>
    <w:rsid w:val="00F53409"/>
    <w:rsid w:val="00F5395A"/>
    <w:rsid w:val="00F53E9C"/>
    <w:rsid w:val="00F53EFE"/>
    <w:rsid w:val="00F545CA"/>
    <w:rsid w:val="00F54B72"/>
    <w:rsid w:val="00F54C84"/>
    <w:rsid w:val="00F54CC5"/>
    <w:rsid w:val="00F54D4E"/>
    <w:rsid w:val="00F54E74"/>
    <w:rsid w:val="00F550B6"/>
    <w:rsid w:val="00F553DE"/>
    <w:rsid w:val="00F554B0"/>
    <w:rsid w:val="00F55664"/>
    <w:rsid w:val="00F55978"/>
    <w:rsid w:val="00F55AFE"/>
    <w:rsid w:val="00F55BE0"/>
    <w:rsid w:val="00F55F0F"/>
    <w:rsid w:val="00F5608E"/>
    <w:rsid w:val="00F561EC"/>
    <w:rsid w:val="00F56241"/>
    <w:rsid w:val="00F5644F"/>
    <w:rsid w:val="00F56760"/>
    <w:rsid w:val="00F56892"/>
    <w:rsid w:val="00F569E5"/>
    <w:rsid w:val="00F570B0"/>
    <w:rsid w:val="00F571C3"/>
    <w:rsid w:val="00F57207"/>
    <w:rsid w:val="00F57354"/>
    <w:rsid w:val="00F5772A"/>
    <w:rsid w:val="00F57CFF"/>
    <w:rsid w:val="00F57D25"/>
    <w:rsid w:val="00F57D51"/>
    <w:rsid w:val="00F57D87"/>
    <w:rsid w:val="00F57DDE"/>
    <w:rsid w:val="00F600CA"/>
    <w:rsid w:val="00F6051B"/>
    <w:rsid w:val="00F60732"/>
    <w:rsid w:val="00F60799"/>
    <w:rsid w:val="00F60BA2"/>
    <w:rsid w:val="00F60C28"/>
    <w:rsid w:val="00F60CC0"/>
    <w:rsid w:val="00F60D8B"/>
    <w:rsid w:val="00F60E1A"/>
    <w:rsid w:val="00F60F39"/>
    <w:rsid w:val="00F60F95"/>
    <w:rsid w:val="00F61485"/>
    <w:rsid w:val="00F61495"/>
    <w:rsid w:val="00F617A7"/>
    <w:rsid w:val="00F619DC"/>
    <w:rsid w:val="00F619FF"/>
    <w:rsid w:val="00F61AD9"/>
    <w:rsid w:val="00F61CFB"/>
    <w:rsid w:val="00F61E24"/>
    <w:rsid w:val="00F6208F"/>
    <w:rsid w:val="00F6210C"/>
    <w:rsid w:val="00F6217C"/>
    <w:rsid w:val="00F62323"/>
    <w:rsid w:val="00F623D6"/>
    <w:rsid w:val="00F6248A"/>
    <w:rsid w:val="00F625A9"/>
    <w:rsid w:val="00F6271E"/>
    <w:rsid w:val="00F627DE"/>
    <w:rsid w:val="00F62A38"/>
    <w:rsid w:val="00F62D00"/>
    <w:rsid w:val="00F630C9"/>
    <w:rsid w:val="00F634F6"/>
    <w:rsid w:val="00F6387E"/>
    <w:rsid w:val="00F63917"/>
    <w:rsid w:val="00F63B3B"/>
    <w:rsid w:val="00F63C61"/>
    <w:rsid w:val="00F6420E"/>
    <w:rsid w:val="00F64497"/>
    <w:rsid w:val="00F646AF"/>
    <w:rsid w:val="00F64933"/>
    <w:rsid w:val="00F64B72"/>
    <w:rsid w:val="00F64C1E"/>
    <w:rsid w:val="00F65191"/>
    <w:rsid w:val="00F652F9"/>
    <w:rsid w:val="00F65335"/>
    <w:rsid w:val="00F6554D"/>
    <w:rsid w:val="00F65A7B"/>
    <w:rsid w:val="00F65BF1"/>
    <w:rsid w:val="00F65D68"/>
    <w:rsid w:val="00F65F68"/>
    <w:rsid w:val="00F662EE"/>
    <w:rsid w:val="00F662F4"/>
    <w:rsid w:val="00F66575"/>
    <w:rsid w:val="00F6669A"/>
    <w:rsid w:val="00F667F9"/>
    <w:rsid w:val="00F66A1E"/>
    <w:rsid w:val="00F66A4F"/>
    <w:rsid w:val="00F66AB6"/>
    <w:rsid w:val="00F66BAE"/>
    <w:rsid w:val="00F66F40"/>
    <w:rsid w:val="00F67188"/>
    <w:rsid w:val="00F6726D"/>
    <w:rsid w:val="00F67321"/>
    <w:rsid w:val="00F67C16"/>
    <w:rsid w:val="00F67FBF"/>
    <w:rsid w:val="00F70174"/>
    <w:rsid w:val="00F70337"/>
    <w:rsid w:val="00F70537"/>
    <w:rsid w:val="00F70A65"/>
    <w:rsid w:val="00F70AE1"/>
    <w:rsid w:val="00F70CC4"/>
    <w:rsid w:val="00F70CC6"/>
    <w:rsid w:val="00F70E55"/>
    <w:rsid w:val="00F70E8A"/>
    <w:rsid w:val="00F70E9B"/>
    <w:rsid w:val="00F7160F"/>
    <w:rsid w:val="00F716F8"/>
    <w:rsid w:val="00F71A23"/>
    <w:rsid w:val="00F71A47"/>
    <w:rsid w:val="00F71BF4"/>
    <w:rsid w:val="00F722A7"/>
    <w:rsid w:val="00F723F2"/>
    <w:rsid w:val="00F72864"/>
    <w:rsid w:val="00F728B7"/>
    <w:rsid w:val="00F728EF"/>
    <w:rsid w:val="00F72A2D"/>
    <w:rsid w:val="00F72B58"/>
    <w:rsid w:val="00F72E7A"/>
    <w:rsid w:val="00F7323D"/>
    <w:rsid w:val="00F734DE"/>
    <w:rsid w:val="00F735E3"/>
    <w:rsid w:val="00F73778"/>
    <w:rsid w:val="00F73835"/>
    <w:rsid w:val="00F73BD4"/>
    <w:rsid w:val="00F74801"/>
    <w:rsid w:val="00F74899"/>
    <w:rsid w:val="00F748E8"/>
    <w:rsid w:val="00F749DA"/>
    <w:rsid w:val="00F74CE5"/>
    <w:rsid w:val="00F75108"/>
    <w:rsid w:val="00F755C4"/>
    <w:rsid w:val="00F7591A"/>
    <w:rsid w:val="00F75A68"/>
    <w:rsid w:val="00F75A72"/>
    <w:rsid w:val="00F75C0E"/>
    <w:rsid w:val="00F75C57"/>
    <w:rsid w:val="00F75F3C"/>
    <w:rsid w:val="00F7656D"/>
    <w:rsid w:val="00F76742"/>
    <w:rsid w:val="00F76B88"/>
    <w:rsid w:val="00F76CE4"/>
    <w:rsid w:val="00F76DD5"/>
    <w:rsid w:val="00F77161"/>
    <w:rsid w:val="00F77171"/>
    <w:rsid w:val="00F7735A"/>
    <w:rsid w:val="00F778A6"/>
    <w:rsid w:val="00F77963"/>
    <w:rsid w:val="00F77A84"/>
    <w:rsid w:val="00F77AA9"/>
    <w:rsid w:val="00F77B4D"/>
    <w:rsid w:val="00F77BC7"/>
    <w:rsid w:val="00F77D52"/>
    <w:rsid w:val="00F77DD3"/>
    <w:rsid w:val="00F77DEC"/>
    <w:rsid w:val="00F80162"/>
    <w:rsid w:val="00F804A6"/>
    <w:rsid w:val="00F807FD"/>
    <w:rsid w:val="00F808E0"/>
    <w:rsid w:val="00F80DE8"/>
    <w:rsid w:val="00F80FF1"/>
    <w:rsid w:val="00F812D2"/>
    <w:rsid w:val="00F81421"/>
    <w:rsid w:val="00F8146E"/>
    <w:rsid w:val="00F81BEF"/>
    <w:rsid w:val="00F81D1E"/>
    <w:rsid w:val="00F820A0"/>
    <w:rsid w:val="00F820E8"/>
    <w:rsid w:val="00F823DB"/>
    <w:rsid w:val="00F825A4"/>
    <w:rsid w:val="00F82647"/>
    <w:rsid w:val="00F82933"/>
    <w:rsid w:val="00F829A9"/>
    <w:rsid w:val="00F82AD6"/>
    <w:rsid w:val="00F82DBC"/>
    <w:rsid w:val="00F8301F"/>
    <w:rsid w:val="00F83345"/>
    <w:rsid w:val="00F83443"/>
    <w:rsid w:val="00F8380D"/>
    <w:rsid w:val="00F83C4C"/>
    <w:rsid w:val="00F83DC7"/>
    <w:rsid w:val="00F83F7D"/>
    <w:rsid w:val="00F84301"/>
    <w:rsid w:val="00F8432B"/>
    <w:rsid w:val="00F84A01"/>
    <w:rsid w:val="00F84A0F"/>
    <w:rsid w:val="00F84CA3"/>
    <w:rsid w:val="00F85020"/>
    <w:rsid w:val="00F85191"/>
    <w:rsid w:val="00F855E8"/>
    <w:rsid w:val="00F85686"/>
    <w:rsid w:val="00F85832"/>
    <w:rsid w:val="00F85EEE"/>
    <w:rsid w:val="00F86006"/>
    <w:rsid w:val="00F861A7"/>
    <w:rsid w:val="00F8686F"/>
    <w:rsid w:val="00F868B1"/>
    <w:rsid w:val="00F86939"/>
    <w:rsid w:val="00F86A9D"/>
    <w:rsid w:val="00F86BA5"/>
    <w:rsid w:val="00F86E5B"/>
    <w:rsid w:val="00F8703F"/>
    <w:rsid w:val="00F870B5"/>
    <w:rsid w:val="00F870E6"/>
    <w:rsid w:val="00F87317"/>
    <w:rsid w:val="00F87376"/>
    <w:rsid w:val="00F8752C"/>
    <w:rsid w:val="00F877C3"/>
    <w:rsid w:val="00F877CB"/>
    <w:rsid w:val="00F877F4"/>
    <w:rsid w:val="00F87863"/>
    <w:rsid w:val="00F878E1"/>
    <w:rsid w:val="00F878EB"/>
    <w:rsid w:val="00F87A2F"/>
    <w:rsid w:val="00F87B07"/>
    <w:rsid w:val="00F87FA5"/>
    <w:rsid w:val="00F90495"/>
    <w:rsid w:val="00F90499"/>
    <w:rsid w:val="00F904ED"/>
    <w:rsid w:val="00F90505"/>
    <w:rsid w:val="00F9086E"/>
    <w:rsid w:val="00F909AF"/>
    <w:rsid w:val="00F90AFF"/>
    <w:rsid w:val="00F90B61"/>
    <w:rsid w:val="00F90D7B"/>
    <w:rsid w:val="00F90F1B"/>
    <w:rsid w:val="00F91114"/>
    <w:rsid w:val="00F911F2"/>
    <w:rsid w:val="00F91252"/>
    <w:rsid w:val="00F914B3"/>
    <w:rsid w:val="00F918E9"/>
    <w:rsid w:val="00F919CD"/>
    <w:rsid w:val="00F91D85"/>
    <w:rsid w:val="00F91DA7"/>
    <w:rsid w:val="00F91F4F"/>
    <w:rsid w:val="00F922F2"/>
    <w:rsid w:val="00F92347"/>
    <w:rsid w:val="00F9240A"/>
    <w:rsid w:val="00F9243A"/>
    <w:rsid w:val="00F92654"/>
    <w:rsid w:val="00F928D1"/>
    <w:rsid w:val="00F92D70"/>
    <w:rsid w:val="00F93076"/>
    <w:rsid w:val="00F9329B"/>
    <w:rsid w:val="00F93319"/>
    <w:rsid w:val="00F933C4"/>
    <w:rsid w:val="00F93567"/>
    <w:rsid w:val="00F9395B"/>
    <w:rsid w:val="00F93A58"/>
    <w:rsid w:val="00F93B1C"/>
    <w:rsid w:val="00F93D42"/>
    <w:rsid w:val="00F93DAE"/>
    <w:rsid w:val="00F93EB7"/>
    <w:rsid w:val="00F9403D"/>
    <w:rsid w:val="00F941CC"/>
    <w:rsid w:val="00F947B8"/>
    <w:rsid w:val="00F94880"/>
    <w:rsid w:val="00F94A35"/>
    <w:rsid w:val="00F94AEA"/>
    <w:rsid w:val="00F94C53"/>
    <w:rsid w:val="00F94DD8"/>
    <w:rsid w:val="00F94F43"/>
    <w:rsid w:val="00F954E7"/>
    <w:rsid w:val="00F956C1"/>
    <w:rsid w:val="00F9588C"/>
    <w:rsid w:val="00F95D72"/>
    <w:rsid w:val="00F95E1B"/>
    <w:rsid w:val="00F95F3D"/>
    <w:rsid w:val="00F960A6"/>
    <w:rsid w:val="00F962F2"/>
    <w:rsid w:val="00F96419"/>
    <w:rsid w:val="00F968E3"/>
    <w:rsid w:val="00F9700C"/>
    <w:rsid w:val="00F9704A"/>
    <w:rsid w:val="00F970C4"/>
    <w:rsid w:val="00F970F1"/>
    <w:rsid w:val="00F9736B"/>
    <w:rsid w:val="00F97655"/>
    <w:rsid w:val="00F97758"/>
    <w:rsid w:val="00F978AE"/>
    <w:rsid w:val="00F97919"/>
    <w:rsid w:val="00F97B20"/>
    <w:rsid w:val="00F97D6A"/>
    <w:rsid w:val="00F97EF6"/>
    <w:rsid w:val="00F97F7E"/>
    <w:rsid w:val="00FA0080"/>
    <w:rsid w:val="00FA098C"/>
    <w:rsid w:val="00FA0A29"/>
    <w:rsid w:val="00FA0D57"/>
    <w:rsid w:val="00FA11EB"/>
    <w:rsid w:val="00FA1227"/>
    <w:rsid w:val="00FA1549"/>
    <w:rsid w:val="00FA1830"/>
    <w:rsid w:val="00FA1A16"/>
    <w:rsid w:val="00FA1B4A"/>
    <w:rsid w:val="00FA1C04"/>
    <w:rsid w:val="00FA1CC2"/>
    <w:rsid w:val="00FA1DC9"/>
    <w:rsid w:val="00FA208F"/>
    <w:rsid w:val="00FA20D2"/>
    <w:rsid w:val="00FA21D4"/>
    <w:rsid w:val="00FA23EB"/>
    <w:rsid w:val="00FA269D"/>
    <w:rsid w:val="00FA27C6"/>
    <w:rsid w:val="00FA2AD3"/>
    <w:rsid w:val="00FA2BB1"/>
    <w:rsid w:val="00FA2D7E"/>
    <w:rsid w:val="00FA2DE0"/>
    <w:rsid w:val="00FA2E41"/>
    <w:rsid w:val="00FA2E46"/>
    <w:rsid w:val="00FA2E73"/>
    <w:rsid w:val="00FA2E77"/>
    <w:rsid w:val="00FA30F2"/>
    <w:rsid w:val="00FA312B"/>
    <w:rsid w:val="00FA33D2"/>
    <w:rsid w:val="00FA35C3"/>
    <w:rsid w:val="00FA38A7"/>
    <w:rsid w:val="00FA38E4"/>
    <w:rsid w:val="00FA39FE"/>
    <w:rsid w:val="00FA3A37"/>
    <w:rsid w:val="00FA3A7E"/>
    <w:rsid w:val="00FA3C1C"/>
    <w:rsid w:val="00FA415B"/>
    <w:rsid w:val="00FA459D"/>
    <w:rsid w:val="00FA45A5"/>
    <w:rsid w:val="00FA462E"/>
    <w:rsid w:val="00FA47BD"/>
    <w:rsid w:val="00FA4AFD"/>
    <w:rsid w:val="00FA4CC9"/>
    <w:rsid w:val="00FA4D2B"/>
    <w:rsid w:val="00FA5151"/>
    <w:rsid w:val="00FA54EB"/>
    <w:rsid w:val="00FA5620"/>
    <w:rsid w:val="00FA5673"/>
    <w:rsid w:val="00FA5939"/>
    <w:rsid w:val="00FA5CDF"/>
    <w:rsid w:val="00FA5E74"/>
    <w:rsid w:val="00FA5E85"/>
    <w:rsid w:val="00FA60E8"/>
    <w:rsid w:val="00FA678F"/>
    <w:rsid w:val="00FA6D6D"/>
    <w:rsid w:val="00FA6FB2"/>
    <w:rsid w:val="00FA71E1"/>
    <w:rsid w:val="00FA73F7"/>
    <w:rsid w:val="00FB016C"/>
    <w:rsid w:val="00FB03DC"/>
    <w:rsid w:val="00FB087A"/>
    <w:rsid w:val="00FB08D5"/>
    <w:rsid w:val="00FB0CCD"/>
    <w:rsid w:val="00FB0DEB"/>
    <w:rsid w:val="00FB114C"/>
    <w:rsid w:val="00FB124C"/>
    <w:rsid w:val="00FB12C2"/>
    <w:rsid w:val="00FB14CD"/>
    <w:rsid w:val="00FB1524"/>
    <w:rsid w:val="00FB1536"/>
    <w:rsid w:val="00FB180B"/>
    <w:rsid w:val="00FB1879"/>
    <w:rsid w:val="00FB190A"/>
    <w:rsid w:val="00FB1A17"/>
    <w:rsid w:val="00FB1BB3"/>
    <w:rsid w:val="00FB1D69"/>
    <w:rsid w:val="00FB21C0"/>
    <w:rsid w:val="00FB2358"/>
    <w:rsid w:val="00FB23D0"/>
    <w:rsid w:val="00FB276A"/>
    <w:rsid w:val="00FB27BA"/>
    <w:rsid w:val="00FB2869"/>
    <w:rsid w:val="00FB28CD"/>
    <w:rsid w:val="00FB2AA6"/>
    <w:rsid w:val="00FB2EE3"/>
    <w:rsid w:val="00FB2F51"/>
    <w:rsid w:val="00FB2F93"/>
    <w:rsid w:val="00FB314B"/>
    <w:rsid w:val="00FB3565"/>
    <w:rsid w:val="00FB35BF"/>
    <w:rsid w:val="00FB396B"/>
    <w:rsid w:val="00FB3ABA"/>
    <w:rsid w:val="00FB4146"/>
    <w:rsid w:val="00FB450E"/>
    <w:rsid w:val="00FB4589"/>
    <w:rsid w:val="00FB4A32"/>
    <w:rsid w:val="00FB4E93"/>
    <w:rsid w:val="00FB51E0"/>
    <w:rsid w:val="00FB552A"/>
    <w:rsid w:val="00FB55DE"/>
    <w:rsid w:val="00FB5839"/>
    <w:rsid w:val="00FB594D"/>
    <w:rsid w:val="00FB5AD5"/>
    <w:rsid w:val="00FB5CEC"/>
    <w:rsid w:val="00FB5D37"/>
    <w:rsid w:val="00FB5EEF"/>
    <w:rsid w:val="00FB60A4"/>
    <w:rsid w:val="00FB637A"/>
    <w:rsid w:val="00FB6A74"/>
    <w:rsid w:val="00FB6B29"/>
    <w:rsid w:val="00FB6DE5"/>
    <w:rsid w:val="00FB6EC0"/>
    <w:rsid w:val="00FB6F0B"/>
    <w:rsid w:val="00FB6FDC"/>
    <w:rsid w:val="00FB7D72"/>
    <w:rsid w:val="00FB7DC6"/>
    <w:rsid w:val="00FB7F0A"/>
    <w:rsid w:val="00FC0169"/>
    <w:rsid w:val="00FC028B"/>
    <w:rsid w:val="00FC053F"/>
    <w:rsid w:val="00FC05CD"/>
    <w:rsid w:val="00FC08C3"/>
    <w:rsid w:val="00FC11E9"/>
    <w:rsid w:val="00FC1344"/>
    <w:rsid w:val="00FC150F"/>
    <w:rsid w:val="00FC1526"/>
    <w:rsid w:val="00FC18B6"/>
    <w:rsid w:val="00FC190E"/>
    <w:rsid w:val="00FC1A34"/>
    <w:rsid w:val="00FC1C94"/>
    <w:rsid w:val="00FC1D99"/>
    <w:rsid w:val="00FC1D9A"/>
    <w:rsid w:val="00FC24CD"/>
    <w:rsid w:val="00FC283F"/>
    <w:rsid w:val="00FC28D9"/>
    <w:rsid w:val="00FC2B6A"/>
    <w:rsid w:val="00FC2B96"/>
    <w:rsid w:val="00FC2BFA"/>
    <w:rsid w:val="00FC2D8B"/>
    <w:rsid w:val="00FC2FDE"/>
    <w:rsid w:val="00FC33E6"/>
    <w:rsid w:val="00FC34CD"/>
    <w:rsid w:val="00FC38D3"/>
    <w:rsid w:val="00FC3A2A"/>
    <w:rsid w:val="00FC3C3B"/>
    <w:rsid w:val="00FC3F97"/>
    <w:rsid w:val="00FC3FFD"/>
    <w:rsid w:val="00FC49BC"/>
    <w:rsid w:val="00FC4BC8"/>
    <w:rsid w:val="00FC4BCD"/>
    <w:rsid w:val="00FC4F59"/>
    <w:rsid w:val="00FC50D2"/>
    <w:rsid w:val="00FC5150"/>
    <w:rsid w:val="00FC51D6"/>
    <w:rsid w:val="00FC53E5"/>
    <w:rsid w:val="00FC5459"/>
    <w:rsid w:val="00FC56CF"/>
    <w:rsid w:val="00FC5916"/>
    <w:rsid w:val="00FC5923"/>
    <w:rsid w:val="00FC5DCC"/>
    <w:rsid w:val="00FC5F2D"/>
    <w:rsid w:val="00FC6097"/>
    <w:rsid w:val="00FC6541"/>
    <w:rsid w:val="00FC65D2"/>
    <w:rsid w:val="00FC6755"/>
    <w:rsid w:val="00FC71E7"/>
    <w:rsid w:val="00FC72C4"/>
    <w:rsid w:val="00FC7374"/>
    <w:rsid w:val="00FC785D"/>
    <w:rsid w:val="00FC7943"/>
    <w:rsid w:val="00FC7998"/>
    <w:rsid w:val="00FC7AD3"/>
    <w:rsid w:val="00FC7AE9"/>
    <w:rsid w:val="00FC7B01"/>
    <w:rsid w:val="00FC7C0A"/>
    <w:rsid w:val="00FC7C82"/>
    <w:rsid w:val="00FC7D62"/>
    <w:rsid w:val="00FD01F6"/>
    <w:rsid w:val="00FD03D3"/>
    <w:rsid w:val="00FD04F0"/>
    <w:rsid w:val="00FD0C6C"/>
    <w:rsid w:val="00FD0DA6"/>
    <w:rsid w:val="00FD0EC2"/>
    <w:rsid w:val="00FD150D"/>
    <w:rsid w:val="00FD1569"/>
    <w:rsid w:val="00FD17DD"/>
    <w:rsid w:val="00FD19F5"/>
    <w:rsid w:val="00FD1BEB"/>
    <w:rsid w:val="00FD1F8B"/>
    <w:rsid w:val="00FD1FD8"/>
    <w:rsid w:val="00FD228C"/>
    <w:rsid w:val="00FD2EC0"/>
    <w:rsid w:val="00FD2FDB"/>
    <w:rsid w:val="00FD3306"/>
    <w:rsid w:val="00FD338A"/>
    <w:rsid w:val="00FD338E"/>
    <w:rsid w:val="00FD364B"/>
    <w:rsid w:val="00FD36B1"/>
    <w:rsid w:val="00FD3821"/>
    <w:rsid w:val="00FD3A40"/>
    <w:rsid w:val="00FD3F7E"/>
    <w:rsid w:val="00FD4192"/>
    <w:rsid w:val="00FD44AE"/>
    <w:rsid w:val="00FD4778"/>
    <w:rsid w:val="00FD4790"/>
    <w:rsid w:val="00FD4C9B"/>
    <w:rsid w:val="00FD4EB2"/>
    <w:rsid w:val="00FD5046"/>
    <w:rsid w:val="00FD52CC"/>
    <w:rsid w:val="00FD536C"/>
    <w:rsid w:val="00FD56F3"/>
    <w:rsid w:val="00FD5955"/>
    <w:rsid w:val="00FD59BD"/>
    <w:rsid w:val="00FD5BCA"/>
    <w:rsid w:val="00FD5FEC"/>
    <w:rsid w:val="00FD63FF"/>
    <w:rsid w:val="00FD64D8"/>
    <w:rsid w:val="00FD6B47"/>
    <w:rsid w:val="00FD6BFE"/>
    <w:rsid w:val="00FD6E1D"/>
    <w:rsid w:val="00FD6EEC"/>
    <w:rsid w:val="00FD70CD"/>
    <w:rsid w:val="00FD70D0"/>
    <w:rsid w:val="00FD712D"/>
    <w:rsid w:val="00FD7163"/>
    <w:rsid w:val="00FD719C"/>
    <w:rsid w:val="00FD71FA"/>
    <w:rsid w:val="00FD75D6"/>
    <w:rsid w:val="00FD7A0A"/>
    <w:rsid w:val="00FD7C32"/>
    <w:rsid w:val="00FD7E2E"/>
    <w:rsid w:val="00FE00F1"/>
    <w:rsid w:val="00FE03CC"/>
    <w:rsid w:val="00FE048C"/>
    <w:rsid w:val="00FE0898"/>
    <w:rsid w:val="00FE0986"/>
    <w:rsid w:val="00FE0A20"/>
    <w:rsid w:val="00FE0C5D"/>
    <w:rsid w:val="00FE0E26"/>
    <w:rsid w:val="00FE0E36"/>
    <w:rsid w:val="00FE1436"/>
    <w:rsid w:val="00FE15CB"/>
    <w:rsid w:val="00FE16E5"/>
    <w:rsid w:val="00FE19D6"/>
    <w:rsid w:val="00FE1B5F"/>
    <w:rsid w:val="00FE1C9D"/>
    <w:rsid w:val="00FE2265"/>
    <w:rsid w:val="00FE2291"/>
    <w:rsid w:val="00FE2330"/>
    <w:rsid w:val="00FE235B"/>
    <w:rsid w:val="00FE237E"/>
    <w:rsid w:val="00FE244B"/>
    <w:rsid w:val="00FE2583"/>
    <w:rsid w:val="00FE26E7"/>
    <w:rsid w:val="00FE28D3"/>
    <w:rsid w:val="00FE2A0B"/>
    <w:rsid w:val="00FE2DBB"/>
    <w:rsid w:val="00FE3486"/>
    <w:rsid w:val="00FE35A9"/>
    <w:rsid w:val="00FE38ED"/>
    <w:rsid w:val="00FE3D15"/>
    <w:rsid w:val="00FE3FC9"/>
    <w:rsid w:val="00FE438C"/>
    <w:rsid w:val="00FE439F"/>
    <w:rsid w:val="00FE4560"/>
    <w:rsid w:val="00FE4A8E"/>
    <w:rsid w:val="00FE4AB9"/>
    <w:rsid w:val="00FE4BA6"/>
    <w:rsid w:val="00FE4D34"/>
    <w:rsid w:val="00FE4F3E"/>
    <w:rsid w:val="00FE4FF6"/>
    <w:rsid w:val="00FE50BE"/>
    <w:rsid w:val="00FE56EA"/>
    <w:rsid w:val="00FE5839"/>
    <w:rsid w:val="00FE59FD"/>
    <w:rsid w:val="00FE5C91"/>
    <w:rsid w:val="00FE6718"/>
    <w:rsid w:val="00FE67CA"/>
    <w:rsid w:val="00FE6879"/>
    <w:rsid w:val="00FE6968"/>
    <w:rsid w:val="00FE699A"/>
    <w:rsid w:val="00FE6B93"/>
    <w:rsid w:val="00FE6BEA"/>
    <w:rsid w:val="00FE6DFA"/>
    <w:rsid w:val="00FE6E94"/>
    <w:rsid w:val="00FE6F01"/>
    <w:rsid w:val="00FE6F1A"/>
    <w:rsid w:val="00FE763C"/>
    <w:rsid w:val="00FE77D9"/>
    <w:rsid w:val="00FE79C5"/>
    <w:rsid w:val="00FE7A70"/>
    <w:rsid w:val="00FE7BC2"/>
    <w:rsid w:val="00FE7D83"/>
    <w:rsid w:val="00FE7F4D"/>
    <w:rsid w:val="00FE7F98"/>
    <w:rsid w:val="00FF019F"/>
    <w:rsid w:val="00FF05D4"/>
    <w:rsid w:val="00FF0612"/>
    <w:rsid w:val="00FF0B28"/>
    <w:rsid w:val="00FF0C2C"/>
    <w:rsid w:val="00FF0D94"/>
    <w:rsid w:val="00FF1257"/>
    <w:rsid w:val="00FF1390"/>
    <w:rsid w:val="00FF14D2"/>
    <w:rsid w:val="00FF17F3"/>
    <w:rsid w:val="00FF17F9"/>
    <w:rsid w:val="00FF1A35"/>
    <w:rsid w:val="00FF1D38"/>
    <w:rsid w:val="00FF22F6"/>
    <w:rsid w:val="00FF2623"/>
    <w:rsid w:val="00FF27C5"/>
    <w:rsid w:val="00FF2A6A"/>
    <w:rsid w:val="00FF2E7F"/>
    <w:rsid w:val="00FF306D"/>
    <w:rsid w:val="00FF3408"/>
    <w:rsid w:val="00FF348C"/>
    <w:rsid w:val="00FF389C"/>
    <w:rsid w:val="00FF3C7E"/>
    <w:rsid w:val="00FF3C8B"/>
    <w:rsid w:val="00FF40C0"/>
    <w:rsid w:val="00FF4205"/>
    <w:rsid w:val="00FF47ED"/>
    <w:rsid w:val="00FF4800"/>
    <w:rsid w:val="00FF49D4"/>
    <w:rsid w:val="00FF4A58"/>
    <w:rsid w:val="00FF4C82"/>
    <w:rsid w:val="00FF5152"/>
    <w:rsid w:val="00FF5166"/>
    <w:rsid w:val="00FF5206"/>
    <w:rsid w:val="00FF56A9"/>
    <w:rsid w:val="00FF5782"/>
    <w:rsid w:val="00FF5BC9"/>
    <w:rsid w:val="00FF5C81"/>
    <w:rsid w:val="00FF5D25"/>
    <w:rsid w:val="00FF6292"/>
    <w:rsid w:val="00FF6305"/>
    <w:rsid w:val="00FF650A"/>
    <w:rsid w:val="00FF655E"/>
    <w:rsid w:val="00FF6560"/>
    <w:rsid w:val="00FF6720"/>
    <w:rsid w:val="00FF67C1"/>
    <w:rsid w:val="00FF69E1"/>
    <w:rsid w:val="00FF6CAF"/>
    <w:rsid w:val="00FF724C"/>
    <w:rsid w:val="00FF7653"/>
    <w:rsid w:val="00FF774F"/>
    <w:rsid w:val="00FF7799"/>
    <w:rsid w:val="00FF77DB"/>
    <w:rsid w:val="00FF78ED"/>
    <w:rsid w:val="00FF7AF2"/>
    <w:rsid w:val="00FF7D7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191E93"/>
  <w15:chartTrackingRefBased/>
  <w15:docId w15:val="{3FACA037-E67D-492E-A138-B328CF22D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EF7B01"/>
    <w:pPr>
      <w:spacing w:before="120" w:after="120" w:line="280" w:lineRule="atLeast"/>
    </w:pPr>
    <w:rPr>
      <w:sz w:val="20"/>
      <w:szCs w:val="20"/>
    </w:rPr>
  </w:style>
  <w:style w:type="paragraph" w:styleId="Heading1">
    <w:name w:val="heading 1"/>
    <w:basedOn w:val="Normal"/>
    <w:next w:val="BodyText"/>
    <w:link w:val="Heading1Char"/>
    <w:uiPriority w:val="9"/>
    <w:qFormat/>
    <w:rsid w:val="00EF7B01"/>
    <w:pPr>
      <w:numPr>
        <w:numId w:val="18"/>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EF7B01"/>
    <w:pPr>
      <w:keepNext/>
      <w:keepLines/>
      <w:numPr>
        <w:ilvl w:val="2"/>
        <w:numId w:val="18"/>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EF7B01"/>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EF7B01"/>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EF7B01"/>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EF7B01"/>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EF7B01"/>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EF7B01"/>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EF7B01"/>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rsid w:val="00EF7B0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F7B01"/>
  </w:style>
  <w:style w:type="character" w:styleId="PlaceholderText">
    <w:name w:val="Placeholder Text"/>
    <w:basedOn w:val="DefaultParagraphFont"/>
    <w:uiPriority w:val="99"/>
    <w:semiHidden/>
    <w:rsid w:val="00EF7B01"/>
    <w:rPr>
      <w:color w:val="808080"/>
    </w:rPr>
  </w:style>
  <w:style w:type="paragraph" w:styleId="Date">
    <w:name w:val="Date"/>
    <w:basedOn w:val="Normal"/>
    <w:next w:val="Normal"/>
    <w:link w:val="DateChar"/>
    <w:uiPriority w:val="99"/>
    <w:unhideWhenUsed/>
    <w:rsid w:val="00EF7B01"/>
    <w:pPr>
      <w:spacing w:after="360" w:line="293" w:lineRule="auto"/>
    </w:pPr>
  </w:style>
  <w:style w:type="character" w:customStyle="1" w:styleId="DateChar">
    <w:name w:val="Date Char"/>
    <w:basedOn w:val="DefaultParagraphFont"/>
    <w:link w:val="Date"/>
    <w:uiPriority w:val="99"/>
    <w:rsid w:val="00EF7B01"/>
    <w:rPr>
      <w:sz w:val="20"/>
      <w:szCs w:val="20"/>
    </w:rPr>
  </w:style>
  <w:style w:type="paragraph" w:styleId="NoSpacing">
    <w:name w:val="No Spacing"/>
    <w:basedOn w:val="Normal"/>
    <w:link w:val="NoSpacingChar"/>
    <w:uiPriority w:val="10"/>
    <w:qFormat/>
    <w:rsid w:val="00EF7B01"/>
    <w:pPr>
      <w:spacing w:before="0" w:after="0"/>
    </w:pPr>
  </w:style>
  <w:style w:type="paragraph" w:styleId="ListBullet">
    <w:name w:val="List Bullet"/>
    <w:basedOn w:val="Normal"/>
    <w:link w:val="ListBulletChar"/>
    <w:uiPriority w:val="1"/>
    <w:qFormat/>
    <w:rsid w:val="00EF7B01"/>
    <w:pPr>
      <w:numPr>
        <w:numId w:val="11"/>
      </w:numPr>
      <w:contextualSpacing/>
    </w:pPr>
  </w:style>
  <w:style w:type="paragraph" w:styleId="ListBullet2">
    <w:name w:val="List Bullet 2"/>
    <w:basedOn w:val="Normal"/>
    <w:uiPriority w:val="1"/>
    <w:qFormat/>
    <w:rsid w:val="00EF7B01"/>
    <w:pPr>
      <w:numPr>
        <w:ilvl w:val="1"/>
        <w:numId w:val="11"/>
      </w:numPr>
      <w:contextualSpacing/>
    </w:pPr>
  </w:style>
  <w:style w:type="paragraph" w:styleId="ListNumber">
    <w:name w:val="List Number"/>
    <w:basedOn w:val="Normal"/>
    <w:uiPriority w:val="2"/>
    <w:qFormat/>
    <w:rsid w:val="00EF7B01"/>
    <w:pPr>
      <w:numPr>
        <w:numId w:val="17"/>
      </w:numPr>
      <w:spacing w:before="60"/>
      <w:ind w:left="340" w:hanging="340"/>
      <w:contextualSpacing/>
    </w:pPr>
  </w:style>
  <w:style w:type="numbering" w:customStyle="1" w:styleId="Bullets">
    <w:name w:val="Bullets"/>
    <w:uiPriority w:val="99"/>
    <w:rsid w:val="00EF7B01"/>
    <w:pPr>
      <w:numPr>
        <w:numId w:val="3"/>
      </w:numPr>
    </w:pPr>
  </w:style>
  <w:style w:type="character" w:customStyle="1" w:styleId="Heading1Char">
    <w:name w:val="Heading 1 Char"/>
    <w:basedOn w:val="DefaultParagraphFont"/>
    <w:link w:val="Heading1"/>
    <w:uiPriority w:val="9"/>
    <w:rsid w:val="00EF7B01"/>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EF7B01"/>
    <w:pPr>
      <w:numPr>
        <w:ilvl w:val="1"/>
        <w:numId w:val="17"/>
      </w:numPr>
      <w:spacing w:before="60"/>
      <w:contextualSpacing/>
    </w:pPr>
  </w:style>
  <w:style w:type="character" w:customStyle="1" w:styleId="Heading2Char">
    <w:name w:val="Heading 2 Char"/>
    <w:basedOn w:val="DefaultParagraphFont"/>
    <w:link w:val="Heading2"/>
    <w:uiPriority w:val="9"/>
    <w:rsid w:val="00EF7B01"/>
    <w:rPr>
      <w:rFonts w:asciiTheme="majorHAnsi" w:eastAsiaTheme="majorEastAsia" w:hAnsiTheme="majorHAnsi" w:cstheme="majorBidi"/>
      <w:sz w:val="30"/>
      <w:szCs w:val="60"/>
    </w:rPr>
  </w:style>
  <w:style w:type="paragraph" w:styleId="ListParagraph">
    <w:name w:val="List Paragraph"/>
    <w:basedOn w:val="Normal"/>
    <w:uiPriority w:val="34"/>
    <w:rsid w:val="00EF7B01"/>
    <w:pPr>
      <w:spacing w:line="293" w:lineRule="auto"/>
      <w:ind w:left="284"/>
      <w:contextualSpacing/>
    </w:pPr>
  </w:style>
  <w:style w:type="paragraph" w:styleId="Header">
    <w:name w:val="header"/>
    <w:basedOn w:val="Normal"/>
    <w:link w:val="HeaderChar"/>
    <w:uiPriority w:val="99"/>
    <w:unhideWhenUsed/>
    <w:rsid w:val="00EF7B01"/>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EF7B01"/>
    <w:rPr>
      <w:sz w:val="16"/>
      <w:szCs w:val="20"/>
    </w:rPr>
  </w:style>
  <w:style w:type="paragraph" w:styleId="Footer">
    <w:name w:val="footer"/>
    <w:basedOn w:val="Normal"/>
    <w:link w:val="FooterChar"/>
    <w:uiPriority w:val="11"/>
    <w:rsid w:val="00EF7B0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EF7B01"/>
    <w:rPr>
      <w:rFonts w:asciiTheme="majorHAnsi" w:hAnsiTheme="majorHAnsi"/>
      <w:sz w:val="17"/>
    </w:rPr>
  </w:style>
  <w:style w:type="numbering" w:customStyle="1" w:styleId="Numbering">
    <w:name w:val="Numbering"/>
    <w:uiPriority w:val="99"/>
    <w:rsid w:val="00EF7B01"/>
    <w:pPr>
      <w:numPr>
        <w:numId w:val="13"/>
      </w:numPr>
    </w:pPr>
  </w:style>
  <w:style w:type="paragraph" w:styleId="ListBullet3">
    <w:name w:val="List Bullet 3"/>
    <w:basedOn w:val="Normal"/>
    <w:uiPriority w:val="1"/>
    <w:qFormat/>
    <w:rsid w:val="00EF7B01"/>
    <w:pPr>
      <w:numPr>
        <w:ilvl w:val="2"/>
        <w:numId w:val="11"/>
      </w:numPr>
      <w:ind w:left="681"/>
      <w:contextualSpacing/>
    </w:pPr>
  </w:style>
  <w:style w:type="paragraph" w:styleId="ListContinue2">
    <w:name w:val="List Continue 2"/>
    <w:basedOn w:val="Normal"/>
    <w:uiPriority w:val="3"/>
    <w:unhideWhenUsed/>
    <w:qFormat/>
    <w:rsid w:val="00EF7B01"/>
    <w:pPr>
      <w:spacing w:before="60"/>
      <w:ind w:left="454"/>
    </w:pPr>
  </w:style>
  <w:style w:type="paragraph" w:styleId="ListNumber3">
    <w:name w:val="List Number 3"/>
    <w:basedOn w:val="Normal"/>
    <w:uiPriority w:val="13"/>
    <w:semiHidden/>
    <w:qFormat/>
    <w:rsid w:val="00EF7B01"/>
    <w:pPr>
      <w:numPr>
        <w:ilvl w:val="2"/>
        <w:numId w:val="17"/>
      </w:numPr>
      <w:spacing w:before="60"/>
      <w:contextualSpacing/>
    </w:pPr>
  </w:style>
  <w:style w:type="paragraph" w:styleId="ListNumber4">
    <w:name w:val="List Number 4"/>
    <w:basedOn w:val="Normal"/>
    <w:uiPriority w:val="13"/>
    <w:semiHidden/>
    <w:qFormat/>
    <w:rsid w:val="00EF7B01"/>
    <w:pPr>
      <w:numPr>
        <w:ilvl w:val="3"/>
        <w:numId w:val="17"/>
      </w:numPr>
      <w:spacing w:after="200" w:line="293" w:lineRule="auto"/>
      <w:contextualSpacing/>
    </w:pPr>
  </w:style>
  <w:style w:type="paragraph" w:styleId="ListNumber5">
    <w:name w:val="List Number 5"/>
    <w:basedOn w:val="Normal"/>
    <w:uiPriority w:val="13"/>
    <w:semiHidden/>
    <w:rsid w:val="00EF7B01"/>
    <w:pPr>
      <w:numPr>
        <w:ilvl w:val="4"/>
        <w:numId w:val="17"/>
      </w:numPr>
      <w:spacing w:after="200" w:line="293" w:lineRule="auto"/>
      <w:contextualSpacing/>
    </w:pPr>
  </w:style>
  <w:style w:type="paragraph" w:styleId="ListContinue">
    <w:name w:val="List Continue"/>
    <w:basedOn w:val="Normal"/>
    <w:uiPriority w:val="3"/>
    <w:unhideWhenUsed/>
    <w:qFormat/>
    <w:rsid w:val="00EF7B01"/>
    <w:pPr>
      <w:spacing w:before="60"/>
      <w:ind w:left="227"/>
    </w:pPr>
  </w:style>
  <w:style w:type="paragraph" w:styleId="ListContinue3">
    <w:name w:val="List Continue 3"/>
    <w:basedOn w:val="Normal"/>
    <w:uiPriority w:val="3"/>
    <w:unhideWhenUsed/>
    <w:qFormat/>
    <w:rsid w:val="00EF7B01"/>
    <w:pPr>
      <w:spacing w:before="60"/>
      <w:ind w:left="907"/>
    </w:pPr>
  </w:style>
  <w:style w:type="paragraph" w:styleId="ListContinue4">
    <w:name w:val="List Continue 4"/>
    <w:basedOn w:val="Normal"/>
    <w:uiPriority w:val="3"/>
    <w:unhideWhenUsed/>
    <w:qFormat/>
    <w:rsid w:val="00EF7B01"/>
    <w:pPr>
      <w:spacing w:line="293" w:lineRule="auto"/>
      <w:ind w:left="907"/>
      <w:contextualSpacing/>
    </w:pPr>
  </w:style>
  <w:style w:type="character" w:customStyle="1" w:styleId="Heading3Char">
    <w:name w:val="Heading 3 Char"/>
    <w:basedOn w:val="DefaultParagraphFont"/>
    <w:link w:val="Heading3"/>
    <w:uiPriority w:val="9"/>
    <w:rsid w:val="00EF7B01"/>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EF7B01"/>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EF7B01"/>
    <w:rPr>
      <w:rFonts w:eastAsiaTheme="majorEastAsia" w:cstheme="majorBidi"/>
      <w:b/>
      <w:color w:val="265A9A" w:themeColor="background2"/>
      <w:szCs w:val="29"/>
    </w:rPr>
  </w:style>
  <w:style w:type="numbering" w:customStyle="1" w:styleId="ListHeadings">
    <w:name w:val="List Headings"/>
    <w:uiPriority w:val="99"/>
    <w:rsid w:val="00EF7B01"/>
    <w:pPr>
      <w:numPr>
        <w:numId w:val="31"/>
      </w:numPr>
    </w:pPr>
  </w:style>
  <w:style w:type="paragraph" w:styleId="Title">
    <w:name w:val="Title"/>
    <w:basedOn w:val="Heading1"/>
    <w:next w:val="Normal"/>
    <w:link w:val="TitleChar"/>
    <w:uiPriority w:val="39"/>
    <w:rsid w:val="00EF7B01"/>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EF7B01"/>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EF7B01"/>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EF7B01"/>
    <w:rPr>
      <w:b/>
    </w:rPr>
  </w:style>
  <w:style w:type="character" w:customStyle="1" w:styleId="Pull-outQuoteChar">
    <w:name w:val="Pull-out Quote Char"/>
    <w:basedOn w:val="DefaultParagraphFont"/>
    <w:link w:val="Pull-outQuote"/>
    <w:uiPriority w:val="99"/>
    <w:semiHidden/>
    <w:rsid w:val="00EF7B01"/>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EF7B01"/>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EF7B01"/>
  </w:style>
  <w:style w:type="paragraph" w:customStyle="1" w:styleId="NumberedHeading2">
    <w:name w:val="Numbered Heading 2"/>
    <w:basedOn w:val="Heading2"/>
    <w:next w:val="Normal"/>
    <w:link w:val="NumberedHeading2Char"/>
    <w:uiPriority w:val="9"/>
    <w:semiHidden/>
    <w:rsid w:val="00EF7B01"/>
  </w:style>
  <w:style w:type="character" w:customStyle="1" w:styleId="NumberedHeading1Char">
    <w:name w:val="Numbered Heading 1 Char"/>
    <w:basedOn w:val="Heading1Char"/>
    <w:link w:val="NumberedHeading1"/>
    <w:uiPriority w:val="9"/>
    <w:semiHidden/>
    <w:rsid w:val="00EF7B01"/>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EF7B01"/>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EF7B01"/>
    <w:pPr>
      <w:ind w:left="1134"/>
      <w:contextualSpacing/>
    </w:pPr>
  </w:style>
  <w:style w:type="table" w:styleId="TableGrid">
    <w:name w:val="Table Grid"/>
    <w:basedOn w:val="TableNormal"/>
    <w:uiPriority w:val="39"/>
    <w:rsid w:val="00EF7B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EF7B01"/>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EF7B01"/>
    <w:pPr>
      <w:numPr>
        <w:numId w:val="4"/>
      </w:numPr>
      <w:spacing w:before="60"/>
    </w:pPr>
  </w:style>
  <w:style w:type="paragraph" w:styleId="List2">
    <w:name w:val="List 2"/>
    <w:basedOn w:val="Normal"/>
    <w:uiPriority w:val="99"/>
    <w:semiHidden/>
    <w:qFormat/>
    <w:rsid w:val="00EF7B01"/>
    <w:pPr>
      <w:numPr>
        <w:ilvl w:val="1"/>
        <w:numId w:val="4"/>
      </w:numPr>
      <w:spacing w:before="60"/>
    </w:pPr>
  </w:style>
  <w:style w:type="numbering" w:customStyle="1" w:styleId="LetteredList">
    <w:name w:val="Lettered List"/>
    <w:uiPriority w:val="99"/>
    <w:rsid w:val="00EF7B01"/>
    <w:pPr>
      <w:numPr>
        <w:numId w:val="14"/>
      </w:numPr>
    </w:pPr>
  </w:style>
  <w:style w:type="paragraph" w:styleId="Subtitle">
    <w:name w:val="Subtitle"/>
    <w:basedOn w:val="Normal"/>
    <w:next w:val="Normal"/>
    <w:link w:val="SubtitleChar"/>
    <w:uiPriority w:val="39"/>
    <w:rsid w:val="00EF7B01"/>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EF7B01"/>
    <w:rPr>
      <w:rFonts w:eastAsiaTheme="minorEastAsia"/>
      <w:color w:val="FFFFFF" w:themeColor="background1"/>
      <w:sz w:val="52"/>
      <w:szCs w:val="20"/>
    </w:rPr>
  </w:style>
  <w:style w:type="character" w:styleId="Strong">
    <w:name w:val="Strong"/>
    <w:basedOn w:val="DefaultParagraphFont"/>
    <w:uiPriority w:val="22"/>
    <w:qFormat/>
    <w:rsid w:val="00EF7B01"/>
    <w:rPr>
      <w:rFonts w:asciiTheme="minorHAnsi" w:hAnsiTheme="minorHAnsi"/>
      <w:b/>
      <w:bCs/>
    </w:rPr>
  </w:style>
  <w:style w:type="paragraph" w:customStyle="1" w:styleId="Header-Keyline">
    <w:name w:val="Header - Keyline"/>
    <w:basedOn w:val="Header"/>
    <w:link w:val="Header-KeylineChar"/>
    <w:uiPriority w:val="99"/>
    <w:rsid w:val="00EF7B01"/>
    <w:pPr>
      <w:pBdr>
        <w:bottom w:val="single" w:sz="4" w:space="31" w:color="66BCDB" w:themeColor="text2"/>
      </w:pBdr>
      <w:spacing w:after="600"/>
    </w:pPr>
  </w:style>
  <w:style w:type="character" w:customStyle="1" w:styleId="Heading6Char">
    <w:name w:val="Heading 6 Char"/>
    <w:basedOn w:val="DefaultParagraphFont"/>
    <w:link w:val="Heading6"/>
    <w:uiPriority w:val="9"/>
    <w:rsid w:val="00EF7B01"/>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EF7B01"/>
    <w:rPr>
      <w:sz w:val="16"/>
      <w:szCs w:val="20"/>
    </w:rPr>
  </w:style>
  <w:style w:type="character" w:customStyle="1" w:styleId="Heading7Char">
    <w:name w:val="Heading 7 Char"/>
    <w:basedOn w:val="DefaultParagraphFont"/>
    <w:link w:val="Heading7"/>
    <w:uiPriority w:val="9"/>
    <w:semiHidden/>
    <w:rsid w:val="00EF7B01"/>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EF7B01"/>
    <w:rPr>
      <w:rFonts w:eastAsiaTheme="majorEastAsia" w:cstheme="majorBidi"/>
      <w:b/>
      <w:sz w:val="18"/>
      <w:szCs w:val="21"/>
    </w:rPr>
  </w:style>
  <w:style w:type="table" w:customStyle="1" w:styleId="ProductivityCommissionTable1">
    <w:name w:val="Productivity Commission Table 1"/>
    <w:basedOn w:val="TableNormal"/>
    <w:uiPriority w:val="99"/>
    <w:rsid w:val="00EF7B0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EF7B01"/>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EF7B01"/>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EF7B01"/>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EF7B01"/>
    <w:pPr>
      <w:spacing w:before="60" w:after="60" w:line="293" w:lineRule="auto"/>
      <w:contextualSpacing/>
    </w:pPr>
    <w:rPr>
      <w:sz w:val="18"/>
    </w:rPr>
  </w:style>
  <w:style w:type="paragraph" w:styleId="TOC1">
    <w:name w:val="toc 1"/>
    <w:basedOn w:val="Normal"/>
    <w:next w:val="BodyText"/>
    <w:autoRedefine/>
    <w:uiPriority w:val="39"/>
    <w:unhideWhenUsed/>
    <w:rsid w:val="00EF7B01"/>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EF7B01"/>
    <w:rPr>
      <w:sz w:val="18"/>
      <w:szCs w:val="20"/>
    </w:rPr>
  </w:style>
  <w:style w:type="character" w:styleId="FootnoteReference">
    <w:name w:val="footnote reference"/>
    <w:basedOn w:val="DefaultParagraphFont"/>
    <w:uiPriority w:val="99"/>
    <w:semiHidden/>
    <w:unhideWhenUsed/>
    <w:rsid w:val="00EF7B01"/>
    <w:rPr>
      <w:vertAlign w:val="superscript"/>
    </w:rPr>
  </w:style>
  <w:style w:type="character" w:styleId="Hyperlink">
    <w:name w:val="Hyperlink"/>
    <w:basedOn w:val="DefaultParagraphFont"/>
    <w:uiPriority w:val="99"/>
    <w:unhideWhenUsed/>
    <w:rsid w:val="00EF7B01"/>
    <w:rPr>
      <w:color w:val="000000" w:themeColor="hyperlink"/>
      <w:u w:val="single"/>
    </w:rPr>
  </w:style>
  <w:style w:type="character" w:styleId="HTMLVariable">
    <w:name w:val="HTML Variable"/>
    <w:basedOn w:val="DefaultParagraphFont"/>
    <w:uiPriority w:val="99"/>
    <w:unhideWhenUsed/>
    <w:rsid w:val="00EF7B01"/>
    <w:rPr>
      <w:i/>
      <w:iCs/>
    </w:rPr>
  </w:style>
  <w:style w:type="paragraph" w:styleId="TOC2">
    <w:name w:val="toc 2"/>
    <w:basedOn w:val="Normal"/>
    <w:next w:val="Normal"/>
    <w:autoRedefine/>
    <w:uiPriority w:val="39"/>
    <w:unhideWhenUsed/>
    <w:rsid w:val="00EF7B01"/>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EF7B01"/>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EF7B01"/>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EF7B0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EF7B01"/>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EF7B01"/>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EF7B01"/>
    <w:rPr>
      <w:sz w:val="20"/>
      <w:szCs w:val="20"/>
    </w:rPr>
  </w:style>
  <w:style w:type="character" w:customStyle="1" w:styleId="Copyrightpage-Heading2Char">
    <w:name w:val="Copyright page-Heading 2 Char"/>
    <w:basedOn w:val="NoSpacingChar"/>
    <w:link w:val="Copyrightpage-Heading2"/>
    <w:uiPriority w:val="19"/>
    <w:rsid w:val="00EF7B01"/>
    <w:rPr>
      <w:b/>
      <w:color w:val="FFFFFF" w:themeColor="background1"/>
      <w:sz w:val="16"/>
      <w:szCs w:val="16"/>
    </w:rPr>
  </w:style>
  <w:style w:type="paragraph" w:customStyle="1" w:styleId="Copyrightpage-Heading">
    <w:name w:val="Copyright page-Heading"/>
    <w:basedOn w:val="Subtitle2"/>
    <w:link w:val="Copyrightpage-HeadingChar"/>
    <w:uiPriority w:val="19"/>
    <w:rsid w:val="00EF7B01"/>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EF7B01"/>
    <w:rPr>
      <w:color w:val="FFFFFF" w:themeColor="background1"/>
      <w:sz w:val="16"/>
      <w:szCs w:val="20"/>
    </w:rPr>
  </w:style>
  <w:style w:type="paragraph" w:customStyle="1" w:styleId="Subtitle4">
    <w:name w:val="Subtitle 4"/>
    <w:basedOn w:val="Copyrightpage-Heading"/>
    <w:link w:val="Subtitle4Char"/>
    <w:uiPriority w:val="39"/>
    <w:rsid w:val="00EF7B01"/>
    <w:pPr>
      <w:spacing w:after="40"/>
    </w:pPr>
    <w:rPr>
      <w:b/>
      <w:sz w:val="16"/>
    </w:rPr>
  </w:style>
  <w:style w:type="character" w:customStyle="1" w:styleId="Copyrightpage-HeadingChar">
    <w:name w:val="Copyright page-Heading Char"/>
    <w:basedOn w:val="Subtitle2Char"/>
    <w:link w:val="Copyrightpage-Heading"/>
    <w:uiPriority w:val="19"/>
    <w:rsid w:val="00EF7B01"/>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EF7B01"/>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EF7B01"/>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EF7B01"/>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EF7B01"/>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EF7B01"/>
    <w:pPr>
      <w:spacing w:line="360" w:lineRule="auto"/>
      <w:jc w:val="right"/>
    </w:pPr>
    <w:rPr>
      <w:sz w:val="16"/>
    </w:rPr>
  </w:style>
  <w:style w:type="paragraph" w:customStyle="1" w:styleId="Letterlogo">
    <w:name w:val="Letter logo"/>
    <w:basedOn w:val="LetterRight"/>
    <w:uiPriority w:val="99"/>
    <w:rsid w:val="00EF7B01"/>
    <w:pPr>
      <w:spacing w:after="320"/>
    </w:pPr>
  </w:style>
  <w:style w:type="character" w:customStyle="1" w:styleId="LetterRightChar">
    <w:name w:val="Letter Right Char"/>
    <w:basedOn w:val="DefaultParagraphFont"/>
    <w:link w:val="LetterRight"/>
    <w:uiPriority w:val="99"/>
    <w:rsid w:val="00EF7B01"/>
    <w:rPr>
      <w:sz w:val="16"/>
      <w:szCs w:val="20"/>
    </w:rPr>
  </w:style>
  <w:style w:type="character" w:styleId="UnresolvedMention">
    <w:name w:val="Unresolved Mention"/>
    <w:basedOn w:val="DefaultParagraphFont"/>
    <w:uiPriority w:val="99"/>
    <w:semiHidden/>
    <w:unhideWhenUsed/>
    <w:rsid w:val="00EF7B01"/>
    <w:rPr>
      <w:color w:val="605E5C"/>
      <w:shd w:val="clear" w:color="auto" w:fill="E1DFDD"/>
    </w:rPr>
  </w:style>
  <w:style w:type="paragraph" w:customStyle="1" w:styleId="LetterRight-NoSpace">
    <w:name w:val="Letter Right-No Space"/>
    <w:basedOn w:val="LetterRight"/>
    <w:uiPriority w:val="99"/>
    <w:rsid w:val="00EF7B01"/>
    <w:pPr>
      <w:spacing w:after="0"/>
    </w:pPr>
  </w:style>
  <w:style w:type="table" w:customStyle="1" w:styleId="Blank">
    <w:name w:val="Blank"/>
    <w:basedOn w:val="TableNormal"/>
    <w:uiPriority w:val="99"/>
    <w:rsid w:val="00EF7B01"/>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EF7B01"/>
    <w:pPr>
      <w:numPr>
        <w:numId w:val="6"/>
      </w:numPr>
      <w:ind w:left="1491" w:hanging="357"/>
      <w:contextualSpacing/>
    </w:pPr>
  </w:style>
  <w:style w:type="paragraph" w:customStyle="1" w:styleId="Coverdate">
    <w:name w:val="Cover date"/>
    <w:basedOn w:val="Normal"/>
    <w:uiPriority w:val="29"/>
    <w:rsid w:val="00EF7B01"/>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EF7B01"/>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EF7B01"/>
    <w:rPr>
      <w:color w:val="FFFFFF" w:themeColor="background1"/>
    </w:rPr>
  </w:style>
  <w:style w:type="paragraph" w:customStyle="1" w:styleId="Copyrightpage-Keylinenotext">
    <w:name w:val="Copyright page-Keyline (no text)"/>
    <w:basedOn w:val="Copyrightpage-Heading2"/>
    <w:uiPriority w:val="19"/>
    <w:rsid w:val="00EF7B01"/>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EF7B01"/>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EF7B01"/>
    <w:rPr>
      <w:b/>
    </w:rPr>
  </w:style>
  <w:style w:type="paragraph" w:customStyle="1" w:styleId="CoverImage">
    <w:name w:val="Cover Image"/>
    <w:basedOn w:val="Normal"/>
    <w:uiPriority w:val="29"/>
    <w:rsid w:val="00EF7B01"/>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EF7B01"/>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EF7B01"/>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EF7B01"/>
    <w:pPr>
      <w:spacing w:before="60"/>
      <w:ind w:left="113" w:right="851"/>
    </w:pPr>
    <w:rPr>
      <w:color w:val="58585B"/>
    </w:rPr>
  </w:style>
  <w:style w:type="numbering" w:customStyle="1" w:styleId="TOCList">
    <w:name w:val="TOC List"/>
    <w:uiPriority w:val="99"/>
    <w:rsid w:val="00EF7B01"/>
    <w:pPr>
      <w:numPr>
        <w:numId w:val="15"/>
      </w:numPr>
    </w:pPr>
  </w:style>
  <w:style w:type="paragraph" w:customStyle="1" w:styleId="Heading1-Section-fullpage">
    <w:name w:val="Heading 1-Section-full page"/>
    <w:basedOn w:val="Heading1-nobackground"/>
    <w:uiPriority w:val="9"/>
    <w:qFormat/>
    <w:rsid w:val="00EF7B01"/>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EF7B01"/>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F7B01"/>
    <w:pPr>
      <w:keepNext/>
      <w:spacing w:before="240"/>
    </w:pPr>
  </w:style>
  <w:style w:type="paragraph" w:customStyle="1" w:styleId="Source">
    <w:name w:val="Source"/>
    <w:basedOn w:val="Normal"/>
    <w:uiPriority w:val="9"/>
    <w:qFormat/>
    <w:rsid w:val="00EF7B01"/>
    <w:pPr>
      <w:spacing w:before="80" w:after="240" w:line="216" w:lineRule="atLeast"/>
    </w:pPr>
    <w:rPr>
      <w:sz w:val="18"/>
    </w:rPr>
  </w:style>
  <w:style w:type="paragraph" w:customStyle="1" w:styleId="Note">
    <w:name w:val="Note"/>
    <w:basedOn w:val="Source"/>
    <w:uiPriority w:val="9"/>
    <w:qFormat/>
    <w:rsid w:val="00EF7B01"/>
    <w:pPr>
      <w:spacing w:after="20"/>
    </w:pPr>
  </w:style>
  <w:style w:type="numbering" w:customStyle="1" w:styleId="Figure">
    <w:name w:val="Figure"/>
    <w:uiPriority w:val="99"/>
    <w:rsid w:val="00EF7B01"/>
    <w:pPr>
      <w:numPr>
        <w:numId w:val="23"/>
      </w:numPr>
    </w:pPr>
  </w:style>
  <w:style w:type="table" w:customStyle="1" w:styleId="Boxtable">
    <w:name w:val="Box table"/>
    <w:basedOn w:val="Texttable-Paleblue"/>
    <w:uiPriority w:val="99"/>
    <w:rsid w:val="00EF7B01"/>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EF7B01"/>
    <w:pPr>
      <w:numPr>
        <w:numId w:val="12"/>
      </w:numPr>
    </w:pPr>
  </w:style>
  <w:style w:type="paragraph" w:customStyle="1" w:styleId="BoxHeading2">
    <w:name w:val="Box Heading 2"/>
    <w:basedOn w:val="Normal"/>
    <w:next w:val="BodyText"/>
    <w:uiPriority w:val="4"/>
    <w:qFormat/>
    <w:rsid w:val="00EF7B01"/>
    <w:rPr>
      <w:b/>
    </w:rPr>
  </w:style>
  <w:style w:type="table" w:customStyle="1" w:styleId="ProductivityCommissionTable2-Dark">
    <w:name w:val="Productivity Commission Table 2 - Dark"/>
    <w:basedOn w:val="ProductivityCommissionTable2"/>
    <w:uiPriority w:val="99"/>
    <w:rsid w:val="00EF7B01"/>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EF7B01"/>
    <w:rPr>
      <w:i/>
    </w:rPr>
  </w:style>
  <w:style w:type="paragraph" w:customStyle="1" w:styleId="TableHeading">
    <w:name w:val="Table Heading"/>
    <w:basedOn w:val="NoSpacing"/>
    <w:uiPriority w:val="4"/>
    <w:qFormat/>
    <w:rsid w:val="00EF7B01"/>
    <w:pPr>
      <w:spacing w:after="20"/>
      <w:ind w:left="57"/>
    </w:pPr>
    <w:rPr>
      <w:b/>
      <w:color w:val="265A9A" w:themeColor="background2"/>
      <w:sz w:val="18"/>
    </w:rPr>
  </w:style>
  <w:style w:type="paragraph" w:customStyle="1" w:styleId="BodyText-Blue">
    <w:name w:val="Body Text-Blue"/>
    <w:basedOn w:val="BodyText"/>
    <w:link w:val="BodyText-BlueChar"/>
    <w:semiHidden/>
    <w:qFormat/>
    <w:rsid w:val="00EF7B01"/>
    <w:rPr>
      <w:color w:val="265A9A" w:themeColor="background2"/>
    </w:rPr>
  </w:style>
  <w:style w:type="table" w:customStyle="1" w:styleId="Texttable-Keyline">
    <w:name w:val="Text table-Keyline"/>
    <w:basedOn w:val="Texttable-Paleblue"/>
    <w:uiPriority w:val="99"/>
    <w:rsid w:val="00EF7B01"/>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EF7B01"/>
    <w:pPr>
      <w:jc w:val="right"/>
    </w:pPr>
  </w:style>
  <w:style w:type="table" w:customStyle="1" w:styleId="CopyrightPage">
    <w:name w:val="Copyright Page"/>
    <w:basedOn w:val="OverviewPageBannerTableStyle"/>
    <w:uiPriority w:val="99"/>
    <w:rsid w:val="00EF7B01"/>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EF7B01"/>
    <w:pPr>
      <w:spacing w:line="312" w:lineRule="atLeast"/>
    </w:pPr>
    <w:rPr>
      <w:color w:val="2C9BC2"/>
    </w:rPr>
  </w:style>
  <w:style w:type="paragraph" w:styleId="BodyText">
    <w:name w:val="Body Text"/>
    <w:basedOn w:val="Normal"/>
    <w:link w:val="BodyTextChar"/>
    <w:qFormat/>
    <w:rsid w:val="00EF7B01"/>
  </w:style>
  <w:style w:type="character" w:customStyle="1" w:styleId="BodyTextChar">
    <w:name w:val="Body Text Char"/>
    <w:basedOn w:val="DefaultParagraphFont"/>
    <w:link w:val="BodyText"/>
    <w:rsid w:val="00EF7B01"/>
    <w:rPr>
      <w:sz w:val="20"/>
      <w:szCs w:val="20"/>
    </w:rPr>
  </w:style>
  <w:style w:type="paragraph" w:styleId="List4">
    <w:name w:val="List 4"/>
    <w:basedOn w:val="Normal"/>
    <w:uiPriority w:val="99"/>
    <w:semiHidden/>
    <w:rsid w:val="00EF7B01"/>
    <w:pPr>
      <w:numPr>
        <w:ilvl w:val="3"/>
        <w:numId w:val="4"/>
      </w:numPr>
      <w:contextualSpacing/>
    </w:pPr>
  </w:style>
  <w:style w:type="paragraph" w:styleId="List3">
    <w:name w:val="List 3"/>
    <w:basedOn w:val="Normal"/>
    <w:uiPriority w:val="99"/>
    <w:semiHidden/>
    <w:rsid w:val="00EF7B01"/>
    <w:pPr>
      <w:numPr>
        <w:ilvl w:val="2"/>
        <w:numId w:val="4"/>
      </w:numPr>
      <w:contextualSpacing/>
    </w:pPr>
  </w:style>
  <w:style w:type="paragraph" w:customStyle="1" w:styleId="Heading1-nonumber">
    <w:name w:val="Heading 1-no number"/>
    <w:basedOn w:val="Heading1"/>
    <w:next w:val="BodyText"/>
    <w:uiPriority w:val="9"/>
    <w:qFormat/>
    <w:rsid w:val="00EF7B01"/>
    <w:pPr>
      <w:numPr>
        <w:numId w:val="0"/>
      </w:numPr>
      <w:ind w:left="567"/>
    </w:pPr>
  </w:style>
  <w:style w:type="paragraph" w:customStyle="1" w:styleId="ListAlpha1">
    <w:name w:val="List Alpha 1"/>
    <w:basedOn w:val="Normal"/>
    <w:uiPriority w:val="3"/>
    <w:qFormat/>
    <w:rsid w:val="00EF7B01"/>
    <w:pPr>
      <w:numPr>
        <w:numId w:val="5"/>
      </w:numPr>
      <w:spacing w:before="60"/>
      <w:contextualSpacing/>
    </w:pPr>
  </w:style>
  <w:style w:type="paragraph" w:customStyle="1" w:styleId="ListAlpha2">
    <w:name w:val="List Alpha 2"/>
    <w:basedOn w:val="ListAlpha1"/>
    <w:uiPriority w:val="3"/>
    <w:qFormat/>
    <w:rsid w:val="00EF7B01"/>
    <w:pPr>
      <w:numPr>
        <w:ilvl w:val="1"/>
      </w:numPr>
    </w:pPr>
  </w:style>
  <w:style w:type="paragraph" w:customStyle="1" w:styleId="ListAlpha3">
    <w:name w:val="List Alpha 3"/>
    <w:basedOn w:val="ListAlpha2"/>
    <w:uiPriority w:val="3"/>
    <w:qFormat/>
    <w:rsid w:val="00EF7B01"/>
    <w:pPr>
      <w:numPr>
        <w:ilvl w:val="2"/>
      </w:numPr>
      <w:ind w:left="681"/>
    </w:pPr>
  </w:style>
  <w:style w:type="paragraph" w:customStyle="1" w:styleId="ListAlpha4">
    <w:name w:val="List Alpha 4"/>
    <w:basedOn w:val="ListAlpha3"/>
    <w:uiPriority w:val="3"/>
    <w:semiHidden/>
    <w:qFormat/>
    <w:rsid w:val="00EF7B01"/>
    <w:pPr>
      <w:numPr>
        <w:ilvl w:val="3"/>
      </w:numPr>
    </w:pPr>
  </w:style>
  <w:style w:type="numbering" w:customStyle="1" w:styleId="Alphalist">
    <w:name w:val="Alpha list"/>
    <w:uiPriority w:val="99"/>
    <w:rsid w:val="00EF7B01"/>
    <w:pPr>
      <w:numPr>
        <w:numId w:val="1"/>
      </w:numPr>
    </w:pPr>
  </w:style>
  <w:style w:type="paragraph" w:customStyle="1" w:styleId="KeyPoints-Bold">
    <w:name w:val="Key Points-Bold"/>
    <w:basedOn w:val="Normal"/>
    <w:uiPriority w:val="10"/>
    <w:qFormat/>
    <w:rsid w:val="00EF7B01"/>
    <w:pPr>
      <w:spacing w:before="40" w:after="60" w:line="274" w:lineRule="atLeast"/>
    </w:pPr>
    <w:rPr>
      <w:b/>
      <w:sz w:val="18"/>
    </w:rPr>
  </w:style>
  <w:style w:type="paragraph" w:customStyle="1" w:styleId="Copyrightpage-BodyBold">
    <w:name w:val="Copyright page-Body Bold"/>
    <w:basedOn w:val="Copyrightpage-BodyText"/>
    <w:uiPriority w:val="19"/>
    <w:rsid w:val="00EF7B01"/>
    <w:rPr>
      <w:b/>
    </w:rPr>
  </w:style>
  <w:style w:type="paragraph" w:customStyle="1" w:styleId="KeyPoints-Bullet">
    <w:name w:val="Key Points-Bullet"/>
    <w:basedOn w:val="ListBullet"/>
    <w:uiPriority w:val="10"/>
    <w:qFormat/>
    <w:rsid w:val="00EF7B01"/>
    <w:pPr>
      <w:spacing w:after="60" w:line="274" w:lineRule="atLeast"/>
    </w:pPr>
    <w:rPr>
      <w:sz w:val="18"/>
    </w:rPr>
  </w:style>
  <w:style w:type="paragraph" w:customStyle="1" w:styleId="BodyText-Grey">
    <w:name w:val="Body Text-Grey"/>
    <w:basedOn w:val="BodyText"/>
    <w:link w:val="BodyText-GreyChar"/>
    <w:semiHidden/>
    <w:qFormat/>
    <w:rsid w:val="00EF7B01"/>
    <w:rPr>
      <w:color w:val="58585B"/>
    </w:rPr>
  </w:style>
  <w:style w:type="character" w:customStyle="1" w:styleId="BodyText-GreyChar">
    <w:name w:val="Body Text-Grey Char"/>
    <w:basedOn w:val="BodyTextChar"/>
    <w:link w:val="BodyText-Grey"/>
    <w:semiHidden/>
    <w:rsid w:val="00EF7B01"/>
    <w:rPr>
      <w:color w:val="58585B"/>
      <w:sz w:val="20"/>
      <w:szCs w:val="20"/>
    </w:rPr>
  </w:style>
  <w:style w:type="paragraph" w:styleId="BalloonText">
    <w:name w:val="Balloon Text"/>
    <w:basedOn w:val="Normal"/>
    <w:link w:val="BalloonTextChar"/>
    <w:uiPriority w:val="99"/>
    <w:semiHidden/>
    <w:unhideWhenUsed/>
    <w:rsid w:val="00EF7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B01"/>
    <w:rPr>
      <w:rFonts w:ascii="Segoe UI" w:hAnsi="Segoe UI" w:cs="Segoe UI"/>
      <w:sz w:val="18"/>
      <w:szCs w:val="18"/>
    </w:rPr>
  </w:style>
  <w:style w:type="character" w:styleId="CommentReference">
    <w:name w:val="annotation reference"/>
    <w:basedOn w:val="DefaultParagraphFont"/>
    <w:uiPriority w:val="99"/>
    <w:semiHidden/>
    <w:unhideWhenUsed/>
    <w:rsid w:val="00EF7B01"/>
    <w:rPr>
      <w:sz w:val="16"/>
      <w:szCs w:val="16"/>
    </w:rPr>
  </w:style>
  <w:style w:type="paragraph" w:styleId="CommentText">
    <w:name w:val="annotation text"/>
    <w:basedOn w:val="Normal"/>
    <w:link w:val="CommentTextChar"/>
    <w:uiPriority w:val="99"/>
    <w:unhideWhenUsed/>
    <w:rsid w:val="00EF7B01"/>
    <w:pPr>
      <w:spacing w:line="240" w:lineRule="auto"/>
    </w:pPr>
  </w:style>
  <w:style w:type="character" w:customStyle="1" w:styleId="CommentTextChar">
    <w:name w:val="Comment Text Char"/>
    <w:basedOn w:val="DefaultParagraphFont"/>
    <w:link w:val="CommentText"/>
    <w:uiPriority w:val="99"/>
    <w:rsid w:val="00EF7B01"/>
    <w:rPr>
      <w:sz w:val="20"/>
      <w:szCs w:val="20"/>
    </w:rPr>
  </w:style>
  <w:style w:type="paragraph" w:styleId="CommentSubject">
    <w:name w:val="annotation subject"/>
    <w:basedOn w:val="CommentText"/>
    <w:next w:val="CommentText"/>
    <w:link w:val="CommentSubjectChar"/>
    <w:uiPriority w:val="99"/>
    <w:semiHidden/>
    <w:unhideWhenUsed/>
    <w:rsid w:val="00EF7B01"/>
    <w:rPr>
      <w:b/>
      <w:bCs/>
    </w:rPr>
  </w:style>
  <w:style w:type="character" w:customStyle="1" w:styleId="CommentSubjectChar">
    <w:name w:val="Comment Subject Char"/>
    <w:basedOn w:val="CommentTextChar"/>
    <w:link w:val="CommentSubject"/>
    <w:uiPriority w:val="99"/>
    <w:semiHidden/>
    <w:rsid w:val="00EF7B01"/>
    <w:rPr>
      <w:b/>
      <w:bCs/>
      <w:sz w:val="20"/>
      <w:szCs w:val="20"/>
    </w:rPr>
  </w:style>
  <w:style w:type="character" w:customStyle="1" w:styleId="ColourBlue">
    <w:name w:val="Colour Blue"/>
    <w:basedOn w:val="DefaultParagraphFont"/>
    <w:uiPriority w:val="22"/>
    <w:qFormat/>
    <w:rsid w:val="00EF7B01"/>
    <w:rPr>
      <w:color w:val="66BCDB" w:themeColor="text2"/>
    </w:rPr>
  </w:style>
  <w:style w:type="character" w:customStyle="1" w:styleId="ColourDarkBlue">
    <w:name w:val="Colour Dark Blue"/>
    <w:basedOn w:val="ColourBlue"/>
    <w:uiPriority w:val="22"/>
    <w:qFormat/>
    <w:rsid w:val="00EF7B01"/>
    <w:rPr>
      <w:color w:val="265A9A" w:themeColor="background2"/>
    </w:rPr>
  </w:style>
  <w:style w:type="paragraph" w:customStyle="1" w:styleId="BodyText-Beforebullet">
    <w:name w:val="Body Text-Before bullet"/>
    <w:basedOn w:val="BodyText"/>
    <w:link w:val="BodyText-BeforebulletChar"/>
    <w:semiHidden/>
    <w:unhideWhenUsed/>
    <w:rsid w:val="00EF7B01"/>
    <w:pPr>
      <w:spacing w:after="20"/>
    </w:pPr>
  </w:style>
  <w:style w:type="paragraph" w:customStyle="1" w:styleId="PullQuote">
    <w:name w:val="Pull Quote"/>
    <w:basedOn w:val="BodyText"/>
    <w:next w:val="BodyText"/>
    <w:uiPriority w:val="10"/>
    <w:qFormat/>
    <w:rsid w:val="00EF7B01"/>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EF7B01"/>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EF7B01"/>
    <w:pPr>
      <w:spacing w:after="20"/>
      <w:ind w:left="57"/>
    </w:pPr>
    <w:rPr>
      <w:sz w:val="18"/>
    </w:rPr>
  </w:style>
  <w:style w:type="paragraph" w:styleId="Revision">
    <w:name w:val="Revision"/>
    <w:hidden/>
    <w:uiPriority w:val="99"/>
    <w:semiHidden/>
    <w:rsid w:val="00EF7B01"/>
    <w:pPr>
      <w:spacing w:after="0" w:line="240" w:lineRule="auto"/>
    </w:pPr>
    <w:rPr>
      <w:sz w:val="20"/>
      <w:szCs w:val="20"/>
    </w:rPr>
  </w:style>
  <w:style w:type="paragraph" w:customStyle="1" w:styleId="KeyPointsicon">
    <w:name w:val="Key Points icon"/>
    <w:basedOn w:val="Normal"/>
    <w:uiPriority w:val="10"/>
    <w:qFormat/>
    <w:rsid w:val="00EF7B01"/>
    <w:pPr>
      <w:spacing w:before="60"/>
      <w:jc w:val="right"/>
    </w:pPr>
  </w:style>
  <w:style w:type="paragraph" w:customStyle="1" w:styleId="FigureTableSubheading">
    <w:name w:val="Figure/Table Subheading"/>
    <w:basedOn w:val="FigureTableHeading"/>
    <w:uiPriority w:val="4"/>
    <w:qFormat/>
    <w:rsid w:val="00EF7B01"/>
    <w:pPr>
      <w:spacing w:before="40"/>
    </w:pPr>
    <w:rPr>
      <w:color w:val="58585B"/>
    </w:rPr>
  </w:style>
  <w:style w:type="table" w:customStyle="1" w:styleId="TextTable-Grey">
    <w:name w:val="Text Table-Grey"/>
    <w:basedOn w:val="Texttable-Paleblue"/>
    <w:uiPriority w:val="99"/>
    <w:rsid w:val="00EF7B01"/>
    <w:rPr>
      <w:color w:val="265A9A" w:themeColor="background2"/>
    </w:rPr>
    <w:tblPr/>
    <w:tcPr>
      <w:shd w:val="clear" w:color="auto" w:fill="F2F2F2"/>
    </w:tcPr>
  </w:style>
  <w:style w:type="character" w:customStyle="1" w:styleId="BodyText-BlueChar">
    <w:name w:val="Body Text-Blue Char"/>
    <w:basedOn w:val="BodyTextChar"/>
    <w:link w:val="BodyText-Blue"/>
    <w:semiHidden/>
    <w:rsid w:val="00EF7B01"/>
    <w:rPr>
      <w:color w:val="265A9A" w:themeColor="background2"/>
      <w:sz w:val="20"/>
      <w:szCs w:val="20"/>
    </w:rPr>
  </w:style>
  <w:style w:type="paragraph" w:customStyle="1" w:styleId="Heading3-nonumber">
    <w:name w:val="Heading 3-no number"/>
    <w:basedOn w:val="Heading3"/>
    <w:uiPriority w:val="9"/>
    <w:semiHidden/>
    <w:qFormat/>
    <w:rsid w:val="00EF7B01"/>
  </w:style>
  <w:style w:type="paragraph" w:customStyle="1" w:styleId="Heading1-nobackground">
    <w:name w:val="Heading 1-no background"/>
    <w:basedOn w:val="Heading1"/>
    <w:next w:val="BodyText"/>
    <w:uiPriority w:val="9"/>
    <w:qFormat/>
    <w:rsid w:val="00EF7B01"/>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EF7B01"/>
    <w:rPr>
      <w:color w:val="58585B"/>
      <w:sz w:val="20"/>
      <w:szCs w:val="20"/>
    </w:rPr>
  </w:style>
  <w:style w:type="paragraph" w:customStyle="1" w:styleId="TableHeading-numbered">
    <w:name w:val="Table Heading-numbered"/>
    <w:basedOn w:val="Normal"/>
    <w:semiHidden/>
    <w:qFormat/>
    <w:rsid w:val="00EF7B01"/>
    <w:pPr>
      <w:numPr>
        <w:numId w:val="7"/>
      </w:numPr>
      <w:spacing w:before="60"/>
      <w:contextualSpacing/>
    </w:pPr>
    <w:rPr>
      <w:b/>
      <w:color w:val="265A9A" w:themeColor="background2"/>
    </w:rPr>
  </w:style>
  <w:style w:type="numbering" w:customStyle="1" w:styleId="TableList">
    <w:name w:val="TableList"/>
    <w:uiPriority w:val="99"/>
    <w:rsid w:val="00EF7B01"/>
    <w:pPr>
      <w:numPr>
        <w:numId w:val="7"/>
      </w:numPr>
    </w:pPr>
  </w:style>
  <w:style w:type="paragraph" w:customStyle="1" w:styleId="Footer-right">
    <w:name w:val="Footer-right"/>
    <w:basedOn w:val="Footer"/>
    <w:uiPriority w:val="11"/>
    <w:rsid w:val="00EF7B01"/>
    <w:pPr>
      <w:jc w:val="right"/>
    </w:pPr>
    <w:rPr>
      <w:szCs w:val="24"/>
    </w:rPr>
  </w:style>
  <w:style w:type="paragraph" w:customStyle="1" w:styleId="Heading2-nonumber">
    <w:name w:val="Heading 2-no number"/>
    <w:basedOn w:val="Heading2"/>
    <w:uiPriority w:val="9"/>
    <w:qFormat/>
    <w:rsid w:val="00EF7B01"/>
    <w:pPr>
      <w:numPr>
        <w:ilvl w:val="0"/>
        <w:numId w:val="0"/>
      </w:numPr>
    </w:pPr>
  </w:style>
  <w:style w:type="paragraph" w:customStyle="1" w:styleId="Heading-Appendix">
    <w:name w:val="Heading-Appendix"/>
    <w:basedOn w:val="Heading1-nonumber"/>
    <w:next w:val="BodyText"/>
    <w:uiPriority w:val="9"/>
    <w:qFormat/>
    <w:rsid w:val="00EF7B01"/>
    <w:pPr>
      <w:numPr>
        <w:numId w:val="22"/>
      </w:numPr>
    </w:pPr>
  </w:style>
  <w:style w:type="numbering" w:customStyle="1" w:styleId="AppendixHeading">
    <w:name w:val="AppendixHeading"/>
    <w:uiPriority w:val="99"/>
    <w:rsid w:val="00EF7B01"/>
    <w:pPr>
      <w:numPr>
        <w:numId w:val="2"/>
      </w:numPr>
    </w:pPr>
  </w:style>
  <w:style w:type="paragraph" w:customStyle="1" w:styleId="DraftingNote">
    <w:name w:val="Drafting Note"/>
    <w:basedOn w:val="BodyText"/>
    <w:link w:val="DraftingNoteChar"/>
    <w:qFormat/>
    <w:rsid w:val="00EF7B01"/>
    <w:pPr>
      <w:contextualSpacing/>
    </w:pPr>
    <w:rPr>
      <w:color w:val="A22D2B"/>
      <w:sz w:val="24"/>
      <w:u w:val="dotted"/>
    </w:rPr>
  </w:style>
  <w:style w:type="character" w:customStyle="1" w:styleId="DraftingNoteChar">
    <w:name w:val="Drafting Note Char"/>
    <w:basedOn w:val="BodyTextChar"/>
    <w:link w:val="DraftingNote"/>
    <w:rsid w:val="00EF7B01"/>
    <w:rPr>
      <w:color w:val="A22D2B"/>
      <w:sz w:val="24"/>
      <w:szCs w:val="20"/>
      <w:u w:val="dotted"/>
    </w:rPr>
  </w:style>
  <w:style w:type="paragraph" w:customStyle="1" w:styleId="BoxHeading1">
    <w:name w:val="Box Heading 1"/>
    <w:basedOn w:val="FigureTableHeading"/>
    <w:next w:val="BodyText"/>
    <w:uiPriority w:val="4"/>
    <w:qFormat/>
    <w:rsid w:val="00EF7B01"/>
    <w:pPr>
      <w:spacing w:after="0"/>
    </w:pPr>
  </w:style>
  <w:style w:type="character" w:styleId="Emphasis">
    <w:name w:val="Emphasis"/>
    <w:basedOn w:val="DefaultParagraphFont"/>
    <w:uiPriority w:val="22"/>
    <w:qFormat/>
    <w:rsid w:val="00EF7B01"/>
    <w:rPr>
      <w:i/>
      <w:iCs/>
    </w:rPr>
  </w:style>
  <w:style w:type="paragraph" w:customStyle="1" w:styleId="Reference">
    <w:name w:val="Reference"/>
    <w:basedOn w:val="BodyText"/>
    <w:qFormat/>
    <w:rsid w:val="00EF7B01"/>
    <w:pPr>
      <w:spacing w:before="0" w:after="60" w:line="200" w:lineRule="exact"/>
    </w:pPr>
    <w:rPr>
      <w:sz w:val="16"/>
    </w:rPr>
  </w:style>
  <w:style w:type="paragraph" w:customStyle="1" w:styleId="Keypoints-heading">
    <w:name w:val="Key points-heading"/>
    <w:basedOn w:val="Heading3"/>
    <w:uiPriority w:val="10"/>
    <w:qFormat/>
    <w:rsid w:val="00EF7B01"/>
    <w:rPr>
      <w:color w:val="auto"/>
    </w:rPr>
  </w:style>
  <w:style w:type="paragraph" w:customStyle="1" w:styleId="Heading2-Appendix">
    <w:name w:val="Heading 2-Appendix"/>
    <w:basedOn w:val="Heading2-nonumber"/>
    <w:next w:val="Normal"/>
    <w:uiPriority w:val="10"/>
    <w:qFormat/>
    <w:rsid w:val="00EF7B01"/>
    <w:pPr>
      <w:numPr>
        <w:ilvl w:val="1"/>
        <w:numId w:val="22"/>
      </w:numPr>
    </w:pPr>
  </w:style>
  <w:style w:type="numbering" w:customStyle="1" w:styleId="AppendixHeadingList">
    <w:name w:val="Appendix Heading List"/>
    <w:uiPriority w:val="99"/>
    <w:rsid w:val="00EF7B01"/>
    <w:pPr>
      <w:numPr>
        <w:numId w:val="19"/>
      </w:numPr>
    </w:pPr>
  </w:style>
  <w:style w:type="paragraph" w:customStyle="1" w:styleId="Space">
    <w:name w:val="Space"/>
    <w:basedOn w:val="BodyText"/>
    <w:uiPriority w:val="1"/>
    <w:rsid w:val="00EF7B01"/>
    <w:pPr>
      <w:spacing w:before="0" w:after="0"/>
    </w:pPr>
  </w:style>
  <w:style w:type="paragraph" w:customStyle="1" w:styleId="QuoteBullet">
    <w:name w:val="Quote Bullet"/>
    <w:basedOn w:val="ListBullet"/>
    <w:link w:val="QuoteBulletChar"/>
    <w:uiPriority w:val="1"/>
    <w:qFormat/>
    <w:rsid w:val="00EF7B01"/>
    <w:pPr>
      <w:spacing w:before="60"/>
      <w:ind w:left="340" w:right="851"/>
    </w:pPr>
    <w:rPr>
      <w:color w:val="58585B"/>
    </w:rPr>
  </w:style>
  <w:style w:type="character" w:customStyle="1" w:styleId="ListBulletChar">
    <w:name w:val="List Bullet Char"/>
    <w:basedOn w:val="DefaultParagraphFont"/>
    <w:link w:val="ListBullet"/>
    <w:uiPriority w:val="1"/>
    <w:rsid w:val="00EF7B01"/>
    <w:rPr>
      <w:sz w:val="20"/>
      <w:szCs w:val="20"/>
    </w:rPr>
  </w:style>
  <w:style w:type="character" w:customStyle="1" w:styleId="QuoteBulletChar">
    <w:name w:val="Quote Bullet Char"/>
    <w:basedOn w:val="ListBulletChar"/>
    <w:link w:val="QuoteBullet"/>
    <w:uiPriority w:val="1"/>
    <w:rsid w:val="00EF7B01"/>
    <w:rPr>
      <w:color w:val="58585B"/>
      <w:sz w:val="20"/>
      <w:szCs w:val="20"/>
    </w:rPr>
  </w:style>
  <w:style w:type="paragraph" w:customStyle="1" w:styleId="Figurecharttitle">
    <w:name w:val="Figure chart title"/>
    <w:basedOn w:val="BodyText"/>
    <w:uiPriority w:val="10"/>
    <w:qFormat/>
    <w:rsid w:val="00EF7B01"/>
    <w:pPr>
      <w:spacing w:before="0" w:after="0"/>
      <w:ind w:left="284" w:hanging="284"/>
    </w:pPr>
    <w:rPr>
      <w:sz w:val="18"/>
      <w:szCs w:val="18"/>
    </w:rPr>
  </w:style>
  <w:style w:type="paragraph" w:customStyle="1" w:styleId="TableListBullet">
    <w:name w:val="Table List Bullet"/>
    <w:basedOn w:val="ListBullet"/>
    <w:uiPriority w:val="10"/>
    <w:qFormat/>
    <w:rsid w:val="00EF7B01"/>
    <w:pPr>
      <w:spacing w:before="0" w:after="20"/>
      <w:ind w:left="170" w:hanging="113"/>
    </w:pPr>
  </w:style>
  <w:style w:type="character" w:styleId="Mention">
    <w:name w:val="Mention"/>
    <w:basedOn w:val="DefaultParagraphFont"/>
    <w:uiPriority w:val="99"/>
    <w:unhideWhenUsed/>
    <w:rsid w:val="00F242CC"/>
    <w:rPr>
      <w:color w:val="2B579A"/>
      <w:shd w:val="clear" w:color="auto" w:fill="E1DFDD"/>
    </w:rPr>
  </w:style>
  <w:style w:type="character" w:styleId="EndnoteReference">
    <w:name w:val="endnote reference"/>
    <w:basedOn w:val="DefaultParagraphFont"/>
    <w:uiPriority w:val="99"/>
    <w:semiHidden/>
    <w:unhideWhenUsed/>
    <w:rsid w:val="008D78E9"/>
    <w:rPr>
      <w:vertAlign w:val="superscript"/>
    </w:rPr>
  </w:style>
  <w:style w:type="paragraph" w:styleId="Bibliography">
    <w:name w:val="Bibliography"/>
    <w:basedOn w:val="Normal"/>
    <w:next w:val="Normal"/>
    <w:uiPriority w:val="37"/>
    <w:unhideWhenUsed/>
    <w:rsid w:val="008E5700"/>
    <w:pPr>
      <w:spacing w:after="240" w:line="240" w:lineRule="atLeast"/>
      <w:ind w:left="720" w:hanging="720"/>
    </w:pPr>
  </w:style>
  <w:style w:type="paragraph" w:customStyle="1" w:styleId="PullQuoteNoSpacing">
    <w:name w:val="Pull Quote No Spacing"/>
    <w:basedOn w:val="NoSpacing"/>
    <w:link w:val="PullQuoteNoSpacingChar"/>
    <w:uiPriority w:val="10"/>
    <w:qFormat/>
    <w:rsid w:val="00EF7B01"/>
    <w:pPr>
      <w:spacing w:line="160" w:lineRule="exact"/>
    </w:pPr>
  </w:style>
  <w:style w:type="character" w:customStyle="1" w:styleId="PullQuoteNoSpacingChar">
    <w:name w:val="Pull Quote No Spacing Char"/>
    <w:basedOn w:val="NoSpacingChar"/>
    <w:link w:val="PullQuoteNoSpacing"/>
    <w:uiPriority w:val="10"/>
    <w:rsid w:val="00EF7B01"/>
    <w:rPr>
      <w:sz w:val="20"/>
      <w:szCs w:val="20"/>
    </w:rPr>
  </w:style>
  <w:style w:type="paragraph" w:customStyle="1" w:styleId="PullQuote-Indigenous">
    <w:name w:val="Pull Quote-Indigenous"/>
    <w:basedOn w:val="PullQuote"/>
    <w:uiPriority w:val="10"/>
    <w:qFormat/>
    <w:rsid w:val="00EF7B01"/>
    <w:pPr>
      <w:ind w:right="680"/>
    </w:pPr>
    <w:rPr>
      <w:rFonts w:ascii="Arial" w:hAnsi="Arial" w:cs="Arial"/>
      <w:color w:val="auto"/>
      <w:spacing w:val="6"/>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489534">
      <w:bodyDiv w:val="1"/>
      <w:marLeft w:val="0"/>
      <w:marRight w:val="0"/>
      <w:marTop w:val="0"/>
      <w:marBottom w:val="0"/>
      <w:divBdr>
        <w:top w:val="none" w:sz="0" w:space="0" w:color="auto"/>
        <w:left w:val="none" w:sz="0" w:space="0" w:color="auto"/>
        <w:bottom w:val="none" w:sz="0" w:space="0" w:color="auto"/>
        <w:right w:val="none" w:sz="0" w:space="0" w:color="auto"/>
      </w:divBdr>
    </w:div>
    <w:div w:id="440338538">
      <w:bodyDiv w:val="1"/>
      <w:marLeft w:val="0"/>
      <w:marRight w:val="0"/>
      <w:marTop w:val="0"/>
      <w:marBottom w:val="0"/>
      <w:divBdr>
        <w:top w:val="none" w:sz="0" w:space="0" w:color="auto"/>
        <w:left w:val="none" w:sz="0" w:space="0" w:color="auto"/>
        <w:bottom w:val="none" w:sz="0" w:space="0" w:color="auto"/>
        <w:right w:val="none" w:sz="0" w:space="0" w:color="auto"/>
      </w:divBdr>
    </w:div>
    <w:div w:id="463620016">
      <w:bodyDiv w:val="1"/>
      <w:marLeft w:val="0"/>
      <w:marRight w:val="0"/>
      <w:marTop w:val="0"/>
      <w:marBottom w:val="0"/>
      <w:divBdr>
        <w:top w:val="none" w:sz="0" w:space="0" w:color="auto"/>
        <w:left w:val="none" w:sz="0" w:space="0" w:color="auto"/>
        <w:bottom w:val="none" w:sz="0" w:space="0" w:color="auto"/>
        <w:right w:val="none" w:sz="0" w:space="0" w:color="auto"/>
      </w:divBdr>
    </w:div>
    <w:div w:id="467867751">
      <w:bodyDiv w:val="1"/>
      <w:marLeft w:val="0"/>
      <w:marRight w:val="0"/>
      <w:marTop w:val="0"/>
      <w:marBottom w:val="0"/>
      <w:divBdr>
        <w:top w:val="none" w:sz="0" w:space="0" w:color="auto"/>
        <w:left w:val="none" w:sz="0" w:space="0" w:color="auto"/>
        <w:bottom w:val="none" w:sz="0" w:space="0" w:color="auto"/>
        <w:right w:val="none" w:sz="0" w:space="0" w:color="auto"/>
      </w:divBdr>
    </w:div>
    <w:div w:id="1080978657">
      <w:bodyDiv w:val="1"/>
      <w:marLeft w:val="0"/>
      <w:marRight w:val="0"/>
      <w:marTop w:val="0"/>
      <w:marBottom w:val="0"/>
      <w:divBdr>
        <w:top w:val="none" w:sz="0" w:space="0" w:color="auto"/>
        <w:left w:val="none" w:sz="0" w:space="0" w:color="auto"/>
        <w:bottom w:val="none" w:sz="0" w:space="0" w:color="auto"/>
        <w:right w:val="none" w:sz="0" w:space="0" w:color="auto"/>
      </w:divBdr>
    </w:div>
    <w:div w:id="1172456729">
      <w:bodyDiv w:val="1"/>
      <w:marLeft w:val="0"/>
      <w:marRight w:val="0"/>
      <w:marTop w:val="0"/>
      <w:marBottom w:val="0"/>
      <w:divBdr>
        <w:top w:val="none" w:sz="0" w:space="0" w:color="auto"/>
        <w:left w:val="none" w:sz="0" w:space="0" w:color="auto"/>
        <w:bottom w:val="none" w:sz="0" w:space="0" w:color="auto"/>
        <w:right w:val="none" w:sz="0" w:space="0" w:color="auto"/>
      </w:divBdr>
    </w:div>
    <w:div w:id="1363557282">
      <w:bodyDiv w:val="1"/>
      <w:marLeft w:val="0"/>
      <w:marRight w:val="0"/>
      <w:marTop w:val="0"/>
      <w:marBottom w:val="0"/>
      <w:divBdr>
        <w:top w:val="none" w:sz="0" w:space="0" w:color="auto"/>
        <w:left w:val="none" w:sz="0" w:space="0" w:color="auto"/>
        <w:bottom w:val="none" w:sz="0" w:space="0" w:color="auto"/>
        <w:right w:val="none" w:sz="0" w:space="0" w:color="auto"/>
      </w:divBdr>
    </w:div>
    <w:div w:id="1565606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header" Target="header4.xml"/><Relationship Id="rId39" Type="http://schemas.openxmlformats.org/officeDocument/2006/relationships/footer" Target="footer7.xml"/><Relationship Id="rId21" Type="http://schemas.openxmlformats.org/officeDocument/2006/relationships/header" Target="header2.xml"/><Relationship Id="rId34" Type="http://schemas.openxmlformats.org/officeDocument/2006/relationships/image" Target="media/image11.emf"/><Relationship Id="rId42" Type="http://schemas.openxmlformats.org/officeDocument/2006/relationships/footer" Target="footer8.xml"/><Relationship Id="rId47" Type="http://schemas.openxmlformats.org/officeDocument/2006/relationships/header" Target="header14.xml"/><Relationship Id="rId50" Type="http://schemas.openxmlformats.org/officeDocument/2006/relationships/header" Target="header17.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6.xm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image" Target="media/image9.emf"/><Relationship Id="rId37" Type="http://schemas.openxmlformats.org/officeDocument/2006/relationships/header" Target="header9.xml"/><Relationship Id="rId40" Type="http://schemas.openxmlformats.org/officeDocument/2006/relationships/header" Target="header11.xml"/><Relationship Id="rId45" Type="http://schemas.openxmlformats.org/officeDocument/2006/relationships/image" Target="media/image13.emf"/><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8.emf"/><Relationship Id="rId44" Type="http://schemas.openxmlformats.org/officeDocument/2006/relationships/image" Target="media/image12.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image" Target="media/image7.emf"/><Relationship Id="rId35" Type="http://schemas.openxmlformats.org/officeDocument/2006/relationships/header" Target="header7.xml"/><Relationship Id="rId43" Type="http://schemas.openxmlformats.org/officeDocument/2006/relationships/footer" Target="footer9.xml"/><Relationship Id="rId48" Type="http://schemas.openxmlformats.org/officeDocument/2006/relationships/header" Target="header15.xml"/><Relationship Id="rId8" Type="http://schemas.openxmlformats.org/officeDocument/2006/relationships/styles" Target="styles.xml"/><Relationship Id="rId51" Type="http://schemas.openxmlformats.org/officeDocument/2006/relationships/header" Target="header18.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https://www.pc.gov.au" TargetMode="External"/><Relationship Id="rId33" Type="http://schemas.openxmlformats.org/officeDocument/2006/relationships/image" Target="media/image10.emf"/><Relationship Id="rId38" Type="http://schemas.openxmlformats.org/officeDocument/2006/relationships/header" Target="header10.xml"/><Relationship Id="rId46" Type="http://schemas.openxmlformats.org/officeDocument/2006/relationships/header" Target="header13.xml"/><Relationship Id="rId20" Type="http://schemas.openxmlformats.org/officeDocument/2006/relationships/image" Target="media/image6.svg"/><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header" Target="header8.xml"/><Relationship Id="rId49" Type="http://schemas.openxmlformats.org/officeDocument/2006/relationships/header" Target="header16.xml"/></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mpw/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C84178F-1295-45EE-A3E5-978F9B1376DC}">
  <we:reference id="c112e7c3-664d-4d8c-93c0-1a34f676523c" version="1.0.0.7"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F5ADB003E5349499F1DC840A3748441" ma:contentTypeVersion="18" ma:contentTypeDescription="Create a new document." ma:contentTypeScope="" ma:versionID="3ffce6673a207fee75ee8f7ad72f5993">
  <xsd:schema xmlns:xsd="http://www.w3.org/2001/XMLSchema" xmlns:xs="http://www.w3.org/2001/XMLSchema" xmlns:p="http://schemas.microsoft.com/office/2006/metadata/properties" xmlns:ns2="4999a062-bf25-4e1b-bf40-d0ceaadde115" xmlns:ns3="ab9bf696-b976-42ed-b50a-48004ee2daad" targetNamespace="http://schemas.microsoft.com/office/2006/metadata/properties" ma:root="true" ma:fieldsID="38ce17e4110713e064042390e5e4dab6" ns2:_="" ns3:_="">
    <xsd:import namespace="4999a062-bf25-4e1b-bf40-d0ceaadde115"/>
    <xsd:import namespace="ab9bf696-b976-42ed-b50a-48004ee2daad"/>
    <xsd:element name="properties">
      <xsd:complexType>
        <xsd:sequence>
          <xsd:element name="documentManagement">
            <xsd:complexType>
              <xsd:all>
                <xsd:element ref="ns2:MediaServiceMetadata" minOccurs="0"/>
                <xsd:element ref="ns2:MediaServiceFastMetadata" minOccurs="0"/>
                <xsd:element ref="ns3:i0f84bba906045b4af568ee102a52dcb" minOccurs="0"/>
                <xsd:element ref="ns3:TaxCatchAll"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9a062-bf25-4e1b-bf40-d0ceaadde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9bf696-b976-42ed-b50a-48004ee2daad" elementFormDefault="qualified">
    <xsd:import namespace="http://schemas.microsoft.com/office/2006/documentManagement/types"/>
    <xsd:import namespace="http://schemas.microsoft.com/office/infopath/2007/PartnerControls"/>
    <xsd:element name="i0f84bba906045b4af568ee102a52dcb" ma:index="11"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3679ecb-4789-4df4-b2e8-2dc9b4aacb86}" ma:internalName="TaxCatchAll" ma:showField="CatchAllData" ma:web="ab9bf696-b976-42ed-b50a-48004ee2daad">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emplafyTemplateConfiguration><![CDATA[{"elementsMetadata":[],"transformationConfigurations":[],"templateName":"appendix","templateDescription":"","enableDocumentContentUpdater":false,"version":"2.0"}]]></TemplafyTemplateConfiguration>
</file>

<file path=customXml/item4.xml><?xml version="1.0" encoding="utf-8"?>
<p:properties xmlns:p="http://schemas.microsoft.com/office/2006/metadata/properties" xmlns:xsi="http://www.w3.org/2001/XMLSchema-instance" xmlns:pc="http://schemas.microsoft.com/office/infopath/2007/PartnerControls">
  <documentManagement>
    <i0f84bba906045b4af568ee102a52dcb xmlns="ab9bf696-b976-42ed-b50a-48004ee2daad">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4999a062-bf25-4e1b-bf40-d0ceaadde115">
      <Terms xmlns="http://schemas.microsoft.com/office/infopath/2007/PartnerControls"/>
    </lcf76f155ced4ddcb4097134ff3c332f>
    <TaxCatchAll xmlns="ab9bf696-b976-42ed-b50a-48004ee2daad">
      <Value>1</Value>
    </TaxCatchAl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TemplafyFormConfiguration><![CDATA[{"formFields":[],"formDataEntries":[]}]]></TemplafyFormConfiguration>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0DDB7518-04D4-4EE9-B0E4-7BD471DC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9a062-bf25-4e1b-bf40-d0ceaadde115"/>
    <ds:schemaRef ds:uri="ab9bf696-b976-42ed-b50a-48004ee2d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CDCE8C-2FF2-479D-91C1-79A7A7683D3C}">
  <ds:schemaRefs/>
</ds:datastoreItem>
</file>

<file path=customXml/itemProps4.xml><?xml version="1.0" encoding="utf-8"?>
<ds:datastoreItem xmlns:ds="http://schemas.openxmlformats.org/officeDocument/2006/customXml" ds:itemID="{FDF51405-92C4-40C5-8263-9ABDEEFCF286}">
  <ds:schemaRefs>
    <ds:schemaRef ds:uri="http://schemas.microsoft.com/office/2006/metadata/properties"/>
    <ds:schemaRef ds:uri="http://schemas.microsoft.com/office/infopath/2007/PartnerControls"/>
    <ds:schemaRef ds:uri="ab9bf696-b976-42ed-b50a-48004ee2daad"/>
    <ds:schemaRef ds:uri="4999a062-bf25-4e1b-bf40-d0ceaadde115"/>
  </ds:schemaRefs>
</ds:datastoreItem>
</file>

<file path=customXml/itemProps5.xml><?xml version="1.0" encoding="utf-8"?>
<ds:datastoreItem xmlns:ds="http://schemas.openxmlformats.org/officeDocument/2006/customXml" ds:itemID="{59D9E064-D261-47F3-AF1C-5BA8651ED03D}">
  <ds:schemaRefs>
    <ds:schemaRef ds:uri="http://schemas.microsoft.com/sharepoint/v3/contenttype/forms"/>
  </ds:schemaRefs>
</ds:datastoreItem>
</file>

<file path=customXml/itemProps6.xml><?xml version="1.0" encoding="utf-8"?>
<ds:datastoreItem xmlns:ds="http://schemas.openxmlformats.org/officeDocument/2006/customXml" ds:itemID="{9897F752-2238-441E-ABA5-DB8C10DEA577}">
  <ds:schemaRefs/>
</ds:datastoreItem>
</file>

<file path=docProps/app.xml><?xml version="1.0" encoding="utf-8"?>
<Properties xmlns="http://schemas.openxmlformats.org/officeDocument/2006/extended-properties" xmlns:vt="http://schemas.openxmlformats.org/officeDocument/2006/docPropsVTypes">
  <Template>PC-report-template</Template>
  <TotalTime>121</TotalTime>
  <Pages>42</Pages>
  <Words>13131</Words>
  <Characters>74852</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Volume 9 - 5-year Productivity Inquiry: Whole-of-economy modelling</vt:lpstr>
    </vt:vector>
  </TitlesOfParts>
  <Company>Productivity Commission</Company>
  <LinksUpToDate>false</LinksUpToDate>
  <CharactersWithSpaces>87808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9 - 5-year Productivity Inquiry: Whole-of-economy modelling</dc:title>
  <dc:subject/>
  <dc:creator>Productivity Commission</dc:creator>
  <cp:keywords/>
  <dc:description/>
  <cp:lastModifiedBy>Chris Alston</cp:lastModifiedBy>
  <cp:revision>47</cp:revision>
  <cp:lastPrinted>2023-03-09T23:00:00Z</cp:lastPrinted>
  <dcterms:created xsi:type="dcterms:W3CDTF">2023-02-03T03:28:00Z</dcterms:created>
  <dcterms:modified xsi:type="dcterms:W3CDTF">2023-03-09T23:00:00Z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637629323571087762</vt:lpwstr>
  </property>
  <property fmtid="{D5CDD505-2E9C-101B-9397-08002B2CF9AE}" pid="4" name="TemplafyUserProfileId">
    <vt:lpwstr>637788553994095560</vt:lpwstr>
  </property>
  <property fmtid="{D5CDD505-2E9C-101B-9397-08002B2CF9AE}" pid="5" name="TemplafyFromBlank">
    <vt:bool>false</vt:bool>
  </property>
  <property fmtid="{D5CDD505-2E9C-101B-9397-08002B2CF9AE}" pid="6" name="ContentTypeId">
    <vt:lpwstr>0x010100AF5ADB003E5349499F1DC840A3748441</vt:lpwstr>
  </property>
  <property fmtid="{D5CDD505-2E9C-101B-9397-08002B2CF9AE}" pid="7" name="ZOTERO_PREF_2">
    <vt:lpwstr>ournalAbbreviations" value="true"/&gt;&lt;/prefs&gt;&lt;/data&gt;</vt:lpwstr>
  </property>
  <property fmtid="{D5CDD505-2E9C-101B-9397-08002B2CF9AE}" pid="8" name="MediaServiceImageTags">
    <vt:lpwstr/>
  </property>
  <property fmtid="{D5CDD505-2E9C-101B-9397-08002B2CF9AE}" pid="9" name="RevIMBCS">
    <vt:lpwstr>1;#Unclassified|3955eeb1-2d18-4582-aeb2-00144ec3aaf5</vt:lpwstr>
  </property>
  <property fmtid="{D5CDD505-2E9C-101B-9397-08002B2CF9AE}" pid="10" name="ZOTERO_PREF_1">
    <vt:lpwstr>&lt;data data-version="3" zotero-version="6.0.9"&gt;&lt;session id="A9LEe5AF"/&gt;&lt;style id="http://www.zotero.org/styles/Productivity-Commission" hasBibliography="1" bibliographyStyleHasBeenSet="1"/&gt;&lt;prefs&gt;&lt;pref name="fieldType" value="Field"/&gt;&lt;pref name="automaticJ</vt:lpwstr>
  </property>
</Properties>
</file>