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0A" w:rsidRPr="006D7A0A" w:rsidRDefault="006D7A0A" w:rsidP="006D7A0A">
      <w:pPr>
        <w:pStyle w:val="Heading1"/>
        <w:rPr>
          <w:color w:val="FFFFFF" w:themeColor="background1"/>
          <w:sz w:val="16"/>
          <w:szCs w:val="16"/>
        </w:rPr>
      </w:pPr>
      <w:bookmarkStart w:id="0" w:name="_Toc417048492"/>
      <w:proofErr w:type="gramStart"/>
      <w:r w:rsidRPr="006D7A0A">
        <w:rPr>
          <w:color w:val="FFFFFF" w:themeColor="background1"/>
          <w:sz w:val="16"/>
          <w:szCs w:val="16"/>
        </w:rPr>
        <w:t>Public Safety Mobile Broadband.</w:t>
      </w:r>
      <w:proofErr w:type="gramEnd"/>
      <w:r w:rsidRPr="006D7A0A">
        <w:rPr>
          <w:noProof/>
        </w:rPr>
        <w:t xml:space="preserve"> </w:t>
      </w:r>
      <w:r>
        <w:rPr>
          <w:noProof/>
        </w:rPr>
        <w:drawing>
          <wp:anchor distT="0" distB="0" distL="114300" distR="114300" simplePos="0" relativeHeight="251659264" behindDoc="0" locked="0" layoutInCell="1" allowOverlap="1" wp14:anchorId="2009C5B6" wp14:editId="31F2A7BE">
            <wp:simplePos x="0" y="0"/>
            <wp:positionH relativeFrom="page">
              <wp:align>center</wp:align>
            </wp:positionH>
            <wp:positionV relativeFrom="page">
              <wp:align>center</wp:align>
            </wp:positionV>
            <wp:extent cx="7560000" cy="10692000"/>
            <wp:effectExtent l="0" t="0" r="3175" b="0"/>
            <wp:wrapNone/>
            <wp:docPr id="3" name="Picture 3" descr="Public Safety Mobile Broadband.&#10;Productivity Commission Issues Paper. April 2015.&#10;" title="Public Safety Mobile Broadband. Productivity Commission Issues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MB-issues-paper-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bookmarkEnd w:id="0"/>
    </w:p>
    <w:p w:rsidR="00C249EF" w:rsidRPr="006D7A0A" w:rsidRDefault="006D7A0A" w:rsidP="006D7A0A">
      <w:pPr>
        <w:pStyle w:val="Heading1"/>
      </w:pPr>
      <w:bookmarkStart w:id="1" w:name="_Toc417048493"/>
      <w:proofErr w:type="gramStart"/>
      <w:r w:rsidRPr="006D7A0A">
        <w:rPr>
          <w:color w:val="FFFFFF" w:themeColor="background1"/>
          <w:sz w:val="16"/>
          <w:szCs w:val="16"/>
        </w:rPr>
        <w:t>Productivity Commission Issues Paper.</w:t>
      </w:r>
      <w:proofErr w:type="gramEnd"/>
      <w:r w:rsidRPr="006D7A0A">
        <w:rPr>
          <w:color w:val="FFFFFF" w:themeColor="background1"/>
          <w:sz w:val="16"/>
          <w:szCs w:val="16"/>
        </w:rPr>
        <w:t xml:space="preserve"> April 2015.</w:t>
      </w:r>
      <w:bookmarkEnd w:id="1"/>
      <w:r w:rsidR="00C249EF" w:rsidRPr="006D7A0A">
        <w:br w:type="page"/>
      </w:r>
    </w:p>
    <w:p w:rsidR="00C249EF" w:rsidRDefault="00C249E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49EF" w:rsidTr="000A2B7C">
        <w:tc>
          <w:tcPr>
            <w:tcW w:w="8771" w:type="dxa"/>
            <w:tcBorders>
              <w:top w:val="single" w:sz="6" w:space="0" w:color="78A22F"/>
              <w:left w:val="nil"/>
              <w:bottom w:val="nil"/>
              <w:right w:val="nil"/>
            </w:tcBorders>
            <w:shd w:val="clear" w:color="auto" w:fill="F2F2F2"/>
          </w:tcPr>
          <w:p w:rsidR="00C249EF" w:rsidRDefault="00C249EF">
            <w:pPr>
              <w:pStyle w:val="BoxTitle"/>
            </w:pPr>
            <w:r w:rsidRPr="008A3857">
              <w:rPr>
                <w:sz w:val="22"/>
                <w:szCs w:val="22"/>
              </w:rPr>
              <w:t xml:space="preserve">The </w:t>
            </w:r>
            <w:r>
              <w:rPr>
                <w:sz w:val="22"/>
                <w:szCs w:val="22"/>
              </w:rPr>
              <w:t>Issues Paper</w:t>
            </w:r>
          </w:p>
        </w:tc>
      </w:tr>
      <w:tr w:rsidR="00C249EF" w:rsidTr="000A2B7C">
        <w:trPr>
          <w:cantSplit/>
        </w:trPr>
        <w:tc>
          <w:tcPr>
            <w:tcW w:w="8771" w:type="dxa"/>
            <w:tcBorders>
              <w:top w:val="nil"/>
              <w:left w:val="nil"/>
              <w:bottom w:val="nil"/>
              <w:right w:val="nil"/>
            </w:tcBorders>
            <w:shd w:val="clear" w:color="auto" w:fill="F2F2F2"/>
          </w:tcPr>
          <w:p w:rsidR="00C249EF" w:rsidRDefault="00C249EF" w:rsidP="00C249EF">
            <w:pPr>
              <w:pStyle w:val="Box"/>
            </w:pPr>
            <w:r>
              <w:t>The Commission has released this issues paper to assist individuals and organisations to prepare submissions to the study into public safety mobile broadband. It outlines:</w:t>
            </w:r>
          </w:p>
          <w:p w:rsidR="00C249EF" w:rsidRPr="00C249EF" w:rsidRDefault="00C249EF" w:rsidP="006D362D">
            <w:pPr>
              <w:pStyle w:val="BoxListBullet"/>
              <w:spacing w:before="80"/>
            </w:pPr>
            <w:r w:rsidRPr="00C249EF">
              <w:t>the scope of the study</w:t>
            </w:r>
          </w:p>
          <w:p w:rsidR="00C249EF" w:rsidRPr="00C249EF" w:rsidRDefault="00C249EF" w:rsidP="006D362D">
            <w:pPr>
              <w:pStyle w:val="BoxListBullet"/>
              <w:spacing w:before="80"/>
            </w:pPr>
            <w:r w:rsidRPr="00C249EF">
              <w:t>the Commission’s procedures</w:t>
            </w:r>
          </w:p>
          <w:p w:rsidR="00C249EF" w:rsidRPr="00C249EF" w:rsidRDefault="00C249EF" w:rsidP="006D362D">
            <w:pPr>
              <w:pStyle w:val="BoxListBullet"/>
              <w:spacing w:before="80"/>
            </w:pPr>
            <w:r w:rsidRPr="00C249EF">
              <w:t>matters about which the Commission is seeking comment and information</w:t>
            </w:r>
          </w:p>
          <w:p w:rsidR="00C249EF" w:rsidRPr="00C249EF" w:rsidRDefault="00C249EF" w:rsidP="006D362D">
            <w:pPr>
              <w:pStyle w:val="BoxListBullet"/>
              <w:spacing w:before="80"/>
            </w:pPr>
            <w:proofErr w:type="gramStart"/>
            <w:r w:rsidRPr="00C249EF">
              <w:t>how</w:t>
            </w:r>
            <w:proofErr w:type="gramEnd"/>
            <w:r w:rsidRPr="00C249EF">
              <w:t xml:space="preserve"> to make a submission.</w:t>
            </w:r>
          </w:p>
          <w:p w:rsidR="00C249EF" w:rsidRDefault="00C249EF" w:rsidP="00C249EF">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rsidR="00C249EF" w:rsidRDefault="00C249EF" w:rsidP="006D362D">
            <w:pPr>
              <w:pStyle w:val="BoxHeading1"/>
              <w:spacing w:before="160"/>
            </w:pPr>
            <w:r>
              <w:t xml:space="preserve">Key </w:t>
            </w:r>
            <w:r w:rsidR="006D362D">
              <w:t>study</w:t>
            </w:r>
            <w:r>
              <w:t xml:space="preserv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Key study dates"/>
            </w:tblPr>
            <w:tblGrid>
              <w:gridCol w:w="3692"/>
              <w:gridCol w:w="4780"/>
            </w:tblGrid>
            <w:tr w:rsidR="00C249EF" w:rsidTr="000A2B7C">
              <w:tc>
                <w:tcPr>
                  <w:tcW w:w="3692" w:type="dxa"/>
                  <w:tcMar>
                    <w:left w:w="0" w:type="dxa"/>
                  </w:tcMar>
                </w:tcPr>
                <w:p w:rsidR="00C249EF" w:rsidRDefault="00C249EF" w:rsidP="000A2B7C">
                  <w:pPr>
                    <w:pStyle w:val="Box"/>
                  </w:pPr>
                  <w:r>
                    <w:t>Receipt of terms of reference</w:t>
                  </w:r>
                </w:p>
              </w:tc>
              <w:tc>
                <w:tcPr>
                  <w:tcW w:w="4780" w:type="dxa"/>
                </w:tcPr>
                <w:p w:rsidR="00C249EF" w:rsidRDefault="00C249EF" w:rsidP="000A2B7C">
                  <w:pPr>
                    <w:pStyle w:val="Box"/>
                  </w:pPr>
                  <w:r>
                    <w:t>25 March 2015</w:t>
                  </w:r>
                </w:p>
              </w:tc>
            </w:tr>
            <w:tr w:rsidR="00C249EF" w:rsidTr="000A2B7C">
              <w:tc>
                <w:tcPr>
                  <w:tcW w:w="3692" w:type="dxa"/>
                  <w:tcMar>
                    <w:left w:w="0" w:type="dxa"/>
                  </w:tcMar>
                </w:tcPr>
                <w:p w:rsidR="00C249EF" w:rsidRDefault="00C249EF" w:rsidP="000A2B7C">
                  <w:pPr>
                    <w:pStyle w:val="Box"/>
                    <w:spacing w:before="60"/>
                  </w:pPr>
                  <w:r>
                    <w:t>Due date for initial submissions</w:t>
                  </w:r>
                </w:p>
              </w:tc>
              <w:tc>
                <w:tcPr>
                  <w:tcW w:w="4780" w:type="dxa"/>
                </w:tcPr>
                <w:p w:rsidR="00C249EF" w:rsidRDefault="00C249EF" w:rsidP="000A2B7C">
                  <w:pPr>
                    <w:pStyle w:val="Box"/>
                    <w:spacing w:before="60"/>
                  </w:pPr>
                  <w:r>
                    <w:t>25</w:t>
                  </w:r>
                  <w:r w:rsidR="00C46790">
                    <w:t> </w:t>
                  </w:r>
                  <w:r>
                    <w:t>May 2015</w:t>
                  </w:r>
                </w:p>
              </w:tc>
            </w:tr>
            <w:tr w:rsidR="00C249EF" w:rsidTr="000A2B7C">
              <w:tc>
                <w:tcPr>
                  <w:tcW w:w="3692" w:type="dxa"/>
                  <w:tcMar>
                    <w:left w:w="0" w:type="dxa"/>
                  </w:tcMar>
                </w:tcPr>
                <w:p w:rsidR="00C249EF" w:rsidRDefault="00C249EF" w:rsidP="000A2B7C">
                  <w:pPr>
                    <w:pStyle w:val="Box"/>
                    <w:spacing w:before="60"/>
                  </w:pPr>
                  <w:r>
                    <w:t>Technical workshops</w:t>
                  </w:r>
                </w:p>
              </w:tc>
              <w:tc>
                <w:tcPr>
                  <w:tcW w:w="4780" w:type="dxa"/>
                </w:tcPr>
                <w:p w:rsidR="00C249EF" w:rsidRDefault="00C249EF" w:rsidP="000A2B7C">
                  <w:pPr>
                    <w:pStyle w:val="Box"/>
                    <w:spacing w:before="60"/>
                  </w:pPr>
                  <w:r>
                    <w:t>June 2015</w:t>
                  </w:r>
                </w:p>
              </w:tc>
            </w:tr>
            <w:tr w:rsidR="00C249EF" w:rsidTr="000A2B7C">
              <w:tc>
                <w:tcPr>
                  <w:tcW w:w="3692" w:type="dxa"/>
                  <w:tcMar>
                    <w:left w:w="0" w:type="dxa"/>
                  </w:tcMar>
                </w:tcPr>
                <w:p w:rsidR="00C249EF" w:rsidRDefault="00C249EF" w:rsidP="000A2B7C">
                  <w:pPr>
                    <w:pStyle w:val="Box"/>
                    <w:spacing w:before="60"/>
                  </w:pPr>
                  <w:r>
                    <w:t>Release of draft report</w:t>
                  </w:r>
                </w:p>
              </w:tc>
              <w:tc>
                <w:tcPr>
                  <w:tcW w:w="4780" w:type="dxa"/>
                </w:tcPr>
                <w:p w:rsidR="00C249EF" w:rsidRDefault="00C249EF" w:rsidP="000A2B7C">
                  <w:pPr>
                    <w:pStyle w:val="Box"/>
                    <w:spacing w:before="60"/>
                  </w:pPr>
                  <w:r>
                    <w:t>Late August / Early September 2015</w:t>
                  </w:r>
                </w:p>
              </w:tc>
            </w:tr>
            <w:tr w:rsidR="00C249EF" w:rsidTr="000A2B7C">
              <w:tc>
                <w:tcPr>
                  <w:tcW w:w="3692" w:type="dxa"/>
                  <w:tcMar>
                    <w:left w:w="0" w:type="dxa"/>
                  </w:tcMar>
                </w:tcPr>
                <w:p w:rsidR="00C249EF" w:rsidRDefault="00C249EF" w:rsidP="000A2B7C">
                  <w:pPr>
                    <w:pStyle w:val="Box"/>
                    <w:spacing w:before="60"/>
                  </w:pPr>
                  <w:r>
                    <w:t>Draft report public roundtables</w:t>
                  </w:r>
                </w:p>
              </w:tc>
              <w:tc>
                <w:tcPr>
                  <w:tcW w:w="4780" w:type="dxa"/>
                </w:tcPr>
                <w:p w:rsidR="00C249EF" w:rsidRDefault="00C249EF" w:rsidP="000A2B7C">
                  <w:pPr>
                    <w:pStyle w:val="Box"/>
                    <w:spacing w:before="60"/>
                  </w:pPr>
                  <w:r>
                    <w:t>September 2015</w:t>
                  </w:r>
                </w:p>
              </w:tc>
            </w:tr>
            <w:tr w:rsidR="00C249EF" w:rsidTr="000A2B7C">
              <w:tc>
                <w:tcPr>
                  <w:tcW w:w="3692" w:type="dxa"/>
                  <w:tcMar>
                    <w:left w:w="0" w:type="dxa"/>
                  </w:tcMar>
                </w:tcPr>
                <w:p w:rsidR="00C249EF" w:rsidRDefault="00C249EF" w:rsidP="000A2B7C">
                  <w:pPr>
                    <w:pStyle w:val="Box"/>
                    <w:spacing w:before="60"/>
                  </w:pPr>
                  <w:r>
                    <w:t>Due date for submissions on draft report</w:t>
                  </w:r>
                </w:p>
              </w:tc>
              <w:tc>
                <w:tcPr>
                  <w:tcW w:w="4780" w:type="dxa"/>
                </w:tcPr>
                <w:p w:rsidR="00C249EF" w:rsidRDefault="00C249EF" w:rsidP="000A2B7C">
                  <w:pPr>
                    <w:pStyle w:val="Box"/>
                    <w:spacing w:before="60"/>
                  </w:pPr>
                  <w:r>
                    <w:t>October 2015</w:t>
                  </w:r>
                </w:p>
              </w:tc>
            </w:tr>
            <w:tr w:rsidR="00C249EF" w:rsidTr="000A2B7C">
              <w:tc>
                <w:tcPr>
                  <w:tcW w:w="3692" w:type="dxa"/>
                  <w:tcMar>
                    <w:left w:w="0" w:type="dxa"/>
                  </w:tcMar>
                </w:tcPr>
                <w:p w:rsidR="00C249EF" w:rsidRDefault="00C249EF" w:rsidP="000A2B7C">
                  <w:pPr>
                    <w:pStyle w:val="Box"/>
                    <w:spacing w:before="60"/>
                  </w:pPr>
                  <w:r>
                    <w:t>Final report to Government</w:t>
                  </w:r>
                </w:p>
              </w:tc>
              <w:tc>
                <w:tcPr>
                  <w:tcW w:w="4780" w:type="dxa"/>
                </w:tcPr>
                <w:p w:rsidR="00C249EF" w:rsidRDefault="00C249EF" w:rsidP="000A2B7C">
                  <w:pPr>
                    <w:pStyle w:val="Box"/>
                    <w:spacing w:before="60"/>
                  </w:pPr>
                  <w:r>
                    <w:t>December 2015</w:t>
                  </w:r>
                </w:p>
              </w:tc>
            </w:tr>
          </w:tbl>
          <w:p w:rsidR="00C249EF" w:rsidRDefault="00C249EF" w:rsidP="006D362D">
            <w:pPr>
              <w:pStyle w:val="BoxHeading1"/>
              <w:spacing w:before="160"/>
              <w:rPr>
                <w:i/>
              </w:rPr>
            </w:pPr>
            <w:r>
              <w:t>Submissions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Submissions can be made"/>
            </w:tblPr>
            <w:tblGrid>
              <w:gridCol w:w="3522"/>
              <w:gridCol w:w="4950"/>
            </w:tblGrid>
            <w:tr w:rsidR="00C249EF" w:rsidTr="000A2B7C">
              <w:tc>
                <w:tcPr>
                  <w:tcW w:w="3522" w:type="dxa"/>
                  <w:tcMar>
                    <w:left w:w="0" w:type="dxa"/>
                  </w:tcMar>
                </w:tcPr>
                <w:p w:rsidR="00C249EF" w:rsidRDefault="00C249EF" w:rsidP="000A2B7C">
                  <w:pPr>
                    <w:pStyle w:val="Box"/>
                  </w:pPr>
                  <w:r>
                    <w:t>By email:</w:t>
                  </w:r>
                </w:p>
              </w:tc>
              <w:tc>
                <w:tcPr>
                  <w:tcW w:w="4950" w:type="dxa"/>
                </w:tcPr>
                <w:p w:rsidR="00C249EF" w:rsidRDefault="00C249EF" w:rsidP="000A2B7C">
                  <w:pPr>
                    <w:pStyle w:val="Box"/>
                  </w:pPr>
                  <w:r>
                    <w:t>psmb@pc.gov.au</w:t>
                  </w:r>
                </w:p>
              </w:tc>
            </w:tr>
            <w:tr w:rsidR="00C249EF" w:rsidTr="000A2B7C">
              <w:tc>
                <w:tcPr>
                  <w:tcW w:w="3522" w:type="dxa"/>
                  <w:tcMar>
                    <w:left w:w="0" w:type="dxa"/>
                  </w:tcMar>
                </w:tcPr>
                <w:p w:rsidR="00C249EF" w:rsidRDefault="00C249EF" w:rsidP="000A2B7C">
                  <w:pPr>
                    <w:pStyle w:val="Box"/>
                    <w:spacing w:before="60"/>
                    <w:jc w:val="left"/>
                  </w:pPr>
                  <w:r>
                    <w:t>By post:</w:t>
                  </w:r>
                </w:p>
              </w:tc>
              <w:tc>
                <w:tcPr>
                  <w:tcW w:w="4950" w:type="dxa"/>
                </w:tcPr>
                <w:p w:rsidR="00C249EF" w:rsidRDefault="00C249EF" w:rsidP="000A2B7C">
                  <w:pPr>
                    <w:pStyle w:val="Box"/>
                    <w:spacing w:before="60"/>
                    <w:jc w:val="left"/>
                    <w:rPr>
                      <w:i/>
                    </w:rPr>
                  </w:pPr>
                  <w:r>
                    <w:t>Public Safety Mobile Broadband</w:t>
                  </w:r>
                  <w:r>
                    <w:br/>
                    <w:t>Productivity Commission</w:t>
                  </w:r>
                  <w:r>
                    <w:br/>
                    <w:t>Locked Bag 2, Collins Street</w:t>
                  </w:r>
                  <w:r>
                    <w:br/>
                    <w:t>Melbourne VIC 8003</w:t>
                  </w:r>
                </w:p>
              </w:tc>
            </w:tr>
          </w:tbl>
          <w:p w:rsidR="00C249EF" w:rsidRDefault="00C249EF" w:rsidP="006D362D">
            <w:pPr>
              <w:pStyle w:val="BoxHeading1"/>
              <w:spacing w:before="160"/>
              <w:rPr>
                <w:i/>
              </w:rPr>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ntacts"/>
            </w:tblPr>
            <w:tblGrid>
              <w:gridCol w:w="3522"/>
              <w:gridCol w:w="2268"/>
              <w:gridCol w:w="2682"/>
            </w:tblGrid>
            <w:tr w:rsidR="00C249EF" w:rsidTr="000A2B7C">
              <w:tc>
                <w:tcPr>
                  <w:tcW w:w="3522" w:type="dxa"/>
                  <w:tcMar>
                    <w:left w:w="0" w:type="dxa"/>
                  </w:tcMar>
                </w:tcPr>
                <w:p w:rsidR="00C249EF" w:rsidRDefault="00C249EF" w:rsidP="000A2B7C">
                  <w:pPr>
                    <w:pStyle w:val="Box"/>
                  </w:pPr>
                  <w:r>
                    <w:t>Administrative matters:</w:t>
                  </w:r>
                </w:p>
              </w:tc>
              <w:tc>
                <w:tcPr>
                  <w:tcW w:w="2268" w:type="dxa"/>
                </w:tcPr>
                <w:p w:rsidR="00C249EF" w:rsidRDefault="00C249EF" w:rsidP="000A2B7C">
                  <w:pPr>
                    <w:pStyle w:val="Box"/>
                  </w:pPr>
                  <w:r>
                    <w:t>Carole Gardner</w:t>
                  </w:r>
                </w:p>
              </w:tc>
              <w:tc>
                <w:tcPr>
                  <w:tcW w:w="2682" w:type="dxa"/>
                </w:tcPr>
                <w:p w:rsidR="00C249EF" w:rsidRDefault="00C249EF" w:rsidP="000A2B7C">
                  <w:pPr>
                    <w:pStyle w:val="Box"/>
                  </w:pPr>
                  <w:proofErr w:type="spellStart"/>
                  <w:r>
                    <w:t>Ph</w:t>
                  </w:r>
                  <w:proofErr w:type="spellEnd"/>
                  <w:r>
                    <w:t>: (03) 9653 2194</w:t>
                  </w:r>
                </w:p>
              </w:tc>
            </w:tr>
            <w:tr w:rsidR="00C249EF" w:rsidTr="000A2B7C">
              <w:tc>
                <w:tcPr>
                  <w:tcW w:w="3522" w:type="dxa"/>
                  <w:tcMar>
                    <w:left w:w="0" w:type="dxa"/>
                  </w:tcMar>
                </w:tcPr>
                <w:p w:rsidR="00C249EF" w:rsidRDefault="00C249EF" w:rsidP="000A2B7C">
                  <w:pPr>
                    <w:pStyle w:val="Box"/>
                    <w:spacing w:before="60"/>
                  </w:pPr>
                  <w:r>
                    <w:t>Other matters:</w:t>
                  </w:r>
                </w:p>
              </w:tc>
              <w:tc>
                <w:tcPr>
                  <w:tcW w:w="2268" w:type="dxa"/>
                </w:tcPr>
                <w:p w:rsidR="00C249EF" w:rsidRDefault="00C249EF" w:rsidP="000A2B7C">
                  <w:pPr>
                    <w:pStyle w:val="Box"/>
                    <w:spacing w:before="60"/>
                  </w:pPr>
                  <w:r>
                    <w:t xml:space="preserve">Carl </w:t>
                  </w:r>
                  <w:proofErr w:type="spellStart"/>
                  <w:r>
                    <w:t>Toohey</w:t>
                  </w:r>
                  <w:proofErr w:type="spellEnd"/>
                </w:p>
              </w:tc>
              <w:tc>
                <w:tcPr>
                  <w:tcW w:w="2682" w:type="dxa"/>
                </w:tcPr>
                <w:p w:rsidR="00C249EF" w:rsidRDefault="00C249EF" w:rsidP="000A2B7C">
                  <w:pPr>
                    <w:pStyle w:val="Box"/>
                    <w:spacing w:before="60"/>
                  </w:pPr>
                  <w:proofErr w:type="spellStart"/>
                  <w:r>
                    <w:t>Ph</w:t>
                  </w:r>
                  <w:proofErr w:type="spellEnd"/>
                  <w:r>
                    <w:t>: (03) 9653 2114</w:t>
                  </w:r>
                </w:p>
              </w:tc>
            </w:tr>
            <w:tr w:rsidR="00C249EF" w:rsidTr="000A2B7C">
              <w:tc>
                <w:tcPr>
                  <w:tcW w:w="3522" w:type="dxa"/>
                  <w:tcMar>
                    <w:left w:w="0" w:type="dxa"/>
                  </w:tcMar>
                </w:tcPr>
                <w:p w:rsidR="00C249EF" w:rsidRDefault="00C249EF" w:rsidP="000A2B7C">
                  <w:pPr>
                    <w:pStyle w:val="Box"/>
                    <w:spacing w:before="60"/>
                  </w:pPr>
                  <w:proofErr w:type="spellStart"/>
                  <w:r>
                    <w:t>Freecall</w:t>
                  </w:r>
                  <w:proofErr w:type="spellEnd"/>
                  <w:r>
                    <w:t xml:space="preserve"> number for regional areas:</w:t>
                  </w:r>
                </w:p>
              </w:tc>
              <w:tc>
                <w:tcPr>
                  <w:tcW w:w="2268" w:type="dxa"/>
                </w:tcPr>
                <w:p w:rsidR="00C249EF" w:rsidRDefault="00C249EF" w:rsidP="000A2B7C">
                  <w:pPr>
                    <w:pStyle w:val="Box"/>
                    <w:spacing w:before="60"/>
                  </w:pPr>
                  <w:r>
                    <w:t>1800 020 083</w:t>
                  </w:r>
                </w:p>
              </w:tc>
              <w:tc>
                <w:tcPr>
                  <w:tcW w:w="2682" w:type="dxa"/>
                </w:tcPr>
                <w:p w:rsidR="00C249EF" w:rsidRDefault="00C249EF" w:rsidP="000A2B7C">
                  <w:pPr>
                    <w:pStyle w:val="Box"/>
                    <w:spacing w:before="60"/>
                  </w:pPr>
                </w:p>
              </w:tc>
            </w:tr>
            <w:tr w:rsidR="00C249EF" w:rsidTr="000A2B7C">
              <w:tc>
                <w:tcPr>
                  <w:tcW w:w="3522" w:type="dxa"/>
                  <w:tcMar>
                    <w:left w:w="0" w:type="dxa"/>
                  </w:tcMar>
                </w:tcPr>
                <w:p w:rsidR="00C249EF" w:rsidRDefault="00C249EF" w:rsidP="000A2B7C">
                  <w:pPr>
                    <w:pStyle w:val="Box"/>
                    <w:spacing w:before="60"/>
                  </w:pPr>
                  <w:r>
                    <w:t>Website</w:t>
                  </w:r>
                </w:p>
              </w:tc>
              <w:tc>
                <w:tcPr>
                  <w:tcW w:w="2268" w:type="dxa"/>
                </w:tcPr>
                <w:p w:rsidR="00C249EF" w:rsidRPr="009F3E26" w:rsidRDefault="00C249EF" w:rsidP="000A2B7C">
                  <w:pPr>
                    <w:pStyle w:val="Box"/>
                    <w:spacing w:before="60"/>
                    <w:rPr>
                      <w:b/>
                    </w:rPr>
                  </w:pPr>
                  <w:r w:rsidRPr="009F3E26">
                    <w:rPr>
                      <w:b/>
                    </w:rPr>
                    <w:t>www.pc.gov.au</w:t>
                  </w:r>
                </w:p>
              </w:tc>
              <w:tc>
                <w:tcPr>
                  <w:tcW w:w="2682" w:type="dxa"/>
                </w:tcPr>
                <w:p w:rsidR="00C249EF" w:rsidRDefault="00C249EF" w:rsidP="000A2B7C">
                  <w:pPr>
                    <w:pStyle w:val="Box"/>
                    <w:spacing w:before="60"/>
                  </w:pPr>
                </w:p>
              </w:tc>
            </w:tr>
          </w:tbl>
          <w:p w:rsidR="00C249EF" w:rsidRDefault="00C249EF" w:rsidP="000A2B7C">
            <w:pPr>
              <w:pStyle w:val="Box"/>
            </w:pPr>
          </w:p>
        </w:tc>
      </w:tr>
      <w:tr w:rsidR="00C249EF" w:rsidTr="000A2B7C">
        <w:trPr>
          <w:cantSplit/>
        </w:trPr>
        <w:tc>
          <w:tcPr>
            <w:tcW w:w="8771" w:type="dxa"/>
            <w:tcBorders>
              <w:top w:val="nil"/>
              <w:left w:val="nil"/>
              <w:bottom w:val="single" w:sz="6" w:space="0" w:color="78A22F"/>
              <w:right w:val="nil"/>
            </w:tcBorders>
            <w:shd w:val="clear" w:color="auto" w:fill="F2F2F2"/>
          </w:tcPr>
          <w:p w:rsidR="00C249EF" w:rsidRDefault="00C249EF">
            <w:pPr>
              <w:pStyle w:val="Box"/>
              <w:spacing w:before="0" w:line="120" w:lineRule="exact"/>
            </w:pPr>
          </w:p>
        </w:tc>
      </w:tr>
    </w:tbl>
    <w:p w:rsidR="00C249EF" w:rsidRDefault="00C249EF" w:rsidP="006D7A0A">
      <w:pPr>
        <w:pStyle w:val="BoxSpaceAbove"/>
        <w:spacing w:before="12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49EF" w:rsidTr="000A2B7C">
        <w:tc>
          <w:tcPr>
            <w:tcW w:w="8771" w:type="dxa"/>
            <w:tcBorders>
              <w:top w:val="single" w:sz="6" w:space="0" w:color="78A22F"/>
              <w:left w:val="nil"/>
              <w:bottom w:val="nil"/>
              <w:right w:val="nil"/>
            </w:tcBorders>
            <w:shd w:val="clear" w:color="auto" w:fill="F2F2F2"/>
          </w:tcPr>
          <w:p w:rsidR="00C249EF" w:rsidRDefault="00C249EF">
            <w:pPr>
              <w:pStyle w:val="BoxTitle"/>
            </w:pPr>
            <w:r w:rsidRPr="008A3857">
              <w:rPr>
                <w:sz w:val="22"/>
                <w:szCs w:val="22"/>
              </w:rPr>
              <w:t>The Productivity Commission</w:t>
            </w:r>
          </w:p>
        </w:tc>
      </w:tr>
      <w:tr w:rsidR="00C249EF" w:rsidTr="000A2B7C">
        <w:trPr>
          <w:cantSplit/>
        </w:trPr>
        <w:tc>
          <w:tcPr>
            <w:tcW w:w="8771" w:type="dxa"/>
            <w:tcBorders>
              <w:top w:val="nil"/>
              <w:left w:val="nil"/>
              <w:bottom w:val="nil"/>
              <w:right w:val="nil"/>
            </w:tcBorders>
            <w:shd w:val="clear" w:color="auto" w:fill="F2F2F2"/>
          </w:tcPr>
          <w:p w:rsidR="00C249EF" w:rsidRDefault="00C249EF" w:rsidP="00C249EF">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C249EF" w:rsidRDefault="00C249EF" w:rsidP="00C249EF">
            <w:pPr>
              <w:pStyle w:val="Box"/>
            </w:pPr>
            <w:r w:rsidRPr="00BB5DCF">
              <w:t>The Commission’s independence is underpinned by an Act of Parliament. Its processes and outputs are open to public scrutiny and are driven by concern for the wellbeing of the community as a whole.</w:t>
            </w:r>
          </w:p>
          <w:p w:rsidR="00C249EF" w:rsidRDefault="00C249EF" w:rsidP="00C249EF">
            <w:pPr>
              <w:pStyle w:val="Box"/>
            </w:pPr>
            <w:r w:rsidRPr="00BB5DCF">
              <w:rPr>
                <w:szCs w:val="24"/>
              </w:rPr>
              <w:t>Further information on the Productivity Commission can be obtained from the Commission’s website (www.pc.gov.au)</w:t>
            </w:r>
            <w:r>
              <w:rPr>
                <w:szCs w:val="24"/>
              </w:rPr>
              <w:t>.</w:t>
            </w:r>
          </w:p>
        </w:tc>
      </w:tr>
      <w:tr w:rsidR="00C249EF" w:rsidTr="000A2B7C">
        <w:trPr>
          <w:cantSplit/>
        </w:trPr>
        <w:tc>
          <w:tcPr>
            <w:tcW w:w="8771" w:type="dxa"/>
            <w:tcBorders>
              <w:top w:val="nil"/>
              <w:left w:val="nil"/>
              <w:bottom w:val="single" w:sz="6" w:space="0" w:color="78A22F"/>
              <w:right w:val="nil"/>
            </w:tcBorders>
            <w:shd w:val="clear" w:color="auto" w:fill="F2F2F2"/>
          </w:tcPr>
          <w:p w:rsidR="00C249EF" w:rsidRDefault="00C249EF">
            <w:pPr>
              <w:pStyle w:val="Box"/>
              <w:spacing w:before="0" w:line="120" w:lineRule="exact"/>
            </w:pPr>
          </w:p>
        </w:tc>
      </w:tr>
    </w:tbl>
    <w:p w:rsidR="006D7A0A" w:rsidRDefault="006D7A0A" w:rsidP="00C249EF">
      <w:pPr>
        <w:pStyle w:val="Heading2nosectionno"/>
        <w:spacing w:before="0"/>
        <w:sectPr w:rsidR="006D7A0A" w:rsidSect="006D7A0A">
          <w:headerReference w:type="even" r:id="rId10"/>
          <w:headerReference w:type="default" r:id="rId11"/>
          <w:footerReference w:type="even" r:id="rId12"/>
          <w:footerReference w:type="default" r:id="rId13"/>
          <w:headerReference w:type="first" r:id="rId14"/>
          <w:footerReference w:type="first" r:id="rId15"/>
          <w:pgSz w:w="11907" w:h="16840" w:code="9"/>
          <w:pgMar w:top="1985" w:right="1304" w:bottom="1247" w:left="1814" w:header="1701" w:footer="397" w:gutter="0"/>
          <w:pgNumType w:fmt="lowerRoman" w:start="3" w:chapSep="period"/>
          <w:cols w:space="720"/>
        </w:sectPr>
      </w:pPr>
    </w:p>
    <w:p w:rsidR="00C249EF" w:rsidRDefault="00C249EF" w:rsidP="00C249EF">
      <w:pPr>
        <w:pStyle w:val="Heading2nosectionno"/>
        <w:spacing w:before="0"/>
      </w:pPr>
      <w:r>
        <w:lastRenderedPageBreak/>
        <w:t>Terms of reference</w:t>
      </w:r>
    </w:p>
    <w:p w:rsidR="00C249EF" w:rsidRDefault="00C249EF" w:rsidP="00C249EF">
      <w:pPr>
        <w:pStyle w:val="BodyText"/>
        <w:jc w:val="center"/>
      </w:pPr>
      <w:r>
        <w:rPr>
          <w:lang w:val="en"/>
        </w:rPr>
        <w:t>PUBLIC SAFETY MOBILE BROADBAND</w:t>
      </w:r>
      <w:r>
        <w:t xml:space="preserve"> </w:t>
      </w:r>
    </w:p>
    <w:p w:rsidR="00C249EF" w:rsidRDefault="00C249EF" w:rsidP="00C249EF">
      <w:pPr>
        <w:pStyle w:val="BodyText"/>
        <w:jc w:val="center"/>
      </w:pPr>
      <w:r>
        <w:rPr>
          <w:b/>
          <w:bCs/>
          <w:i/>
          <w:iCs/>
          <w:szCs w:val="24"/>
        </w:rPr>
        <w:t>Productivity Commission Act 1998</w:t>
      </w:r>
    </w:p>
    <w:p w:rsidR="00C249EF" w:rsidRDefault="00C249EF" w:rsidP="00C249EF">
      <w:pPr>
        <w:pStyle w:val="BodyText"/>
      </w:pPr>
      <w:r w:rsidRPr="001B0742">
        <w:t>I, Jo</w:t>
      </w:r>
      <w:r>
        <w:t>s</w:t>
      </w:r>
      <w:r w:rsidRPr="001B0742">
        <w:t xml:space="preserve">eph Benedict Hockey, Treasurer, pursuant to Parts 2 and 4 of the </w:t>
      </w:r>
      <w:r w:rsidRPr="00807545">
        <w:rPr>
          <w:i/>
        </w:rPr>
        <w:t>Productivity Commission Act 1998</w:t>
      </w:r>
      <w:r w:rsidRPr="001B0742">
        <w:t>, hereby request that the Productivity Commission (the Commission) undertake a study into the best way to secure a mobile broadband capability to meet the long term needs of Australia</w:t>
      </w:r>
      <w:r>
        <w:t>’</w:t>
      </w:r>
      <w:r w:rsidRPr="001B0742">
        <w:t>s public safety agencies (PSAs): the police, fire, ambulance and emergency services.</w:t>
      </w:r>
    </w:p>
    <w:p w:rsidR="00C249EF" w:rsidRDefault="00C249EF" w:rsidP="00C249EF">
      <w:pPr>
        <w:pStyle w:val="Heading3"/>
        <w:shd w:val="clear" w:color="auto" w:fill="FFFFFF"/>
        <w:rPr>
          <w:lang w:val="en"/>
        </w:rPr>
      </w:pPr>
      <w:r>
        <w:rPr>
          <w:lang w:val="en"/>
        </w:rPr>
        <w:t>Background</w:t>
      </w:r>
    </w:p>
    <w:p w:rsidR="00C249EF" w:rsidRDefault="00C249EF" w:rsidP="00C249EF">
      <w:pPr>
        <w:pStyle w:val="BodyText"/>
        <w:rPr>
          <w:lang w:val="en"/>
        </w:rPr>
      </w:pPr>
      <w:r>
        <w:rPr>
          <w:lang w:val="en"/>
        </w:rPr>
        <w:t>A robust and effective mobile broadband capability is a critical enabler for Australia’s PSAs.</w:t>
      </w:r>
    </w:p>
    <w:p w:rsidR="00C249EF" w:rsidRDefault="00C249EF" w:rsidP="00C249EF">
      <w:pPr>
        <w:pStyle w:val="BodyText"/>
        <w:rPr>
          <w:lang w:val="en"/>
        </w:rPr>
      </w:pPr>
      <w:r>
        <w:rPr>
          <w:lang w:val="en"/>
        </w:rPr>
        <w:t>Since June 2011, the Commonwealth has worked with jurisdictions and PSAs — through the Council of Australian Governments (COAG) Public Safety Mobile Broadband (PSMB) Steering Committee — to consider how best to deliver a strong PSMB capability. On 19 April 2013, COAG transferred responsibility for PSMB from the Steering Committee to COAG Senior Officials and, in doing so, noted the need for PSAs to have adequate capabilities to respond efficiently and effectively when disasters occur.</w:t>
      </w:r>
    </w:p>
    <w:p w:rsidR="00C249EF" w:rsidRDefault="00C249EF" w:rsidP="00C249EF">
      <w:pPr>
        <w:pStyle w:val="BodyText"/>
        <w:rPr>
          <w:lang w:val="en"/>
        </w:rPr>
      </w:pPr>
      <w:r>
        <w:rPr>
          <w:lang w:val="en"/>
        </w:rPr>
        <w:t xml:space="preserve">Delivering a PSMB capability is complex and involves using scarce and valuable resources, such as </w:t>
      </w:r>
      <w:proofErr w:type="spellStart"/>
      <w:r>
        <w:rPr>
          <w:lang w:val="en"/>
        </w:rPr>
        <w:t>radiocommunications</w:t>
      </w:r>
      <w:proofErr w:type="spellEnd"/>
      <w:r>
        <w:rPr>
          <w:lang w:val="en"/>
        </w:rPr>
        <w:t xml:space="preserve"> spectrum, to further the public interest. To inform this work and ensure the best path forward, the Commonwealth considers it appropriate to undertake a rigorous analysis of the most efficient, effective and economical means of developing Australia’s PSMB capability.</w:t>
      </w:r>
    </w:p>
    <w:p w:rsidR="00C249EF" w:rsidRDefault="00C249EF" w:rsidP="00C249EF">
      <w:pPr>
        <w:pStyle w:val="Heading3"/>
        <w:shd w:val="clear" w:color="auto" w:fill="FFFFFF"/>
        <w:rPr>
          <w:lang w:val="en"/>
        </w:rPr>
      </w:pPr>
      <w:r>
        <w:rPr>
          <w:lang w:val="en"/>
        </w:rPr>
        <w:t>Scope of the study</w:t>
      </w:r>
    </w:p>
    <w:p w:rsidR="00C249EF" w:rsidRPr="00646727" w:rsidRDefault="00C249EF" w:rsidP="00C249EF">
      <w:pPr>
        <w:pStyle w:val="BodyText"/>
        <w:rPr>
          <w:lang w:val="en"/>
        </w:rPr>
      </w:pPr>
      <w:r w:rsidRPr="00646727">
        <w:rPr>
          <w:lang w:val="en"/>
        </w:rPr>
        <w:t xml:space="preserve">The Commission is to undertake a </w:t>
      </w:r>
      <w:r>
        <w:rPr>
          <w:lang w:val="en"/>
        </w:rPr>
        <w:t>‘</w:t>
      </w:r>
      <w:r w:rsidRPr="00646727">
        <w:rPr>
          <w:lang w:val="en"/>
        </w:rPr>
        <w:t>first principles</w:t>
      </w:r>
      <w:r>
        <w:rPr>
          <w:lang w:val="en"/>
        </w:rPr>
        <w:t>’</w:t>
      </w:r>
      <w:r w:rsidRPr="00646727">
        <w:rPr>
          <w:lang w:val="en"/>
        </w:rPr>
        <w:t xml:space="preserve"> analysis of the most efficient, effective and economical way of delivering this capability by 2020, to coincide with the nationally agreed framework to improve government radio communications, including interoperability</w:t>
      </w:r>
      <w:r w:rsidRPr="00530FF4">
        <w:rPr>
          <w:rStyle w:val="FootnoteReference"/>
        </w:rPr>
        <w:footnoteReference w:id="1"/>
      </w:r>
      <w:r w:rsidRPr="00646727">
        <w:rPr>
          <w:lang w:val="en"/>
        </w:rPr>
        <w:t>. Particular regard should be given to:</w:t>
      </w:r>
    </w:p>
    <w:p w:rsidR="00C249EF" w:rsidRDefault="00C249EF" w:rsidP="00C249EF">
      <w:pPr>
        <w:pStyle w:val="ListNumber"/>
        <w:rPr>
          <w:lang w:val="en"/>
        </w:rPr>
      </w:pPr>
      <w:r>
        <w:rPr>
          <w:lang w:val="en"/>
        </w:rPr>
        <w:t>The most cost</w:t>
      </w:r>
      <w:r>
        <w:rPr>
          <w:lang w:val="en"/>
        </w:rPr>
        <w:noBreakHyphen/>
        <w:t xml:space="preserve">effective combination of private and public inputs, services and expertise to deliver the capability. This should include an assessment of the relative costs, benefits and risks of: </w:t>
      </w:r>
    </w:p>
    <w:p w:rsidR="00C249EF" w:rsidRDefault="00C249EF" w:rsidP="00C249EF">
      <w:pPr>
        <w:pStyle w:val="ListNumber2"/>
        <w:spacing w:before="0"/>
        <w:rPr>
          <w:lang w:val="en"/>
        </w:rPr>
      </w:pPr>
      <w:r>
        <w:rPr>
          <w:lang w:val="en"/>
        </w:rPr>
        <w:t>deploying a dedicated PSMB network</w:t>
      </w:r>
    </w:p>
    <w:p w:rsidR="00C249EF" w:rsidRDefault="00C249EF" w:rsidP="00C249EF">
      <w:pPr>
        <w:pStyle w:val="ListNumber2"/>
        <w:spacing w:before="0"/>
        <w:rPr>
          <w:lang w:val="en"/>
        </w:rPr>
      </w:pPr>
      <w:r>
        <w:rPr>
          <w:lang w:val="en"/>
        </w:rPr>
        <w:t>an approach that is fully reliant on commercial networks, and/or</w:t>
      </w:r>
    </w:p>
    <w:p w:rsidR="00C249EF" w:rsidRDefault="00C249EF" w:rsidP="00C249EF">
      <w:pPr>
        <w:pStyle w:val="ListNumber2"/>
        <w:spacing w:before="0" w:after="120"/>
        <w:rPr>
          <w:lang w:val="en"/>
        </w:rPr>
      </w:pPr>
      <w:proofErr w:type="gramStart"/>
      <w:r>
        <w:rPr>
          <w:lang w:val="en"/>
        </w:rPr>
        <w:lastRenderedPageBreak/>
        <w:t>a</w:t>
      </w:r>
      <w:proofErr w:type="gramEnd"/>
      <w:r>
        <w:rPr>
          <w:lang w:val="en"/>
        </w:rPr>
        <w:t xml:space="preserve"> combination of the two.</w:t>
      </w:r>
    </w:p>
    <w:p w:rsidR="00C249EF" w:rsidRPr="00646727" w:rsidRDefault="00C249EF" w:rsidP="00C249EF">
      <w:pPr>
        <w:pStyle w:val="ListNumber"/>
        <w:spacing w:before="240"/>
        <w:rPr>
          <w:lang w:val="en"/>
        </w:rPr>
      </w:pPr>
      <w:r w:rsidRPr="00646727">
        <w:rPr>
          <w:lang w:val="en"/>
        </w:rPr>
        <w:t xml:space="preserve">The ability for the capability to: </w:t>
      </w:r>
    </w:p>
    <w:p w:rsidR="00C249EF" w:rsidRPr="00646727" w:rsidRDefault="00C249EF" w:rsidP="00C249EF">
      <w:pPr>
        <w:pStyle w:val="ListNumber2"/>
        <w:spacing w:before="0"/>
        <w:rPr>
          <w:lang w:val="en"/>
        </w:rPr>
      </w:pPr>
      <w:r w:rsidRPr="00646727">
        <w:rPr>
          <w:lang w:val="en"/>
        </w:rPr>
        <w:t>be nationally interoperable, within and across agencies and jurisdictions</w:t>
      </w:r>
    </w:p>
    <w:p w:rsidR="00C249EF" w:rsidRPr="00646727" w:rsidRDefault="00C249EF" w:rsidP="00C249EF">
      <w:pPr>
        <w:pStyle w:val="ListNumber2"/>
        <w:spacing w:before="0"/>
        <w:rPr>
          <w:lang w:val="en"/>
        </w:rPr>
      </w:pPr>
      <w:r w:rsidRPr="00646727">
        <w:rPr>
          <w:lang w:val="en"/>
        </w:rPr>
        <w:t>operate in both metropolitan and regional Australia</w:t>
      </w:r>
    </w:p>
    <w:p w:rsidR="00C249EF" w:rsidRPr="00646727" w:rsidRDefault="00C249EF" w:rsidP="00C249EF">
      <w:pPr>
        <w:pStyle w:val="ListNumber2"/>
        <w:spacing w:before="0"/>
        <w:rPr>
          <w:lang w:val="en"/>
        </w:rPr>
      </w:pPr>
      <w:r w:rsidRPr="00646727">
        <w:rPr>
          <w:lang w:val="en"/>
        </w:rPr>
        <w:t>integrate voice communications that are traditionally carried on narrowband networks</w:t>
      </w:r>
    </w:p>
    <w:p w:rsidR="00C249EF" w:rsidRPr="00646727" w:rsidRDefault="00C249EF" w:rsidP="00C249EF">
      <w:pPr>
        <w:pStyle w:val="ListNumber2"/>
        <w:spacing w:before="0"/>
        <w:rPr>
          <w:lang w:val="en"/>
        </w:rPr>
      </w:pPr>
      <w:r w:rsidRPr="00646727">
        <w:rPr>
          <w:lang w:val="en"/>
        </w:rPr>
        <w:t xml:space="preserve">maintain integrity and security of communications </w:t>
      </w:r>
    </w:p>
    <w:p w:rsidR="00C249EF" w:rsidRPr="00646727" w:rsidRDefault="00C249EF" w:rsidP="00C249EF">
      <w:pPr>
        <w:pStyle w:val="ListNumber2"/>
        <w:spacing w:before="0"/>
        <w:rPr>
          <w:lang w:val="en"/>
        </w:rPr>
      </w:pPr>
      <w:r w:rsidRPr="00646727">
        <w:rPr>
          <w:lang w:val="en"/>
        </w:rPr>
        <w:t xml:space="preserve">ensure accessibility, priority and sufficient capacity for PSAs, particularly during periods of peak demand and during a </w:t>
      </w:r>
      <w:proofErr w:type="spellStart"/>
      <w:r w:rsidRPr="00646727">
        <w:rPr>
          <w:lang w:val="en"/>
        </w:rPr>
        <w:t>localised</w:t>
      </w:r>
      <w:proofErr w:type="spellEnd"/>
      <w:r w:rsidRPr="00646727">
        <w:rPr>
          <w:lang w:val="en"/>
        </w:rPr>
        <w:t xml:space="preserve"> incident</w:t>
      </w:r>
    </w:p>
    <w:p w:rsidR="00C249EF" w:rsidRPr="00646727" w:rsidRDefault="00C249EF" w:rsidP="00C249EF">
      <w:pPr>
        <w:pStyle w:val="ListNumber2"/>
        <w:spacing w:before="0"/>
        <w:rPr>
          <w:lang w:val="en"/>
        </w:rPr>
      </w:pPr>
      <w:r w:rsidRPr="00646727">
        <w:rPr>
          <w:lang w:val="en"/>
        </w:rPr>
        <w:t>be resilient and maintain continuity of service including under adverse operating circumstances</w:t>
      </w:r>
    </w:p>
    <w:p w:rsidR="00C249EF" w:rsidRPr="00646727" w:rsidRDefault="00C249EF" w:rsidP="00C249EF">
      <w:pPr>
        <w:pStyle w:val="ListNumber2"/>
        <w:spacing w:before="0"/>
        <w:rPr>
          <w:lang w:val="en"/>
        </w:rPr>
      </w:pPr>
      <w:r w:rsidRPr="00646727">
        <w:rPr>
          <w:lang w:val="en"/>
        </w:rPr>
        <w:t>consider the sustainability of arrangements in the context of rapidly changing technology and increased demand, including convergence of voice and data services</w:t>
      </w:r>
    </w:p>
    <w:p w:rsidR="00C249EF" w:rsidRPr="00646727" w:rsidRDefault="00C249EF" w:rsidP="00C249EF">
      <w:pPr>
        <w:pStyle w:val="ListNumber2"/>
        <w:spacing w:before="0"/>
        <w:rPr>
          <w:lang w:val="en"/>
        </w:rPr>
      </w:pPr>
      <w:r w:rsidRPr="00646727">
        <w:rPr>
          <w:lang w:val="en"/>
        </w:rPr>
        <w:t>be cost</w:t>
      </w:r>
      <w:r>
        <w:rPr>
          <w:lang w:val="en"/>
        </w:rPr>
        <w:noBreakHyphen/>
      </w:r>
      <w:r w:rsidRPr="00646727">
        <w:rPr>
          <w:lang w:val="en"/>
        </w:rPr>
        <w:t>effective, in terms of both capital and operating cost</w:t>
      </w:r>
    </w:p>
    <w:p w:rsidR="00C249EF" w:rsidRPr="00646727" w:rsidRDefault="00C249EF" w:rsidP="00C249EF">
      <w:pPr>
        <w:pStyle w:val="ListNumber2"/>
        <w:spacing w:before="0"/>
        <w:rPr>
          <w:lang w:val="en"/>
        </w:rPr>
      </w:pPr>
      <w:r w:rsidRPr="00646727">
        <w:rPr>
          <w:lang w:val="en"/>
        </w:rPr>
        <w:t>be nationally available by or before 2020, and</w:t>
      </w:r>
    </w:p>
    <w:p w:rsidR="00C249EF" w:rsidRPr="00646727" w:rsidRDefault="00C249EF" w:rsidP="00C249EF">
      <w:pPr>
        <w:pStyle w:val="ListNumber2"/>
        <w:spacing w:before="0"/>
        <w:rPr>
          <w:lang w:val="en"/>
        </w:rPr>
      </w:pPr>
      <w:proofErr w:type="gramStart"/>
      <w:r w:rsidRPr="00646727">
        <w:rPr>
          <w:lang w:val="en"/>
        </w:rPr>
        <w:t>be</w:t>
      </w:r>
      <w:proofErr w:type="gramEnd"/>
      <w:r w:rsidRPr="00646727">
        <w:rPr>
          <w:lang w:val="en"/>
        </w:rPr>
        <w:t xml:space="preserve"> compatible with a variety of end</w:t>
      </w:r>
      <w:r>
        <w:rPr>
          <w:lang w:val="en"/>
        </w:rPr>
        <w:noBreakHyphen/>
      </w:r>
      <w:r w:rsidRPr="00646727">
        <w:rPr>
          <w:lang w:val="en"/>
        </w:rPr>
        <w:t>user devices.</w:t>
      </w:r>
    </w:p>
    <w:p w:rsidR="00C249EF" w:rsidRPr="00646727" w:rsidRDefault="00C249EF" w:rsidP="00C249EF">
      <w:pPr>
        <w:pStyle w:val="ListNumber"/>
        <w:spacing w:before="240"/>
        <w:rPr>
          <w:lang w:val="en"/>
        </w:rPr>
      </w:pPr>
      <w:r w:rsidRPr="00646727">
        <w:rPr>
          <w:lang w:val="en"/>
        </w:rPr>
        <w:t xml:space="preserve">Relevant domestic and international reports and experiences (e.g. work underway through the Asia Pacific </w:t>
      </w:r>
      <w:proofErr w:type="spellStart"/>
      <w:r w:rsidRPr="00646727">
        <w:rPr>
          <w:lang w:val="en"/>
        </w:rPr>
        <w:t>Telecommunity</w:t>
      </w:r>
      <w:proofErr w:type="spellEnd"/>
      <w:r w:rsidRPr="00646727">
        <w:rPr>
          <w:lang w:val="en"/>
        </w:rPr>
        <w:t xml:space="preserve"> Wireless Group (AWG), International Telecommunication Union (ITU), 3rd Generation Partnership Project (3GPP) and implementation of similar capability in other countries) that may be applicable to Australia.</w:t>
      </w:r>
    </w:p>
    <w:p w:rsidR="00C249EF" w:rsidRPr="00646727" w:rsidRDefault="00C249EF" w:rsidP="00C249EF">
      <w:pPr>
        <w:pStyle w:val="BodyText"/>
        <w:rPr>
          <w:lang w:val="en"/>
        </w:rPr>
      </w:pPr>
      <w:r w:rsidRPr="00646727">
        <w:rPr>
          <w:lang w:val="en"/>
        </w:rPr>
        <w:t>In conducting the analysis, the Commission is to have regard to the Australian</w:t>
      </w:r>
      <w:r>
        <w:rPr>
          <w:lang w:val="en"/>
        </w:rPr>
        <w:t xml:space="preserve"> </w:t>
      </w:r>
      <w:r w:rsidRPr="00646727">
        <w:rPr>
          <w:lang w:val="en"/>
        </w:rPr>
        <w:t>Communications and Media Authority’s (ACMA) role as the independent national regulator</w:t>
      </w:r>
      <w:r>
        <w:rPr>
          <w:lang w:val="en"/>
        </w:rPr>
        <w:t xml:space="preserve"> </w:t>
      </w:r>
      <w:r w:rsidRPr="00646727">
        <w:rPr>
          <w:lang w:val="en"/>
        </w:rPr>
        <w:t>and technical expert on communications matters, with final decision</w:t>
      </w:r>
      <w:r>
        <w:rPr>
          <w:lang w:val="en"/>
        </w:rPr>
        <w:noBreakHyphen/>
      </w:r>
      <w:r w:rsidRPr="00646727">
        <w:rPr>
          <w:lang w:val="en"/>
        </w:rPr>
        <w:t>making responsibility</w:t>
      </w:r>
      <w:r>
        <w:rPr>
          <w:lang w:val="en"/>
        </w:rPr>
        <w:t xml:space="preserve"> </w:t>
      </w:r>
      <w:r w:rsidRPr="00646727">
        <w:rPr>
          <w:lang w:val="en"/>
        </w:rPr>
        <w:t>for allocation of and conditions of access to spectrum. The Commission should also, where</w:t>
      </w:r>
      <w:r>
        <w:rPr>
          <w:lang w:val="en"/>
        </w:rPr>
        <w:t xml:space="preserve"> </w:t>
      </w:r>
      <w:r w:rsidRPr="00646727">
        <w:rPr>
          <w:lang w:val="en"/>
        </w:rPr>
        <w:t>practicable, have regard to the Government’s broader review of the spectrum policy and</w:t>
      </w:r>
      <w:r>
        <w:rPr>
          <w:lang w:val="en"/>
        </w:rPr>
        <w:t xml:space="preserve"> </w:t>
      </w:r>
      <w:r w:rsidRPr="00646727">
        <w:rPr>
          <w:lang w:val="en"/>
        </w:rPr>
        <w:t>management framework.</w:t>
      </w:r>
    </w:p>
    <w:p w:rsidR="00C249EF" w:rsidRDefault="00C249EF" w:rsidP="00C249EF">
      <w:pPr>
        <w:pStyle w:val="BodyText"/>
        <w:rPr>
          <w:lang w:val="en"/>
        </w:rPr>
      </w:pPr>
      <w:r w:rsidRPr="00646727">
        <w:rPr>
          <w:lang w:val="en"/>
        </w:rPr>
        <w:t>Based on information provided by PSAs about their operational requirements, the ACMA has</w:t>
      </w:r>
      <w:r>
        <w:rPr>
          <w:lang w:val="en"/>
        </w:rPr>
        <w:t xml:space="preserve"> </w:t>
      </w:r>
      <w:r w:rsidRPr="00646727">
        <w:rPr>
          <w:lang w:val="en"/>
        </w:rPr>
        <w:t>previously conducted an engineering analysis into the spectrum requirements for a PSMB</w:t>
      </w:r>
      <w:r>
        <w:rPr>
          <w:lang w:val="en"/>
        </w:rPr>
        <w:t xml:space="preserve"> </w:t>
      </w:r>
      <w:r w:rsidRPr="00646727">
        <w:rPr>
          <w:lang w:val="en"/>
        </w:rPr>
        <w:t>capability. This analysis was carried out within parameters established by the Public Safety</w:t>
      </w:r>
      <w:r>
        <w:rPr>
          <w:lang w:val="en"/>
        </w:rPr>
        <w:t xml:space="preserve"> </w:t>
      </w:r>
      <w:r w:rsidRPr="00646727">
        <w:rPr>
          <w:lang w:val="en"/>
        </w:rPr>
        <w:t>Mobile Broadband Steering Committee (PSMBSC) and the Terms of Reference for that</w:t>
      </w:r>
      <w:r>
        <w:rPr>
          <w:lang w:val="en"/>
        </w:rPr>
        <w:t xml:space="preserve"> </w:t>
      </w:r>
      <w:r w:rsidRPr="00646727">
        <w:rPr>
          <w:lang w:val="en"/>
        </w:rPr>
        <w:t>committee. However, spectrum alone will not achieve a PSMB capability as infrastructure</w:t>
      </w:r>
      <w:r>
        <w:rPr>
          <w:lang w:val="en"/>
        </w:rPr>
        <w:t xml:space="preserve"> </w:t>
      </w:r>
      <w:r w:rsidRPr="00646727">
        <w:rPr>
          <w:lang w:val="en"/>
        </w:rPr>
        <w:t>and supporting networks with compatible end</w:t>
      </w:r>
      <w:r>
        <w:rPr>
          <w:lang w:val="en"/>
        </w:rPr>
        <w:noBreakHyphen/>
      </w:r>
      <w:r w:rsidRPr="00646727">
        <w:rPr>
          <w:lang w:val="en"/>
        </w:rPr>
        <w:t>user equipment are required. The</w:t>
      </w:r>
      <w:r>
        <w:rPr>
          <w:lang w:val="en"/>
        </w:rPr>
        <w:t xml:space="preserve"> </w:t>
      </w:r>
      <w:r w:rsidRPr="00646727">
        <w:rPr>
          <w:lang w:val="en"/>
        </w:rPr>
        <w:t>Commission’s analysis is concerned with an overall consideration of the most efficient,</w:t>
      </w:r>
      <w:r>
        <w:rPr>
          <w:lang w:val="en"/>
        </w:rPr>
        <w:t xml:space="preserve"> </w:t>
      </w:r>
      <w:r w:rsidRPr="00646727">
        <w:rPr>
          <w:lang w:val="en"/>
        </w:rPr>
        <w:t>effective and economical way of delivering this capability, including a re</w:t>
      </w:r>
      <w:r>
        <w:rPr>
          <w:lang w:val="en"/>
        </w:rPr>
        <w:noBreakHyphen/>
      </w:r>
      <w:r w:rsidRPr="00646727">
        <w:rPr>
          <w:lang w:val="en"/>
        </w:rPr>
        <w:t>evaluation of user</w:t>
      </w:r>
      <w:r>
        <w:rPr>
          <w:lang w:val="en"/>
        </w:rPr>
        <w:t xml:space="preserve"> </w:t>
      </w:r>
      <w:r w:rsidRPr="00646727">
        <w:rPr>
          <w:lang w:val="en"/>
        </w:rPr>
        <w:t>needs and project requirements given the passage of time.</w:t>
      </w:r>
    </w:p>
    <w:p w:rsidR="00C249EF" w:rsidRPr="00B9266D" w:rsidRDefault="00C249EF" w:rsidP="00C249EF">
      <w:pPr>
        <w:pStyle w:val="Heading3"/>
        <w:shd w:val="clear" w:color="auto" w:fill="FFFFFF"/>
        <w:rPr>
          <w:b w:val="0"/>
          <w:lang w:val="en"/>
        </w:rPr>
      </w:pPr>
      <w:r w:rsidRPr="00B9266D">
        <w:rPr>
          <w:lang w:val="en"/>
        </w:rPr>
        <w:lastRenderedPageBreak/>
        <w:t>Process</w:t>
      </w:r>
    </w:p>
    <w:p w:rsidR="00C249EF" w:rsidRDefault="00C249EF" w:rsidP="00C249EF">
      <w:pPr>
        <w:pStyle w:val="BodyText"/>
      </w:pPr>
      <w:r>
        <w:t>The Commission is to consult broadly, including with industry and non</w:t>
      </w:r>
      <w:r>
        <w:noBreakHyphen/>
        <w:t>government stakeholders, state and territory governments, and PSAs and relevant Commonwealth agencies.</w:t>
      </w:r>
    </w:p>
    <w:p w:rsidR="00C249EF" w:rsidRPr="001B0742" w:rsidRDefault="00C249EF" w:rsidP="00C249EF">
      <w:pPr>
        <w:pStyle w:val="BodyText"/>
      </w:pPr>
      <w:r>
        <w:t>The Commission will produce a draft and a final Report, both of which will be published. The final Report is to be provided to the Government within nine months of the receipt of these Terms of Reference.</w:t>
      </w:r>
    </w:p>
    <w:p w:rsidR="00C249EF" w:rsidRDefault="00C249EF" w:rsidP="00C249EF">
      <w:pPr>
        <w:autoSpaceDE w:val="0"/>
        <w:autoSpaceDN w:val="0"/>
        <w:adjustRightInd w:val="0"/>
      </w:pPr>
    </w:p>
    <w:p w:rsidR="00C249EF" w:rsidRDefault="00C249EF" w:rsidP="00C249EF">
      <w:pPr>
        <w:autoSpaceDE w:val="0"/>
        <w:autoSpaceDN w:val="0"/>
        <w:adjustRightInd w:val="0"/>
      </w:pPr>
    </w:p>
    <w:p w:rsidR="00C249EF" w:rsidRDefault="00C249EF" w:rsidP="00C249EF">
      <w:pPr>
        <w:autoSpaceDE w:val="0"/>
        <w:autoSpaceDN w:val="0"/>
        <w:adjustRightInd w:val="0"/>
      </w:pPr>
    </w:p>
    <w:p w:rsidR="00C249EF" w:rsidRDefault="00C249EF" w:rsidP="00C249EF">
      <w:pPr>
        <w:autoSpaceDE w:val="0"/>
        <w:autoSpaceDN w:val="0"/>
        <w:adjustRightInd w:val="0"/>
      </w:pPr>
      <w:r>
        <w:t>J. B. HOCKEY</w:t>
      </w:r>
    </w:p>
    <w:p w:rsidR="00C249EF" w:rsidRDefault="00C249EF" w:rsidP="00C249EF">
      <w:pPr>
        <w:pStyle w:val="BodyText"/>
      </w:pPr>
      <w:r>
        <w:t>Treasurer</w:t>
      </w:r>
    </w:p>
    <w:p w:rsidR="00C249EF" w:rsidRPr="001B0742" w:rsidRDefault="00C249EF" w:rsidP="00C249EF">
      <w:pPr>
        <w:pStyle w:val="BodyText"/>
        <w:rPr>
          <w:rStyle w:val="DraftingNote"/>
        </w:rPr>
      </w:pPr>
      <w:r>
        <w:t>[Received 25</w:t>
      </w:r>
      <w:r w:rsidR="00C46790">
        <w:t> </w:t>
      </w:r>
      <w:r>
        <w:t>March 2015]</w:t>
      </w:r>
    </w:p>
    <w:p w:rsidR="00C249EF" w:rsidRDefault="00C249EF">
      <w:pPr>
        <w:rPr>
          <w:szCs w:val="20"/>
        </w:rPr>
      </w:pPr>
      <w:r>
        <w:br w:type="page"/>
      </w:r>
    </w:p>
    <w:p w:rsidR="00C249EF" w:rsidRDefault="00C249EF" w:rsidP="00C249EF">
      <w:pPr>
        <w:pStyle w:val="Heading2nosectionno"/>
        <w:tabs>
          <w:tab w:val="left" w:pos="3443"/>
        </w:tabs>
      </w:pPr>
      <w:r>
        <w:lastRenderedPageBreak/>
        <w:t>Contents</w:t>
      </w:r>
    </w:p>
    <w:sdt>
      <w:sdtPr>
        <w:rPr>
          <w:rFonts w:ascii="Times New Roman" w:hAnsi="Times New Roman"/>
          <w:b w:val="0"/>
          <w:kern w:val="28"/>
          <w:sz w:val="52"/>
          <w:szCs w:val="20"/>
          <w:lang w:eastAsia="en-AU"/>
        </w:rPr>
        <w:id w:val="-566722194"/>
        <w:docPartObj>
          <w:docPartGallery w:val="Table of Contents"/>
          <w:docPartUnique/>
        </w:docPartObj>
      </w:sdtPr>
      <w:sdtEndPr>
        <w:rPr>
          <w:rFonts w:ascii="Arial" w:hAnsi="Arial"/>
          <w:kern w:val="0"/>
          <w:sz w:val="26"/>
          <w:szCs w:val="26"/>
          <w:lang w:eastAsia="en-US"/>
        </w:rPr>
      </w:sdtEndPr>
      <w:sdtContent>
        <w:p w:rsidR="00595FFD" w:rsidRDefault="00A16520" w:rsidP="00595FFD">
          <w:pPr>
            <w:pStyle w:val="TOC1"/>
            <w:rPr>
              <w:noProof/>
            </w:rPr>
          </w:pPr>
          <w:r>
            <w:rPr>
              <w:kern w:val="28"/>
              <w:sz w:val="52"/>
            </w:rPr>
            <w:fldChar w:fldCharType="begin"/>
          </w:r>
          <w:r>
            <w:instrText xml:space="preserve"> TOC \t "Part Title,1,Heading 1,1,1 (no chapter no.),chapter,1,1 (no chapter no.),Heading 2,2,2,2 (no section no.),3,3,Heading 2,2 (no section no.),3" </w:instrText>
          </w:r>
          <w:r>
            <w:rPr>
              <w:kern w:val="28"/>
              <w:sz w:val="52"/>
            </w:rPr>
            <w:fldChar w:fldCharType="separate"/>
          </w:r>
          <w:r w:rsidR="00595FFD">
            <w:rPr>
              <w:noProof/>
            </w:rPr>
            <w:t>1</w:t>
          </w:r>
          <w:r w:rsidR="00595FFD">
            <w:rPr>
              <w:rFonts w:asciiTheme="minorHAnsi" w:eastAsiaTheme="minorEastAsia" w:hAnsiTheme="minorHAnsi" w:cstheme="minorBidi"/>
              <w:noProof/>
              <w:sz w:val="22"/>
              <w:szCs w:val="22"/>
              <w:lang w:eastAsia="en-AU"/>
            </w:rPr>
            <w:tab/>
          </w:r>
          <w:r w:rsidR="00595FFD">
            <w:rPr>
              <w:noProof/>
            </w:rPr>
            <w:t>What is this study about?</w:t>
          </w:r>
          <w:r w:rsidR="00595FFD">
            <w:rPr>
              <w:noProof/>
            </w:rPr>
            <w:tab/>
          </w:r>
          <w:r w:rsidR="00595FFD">
            <w:rPr>
              <w:noProof/>
            </w:rPr>
            <w:fldChar w:fldCharType="begin"/>
          </w:r>
          <w:r w:rsidR="00595FFD">
            <w:rPr>
              <w:noProof/>
            </w:rPr>
            <w:instrText xml:space="preserve"> PAGEREF _Toc417048494 \h </w:instrText>
          </w:r>
          <w:r w:rsidR="00595FFD">
            <w:rPr>
              <w:noProof/>
            </w:rPr>
          </w:r>
          <w:r w:rsidR="00595FFD">
            <w:rPr>
              <w:noProof/>
            </w:rPr>
            <w:fldChar w:fldCharType="separate"/>
          </w:r>
          <w:r w:rsidR="00C216DF">
            <w:rPr>
              <w:noProof/>
            </w:rPr>
            <w:t>1</w:t>
          </w:r>
          <w:r w:rsidR="00595FFD">
            <w:rPr>
              <w:noProof/>
            </w:rPr>
            <w:fldChar w:fldCharType="end"/>
          </w:r>
        </w:p>
        <w:p w:rsidR="00595FFD" w:rsidRDefault="00595FFD" w:rsidP="00595FFD">
          <w:pPr>
            <w:pStyle w:val="TOC1"/>
            <w:rPr>
              <w:noProof/>
            </w:rPr>
          </w:pPr>
          <w:r>
            <w:rPr>
              <w:noProof/>
            </w:rPr>
            <w:t>2</w:t>
          </w:r>
          <w:r>
            <w:rPr>
              <w:rFonts w:asciiTheme="minorHAnsi" w:eastAsiaTheme="minorEastAsia" w:hAnsiTheme="minorHAnsi" w:cstheme="minorBidi"/>
              <w:noProof/>
              <w:sz w:val="22"/>
              <w:szCs w:val="22"/>
              <w:lang w:eastAsia="en-AU"/>
            </w:rPr>
            <w:tab/>
          </w:r>
          <w:r>
            <w:rPr>
              <w:noProof/>
            </w:rPr>
            <w:t>How can you contribute to this study?</w:t>
          </w:r>
          <w:r>
            <w:rPr>
              <w:noProof/>
            </w:rPr>
            <w:tab/>
          </w:r>
          <w:r>
            <w:rPr>
              <w:noProof/>
            </w:rPr>
            <w:fldChar w:fldCharType="begin"/>
          </w:r>
          <w:r>
            <w:rPr>
              <w:noProof/>
            </w:rPr>
            <w:instrText xml:space="preserve"> PAGEREF _Toc417048495 \h </w:instrText>
          </w:r>
          <w:r>
            <w:rPr>
              <w:noProof/>
            </w:rPr>
          </w:r>
          <w:r>
            <w:rPr>
              <w:noProof/>
            </w:rPr>
            <w:fldChar w:fldCharType="separate"/>
          </w:r>
          <w:r w:rsidR="00C216DF">
            <w:rPr>
              <w:noProof/>
            </w:rPr>
            <w:t>1</w:t>
          </w:r>
          <w:r>
            <w:rPr>
              <w:noProof/>
            </w:rPr>
            <w:fldChar w:fldCharType="end"/>
          </w:r>
        </w:p>
        <w:p w:rsidR="00595FFD" w:rsidRDefault="00595FFD" w:rsidP="00595FFD">
          <w:pPr>
            <w:pStyle w:val="TOC1"/>
            <w:rPr>
              <w:noProof/>
            </w:rPr>
          </w:pPr>
          <w:r>
            <w:rPr>
              <w:noProof/>
            </w:rPr>
            <w:t>3</w:t>
          </w:r>
          <w:r>
            <w:rPr>
              <w:rFonts w:asciiTheme="minorHAnsi" w:eastAsiaTheme="minorEastAsia" w:hAnsiTheme="minorHAnsi" w:cstheme="minorBidi"/>
              <w:noProof/>
              <w:sz w:val="22"/>
              <w:szCs w:val="22"/>
              <w:lang w:eastAsia="en-AU"/>
            </w:rPr>
            <w:tab/>
          </w:r>
          <w:r>
            <w:rPr>
              <w:noProof/>
            </w:rPr>
            <w:t>The Commission’s proposed approach</w:t>
          </w:r>
          <w:r>
            <w:rPr>
              <w:noProof/>
            </w:rPr>
            <w:tab/>
          </w:r>
          <w:r>
            <w:rPr>
              <w:noProof/>
            </w:rPr>
            <w:fldChar w:fldCharType="begin"/>
          </w:r>
          <w:r>
            <w:rPr>
              <w:noProof/>
            </w:rPr>
            <w:instrText xml:space="preserve"> PAGEREF _Toc417048496 \h </w:instrText>
          </w:r>
          <w:r>
            <w:rPr>
              <w:noProof/>
            </w:rPr>
          </w:r>
          <w:r>
            <w:rPr>
              <w:noProof/>
            </w:rPr>
            <w:fldChar w:fldCharType="separate"/>
          </w:r>
          <w:r w:rsidR="00C216DF">
            <w:rPr>
              <w:noProof/>
            </w:rPr>
            <w:t>2</w:t>
          </w:r>
          <w:r>
            <w:rPr>
              <w:noProof/>
            </w:rPr>
            <w:fldChar w:fldCharType="end"/>
          </w:r>
        </w:p>
        <w:p w:rsidR="00595FFD" w:rsidRDefault="00595FFD" w:rsidP="00595FFD">
          <w:pPr>
            <w:pStyle w:val="TOC1"/>
            <w:rPr>
              <w:noProof/>
            </w:rPr>
          </w:pPr>
          <w:r>
            <w:rPr>
              <w:noProof/>
            </w:rPr>
            <w:t>4</w:t>
          </w:r>
          <w:r>
            <w:rPr>
              <w:rFonts w:asciiTheme="minorHAnsi" w:eastAsiaTheme="minorEastAsia" w:hAnsiTheme="minorHAnsi" w:cstheme="minorBidi"/>
              <w:noProof/>
              <w:sz w:val="22"/>
              <w:szCs w:val="22"/>
              <w:lang w:eastAsia="en-AU"/>
            </w:rPr>
            <w:tab/>
          </w:r>
          <w:r>
            <w:rPr>
              <w:noProof/>
            </w:rPr>
            <w:t>Public safety mobile broadband in Australia</w:t>
          </w:r>
          <w:r>
            <w:rPr>
              <w:noProof/>
            </w:rPr>
            <w:tab/>
          </w:r>
          <w:r>
            <w:rPr>
              <w:noProof/>
            </w:rPr>
            <w:fldChar w:fldCharType="begin"/>
          </w:r>
          <w:r>
            <w:rPr>
              <w:noProof/>
            </w:rPr>
            <w:instrText xml:space="preserve"> PAGEREF _Toc417048497 \h </w:instrText>
          </w:r>
          <w:r>
            <w:rPr>
              <w:noProof/>
            </w:rPr>
          </w:r>
          <w:r>
            <w:rPr>
              <w:noProof/>
            </w:rPr>
            <w:fldChar w:fldCharType="separate"/>
          </w:r>
          <w:r w:rsidR="00C216DF">
            <w:rPr>
              <w:noProof/>
            </w:rPr>
            <w:t>4</w:t>
          </w:r>
          <w:r>
            <w:rPr>
              <w:noProof/>
            </w:rPr>
            <w:fldChar w:fldCharType="end"/>
          </w:r>
        </w:p>
        <w:p w:rsidR="00595FFD" w:rsidRDefault="00595FFD" w:rsidP="00595FFD">
          <w:pPr>
            <w:pStyle w:val="TOC1"/>
            <w:rPr>
              <w:noProof/>
            </w:rPr>
          </w:pPr>
          <w:r>
            <w:rPr>
              <w:noProof/>
            </w:rPr>
            <w:t>5</w:t>
          </w:r>
          <w:r>
            <w:rPr>
              <w:rFonts w:asciiTheme="minorHAnsi" w:eastAsiaTheme="minorEastAsia" w:hAnsiTheme="minorHAnsi" w:cstheme="minorBidi"/>
              <w:noProof/>
              <w:sz w:val="22"/>
              <w:szCs w:val="22"/>
              <w:lang w:eastAsia="en-AU"/>
            </w:rPr>
            <w:tab/>
          </w:r>
          <w:r>
            <w:rPr>
              <w:noProof/>
            </w:rPr>
            <w:t>Developing options for evaluation</w:t>
          </w:r>
          <w:r>
            <w:rPr>
              <w:noProof/>
            </w:rPr>
            <w:tab/>
          </w:r>
          <w:r>
            <w:rPr>
              <w:noProof/>
            </w:rPr>
            <w:fldChar w:fldCharType="begin"/>
          </w:r>
          <w:r>
            <w:rPr>
              <w:noProof/>
            </w:rPr>
            <w:instrText xml:space="preserve"> PAGEREF _Toc417048498 \h </w:instrText>
          </w:r>
          <w:r>
            <w:rPr>
              <w:noProof/>
            </w:rPr>
          </w:r>
          <w:r>
            <w:rPr>
              <w:noProof/>
            </w:rPr>
            <w:fldChar w:fldCharType="separate"/>
          </w:r>
          <w:r w:rsidR="00C216DF">
            <w:rPr>
              <w:noProof/>
            </w:rPr>
            <w:t>10</w:t>
          </w:r>
          <w:r>
            <w:rPr>
              <w:noProof/>
            </w:rPr>
            <w:fldChar w:fldCharType="end"/>
          </w:r>
        </w:p>
        <w:p w:rsidR="00595FFD" w:rsidRDefault="00595FFD" w:rsidP="00595FFD">
          <w:pPr>
            <w:pStyle w:val="TOC1"/>
            <w:rPr>
              <w:noProof/>
            </w:rPr>
          </w:pPr>
          <w:r>
            <w:rPr>
              <w:noProof/>
            </w:rPr>
            <w:t>6</w:t>
          </w:r>
          <w:r>
            <w:rPr>
              <w:rFonts w:asciiTheme="minorHAnsi" w:eastAsiaTheme="minorEastAsia" w:hAnsiTheme="minorHAnsi" w:cstheme="minorBidi"/>
              <w:noProof/>
              <w:sz w:val="22"/>
              <w:szCs w:val="22"/>
              <w:lang w:eastAsia="en-AU"/>
            </w:rPr>
            <w:tab/>
          </w:r>
          <w:r>
            <w:rPr>
              <w:noProof/>
            </w:rPr>
            <w:t>Identifying and estimating costs</w:t>
          </w:r>
          <w:r>
            <w:rPr>
              <w:noProof/>
            </w:rPr>
            <w:tab/>
          </w:r>
          <w:r>
            <w:rPr>
              <w:noProof/>
            </w:rPr>
            <w:fldChar w:fldCharType="begin"/>
          </w:r>
          <w:r>
            <w:rPr>
              <w:noProof/>
            </w:rPr>
            <w:instrText xml:space="preserve"> PAGEREF _Toc417048499 \h </w:instrText>
          </w:r>
          <w:r>
            <w:rPr>
              <w:noProof/>
            </w:rPr>
          </w:r>
          <w:r>
            <w:rPr>
              <w:noProof/>
            </w:rPr>
            <w:fldChar w:fldCharType="separate"/>
          </w:r>
          <w:r w:rsidR="00C216DF">
            <w:rPr>
              <w:noProof/>
            </w:rPr>
            <w:t>17</w:t>
          </w:r>
          <w:r>
            <w:rPr>
              <w:noProof/>
            </w:rPr>
            <w:fldChar w:fldCharType="end"/>
          </w:r>
        </w:p>
        <w:p w:rsidR="00595FFD" w:rsidRDefault="00595FFD" w:rsidP="00595FFD">
          <w:pPr>
            <w:pStyle w:val="TOC1"/>
            <w:rPr>
              <w:noProof/>
            </w:rPr>
          </w:pPr>
          <w:r>
            <w:rPr>
              <w:noProof/>
            </w:rPr>
            <w:t>7</w:t>
          </w:r>
          <w:r>
            <w:rPr>
              <w:rFonts w:asciiTheme="minorHAnsi" w:eastAsiaTheme="minorEastAsia" w:hAnsiTheme="minorHAnsi" w:cstheme="minorBidi"/>
              <w:noProof/>
              <w:sz w:val="22"/>
              <w:szCs w:val="22"/>
              <w:lang w:eastAsia="en-AU"/>
            </w:rPr>
            <w:tab/>
          </w:r>
          <w:r>
            <w:rPr>
              <w:noProof/>
            </w:rPr>
            <w:t>Identifying and estimating benefits</w:t>
          </w:r>
          <w:r>
            <w:rPr>
              <w:noProof/>
            </w:rPr>
            <w:tab/>
          </w:r>
          <w:r>
            <w:rPr>
              <w:noProof/>
            </w:rPr>
            <w:fldChar w:fldCharType="begin"/>
          </w:r>
          <w:r>
            <w:rPr>
              <w:noProof/>
            </w:rPr>
            <w:instrText xml:space="preserve"> PAGEREF _Toc417048500 \h </w:instrText>
          </w:r>
          <w:r>
            <w:rPr>
              <w:noProof/>
            </w:rPr>
          </w:r>
          <w:r>
            <w:rPr>
              <w:noProof/>
            </w:rPr>
            <w:fldChar w:fldCharType="separate"/>
          </w:r>
          <w:r w:rsidR="00C216DF">
            <w:rPr>
              <w:noProof/>
            </w:rPr>
            <w:t>21</w:t>
          </w:r>
          <w:r>
            <w:rPr>
              <w:noProof/>
            </w:rPr>
            <w:fldChar w:fldCharType="end"/>
          </w:r>
        </w:p>
        <w:p w:rsidR="00595FFD" w:rsidRDefault="00595FFD" w:rsidP="00595FFD">
          <w:pPr>
            <w:pStyle w:val="TOC1"/>
            <w:rPr>
              <w:noProof/>
            </w:rPr>
          </w:pPr>
          <w:r>
            <w:rPr>
              <w:noProof/>
            </w:rPr>
            <w:t xml:space="preserve">Attachment A </w:t>
          </w:r>
          <w:r w:rsidRPr="005A0962">
            <w:rPr>
              <w:rFonts w:cs="Arial"/>
              <w:noProof/>
            </w:rPr>
            <w:t>—</w:t>
          </w:r>
          <w:r>
            <w:rPr>
              <w:noProof/>
            </w:rPr>
            <w:t xml:space="preserve"> How to make a submission</w:t>
          </w:r>
          <w:r>
            <w:rPr>
              <w:noProof/>
            </w:rPr>
            <w:tab/>
          </w:r>
          <w:r>
            <w:rPr>
              <w:noProof/>
            </w:rPr>
            <w:fldChar w:fldCharType="begin"/>
          </w:r>
          <w:r>
            <w:rPr>
              <w:noProof/>
            </w:rPr>
            <w:instrText xml:space="preserve"> PAGEREF _Toc417048501 \h </w:instrText>
          </w:r>
          <w:r>
            <w:rPr>
              <w:noProof/>
            </w:rPr>
          </w:r>
          <w:r>
            <w:rPr>
              <w:noProof/>
            </w:rPr>
            <w:fldChar w:fldCharType="separate"/>
          </w:r>
          <w:r w:rsidR="00C216DF">
            <w:rPr>
              <w:noProof/>
            </w:rPr>
            <w:t>24</w:t>
          </w:r>
          <w:r>
            <w:rPr>
              <w:noProof/>
            </w:rPr>
            <w:fldChar w:fldCharType="end"/>
          </w:r>
        </w:p>
        <w:p w:rsidR="00595FFD" w:rsidRDefault="00595FFD" w:rsidP="00595FFD">
          <w:pPr>
            <w:pStyle w:val="TOC1"/>
            <w:rPr>
              <w:rFonts w:asciiTheme="minorHAnsi" w:eastAsiaTheme="minorEastAsia" w:hAnsiTheme="minorHAnsi" w:cstheme="minorBidi"/>
              <w:noProof/>
              <w:sz w:val="22"/>
              <w:szCs w:val="22"/>
              <w:lang w:eastAsia="en-AU"/>
            </w:rPr>
          </w:pPr>
          <w:r>
            <w:rPr>
              <w:noProof/>
            </w:rPr>
            <w:t xml:space="preserve">Attachment B </w:t>
          </w:r>
          <w:r w:rsidRPr="005A0962">
            <w:rPr>
              <w:rFonts w:cs="Arial"/>
              <w:noProof/>
            </w:rPr>
            <w:t>—</w:t>
          </w:r>
          <w:r>
            <w:rPr>
              <w:noProof/>
            </w:rPr>
            <w:t xml:space="preserve"> Consolidated list of questions</w:t>
          </w:r>
          <w:r>
            <w:rPr>
              <w:noProof/>
            </w:rPr>
            <w:tab/>
          </w:r>
          <w:r>
            <w:rPr>
              <w:noProof/>
            </w:rPr>
            <w:fldChar w:fldCharType="begin"/>
          </w:r>
          <w:r>
            <w:rPr>
              <w:noProof/>
            </w:rPr>
            <w:instrText xml:space="preserve"> PAGEREF _Toc417048502 \h </w:instrText>
          </w:r>
          <w:r>
            <w:rPr>
              <w:noProof/>
            </w:rPr>
          </w:r>
          <w:r>
            <w:rPr>
              <w:noProof/>
            </w:rPr>
            <w:fldChar w:fldCharType="separate"/>
          </w:r>
          <w:r w:rsidR="00C216DF">
            <w:rPr>
              <w:noProof/>
            </w:rPr>
            <w:t>26</w:t>
          </w:r>
          <w:r>
            <w:rPr>
              <w:noProof/>
            </w:rPr>
            <w:fldChar w:fldCharType="end"/>
          </w:r>
        </w:p>
        <w:p w:rsidR="00595FFD" w:rsidRDefault="00595FFD">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_Toc417048503 \h </w:instrText>
          </w:r>
          <w:r>
            <w:rPr>
              <w:noProof/>
            </w:rPr>
          </w:r>
          <w:r>
            <w:rPr>
              <w:noProof/>
            </w:rPr>
            <w:fldChar w:fldCharType="separate"/>
          </w:r>
          <w:r w:rsidR="00C216DF">
            <w:rPr>
              <w:noProof/>
            </w:rPr>
            <w:t>30</w:t>
          </w:r>
          <w:r>
            <w:rPr>
              <w:noProof/>
            </w:rPr>
            <w:fldChar w:fldCharType="end"/>
          </w:r>
        </w:p>
        <w:p w:rsidR="00591082" w:rsidRDefault="00A16520" w:rsidP="00591082">
          <w:pPr>
            <w:pStyle w:val="TOC2"/>
          </w:pPr>
          <w:r>
            <w:fldChar w:fldCharType="end"/>
          </w:r>
        </w:p>
      </w:sdtContent>
    </w:sdt>
    <w:p w:rsidR="00591082" w:rsidRDefault="00591082" w:rsidP="00591082">
      <w:pPr>
        <w:pStyle w:val="BodyText"/>
      </w:pPr>
    </w:p>
    <w:p w:rsidR="00591082" w:rsidRDefault="00591082" w:rsidP="00591082">
      <w:pPr>
        <w:pStyle w:val="BodyText"/>
        <w:sectPr w:rsidR="00591082" w:rsidSect="006D7A0A">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start="3" w:chapSep="period"/>
          <w:cols w:space="720"/>
        </w:sectPr>
      </w:pPr>
    </w:p>
    <w:p w:rsidR="00C249EF" w:rsidRPr="00FD07E5" w:rsidRDefault="00FD07E5" w:rsidP="004B6934">
      <w:pPr>
        <w:pStyle w:val="Heading2"/>
      </w:pPr>
      <w:r w:rsidRPr="004B6934">
        <w:lastRenderedPageBreak/>
        <w:fldChar w:fldCharType="begin"/>
      </w:r>
      <w:r w:rsidRPr="004B6934">
        <w:instrText xml:space="preserve"> COMMENTS  \* MERGEFORMAT </w:instrText>
      </w:r>
      <w:r w:rsidRPr="004B6934">
        <w:fldChar w:fldCharType="end"/>
      </w:r>
      <w:r w:rsidR="008457DD">
        <w:fldChar w:fldCharType="begin"/>
      </w:r>
      <w:r w:rsidR="008457DD">
        <w:instrText xml:space="preserve"> SEQ Heading2  \* MERGEFORMAT </w:instrText>
      </w:r>
      <w:r w:rsidR="008457DD">
        <w:fldChar w:fldCharType="separate"/>
      </w:r>
      <w:bookmarkStart w:id="4" w:name="_Toc417048494"/>
      <w:r w:rsidR="00C216DF">
        <w:rPr>
          <w:noProof/>
        </w:rPr>
        <w:t>1</w:t>
      </w:r>
      <w:r w:rsidR="008457DD">
        <w:rPr>
          <w:noProof/>
        </w:rPr>
        <w:fldChar w:fldCharType="end"/>
      </w:r>
      <w:r w:rsidR="004B6934" w:rsidRPr="004B6934">
        <w:tab/>
        <w:t>W</w:t>
      </w:r>
      <w:r w:rsidR="00C249EF" w:rsidRPr="004B6934">
        <w:t>h</w:t>
      </w:r>
      <w:r w:rsidR="00C249EF" w:rsidRPr="00FD07E5">
        <w:t>at is this study about?</w:t>
      </w:r>
      <w:bookmarkEnd w:id="4"/>
    </w:p>
    <w:p w:rsidR="00C249EF" w:rsidRDefault="00C249EF" w:rsidP="00C249EF">
      <w:pPr>
        <w:pStyle w:val="BodyText"/>
      </w:pPr>
      <w:r>
        <w:t xml:space="preserve">The Australian Government has asked the Productivity Commission to consider the best way to deliver a mobile broadband capability to meet the long term needs of public safety agencies (PSAs) </w:t>
      </w:r>
      <w:r>
        <w:sym w:font="Symbol" w:char="F0BE"/>
      </w:r>
      <w:r>
        <w:t xml:space="preserve"> the police, fire, ambulance and other emergency services. </w:t>
      </w:r>
    </w:p>
    <w:p w:rsidR="00C249EF" w:rsidRDefault="00C249EF" w:rsidP="00C249EF">
      <w:pPr>
        <w:pStyle w:val="BodyText"/>
      </w:pPr>
      <w:r>
        <w:t>Specifically, the Commission has been asked to undertake a ‘first principles’ analysis of the most efficient, effective and economical way of delivering a public safety mobile broadband (PSMB) capability to PSAs by 2020, giving consideration to:</w:t>
      </w:r>
    </w:p>
    <w:p w:rsidR="00C249EF" w:rsidRDefault="00C249EF" w:rsidP="00C249EF">
      <w:pPr>
        <w:pStyle w:val="ListBullet"/>
      </w:pPr>
      <w:r>
        <w:t>the relative costs, benefits and risks of different options</w:t>
      </w:r>
    </w:p>
    <w:p w:rsidR="00C249EF" w:rsidRDefault="00C249EF" w:rsidP="00C249EF">
      <w:pPr>
        <w:pStyle w:val="ListBullet"/>
      </w:pPr>
      <w:r>
        <w:t xml:space="preserve">particular characteristics of the capability provided to PSAs (such as operation in metropolitan and regional Australia; integrity and security; </w:t>
      </w:r>
      <w:r>
        <w:rPr>
          <w:rStyle w:val="DraftingNote"/>
          <w:b w:val="0"/>
          <w:color w:val="auto"/>
          <w:u w:val="none"/>
        </w:rPr>
        <w:t>resilience</w:t>
      </w:r>
      <w:r w:rsidR="00036AA7">
        <w:rPr>
          <w:rStyle w:val="DraftingNote"/>
          <w:b w:val="0"/>
          <w:color w:val="auto"/>
          <w:u w:val="none"/>
        </w:rPr>
        <w:t>;</w:t>
      </w:r>
      <w:r>
        <w:rPr>
          <w:rStyle w:val="DraftingNote"/>
          <w:b w:val="0"/>
          <w:color w:val="auto"/>
          <w:u w:val="none"/>
        </w:rPr>
        <w:t xml:space="preserve"> and ensuring accessibility, priority and sufficient capacity during peak demand periods</w:t>
      </w:r>
      <w:r>
        <w:t xml:space="preserve">) that are important given the mission critical circumstances they operate in </w:t>
      </w:r>
    </w:p>
    <w:p w:rsidR="00C249EF" w:rsidRDefault="00C249EF" w:rsidP="00C249EF">
      <w:pPr>
        <w:pStyle w:val="ListBullet"/>
      </w:pPr>
      <w:r>
        <w:t>other characteristics (such as interoperability</w:t>
      </w:r>
      <w:r w:rsidR="00E5048B">
        <w:t xml:space="preserve"> across agencies and jurisdictions</w:t>
      </w:r>
      <w:r>
        <w:t>, compatibility with a variety of end</w:t>
      </w:r>
      <w:r>
        <w:noBreakHyphen/>
        <w:t>user devices, sustainability and cost</w:t>
      </w:r>
      <w:r>
        <w:noBreakHyphen/>
        <w:t>effectiveness)</w:t>
      </w:r>
    </w:p>
    <w:p w:rsidR="00C249EF" w:rsidRDefault="00C249EF" w:rsidP="00C249EF">
      <w:pPr>
        <w:pStyle w:val="ListBullet"/>
      </w:pPr>
      <w:proofErr w:type="gramStart"/>
      <w:r>
        <w:t>relevant</w:t>
      </w:r>
      <w:proofErr w:type="gramEnd"/>
      <w:r>
        <w:t xml:space="preserve"> domestic and international reports and experiences. </w:t>
      </w:r>
    </w:p>
    <w:p w:rsidR="00C249EF" w:rsidRPr="00FD07E5" w:rsidRDefault="008457DD" w:rsidP="00FD07E5">
      <w:pPr>
        <w:pStyle w:val="Heading2"/>
      </w:pPr>
      <w:r>
        <w:fldChar w:fldCharType="begin"/>
      </w:r>
      <w:r>
        <w:instrText xml:space="preserve"> SEQ Heading2 </w:instrText>
      </w:r>
      <w:r>
        <w:fldChar w:fldCharType="separate"/>
      </w:r>
      <w:bookmarkStart w:id="5" w:name="_Toc417048495"/>
      <w:r w:rsidR="00C216DF">
        <w:rPr>
          <w:noProof/>
        </w:rPr>
        <w:t>2</w:t>
      </w:r>
      <w:r>
        <w:rPr>
          <w:noProof/>
        </w:rPr>
        <w:fldChar w:fldCharType="end"/>
      </w:r>
      <w:r w:rsidR="00C249EF" w:rsidRPr="00FD07E5">
        <w:tab/>
        <w:t xml:space="preserve">How can </w:t>
      </w:r>
      <w:r w:rsidR="00E5048B" w:rsidRPr="00FD07E5">
        <w:t xml:space="preserve">you </w:t>
      </w:r>
      <w:r w:rsidR="00C249EF" w:rsidRPr="00FD07E5">
        <w:t>contribute to this study</w:t>
      </w:r>
      <w:r w:rsidR="00E5048B" w:rsidRPr="00FD07E5">
        <w:t>?</w:t>
      </w:r>
      <w:bookmarkEnd w:id="5"/>
    </w:p>
    <w:p w:rsidR="00C249EF" w:rsidRDefault="00C249EF" w:rsidP="00C249EF">
      <w:pPr>
        <w:pStyle w:val="BodyText"/>
      </w:pPr>
      <w:r w:rsidRPr="00211B8A">
        <w:t xml:space="preserve">The Commission </w:t>
      </w:r>
      <w:r>
        <w:t>wants to gather your ideas, views, information and evidence to ensure that this study is well</w:t>
      </w:r>
      <w:r>
        <w:noBreakHyphen/>
        <w:t>informed and relevant. We are</w:t>
      </w:r>
      <w:r w:rsidRPr="00211B8A">
        <w:t xml:space="preserve"> seeking submissions from </w:t>
      </w:r>
      <w:r>
        <w:t>PSAs</w:t>
      </w:r>
      <w:r w:rsidRPr="00211B8A">
        <w:t xml:space="preserve">, communication service </w:t>
      </w:r>
      <w:r>
        <w:t xml:space="preserve">and equipment </w:t>
      </w:r>
      <w:r w:rsidRPr="00211B8A">
        <w:t>providers,</w:t>
      </w:r>
      <w:r>
        <w:t xml:space="preserve"> state and territory governments, relevant Commonwealth agencies and other interested parties. </w:t>
      </w:r>
    </w:p>
    <w:p w:rsidR="00C249EF" w:rsidRDefault="00C249EF" w:rsidP="00C249EF">
      <w:pPr>
        <w:pStyle w:val="BodyText"/>
      </w:pPr>
      <w:r>
        <w:t xml:space="preserve">We have released this issues paper to assist you in the preparation of initial submissions. It identifies a range of matters about which feedback and information is sought. However, </w:t>
      </w:r>
      <w:r>
        <w:rPr>
          <w:b/>
        </w:rPr>
        <w:t>you</w:t>
      </w:r>
      <w:r w:rsidRPr="00C81A4C">
        <w:rPr>
          <w:b/>
        </w:rPr>
        <w:t xml:space="preserve"> do not need to address every </w:t>
      </w:r>
      <w:r>
        <w:rPr>
          <w:b/>
        </w:rPr>
        <w:t>question</w:t>
      </w:r>
      <w:r w:rsidRPr="00C81A4C">
        <w:rPr>
          <w:b/>
        </w:rPr>
        <w:t xml:space="preserve"> in this paper; nor do </w:t>
      </w:r>
      <w:r>
        <w:rPr>
          <w:b/>
        </w:rPr>
        <w:t>you</w:t>
      </w:r>
      <w:r w:rsidRPr="00C81A4C">
        <w:rPr>
          <w:b/>
        </w:rPr>
        <w:t xml:space="preserve"> need to limit submissions to the issues raised</w:t>
      </w:r>
      <w:r w:rsidRPr="00BE3266">
        <w:rPr>
          <w:b/>
        </w:rPr>
        <w:t>.</w:t>
      </w:r>
      <w:r>
        <w:t xml:space="preserve"> </w:t>
      </w:r>
    </w:p>
    <w:p w:rsidR="00C249EF" w:rsidRDefault="00C249EF" w:rsidP="00C249EF">
      <w:pPr>
        <w:pStyle w:val="BodyText"/>
      </w:pPr>
      <w:r>
        <w:t xml:space="preserve">Where possible, you should provide evidence in support of views, such as data and documentation. </w:t>
      </w:r>
      <w:r>
        <w:rPr>
          <w:lang w:eastAsia="en-US"/>
        </w:rPr>
        <w:t xml:space="preserve">The Commission has a strong preference for public submissions so the material is fully available for use in Commission reports, but will accept confidential information where necessary. </w:t>
      </w:r>
      <w:r>
        <w:t xml:space="preserve">Attachment A provides further details about how to make a submission. </w:t>
      </w:r>
    </w:p>
    <w:p w:rsidR="00C249EF" w:rsidRPr="00595FFD" w:rsidRDefault="007D07AD" w:rsidP="00595FFD">
      <w:pPr>
        <w:pStyle w:val="Heading2"/>
      </w:pPr>
      <w:fldSimple w:instr=" SEQ Heading2 ">
        <w:bookmarkStart w:id="6" w:name="_Toc417048496"/>
        <w:r w:rsidR="00C216DF">
          <w:rPr>
            <w:noProof/>
          </w:rPr>
          <w:t>3</w:t>
        </w:r>
      </w:fldSimple>
      <w:r w:rsidR="00C249EF" w:rsidRPr="00595FFD">
        <w:tab/>
        <w:t>The Commission’s proposed approach</w:t>
      </w:r>
      <w:bookmarkEnd w:id="6"/>
    </w:p>
    <w:p w:rsidR="00C249EF" w:rsidRDefault="00C249EF" w:rsidP="00C249EF">
      <w:pPr>
        <w:pStyle w:val="BodyText"/>
      </w:pPr>
      <w:r>
        <w:t xml:space="preserve">The principal objective of this study is to identify the most </w:t>
      </w:r>
      <w:r>
        <w:rPr>
          <w:spacing w:val="-1"/>
        </w:rPr>
        <w:t>e</w:t>
      </w:r>
      <w:r>
        <w:t>f</w:t>
      </w:r>
      <w:r>
        <w:rPr>
          <w:spacing w:val="-2"/>
        </w:rPr>
        <w:t>f</w:t>
      </w:r>
      <w:r>
        <w:rPr>
          <w:spacing w:val="2"/>
        </w:rPr>
        <w:t>i</w:t>
      </w:r>
      <w:r>
        <w:rPr>
          <w:spacing w:val="-1"/>
        </w:rPr>
        <w:t>c</w:t>
      </w:r>
      <w:r>
        <w:t xml:space="preserve">ient, </w:t>
      </w:r>
      <w:r>
        <w:rPr>
          <w:spacing w:val="-1"/>
        </w:rPr>
        <w:t>e</w:t>
      </w:r>
      <w:r>
        <w:t>ff</w:t>
      </w:r>
      <w:r>
        <w:rPr>
          <w:spacing w:val="-1"/>
        </w:rPr>
        <w:t>ec</w:t>
      </w:r>
      <w:r>
        <w:t xml:space="preserve">tive </w:t>
      </w:r>
      <w:r>
        <w:rPr>
          <w:spacing w:val="-1"/>
        </w:rPr>
        <w:t>a</w:t>
      </w:r>
      <w:r>
        <w:t xml:space="preserve">nd </w:t>
      </w:r>
      <w:r>
        <w:rPr>
          <w:spacing w:val="-1"/>
        </w:rPr>
        <w:t>ec</w:t>
      </w:r>
      <w:r>
        <w:t>onomi</w:t>
      </w:r>
      <w:r>
        <w:rPr>
          <w:spacing w:val="1"/>
        </w:rPr>
        <w:t>c</w:t>
      </w:r>
      <w:r>
        <w:rPr>
          <w:spacing w:val="-1"/>
        </w:rPr>
        <w:t>a</w:t>
      </w:r>
      <w:r>
        <w:t>l w</w:t>
      </w:r>
      <w:r>
        <w:rPr>
          <w:spacing w:val="3"/>
        </w:rPr>
        <w:t>a</w:t>
      </w:r>
      <w:r>
        <w:t>y</w:t>
      </w:r>
      <w:r>
        <w:rPr>
          <w:spacing w:val="-5"/>
        </w:rPr>
        <w:t xml:space="preserve"> </w:t>
      </w:r>
      <w:r>
        <w:t xml:space="preserve">of </w:t>
      </w:r>
      <w:r>
        <w:rPr>
          <w:spacing w:val="1"/>
        </w:rPr>
        <w:t>d</w:t>
      </w:r>
      <w:r>
        <w:rPr>
          <w:spacing w:val="-1"/>
        </w:rPr>
        <w:t>e</w:t>
      </w:r>
      <w:r>
        <w:t>liv</w:t>
      </w:r>
      <w:r>
        <w:rPr>
          <w:spacing w:val="-1"/>
        </w:rPr>
        <w:t>e</w:t>
      </w:r>
      <w:r>
        <w:t>ring</w:t>
      </w:r>
      <w:r>
        <w:rPr>
          <w:spacing w:val="-3"/>
        </w:rPr>
        <w:t xml:space="preserve"> a PSMB capability to PSAs by </w:t>
      </w:r>
      <w:r>
        <w:t xml:space="preserve">2020, using a ‘first principles’ analysis (box 1). This includes assessing the relative costs, benefits and risks of </w:t>
      </w:r>
      <w:r w:rsidRPr="00970718">
        <w:t xml:space="preserve">alternative options for deploying </w:t>
      </w:r>
      <w:r>
        <w:t xml:space="preserve">PSMB </w:t>
      </w:r>
      <w:r w:rsidRPr="00970718">
        <w:t>capability</w:t>
      </w:r>
      <w:r>
        <w:t>. In broad terms, the options include:</w:t>
      </w:r>
    </w:p>
    <w:p w:rsidR="00C249EF" w:rsidRPr="00BB0D9F" w:rsidRDefault="00C249EF" w:rsidP="00C249EF">
      <w:pPr>
        <w:pStyle w:val="ListBullet"/>
      </w:pPr>
      <w:r>
        <w:t xml:space="preserve">establishing a </w:t>
      </w:r>
      <w:r w:rsidRPr="00BB0D9F">
        <w:t>dedicated PSMB network</w:t>
      </w:r>
    </w:p>
    <w:p w:rsidR="00C249EF" w:rsidRPr="00BB0D9F" w:rsidRDefault="00C249EF" w:rsidP="00C249EF">
      <w:pPr>
        <w:pStyle w:val="ListBullet"/>
      </w:pPr>
      <w:r w:rsidRPr="00BB0D9F">
        <w:t>relying fully on commercial networks</w:t>
      </w:r>
    </w:p>
    <w:p w:rsidR="00C249EF" w:rsidRPr="00BB0D9F" w:rsidRDefault="00C249EF" w:rsidP="00C249EF">
      <w:pPr>
        <w:pStyle w:val="ListBullet"/>
      </w:pPr>
      <w:proofErr w:type="gramStart"/>
      <w:r w:rsidRPr="00BB0D9F">
        <w:t>some</w:t>
      </w:r>
      <w:proofErr w:type="gramEnd"/>
      <w:r w:rsidRPr="00BB0D9F">
        <w:t xml:space="preserve"> combination of the two.</w:t>
      </w:r>
    </w:p>
    <w:p w:rsidR="00C249EF" w:rsidRPr="00C249EF" w:rsidRDefault="00C249EF" w:rsidP="00C249EF">
      <w:pPr>
        <w:pStyle w:val="BodyText"/>
      </w:pPr>
      <w:r>
        <w:t xml:space="preserve">To support this work, </w:t>
      </w:r>
      <w:r w:rsidRPr="00970718">
        <w:t>the Commission</w:t>
      </w:r>
      <w:r>
        <w:t xml:space="preserve"> considers that there would be merit in using c</w:t>
      </w:r>
      <w:r>
        <w:rPr>
          <w:rStyle w:val="DraftingNote"/>
          <w:b w:val="0"/>
          <w:color w:val="auto"/>
          <w:u w:val="none"/>
        </w:rPr>
        <w:t>ost benefit analysis (CBA). CBA provides a framework to evaluate and compare information about different options (including their associated costs and benefits)</w:t>
      </w:r>
      <w:r>
        <w:t>.</w:t>
      </w:r>
      <w:r w:rsidRPr="00970718">
        <w:t xml:space="preserve"> </w:t>
      </w:r>
      <w:r>
        <w:t xml:space="preserve">Moreover, this approach is consistent with </w:t>
      </w:r>
      <w:r w:rsidRPr="00970718">
        <w:t>the Commission’s Act</w:t>
      </w:r>
      <w:r>
        <w:t xml:space="preserve">, which requires that </w:t>
      </w:r>
      <w:r w:rsidRPr="00970718">
        <w:t>it have regard to</w:t>
      </w:r>
      <w:r>
        <w:t xml:space="preserve"> </w:t>
      </w:r>
      <w:r w:rsidRPr="00C249EF">
        <w:t>enhancing the wellbeing of the community as a whole.</w:t>
      </w:r>
    </w:p>
    <w:p w:rsidR="00C249EF" w:rsidRDefault="00C249EF" w:rsidP="009E145E">
      <w:pPr>
        <w:pStyle w:val="BoxSpaceAbove"/>
        <w:spacing w:before="20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49EF" w:rsidTr="000A2B7C">
        <w:tc>
          <w:tcPr>
            <w:tcW w:w="8771" w:type="dxa"/>
            <w:tcBorders>
              <w:top w:val="single" w:sz="6" w:space="0" w:color="78A22F"/>
              <w:left w:val="nil"/>
              <w:bottom w:val="nil"/>
              <w:right w:val="nil"/>
            </w:tcBorders>
            <w:shd w:val="clear" w:color="auto" w:fill="F2F2F2"/>
          </w:tcPr>
          <w:p w:rsidR="00C249EF" w:rsidRDefault="00C249EF" w:rsidP="00C91BD3">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C216DF">
              <w:rPr>
                <w:b w:val="0"/>
                <w:noProof/>
              </w:rPr>
              <w:t>1</w:t>
            </w:r>
            <w:r>
              <w:rPr>
                <w:b w:val="0"/>
              </w:rPr>
              <w:fldChar w:fldCharType="end"/>
            </w:r>
            <w:r>
              <w:tab/>
              <w:t>A ‘first principles’ analysis</w:t>
            </w:r>
          </w:p>
        </w:tc>
      </w:tr>
      <w:tr w:rsidR="00C249EF" w:rsidTr="009E145E">
        <w:trPr>
          <w:cantSplit/>
        </w:trPr>
        <w:tc>
          <w:tcPr>
            <w:tcW w:w="8771" w:type="dxa"/>
            <w:tcBorders>
              <w:top w:val="nil"/>
              <w:left w:val="nil"/>
              <w:bottom w:val="nil"/>
              <w:right w:val="nil"/>
            </w:tcBorders>
            <w:shd w:val="clear" w:color="auto" w:fill="F2F2F2"/>
          </w:tcPr>
          <w:p w:rsidR="00C249EF" w:rsidRDefault="00C249EF" w:rsidP="00C249EF">
            <w:pPr>
              <w:pStyle w:val="Box"/>
            </w:pPr>
            <w:r>
              <w:t>The Commission is proposing to undertake its first principles analysis drawing on principles for best practice policy and regulation, and cost</w:t>
            </w:r>
            <w:r>
              <w:noBreakHyphen/>
              <w:t xml:space="preserve">benefit analysis. The general approach </w:t>
            </w:r>
            <w:r w:rsidR="00EB0222">
              <w:t xml:space="preserve">the Commission intends to </w:t>
            </w:r>
            <w:r>
              <w:t>appl</w:t>
            </w:r>
            <w:r w:rsidR="00EB0222">
              <w:t xml:space="preserve">y </w:t>
            </w:r>
            <w:r>
              <w:t>in this study is</w:t>
            </w:r>
            <w:r w:rsidR="005E5408">
              <w:t xml:space="preserve"> outlined below. </w:t>
            </w:r>
          </w:p>
          <w:p w:rsidR="00C249EF" w:rsidRDefault="00C249EF" w:rsidP="00C249EF">
            <w:pPr>
              <w:pStyle w:val="BoxListBullet"/>
            </w:pPr>
            <w:r w:rsidRPr="00A57811">
              <w:rPr>
                <w:i/>
              </w:rPr>
              <w:t xml:space="preserve">Identify the </w:t>
            </w:r>
            <w:r>
              <w:rPr>
                <w:i/>
              </w:rPr>
              <w:t xml:space="preserve">issue to </w:t>
            </w:r>
            <w:r w:rsidRPr="00A57811">
              <w:rPr>
                <w:i/>
              </w:rPr>
              <w:t>be addressed</w:t>
            </w:r>
            <w:r>
              <w:t xml:space="preserve"> </w:t>
            </w:r>
            <w:r>
              <w:sym w:font="Symbol" w:char="F0BE"/>
            </w:r>
            <w:r>
              <w:t xml:space="preserve"> </w:t>
            </w:r>
            <w:proofErr w:type="gramStart"/>
            <w:r>
              <w:t>Providing</w:t>
            </w:r>
            <w:proofErr w:type="gramEnd"/>
            <w:r>
              <w:t xml:space="preserve"> mobile broadband capability to PSAs.</w:t>
            </w:r>
          </w:p>
          <w:p w:rsidR="00C249EF" w:rsidRDefault="00C249EF" w:rsidP="00C249EF">
            <w:pPr>
              <w:pStyle w:val="BoxListBullet"/>
            </w:pPr>
            <w:r>
              <w:rPr>
                <w:i/>
              </w:rPr>
              <w:t xml:space="preserve">Identify the </w:t>
            </w:r>
            <w:r w:rsidRPr="00A57811">
              <w:rPr>
                <w:i/>
              </w:rPr>
              <w:t>policy objectives</w:t>
            </w:r>
            <w:r>
              <w:t xml:space="preserve"> </w:t>
            </w:r>
            <w:r>
              <w:sym w:font="Symbol" w:char="F0BE"/>
            </w:r>
            <w:r>
              <w:t xml:space="preserve"> The most efficient, effective and economical way of delivering this capability.</w:t>
            </w:r>
          </w:p>
          <w:p w:rsidR="00C249EF" w:rsidRDefault="00C249EF" w:rsidP="00C249EF">
            <w:pPr>
              <w:pStyle w:val="BoxListBullet"/>
            </w:pPr>
            <w:r w:rsidRPr="00A57811">
              <w:rPr>
                <w:i/>
              </w:rPr>
              <w:t>Identify any constraints</w:t>
            </w:r>
            <w:r>
              <w:t xml:space="preserve"> </w:t>
            </w:r>
            <w:r>
              <w:sym w:font="Symbol" w:char="F0BE"/>
            </w:r>
            <w:r>
              <w:t xml:space="preserve"> Consider the ability of the capability to be: nationally interoperable; operate in both metropolitan and regional Australia; integrate voice communications traditionally carried on narrowband networks; maintain integrity and security of communications; ensure accessibility</w:t>
            </w:r>
            <w:r w:rsidR="00036AA7">
              <w:t xml:space="preserve">, </w:t>
            </w:r>
            <w:r>
              <w:t>priority and sufficient capacity for PSAs (particularly during peak periods of demand</w:t>
            </w:r>
            <w:r w:rsidR="005E5408">
              <w:t xml:space="preserve"> during a localised incident</w:t>
            </w:r>
            <w:r>
              <w:t>); resilient and maintain continuity of services including under adverse operating circumstances; sustainable in the context of changing technology and increased demand</w:t>
            </w:r>
            <w:r w:rsidR="00036AA7">
              <w:t>;</w:t>
            </w:r>
            <w:r>
              <w:t xml:space="preserve"> nationally available by or before 2020; and compatible with a variety of end</w:t>
            </w:r>
            <w:r>
              <w:noBreakHyphen/>
              <w:t xml:space="preserve">user devices. </w:t>
            </w:r>
          </w:p>
          <w:p w:rsidR="00C249EF" w:rsidRDefault="00C249EF" w:rsidP="00C249EF">
            <w:pPr>
              <w:pStyle w:val="BoxListBullet"/>
            </w:pPr>
            <w:r w:rsidRPr="00A57811">
              <w:rPr>
                <w:i/>
              </w:rPr>
              <w:t>Identify options</w:t>
            </w:r>
            <w:r>
              <w:t xml:space="preserve"> </w:t>
            </w:r>
            <w:r>
              <w:sym w:font="Symbol" w:char="F0BE"/>
            </w:r>
            <w:r>
              <w:t xml:space="preserve"> Consider three broad approaches: deploying a dedicated PSMB network, relying on commercial networks, or some combination of the two. While these categories provide broad guidance, specific options will be developed and evaluated in this study in order to establish the best way forward.</w:t>
            </w:r>
          </w:p>
          <w:p w:rsidR="00C249EF" w:rsidRDefault="00C249EF" w:rsidP="00C249EF">
            <w:pPr>
              <w:pStyle w:val="BoxListBullet"/>
            </w:pPr>
            <w:r>
              <w:rPr>
                <w:i/>
              </w:rPr>
              <w:t xml:space="preserve">Evaluate the </w:t>
            </w:r>
            <w:r w:rsidRPr="00A57811">
              <w:rPr>
                <w:i/>
              </w:rPr>
              <w:t>costs</w:t>
            </w:r>
            <w:r>
              <w:rPr>
                <w:i/>
              </w:rPr>
              <w:t xml:space="preserve">, benefits and risks of different </w:t>
            </w:r>
            <w:r w:rsidRPr="00A57811">
              <w:rPr>
                <w:i/>
              </w:rPr>
              <w:t>option</w:t>
            </w:r>
            <w:r>
              <w:rPr>
                <w:i/>
              </w:rPr>
              <w:t>s</w:t>
            </w:r>
            <w:r>
              <w:t xml:space="preserve"> </w:t>
            </w:r>
            <w:r>
              <w:sym w:font="Symbol" w:char="F0BE"/>
            </w:r>
            <w:r>
              <w:t xml:space="preserve"> Identify the sources of costs, benefits and risks associated with each option developed for evaluation, and where possible quantify these impacts.</w:t>
            </w:r>
          </w:p>
          <w:p w:rsidR="00C249EF" w:rsidRDefault="00C249EF" w:rsidP="005E5408">
            <w:pPr>
              <w:pStyle w:val="BoxListBullet"/>
            </w:pPr>
            <w:r w:rsidRPr="005E5408">
              <w:rPr>
                <w:i/>
              </w:rPr>
              <w:t>Identify the option that provides the largest ‘net benefit’ to the community</w:t>
            </w:r>
            <w:r w:rsidRPr="005E5408">
              <w:t xml:space="preserve"> </w:t>
            </w:r>
            <w:r w:rsidRPr="005E5408">
              <w:sym w:font="Symbol" w:char="F0BE"/>
            </w:r>
            <w:r w:rsidRPr="005E5408">
              <w:t xml:space="preserve"> Compare the results of the qualitative and quantitative analysis undertaken in the study, and reach views on the best way to proceed. This discussion may also take into account likely institutional, implementation and funding arrangements for different options.</w:t>
            </w:r>
          </w:p>
        </w:tc>
      </w:tr>
      <w:tr w:rsidR="00C249EF" w:rsidTr="009E145E">
        <w:trPr>
          <w:cantSplit/>
        </w:trPr>
        <w:tc>
          <w:tcPr>
            <w:tcW w:w="8771" w:type="dxa"/>
            <w:tcBorders>
              <w:top w:val="nil"/>
              <w:left w:val="nil"/>
              <w:bottom w:val="single" w:sz="4" w:space="0" w:color="78A22F" w:themeColor="accent1"/>
              <w:right w:val="nil"/>
            </w:tcBorders>
            <w:shd w:val="clear" w:color="auto" w:fill="F2F2F2"/>
          </w:tcPr>
          <w:p w:rsidR="00C249EF" w:rsidRDefault="00C249EF" w:rsidP="009E145E">
            <w:pPr>
              <w:pStyle w:val="BoxSource"/>
              <w:spacing w:after="80"/>
            </w:pPr>
            <w:r>
              <w:rPr>
                <w:i/>
              </w:rPr>
              <w:t>Sources</w:t>
            </w:r>
            <w:r w:rsidRPr="00167F06">
              <w:t xml:space="preserve">: </w:t>
            </w:r>
            <w:r w:rsidRPr="00A03247">
              <w:t xml:space="preserve">PC </w:t>
            </w:r>
            <w:r w:rsidRPr="00C249EF">
              <w:rPr>
                <w:rFonts w:cs="Arial"/>
              </w:rPr>
              <w:t>(2014)</w:t>
            </w:r>
            <w:r w:rsidRPr="00A03247">
              <w:t xml:space="preserve">; Department of Finance </w:t>
            </w:r>
            <w:r w:rsidRPr="00C249EF">
              <w:rPr>
                <w:rFonts w:cs="Arial"/>
              </w:rPr>
              <w:t>(2006)</w:t>
            </w:r>
            <w:r w:rsidRPr="00A03247">
              <w:t>.</w:t>
            </w:r>
          </w:p>
        </w:tc>
      </w:tr>
    </w:tbl>
    <w:p w:rsidR="00C249EF" w:rsidRDefault="00C249E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49EF" w:rsidRPr="00C249EF" w:rsidTr="000A2B7C">
        <w:tc>
          <w:tcPr>
            <w:tcW w:w="8771" w:type="dxa"/>
            <w:tcBorders>
              <w:top w:val="single" w:sz="6" w:space="0" w:color="78A22F"/>
              <w:left w:val="nil"/>
              <w:bottom w:val="nil"/>
              <w:right w:val="nil"/>
            </w:tcBorders>
            <w:shd w:val="clear" w:color="auto" w:fill="F2F2F2"/>
          </w:tcPr>
          <w:p w:rsidR="00C249EF" w:rsidRPr="00C249EF" w:rsidRDefault="00C249EF" w:rsidP="006D362D">
            <w:pPr>
              <w:pStyle w:val="BoxListNumber"/>
              <w:tabs>
                <w:tab w:val="clear" w:pos="284"/>
                <w:tab w:val="num" w:pos="403"/>
              </w:tabs>
              <w:ind w:left="403" w:hanging="403"/>
              <w:rPr>
                <w:i/>
                <w:sz w:val="22"/>
              </w:rPr>
            </w:pPr>
            <w:r w:rsidRPr="00C249EF">
              <w:rPr>
                <w:i/>
                <w:sz w:val="22"/>
              </w:rPr>
              <w:t>What is the merit (or otherwise) of the proposed approach to undertaking first principles analysis in this study?</w:t>
            </w:r>
          </w:p>
        </w:tc>
      </w:tr>
      <w:tr w:rsidR="00C249EF" w:rsidTr="000A2B7C">
        <w:trPr>
          <w:cantSplit/>
        </w:trPr>
        <w:tc>
          <w:tcPr>
            <w:tcW w:w="8771" w:type="dxa"/>
            <w:tcBorders>
              <w:top w:val="nil"/>
              <w:left w:val="nil"/>
              <w:bottom w:val="single" w:sz="6" w:space="0" w:color="78A22F"/>
              <w:right w:val="nil"/>
            </w:tcBorders>
            <w:shd w:val="clear" w:color="auto" w:fill="F2F2F2"/>
          </w:tcPr>
          <w:p w:rsidR="00C249EF" w:rsidRDefault="00C249EF">
            <w:pPr>
              <w:pStyle w:val="Box"/>
              <w:spacing w:before="0" w:line="120" w:lineRule="exact"/>
            </w:pPr>
          </w:p>
        </w:tc>
      </w:tr>
      <w:tr w:rsidR="00C249EF" w:rsidRPr="000863A5" w:rsidTr="000A2B7C">
        <w:tc>
          <w:tcPr>
            <w:tcW w:w="8771" w:type="dxa"/>
            <w:tcBorders>
              <w:top w:val="single" w:sz="6" w:space="0" w:color="78A22F"/>
              <w:left w:val="nil"/>
              <w:bottom w:val="nil"/>
              <w:right w:val="nil"/>
            </w:tcBorders>
          </w:tcPr>
          <w:p w:rsidR="00C249EF" w:rsidRPr="00626D32" w:rsidRDefault="00C249EF" w:rsidP="000A2B7C">
            <w:pPr>
              <w:pStyle w:val="BoxSpaceBelow"/>
            </w:pPr>
          </w:p>
        </w:tc>
      </w:tr>
    </w:tbl>
    <w:p w:rsidR="00C249EF" w:rsidRDefault="00C249EF" w:rsidP="00C249EF">
      <w:pPr>
        <w:pStyle w:val="BodyText"/>
      </w:pPr>
      <w:r>
        <w:t xml:space="preserve">In undertaking its analysis, the Commission has been asked to consider relevant domestic and international reports and experiences. Examples of potentially relevant past or upcoming developments in PSMB are outlined below. </w:t>
      </w:r>
    </w:p>
    <w:p w:rsidR="00C249EF" w:rsidRDefault="00C249EF" w:rsidP="00C249EF">
      <w:pPr>
        <w:pStyle w:val="Heading4"/>
      </w:pPr>
      <w:r>
        <w:t>International developments and previous studies on PSMB</w:t>
      </w:r>
    </w:p>
    <w:p w:rsidR="00C249EF" w:rsidRDefault="00C249EF" w:rsidP="00C249EF">
      <w:pPr>
        <w:pStyle w:val="BodyText"/>
      </w:pPr>
      <w:r>
        <w:t>Progress on the international harmonisation of spectrum for ‘Public Protection and Disaster Relief’ (PPDR) has continued in recent years. In 2003, the United Nations International Telecommunications Union identified that the 800Mhz band could be used for PPDR purposes in the Asia</w:t>
      </w:r>
      <w:r>
        <w:noBreakHyphen/>
        <w:t>Pacific region (which includes Australia)</w:t>
      </w:r>
      <w:r w:rsidR="005E5408">
        <w:t>, and work is progressing in this area</w:t>
      </w:r>
      <w:r>
        <w:t>.</w:t>
      </w:r>
    </w:p>
    <w:p w:rsidR="00C249EF" w:rsidRDefault="00C249EF" w:rsidP="00C249EF">
      <w:pPr>
        <w:pStyle w:val="BodyText"/>
      </w:pPr>
      <w:r>
        <w:lastRenderedPageBreak/>
        <w:t xml:space="preserve">There has also been ongoing work on the development of </w:t>
      </w:r>
      <w:r w:rsidRPr="00F26E69">
        <w:t>technical sta</w:t>
      </w:r>
      <w:r>
        <w:t>ndards that underpin mobile broadband capability and applications. For example, the 3</w:t>
      </w:r>
      <w:r w:rsidRPr="00F16B0F">
        <w:rPr>
          <w:vertAlign w:val="superscript"/>
        </w:rPr>
        <w:t>rd</w:t>
      </w:r>
      <w:r>
        <w:t xml:space="preserve"> Generation Partnership Project (3GPP) unites seven telecommunications standard development organisations to produce the </w:t>
      </w:r>
      <w:r w:rsidR="00036AA7">
        <w:t>‘</w:t>
      </w:r>
      <w:r w:rsidR="00381C5A">
        <w:t>R</w:t>
      </w:r>
      <w:r>
        <w:t xml:space="preserve">eports and </w:t>
      </w:r>
      <w:r w:rsidR="00381C5A">
        <w:t>S</w:t>
      </w:r>
      <w:r>
        <w:t>pecifications</w:t>
      </w:r>
      <w:r w:rsidR="00036AA7">
        <w:t>’</w:t>
      </w:r>
      <w:r>
        <w:t xml:space="preserve"> that define 3GPP technologies, including ‘Long Term Evolution’ (LTE) mobile broadband.</w:t>
      </w:r>
      <w:r w:rsidRPr="00F26E69">
        <w:t xml:space="preserve"> </w:t>
      </w:r>
      <w:r>
        <w:t>A 3GPP working group was recently established to develop technical specifications for mission</w:t>
      </w:r>
      <w:r>
        <w:noBreakHyphen/>
        <w:t xml:space="preserve">critical applications on LTE, including for PPDR </w:t>
      </w:r>
      <w:r w:rsidRPr="00C249EF">
        <w:rPr>
          <w:szCs w:val="24"/>
        </w:rPr>
        <w:t>(3GPP 2013; APCO 2011; TCCA 2013)</w:t>
      </w:r>
      <w:r w:rsidRPr="00F26E69">
        <w:t>.</w:t>
      </w:r>
      <w:r>
        <w:t xml:space="preserve"> </w:t>
      </w:r>
    </w:p>
    <w:p w:rsidR="00C249EF" w:rsidRDefault="00C249EF" w:rsidP="00C249EF">
      <w:pPr>
        <w:pStyle w:val="BodyText"/>
      </w:pPr>
      <w:r>
        <w:t>There has also been activity at the individual country</w:t>
      </w:r>
      <w:r>
        <w:noBreakHyphen/>
        <w:t xml:space="preserve">level in developing a PSMB capability. For example, the US Federal Government has </w:t>
      </w:r>
      <w:r w:rsidRPr="00F26E69">
        <w:t>committed to building a stand</w:t>
      </w:r>
      <w:r>
        <w:noBreakHyphen/>
      </w:r>
      <w:r w:rsidRPr="00F26E69">
        <w:t xml:space="preserve">alone network </w:t>
      </w:r>
      <w:r>
        <w:t>for PSMB. A public authority ‘</w:t>
      </w:r>
      <w:proofErr w:type="spellStart"/>
      <w:r>
        <w:t>First</w:t>
      </w:r>
      <w:r w:rsidR="00381C5A">
        <w:t>N</w:t>
      </w:r>
      <w:r>
        <w:t>et</w:t>
      </w:r>
      <w:proofErr w:type="spellEnd"/>
      <w:r>
        <w:t>’ has been established and is currently providing a framework within which state</w:t>
      </w:r>
      <w:r>
        <w:noBreakHyphen/>
        <w:t xml:space="preserve">specific solutions can be designed </w:t>
      </w:r>
      <w:r w:rsidRPr="00C249EF">
        <w:rPr>
          <w:szCs w:val="24"/>
        </w:rPr>
        <w:t>(</w:t>
      </w:r>
      <w:proofErr w:type="spellStart"/>
      <w:r w:rsidRPr="00C249EF">
        <w:rPr>
          <w:szCs w:val="24"/>
        </w:rPr>
        <w:t>Essid</w:t>
      </w:r>
      <w:proofErr w:type="spellEnd"/>
      <w:r w:rsidRPr="00C249EF">
        <w:rPr>
          <w:szCs w:val="24"/>
        </w:rPr>
        <w:t xml:space="preserve"> 2012; </w:t>
      </w:r>
      <w:proofErr w:type="spellStart"/>
      <w:r w:rsidRPr="00C249EF">
        <w:rPr>
          <w:szCs w:val="24"/>
        </w:rPr>
        <w:t>FirstNet</w:t>
      </w:r>
      <w:proofErr w:type="spellEnd"/>
      <w:r w:rsidRPr="00C249EF">
        <w:rPr>
          <w:szCs w:val="24"/>
        </w:rPr>
        <w:t> 2014)</w:t>
      </w:r>
      <w:r>
        <w:t xml:space="preserve">. Under a different model, the UK Government is </w:t>
      </w:r>
      <w:r w:rsidRPr="00F26E69">
        <w:t xml:space="preserve">accepting tenders for commercial provision of </w:t>
      </w:r>
      <w:r>
        <w:t xml:space="preserve">mobile </w:t>
      </w:r>
      <w:r w:rsidRPr="00F26E69">
        <w:t xml:space="preserve">broadband capability </w:t>
      </w:r>
      <w:r>
        <w:t xml:space="preserve">to its PSAs, with a reliance on existing mobile </w:t>
      </w:r>
      <w:r w:rsidRPr="00F26E69">
        <w:t>networks</w:t>
      </w:r>
      <w:r>
        <w:t xml:space="preserve"> </w:t>
      </w:r>
      <w:r w:rsidRPr="00C249EF">
        <w:rPr>
          <w:szCs w:val="24"/>
        </w:rPr>
        <w:t>(UK Home Office 2015)</w:t>
      </w:r>
      <w:r w:rsidRPr="00F26E69">
        <w:t>.</w:t>
      </w:r>
    </w:p>
    <w:p w:rsidR="00C249EF" w:rsidRDefault="00C249EF" w:rsidP="00C249EF">
      <w:pPr>
        <w:pStyle w:val="BodyText"/>
      </w:pPr>
      <w:r>
        <w:t>Some previous studies have examined the costs and benefits of options for delivering a PSMB</w:t>
      </w:r>
      <w:r w:rsidR="005E5408">
        <w:t xml:space="preserve"> </w:t>
      </w:r>
      <w:r w:rsidR="005E5408">
        <w:sym w:font="Symbol" w:char="F0BE"/>
      </w:r>
      <w:r w:rsidR="005E5408">
        <w:t xml:space="preserve"> f</w:t>
      </w:r>
      <w:r>
        <w:t xml:space="preserve">or example, studies by the </w:t>
      </w:r>
      <w:r w:rsidR="004C0AFB">
        <w:t>OBI Technical Paper </w:t>
      </w:r>
      <w:r w:rsidRPr="00C249EF">
        <w:rPr>
          <w:szCs w:val="24"/>
        </w:rPr>
        <w:t>(FCC 2010)</w:t>
      </w:r>
      <w:r>
        <w:t xml:space="preserve">, Ford and </w:t>
      </w:r>
      <w:proofErr w:type="spellStart"/>
      <w:r>
        <w:t>Spiwak</w:t>
      </w:r>
      <w:proofErr w:type="spellEnd"/>
      <w:r>
        <w:t xml:space="preserve"> </w:t>
      </w:r>
      <w:r w:rsidRPr="00C249EF">
        <w:t>(2011)</w:t>
      </w:r>
      <w:r>
        <w:t xml:space="preserve">, </w:t>
      </w:r>
      <w:proofErr w:type="spellStart"/>
      <w:r>
        <w:t>Grous</w:t>
      </w:r>
      <w:proofErr w:type="spellEnd"/>
      <w:r>
        <w:t xml:space="preserve"> </w:t>
      </w:r>
      <w:r w:rsidRPr="00C249EF">
        <w:t>(2013a, 2013b)</w:t>
      </w:r>
      <w:r>
        <w:t xml:space="preserve"> and </w:t>
      </w:r>
      <w:proofErr w:type="spellStart"/>
      <w:r>
        <w:t>Ure</w:t>
      </w:r>
      <w:proofErr w:type="spellEnd"/>
      <w:r>
        <w:t xml:space="preserve"> </w:t>
      </w:r>
      <w:r w:rsidRPr="00C249EF">
        <w:t>(2013)</w:t>
      </w:r>
      <w:r>
        <w:t xml:space="preserve">. Each approaches the issue from a different perspective and draws varying conclusions. </w:t>
      </w:r>
      <w:r>
        <w:rPr>
          <w:rStyle w:val="DraftingNote"/>
          <w:b w:val="0"/>
          <w:color w:val="auto"/>
          <w:u w:val="none"/>
        </w:rPr>
        <w:t>W</w:t>
      </w:r>
      <w:r w:rsidR="005E5408">
        <w:rPr>
          <w:rStyle w:val="DraftingNote"/>
          <w:b w:val="0"/>
          <w:color w:val="auto"/>
          <w:u w:val="none"/>
        </w:rPr>
        <w:t xml:space="preserve">ork has also previously been </w:t>
      </w:r>
      <w:r>
        <w:rPr>
          <w:rStyle w:val="DraftingNote"/>
          <w:b w:val="0"/>
          <w:color w:val="auto"/>
          <w:u w:val="none"/>
        </w:rPr>
        <w:t>undertaken as part of the Council of Australian Government (COAG) PSMB Steering Committee process</w:t>
      </w:r>
      <w:r w:rsidR="005E5408">
        <w:rPr>
          <w:rStyle w:val="DraftingNote"/>
          <w:b w:val="0"/>
          <w:color w:val="auto"/>
          <w:u w:val="none"/>
        </w:rPr>
        <w:t xml:space="preserve">, and some of this material is </w:t>
      </w:r>
      <w:r>
        <w:rPr>
          <w:rStyle w:val="DraftingNote"/>
          <w:b w:val="0"/>
          <w:color w:val="auto"/>
          <w:u w:val="none"/>
        </w:rPr>
        <w:t xml:space="preserve">publicly available. </w:t>
      </w:r>
    </w:p>
    <w:p w:rsidR="00C249EF" w:rsidRDefault="00C249EF" w:rsidP="00C249E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49EF" w:rsidRPr="00C249EF" w:rsidTr="000A2B7C">
        <w:tc>
          <w:tcPr>
            <w:tcW w:w="8771" w:type="dxa"/>
            <w:tcBorders>
              <w:top w:val="single" w:sz="6" w:space="0" w:color="78A22F"/>
              <w:left w:val="nil"/>
              <w:bottom w:val="nil"/>
              <w:right w:val="nil"/>
            </w:tcBorders>
            <w:shd w:val="clear" w:color="auto" w:fill="F2F2F2"/>
          </w:tcPr>
          <w:p w:rsidR="00C249EF" w:rsidRPr="00C249EF" w:rsidRDefault="00C249EF" w:rsidP="006D362D">
            <w:pPr>
              <w:pStyle w:val="BoxListNumber"/>
              <w:tabs>
                <w:tab w:val="clear" w:pos="284"/>
                <w:tab w:val="num" w:pos="403"/>
              </w:tabs>
              <w:ind w:left="403" w:hanging="403"/>
              <w:rPr>
                <w:i/>
                <w:sz w:val="22"/>
              </w:rPr>
            </w:pPr>
            <w:r w:rsidRPr="00C249EF">
              <w:rPr>
                <w:i/>
                <w:sz w:val="22"/>
              </w:rPr>
              <w:t>What domestic or international developments, reports or experiences in PSMB (or related matters) are relevant to consider in this study?</w:t>
            </w:r>
          </w:p>
        </w:tc>
      </w:tr>
      <w:tr w:rsidR="00C249EF" w:rsidTr="000A2B7C">
        <w:trPr>
          <w:cantSplit/>
        </w:trPr>
        <w:tc>
          <w:tcPr>
            <w:tcW w:w="8771" w:type="dxa"/>
            <w:tcBorders>
              <w:top w:val="nil"/>
              <w:left w:val="nil"/>
              <w:bottom w:val="single" w:sz="6" w:space="0" w:color="78A22F"/>
              <w:right w:val="nil"/>
            </w:tcBorders>
            <w:shd w:val="clear" w:color="auto" w:fill="F2F2F2"/>
          </w:tcPr>
          <w:p w:rsidR="00C249EF" w:rsidRDefault="00C249EF" w:rsidP="000A2B7C">
            <w:pPr>
              <w:pStyle w:val="Box"/>
              <w:spacing w:before="0" w:line="120" w:lineRule="exact"/>
            </w:pPr>
          </w:p>
        </w:tc>
      </w:tr>
      <w:tr w:rsidR="00C249EF" w:rsidRPr="000863A5" w:rsidTr="000A2B7C">
        <w:tc>
          <w:tcPr>
            <w:tcW w:w="8771" w:type="dxa"/>
            <w:tcBorders>
              <w:top w:val="single" w:sz="6" w:space="0" w:color="78A22F"/>
              <w:left w:val="nil"/>
              <w:bottom w:val="nil"/>
              <w:right w:val="nil"/>
            </w:tcBorders>
          </w:tcPr>
          <w:p w:rsidR="00C249EF" w:rsidRPr="00626D32" w:rsidRDefault="00C249EF" w:rsidP="000A2B7C">
            <w:pPr>
              <w:pStyle w:val="BoxSpaceBelow"/>
            </w:pPr>
          </w:p>
        </w:tc>
      </w:tr>
    </w:tbl>
    <w:p w:rsidR="00C249EF" w:rsidRDefault="00C249EF" w:rsidP="00C249EF">
      <w:pPr>
        <w:pStyle w:val="Heading4"/>
      </w:pPr>
      <w:r>
        <w:t>Other relevant policy considerations</w:t>
      </w:r>
    </w:p>
    <w:p w:rsidR="00C249EF" w:rsidRDefault="00C249EF" w:rsidP="00C249EF">
      <w:pPr>
        <w:pStyle w:val="BodyText"/>
      </w:pPr>
      <w:r>
        <w:t>In undertaking this study, the Commission will also have regard to:</w:t>
      </w:r>
    </w:p>
    <w:p w:rsidR="00C249EF" w:rsidRDefault="00C249EF" w:rsidP="00C249EF">
      <w:pPr>
        <w:pStyle w:val="ListBullet"/>
      </w:pPr>
      <w:r w:rsidRPr="007C2CF0">
        <w:t>the Australian Government’s broader review of the spectrum policy and management framework</w:t>
      </w:r>
      <w:r>
        <w:t xml:space="preserve"> (The Australian Government has released a Potential Reform Directions Paper </w:t>
      </w:r>
      <w:r w:rsidR="00634B60" w:rsidRPr="00634B60">
        <w:rPr>
          <w:szCs w:val="24"/>
        </w:rPr>
        <w:t>(Department of Communications </w:t>
      </w:r>
      <w:proofErr w:type="spellStart"/>
      <w:r w:rsidR="00634B60" w:rsidRPr="00634B60">
        <w:rPr>
          <w:szCs w:val="24"/>
        </w:rPr>
        <w:t>nd</w:t>
      </w:r>
      <w:proofErr w:type="spellEnd"/>
      <w:r w:rsidR="00634B60" w:rsidRPr="00634B60">
        <w:rPr>
          <w:szCs w:val="24"/>
        </w:rPr>
        <w:t>)</w:t>
      </w:r>
      <w:r>
        <w:t>)</w:t>
      </w:r>
    </w:p>
    <w:p w:rsidR="00C249EF" w:rsidRDefault="00C249EF" w:rsidP="00C249EF">
      <w:pPr>
        <w:pStyle w:val="ListBullet"/>
      </w:pPr>
      <w:r>
        <w:t xml:space="preserve">ACMA’s role as the independent national regulator and technical expert on communications matters, and its ongoing work on spectrum allocation matters. </w:t>
      </w:r>
    </w:p>
    <w:p w:rsidR="00634B60" w:rsidRDefault="00634B60" w:rsidP="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RPr="00C249EF" w:rsidTr="000A2B7C">
        <w:tc>
          <w:tcPr>
            <w:tcW w:w="8771" w:type="dxa"/>
            <w:tcBorders>
              <w:top w:val="single" w:sz="6" w:space="0" w:color="78A22F"/>
              <w:left w:val="nil"/>
              <w:bottom w:val="nil"/>
              <w:right w:val="nil"/>
            </w:tcBorders>
            <w:shd w:val="clear" w:color="auto" w:fill="F2F2F2"/>
          </w:tcPr>
          <w:p w:rsidR="00634B60" w:rsidRPr="00C249EF" w:rsidRDefault="00634B60" w:rsidP="006D362D">
            <w:pPr>
              <w:pStyle w:val="BoxListNumber"/>
              <w:tabs>
                <w:tab w:val="clear" w:pos="284"/>
                <w:tab w:val="num" w:pos="403"/>
              </w:tabs>
              <w:ind w:left="403" w:hanging="403"/>
              <w:rPr>
                <w:i/>
                <w:sz w:val="22"/>
              </w:rPr>
            </w:pPr>
            <w:r w:rsidRPr="00634B60">
              <w:rPr>
                <w:i/>
                <w:sz w:val="22"/>
              </w:rPr>
              <w:t>What are the implications (if any) of the Australian Government’s review of the spectrum policy and management framework, and ACMA’s ongoing work on spectrum allocation matters, for the delivery of PSMB in Australia?</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rsidP="000A2B7C">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bookmarkStart w:id="7" w:name="_Toc416965664"/>
    <w:p w:rsidR="00634B60" w:rsidRPr="00FD07E5" w:rsidRDefault="00634B60" w:rsidP="00FD07E5">
      <w:pPr>
        <w:pStyle w:val="Heading2"/>
      </w:pPr>
      <w:r w:rsidRPr="00FD07E5">
        <w:lastRenderedPageBreak/>
        <w:fldChar w:fldCharType="begin"/>
      </w:r>
      <w:r w:rsidRPr="00FD07E5">
        <w:instrText xml:space="preserve"> SEQ Heading2 </w:instrText>
      </w:r>
      <w:r w:rsidRPr="00FD07E5">
        <w:fldChar w:fldCharType="separate"/>
      </w:r>
      <w:bookmarkStart w:id="8" w:name="_Toc417048497"/>
      <w:r w:rsidR="00C216DF">
        <w:rPr>
          <w:noProof/>
        </w:rPr>
        <w:t>4</w:t>
      </w:r>
      <w:r w:rsidRPr="00FD07E5">
        <w:fldChar w:fldCharType="end"/>
      </w:r>
      <w:r w:rsidRPr="00FD07E5">
        <w:tab/>
        <w:t>Public safety mobile broadband in Australia</w:t>
      </w:r>
      <w:bookmarkEnd w:id="8"/>
    </w:p>
    <w:bookmarkEnd w:id="7"/>
    <w:p w:rsidR="00634B60" w:rsidRDefault="00634B60" w:rsidP="00634B60">
      <w:pPr>
        <w:pStyle w:val="Heading3"/>
      </w:pPr>
      <w:r>
        <w:t>Public safety agencies (PSAs) in Australia</w:t>
      </w:r>
    </w:p>
    <w:p w:rsidR="00634B60" w:rsidRDefault="00634B60" w:rsidP="00634B60">
      <w:pPr>
        <w:pStyle w:val="BodyText"/>
      </w:pPr>
      <w:r>
        <w:t>PSAs undertake a range of different functions, and often work closely with each other and government departments. The terms of reference state that PSAs include police, fire, ambulance and emergency services. ‘Emergency services’ includes State and Territory Emergency Services (SES), and could also include m</w:t>
      </w:r>
      <w:r w:rsidRPr="00F02DB4">
        <w:t xml:space="preserve">arine </w:t>
      </w:r>
      <w:r>
        <w:t xml:space="preserve">search and </w:t>
      </w:r>
      <w:r w:rsidRPr="00F02DB4">
        <w:t xml:space="preserve">rescue </w:t>
      </w:r>
      <w:r>
        <w:t>services provided by the Australian Maritime Safety Authority.</w:t>
      </w:r>
    </w:p>
    <w:p w:rsidR="00634B60" w:rsidRDefault="00634B60" w:rsidP="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RPr="00C249EF" w:rsidTr="000A2B7C">
        <w:tc>
          <w:tcPr>
            <w:tcW w:w="8771" w:type="dxa"/>
            <w:tcBorders>
              <w:top w:val="single" w:sz="6" w:space="0" w:color="78A22F"/>
              <w:left w:val="nil"/>
              <w:bottom w:val="nil"/>
              <w:right w:val="nil"/>
            </w:tcBorders>
            <w:shd w:val="clear" w:color="auto" w:fill="F2F2F2"/>
          </w:tcPr>
          <w:p w:rsidR="00634B60" w:rsidRPr="00C249EF" w:rsidRDefault="00634B60" w:rsidP="006D362D">
            <w:pPr>
              <w:pStyle w:val="BoxListNumber"/>
              <w:tabs>
                <w:tab w:val="clear" w:pos="284"/>
                <w:tab w:val="num" w:pos="403"/>
              </w:tabs>
              <w:ind w:left="403" w:hanging="403"/>
              <w:rPr>
                <w:i/>
                <w:sz w:val="22"/>
                <w:szCs w:val="24"/>
              </w:rPr>
            </w:pPr>
            <w:r w:rsidRPr="00634B60">
              <w:rPr>
                <w:i/>
                <w:sz w:val="22"/>
              </w:rPr>
              <w:t>Are there any other PSAs that should be considered within scope in this study?</w:t>
            </w:r>
            <w:r w:rsidR="00C865E2" w:rsidRPr="00026F9F">
              <w:rPr>
                <w:i/>
                <w:sz w:val="22"/>
              </w:rPr>
              <w:t xml:space="preserve"> </w:t>
            </w:r>
            <w:r w:rsidR="00C865E2">
              <w:rPr>
                <w:i/>
                <w:sz w:val="22"/>
              </w:rPr>
              <w:t xml:space="preserve">To what extent are </w:t>
            </w:r>
            <w:r w:rsidR="00C865E2" w:rsidRPr="00026F9F">
              <w:rPr>
                <w:i/>
                <w:sz w:val="22"/>
              </w:rPr>
              <w:t xml:space="preserve">communications between PSAs and the community </w:t>
            </w:r>
            <w:r w:rsidR="00C865E2">
              <w:rPr>
                <w:i/>
                <w:sz w:val="22"/>
              </w:rPr>
              <w:t xml:space="preserve">relevant to this </w:t>
            </w:r>
            <w:r w:rsidR="00C865E2" w:rsidRPr="00026F9F">
              <w:rPr>
                <w:i/>
                <w:sz w:val="22"/>
              </w:rPr>
              <w:t>study?</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rsidP="000A2B7C">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p w:rsidR="00634B60" w:rsidRDefault="00634B60" w:rsidP="00634B60">
      <w:pPr>
        <w:pStyle w:val="BodyText"/>
      </w:pPr>
      <w:r w:rsidRPr="00640F49">
        <w:t xml:space="preserve">Most </w:t>
      </w:r>
      <w:r>
        <w:t xml:space="preserve">PSAs </w:t>
      </w:r>
      <w:r w:rsidRPr="00640F49">
        <w:t xml:space="preserve">are </w:t>
      </w:r>
      <w:r>
        <w:t xml:space="preserve">agencies of state or territory governments, which have primary responsibility for delivering emergency services to the community. Generally, PSAs are run as statutory agencies or as units within a government department. A handful of PSAs are the direct responsibility of the Australian Government, including the Australian Federal Police and Australian Maritime Safety Authority. The Australian Government also provides coordination functions and funding support in certain instances </w:t>
      </w:r>
      <w:r>
        <w:br/>
      </w:r>
      <w:r w:rsidRPr="00634B60">
        <w:rPr>
          <w:szCs w:val="24"/>
        </w:rPr>
        <w:t>(</w:t>
      </w:r>
      <w:proofErr w:type="spellStart"/>
      <w:r w:rsidRPr="00634B60">
        <w:rPr>
          <w:szCs w:val="24"/>
        </w:rPr>
        <w:t>RoGS</w:t>
      </w:r>
      <w:proofErr w:type="spellEnd"/>
      <w:r w:rsidRPr="00634B60">
        <w:rPr>
          <w:szCs w:val="24"/>
        </w:rPr>
        <w:t xml:space="preserve"> Steering Committee 2015)</w:t>
      </w:r>
      <w:r>
        <w:t xml:space="preserve">. </w:t>
      </w:r>
    </w:p>
    <w:p w:rsidR="00634B60" w:rsidRDefault="00634B60" w:rsidP="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RPr="00C249EF" w:rsidTr="000A2B7C">
        <w:tc>
          <w:tcPr>
            <w:tcW w:w="8771" w:type="dxa"/>
            <w:tcBorders>
              <w:top w:val="single" w:sz="6" w:space="0" w:color="78A22F"/>
              <w:left w:val="nil"/>
              <w:bottom w:val="nil"/>
              <w:right w:val="nil"/>
            </w:tcBorders>
            <w:shd w:val="clear" w:color="auto" w:fill="F2F2F2"/>
          </w:tcPr>
          <w:p w:rsidR="00634B60" w:rsidRPr="00C249EF" w:rsidRDefault="00634B60" w:rsidP="006D362D">
            <w:pPr>
              <w:pStyle w:val="BoxListNumber"/>
              <w:tabs>
                <w:tab w:val="clear" w:pos="284"/>
                <w:tab w:val="num" w:pos="403"/>
              </w:tabs>
              <w:ind w:left="403" w:hanging="403"/>
              <w:rPr>
                <w:i/>
                <w:sz w:val="22"/>
                <w:szCs w:val="24"/>
              </w:rPr>
            </w:pPr>
            <w:r w:rsidRPr="00634B60">
              <w:rPr>
                <w:i/>
                <w:sz w:val="22"/>
              </w:rPr>
              <w:t>How do the organisational and institutional arrangements for PSAs vary between the Australian jurisdictions? What implications (if any) does this have for the way in which PSAs procure, operate and use communications services?</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rsidP="000A2B7C">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p w:rsidR="00634B60" w:rsidRDefault="00634B60" w:rsidP="00634B60">
      <w:pPr>
        <w:pStyle w:val="Heading3"/>
      </w:pPr>
      <w:r>
        <w:t>PSA current use of c</w:t>
      </w:r>
      <w:r w:rsidRPr="00261900">
        <w:t>ommunication services</w:t>
      </w:r>
      <w:r>
        <w:t xml:space="preserve"> and spectrum</w:t>
      </w:r>
    </w:p>
    <w:p w:rsidR="00634B60" w:rsidRDefault="00634B60" w:rsidP="00634B60">
      <w:pPr>
        <w:pStyle w:val="BodyText"/>
      </w:pPr>
      <w:r>
        <w:t>Historically, PSAs have relied on narrowband (particularly voice) communications to support their operational activities, which have primarily been delivered through dedicated ‘land mobile radio’ (LMR) networks. These networks:</w:t>
      </w:r>
    </w:p>
    <w:p w:rsidR="00634B60" w:rsidRDefault="00634B60" w:rsidP="00634B60">
      <w:pPr>
        <w:pStyle w:val="ListBullet"/>
      </w:pPr>
      <w:r>
        <w:t xml:space="preserve">have traditionally been </w:t>
      </w:r>
      <w:r w:rsidRPr="00075C4D">
        <w:t xml:space="preserve">owned </w:t>
      </w:r>
      <w:r>
        <w:t>and operated by a relevant entity of the state and territory government,</w:t>
      </w:r>
      <w:r w:rsidR="005E5408">
        <w:t xml:space="preserve"> </w:t>
      </w:r>
      <w:r>
        <w:t xml:space="preserve">although there are examples of private providers managing these networks </w:t>
      </w:r>
      <w:r w:rsidR="00026F9F" w:rsidRPr="00026F9F">
        <w:rPr>
          <w:szCs w:val="24"/>
        </w:rPr>
        <w:t>(Telstra 2012b)</w:t>
      </w:r>
    </w:p>
    <w:p w:rsidR="00634B60" w:rsidRDefault="00634B60" w:rsidP="00634B60">
      <w:pPr>
        <w:pStyle w:val="ListBullet"/>
      </w:pPr>
      <w:r>
        <w:t xml:space="preserve">are typically run using proprietary hardware and equipment, such as handsets </w:t>
      </w:r>
    </w:p>
    <w:p w:rsidR="00634B60" w:rsidRDefault="005E5408" w:rsidP="00634B60">
      <w:pPr>
        <w:pStyle w:val="ListBullet"/>
      </w:pPr>
      <w:r>
        <w:t xml:space="preserve">may be used </w:t>
      </w:r>
      <w:r w:rsidR="00634B60">
        <w:t>by an individual PSA</w:t>
      </w:r>
      <w:r>
        <w:t xml:space="preserve">, a group of PSAs or across all PSAs </w:t>
      </w:r>
      <w:r w:rsidR="00634B60">
        <w:t xml:space="preserve">within a jurisdiction </w:t>
      </w:r>
    </w:p>
    <w:p w:rsidR="00634B60" w:rsidRPr="00075C4D" w:rsidRDefault="00634B60" w:rsidP="00634B60">
      <w:pPr>
        <w:pStyle w:val="ListBullet"/>
      </w:pPr>
      <w:r>
        <w:lastRenderedPageBreak/>
        <w:t>have varying levels of network coverage, but in some cases provide very extensive geographic coverage</w:t>
      </w:r>
      <w:r w:rsidR="00975870">
        <w:t xml:space="preserve"> within a jurisdiction</w:t>
      </w:r>
      <w:r>
        <w:t xml:space="preserve"> </w:t>
      </w:r>
    </w:p>
    <w:p w:rsidR="00634B60" w:rsidRDefault="00634B60" w:rsidP="00634B60">
      <w:pPr>
        <w:pStyle w:val="ListBullet"/>
        <w:spacing w:after="240"/>
      </w:pPr>
      <w:proofErr w:type="gramStart"/>
      <w:r>
        <w:t>are</w:t>
      </w:r>
      <w:proofErr w:type="gramEnd"/>
      <w:r>
        <w:t xml:space="preserve"> typically </w:t>
      </w:r>
      <w:r w:rsidRPr="00075C4D">
        <w:t xml:space="preserve">designed </w:t>
      </w:r>
      <w:r>
        <w:t xml:space="preserve">with the objective of providing </w:t>
      </w:r>
      <w:r w:rsidRPr="00075C4D">
        <w:t xml:space="preserve">capability </w:t>
      </w:r>
      <w:r>
        <w:t>to PSAs in mission critical circumstances so that emergency communications are available, reliable, secure and include adequate redundancy, even under adverse operating conditions</w:t>
      </w:r>
      <w:r w:rsidRPr="00075C4D">
        <w:t xml:space="preserve"> </w:t>
      </w:r>
      <w:r w:rsidRPr="00634B60">
        <w:rPr>
          <w:szCs w:val="24"/>
        </w:rPr>
        <w:t>(</w:t>
      </w:r>
      <w:proofErr w:type="spellStart"/>
      <w:r w:rsidRPr="00634B60">
        <w:rPr>
          <w:szCs w:val="24"/>
        </w:rPr>
        <w:t>Grous</w:t>
      </w:r>
      <w:proofErr w:type="spellEnd"/>
      <w:r w:rsidRPr="00634B60">
        <w:rPr>
          <w:szCs w:val="24"/>
        </w:rPr>
        <w:t> 2013b)</w:t>
      </w:r>
      <w:r>
        <w:t xml:space="preserve">. </w:t>
      </w:r>
    </w:p>
    <w:p w:rsidR="00634B60" w:rsidRDefault="00634B60" w:rsidP="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RPr="00C249EF" w:rsidTr="000A2B7C">
        <w:tc>
          <w:tcPr>
            <w:tcW w:w="8771" w:type="dxa"/>
            <w:tcBorders>
              <w:top w:val="single" w:sz="6" w:space="0" w:color="78A22F"/>
              <w:left w:val="nil"/>
              <w:bottom w:val="nil"/>
              <w:right w:val="nil"/>
            </w:tcBorders>
            <w:shd w:val="clear" w:color="auto" w:fill="F2F2F2"/>
          </w:tcPr>
          <w:p w:rsidR="00634B60" w:rsidRPr="00634B60" w:rsidRDefault="00634B60" w:rsidP="006D362D">
            <w:pPr>
              <w:pStyle w:val="BoxListNumber"/>
              <w:tabs>
                <w:tab w:val="clear" w:pos="284"/>
                <w:tab w:val="num" w:pos="403"/>
              </w:tabs>
              <w:ind w:left="403" w:hanging="403"/>
              <w:rPr>
                <w:i/>
                <w:sz w:val="22"/>
              </w:rPr>
            </w:pPr>
            <w:r w:rsidRPr="00634B60">
              <w:rPr>
                <w:i/>
                <w:sz w:val="22"/>
              </w:rPr>
              <w:t xml:space="preserve">What is an appropriate definition of ‘mission critical’ communication systems and capability for the purposes of this study? What metrics should be used to assess whether capability is being delivered to adequate levels during mission critical circumstances? What evidence is there that existing capabilities are satisfactory or unsatisfactory? </w:t>
            </w:r>
          </w:p>
          <w:p w:rsidR="00634B60" w:rsidRPr="00634B60" w:rsidRDefault="00634B60" w:rsidP="006D362D">
            <w:pPr>
              <w:pStyle w:val="BoxListNumber"/>
              <w:tabs>
                <w:tab w:val="clear" w:pos="284"/>
                <w:tab w:val="num" w:pos="403"/>
              </w:tabs>
              <w:ind w:left="403" w:hanging="403"/>
              <w:rPr>
                <w:i/>
                <w:sz w:val="22"/>
              </w:rPr>
            </w:pPr>
            <w:r w:rsidRPr="00634B60">
              <w:rPr>
                <w:i/>
                <w:sz w:val="22"/>
              </w:rPr>
              <w:t>What applications do PSAs currently use on their LMR networks that are provided for mission critical purposes? Does this differ by jurisdiction?</w:t>
            </w:r>
          </w:p>
          <w:p w:rsidR="00634B60" w:rsidRPr="00C249EF" w:rsidRDefault="00634B60" w:rsidP="006D362D">
            <w:pPr>
              <w:pStyle w:val="BoxListNumber"/>
              <w:tabs>
                <w:tab w:val="clear" w:pos="284"/>
                <w:tab w:val="num" w:pos="403"/>
              </w:tabs>
              <w:ind w:left="403" w:hanging="403"/>
              <w:rPr>
                <w:i/>
                <w:sz w:val="22"/>
              </w:rPr>
            </w:pPr>
            <w:r w:rsidRPr="00634B60">
              <w:rPr>
                <w:i/>
                <w:sz w:val="22"/>
              </w:rPr>
              <w:t xml:space="preserve">How often </w:t>
            </w:r>
            <w:proofErr w:type="gramStart"/>
            <w:r w:rsidRPr="00634B60">
              <w:rPr>
                <w:i/>
                <w:sz w:val="22"/>
              </w:rPr>
              <w:t xml:space="preserve">are </w:t>
            </w:r>
            <w:r w:rsidR="00975870">
              <w:rPr>
                <w:i/>
                <w:sz w:val="22"/>
              </w:rPr>
              <w:t xml:space="preserve">PSA narrowband </w:t>
            </w:r>
            <w:r w:rsidRPr="00634B60">
              <w:rPr>
                <w:i/>
                <w:sz w:val="22"/>
              </w:rPr>
              <w:t xml:space="preserve">networks </w:t>
            </w:r>
            <w:r w:rsidR="00975870">
              <w:rPr>
                <w:i/>
                <w:sz w:val="22"/>
              </w:rPr>
              <w:t>(such as LMR networks)</w:t>
            </w:r>
            <w:proofErr w:type="gramEnd"/>
            <w:r w:rsidR="00975870">
              <w:rPr>
                <w:i/>
                <w:sz w:val="22"/>
              </w:rPr>
              <w:t xml:space="preserve"> </w:t>
            </w:r>
            <w:r w:rsidRPr="00634B60">
              <w:rPr>
                <w:i/>
                <w:sz w:val="22"/>
              </w:rPr>
              <w:t>renewed or upgraded, and to what extent are different jurisdictions at different points in this process?</w:t>
            </w:r>
            <w:r w:rsidR="00975870">
              <w:rPr>
                <w:i/>
                <w:sz w:val="22"/>
              </w:rPr>
              <w:t xml:space="preserve"> What are the costs involved in maintaining these networks?</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rsidP="000A2B7C">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p w:rsidR="00634B60" w:rsidRDefault="00634B60" w:rsidP="00634B60">
      <w:pPr>
        <w:pStyle w:val="BodyText"/>
      </w:pPr>
      <w:r w:rsidRPr="006365AC">
        <w:t xml:space="preserve">Radio frequency spectrum is a key input for delivering mobile </w:t>
      </w:r>
      <w:r>
        <w:t xml:space="preserve">communications </w:t>
      </w:r>
      <w:r w:rsidRPr="006365AC">
        <w:t>services (other major inputs include infrastructure, supporting networks and end</w:t>
      </w:r>
      <w:r>
        <w:noBreakHyphen/>
      </w:r>
      <w:r w:rsidRPr="006365AC">
        <w:t xml:space="preserve">user devices). </w:t>
      </w:r>
      <w:r>
        <w:t>D</w:t>
      </w:r>
      <w:r w:rsidRPr="006365AC">
        <w:t>ifferent parts of the spectrum band</w:t>
      </w:r>
      <w:r>
        <w:t xml:space="preserve"> have varying technical capabilities</w:t>
      </w:r>
      <w:r w:rsidRPr="006365AC">
        <w:t>.</w:t>
      </w:r>
      <w:r>
        <w:t xml:space="preserve"> </w:t>
      </w:r>
      <w:r w:rsidRPr="006365AC">
        <w:t>For example, lower frequency bands generally provide greater coverage from a single base station</w:t>
      </w:r>
      <w:r>
        <w:t>, while h</w:t>
      </w:r>
      <w:r w:rsidRPr="006365AC">
        <w:t xml:space="preserve">igher frequency bands </w:t>
      </w:r>
      <w:r>
        <w:t xml:space="preserve">generally </w:t>
      </w:r>
      <w:r w:rsidRPr="006365AC">
        <w:t xml:space="preserve">provide greater data </w:t>
      </w:r>
      <w:r>
        <w:t xml:space="preserve">capacity but over shorter distances </w:t>
      </w:r>
      <w:r w:rsidRPr="00634B60">
        <w:rPr>
          <w:szCs w:val="24"/>
        </w:rPr>
        <w:t>(ACMA 2013a)</w:t>
      </w:r>
      <w:r>
        <w:t xml:space="preserve">. </w:t>
      </w:r>
    </w:p>
    <w:p w:rsidR="00634B60" w:rsidRDefault="001C7D75" w:rsidP="00634B60">
      <w:pPr>
        <w:pStyle w:val="BodyText"/>
      </w:pPr>
      <w:r>
        <w:t xml:space="preserve">Narrowband </w:t>
      </w:r>
      <w:r w:rsidR="00634B60">
        <w:t xml:space="preserve">networks used by PSAs </w:t>
      </w:r>
      <w:r>
        <w:t xml:space="preserve">(such as LMR networks) </w:t>
      </w:r>
      <w:r w:rsidR="00634B60">
        <w:t xml:space="preserve">are primarily supported by dedicated spectrum in the 400 MHz band, with a small number of networks utilising </w:t>
      </w:r>
      <w:r w:rsidR="00634B60" w:rsidRPr="000661FE">
        <w:t xml:space="preserve">lower spectrum bands in </w:t>
      </w:r>
      <w:r w:rsidR="00634B60">
        <w:t xml:space="preserve">the </w:t>
      </w:r>
      <w:r w:rsidR="00634B60" w:rsidRPr="000661FE">
        <w:t>148</w:t>
      </w:r>
      <w:r w:rsidR="00C46790">
        <w:noBreakHyphen/>
      </w:r>
      <w:r w:rsidR="00634B60" w:rsidRPr="000661FE">
        <w:t xml:space="preserve">172 </w:t>
      </w:r>
      <w:proofErr w:type="spellStart"/>
      <w:r w:rsidR="00634B60" w:rsidRPr="000661FE">
        <w:t>Mhz</w:t>
      </w:r>
      <w:proofErr w:type="spellEnd"/>
      <w:r w:rsidR="00634B60">
        <w:t xml:space="preserve"> range </w:t>
      </w:r>
      <w:r w:rsidR="00634B60" w:rsidRPr="00634B60">
        <w:rPr>
          <w:szCs w:val="24"/>
        </w:rPr>
        <w:t>(ACMA 2013a)</w:t>
      </w:r>
      <w:r w:rsidR="00634B60">
        <w:t>. In keeping with the objective of ensuring that ‘adequate provision of the spectrum [is made] for use by agencies involved in …</w:t>
      </w:r>
      <w:r w:rsidR="00C46790">
        <w:t xml:space="preserve"> </w:t>
      </w:r>
      <w:r w:rsidR="00634B60">
        <w:t>the provision of emergency services’ (</w:t>
      </w:r>
      <w:proofErr w:type="spellStart"/>
      <w:r w:rsidR="00634B60" w:rsidRPr="004E762A">
        <w:rPr>
          <w:i/>
        </w:rPr>
        <w:t>Radiocommunications</w:t>
      </w:r>
      <w:proofErr w:type="spellEnd"/>
      <w:r w:rsidR="00634B60" w:rsidRPr="004E762A">
        <w:rPr>
          <w:i/>
        </w:rPr>
        <w:t xml:space="preserve"> Act 1992</w:t>
      </w:r>
      <w:r w:rsidR="00634B60">
        <w:t xml:space="preserve"> (</w:t>
      </w:r>
      <w:proofErr w:type="spellStart"/>
      <w:r w:rsidR="00634B60">
        <w:t>Cwlth</w:t>
      </w:r>
      <w:proofErr w:type="spellEnd"/>
      <w:r w:rsidR="00634B60">
        <w:t xml:space="preserve">) s. 3), these spectrum bands were reserved for PSAs under the </w:t>
      </w:r>
      <w:r w:rsidR="00634B60" w:rsidRPr="000661FE">
        <w:t>Australian Radiofrequency Spectrum Plan</w:t>
      </w:r>
      <w:r w:rsidR="00634B60">
        <w:t xml:space="preserve"> </w:t>
      </w:r>
      <w:r w:rsidR="00634B60" w:rsidRPr="00634B60">
        <w:rPr>
          <w:szCs w:val="24"/>
        </w:rPr>
        <w:t>(ACMA 2013a)</w:t>
      </w:r>
      <w:r w:rsidR="00634B60" w:rsidRPr="000661FE">
        <w:t>.</w:t>
      </w:r>
    </w:p>
    <w:p w:rsidR="00634B60" w:rsidRDefault="00634B60" w:rsidP="00634B60">
      <w:pPr>
        <w:pStyle w:val="BodyText"/>
      </w:pPr>
      <w:r>
        <w:t>PSA demand for communication services varies depending on the type of functions they perform, and the nature of the events or incident</w:t>
      </w:r>
      <w:r w:rsidR="00D9221D">
        <w:t>s</w:t>
      </w:r>
      <w:r>
        <w:t xml:space="preserve"> they are dealing with. These demands can be broadly classified into three categories: </w:t>
      </w:r>
    </w:p>
    <w:p w:rsidR="00634B60" w:rsidRDefault="00634B60" w:rsidP="00634B60">
      <w:pPr>
        <w:pStyle w:val="ListBullet"/>
        <w:spacing w:line="320" w:lineRule="atLeast"/>
      </w:pPr>
      <w:r w:rsidRPr="00C314C5">
        <w:rPr>
          <w:i/>
        </w:rPr>
        <w:t xml:space="preserve">Business as usual </w:t>
      </w:r>
      <w:r>
        <w:t xml:space="preserve">activities — such as responding to incidents that involve a limited number of </w:t>
      </w:r>
      <w:r w:rsidR="00D9221D">
        <w:t xml:space="preserve">PSA officers or </w:t>
      </w:r>
      <w:r>
        <w:t xml:space="preserve">response teams. During these periods, demand for communication services is expected to be lower, and more </w:t>
      </w:r>
      <w:r w:rsidRPr="00DB5A79">
        <w:t>stable</w:t>
      </w:r>
      <w:r>
        <w:t xml:space="preserve"> and </w:t>
      </w:r>
      <w:r w:rsidRPr="00DB5A79">
        <w:t>predictable</w:t>
      </w:r>
      <w:r>
        <w:t xml:space="preserve"> relative to other categories.</w:t>
      </w:r>
    </w:p>
    <w:p w:rsidR="00634B60" w:rsidRPr="00096BF6" w:rsidRDefault="00634B60" w:rsidP="00634B60">
      <w:pPr>
        <w:pStyle w:val="ListBullet"/>
        <w:spacing w:line="320" w:lineRule="atLeast"/>
      </w:pPr>
      <w:r w:rsidRPr="00096BF6">
        <w:rPr>
          <w:i/>
        </w:rPr>
        <w:t>Planned events</w:t>
      </w:r>
      <w:r>
        <w:t xml:space="preserve"> —</w:t>
      </w:r>
      <w:r>
        <w:rPr>
          <w:i/>
        </w:rPr>
        <w:t xml:space="preserve"> </w:t>
      </w:r>
      <w:r>
        <w:t xml:space="preserve">such as major sporting events, </w:t>
      </w:r>
      <w:r w:rsidRPr="00096BF6">
        <w:t xml:space="preserve">music festivals </w:t>
      </w:r>
      <w:r>
        <w:t xml:space="preserve">or G20 meetings which require a larger than usual PSA presence. During these events, demand for </w:t>
      </w:r>
      <w:r>
        <w:lastRenderedPageBreak/>
        <w:t>communication services is expected to be relatively high</w:t>
      </w:r>
      <w:r w:rsidR="00D9221D">
        <w:t xml:space="preserve"> in highly localised areas</w:t>
      </w:r>
      <w:r>
        <w:t xml:space="preserve">, but predictable. </w:t>
      </w:r>
    </w:p>
    <w:p w:rsidR="00634B60" w:rsidRDefault="00634B60" w:rsidP="00634B60">
      <w:pPr>
        <w:pStyle w:val="ListBullet"/>
        <w:spacing w:after="240" w:line="320" w:lineRule="atLeast"/>
      </w:pPr>
      <w:r w:rsidRPr="003C60AE">
        <w:rPr>
          <w:i/>
        </w:rPr>
        <w:t>Large scale emergency incidents</w:t>
      </w:r>
      <w:r>
        <w:t xml:space="preserve"> —</w:t>
      </w:r>
      <w:r w:rsidRPr="003C60AE">
        <w:rPr>
          <w:i/>
        </w:rPr>
        <w:t xml:space="preserve"> </w:t>
      </w:r>
      <w:r>
        <w:t>such as</w:t>
      </w:r>
      <w:r w:rsidRPr="00096BF6">
        <w:t xml:space="preserve"> </w:t>
      </w:r>
      <w:r>
        <w:t>natural disasters, terrorist attacks or other infrequent incidents which require a large, cross</w:t>
      </w:r>
      <w:r>
        <w:noBreakHyphen/>
        <w:t xml:space="preserve">agency PSA response. During these incidents demand for communications is expected to be very high in localised areas, and there is uncertainty about timing and location of such events, making them more challenging to plan for. Moreover, in some instances the emergency incident itself may destroy or impair the communications infrastructure or capacity </w:t>
      </w:r>
      <w:r w:rsidR="00D9221D">
        <w:t>(</w:t>
      </w:r>
      <w:r>
        <w:t>even if well planned</w:t>
      </w:r>
      <w:r w:rsidR="00D9221D">
        <w:t>)</w:t>
      </w:r>
      <w:r>
        <w:t xml:space="preserve">, so the level of </w:t>
      </w:r>
      <w:r w:rsidR="00D9221D">
        <w:t xml:space="preserve">network </w:t>
      </w:r>
      <w:r>
        <w:t>resilience provided is important</w:t>
      </w:r>
      <w:r w:rsidR="00D9221D">
        <w:t xml:space="preserve"> (discussed below)</w:t>
      </w:r>
      <w:r>
        <w:t xml:space="preserve">. </w:t>
      </w:r>
    </w:p>
    <w:p w:rsidR="00634B60" w:rsidRDefault="00634B60" w:rsidP="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RPr="00C249EF" w:rsidTr="000A2B7C">
        <w:tc>
          <w:tcPr>
            <w:tcW w:w="8771" w:type="dxa"/>
            <w:tcBorders>
              <w:top w:val="single" w:sz="6" w:space="0" w:color="78A22F"/>
              <w:left w:val="nil"/>
              <w:bottom w:val="nil"/>
              <w:right w:val="nil"/>
            </w:tcBorders>
            <w:shd w:val="clear" w:color="auto" w:fill="F2F2F2"/>
          </w:tcPr>
          <w:p w:rsidR="00634B60" w:rsidRPr="00C249EF" w:rsidRDefault="00634B60" w:rsidP="006D362D">
            <w:pPr>
              <w:pStyle w:val="BoxListNumber"/>
              <w:tabs>
                <w:tab w:val="clear" w:pos="284"/>
                <w:tab w:val="num" w:pos="403"/>
              </w:tabs>
              <w:ind w:left="403" w:hanging="403"/>
              <w:rPr>
                <w:i/>
                <w:sz w:val="22"/>
              </w:rPr>
            </w:pPr>
            <w:r w:rsidRPr="00634B60">
              <w:rPr>
                <w:i/>
                <w:sz w:val="22"/>
              </w:rPr>
              <w:t>How do the different types of events that PSAs deal with affect their demand for communications capabilities? Can you provide examples or evidence to illustrate this?</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rsidP="000A2B7C">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p w:rsidR="00C865E2" w:rsidRDefault="00C865E2" w:rsidP="00634B60">
      <w:pPr>
        <w:pStyle w:val="BodyText"/>
      </w:pPr>
      <w:r>
        <w:t xml:space="preserve">PSAs also </w:t>
      </w:r>
      <w:r w:rsidRPr="0080532C">
        <w:t xml:space="preserve">use </w:t>
      </w:r>
      <w:r>
        <w:t>fixed</w:t>
      </w:r>
      <w:r>
        <w:noBreakHyphen/>
      </w:r>
      <w:r w:rsidRPr="0080532C">
        <w:t xml:space="preserve">line, wireless and satellite </w:t>
      </w:r>
      <w:r>
        <w:t xml:space="preserve">services provided by commercial providers for communication, organisational and administrative functions.  </w:t>
      </w:r>
    </w:p>
    <w:p w:rsidR="00634B60" w:rsidRDefault="00634B60" w:rsidP="00634B60">
      <w:pPr>
        <w:pStyle w:val="Heading3"/>
        <w:spacing w:before="280"/>
      </w:pPr>
      <w:r>
        <w:t>What is mobile broadband?</w:t>
      </w:r>
    </w:p>
    <w:p w:rsidR="00634B60" w:rsidRDefault="00634B60" w:rsidP="00634B60">
      <w:pPr>
        <w:pStyle w:val="BodyText"/>
      </w:pPr>
      <w:r w:rsidRPr="00620C4E">
        <w:t xml:space="preserve">Mobile broadband refers to the variety of ways a </w:t>
      </w:r>
      <w:r>
        <w:t xml:space="preserve">broadband </w:t>
      </w:r>
      <w:proofErr w:type="spellStart"/>
      <w:r w:rsidRPr="00620C4E">
        <w:t>internet</w:t>
      </w:r>
      <w:proofErr w:type="spellEnd"/>
      <w:r w:rsidRPr="00620C4E">
        <w:t xml:space="preserve"> service is delivered via a mobile network, </w:t>
      </w:r>
      <w:r>
        <w:t xml:space="preserve">and can be accessed using </w:t>
      </w:r>
      <w:r w:rsidRPr="00620C4E">
        <w:t>a range of wireless devices such as smartphones, tablets and laptops</w:t>
      </w:r>
      <w:r>
        <w:t xml:space="preserve"> </w:t>
      </w:r>
      <w:r w:rsidR="004C0AFB" w:rsidRPr="004C0AFB">
        <w:rPr>
          <w:szCs w:val="24"/>
        </w:rPr>
        <w:t>(ACMA 2014a)</w:t>
      </w:r>
      <w:r>
        <w:t xml:space="preserve">. </w:t>
      </w:r>
    </w:p>
    <w:p w:rsidR="00634B60" w:rsidRDefault="00634B60" w:rsidP="00634B60">
      <w:pPr>
        <w:pStyle w:val="BodyText"/>
      </w:pPr>
      <w:r w:rsidRPr="00620C4E">
        <w:rPr>
          <w:rStyle w:val="BodyTextChar"/>
        </w:rPr>
        <w:t xml:space="preserve">Mobile networks can be distinguished from other types of networks used to provide broadband services, </w:t>
      </w:r>
      <w:r>
        <w:rPr>
          <w:rStyle w:val="BodyTextChar"/>
        </w:rPr>
        <w:t xml:space="preserve">including </w:t>
      </w:r>
      <w:r w:rsidRPr="00620C4E">
        <w:rPr>
          <w:rStyle w:val="BodyTextChar"/>
        </w:rPr>
        <w:t>fixed</w:t>
      </w:r>
      <w:r>
        <w:rPr>
          <w:rStyle w:val="BodyTextChar"/>
        </w:rPr>
        <w:noBreakHyphen/>
      </w:r>
      <w:r w:rsidRPr="00620C4E">
        <w:rPr>
          <w:rStyle w:val="BodyTextChar"/>
        </w:rPr>
        <w:t>line networks</w:t>
      </w:r>
      <w:r>
        <w:rPr>
          <w:rStyle w:val="BodyTextChar"/>
        </w:rPr>
        <w:t xml:space="preserve">, </w:t>
      </w:r>
      <w:r w:rsidRPr="00620C4E">
        <w:rPr>
          <w:rStyle w:val="BodyTextChar"/>
        </w:rPr>
        <w:t>fixed wireless networks</w:t>
      </w:r>
      <w:r>
        <w:rPr>
          <w:rStyle w:val="BodyTextChar"/>
        </w:rPr>
        <w:t xml:space="preserve"> </w:t>
      </w:r>
      <w:r w:rsidRPr="00620C4E">
        <w:rPr>
          <w:rStyle w:val="BodyTextChar"/>
        </w:rPr>
        <w:t>and satellite networks</w:t>
      </w:r>
      <w:r>
        <w:rPr>
          <w:rStyle w:val="BodyTextChar"/>
        </w:rPr>
        <w:t xml:space="preserve"> </w:t>
      </w:r>
      <w:r w:rsidRPr="00634B60">
        <w:rPr>
          <w:szCs w:val="24"/>
        </w:rPr>
        <w:t>(ACMA 2010)</w:t>
      </w:r>
      <w:r w:rsidRPr="00620C4E">
        <w:rPr>
          <w:rStyle w:val="BodyTextChar"/>
        </w:rPr>
        <w:t>.</w:t>
      </w:r>
      <w:r w:rsidRPr="00D263A6">
        <w:rPr>
          <w:rStyle w:val="BodyTextChar"/>
        </w:rPr>
        <w:t xml:space="preserve"> That said</w:t>
      </w:r>
      <w:proofErr w:type="gramStart"/>
      <w:r w:rsidRPr="00D263A6">
        <w:rPr>
          <w:rStyle w:val="BodyTextChar"/>
        </w:rPr>
        <w:t>,</w:t>
      </w:r>
      <w:proofErr w:type="gramEnd"/>
      <w:r w:rsidRPr="00D263A6">
        <w:rPr>
          <w:rStyle w:val="BodyTextChar"/>
        </w:rPr>
        <w:t xml:space="preserve"> many mobile devices can be used on </w:t>
      </w:r>
      <w:r>
        <w:rPr>
          <w:rStyle w:val="BodyTextChar"/>
        </w:rPr>
        <w:t>a range of networks</w:t>
      </w:r>
      <w:r w:rsidRPr="00D263A6">
        <w:rPr>
          <w:rStyle w:val="BodyTextChar"/>
        </w:rPr>
        <w:t xml:space="preserve"> </w:t>
      </w:r>
      <w:r w:rsidRPr="00634B60">
        <w:rPr>
          <w:szCs w:val="24"/>
        </w:rPr>
        <w:t>(Deloitte Access Economics 2013)</w:t>
      </w:r>
      <w:r w:rsidRPr="00D263A6">
        <w:rPr>
          <w:rStyle w:val="BodyTextChar"/>
        </w:rPr>
        <w:t>.</w:t>
      </w:r>
      <w:r>
        <w:rPr>
          <w:rStyle w:val="DraftingNote"/>
          <w:b w:val="0"/>
          <w:color w:val="auto"/>
          <w:u w:val="none"/>
        </w:rPr>
        <w:t xml:space="preserve"> (</w:t>
      </w:r>
      <w:r>
        <w:t xml:space="preserve">Box 2 contains information on </w:t>
      </w:r>
      <w:r w:rsidRPr="00FA32AE">
        <w:t>mobile networks</w:t>
      </w:r>
      <w:r>
        <w:t xml:space="preserve"> which </w:t>
      </w:r>
      <w:r w:rsidRPr="00FA32AE">
        <w:t>provide</w:t>
      </w:r>
      <w:r>
        <w:t>s</w:t>
      </w:r>
      <w:r w:rsidRPr="00FA32AE">
        <w:t xml:space="preserve"> important context for this study</w:t>
      </w:r>
      <w:r>
        <w:t>.)</w:t>
      </w:r>
    </w:p>
    <w:p w:rsidR="00634B60" w:rsidRDefault="00634B6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34B60" w:rsidTr="000A2B7C">
        <w:tc>
          <w:tcPr>
            <w:tcW w:w="8771" w:type="dxa"/>
            <w:tcBorders>
              <w:top w:val="single" w:sz="6" w:space="0" w:color="78A22F"/>
              <w:left w:val="nil"/>
              <w:bottom w:val="nil"/>
              <w:right w:val="nil"/>
            </w:tcBorders>
            <w:shd w:val="clear" w:color="auto" w:fill="F2F2F2"/>
          </w:tcPr>
          <w:p w:rsidR="00634B60" w:rsidRDefault="00634B60" w:rsidP="00C91BD3">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C216DF">
              <w:rPr>
                <w:b w:val="0"/>
                <w:noProof/>
              </w:rPr>
              <w:t>2</w:t>
            </w:r>
            <w:r>
              <w:rPr>
                <w:b w:val="0"/>
              </w:rPr>
              <w:fldChar w:fldCharType="end"/>
            </w:r>
            <w:r>
              <w:tab/>
              <w:t>Mobile networks</w:t>
            </w:r>
          </w:p>
        </w:tc>
      </w:tr>
      <w:tr w:rsidR="00634B60" w:rsidTr="000A2B7C">
        <w:trPr>
          <w:cantSplit/>
        </w:trPr>
        <w:tc>
          <w:tcPr>
            <w:tcW w:w="8771" w:type="dxa"/>
            <w:tcBorders>
              <w:top w:val="nil"/>
              <w:left w:val="nil"/>
              <w:bottom w:val="nil"/>
              <w:right w:val="nil"/>
            </w:tcBorders>
            <w:shd w:val="clear" w:color="auto" w:fill="F2F2F2"/>
          </w:tcPr>
          <w:p w:rsidR="00634B60" w:rsidRDefault="00634B60" w:rsidP="00634B60">
            <w:pPr>
              <w:pStyle w:val="Box"/>
            </w:pPr>
            <w:r>
              <w:t xml:space="preserve">Mobile networks are designed as a series of geographically distinct signal areas or ‘cells’. Within each cell is a base station(s) and associated equipment which sends and receives the transmissions to and from a user’s handset. </w:t>
            </w:r>
            <w:r w:rsidRPr="00A1711E">
              <w:t>Some cells join or overlap to ensure that users can roam across the network without losing connection.</w:t>
            </w:r>
            <w:r>
              <w:t xml:space="preserve"> Other key network elements include access to transmission backhaul capacity and core network infrastructure.</w:t>
            </w:r>
          </w:p>
          <w:p w:rsidR="00634B60" w:rsidRDefault="00634B60" w:rsidP="00F43F62">
            <w:pPr>
              <w:pStyle w:val="Box"/>
            </w:pPr>
            <w:r>
              <w:t>A range of factors influence mobile network performance and the service quality experienced by end</w:t>
            </w:r>
            <w:r>
              <w:noBreakHyphen/>
              <w:t>users on mobile networks. This includes network configuration and design, the number of concurrent users in a cell area and their usage levels, topography/environmental factors, the amount of spectrum used and spectrum frequency.</w:t>
            </w:r>
          </w:p>
        </w:tc>
      </w:tr>
      <w:tr w:rsidR="00634B60" w:rsidTr="000A2B7C">
        <w:trPr>
          <w:cantSplit/>
        </w:trPr>
        <w:tc>
          <w:tcPr>
            <w:tcW w:w="8771" w:type="dxa"/>
            <w:tcBorders>
              <w:top w:val="nil"/>
              <w:left w:val="nil"/>
              <w:bottom w:val="nil"/>
              <w:right w:val="nil"/>
            </w:tcBorders>
            <w:shd w:val="clear" w:color="auto" w:fill="F2F2F2"/>
          </w:tcPr>
          <w:p w:rsidR="00634B60" w:rsidRDefault="00634B60" w:rsidP="000A2B7C">
            <w:pPr>
              <w:pStyle w:val="BoxSource"/>
            </w:pPr>
            <w:r>
              <w:rPr>
                <w:i/>
              </w:rPr>
              <w:t>Sources</w:t>
            </w:r>
            <w:r w:rsidRPr="00167F06">
              <w:t xml:space="preserve">: </w:t>
            </w:r>
            <w:r w:rsidRPr="00FE4D8C">
              <w:t xml:space="preserve">Mobile Network Guide </w:t>
            </w:r>
            <w:r w:rsidRPr="00634B60">
              <w:rPr>
                <w:rFonts w:cs="Arial"/>
              </w:rPr>
              <w:t>(</w:t>
            </w:r>
            <w:proofErr w:type="spellStart"/>
            <w:r w:rsidRPr="00634B60">
              <w:rPr>
                <w:rFonts w:cs="Arial"/>
              </w:rPr>
              <w:t>nd</w:t>
            </w:r>
            <w:proofErr w:type="spellEnd"/>
            <w:r w:rsidRPr="00634B60">
              <w:rPr>
                <w:rFonts w:cs="Arial"/>
              </w:rPr>
              <w:t>)</w:t>
            </w:r>
            <w:r w:rsidRPr="001B388E">
              <w:t xml:space="preserve">, </w:t>
            </w:r>
            <w:r w:rsidRPr="00586461">
              <w:t xml:space="preserve">ACMA </w:t>
            </w:r>
            <w:r w:rsidRPr="00634B60">
              <w:rPr>
                <w:rFonts w:cs="Arial"/>
              </w:rPr>
              <w:t>(2013b)</w:t>
            </w:r>
            <w:r w:rsidRPr="00586461">
              <w:t>,</w:t>
            </w:r>
            <w:r>
              <w:t xml:space="preserve"> Nokia Siemens Network </w:t>
            </w:r>
            <w:r w:rsidRPr="00634B60">
              <w:rPr>
                <w:rFonts w:cs="Arial"/>
              </w:rPr>
              <w:t>(2011)</w:t>
            </w:r>
            <w:r>
              <w:t xml:space="preserve">; </w:t>
            </w:r>
            <w:proofErr w:type="spellStart"/>
            <w:r w:rsidRPr="001B388E">
              <w:t>Rumney</w:t>
            </w:r>
            <w:proofErr w:type="spellEnd"/>
            <w:r w:rsidRPr="001B388E">
              <w:t xml:space="preserve"> ed.</w:t>
            </w:r>
            <w:r>
              <w:t xml:space="preserve"> </w:t>
            </w:r>
            <w:r w:rsidRPr="00634B60">
              <w:rPr>
                <w:rFonts w:cs="Arial"/>
              </w:rPr>
              <w:t>(2013)</w:t>
            </w:r>
            <w:r>
              <w:t>.</w:t>
            </w:r>
          </w:p>
        </w:tc>
      </w:tr>
      <w:tr w:rsidR="00634B60" w:rsidTr="000A2B7C">
        <w:trPr>
          <w:cantSplit/>
        </w:trPr>
        <w:tc>
          <w:tcPr>
            <w:tcW w:w="8771" w:type="dxa"/>
            <w:tcBorders>
              <w:top w:val="nil"/>
              <w:left w:val="nil"/>
              <w:bottom w:val="single" w:sz="6" w:space="0" w:color="78A22F"/>
              <w:right w:val="nil"/>
            </w:tcBorders>
            <w:shd w:val="clear" w:color="auto" w:fill="F2F2F2"/>
          </w:tcPr>
          <w:p w:rsidR="00634B60" w:rsidRDefault="00634B60">
            <w:pPr>
              <w:pStyle w:val="Box"/>
              <w:spacing w:before="0" w:line="120" w:lineRule="exact"/>
            </w:pPr>
          </w:p>
        </w:tc>
      </w:tr>
      <w:tr w:rsidR="00634B60" w:rsidRPr="000863A5" w:rsidTr="000A2B7C">
        <w:tc>
          <w:tcPr>
            <w:tcW w:w="8771" w:type="dxa"/>
            <w:tcBorders>
              <w:top w:val="single" w:sz="6" w:space="0" w:color="78A22F"/>
              <w:left w:val="nil"/>
              <w:bottom w:val="nil"/>
              <w:right w:val="nil"/>
            </w:tcBorders>
          </w:tcPr>
          <w:p w:rsidR="00634B60" w:rsidRPr="00626D32" w:rsidRDefault="00634B60" w:rsidP="000A2B7C">
            <w:pPr>
              <w:pStyle w:val="BoxSpaceBelow"/>
            </w:pPr>
          </w:p>
        </w:tc>
      </w:tr>
    </w:tbl>
    <w:p w:rsidR="00634B60" w:rsidRDefault="00634B60" w:rsidP="00634B60">
      <w:pPr>
        <w:pStyle w:val="BodyText"/>
      </w:pPr>
      <w:r>
        <w:lastRenderedPageBreak/>
        <w:t>There is a well</w:t>
      </w:r>
      <w:r>
        <w:noBreakHyphen/>
        <w:t>developed market for the provision of mobile broadband services in Australia. Three mobile network operators (MNOs) — Telstra, Optus and Vodafone Hutchison Australia (VHA) — own and operate their own networks and deliver services to end</w:t>
      </w:r>
      <w:r>
        <w:noBreakHyphen/>
        <w:t>users. There are also mobile virtual network operators that purchase wholesale capacity from MNOs and resell services to end</w:t>
      </w:r>
      <w:r>
        <w:noBreakHyphen/>
        <w:t xml:space="preserve">users. </w:t>
      </w:r>
      <w:r w:rsidRPr="006365AC">
        <w:t xml:space="preserve">Each MNO in Australia uses a different mix of spectrum holdings to deliver mobile services (for a full accounting see </w:t>
      </w:r>
      <w:r>
        <w:t xml:space="preserve">ACMA </w:t>
      </w:r>
      <w:r w:rsidR="004C0AFB" w:rsidRPr="004C0AFB">
        <w:rPr>
          <w:szCs w:val="24"/>
        </w:rPr>
        <w:t>(2014a, p. 18)</w:t>
      </w:r>
      <w:r>
        <w:t>)</w:t>
      </w:r>
      <w:r w:rsidRPr="008D41B2">
        <w:t>.</w:t>
      </w:r>
    </w:p>
    <w:p w:rsidR="00634B60" w:rsidRDefault="00634B60" w:rsidP="00634B60">
      <w:pPr>
        <w:pStyle w:val="BodyText"/>
      </w:pPr>
      <w:r>
        <w:t>Mobile broadband technology has evolved rapidly, expanding the potential uses of high capacity data applications on mobile networks. For example, Australian MNOs are at different stages of rolling out fourth generation (4G) networks based on the LTE standard. LTE networks support higher data speeds and lower levels of latency (delay) than third generation (3G) networks. They allow end</w:t>
      </w:r>
      <w:r>
        <w:noBreakHyphen/>
        <w:t xml:space="preserve">users on </w:t>
      </w:r>
      <w:r w:rsidR="00F43F62">
        <w:t>wireless</w:t>
      </w:r>
      <w:r>
        <w:t xml:space="preserve"> devices to access an increasingly wider range of broadband data applications — such as video</w:t>
      </w:r>
      <w:r>
        <w:noBreakHyphen/>
        <w:t xml:space="preserve">based applications on mobile tablets or handsets, and the ability to </w:t>
      </w:r>
      <w:r w:rsidR="00F43F62">
        <w:t xml:space="preserve">quickly </w:t>
      </w:r>
      <w:r>
        <w:t xml:space="preserve">receive and transfer large data files and images </w:t>
      </w:r>
      <w:r w:rsidR="00BE6EC2" w:rsidRPr="00BE6EC2">
        <w:rPr>
          <w:szCs w:val="24"/>
        </w:rPr>
        <w:t>(Nokia Siemens Network 2011;</w:t>
      </w:r>
      <w:r w:rsidR="00BE6EC2">
        <w:rPr>
          <w:szCs w:val="24"/>
        </w:rPr>
        <w:t xml:space="preserve"> </w:t>
      </w:r>
      <w:proofErr w:type="spellStart"/>
      <w:r w:rsidR="00BE6EC2" w:rsidRPr="00BE6EC2">
        <w:rPr>
          <w:szCs w:val="24"/>
        </w:rPr>
        <w:t>Rumney</w:t>
      </w:r>
      <w:proofErr w:type="spellEnd"/>
      <w:r w:rsidR="00BE6EC2" w:rsidRPr="00BE6EC2">
        <w:rPr>
          <w:szCs w:val="24"/>
        </w:rPr>
        <w:t xml:space="preserve"> (</w:t>
      </w:r>
      <w:proofErr w:type="spellStart"/>
      <w:proofErr w:type="gramStart"/>
      <w:r w:rsidR="00BE6EC2" w:rsidRPr="00BE6EC2">
        <w:rPr>
          <w:szCs w:val="24"/>
        </w:rPr>
        <w:t>ed</w:t>
      </w:r>
      <w:proofErr w:type="spellEnd"/>
      <w:proofErr w:type="gramEnd"/>
      <w:r w:rsidR="00BE6EC2" w:rsidRPr="00BE6EC2">
        <w:rPr>
          <w:szCs w:val="24"/>
        </w:rPr>
        <w:t>) 2013)</w:t>
      </w:r>
      <w:r>
        <w:t xml:space="preserve">. </w:t>
      </w:r>
    </w:p>
    <w:p w:rsidR="00634B60" w:rsidRDefault="00634B60" w:rsidP="00634B60">
      <w:pPr>
        <w:pStyle w:val="BodyText"/>
      </w:pPr>
      <w:r>
        <w:t>PSAs in some jurisdictions (including overseas) have started using mobile broadband</w:t>
      </w:r>
      <w:r>
        <w:noBreakHyphen/>
        <w:t xml:space="preserve">enabled devices and capability, on a limited basis, to supplement </w:t>
      </w:r>
      <w:r w:rsidR="007E0AA0">
        <w:t xml:space="preserve">use of </w:t>
      </w:r>
      <w:r>
        <w:t xml:space="preserve">their </w:t>
      </w:r>
      <w:r w:rsidR="007E0AA0">
        <w:t xml:space="preserve">own </w:t>
      </w:r>
      <w:r>
        <w:t xml:space="preserve">narrowband networks. Changes have been made (and are continuing) at the commercial carrier level to support these developments (box 3). </w:t>
      </w:r>
    </w:p>
    <w:p w:rsidR="00026F9F" w:rsidRDefault="00026F9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6F9F" w:rsidTr="000A2B7C">
        <w:tc>
          <w:tcPr>
            <w:tcW w:w="8771" w:type="dxa"/>
            <w:tcBorders>
              <w:top w:val="single" w:sz="6" w:space="0" w:color="78A22F"/>
              <w:left w:val="nil"/>
              <w:bottom w:val="nil"/>
              <w:right w:val="nil"/>
            </w:tcBorders>
            <w:shd w:val="clear" w:color="auto" w:fill="F2F2F2"/>
          </w:tcPr>
          <w:p w:rsidR="00026F9F" w:rsidRDefault="00026F9F" w:rsidP="00C865E2">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C216DF">
              <w:rPr>
                <w:b w:val="0"/>
                <w:noProof/>
              </w:rPr>
              <w:t>3</w:t>
            </w:r>
            <w:r>
              <w:rPr>
                <w:b w:val="0"/>
              </w:rPr>
              <w:fldChar w:fldCharType="end"/>
            </w:r>
            <w:r>
              <w:tab/>
              <w:t>Examples of PSA use of mobile broadband</w:t>
            </w:r>
          </w:p>
        </w:tc>
      </w:tr>
      <w:tr w:rsidR="00026F9F" w:rsidTr="000A2B7C">
        <w:trPr>
          <w:cantSplit/>
        </w:trPr>
        <w:tc>
          <w:tcPr>
            <w:tcW w:w="8771" w:type="dxa"/>
            <w:tcBorders>
              <w:top w:val="nil"/>
              <w:left w:val="nil"/>
              <w:bottom w:val="nil"/>
              <w:right w:val="nil"/>
            </w:tcBorders>
            <w:shd w:val="clear" w:color="auto" w:fill="F2F2F2"/>
          </w:tcPr>
          <w:p w:rsidR="00026F9F" w:rsidRDefault="00026F9F" w:rsidP="00026F9F">
            <w:pPr>
              <w:pStyle w:val="BoxHeading2"/>
            </w:pPr>
            <w:r>
              <w:t xml:space="preserve">Use of devices and applications </w:t>
            </w:r>
          </w:p>
          <w:p w:rsidR="00026F9F" w:rsidRDefault="00026F9F" w:rsidP="00026F9F">
            <w:pPr>
              <w:pStyle w:val="Box"/>
            </w:pPr>
            <w:r>
              <w:t>PSAs in some jurisdictions are trialling or undertaking a limited roll out of devices and applications that use mobile broadband technology. These applications provide a flavour of what can be achieved with use of broadband capability. For example:</w:t>
            </w:r>
          </w:p>
          <w:p w:rsidR="00026F9F" w:rsidRDefault="00026F9F" w:rsidP="00026F9F">
            <w:pPr>
              <w:pStyle w:val="BoxListBullet"/>
              <w:rPr>
                <w:szCs w:val="24"/>
              </w:rPr>
            </w:pPr>
            <w:r>
              <w:t xml:space="preserve">Several jurisdictions in Australia are at various stages of providing their frontline police with mobile devices (such as smartphones and tablets), allowing them to perform tasks such as accessing central databases and performing background checks while in the field. </w:t>
            </w:r>
          </w:p>
          <w:p w:rsidR="00026F9F" w:rsidRPr="000F564D" w:rsidRDefault="00026F9F" w:rsidP="00026F9F">
            <w:pPr>
              <w:pStyle w:val="BoxListBullet"/>
              <w:rPr>
                <w:szCs w:val="24"/>
              </w:rPr>
            </w:pPr>
            <w:r>
              <w:t xml:space="preserve">In the UK, 4G services are being piloted by select Ambulance Trusts, which are investigating new capabilities such as patient telemetry. </w:t>
            </w:r>
          </w:p>
          <w:p w:rsidR="00026F9F" w:rsidRDefault="00026F9F" w:rsidP="00026F9F">
            <w:pPr>
              <w:pStyle w:val="BoxListBullet"/>
              <w:rPr>
                <w:szCs w:val="24"/>
              </w:rPr>
            </w:pPr>
            <w:r>
              <w:rPr>
                <w:color w:val="000000"/>
              </w:rPr>
              <w:t>Commercial mobile networks also form part of the PSAs toolkit for communicating with the community. For example, the Emergency Alert national warning system provides PSAs with the capability to send text messages to mobile phones located in a declared warning area.</w:t>
            </w:r>
          </w:p>
          <w:p w:rsidR="00026F9F" w:rsidRPr="00CE046D" w:rsidRDefault="00026F9F" w:rsidP="00026F9F">
            <w:pPr>
              <w:pStyle w:val="BoxHeading2"/>
            </w:pPr>
            <w:r>
              <w:t>Commercial models for PSMB capability</w:t>
            </w:r>
          </w:p>
          <w:p w:rsidR="00026F9F" w:rsidRDefault="00026F9F" w:rsidP="00026F9F">
            <w:pPr>
              <w:pStyle w:val="Box"/>
            </w:pPr>
            <w:r>
              <w:t xml:space="preserve">Telstra LANES model </w:t>
            </w:r>
            <w:r>
              <w:sym w:font="Symbol" w:char="F0BE"/>
            </w:r>
            <w:r>
              <w:t xml:space="preserve"> In 2013 and during the G20 Leaders Summit in Brisbane in November 2014, Telstra undertook pilot trials of its Long Term Evolution (LTE) for Advanced integrated Network for Emergency Services (LANES) model. Broadly, the LANES concept is a proposal </w:t>
            </w:r>
            <w:r w:rsidRPr="007D2513">
              <w:t>to provide dedicated capability to PSAs</w:t>
            </w:r>
            <w:r>
              <w:t xml:space="preserve"> (based on dedicated spectrum for PSAs) using commercial network infrastructure</w:t>
            </w:r>
            <w:r w:rsidRPr="007D2513">
              <w:t xml:space="preserve">, </w:t>
            </w:r>
            <w:r>
              <w:t xml:space="preserve">and to </w:t>
            </w:r>
            <w:r w:rsidRPr="007D2513">
              <w:t>supplement</w:t>
            </w:r>
            <w:r>
              <w:t xml:space="preserve"> this </w:t>
            </w:r>
            <w:r w:rsidRPr="007D2513">
              <w:t>with preferential data treatment on the Telstra Mobile Network where LTE is enabled.</w:t>
            </w:r>
          </w:p>
          <w:p w:rsidR="00026F9F" w:rsidRDefault="00026F9F" w:rsidP="00026F9F">
            <w:pPr>
              <w:pStyle w:val="Box"/>
            </w:pPr>
            <w:r>
              <w:t xml:space="preserve">Airwave 4GMax </w:t>
            </w:r>
            <w:r>
              <w:sym w:font="Symbol" w:char="F0BE"/>
            </w:r>
            <w:r>
              <w:t xml:space="preserve"> During 2014, Airwave (the operator of the UK’s TETRA network) conducted a pilot study of its 4GMax technology with Surrey Police. This technology improves mobile broadband bandwidth and coverage for PSAs by combining 3G and LTE signals from four commercial networks.</w:t>
            </w:r>
          </w:p>
        </w:tc>
      </w:tr>
      <w:tr w:rsidR="00026F9F" w:rsidTr="000A2B7C">
        <w:trPr>
          <w:cantSplit/>
        </w:trPr>
        <w:tc>
          <w:tcPr>
            <w:tcW w:w="8771" w:type="dxa"/>
            <w:tcBorders>
              <w:top w:val="nil"/>
              <w:left w:val="nil"/>
              <w:bottom w:val="nil"/>
              <w:right w:val="nil"/>
            </w:tcBorders>
            <w:shd w:val="clear" w:color="auto" w:fill="F2F2F2"/>
          </w:tcPr>
          <w:p w:rsidR="00026F9F" w:rsidRDefault="00026F9F" w:rsidP="007E0AA0">
            <w:pPr>
              <w:pStyle w:val="BoxSource"/>
            </w:pPr>
            <w:r>
              <w:rPr>
                <w:i/>
              </w:rPr>
              <w:t>Sources</w:t>
            </w:r>
            <w:r w:rsidRPr="00167F06">
              <w:t xml:space="preserve">: </w:t>
            </w:r>
            <w:r>
              <w:t xml:space="preserve">Airwave Solutions </w:t>
            </w:r>
            <w:r w:rsidRPr="00026F9F">
              <w:rPr>
                <w:rFonts w:cs="Arial"/>
              </w:rPr>
              <w:t>(</w:t>
            </w:r>
            <w:proofErr w:type="spellStart"/>
            <w:r w:rsidRPr="00026F9F">
              <w:rPr>
                <w:rFonts w:cs="Arial"/>
              </w:rPr>
              <w:t>nd</w:t>
            </w:r>
            <w:proofErr w:type="spellEnd"/>
            <w:r w:rsidRPr="00026F9F">
              <w:rPr>
                <w:rFonts w:cs="Arial"/>
              </w:rPr>
              <w:t>)</w:t>
            </w:r>
            <w:r w:rsidR="00857E70">
              <w:t xml:space="preserve">; Bray </w:t>
            </w:r>
            <w:r w:rsidR="00857E70" w:rsidRPr="00026F9F">
              <w:rPr>
                <w:rFonts w:cs="Arial"/>
              </w:rPr>
              <w:t>(2014)</w:t>
            </w:r>
            <w:r>
              <w:t xml:space="preserve">; Cowan </w:t>
            </w:r>
            <w:r w:rsidRPr="00026F9F">
              <w:rPr>
                <w:rFonts w:cs="Arial"/>
              </w:rPr>
              <w:t>(2014)</w:t>
            </w:r>
            <w:r>
              <w:t xml:space="preserve">; Coyne </w:t>
            </w:r>
            <w:r w:rsidRPr="00026F9F">
              <w:rPr>
                <w:rFonts w:cs="Arial"/>
              </w:rPr>
              <w:t>(2015)</w:t>
            </w:r>
            <w:r w:rsidRPr="009123E1">
              <w:t>;</w:t>
            </w:r>
            <w:r>
              <w:t xml:space="preserve"> Emergence Alert </w:t>
            </w:r>
            <w:r w:rsidRPr="00026F9F">
              <w:rPr>
                <w:rFonts w:cs="Arial"/>
              </w:rPr>
              <w:t>(</w:t>
            </w:r>
            <w:proofErr w:type="spellStart"/>
            <w:r w:rsidRPr="00026F9F">
              <w:rPr>
                <w:rFonts w:cs="Arial"/>
              </w:rPr>
              <w:t>nd</w:t>
            </w:r>
            <w:proofErr w:type="spellEnd"/>
            <w:r w:rsidRPr="00026F9F">
              <w:rPr>
                <w:rFonts w:cs="Arial"/>
              </w:rPr>
              <w:t>)</w:t>
            </w:r>
            <w:r>
              <w:rPr>
                <w:color w:val="000000"/>
              </w:rPr>
              <w:t>.</w:t>
            </w:r>
            <w:r w:rsidRPr="009123E1">
              <w:t xml:space="preserve"> </w:t>
            </w:r>
            <w:proofErr w:type="spellStart"/>
            <w:r w:rsidRPr="009123E1">
              <w:t>RadioComms</w:t>
            </w:r>
            <w:proofErr w:type="spellEnd"/>
            <w:r w:rsidRPr="009123E1">
              <w:t xml:space="preserve"> </w:t>
            </w:r>
            <w:r w:rsidRPr="00026F9F">
              <w:rPr>
                <w:rFonts w:cs="Arial"/>
              </w:rPr>
              <w:t>(2014)</w:t>
            </w:r>
            <w:r w:rsidRPr="009123E1">
              <w:t>; Taylor</w:t>
            </w:r>
            <w:r>
              <w:t xml:space="preserve"> </w:t>
            </w:r>
            <w:r w:rsidRPr="00026F9F">
              <w:rPr>
                <w:rFonts w:cs="Arial"/>
              </w:rPr>
              <w:t>(2014)</w:t>
            </w:r>
            <w:proofErr w:type="gramStart"/>
            <w:r w:rsidR="007E0AA0">
              <w:t>.</w:t>
            </w:r>
            <w:r>
              <w:t>.</w:t>
            </w:r>
            <w:proofErr w:type="gramEnd"/>
          </w:p>
        </w:tc>
      </w:tr>
      <w:tr w:rsidR="00026F9F" w:rsidTr="000A2B7C">
        <w:trPr>
          <w:cantSplit/>
        </w:trPr>
        <w:tc>
          <w:tcPr>
            <w:tcW w:w="8771" w:type="dxa"/>
            <w:tcBorders>
              <w:top w:val="nil"/>
              <w:left w:val="nil"/>
              <w:bottom w:val="single" w:sz="6" w:space="0" w:color="78A22F"/>
              <w:right w:val="nil"/>
            </w:tcBorders>
            <w:shd w:val="clear" w:color="auto" w:fill="F2F2F2"/>
          </w:tcPr>
          <w:p w:rsidR="00026F9F" w:rsidRDefault="00026F9F">
            <w:pPr>
              <w:pStyle w:val="Box"/>
              <w:spacing w:before="0" w:line="120" w:lineRule="exact"/>
            </w:pPr>
          </w:p>
        </w:tc>
      </w:tr>
      <w:tr w:rsidR="00026F9F" w:rsidRPr="000863A5" w:rsidTr="000A2B7C">
        <w:tc>
          <w:tcPr>
            <w:tcW w:w="8771" w:type="dxa"/>
            <w:tcBorders>
              <w:top w:val="single" w:sz="6" w:space="0" w:color="78A22F"/>
              <w:left w:val="nil"/>
              <w:bottom w:val="nil"/>
              <w:right w:val="nil"/>
            </w:tcBorders>
          </w:tcPr>
          <w:p w:rsidR="00026F9F" w:rsidRPr="00626D32" w:rsidRDefault="00026F9F" w:rsidP="000A2B7C">
            <w:pPr>
              <w:pStyle w:val="BoxSpaceBelow"/>
            </w:pPr>
          </w:p>
        </w:tc>
      </w:tr>
    </w:tbl>
    <w:p w:rsidR="00026F9F" w:rsidRDefault="00026F9F" w:rsidP="00026F9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6F9F" w:rsidRPr="00C249EF" w:rsidTr="000A2B7C">
        <w:tc>
          <w:tcPr>
            <w:tcW w:w="8771" w:type="dxa"/>
            <w:tcBorders>
              <w:top w:val="single" w:sz="6" w:space="0" w:color="78A22F"/>
              <w:left w:val="nil"/>
              <w:bottom w:val="nil"/>
              <w:right w:val="nil"/>
            </w:tcBorders>
            <w:shd w:val="clear" w:color="auto" w:fill="F2F2F2"/>
          </w:tcPr>
          <w:p w:rsidR="00026F9F" w:rsidRPr="00026F9F" w:rsidRDefault="00026F9F" w:rsidP="006D362D">
            <w:pPr>
              <w:pStyle w:val="BoxListNumber"/>
              <w:tabs>
                <w:tab w:val="clear" w:pos="284"/>
                <w:tab w:val="num" w:pos="403"/>
              </w:tabs>
              <w:ind w:left="403" w:hanging="403"/>
              <w:rPr>
                <w:i/>
                <w:sz w:val="22"/>
              </w:rPr>
            </w:pPr>
            <w:r w:rsidRPr="00026F9F">
              <w:rPr>
                <w:i/>
                <w:sz w:val="22"/>
              </w:rPr>
              <w:t>How, and to what extent, are PSAs using mobile broadband capability provided over commercial networks, and related products and applications, to support their operational activities? Are there any lessons or insights from these experiences, including the benefits that are being realised?</w:t>
            </w:r>
          </w:p>
          <w:p w:rsidR="00026F9F" w:rsidRPr="00026F9F" w:rsidRDefault="00026F9F" w:rsidP="006D362D">
            <w:pPr>
              <w:pStyle w:val="BoxListNumber"/>
              <w:tabs>
                <w:tab w:val="clear" w:pos="284"/>
                <w:tab w:val="num" w:pos="403"/>
              </w:tabs>
              <w:ind w:left="403" w:hanging="403"/>
              <w:rPr>
                <w:i/>
                <w:sz w:val="22"/>
              </w:rPr>
            </w:pPr>
            <w:r w:rsidRPr="00026F9F">
              <w:rPr>
                <w:i/>
                <w:sz w:val="22"/>
              </w:rPr>
              <w:t xml:space="preserve">How do other large organisations (such as government </w:t>
            </w:r>
            <w:r w:rsidR="00E5048B">
              <w:rPr>
                <w:i/>
                <w:sz w:val="22"/>
              </w:rPr>
              <w:t>and corporate organisations with certain requirements which may be similar to those of PSAs</w:t>
            </w:r>
            <w:r w:rsidRPr="00026F9F">
              <w:rPr>
                <w:i/>
                <w:sz w:val="22"/>
              </w:rPr>
              <w:t>) currently use mobile broadband services provided on commercial networks?</w:t>
            </w:r>
          </w:p>
          <w:p w:rsidR="00026F9F" w:rsidRPr="00026F9F" w:rsidRDefault="00026F9F" w:rsidP="006D362D">
            <w:pPr>
              <w:pStyle w:val="BoxListNumber"/>
              <w:tabs>
                <w:tab w:val="clear" w:pos="284"/>
                <w:tab w:val="num" w:pos="403"/>
              </w:tabs>
              <w:ind w:left="403" w:hanging="403"/>
              <w:rPr>
                <w:i/>
                <w:sz w:val="22"/>
              </w:rPr>
            </w:pPr>
            <w:r w:rsidRPr="00026F9F">
              <w:rPr>
                <w:i/>
                <w:sz w:val="22"/>
              </w:rPr>
              <w:t xml:space="preserve">What lessons or insights can be taken from the previous trials of Telstra’s LANES model, including during the G20 summit in November 2014? </w:t>
            </w:r>
          </w:p>
          <w:p w:rsidR="00026F9F" w:rsidRPr="00C249EF" w:rsidRDefault="00026F9F" w:rsidP="006D362D">
            <w:pPr>
              <w:pStyle w:val="BoxListNumber"/>
              <w:tabs>
                <w:tab w:val="clear" w:pos="284"/>
                <w:tab w:val="num" w:pos="403"/>
              </w:tabs>
              <w:ind w:left="403" w:hanging="403"/>
              <w:rPr>
                <w:i/>
                <w:sz w:val="22"/>
              </w:rPr>
            </w:pPr>
            <w:r w:rsidRPr="00026F9F">
              <w:rPr>
                <w:i/>
                <w:sz w:val="22"/>
              </w:rPr>
              <w:t>Can commercial network solutions that involve dedicated spectrum for PSAs (and prioritised capacity in other spectrum bands during emergency incidents) allow for interoperability between networks operated by other mobile carriers and/or for end user to roam across multiple networks? Are there any technical, institutional or commercial barriers that would prevent this outcome?</w:t>
            </w:r>
          </w:p>
        </w:tc>
      </w:tr>
      <w:tr w:rsidR="00026F9F" w:rsidTr="000A2B7C">
        <w:trPr>
          <w:cantSplit/>
        </w:trPr>
        <w:tc>
          <w:tcPr>
            <w:tcW w:w="8771" w:type="dxa"/>
            <w:tcBorders>
              <w:top w:val="nil"/>
              <w:left w:val="nil"/>
              <w:bottom w:val="single" w:sz="6" w:space="0" w:color="78A22F"/>
              <w:right w:val="nil"/>
            </w:tcBorders>
            <w:shd w:val="clear" w:color="auto" w:fill="F2F2F2"/>
          </w:tcPr>
          <w:p w:rsidR="00026F9F" w:rsidRDefault="00026F9F" w:rsidP="000A2B7C">
            <w:pPr>
              <w:pStyle w:val="Box"/>
              <w:spacing w:before="0" w:line="120" w:lineRule="exact"/>
            </w:pPr>
          </w:p>
        </w:tc>
      </w:tr>
      <w:tr w:rsidR="00026F9F" w:rsidRPr="000863A5" w:rsidTr="000A2B7C">
        <w:tc>
          <w:tcPr>
            <w:tcW w:w="8771" w:type="dxa"/>
            <w:tcBorders>
              <w:top w:val="single" w:sz="6" w:space="0" w:color="78A22F"/>
              <w:left w:val="nil"/>
              <w:bottom w:val="nil"/>
              <w:right w:val="nil"/>
            </w:tcBorders>
          </w:tcPr>
          <w:p w:rsidR="00026F9F" w:rsidRPr="00626D32" w:rsidRDefault="00026F9F" w:rsidP="000A2B7C">
            <w:pPr>
              <w:pStyle w:val="BoxSpaceBelow"/>
            </w:pPr>
          </w:p>
        </w:tc>
      </w:tr>
    </w:tbl>
    <w:p w:rsidR="00026F9F" w:rsidRDefault="00026F9F" w:rsidP="00026F9F">
      <w:pPr>
        <w:pStyle w:val="Heading3"/>
      </w:pPr>
      <w:r>
        <w:t xml:space="preserve">Potential opportunities </w:t>
      </w:r>
      <w:r w:rsidR="00E5048B">
        <w:t xml:space="preserve">for </w:t>
      </w:r>
      <w:r>
        <w:t xml:space="preserve">PSAs </w:t>
      </w:r>
      <w:r w:rsidR="00E5048B">
        <w:t xml:space="preserve">to </w:t>
      </w:r>
      <w:r>
        <w:t>use mobile broadband</w:t>
      </w:r>
    </w:p>
    <w:p w:rsidR="00026F9F" w:rsidRDefault="00026F9F" w:rsidP="00026F9F">
      <w:pPr>
        <w:pStyle w:val="BodyText"/>
      </w:pPr>
      <w:r>
        <w:t>In recent years, a range of stakeholders (including PSAs) have identified an opportunity for PSAs to take advantage of emerging digital mobile technologies</w:t>
      </w:r>
      <w:r w:rsidR="007E0AA0">
        <w:t>. T</w:t>
      </w:r>
      <w:r>
        <w:t xml:space="preserve">here has been ongoing policy discussion amongst the Australian and state and territory governments about ways to deliver PSMB capability. </w:t>
      </w:r>
      <w:r w:rsidR="00E5048B">
        <w:t xml:space="preserve">Current </w:t>
      </w:r>
      <w:r>
        <w:t xml:space="preserve">and potential use of communications services </w:t>
      </w:r>
      <w:r w:rsidR="00E5048B">
        <w:t xml:space="preserve">by PSAs </w:t>
      </w:r>
      <w:r>
        <w:t xml:space="preserve">has also come into focus during various inquiries into natural disasters, such as the Royal Commission into the Victorian Bushfires, and the Queensland Floods Commission of Inquiry </w:t>
      </w:r>
      <w:r w:rsidRPr="00026F9F">
        <w:rPr>
          <w:szCs w:val="24"/>
        </w:rPr>
        <w:t>(QFCI 2012; VBRC 2010)</w:t>
      </w:r>
      <w:r>
        <w:t xml:space="preserve">. </w:t>
      </w:r>
    </w:p>
    <w:p w:rsidR="00026F9F" w:rsidRDefault="00026F9F" w:rsidP="00026F9F">
      <w:pPr>
        <w:pStyle w:val="BodyText"/>
      </w:pPr>
      <w:r>
        <w:t xml:space="preserve">Mobile broadband services and applications have the potential to improve the operational capabilities of PSAs in several respects. Examples of applications identified by PSAs include </w:t>
      </w:r>
      <w:r w:rsidRPr="00026F9F">
        <w:rPr>
          <w:szCs w:val="24"/>
        </w:rPr>
        <w:t>(PJCLE 2013)</w:t>
      </w:r>
      <w:r>
        <w:t>:</w:t>
      </w:r>
    </w:p>
    <w:p w:rsidR="00026F9F" w:rsidRDefault="00026F9F" w:rsidP="00026F9F">
      <w:pPr>
        <w:pStyle w:val="ListBullet"/>
      </w:pPr>
      <w:r>
        <w:rPr>
          <w:i/>
        </w:rPr>
        <w:t>v</w:t>
      </w:r>
      <w:r w:rsidRPr="006B06C5">
        <w:rPr>
          <w:i/>
        </w:rPr>
        <w:t>ideo streaming</w:t>
      </w:r>
      <w:r>
        <w:rPr>
          <w:i/>
        </w:rPr>
        <w:t xml:space="preserve"> and</w:t>
      </w:r>
      <w:r w:rsidRPr="006B06C5">
        <w:rPr>
          <w:i/>
        </w:rPr>
        <w:t xml:space="preserve"> live video feed</w:t>
      </w:r>
      <w:r>
        <w:t xml:space="preserve"> — such as applications to enable remote medical support and patient monitoring, video feed of in</w:t>
      </w:r>
      <w:r>
        <w:noBreakHyphen/>
        <w:t>progress incidents or surveillance of particular sites, wireless clip</w:t>
      </w:r>
      <w:r>
        <w:noBreakHyphen/>
        <w:t>on cameras for use in building fire rescue, and airborne assessment of fire or flood scenes</w:t>
      </w:r>
    </w:p>
    <w:p w:rsidR="00026F9F" w:rsidRDefault="00026F9F" w:rsidP="00026F9F">
      <w:pPr>
        <w:pStyle w:val="ListBullet"/>
      </w:pPr>
      <w:r>
        <w:rPr>
          <w:i/>
        </w:rPr>
        <w:t xml:space="preserve">download/upload of high resolution imagery </w:t>
      </w:r>
      <w:r>
        <w:t>— such as applications to enable downloading earth exploration satellite images, real</w:t>
      </w:r>
      <w:r>
        <w:noBreakHyphen/>
        <w:t>time medical imaging, biometrics (fingerprints), images of persons of interest, and building layout maps</w:t>
      </w:r>
    </w:p>
    <w:p w:rsidR="00026F9F" w:rsidRDefault="00026F9F" w:rsidP="00026F9F">
      <w:pPr>
        <w:pStyle w:val="ListBullet"/>
        <w:spacing w:after="240"/>
      </w:pPr>
      <w:proofErr w:type="gramStart"/>
      <w:r>
        <w:rPr>
          <w:i/>
        </w:rPr>
        <w:t>v</w:t>
      </w:r>
      <w:r w:rsidRPr="00550852">
        <w:rPr>
          <w:i/>
        </w:rPr>
        <w:t>oice</w:t>
      </w:r>
      <w:proofErr w:type="gramEnd"/>
      <w:r>
        <w:rPr>
          <w:i/>
        </w:rPr>
        <w:t xml:space="preserve"> applications on LTE networks</w:t>
      </w:r>
      <w:r>
        <w:t xml:space="preserve"> — such as applications to enable push</w:t>
      </w:r>
      <w:r>
        <w:noBreakHyphen/>
        <w:t>to</w:t>
      </w:r>
      <w:r>
        <w:noBreakHyphen/>
        <w:t>talk, dispatch</w:t>
      </w:r>
      <w:r w:rsidR="00381C5A">
        <w:t>,</w:t>
      </w:r>
      <w:r>
        <w:t xml:space="preserve"> and group communication</w:t>
      </w:r>
      <w:r w:rsidR="00381C5A">
        <w:t>.</w:t>
      </w:r>
      <w:r>
        <w:t xml:space="preserve"> </w:t>
      </w:r>
    </w:p>
    <w:p w:rsidR="00026F9F" w:rsidRPr="000F564D" w:rsidRDefault="00026F9F" w:rsidP="00026F9F">
      <w:pPr>
        <w:pStyle w:val="BodyText"/>
      </w:pPr>
      <w:r w:rsidRPr="000F564D">
        <w:t xml:space="preserve">As noted above, mobile </w:t>
      </w:r>
      <w:r>
        <w:t xml:space="preserve">networks can also be used as a tool for PSAs communicating with the </w:t>
      </w:r>
      <w:r w:rsidRPr="000F564D">
        <w:t>community</w:t>
      </w:r>
      <w:r>
        <w:t xml:space="preserve"> </w:t>
      </w:r>
      <w:r w:rsidRPr="000F564D">
        <w:sym w:font="Symbol" w:char="F0BE"/>
      </w:r>
      <w:r w:rsidRPr="000F564D">
        <w:t xml:space="preserve"> </w:t>
      </w:r>
      <w:r>
        <w:t xml:space="preserve">for example, the </w:t>
      </w:r>
      <w:r w:rsidR="007E0AA0">
        <w:t xml:space="preserve">existing </w:t>
      </w:r>
      <w:r>
        <w:t>use of the Emergency Alert national warning system.</w:t>
      </w:r>
      <w:r w:rsidR="00C46790">
        <w:t xml:space="preserve"> </w:t>
      </w:r>
      <w:r>
        <w:t xml:space="preserve">A further potential opportunity in this area is the use of </w:t>
      </w:r>
      <w:r w:rsidRPr="000F564D">
        <w:t xml:space="preserve">crowdsourcing for situational awareness </w:t>
      </w:r>
      <w:r>
        <w:sym w:font="Symbol" w:char="F0BE"/>
      </w:r>
      <w:r w:rsidRPr="000F564D">
        <w:t xml:space="preserve"> such as the Real</w:t>
      </w:r>
      <w:r w:rsidR="00C46790">
        <w:noBreakHyphen/>
      </w:r>
      <w:r w:rsidRPr="000F564D">
        <w:t xml:space="preserve">Time Emergency Response application under </w:t>
      </w:r>
      <w:r w:rsidRPr="000F564D">
        <w:lastRenderedPageBreak/>
        <w:t xml:space="preserve">development at McGill </w:t>
      </w:r>
      <w:proofErr w:type="gramStart"/>
      <w:r w:rsidRPr="000F564D">
        <w:t>university</w:t>
      </w:r>
      <w:proofErr w:type="gramEnd"/>
      <w:r w:rsidRPr="000F564D">
        <w:t>, allowing PSAs to filter and organise real</w:t>
      </w:r>
      <w:r w:rsidR="00C46790">
        <w:noBreakHyphen/>
      </w:r>
      <w:r w:rsidRPr="000F564D">
        <w:t>time information including live video, Twitter feeds and other social media</w:t>
      </w:r>
      <w:r>
        <w:t xml:space="preserve"> </w:t>
      </w:r>
      <w:r w:rsidRPr="00026F9F">
        <w:rPr>
          <w:szCs w:val="24"/>
        </w:rPr>
        <w:t>(Shared Reality Labs 2015)</w:t>
      </w:r>
      <w:r w:rsidRPr="000F564D">
        <w:t xml:space="preserve">. </w:t>
      </w:r>
    </w:p>
    <w:p w:rsidR="00026F9F" w:rsidRDefault="00026F9F" w:rsidP="00026F9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6F9F" w:rsidRPr="00C249EF" w:rsidTr="000A2B7C">
        <w:tc>
          <w:tcPr>
            <w:tcW w:w="8771" w:type="dxa"/>
            <w:tcBorders>
              <w:top w:val="single" w:sz="6" w:space="0" w:color="78A22F"/>
              <w:left w:val="nil"/>
              <w:bottom w:val="nil"/>
              <w:right w:val="nil"/>
            </w:tcBorders>
            <w:shd w:val="clear" w:color="auto" w:fill="F2F2F2"/>
          </w:tcPr>
          <w:p w:rsidR="00026F9F" w:rsidRPr="00026F9F" w:rsidRDefault="00026F9F" w:rsidP="006D362D">
            <w:pPr>
              <w:pStyle w:val="BoxListNumber"/>
              <w:tabs>
                <w:tab w:val="clear" w:pos="284"/>
                <w:tab w:val="num" w:pos="403"/>
              </w:tabs>
              <w:ind w:left="403" w:hanging="403"/>
              <w:rPr>
                <w:i/>
                <w:sz w:val="22"/>
              </w:rPr>
            </w:pPr>
            <w:r w:rsidRPr="00026F9F">
              <w:rPr>
                <w:i/>
                <w:sz w:val="22"/>
              </w:rPr>
              <w:t>What applications could PSAs use if they had access to PSMB capability? How could this be expected to vary across PSAs?</w:t>
            </w:r>
          </w:p>
          <w:p w:rsidR="00026F9F" w:rsidRPr="00026F9F" w:rsidRDefault="00026F9F" w:rsidP="006D362D">
            <w:pPr>
              <w:pStyle w:val="BoxListNumber"/>
              <w:tabs>
                <w:tab w:val="clear" w:pos="284"/>
                <w:tab w:val="num" w:pos="403"/>
              </w:tabs>
              <w:ind w:left="403" w:hanging="403"/>
              <w:rPr>
                <w:i/>
                <w:sz w:val="22"/>
              </w:rPr>
            </w:pPr>
            <w:r w:rsidRPr="00026F9F">
              <w:rPr>
                <w:i/>
                <w:sz w:val="22"/>
              </w:rPr>
              <w:t>To what extent could these applications replace or supplement the capability and systems currently used by PSAs on their narrowband networks?</w:t>
            </w:r>
          </w:p>
          <w:p w:rsidR="00026F9F" w:rsidRPr="00C249EF" w:rsidRDefault="00026F9F" w:rsidP="006D362D">
            <w:pPr>
              <w:pStyle w:val="BoxListNumber"/>
              <w:tabs>
                <w:tab w:val="clear" w:pos="284"/>
                <w:tab w:val="num" w:pos="403"/>
              </w:tabs>
              <w:ind w:left="403" w:hanging="403"/>
              <w:rPr>
                <w:i/>
                <w:sz w:val="22"/>
              </w:rPr>
            </w:pPr>
            <w:r w:rsidRPr="00026F9F">
              <w:rPr>
                <w:i/>
                <w:sz w:val="22"/>
              </w:rPr>
              <w:t xml:space="preserve">How important are communications between PSAs and the community during emergency incidents? </w:t>
            </w:r>
          </w:p>
        </w:tc>
      </w:tr>
      <w:tr w:rsidR="00026F9F" w:rsidTr="000A2B7C">
        <w:trPr>
          <w:cantSplit/>
        </w:trPr>
        <w:tc>
          <w:tcPr>
            <w:tcW w:w="8771" w:type="dxa"/>
            <w:tcBorders>
              <w:top w:val="nil"/>
              <w:left w:val="nil"/>
              <w:bottom w:val="single" w:sz="6" w:space="0" w:color="78A22F"/>
              <w:right w:val="nil"/>
            </w:tcBorders>
            <w:shd w:val="clear" w:color="auto" w:fill="F2F2F2"/>
          </w:tcPr>
          <w:p w:rsidR="00026F9F" w:rsidRDefault="00026F9F" w:rsidP="000A2B7C">
            <w:pPr>
              <w:pStyle w:val="Box"/>
              <w:spacing w:before="0" w:line="120" w:lineRule="exact"/>
            </w:pPr>
          </w:p>
        </w:tc>
      </w:tr>
      <w:tr w:rsidR="00026F9F" w:rsidRPr="000863A5" w:rsidTr="000A2B7C">
        <w:tc>
          <w:tcPr>
            <w:tcW w:w="8771" w:type="dxa"/>
            <w:tcBorders>
              <w:top w:val="single" w:sz="6" w:space="0" w:color="78A22F"/>
              <w:left w:val="nil"/>
              <w:bottom w:val="nil"/>
              <w:right w:val="nil"/>
            </w:tcBorders>
          </w:tcPr>
          <w:p w:rsidR="00026F9F" w:rsidRPr="00626D32" w:rsidRDefault="00026F9F" w:rsidP="000A2B7C">
            <w:pPr>
              <w:pStyle w:val="BoxSpaceBelow"/>
            </w:pPr>
          </w:p>
        </w:tc>
      </w:tr>
    </w:tbl>
    <w:p w:rsidR="00D434A0" w:rsidRPr="00FD07E5" w:rsidRDefault="007D07AD" w:rsidP="00FD07E5">
      <w:pPr>
        <w:pStyle w:val="Heading2"/>
      </w:pPr>
      <w:fldSimple w:instr=" SEQ Heading2 ">
        <w:bookmarkStart w:id="9" w:name="_Toc417048498"/>
        <w:r w:rsidR="00C216DF">
          <w:rPr>
            <w:noProof/>
          </w:rPr>
          <w:t>5</w:t>
        </w:r>
      </w:fldSimple>
      <w:r w:rsidR="000A2B7C" w:rsidRPr="00FD07E5">
        <w:tab/>
        <w:t>Developing options for evaluation</w:t>
      </w:r>
      <w:bookmarkEnd w:id="9"/>
    </w:p>
    <w:p w:rsidR="000A2B7C" w:rsidRDefault="000A2B7C" w:rsidP="000A2B7C">
      <w:pPr>
        <w:pStyle w:val="BodyText"/>
        <w:rPr>
          <w:lang w:eastAsia="en-US"/>
        </w:rPr>
      </w:pPr>
      <w:r>
        <w:rPr>
          <w:lang w:eastAsia="en-US"/>
        </w:rPr>
        <w:t>While there is a general view that mobile broadband capability is an important enabler of PSAs, and access is highly desirable, there may be differen</w:t>
      </w:r>
      <w:r w:rsidR="007E0AA0">
        <w:rPr>
          <w:lang w:eastAsia="en-US"/>
        </w:rPr>
        <w:t xml:space="preserve">t views </w:t>
      </w:r>
      <w:r>
        <w:rPr>
          <w:lang w:eastAsia="en-US"/>
        </w:rPr>
        <w:t xml:space="preserve">about how PSMB capability is best provided. As such, one of the key tasks in this study will be to develop and evaluate </w:t>
      </w:r>
      <w:r w:rsidRPr="003959C5">
        <w:rPr>
          <w:i/>
          <w:lang w:eastAsia="en-US"/>
        </w:rPr>
        <w:t>specific</w:t>
      </w:r>
      <w:r>
        <w:rPr>
          <w:lang w:eastAsia="en-US"/>
        </w:rPr>
        <w:t xml:space="preserve"> PSMB options, taking into account the three broad approaches, and key characteristics of a PSMB capability, identified in the terms of reference.</w:t>
      </w:r>
    </w:p>
    <w:p w:rsidR="000A2B7C" w:rsidRDefault="000A2B7C" w:rsidP="000A2B7C">
      <w:pPr>
        <w:pStyle w:val="Heading3"/>
        <w:rPr>
          <w:lang w:eastAsia="en-US"/>
        </w:rPr>
      </w:pPr>
      <w:r>
        <w:rPr>
          <w:lang w:eastAsia="en-US"/>
        </w:rPr>
        <w:t xml:space="preserve">Three broad approaches to delivering PSMB capability </w:t>
      </w:r>
    </w:p>
    <w:p w:rsidR="000A2B7C" w:rsidRDefault="000A2B7C" w:rsidP="000A2B7C">
      <w:pPr>
        <w:pStyle w:val="BodyText"/>
      </w:pPr>
      <w:r>
        <w:t>The terms of reference direct the Commission to consider three ‘high level’ approaches for delivering a PSMB capability</w:t>
      </w:r>
      <w:r w:rsidR="006D362D">
        <w:t xml:space="preserve">: </w:t>
      </w:r>
      <w:r>
        <w:t>deploying a dedicated network for PSAs</w:t>
      </w:r>
      <w:r w:rsidR="006959B3">
        <w:t xml:space="preserve">; </w:t>
      </w:r>
      <w:r>
        <w:t>relying fully on commercial networks</w:t>
      </w:r>
      <w:r w:rsidR="006959B3">
        <w:t>;</w:t>
      </w:r>
      <w:r>
        <w:t xml:space="preserve"> or some combination of the two. </w:t>
      </w:r>
    </w:p>
    <w:p w:rsidR="000A2B7C" w:rsidRDefault="000A2B7C" w:rsidP="000A2B7C">
      <w:pPr>
        <w:pStyle w:val="Heading4"/>
      </w:pPr>
      <w:r>
        <w:t xml:space="preserve">A dedicated PSMB network </w:t>
      </w:r>
    </w:p>
    <w:p w:rsidR="000A2B7C" w:rsidRDefault="000A2B7C" w:rsidP="000A2B7C">
      <w:pPr>
        <w:pStyle w:val="BodyText"/>
      </w:pPr>
      <w:r>
        <w:t xml:space="preserve">PSAs have historically relied on dedicated </w:t>
      </w:r>
      <w:r w:rsidR="007E0AA0">
        <w:t xml:space="preserve">narrowband </w:t>
      </w:r>
      <w:r>
        <w:t xml:space="preserve">networks </w:t>
      </w:r>
      <w:r w:rsidR="007E0AA0">
        <w:t xml:space="preserve">(such as LMR networks) </w:t>
      </w:r>
      <w:r>
        <w:t xml:space="preserve">that are either exclusively used by a single PSA, or shared between multiple PSAs within a </w:t>
      </w:r>
      <w:r w:rsidR="007E0AA0">
        <w:t>state or territory</w:t>
      </w:r>
      <w:r>
        <w:t>. One way forward is to extend this model to delivering a PSMB capability. In broad terms, this might entail:</w:t>
      </w:r>
    </w:p>
    <w:p w:rsidR="000A2B7C" w:rsidRDefault="000A2B7C" w:rsidP="000A2B7C">
      <w:pPr>
        <w:pStyle w:val="ListBullet"/>
      </w:pPr>
      <w:r>
        <w:t>deploying dedicated network infrastructure and systems (potentially</w:t>
      </w:r>
      <w:r w:rsidR="007E0AA0">
        <w:t xml:space="preserve">, </w:t>
      </w:r>
      <w:r>
        <w:t>but not necessarily</w:t>
      </w:r>
      <w:r w:rsidR="007E0AA0">
        <w:t xml:space="preserve">, </w:t>
      </w:r>
      <w:r>
        <w:t>owned and controlled by PSAs or the relevant state or territory government entity)</w:t>
      </w:r>
    </w:p>
    <w:p w:rsidR="000A2B7C" w:rsidRDefault="000A2B7C" w:rsidP="000A2B7C">
      <w:pPr>
        <w:pStyle w:val="ListBullet"/>
      </w:pPr>
      <w:r>
        <w:t>the allocation of dedicated spectrum (potentially on an exclusive basis)</w:t>
      </w:r>
    </w:p>
    <w:p w:rsidR="000A2B7C" w:rsidRDefault="000A2B7C" w:rsidP="000A2B7C">
      <w:pPr>
        <w:pStyle w:val="ListBullet"/>
      </w:pPr>
      <w:proofErr w:type="gramStart"/>
      <w:r>
        <w:t>reuse</w:t>
      </w:r>
      <w:proofErr w:type="gramEnd"/>
      <w:r>
        <w:t xml:space="preserve"> of elements of existing </w:t>
      </w:r>
      <w:r w:rsidR="007E0AA0">
        <w:t xml:space="preserve">PSA narrowband </w:t>
      </w:r>
      <w:r>
        <w:t xml:space="preserve">networks. </w:t>
      </w:r>
    </w:p>
    <w:p w:rsidR="000A2B7C" w:rsidRDefault="000A2B7C" w:rsidP="000A2B7C">
      <w:pPr>
        <w:pStyle w:val="Heading4"/>
      </w:pPr>
      <w:r>
        <w:lastRenderedPageBreak/>
        <w:t xml:space="preserve">A commercial network(s) solution </w:t>
      </w:r>
    </w:p>
    <w:p w:rsidR="0078775F" w:rsidRDefault="000A2B7C" w:rsidP="0078775F">
      <w:pPr>
        <w:pStyle w:val="BodyText"/>
      </w:pPr>
      <w:r>
        <w:t xml:space="preserve">An alternative approach would be to rely fully on commercial networks to deliver mobile broadband capability to PSAs. </w:t>
      </w:r>
      <w:r w:rsidR="0078775F">
        <w:t>In broad terms, this might entail:</w:t>
      </w:r>
    </w:p>
    <w:p w:rsidR="000A2B7C" w:rsidRDefault="000A2B7C" w:rsidP="000A2B7C">
      <w:pPr>
        <w:pStyle w:val="ListBullet"/>
      </w:pPr>
      <w:r w:rsidRPr="002312DC">
        <w:t xml:space="preserve">PSAs </w:t>
      </w:r>
      <w:r>
        <w:t>purchasing PSMB capability as a ‘service’ from commercial operators, subject to agreed service levels</w:t>
      </w:r>
    </w:p>
    <w:p w:rsidR="000A2B7C" w:rsidRDefault="000A2B7C" w:rsidP="000A2B7C">
      <w:pPr>
        <w:pStyle w:val="ListBullet"/>
      </w:pPr>
      <w:r>
        <w:t xml:space="preserve">commercial providers drawing on their own networks and resources (including spectrum) to meet their </w:t>
      </w:r>
      <w:proofErr w:type="spellStart"/>
      <w:r>
        <w:t>contractual</w:t>
      </w:r>
      <w:proofErr w:type="spellEnd"/>
      <w:r>
        <w:t xml:space="preserve"> obligations</w:t>
      </w:r>
      <w:r w:rsidR="00536F5B">
        <w:t xml:space="preserve"> with PSAs</w:t>
      </w:r>
    </w:p>
    <w:p w:rsidR="000A2B7C" w:rsidRDefault="000A2B7C" w:rsidP="000A2B7C">
      <w:pPr>
        <w:pStyle w:val="ListBullet"/>
      </w:pPr>
      <w:proofErr w:type="gramStart"/>
      <w:r>
        <w:t>commercial</w:t>
      </w:r>
      <w:proofErr w:type="gramEnd"/>
      <w:r>
        <w:t xml:space="preserve"> providers augmenting (or ‘hardening’) parts of their networks to meet PSMB service requirements and agreed service levels. </w:t>
      </w:r>
    </w:p>
    <w:p w:rsidR="000A2B7C" w:rsidRPr="009A14AA" w:rsidRDefault="000A2B7C" w:rsidP="000A2B7C">
      <w:pPr>
        <w:pStyle w:val="Heading4"/>
      </w:pPr>
      <w:r>
        <w:t>Combination (or ‘hybrid’) approaches</w:t>
      </w:r>
    </w:p>
    <w:p w:rsidR="000A2B7C" w:rsidRDefault="000A2B7C" w:rsidP="000A2B7C">
      <w:pPr>
        <w:pStyle w:val="BodyText"/>
      </w:pPr>
      <w:r>
        <w:t xml:space="preserve">In principle, between the above ‘book end’ approaches there are various combinations of public and private inputs and operating models (such as public or private operation and control) that could be used to deliver PSMB capability. </w:t>
      </w:r>
    </w:p>
    <w:p w:rsidR="000A2B7C" w:rsidRDefault="000A2B7C" w:rsidP="000A2B7C">
      <w:pPr>
        <w:pStyle w:val="BodyText"/>
      </w:pPr>
      <w:r>
        <w:t xml:space="preserve">For example, possibilities include: </w:t>
      </w:r>
    </w:p>
    <w:p w:rsidR="000A2B7C" w:rsidRDefault="000A2B7C" w:rsidP="000A2B7C">
      <w:pPr>
        <w:pStyle w:val="ListBullet"/>
      </w:pPr>
      <w:r>
        <w:t xml:space="preserve">partly relying on one or more commercial networks, and partly relying on a dedicated PSMB network (for example, </w:t>
      </w:r>
      <w:r w:rsidR="008D6B53">
        <w:t xml:space="preserve">targeting specific disaster prone </w:t>
      </w:r>
      <w:r>
        <w:t xml:space="preserve">areas or </w:t>
      </w:r>
      <w:r w:rsidR="008D6B53">
        <w:t>significant population centres</w:t>
      </w:r>
      <w:r>
        <w:t>)</w:t>
      </w:r>
    </w:p>
    <w:p w:rsidR="000A2B7C" w:rsidRDefault="000A2B7C" w:rsidP="000A2B7C">
      <w:pPr>
        <w:pStyle w:val="ListBullet"/>
      </w:pPr>
      <w:proofErr w:type="gramStart"/>
      <w:r>
        <w:t>fully</w:t>
      </w:r>
      <w:proofErr w:type="gramEnd"/>
      <w:r>
        <w:t xml:space="preserve"> relying on commercial network infrastructure (for example, cell sites and Wi</w:t>
      </w:r>
      <w:r w:rsidR="00C46790">
        <w:noBreakHyphen/>
      </w:r>
      <w:r>
        <w:t>Fi network points) to deliver PSMB capability, but with dedicated spectrum being allocated for this purpose.</w:t>
      </w:r>
    </w:p>
    <w:p w:rsidR="000A2B7C" w:rsidRDefault="000A2B7C" w:rsidP="000A2B7C">
      <w:pPr>
        <w:pStyle w:val="Heading3"/>
      </w:pPr>
      <w:r>
        <w:t xml:space="preserve">Characteristics of a PSMB capability </w:t>
      </w:r>
    </w:p>
    <w:p w:rsidR="000A2B7C" w:rsidRDefault="000A2B7C" w:rsidP="000A2B7C">
      <w:pPr>
        <w:pStyle w:val="BodyText"/>
      </w:pPr>
      <w:r>
        <w:t>The Australian Government has indicated that — in developing and evaluating options for deploying PSMB capability — consideration should be given to particular characteristics of that capability. The Commission is seeking feedback on how these characteristics might influence the options that are developed and evaluated in this study, and the associated costs, benefits and risks of alternative options.</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C249EF" w:rsidRDefault="006959B3" w:rsidP="006D362D">
            <w:pPr>
              <w:pStyle w:val="BoxListNumber"/>
              <w:tabs>
                <w:tab w:val="clear" w:pos="284"/>
                <w:tab w:val="num" w:pos="403"/>
              </w:tabs>
              <w:ind w:left="403" w:hanging="403"/>
              <w:rPr>
                <w:i/>
                <w:sz w:val="22"/>
                <w:szCs w:val="24"/>
              </w:rPr>
            </w:pPr>
            <w:r>
              <w:rPr>
                <w:i/>
                <w:sz w:val="22"/>
              </w:rPr>
              <w:t>What</w:t>
            </w:r>
            <w:r w:rsidR="000A2B7C" w:rsidRPr="000A2B7C">
              <w:rPr>
                <w:i/>
                <w:sz w:val="22"/>
              </w:rPr>
              <w:t xml:space="preserve"> PSMB capability characteristics </w:t>
            </w:r>
            <w:r>
              <w:rPr>
                <w:i/>
                <w:sz w:val="22"/>
              </w:rPr>
              <w:t xml:space="preserve">should </w:t>
            </w:r>
            <w:r w:rsidR="000A2B7C" w:rsidRPr="000A2B7C">
              <w:rPr>
                <w:i/>
                <w:sz w:val="22"/>
              </w:rPr>
              <w:t>be considered in this study?</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F31B7A" w:rsidP="000A2B7C">
      <w:pPr>
        <w:pStyle w:val="Heading4"/>
      </w:pPr>
      <w:r>
        <w:lastRenderedPageBreak/>
        <w:t>I</w:t>
      </w:r>
      <w:r w:rsidR="000A2B7C" w:rsidRPr="000335F1">
        <w:t>nteroperability</w:t>
      </w:r>
    </w:p>
    <w:p w:rsidR="000A2B7C" w:rsidRDefault="000A2B7C" w:rsidP="000A2B7C">
      <w:pPr>
        <w:pStyle w:val="BodyText"/>
      </w:pPr>
      <w:proofErr w:type="spellStart"/>
      <w:r>
        <w:t>Radiocommunications</w:t>
      </w:r>
      <w:proofErr w:type="spellEnd"/>
      <w:r>
        <w:t xml:space="preserve"> interoperability — in the context of PSAs — refers to the ability of individual agencies to share voice and data communications with other PSAs, both within and across jurisdictions </w:t>
      </w:r>
      <w:r w:rsidRPr="000A2B7C">
        <w:rPr>
          <w:szCs w:val="24"/>
        </w:rPr>
        <w:t>(PJCLE 2013)</w:t>
      </w:r>
      <w:r>
        <w:t xml:space="preserve">. </w:t>
      </w:r>
    </w:p>
    <w:p w:rsidR="000A2B7C" w:rsidRDefault="000A2B7C" w:rsidP="000A2B7C">
      <w:pPr>
        <w:pStyle w:val="BodyText"/>
      </w:pPr>
      <w:r w:rsidRPr="000A2B7C">
        <w:t xml:space="preserve">Inquiries following the Victorian Bushfires in 2009 and the Queensland floods in 2011 highlighted that the interoperability of </w:t>
      </w:r>
      <w:r w:rsidR="008D6B53">
        <w:t xml:space="preserve">narrowband </w:t>
      </w:r>
      <w:r w:rsidRPr="000A2B7C">
        <w:t xml:space="preserve">networks </w:t>
      </w:r>
      <w:r w:rsidR="008D6B53">
        <w:t xml:space="preserve">used by PSAs </w:t>
      </w:r>
      <w:r w:rsidRPr="000A2B7C">
        <w:t xml:space="preserve">is often poor, and can limit the effectiveness and efficiency of PSA activities. Furthermore, both of these inquiries found that there were some examples of ineffective coordination with respect to information systems used within and across agencies (including dispatch and fire management systems) </w:t>
      </w:r>
      <w:r w:rsidRPr="000A2B7C">
        <w:rPr>
          <w:szCs w:val="24"/>
        </w:rPr>
        <w:t>(QFCI 2012; VBRC 2010)</w:t>
      </w:r>
      <w:r w:rsidRPr="000A2B7C">
        <w:t>.</w:t>
      </w:r>
      <w:r w:rsidR="008D6B53">
        <w:t xml:space="preserve"> T</w:t>
      </w:r>
      <w:r>
        <w:t>he ‘</w:t>
      </w:r>
      <w:r w:rsidRPr="00B71B0C">
        <w:t xml:space="preserve">National Framework to Improve Government </w:t>
      </w:r>
      <w:proofErr w:type="spellStart"/>
      <w:r w:rsidRPr="00B71B0C">
        <w:t>Radiocommunications</w:t>
      </w:r>
      <w:proofErr w:type="spellEnd"/>
      <w:r w:rsidRPr="00B71B0C">
        <w:t xml:space="preserve"> Interoperability</w:t>
      </w:r>
      <w:r>
        <w:t>’</w:t>
      </w:r>
      <w:r w:rsidRPr="00B71B0C">
        <w:t xml:space="preserve"> </w:t>
      </w:r>
      <w:r>
        <w:t xml:space="preserve">was introduced by COAG in 2010 with the objective of </w:t>
      </w:r>
      <w:r w:rsidRPr="00B71B0C">
        <w:t>transition</w:t>
      </w:r>
      <w:r>
        <w:t xml:space="preserve">ing </w:t>
      </w:r>
      <w:r w:rsidRPr="00B71B0C">
        <w:t xml:space="preserve">all domestic </w:t>
      </w:r>
      <w:proofErr w:type="spellStart"/>
      <w:r>
        <w:t>r</w:t>
      </w:r>
      <w:r w:rsidRPr="00B71B0C">
        <w:t>adiocommunications</w:t>
      </w:r>
      <w:proofErr w:type="spellEnd"/>
      <w:r w:rsidRPr="00B71B0C">
        <w:t xml:space="preserve"> equipment to interoperable systems by 2020</w:t>
      </w:r>
      <w:r>
        <w:t xml:space="preserve"> </w:t>
      </w:r>
      <w:r w:rsidRPr="000A2B7C">
        <w:rPr>
          <w:szCs w:val="24"/>
        </w:rPr>
        <w:t>(COAG 2009)</w:t>
      </w:r>
      <w:r>
        <w:t xml:space="preserve">.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How should ‘national interoperability’ be interpreted in this study? Does it include interoperability between networks, devices and applications used by PSA in different jurisdictions? Does it extend to integrating communications services between different local PSAs (for example, police, fire, ambulance and other responders)?</w:t>
            </w:r>
          </w:p>
          <w:p w:rsidR="000A2B7C" w:rsidRPr="000A2B7C" w:rsidRDefault="000A2B7C" w:rsidP="006D362D">
            <w:pPr>
              <w:pStyle w:val="BoxListNumber"/>
              <w:tabs>
                <w:tab w:val="clear" w:pos="284"/>
                <w:tab w:val="num" w:pos="403"/>
              </w:tabs>
              <w:ind w:left="403" w:hanging="403"/>
              <w:rPr>
                <w:i/>
                <w:sz w:val="22"/>
              </w:rPr>
            </w:pPr>
            <w:r w:rsidRPr="000A2B7C">
              <w:rPr>
                <w:i/>
                <w:sz w:val="22"/>
              </w:rPr>
              <w:t>Does delivering a PSMB capability raise any new opportunities for achieving national interoperability?</w:t>
            </w:r>
          </w:p>
          <w:p w:rsidR="000A2B7C" w:rsidRPr="000A2B7C" w:rsidRDefault="000A2B7C" w:rsidP="006D362D">
            <w:pPr>
              <w:pStyle w:val="BoxListNumber"/>
              <w:tabs>
                <w:tab w:val="clear" w:pos="284"/>
                <w:tab w:val="num" w:pos="403"/>
              </w:tabs>
              <w:ind w:left="403" w:hanging="403"/>
              <w:rPr>
                <w:i/>
                <w:sz w:val="22"/>
              </w:rPr>
            </w:pPr>
            <w:r w:rsidRPr="000A2B7C">
              <w:rPr>
                <w:i/>
                <w:sz w:val="22"/>
              </w:rPr>
              <w:t>Would the benefits, costs and risks of achieving national interoperability vary under different deployment options? If so, how?</w:t>
            </w:r>
          </w:p>
          <w:p w:rsidR="000A2B7C" w:rsidRPr="00C249EF" w:rsidRDefault="000A2B7C" w:rsidP="006D362D">
            <w:pPr>
              <w:pStyle w:val="BoxListNumber"/>
              <w:tabs>
                <w:tab w:val="clear" w:pos="284"/>
                <w:tab w:val="num" w:pos="403"/>
              </w:tabs>
              <w:ind w:left="403" w:hanging="403"/>
              <w:rPr>
                <w:i/>
                <w:sz w:val="22"/>
              </w:rPr>
            </w:pPr>
            <w:r w:rsidRPr="000A2B7C">
              <w:rPr>
                <w:i/>
                <w:sz w:val="22"/>
              </w:rPr>
              <w:t>What progress has been made in putting in place arrangements to better coordinate emergency communications within and across PSAs and jurisdictions?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t xml:space="preserve">Operation in </w:t>
      </w:r>
      <w:r w:rsidRPr="002D0F68">
        <w:t xml:space="preserve">both metropolitan and regional Australia </w:t>
      </w:r>
    </w:p>
    <w:p w:rsidR="000A2B7C" w:rsidRDefault="000A2B7C" w:rsidP="000A2B7C">
      <w:pPr>
        <w:pStyle w:val="BodyText"/>
      </w:pPr>
      <w:r w:rsidRPr="002D0F68">
        <w:t>T</w:t>
      </w:r>
      <w:r>
        <w:t xml:space="preserve">o deal with </w:t>
      </w:r>
      <w:r w:rsidRPr="002D0F68">
        <w:t>emergency events</w:t>
      </w:r>
      <w:r>
        <w:t>, PSAs often</w:t>
      </w:r>
      <w:r w:rsidRPr="002D0F68">
        <w:t xml:space="preserve"> </w:t>
      </w:r>
      <w:r>
        <w:t xml:space="preserve">require </w:t>
      </w:r>
      <w:r w:rsidRPr="002D0F68">
        <w:t xml:space="preserve">network coverage across large areas of metropolitan and regional Australia. Network coverage can be measured in </w:t>
      </w:r>
      <w:r>
        <w:t xml:space="preserve">different </w:t>
      </w:r>
      <w:r w:rsidRPr="002D0F68">
        <w:t xml:space="preserve">ways, for example, </w:t>
      </w:r>
      <w:r>
        <w:t xml:space="preserve">by estimating </w:t>
      </w:r>
      <w:r w:rsidRPr="002D0F68">
        <w:t xml:space="preserve">the percentage of the population that resides </w:t>
      </w:r>
      <w:r>
        <w:t xml:space="preserve">in the </w:t>
      </w:r>
      <w:r w:rsidRPr="002D0F68">
        <w:t>coverage</w:t>
      </w:r>
      <w:r>
        <w:t xml:space="preserve"> area,</w:t>
      </w:r>
      <w:r w:rsidRPr="002D0F68">
        <w:t xml:space="preserve"> or by estimating the land area or road miles covered by a network </w:t>
      </w:r>
      <w:r w:rsidRPr="000A2B7C">
        <w:rPr>
          <w:szCs w:val="24"/>
        </w:rPr>
        <w:t>(FCC 2013)</w:t>
      </w:r>
      <w:r>
        <w:t>.</w:t>
      </w:r>
      <w:r w:rsidR="00F45F6A">
        <w:t xml:space="preserve"> </w:t>
      </w:r>
    </w:p>
    <w:p w:rsidR="000A2B7C" w:rsidRDefault="000A2B7C" w:rsidP="000A2B7C">
      <w:pPr>
        <w:pStyle w:val="BodyText"/>
      </w:pPr>
      <w:r>
        <w:t xml:space="preserve">The level of mobile network coverage provided on commercial networks is determined by a range of factors, including commercial decisions about the type and amount of network infrastructure </w:t>
      </w:r>
      <w:proofErr w:type="gramStart"/>
      <w:r>
        <w:t>deployed,</w:t>
      </w:r>
      <w:proofErr w:type="gramEnd"/>
      <w:r>
        <w:t xml:space="preserve"> the amount and type of spectrum used and topographical factors </w:t>
      </w:r>
      <w:r w:rsidRPr="000A2B7C">
        <w:rPr>
          <w:szCs w:val="24"/>
        </w:rPr>
        <w:t>(FCC </w:t>
      </w:r>
      <w:proofErr w:type="spellStart"/>
      <w:r w:rsidRPr="000A2B7C">
        <w:rPr>
          <w:szCs w:val="24"/>
        </w:rPr>
        <w:t>nd</w:t>
      </w:r>
      <w:proofErr w:type="spellEnd"/>
      <w:r w:rsidRPr="000A2B7C">
        <w:rPr>
          <w:szCs w:val="24"/>
        </w:rPr>
        <w:t>)</w:t>
      </w:r>
      <w:r w:rsidRPr="0054558C">
        <w:t>.</w:t>
      </w:r>
      <w:r>
        <w:t xml:space="preserve"> There are potential ways that mobile network coverage </w:t>
      </w:r>
      <w:r w:rsidR="0018540E">
        <w:t>available to the end</w:t>
      </w:r>
      <w:r w:rsidR="0018540E">
        <w:noBreakHyphen/>
        <w:t xml:space="preserve">user </w:t>
      </w:r>
      <w:r>
        <w:t xml:space="preserve">can be extended in particular areas </w:t>
      </w:r>
      <w:r>
        <w:sym w:font="Symbol" w:char="F0BE"/>
      </w:r>
      <w:r>
        <w:t xml:space="preserve"> for example, </w:t>
      </w:r>
      <w:r w:rsidR="0018540E">
        <w:t xml:space="preserve">on a temporary basis </w:t>
      </w:r>
      <w:r>
        <w:t xml:space="preserve">by deploying ‘Cells on Wheels’ in </w:t>
      </w:r>
      <w:proofErr w:type="gramStart"/>
      <w:r>
        <w:t>an</w:t>
      </w:r>
      <w:proofErr w:type="gramEnd"/>
      <w:r>
        <w:t xml:space="preserve"> </w:t>
      </w:r>
      <w:r w:rsidR="0018540E">
        <w:t xml:space="preserve">localised </w:t>
      </w:r>
      <w:r>
        <w:t>incident area</w:t>
      </w:r>
      <w:r w:rsidR="0018540E">
        <w:t xml:space="preserve">, or by roaming </w:t>
      </w:r>
      <w:r w:rsidR="00416EE9">
        <w:t xml:space="preserve">across multiple networks.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level of network coverage do the existing networks used by PSAs </w:t>
            </w:r>
            <w:r w:rsidR="00553407">
              <w:rPr>
                <w:i/>
                <w:sz w:val="22"/>
              </w:rPr>
              <w:t>(</w:t>
            </w:r>
            <w:r w:rsidRPr="000A2B7C">
              <w:rPr>
                <w:i/>
                <w:sz w:val="22"/>
              </w:rPr>
              <w:t>for narrowband voice and low</w:t>
            </w:r>
            <w:r w:rsidR="00C46790">
              <w:rPr>
                <w:i/>
                <w:sz w:val="22"/>
              </w:rPr>
              <w:noBreakHyphen/>
            </w:r>
            <w:r w:rsidRPr="000A2B7C">
              <w:rPr>
                <w:i/>
                <w:sz w:val="22"/>
              </w:rPr>
              <w:t>speed data capability</w:t>
            </w:r>
            <w:r w:rsidR="00553407">
              <w:rPr>
                <w:i/>
                <w:sz w:val="22"/>
              </w:rPr>
              <w:t>)</w:t>
            </w:r>
            <w:r w:rsidRPr="000A2B7C">
              <w:rPr>
                <w:i/>
                <w:sz w:val="22"/>
              </w:rPr>
              <w:t xml:space="preserve"> currently provide?</w:t>
            </w:r>
            <w:r w:rsidR="00553407">
              <w:rPr>
                <w:i/>
                <w:sz w:val="22"/>
              </w:rPr>
              <w:t xml:space="preserve"> How does this vary across jurisdictions?</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level of mobile broadband network coverage do PSAs require across metropolitan and regional Australia? Does this vary for different PSAs? </w:t>
            </w:r>
          </w:p>
          <w:p w:rsidR="000A2B7C" w:rsidRPr="000A2B7C" w:rsidRDefault="000A2B7C" w:rsidP="006D362D">
            <w:pPr>
              <w:pStyle w:val="BoxListNumber"/>
              <w:tabs>
                <w:tab w:val="clear" w:pos="284"/>
                <w:tab w:val="num" w:pos="403"/>
              </w:tabs>
              <w:ind w:left="403" w:hanging="403"/>
              <w:rPr>
                <w:i/>
                <w:sz w:val="22"/>
              </w:rPr>
            </w:pPr>
            <w:r w:rsidRPr="000A2B7C">
              <w:rPr>
                <w:i/>
                <w:sz w:val="22"/>
              </w:rPr>
              <w:t>What is the most appropriate measure of network coverage for use in this study?</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options are there for extending the mobile coverage of commercial networks? </w:t>
            </w:r>
          </w:p>
          <w:p w:rsidR="000A2B7C" w:rsidRPr="00C249EF" w:rsidRDefault="000A2B7C" w:rsidP="006D362D">
            <w:pPr>
              <w:pStyle w:val="BoxListNumber"/>
              <w:tabs>
                <w:tab w:val="clear" w:pos="284"/>
                <w:tab w:val="num" w:pos="403"/>
              </w:tabs>
              <w:ind w:left="403" w:hanging="403"/>
              <w:rPr>
                <w:i/>
                <w:sz w:val="22"/>
              </w:rPr>
            </w:pPr>
            <w:r w:rsidRPr="000A2B7C">
              <w:rPr>
                <w:i/>
                <w:sz w:val="22"/>
              </w:rPr>
              <w:t>Would the benefits, costs and risks associated with achieving an acceptable level of network coverage for PSAs vary under different deployment options? If so, how? And with what operational consequences?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rsidRPr="000335F1">
        <w:t>The ability to integrate voice communications</w:t>
      </w:r>
    </w:p>
    <w:p w:rsidR="000A2B7C" w:rsidRDefault="000A2B7C" w:rsidP="000A2B7C">
      <w:pPr>
        <w:pStyle w:val="BodyText"/>
      </w:pPr>
      <w:r>
        <w:t xml:space="preserve">As noted in section 3, narrowband networks used by PSAs (such as LMR networks) have </w:t>
      </w:r>
      <w:r w:rsidR="00B25ED2">
        <w:t xml:space="preserve">primarily </w:t>
      </w:r>
      <w:r>
        <w:t>been used for voice communications. Various characteristics of voice service quality are important to PSAs, including the time taken to initiate communications, the ability to have ‘one</w:t>
      </w:r>
      <w:r>
        <w:noBreakHyphen/>
        <w:t>to</w:t>
      </w:r>
      <w:r>
        <w:noBreakHyphen/>
        <w:t>many’ communications on open channels</w:t>
      </w:r>
      <w:r w:rsidR="00B25ED2">
        <w:t xml:space="preserve">, and </w:t>
      </w:r>
      <w:r>
        <w:t xml:space="preserve">the level of network robustness and resilience </w:t>
      </w:r>
      <w:r w:rsidRPr="000A2B7C">
        <w:rPr>
          <w:szCs w:val="24"/>
        </w:rPr>
        <w:t>(Windsor Place Consulting 2014)</w:t>
      </w:r>
      <w:r>
        <w:t xml:space="preserve">. </w:t>
      </w:r>
    </w:p>
    <w:p w:rsidR="000A2B7C" w:rsidRDefault="000A2B7C" w:rsidP="000A2B7C">
      <w:pPr>
        <w:pStyle w:val="BodyText"/>
      </w:pPr>
      <w:r>
        <w:t>Mobile networks operat</w:t>
      </w:r>
      <w:r w:rsidR="00F31B7A">
        <w:t xml:space="preserve">ing </w:t>
      </w:r>
      <w:r>
        <w:t>in Australia provide voice and data capability to end</w:t>
      </w:r>
      <w:r>
        <w:noBreakHyphen/>
        <w:t>users. It will be important to understand in this study any technical, institutional, commercial or other challenges that may exist in using mobile broadband networks to deliver voice capability to PSAs for their operational activities</w:t>
      </w:r>
      <w:r w:rsidR="00B25ED2">
        <w:t>, and potential ways these could be overcome</w:t>
      </w:r>
      <w:r>
        <w:t>.</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344DCB" w:rsidRPr="00B25ED2" w:rsidRDefault="003C22D6" w:rsidP="006D362D">
            <w:pPr>
              <w:pStyle w:val="BoxListNumber"/>
              <w:tabs>
                <w:tab w:val="clear" w:pos="284"/>
                <w:tab w:val="num" w:pos="403"/>
              </w:tabs>
              <w:ind w:left="403" w:hanging="403"/>
              <w:rPr>
                <w:i/>
                <w:sz w:val="22"/>
                <w:szCs w:val="24"/>
              </w:rPr>
            </w:pPr>
            <w:r w:rsidRPr="00042FC8">
              <w:rPr>
                <w:i/>
                <w:sz w:val="22"/>
              </w:rPr>
              <w:t>How could voice services — traditionally carried on narrowband networks — be integrated into a mobile broadband network capability? What challenges and risks need to be accounted for</w:t>
            </w:r>
            <w:r>
              <w:rPr>
                <w:i/>
                <w:sz w:val="22"/>
              </w:rPr>
              <w:t>?</w:t>
            </w:r>
            <w:r w:rsidRPr="00042FC8">
              <w:rPr>
                <w:i/>
                <w:sz w:val="22"/>
              </w:rPr>
              <w:t xml:space="preserve"> </w:t>
            </w:r>
            <w:r w:rsidR="00344DCB" w:rsidRPr="00E5048B">
              <w:rPr>
                <w:i/>
                <w:sz w:val="22"/>
              </w:rPr>
              <w:t xml:space="preserve">Are the </w:t>
            </w:r>
            <w:r w:rsidR="00344DCB" w:rsidRPr="004500FA">
              <w:rPr>
                <w:i/>
                <w:sz w:val="22"/>
              </w:rPr>
              <w:t xml:space="preserve">challenges at the local level </w:t>
            </w:r>
            <w:r w:rsidR="00344DCB" w:rsidRPr="005E5408">
              <w:rPr>
                <w:i/>
                <w:sz w:val="22"/>
              </w:rPr>
              <w:t>(due to legacy</w:t>
            </w:r>
            <w:r w:rsidR="00344DCB" w:rsidRPr="00975870">
              <w:rPr>
                <w:i/>
                <w:sz w:val="22"/>
              </w:rPr>
              <w:t xml:space="preserve"> factors</w:t>
            </w:r>
            <w:r w:rsidR="00344DCB" w:rsidRPr="008D6B53">
              <w:rPr>
                <w:i/>
                <w:sz w:val="22"/>
              </w:rPr>
              <w:t>)</w:t>
            </w:r>
            <w:r w:rsidR="00344DCB" w:rsidRPr="00416EE9">
              <w:rPr>
                <w:i/>
                <w:sz w:val="22"/>
              </w:rPr>
              <w:t xml:space="preserve"> </w:t>
            </w:r>
            <w:r w:rsidR="00344DCB" w:rsidRPr="00B25ED2">
              <w:rPr>
                <w:i/>
                <w:sz w:val="22"/>
              </w:rPr>
              <w:t>greater than those at the national level?</w:t>
            </w:r>
          </w:p>
          <w:p w:rsidR="000A2B7C" w:rsidRPr="000A2B7C" w:rsidRDefault="000A2B7C" w:rsidP="006D362D">
            <w:pPr>
              <w:pStyle w:val="BoxListNumber"/>
              <w:tabs>
                <w:tab w:val="clear" w:pos="284"/>
                <w:tab w:val="num" w:pos="403"/>
              </w:tabs>
              <w:ind w:left="403" w:hanging="403"/>
              <w:rPr>
                <w:i/>
                <w:sz w:val="22"/>
                <w:szCs w:val="24"/>
              </w:rPr>
            </w:pPr>
            <w:r w:rsidRPr="000A2B7C">
              <w:rPr>
                <w:i/>
                <w:sz w:val="22"/>
              </w:rPr>
              <w:t xml:space="preserve">What challenges or opportunities arise (from a technical, institutional and/or commercial perspective) from such integration, and would the benefits, costs and risks vary under different options for PSMB? If so, how? </w:t>
            </w:r>
          </w:p>
          <w:p w:rsidR="000A2B7C" w:rsidRPr="00C249EF" w:rsidRDefault="000A2B7C" w:rsidP="006D362D">
            <w:pPr>
              <w:pStyle w:val="BoxListNumber"/>
              <w:tabs>
                <w:tab w:val="clear" w:pos="284"/>
                <w:tab w:val="num" w:pos="403"/>
              </w:tabs>
              <w:ind w:left="403" w:hanging="403"/>
              <w:rPr>
                <w:i/>
                <w:sz w:val="22"/>
                <w:szCs w:val="24"/>
              </w:rPr>
            </w:pPr>
            <w:r w:rsidRPr="000A2B7C">
              <w:rPr>
                <w:i/>
                <w:sz w:val="22"/>
              </w:rPr>
              <w:t>The Commission understands that there is currently work underway to develop voice applications for 4G/LTE networks for use in mission critical circumstances. When are these applications likely to become available</w:t>
            </w:r>
            <w:r w:rsidR="00B25ED2">
              <w:rPr>
                <w:i/>
                <w:sz w:val="22"/>
              </w:rPr>
              <w:t>?</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t>Maintain t</w:t>
      </w:r>
      <w:r w:rsidRPr="00DE47D8">
        <w:t>he integrity and security of communications</w:t>
      </w:r>
      <w:r>
        <w:t xml:space="preserve"> </w:t>
      </w:r>
    </w:p>
    <w:p w:rsidR="000A2B7C" w:rsidRDefault="000A2B7C" w:rsidP="000A2B7C">
      <w:pPr>
        <w:pStyle w:val="BodyText"/>
      </w:pPr>
      <w:r>
        <w:t xml:space="preserve">In developing deployment options, the Commission is to have regard to </w:t>
      </w:r>
      <w:r w:rsidRPr="006A021D">
        <w:t xml:space="preserve">the </w:t>
      </w:r>
      <w:r w:rsidRPr="00B16E2E">
        <w:t xml:space="preserve">security </w:t>
      </w:r>
      <w:r w:rsidR="00B25ED2">
        <w:t xml:space="preserve">and integrity of PSA </w:t>
      </w:r>
      <w:r w:rsidRPr="00B16E2E">
        <w:t>communications.</w:t>
      </w:r>
      <w:r>
        <w:t xml:space="preserve"> </w:t>
      </w:r>
      <w:r w:rsidR="00B25ED2">
        <w:t xml:space="preserve">Both physical and virtual </w:t>
      </w:r>
      <w:proofErr w:type="gramStart"/>
      <w:r w:rsidR="00B25ED2">
        <w:t>security are</w:t>
      </w:r>
      <w:proofErr w:type="gramEnd"/>
      <w:r w:rsidR="00B25ED2">
        <w:t xml:space="preserve"> relevant to </w:t>
      </w:r>
      <w:r w:rsidR="00B25ED2">
        <w:lastRenderedPageBreak/>
        <w:t xml:space="preserve">consider. </w:t>
      </w:r>
      <w:r w:rsidRPr="003959C5">
        <w:rPr>
          <w:i/>
        </w:rPr>
        <w:t>P</w:t>
      </w:r>
      <w:r w:rsidRPr="007E42B5">
        <w:rPr>
          <w:i/>
        </w:rPr>
        <w:t xml:space="preserve">hysical </w:t>
      </w:r>
      <w:r w:rsidRPr="00B84635">
        <w:rPr>
          <w:i/>
        </w:rPr>
        <w:t>security</w:t>
      </w:r>
      <w:r>
        <w:t xml:space="preserve"> refers to the ability to protect and secure physical network infrastructure, while v</w:t>
      </w:r>
      <w:r w:rsidRPr="00B84635">
        <w:rPr>
          <w:i/>
        </w:rPr>
        <w:t>irtual security</w:t>
      </w:r>
      <w:r>
        <w:t xml:space="preserve"> refers to the ability to prevent malicious attacks at the system and application level </w:t>
      </w:r>
      <w:r w:rsidR="00B25ED2">
        <w:sym w:font="Symbol" w:char="F0BE"/>
      </w:r>
      <w:r>
        <w:t xml:space="preserve"> such as cyber</w:t>
      </w:r>
      <w:r>
        <w:noBreakHyphen/>
        <w:t xml:space="preserve">attacks. Any new security issues or risks that a PSMB capability might involve, mitigate or exacerbate are relevant to consider in this study. </w:t>
      </w:r>
    </w:p>
    <w:p w:rsidR="000A2B7C" w:rsidRDefault="000A2B7C" w:rsidP="000A2B7C">
      <w:pPr>
        <w:pStyle w:val="BodyText"/>
      </w:pPr>
      <w:r>
        <w:t xml:space="preserve">Other sectors that have high security requirements for their telecommunications services </w:t>
      </w:r>
      <w:r>
        <w:sym w:font="Symbol" w:char="F0BE"/>
      </w:r>
      <w:r>
        <w:t xml:space="preserve"> for example, in the financial services sector </w:t>
      </w:r>
      <w:r>
        <w:sym w:font="Symbol" w:char="F0BE"/>
      </w:r>
      <w:r>
        <w:t xml:space="preserve"> use commercial infrastructure </w:t>
      </w:r>
      <w:r w:rsidR="00F43F62">
        <w:t>yet</w:t>
      </w:r>
      <w:r>
        <w:t xml:space="preserve"> have no dedicated spectrum allocated to them. </w:t>
      </w:r>
      <w:r w:rsidR="00B25ED2">
        <w:t xml:space="preserve">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What factors are important in ensuring the integrity and security of communications for PSAs? To what extent does this differ for different types of PSAs?</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Would the costs and risks associated with ensuring the integrity and security of communications differ depending on how a PSMB capability is delivered? If so, how? </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methods or metrics could be used to define and/or measure the level of security provided over a network that delivers mobile broadband capability? </w:t>
            </w:r>
          </w:p>
          <w:p w:rsidR="000A2B7C" w:rsidRPr="00C249EF" w:rsidRDefault="000A2B7C" w:rsidP="006D362D">
            <w:pPr>
              <w:pStyle w:val="BoxListNumber"/>
              <w:tabs>
                <w:tab w:val="clear" w:pos="284"/>
                <w:tab w:val="num" w:pos="403"/>
              </w:tabs>
              <w:ind w:left="403" w:hanging="403"/>
              <w:rPr>
                <w:i/>
                <w:sz w:val="22"/>
              </w:rPr>
            </w:pPr>
            <w:r w:rsidRPr="000A2B7C">
              <w:rPr>
                <w:i/>
                <w:sz w:val="22"/>
              </w:rPr>
              <w:t xml:space="preserve">What additional security needs </w:t>
            </w:r>
            <w:r w:rsidR="00344DCB">
              <w:rPr>
                <w:i/>
                <w:sz w:val="22"/>
              </w:rPr>
              <w:t xml:space="preserve">do </w:t>
            </w:r>
            <w:r w:rsidRPr="000A2B7C">
              <w:rPr>
                <w:i/>
                <w:sz w:val="22"/>
              </w:rPr>
              <w:t>PSAs have compared to other sectors with high security requirements</w:t>
            </w:r>
            <w:r w:rsidR="003E1761">
              <w:rPr>
                <w:i/>
                <w:sz w:val="22"/>
              </w:rPr>
              <w:t xml:space="preserve"> for their communications</w:t>
            </w:r>
            <w:r w:rsidRPr="000A2B7C">
              <w:rPr>
                <w:i/>
                <w:sz w:val="22"/>
              </w:rPr>
              <w:t>?</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rsidRPr="000335F1">
        <w:t>Accessibility, priority and sufficient capacity for PSAs</w:t>
      </w:r>
      <w:r>
        <w:t xml:space="preserve"> (particularly during periods of peak demand and localised incidents) </w:t>
      </w:r>
    </w:p>
    <w:p w:rsidR="000A2B7C" w:rsidRDefault="000A2B7C" w:rsidP="000A2B7C">
      <w:pPr>
        <w:pStyle w:val="BodyText"/>
      </w:pPr>
      <w:r>
        <w:t xml:space="preserve">Uncertainty around the timing, location and severity of emergency events means that demand peaks are hard to predict and plan for. Moreover, the consequences of PSAs </w:t>
      </w:r>
      <w:r w:rsidRPr="00DE47D8">
        <w:rPr>
          <w:i/>
        </w:rPr>
        <w:t>not</w:t>
      </w:r>
      <w:r>
        <w:t xml:space="preserve"> having access to communications capability could have significant costs for the broader community. The capacity or ‘throughput’ of a mobile network (the amount of traffic that </w:t>
      </w:r>
      <w:r w:rsidRPr="00D22B05">
        <w:t xml:space="preserve">can </w:t>
      </w:r>
      <w:r>
        <w:t xml:space="preserve">be transmitted) </w:t>
      </w:r>
      <w:r w:rsidR="003E1761">
        <w:t xml:space="preserve">is </w:t>
      </w:r>
      <w:r w:rsidR="003E1761" w:rsidRPr="003E1761">
        <w:t>usually measure</w:t>
      </w:r>
      <w:r w:rsidR="003E1761">
        <w:t>d</w:t>
      </w:r>
      <w:r w:rsidR="003E1761" w:rsidRPr="003E1761">
        <w:t xml:space="preserve"> in </w:t>
      </w:r>
      <w:r w:rsidR="003E1761">
        <w:t>‘</w:t>
      </w:r>
      <w:r w:rsidR="003E1761" w:rsidRPr="003E1761">
        <w:t>bits</w:t>
      </w:r>
      <w:r w:rsidR="003E1761">
        <w:t>’</w:t>
      </w:r>
      <w:r w:rsidR="003E1761" w:rsidRPr="003E1761">
        <w:t xml:space="preserve"> per second.</w:t>
      </w:r>
      <w:r w:rsidR="003E1761">
        <w:t xml:space="preserve"> </w:t>
      </w:r>
      <w:r w:rsidR="003E1761" w:rsidRPr="003E1761">
        <w:t xml:space="preserve">The capacity or throughput of a mobile network </w:t>
      </w:r>
      <w:r>
        <w:t>determines the types of applications that can be used</w:t>
      </w:r>
      <w:r w:rsidR="003E1761">
        <w:t xml:space="preserve"> on the network. </w:t>
      </w:r>
      <w:r w:rsidR="007B0306">
        <w:t>There are different measures of capacity on mobile networks</w:t>
      </w:r>
      <w:r w:rsidR="003E1761">
        <w:t xml:space="preserve"> </w:t>
      </w:r>
      <w:r w:rsidR="003E1761">
        <w:sym w:font="Symbol" w:char="F0BE"/>
      </w:r>
      <w:r w:rsidR="003E1761">
        <w:t xml:space="preserve"> for example, </w:t>
      </w:r>
      <w:r>
        <w:t xml:space="preserve">theoretical peak speeds, ‘cell edge’ data rates or </w:t>
      </w:r>
      <w:r w:rsidR="003E1761" w:rsidRPr="003E1761">
        <w:t>average sector throughput data rates which takes into account expected aggregate traffic.</w:t>
      </w:r>
      <w:r w:rsidR="00B7329F" w:rsidRPr="00B7329F">
        <w:rPr>
          <w:szCs w:val="24"/>
        </w:rPr>
        <w:t>(FCC 2010; Frias and Pérez 2012; GQ-AAS 2010; Motorola 2010; Nokia Siemens Network 2010)</w:t>
      </w:r>
      <w:r>
        <w:t xml:space="preserve">.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 xml:space="preserve">How should PSA demand for mobile broadband capability be estimated in this study, including their expected demand requirements into the future? </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methods or metrics could be used to define and/or measure the level of service capacity provided to PSAs? </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w:t>
            </w:r>
            <w:proofErr w:type="gramStart"/>
            <w:r w:rsidRPr="000A2B7C">
              <w:rPr>
                <w:i/>
                <w:sz w:val="22"/>
              </w:rPr>
              <w:t>level of capacity will</w:t>
            </w:r>
            <w:proofErr w:type="gramEnd"/>
            <w:r w:rsidRPr="000A2B7C">
              <w:rPr>
                <w:i/>
                <w:sz w:val="22"/>
              </w:rPr>
              <w:t xml:space="preserve"> PSAs need for a PSMB capability, and how will this differ between business as usual activities and large scale emergency incidents? </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How might the demand for PSMB capability differ between types of PSAs? How could </w:t>
            </w:r>
            <w:proofErr w:type="gramStart"/>
            <w:r w:rsidRPr="000A2B7C">
              <w:rPr>
                <w:i/>
                <w:sz w:val="22"/>
              </w:rPr>
              <w:t>competing</w:t>
            </w:r>
            <w:proofErr w:type="gramEnd"/>
            <w:r w:rsidRPr="000A2B7C">
              <w:rPr>
                <w:i/>
                <w:sz w:val="22"/>
              </w:rPr>
              <w:t xml:space="preserve"> demands amongst PSAs be managed? Should pa</w:t>
            </w:r>
            <w:r>
              <w:rPr>
                <w:i/>
                <w:sz w:val="22"/>
              </w:rPr>
              <w:t>rticular uses be prioritised?</w:t>
            </w:r>
          </w:p>
          <w:p w:rsidR="000A2B7C" w:rsidRPr="00C249EF" w:rsidRDefault="000A2B7C" w:rsidP="006D362D">
            <w:pPr>
              <w:pStyle w:val="BoxListNumber"/>
              <w:tabs>
                <w:tab w:val="clear" w:pos="284"/>
                <w:tab w:val="num" w:pos="403"/>
              </w:tabs>
              <w:ind w:left="403" w:hanging="403"/>
              <w:rPr>
                <w:i/>
                <w:sz w:val="22"/>
              </w:rPr>
            </w:pPr>
            <w:r w:rsidRPr="000A2B7C">
              <w:rPr>
                <w:i/>
                <w:sz w:val="22"/>
              </w:rPr>
              <w:t>How would the benefits, costs and risks of ensuring sufficient capacity vary under different deployment options?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rsidRPr="000335F1">
        <w:t>Resilience and continuity of services</w:t>
      </w:r>
      <w:r>
        <w:t xml:space="preserve"> </w:t>
      </w:r>
    </w:p>
    <w:p w:rsidR="000A2B7C" w:rsidRDefault="000A2B7C" w:rsidP="000A2B7C">
      <w:pPr>
        <w:pStyle w:val="BodyText"/>
      </w:pPr>
      <w:r>
        <w:t>Resilience can be defined as ‘the ability of the network to provide and maintain an acceptable level of service in the face of various faults and challenges to normal operation’ </w:t>
      </w:r>
      <w:r w:rsidRPr="000A2B7C">
        <w:rPr>
          <w:szCs w:val="24"/>
        </w:rPr>
        <w:t>(ENISA 2011, p. 12)</w:t>
      </w:r>
      <w:r>
        <w:t>. In practice, there are likely to be different views of, and ways to define, the minimum acceptable level of resilience for a PSMB capability, bearing in mind the nature of PSA operations (including mission critical operations) and the importance of maintaining continuity of service under adverse operating conditions.</w:t>
      </w:r>
    </w:p>
    <w:p w:rsidR="000A2B7C" w:rsidRDefault="000A2B7C" w:rsidP="000A2B7C">
      <w:pPr>
        <w:pStyle w:val="BodyText"/>
      </w:pPr>
      <w:r>
        <w:t xml:space="preserve">There </w:t>
      </w:r>
      <w:r w:rsidR="001223F5">
        <w:t>is</w:t>
      </w:r>
      <w:r>
        <w:t xml:space="preserve"> a range of factors that could have </w:t>
      </w:r>
      <w:r w:rsidR="00F43F62">
        <w:t xml:space="preserve">influence </w:t>
      </w:r>
      <w:r>
        <w:t xml:space="preserve">network resilience. For example, the </w:t>
      </w:r>
      <w:r w:rsidR="00423404">
        <w:t xml:space="preserve">level of </w:t>
      </w:r>
      <w:r>
        <w:t>battery back</w:t>
      </w:r>
      <w:r w:rsidR="00C46790">
        <w:noBreakHyphen/>
      </w:r>
      <w:r>
        <w:t>up capability provided</w:t>
      </w:r>
      <w:r w:rsidR="00423404">
        <w:t xml:space="preserve">, </w:t>
      </w:r>
      <w:r>
        <w:t xml:space="preserve">and the timescale for providing replacement services in the event of a physical or network based disruption.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What level of resilience do PSA narrowband networks usually provide and how does this differ from commercial mobile broadband networks?</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What methods or metrics could be used to define and/or measure the level of resilience provided by the networks used to deliver PSMB? </w:t>
            </w:r>
          </w:p>
          <w:p w:rsidR="000A2B7C" w:rsidRPr="000A2B7C" w:rsidRDefault="000A2B7C" w:rsidP="006D362D">
            <w:pPr>
              <w:pStyle w:val="BoxListNumber"/>
              <w:tabs>
                <w:tab w:val="clear" w:pos="284"/>
                <w:tab w:val="num" w:pos="403"/>
              </w:tabs>
              <w:ind w:left="403" w:hanging="403"/>
              <w:rPr>
                <w:i/>
                <w:sz w:val="22"/>
              </w:rPr>
            </w:pPr>
            <w:r w:rsidRPr="000A2B7C">
              <w:rPr>
                <w:i/>
                <w:sz w:val="22"/>
              </w:rPr>
              <w:t>What priority should be given to the capacity to stand up a replacement service within a specified timeframe in the event of a physical or network based disruption?</w:t>
            </w:r>
          </w:p>
          <w:p w:rsidR="000A2B7C" w:rsidRPr="00C249EF" w:rsidRDefault="000A2B7C" w:rsidP="006D362D">
            <w:pPr>
              <w:pStyle w:val="BoxListNumber"/>
              <w:tabs>
                <w:tab w:val="clear" w:pos="284"/>
                <w:tab w:val="num" w:pos="403"/>
              </w:tabs>
              <w:ind w:left="403" w:hanging="403"/>
              <w:rPr>
                <w:i/>
                <w:sz w:val="22"/>
              </w:rPr>
            </w:pPr>
            <w:r w:rsidRPr="000A2B7C">
              <w:rPr>
                <w:i/>
                <w:sz w:val="22"/>
              </w:rPr>
              <w:t xml:space="preserve">Are there any barriers (for example, institutional, informational and/or technological) to, or challenges associated with, delivering a resilient PSMB capability? How might this differ between different </w:t>
            </w:r>
            <w:r w:rsidR="00423404">
              <w:rPr>
                <w:i/>
                <w:sz w:val="22"/>
              </w:rPr>
              <w:t xml:space="preserve">deployment </w:t>
            </w:r>
            <w:r w:rsidRPr="000A2B7C">
              <w:rPr>
                <w:i/>
                <w:sz w:val="22"/>
              </w:rPr>
              <w:t>options?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Pr="000335F1" w:rsidRDefault="000A2B7C" w:rsidP="000A2B7C">
      <w:pPr>
        <w:pStyle w:val="Heading4"/>
      </w:pPr>
      <w:r w:rsidRPr="000335F1">
        <w:t>Susta</w:t>
      </w:r>
      <w:r>
        <w:t>i</w:t>
      </w:r>
      <w:r w:rsidRPr="000335F1">
        <w:t>nability of the arrangements</w:t>
      </w:r>
    </w:p>
    <w:p w:rsidR="000A2B7C" w:rsidRDefault="00F43F62" w:rsidP="000A2B7C">
      <w:pPr>
        <w:pStyle w:val="BodyText"/>
      </w:pPr>
      <w:r>
        <w:t>As far as practicable, a</w:t>
      </w:r>
      <w:r w:rsidR="000A2B7C">
        <w:t>ny PSMB solution would need to be sustainable in the face of future developments in technology (including at the network, application and end</w:t>
      </w:r>
      <w:r w:rsidR="000A2B7C">
        <w:noBreakHyphen/>
        <w:t>user device level), and flexible enough to take advantage of any such (cost</w:t>
      </w:r>
      <w:r w:rsidR="000A2B7C">
        <w:noBreakHyphen/>
        <w:t xml:space="preserve">effective) opportunities. </w:t>
      </w:r>
      <w:r w:rsidR="000A2B7C">
        <w:lastRenderedPageBreak/>
        <w:t xml:space="preserve">Sustainability in the face of expected growth in the demand for mobile broadband capability and capacity is also relevant </w:t>
      </w:r>
      <w:r w:rsidR="000A2B7C">
        <w:sym w:font="Symbol" w:char="F0BE"/>
      </w:r>
      <w:r w:rsidR="000A2B7C">
        <w:t xml:space="preserve"> any PSMB solution needs to account for future PSA requirements </w:t>
      </w:r>
      <w:r w:rsidR="004C0AFB" w:rsidRPr="004C0AFB">
        <w:rPr>
          <w:szCs w:val="24"/>
        </w:rPr>
        <w:t>(ACMA 2014a)</w:t>
      </w:r>
      <w:r w:rsidR="000A2B7C">
        <w:t>.</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How could future developments in technology, or growth in demand for mobile broadband services and capacity, affect the sustainability of PSMB capability under different deployment options?</w:t>
            </w:r>
          </w:p>
          <w:p w:rsidR="000A2B7C" w:rsidRPr="00C249EF" w:rsidRDefault="000A2B7C" w:rsidP="006D362D">
            <w:pPr>
              <w:pStyle w:val="BoxListNumber"/>
              <w:tabs>
                <w:tab w:val="clear" w:pos="284"/>
                <w:tab w:val="num" w:pos="403"/>
              </w:tabs>
              <w:ind w:left="403" w:hanging="403"/>
              <w:rPr>
                <w:i/>
                <w:sz w:val="22"/>
              </w:rPr>
            </w:pPr>
            <w:r w:rsidRPr="000A2B7C">
              <w:rPr>
                <w:i/>
                <w:sz w:val="22"/>
              </w:rPr>
              <w:t>How will the convergence of voice and data services affect the sustainability of PSMB capability under different deployment options?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rsidRPr="007F001E">
        <w:t>Nationally available by or before 2020</w:t>
      </w:r>
      <w:r>
        <w:t xml:space="preserve"> </w:t>
      </w:r>
    </w:p>
    <w:p w:rsidR="000A2B7C" w:rsidRDefault="000A2B7C" w:rsidP="000A2B7C">
      <w:pPr>
        <w:pStyle w:val="BodyText"/>
      </w:pPr>
      <w:r>
        <w:t xml:space="preserve">The Australian Government has indicated that a PSMB capability should be nationally available by or before 2020 to </w:t>
      </w:r>
      <w:r w:rsidRPr="00F36CFF">
        <w:t>coincide with the nationally agreed framework to improve government radio communications</w:t>
      </w:r>
      <w:r>
        <w:t>.</w:t>
      </w:r>
    </w:p>
    <w:p w:rsidR="000A2B7C" w:rsidRDefault="000A2B7C" w:rsidP="000A2B7C">
      <w:pPr>
        <w:pStyle w:val="BodyText"/>
      </w:pPr>
      <w:r>
        <w:t xml:space="preserve">There are likely to be time pressures associated with many potential PSMB solutions. For example, a dedicated PSMB network may require significant design, construction and procurement work, while a commercial solution could involve complex </w:t>
      </w:r>
      <w:proofErr w:type="spellStart"/>
      <w:r>
        <w:t>contractual</w:t>
      </w:r>
      <w:proofErr w:type="spellEnd"/>
      <w:r>
        <w:t xml:space="preserve"> negotiations. </w:t>
      </w:r>
      <w:r w:rsidRPr="002F49C1">
        <w:t>Therefore, a key issue to consider in this study is the feasibility of meeting this timing under different options, and any associated risks.</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C249EF" w:rsidRDefault="000A2B7C" w:rsidP="006D362D">
            <w:pPr>
              <w:pStyle w:val="BoxListNumber"/>
              <w:tabs>
                <w:tab w:val="clear" w:pos="284"/>
                <w:tab w:val="num" w:pos="403"/>
              </w:tabs>
              <w:ind w:left="403" w:hanging="403"/>
              <w:rPr>
                <w:i/>
                <w:sz w:val="22"/>
              </w:rPr>
            </w:pPr>
            <w:r w:rsidRPr="000A2B7C">
              <w:rPr>
                <w:i/>
                <w:sz w:val="22"/>
              </w:rPr>
              <w:t>What challenges are involved with delivering a mobile broadband capability to PSAs by 2020? Do these differ under alternative deployment options?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4"/>
      </w:pPr>
      <w:r w:rsidRPr="007F001E">
        <w:t>Compatible with a range of end</w:t>
      </w:r>
      <w:r>
        <w:noBreakHyphen/>
      </w:r>
      <w:r w:rsidRPr="007F001E">
        <w:t>user devices</w:t>
      </w:r>
      <w:r>
        <w:t xml:space="preserve"> </w:t>
      </w:r>
    </w:p>
    <w:p w:rsidR="000A2B7C" w:rsidRDefault="000A2B7C" w:rsidP="000A2B7C">
      <w:pPr>
        <w:pStyle w:val="BodyText"/>
      </w:pPr>
      <w:r>
        <w:t>PSAs use</w:t>
      </w:r>
      <w:r w:rsidR="00B06003">
        <w:t xml:space="preserve">, </w:t>
      </w:r>
      <w:r>
        <w:t>or could potentially use</w:t>
      </w:r>
      <w:r w:rsidR="00B06003">
        <w:t xml:space="preserve">, </w:t>
      </w:r>
      <w:r>
        <w:t>a range of field equipment, including off the shelf handsets (such as smart phones, tablets and laptops) and customised handsets, or other equipment that supports mobile broadband applications (for example, communication devices in ambulances or police cars). Any PSMB capability delivered to PSAs would need to be flexible enough to accommodate a range of existing and future end</w:t>
      </w:r>
      <w:r>
        <w:noBreakHyphen/>
        <w:t>user devices.</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What potential obstacles exist to a mobile broadband network being fully compatible with a range of end</w:t>
            </w:r>
            <w:r w:rsidR="001223F5">
              <w:rPr>
                <w:i/>
                <w:sz w:val="22"/>
              </w:rPr>
              <w:t>-</w:t>
            </w:r>
            <w:r w:rsidRPr="000A2B7C">
              <w:rPr>
                <w:i/>
                <w:sz w:val="22"/>
              </w:rPr>
              <w:t xml:space="preserve">user devices? Does this depend on </w:t>
            </w:r>
            <w:r w:rsidR="001223F5">
              <w:rPr>
                <w:i/>
                <w:sz w:val="22"/>
              </w:rPr>
              <w:t>the n</w:t>
            </w:r>
            <w:r w:rsidRPr="000A2B7C">
              <w:rPr>
                <w:i/>
                <w:sz w:val="22"/>
              </w:rPr>
              <w:t xml:space="preserve">etwork </w:t>
            </w:r>
            <w:r w:rsidR="001223F5">
              <w:rPr>
                <w:i/>
                <w:sz w:val="22"/>
              </w:rPr>
              <w:t>deployment option</w:t>
            </w:r>
            <w:r w:rsidRPr="000A2B7C">
              <w:rPr>
                <w:i/>
                <w:sz w:val="22"/>
              </w:rPr>
              <w:t xml:space="preserve">? </w:t>
            </w:r>
          </w:p>
          <w:p w:rsidR="000A2B7C" w:rsidRPr="00C249EF" w:rsidRDefault="000A2B7C" w:rsidP="006D362D">
            <w:pPr>
              <w:pStyle w:val="BoxListNumber"/>
              <w:tabs>
                <w:tab w:val="clear" w:pos="284"/>
                <w:tab w:val="num" w:pos="403"/>
              </w:tabs>
              <w:ind w:left="403" w:hanging="403"/>
              <w:rPr>
                <w:i/>
                <w:sz w:val="22"/>
              </w:rPr>
            </w:pPr>
            <w:r w:rsidRPr="000A2B7C">
              <w:rPr>
                <w:i/>
                <w:sz w:val="22"/>
              </w:rPr>
              <w:t xml:space="preserve">How does the method of ensuring interoperability impact </w:t>
            </w:r>
            <w:r w:rsidR="00344DCB">
              <w:rPr>
                <w:i/>
                <w:sz w:val="22"/>
              </w:rPr>
              <w:t xml:space="preserve">on </w:t>
            </w:r>
            <w:r w:rsidRPr="000A2B7C">
              <w:rPr>
                <w:i/>
                <w:sz w:val="22"/>
              </w:rPr>
              <w:t>the cost of the system to PSAs?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Pr="00EC6109" w:rsidRDefault="000A2B7C" w:rsidP="000A2B7C">
      <w:pPr>
        <w:pStyle w:val="Heading3"/>
      </w:pPr>
      <w:r w:rsidRPr="00EC6109">
        <w:lastRenderedPageBreak/>
        <w:t xml:space="preserve">Developing </w:t>
      </w:r>
      <w:r>
        <w:t xml:space="preserve">specific </w:t>
      </w:r>
      <w:r w:rsidRPr="00EC6109">
        <w:t xml:space="preserve">options for evaluation </w:t>
      </w:r>
    </w:p>
    <w:p w:rsidR="000A2B7C" w:rsidRDefault="000A2B7C" w:rsidP="000A2B7C">
      <w:pPr>
        <w:pStyle w:val="BodyText"/>
      </w:pPr>
      <w:r>
        <w:t xml:space="preserve">Although the aforementioned categories and characteristics provide broad guidance on the types of PSMB solutions </w:t>
      </w:r>
      <w:r w:rsidR="00B06003">
        <w:t>to</w:t>
      </w:r>
      <w:r>
        <w:t xml:space="preserve"> be considered in this study, specific options will need to be developed and evaluated in order to establish the best way forward. Various parameters and assumptions will need to be considered</w:t>
      </w:r>
      <w:r w:rsidR="00B06003">
        <w:t xml:space="preserve"> in this context</w:t>
      </w:r>
      <w:r>
        <w:t>, for example:</w:t>
      </w:r>
    </w:p>
    <w:p w:rsidR="000A2B7C" w:rsidRPr="00EC6109" w:rsidRDefault="000A2B7C" w:rsidP="000A2B7C">
      <w:pPr>
        <w:pStyle w:val="ListBullet"/>
      </w:pPr>
      <w:r>
        <w:t xml:space="preserve">the </w:t>
      </w:r>
      <w:r w:rsidRPr="003959C5">
        <w:rPr>
          <w:i/>
        </w:rPr>
        <w:t>type</w:t>
      </w:r>
      <w:r>
        <w:t xml:space="preserve"> and </w:t>
      </w:r>
      <w:r w:rsidRPr="003959C5">
        <w:rPr>
          <w:i/>
        </w:rPr>
        <w:t>amount</w:t>
      </w:r>
      <w:r>
        <w:t xml:space="preserve"> of network infrastructure used to deliver the PSMB capability, including the </w:t>
      </w:r>
      <w:r w:rsidRPr="00EC6109">
        <w:t xml:space="preserve">extent to which </w:t>
      </w:r>
      <w:r w:rsidRPr="0057229F">
        <w:rPr>
          <w:i/>
        </w:rPr>
        <w:t xml:space="preserve">existing </w:t>
      </w:r>
      <w:r w:rsidRPr="003959C5">
        <w:t>infrastructure</w:t>
      </w:r>
      <w:r w:rsidRPr="005F222E">
        <w:t xml:space="preserve"> </w:t>
      </w:r>
      <w:r w:rsidRPr="00EC6109">
        <w:t xml:space="preserve">(such as that owned by commercial carriers or PSAs) </w:t>
      </w:r>
      <w:r>
        <w:t>can be reused</w:t>
      </w:r>
      <w:r w:rsidR="00B90970">
        <w:t xml:space="preserve"> or leveraged</w:t>
      </w:r>
      <w:r w:rsidRPr="00EC6109">
        <w:t xml:space="preserve"> </w:t>
      </w:r>
    </w:p>
    <w:p w:rsidR="000A2B7C" w:rsidRDefault="000A2B7C" w:rsidP="000A2B7C">
      <w:pPr>
        <w:pStyle w:val="ListBullet"/>
      </w:pPr>
      <w:r w:rsidRPr="00EC6109">
        <w:t xml:space="preserve">the </w:t>
      </w:r>
      <w:r w:rsidRPr="002E4CA9">
        <w:rPr>
          <w:i/>
        </w:rPr>
        <w:t>type</w:t>
      </w:r>
      <w:r w:rsidRPr="00EC6109">
        <w:t xml:space="preserve"> and </w:t>
      </w:r>
      <w:r w:rsidRPr="002E4CA9">
        <w:rPr>
          <w:i/>
        </w:rPr>
        <w:t>amount</w:t>
      </w:r>
      <w:r w:rsidRPr="00EC6109">
        <w:t xml:space="preserve"> of spectrum utilised for </w:t>
      </w:r>
      <w:r>
        <w:t>PSMB</w:t>
      </w:r>
      <w:r w:rsidRPr="00EC6109">
        <w:t xml:space="preserve"> </w:t>
      </w:r>
      <w:r>
        <w:t xml:space="preserve">capability </w:t>
      </w:r>
      <w:r w:rsidRPr="00EC6109">
        <w:t>(and whether it is allocated exclusively for PSA use</w:t>
      </w:r>
      <w:r>
        <w:t xml:space="preserve">, </w:t>
      </w:r>
      <w:r w:rsidRPr="00EC6109">
        <w:t>or shared)</w:t>
      </w:r>
      <w:r>
        <w:t xml:space="preserve"> </w:t>
      </w:r>
    </w:p>
    <w:p w:rsidR="000A2B7C" w:rsidRPr="00EC6109" w:rsidRDefault="000A2B7C" w:rsidP="000A2B7C">
      <w:pPr>
        <w:pStyle w:val="ListBullet"/>
      </w:pPr>
      <w:r w:rsidRPr="00EC6109">
        <w:t xml:space="preserve">the amount of </w:t>
      </w:r>
      <w:r w:rsidRPr="0057229F">
        <w:rPr>
          <w:i/>
        </w:rPr>
        <w:t>network coverage</w:t>
      </w:r>
      <w:r w:rsidRPr="00EC6109">
        <w:t xml:space="preserve"> provided, and </w:t>
      </w:r>
      <w:r>
        <w:t xml:space="preserve">whether ‘overflow’ </w:t>
      </w:r>
      <w:r w:rsidRPr="00EC6109">
        <w:t>arrangements are in place</w:t>
      </w:r>
      <w:r w:rsidR="0058542C">
        <w:t xml:space="preserve">, such as those </w:t>
      </w:r>
      <w:r>
        <w:t>which allow PSA</w:t>
      </w:r>
      <w:r w:rsidR="0058542C">
        <w:t>s</w:t>
      </w:r>
      <w:r>
        <w:t xml:space="preserve"> to roam on to alternative networks if needed </w:t>
      </w:r>
    </w:p>
    <w:p w:rsidR="000A2B7C" w:rsidRPr="00EC6109" w:rsidRDefault="000A2B7C" w:rsidP="000A2B7C">
      <w:pPr>
        <w:pStyle w:val="ListBullet"/>
      </w:pPr>
      <w:r w:rsidRPr="00EC6109">
        <w:t xml:space="preserve">the </w:t>
      </w:r>
      <w:r w:rsidRPr="0057229F">
        <w:rPr>
          <w:i/>
        </w:rPr>
        <w:t xml:space="preserve">timing </w:t>
      </w:r>
      <w:r w:rsidRPr="00EC6109">
        <w:t>of the capability becoming available and any intermediate solutions that might be put in place during a transition period</w:t>
      </w:r>
    </w:p>
    <w:p w:rsidR="000A2B7C" w:rsidRDefault="000A2B7C" w:rsidP="000A2B7C">
      <w:pPr>
        <w:pStyle w:val="ListBullet"/>
      </w:pPr>
      <w:r w:rsidRPr="00EC6109">
        <w:t xml:space="preserve">the </w:t>
      </w:r>
      <w:r w:rsidRPr="0057229F">
        <w:rPr>
          <w:i/>
        </w:rPr>
        <w:t xml:space="preserve">institutional </w:t>
      </w:r>
      <w:r>
        <w:rPr>
          <w:i/>
        </w:rPr>
        <w:t xml:space="preserve">and implementation </w:t>
      </w:r>
      <w:r w:rsidRPr="0057229F">
        <w:rPr>
          <w:i/>
        </w:rPr>
        <w:t>arrangements</w:t>
      </w:r>
      <w:r w:rsidRPr="00EC6109">
        <w:t xml:space="preserve"> that underpin delivery of the capability, such as network ownership and management, or the pursuit of state</w:t>
      </w:r>
      <w:r>
        <w:noBreakHyphen/>
      </w:r>
      <w:r w:rsidRPr="00EC6109">
        <w:t>based or national solutions</w:t>
      </w:r>
      <w:r>
        <w:t>, and procurement models that may be used</w:t>
      </w:r>
    </w:p>
    <w:p w:rsidR="000A2B7C" w:rsidRDefault="000A2B7C" w:rsidP="000A2B7C">
      <w:pPr>
        <w:pStyle w:val="ListBullet"/>
      </w:pPr>
      <w:proofErr w:type="gramStart"/>
      <w:r w:rsidRPr="0029423D">
        <w:rPr>
          <w:i/>
        </w:rPr>
        <w:t>transitional</w:t>
      </w:r>
      <w:proofErr w:type="gramEnd"/>
      <w:r w:rsidRPr="0029423D">
        <w:rPr>
          <w:i/>
        </w:rPr>
        <w:t xml:space="preserve"> costs</w:t>
      </w:r>
      <w:r>
        <w:t xml:space="preserve"> depending on the degree of interoperability preferred as well as other related factors.</w:t>
      </w:r>
      <w:r w:rsidRPr="00EC6109">
        <w:t xml:space="preserve"> </w:t>
      </w:r>
    </w:p>
    <w:p w:rsidR="000A2B7C" w:rsidRDefault="000A2B7C" w:rsidP="000A2B7C">
      <w:pPr>
        <w:pStyle w:val="BodyText"/>
      </w:pPr>
      <w:r>
        <w:t xml:space="preserve">It is important </w:t>
      </w:r>
      <w:r w:rsidRPr="00CF7F2B">
        <w:t xml:space="preserve">that the options developed during this study are realistic, technically feasible, </w:t>
      </w:r>
      <w:r>
        <w:t xml:space="preserve">and </w:t>
      </w:r>
      <w:r w:rsidRPr="00CF7F2B">
        <w:t>are able to be evaluated given</w:t>
      </w:r>
      <w:r>
        <w:t xml:space="preserve"> publicly </w:t>
      </w:r>
      <w:r w:rsidRPr="00CF7F2B">
        <w:t>ava</w:t>
      </w:r>
      <w:r>
        <w:t xml:space="preserve">ilable information. </w:t>
      </w:r>
    </w:p>
    <w:p w:rsidR="000A2B7C" w:rsidRDefault="000A2B7C" w:rsidP="000A2B7C">
      <w:pPr>
        <w:pStyle w:val="BodyText"/>
      </w:pPr>
      <w:r>
        <w:t xml:space="preserve">A further consideration in developing options is whether any characteristics or parameters are assumed to be common to </w:t>
      </w:r>
      <w:r w:rsidRPr="00143628">
        <w:rPr>
          <w:i/>
        </w:rPr>
        <w:t xml:space="preserve">all </w:t>
      </w:r>
      <w:r>
        <w:t xml:space="preserve">options evaluated. For example, one possible assumption would be that </w:t>
      </w:r>
      <w:r w:rsidRPr="003B2F1E">
        <w:rPr>
          <w:i/>
        </w:rPr>
        <w:t xml:space="preserve">all </w:t>
      </w:r>
      <w:r>
        <w:t xml:space="preserve">considered options would be (largely) based on 4G/LTE mobile broadband technology and network architecture. This would be consistent with the view that the 3GPP LTE standard has been endorsed regionally, nationally and internationally as a preferred technology standard to support commercial and PPDR mobile broadband networks </w:t>
      </w:r>
      <w:r w:rsidRPr="000A2B7C">
        <w:rPr>
          <w:szCs w:val="24"/>
        </w:rPr>
        <w:t>(GQ-AAS 2011; TCCA 2013)</w:t>
      </w:r>
      <w:r>
        <w:t>.</w:t>
      </w:r>
    </w:p>
    <w:p w:rsidR="000A2B7C" w:rsidRDefault="000A2B7C" w:rsidP="000A2B7C">
      <w:pPr>
        <w:pStyle w:val="BodyText"/>
      </w:pPr>
      <w:r>
        <w:t>Consultation with stakeholders will be important for considering these issues and determining the feasibility of potential options, particularly from a technical</w:t>
      </w:r>
      <w:r w:rsidR="00BE240C">
        <w:t xml:space="preserve">, commercial and </w:t>
      </w:r>
      <w:r>
        <w:t>institutional perspective. Some initial guidance may also be taken from past studies that have looked into the issue of providing a PSMB capability.</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0A2B7C" w:rsidP="006D362D">
            <w:pPr>
              <w:pStyle w:val="BoxListNumber"/>
              <w:tabs>
                <w:tab w:val="clear" w:pos="284"/>
                <w:tab w:val="num" w:pos="403"/>
              </w:tabs>
              <w:ind w:left="403" w:hanging="403"/>
              <w:rPr>
                <w:i/>
                <w:sz w:val="22"/>
              </w:rPr>
            </w:pPr>
            <w:r w:rsidRPr="000A2B7C">
              <w:rPr>
                <w:i/>
                <w:sz w:val="22"/>
              </w:rPr>
              <w:t>What detailed options should be evaluated in this study? What underlying assumptions and key parameters would be associated with each option?</w:t>
            </w:r>
          </w:p>
          <w:p w:rsidR="000A2B7C" w:rsidRPr="00C249EF" w:rsidRDefault="000A2B7C" w:rsidP="006D362D">
            <w:pPr>
              <w:pStyle w:val="BoxListNumber"/>
              <w:tabs>
                <w:tab w:val="clear" w:pos="284"/>
                <w:tab w:val="num" w:pos="403"/>
              </w:tabs>
              <w:ind w:left="403" w:hanging="403"/>
              <w:rPr>
                <w:i/>
                <w:sz w:val="22"/>
              </w:rPr>
            </w:pPr>
            <w:r w:rsidRPr="000A2B7C">
              <w:rPr>
                <w:i/>
                <w:sz w:val="22"/>
              </w:rPr>
              <w:t>What (if any) assumptions or parameters should be ‘common’ across all options?</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Pr="00FD07E5" w:rsidRDefault="007D07AD" w:rsidP="00FD07E5">
      <w:pPr>
        <w:pStyle w:val="Heading2"/>
      </w:pPr>
      <w:fldSimple w:instr=" SEQ Heading2 ">
        <w:bookmarkStart w:id="10" w:name="_Toc417048499"/>
        <w:r w:rsidR="00C216DF">
          <w:rPr>
            <w:noProof/>
          </w:rPr>
          <w:t>6</w:t>
        </w:r>
      </w:fldSimple>
      <w:r w:rsidR="000A2B7C" w:rsidRPr="00FD07E5">
        <w:tab/>
        <w:t>Identifying and estimating costs</w:t>
      </w:r>
      <w:bookmarkEnd w:id="10"/>
    </w:p>
    <w:p w:rsidR="000A2B7C" w:rsidRDefault="000A2B7C" w:rsidP="000A2B7C">
      <w:pPr>
        <w:pStyle w:val="BodyText"/>
      </w:pPr>
      <w:r>
        <w:t>The potential costs of delivering a PSMB capability are broad and complex and are likely to include:</w:t>
      </w:r>
    </w:p>
    <w:p w:rsidR="000A2B7C" w:rsidRDefault="000A2B7C" w:rsidP="000A2B7C">
      <w:pPr>
        <w:pStyle w:val="ListBullet"/>
      </w:pPr>
      <w:r>
        <w:t xml:space="preserve">network costs — that is, the cost of building and operating a dedicated network, using (and potentially augmenting or ‘hardening’) existing commercial networks, or some combination of these approaches </w:t>
      </w:r>
    </w:p>
    <w:p w:rsidR="000A2B7C" w:rsidRDefault="000A2B7C" w:rsidP="000A2B7C">
      <w:pPr>
        <w:pStyle w:val="ListBullet"/>
      </w:pPr>
      <w:r>
        <w:t>the opportunity costs of any spectrum allocated as part of a PSMB solution</w:t>
      </w:r>
    </w:p>
    <w:p w:rsidR="000A2B7C" w:rsidRDefault="000A2B7C" w:rsidP="000A2B7C">
      <w:pPr>
        <w:pStyle w:val="ListBullet"/>
      </w:pPr>
      <w:r>
        <w:t>the efficiency costs of raising revenue via taxation for a PSMB solution</w:t>
      </w:r>
    </w:p>
    <w:p w:rsidR="000A2B7C" w:rsidRDefault="000A2B7C" w:rsidP="000A2B7C">
      <w:pPr>
        <w:pStyle w:val="ListBullet"/>
      </w:pPr>
      <w:r>
        <w:t>any costs imposed on non</w:t>
      </w:r>
      <w:r>
        <w:noBreakHyphen/>
        <w:t>PSA users, such as reduced data transmission speeds or service availability</w:t>
      </w:r>
    </w:p>
    <w:p w:rsidR="000A2B7C" w:rsidRDefault="000A2B7C" w:rsidP="000A2B7C">
      <w:pPr>
        <w:pStyle w:val="ListBullet"/>
      </w:pPr>
      <w:proofErr w:type="gramStart"/>
      <w:r>
        <w:t>the</w:t>
      </w:r>
      <w:proofErr w:type="gramEnd"/>
      <w:r>
        <w:t xml:space="preserve"> option value of delaying investment (that is, the expected value of delaying some or all investment until more information becomes available — a ‘real options’ approach).</w:t>
      </w:r>
      <w:r w:rsidRPr="00D73F84">
        <w:t xml:space="preserve"> </w:t>
      </w:r>
    </w:p>
    <w:p w:rsidR="000A2B7C" w:rsidRDefault="000A2B7C" w:rsidP="000A2B7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A2B7C" w:rsidRPr="00C249EF" w:rsidTr="000A2B7C">
        <w:tc>
          <w:tcPr>
            <w:tcW w:w="8771" w:type="dxa"/>
            <w:tcBorders>
              <w:top w:val="single" w:sz="6" w:space="0" w:color="78A22F"/>
              <w:left w:val="nil"/>
              <w:bottom w:val="nil"/>
              <w:right w:val="nil"/>
            </w:tcBorders>
            <w:shd w:val="clear" w:color="auto" w:fill="F2F2F2"/>
          </w:tcPr>
          <w:p w:rsidR="000A2B7C" w:rsidRPr="000A2B7C" w:rsidRDefault="004500FA" w:rsidP="006D362D">
            <w:pPr>
              <w:pStyle w:val="BoxListNumber"/>
              <w:tabs>
                <w:tab w:val="clear" w:pos="284"/>
                <w:tab w:val="num" w:pos="403"/>
              </w:tabs>
              <w:ind w:left="403" w:hanging="403"/>
              <w:rPr>
                <w:i/>
                <w:sz w:val="22"/>
              </w:rPr>
            </w:pPr>
            <w:r>
              <w:rPr>
                <w:i/>
                <w:sz w:val="22"/>
              </w:rPr>
              <w:t xml:space="preserve">What are the </w:t>
            </w:r>
            <w:r w:rsidRPr="00292532">
              <w:rPr>
                <w:i/>
                <w:sz w:val="22"/>
              </w:rPr>
              <w:t xml:space="preserve">sources of </w:t>
            </w:r>
            <w:r>
              <w:rPr>
                <w:i/>
                <w:sz w:val="22"/>
              </w:rPr>
              <w:t xml:space="preserve">costs </w:t>
            </w:r>
            <w:r w:rsidRPr="00292532">
              <w:rPr>
                <w:i/>
                <w:sz w:val="22"/>
              </w:rPr>
              <w:t>relevant to this study?</w:t>
            </w:r>
          </w:p>
          <w:p w:rsidR="000A2B7C" w:rsidRPr="000A2B7C" w:rsidRDefault="000A2B7C" w:rsidP="006D362D">
            <w:pPr>
              <w:pStyle w:val="BoxListNumber"/>
              <w:tabs>
                <w:tab w:val="clear" w:pos="284"/>
                <w:tab w:val="num" w:pos="403"/>
              </w:tabs>
              <w:ind w:left="403" w:hanging="403"/>
              <w:rPr>
                <w:i/>
                <w:sz w:val="22"/>
              </w:rPr>
            </w:pPr>
            <w:r w:rsidRPr="000A2B7C">
              <w:rPr>
                <w:i/>
                <w:sz w:val="22"/>
              </w:rPr>
              <w:t xml:space="preserve">In what ways could delivering a PSMB capability affect non PSA users? How would these effects differ across </w:t>
            </w:r>
            <w:r w:rsidR="001223F5">
              <w:rPr>
                <w:i/>
                <w:sz w:val="22"/>
              </w:rPr>
              <w:t xml:space="preserve">deployment </w:t>
            </w:r>
            <w:r w:rsidRPr="000A2B7C">
              <w:rPr>
                <w:i/>
                <w:sz w:val="22"/>
              </w:rPr>
              <w:t>options? What methods could be used to estimate these effects?</w:t>
            </w:r>
          </w:p>
          <w:p w:rsidR="000A2B7C" w:rsidRPr="00C249EF" w:rsidRDefault="000A2B7C" w:rsidP="006D362D">
            <w:pPr>
              <w:pStyle w:val="BoxListNumber"/>
              <w:tabs>
                <w:tab w:val="clear" w:pos="284"/>
                <w:tab w:val="num" w:pos="403"/>
              </w:tabs>
              <w:ind w:left="403" w:hanging="403"/>
              <w:rPr>
                <w:i/>
                <w:sz w:val="22"/>
              </w:rPr>
            </w:pPr>
            <w:r w:rsidRPr="000A2B7C">
              <w:rPr>
                <w:i/>
                <w:sz w:val="22"/>
              </w:rPr>
              <w:t>Is it appropriate to consider option values as part of the cost benefit analysis in this study? If so, how? What information or data is relevant?</w:t>
            </w:r>
          </w:p>
        </w:tc>
      </w:tr>
      <w:tr w:rsidR="000A2B7C" w:rsidTr="000A2B7C">
        <w:trPr>
          <w:cantSplit/>
        </w:trPr>
        <w:tc>
          <w:tcPr>
            <w:tcW w:w="8771" w:type="dxa"/>
            <w:tcBorders>
              <w:top w:val="nil"/>
              <w:left w:val="nil"/>
              <w:bottom w:val="single" w:sz="6" w:space="0" w:color="78A22F"/>
              <w:right w:val="nil"/>
            </w:tcBorders>
            <w:shd w:val="clear" w:color="auto" w:fill="F2F2F2"/>
          </w:tcPr>
          <w:p w:rsidR="000A2B7C" w:rsidRDefault="000A2B7C" w:rsidP="000A2B7C">
            <w:pPr>
              <w:pStyle w:val="Box"/>
              <w:spacing w:before="0" w:line="120" w:lineRule="exact"/>
            </w:pPr>
          </w:p>
        </w:tc>
      </w:tr>
      <w:tr w:rsidR="000A2B7C" w:rsidRPr="000863A5" w:rsidTr="000A2B7C">
        <w:tc>
          <w:tcPr>
            <w:tcW w:w="8771" w:type="dxa"/>
            <w:tcBorders>
              <w:top w:val="single" w:sz="6" w:space="0" w:color="78A22F"/>
              <w:left w:val="nil"/>
              <w:bottom w:val="nil"/>
              <w:right w:val="nil"/>
            </w:tcBorders>
          </w:tcPr>
          <w:p w:rsidR="000A2B7C" w:rsidRPr="00626D32" w:rsidRDefault="000A2B7C" w:rsidP="000A2B7C">
            <w:pPr>
              <w:pStyle w:val="BoxSpaceBelow"/>
            </w:pPr>
          </w:p>
        </w:tc>
      </w:tr>
    </w:tbl>
    <w:p w:rsidR="000A2B7C" w:rsidRDefault="000A2B7C" w:rsidP="000A2B7C">
      <w:pPr>
        <w:pStyle w:val="Heading3"/>
      </w:pPr>
      <w:r>
        <w:t>Network costs</w:t>
      </w:r>
    </w:p>
    <w:p w:rsidR="000A2B7C" w:rsidRPr="007A1C0F" w:rsidRDefault="000A2B7C" w:rsidP="000A2B7C">
      <w:pPr>
        <w:pStyle w:val="BodyText"/>
      </w:pPr>
      <w:r>
        <w:t>Mobile networks are capital intensive and involve large fixed costs, and ongoing operating costs, both at the network and organisational</w:t>
      </w:r>
      <w:r>
        <w:noBreakHyphen/>
        <w:t>level (a high</w:t>
      </w:r>
      <w:r>
        <w:noBreakHyphen/>
        <w:t>level summary of network cost categories is provided in box 4). Mobile networks are also incrementally upgraded over time to expand coverage and capacity, and to incorporate new technologies.</w:t>
      </w:r>
    </w:p>
    <w:p w:rsidR="000A2B7C" w:rsidRDefault="000A2B7C" w:rsidP="000A2B7C">
      <w:pPr>
        <w:pStyle w:val="BodyText"/>
      </w:pPr>
      <w:r>
        <w:t xml:space="preserve">The purpose of any cost estimation exercise in this study is to estimate the relative differences in total costs of different options for delivering PSMB, including total network costs. Broadly, this would require an understanding of the </w:t>
      </w:r>
      <w:r w:rsidR="00E11410">
        <w:t xml:space="preserve">expected traffic volumes and </w:t>
      </w:r>
      <w:r>
        <w:t xml:space="preserve">network architecture associated with a given option </w:t>
      </w:r>
      <w:r>
        <w:sym w:font="Symbol" w:char="F0BE"/>
      </w:r>
      <w:r>
        <w:t xml:space="preserve"> including the mix of infrastructure required to deliver a designated level of capability </w:t>
      </w:r>
      <w:r>
        <w:sym w:font="Symbol" w:char="F0BE"/>
      </w:r>
      <w:r>
        <w:t xml:space="preserve"> and the costs associated with (or value of) different network </w:t>
      </w:r>
      <w:r w:rsidR="00256E43">
        <w:t xml:space="preserve">infrastructure </w:t>
      </w:r>
      <w:r>
        <w:t xml:space="preserve">elements and </w:t>
      </w:r>
      <w:r w:rsidR="00256E43">
        <w:t>operation</w:t>
      </w:r>
      <w:r>
        <w:t xml:space="preserve">. </w:t>
      </w:r>
    </w:p>
    <w:p w:rsidR="000A2B7C" w:rsidRDefault="000A2B7C" w:rsidP="000A2B7C">
      <w:pPr>
        <w:pStyle w:val="BodyText"/>
      </w:pPr>
      <w:r>
        <w:t>There are different methods that could be used to assist the estimation of costs in this study, including those based on ‘top</w:t>
      </w:r>
      <w:r>
        <w:noBreakHyphen/>
        <w:t>down’ or ‘bottom</w:t>
      </w:r>
      <w:r>
        <w:noBreakHyphen/>
        <w:t>up’ cost modelling approaches (or variants of these). For example, a</w:t>
      </w:r>
      <w:r w:rsidRPr="009257EC">
        <w:t xml:space="preserve"> </w:t>
      </w:r>
      <w:r w:rsidRPr="009257EC">
        <w:rPr>
          <w:i/>
        </w:rPr>
        <w:t>top</w:t>
      </w:r>
      <w:r>
        <w:rPr>
          <w:i/>
        </w:rPr>
        <w:noBreakHyphen/>
      </w:r>
      <w:r w:rsidRPr="009257EC">
        <w:rPr>
          <w:i/>
        </w:rPr>
        <w:t>down approach</w:t>
      </w:r>
      <w:r w:rsidRPr="009257EC">
        <w:t xml:space="preserve"> could involve </w:t>
      </w:r>
      <w:r>
        <w:t xml:space="preserve">using </w:t>
      </w:r>
      <w:r w:rsidRPr="009257EC">
        <w:t xml:space="preserve">actual (historical) </w:t>
      </w:r>
      <w:r>
        <w:t xml:space="preserve">accounting </w:t>
      </w:r>
      <w:r w:rsidR="000946E2">
        <w:t xml:space="preserve">data from </w:t>
      </w:r>
      <w:r w:rsidR="004C0AFB">
        <w:t xml:space="preserve">mobile network operators </w:t>
      </w:r>
      <w:r>
        <w:t xml:space="preserve">as a starting point for estimating costs. The network architecture and configuration of existing networks </w:t>
      </w:r>
      <w:r w:rsidR="00E97458">
        <w:t xml:space="preserve">could </w:t>
      </w:r>
      <w:r w:rsidR="00E97458">
        <w:lastRenderedPageBreak/>
        <w:t>also</w:t>
      </w:r>
      <w:r>
        <w:t xml:space="preserve"> form the basis for reaching estimates on relevant capital and operating costs to deliver a PSMB capability. A </w:t>
      </w:r>
      <w:r>
        <w:rPr>
          <w:i/>
        </w:rPr>
        <w:t>bottom</w:t>
      </w:r>
      <w:r>
        <w:rPr>
          <w:i/>
        </w:rPr>
        <w:noBreakHyphen/>
      </w:r>
      <w:r w:rsidRPr="00271A9A">
        <w:rPr>
          <w:i/>
        </w:rPr>
        <w:t>up approach</w:t>
      </w:r>
      <w:r>
        <w:t xml:space="preserve"> could involve modelling the network and cost structures of a representative ‘efficient’ operator that would not be constrained by technology, systems and architectural decisions of the past. A bottom</w:t>
      </w:r>
      <w:r>
        <w:noBreakHyphen/>
        <w:t xml:space="preserve">up model could identify all components of the network necessary to produce the level of capability in question. Cost causation relationships could then be defined to link the relevant quantities of network components with outputs and other relevant cost drivers </w:t>
      </w:r>
      <w:r w:rsidR="00B7329F" w:rsidRPr="00B7329F">
        <w:rPr>
          <w:szCs w:val="24"/>
        </w:rPr>
        <w:t>(</w:t>
      </w:r>
      <w:proofErr w:type="spellStart"/>
      <w:r w:rsidR="00B7329F" w:rsidRPr="00B7329F">
        <w:rPr>
          <w:szCs w:val="24"/>
        </w:rPr>
        <w:t>Brinkmann</w:t>
      </w:r>
      <w:proofErr w:type="spellEnd"/>
      <w:r w:rsidR="00B7329F" w:rsidRPr="00B7329F">
        <w:rPr>
          <w:szCs w:val="24"/>
        </w:rPr>
        <w:t xml:space="preserve"> et al. 2007; Holmes and O’Rourke 2012)</w:t>
      </w:r>
      <w:r>
        <w:t xml:space="preserve">. </w:t>
      </w:r>
    </w:p>
    <w:p w:rsidR="000A2B7C" w:rsidRDefault="000A2B7C" w:rsidP="000A2B7C">
      <w:pPr>
        <w:pStyle w:val="BodyText"/>
      </w:pPr>
      <w:r>
        <w:t xml:space="preserve">There are likely to be a range of advantages and disadvantages in seeking to use these types of approaches (or other approaches) for estimating network costs in this study. </w:t>
      </w:r>
    </w:p>
    <w:p w:rsidR="000A2B7C" w:rsidRDefault="000A2B7C" w:rsidP="000A2B7C">
      <w:pPr>
        <w:pStyle w:val="BodyText"/>
      </w:pPr>
      <w:r>
        <w:t xml:space="preserve">Whatever type of approach is used, a key consideration will be to ensure, as far as possible, that estimated costs are reflective of </w:t>
      </w:r>
      <w:r w:rsidRPr="004E2D5D">
        <w:rPr>
          <w:i/>
        </w:rPr>
        <w:t>economic</w:t>
      </w:r>
      <w:r>
        <w:t xml:space="preserve"> costs, rather than </w:t>
      </w:r>
      <w:r w:rsidR="00E5048B">
        <w:t xml:space="preserve">reported </w:t>
      </w:r>
      <w:r w:rsidRPr="00D654D9">
        <w:t xml:space="preserve">financial or </w:t>
      </w:r>
      <w:r w:rsidR="00E5048B">
        <w:t xml:space="preserve">accrual </w:t>
      </w:r>
      <w:r w:rsidRPr="00D654D9">
        <w:t>accounting costs</w:t>
      </w:r>
      <w:r w:rsidR="00E5048B">
        <w:t xml:space="preserve"> designed for other purposes</w:t>
      </w:r>
      <w:r w:rsidRPr="00D654D9">
        <w:t>. Economic costs are essentially the resource (opportunity) costs of a particular activity, and measure the value of foregone use of the resources in other activities</w:t>
      </w:r>
      <w:r>
        <w:t> </w:t>
      </w:r>
      <w:r w:rsidRPr="000A2B7C">
        <w:rPr>
          <w:szCs w:val="24"/>
        </w:rPr>
        <w:t>(Department of Finance 2006)</w:t>
      </w:r>
      <w:r w:rsidRPr="00D654D9">
        <w:t>.</w:t>
      </w:r>
    </w:p>
    <w:p w:rsidR="004C0AFB" w:rsidRDefault="004C0AF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C0AFB" w:rsidTr="00C91BD3">
        <w:tc>
          <w:tcPr>
            <w:tcW w:w="8771" w:type="dxa"/>
            <w:tcBorders>
              <w:top w:val="single" w:sz="6" w:space="0" w:color="78A22F"/>
              <w:left w:val="nil"/>
              <w:bottom w:val="nil"/>
              <w:right w:val="nil"/>
            </w:tcBorders>
            <w:shd w:val="clear" w:color="auto" w:fill="F2F2F2"/>
          </w:tcPr>
          <w:p w:rsidR="004C0AFB" w:rsidRDefault="004C0AFB" w:rsidP="00C91BD3">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C216DF">
              <w:rPr>
                <w:b w:val="0"/>
                <w:noProof/>
              </w:rPr>
              <w:t>4</w:t>
            </w:r>
            <w:r>
              <w:rPr>
                <w:b w:val="0"/>
              </w:rPr>
              <w:fldChar w:fldCharType="end"/>
            </w:r>
            <w:r>
              <w:tab/>
              <w:t>Network costs</w:t>
            </w:r>
          </w:p>
        </w:tc>
      </w:tr>
      <w:tr w:rsidR="004C0AFB" w:rsidTr="00C91BD3">
        <w:trPr>
          <w:cantSplit/>
        </w:trPr>
        <w:tc>
          <w:tcPr>
            <w:tcW w:w="8771" w:type="dxa"/>
            <w:tcBorders>
              <w:top w:val="nil"/>
              <w:left w:val="nil"/>
              <w:bottom w:val="nil"/>
              <w:right w:val="nil"/>
            </w:tcBorders>
            <w:shd w:val="clear" w:color="auto" w:fill="F2F2F2"/>
          </w:tcPr>
          <w:p w:rsidR="004C0AFB" w:rsidRDefault="004C0AFB" w:rsidP="004C0AFB">
            <w:pPr>
              <w:pStyle w:val="Box"/>
            </w:pPr>
            <w:r>
              <w:t xml:space="preserve">The components of mobile network costs that could be considered in this study (but would be expected to differ depending on the </w:t>
            </w:r>
            <w:r w:rsidR="00FF6125">
              <w:t xml:space="preserve">deployment </w:t>
            </w:r>
            <w:r>
              <w:t>option) include:</w:t>
            </w:r>
          </w:p>
          <w:p w:rsidR="004C0AFB" w:rsidRDefault="004C0AFB" w:rsidP="004C0AFB">
            <w:pPr>
              <w:pStyle w:val="BoxListBullet"/>
            </w:pPr>
            <w:r>
              <w:t>capital costs</w:t>
            </w:r>
          </w:p>
          <w:p w:rsidR="004C0AFB" w:rsidRDefault="004C0AFB" w:rsidP="004C0AFB">
            <w:pPr>
              <w:pStyle w:val="BoxListBullet2"/>
            </w:pPr>
            <w:r>
              <w:t>radio access network equipment</w:t>
            </w:r>
          </w:p>
          <w:p w:rsidR="004C0AFB" w:rsidRDefault="004C0AFB" w:rsidP="004C0AFB">
            <w:pPr>
              <w:pStyle w:val="BoxListBullet2"/>
            </w:pPr>
            <w:r>
              <w:t>site hardening costs (to improve security and reliability of the network)</w:t>
            </w:r>
          </w:p>
          <w:p w:rsidR="004C0AFB" w:rsidRDefault="004C0AFB" w:rsidP="004C0AFB">
            <w:pPr>
              <w:pStyle w:val="BoxListBullet2"/>
            </w:pPr>
            <w:r>
              <w:t>backhaul transmission capacity</w:t>
            </w:r>
          </w:p>
          <w:p w:rsidR="004C0AFB" w:rsidRDefault="004C0AFB" w:rsidP="004C0AFB">
            <w:pPr>
              <w:pStyle w:val="BoxListBullet2"/>
            </w:pPr>
            <w:r>
              <w:t>core network capability</w:t>
            </w:r>
          </w:p>
          <w:p w:rsidR="004C0AFB" w:rsidRDefault="004C0AFB" w:rsidP="004C0AFB">
            <w:pPr>
              <w:pStyle w:val="BoxListBullet2"/>
            </w:pPr>
            <w:r>
              <w:t>other equipment</w:t>
            </w:r>
          </w:p>
          <w:p w:rsidR="004C0AFB" w:rsidRDefault="004C0AFB" w:rsidP="004C0AFB">
            <w:pPr>
              <w:pStyle w:val="BoxListBullet2"/>
            </w:pPr>
            <w:r>
              <w:t>handsets and other terminals for PSAs</w:t>
            </w:r>
          </w:p>
          <w:p w:rsidR="004C0AFB" w:rsidRDefault="004C0AFB" w:rsidP="004C0AFB">
            <w:pPr>
              <w:pStyle w:val="BoxListBullet2"/>
            </w:pPr>
            <w:r>
              <w:t>additional software upgrades or new applications</w:t>
            </w:r>
          </w:p>
          <w:p w:rsidR="004C0AFB" w:rsidRDefault="004C0AFB" w:rsidP="004C0AFB">
            <w:pPr>
              <w:pStyle w:val="BoxListBullet"/>
            </w:pPr>
            <w:r>
              <w:t>operating costs</w:t>
            </w:r>
          </w:p>
          <w:p w:rsidR="004C0AFB" w:rsidRPr="00AC1BAB" w:rsidRDefault="004C0AFB" w:rsidP="004C0AFB">
            <w:pPr>
              <w:pStyle w:val="BoxListBullet2"/>
              <w:rPr>
                <w:szCs w:val="24"/>
              </w:rPr>
            </w:pPr>
            <w:r>
              <w:t>network</w:t>
            </w:r>
            <w:r>
              <w:noBreakHyphen/>
              <w:t>level costs (</w:t>
            </w:r>
            <w:r w:rsidR="00E11410">
              <w:t xml:space="preserve">such as </w:t>
            </w:r>
            <w:r>
              <w:t xml:space="preserve">maintenance </w:t>
            </w:r>
            <w:r w:rsidR="00E11410">
              <w:t xml:space="preserve">and </w:t>
            </w:r>
            <w:r>
              <w:t>network management costs)</w:t>
            </w:r>
          </w:p>
          <w:p w:rsidR="004C0AFB" w:rsidRPr="00AC1BAB" w:rsidRDefault="004C0AFB" w:rsidP="004C0AFB">
            <w:pPr>
              <w:pStyle w:val="BoxListBullet2"/>
              <w:rPr>
                <w:szCs w:val="24"/>
              </w:rPr>
            </w:pPr>
            <w:r>
              <w:rPr>
                <w:szCs w:val="24"/>
              </w:rPr>
              <w:t>organisational</w:t>
            </w:r>
            <w:r>
              <w:rPr>
                <w:szCs w:val="24"/>
              </w:rPr>
              <w:noBreakHyphen/>
              <w:t>level costs</w:t>
            </w:r>
            <w:r w:rsidR="00E11410">
              <w:rPr>
                <w:szCs w:val="24"/>
              </w:rPr>
              <w:t xml:space="preserve"> (such as administrative costs)</w:t>
            </w:r>
          </w:p>
          <w:p w:rsidR="004C0AFB" w:rsidRDefault="004C0AFB" w:rsidP="008B79D1">
            <w:pPr>
              <w:pStyle w:val="BoxListBullet2"/>
            </w:pPr>
            <w:proofErr w:type="gramStart"/>
            <w:r>
              <w:t>leasing</w:t>
            </w:r>
            <w:proofErr w:type="gramEnd"/>
            <w:r>
              <w:t xml:space="preserve"> land, equipment, </w:t>
            </w:r>
            <w:r w:rsidR="008B79D1">
              <w:t xml:space="preserve">facilities and </w:t>
            </w:r>
            <w:r>
              <w:t>services</w:t>
            </w:r>
            <w:r w:rsidR="00E11410">
              <w:t>.</w:t>
            </w:r>
          </w:p>
        </w:tc>
      </w:tr>
      <w:tr w:rsidR="004C0AFB" w:rsidTr="00C91BD3">
        <w:trPr>
          <w:cantSplit/>
        </w:trPr>
        <w:tc>
          <w:tcPr>
            <w:tcW w:w="8771" w:type="dxa"/>
            <w:tcBorders>
              <w:top w:val="nil"/>
              <w:left w:val="nil"/>
              <w:bottom w:val="nil"/>
              <w:right w:val="nil"/>
            </w:tcBorders>
            <w:shd w:val="clear" w:color="auto" w:fill="F2F2F2"/>
          </w:tcPr>
          <w:p w:rsidR="004C0AFB" w:rsidRDefault="004C0AFB" w:rsidP="00C91BD3">
            <w:pPr>
              <w:pStyle w:val="BoxSource"/>
            </w:pPr>
            <w:r w:rsidRPr="008D4C0A">
              <w:rPr>
                <w:i/>
              </w:rPr>
              <w:t>Sources</w:t>
            </w:r>
            <w:r>
              <w:t xml:space="preserve">: Access Economics </w:t>
            </w:r>
            <w:r w:rsidRPr="004C0AFB">
              <w:rPr>
                <w:rFonts w:cs="Arial"/>
              </w:rPr>
              <w:t>(2010)</w:t>
            </w:r>
            <w:r>
              <w:t xml:space="preserve">; Gibson Quai AAS </w:t>
            </w:r>
            <w:r w:rsidRPr="004C0AFB">
              <w:rPr>
                <w:rFonts w:cs="Arial"/>
              </w:rPr>
              <w:t>(2010)</w:t>
            </w:r>
            <w:r>
              <w:t>.</w:t>
            </w:r>
          </w:p>
        </w:tc>
      </w:tr>
      <w:tr w:rsidR="004C0AFB" w:rsidTr="00C91BD3">
        <w:trPr>
          <w:cantSplit/>
        </w:trPr>
        <w:tc>
          <w:tcPr>
            <w:tcW w:w="8771" w:type="dxa"/>
            <w:tcBorders>
              <w:top w:val="nil"/>
              <w:left w:val="nil"/>
              <w:bottom w:val="single" w:sz="6" w:space="0" w:color="78A22F"/>
              <w:right w:val="nil"/>
            </w:tcBorders>
            <w:shd w:val="clear" w:color="auto" w:fill="F2F2F2"/>
          </w:tcPr>
          <w:p w:rsidR="004C0AFB" w:rsidRDefault="004C0AFB">
            <w:pPr>
              <w:pStyle w:val="Box"/>
              <w:spacing w:before="0" w:line="120" w:lineRule="exact"/>
            </w:pPr>
          </w:p>
        </w:tc>
      </w:tr>
      <w:tr w:rsidR="004C0AFB" w:rsidRPr="000863A5" w:rsidTr="00C91BD3">
        <w:tc>
          <w:tcPr>
            <w:tcW w:w="8771" w:type="dxa"/>
            <w:tcBorders>
              <w:top w:val="single" w:sz="6" w:space="0" w:color="78A22F"/>
              <w:left w:val="nil"/>
              <w:bottom w:val="nil"/>
              <w:right w:val="nil"/>
            </w:tcBorders>
          </w:tcPr>
          <w:p w:rsidR="004C0AFB" w:rsidRPr="00626D32" w:rsidRDefault="004C0AFB" w:rsidP="00C91BD3">
            <w:pPr>
              <w:pStyle w:val="BoxSpaceBelow"/>
            </w:pPr>
          </w:p>
        </w:tc>
      </w:tr>
    </w:tbl>
    <w:p w:rsidR="004C0AFB" w:rsidRDefault="004C0AFB" w:rsidP="004C0AFB">
      <w:pPr>
        <w:pStyle w:val="BodyText"/>
      </w:pPr>
      <w:r>
        <w:t xml:space="preserve">Certain cost components may be interdependent with each other (and other assumed parameters), and it will be important to identify these relationships. For example, the quantum of spectrum used may have a bearing on the magnitude of network costs needed to provide a given level of capability to PSAs </w:t>
      </w:r>
      <w:r w:rsidRPr="004C0AFB">
        <w:rPr>
          <w:szCs w:val="24"/>
        </w:rPr>
        <w:t>(ACMA 2014b)</w:t>
      </w:r>
      <w:r>
        <w:t>. Moreover, the choice of spectrum band may influence end</w:t>
      </w:r>
      <w:r>
        <w:noBreakHyphen/>
        <w:t xml:space="preserve">user equipment costs, if only certain types of equipment </w:t>
      </w:r>
      <w:r>
        <w:lastRenderedPageBreak/>
        <w:t xml:space="preserve">(such as handsets) can be used at those frequencies </w:t>
      </w:r>
      <w:r w:rsidRPr="004C0AFB">
        <w:rPr>
          <w:szCs w:val="24"/>
        </w:rPr>
        <w:t>(Senate Environment and Communications References Committee 2011)</w:t>
      </w:r>
      <w:r>
        <w:t>.</w:t>
      </w:r>
    </w:p>
    <w:p w:rsidR="004C0AFB" w:rsidRDefault="004C0AFB" w:rsidP="004C0AFB">
      <w:pPr>
        <w:pStyle w:val="BodyText"/>
      </w:pPr>
      <w:r>
        <w:t xml:space="preserve">Lessons on possible approaches to estimating costs of delivering PSMB under different </w:t>
      </w:r>
      <w:r w:rsidR="008B79D1">
        <w:t xml:space="preserve">deployment </w:t>
      </w:r>
      <w:r>
        <w:t>options may be able to be drawn from past studies (for example, the publicly available redacted version of the Gibson Quai</w:t>
      </w:r>
      <w:r>
        <w:noBreakHyphen/>
        <w:t>AAS </w:t>
      </w:r>
      <w:r w:rsidRPr="004C0AFB">
        <w:t>(2010)</w:t>
      </w:r>
      <w:r>
        <w:t xml:space="preserve"> report and the OBI Technical Paper </w:t>
      </w:r>
      <w:r w:rsidRPr="004C0AFB">
        <w:rPr>
          <w:szCs w:val="24"/>
        </w:rPr>
        <w:t>(FCC 2010)</w:t>
      </w:r>
      <w:r>
        <w:t>).</w:t>
      </w:r>
      <w:r w:rsidRPr="00467B4E">
        <w:t xml:space="preserve"> </w:t>
      </w:r>
    </w:p>
    <w:p w:rsidR="004C0AFB" w:rsidRDefault="004C0AFB" w:rsidP="004C0AF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C0AFB" w:rsidRPr="00C249EF" w:rsidTr="00C91BD3">
        <w:tc>
          <w:tcPr>
            <w:tcW w:w="8771" w:type="dxa"/>
            <w:tcBorders>
              <w:top w:val="single" w:sz="6" w:space="0" w:color="78A22F"/>
              <w:left w:val="nil"/>
              <w:bottom w:val="nil"/>
              <w:right w:val="nil"/>
            </w:tcBorders>
            <w:shd w:val="clear" w:color="auto" w:fill="F2F2F2"/>
          </w:tcPr>
          <w:p w:rsidR="004C0AFB" w:rsidRPr="004C0AFB" w:rsidRDefault="004C0AFB" w:rsidP="006D362D">
            <w:pPr>
              <w:pStyle w:val="BoxListNumber"/>
              <w:tabs>
                <w:tab w:val="clear" w:pos="284"/>
                <w:tab w:val="num" w:pos="403"/>
              </w:tabs>
              <w:ind w:left="403" w:hanging="403"/>
              <w:rPr>
                <w:i/>
                <w:sz w:val="22"/>
              </w:rPr>
            </w:pPr>
            <w:proofErr w:type="gramStart"/>
            <w:r w:rsidRPr="004C0AFB">
              <w:rPr>
                <w:i/>
                <w:sz w:val="22"/>
              </w:rPr>
              <w:t>Are</w:t>
            </w:r>
            <w:proofErr w:type="gramEnd"/>
            <w:r w:rsidRPr="004C0AFB">
              <w:rPr>
                <w:i/>
                <w:sz w:val="22"/>
              </w:rPr>
              <w:t xml:space="preserve"> the network cost elements identified in box</w:t>
            </w:r>
            <w:r w:rsidR="00C46790">
              <w:rPr>
                <w:i/>
                <w:sz w:val="22"/>
              </w:rPr>
              <w:t> </w:t>
            </w:r>
            <w:r w:rsidRPr="004C0AFB">
              <w:rPr>
                <w:i/>
                <w:sz w:val="22"/>
              </w:rPr>
              <w:t xml:space="preserve">4 relevant for this study? What specific cost items would fall within these categories? What other network costs should be considered? What is the nature </w:t>
            </w:r>
            <w:r w:rsidR="00E11410">
              <w:rPr>
                <w:i/>
                <w:sz w:val="22"/>
              </w:rPr>
              <w:t xml:space="preserve">and </w:t>
            </w:r>
            <w:r w:rsidR="00E92CAA">
              <w:rPr>
                <w:i/>
                <w:sz w:val="22"/>
              </w:rPr>
              <w:t xml:space="preserve">materiality </w:t>
            </w:r>
            <w:r w:rsidRPr="004C0AFB">
              <w:rPr>
                <w:i/>
                <w:sz w:val="22"/>
              </w:rPr>
              <w:t>of these (and other relevant) costs under alternative PSMB options?</w:t>
            </w:r>
          </w:p>
          <w:p w:rsidR="004C0AFB" w:rsidRPr="004C0AFB" w:rsidRDefault="004C0AFB" w:rsidP="006D362D">
            <w:pPr>
              <w:pStyle w:val="BoxListNumber"/>
              <w:tabs>
                <w:tab w:val="clear" w:pos="284"/>
                <w:tab w:val="num" w:pos="403"/>
              </w:tabs>
              <w:ind w:left="403" w:hanging="403"/>
              <w:rPr>
                <w:i/>
                <w:sz w:val="22"/>
              </w:rPr>
            </w:pPr>
            <w:r w:rsidRPr="004C0AFB">
              <w:rPr>
                <w:i/>
                <w:sz w:val="22"/>
              </w:rPr>
              <w:t xml:space="preserve">What method(s) should be used to estimate the network costs of different </w:t>
            </w:r>
            <w:r w:rsidR="00932327">
              <w:rPr>
                <w:i/>
                <w:sz w:val="22"/>
              </w:rPr>
              <w:t xml:space="preserve">deployment </w:t>
            </w:r>
            <w:r w:rsidRPr="004C0AFB">
              <w:rPr>
                <w:i/>
                <w:sz w:val="22"/>
              </w:rPr>
              <w:t xml:space="preserve">options for delivering PSMB? What studies should inform the Commission’s thinking in this area? </w:t>
            </w:r>
          </w:p>
          <w:p w:rsidR="004C0AFB" w:rsidRPr="004C0AFB" w:rsidRDefault="004C0AFB" w:rsidP="006D362D">
            <w:pPr>
              <w:pStyle w:val="BoxListNumber"/>
              <w:tabs>
                <w:tab w:val="clear" w:pos="284"/>
                <w:tab w:val="num" w:pos="403"/>
              </w:tabs>
              <w:ind w:left="403" w:hanging="403"/>
              <w:rPr>
                <w:i/>
                <w:sz w:val="22"/>
              </w:rPr>
            </w:pPr>
            <w:r w:rsidRPr="004C0AFB">
              <w:rPr>
                <w:i/>
                <w:sz w:val="22"/>
              </w:rPr>
              <w:t xml:space="preserve">What network cost components are interdependent with other costs, or other parameters (such as assumptions about the amount of spectrum </w:t>
            </w:r>
            <w:r w:rsidR="00201690">
              <w:rPr>
                <w:i/>
                <w:sz w:val="22"/>
              </w:rPr>
              <w:t>allocated</w:t>
            </w:r>
            <w:r w:rsidRPr="004C0AFB">
              <w:rPr>
                <w:i/>
                <w:sz w:val="22"/>
              </w:rPr>
              <w:t xml:space="preserve">)? </w:t>
            </w:r>
            <w:r w:rsidR="00E92CAA">
              <w:rPr>
                <w:i/>
                <w:sz w:val="22"/>
              </w:rPr>
              <w:t>What is the nature of these interdependencies?</w:t>
            </w:r>
          </w:p>
          <w:p w:rsidR="004C0AFB" w:rsidRPr="004C0AFB" w:rsidRDefault="004C0AFB" w:rsidP="006D362D">
            <w:pPr>
              <w:pStyle w:val="BoxListNumber"/>
              <w:tabs>
                <w:tab w:val="clear" w:pos="284"/>
                <w:tab w:val="num" w:pos="403"/>
              </w:tabs>
              <w:ind w:left="403" w:hanging="403"/>
              <w:rPr>
                <w:i/>
                <w:sz w:val="22"/>
              </w:rPr>
            </w:pPr>
            <w:r w:rsidRPr="004C0AFB">
              <w:rPr>
                <w:i/>
                <w:sz w:val="22"/>
              </w:rPr>
              <w:t xml:space="preserve">What data sources could be used to estimate </w:t>
            </w:r>
            <w:r w:rsidR="00EF739C">
              <w:rPr>
                <w:i/>
                <w:sz w:val="22"/>
              </w:rPr>
              <w:t xml:space="preserve">expected PSMB traffic requirements, and the </w:t>
            </w:r>
            <w:r w:rsidRPr="004C0AFB">
              <w:rPr>
                <w:i/>
                <w:sz w:val="22"/>
              </w:rPr>
              <w:t xml:space="preserve">network infrastructure elements required to deliver PSMB capability under different </w:t>
            </w:r>
            <w:r w:rsidR="00201690">
              <w:rPr>
                <w:i/>
                <w:sz w:val="22"/>
              </w:rPr>
              <w:t xml:space="preserve">deployment </w:t>
            </w:r>
            <w:r w:rsidRPr="004C0AFB">
              <w:rPr>
                <w:i/>
                <w:sz w:val="22"/>
              </w:rPr>
              <w:t xml:space="preserve">options? </w:t>
            </w:r>
          </w:p>
          <w:p w:rsidR="004C0AFB" w:rsidRPr="00C249EF" w:rsidRDefault="004C0AFB" w:rsidP="00201690">
            <w:pPr>
              <w:pStyle w:val="BoxListNumber"/>
              <w:tabs>
                <w:tab w:val="clear" w:pos="284"/>
                <w:tab w:val="num" w:pos="403"/>
              </w:tabs>
              <w:ind w:left="403" w:hanging="403"/>
              <w:rPr>
                <w:i/>
                <w:sz w:val="22"/>
                <w:szCs w:val="24"/>
              </w:rPr>
            </w:pPr>
            <w:r w:rsidRPr="004C0AFB">
              <w:rPr>
                <w:i/>
                <w:sz w:val="22"/>
              </w:rPr>
              <w:t xml:space="preserve">What data sources could be used to </w:t>
            </w:r>
            <w:r w:rsidR="00EF739C">
              <w:rPr>
                <w:i/>
                <w:sz w:val="22"/>
              </w:rPr>
              <w:t xml:space="preserve">estimate </w:t>
            </w:r>
            <w:r w:rsidRPr="004C0AFB">
              <w:rPr>
                <w:i/>
                <w:sz w:val="22"/>
              </w:rPr>
              <w:t>the cost of the infrastructure</w:t>
            </w:r>
            <w:r w:rsidR="008A771B">
              <w:rPr>
                <w:i/>
                <w:sz w:val="22"/>
              </w:rPr>
              <w:t xml:space="preserve">, </w:t>
            </w:r>
            <w:r w:rsidRPr="004C0AFB">
              <w:rPr>
                <w:i/>
                <w:sz w:val="22"/>
              </w:rPr>
              <w:t xml:space="preserve">equipment </w:t>
            </w:r>
            <w:r w:rsidR="008A771B">
              <w:rPr>
                <w:i/>
                <w:sz w:val="22"/>
              </w:rPr>
              <w:t>and operati</w:t>
            </w:r>
            <w:r w:rsidR="00201690">
              <w:rPr>
                <w:i/>
                <w:sz w:val="22"/>
              </w:rPr>
              <w:t xml:space="preserve">on </w:t>
            </w:r>
            <w:r w:rsidR="008A771B">
              <w:rPr>
                <w:i/>
                <w:sz w:val="22"/>
              </w:rPr>
              <w:t xml:space="preserve">in </w:t>
            </w:r>
            <w:r w:rsidRPr="004C0AFB">
              <w:rPr>
                <w:i/>
                <w:sz w:val="22"/>
              </w:rPr>
              <w:t>deliver</w:t>
            </w:r>
            <w:r w:rsidR="008A771B">
              <w:rPr>
                <w:i/>
                <w:sz w:val="22"/>
              </w:rPr>
              <w:t>ing</w:t>
            </w:r>
            <w:r w:rsidRPr="004C0AFB">
              <w:rPr>
                <w:i/>
                <w:sz w:val="22"/>
              </w:rPr>
              <w:t xml:space="preserve"> PSMB capability under different </w:t>
            </w:r>
            <w:r w:rsidR="00201690">
              <w:rPr>
                <w:i/>
                <w:sz w:val="22"/>
              </w:rPr>
              <w:t xml:space="preserve">deployment </w:t>
            </w:r>
            <w:r w:rsidRPr="004C0AFB">
              <w:rPr>
                <w:i/>
                <w:sz w:val="22"/>
              </w:rPr>
              <w:t>options?</w:t>
            </w:r>
          </w:p>
        </w:tc>
      </w:tr>
      <w:tr w:rsidR="004C0AFB" w:rsidTr="00C91BD3">
        <w:trPr>
          <w:cantSplit/>
        </w:trPr>
        <w:tc>
          <w:tcPr>
            <w:tcW w:w="8771" w:type="dxa"/>
            <w:tcBorders>
              <w:top w:val="nil"/>
              <w:left w:val="nil"/>
              <w:bottom w:val="single" w:sz="6" w:space="0" w:color="78A22F"/>
              <w:right w:val="nil"/>
            </w:tcBorders>
            <w:shd w:val="clear" w:color="auto" w:fill="F2F2F2"/>
          </w:tcPr>
          <w:p w:rsidR="004C0AFB" w:rsidRDefault="004C0AFB" w:rsidP="00C91BD3">
            <w:pPr>
              <w:pStyle w:val="Box"/>
              <w:spacing w:before="0" w:line="120" w:lineRule="exact"/>
            </w:pPr>
          </w:p>
        </w:tc>
      </w:tr>
      <w:tr w:rsidR="004C0AFB" w:rsidRPr="000863A5" w:rsidTr="00C91BD3">
        <w:tc>
          <w:tcPr>
            <w:tcW w:w="8771" w:type="dxa"/>
            <w:tcBorders>
              <w:top w:val="single" w:sz="6" w:space="0" w:color="78A22F"/>
              <w:left w:val="nil"/>
              <w:bottom w:val="nil"/>
              <w:right w:val="nil"/>
            </w:tcBorders>
          </w:tcPr>
          <w:p w:rsidR="004C0AFB" w:rsidRPr="00626D32" w:rsidRDefault="004C0AFB" w:rsidP="00C91BD3">
            <w:pPr>
              <w:pStyle w:val="BoxSpaceBelow"/>
            </w:pPr>
          </w:p>
        </w:tc>
      </w:tr>
    </w:tbl>
    <w:p w:rsidR="004C0AFB" w:rsidRDefault="004C0AFB" w:rsidP="004C0AFB">
      <w:pPr>
        <w:pStyle w:val="Heading3"/>
      </w:pPr>
      <w:r>
        <w:t>Opportunity costs of spectrum</w:t>
      </w:r>
    </w:p>
    <w:p w:rsidR="004C0AFB" w:rsidRDefault="004C0AFB" w:rsidP="004C0AFB">
      <w:pPr>
        <w:pStyle w:val="BodyText"/>
      </w:pPr>
      <w:r>
        <w:t xml:space="preserve">The opportunity cost of the spectrum requirements associated with PSMB solutions is a further cost that will need to be considered. </w:t>
      </w:r>
      <w:r w:rsidR="00AE7619">
        <w:t>Broadly, t</w:t>
      </w:r>
      <w:r>
        <w:t xml:space="preserve">his could be estimated using: </w:t>
      </w:r>
    </w:p>
    <w:p w:rsidR="004C0AFB" w:rsidRPr="003D0512" w:rsidRDefault="004C0AFB" w:rsidP="004C0AFB">
      <w:pPr>
        <w:pStyle w:val="ListBullet"/>
      </w:pPr>
      <w:r>
        <w:rPr>
          <w:i/>
        </w:rPr>
        <w:t>m</w:t>
      </w:r>
      <w:r w:rsidRPr="00CA0BAD">
        <w:rPr>
          <w:i/>
        </w:rPr>
        <w:t>arket valuation approaches</w:t>
      </w:r>
      <w:r>
        <w:rPr>
          <w:i/>
        </w:rPr>
        <w:t xml:space="preserve">, </w:t>
      </w:r>
      <w:r w:rsidRPr="00DE47D8">
        <w:t xml:space="preserve">which use </w:t>
      </w:r>
      <w:r w:rsidRPr="003D0512">
        <w:t xml:space="preserve">available market information or data (for example, </w:t>
      </w:r>
      <w:r>
        <w:t xml:space="preserve">data </w:t>
      </w:r>
      <w:r w:rsidRPr="003D0512">
        <w:t>from previous spectrum market transactions) to value the spectrum</w:t>
      </w:r>
    </w:p>
    <w:p w:rsidR="004C0AFB" w:rsidRDefault="004C0AFB" w:rsidP="004C0AFB">
      <w:pPr>
        <w:pStyle w:val="ListBullet"/>
      </w:pPr>
      <w:r>
        <w:rPr>
          <w:i/>
        </w:rPr>
        <w:t xml:space="preserve">direct calculation approaches, </w:t>
      </w:r>
      <w:r w:rsidRPr="009071D4">
        <w:t xml:space="preserve">which </w:t>
      </w:r>
      <w:r>
        <w:t xml:space="preserve">attempt to calculate the prices that firms might bid for spectrum if an auction were held </w:t>
      </w:r>
      <w:r w:rsidRPr="004C0AFB">
        <w:rPr>
          <w:szCs w:val="24"/>
        </w:rPr>
        <w:t>(ACMA 2009; Plum Consulting 2008)</w:t>
      </w:r>
      <w:r>
        <w:t>.</w:t>
      </w:r>
      <w:r w:rsidR="00C46790">
        <w:t xml:space="preserve"> </w:t>
      </w:r>
    </w:p>
    <w:p w:rsidR="004C0AFB" w:rsidRDefault="004C0AFB" w:rsidP="004C0AFB">
      <w:pPr>
        <w:pStyle w:val="BodyText"/>
      </w:pPr>
      <w:r>
        <w:t xml:space="preserve">Under some options for delivering a PSMB capability, the spectrum allocated to PSAs could be shared with commercial providers. Telstra’s proposed LANES approach is an example of how a sharing arrangement could work </w:t>
      </w:r>
      <w:r w:rsidRPr="004C0AFB">
        <w:rPr>
          <w:szCs w:val="24"/>
        </w:rPr>
        <w:t>(Telstra 2012a)</w:t>
      </w:r>
      <w:r>
        <w:t>. This could have implications for the type of approach used to estimate the opportunity costs of spectrum associated with PSA use.</w:t>
      </w:r>
    </w:p>
    <w:p w:rsidR="004C0AFB" w:rsidRDefault="004C0AFB" w:rsidP="004C0AF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C0AFB" w:rsidRPr="00C249EF" w:rsidTr="00C91BD3">
        <w:tc>
          <w:tcPr>
            <w:tcW w:w="8771" w:type="dxa"/>
            <w:tcBorders>
              <w:top w:val="single" w:sz="6" w:space="0" w:color="78A22F"/>
              <w:left w:val="nil"/>
              <w:bottom w:val="nil"/>
              <w:right w:val="nil"/>
            </w:tcBorders>
            <w:shd w:val="clear" w:color="auto" w:fill="F2F2F2"/>
          </w:tcPr>
          <w:p w:rsidR="004C0AFB" w:rsidRPr="004C0AFB" w:rsidRDefault="004C0AFB" w:rsidP="006D362D">
            <w:pPr>
              <w:pStyle w:val="BoxListNumber"/>
              <w:tabs>
                <w:tab w:val="clear" w:pos="284"/>
                <w:tab w:val="num" w:pos="403"/>
              </w:tabs>
              <w:ind w:left="403" w:hanging="403"/>
              <w:rPr>
                <w:i/>
                <w:sz w:val="22"/>
              </w:rPr>
            </w:pPr>
            <w:r w:rsidRPr="004C0AFB">
              <w:rPr>
                <w:i/>
                <w:sz w:val="22"/>
              </w:rPr>
              <w:t xml:space="preserve">What is the appropriate approach (or approaches) to model the opportunity costs of spectrum under different </w:t>
            </w:r>
            <w:r w:rsidR="00201690">
              <w:rPr>
                <w:i/>
                <w:sz w:val="22"/>
              </w:rPr>
              <w:t xml:space="preserve">deployment </w:t>
            </w:r>
            <w:r w:rsidRPr="004C0AFB">
              <w:rPr>
                <w:i/>
                <w:sz w:val="22"/>
              </w:rPr>
              <w:t xml:space="preserve">options? What issues does ‘spectrum sharing’ raise </w:t>
            </w:r>
            <w:r w:rsidR="001F4D71">
              <w:rPr>
                <w:i/>
                <w:sz w:val="22"/>
              </w:rPr>
              <w:t xml:space="preserve">for estimating these opportunity costs, </w:t>
            </w:r>
            <w:r w:rsidRPr="004C0AFB">
              <w:rPr>
                <w:i/>
                <w:sz w:val="22"/>
              </w:rPr>
              <w:t>and how might they be addressed?</w:t>
            </w:r>
          </w:p>
          <w:p w:rsidR="004C0AFB" w:rsidRPr="00C249EF" w:rsidRDefault="004C0AFB" w:rsidP="006D362D">
            <w:pPr>
              <w:pStyle w:val="BoxListNumber"/>
              <w:tabs>
                <w:tab w:val="clear" w:pos="284"/>
                <w:tab w:val="num" w:pos="403"/>
              </w:tabs>
              <w:ind w:left="403" w:hanging="403"/>
              <w:rPr>
                <w:i/>
                <w:sz w:val="22"/>
              </w:rPr>
            </w:pPr>
            <w:r w:rsidRPr="004C0AFB">
              <w:rPr>
                <w:i/>
                <w:sz w:val="22"/>
              </w:rPr>
              <w:t xml:space="preserve">What data sources could be used to estimate the opportunity costs of spectrum under different </w:t>
            </w:r>
            <w:r w:rsidR="00201690">
              <w:rPr>
                <w:i/>
                <w:sz w:val="22"/>
              </w:rPr>
              <w:t xml:space="preserve">deployment </w:t>
            </w:r>
            <w:r w:rsidRPr="004C0AFB">
              <w:rPr>
                <w:i/>
                <w:sz w:val="22"/>
              </w:rPr>
              <w:t>options</w:t>
            </w:r>
            <w:r w:rsidR="001F4D71">
              <w:rPr>
                <w:i/>
                <w:sz w:val="22"/>
              </w:rPr>
              <w:t xml:space="preserve"> for PSMB</w:t>
            </w:r>
            <w:r w:rsidRPr="004C0AFB">
              <w:rPr>
                <w:i/>
                <w:sz w:val="22"/>
              </w:rPr>
              <w:t>?</w:t>
            </w:r>
          </w:p>
        </w:tc>
      </w:tr>
      <w:tr w:rsidR="004C0AFB" w:rsidTr="00C91BD3">
        <w:trPr>
          <w:cantSplit/>
        </w:trPr>
        <w:tc>
          <w:tcPr>
            <w:tcW w:w="8771" w:type="dxa"/>
            <w:tcBorders>
              <w:top w:val="nil"/>
              <w:left w:val="nil"/>
              <w:bottom w:val="single" w:sz="6" w:space="0" w:color="78A22F"/>
              <w:right w:val="nil"/>
            </w:tcBorders>
            <w:shd w:val="clear" w:color="auto" w:fill="F2F2F2"/>
          </w:tcPr>
          <w:p w:rsidR="004C0AFB" w:rsidRDefault="004C0AFB" w:rsidP="00C91BD3">
            <w:pPr>
              <w:pStyle w:val="Box"/>
              <w:spacing w:before="0" w:line="120" w:lineRule="exact"/>
            </w:pPr>
          </w:p>
        </w:tc>
      </w:tr>
      <w:tr w:rsidR="004C0AFB" w:rsidRPr="000863A5" w:rsidTr="00C91BD3">
        <w:tc>
          <w:tcPr>
            <w:tcW w:w="8771" w:type="dxa"/>
            <w:tcBorders>
              <w:top w:val="single" w:sz="6" w:space="0" w:color="78A22F"/>
              <w:left w:val="nil"/>
              <w:bottom w:val="nil"/>
              <w:right w:val="nil"/>
            </w:tcBorders>
          </w:tcPr>
          <w:p w:rsidR="004C0AFB" w:rsidRPr="00626D32" w:rsidRDefault="004C0AFB" w:rsidP="00C91BD3">
            <w:pPr>
              <w:pStyle w:val="BoxSpaceBelow"/>
            </w:pPr>
          </w:p>
        </w:tc>
      </w:tr>
    </w:tbl>
    <w:p w:rsidR="004C0AFB" w:rsidRDefault="004C0AFB" w:rsidP="004C0AFB">
      <w:pPr>
        <w:pStyle w:val="Heading3"/>
      </w:pPr>
      <w:r>
        <w:t>Other considerations in a CBA</w:t>
      </w:r>
    </w:p>
    <w:p w:rsidR="004C0AFB" w:rsidRDefault="004C0AFB" w:rsidP="004C0AFB">
      <w:pPr>
        <w:pStyle w:val="BodyText"/>
      </w:pPr>
      <w:r>
        <w:t>A key part of any CBA, particularly one which considers the deployment of long</w:t>
      </w:r>
      <w:r>
        <w:noBreakHyphen/>
        <w:t>lived infrastructure, systems and technology, is selection of a social discount rate. A discount rate converts all future cost and benefit streams into present dollars (due to the time value of money), and is also a measure of society’s inter</w:t>
      </w:r>
      <w:r>
        <w:noBreakHyphen/>
        <w:t xml:space="preserve">temporal consumption preferences. </w:t>
      </w:r>
    </w:p>
    <w:p w:rsidR="004C0AFB" w:rsidRDefault="004C0AFB" w:rsidP="004C0AFB">
      <w:pPr>
        <w:pStyle w:val="BodyText"/>
      </w:pPr>
      <w:r>
        <w:t xml:space="preserve">The Australian Government’s Handbook of Cost–Benefit Analysis </w:t>
      </w:r>
      <w:r w:rsidRPr="004C0AFB">
        <w:rPr>
          <w:szCs w:val="24"/>
        </w:rPr>
        <w:t>(Department of Finance 2006)</w:t>
      </w:r>
      <w:r>
        <w:t xml:space="preserve"> contains a detailed discussion on setting the discount rate, and a number of government publications prescribe discount rates to be used for particular types of project</w:t>
      </w:r>
      <w:r w:rsidR="00A16520">
        <w:t>s</w:t>
      </w:r>
      <w:r w:rsidR="00C46790">
        <w:t xml:space="preserve"> </w:t>
      </w:r>
      <w:r w:rsidRPr="004C0AFB">
        <w:rPr>
          <w:szCs w:val="24"/>
        </w:rPr>
        <w:t>(Infrastructure Australia 2008; NSW Treasury 2007; Victorian Department of Treasury and Finance 2013)</w:t>
      </w:r>
      <w:r>
        <w:t>. A CBA analysis would also normally use sensitivity analysis to test the effect of using different discount rates.</w:t>
      </w:r>
    </w:p>
    <w:p w:rsidR="004C0AFB" w:rsidRDefault="004C0AFB" w:rsidP="004C0AF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C0AFB" w:rsidRPr="00C249EF" w:rsidTr="00C91BD3">
        <w:tc>
          <w:tcPr>
            <w:tcW w:w="8771" w:type="dxa"/>
            <w:tcBorders>
              <w:top w:val="single" w:sz="6" w:space="0" w:color="78A22F"/>
              <w:left w:val="nil"/>
              <w:bottom w:val="nil"/>
              <w:right w:val="nil"/>
            </w:tcBorders>
            <w:shd w:val="clear" w:color="auto" w:fill="F2F2F2"/>
          </w:tcPr>
          <w:p w:rsidR="004C0AFB" w:rsidRPr="00C249EF" w:rsidRDefault="004C0AFB" w:rsidP="006D362D">
            <w:pPr>
              <w:pStyle w:val="BoxListNumber"/>
              <w:tabs>
                <w:tab w:val="clear" w:pos="284"/>
                <w:tab w:val="num" w:pos="403"/>
              </w:tabs>
              <w:ind w:left="403" w:hanging="403"/>
              <w:rPr>
                <w:i/>
                <w:sz w:val="22"/>
              </w:rPr>
            </w:pPr>
            <w:r w:rsidRPr="004C0AFB">
              <w:rPr>
                <w:i/>
                <w:sz w:val="22"/>
              </w:rPr>
              <w:t>What is the appropriate discount rate, or range of discount rates, to use in this study?</w:t>
            </w:r>
          </w:p>
        </w:tc>
      </w:tr>
      <w:tr w:rsidR="004C0AFB" w:rsidTr="00C91BD3">
        <w:trPr>
          <w:cantSplit/>
        </w:trPr>
        <w:tc>
          <w:tcPr>
            <w:tcW w:w="8771" w:type="dxa"/>
            <w:tcBorders>
              <w:top w:val="nil"/>
              <w:left w:val="nil"/>
              <w:bottom w:val="single" w:sz="6" w:space="0" w:color="78A22F"/>
              <w:right w:val="nil"/>
            </w:tcBorders>
            <w:shd w:val="clear" w:color="auto" w:fill="F2F2F2"/>
          </w:tcPr>
          <w:p w:rsidR="004C0AFB" w:rsidRDefault="004C0AFB" w:rsidP="00C91BD3">
            <w:pPr>
              <w:pStyle w:val="Box"/>
              <w:spacing w:before="0" w:line="120" w:lineRule="exact"/>
            </w:pPr>
          </w:p>
        </w:tc>
      </w:tr>
      <w:tr w:rsidR="004C0AFB" w:rsidRPr="000863A5" w:rsidTr="00C91BD3">
        <w:tc>
          <w:tcPr>
            <w:tcW w:w="8771" w:type="dxa"/>
            <w:tcBorders>
              <w:top w:val="single" w:sz="6" w:space="0" w:color="78A22F"/>
              <w:left w:val="nil"/>
              <w:bottom w:val="nil"/>
              <w:right w:val="nil"/>
            </w:tcBorders>
          </w:tcPr>
          <w:p w:rsidR="004C0AFB" w:rsidRPr="00626D32" w:rsidRDefault="004C0AFB" w:rsidP="00C91BD3">
            <w:pPr>
              <w:pStyle w:val="BoxSpaceBelow"/>
            </w:pPr>
          </w:p>
        </w:tc>
      </w:tr>
    </w:tbl>
    <w:p w:rsidR="00231A81" w:rsidRDefault="00231A81" w:rsidP="00231A81">
      <w:pPr>
        <w:pStyle w:val="BodyText"/>
      </w:pPr>
      <w:r>
        <w:t>Another issue to be addressed as part of a CBA is how far into the future costs and benefits should be measured. On the one hand, the choice of a longer time horizon may more accurately reflect the relative net benefits of different options, especially if there are significant costs associated with maintaining or replacing infrastructure</w:t>
      </w:r>
      <w:r w:rsidR="00A16520">
        <w:t xml:space="preserve">, </w:t>
      </w:r>
      <w:r>
        <w:t xml:space="preserve">or if certain benefits only accrue after some time. On the other hand, projecting costs and benefits further into the future is an uncertain exercise, particularly due to the rapid evolution of communications technology and its applications. </w:t>
      </w:r>
    </w:p>
    <w:p w:rsidR="00231A81" w:rsidRDefault="00231A81" w:rsidP="00231A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31A81" w:rsidRPr="00C249EF" w:rsidTr="00C91BD3">
        <w:tc>
          <w:tcPr>
            <w:tcW w:w="8771" w:type="dxa"/>
            <w:tcBorders>
              <w:top w:val="single" w:sz="6" w:space="0" w:color="78A22F"/>
              <w:left w:val="nil"/>
              <w:bottom w:val="nil"/>
              <w:right w:val="nil"/>
            </w:tcBorders>
            <w:shd w:val="clear" w:color="auto" w:fill="F2F2F2"/>
          </w:tcPr>
          <w:p w:rsidR="00231A81" w:rsidRPr="00C249EF" w:rsidRDefault="00231A81" w:rsidP="006D362D">
            <w:pPr>
              <w:pStyle w:val="BoxListNumber"/>
              <w:tabs>
                <w:tab w:val="clear" w:pos="284"/>
                <w:tab w:val="num" w:pos="403"/>
              </w:tabs>
              <w:ind w:left="403" w:hanging="403"/>
              <w:rPr>
                <w:i/>
                <w:sz w:val="22"/>
              </w:rPr>
            </w:pPr>
            <w:r w:rsidRPr="00231A81">
              <w:rPr>
                <w:i/>
                <w:sz w:val="22"/>
              </w:rPr>
              <w:t>How far into the future should costs and benefits be measured?</w:t>
            </w:r>
          </w:p>
        </w:tc>
      </w:tr>
      <w:tr w:rsidR="00231A81" w:rsidTr="00C91BD3">
        <w:trPr>
          <w:cantSplit/>
        </w:trPr>
        <w:tc>
          <w:tcPr>
            <w:tcW w:w="8771" w:type="dxa"/>
            <w:tcBorders>
              <w:top w:val="nil"/>
              <w:left w:val="nil"/>
              <w:bottom w:val="single" w:sz="6" w:space="0" w:color="78A22F"/>
              <w:right w:val="nil"/>
            </w:tcBorders>
            <w:shd w:val="clear" w:color="auto" w:fill="F2F2F2"/>
          </w:tcPr>
          <w:p w:rsidR="00231A81" w:rsidRDefault="00231A81" w:rsidP="00C91BD3">
            <w:pPr>
              <w:pStyle w:val="Box"/>
              <w:spacing w:before="0" w:line="120" w:lineRule="exact"/>
            </w:pPr>
          </w:p>
        </w:tc>
      </w:tr>
      <w:tr w:rsidR="00231A81" w:rsidRPr="000863A5" w:rsidTr="00C91BD3">
        <w:tc>
          <w:tcPr>
            <w:tcW w:w="8771" w:type="dxa"/>
            <w:tcBorders>
              <w:top w:val="single" w:sz="6" w:space="0" w:color="78A22F"/>
              <w:left w:val="nil"/>
              <w:bottom w:val="nil"/>
              <w:right w:val="nil"/>
            </w:tcBorders>
          </w:tcPr>
          <w:p w:rsidR="00231A81" w:rsidRPr="00626D32" w:rsidRDefault="00231A81" w:rsidP="00C91BD3">
            <w:pPr>
              <w:pStyle w:val="BoxSpaceBelow"/>
            </w:pPr>
          </w:p>
        </w:tc>
      </w:tr>
    </w:tbl>
    <w:p w:rsidR="000A2B7C" w:rsidRPr="00FD07E5" w:rsidRDefault="007D07AD" w:rsidP="00FD07E5">
      <w:pPr>
        <w:pStyle w:val="Heading2"/>
      </w:pPr>
      <w:fldSimple w:instr=" SEQ Heading2 ">
        <w:bookmarkStart w:id="11" w:name="_Toc417048500"/>
        <w:r w:rsidR="00C216DF">
          <w:rPr>
            <w:noProof/>
          </w:rPr>
          <w:t>7</w:t>
        </w:r>
      </w:fldSimple>
      <w:r w:rsidR="00292532" w:rsidRPr="00FD07E5">
        <w:tab/>
        <w:t>Identifying and estimating benefits</w:t>
      </w:r>
      <w:bookmarkEnd w:id="11"/>
    </w:p>
    <w:p w:rsidR="00292532" w:rsidRDefault="00292532" w:rsidP="00292532">
      <w:pPr>
        <w:pStyle w:val="BodyText"/>
      </w:pPr>
      <w:r>
        <w:t xml:space="preserve">Mobile broadband services do not generate benefits in their own right. Rather, they facilitate the use of various applications which are themselves inputs to the services that </w:t>
      </w:r>
      <w:r>
        <w:lastRenderedPageBreak/>
        <w:t>PSAs provide. In conducting benefit analysis in this study it may be appropriate to focus on PSA outcomes, and the ultimate beneficiaries of PSA services (the community).</w:t>
      </w:r>
    </w:p>
    <w:p w:rsidR="00292532" w:rsidRDefault="00292532" w:rsidP="00292532">
      <w:pPr>
        <w:pStyle w:val="BodyText"/>
      </w:pPr>
      <w:r>
        <w:t xml:space="preserve">In this context, there </w:t>
      </w:r>
      <w:r w:rsidR="001223F5">
        <w:t>is</w:t>
      </w:r>
      <w:r>
        <w:t xml:space="preserve"> a range of potential benefits from delivering a PSMB capability. These include:</w:t>
      </w:r>
    </w:p>
    <w:p w:rsidR="00292532" w:rsidRDefault="00292532" w:rsidP="00292532">
      <w:pPr>
        <w:pStyle w:val="ListBullet"/>
      </w:pPr>
      <w:r>
        <w:t>i</w:t>
      </w:r>
      <w:r w:rsidRPr="00FA3AFE">
        <w:t>mproved outcomes</w:t>
      </w:r>
      <w:r>
        <w:t xml:space="preserve"> for the community, for example, </w:t>
      </w:r>
      <w:r w:rsidR="00B96DB8">
        <w:t>lives</w:t>
      </w:r>
      <w:r w:rsidR="004500FA">
        <w:t xml:space="preserve"> saved, </w:t>
      </w:r>
      <w:r>
        <w:t>b</w:t>
      </w:r>
      <w:r w:rsidRPr="001C1DFD">
        <w:t>etter health outcomes in medical emergencies</w:t>
      </w:r>
      <w:r>
        <w:t>, or reduced personal injury and property damage</w:t>
      </w:r>
    </w:p>
    <w:p w:rsidR="00292532" w:rsidRPr="00FA3AFE" w:rsidRDefault="00292532" w:rsidP="00292532">
      <w:pPr>
        <w:pStyle w:val="ListBullet"/>
      </w:pPr>
      <w:r>
        <w:t xml:space="preserve">higher </w:t>
      </w:r>
      <w:r w:rsidRPr="00FA3AFE">
        <w:t>PSA productivity</w:t>
      </w:r>
      <w:r>
        <w:t>, which is differentiated from the above point where it frees up resources for other uses</w:t>
      </w:r>
    </w:p>
    <w:p w:rsidR="00292532" w:rsidRPr="00FA3AFE" w:rsidRDefault="00292532" w:rsidP="00292532">
      <w:pPr>
        <w:pStyle w:val="ListBullet"/>
      </w:pPr>
      <w:r>
        <w:t>r</w:t>
      </w:r>
      <w:r w:rsidRPr="00FA3AFE">
        <w:t>educed danger to PSA officers</w:t>
      </w:r>
    </w:p>
    <w:p w:rsidR="00292532" w:rsidRDefault="00292532" w:rsidP="00292532">
      <w:pPr>
        <w:pStyle w:val="ListBullet"/>
      </w:pPr>
      <w:proofErr w:type="gramStart"/>
      <w:r>
        <w:t>r</w:t>
      </w:r>
      <w:r w:rsidRPr="00FA3AFE">
        <w:t>educed</w:t>
      </w:r>
      <w:proofErr w:type="gramEnd"/>
      <w:r w:rsidRPr="00FA3AFE">
        <w:t xml:space="preserve"> equipment co</w:t>
      </w:r>
      <w:r>
        <w:t>sts due to lower design costs and</w:t>
      </w:r>
      <w:r w:rsidRPr="00FA3AFE">
        <w:t xml:space="preserve"> bulk purchasing </w:t>
      </w:r>
      <w:r>
        <w:t>of compatible end</w:t>
      </w:r>
      <w:r>
        <w:noBreakHyphen/>
        <w:t xml:space="preserve">user mobile devices </w:t>
      </w:r>
      <w:r w:rsidRPr="00FA3AFE">
        <w:t>(</w:t>
      </w:r>
      <w:r>
        <w:t>where not included above</w:t>
      </w:r>
      <w:r w:rsidRPr="00FA3AFE">
        <w:t>)</w:t>
      </w:r>
      <w:r>
        <w:t>.</w:t>
      </w:r>
    </w:p>
    <w:p w:rsidR="00292532" w:rsidRDefault="00292532" w:rsidP="0029253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92532" w:rsidRPr="00C249EF" w:rsidTr="00C91BD3">
        <w:tc>
          <w:tcPr>
            <w:tcW w:w="8771" w:type="dxa"/>
            <w:tcBorders>
              <w:top w:val="single" w:sz="6" w:space="0" w:color="78A22F"/>
              <w:left w:val="nil"/>
              <w:bottom w:val="nil"/>
              <w:right w:val="nil"/>
            </w:tcBorders>
            <w:shd w:val="clear" w:color="auto" w:fill="F2F2F2"/>
          </w:tcPr>
          <w:p w:rsidR="00292532" w:rsidRPr="00C249EF" w:rsidRDefault="004500FA" w:rsidP="006D362D">
            <w:pPr>
              <w:pStyle w:val="BoxListNumber"/>
              <w:tabs>
                <w:tab w:val="clear" w:pos="284"/>
                <w:tab w:val="num" w:pos="403"/>
              </w:tabs>
              <w:ind w:left="403" w:hanging="403"/>
              <w:rPr>
                <w:i/>
                <w:sz w:val="22"/>
              </w:rPr>
            </w:pPr>
            <w:r>
              <w:rPr>
                <w:i/>
                <w:sz w:val="22"/>
              </w:rPr>
              <w:t xml:space="preserve">What are the </w:t>
            </w:r>
            <w:r w:rsidR="00292532" w:rsidRPr="00292532">
              <w:rPr>
                <w:i/>
                <w:sz w:val="22"/>
              </w:rPr>
              <w:t>sources of benefits relevant to this study?</w:t>
            </w:r>
          </w:p>
        </w:tc>
      </w:tr>
      <w:tr w:rsidR="00292532" w:rsidTr="00C91BD3">
        <w:trPr>
          <w:cantSplit/>
        </w:trPr>
        <w:tc>
          <w:tcPr>
            <w:tcW w:w="8771" w:type="dxa"/>
            <w:tcBorders>
              <w:top w:val="nil"/>
              <w:left w:val="nil"/>
              <w:bottom w:val="single" w:sz="6" w:space="0" w:color="78A22F"/>
              <w:right w:val="nil"/>
            </w:tcBorders>
            <w:shd w:val="clear" w:color="auto" w:fill="F2F2F2"/>
          </w:tcPr>
          <w:p w:rsidR="00292532" w:rsidRDefault="00292532" w:rsidP="00C91BD3">
            <w:pPr>
              <w:pStyle w:val="Box"/>
              <w:spacing w:before="0" w:line="120" w:lineRule="exact"/>
            </w:pPr>
          </w:p>
        </w:tc>
      </w:tr>
      <w:tr w:rsidR="00292532" w:rsidRPr="000863A5" w:rsidTr="00C91BD3">
        <w:tc>
          <w:tcPr>
            <w:tcW w:w="8771" w:type="dxa"/>
            <w:tcBorders>
              <w:top w:val="single" w:sz="6" w:space="0" w:color="78A22F"/>
              <w:left w:val="nil"/>
              <w:bottom w:val="nil"/>
              <w:right w:val="nil"/>
            </w:tcBorders>
          </w:tcPr>
          <w:p w:rsidR="00292532" w:rsidRPr="00626D32" w:rsidRDefault="00292532" w:rsidP="00C91BD3">
            <w:pPr>
              <w:pStyle w:val="BoxSpaceBelow"/>
            </w:pPr>
          </w:p>
        </w:tc>
      </w:tr>
    </w:tbl>
    <w:p w:rsidR="00292532" w:rsidRDefault="00292532" w:rsidP="00292532">
      <w:pPr>
        <w:pStyle w:val="BodyText"/>
      </w:pPr>
      <w:r>
        <w:t xml:space="preserve">Broadly, there are two potential steps involved in estimating the benefits of providing PSMB. The first is to measure the </w:t>
      </w:r>
      <w:r w:rsidRPr="00422630">
        <w:rPr>
          <w:i/>
        </w:rPr>
        <w:t>impact</w:t>
      </w:r>
      <w:r>
        <w:t xml:space="preserve"> of mobile broadband </w:t>
      </w:r>
      <w:r w:rsidRPr="00C37BD0">
        <w:t>capab</w:t>
      </w:r>
      <w:r>
        <w:t xml:space="preserve">ility on PSA outcomes. The second is to estimate </w:t>
      </w:r>
      <w:r w:rsidRPr="00C37BD0">
        <w:t xml:space="preserve">the </w:t>
      </w:r>
      <w:r w:rsidRPr="006C22B4">
        <w:rPr>
          <w:i/>
        </w:rPr>
        <w:t xml:space="preserve">value </w:t>
      </w:r>
      <w:r w:rsidRPr="00C37BD0">
        <w:t xml:space="preserve">associated with </w:t>
      </w:r>
      <w:r>
        <w:t xml:space="preserve">the improved </w:t>
      </w:r>
      <w:r w:rsidRPr="00C37BD0">
        <w:t>outcomes</w:t>
      </w:r>
      <w:r>
        <w:t>,</w:t>
      </w:r>
      <w:r w:rsidRPr="00C37BD0">
        <w:t xml:space="preserve"> suc</w:t>
      </w:r>
      <w:r>
        <w:t>h as the value of lives or property saved, or crime prevented.</w:t>
      </w:r>
    </w:p>
    <w:p w:rsidR="00292532" w:rsidRDefault="00292532" w:rsidP="00292532">
      <w:pPr>
        <w:pStyle w:val="BodyText"/>
      </w:pPr>
      <w:r>
        <w:t>However</w:t>
      </w:r>
      <w:r w:rsidR="00A16520">
        <w:t xml:space="preserve">, </w:t>
      </w:r>
      <w:r>
        <w:t xml:space="preserve">this type of analysis is likely to present significant challenges. A range of inputs and variables contribute to positive (or negative) PSA outcomes, and it could be very difficult (and potentially, impossible) to accurately identify the contribution of PSMB capability specifically. This is further complicated by the fact that the benefits of PSMB capability are likely to vary across different types of agencies, geographic areas, </w:t>
      </w:r>
      <w:r w:rsidR="00A16520">
        <w:t xml:space="preserve">incident types and </w:t>
      </w:r>
      <w:r>
        <w:t xml:space="preserve">applications used. </w:t>
      </w:r>
    </w:p>
    <w:p w:rsidR="00292532" w:rsidRDefault="00292532" w:rsidP="00292532">
      <w:pPr>
        <w:pStyle w:val="BodyText"/>
      </w:pPr>
      <w:r>
        <w:t xml:space="preserve">That said, it might be possible to develop an understanding of how a PSMB capability would </w:t>
      </w:r>
      <w:proofErr w:type="gramStart"/>
      <w:r>
        <w:t>effect</w:t>
      </w:r>
      <w:proofErr w:type="gramEnd"/>
      <w:r>
        <w:t xml:space="preserve"> PSA outcomes by drawing on: </w:t>
      </w:r>
    </w:p>
    <w:p w:rsidR="00292532" w:rsidRPr="00212DF3" w:rsidRDefault="00292532" w:rsidP="00292532">
      <w:pPr>
        <w:pStyle w:val="ListBullet"/>
      </w:pPr>
      <w:r w:rsidRPr="00DE47D8">
        <w:t xml:space="preserve">survey </w:t>
      </w:r>
      <w:r>
        <w:t xml:space="preserve">(or other) </w:t>
      </w:r>
      <w:r w:rsidRPr="00DE47D8">
        <w:t xml:space="preserve">information provided by PSAs </w:t>
      </w:r>
    </w:p>
    <w:p w:rsidR="00292532" w:rsidRPr="00212DF3" w:rsidRDefault="00292532" w:rsidP="00292532">
      <w:pPr>
        <w:pStyle w:val="ListBullet"/>
      </w:pPr>
      <w:r w:rsidRPr="00DE47D8">
        <w:t xml:space="preserve">studies </w:t>
      </w:r>
      <w:r>
        <w:t>that have sought to evaluate the costs and benefits of PSMB capability, based on small</w:t>
      </w:r>
      <w:r>
        <w:noBreakHyphen/>
        <w:t>scale pilots and trials</w:t>
      </w:r>
    </w:p>
    <w:p w:rsidR="00292532" w:rsidRDefault="00292532" w:rsidP="00292532">
      <w:pPr>
        <w:pStyle w:val="ListBullet"/>
      </w:pPr>
      <w:proofErr w:type="gramStart"/>
      <w:r w:rsidRPr="00DE47D8">
        <w:t>scenario</w:t>
      </w:r>
      <w:proofErr w:type="gramEnd"/>
      <w:r w:rsidRPr="00DE47D8">
        <w:t xml:space="preserve"> analysis</w:t>
      </w:r>
      <w:r w:rsidRPr="00212DF3">
        <w:t xml:space="preserve"> that estimates the impact of </w:t>
      </w:r>
      <w:r>
        <w:t xml:space="preserve">a PSMB </w:t>
      </w:r>
      <w:r w:rsidRPr="00212DF3">
        <w:t>capability on PSA outcomes using detailed hypothetical scenarios.</w:t>
      </w:r>
    </w:p>
    <w:p w:rsidR="00292532" w:rsidRDefault="00292532" w:rsidP="00292532">
      <w:pPr>
        <w:pStyle w:val="BodyText"/>
      </w:pPr>
      <w:r>
        <w:t>Estimating the value associated with improved PSA outcomes is also likely to present challenges, particularly given that PSA services are traditionally considered a public good, and therefore, there is no market where prices are set for end</w:t>
      </w:r>
      <w:r>
        <w:noBreakHyphen/>
        <w:t>users. Non</w:t>
      </w:r>
      <w:r>
        <w:noBreakHyphen/>
        <w:t>market valuation</w:t>
      </w:r>
      <w:r w:rsidDel="00E76977">
        <w:t xml:space="preserve"> </w:t>
      </w:r>
      <w:r>
        <w:t xml:space="preserve">methodologies (such as stated preference and revealed preference techniques) can sometimes be used to calculate the value of goods and services that are not traded. Past </w:t>
      </w:r>
      <w:r>
        <w:lastRenderedPageBreak/>
        <w:t>studies might also provide insights about appropriate estimates of the value of PSA outcomes.</w:t>
      </w:r>
    </w:p>
    <w:p w:rsidR="00292532" w:rsidRDefault="00292532" w:rsidP="00292532">
      <w:pPr>
        <w:pStyle w:val="BodyText"/>
      </w:pPr>
      <w:r>
        <w:t>Ultimately, t</w:t>
      </w:r>
      <w:r w:rsidRPr="00422630">
        <w:t xml:space="preserve">he </w:t>
      </w:r>
      <w:r>
        <w:t xml:space="preserve">feasibility of quantifying the benefits (and costs) of PSMB options in this study will depend on the </w:t>
      </w:r>
      <w:r w:rsidRPr="00422630">
        <w:t xml:space="preserve">quality and </w:t>
      </w:r>
      <w:r>
        <w:t xml:space="preserve">amount of data, evidence and information that is </w:t>
      </w:r>
      <w:r w:rsidRPr="00422630">
        <w:t xml:space="preserve">available </w:t>
      </w:r>
      <w:r>
        <w:t>to the Commission, both through submissions from interested parties and public sources</w:t>
      </w:r>
      <w:r w:rsidRPr="00422630">
        <w:t>.</w:t>
      </w:r>
    </w:p>
    <w:p w:rsidR="00292532" w:rsidRDefault="00292532" w:rsidP="0029253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92532" w:rsidRPr="00C249EF" w:rsidTr="00C91BD3">
        <w:tc>
          <w:tcPr>
            <w:tcW w:w="8771" w:type="dxa"/>
            <w:tcBorders>
              <w:top w:val="single" w:sz="6" w:space="0" w:color="78A22F"/>
              <w:left w:val="nil"/>
              <w:bottom w:val="nil"/>
              <w:right w:val="nil"/>
            </w:tcBorders>
            <w:shd w:val="clear" w:color="auto" w:fill="F2F2F2"/>
          </w:tcPr>
          <w:p w:rsidR="00292532" w:rsidRPr="00292532" w:rsidRDefault="00292532" w:rsidP="006D362D">
            <w:pPr>
              <w:pStyle w:val="BoxListNumber"/>
              <w:tabs>
                <w:tab w:val="clear" w:pos="284"/>
                <w:tab w:val="num" w:pos="403"/>
              </w:tabs>
              <w:ind w:left="403" w:hanging="403"/>
              <w:rPr>
                <w:i/>
                <w:sz w:val="22"/>
              </w:rPr>
            </w:pPr>
            <w:r w:rsidRPr="00292532">
              <w:rPr>
                <w:i/>
                <w:sz w:val="22"/>
              </w:rPr>
              <w:t>How can the potential benefits of PSMB capability (in terms of PSA outcomes) be estimated? Is scenario analysis useful? How should scenarios be constructed to reflect an appropriate range of situations faced by PSAs?</w:t>
            </w:r>
          </w:p>
          <w:p w:rsidR="00292532" w:rsidRPr="00292532" w:rsidRDefault="00292532" w:rsidP="006D362D">
            <w:pPr>
              <w:pStyle w:val="BoxListNumber"/>
              <w:tabs>
                <w:tab w:val="clear" w:pos="284"/>
                <w:tab w:val="num" w:pos="403"/>
              </w:tabs>
              <w:ind w:left="403" w:hanging="403"/>
              <w:rPr>
                <w:i/>
                <w:sz w:val="22"/>
              </w:rPr>
            </w:pPr>
            <w:r w:rsidRPr="00292532">
              <w:rPr>
                <w:i/>
                <w:sz w:val="22"/>
              </w:rPr>
              <w:t xml:space="preserve">Can you identify any trials or pilot programs of PSMB capability? Are there any insights to draw from these experiences about potential benefits (or costs)? </w:t>
            </w:r>
          </w:p>
          <w:p w:rsidR="00292532" w:rsidRPr="00292532" w:rsidRDefault="00292532" w:rsidP="006D362D">
            <w:pPr>
              <w:pStyle w:val="BoxListNumber"/>
              <w:tabs>
                <w:tab w:val="clear" w:pos="284"/>
                <w:tab w:val="num" w:pos="403"/>
              </w:tabs>
              <w:ind w:left="403" w:hanging="403"/>
              <w:rPr>
                <w:i/>
                <w:sz w:val="22"/>
              </w:rPr>
            </w:pPr>
            <w:r w:rsidRPr="00292532">
              <w:rPr>
                <w:i/>
                <w:sz w:val="22"/>
              </w:rPr>
              <w:t>Can you identify evidence or examples that illustrate the effects of PSMB capability on PSA outcomes?</w:t>
            </w:r>
          </w:p>
          <w:p w:rsidR="00292532" w:rsidRPr="00292532" w:rsidRDefault="00292532" w:rsidP="006D362D">
            <w:pPr>
              <w:pStyle w:val="BoxListNumber"/>
              <w:tabs>
                <w:tab w:val="clear" w:pos="284"/>
                <w:tab w:val="num" w:pos="403"/>
              </w:tabs>
              <w:ind w:left="403" w:hanging="403"/>
              <w:rPr>
                <w:i/>
                <w:sz w:val="22"/>
              </w:rPr>
            </w:pPr>
            <w:r w:rsidRPr="00292532">
              <w:rPr>
                <w:i/>
                <w:sz w:val="22"/>
              </w:rPr>
              <w:t xml:space="preserve">What method(s) should be used to value the effects of PSMB capability on PSA outcomes? </w:t>
            </w:r>
          </w:p>
          <w:p w:rsidR="00292532" w:rsidRPr="00C249EF" w:rsidRDefault="00292532" w:rsidP="006D362D">
            <w:pPr>
              <w:pStyle w:val="BoxListNumber"/>
              <w:tabs>
                <w:tab w:val="clear" w:pos="284"/>
                <w:tab w:val="num" w:pos="403"/>
              </w:tabs>
              <w:ind w:left="403" w:hanging="403"/>
              <w:rPr>
                <w:i/>
                <w:sz w:val="22"/>
              </w:rPr>
            </w:pPr>
            <w:r w:rsidRPr="00292532">
              <w:rPr>
                <w:i/>
                <w:sz w:val="22"/>
              </w:rPr>
              <w:t>Is there research that considers how the costs of responding to natural disasters, crime or other events could be affected if PSAs had access to mobile broadband?</w:t>
            </w:r>
          </w:p>
        </w:tc>
      </w:tr>
      <w:tr w:rsidR="00292532" w:rsidTr="00C91BD3">
        <w:trPr>
          <w:cantSplit/>
        </w:trPr>
        <w:tc>
          <w:tcPr>
            <w:tcW w:w="8771" w:type="dxa"/>
            <w:tcBorders>
              <w:top w:val="nil"/>
              <w:left w:val="nil"/>
              <w:bottom w:val="single" w:sz="6" w:space="0" w:color="78A22F"/>
              <w:right w:val="nil"/>
            </w:tcBorders>
            <w:shd w:val="clear" w:color="auto" w:fill="F2F2F2"/>
          </w:tcPr>
          <w:p w:rsidR="00292532" w:rsidRDefault="00292532" w:rsidP="00C91BD3">
            <w:pPr>
              <w:pStyle w:val="Box"/>
              <w:spacing w:before="0" w:line="120" w:lineRule="exact"/>
            </w:pPr>
          </w:p>
        </w:tc>
      </w:tr>
      <w:tr w:rsidR="00292532" w:rsidRPr="000863A5" w:rsidTr="00C91BD3">
        <w:tc>
          <w:tcPr>
            <w:tcW w:w="8771" w:type="dxa"/>
            <w:tcBorders>
              <w:top w:val="single" w:sz="6" w:space="0" w:color="78A22F"/>
              <w:left w:val="nil"/>
              <w:bottom w:val="nil"/>
              <w:right w:val="nil"/>
            </w:tcBorders>
          </w:tcPr>
          <w:p w:rsidR="00292532" w:rsidRPr="00626D32" w:rsidRDefault="00292532" w:rsidP="00C91BD3">
            <w:pPr>
              <w:pStyle w:val="BoxSpaceBelow"/>
            </w:pPr>
          </w:p>
        </w:tc>
      </w:tr>
    </w:tbl>
    <w:p w:rsidR="00292532" w:rsidRDefault="00292532" w:rsidP="00292532">
      <w:pPr>
        <w:pStyle w:val="BodyText"/>
      </w:pPr>
    </w:p>
    <w:p w:rsidR="00292532" w:rsidRDefault="00292532">
      <w:pPr>
        <w:rPr>
          <w:szCs w:val="20"/>
        </w:rPr>
      </w:pPr>
      <w:r>
        <w:br w:type="page"/>
      </w:r>
    </w:p>
    <w:p w:rsidR="00292532" w:rsidRPr="00391500" w:rsidRDefault="00292532" w:rsidP="00292532">
      <w:pPr>
        <w:pStyle w:val="Heading2"/>
        <w:spacing w:before="360"/>
      </w:pPr>
      <w:bookmarkStart w:id="12" w:name="_Toc416965668"/>
      <w:bookmarkStart w:id="13" w:name="_Toc417048501"/>
      <w:r>
        <w:lastRenderedPageBreak/>
        <w:t xml:space="preserve">Attachment </w:t>
      </w:r>
      <w:proofErr w:type="gramStart"/>
      <w:r>
        <w:t>A</w:t>
      </w:r>
      <w:proofErr w:type="gramEnd"/>
      <w:r>
        <w:t xml:space="preserve"> </w:t>
      </w:r>
      <w:r w:rsidR="00595FFD">
        <w:rPr>
          <w:rFonts w:cs="Arial"/>
        </w:rPr>
        <w:t>—</w:t>
      </w:r>
      <w:r w:rsidR="00595FFD">
        <w:t xml:space="preserve"> </w:t>
      </w:r>
      <w:r>
        <w:t>H</w:t>
      </w:r>
      <w:r w:rsidRPr="00391500">
        <w:t>ow to make a submission</w:t>
      </w:r>
      <w:bookmarkEnd w:id="12"/>
      <w:bookmarkEnd w:id="13"/>
    </w:p>
    <w:p w:rsidR="00292532" w:rsidRDefault="00292532" w:rsidP="00A10C9C">
      <w:pPr>
        <w:pStyle w:val="BodyText"/>
      </w:pPr>
      <w:r>
        <w:t>The Commission invites interested people and organisations to make a written submission.</w:t>
      </w:r>
    </w:p>
    <w:p w:rsidR="00292532" w:rsidRDefault="00292532" w:rsidP="00A10C9C">
      <w:pPr>
        <w:pStyle w:val="BodyText"/>
      </w:pPr>
      <w:r>
        <w:t>Each submission, except for any information supplied in confidence (see below), will be published on the Commission’s website shortly after receipt, and will remain there indefinitely as a public document. The Commission reserves the right to not publish material on its website that is offensive, potentially defamatory, or clearly out of scope for the inquiry or study in question.</w:t>
      </w:r>
    </w:p>
    <w:p w:rsidR="00292532" w:rsidRDefault="00292532" w:rsidP="00A10C9C">
      <w:pPr>
        <w:pStyle w:val="BodyText"/>
      </w:pPr>
      <w:r>
        <w:t>When providing a submission to the Commission, you may wish to remain anonymous or use a pseudonym. Please note that, if you choose to remain anonymous or use a pseudonym, the Commission may place less weight on your submission.</w:t>
      </w:r>
    </w:p>
    <w:p w:rsidR="00292532" w:rsidRDefault="00292532" w:rsidP="00A10C9C">
      <w:pPr>
        <w:pStyle w:val="BodyText"/>
      </w:pPr>
      <w:r>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rsidR="00292532" w:rsidRDefault="00292532" w:rsidP="00292532">
      <w:pPr>
        <w:pStyle w:val="Heading4"/>
      </w:pPr>
      <w:r>
        <w:t>How to prepare a submission</w:t>
      </w:r>
    </w:p>
    <w:p w:rsidR="00292532" w:rsidRDefault="00292532" w:rsidP="00A10C9C">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292532" w:rsidRDefault="00292532" w:rsidP="00A10C9C">
      <w:pPr>
        <w:pStyle w:val="BodyText"/>
      </w:pPr>
      <w:r>
        <w:t>This is a public review and all submissions should be provided as public documents that can be placed on the Commission’s website for others to read and comment on.</w:t>
      </w:r>
      <w:r w:rsidRPr="00BD0197">
        <w:t xml:space="preserve"> However, information which is of a confidential nature or which is submitted in confidence can be treated as such by the Commission, provided the cause for such treatment is shown. The Commission may also request a non</w:t>
      </w:r>
      <w:r>
        <w:noBreakHyphen/>
      </w:r>
      <w:r w:rsidRPr="00BD0197">
        <w:t xml:space="preserve">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w:t>
      </w:r>
      <w:r>
        <w:t>‘</w:t>
      </w:r>
      <w:r w:rsidRPr="00BD0197">
        <w:t>IN CONFIDENCE</w:t>
      </w:r>
      <w:r>
        <w:t>’</w:t>
      </w:r>
      <w:r w:rsidRPr="00BD0197">
        <w:t>.</w:t>
      </w:r>
    </w:p>
    <w:p w:rsidR="00292532" w:rsidRDefault="00292532" w:rsidP="00292532">
      <w:pPr>
        <w:pStyle w:val="Heading4"/>
        <w:keepNext w:val="0"/>
      </w:pPr>
      <w:r>
        <w:t>How to lodge a submission</w:t>
      </w:r>
    </w:p>
    <w:p w:rsidR="00292532" w:rsidRDefault="00292532" w:rsidP="00292532">
      <w:pPr>
        <w:pStyle w:val="BodyText"/>
      </w:pPr>
      <w:r w:rsidRPr="005C5E19">
        <w:t xml:space="preserve">Each submission should be accompanied by a submission cover sheet. The submission cover sheet is available on the study web page. For submissions received from individuals, all </w:t>
      </w:r>
      <w:r w:rsidRPr="005C5E19">
        <w:rPr>
          <w:b/>
        </w:rPr>
        <w:t>personal</w:t>
      </w:r>
      <w:r w:rsidRPr="005C5E19">
        <w:t xml:space="preserve"> details (</w:t>
      </w:r>
      <w:r w:rsidR="006E173E">
        <w:t>for example,</w:t>
      </w:r>
      <w:r w:rsidRPr="005C5E19">
        <w:t xml:space="preserve"> home and email address, signatures, phone, mobile and fax numbers) will be removed before </w:t>
      </w:r>
      <w:r>
        <w:t xml:space="preserve">they are </w:t>
      </w:r>
      <w:r w:rsidRPr="005C5E19">
        <w:t>published on the website for privacy reasons.</w:t>
      </w:r>
    </w:p>
    <w:p w:rsidR="00292532" w:rsidRDefault="00292532" w:rsidP="00292532">
      <w:pPr>
        <w:pStyle w:val="BodyText"/>
      </w:pPr>
      <w:r>
        <w:t>The Commission prefers to receive submissions as Microsoft Word (.</w:t>
      </w:r>
      <w:proofErr w:type="spellStart"/>
      <w:r>
        <w:t>docx</w:t>
      </w:r>
      <w:proofErr w:type="spellEnd"/>
      <w:r>
        <w:t xml:space="preserve">) files. PDF files are acceptable if produced from a Word document or similar text based software. You may </w:t>
      </w:r>
      <w:r>
        <w:lastRenderedPageBreak/>
        <w:t xml:space="preserve">wish to research the </w:t>
      </w:r>
      <w:proofErr w:type="spellStart"/>
      <w:r>
        <w:t>Internet</w:t>
      </w:r>
      <w:proofErr w:type="spellEnd"/>
      <w:r>
        <w:t xml:space="preserve"> on how to make your documents more accessible or for the more technical, follow advice from </w:t>
      </w:r>
      <w:hyperlink r:id="rId20" w:history="1">
        <w:r w:rsidRPr="00C738C7">
          <w:t>Web Content Accessibility Guidelines (WCAG) 2.0</w:t>
        </w:r>
      </w:hyperlink>
      <w:r w:rsidRPr="00C738C7">
        <w:t xml:space="preserve"> </w:t>
      </w:r>
      <w:r>
        <w:t>&lt;</w:t>
      </w:r>
      <w:hyperlink r:id="rId21" w:history="1">
        <w:r w:rsidRPr="00C738C7">
          <w:t>http://www.w3.org/TR/WCAG20/</w:t>
        </w:r>
      </w:hyperlink>
      <w:r>
        <w:t>&gt;.</w:t>
      </w:r>
    </w:p>
    <w:p w:rsidR="00292532" w:rsidRDefault="00292532" w:rsidP="00292532">
      <w:pPr>
        <w:pStyle w:val="BodyText"/>
      </w:pPr>
      <w:r>
        <w:t>Do not send password protected files. Do not send us material for which you are not the copyright owner — such as newspaper articles — you should just reference or link to this material in your submission.</w:t>
      </w:r>
    </w:p>
    <w:p w:rsidR="00292532" w:rsidRDefault="00292532" w:rsidP="00292532">
      <w:pPr>
        <w:pStyle w:val="BodyText"/>
      </w:pPr>
      <w:r>
        <w:t>Track changes, editing marks, hidden text and i</w:t>
      </w:r>
      <w:smartTag w:uri="urn:schemas-microsoft-com:office:smarttags" w:element="PersonName">
        <w:r>
          <w:t>nt</w:t>
        </w:r>
      </w:smartTag>
      <w:r>
        <w:t>ernal links should be removed from submissions before sending to the Commission. To ensure hyperlinks work in your submission, the Commission recomme</w:t>
      </w:r>
      <w:smartTag w:uri="urn:schemas-microsoft-com:office:smarttags" w:element="PersonName">
        <w:r>
          <w:t>n</w:t>
        </w:r>
        <w:smartTag w:uri="urn:schemas-microsoft-com:office:smarttags" w:element="PersonName">
          <w:r>
            <w:t>ds</w:t>
          </w:r>
        </w:smartTag>
      </w:smartTag>
      <w:r>
        <w:t xml:space="preserve"> that you type the full web address (</w:t>
      </w:r>
      <w:r w:rsidR="006E173E">
        <w:t>for example,</w:t>
      </w:r>
      <w:r>
        <w:t xml:space="preserve"> http://www.referred</w:t>
      </w:r>
      <w:r w:rsidR="00C46790">
        <w:noBreakHyphen/>
      </w:r>
      <w:r>
        <w:t>website.com/folder/file</w:t>
      </w:r>
      <w:r w:rsidR="00C46790">
        <w:noBreakHyphen/>
      </w:r>
      <w:r>
        <w:t>name.html).</w:t>
      </w:r>
    </w:p>
    <w:p w:rsidR="00292532" w:rsidRPr="00AA4178" w:rsidRDefault="00292532" w:rsidP="00292532">
      <w:pPr>
        <w:pStyle w:val="BodyText"/>
      </w:pPr>
      <w:r w:rsidRPr="00AA4178">
        <w:t>Submissions sent by email must not exceed 20 megabytes in size as our email system cannot accept anything larger. If your submission is greater than 20</w:t>
      </w:r>
      <w:r>
        <w:t xml:space="preserve"> </w:t>
      </w:r>
      <w:proofErr w:type="spellStart"/>
      <w:r w:rsidRPr="00AA4178">
        <w:t>mb</w:t>
      </w:r>
      <w:proofErr w:type="spellEnd"/>
      <w:r w:rsidRPr="00AA4178">
        <w:t xml:space="preserve"> in size, please contact the Administrative </w:t>
      </w:r>
      <w:r>
        <w:t>Coordinator</w:t>
      </w:r>
      <w:r w:rsidRPr="00AA4178">
        <w:t xml:space="preserve"> </w:t>
      </w:r>
      <w:r>
        <w:t xml:space="preserve">(Carole Gardner, </w:t>
      </w:r>
      <w:r w:rsidR="006E173E">
        <w:t>(</w:t>
      </w:r>
      <w:r>
        <w:t>03</w:t>
      </w:r>
      <w:r w:rsidR="006E173E">
        <w:t>)</w:t>
      </w:r>
      <w:r>
        <w:t> 9653 2194)</w:t>
      </w:r>
      <w:r w:rsidRPr="00AA4178">
        <w:t xml:space="preserve"> to organise another method of sending your submission to the Commission.</w:t>
      </w:r>
    </w:p>
    <w:p w:rsidR="00292532" w:rsidRDefault="00292532" w:rsidP="00292532">
      <w:pPr>
        <w:pStyle w:val="BodyText"/>
      </w:pPr>
      <w:r>
        <w:t>Submissions can be accepted by email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ubmissions can be accepted by email or post"/>
      </w:tblPr>
      <w:tblGrid>
        <w:gridCol w:w="1384"/>
        <w:gridCol w:w="7621"/>
      </w:tblGrid>
      <w:tr w:rsidR="00292532" w:rsidTr="00C91BD3">
        <w:tc>
          <w:tcPr>
            <w:tcW w:w="1384" w:type="dxa"/>
          </w:tcPr>
          <w:p w:rsidR="00292532" w:rsidRDefault="00292532" w:rsidP="00C91BD3">
            <w:pPr>
              <w:pStyle w:val="BodyText"/>
              <w:tabs>
                <w:tab w:val="left" w:pos="1701"/>
              </w:tabs>
              <w:spacing w:before="120"/>
            </w:pPr>
            <w:r>
              <w:t>Email*</w:t>
            </w:r>
          </w:p>
        </w:tc>
        <w:tc>
          <w:tcPr>
            <w:tcW w:w="7621" w:type="dxa"/>
          </w:tcPr>
          <w:p w:rsidR="00292532" w:rsidRDefault="00292532" w:rsidP="00C91BD3">
            <w:pPr>
              <w:pStyle w:val="BodyText"/>
              <w:tabs>
                <w:tab w:val="left" w:pos="1701"/>
              </w:tabs>
              <w:spacing w:before="120"/>
            </w:pPr>
            <w:r>
              <w:t>psmb@pc.gov.au</w:t>
            </w:r>
          </w:p>
        </w:tc>
      </w:tr>
      <w:tr w:rsidR="00292532" w:rsidTr="00C91BD3">
        <w:tc>
          <w:tcPr>
            <w:tcW w:w="1384" w:type="dxa"/>
          </w:tcPr>
          <w:p w:rsidR="00292532" w:rsidRDefault="00292532" w:rsidP="00C91BD3">
            <w:pPr>
              <w:pStyle w:val="BodyText"/>
              <w:tabs>
                <w:tab w:val="left" w:pos="1701"/>
              </w:tabs>
              <w:spacing w:before="60"/>
            </w:pPr>
            <w:r>
              <w:t>Post</w:t>
            </w:r>
          </w:p>
        </w:tc>
        <w:tc>
          <w:tcPr>
            <w:tcW w:w="7621" w:type="dxa"/>
          </w:tcPr>
          <w:p w:rsidR="00292532" w:rsidRDefault="00292532" w:rsidP="00C91BD3">
            <w:pPr>
              <w:pStyle w:val="BodyText"/>
              <w:tabs>
                <w:tab w:val="left" w:pos="1701"/>
              </w:tabs>
              <w:spacing w:before="60"/>
              <w:jc w:val="left"/>
              <w:rPr>
                <w:i/>
              </w:rPr>
            </w:pPr>
            <w:r>
              <w:t>Public Safety Mobile Broadband</w:t>
            </w:r>
            <w:r>
              <w:br/>
              <w:t>Productivity Commission</w:t>
            </w:r>
            <w:r>
              <w:br/>
              <w:t>Locked Bag 2, Collins Street</w:t>
            </w:r>
            <w:r>
              <w:br/>
              <w:t>Melbourne VIC 8003</w:t>
            </w:r>
            <w:r>
              <w:br/>
              <w:t>Productivity Commission</w:t>
            </w:r>
          </w:p>
        </w:tc>
      </w:tr>
    </w:tbl>
    <w:p w:rsidR="00292532" w:rsidRDefault="00292532" w:rsidP="00292532">
      <w:pPr>
        <w:pStyle w:val="BodyText"/>
      </w:pPr>
      <w:r>
        <w:t>*</w:t>
      </w:r>
      <w:r w:rsidRPr="007354B8">
        <w:t xml:space="preserve"> </w:t>
      </w:r>
      <w:r>
        <w:t>If you do not receive notification of receipt of an email message you have se</w:t>
      </w:r>
      <w:smartTag w:uri="urn:schemas-microsoft-com:office:smarttags" w:element="PersonName">
        <w:r>
          <w:t>nt</w:t>
        </w:r>
      </w:smartTag>
      <w:r>
        <w:t xml:space="preserve"> to the Commission within two working days of sending, please co</w:t>
      </w:r>
      <w:smartTag w:uri="urn:schemas-microsoft-com:office:smarttags" w:element="PersonName">
        <w:r>
          <w:t>nt</w:t>
        </w:r>
      </w:smartTag>
      <w:r>
        <w:t>act the Administrative Officer.</w:t>
      </w:r>
    </w:p>
    <w:p w:rsidR="00292532" w:rsidRPr="00391500" w:rsidRDefault="00292532" w:rsidP="00292532">
      <w:pPr>
        <w:pStyle w:val="Heading4"/>
      </w:pPr>
      <w:r w:rsidRPr="00391500">
        <w:t>Due date for submissions</w:t>
      </w:r>
    </w:p>
    <w:p w:rsidR="00292532" w:rsidRDefault="00292532" w:rsidP="00292532">
      <w:pPr>
        <w:pStyle w:val="BodyText"/>
      </w:pPr>
      <w:r>
        <w:t xml:space="preserve">Please send submissions to the Commission by Monday 25 May 2015. </w:t>
      </w:r>
    </w:p>
    <w:p w:rsidR="00292532" w:rsidRDefault="00292532" w:rsidP="00292532">
      <w:pPr>
        <w:pStyle w:val="BodyText"/>
      </w:pPr>
      <w:r>
        <w:br w:type="page"/>
      </w:r>
    </w:p>
    <w:p w:rsidR="00A10C9C" w:rsidRDefault="00C46790" w:rsidP="00A10C9C">
      <w:pPr>
        <w:pStyle w:val="Heading2"/>
        <w:spacing w:after="240"/>
      </w:pPr>
      <w:bookmarkStart w:id="14" w:name="_Toc416965669"/>
      <w:bookmarkStart w:id="15" w:name="_Toc417048502"/>
      <w:r>
        <w:lastRenderedPageBreak/>
        <w:t xml:space="preserve">Attachment B </w:t>
      </w:r>
      <w:r w:rsidR="00595FFD">
        <w:rPr>
          <w:rFonts w:cs="Arial"/>
        </w:rPr>
        <w:t>—</w:t>
      </w:r>
      <w:r w:rsidR="00A10C9C">
        <w:t xml:space="preserve"> Consolidated list of questions</w:t>
      </w:r>
      <w:bookmarkEnd w:id="14"/>
      <w:bookmarkEnd w:id="15"/>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is the merit (or otherwise) of the proposed approach to undertaking first principles analysis in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domestic or international developments, reports or experiences in PSMB (or related matters) are relevant to consider in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are the implications (if any) of the Australian Government’s review of the spectrum policy and management framework, and ACMA’s ongoing work on spectrum allocation matters, for the delivery of PSMB in Australia?</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Are there any other PSAs that should be considered within scope in this study? To what extent are communications between PSAs and the community relevant to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do the organisational and institutional arrangements for PSAs vary between the Australian jurisdictions? What implications (if any) does this have for the way in which PSAs procure, operate and use communications services?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is an appropriate definition of ‘mission critical’ communication systems and capability for the purposes of this study? What metrics should be used to assess whether capability is being delivered to adequate levels during mission critical circumstances? What evidence is there that existing capabilities are satisfactory or unsatisfactory?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applications do PSAs currently use on their LMR networks that are provided for mission critical purposes? Does this differ by jurisdiction?</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often are PSA narrowband networks (such as LMR networks) renewed or upgraded, and to what extent are different jurisdictions at different points in this process? What are the costs involved in maintaining these networks?</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do the different types of events that PSAs deal with affect their demand for communications capabilities? Can you provide examples or evidence to illustrate this?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and to what extent, are PSAs using mobile broadband capability provided over commercial networks, and related products and applications, to support their operational activities? Are there any lessons or insights from these experiences, including the benefits that are being realised?</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do other large organisations (such as government and corporate organisations with certain requirements which may be similar to those of PSAs) currently use mobile broadband services provided on commercial networks?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lessons or insights can be taken from the previous trials of Telstra’s LANES model, including during the G20 summit in November 2014? </w:t>
      </w:r>
    </w:p>
    <w:p w:rsidR="00042FC8" w:rsidRPr="003C22D6" w:rsidRDefault="00042FC8" w:rsidP="006D362D">
      <w:pPr>
        <w:pStyle w:val="BoxListNumber"/>
        <w:numPr>
          <w:ilvl w:val="0"/>
          <w:numId w:val="27"/>
        </w:numPr>
        <w:tabs>
          <w:tab w:val="clear" w:pos="284"/>
          <w:tab w:val="num" w:pos="426"/>
        </w:tabs>
        <w:spacing w:before="0" w:after="160"/>
        <w:ind w:left="426" w:hanging="426"/>
        <w:rPr>
          <w:i/>
        </w:rPr>
      </w:pPr>
      <w:r w:rsidRPr="003C22D6">
        <w:rPr>
          <w:i/>
          <w:sz w:val="22"/>
        </w:rPr>
        <w:t>Can commercial network solutions that involve dedicated spectrum for PSAs (and prioritised capacity in other spectrum bands during emergency incidents) allow for interoperability between networks operated by other mobile carriers and/or for end user to roam across multiple networks? Are there any technical, institutional or commercial barriers that would prevent this outcome?</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lastRenderedPageBreak/>
        <w:t>What applications could PSAs use if they had access to PSMB capability? How could this be expected to vary across PSAs?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To what extent could these applications replace or supplement the capability and systems currently used by PSAs on their narrowband networks?</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How important are communications between PSAs and the community during emergency incidents? </w:t>
      </w:r>
    </w:p>
    <w:p w:rsidR="00042FC8" w:rsidRPr="006D362D" w:rsidRDefault="006959B3" w:rsidP="006D362D">
      <w:pPr>
        <w:pStyle w:val="BoxListNumber"/>
        <w:numPr>
          <w:ilvl w:val="0"/>
          <w:numId w:val="27"/>
        </w:numPr>
        <w:tabs>
          <w:tab w:val="clear" w:pos="284"/>
          <w:tab w:val="num" w:pos="426"/>
        </w:tabs>
        <w:spacing w:before="0" w:after="160"/>
        <w:ind w:left="426" w:hanging="426"/>
        <w:rPr>
          <w:i/>
          <w:sz w:val="22"/>
        </w:rPr>
      </w:pPr>
      <w:r>
        <w:rPr>
          <w:i/>
          <w:sz w:val="22"/>
        </w:rPr>
        <w:t xml:space="preserve">What </w:t>
      </w:r>
      <w:r w:rsidR="00042FC8" w:rsidRPr="003C22D6">
        <w:rPr>
          <w:i/>
          <w:sz w:val="22"/>
        </w:rPr>
        <w:t xml:space="preserve">PSMB capability characteristics </w:t>
      </w:r>
      <w:r>
        <w:rPr>
          <w:i/>
          <w:sz w:val="22"/>
        </w:rPr>
        <w:t xml:space="preserve">should be </w:t>
      </w:r>
      <w:r w:rsidR="00042FC8" w:rsidRPr="003C22D6">
        <w:rPr>
          <w:i/>
          <w:sz w:val="22"/>
        </w:rPr>
        <w:t>considered in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should ‘national interoperability’ be interpreted in this study? Does it include interoperability between networks, devices and applications used by PSA in different jurisdictions? Does it extend to integrating communications services between different local PSAs (for example, police, fire, ambulance and other responders)?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Does delivering a PSMB capability raise any new opportunities for achieving national interoperability?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Would the benefits, costs and risks of achieving national interoperability vary under different deployment options? If so, how?</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progress has been made in putting in place arrangements to better coordinate emergency communications within and across PSAs and jurisdictions?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level of network coverage do the existing networks used by PSAs (for narrowband voice and low</w:t>
      </w:r>
      <w:r w:rsidRPr="003C22D6">
        <w:rPr>
          <w:i/>
          <w:sz w:val="22"/>
        </w:rPr>
        <w:noBreakHyphen/>
        <w:t>speed data capability) currently provide? How does this vary across jurisdictions?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level of mobile broadband network coverage do PSAs require across metropolitan and regional Australia? Does this vary for different PSAs?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is the most appropriate measure of network coverage for use in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options are there for extending the mobile coverage of commercial networks? </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Would the benefits, costs and risks associated with achieving an acceptable level of network coverage for PSAs vary under different deployment options? If so, how? And with what operational consequences?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could voice services — traditionally carried on narrowband networks — be integrated into a mobile broadband network capability? What challenges and risks need to be accounted for? Are the challenges at the local level (due to legacy factors) greater than those at the national level?</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challenges or opportunities arise (from a technical, institutional and/or commercial perspective) from such integration, and would the benefits, costs and risks vary under different options for PSMB? If so, how? </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The Commission understands that there is currently work underway to develop voice applications for 4G/LTE networks for use in mission critical circumstances. When are these applications likely to become available?</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factors are important in ensuring the integrity and security of communications for PSAs? To what extent does this differ for different types of PSAs?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Would the costs and risks associated with ensuring the integrity and security of communications differ depending on how a PSMB capability is delivered? If so, how?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lastRenderedPageBreak/>
        <w:t xml:space="preserve">What methods or metrics could be used to define and/or measure the level of security provided over a network that delivers mobile broadband capability? </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additional security needs do PSAs have compared to other sectors with high security requirements for their communications?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How should PSA demand for mobile broadband capability be estimated in this study, including their expected demand requirements into the future?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methods or metrics could be used to define and/or measure the level of service capacity provided to PSAs?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level of capacity will PSAs need for a PSMB capability, and how will this differ between business as usual activities and large scale emergency incidents?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might the demand for PSMB capability differ between types of PSAs? How could competing demands amongst PSAs be managed? Should particular uses be prioritised?</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would the benefits, costs and risks of ensuring sufficient capacity vary under different deployment options?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level of resilience do PSA narrowband networks usually provide and how does this differ from commercial mobile broadband networks?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methods or metrics could be used to define and/or measure the level of resilience provided by the networks used to deliver PSMB?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priority should be given to the capacity to stand up a replacement service within a specified timeframe in the event of a physical or network based disruption?</w:t>
      </w:r>
    </w:p>
    <w:p w:rsidR="00042FC8" w:rsidRPr="003C22D6" w:rsidRDefault="00042FC8" w:rsidP="006D362D">
      <w:pPr>
        <w:pStyle w:val="BoxListNumber"/>
        <w:numPr>
          <w:ilvl w:val="0"/>
          <w:numId w:val="27"/>
        </w:numPr>
        <w:tabs>
          <w:tab w:val="clear" w:pos="284"/>
          <w:tab w:val="num" w:pos="426"/>
        </w:tabs>
        <w:spacing w:before="0" w:after="160"/>
        <w:ind w:left="426" w:hanging="426"/>
        <w:rPr>
          <w:i/>
        </w:rPr>
      </w:pPr>
      <w:r w:rsidRPr="003C22D6">
        <w:rPr>
          <w:i/>
          <w:sz w:val="22"/>
        </w:rPr>
        <w:t>Are there any barriers (for example, institutional, informational and/or technological) to, or challenges associated with, delivering a resilient PSMB capability? How might this differ between different deployment options?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could future developments in technology, or growth in demand for mobile broadband services and capacity, affect the sustainability of PSMB capability under different deployment options?</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will the convergence of voice and data services affect the sustainability of PSMB capability under different deployment options?</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challenges are involved with delivering a mobile broadband capability to PSAs by 2020? Do these differ under alternative deployment options?</w:t>
      </w:r>
    </w:p>
    <w:p w:rsidR="001223F5" w:rsidRPr="000A2B7C" w:rsidRDefault="001223F5" w:rsidP="001223F5">
      <w:pPr>
        <w:pStyle w:val="BoxListNumber"/>
        <w:numPr>
          <w:ilvl w:val="0"/>
          <w:numId w:val="27"/>
        </w:numPr>
        <w:tabs>
          <w:tab w:val="clear" w:pos="284"/>
          <w:tab w:val="num" w:pos="426"/>
        </w:tabs>
        <w:spacing w:before="0" w:after="160"/>
        <w:ind w:left="426" w:hanging="426"/>
        <w:rPr>
          <w:i/>
          <w:sz w:val="22"/>
        </w:rPr>
      </w:pPr>
      <w:r w:rsidRPr="000A2B7C">
        <w:rPr>
          <w:i/>
          <w:sz w:val="22"/>
        </w:rPr>
        <w:t>What potential obstacles exist to a mobile broadband network being fully compatible with a range of end</w:t>
      </w:r>
      <w:r>
        <w:rPr>
          <w:i/>
          <w:sz w:val="22"/>
        </w:rPr>
        <w:t>-</w:t>
      </w:r>
      <w:r w:rsidRPr="000A2B7C">
        <w:rPr>
          <w:i/>
          <w:sz w:val="22"/>
        </w:rPr>
        <w:t xml:space="preserve">user devices? Does this depend on </w:t>
      </w:r>
      <w:r>
        <w:rPr>
          <w:i/>
          <w:sz w:val="22"/>
        </w:rPr>
        <w:t>the n</w:t>
      </w:r>
      <w:r w:rsidRPr="000A2B7C">
        <w:rPr>
          <w:i/>
          <w:sz w:val="22"/>
        </w:rPr>
        <w:t xml:space="preserve">etwork </w:t>
      </w:r>
      <w:r>
        <w:rPr>
          <w:i/>
          <w:sz w:val="22"/>
        </w:rPr>
        <w:t>deployment option</w:t>
      </w:r>
      <w:r w:rsidRPr="000A2B7C">
        <w:rPr>
          <w:i/>
          <w:sz w:val="22"/>
        </w:rPr>
        <w:t xml:space="preserve">? </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does the method of ensuring interoperability impact on the cost of the system to PSAs?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detailed options should be evaluated in this study? What underlying assumptions and key parameters would be associated with each option?</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(if any) assumptions or parameters should be ‘common’ across all options?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are the sources of costs relevant to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lastRenderedPageBreak/>
        <w:t xml:space="preserve">In what ways could delivering a PSMB capability affect non PSA users? How would these effects differ across </w:t>
      </w:r>
      <w:r w:rsidR="001223F5">
        <w:rPr>
          <w:i/>
          <w:sz w:val="22"/>
        </w:rPr>
        <w:t xml:space="preserve">deployment </w:t>
      </w:r>
      <w:r w:rsidRPr="003C22D6">
        <w:rPr>
          <w:i/>
          <w:sz w:val="22"/>
        </w:rPr>
        <w:t>options? What methods could be used to estimate these effects?</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Is it appropriate to consider option values as part of the cost benefit analysis in this study? If so, how? What information or data is relevant?</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Are the network cost elements identified in box 4 relevant for this study? What specific cost items would fall within these categories? What other network costs should be considered? What is the nature and materiality of these (and other relevant) costs under alternative PSMB options?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method(s) should be used to estimate the network costs of different </w:t>
      </w:r>
      <w:r w:rsidR="00D41493">
        <w:rPr>
          <w:i/>
          <w:sz w:val="22"/>
        </w:rPr>
        <w:t xml:space="preserve">deployment </w:t>
      </w:r>
      <w:r w:rsidRPr="003C22D6">
        <w:rPr>
          <w:i/>
          <w:sz w:val="22"/>
        </w:rPr>
        <w:t xml:space="preserve">options for delivering PSMB? What studies should inform the Commission’s thinking in this area?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network cost components are interdependent with other costs, or other parameters (such as assumptions about the amount of spectrum </w:t>
      </w:r>
      <w:r w:rsidR="00201690">
        <w:rPr>
          <w:i/>
          <w:sz w:val="22"/>
        </w:rPr>
        <w:t>allocated</w:t>
      </w:r>
      <w:r w:rsidRPr="003C22D6">
        <w:rPr>
          <w:i/>
          <w:sz w:val="22"/>
        </w:rPr>
        <w:t>)? What is the nature of these interdependencies?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data sources could be used to estimate expected PSMB traffic requirements, and the network infrastructure elements required to deliver PSMB capability under different </w:t>
      </w:r>
      <w:r w:rsidR="00201690">
        <w:rPr>
          <w:i/>
          <w:sz w:val="22"/>
        </w:rPr>
        <w:t xml:space="preserve">deployment </w:t>
      </w:r>
      <w:r w:rsidRPr="003C22D6">
        <w:rPr>
          <w:i/>
          <w:sz w:val="22"/>
        </w:rPr>
        <w:t xml:space="preserve">options? </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data sources could be used to estimate the cost of the infrastructure, </w:t>
      </w:r>
      <w:r w:rsidR="00201690" w:rsidRPr="004C0AFB">
        <w:rPr>
          <w:i/>
          <w:sz w:val="22"/>
        </w:rPr>
        <w:t xml:space="preserve">equipment </w:t>
      </w:r>
      <w:r w:rsidR="00201690">
        <w:rPr>
          <w:i/>
          <w:sz w:val="22"/>
        </w:rPr>
        <w:t xml:space="preserve">and operation in </w:t>
      </w:r>
      <w:r w:rsidR="00201690" w:rsidRPr="004C0AFB">
        <w:rPr>
          <w:i/>
          <w:sz w:val="22"/>
        </w:rPr>
        <w:t>deliver</w:t>
      </w:r>
      <w:r w:rsidR="00201690">
        <w:rPr>
          <w:i/>
          <w:sz w:val="22"/>
        </w:rPr>
        <w:t>ing</w:t>
      </w:r>
      <w:r w:rsidR="00201690" w:rsidRPr="004C0AFB">
        <w:rPr>
          <w:i/>
          <w:sz w:val="22"/>
        </w:rPr>
        <w:t xml:space="preserve"> PSMB capability under different </w:t>
      </w:r>
      <w:r w:rsidR="00201690">
        <w:rPr>
          <w:i/>
          <w:sz w:val="22"/>
        </w:rPr>
        <w:t>deployment options</w:t>
      </w:r>
      <w:r w:rsidRPr="003C22D6">
        <w:rPr>
          <w:i/>
          <w:sz w:val="22"/>
        </w:rPr>
        <w:t>?</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is the appropriate approach (or approaches) to model the opportunity costs of spectrum under different </w:t>
      </w:r>
      <w:r w:rsidR="00201690">
        <w:rPr>
          <w:i/>
          <w:sz w:val="22"/>
        </w:rPr>
        <w:t xml:space="preserve">deployment </w:t>
      </w:r>
      <w:r w:rsidRPr="003C22D6">
        <w:rPr>
          <w:i/>
          <w:sz w:val="22"/>
        </w:rPr>
        <w:t>options? What issues does ‘spectrum sharing’ raise for estimating these opportunity costs, and how might they be addressed?</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data sources could be used to estimate the opportunity costs of spectrum under different </w:t>
      </w:r>
      <w:r w:rsidR="00201690">
        <w:rPr>
          <w:i/>
          <w:sz w:val="22"/>
        </w:rPr>
        <w:t xml:space="preserve">deployment </w:t>
      </w:r>
      <w:r w:rsidRPr="003C22D6">
        <w:rPr>
          <w:i/>
          <w:sz w:val="22"/>
        </w:rPr>
        <w:t>options for PSMB?</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is the appropriate discount rate, or range of discount rates, to use in this study?</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far into the future should costs and benefits be measured?</w:t>
      </w:r>
    </w:p>
    <w:p w:rsidR="00042FC8" w:rsidRPr="006D362D"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What are the sources of benefits relevant to this study?</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How can the potential benefits of PSMB capability (in terms of PSA outcomes) be estimated? Is scenario analysis useful? How should scenarios be constructed to reflect an appropriate range of situations faced by PSAs?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Can you identify any trials or pilot programs of PSMB capability? Are there any insights to draw from these experiences about potential benefits (or costs)? </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Can you identify evidence or examples that illustrate the effects of PSMB capability on PSA outcomes?</w:t>
      </w:r>
    </w:p>
    <w:p w:rsidR="00042FC8" w:rsidRPr="003C22D6" w:rsidRDefault="00042FC8" w:rsidP="006D362D">
      <w:pPr>
        <w:pStyle w:val="BoxListNumber"/>
        <w:numPr>
          <w:ilvl w:val="0"/>
          <w:numId w:val="27"/>
        </w:numPr>
        <w:tabs>
          <w:tab w:val="clear" w:pos="284"/>
          <w:tab w:val="num" w:pos="426"/>
        </w:tabs>
        <w:spacing w:before="0" w:after="160"/>
        <w:ind w:left="426" w:hanging="426"/>
        <w:rPr>
          <w:i/>
          <w:sz w:val="22"/>
        </w:rPr>
      </w:pPr>
      <w:r w:rsidRPr="003C22D6">
        <w:rPr>
          <w:i/>
          <w:sz w:val="22"/>
        </w:rPr>
        <w:t xml:space="preserve">What method(s) should be used to value the effects of PSMB capability on PSA outcomes? </w:t>
      </w:r>
    </w:p>
    <w:p w:rsidR="00A10C9C" w:rsidRDefault="00042FC8" w:rsidP="00595FFD">
      <w:pPr>
        <w:pStyle w:val="BoxListNumber"/>
        <w:numPr>
          <w:ilvl w:val="0"/>
          <w:numId w:val="27"/>
        </w:numPr>
        <w:tabs>
          <w:tab w:val="clear" w:pos="284"/>
          <w:tab w:val="num" w:pos="426"/>
        </w:tabs>
        <w:spacing w:before="0" w:after="160"/>
        <w:ind w:left="426" w:hanging="426"/>
      </w:pPr>
      <w:r w:rsidRPr="00C408F9">
        <w:rPr>
          <w:i/>
          <w:sz w:val="22"/>
        </w:rPr>
        <w:t>Is there research that considers how the costs of responding to natural disasters, crime or other events could be affected if PSAs had access to mobile broadband?</w:t>
      </w:r>
      <w:r>
        <w:br w:type="page"/>
      </w:r>
    </w:p>
    <w:p w:rsidR="0024528B" w:rsidRDefault="0024528B" w:rsidP="00595FFD">
      <w:pPr>
        <w:pStyle w:val="Heading1"/>
      </w:pPr>
      <w:bookmarkStart w:id="16" w:name="_Toc417048503"/>
      <w:r>
        <w:lastRenderedPageBreak/>
        <w:t>References</w:t>
      </w:r>
      <w:bookmarkEnd w:id="16"/>
    </w:p>
    <w:p w:rsidR="0024528B" w:rsidRDefault="0024528B" w:rsidP="0024528B">
      <w:pPr>
        <w:pStyle w:val="Reference"/>
      </w:pPr>
      <w:r>
        <w:t xml:space="preserve">3GPP (3rd Generation Partnership Project) 2013, </w:t>
      </w:r>
      <w:r>
        <w:rPr>
          <w:i/>
          <w:iCs/>
        </w:rPr>
        <w:t>Delivering Public Safety Communications with LTE</w:t>
      </w:r>
      <w:r>
        <w:t>, http://www.3gpp.org/news-events/3gpp-news/1455-Public-Safety (accessed 13 March 2014).</w:t>
      </w:r>
    </w:p>
    <w:p w:rsidR="0024528B" w:rsidRDefault="0024528B" w:rsidP="0024528B">
      <w:pPr>
        <w:pStyle w:val="Reference"/>
      </w:pPr>
      <w:r>
        <w:t xml:space="preserve">Access Economics 2010, </w:t>
      </w:r>
      <w:r>
        <w:rPr>
          <w:i/>
          <w:iCs/>
        </w:rPr>
        <w:t>Radiofrequency Spectrum Options for Public Safety Agencies</w:t>
      </w:r>
      <w:r>
        <w:t>, 10 September, Attorney-General’s Department.</w:t>
      </w:r>
    </w:p>
    <w:p w:rsidR="0024528B" w:rsidRDefault="0024528B" w:rsidP="0024528B">
      <w:pPr>
        <w:pStyle w:val="Reference"/>
      </w:pPr>
      <w:r>
        <w:t xml:space="preserve">ACMA (Australian Communications and Media Authority) 2009, </w:t>
      </w:r>
      <w:r>
        <w:rPr>
          <w:i/>
          <w:iCs/>
        </w:rPr>
        <w:t>Opportunity Cost Pricing of Spectrum</w:t>
      </w:r>
      <w:r>
        <w:t>, Canberra.</w:t>
      </w:r>
    </w:p>
    <w:p w:rsidR="0024528B" w:rsidRDefault="0024528B" w:rsidP="0024528B">
      <w:pPr>
        <w:pStyle w:val="Reference"/>
      </w:pPr>
      <w:r>
        <w:t xml:space="preserve">—— 2010, </w:t>
      </w:r>
      <w:r>
        <w:rPr>
          <w:i/>
          <w:iCs/>
        </w:rPr>
        <w:t>Mobile Network Broadband</w:t>
      </w:r>
      <w:r>
        <w:t>, Research Report, December, Canberra.</w:t>
      </w:r>
    </w:p>
    <w:p w:rsidR="0024528B" w:rsidRDefault="0024528B" w:rsidP="0024528B">
      <w:pPr>
        <w:pStyle w:val="Reference"/>
      </w:pPr>
      <w:r>
        <w:t xml:space="preserve">—— 2013a, </w:t>
      </w:r>
      <w:r>
        <w:rPr>
          <w:i/>
          <w:iCs/>
        </w:rPr>
        <w:t>Five-Year Spectrum Outlook 2013–2017: The ACMA’s Spectrum Demand Analysis and Strategic Direction for the Next Five Years</w:t>
      </w:r>
      <w:r>
        <w:t>, September, Canberra.</w:t>
      </w:r>
    </w:p>
    <w:p w:rsidR="0024528B" w:rsidRDefault="0024528B" w:rsidP="0024528B">
      <w:pPr>
        <w:pStyle w:val="Reference"/>
      </w:pPr>
      <w:r>
        <w:t xml:space="preserve">—— 2013b, </w:t>
      </w:r>
      <w:r>
        <w:rPr>
          <w:i/>
          <w:iCs/>
        </w:rPr>
        <w:t>Mobile Network Performance Forum: Discussion Paper</w:t>
      </w:r>
      <w:r>
        <w:t>, October, Canberra.</w:t>
      </w:r>
    </w:p>
    <w:p w:rsidR="0024528B" w:rsidRDefault="0024528B" w:rsidP="0024528B">
      <w:pPr>
        <w:pStyle w:val="Reference"/>
      </w:pPr>
      <w:r>
        <w:t xml:space="preserve">—— 2014a, </w:t>
      </w:r>
      <w:r>
        <w:rPr>
          <w:i/>
          <w:iCs/>
        </w:rPr>
        <w:t xml:space="preserve">Mobile Broadband Boosts </w:t>
      </w:r>
      <w:proofErr w:type="spellStart"/>
      <w:r>
        <w:rPr>
          <w:i/>
          <w:iCs/>
        </w:rPr>
        <w:t>Australias</w:t>
      </w:r>
      <w:proofErr w:type="spellEnd"/>
      <w:r>
        <w:rPr>
          <w:i/>
          <w:iCs/>
        </w:rPr>
        <w:t xml:space="preserve"> Economy</w:t>
      </w:r>
      <w:r>
        <w:t>, Web pages, April, Canberra, http://www.acma.gov.au/Industry/Spectrum/Spectrum-projects/Mobile-broadband/</w:t>
      </w:r>
      <w:r>
        <w:br/>
        <w:t>mobile-broadband-boosts-</w:t>
      </w:r>
      <w:proofErr w:type="spellStart"/>
      <w:r>
        <w:t>australias</w:t>
      </w:r>
      <w:proofErr w:type="spellEnd"/>
      <w:r>
        <w:t>-economy (accessed 12 March 2015).</w:t>
      </w:r>
    </w:p>
    <w:p w:rsidR="0024528B" w:rsidRDefault="0024528B" w:rsidP="0024528B">
      <w:pPr>
        <w:pStyle w:val="Reference"/>
      </w:pPr>
      <w:r>
        <w:t xml:space="preserve">—— 2014b, </w:t>
      </w:r>
      <w:r>
        <w:rPr>
          <w:i/>
          <w:iCs/>
        </w:rPr>
        <w:t>Supplementary Submission to ‘Spectrum for Public Safety Mobile Broadband’</w:t>
      </w:r>
      <w:r>
        <w:t>.</w:t>
      </w:r>
    </w:p>
    <w:p w:rsidR="0024528B" w:rsidRDefault="0024528B" w:rsidP="0024528B">
      <w:pPr>
        <w:pStyle w:val="Reference"/>
      </w:pPr>
      <w:r>
        <w:t xml:space="preserve">Airwave Solutions UK </w:t>
      </w:r>
      <w:proofErr w:type="spellStart"/>
      <w:r>
        <w:t>nd</w:t>
      </w:r>
      <w:proofErr w:type="spellEnd"/>
      <w:r>
        <w:t xml:space="preserve">, </w:t>
      </w:r>
      <w:r>
        <w:rPr>
          <w:i/>
          <w:iCs/>
        </w:rPr>
        <w:t>Airwave Launches 4GMax – High-Speed Data on Demand</w:t>
      </w:r>
      <w:r>
        <w:t>, https://www.airwavesolutions.co.uk/media/news/article/airwave-launches-4gmax-high-speed-data-on-demand/ (accessed 15 April 2015).</w:t>
      </w:r>
    </w:p>
    <w:p w:rsidR="0024528B" w:rsidRDefault="0024528B" w:rsidP="0024528B">
      <w:pPr>
        <w:pStyle w:val="Reference"/>
      </w:pPr>
      <w:r>
        <w:t xml:space="preserve">APCO (Association of Public-Safety Communications Officials Australasia) 2011, </w:t>
      </w:r>
      <w:r>
        <w:rPr>
          <w:i/>
          <w:iCs/>
        </w:rPr>
        <w:t>APCO Global Alliance Adopts LTE as International Public Safety Standard</w:t>
      </w:r>
      <w:r>
        <w:t>, Media release 20 April 2011.</w:t>
      </w:r>
    </w:p>
    <w:p w:rsidR="0024528B" w:rsidRDefault="0024528B" w:rsidP="0024528B">
      <w:pPr>
        <w:pStyle w:val="Reference"/>
      </w:pPr>
      <w:r>
        <w:t>Bray, W. 2014, ‘Telstra mobile update’, Melbourne.</w:t>
      </w:r>
    </w:p>
    <w:p w:rsidR="0024528B" w:rsidRDefault="0024528B" w:rsidP="0024528B">
      <w:pPr>
        <w:pStyle w:val="Reference"/>
      </w:pPr>
      <w:proofErr w:type="spellStart"/>
      <w:r>
        <w:t>Brinkmann</w:t>
      </w:r>
      <w:proofErr w:type="spellEnd"/>
      <w:r>
        <w:t xml:space="preserve">, M., </w:t>
      </w:r>
      <w:proofErr w:type="spellStart"/>
      <w:r>
        <w:t>Hackbarth</w:t>
      </w:r>
      <w:proofErr w:type="spellEnd"/>
      <w:r>
        <w:t xml:space="preserve">, K., </w:t>
      </w:r>
      <w:proofErr w:type="spellStart"/>
      <w:r>
        <w:t>Ilic</w:t>
      </w:r>
      <w:proofErr w:type="spellEnd"/>
      <w:r>
        <w:t xml:space="preserve">, D., </w:t>
      </w:r>
      <w:proofErr w:type="spellStart"/>
      <w:r>
        <w:t>Neu</w:t>
      </w:r>
      <w:proofErr w:type="spellEnd"/>
      <w:r>
        <w:t xml:space="preserve">, W., Neumann, K.H. and </w:t>
      </w:r>
      <w:proofErr w:type="spellStart"/>
      <w:r>
        <w:t>Figueras</w:t>
      </w:r>
      <w:proofErr w:type="spellEnd"/>
      <w:r>
        <w:t xml:space="preserve">, A.P. 2007, </w:t>
      </w:r>
      <w:r>
        <w:rPr>
          <w:i/>
          <w:iCs/>
        </w:rPr>
        <w:t>Mobile Termination Cost Model for Australia</w:t>
      </w:r>
      <w:r>
        <w:t xml:space="preserve">, text, January, http://www. </w:t>
      </w:r>
      <w:proofErr w:type="spellStart"/>
      <w:r>
        <w:t>accc</w:t>
      </w:r>
      <w:proofErr w:type="spellEnd"/>
      <w:r>
        <w:t>.</w:t>
      </w:r>
      <w:r>
        <w:br/>
        <w:t>gov.au/regulated-infrastructure/communications/mobile-services/mobile-terminating-access-service-mtas-2007-pricing-principles-and-the-wik-model/wik-report (accessed 12 March 2015).</w:t>
      </w:r>
    </w:p>
    <w:p w:rsidR="0024528B" w:rsidRDefault="0024528B" w:rsidP="0024528B">
      <w:pPr>
        <w:pStyle w:val="Reference"/>
      </w:pPr>
      <w:r>
        <w:t xml:space="preserve">COAG (Council of Australian Governments) 2009, </w:t>
      </w:r>
      <w:r>
        <w:rPr>
          <w:i/>
          <w:iCs/>
        </w:rPr>
        <w:t xml:space="preserve">National Framework to Improve Government </w:t>
      </w:r>
      <w:proofErr w:type="spellStart"/>
      <w:r>
        <w:rPr>
          <w:i/>
          <w:iCs/>
        </w:rPr>
        <w:t>Radiocommunications</w:t>
      </w:r>
      <w:proofErr w:type="spellEnd"/>
      <w:r>
        <w:rPr>
          <w:i/>
          <w:iCs/>
        </w:rPr>
        <w:t xml:space="preserve"> Interoperability</w:t>
      </w:r>
      <w:r>
        <w:t>.</w:t>
      </w:r>
    </w:p>
    <w:p w:rsidR="0024528B" w:rsidRDefault="0024528B" w:rsidP="0024528B">
      <w:pPr>
        <w:pStyle w:val="Reference"/>
      </w:pPr>
      <w:r>
        <w:t xml:space="preserve">Cowan, P. 2014, </w:t>
      </w:r>
      <w:r>
        <w:rPr>
          <w:i/>
          <w:iCs/>
        </w:rPr>
        <w:t>Tasmania Police Beats NT to Full Tablet Rollout</w:t>
      </w:r>
      <w:r>
        <w:t>, IT News, http://www.itnews.com.au/News/375579,tasmania-police-beats-nt-to-full-tablet-rollout.aspx (accessed 12 March 2015).</w:t>
      </w:r>
    </w:p>
    <w:p w:rsidR="0024528B" w:rsidRDefault="0024528B" w:rsidP="0024528B">
      <w:pPr>
        <w:pStyle w:val="Reference"/>
      </w:pPr>
      <w:r>
        <w:lastRenderedPageBreak/>
        <w:t xml:space="preserve">Coyne, A. 2015, </w:t>
      </w:r>
      <w:r>
        <w:rPr>
          <w:i/>
          <w:iCs/>
        </w:rPr>
        <w:t>NSW Police Buys 500 Samsung Galaxy Smartphones</w:t>
      </w:r>
      <w:r>
        <w:t>, IT News, http://www.itnews.com.au/News/400805,nsw-police-buys-500-samsung-galaxy-smart</w:t>
      </w:r>
      <w:r>
        <w:br/>
        <w:t>phones.aspx (accessed 12 March 2015).</w:t>
      </w:r>
    </w:p>
    <w:p w:rsidR="0024528B" w:rsidRDefault="0024528B" w:rsidP="0024528B">
      <w:pPr>
        <w:pStyle w:val="Reference"/>
      </w:pPr>
      <w:r>
        <w:t xml:space="preserve">Deloitte Access Economics 2013, </w:t>
      </w:r>
      <w:r>
        <w:rPr>
          <w:i/>
          <w:iCs/>
        </w:rPr>
        <w:t>Mobile Nation: The Economic and Social Impacts of Mobile Technology</w:t>
      </w:r>
      <w:r>
        <w:t>, February, Australian Mobile Telecommunications Association.</w:t>
      </w:r>
    </w:p>
    <w:p w:rsidR="0024528B" w:rsidRDefault="0024528B" w:rsidP="0024528B">
      <w:pPr>
        <w:pStyle w:val="Reference"/>
      </w:pPr>
      <w:r>
        <w:t xml:space="preserve">Department of Communications </w:t>
      </w:r>
      <w:proofErr w:type="spellStart"/>
      <w:r>
        <w:t>nd</w:t>
      </w:r>
      <w:proofErr w:type="spellEnd"/>
      <w:r>
        <w:t xml:space="preserve">, </w:t>
      </w:r>
      <w:r>
        <w:rPr>
          <w:i/>
          <w:iCs/>
        </w:rPr>
        <w:t>Spectrum Review</w:t>
      </w:r>
      <w:r>
        <w:t>, http://www.communications.gov.</w:t>
      </w:r>
      <w:r>
        <w:br/>
        <w:t>au/</w:t>
      </w:r>
      <w:proofErr w:type="spellStart"/>
      <w:r>
        <w:t>consultation_and_submissions</w:t>
      </w:r>
      <w:proofErr w:type="spellEnd"/>
      <w:r>
        <w:t>/</w:t>
      </w:r>
      <w:proofErr w:type="spellStart"/>
      <w:r>
        <w:t>spectrum_review</w:t>
      </w:r>
      <w:proofErr w:type="spellEnd"/>
      <w:r>
        <w:t xml:space="preserve"> (accessed 9 April 2015).</w:t>
      </w:r>
    </w:p>
    <w:p w:rsidR="0024528B" w:rsidRDefault="0024528B" w:rsidP="0024528B">
      <w:pPr>
        <w:pStyle w:val="Reference"/>
      </w:pPr>
      <w:r>
        <w:t xml:space="preserve">Department of Finance 2006, </w:t>
      </w:r>
      <w:r>
        <w:rPr>
          <w:i/>
          <w:iCs/>
        </w:rPr>
        <w:t>Handbook of Cost-Benefit Analysis</w:t>
      </w:r>
      <w:r>
        <w:t>, Financial Management Reference Material, 6.</w:t>
      </w:r>
    </w:p>
    <w:p w:rsidR="0024528B" w:rsidRDefault="0024528B" w:rsidP="0024528B">
      <w:pPr>
        <w:pStyle w:val="Reference"/>
      </w:pPr>
      <w:r>
        <w:t xml:space="preserve">Emergency Alert </w:t>
      </w:r>
      <w:proofErr w:type="spellStart"/>
      <w:r>
        <w:t>nd</w:t>
      </w:r>
      <w:proofErr w:type="spellEnd"/>
      <w:r>
        <w:t xml:space="preserve">, </w:t>
      </w:r>
      <w:r>
        <w:rPr>
          <w:i/>
          <w:iCs/>
        </w:rPr>
        <w:t>Emergency Alert: How Will it Work on Mobile Phones?</w:t>
      </w:r>
      <w:r>
        <w:t>, http://www.emergencyalert.gov.au/frequently-asked-questions/how-will-it-work-on-mobile-phones.html (accessed 16 April 2015).</w:t>
      </w:r>
    </w:p>
    <w:p w:rsidR="0024528B" w:rsidRDefault="0024528B" w:rsidP="0024528B">
      <w:pPr>
        <w:pStyle w:val="Reference"/>
      </w:pPr>
      <w:r>
        <w:t xml:space="preserve">ENISA (European Network and Information Security Agency) 2011, </w:t>
      </w:r>
      <w:r>
        <w:rPr>
          <w:i/>
          <w:iCs/>
        </w:rPr>
        <w:t>Measurement Frameworks and Metrics for Resilient Networks and Services: Technical Report</w:t>
      </w:r>
      <w:r>
        <w:t>, February.</w:t>
      </w:r>
    </w:p>
    <w:p w:rsidR="0024528B" w:rsidRDefault="0024528B" w:rsidP="0024528B">
      <w:pPr>
        <w:pStyle w:val="Reference"/>
      </w:pPr>
      <w:proofErr w:type="spellStart"/>
      <w:r>
        <w:t>Essid</w:t>
      </w:r>
      <w:proofErr w:type="spellEnd"/>
      <w:r>
        <w:t xml:space="preserve">, C. 2012, </w:t>
      </w:r>
      <w:r>
        <w:rPr>
          <w:i/>
          <w:iCs/>
        </w:rPr>
        <w:t>Nationwide Public Safety Broadband Network</w:t>
      </w:r>
      <w:r>
        <w:t>, June, US Department of Homeland Security, Office of Emergency Communications.</w:t>
      </w:r>
    </w:p>
    <w:p w:rsidR="0024528B" w:rsidRDefault="0024528B" w:rsidP="0024528B">
      <w:pPr>
        <w:pStyle w:val="Reference"/>
      </w:pPr>
      <w:r>
        <w:t xml:space="preserve">FCC (Federal Communications Commission) 2010, </w:t>
      </w:r>
      <w:r>
        <w:rPr>
          <w:i/>
          <w:iCs/>
        </w:rPr>
        <w:t>A Broadband Network Cost Model</w:t>
      </w:r>
      <w:r>
        <w:t>, May, http://www.fcc.gov/national-broadband-plan (accessed 12 March 2015).</w:t>
      </w:r>
    </w:p>
    <w:p w:rsidR="0024528B" w:rsidRDefault="0024528B" w:rsidP="0024528B">
      <w:pPr>
        <w:pStyle w:val="Reference"/>
      </w:pPr>
      <w:r>
        <w:t xml:space="preserve">—— 2013, </w:t>
      </w:r>
      <w:r>
        <w:rPr>
          <w:i/>
          <w:iCs/>
        </w:rPr>
        <w:t>16th Mobile Competition Report</w:t>
      </w:r>
      <w:r>
        <w:t>, 21 March, Washington D.C.</w:t>
      </w:r>
    </w:p>
    <w:p w:rsidR="0024528B" w:rsidRDefault="0024528B" w:rsidP="0024528B">
      <w:pPr>
        <w:pStyle w:val="Reference"/>
      </w:pPr>
      <w:r>
        <w:t>—— </w:t>
      </w:r>
      <w:proofErr w:type="spellStart"/>
      <w:r>
        <w:t>nd</w:t>
      </w:r>
      <w:proofErr w:type="spellEnd"/>
      <w:r>
        <w:t xml:space="preserve">, </w:t>
      </w:r>
      <w:r>
        <w:rPr>
          <w:i/>
          <w:iCs/>
        </w:rPr>
        <w:t>Understanding Wireless Telephone Coverage Areas</w:t>
      </w:r>
      <w:r>
        <w:t>, http://www.fcc.gov/guides/</w:t>
      </w:r>
      <w:r>
        <w:br/>
        <w:t>understanding-wireless-telephone-coverage-areas (accessed 14 April 2015).</w:t>
      </w:r>
    </w:p>
    <w:p w:rsidR="0024528B" w:rsidRDefault="0024528B" w:rsidP="0024528B">
      <w:pPr>
        <w:pStyle w:val="Reference"/>
      </w:pPr>
      <w:proofErr w:type="spellStart"/>
      <w:r>
        <w:t>FirstNet</w:t>
      </w:r>
      <w:proofErr w:type="spellEnd"/>
      <w:r>
        <w:t xml:space="preserve"> 2014, </w:t>
      </w:r>
      <w:r>
        <w:rPr>
          <w:i/>
          <w:iCs/>
        </w:rPr>
        <w:t>Request for Information for Comprehensive Network Solution(s)</w:t>
      </w:r>
      <w:r>
        <w:t>.</w:t>
      </w:r>
    </w:p>
    <w:p w:rsidR="0024528B" w:rsidRDefault="0024528B" w:rsidP="0024528B">
      <w:pPr>
        <w:pStyle w:val="Reference"/>
      </w:pPr>
      <w:r>
        <w:t xml:space="preserve">Ford, G. and </w:t>
      </w:r>
      <w:proofErr w:type="spellStart"/>
      <w:r>
        <w:t>Spiwak</w:t>
      </w:r>
      <w:proofErr w:type="spellEnd"/>
      <w:r>
        <w:t xml:space="preserve">, L. 2011, ‘Public safety or commercial use? a cost/benefit framework for the D block’, </w:t>
      </w:r>
      <w:r>
        <w:rPr>
          <w:i/>
          <w:iCs/>
        </w:rPr>
        <w:t xml:space="preserve">Phoenix </w:t>
      </w:r>
      <w:proofErr w:type="spellStart"/>
      <w:r>
        <w:rPr>
          <w:i/>
          <w:iCs/>
        </w:rPr>
        <w:t>Center</w:t>
      </w:r>
      <w:proofErr w:type="spellEnd"/>
      <w:r>
        <w:rPr>
          <w:i/>
          <w:iCs/>
        </w:rPr>
        <w:t xml:space="preserve"> Policy Bulletin</w:t>
      </w:r>
      <w:r>
        <w:t>, no. 26.</w:t>
      </w:r>
    </w:p>
    <w:p w:rsidR="0024528B" w:rsidRDefault="0024528B" w:rsidP="0024528B">
      <w:pPr>
        <w:pStyle w:val="Reference"/>
      </w:pPr>
      <w:r>
        <w:t xml:space="preserve">Frias, Z. and Pérez, J. 2012, ‘Techno-economic analysis of </w:t>
      </w:r>
      <w:proofErr w:type="spellStart"/>
      <w:r>
        <w:t>femtocell</w:t>
      </w:r>
      <w:proofErr w:type="spellEnd"/>
      <w:r>
        <w:t xml:space="preserve"> deployment in long-term evolution networks’, </w:t>
      </w:r>
      <w:r>
        <w:rPr>
          <w:i/>
          <w:iCs/>
        </w:rPr>
        <w:t>EURASIP Journal on Wireless Communications and Networking</w:t>
      </w:r>
      <w:r>
        <w:t>, vol. 2012, no. 1, pp. 1–15.</w:t>
      </w:r>
    </w:p>
    <w:p w:rsidR="0024528B" w:rsidRDefault="0024528B" w:rsidP="0024528B">
      <w:pPr>
        <w:pStyle w:val="Reference"/>
      </w:pPr>
      <w:r>
        <w:t xml:space="preserve">GQ-AAS (Gibson Quai AAS Consulting) 2010, </w:t>
      </w:r>
      <w:r>
        <w:rPr>
          <w:i/>
        </w:rPr>
        <w:t xml:space="preserve">Public Safety High Speed </w:t>
      </w:r>
      <w:proofErr w:type="spellStart"/>
      <w:r>
        <w:rPr>
          <w:i/>
        </w:rPr>
        <w:t>Radiocommunications</w:t>
      </w:r>
      <w:proofErr w:type="spellEnd"/>
      <w:r>
        <w:rPr>
          <w:i/>
        </w:rPr>
        <w:t xml:space="preserve"> Options Analysis</w:t>
      </w:r>
      <w:r>
        <w:t>, released under Freedom of Information legislation, September, Canberra.</w:t>
      </w:r>
    </w:p>
    <w:p w:rsidR="0024528B" w:rsidRDefault="0024528B" w:rsidP="0024528B">
      <w:pPr>
        <w:pStyle w:val="Reference"/>
      </w:pPr>
      <w:r>
        <w:t xml:space="preserve">—— 2011, </w:t>
      </w:r>
      <w:r>
        <w:rPr>
          <w:i/>
        </w:rPr>
        <w:t>Public Safety Mobile Broadband Spectrum Quantum Calculation</w:t>
      </w:r>
      <w:r>
        <w:t>, released under Freedom of Information legislation, November, Canberra.</w:t>
      </w:r>
    </w:p>
    <w:p w:rsidR="0024528B" w:rsidRDefault="0024528B" w:rsidP="0024528B">
      <w:pPr>
        <w:pStyle w:val="Reference"/>
      </w:pPr>
      <w:proofErr w:type="spellStart"/>
      <w:r>
        <w:t>Grous</w:t>
      </w:r>
      <w:proofErr w:type="spellEnd"/>
      <w:r>
        <w:t xml:space="preserve">, A. 2013a, </w:t>
      </w:r>
      <w:r>
        <w:rPr>
          <w:i/>
          <w:iCs/>
        </w:rPr>
        <w:t>Socioeconomic Value of Mission Critical Mobile Applications for Public Safety in the EU: 2x10MHz in 700MHz in 10 European Countries</w:t>
      </w:r>
      <w:r>
        <w:t>, December, London School of Economics and Political Science, London.</w:t>
      </w:r>
    </w:p>
    <w:p w:rsidR="0024528B" w:rsidRDefault="0024528B" w:rsidP="0024528B">
      <w:pPr>
        <w:pStyle w:val="Reference"/>
      </w:pPr>
      <w:r>
        <w:lastRenderedPageBreak/>
        <w:t xml:space="preserve">—— 2013b, </w:t>
      </w:r>
      <w:r>
        <w:rPr>
          <w:i/>
          <w:iCs/>
        </w:rPr>
        <w:t>Socioeconomic Value of Mission Critical Mobile Applications for Public Safety in the UK: 2x10MHz in 700MHz</w:t>
      </w:r>
      <w:r>
        <w:t>, November, London School of Economics and Political Science, London.</w:t>
      </w:r>
    </w:p>
    <w:p w:rsidR="0024528B" w:rsidRDefault="0024528B" w:rsidP="0024528B">
      <w:pPr>
        <w:pStyle w:val="Reference"/>
      </w:pPr>
      <w:r>
        <w:t xml:space="preserve">Holmes, J. and O’Rourke, M. 2012, </w:t>
      </w:r>
      <w:r>
        <w:rPr>
          <w:i/>
        </w:rPr>
        <w:t xml:space="preserve">Expert Level Training on Telecom Network Cost </w:t>
      </w:r>
      <w:proofErr w:type="spellStart"/>
      <w:r>
        <w:rPr>
          <w:i/>
        </w:rPr>
        <w:t>Modeling</w:t>
      </w:r>
      <w:proofErr w:type="spellEnd"/>
      <w:r>
        <w:rPr>
          <w:i/>
        </w:rPr>
        <w:t xml:space="preserve"> for the Pacific</w:t>
      </w:r>
      <w:r>
        <w:t>.</w:t>
      </w:r>
    </w:p>
    <w:p w:rsidR="0024528B" w:rsidRDefault="0024528B" w:rsidP="0024528B">
      <w:pPr>
        <w:pStyle w:val="Reference"/>
      </w:pPr>
      <w:r>
        <w:t xml:space="preserve">Infrastructure Australia 2008, </w:t>
      </w:r>
      <w:r>
        <w:rPr>
          <w:i/>
          <w:iCs/>
        </w:rPr>
        <w:t>National Public Private Partnership Policy and Guidelines</w:t>
      </w:r>
      <w:r>
        <w:t>, 29 November, Canberra.</w:t>
      </w:r>
    </w:p>
    <w:p w:rsidR="0024528B" w:rsidRDefault="0024528B" w:rsidP="0024528B">
      <w:pPr>
        <w:pStyle w:val="Reference"/>
      </w:pPr>
      <w:r>
        <w:t xml:space="preserve">Mobile Network Guide </w:t>
      </w:r>
      <w:proofErr w:type="spellStart"/>
      <w:r>
        <w:t>nd</w:t>
      </w:r>
      <w:proofErr w:type="spellEnd"/>
      <w:r>
        <w:t xml:space="preserve">, </w:t>
      </w:r>
      <w:r>
        <w:rPr>
          <w:i/>
          <w:iCs/>
        </w:rPr>
        <w:t>Mobile University, Guide to Mobile Networks in Australia, Improving Mobile Coverage, Better Mobile Signal</w:t>
      </w:r>
      <w:r>
        <w:t>, http://www.mobilenetworkguide.</w:t>
      </w:r>
      <w:r>
        <w:br/>
        <w:t>com.au/mobile_university.html (accessed 12 March 2015).</w:t>
      </w:r>
    </w:p>
    <w:p w:rsidR="0024528B" w:rsidRDefault="0024528B" w:rsidP="0024528B">
      <w:pPr>
        <w:pStyle w:val="Reference"/>
      </w:pPr>
      <w:r>
        <w:t xml:space="preserve">Motorola 2010, </w:t>
      </w:r>
      <w:r>
        <w:rPr>
          <w:i/>
        </w:rPr>
        <w:t>Real-World LTE Performance for Public Safety</w:t>
      </w:r>
      <w:r>
        <w:t>, September.</w:t>
      </w:r>
    </w:p>
    <w:p w:rsidR="0024528B" w:rsidRDefault="0024528B" w:rsidP="0024528B">
      <w:pPr>
        <w:pStyle w:val="Reference"/>
      </w:pPr>
      <w:r>
        <w:t xml:space="preserve">Nokia Siemens Network 2010, </w:t>
      </w:r>
      <w:r>
        <w:rPr>
          <w:i/>
          <w:iCs/>
        </w:rPr>
        <w:t>Mobile Broadband with HSPA and LTE - Capacity and Cost Aspects</w:t>
      </w:r>
      <w:r>
        <w:t>, White Paper, Finland.</w:t>
      </w:r>
    </w:p>
    <w:p w:rsidR="0024528B" w:rsidRDefault="0024528B" w:rsidP="0024528B">
      <w:pPr>
        <w:pStyle w:val="Reference"/>
      </w:pPr>
      <w:r>
        <w:t xml:space="preserve">—— 2011, </w:t>
      </w:r>
      <w:r>
        <w:rPr>
          <w:i/>
          <w:iCs/>
        </w:rPr>
        <w:t>LTE-Capable Transport: A Quality User Experience Demands an End-to-end Approach</w:t>
      </w:r>
      <w:r>
        <w:t>, https://www.google.com.au/search?q=Nokia+Siemens+Networks+LTE-cap</w:t>
      </w:r>
      <w:r>
        <w:br/>
        <w:t>able+transport%3A+A+quality+user+experience+demands+an+end-to-end+approach&amp;</w:t>
      </w:r>
      <w:r>
        <w:br/>
        <w:t>oq=Nokia+Siemens+Networks+LTE-capable+transport%3A+A+quality+user+experie</w:t>
      </w:r>
      <w:r>
        <w:br/>
        <w:t>nce+demands+an+end-to-end+approach&amp;aqs=chrome..69i57.352j0j7&amp;sourceid=chrom</w:t>
      </w:r>
      <w:r>
        <w:br/>
      </w:r>
      <w:proofErr w:type="spellStart"/>
      <w:r>
        <w:t>e&amp;es_sm</w:t>
      </w:r>
      <w:proofErr w:type="spellEnd"/>
      <w:r>
        <w:t>=93&amp;ie=UTF-8 (accessed 12 March 2015).</w:t>
      </w:r>
    </w:p>
    <w:p w:rsidR="0024528B" w:rsidRDefault="0024528B" w:rsidP="0024528B">
      <w:pPr>
        <w:pStyle w:val="Reference"/>
      </w:pPr>
      <w:r>
        <w:t xml:space="preserve">NSW Treasury 2007, </w:t>
      </w:r>
      <w:r>
        <w:rPr>
          <w:i/>
          <w:iCs/>
        </w:rPr>
        <w:t>Determination of Appropriate Discount Rates for the Evaluation of Private Financing Proposals</w:t>
      </w:r>
      <w:r>
        <w:t>, Technical Paper, February, Sydney.</w:t>
      </w:r>
    </w:p>
    <w:p w:rsidR="0024528B" w:rsidRDefault="0024528B" w:rsidP="0024528B">
      <w:pPr>
        <w:pStyle w:val="Reference"/>
      </w:pPr>
      <w:r>
        <w:t xml:space="preserve">PC (Productivity Commission) 2014, </w:t>
      </w:r>
      <w:r>
        <w:rPr>
          <w:i/>
          <w:iCs/>
        </w:rPr>
        <w:t>Public Infrastructure Inquiry</w:t>
      </w:r>
      <w:r>
        <w:t>, Final Report, Canberra.</w:t>
      </w:r>
    </w:p>
    <w:p w:rsidR="0024528B" w:rsidRDefault="0024528B" w:rsidP="0024528B">
      <w:pPr>
        <w:pStyle w:val="Reference"/>
      </w:pPr>
      <w:r>
        <w:t xml:space="preserve">PJCLE (Parliamentary Joint Committee on Law Enforcement) 2013, </w:t>
      </w:r>
      <w:r>
        <w:rPr>
          <w:i/>
          <w:iCs/>
        </w:rPr>
        <w:t>Spectrum for Public Safety Mobile Broadband</w:t>
      </w:r>
      <w:r>
        <w:t>, text, July, Commonwealth of Australia, Canberra, http://www.aph.gov.au/parliamentary_business/committees/joint/law_enforcement/completed_inquiries/2010-13/spectrummobilebroadband/report/index (accessed 11 March 2015).</w:t>
      </w:r>
    </w:p>
    <w:p w:rsidR="0024528B" w:rsidRDefault="0024528B" w:rsidP="0024528B">
      <w:pPr>
        <w:pStyle w:val="Reference"/>
      </w:pPr>
      <w:r>
        <w:t xml:space="preserve">Plum Consulting 2008, </w:t>
      </w:r>
      <w:r>
        <w:rPr>
          <w:i/>
          <w:iCs/>
        </w:rPr>
        <w:t>Administrative Incentive Pricing of Radiofrequency Spectrum</w:t>
      </w:r>
      <w:r>
        <w:t>, 23 October, London.</w:t>
      </w:r>
    </w:p>
    <w:p w:rsidR="0024528B" w:rsidRDefault="0024528B" w:rsidP="0024528B">
      <w:pPr>
        <w:pStyle w:val="Reference"/>
      </w:pPr>
      <w:r>
        <w:t xml:space="preserve">QFCI (Queensland Floods Commission of Inquiry) 2012, </w:t>
      </w:r>
      <w:r>
        <w:rPr>
          <w:i/>
          <w:iCs/>
        </w:rPr>
        <w:t xml:space="preserve">Queensland Floods Commission of Inquiry, </w:t>
      </w:r>
      <w:r>
        <w:rPr>
          <w:iCs/>
        </w:rPr>
        <w:t>Final Report</w:t>
      </w:r>
      <w:r>
        <w:t>, March, Brisbane.</w:t>
      </w:r>
    </w:p>
    <w:p w:rsidR="0024528B" w:rsidRDefault="0024528B" w:rsidP="0024528B">
      <w:pPr>
        <w:pStyle w:val="Reference"/>
      </w:pPr>
      <w:proofErr w:type="spellStart"/>
      <w:r>
        <w:t>Radiocomms</w:t>
      </w:r>
      <w:proofErr w:type="spellEnd"/>
      <w:r>
        <w:t xml:space="preserve"> 2014, </w:t>
      </w:r>
      <w:r>
        <w:rPr>
          <w:i/>
          <w:iCs/>
        </w:rPr>
        <w:t>Island Ambos Get Airwave Service Refresher</w:t>
      </w:r>
      <w:r>
        <w:t xml:space="preserve">, </w:t>
      </w:r>
      <w:r w:rsidRPr="000655E9">
        <w:t>http://www.radio</w:t>
      </w:r>
      <w:r>
        <w:br/>
        <w:t>comms.com.au/news/65498-Island-ambos-get-Airwave-Service-refresher (accessed 9 April 2015).</w:t>
      </w:r>
    </w:p>
    <w:p w:rsidR="0024528B" w:rsidRDefault="0024528B" w:rsidP="0024528B">
      <w:pPr>
        <w:pStyle w:val="Reference"/>
      </w:pPr>
      <w:proofErr w:type="spellStart"/>
      <w:r>
        <w:t>RoGS</w:t>
      </w:r>
      <w:proofErr w:type="spellEnd"/>
      <w:r>
        <w:t xml:space="preserve"> Steering Committee (Report on Government Services Steering Committee) 2015, </w:t>
      </w:r>
      <w:r>
        <w:rPr>
          <w:i/>
          <w:iCs/>
        </w:rPr>
        <w:t>Report on Government Services 2015</w:t>
      </w:r>
      <w:r>
        <w:t>, January, Canberra.</w:t>
      </w:r>
    </w:p>
    <w:p w:rsidR="0024528B" w:rsidRDefault="0024528B" w:rsidP="0024528B">
      <w:pPr>
        <w:pStyle w:val="Reference"/>
      </w:pPr>
      <w:proofErr w:type="spellStart"/>
      <w:r>
        <w:lastRenderedPageBreak/>
        <w:t>Rumney</w:t>
      </w:r>
      <w:proofErr w:type="spellEnd"/>
      <w:r>
        <w:t>, M. (</w:t>
      </w:r>
      <w:proofErr w:type="spellStart"/>
      <w:r>
        <w:t>ed</w:t>
      </w:r>
      <w:proofErr w:type="spellEnd"/>
      <w:r>
        <w:t xml:space="preserve">) 2013, </w:t>
      </w:r>
      <w:r>
        <w:rPr>
          <w:i/>
          <w:iCs/>
        </w:rPr>
        <w:t>LTE and the Evolution to 4G Wireless: Design and Measurement Challenges</w:t>
      </w:r>
      <w:r>
        <w:t xml:space="preserve">, 2nd </w:t>
      </w:r>
      <w:proofErr w:type="spellStart"/>
      <w:r>
        <w:t>edn</w:t>
      </w:r>
      <w:proofErr w:type="spellEnd"/>
      <w:r>
        <w:t xml:space="preserve">, John Wiley and Sons Ltd, </w:t>
      </w:r>
      <w:r w:rsidRPr="00E97458">
        <w:t>http://au.wiley.com/Wiley</w:t>
      </w:r>
      <w:r>
        <w:t>CDA/</w:t>
      </w:r>
      <w:r>
        <w:br/>
      </w:r>
      <w:proofErr w:type="spellStart"/>
      <w:r>
        <w:t>WileyTitle</w:t>
      </w:r>
      <w:proofErr w:type="spellEnd"/>
      <w:r>
        <w:t>/productCd-1119962579.html (accessed 12 March 2015).</w:t>
      </w:r>
    </w:p>
    <w:p w:rsidR="0024528B" w:rsidRDefault="0024528B" w:rsidP="0024528B">
      <w:pPr>
        <w:pStyle w:val="Reference"/>
      </w:pPr>
      <w:r>
        <w:t xml:space="preserve">Senate Environment and Communications References Committee 2011, </w:t>
      </w:r>
      <w:r>
        <w:rPr>
          <w:i/>
          <w:iCs/>
        </w:rPr>
        <w:t>The Capacity of Communication Networks and Emergency Warning Systems to Deal with Emergencies and Natural Disasters</w:t>
      </w:r>
      <w:r>
        <w:t>, 23 November, Canberra.</w:t>
      </w:r>
    </w:p>
    <w:p w:rsidR="0024528B" w:rsidRDefault="0024528B" w:rsidP="0024528B">
      <w:pPr>
        <w:pStyle w:val="Reference"/>
      </w:pPr>
      <w:r>
        <w:t xml:space="preserve">Shared Reality Labs 2015, </w:t>
      </w:r>
      <w:r>
        <w:rPr>
          <w:i/>
          <w:iCs/>
        </w:rPr>
        <w:t>Available Projects: Real-Time Emergency Response</w:t>
      </w:r>
      <w:r>
        <w:t>, http://srl.mcgill.ca/projects/ (accessed 16 April 2015).</w:t>
      </w:r>
    </w:p>
    <w:p w:rsidR="0024528B" w:rsidRDefault="0024528B" w:rsidP="0024528B">
      <w:pPr>
        <w:pStyle w:val="Reference"/>
      </w:pPr>
      <w:r>
        <w:t xml:space="preserve">Taylor, J. 2014, </w:t>
      </w:r>
      <w:r>
        <w:rPr>
          <w:i/>
          <w:iCs/>
        </w:rPr>
        <w:t>Telstra Tests Prioritised 4G ‘Lanes’ for G20</w:t>
      </w:r>
      <w:r>
        <w:t>, ZDNet, http://www.</w:t>
      </w:r>
      <w:r>
        <w:br/>
        <w:t>zdnet.com/article/telstra-tests-prioritised-4g-lanes-for-g20/ (accessed 12 March 2015).</w:t>
      </w:r>
    </w:p>
    <w:p w:rsidR="0024528B" w:rsidRDefault="0024528B" w:rsidP="0024528B">
      <w:pPr>
        <w:pStyle w:val="Reference"/>
      </w:pPr>
      <w:r>
        <w:t xml:space="preserve">TCCA (TETRA+ Critical Communications Association) 2013, </w:t>
      </w:r>
      <w:r>
        <w:rPr>
          <w:i/>
          <w:iCs/>
        </w:rPr>
        <w:t>Mission Critical Mobile Broadband: Practical standardisation and Roadmap Considerations</w:t>
      </w:r>
      <w:r>
        <w:t>, February, White Paper, Newcastle upon Tyne, United Kingdom.</w:t>
      </w:r>
    </w:p>
    <w:p w:rsidR="0024528B" w:rsidRDefault="0024528B" w:rsidP="0024528B">
      <w:pPr>
        <w:pStyle w:val="Reference"/>
      </w:pPr>
      <w:r>
        <w:t xml:space="preserve">Telstra 2012a, </w:t>
      </w:r>
      <w:r>
        <w:rPr>
          <w:i/>
          <w:iCs/>
        </w:rPr>
        <w:t>Delivering 4G/LTE Mobile Broadband for Emergency Services</w:t>
      </w:r>
      <w:r>
        <w:t>, White Paper, November, Melbourne.</w:t>
      </w:r>
    </w:p>
    <w:p w:rsidR="0024528B" w:rsidRDefault="0024528B" w:rsidP="0024528B">
      <w:pPr>
        <w:pStyle w:val="Reference"/>
      </w:pPr>
      <w:r>
        <w:t xml:space="preserve">—— 2012b, </w:t>
      </w:r>
      <w:r>
        <w:rPr>
          <w:i/>
          <w:iCs/>
        </w:rPr>
        <w:t xml:space="preserve">Wherever the Call Takes You, </w:t>
      </w:r>
      <w:r>
        <w:t>https://www.telstra.com.au/business-enterprise/</w:t>
      </w:r>
      <w:r>
        <w:br/>
        <w:t>download/document/business-teg-radio-brochure.pdf (accessed 16 April 2015).</w:t>
      </w:r>
    </w:p>
    <w:p w:rsidR="0024528B" w:rsidRDefault="0024528B" w:rsidP="0024528B">
      <w:pPr>
        <w:pStyle w:val="Reference"/>
      </w:pPr>
      <w:r>
        <w:t xml:space="preserve">UK Home Office 2015, </w:t>
      </w:r>
      <w:r>
        <w:rPr>
          <w:i/>
          <w:iCs/>
        </w:rPr>
        <w:t>Eight Organisations go Forward to Next Stage of Bidding to Run New Network</w:t>
      </w:r>
      <w:r>
        <w:t>, https://www.gov.uk/government/publications/the-emergency-services-mobile-communications-programme/eight-organisations-go-forward-to-next-stage-of-bidding-to-run-new-network (accessed 14 April 2015).</w:t>
      </w:r>
    </w:p>
    <w:p w:rsidR="0024528B" w:rsidRDefault="0024528B" w:rsidP="0024528B">
      <w:pPr>
        <w:pStyle w:val="Reference"/>
      </w:pPr>
      <w:proofErr w:type="spellStart"/>
      <w:r>
        <w:t>Ure</w:t>
      </w:r>
      <w:proofErr w:type="spellEnd"/>
      <w:r>
        <w:t xml:space="preserve">, J. 2013, </w:t>
      </w:r>
      <w:r>
        <w:rPr>
          <w:i/>
          <w:iCs/>
        </w:rPr>
        <w:t>Public Protection and Disaster Relief (PPDR) Services and Broadband in Asia and the Pacific: A Study of Value and Opportunity Cost in the Assignment of Radio Spectrum</w:t>
      </w:r>
      <w:r>
        <w:t>, May, University of Hong Kong.</w:t>
      </w:r>
    </w:p>
    <w:p w:rsidR="0024528B" w:rsidRDefault="0024528B" w:rsidP="0024528B">
      <w:pPr>
        <w:pStyle w:val="Reference"/>
      </w:pPr>
      <w:r>
        <w:t xml:space="preserve">VBRC (2009 Victorian Bushfires Royal Commission) 2010, </w:t>
      </w:r>
      <w:r>
        <w:rPr>
          <w:i/>
          <w:iCs/>
        </w:rPr>
        <w:t xml:space="preserve">2009 Victorian Bushfires Royal Commission, </w:t>
      </w:r>
      <w:r>
        <w:rPr>
          <w:iCs/>
        </w:rPr>
        <w:t>Final Report</w:t>
      </w:r>
      <w:r>
        <w:t>, July, Melbourne.</w:t>
      </w:r>
    </w:p>
    <w:p w:rsidR="0024528B" w:rsidRDefault="0024528B" w:rsidP="0024528B">
      <w:pPr>
        <w:pStyle w:val="Reference"/>
      </w:pPr>
      <w:r>
        <w:t xml:space="preserve">Victorian Department of Treasury and Finance 2013, </w:t>
      </w:r>
      <w:r>
        <w:rPr>
          <w:i/>
          <w:iCs/>
        </w:rPr>
        <w:t>Partnerships Victoria Requirements</w:t>
      </w:r>
      <w:r>
        <w:t>, May, Melbourne.</w:t>
      </w:r>
    </w:p>
    <w:p w:rsidR="0024528B" w:rsidRDefault="0024528B" w:rsidP="0024528B">
      <w:pPr>
        <w:pStyle w:val="Reference"/>
      </w:pPr>
      <w:r>
        <w:t xml:space="preserve">Windsor Place Consulting 2014, </w:t>
      </w:r>
      <w:r>
        <w:rPr>
          <w:i/>
          <w:iCs/>
        </w:rPr>
        <w:t>Valuing Mission Critical Radio Services: A Study of the Economic Value of Land Mobile Radio Spectrum in Australia</w:t>
      </w:r>
      <w:r>
        <w:t>, November, Australian Radio Communications Industry Association, Victoria.</w:t>
      </w:r>
    </w:p>
    <w:sectPr w:rsidR="0024528B" w:rsidSect="00606E78">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82" w:rsidRDefault="00591082">
      <w:r>
        <w:separator/>
      </w:r>
    </w:p>
  </w:endnote>
  <w:endnote w:type="continuationSeparator" w:id="0">
    <w:p w:rsidR="00591082" w:rsidRDefault="0059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E63DB" w:rsidTr="00DE63DB">
      <w:trPr>
        <w:trHeight w:hRule="exact" w:val="567"/>
      </w:trPr>
      <w:tc>
        <w:tcPr>
          <w:tcW w:w="510" w:type="dxa"/>
        </w:tcPr>
        <w:bookmarkStart w:id="2" w:name="_GoBack"/>
        <w:bookmarkEnd w:id="2"/>
        <w:p w:rsidR="00DE63DB" w:rsidRPr="00A24443" w:rsidRDefault="00DE63D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457DD">
            <w:rPr>
              <w:rStyle w:val="PageNumber"/>
              <w:caps w:val="0"/>
              <w:noProof/>
            </w:rPr>
            <w:t>iv</w:t>
          </w:r>
          <w:r w:rsidRPr="00A24443">
            <w:rPr>
              <w:rStyle w:val="PageNumber"/>
              <w:caps w:val="0"/>
            </w:rPr>
            <w:fldChar w:fldCharType="end"/>
          </w:r>
        </w:p>
      </w:tc>
      <w:tc>
        <w:tcPr>
          <w:tcW w:w="7767" w:type="dxa"/>
        </w:tcPr>
        <w:p w:rsidR="00DE63DB" w:rsidRPr="0013739A" w:rsidRDefault="00DE63DB" w:rsidP="007D07AD">
          <w:pPr>
            <w:pStyle w:val="Footer"/>
            <w:rPr>
              <w:rFonts w:cs="Arial"/>
            </w:rPr>
          </w:pPr>
          <w:bookmarkStart w:id="3" w:name="DraftReportEven"/>
          <w:bookmarkEnd w:id="3"/>
          <w:r>
            <w:rPr>
              <w:rFonts w:cs="Arial"/>
            </w:rPr>
            <w:t>Public Safety MObile broadband</w:t>
          </w:r>
          <w:r w:rsidR="007D07AD" w:rsidRPr="0013739A">
            <w:rPr>
              <w:rFonts w:cs="Arial"/>
            </w:rPr>
            <w:t xml:space="preserve"> </w:t>
          </w:r>
        </w:p>
      </w:tc>
      <w:tc>
        <w:tcPr>
          <w:tcW w:w="510" w:type="dxa"/>
        </w:tcPr>
        <w:p w:rsidR="00DE63DB" w:rsidRDefault="00DE63DB" w:rsidP="0019293B">
          <w:pPr>
            <w:pStyle w:val="Footer"/>
          </w:pPr>
        </w:p>
      </w:tc>
    </w:tr>
  </w:tbl>
  <w:p w:rsidR="006D7A0A" w:rsidRDefault="006D7A0A"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D7A0A" w:rsidTr="005F48ED">
      <w:trPr>
        <w:trHeight w:hRule="exact" w:val="567"/>
      </w:trPr>
      <w:tc>
        <w:tcPr>
          <w:tcW w:w="510" w:type="dxa"/>
        </w:tcPr>
        <w:p w:rsidR="006D7A0A" w:rsidRDefault="006D7A0A">
          <w:pPr>
            <w:pStyle w:val="Footer"/>
            <w:ind w:right="360" w:firstLine="360"/>
          </w:pPr>
        </w:p>
      </w:tc>
      <w:tc>
        <w:tcPr>
          <w:tcW w:w="7767" w:type="dxa"/>
        </w:tcPr>
        <w:p w:rsidR="006D7A0A" w:rsidRPr="00BA5B14" w:rsidRDefault="009E145E" w:rsidP="008457DD">
          <w:pPr>
            <w:pStyle w:val="Footer"/>
            <w:jc w:val="right"/>
            <w:rPr>
              <w:rFonts w:cs="Arial"/>
            </w:rPr>
          </w:pPr>
          <w:r>
            <w:rPr>
              <w:rFonts w:cs="Arial"/>
            </w:rPr>
            <w:t>Issues Paper</w:t>
          </w:r>
        </w:p>
      </w:tc>
      <w:tc>
        <w:tcPr>
          <w:tcW w:w="510" w:type="dxa"/>
        </w:tcPr>
        <w:p w:rsidR="006D7A0A" w:rsidRPr="00A24443" w:rsidRDefault="006D7A0A">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457DD">
            <w:rPr>
              <w:rStyle w:val="PageNumber"/>
              <w:caps w:val="0"/>
              <w:noProof/>
            </w:rPr>
            <w:t>33</w:t>
          </w:r>
          <w:r w:rsidRPr="00A24443">
            <w:rPr>
              <w:rStyle w:val="PageNumber"/>
              <w:caps w:val="0"/>
            </w:rPr>
            <w:fldChar w:fldCharType="end"/>
          </w:r>
        </w:p>
      </w:tc>
    </w:tr>
  </w:tbl>
  <w:p w:rsidR="006D7A0A" w:rsidRDefault="006D7A0A">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82" w:rsidRDefault="00591082">
      <w:r>
        <w:separator/>
      </w:r>
    </w:p>
  </w:footnote>
  <w:footnote w:type="continuationSeparator" w:id="0">
    <w:p w:rsidR="00591082" w:rsidRDefault="00591082">
      <w:r>
        <w:continuationSeparator/>
      </w:r>
    </w:p>
  </w:footnote>
  <w:footnote w:id="1">
    <w:p w:rsidR="00591082" w:rsidRPr="000661FE" w:rsidRDefault="00591082" w:rsidP="00C249EF">
      <w:pPr>
        <w:pStyle w:val="FootnoteText"/>
      </w:pPr>
      <w:r w:rsidRPr="00530FF4">
        <w:rPr>
          <w:rStyle w:val="FootnoteReference"/>
        </w:rPr>
        <w:footnoteRef/>
      </w:r>
      <w:r>
        <w:tab/>
        <w:t xml:space="preserve">This is outlined in the COAG-endorsed National Framework to Improve Government </w:t>
      </w:r>
      <w:proofErr w:type="spellStart"/>
      <w:r>
        <w:t>Radiocommunications</w:t>
      </w:r>
      <w:proofErr w:type="spellEnd"/>
      <w:r>
        <w:t xml:space="preserve"> Interoperability 2010-2020.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E5" w:rsidRDefault="00FD07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D7A0A">
      <w:tc>
        <w:tcPr>
          <w:tcW w:w="2155" w:type="dxa"/>
          <w:tcBorders>
            <w:top w:val="single" w:sz="24" w:space="0" w:color="auto"/>
          </w:tcBorders>
        </w:tcPr>
        <w:p w:rsidR="006D7A0A" w:rsidRDefault="006D7A0A" w:rsidP="0019293B">
          <w:pPr>
            <w:pStyle w:val="HeaderEven"/>
          </w:pPr>
        </w:p>
      </w:tc>
      <w:tc>
        <w:tcPr>
          <w:tcW w:w="6634" w:type="dxa"/>
          <w:tcBorders>
            <w:top w:val="single" w:sz="6" w:space="0" w:color="auto"/>
          </w:tcBorders>
        </w:tcPr>
        <w:p w:rsidR="006D7A0A" w:rsidRDefault="006D7A0A" w:rsidP="0019293B">
          <w:pPr>
            <w:pStyle w:val="HeaderEven"/>
          </w:pPr>
        </w:p>
      </w:tc>
    </w:tr>
  </w:tbl>
  <w:p w:rsidR="006D7A0A" w:rsidRDefault="006D7A0A"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D7A0A">
      <w:tc>
        <w:tcPr>
          <w:tcW w:w="6634" w:type="dxa"/>
          <w:tcBorders>
            <w:top w:val="single" w:sz="6" w:space="0" w:color="auto"/>
          </w:tcBorders>
        </w:tcPr>
        <w:p w:rsidR="006D7A0A" w:rsidRDefault="006D7A0A" w:rsidP="00E669E2">
          <w:pPr>
            <w:pStyle w:val="HeaderOdd"/>
          </w:pPr>
        </w:p>
      </w:tc>
      <w:tc>
        <w:tcPr>
          <w:tcW w:w="2155" w:type="dxa"/>
          <w:tcBorders>
            <w:top w:val="single" w:sz="24" w:space="0" w:color="auto"/>
          </w:tcBorders>
        </w:tcPr>
        <w:p w:rsidR="006D7A0A" w:rsidRDefault="006D7A0A" w:rsidP="00E669E2">
          <w:pPr>
            <w:pStyle w:val="HeaderOdd"/>
          </w:pPr>
        </w:p>
      </w:tc>
    </w:tr>
  </w:tbl>
  <w:p w:rsidR="006D7A0A" w:rsidRDefault="006D7A0A"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9C88C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EAC6638"/>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325A233A"/>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6DA33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C644AB0A"/>
    <w:lvl w:ilvl="0">
      <w:start w:val="1"/>
      <w:numFmt w:val="decimal"/>
      <w:pStyle w:val="BoxListNumber"/>
      <w:lvlText w:val="%1."/>
      <w:lvlJc w:val="left"/>
      <w:pPr>
        <w:tabs>
          <w:tab w:val="num" w:pos="284"/>
        </w:tabs>
        <w:ind w:left="284" w:hanging="284"/>
      </w:pPr>
      <w:rPr>
        <w:rFonts w:hint="default"/>
        <w:i/>
        <w:sz w:val="22"/>
        <w:szCs w:val="22"/>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6"/>
  </w:num>
  <w:num w:numId="3">
    <w:abstractNumId w:val="17"/>
  </w:num>
  <w:num w:numId="4">
    <w:abstractNumId w:val="7"/>
  </w:num>
  <w:num w:numId="5">
    <w:abstractNumId w:val="22"/>
  </w:num>
  <w:num w:numId="6">
    <w:abstractNumId w:val="19"/>
  </w:num>
  <w:num w:numId="7">
    <w:abstractNumId w:val="11"/>
  </w:num>
  <w:num w:numId="8">
    <w:abstractNumId w:val="18"/>
  </w:num>
  <w:num w:numId="9">
    <w:abstractNumId w:val="10"/>
  </w:num>
  <w:num w:numId="10">
    <w:abstractNumId w:val="9"/>
  </w:num>
  <w:num w:numId="11">
    <w:abstractNumId w:val="13"/>
  </w:num>
  <w:num w:numId="12">
    <w:abstractNumId w:val="14"/>
  </w:num>
  <w:num w:numId="13">
    <w:abstractNumId w:val="8"/>
  </w:num>
  <w:num w:numId="14">
    <w:abstractNumId w:val="20"/>
  </w:num>
  <w:num w:numId="15">
    <w:abstractNumId w:val="23"/>
  </w:num>
  <w:num w:numId="16">
    <w:abstractNumId w:val="16"/>
  </w:num>
  <w:num w:numId="17">
    <w:abstractNumId w:val="24"/>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9"/>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3"/>
  </w:num>
  <w:num w:numId="85">
    <w:abstractNumId w:val="2"/>
  </w:num>
  <w:num w:numId="86">
    <w:abstractNumId w:val="1"/>
  </w:num>
  <w:num w:numId="87">
    <w:abstractNumId w:val="0"/>
  </w:num>
  <w:num w:numId="88">
    <w:abstractNumId w:val="9"/>
  </w:num>
  <w:num w:numId="89">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ssues Paper"/>
    <w:docVar w:name="ShortReportTitle" w:val="Issues Paper"/>
  </w:docVars>
  <w:rsids>
    <w:rsidRoot w:val="00791994"/>
    <w:rsid w:val="000227D5"/>
    <w:rsid w:val="000245AA"/>
    <w:rsid w:val="00026F9F"/>
    <w:rsid w:val="0003664B"/>
    <w:rsid w:val="00036AA7"/>
    <w:rsid w:val="0004111F"/>
    <w:rsid w:val="00042FC8"/>
    <w:rsid w:val="00055077"/>
    <w:rsid w:val="000565B3"/>
    <w:rsid w:val="000655E9"/>
    <w:rsid w:val="0007150B"/>
    <w:rsid w:val="000938F5"/>
    <w:rsid w:val="000946E2"/>
    <w:rsid w:val="00095663"/>
    <w:rsid w:val="00096E55"/>
    <w:rsid w:val="0009783E"/>
    <w:rsid w:val="000A2B7C"/>
    <w:rsid w:val="000B1022"/>
    <w:rsid w:val="000B601B"/>
    <w:rsid w:val="000C207E"/>
    <w:rsid w:val="000D41E9"/>
    <w:rsid w:val="000D7C01"/>
    <w:rsid w:val="000F0035"/>
    <w:rsid w:val="000F04E7"/>
    <w:rsid w:val="000F060A"/>
    <w:rsid w:val="000F420B"/>
    <w:rsid w:val="00110116"/>
    <w:rsid w:val="00120072"/>
    <w:rsid w:val="001223F5"/>
    <w:rsid w:val="00126EB8"/>
    <w:rsid w:val="001274D4"/>
    <w:rsid w:val="001363AA"/>
    <w:rsid w:val="0013739A"/>
    <w:rsid w:val="00142165"/>
    <w:rsid w:val="00162434"/>
    <w:rsid w:val="00183E82"/>
    <w:rsid w:val="0018540E"/>
    <w:rsid w:val="001878BB"/>
    <w:rsid w:val="00191AE0"/>
    <w:rsid w:val="0019293B"/>
    <w:rsid w:val="0019426B"/>
    <w:rsid w:val="001962DA"/>
    <w:rsid w:val="001A6A4B"/>
    <w:rsid w:val="001C0865"/>
    <w:rsid w:val="001C0AED"/>
    <w:rsid w:val="001C3ABA"/>
    <w:rsid w:val="001C5111"/>
    <w:rsid w:val="001C7D75"/>
    <w:rsid w:val="001E7BE8"/>
    <w:rsid w:val="001F0248"/>
    <w:rsid w:val="001F3EB3"/>
    <w:rsid w:val="001F4D71"/>
    <w:rsid w:val="001F4F86"/>
    <w:rsid w:val="00201690"/>
    <w:rsid w:val="00202C2C"/>
    <w:rsid w:val="00203050"/>
    <w:rsid w:val="002135AB"/>
    <w:rsid w:val="002144BE"/>
    <w:rsid w:val="002164AA"/>
    <w:rsid w:val="00231A81"/>
    <w:rsid w:val="00242279"/>
    <w:rsid w:val="00243997"/>
    <w:rsid w:val="0024516C"/>
    <w:rsid w:val="0024528B"/>
    <w:rsid w:val="00245C82"/>
    <w:rsid w:val="00256E43"/>
    <w:rsid w:val="002724BA"/>
    <w:rsid w:val="00291B40"/>
    <w:rsid w:val="00292532"/>
    <w:rsid w:val="002B4008"/>
    <w:rsid w:val="002C439F"/>
    <w:rsid w:val="002D0C42"/>
    <w:rsid w:val="002D0E8E"/>
    <w:rsid w:val="00301189"/>
    <w:rsid w:val="00301E4A"/>
    <w:rsid w:val="003168B8"/>
    <w:rsid w:val="0032255F"/>
    <w:rsid w:val="00322D64"/>
    <w:rsid w:val="00323E09"/>
    <w:rsid w:val="00333932"/>
    <w:rsid w:val="00344DCB"/>
    <w:rsid w:val="003518AA"/>
    <w:rsid w:val="00352165"/>
    <w:rsid w:val="00353182"/>
    <w:rsid w:val="003565D9"/>
    <w:rsid w:val="003602E1"/>
    <w:rsid w:val="0037026F"/>
    <w:rsid w:val="00371240"/>
    <w:rsid w:val="00374731"/>
    <w:rsid w:val="00376E59"/>
    <w:rsid w:val="00377EC1"/>
    <w:rsid w:val="00380340"/>
    <w:rsid w:val="00381C5A"/>
    <w:rsid w:val="003919F9"/>
    <w:rsid w:val="003920CF"/>
    <w:rsid w:val="003B23C2"/>
    <w:rsid w:val="003C22D6"/>
    <w:rsid w:val="003C38B5"/>
    <w:rsid w:val="003C5D99"/>
    <w:rsid w:val="003D1087"/>
    <w:rsid w:val="003E1761"/>
    <w:rsid w:val="003E2F59"/>
    <w:rsid w:val="003E746B"/>
    <w:rsid w:val="003F0789"/>
    <w:rsid w:val="00401882"/>
    <w:rsid w:val="004100C8"/>
    <w:rsid w:val="00411DBD"/>
    <w:rsid w:val="00412ACE"/>
    <w:rsid w:val="004145D2"/>
    <w:rsid w:val="00416EE9"/>
    <w:rsid w:val="00423404"/>
    <w:rsid w:val="00426CB4"/>
    <w:rsid w:val="00431249"/>
    <w:rsid w:val="00434C19"/>
    <w:rsid w:val="00444698"/>
    <w:rsid w:val="00444FA9"/>
    <w:rsid w:val="004500FA"/>
    <w:rsid w:val="00450810"/>
    <w:rsid w:val="00462C59"/>
    <w:rsid w:val="00470737"/>
    <w:rsid w:val="00471F79"/>
    <w:rsid w:val="00477144"/>
    <w:rsid w:val="00491380"/>
    <w:rsid w:val="0049459F"/>
    <w:rsid w:val="004A38DD"/>
    <w:rsid w:val="004B43AE"/>
    <w:rsid w:val="004B6934"/>
    <w:rsid w:val="004C0AFB"/>
    <w:rsid w:val="004C1562"/>
    <w:rsid w:val="004C30ED"/>
    <w:rsid w:val="004D5675"/>
    <w:rsid w:val="004F4FA5"/>
    <w:rsid w:val="00517795"/>
    <w:rsid w:val="00523639"/>
    <w:rsid w:val="00530FF4"/>
    <w:rsid w:val="00531FE5"/>
    <w:rsid w:val="00536F5B"/>
    <w:rsid w:val="005402FA"/>
    <w:rsid w:val="00553407"/>
    <w:rsid w:val="005729BD"/>
    <w:rsid w:val="00580154"/>
    <w:rsid w:val="00583C39"/>
    <w:rsid w:val="0058542C"/>
    <w:rsid w:val="00586A90"/>
    <w:rsid w:val="00587EF6"/>
    <w:rsid w:val="00587F28"/>
    <w:rsid w:val="005909CF"/>
    <w:rsid w:val="00591082"/>
    <w:rsid w:val="00591E71"/>
    <w:rsid w:val="00595FFD"/>
    <w:rsid w:val="005A0D41"/>
    <w:rsid w:val="005D329F"/>
    <w:rsid w:val="005E5408"/>
    <w:rsid w:val="005F48ED"/>
    <w:rsid w:val="005F4AAA"/>
    <w:rsid w:val="00606E78"/>
    <w:rsid w:val="00607BF1"/>
    <w:rsid w:val="006207CB"/>
    <w:rsid w:val="00630D4D"/>
    <w:rsid w:val="00632A74"/>
    <w:rsid w:val="00634B60"/>
    <w:rsid w:val="00654D42"/>
    <w:rsid w:val="00666560"/>
    <w:rsid w:val="00666E02"/>
    <w:rsid w:val="00693F2F"/>
    <w:rsid w:val="006959B3"/>
    <w:rsid w:val="006A4655"/>
    <w:rsid w:val="006B2B3C"/>
    <w:rsid w:val="006C1D81"/>
    <w:rsid w:val="006C7038"/>
    <w:rsid w:val="006D362D"/>
    <w:rsid w:val="006D7A0A"/>
    <w:rsid w:val="006E173E"/>
    <w:rsid w:val="006E73EF"/>
    <w:rsid w:val="00700F4E"/>
    <w:rsid w:val="007079C9"/>
    <w:rsid w:val="00714D4D"/>
    <w:rsid w:val="007266D3"/>
    <w:rsid w:val="00732029"/>
    <w:rsid w:val="00754348"/>
    <w:rsid w:val="007604BB"/>
    <w:rsid w:val="00772909"/>
    <w:rsid w:val="0078347E"/>
    <w:rsid w:val="00785232"/>
    <w:rsid w:val="0078775F"/>
    <w:rsid w:val="00791994"/>
    <w:rsid w:val="00794743"/>
    <w:rsid w:val="00795ABA"/>
    <w:rsid w:val="0079701E"/>
    <w:rsid w:val="007A21EB"/>
    <w:rsid w:val="007B0306"/>
    <w:rsid w:val="007B1A93"/>
    <w:rsid w:val="007C36C9"/>
    <w:rsid w:val="007D07AD"/>
    <w:rsid w:val="007D6401"/>
    <w:rsid w:val="007E01E4"/>
    <w:rsid w:val="007E0AA0"/>
    <w:rsid w:val="007E7A12"/>
    <w:rsid w:val="007F7107"/>
    <w:rsid w:val="00800D4C"/>
    <w:rsid w:val="0081030F"/>
    <w:rsid w:val="00812F4A"/>
    <w:rsid w:val="0082087D"/>
    <w:rsid w:val="00835771"/>
    <w:rsid w:val="00842933"/>
    <w:rsid w:val="008457DD"/>
    <w:rsid w:val="00857E70"/>
    <w:rsid w:val="0086082C"/>
    <w:rsid w:val="00864ADC"/>
    <w:rsid w:val="00880153"/>
    <w:rsid w:val="00880F97"/>
    <w:rsid w:val="0088133A"/>
    <w:rsid w:val="0089285E"/>
    <w:rsid w:val="0089436C"/>
    <w:rsid w:val="008A771B"/>
    <w:rsid w:val="008B79D1"/>
    <w:rsid w:val="008D365C"/>
    <w:rsid w:val="008D6B53"/>
    <w:rsid w:val="008D7622"/>
    <w:rsid w:val="009021A6"/>
    <w:rsid w:val="009030BF"/>
    <w:rsid w:val="00903B52"/>
    <w:rsid w:val="0091032F"/>
    <w:rsid w:val="00914368"/>
    <w:rsid w:val="00931076"/>
    <w:rsid w:val="00932327"/>
    <w:rsid w:val="009345D9"/>
    <w:rsid w:val="00934B15"/>
    <w:rsid w:val="00940C87"/>
    <w:rsid w:val="00942B62"/>
    <w:rsid w:val="0095323B"/>
    <w:rsid w:val="00956A0C"/>
    <w:rsid w:val="00956BD9"/>
    <w:rsid w:val="00962489"/>
    <w:rsid w:val="00967CD3"/>
    <w:rsid w:val="00975870"/>
    <w:rsid w:val="00990C2C"/>
    <w:rsid w:val="009A5171"/>
    <w:rsid w:val="009E145E"/>
    <w:rsid w:val="009E1844"/>
    <w:rsid w:val="009F0D1B"/>
    <w:rsid w:val="009F5BBD"/>
    <w:rsid w:val="009F696D"/>
    <w:rsid w:val="009F6BC6"/>
    <w:rsid w:val="009F74EF"/>
    <w:rsid w:val="00A02826"/>
    <w:rsid w:val="00A047D7"/>
    <w:rsid w:val="00A10C9C"/>
    <w:rsid w:val="00A15D5A"/>
    <w:rsid w:val="00A16520"/>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AE7619"/>
    <w:rsid w:val="00B06003"/>
    <w:rsid w:val="00B25ED2"/>
    <w:rsid w:val="00B425C3"/>
    <w:rsid w:val="00B440AD"/>
    <w:rsid w:val="00B479BB"/>
    <w:rsid w:val="00B53E7E"/>
    <w:rsid w:val="00B6342E"/>
    <w:rsid w:val="00B7113F"/>
    <w:rsid w:val="00B7329F"/>
    <w:rsid w:val="00B90970"/>
    <w:rsid w:val="00B96DB8"/>
    <w:rsid w:val="00BA2BCF"/>
    <w:rsid w:val="00BA5B14"/>
    <w:rsid w:val="00BA73B6"/>
    <w:rsid w:val="00BA7E27"/>
    <w:rsid w:val="00BB2603"/>
    <w:rsid w:val="00BB4FCD"/>
    <w:rsid w:val="00BC04E9"/>
    <w:rsid w:val="00BD13EA"/>
    <w:rsid w:val="00BE240C"/>
    <w:rsid w:val="00BE3808"/>
    <w:rsid w:val="00BE6EC2"/>
    <w:rsid w:val="00C03B88"/>
    <w:rsid w:val="00C062E9"/>
    <w:rsid w:val="00C07B64"/>
    <w:rsid w:val="00C13721"/>
    <w:rsid w:val="00C14FE4"/>
    <w:rsid w:val="00C216DF"/>
    <w:rsid w:val="00C249EF"/>
    <w:rsid w:val="00C303AB"/>
    <w:rsid w:val="00C3066D"/>
    <w:rsid w:val="00C408F9"/>
    <w:rsid w:val="00C46790"/>
    <w:rsid w:val="00C52416"/>
    <w:rsid w:val="00C543F4"/>
    <w:rsid w:val="00C6291C"/>
    <w:rsid w:val="00C633CB"/>
    <w:rsid w:val="00C664CD"/>
    <w:rsid w:val="00C725E7"/>
    <w:rsid w:val="00C736B7"/>
    <w:rsid w:val="00C81D4A"/>
    <w:rsid w:val="00C865E2"/>
    <w:rsid w:val="00C8762C"/>
    <w:rsid w:val="00C91BD3"/>
    <w:rsid w:val="00CA00F9"/>
    <w:rsid w:val="00CA2961"/>
    <w:rsid w:val="00CB50D7"/>
    <w:rsid w:val="00CB7177"/>
    <w:rsid w:val="00CB7CED"/>
    <w:rsid w:val="00CC070F"/>
    <w:rsid w:val="00CC1998"/>
    <w:rsid w:val="00CC47BC"/>
    <w:rsid w:val="00CC4946"/>
    <w:rsid w:val="00CC64A1"/>
    <w:rsid w:val="00CF3B11"/>
    <w:rsid w:val="00D270A4"/>
    <w:rsid w:val="00D31FE9"/>
    <w:rsid w:val="00D34E1B"/>
    <w:rsid w:val="00D35ACA"/>
    <w:rsid w:val="00D376BA"/>
    <w:rsid w:val="00D41493"/>
    <w:rsid w:val="00D434A0"/>
    <w:rsid w:val="00D443A4"/>
    <w:rsid w:val="00D45634"/>
    <w:rsid w:val="00D5568A"/>
    <w:rsid w:val="00D63D73"/>
    <w:rsid w:val="00D64452"/>
    <w:rsid w:val="00D66E1E"/>
    <w:rsid w:val="00D70696"/>
    <w:rsid w:val="00D75722"/>
    <w:rsid w:val="00D80CF5"/>
    <w:rsid w:val="00D9221D"/>
    <w:rsid w:val="00D942C2"/>
    <w:rsid w:val="00DA5BBA"/>
    <w:rsid w:val="00DB26D2"/>
    <w:rsid w:val="00DB67C9"/>
    <w:rsid w:val="00DC0C95"/>
    <w:rsid w:val="00DC2E81"/>
    <w:rsid w:val="00DC4F0B"/>
    <w:rsid w:val="00DD6580"/>
    <w:rsid w:val="00DE63DB"/>
    <w:rsid w:val="00E01D7F"/>
    <w:rsid w:val="00E05C03"/>
    <w:rsid w:val="00E11410"/>
    <w:rsid w:val="00E12D6C"/>
    <w:rsid w:val="00E17C72"/>
    <w:rsid w:val="00E21FC6"/>
    <w:rsid w:val="00E431A9"/>
    <w:rsid w:val="00E5048B"/>
    <w:rsid w:val="00E669E2"/>
    <w:rsid w:val="00E76135"/>
    <w:rsid w:val="00E82F4F"/>
    <w:rsid w:val="00E864DF"/>
    <w:rsid w:val="00E92CAA"/>
    <w:rsid w:val="00E97458"/>
    <w:rsid w:val="00EB0222"/>
    <w:rsid w:val="00EB2CC3"/>
    <w:rsid w:val="00EC2844"/>
    <w:rsid w:val="00EC5500"/>
    <w:rsid w:val="00ED18F8"/>
    <w:rsid w:val="00EE6EDA"/>
    <w:rsid w:val="00EE778E"/>
    <w:rsid w:val="00EF6719"/>
    <w:rsid w:val="00EF6C6C"/>
    <w:rsid w:val="00EF739C"/>
    <w:rsid w:val="00F056FC"/>
    <w:rsid w:val="00F0632F"/>
    <w:rsid w:val="00F069AE"/>
    <w:rsid w:val="00F10476"/>
    <w:rsid w:val="00F135D8"/>
    <w:rsid w:val="00F31299"/>
    <w:rsid w:val="00F31B7A"/>
    <w:rsid w:val="00F3534A"/>
    <w:rsid w:val="00F35BFB"/>
    <w:rsid w:val="00F36ACC"/>
    <w:rsid w:val="00F43F62"/>
    <w:rsid w:val="00F45F6A"/>
    <w:rsid w:val="00F51609"/>
    <w:rsid w:val="00F55C25"/>
    <w:rsid w:val="00F67CEE"/>
    <w:rsid w:val="00F73727"/>
    <w:rsid w:val="00F766A7"/>
    <w:rsid w:val="00F81006"/>
    <w:rsid w:val="00F85325"/>
    <w:rsid w:val="00FD07E5"/>
    <w:rsid w:val="00FD22B1"/>
    <w:rsid w:val="00FD33F1"/>
    <w:rsid w:val="00FD3566"/>
    <w:rsid w:val="00FE5397"/>
    <w:rsid w:val="00FF61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249EF"/>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042FC8"/>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2Char">
    <w:name w:val="Heading 2 Char"/>
    <w:basedOn w:val="DefaultParagraphFont"/>
    <w:link w:val="Heading2"/>
    <w:rsid w:val="00C249EF"/>
    <w:rPr>
      <w:rFonts w:ascii="Arial" w:hAnsi="Arial"/>
      <w:b/>
      <w:sz w:val="32"/>
    </w:rPr>
  </w:style>
  <w:style w:type="character" w:styleId="Hyperlink">
    <w:name w:val="Hyperlink"/>
    <w:basedOn w:val="DefaultParagraphFont"/>
    <w:rsid w:val="00C249EF"/>
    <w:rPr>
      <w:color w:val="78A22F" w:themeColor="hyperlink"/>
      <w:u w:val="single"/>
    </w:rPr>
  </w:style>
  <w:style w:type="character" w:customStyle="1" w:styleId="Heading1Char">
    <w:name w:val="Heading 1 Char"/>
    <w:basedOn w:val="DefaultParagraphFont"/>
    <w:link w:val="Heading1"/>
    <w:rsid w:val="00C249EF"/>
    <w:rPr>
      <w:sz w:val="52"/>
    </w:rPr>
  </w:style>
  <w:style w:type="character" w:customStyle="1" w:styleId="Heading3Char">
    <w:name w:val="Heading 3 Char"/>
    <w:basedOn w:val="DefaultParagraphFont"/>
    <w:link w:val="Heading3"/>
    <w:rsid w:val="00C249EF"/>
    <w:rPr>
      <w:rFonts w:ascii="Arial" w:hAnsi="Arial"/>
      <w:b/>
      <w:sz w:val="26"/>
    </w:rPr>
  </w:style>
  <w:style w:type="character" w:customStyle="1" w:styleId="FootnoteTextChar">
    <w:name w:val="Footnote Text Char"/>
    <w:basedOn w:val="DefaultParagraphFont"/>
    <w:link w:val="FootnoteText"/>
    <w:rsid w:val="00C249EF"/>
  </w:style>
  <w:style w:type="paragraph" w:styleId="Bibliography">
    <w:name w:val="Bibliography"/>
    <w:basedOn w:val="Normal"/>
    <w:next w:val="Normal"/>
    <w:uiPriority w:val="37"/>
    <w:unhideWhenUsed/>
    <w:rsid w:val="0078347E"/>
    <w:pPr>
      <w:spacing w:after="240"/>
      <w:ind w:left="720" w:hanging="720"/>
    </w:pPr>
  </w:style>
  <w:style w:type="character" w:customStyle="1" w:styleId="CommentTextChar">
    <w:name w:val="Comment Text Char"/>
    <w:basedOn w:val="DefaultParagraphFont"/>
    <w:link w:val="CommentText"/>
    <w:semiHidden/>
    <w:rsid w:val="00C865E2"/>
    <w:rPr>
      <w:szCs w:val="24"/>
    </w:rPr>
  </w:style>
  <w:style w:type="paragraph" w:styleId="CommentSubject">
    <w:name w:val="annotation subject"/>
    <w:basedOn w:val="CommentText"/>
    <w:next w:val="CommentText"/>
    <w:link w:val="CommentSubjectChar"/>
    <w:rsid w:val="00975870"/>
    <w:pPr>
      <w:spacing w:before="0" w:line="240" w:lineRule="auto"/>
      <w:ind w:left="0" w:firstLine="0"/>
    </w:pPr>
    <w:rPr>
      <w:b/>
      <w:bCs/>
      <w:szCs w:val="20"/>
    </w:rPr>
  </w:style>
  <w:style w:type="character" w:customStyle="1" w:styleId="CommentSubjectChar">
    <w:name w:val="Comment Subject Char"/>
    <w:basedOn w:val="CommentTextChar"/>
    <w:link w:val="CommentSubject"/>
    <w:rsid w:val="00975870"/>
    <w:rPr>
      <w:b/>
      <w:bCs/>
      <w:szCs w:val="24"/>
    </w:rPr>
  </w:style>
  <w:style w:type="paragraph" w:customStyle="1" w:styleId="Heading1NotTOC">
    <w:name w:val="Heading 1 Not TOC"/>
    <w:basedOn w:val="Heading1"/>
    <w:next w:val="BodyText"/>
    <w:rsid w:val="00A16520"/>
    <w:rPr>
      <w:kern w:val="28"/>
      <w:szCs w:val="26"/>
      <w:lang w:eastAsia="en-US"/>
    </w:rPr>
  </w:style>
  <w:style w:type="character" w:styleId="EndnoteReference">
    <w:name w:val="endnote reference"/>
    <w:basedOn w:val="DefaultParagraphFont"/>
    <w:rsid w:val="00530FF4"/>
    <w:rPr>
      <w:vertAlign w:val="superscript"/>
    </w:rPr>
  </w:style>
  <w:style w:type="paragraph" w:styleId="BlockText">
    <w:name w:val="Block Text"/>
    <w:basedOn w:val="Normal"/>
    <w:rsid w:val="0032255F"/>
    <w:pPr>
      <w:pBdr>
        <w:top w:val="single" w:sz="2" w:space="10" w:color="78A22F" w:themeColor="accent1"/>
        <w:left w:val="single" w:sz="2" w:space="10" w:color="78A22F" w:themeColor="accent1"/>
        <w:bottom w:val="single" w:sz="2" w:space="10" w:color="78A22F" w:themeColor="accent1"/>
        <w:right w:val="single" w:sz="2" w:space="10" w:color="78A22F" w:themeColor="accent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32255F"/>
    <w:pPr>
      <w:spacing w:after="120" w:line="480" w:lineRule="auto"/>
    </w:pPr>
  </w:style>
  <w:style w:type="character" w:customStyle="1" w:styleId="BodyText2Char">
    <w:name w:val="Body Text 2 Char"/>
    <w:basedOn w:val="DefaultParagraphFont"/>
    <w:link w:val="BodyText2"/>
    <w:rsid w:val="0032255F"/>
    <w:rPr>
      <w:sz w:val="24"/>
      <w:szCs w:val="24"/>
    </w:rPr>
  </w:style>
  <w:style w:type="paragraph" w:styleId="BodyText3">
    <w:name w:val="Body Text 3"/>
    <w:basedOn w:val="Normal"/>
    <w:link w:val="BodyText3Char"/>
    <w:rsid w:val="0032255F"/>
    <w:pPr>
      <w:spacing w:after="120"/>
    </w:pPr>
    <w:rPr>
      <w:sz w:val="16"/>
      <w:szCs w:val="16"/>
    </w:rPr>
  </w:style>
  <w:style w:type="character" w:customStyle="1" w:styleId="BodyText3Char">
    <w:name w:val="Body Text 3 Char"/>
    <w:basedOn w:val="DefaultParagraphFont"/>
    <w:link w:val="BodyText3"/>
    <w:rsid w:val="0032255F"/>
    <w:rPr>
      <w:sz w:val="16"/>
      <w:szCs w:val="16"/>
    </w:rPr>
  </w:style>
  <w:style w:type="paragraph" w:styleId="BodyTextFirstIndent">
    <w:name w:val="Body Text First Indent"/>
    <w:basedOn w:val="BodyText"/>
    <w:link w:val="BodyTextFirstIndentChar"/>
    <w:rsid w:val="0032255F"/>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32255F"/>
    <w:rPr>
      <w:sz w:val="24"/>
      <w:szCs w:val="24"/>
    </w:rPr>
  </w:style>
  <w:style w:type="paragraph" w:styleId="BodyTextIndent">
    <w:name w:val="Body Text Indent"/>
    <w:basedOn w:val="Normal"/>
    <w:link w:val="BodyTextIndentChar"/>
    <w:rsid w:val="0032255F"/>
    <w:pPr>
      <w:spacing w:after="120"/>
      <w:ind w:left="283"/>
    </w:pPr>
  </w:style>
  <w:style w:type="character" w:customStyle="1" w:styleId="BodyTextIndentChar">
    <w:name w:val="Body Text Indent Char"/>
    <w:basedOn w:val="DefaultParagraphFont"/>
    <w:link w:val="BodyTextIndent"/>
    <w:rsid w:val="0032255F"/>
    <w:rPr>
      <w:sz w:val="24"/>
      <w:szCs w:val="24"/>
    </w:rPr>
  </w:style>
  <w:style w:type="paragraph" w:styleId="BodyTextFirstIndent2">
    <w:name w:val="Body Text First Indent 2"/>
    <w:basedOn w:val="BodyTextIndent"/>
    <w:link w:val="BodyTextFirstIndent2Char"/>
    <w:rsid w:val="0032255F"/>
    <w:pPr>
      <w:spacing w:after="0"/>
      <w:ind w:left="360" w:firstLine="360"/>
    </w:pPr>
  </w:style>
  <w:style w:type="character" w:customStyle="1" w:styleId="BodyTextFirstIndent2Char">
    <w:name w:val="Body Text First Indent 2 Char"/>
    <w:basedOn w:val="BodyTextIndentChar"/>
    <w:link w:val="BodyTextFirstIndent2"/>
    <w:rsid w:val="0032255F"/>
    <w:rPr>
      <w:sz w:val="24"/>
      <w:szCs w:val="24"/>
    </w:rPr>
  </w:style>
  <w:style w:type="paragraph" w:styleId="BodyTextIndent2">
    <w:name w:val="Body Text Indent 2"/>
    <w:basedOn w:val="Normal"/>
    <w:link w:val="BodyTextIndent2Char"/>
    <w:rsid w:val="0032255F"/>
    <w:pPr>
      <w:spacing w:after="120" w:line="480" w:lineRule="auto"/>
      <w:ind w:left="283"/>
    </w:pPr>
  </w:style>
  <w:style w:type="character" w:customStyle="1" w:styleId="BodyTextIndent2Char">
    <w:name w:val="Body Text Indent 2 Char"/>
    <w:basedOn w:val="DefaultParagraphFont"/>
    <w:link w:val="BodyTextIndent2"/>
    <w:rsid w:val="0032255F"/>
    <w:rPr>
      <w:sz w:val="24"/>
      <w:szCs w:val="24"/>
    </w:rPr>
  </w:style>
  <w:style w:type="paragraph" w:styleId="BodyTextIndent3">
    <w:name w:val="Body Text Indent 3"/>
    <w:basedOn w:val="Normal"/>
    <w:link w:val="BodyTextIndent3Char"/>
    <w:rsid w:val="0032255F"/>
    <w:pPr>
      <w:spacing w:after="120"/>
      <w:ind w:left="283"/>
    </w:pPr>
    <w:rPr>
      <w:sz w:val="16"/>
      <w:szCs w:val="16"/>
    </w:rPr>
  </w:style>
  <w:style w:type="character" w:customStyle="1" w:styleId="BodyTextIndent3Char">
    <w:name w:val="Body Text Indent 3 Char"/>
    <w:basedOn w:val="DefaultParagraphFont"/>
    <w:link w:val="BodyTextIndent3"/>
    <w:rsid w:val="0032255F"/>
    <w:rPr>
      <w:sz w:val="16"/>
      <w:szCs w:val="16"/>
    </w:rPr>
  </w:style>
  <w:style w:type="paragraph" w:styleId="Closing">
    <w:name w:val="Closing"/>
    <w:basedOn w:val="Normal"/>
    <w:link w:val="ClosingChar"/>
    <w:rsid w:val="0032255F"/>
    <w:pPr>
      <w:ind w:left="4252"/>
    </w:pPr>
  </w:style>
  <w:style w:type="character" w:customStyle="1" w:styleId="ClosingChar">
    <w:name w:val="Closing Char"/>
    <w:basedOn w:val="DefaultParagraphFont"/>
    <w:link w:val="Closing"/>
    <w:rsid w:val="0032255F"/>
    <w:rPr>
      <w:sz w:val="24"/>
      <w:szCs w:val="24"/>
    </w:rPr>
  </w:style>
  <w:style w:type="paragraph" w:styleId="Date">
    <w:name w:val="Date"/>
    <w:basedOn w:val="Normal"/>
    <w:next w:val="Normal"/>
    <w:link w:val="DateChar"/>
    <w:rsid w:val="0032255F"/>
  </w:style>
  <w:style w:type="character" w:customStyle="1" w:styleId="DateChar">
    <w:name w:val="Date Char"/>
    <w:basedOn w:val="DefaultParagraphFont"/>
    <w:link w:val="Date"/>
    <w:rsid w:val="0032255F"/>
    <w:rPr>
      <w:sz w:val="24"/>
      <w:szCs w:val="24"/>
    </w:rPr>
  </w:style>
  <w:style w:type="paragraph" w:styleId="DocumentMap">
    <w:name w:val="Document Map"/>
    <w:basedOn w:val="Normal"/>
    <w:link w:val="DocumentMapChar"/>
    <w:rsid w:val="0032255F"/>
    <w:rPr>
      <w:rFonts w:ascii="Tahoma" w:hAnsi="Tahoma" w:cs="Tahoma"/>
      <w:sz w:val="16"/>
      <w:szCs w:val="16"/>
    </w:rPr>
  </w:style>
  <w:style w:type="character" w:customStyle="1" w:styleId="DocumentMapChar">
    <w:name w:val="Document Map Char"/>
    <w:basedOn w:val="DefaultParagraphFont"/>
    <w:link w:val="DocumentMap"/>
    <w:rsid w:val="0032255F"/>
    <w:rPr>
      <w:rFonts w:ascii="Tahoma" w:hAnsi="Tahoma" w:cs="Tahoma"/>
      <w:sz w:val="16"/>
      <w:szCs w:val="16"/>
    </w:rPr>
  </w:style>
  <w:style w:type="paragraph" w:styleId="E-mailSignature">
    <w:name w:val="E-mail Signature"/>
    <w:basedOn w:val="Normal"/>
    <w:link w:val="E-mailSignatureChar"/>
    <w:rsid w:val="0032255F"/>
  </w:style>
  <w:style w:type="character" w:customStyle="1" w:styleId="E-mailSignatureChar">
    <w:name w:val="E-mail Signature Char"/>
    <w:basedOn w:val="DefaultParagraphFont"/>
    <w:link w:val="E-mailSignature"/>
    <w:rsid w:val="0032255F"/>
    <w:rPr>
      <w:sz w:val="24"/>
      <w:szCs w:val="24"/>
    </w:rPr>
  </w:style>
  <w:style w:type="paragraph" w:styleId="EndnoteText">
    <w:name w:val="endnote text"/>
    <w:basedOn w:val="Normal"/>
    <w:link w:val="EndnoteTextChar"/>
    <w:rsid w:val="0032255F"/>
    <w:rPr>
      <w:sz w:val="20"/>
      <w:szCs w:val="20"/>
    </w:rPr>
  </w:style>
  <w:style w:type="character" w:customStyle="1" w:styleId="EndnoteTextChar">
    <w:name w:val="Endnote Text Char"/>
    <w:basedOn w:val="DefaultParagraphFont"/>
    <w:link w:val="EndnoteText"/>
    <w:rsid w:val="0032255F"/>
  </w:style>
  <w:style w:type="paragraph" w:styleId="EnvelopeAddress">
    <w:name w:val="envelope address"/>
    <w:basedOn w:val="Normal"/>
    <w:rsid w:val="0032255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2255F"/>
    <w:rPr>
      <w:rFonts w:asciiTheme="majorHAnsi" w:eastAsiaTheme="majorEastAsia" w:hAnsiTheme="majorHAnsi" w:cstheme="majorBidi"/>
      <w:sz w:val="20"/>
      <w:szCs w:val="20"/>
    </w:rPr>
  </w:style>
  <w:style w:type="paragraph" w:styleId="HTMLAddress">
    <w:name w:val="HTML Address"/>
    <w:basedOn w:val="Normal"/>
    <w:link w:val="HTMLAddressChar"/>
    <w:rsid w:val="0032255F"/>
    <w:rPr>
      <w:i/>
      <w:iCs/>
    </w:rPr>
  </w:style>
  <w:style w:type="character" w:customStyle="1" w:styleId="HTMLAddressChar">
    <w:name w:val="HTML Address Char"/>
    <w:basedOn w:val="DefaultParagraphFont"/>
    <w:link w:val="HTMLAddress"/>
    <w:rsid w:val="0032255F"/>
    <w:rPr>
      <w:i/>
      <w:iCs/>
      <w:sz w:val="24"/>
      <w:szCs w:val="24"/>
    </w:rPr>
  </w:style>
  <w:style w:type="paragraph" w:styleId="HTMLPreformatted">
    <w:name w:val="HTML Preformatted"/>
    <w:basedOn w:val="Normal"/>
    <w:link w:val="HTMLPreformattedChar"/>
    <w:rsid w:val="0032255F"/>
    <w:rPr>
      <w:rFonts w:ascii="Consolas" w:hAnsi="Consolas" w:cs="Consolas"/>
      <w:sz w:val="20"/>
      <w:szCs w:val="20"/>
    </w:rPr>
  </w:style>
  <w:style w:type="character" w:customStyle="1" w:styleId="HTMLPreformattedChar">
    <w:name w:val="HTML Preformatted Char"/>
    <w:basedOn w:val="DefaultParagraphFont"/>
    <w:link w:val="HTMLPreformatted"/>
    <w:rsid w:val="0032255F"/>
    <w:rPr>
      <w:rFonts w:ascii="Consolas" w:hAnsi="Consolas" w:cs="Consolas"/>
    </w:rPr>
  </w:style>
  <w:style w:type="paragraph" w:styleId="Index1">
    <w:name w:val="index 1"/>
    <w:basedOn w:val="Normal"/>
    <w:next w:val="Normal"/>
    <w:autoRedefine/>
    <w:rsid w:val="0032255F"/>
    <w:pPr>
      <w:ind w:left="240" w:hanging="240"/>
    </w:pPr>
  </w:style>
  <w:style w:type="paragraph" w:styleId="Index2">
    <w:name w:val="index 2"/>
    <w:basedOn w:val="Normal"/>
    <w:next w:val="Normal"/>
    <w:autoRedefine/>
    <w:rsid w:val="0032255F"/>
    <w:pPr>
      <w:ind w:left="480" w:hanging="240"/>
    </w:pPr>
  </w:style>
  <w:style w:type="paragraph" w:styleId="Index3">
    <w:name w:val="index 3"/>
    <w:basedOn w:val="Normal"/>
    <w:next w:val="Normal"/>
    <w:autoRedefine/>
    <w:rsid w:val="0032255F"/>
    <w:pPr>
      <w:ind w:left="720" w:hanging="240"/>
    </w:pPr>
  </w:style>
  <w:style w:type="paragraph" w:styleId="Index4">
    <w:name w:val="index 4"/>
    <w:basedOn w:val="Normal"/>
    <w:next w:val="Normal"/>
    <w:autoRedefine/>
    <w:rsid w:val="0032255F"/>
    <w:pPr>
      <w:ind w:left="960" w:hanging="240"/>
    </w:pPr>
  </w:style>
  <w:style w:type="paragraph" w:styleId="Index5">
    <w:name w:val="index 5"/>
    <w:basedOn w:val="Normal"/>
    <w:next w:val="Normal"/>
    <w:autoRedefine/>
    <w:rsid w:val="0032255F"/>
    <w:pPr>
      <w:ind w:left="1200" w:hanging="240"/>
    </w:pPr>
  </w:style>
  <w:style w:type="paragraph" w:styleId="Index6">
    <w:name w:val="index 6"/>
    <w:basedOn w:val="Normal"/>
    <w:next w:val="Normal"/>
    <w:autoRedefine/>
    <w:rsid w:val="0032255F"/>
    <w:pPr>
      <w:ind w:left="1440" w:hanging="240"/>
    </w:pPr>
  </w:style>
  <w:style w:type="paragraph" w:styleId="Index7">
    <w:name w:val="index 7"/>
    <w:basedOn w:val="Normal"/>
    <w:next w:val="Normal"/>
    <w:autoRedefine/>
    <w:rsid w:val="0032255F"/>
    <w:pPr>
      <w:ind w:left="1680" w:hanging="240"/>
    </w:pPr>
  </w:style>
  <w:style w:type="paragraph" w:styleId="Index8">
    <w:name w:val="index 8"/>
    <w:basedOn w:val="Normal"/>
    <w:next w:val="Normal"/>
    <w:autoRedefine/>
    <w:rsid w:val="0032255F"/>
    <w:pPr>
      <w:ind w:left="1920" w:hanging="240"/>
    </w:pPr>
  </w:style>
  <w:style w:type="paragraph" w:styleId="Index9">
    <w:name w:val="index 9"/>
    <w:basedOn w:val="Normal"/>
    <w:next w:val="Normal"/>
    <w:autoRedefine/>
    <w:rsid w:val="0032255F"/>
    <w:pPr>
      <w:ind w:left="2160" w:hanging="240"/>
    </w:pPr>
  </w:style>
  <w:style w:type="paragraph" w:styleId="IndexHeading">
    <w:name w:val="index heading"/>
    <w:basedOn w:val="Normal"/>
    <w:next w:val="Index1"/>
    <w:rsid w:val="0032255F"/>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32255F"/>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32255F"/>
    <w:rPr>
      <w:b/>
      <w:bCs/>
      <w:i/>
      <w:iCs/>
      <w:color w:val="78A22F" w:themeColor="accent1"/>
      <w:sz w:val="24"/>
      <w:szCs w:val="24"/>
    </w:rPr>
  </w:style>
  <w:style w:type="paragraph" w:styleId="List">
    <w:name w:val="List"/>
    <w:basedOn w:val="Normal"/>
    <w:rsid w:val="0032255F"/>
    <w:pPr>
      <w:ind w:left="283" w:hanging="283"/>
      <w:contextualSpacing/>
    </w:pPr>
  </w:style>
  <w:style w:type="paragraph" w:styleId="List2">
    <w:name w:val="List 2"/>
    <w:basedOn w:val="Normal"/>
    <w:rsid w:val="0032255F"/>
    <w:pPr>
      <w:ind w:left="566" w:hanging="283"/>
      <w:contextualSpacing/>
    </w:pPr>
  </w:style>
  <w:style w:type="paragraph" w:styleId="List3">
    <w:name w:val="List 3"/>
    <w:basedOn w:val="Normal"/>
    <w:rsid w:val="0032255F"/>
    <w:pPr>
      <w:ind w:left="849" w:hanging="283"/>
      <w:contextualSpacing/>
    </w:pPr>
  </w:style>
  <w:style w:type="paragraph" w:styleId="List4">
    <w:name w:val="List 4"/>
    <w:basedOn w:val="Normal"/>
    <w:rsid w:val="0032255F"/>
    <w:pPr>
      <w:ind w:left="1132" w:hanging="283"/>
      <w:contextualSpacing/>
    </w:pPr>
  </w:style>
  <w:style w:type="paragraph" w:styleId="List5">
    <w:name w:val="List 5"/>
    <w:basedOn w:val="Normal"/>
    <w:rsid w:val="0032255F"/>
    <w:pPr>
      <w:ind w:left="1415" w:hanging="283"/>
      <w:contextualSpacing/>
    </w:pPr>
  </w:style>
  <w:style w:type="paragraph" w:styleId="ListBullet4">
    <w:name w:val="List Bullet 4"/>
    <w:basedOn w:val="Normal"/>
    <w:rsid w:val="0032255F"/>
    <w:pPr>
      <w:numPr>
        <w:numId w:val="84"/>
      </w:numPr>
      <w:contextualSpacing/>
    </w:pPr>
  </w:style>
  <w:style w:type="paragraph" w:styleId="ListBullet5">
    <w:name w:val="List Bullet 5"/>
    <w:basedOn w:val="Normal"/>
    <w:rsid w:val="0032255F"/>
    <w:pPr>
      <w:numPr>
        <w:numId w:val="85"/>
      </w:numPr>
      <w:contextualSpacing/>
    </w:pPr>
  </w:style>
  <w:style w:type="paragraph" w:styleId="ListContinue">
    <w:name w:val="List Continue"/>
    <w:basedOn w:val="Normal"/>
    <w:rsid w:val="0032255F"/>
    <w:pPr>
      <w:spacing w:after="120"/>
      <w:ind w:left="283"/>
      <w:contextualSpacing/>
    </w:pPr>
  </w:style>
  <w:style w:type="paragraph" w:styleId="ListContinue2">
    <w:name w:val="List Continue 2"/>
    <w:basedOn w:val="Normal"/>
    <w:rsid w:val="0032255F"/>
    <w:pPr>
      <w:spacing w:after="120"/>
      <w:ind w:left="566"/>
      <w:contextualSpacing/>
    </w:pPr>
  </w:style>
  <w:style w:type="paragraph" w:styleId="ListContinue3">
    <w:name w:val="List Continue 3"/>
    <w:basedOn w:val="Normal"/>
    <w:rsid w:val="0032255F"/>
    <w:pPr>
      <w:spacing w:after="120"/>
      <w:ind w:left="849"/>
      <w:contextualSpacing/>
    </w:pPr>
  </w:style>
  <w:style w:type="paragraph" w:styleId="ListContinue4">
    <w:name w:val="List Continue 4"/>
    <w:basedOn w:val="Normal"/>
    <w:rsid w:val="0032255F"/>
    <w:pPr>
      <w:spacing w:after="120"/>
      <w:ind w:left="1132"/>
      <w:contextualSpacing/>
    </w:pPr>
  </w:style>
  <w:style w:type="paragraph" w:styleId="ListContinue5">
    <w:name w:val="List Continue 5"/>
    <w:basedOn w:val="Normal"/>
    <w:rsid w:val="0032255F"/>
    <w:pPr>
      <w:spacing w:after="120"/>
      <w:ind w:left="1415"/>
      <w:contextualSpacing/>
    </w:pPr>
  </w:style>
  <w:style w:type="paragraph" w:styleId="ListNumber4">
    <w:name w:val="List Number 4"/>
    <w:basedOn w:val="Normal"/>
    <w:rsid w:val="0032255F"/>
    <w:pPr>
      <w:numPr>
        <w:numId w:val="86"/>
      </w:numPr>
      <w:contextualSpacing/>
    </w:pPr>
  </w:style>
  <w:style w:type="paragraph" w:styleId="ListNumber5">
    <w:name w:val="List Number 5"/>
    <w:basedOn w:val="Normal"/>
    <w:rsid w:val="0032255F"/>
    <w:pPr>
      <w:numPr>
        <w:numId w:val="87"/>
      </w:numPr>
      <w:contextualSpacing/>
    </w:pPr>
  </w:style>
  <w:style w:type="paragraph" w:styleId="ListParagraph">
    <w:name w:val="List Paragraph"/>
    <w:basedOn w:val="Normal"/>
    <w:uiPriority w:val="34"/>
    <w:rsid w:val="0032255F"/>
    <w:pPr>
      <w:ind w:left="720"/>
      <w:contextualSpacing/>
    </w:pPr>
  </w:style>
  <w:style w:type="paragraph" w:styleId="MacroText">
    <w:name w:val="macro"/>
    <w:link w:val="MacroTextChar"/>
    <w:rsid w:val="0032255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2255F"/>
    <w:rPr>
      <w:rFonts w:ascii="Consolas" w:hAnsi="Consolas" w:cs="Consolas"/>
    </w:rPr>
  </w:style>
  <w:style w:type="paragraph" w:styleId="MessageHeader">
    <w:name w:val="Message Header"/>
    <w:basedOn w:val="Normal"/>
    <w:link w:val="MessageHeaderChar"/>
    <w:rsid w:val="003225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2255F"/>
    <w:rPr>
      <w:rFonts w:asciiTheme="majorHAnsi" w:eastAsiaTheme="majorEastAsia" w:hAnsiTheme="majorHAnsi" w:cstheme="majorBidi"/>
      <w:sz w:val="24"/>
      <w:szCs w:val="24"/>
      <w:shd w:val="pct20" w:color="auto" w:fill="auto"/>
    </w:rPr>
  </w:style>
  <w:style w:type="paragraph" w:styleId="NoSpacing">
    <w:name w:val="No Spacing"/>
    <w:uiPriority w:val="1"/>
    <w:rsid w:val="0032255F"/>
    <w:rPr>
      <w:sz w:val="24"/>
      <w:szCs w:val="24"/>
    </w:rPr>
  </w:style>
  <w:style w:type="paragraph" w:styleId="NormalWeb">
    <w:name w:val="Normal (Web)"/>
    <w:basedOn w:val="Normal"/>
    <w:rsid w:val="0032255F"/>
  </w:style>
  <w:style w:type="paragraph" w:styleId="NormalIndent">
    <w:name w:val="Normal Indent"/>
    <w:basedOn w:val="Normal"/>
    <w:rsid w:val="0032255F"/>
    <w:pPr>
      <w:ind w:left="720"/>
    </w:pPr>
  </w:style>
  <w:style w:type="paragraph" w:styleId="NoteHeading">
    <w:name w:val="Note Heading"/>
    <w:basedOn w:val="Normal"/>
    <w:next w:val="Normal"/>
    <w:link w:val="NoteHeadingChar"/>
    <w:rsid w:val="0032255F"/>
  </w:style>
  <w:style w:type="character" w:customStyle="1" w:styleId="NoteHeadingChar">
    <w:name w:val="Note Heading Char"/>
    <w:basedOn w:val="DefaultParagraphFont"/>
    <w:link w:val="NoteHeading"/>
    <w:rsid w:val="0032255F"/>
    <w:rPr>
      <w:sz w:val="24"/>
      <w:szCs w:val="24"/>
    </w:rPr>
  </w:style>
  <w:style w:type="paragraph" w:styleId="PlainText">
    <w:name w:val="Plain Text"/>
    <w:basedOn w:val="Normal"/>
    <w:link w:val="PlainTextChar"/>
    <w:rsid w:val="0032255F"/>
    <w:rPr>
      <w:rFonts w:ascii="Consolas" w:hAnsi="Consolas" w:cs="Consolas"/>
      <w:sz w:val="21"/>
      <w:szCs w:val="21"/>
    </w:rPr>
  </w:style>
  <w:style w:type="character" w:customStyle="1" w:styleId="PlainTextChar">
    <w:name w:val="Plain Text Char"/>
    <w:basedOn w:val="DefaultParagraphFont"/>
    <w:link w:val="PlainText"/>
    <w:rsid w:val="0032255F"/>
    <w:rPr>
      <w:rFonts w:ascii="Consolas" w:hAnsi="Consolas" w:cs="Consolas"/>
      <w:sz w:val="21"/>
      <w:szCs w:val="21"/>
    </w:rPr>
  </w:style>
  <w:style w:type="paragraph" w:styleId="Salutation">
    <w:name w:val="Salutation"/>
    <w:basedOn w:val="Normal"/>
    <w:next w:val="Normal"/>
    <w:link w:val="SalutationChar"/>
    <w:rsid w:val="0032255F"/>
  </w:style>
  <w:style w:type="character" w:customStyle="1" w:styleId="SalutationChar">
    <w:name w:val="Salutation Char"/>
    <w:basedOn w:val="DefaultParagraphFont"/>
    <w:link w:val="Salutation"/>
    <w:rsid w:val="0032255F"/>
    <w:rPr>
      <w:sz w:val="24"/>
      <w:szCs w:val="24"/>
    </w:rPr>
  </w:style>
  <w:style w:type="paragraph" w:styleId="Signature">
    <w:name w:val="Signature"/>
    <w:basedOn w:val="Normal"/>
    <w:link w:val="SignatureChar"/>
    <w:rsid w:val="0032255F"/>
    <w:pPr>
      <w:ind w:left="4252"/>
    </w:pPr>
  </w:style>
  <w:style w:type="character" w:customStyle="1" w:styleId="SignatureChar">
    <w:name w:val="Signature Char"/>
    <w:basedOn w:val="DefaultParagraphFont"/>
    <w:link w:val="Signature"/>
    <w:rsid w:val="0032255F"/>
    <w:rPr>
      <w:sz w:val="24"/>
      <w:szCs w:val="24"/>
    </w:rPr>
  </w:style>
  <w:style w:type="paragraph" w:styleId="TableofAuthorities">
    <w:name w:val="table of authorities"/>
    <w:basedOn w:val="Normal"/>
    <w:next w:val="Normal"/>
    <w:rsid w:val="0032255F"/>
    <w:pPr>
      <w:ind w:left="240" w:hanging="240"/>
    </w:pPr>
  </w:style>
  <w:style w:type="paragraph" w:styleId="Title">
    <w:name w:val="Title"/>
    <w:basedOn w:val="Normal"/>
    <w:next w:val="Normal"/>
    <w:link w:val="TitleChar"/>
    <w:rsid w:val="0032255F"/>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32255F"/>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rsid w:val="0032255F"/>
    <w:pPr>
      <w:spacing w:before="120"/>
    </w:pPr>
    <w:rPr>
      <w:rFonts w:asciiTheme="majorHAnsi" w:eastAsiaTheme="majorEastAsia" w:hAnsiTheme="majorHAnsi" w:cstheme="majorBidi"/>
      <w:b/>
      <w:bCs/>
    </w:rPr>
  </w:style>
  <w:style w:type="paragraph" w:styleId="TOC5">
    <w:name w:val="toc 5"/>
    <w:basedOn w:val="Normal"/>
    <w:next w:val="Normal"/>
    <w:autoRedefine/>
    <w:rsid w:val="0032255F"/>
    <w:pPr>
      <w:spacing w:after="100"/>
      <w:ind w:left="960"/>
    </w:pPr>
  </w:style>
  <w:style w:type="paragraph" w:styleId="TOC6">
    <w:name w:val="toc 6"/>
    <w:basedOn w:val="Normal"/>
    <w:next w:val="Normal"/>
    <w:autoRedefine/>
    <w:rsid w:val="0032255F"/>
    <w:pPr>
      <w:spacing w:after="100"/>
      <w:ind w:left="1200"/>
    </w:pPr>
  </w:style>
  <w:style w:type="paragraph" w:styleId="TOC7">
    <w:name w:val="toc 7"/>
    <w:basedOn w:val="Normal"/>
    <w:next w:val="Normal"/>
    <w:autoRedefine/>
    <w:rsid w:val="0032255F"/>
    <w:pPr>
      <w:spacing w:after="100"/>
      <w:ind w:left="1440"/>
    </w:pPr>
  </w:style>
  <w:style w:type="paragraph" w:styleId="TOC8">
    <w:name w:val="toc 8"/>
    <w:basedOn w:val="Normal"/>
    <w:next w:val="Normal"/>
    <w:autoRedefine/>
    <w:rsid w:val="0032255F"/>
    <w:pPr>
      <w:spacing w:after="100"/>
      <w:ind w:left="1680"/>
    </w:pPr>
  </w:style>
  <w:style w:type="paragraph" w:styleId="TOC9">
    <w:name w:val="toc 9"/>
    <w:basedOn w:val="Normal"/>
    <w:next w:val="Normal"/>
    <w:autoRedefine/>
    <w:rsid w:val="0032255F"/>
    <w:pPr>
      <w:spacing w:after="100"/>
      <w:ind w:left="1920"/>
    </w:pPr>
  </w:style>
  <w:style w:type="paragraph" w:styleId="TOCHeading">
    <w:name w:val="TOC Heading"/>
    <w:basedOn w:val="Heading1"/>
    <w:next w:val="Normal"/>
    <w:uiPriority w:val="39"/>
    <w:semiHidden/>
    <w:unhideWhenUsed/>
    <w:qFormat/>
    <w:rsid w:val="0032255F"/>
    <w:pPr>
      <w:keepLines/>
      <w:spacing w:before="480" w:after="0" w:line="240" w:lineRule="auto"/>
      <w:ind w:left="0" w:firstLine="0"/>
      <w:outlineLvl w:val="9"/>
    </w:pPr>
    <w:rPr>
      <w:rFonts w:asciiTheme="majorHAnsi" w:eastAsiaTheme="majorEastAsia" w:hAnsiTheme="majorHAnsi" w:cstheme="majorBidi"/>
      <w:b/>
      <w:bCs/>
      <w:color w:val="597923"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toc 1" w:uiPriority="39"/>
    <w:lsdException w:name="toc 2" w:uiPriority="3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C249EF"/>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042FC8"/>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Heading2Char">
    <w:name w:val="Heading 2 Char"/>
    <w:basedOn w:val="DefaultParagraphFont"/>
    <w:link w:val="Heading2"/>
    <w:rsid w:val="00C249EF"/>
    <w:rPr>
      <w:rFonts w:ascii="Arial" w:hAnsi="Arial"/>
      <w:b/>
      <w:sz w:val="32"/>
    </w:rPr>
  </w:style>
  <w:style w:type="character" w:styleId="Hyperlink">
    <w:name w:val="Hyperlink"/>
    <w:basedOn w:val="DefaultParagraphFont"/>
    <w:rsid w:val="00C249EF"/>
    <w:rPr>
      <w:color w:val="78A22F" w:themeColor="hyperlink"/>
      <w:u w:val="single"/>
    </w:rPr>
  </w:style>
  <w:style w:type="character" w:customStyle="1" w:styleId="Heading1Char">
    <w:name w:val="Heading 1 Char"/>
    <w:basedOn w:val="DefaultParagraphFont"/>
    <w:link w:val="Heading1"/>
    <w:rsid w:val="00C249EF"/>
    <w:rPr>
      <w:sz w:val="52"/>
    </w:rPr>
  </w:style>
  <w:style w:type="character" w:customStyle="1" w:styleId="Heading3Char">
    <w:name w:val="Heading 3 Char"/>
    <w:basedOn w:val="DefaultParagraphFont"/>
    <w:link w:val="Heading3"/>
    <w:rsid w:val="00C249EF"/>
    <w:rPr>
      <w:rFonts w:ascii="Arial" w:hAnsi="Arial"/>
      <w:b/>
      <w:sz w:val="26"/>
    </w:rPr>
  </w:style>
  <w:style w:type="character" w:customStyle="1" w:styleId="FootnoteTextChar">
    <w:name w:val="Footnote Text Char"/>
    <w:basedOn w:val="DefaultParagraphFont"/>
    <w:link w:val="FootnoteText"/>
    <w:rsid w:val="00C249EF"/>
  </w:style>
  <w:style w:type="paragraph" w:styleId="Bibliography">
    <w:name w:val="Bibliography"/>
    <w:basedOn w:val="Normal"/>
    <w:next w:val="Normal"/>
    <w:uiPriority w:val="37"/>
    <w:unhideWhenUsed/>
    <w:rsid w:val="0078347E"/>
    <w:pPr>
      <w:spacing w:after="240"/>
      <w:ind w:left="720" w:hanging="720"/>
    </w:pPr>
  </w:style>
  <w:style w:type="character" w:customStyle="1" w:styleId="CommentTextChar">
    <w:name w:val="Comment Text Char"/>
    <w:basedOn w:val="DefaultParagraphFont"/>
    <w:link w:val="CommentText"/>
    <w:semiHidden/>
    <w:rsid w:val="00C865E2"/>
    <w:rPr>
      <w:szCs w:val="24"/>
    </w:rPr>
  </w:style>
  <w:style w:type="paragraph" w:styleId="CommentSubject">
    <w:name w:val="annotation subject"/>
    <w:basedOn w:val="CommentText"/>
    <w:next w:val="CommentText"/>
    <w:link w:val="CommentSubjectChar"/>
    <w:rsid w:val="00975870"/>
    <w:pPr>
      <w:spacing w:before="0" w:line="240" w:lineRule="auto"/>
      <w:ind w:left="0" w:firstLine="0"/>
    </w:pPr>
    <w:rPr>
      <w:b/>
      <w:bCs/>
      <w:szCs w:val="20"/>
    </w:rPr>
  </w:style>
  <w:style w:type="character" w:customStyle="1" w:styleId="CommentSubjectChar">
    <w:name w:val="Comment Subject Char"/>
    <w:basedOn w:val="CommentTextChar"/>
    <w:link w:val="CommentSubject"/>
    <w:rsid w:val="00975870"/>
    <w:rPr>
      <w:b/>
      <w:bCs/>
      <w:szCs w:val="24"/>
    </w:rPr>
  </w:style>
  <w:style w:type="paragraph" w:customStyle="1" w:styleId="Heading1NotTOC">
    <w:name w:val="Heading 1 Not TOC"/>
    <w:basedOn w:val="Heading1"/>
    <w:next w:val="BodyText"/>
    <w:rsid w:val="00A16520"/>
    <w:rPr>
      <w:kern w:val="28"/>
      <w:szCs w:val="26"/>
      <w:lang w:eastAsia="en-US"/>
    </w:rPr>
  </w:style>
  <w:style w:type="character" w:styleId="EndnoteReference">
    <w:name w:val="endnote reference"/>
    <w:basedOn w:val="DefaultParagraphFont"/>
    <w:rsid w:val="00530FF4"/>
    <w:rPr>
      <w:vertAlign w:val="superscript"/>
    </w:rPr>
  </w:style>
  <w:style w:type="paragraph" w:styleId="BlockText">
    <w:name w:val="Block Text"/>
    <w:basedOn w:val="Normal"/>
    <w:rsid w:val="0032255F"/>
    <w:pPr>
      <w:pBdr>
        <w:top w:val="single" w:sz="2" w:space="10" w:color="78A22F" w:themeColor="accent1"/>
        <w:left w:val="single" w:sz="2" w:space="10" w:color="78A22F" w:themeColor="accent1"/>
        <w:bottom w:val="single" w:sz="2" w:space="10" w:color="78A22F" w:themeColor="accent1"/>
        <w:right w:val="single" w:sz="2" w:space="10" w:color="78A22F" w:themeColor="accent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rsid w:val="0032255F"/>
    <w:pPr>
      <w:spacing w:after="120" w:line="480" w:lineRule="auto"/>
    </w:pPr>
  </w:style>
  <w:style w:type="character" w:customStyle="1" w:styleId="BodyText2Char">
    <w:name w:val="Body Text 2 Char"/>
    <w:basedOn w:val="DefaultParagraphFont"/>
    <w:link w:val="BodyText2"/>
    <w:rsid w:val="0032255F"/>
    <w:rPr>
      <w:sz w:val="24"/>
      <w:szCs w:val="24"/>
    </w:rPr>
  </w:style>
  <w:style w:type="paragraph" w:styleId="BodyText3">
    <w:name w:val="Body Text 3"/>
    <w:basedOn w:val="Normal"/>
    <w:link w:val="BodyText3Char"/>
    <w:rsid w:val="0032255F"/>
    <w:pPr>
      <w:spacing w:after="120"/>
    </w:pPr>
    <w:rPr>
      <w:sz w:val="16"/>
      <w:szCs w:val="16"/>
    </w:rPr>
  </w:style>
  <w:style w:type="character" w:customStyle="1" w:styleId="BodyText3Char">
    <w:name w:val="Body Text 3 Char"/>
    <w:basedOn w:val="DefaultParagraphFont"/>
    <w:link w:val="BodyText3"/>
    <w:rsid w:val="0032255F"/>
    <w:rPr>
      <w:sz w:val="16"/>
      <w:szCs w:val="16"/>
    </w:rPr>
  </w:style>
  <w:style w:type="paragraph" w:styleId="BodyTextFirstIndent">
    <w:name w:val="Body Text First Indent"/>
    <w:basedOn w:val="BodyText"/>
    <w:link w:val="BodyTextFirstIndentChar"/>
    <w:rsid w:val="0032255F"/>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32255F"/>
    <w:rPr>
      <w:sz w:val="24"/>
      <w:szCs w:val="24"/>
    </w:rPr>
  </w:style>
  <w:style w:type="paragraph" w:styleId="BodyTextIndent">
    <w:name w:val="Body Text Indent"/>
    <w:basedOn w:val="Normal"/>
    <w:link w:val="BodyTextIndentChar"/>
    <w:rsid w:val="0032255F"/>
    <w:pPr>
      <w:spacing w:after="120"/>
      <w:ind w:left="283"/>
    </w:pPr>
  </w:style>
  <w:style w:type="character" w:customStyle="1" w:styleId="BodyTextIndentChar">
    <w:name w:val="Body Text Indent Char"/>
    <w:basedOn w:val="DefaultParagraphFont"/>
    <w:link w:val="BodyTextIndent"/>
    <w:rsid w:val="0032255F"/>
    <w:rPr>
      <w:sz w:val="24"/>
      <w:szCs w:val="24"/>
    </w:rPr>
  </w:style>
  <w:style w:type="paragraph" w:styleId="BodyTextFirstIndent2">
    <w:name w:val="Body Text First Indent 2"/>
    <w:basedOn w:val="BodyTextIndent"/>
    <w:link w:val="BodyTextFirstIndent2Char"/>
    <w:rsid w:val="0032255F"/>
    <w:pPr>
      <w:spacing w:after="0"/>
      <w:ind w:left="360" w:firstLine="360"/>
    </w:pPr>
  </w:style>
  <w:style w:type="character" w:customStyle="1" w:styleId="BodyTextFirstIndent2Char">
    <w:name w:val="Body Text First Indent 2 Char"/>
    <w:basedOn w:val="BodyTextIndentChar"/>
    <w:link w:val="BodyTextFirstIndent2"/>
    <w:rsid w:val="0032255F"/>
    <w:rPr>
      <w:sz w:val="24"/>
      <w:szCs w:val="24"/>
    </w:rPr>
  </w:style>
  <w:style w:type="paragraph" w:styleId="BodyTextIndent2">
    <w:name w:val="Body Text Indent 2"/>
    <w:basedOn w:val="Normal"/>
    <w:link w:val="BodyTextIndent2Char"/>
    <w:rsid w:val="0032255F"/>
    <w:pPr>
      <w:spacing w:after="120" w:line="480" w:lineRule="auto"/>
      <w:ind w:left="283"/>
    </w:pPr>
  </w:style>
  <w:style w:type="character" w:customStyle="1" w:styleId="BodyTextIndent2Char">
    <w:name w:val="Body Text Indent 2 Char"/>
    <w:basedOn w:val="DefaultParagraphFont"/>
    <w:link w:val="BodyTextIndent2"/>
    <w:rsid w:val="0032255F"/>
    <w:rPr>
      <w:sz w:val="24"/>
      <w:szCs w:val="24"/>
    </w:rPr>
  </w:style>
  <w:style w:type="paragraph" w:styleId="BodyTextIndent3">
    <w:name w:val="Body Text Indent 3"/>
    <w:basedOn w:val="Normal"/>
    <w:link w:val="BodyTextIndent3Char"/>
    <w:rsid w:val="0032255F"/>
    <w:pPr>
      <w:spacing w:after="120"/>
      <w:ind w:left="283"/>
    </w:pPr>
    <w:rPr>
      <w:sz w:val="16"/>
      <w:szCs w:val="16"/>
    </w:rPr>
  </w:style>
  <w:style w:type="character" w:customStyle="1" w:styleId="BodyTextIndent3Char">
    <w:name w:val="Body Text Indent 3 Char"/>
    <w:basedOn w:val="DefaultParagraphFont"/>
    <w:link w:val="BodyTextIndent3"/>
    <w:rsid w:val="0032255F"/>
    <w:rPr>
      <w:sz w:val="16"/>
      <w:szCs w:val="16"/>
    </w:rPr>
  </w:style>
  <w:style w:type="paragraph" w:styleId="Closing">
    <w:name w:val="Closing"/>
    <w:basedOn w:val="Normal"/>
    <w:link w:val="ClosingChar"/>
    <w:rsid w:val="0032255F"/>
    <w:pPr>
      <w:ind w:left="4252"/>
    </w:pPr>
  </w:style>
  <w:style w:type="character" w:customStyle="1" w:styleId="ClosingChar">
    <w:name w:val="Closing Char"/>
    <w:basedOn w:val="DefaultParagraphFont"/>
    <w:link w:val="Closing"/>
    <w:rsid w:val="0032255F"/>
    <w:rPr>
      <w:sz w:val="24"/>
      <w:szCs w:val="24"/>
    </w:rPr>
  </w:style>
  <w:style w:type="paragraph" w:styleId="Date">
    <w:name w:val="Date"/>
    <w:basedOn w:val="Normal"/>
    <w:next w:val="Normal"/>
    <w:link w:val="DateChar"/>
    <w:rsid w:val="0032255F"/>
  </w:style>
  <w:style w:type="character" w:customStyle="1" w:styleId="DateChar">
    <w:name w:val="Date Char"/>
    <w:basedOn w:val="DefaultParagraphFont"/>
    <w:link w:val="Date"/>
    <w:rsid w:val="0032255F"/>
    <w:rPr>
      <w:sz w:val="24"/>
      <w:szCs w:val="24"/>
    </w:rPr>
  </w:style>
  <w:style w:type="paragraph" w:styleId="DocumentMap">
    <w:name w:val="Document Map"/>
    <w:basedOn w:val="Normal"/>
    <w:link w:val="DocumentMapChar"/>
    <w:rsid w:val="0032255F"/>
    <w:rPr>
      <w:rFonts w:ascii="Tahoma" w:hAnsi="Tahoma" w:cs="Tahoma"/>
      <w:sz w:val="16"/>
      <w:szCs w:val="16"/>
    </w:rPr>
  </w:style>
  <w:style w:type="character" w:customStyle="1" w:styleId="DocumentMapChar">
    <w:name w:val="Document Map Char"/>
    <w:basedOn w:val="DefaultParagraphFont"/>
    <w:link w:val="DocumentMap"/>
    <w:rsid w:val="0032255F"/>
    <w:rPr>
      <w:rFonts w:ascii="Tahoma" w:hAnsi="Tahoma" w:cs="Tahoma"/>
      <w:sz w:val="16"/>
      <w:szCs w:val="16"/>
    </w:rPr>
  </w:style>
  <w:style w:type="paragraph" w:styleId="E-mailSignature">
    <w:name w:val="E-mail Signature"/>
    <w:basedOn w:val="Normal"/>
    <w:link w:val="E-mailSignatureChar"/>
    <w:rsid w:val="0032255F"/>
  </w:style>
  <w:style w:type="character" w:customStyle="1" w:styleId="E-mailSignatureChar">
    <w:name w:val="E-mail Signature Char"/>
    <w:basedOn w:val="DefaultParagraphFont"/>
    <w:link w:val="E-mailSignature"/>
    <w:rsid w:val="0032255F"/>
    <w:rPr>
      <w:sz w:val="24"/>
      <w:szCs w:val="24"/>
    </w:rPr>
  </w:style>
  <w:style w:type="paragraph" w:styleId="EndnoteText">
    <w:name w:val="endnote text"/>
    <w:basedOn w:val="Normal"/>
    <w:link w:val="EndnoteTextChar"/>
    <w:rsid w:val="0032255F"/>
    <w:rPr>
      <w:sz w:val="20"/>
      <w:szCs w:val="20"/>
    </w:rPr>
  </w:style>
  <w:style w:type="character" w:customStyle="1" w:styleId="EndnoteTextChar">
    <w:name w:val="Endnote Text Char"/>
    <w:basedOn w:val="DefaultParagraphFont"/>
    <w:link w:val="EndnoteText"/>
    <w:rsid w:val="0032255F"/>
  </w:style>
  <w:style w:type="paragraph" w:styleId="EnvelopeAddress">
    <w:name w:val="envelope address"/>
    <w:basedOn w:val="Normal"/>
    <w:rsid w:val="0032255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2255F"/>
    <w:rPr>
      <w:rFonts w:asciiTheme="majorHAnsi" w:eastAsiaTheme="majorEastAsia" w:hAnsiTheme="majorHAnsi" w:cstheme="majorBidi"/>
      <w:sz w:val="20"/>
      <w:szCs w:val="20"/>
    </w:rPr>
  </w:style>
  <w:style w:type="paragraph" w:styleId="HTMLAddress">
    <w:name w:val="HTML Address"/>
    <w:basedOn w:val="Normal"/>
    <w:link w:val="HTMLAddressChar"/>
    <w:rsid w:val="0032255F"/>
    <w:rPr>
      <w:i/>
      <w:iCs/>
    </w:rPr>
  </w:style>
  <w:style w:type="character" w:customStyle="1" w:styleId="HTMLAddressChar">
    <w:name w:val="HTML Address Char"/>
    <w:basedOn w:val="DefaultParagraphFont"/>
    <w:link w:val="HTMLAddress"/>
    <w:rsid w:val="0032255F"/>
    <w:rPr>
      <w:i/>
      <w:iCs/>
      <w:sz w:val="24"/>
      <w:szCs w:val="24"/>
    </w:rPr>
  </w:style>
  <w:style w:type="paragraph" w:styleId="HTMLPreformatted">
    <w:name w:val="HTML Preformatted"/>
    <w:basedOn w:val="Normal"/>
    <w:link w:val="HTMLPreformattedChar"/>
    <w:rsid w:val="0032255F"/>
    <w:rPr>
      <w:rFonts w:ascii="Consolas" w:hAnsi="Consolas" w:cs="Consolas"/>
      <w:sz w:val="20"/>
      <w:szCs w:val="20"/>
    </w:rPr>
  </w:style>
  <w:style w:type="character" w:customStyle="1" w:styleId="HTMLPreformattedChar">
    <w:name w:val="HTML Preformatted Char"/>
    <w:basedOn w:val="DefaultParagraphFont"/>
    <w:link w:val="HTMLPreformatted"/>
    <w:rsid w:val="0032255F"/>
    <w:rPr>
      <w:rFonts w:ascii="Consolas" w:hAnsi="Consolas" w:cs="Consolas"/>
    </w:rPr>
  </w:style>
  <w:style w:type="paragraph" w:styleId="Index1">
    <w:name w:val="index 1"/>
    <w:basedOn w:val="Normal"/>
    <w:next w:val="Normal"/>
    <w:autoRedefine/>
    <w:rsid w:val="0032255F"/>
    <w:pPr>
      <w:ind w:left="240" w:hanging="240"/>
    </w:pPr>
  </w:style>
  <w:style w:type="paragraph" w:styleId="Index2">
    <w:name w:val="index 2"/>
    <w:basedOn w:val="Normal"/>
    <w:next w:val="Normal"/>
    <w:autoRedefine/>
    <w:rsid w:val="0032255F"/>
    <w:pPr>
      <w:ind w:left="480" w:hanging="240"/>
    </w:pPr>
  </w:style>
  <w:style w:type="paragraph" w:styleId="Index3">
    <w:name w:val="index 3"/>
    <w:basedOn w:val="Normal"/>
    <w:next w:val="Normal"/>
    <w:autoRedefine/>
    <w:rsid w:val="0032255F"/>
    <w:pPr>
      <w:ind w:left="720" w:hanging="240"/>
    </w:pPr>
  </w:style>
  <w:style w:type="paragraph" w:styleId="Index4">
    <w:name w:val="index 4"/>
    <w:basedOn w:val="Normal"/>
    <w:next w:val="Normal"/>
    <w:autoRedefine/>
    <w:rsid w:val="0032255F"/>
    <w:pPr>
      <w:ind w:left="960" w:hanging="240"/>
    </w:pPr>
  </w:style>
  <w:style w:type="paragraph" w:styleId="Index5">
    <w:name w:val="index 5"/>
    <w:basedOn w:val="Normal"/>
    <w:next w:val="Normal"/>
    <w:autoRedefine/>
    <w:rsid w:val="0032255F"/>
    <w:pPr>
      <w:ind w:left="1200" w:hanging="240"/>
    </w:pPr>
  </w:style>
  <w:style w:type="paragraph" w:styleId="Index6">
    <w:name w:val="index 6"/>
    <w:basedOn w:val="Normal"/>
    <w:next w:val="Normal"/>
    <w:autoRedefine/>
    <w:rsid w:val="0032255F"/>
    <w:pPr>
      <w:ind w:left="1440" w:hanging="240"/>
    </w:pPr>
  </w:style>
  <w:style w:type="paragraph" w:styleId="Index7">
    <w:name w:val="index 7"/>
    <w:basedOn w:val="Normal"/>
    <w:next w:val="Normal"/>
    <w:autoRedefine/>
    <w:rsid w:val="0032255F"/>
    <w:pPr>
      <w:ind w:left="1680" w:hanging="240"/>
    </w:pPr>
  </w:style>
  <w:style w:type="paragraph" w:styleId="Index8">
    <w:name w:val="index 8"/>
    <w:basedOn w:val="Normal"/>
    <w:next w:val="Normal"/>
    <w:autoRedefine/>
    <w:rsid w:val="0032255F"/>
    <w:pPr>
      <w:ind w:left="1920" w:hanging="240"/>
    </w:pPr>
  </w:style>
  <w:style w:type="paragraph" w:styleId="Index9">
    <w:name w:val="index 9"/>
    <w:basedOn w:val="Normal"/>
    <w:next w:val="Normal"/>
    <w:autoRedefine/>
    <w:rsid w:val="0032255F"/>
    <w:pPr>
      <w:ind w:left="2160" w:hanging="240"/>
    </w:pPr>
  </w:style>
  <w:style w:type="paragraph" w:styleId="IndexHeading">
    <w:name w:val="index heading"/>
    <w:basedOn w:val="Normal"/>
    <w:next w:val="Index1"/>
    <w:rsid w:val="0032255F"/>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32255F"/>
    <w:pPr>
      <w:pBdr>
        <w:bottom w:val="single" w:sz="4" w:space="4" w:color="78A22F" w:themeColor="accent1"/>
      </w:pBdr>
      <w:spacing w:before="200" w:after="280"/>
      <w:ind w:left="936" w:right="936"/>
    </w:pPr>
    <w:rPr>
      <w:b/>
      <w:bCs/>
      <w:i/>
      <w:iCs/>
      <w:color w:val="78A22F" w:themeColor="accent1"/>
    </w:rPr>
  </w:style>
  <w:style w:type="character" w:customStyle="1" w:styleId="IntenseQuoteChar">
    <w:name w:val="Intense Quote Char"/>
    <w:basedOn w:val="DefaultParagraphFont"/>
    <w:link w:val="IntenseQuote"/>
    <w:uiPriority w:val="30"/>
    <w:rsid w:val="0032255F"/>
    <w:rPr>
      <w:b/>
      <w:bCs/>
      <w:i/>
      <w:iCs/>
      <w:color w:val="78A22F" w:themeColor="accent1"/>
      <w:sz w:val="24"/>
      <w:szCs w:val="24"/>
    </w:rPr>
  </w:style>
  <w:style w:type="paragraph" w:styleId="List">
    <w:name w:val="List"/>
    <w:basedOn w:val="Normal"/>
    <w:rsid w:val="0032255F"/>
    <w:pPr>
      <w:ind w:left="283" w:hanging="283"/>
      <w:contextualSpacing/>
    </w:pPr>
  </w:style>
  <w:style w:type="paragraph" w:styleId="List2">
    <w:name w:val="List 2"/>
    <w:basedOn w:val="Normal"/>
    <w:rsid w:val="0032255F"/>
    <w:pPr>
      <w:ind w:left="566" w:hanging="283"/>
      <w:contextualSpacing/>
    </w:pPr>
  </w:style>
  <w:style w:type="paragraph" w:styleId="List3">
    <w:name w:val="List 3"/>
    <w:basedOn w:val="Normal"/>
    <w:rsid w:val="0032255F"/>
    <w:pPr>
      <w:ind w:left="849" w:hanging="283"/>
      <w:contextualSpacing/>
    </w:pPr>
  </w:style>
  <w:style w:type="paragraph" w:styleId="List4">
    <w:name w:val="List 4"/>
    <w:basedOn w:val="Normal"/>
    <w:rsid w:val="0032255F"/>
    <w:pPr>
      <w:ind w:left="1132" w:hanging="283"/>
      <w:contextualSpacing/>
    </w:pPr>
  </w:style>
  <w:style w:type="paragraph" w:styleId="List5">
    <w:name w:val="List 5"/>
    <w:basedOn w:val="Normal"/>
    <w:rsid w:val="0032255F"/>
    <w:pPr>
      <w:ind w:left="1415" w:hanging="283"/>
      <w:contextualSpacing/>
    </w:pPr>
  </w:style>
  <w:style w:type="paragraph" w:styleId="ListBullet4">
    <w:name w:val="List Bullet 4"/>
    <w:basedOn w:val="Normal"/>
    <w:rsid w:val="0032255F"/>
    <w:pPr>
      <w:numPr>
        <w:numId w:val="84"/>
      </w:numPr>
      <w:contextualSpacing/>
    </w:pPr>
  </w:style>
  <w:style w:type="paragraph" w:styleId="ListBullet5">
    <w:name w:val="List Bullet 5"/>
    <w:basedOn w:val="Normal"/>
    <w:rsid w:val="0032255F"/>
    <w:pPr>
      <w:numPr>
        <w:numId w:val="85"/>
      </w:numPr>
      <w:contextualSpacing/>
    </w:pPr>
  </w:style>
  <w:style w:type="paragraph" w:styleId="ListContinue">
    <w:name w:val="List Continue"/>
    <w:basedOn w:val="Normal"/>
    <w:rsid w:val="0032255F"/>
    <w:pPr>
      <w:spacing w:after="120"/>
      <w:ind w:left="283"/>
      <w:contextualSpacing/>
    </w:pPr>
  </w:style>
  <w:style w:type="paragraph" w:styleId="ListContinue2">
    <w:name w:val="List Continue 2"/>
    <w:basedOn w:val="Normal"/>
    <w:rsid w:val="0032255F"/>
    <w:pPr>
      <w:spacing w:after="120"/>
      <w:ind w:left="566"/>
      <w:contextualSpacing/>
    </w:pPr>
  </w:style>
  <w:style w:type="paragraph" w:styleId="ListContinue3">
    <w:name w:val="List Continue 3"/>
    <w:basedOn w:val="Normal"/>
    <w:rsid w:val="0032255F"/>
    <w:pPr>
      <w:spacing w:after="120"/>
      <w:ind w:left="849"/>
      <w:contextualSpacing/>
    </w:pPr>
  </w:style>
  <w:style w:type="paragraph" w:styleId="ListContinue4">
    <w:name w:val="List Continue 4"/>
    <w:basedOn w:val="Normal"/>
    <w:rsid w:val="0032255F"/>
    <w:pPr>
      <w:spacing w:after="120"/>
      <w:ind w:left="1132"/>
      <w:contextualSpacing/>
    </w:pPr>
  </w:style>
  <w:style w:type="paragraph" w:styleId="ListContinue5">
    <w:name w:val="List Continue 5"/>
    <w:basedOn w:val="Normal"/>
    <w:rsid w:val="0032255F"/>
    <w:pPr>
      <w:spacing w:after="120"/>
      <w:ind w:left="1415"/>
      <w:contextualSpacing/>
    </w:pPr>
  </w:style>
  <w:style w:type="paragraph" w:styleId="ListNumber4">
    <w:name w:val="List Number 4"/>
    <w:basedOn w:val="Normal"/>
    <w:rsid w:val="0032255F"/>
    <w:pPr>
      <w:numPr>
        <w:numId w:val="86"/>
      </w:numPr>
      <w:contextualSpacing/>
    </w:pPr>
  </w:style>
  <w:style w:type="paragraph" w:styleId="ListNumber5">
    <w:name w:val="List Number 5"/>
    <w:basedOn w:val="Normal"/>
    <w:rsid w:val="0032255F"/>
    <w:pPr>
      <w:numPr>
        <w:numId w:val="87"/>
      </w:numPr>
      <w:contextualSpacing/>
    </w:pPr>
  </w:style>
  <w:style w:type="paragraph" w:styleId="ListParagraph">
    <w:name w:val="List Paragraph"/>
    <w:basedOn w:val="Normal"/>
    <w:uiPriority w:val="34"/>
    <w:rsid w:val="0032255F"/>
    <w:pPr>
      <w:ind w:left="720"/>
      <w:contextualSpacing/>
    </w:pPr>
  </w:style>
  <w:style w:type="paragraph" w:styleId="MacroText">
    <w:name w:val="macro"/>
    <w:link w:val="MacroTextChar"/>
    <w:rsid w:val="0032255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2255F"/>
    <w:rPr>
      <w:rFonts w:ascii="Consolas" w:hAnsi="Consolas" w:cs="Consolas"/>
    </w:rPr>
  </w:style>
  <w:style w:type="paragraph" w:styleId="MessageHeader">
    <w:name w:val="Message Header"/>
    <w:basedOn w:val="Normal"/>
    <w:link w:val="MessageHeaderChar"/>
    <w:rsid w:val="003225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2255F"/>
    <w:rPr>
      <w:rFonts w:asciiTheme="majorHAnsi" w:eastAsiaTheme="majorEastAsia" w:hAnsiTheme="majorHAnsi" w:cstheme="majorBidi"/>
      <w:sz w:val="24"/>
      <w:szCs w:val="24"/>
      <w:shd w:val="pct20" w:color="auto" w:fill="auto"/>
    </w:rPr>
  </w:style>
  <w:style w:type="paragraph" w:styleId="NoSpacing">
    <w:name w:val="No Spacing"/>
    <w:uiPriority w:val="1"/>
    <w:rsid w:val="0032255F"/>
    <w:rPr>
      <w:sz w:val="24"/>
      <w:szCs w:val="24"/>
    </w:rPr>
  </w:style>
  <w:style w:type="paragraph" w:styleId="NormalWeb">
    <w:name w:val="Normal (Web)"/>
    <w:basedOn w:val="Normal"/>
    <w:rsid w:val="0032255F"/>
  </w:style>
  <w:style w:type="paragraph" w:styleId="NormalIndent">
    <w:name w:val="Normal Indent"/>
    <w:basedOn w:val="Normal"/>
    <w:rsid w:val="0032255F"/>
    <w:pPr>
      <w:ind w:left="720"/>
    </w:pPr>
  </w:style>
  <w:style w:type="paragraph" w:styleId="NoteHeading">
    <w:name w:val="Note Heading"/>
    <w:basedOn w:val="Normal"/>
    <w:next w:val="Normal"/>
    <w:link w:val="NoteHeadingChar"/>
    <w:rsid w:val="0032255F"/>
  </w:style>
  <w:style w:type="character" w:customStyle="1" w:styleId="NoteHeadingChar">
    <w:name w:val="Note Heading Char"/>
    <w:basedOn w:val="DefaultParagraphFont"/>
    <w:link w:val="NoteHeading"/>
    <w:rsid w:val="0032255F"/>
    <w:rPr>
      <w:sz w:val="24"/>
      <w:szCs w:val="24"/>
    </w:rPr>
  </w:style>
  <w:style w:type="paragraph" w:styleId="PlainText">
    <w:name w:val="Plain Text"/>
    <w:basedOn w:val="Normal"/>
    <w:link w:val="PlainTextChar"/>
    <w:rsid w:val="0032255F"/>
    <w:rPr>
      <w:rFonts w:ascii="Consolas" w:hAnsi="Consolas" w:cs="Consolas"/>
      <w:sz w:val="21"/>
      <w:szCs w:val="21"/>
    </w:rPr>
  </w:style>
  <w:style w:type="character" w:customStyle="1" w:styleId="PlainTextChar">
    <w:name w:val="Plain Text Char"/>
    <w:basedOn w:val="DefaultParagraphFont"/>
    <w:link w:val="PlainText"/>
    <w:rsid w:val="0032255F"/>
    <w:rPr>
      <w:rFonts w:ascii="Consolas" w:hAnsi="Consolas" w:cs="Consolas"/>
      <w:sz w:val="21"/>
      <w:szCs w:val="21"/>
    </w:rPr>
  </w:style>
  <w:style w:type="paragraph" w:styleId="Salutation">
    <w:name w:val="Salutation"/>
    <w:basedOn w:val="Normal"/>
    <w:next w:val="Normal"/>
    <w:link w:val="SalutationChar"/>
    <w:rsid w:val="0032255F"/>
  </w:style>
  <w:style w:type="character" w:customStyle="1" w:styleId="SalutationChar">
    <w:name w:val="Salutation Char"/>
    <w:basedOn w:val="DefaultParagraphFont"/>
    <w:link w:val="Salutation"/>
    <w:rsid w:val="0032255F"/>
    <w:rPr>
      <w:sz w:val="24"/>
      <w:szCs w:val="24"/>
    </w:rPr>
  </w:style>
  <w:style w:type="paragraph" w:styleId="Signature">
    <w:name w:val="Signature"/>
    <w:basedOn w:val="Normal"/>
    <w:link w:val="SignatureChar"/>
    <w:rsid w:val="0032255F"/>
    <w:pPr>
      <w:ind w:left="4252"/>
    </w:pPr>
  </w:style>
  <w:style w:type="character" w:customStyle="1" w:styleId="SignatureChar">
    <w:name w:val="Signature Char"/>
    <w:basedOn w:val="DefaultParagraphFont"/>
    <w:link w:val="Signature"/>
    <w:rsid w:val="0032255F"/>
    <w:rPr>
      <w:sz w:val="24"/>
      <w:szCs w:val="24"/>
    </w:rPr>
  </w:style>
  <w:style w:type="paragraph" w:styleId="TableofAuthorities">
    <w:name w:val="table of authorities"/>
    <w:basedOn w:val="Normal"/>
    <w:next w:val="Normal"/>
    <w:rsid w:val="0032255F"/>
    <w:pPr>
      <w:ind w:left="240" w:hanging="240"/>
    </w:pPr>
  </w:style>
  <w:style w:type="paragraph" w:styleId="Title">
    <w:name w:val="Title"/>
    <w:basedOn w:val="Normal"/>
    <w:next w:val="Normal"/>
    <w:link w:val="TitleChar"/>
    <w:rsid w:val="0032255F"/>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rsid w:val="0032255F"/>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rsid w:val="0032255F"/>
    <w:pPr>
      <w:spacing w:before="120"/>
    </w:pPr>
    <w:rPr>
      <w:rFonts w:asciiTheme="majorHAnsi" w:eastAsiaTheme="majorEastAsia" w:hAnsiTheme="majorHAnsi" w:cstheme="majorBidi"/>
      <w:b/>
      <w:bCs/>
    </w:rPr>
  </w:style>
  <w:style w:type="paragraph" w:styleId="TOC5">
    <w:name w:val="toc 5"/>
    <w:basedOn w:val="Normal"/>
    <w:next w:val="Normal"/>
    <w:autoRedefine/>
    <w:rsid w:val="0032255F"/>
    <w:pPr>
      <w:spacing w:after="100"/>
      <w:ind w:left="960"/>
    </w:pPr>
  </w:style>
  <w:style w:type="paragraph" w:styleId="TOC6">
    <w:name w:val="toc 6"/>
    <w:basedOn w:val="Normal"/>
    <w:next w:val="Normal"/>
    <w:autoRedefine/>
    <w:rsid w:val="0032255F"/>
    <w:pPr>
      <w:spacing w:after="100"/>
      <w:ind w:left="1200"/>
    </w:pPr>
  </w:style>
  <w:style w:type="paragraph" w:styleId="TOC7">
    <w:name w:val="toc 7"/>
    <w:basedOn w:val="Normal"/>
    <w:next w:val="Normal"/>
    <w:autoRedefine/>
    <w:rsid w:val="0032255F"/>
    <w:pPr>
      <w:spacing w:after="100"/>
      <w:ind w:left="1440"/>
    </w:pPr>
  </w:style>
  <w:style w:type="paragraph" w:styleId="TOC8">
    <w:name w:val="toc 8"/>
    <w:basedOn w:val="Normal"/>
    <w:next w:val="Normal"/>
    <w:autoRedefine/>
    <w:rsid w:val="0032255F"/>
    <w:pPr>
      <w:spacing w:after="100"/>
      <w:ind w:left="1680"/>
    </w:pPr>
  </w:style>
  <w:style w:type="paragraph" w:styleId="TOC9">
    <w:name w:val="toc 9"/>
    <w:basedOn w:val="Normal"/>
    <w:next w:val="Normal"/>
    <w:autoRedefine/>
    <w:rsid w:val="0032255F"/>
    <w:pPr>
      <w:spacing w:after="100"/>
      <w:ind w:left="1920"/>
    </w:pPr>
  </w:style>
  <w:style w:type="paragraph" w:styleId="TOCHeading">
    <w:name w:val="TOC Heading"/>
    <w:basedOn w:val="Heading1"/>
    <w:next w:val="Normal"/>
    <w:uiPriority w:val="39"/>
    <w:semiHidden/>
    <w:unhideWhenUsed/>
    <w:qFormat/>
    <w:rsid w:val="0032255F"/>
    <w:pPr>
      <w:keepLines/>
      <w:spacing w:before="480" w:after="0" w:line="240" w:lineRule="auto"/>
      <w:ind w:left="0" w:firstLine="0"/>
      <w:outlineLvl w:val="9"/>
    </w:pPr>
    <w:rPr>
      <w:rFonts w:asciiTheme="majorHAnsi" w:eastAsiaTheme="majorEastAsia" w:hAnsiTheme="majorHAnsi" w:cstheme="majorBidi"/>
      <w:b/>
      <w:bCs/>
      <w:color w:val="597923"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55869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w3.org/TR/WCAG2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F43F-A995-4B55-9755-96FE45BF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12302</Words>
  <Characters>73047</Characters>
  <Application>Microsoft Office Word</Application>
  <DocSecurity>0</DocSecurity>
  <Lines>608</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2015-04-19T23:39:00Z</dcterms:created>
  <dcterms:modified xsi:type="dcterms:W3CDTF">2015-04-20T02:12:00Z</dcterms:modified>
</cp:coreProperties>
</file>