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ED9B7" w14:textId="77777777" w:rsidR="00AD6AD1" w:rsidRPr="00AD6AD1" w:rsidRDefault="00AD6AD1" w:rsidP="00AD6AD1">
      <w:pPr>
        <w:pStyle w:val="Heading1nochapterno"/>
        <w:rPr>
          <w:color w:val="FFFFFF" w:themeColor="background1"/>
          <w:sz w:val="12"/>
          <w:szCs w:val="12"/>
        </w:rPr>
      </w:pPr>
      <w:r w:rsidRPr="00AD6AD1">
        <w:rPr>
          <w:color w:val="FFFFFF" w:themeColor="background1"/>
          <w:sz w:val="12"/>
          <w:szCs w:val="12"/>
        </w:rPr>
        <w:t>Public Safety Mobile Broadband</w:t>
      </w:r>
    </w:p>
    <w:p w14:paraId="35750B02" w14:textId="4950E287" w:rsidR="00B04D19" w:rsidRPr="00AD6AD1" w:rsidRDefault="00AD6AD1" w:rsidP="00CD5E6B">
      <w:pPr>
        <w:pStyle w:val="BodyText"/>
        <w:rPr>
          <w:b/>
          <w:color w:val="FFFFFF" w:themeColor="background1"/>
          <w:sz w:val="12"/>
          <w:szCs w:val="12"/>
        </w:rPr>
      </w:pPr>
      <w:r w:rsidRPr="00AD6AD1">
        <w:rPr>
          <w:color w:val="FFFFFF" w:themeColor="background1"/>
          <w:sz w:val="12"/>
          <w:szCs w:val="12"/>
        </w:rPr>
        <w:t>Productivity Commission Research Report, December 2015</w:t>
      </w:r>
      <w:bookmarkStart w:id="0" w:name="_GoBack"/>
      <w:r w:rsidR="00EA741E">
        <w:rPr>
          <w:noProof/>
          <w:color w:val="FFFFFF" w:themeColor="background1"/>
          <w:sz w:val="12"/>
          <w:szCs w:val="12"/>
        </w:rPr>
        <w:drawing>
          <wp:anchor distT="0" distB="0" distL="114300" distR="114300" simplePos="0" relativeHeight="251658240" behindDoc="0" locked="0" layoutInCell="1" allowOverlap="1" wp14:anchorId="5D38E63A" wp14:editId="7CF4AFBB">
            <wp:simplePos x="832485" y="1022985"/>
            <wp:positionH relativeFrom="page">
              <wp:align>center</wp:align>
            </wp:positionH>
            <wp:positionV relativeFrom="page">
              <wp:align>center</wp:align>
            </wp:positionV>
            <wp:extent cx="7585200" cy="10771200"/>
            <wp:effectExtent l="0" t="0" r="0" b="0"/>
            <wp:wrapNone/>
            <wp:docPr id="1" name="Picture 1" descr="Cover image for: Public Safety Mobile Broadband, Productivity Commission Resarch Report, December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mb-final-cover.png"/>
                    <pic:cNvPicPr/>
                  </pic:nvPicPr>
                  <pic:blipFill>
                    <a:blip r:embed="rId15">
                      <a:extLst>
                        <a:ext uri="{28A0092B-C50C-407E-A947-70E740481C1C}">
                          <a14:useLocalDpi xmlns:a14="http://schemas.microsoft.com/office/drawing/2010/main" val="0"/>
                        </a:ext>
                      </a:extLst>
                    </a:blip>
                    <a:stretch>
                      <a:fillRect/>
                    </a:stretch>
                  </pic:blipFill>
                  <pic:spPr>
                    <a:xfrm>
                      <a:off x="0" y="0"/>
                      <a:ext cx="7585200" cy="10771200"/>
                    </a:xfrm>
                    <a:prstGeom prst="rect">
                      <a:avLst/>
                    </a:prstGeom>
                  </pic:spPr>
                </pic:pic>
              </a:graphicData>
            </a:graphic>
            <wp14:sizeRelH relativeFrom="margin">
              <wp14:pctWidth>0</wp14:pctWidth>
            </wp14:sizeRelH>
            <wp14:sizeRelV relativeFrom="margin">
              <wp14:pctHeight>0</wp14:pctHeight>
            </wp14:sizeRelV>
          </wp:anchor>
        </w:drawing>
      </w:r>
      <w:bookmarkEnd w:id="0"/>
      <w:r w:rsidR="00B04D19" w:rsidRPr="00AD6AD1">
        <w:rPr>
          <w:color w:val="FFFFFF" w:themeColor="background1"/>
          <w:sz w:val="12"/>
          <w:szCs w:val="12"/>
        </w:rPr>
        <w:br w:type="page"/>
      </w:r>
    </w:p>
    <w:p w14:paraId="663426D6"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740AB4D6" w14:textId="6B663B61" w:rsidR="00886C1A" w:rsidRPr="007809B8" w:rsidRDefault="00886C1A" w:rsidP="00886C1A">
      <w:pPr>
        <w:pStyle w:val="BodyText"/>
        <w:tabs>
          <w:tab w:val="left" w:pos="851"/>
        </w:tabs>
        <w:spacing w:before="200" w:after="120"/>
        <w:jc w:val="left"/>
        <w:rPr>
          <w:b/>
        </w:rPr>
      </w:pPr>
      <w:r>
        <w:rPr>
          <w:b/>
        </w:rPr>
        <w:t>ISBN</w:t>
      </w:r>
      <w:r>
        <w:rPr>
          <w:b/>
        </w:rPr>
        <w:tab/>
      </w:r>
      <w:r w:rsidRPr="00886C1A">
        <w:rPr>
          <w:b/>
        </w:rPr>
        <w:t>978-1-74037-579-5</w:t>
      </w:r>
      <w:r>
        <w:rPr>
          <w:b/>
        </w:rPr>
        <w:t xml:space="preserve"> (PDF)</w:t>
      </w:r>
      <w:r>
        <w:rPr>
          <w:b/>
        </w:rPr>
        <w:br/>
        <w:t>ISBN</w:t>
      </w:r>
      <w:r>
        <w:rPr>
          <w:b/>
        </w:rPr>
        <w:tab/>
      </w:r>
      <w:r w:rsidRPr="00886C1A">
        <w:rPr>
          <w:b/>
        </w:rPr>
        <w:t>978-1-74037-580-1</w:t>
      </w:r>
      <w:r>
        <w:rPr>
          <w:b/>
        </w:rPr>
        <w:t xml:space="preserve"> (Print)</w:t>
      </w:r>
    </w:p>
    <w:p w14:paraId="79C2DB25" w14:textId="77777777" w:rsidR="008A3857" w:rsidRDefault="008A3857" w:rsidP="008E242D">
      <w:pPr>
        <w:pStyle w:val="BodyText"/>
        <w:spacing w:after="120"/>
      </w:pPr>
      <w:bookmarkStart w:id="1" w:name="ISSN"/>
      <w:bookmarkEnd w:id="1"/>
      <w:r w:rsidRPr="00862D8F">
        <w:rPr>
          <w:noProof/>
          <w:sz w:val="22"/>
          <w:szCs w:val="22"/>
        </w:rPr>
        <w:drawing>
          <wp:inline distT="0" distB="0" distL="0" distR="0" wp14:anchorId="46FFC26D" wp14:editId="5CD2A098">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35E20DD"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7" w:history="1">
        <w:hyperlink r:id="rId18"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0D1F92E2" w14:textId="77777777" w:rsidR="008A3857" w:rsidRPr="008A3857" w:rsidRDefault="008A3857" w:rsidP="008A3857">
      <w:pPr>
        <w:pStyle w:val="Copyrightsubtitle"/>
      </w:pPr>
      <w:r w:rsidRPr="008A3857">
        <w:t>Use of the Commonwealth Coat of Arms</w:t>
      </w:r>
    </w:p>
    <w:p w14:paraId="0F529E5A" w14:textId="77777777" w:rsidR="008A3857" w:rsidRPr="008A3857" w:rsidRDefault="008A3857" w:rsidP="00BA0B81">
      <w:pPr>
        <w:pStyle w:val="Copyrightbodytext"/>
      </w:pPr>
      <w:r w:rsidRPr="008A3857">
        <w:t>For terms of use of the Coat of Arms visit the ‘</w:t>
      </w:r>
      <w:hyperlink r:id="rId19" w:history="1">
        <w:r w:rsidRPr="00805FD7">
          <w:t>It’s an Honour</w:t>
        </w:r>
      </w:hyperlink>
      <w:r w:rsidRPr="008A3857">
        <w:t>’ website</w:t>
      </w:r>
      <w:r w:rsidR="00122FE9" w:rsidRPr="00BA0B81">
        <w:t>:</w:t>
      </w:r>
      <w:r w:rsidRPr="00BA0B81">
        <w:t xml:space="preserve"> </w:t>
      </w:r>
      <w:hyperlink r:id="rId20" w:history="1">
        <w:r w:rsidR="00BA0B81" w:rsidRPr="00805FD7">
          <w:t>http://</w:t>
        </w:r>
        <w:proofErr w:type="spellStart"/>
        <w:r w:rsidR="00BA0B81" w:rsidRPr="00805FD7">
          <w:t>www.itsanhonour.gov.au</w:t>
        </w:r>
        <w:proofErr w:type="spellEnd"/>
      </w:hyperlink>
    </w:p>
    <w:p w14:paraId="6F91A9A6" w14:textId="77777777" w:rsidR="008A3857" w:rsidRPr="008A3857" w:rsidRDefault="008A3857" w:rsidP="008A3857">
      <w:pPr>
        <w:pStyle w:val="Copyrightsubtitle"/>
      </w:pPr>
      <w:r w:rsidRPr="008A3857">
        <w:t>Third party copyright</w:t>
      </w:r>
    </w:p>
    <w:p w14:paraId="42264608"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51597CFE" w14:textId="77777777" w:rsidR="008A3857" w:rsidRPr="008A3857" w:rsidRDefault="008A3857" w:rsidP="008A3857">
      <w:pPr>
        <w:pStyle w:val="Copyrightsubtitle"/>
      </w:pPr>
      <w:r w:rsidRPr="008A3857">
        <w:t>Attribution</w:t>
      </w:r>
    </w:p>
    <w:p w14:paraId="711CFF2D" w14:textId="7EF98395"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5B3BB1">
        <w:rPr>
          <w:i/>
        </w:rPr>
        <w:t>Public Safety Mobile Broadband</w:t>
      </w:r>
      <w:r w:rsidR="005358AA">
        <w:rPr>
          <w:i/>
        </w:rPr>
        <w:t>,</w:t>
      </w:r>
      <w:r w:rsidR="0010098A">
        <w:rPr>
          <w:i/>
        </w:rPr>
        <w:t xml:space="preserve"> </w:t>
      </w:r>
      <w:r w:rsidR="00BC332D">
        <w:rPr>
          <w:i/>
        </w:rPr>
        <w:t xml:space="preserve">Research </w:t>
      </w:r>
      <w:r w:rsidR="0010098A">
        <w:rPr>
          <w:i/>
        </w:rPr>
        <w:t>Report</w:t>
      </w:r>
      <w:r w:rsidR="005358AA">
        <w:rPr>
          <w:i/>
        </w:rPr>
        <w:t>.</w:t>
      </w:r>
    </w:p>
    <w:p w14:paraId="00765890" w14:textId="1968D8FD"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5B3BB1">
        <w:rPr>
          <w:i/>
        </w:rPr>
        <w:t>Public Safety Mobile Broadband</w:t>
      </w:r>
      <w:r w:rsidR="005358AA">
        <w:rPr>
          <w:i/>
        </w:rPr>
        <w:t xml:space="preserve">, </w:t>
      </w:r>
      <w:r w:rsidR="00BC332D">
        <w:rPr>
          <w:i/>
        </w:rPr>
        <w:t>Research</w:t>
      </w:r>
      <w:r w:rsidR="0010098A">
        <w:rPr>
          <w:i/>
        </w:rPr>
        <w:t xml:space="preserve"> </w:t>
      </w:r>
      <w:r w:rsidR="005358AA">
        <w:rPr>
          <w:i/>
        </w:rPr>
        <w:t>Report.</w:t>
      </w:r>
    </w:p>
    <w:p w14:paraId="57303F7D"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1007A92" w14:textId="7ECAE01A" w:rsidR="008A3857" w:rsidRPr="008A3857" w:rsidRDefault="005358AA" w:rsidP="008A3857">
      <w:pPr>
        <w:pStyle w:val="Copyrightbodytext"/>
      </w:pPr>
      <w:r w:rsidRPr="005358AA">
        <w:t>Productivity Commission 2015</w:t>
      </w:r>
      <w:r>
        <w:t xml:space="preserve">, </w:t>
      </w:r>
      <w:r w:rsidR="005B3BB1">
        <w:rPr>
          <w:i/>
        </w:rPr>
        <w:t>Public Safety Mobile Broadband</w:t>
      </w:r>
      <w:r w:rsidRPr="005358AA">
        <w:rPr>
          <w:i/>
        </w:rPr>
        <w:t>,</w:t>
      </w:r>
      <w:r>
        <w:t xml:space="preserve"> </w:t>
      </w:r>
      <w:r w:rsidR="00BC332D">
        <w:t xml:space="preserve">Research </w:t>
      </w:r>
      <w:r>
        <w:t xml:space="preserve">Report, Canberra. </w:t>
      </w:r>
    </w:p>
    <w:p w14:paraId="3A6B2861" w14:textId="77777777" w:rsidR="008A3857" w:rsidRPr="008A3857" w:rsidRDefault="008A3857" w:rsidP="008A3857">
      <w:pPr>
        <w:pStyle w:val="Copyrightsubtitle"/>
      </w:pPr>
      <w:bookmarkStart w:id="2" w:name="JEL"/>
      <w:bookmarkEnd w:id="2"/>
      <w:r w:rsidRPr="008A3857">
        <w:t>Publications enquiries</w:t>
      </w:r>
      <w:r w:rsidR="008465A9">
        <w:t xml:space="preserve"> </w:t>
      </w:r>
    </w:p>
    <w:p w14:paraId="3BF8D5F3"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54349468"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091D19D0" w14:textId="77777777" w:rsidTr="00663C82">
        <w:tc>
          <w:tcPr>
            <w:tcW w:w="8771" w:type="dxa"/>
            <w:tcBorders>
              <w:top w:val="single" w:sz="6" w:space="0" w:color="78A22F"/>
              <w:left w:val="nil"/>
              <w:bottom w:val="nil"/>
              <w:right w:val="nil"/>
            </w:tcBorders>
            <w:shd w:val="clear" w:color="auto" w:fill="F2F2F2" w:themeFill="background1" w:themeFillShade="F2"/>
          </w:tcPr>
          <w:p w14:paraId="002E3E6A" w14:textId="77777777" w:rsidR="008A3857" w:rsidRPr="008A3857" w:rsidRDefault="008A3857" w:rsidP="00663C82">
            <w:pPr>
              <w:pStyle w:val="BoxTitle"/>
              <w:rPr>
                <w:sz w:val="22"/>
                <w:szCs w:val="22"/>
              </w:rPr>
            </w:pPr>
            <w:r w:rsidRPr="008A3857">
              <w:rPr>
                <w:sz w:val="22"/>
                <w:szCs w:val="22"/>
              </w:rPr>
              <w:t>The Productivity Commission</w:t>
            </w:r>
          </w:p>
        </w:tc>
      </w:tr>
      <w:tr w:rsidR="008A3857" w14:paraId="4BA7AF8D" w14:textId="77777777" w:rsidTr="00663C82">
        <w:trPr>
          <w:cantSplit/>
        </w:trPr>
        <w:tc>
          <w:tcPr>
            <w:tcW w:w="8771" w:type="dxa"/>
            <w:tcBorders>
              <w:top w:val="nil"/>
              <w:left w:val="nil"/>
              <w:bottom w:val="nil"/>
              <w:right w:val="nil"/>
            </w:tcBorders>
            <w:shd w:val="clear" w:color="auto" w:fill="F2F2F2" w:themeFill="background1" w:themeFillShade="F2"/>
          </w:tcPr>
          <w:p w14:paraId="3C7407F9" w14:textId="77777777" w:rsidR="008A3857" w:rsidRDefault="008A3857" w:rsidP="00663C82">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4A62A148" w14:textId="77777777" w:rsidR="008A3857" w:rsidRDefault="008A3857" w:rsidP="00663C82">
            <w:pPr>
              <w:pStyle w:val="Box"/>
            </w:pPr>
            <w:r w:rsidRPr="00BB5DCF">
              <w:t>The Commission’s independence is underpinned by an Act of Parliament. Its processes and outputs are open to public scrutiny and are driven by concern for the wellbeing of the community as a whole.</w:t>
            </w:r>
          </w:p>
          <w:p w14:paraId="44D21CCD"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8E12BB">
              <w:fldChar w:fldCharType="begin"/>
            </w:r>
            <w:r w:rsidR="008E12BB">
              <w:instrText xml:space="preserve"> HYPERLINK "http://www.pc.gov.au/" </w:instrText>
            </w:r>
            <w:r w:rsidR="008E12BB">
              <w:fldChar w:fldCharType="separate"/>
            </w:r>
            <w:r w:rsidRPr="00805FD7">
              <w:t>www.pc.gov.au</w:t>
            </w:r>
            <w:proofErr w:type="spellEnd"/>
            <w:r w:rsidR="008E12BB">
              <w:fldChar w:fldCharType="end"/>
            </w:r>
            <w:r w:rsidRPr="00BB5DCF">
              <w:rPr>
                <w:szCs w:val="24"/>
              </w:rPr>
              <w:t>)</w:t>
            </w:r>
            <w:r w:rsidR="00EC38C1">
              <w:rPr>
                <w:szCs w:val="24"/>
              </w:rPr>
              <w:t>.</w:t>
            </w:r>
          </w:p>
        </w:tc>
      </w:tr>
      <w:tr w:rsidR="008A3857" w14:paraId="458A8D3A" w14:textId="77777777" w:rsidTr="00663C82">
        <w:trPr>
          <w:cantSplit/>
        </w:trPr>
        <w:tc>
          <w:tcPr>
            <w:tcW w:w="8771" w:type="dxa"/>
            <w:tcBorders>
              <w:top w:val="nil"/>
              <w:left w:val="nil"/>
              <w:bottom w:val="single" w:sz="6" w:space="0" w:color="78A22F"/>
              <w:right w:val="nil"/>
            </w:tcBorders>
            <w:shd w:val="clear" w:color="auto" w:fill="F2F2F2" w:themeFill="background1" w:themeFillShade="F2"/>
          </w:tcPr>
          <w:p w14:paraId="7B068E35" w14:textId="77777777" w:rsidR="008A3857" w:rsidRDefault="008A3857" w:rsidP="00663C82">
            <w:pPr>
              <w:pStyle w:val="Box"/>
              <w:spacing w:before="0" w:line="120" w:lineRule="exact"/>
            </w:pPr>
          </w:p>
        </w:tc>
      </w:tr>
    </w:tbl>
    <w:p w14:paraId="6F58BB37"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14:paraId="3A132252" w14:textId="2DC33CE1" w:rsidR="005358AA" w:rsidRDefault="00B83510">
      <w:pPr>
        <w:pStyle w:val="Heading1"/>
      </w:pPr>
      <w:bookmarkStart w:id="4" w:name="_Toc438454198"/>
      <w:r>
        <w:lastRenderedPageBreak/>
        <w:t>Foreword</w:t>
      </w:r>
      <w:bookmarkEnd w:id="4"/>
    </w:p>
    <w:p w14:paraId="17B4F653" w14:textId="77777777" w:rsidR="00592306" w:rsidRDefault="00592306" w:rsidP="00592306">
      <w:pPr>
        <w:pStyle w:val="BodyText"/>
      </w:pPr>
      <w:r>
        <w:t>Mobile broadband offers significant potential to improve how police, fire, ambulance and other public safety agencies deliver their services, saving lives and property. Live video streaming between a fire crew and central command, for example, enhances situational awareness and facilitates the efficient deployment of resources, driving productivity gains and better officer safety. However, public safety agencies have made only modest use of m</w:t>
      </w:r>
      <w:r w:rsidRPr="005D1641">
        <w:t>obile</w:t>
      </w:r>
      <w:r>
        <w:t xml:space="preserve"> broadband to date due to concerns that the</w:t>
      </w:r>
      <w:r w:rsidRPr="005D1641">
        <w:t xml:space="preserve"> </w:t>
      </w:r>
      <w:r w:rsidRPr="00DB7EAB">
        <w:t>quality</w:t>
      </w:r>
      <w:r>
        <w:t xml:space="preserve"> of commercial services is insufficient to support ‘mission critical’ situations.</w:t>
      </w:r>
    </w:p>
    <w:p w14:paraId="145A9650" w14:textId="77777777" w:rsidR="00592306" w:rsidRPr="00BC332D" w:rsidRDefault="00592306" w:rsidP="00592306">
      <w:pPr>
        <w:pStyle w:val="BodyText"/>
        <w:rPr>
          <w:spacing w:val="-2"/>
        </w:rPr>
      </w:pPr>
      <w:r w:rsidRPr="00BC332D">
        <w:rPr>
          <w:spacing w:val="-2"/>
        </w:rPr>
        <w:t>Against this background, the Commission has been asked to examine the best way to deliver a ‘public safety grade’ mobile broadband capability. The report considers the relative costs, benefits and risks of a range of options, including deploying a dedicated network, relying on commercial networks, or pursuing some combination (or hybrid) of the two.</w:t>
      </w:r>
    </w:p>
    <w:p w14:paraId="72452B77" w14:textId="77777777" w:rsidR="00592306" w:rsidRPr="00BC332D" w:rsidRDefault="00592306" w:rsidP="00592306">
      <w:pPr>
        <w:pStyle w:val="BodyText"/>
        <w:rPr>
          <w:spacing w:val="-2"/>
        </w:rPr>
      </w:pPr>
      <w:r w:rsidRPr="00BC332D">
        <w:rPr>
          <w:spacing w:val="-2"/>
        </w:rPr>
        <w:t>Our study has found that — on first principles — the most efficient, effective and economical way of delivering a public safety mobile broadband capability is by relying on commercial mobile networks (and spectrum). The technology required to deliver such a capability exists today, although the precise service standards that would be achieved are uncertain. Small-scale pilots would help jurisdictions resolve this uncertainty, gain confidence in a commercial approach and develop a business case for a wider</w:t>
      </w:r>
      <w:r w:rsidRPr="00BC332D">
        <w:rPr>
          <w:spacing w:val="-2"/>
        </w:rPr>
        <w:noBreakHyphen/>
        <w:t>scale roll out.</w:t>
      </w:r>
    </w:p>
    <w:p w14:paraId="62A15B1B" w14:textId="77777777" w:rsidR="00592306" w:rsidRDefault="00592306" w:rsidP="00592306">
      <w:pPr>
        <w:pStyle w:val="BodyText"/>
      </w:pPr>
      <w:r>
        <w:t>If governments decide to put in place a public safety mobile broadband capability there are implementation challenges. Competitive procurement will be essential to deliver value for money and to reduce the risk of being locked in to a single supplier. And interoperability between jurisdictions and agencies is within reach, but will depend on jurisdictions agreeing to common interoperability protocols and making arrangements for sharing information and network capacity among agencies.</w:t>
      </w:r>
    </w:p>
    <w:p w14:paraId="361B2956" w14:textId="0C4CFBCE" w:rsidR="00964BC2" w:rsidRDefault="00592306">
      <w:pPr>
        <w:pStyle w:val="BodyText"/>
      </w:pPr>
      <w:r>
        <w:t>The study has benefited from input and submissions from many stakeholders in the government, public safety and business sectors. We are grateful to all those who have given their time to share their experiences and expertise with the Commission.</w:t>
      </w:r>
    </w:p>
    <w:p w14:paraId="03D0EC93" w14:textId="77777777" w:rsidR="00BC332D" w:rsidRDefault="00BC332D" w:rsidP="00BC332D">
      <w:pPr>
        <w:pStyle w:val="BodyText"/>
        <w:spacing w:before="360"/>
        <w:jc w:val="left"/>
      </w:pPr>
      <w:r>
        <w:t>Jonathan Coppel</w:t>
      </w:r>
      <w:r>
        <w:br/>
        <w:t>Presiding Commissioner</w:t>
      </w:r>
    </w:p>
    <w:p w14:paraId="34E007DD" w14:textId="01107D67" w:rsidR="00BC332D" w:rsidRDefault="00BC332D" w:rsidP="00BC332D">
      <w:pPr>
        <w:pStyle w:val="BodyText"/>
      </w:pPr>
      <w:r>
        <w:t>December 2015</w:t>
      </w:r>
    </w:p>
    <w:p w14:paraId="1B37063A" w14:textId="77777777" w:rsidR="005358AA" w:rsidRPr="003C10D8" w:rsidRDefault="005358AA" w:rsidP="00663C82">
      <w:pPr>
        <w:pStyle w:val="BodyText"/>
        <w:rPr>
          <w:lang w:eastAsia="en-US"/>
        </w:rPr>
        <w:sectPr w:rsidR="005358AA" w:rsidRPr="003C10D8" w:rsidSect="00663C82">
          <w:headerReference w:type="even" r:id="rId21"/>
          <w:headerReference w:type="default" r:id="rId22"/>
          <w:footerReference w:type="even" r:id="rId23"/>
          <w:footerReference w:type="default" r:id="rId24"/>
          <w:type w:val="oddPage"/>
          <w:pgSz w:w="11907" w:h="16840" w:code="9"/>
          <w:pgMar w:top="1985" w:right="1304" w:bottom="1191" w:left="1814" w:header="1701" w:footer="397" w:gutter="0"/>
          <w:pgNumType w:fmt="lowerRoman"/>
          <w:cols w:space="720"/>
        </w:sectPr>
      </w:pPr>
    </w:p>
    <w:p w14:paraId="28F69924" w14:textId="77777777" w:rsidR="005358AA" w:rsidRDefault="005358AA" w:rsidP="00AE4F43">
      <w:pPr>
        <w:pStyle w:val="Heading1"/>
      </w:pPr>
      <w:bookmarkStart w:id="5" w:name="_Toc430080960"/>
      <w:bookmarkStart w:id="6" w:name="_Toc438454199"/>
      <w:r>
        <w:lastRenderedPageBreak/>
        <w:t>Terms of reference</w:t>
      </w:r>
      <w:bookmarkEnd w:id="5"/>
      <w:bookmarkEnd w:id="6"/>
    </w:p>
    <w:p w14:paraId="175DCB27" w14:textId="315F9B23" w:rsidR="00F3787D" w:rsidRPr="008E12BB" w:rsidRDefault="008F7C02" w:rsidP="008E12BB">
      <w:pPr>
        <w:pStyle w:val="BodyText"/>
        <w:jc w:val="center"/>
        <w:rPr>
          <w:rFonts w:ascii="Arial" w:hAnsi="Arial" w:cs="Arial"/>
          <w:b/>
          <w:sz w:val="32"/>
          <w:szCs w:val="32"/>
        </w:rPr>
      </w:pPr>
      <w:r w:rsidRPr="008E12BB">
        <w:rPr>
          <w:rFonts w:ascii="Arial" w:hAnsi="Arial" w:cs="Arial"/>
          <w:b/>
          <w:sz w:val="32"/>
          <w:szCs w:val="32"/>
        </w:rPr>
        <w:t>Public Safety Mobile Broadband</w:t>
      </w:r>
    </w:p>
    <w:p w14:paraId="2934C361" w14:textId="77777777" w:rsidR="006574E1" w:rsidRPr="006574E1" w:rsidRDefault="006574E1" w:rsidP="006574E1">
      <w:pPr>
        <w:pStyle w:val="BodyText"/>
        <w:rPr>
          <w:lang w:val="en"/>
        </w:rPr>
      </w:pPr>
      <w:r w:rsidRPr="006574E1">
        <w:rPr>
          <w:lang w:val="en"/>
        </w:rPr>
        <w:t xml:space="preserve">I, Joseph Benedict Hockey, Treasurer, pursuant to Parts 2 and 4 of the </w:t>
      </w:r>
      <w:r w:rsidRPr="006574E1">
        <w:rPr>
          <w:i/>
          <w:iCs/>
          <w:lang w:val="en"/>
        </w:rPr>
        <w:t>Productivity Commission Act 1998,</w:t>
      </w:r>
      <w:r w:rsidRPr="006574E1">
        <w:rPr>
          <w:lang w:val="en"/>
        </w:rPr>
        <w:t xml:space="preserve"> hereby request that the Productivity Commission (the Commission) undertake a study into the best way to secure a mobile broadband capability to meet the long term needs of Australia's public safety agencies (</w:t>
      </w:r>
      <w:proofErr w:type="spellStart"/>
      <w:r w:rsidRPr="006574E1">
        <w:rPr>
          <w:lang w:val="en"/>
        </w:rPr>
        <w:t>PSAs</w:t>
      </w:r>
      <w:proofErr w:type="spellEnd"/>
      <w:r w:rsidRPr="006574E1">
        <w:rPr>
          <w:lang w:val="en"/>
        </w:rPr>
        <w:t>): the police, fire, ambulance and emergency services.</w:t>
      </w:r>
    </w:p>
    <w:p w14:paraId="3534D4CA" w14:textId="77777777" w:rsidR="006574E1" w:rsidRPr="0065088D" w:rsidRDefault="006574E1" w:rsidP="006574E1">
      <w:pPr>
        <w:pStyle w:val="Heading3"/>
      </w:pPr>
      <w:r w:rsidRPr="00D2386D">
        <w:t>Background</w:t>
      </w:r>
    </w:p>
    <w:p w14:paraId="4DA63F21" w14:textId="77777777" w:rsidR="006574E1" w:rsidRPr="006574E1" w:rsidRDefault="006574E1" w:rsidP="006574E1">
      <w:pPr>
        <w:pStyle w:val="BodyText"/>
        <w:rPr>
          <w:lang w:val="en"/>
        </w:rPr>
      </w:pPr>
      <w:r w:rsidRPr="006574E1">
        <w:rPr>
          <w:lang w:val="en"/>
        </w:rPr>
        <w:t xml:space="preserve">A robust and effective mobile broadband capability is a critical enabler for Australia's </w:t>
      </w:r>
      <w:proofErr w:type="spellStart"/>
      <w:r w:rsidRPr="006574E1">
        <w:rPr>
          <w:lang w:val="en"/>
        </w:rPr>
        <w:t>PSAs</w:t>
      </w:r>
      <w:proofErr w:type="spellEnd"/>
      <w:r w:rsidRPr="006574E1">
        <w:rPr>
          <w:lang w:val="en"/>
        </w:rPr>
        <w:t>.</w:t>
      </w:r>
    </w:p>
    <w:p w14:paraId="7DD0BE69" w14:textId="77777777" w:rsidR="006574E1" w:rsidRPr="006574E1" w:rsidRDefault="006574E1" w:rsidP="006574E1">
      <w:pPr>
        <w:pStyle w:val="BodyText"/>
        <w:rPr>
          <w:lang w:val="en"/>
        </w:rPr>
      </w:pPr>
      <w:r w:rsidRPr="006574E1">
        <w:rPr>
          <w:lang w:val="en"/>
        </w:rPr>
        <w:t xml:space="preserve">Since June 2011, the Commonwealth has worked with jurisdictions and </w:t>
      </w:r>
      <w:proofErr w:type="spellStart"/>
      <w:r w:rsidRPr="006574E1">
        <w:rPr>
          <w:lang w:val="en"/>
        </w:rPr>
        <w:t>PSAs</w:t>
      </w:r>
      <w:proofErr w:type="spellEnd"/>
      <w:r w:rsidRPr="006574E1">
        <w:rPr>
          <w:lang w:val="en"/>
        </w:rPr>
        <w:t xml:space="preserve"> - through the Council of Australian Governments (</w:t>
      </w:r>
      <w:proofErr w:type="spellStart"/>
      <w:r w:rsidRPr="006574E1">
        <w:rPr>
          <w:lang w:val="en"/>
        </w:rPr>
        <w:t>COAG</w:t>
      </w:r>
      <w:proofErr w:type="spellEnd"/>
      <w:r w:rsidRPr="006574E1">
        <w:rPr>
          <w:lang w:val="en"/>
        </w:rPr>
        <w:t>) Public Safety Mobile Broadband (</w:t>
      </w:r>
      <w:proofErr w:type="spellStart"/>
      <w:r w:rsidRPr="006574E1">
        <w:rPr>
          <w:lang w:val="en"/>
        </w:rPr>
        <w:t>PSMB</w:t>
      </w:r>
      <w:proofErr w:type="spellEnd"/>
      <w:r w:rsidRPr="006574E1">
        <w:rPr>
          <w:lang w:val="en"/>
        </w:rPr>
        <w:t xml:space="preserve">) Steering Committee - to consider how best to deliver a strong </w:t>
      </w:r>
      <w:proofErr w:type="spellStart"/>
      <w:r w:rsidRPr="006574E1">
        <w:rPr>
          <w:lang w:val="en"/>
        </w:rPr>
        <w:t>PSMB</w:t>
      </w:r>
      <w:proofErr w:type="spellEnd"/>
      <w:r w:rsidRPr="006574E1">
        <w:rPr>
          <w:lang w:val="en"/>
        </w:rPr>
        <w:t xml:space="preserve"> capability. On 19 April 2013, </w:t>
      </w:r>
      <w:proofErr w:type="spellStart"/>
      <w:r w:rsidRPr="006574E1">
        <w:rPr>
          <w:lang w:val="en"/>
        </w:rPr>
        <w:t>COAG</w:t>
      </w:r>
      <w:proofErr w:type="spellEnd"/>
      <w:r w:rsidRPr="006574E1">
        <w:rPr>
          <w:lang w:val="en"/>
        </w:rPr>
        <w:t xml:space="preserve"> transferred responsibility for </w:t>
      </w:r>
      <w:proofErr w:type="spellStart"/>
      <w:r w:rsidRPr="006574E1">
        <w:rPr>
          <w:lang w:val="en"/>
        </w:rPr>
        <w:t>PSMB</w:t>
      </w:r>
      <w:proofErr w:type="spellEnd"/>
      <w:r w:rsidRPr="006574E1">
        <w:rPr>
          <w:lang w:val="en"/>
        </w:rPr>
        <w:t xml:space="preserve"> from the Steering Committee to </w:t>
      </w:r>
      <w:proofErr w:type="spellStart"/>
      <w:r w:rsidRPr="006574E1">
        <w:rPr>
          <w:lang w:val="en"/>
        </w:rPr>
        <w:t>COAG</w:t>
      </w:r>
      <w:proofErr w:type="spellEnd"/>
      <w:r w:rsidRPr="006574E1">
        <w:rPr>
          <w:lang w:val="en"/>
        </w:rPr>
        <w:t xml:space="preserve"> Senior Officials and, in doing so, noted the need for </w:t>
      </w:r>
      <w:proofErr w:type="spellStart"/>
      <w:r w:rsidRPr="006574E1">
        <w:rPr>
          <w:lang w:val="en"/>
        </w:rPr>
        <w:t>PSAs</w:t>
      </w:r>
      <w:proofErr w:type="spellEnd"/>
      <w:r w:rsidRPr="006574E1">
        <w:rPr>
          <w:lang w:val="en"/>
        </w:rPr>
        <w:t xml:space="preserve"> to have adequate capabilities to respond efficiently and effectively when disasters occur.</w:t>
      </w:r>
    </w:p>
    <w:p w14:paraId="7F25A266" w14:textId="77777777" w:rsidR="007A52DC" w:rsidRDefault="006574E1" w:rsidP="007A52DC">
      <w:pPr>
        <w:pStyle w:val="BodyText"/>
        <w:rPr>
          <w:lang w:val="en"/>
        </w:rPr>
      </w:pPr>
      <w:r w:rsidRPr="006574E1">
        <w:rPr>
          <w:lang w:val="en"/>
        </w:rPr>
        <w:t xml:space="preserve">Delivering a </w:t>
      </w:r>
      <w:proofErr w:type="spellStart"/>
      <w:r w:rsidRPr="006574E1">
        <w:rPr>
          <w:lang w:val="en"/>
        </w:rPr>
        <w:t>PSMB</w:t>
      </w:r>
      <w:proofErr w:type="spellEnd"/>
      <w:r w:rsidRPr="006574E1">
        <w:rPr>
          <w:lang w:val="en"/>
        </w:rPr>
        <w:t xml:space="preserve"> capability is complex and involves using scarce and valuable resources, such as </w:t>
      </w:r>
      <w:proofErr w:type="spellStart"/>
      <w:r w:rsidRPr="006574E1">
        <w:rPr>
          <w:lang w:val="en"/>
        </w:rPr>
        <w:t>radiocommunications</w:t>
      </w:r>
      <w:proofErr w:type="spellEnd"/>
      <w:r w:rsidRPr="006574E1">
        <w:rPr>
          <w:lang w:val="en"/>
        </w:rPr>
        <w:t xml:space="preserve"> spectrum, to further the public interest. To inform this work and ensure the best path forward, the Commonwealth considers it appropriate to undertake a rigorous analysis of the most efficient, effective and economical means of developing Australia's </w:t>
      </w:r>
      <w:proofErr w:type="spellStart"/>
      <w:r w:rsidRPr="006574E1">
        <w:rPr>
          <w:lang w:val="en"/>
        </w:rPr>
        <w:t>PSMB</w:t>
      </w:r>
      <w:proofErr w:type="spellEnd"/>
      <w:r w:rsidRPr="006574E1">
        <w:rPr>
          <w:lang w:val="en"/>
        </w:rPr>
        <w:t xml:space="preserve"> capability.</w:t>
      </w:r>
    </w:p>
    <w:p w14:paraId="5D225E95" w14:textId="61D42C79" w:rsidR="006574E1" w:rsidRPr="007A52DC" w:rsidRDefault="006574E1" w:rsidP="007A52DC">
      <w:pPr>
        <w:pStyle w:val="Heading3"/>
        <w:rPr>
          <w:lang w:val="en"/>
        </w:rPr>
      </w:pPr>
      <w:r w:rsidRPr="006574E1">
        <w:t>Scope of the study</w:t>
      </w:r>
    </w:p>
    <w:p w14:paraId="0A936FEB" w14:textId="0799660D" w:rsidR="006574E1" w:rsidRPr="006574E1" w:rsidRDefault="006574E1" w:rsidP="006574E1">
      <w:pPr>
        <w:pStyle w:val="BodyText"/>
        <w:rPr>
          <w:lang w:val="en"/>
        </w:rPr>
      </w:pPr>
      <w:r w:rsidRPr="006574E1">
        <w:rPr>
          <w:lang w:val="en"/>
        </w:rPr>
        <w:t>The Commission is to undertake a 'first principles' analysis of the most efficient, effective and economical way of delivering this capability by 2020, to coincide with the nationally agreed framework to improve government radio communications, including interoperability</w:t>
      </w:r>
      <w:r w:rsidR="00C576E0">
        <w:rPr>
          <w:lang w:val="en"/>
        </w:rPr>
        <w:t>.</w:t>
      </w:r>
      <w:r w:rsidR="00FE249B" w:rsidRPr="003A7E46">
        <w:rPr>
          <w:rStyle w:val="FootnoteReference"/>
        </w:rPr>
        <w:footnoteReference w:id="2"/>
      </w:r>
      <w:r w:rsidRPr="006574E1">
        <w:rPr>
          <w:lang w:val="en"/>
        </w:rPr>
        <w:t xml:space="preserve"> Particular regard should be given to:</w:t>
      </w:r>
    </w:p>
    <w:p w14:paraId="55395287" w14:textId="77777777" w:rsidR="006574E1" w:rsidRPr="006574E1" w:rsidRDefault="006574E1" w:rsidP="00BC332D">
      <w:pPr>
        <w:pStyle w:val="ListNumber"/>
        <w:rPr>
          <w:lang w:val="en"/>
        </w:rPr>
      </w:pPr>
      <w:r w:rsidRPr="006574E1">
        <w:rPr>
          <w:lang w:val="en"/>
        </w:rPr>
        <w:lastRenderedPageBreak/>
        <w:t xml:space="preserve">The most cost-effective combination of private and public inputs, services and expertise to deliver the capability. This should include an assessment of the relative costs, benefits and risks of: </w:t>
      </w:r>
    </w:p>
    <w:p w14:paraId="131FDBD0" w14:textId="77777777" w:rsidR="006574E1" w:rsidRPr="006574E1" w:rsidRDefault="006574E1" w:rsidP="00BC332D">
      <w:pPr>
        <w:pStyle w:val="ListNumber2"/>
        <w:rPr>
          <w:lang w:val="en"/>
        </w:rPr>
      </w:pPr>
      <w:r w:rsidRPr="006574E1">
        <w:rPr>
          <w:lang w:val="en"/>
        </w:rPr>
        <w:t xml:space="preserve">deploying a dedicated </w:t>
      </w:r>
      <w:proofErr w:type="spellStart"/>
      <w:r w:rsidRPr="006574E1">
        <w:rPr>
          <w:lang w:val="en"/>
        </w:rPr>
        <w:t>PSMB</w:t>
      </w:r>
      <w:proofErr w:type="spellEnd"/>
      <w:r w:rsidRPr="006574E1">
        <w:rPr>
          <w:lang w:val="en"/>
        </w:rPr>
        <w:t xml:space="preserve"> network</w:t>
      </w:r>
    </w:p>
    <w:p w14:paraId="48407B13" w14:textId="77777777" w:rsidR="006574E1" w:rsidRPr="006574E1" w:rsidRDefault="006574E1" w:rsidP="00BC332D">
      <w:pPr>
        <w:pStyle w:val="ListNumber2"/>
        <w:rPr>
          <w:lang w:val="en"/>
        </w:rPr>
      </w:pPr>
      <w:r w:rsidRPr="006574E1">
        <w:rPr>
          <w:lang w:val="en"/>
        </w:rPr>
        <w:t>an approach that is fully reliant on commercial networks, and/or</w:t>
      </w:r>
    </w:p>
    <w:p w14:paraId="6CBE70CD" w14:textId="77777777" w:rsidR="006574E1" w:rsidRPr="006574E1" w:rsidRDefault="006574E1" w:rsidP="00BC332D">
      <w:pPr>
        <w:pStyle w:val="ListNumber2"/>
        <w:rPr>
          <w:lang w:val="en"/>
        </w:rPr>
      </w:pPr>
      <w:r w:rsidRPr="006574E1">
        <w:rPr>
          <w:lang w:val="en"/>
        </w:rPr>
        <w:t>a combination of the two.</w:t>
      </w:r>
    </w:p>
    <w:p w14:paraId="60FA4DB3" w14:textId="0E1D0B3A" w:rsidR="006574E1" w:rsidRPr="006574E1" w:rsidRDefault="006574E1" w:rsidP="00BC332D">
      <w:pPr>
        <w:pStyle w:val="ListNumber"/>
        <w:rPr>
          <w:lang w:val="en"/>
        </w:rPr>
      </w:pPr>
      <w:r w:rsidRPr="006574E1">
        <w:rPr>
          <w:lang w:val="en"/>
        </w:rPr>
        <w:t>The ability for the capability to:</w:t>
      </w:r>
    </w:p>
    <w:p w14:paraId="7D83B526" w14:textId="77777777" w:rsidR="006574E1" w:rsidRPr="006574E1" w:rsidRDefault="006574E1" w:rsidP="00BC332D">
      <w:pPr>
        <w:pStyle w:val="ListNumber2"/>
        <w:rPr>
          <w:lang w:val="en"/>
        </w:rPr>
      </w:pPr>
      <w:r w:rsidRPr="006574E1">
        <w:rPr>
          <w:lang w:val="en"/>
        </w:rPr>
        <w:t>be nationally interoperable, within and across agencies and jurisdictions</w:t>
      </w:r>
    </w:p>
    <w:p w14:paraId="40C96CF0" w14:textId="77777777" w:rsidR="006574E1" w:rsidRPr="006574E1" w:rsidRDefault="006574E1" w:rsidP="00BC332D">
      <w:pPr>
        <w:pStyle w:val="ListNumber2"/>
        <w:rPr>
          <w:lang w:val="en"/>
        </w:rPr>
      </w:pPr>
      <w:r w:rsidRPr="006574E1">
        <w:rPr>
          <w:lang w:val="en"/>
        </w:rPr>
        <w:t>operate in both metropolitan and regional Australia</w:t>
      </w:r>
    </w:p>
    <w:p w14:paraId="0A650FE1" w14:textId="77777777" w:rsidR="006574E1" w:rsidRPr="006574E1" w:rsidRDefault="006574E1" w:rsidP="00BC332D">
      <w:pPr>
        <w:pStyle w:val="ListNumber2"/>
        <w:rPr>
          <w:lang w:val="en"/>
        </w:rPr>
      </w:pPr>
      <w:r w:rsidRPr="006574E1">
        <w:rPr>
          <w:lang w:val="en"/>
        </w:rPr>
        <w:t>integrate voice communications that are traditionally carried on narrowband networks</w:t>
      </w:r>
    </w:p>
    <w:p w14:paraId="621ED24C" w14:textId="77777777" w:rsidR="006574E1" w:rsidRPr="006574E1" w:rsidRDefault="006574E1" w:rsidP="00BC332D">
      <w:pPr>
        <w:pStyle w:val="ListNumber2"/>
        <w:rPr>
          <w:lang w:val="en"/>
        </w:rPr>
      </w:pPr>
      <w:r w:rsidRPr="006574E1">
        <w:rPr>
          <w:lang w:val="en"/>
        </w:rPr>
        <w:t xml:space="preserve">maintain integrity and security of communications </w:t>
      </w:r>
    </w:p>
    <w:p w14:paraId="5376AA37" w14:textId="77777777" w:rsidR="006574E1" w:rsidRPr="006574E1" w:rsidRDefault="006574E1" w:rsidP="00BC332D">
      <w:pPr>
        <w:pStyle w:val="ListNumber2"/>
        <w:rPr>
          <w:lang w:val="en"/>
        </w:rPr>
      </w:pPr>
      <w:r w:rsidRPr="006574E1">
        <w:rPr>
          <w:lang w:val="en"/>
        </w:rPr>
        <w:t xml:space="preserve">ensure accessibility, priority and sufficient capacity for </w:t>
      </w:r>
      <w:proofErr w:type="spellStart"/>
      <w:r w:rsidRPr="006574E1">
        <w:rPr>
          <w:lang w:val="en"/>
        </w:rPr>
        <w:t>PSAs</w:t>
      </w:r>
      <w:proofErr w:type="spellEnd"/>
      <w:r w:rsidRPr="006574E1">
        <w:rPr>
          <w:lang w:val="en"/>
        </w:rPr>
        <w:t xml:space="preserve">, particularly during periods of peak demand and during a </w:t>
      </w:r>
      <w:proofErr w:type="spellStart"/>
      <w:r w:rsidRPr="006574E1">
        <w:rPr>
          <w:lang w:val="en"/>
        </w:rPr>
        <w:t>localised</w:t>
      </w:r>
      <w:proofErr w:type="spellEnd"/>
      <w:r w:rsidRPr="006574E1">
        <w:rPr>
          <w:lang w:val="en"/>
        </w:rPr>
        <w:t xml:space="preserve"> incident</w:t>
      </w:r>
    </w:p>
    <w:p w14:paraId="0A6CDC72" w14:textId="77777777" w:rsidR="006574E1" w:rsidRPr="006574E1" w:rsidRDefault="006574E1" w:rsidP="00BC332D">
      <w:pPr>
        <w:pStyle w:val="ListNumber2"/>
        <w:rPr>
          <w:lang w:val="en"/>
        </w:rPr>
      </w:pPr>
      <w:r w:rsidRPr="006574E1">
        <w:rPr>
          <w:lang w:val="en"/>
        </w:rPr>
        <w:t>be resilient and maintain continuity of service including under adverse operating circumstances</w:t>
      </w:r>
    </w:p>
    <w:p w14:paraId="0D51BA70" w14:textId="77777777" w:rsidR="006574E1" w:rsidRPr="006574E1" w:rsidRDefault="006574E1" w:rsidP="00BC332D">
      <w:pPr>
        <w:pStyle w:val="ListNumber2"/>
        <w:rPr>
          <w:lang w:val="en"/>
        </w:rPr>
      </w:pPr>
      <w:r w:rsidRPr="006574E1">
        <w:rPr>
          <w:lang w:val="en"/>
        </w:rPr>
        <w:t>consider the sustainability of arrangements in the context of rapidly changing technology and increased demand, including convergence of voice and data services</w:t>
      </w:r>
    </w:p>
    <w:p w14:paraId="136A16EF" w14:textId="77777777" w:rsidR="006574E1" w:rsidRPr="006574E1" w:rsidRDefault="006574E1" w:rsidP="00BC332D">
      <w:pPr>
        <w:pStyle w:val="ListNumber2"/>
        <w:rPr>
          <w:lang w:val="en"/>
        </w:rPr>
      </w:pPr>
      <w:r w:rsidRPr="006574E1">
        <w:rPr>
          <w:lang w:val="en"/>
        </w:rPr>
        <w:t>be cost-effective, in terms of both capital and operating cost</w:t>
      </w:r>
    </w:p>
    <w:p w14:paraId="67FE83CC" w14:textId="77777777" w:rsidR="006574E1" w:rsidRPr="006574E1" w:rsidRDefault="006574E1" w:rsidP="00BC332D">
      <w:pPr>
        <w:pStyle w:val="ListNumber2"/>
        <w:rPr>
          <w:lang w:val="en"/>
        </w:rPr>
      </w:pPr>
      <w:r w:rsidRPr="006574E1">
        <w:rPr>
          <w:lang w:val="en"/>
        </w:rPr>
        <w:t>be nationally available by or before 2020, and</w:t>
      </w:r>
    </w:p>
    <w:p w14:paraId="2A13130F" w14:textId="77777777" w:rsidR="006574E1" w:rsidRPr="006574E1" w:rsidRDefault="006574E1" w:rsidP="00BC332D">
      <w:pPr>
        <w:pStyle w:val="ListNumber2"/>
        <w:rPr>
          <w:lang w:val="en"/>
        </w:rPr>
      </w:pPr>
      <w:r w:rsidRPr="006574E1">
        <w:rPr>
          <w:lang w:val="en"/>
        </w:rPr>
        <w:t>be compatible with a variety of end-user devices.</w:t>
      </w:r>
    </w:p>
    <w:p w14:paraId="38CEFA25" w14:textId="77777777" w:rsidR="006574E1" w:rsidRPr="006574E1" w:rsidRDefault="006574E1" w:rsidP="00BC332D">
      <w:pPr>
        <w:pStyle w:val="ListNumber"/>
        <w:rPr>
          <w:lang w:val="en"/>
        </w:rPr>
      </w:pPr>
      <w:r w:rsidRPr="006574E1">
        <w:rPr>
          <w:lang w:val="en"/>
        </w:rPr>
        <w:t xml:space="preserve">Relevant domestic and international reports and experiences (e.g. work underway through the Asia Pacific </w:t>
      </w:r>
      <w:proofErr w:type="spellStart"/>
      <w:r w:rsidRPr="006574E1">
        <w:rPr>
          <w:lang w:val="en"/>
        </w:rPr>
        <w:t>Telecommunity</w:t>
      </w:r>
      <w:proofErr w:type="spellEnd"/>
      <w:r w:rsidRPr="006574E1">
        <w:rPr>
          <w:lang w:val="en"/>
        </w:rPr>
        <w:t xml:space="preserve"> Wireless Group (AWG), International Telecommunication Union (</w:t>
      </w:r>
      <w:proofErr w:type="spellStart"/>
      <w:r w:rsidRPr="006574E1">
        <w:rPr>
          <w:lang w:val="en"/>
        </w:rPr>
        <w:t>ITU</w:t>
      </w:r>
      <w:proofErr w:type="spellEnd"/>
      <w:r w:rsidRPr="006574E1">
        <w:rPr>
          <w:lang w:val="en"/>
        </w:rPr>
        <w:t>), 3rd Generation Partnership Project (</w:t>
      </w:r>
      <w:proofErr w:type="spellStart"/>
      <w:r w:rsidRPr="006574E1">
        <w:rPr>
          <w:lang w:val="en"/>
        </w:rPr>
        <w:t>3GPP</w:t>
      </w:r>
      <w:proofErr w:type="spellEnd"/>
      <w:r w:rsidRPr="006574E1">
        <w:rPr>
          <w:lang w:val="en"/>
        </w:rPr>
        <w:t>) and implementation of similar capability in other countries) that may be applicable to Australia.</w:t>
      </w:r>
    </w:p>
    <w:p w14:paraId="775F3328" w14:textId="77777777" w:rsidR="006574E1" w:rsidRPr="007A52DC" w:rsidRDefault="006574E1" w:rsidP="006574E1">
      <w:pPr>
        <w:pStyle w:val="BodyText"/>
      </w:pPr>
      <w:r w:rsidRPr="007A52DC">
        <w:t>In conducting the analysis, the Commission is to have regard to the Australian Communications and Media Authority's (</w:t>
      </w:r>
      <w:proofErr w:type="spellStart"/>
      <w:r w:rsidRPr="007A52DC">
        <w:t>ACMA</w:t>
      </w:r>
      <w:proofErr w:type="spellEnd"/>
      <w:r w:rsidRPr="007A52DC">
        <w:t>) role as the independent national regulator and technical expert on communications matters, with final decision-making responsibility for allocation of and conditions of access to spectrum. The Commission should also, where practicable, have regard to the Government's broader review of the spectrum policy and management framework.</w:t>
      </w:r>
    </w:p>
    <w:p w14:paraId="1A3A7DF2" w14:textId="77777777" w:rsidR="006574E1" w:rsidRPr="006574E1" w:rsidRDefault="006574E1" w:rsidP="006574E1">
      <w:pPr>
        <w:pStyle w:val="BodyText"/>
        <w:rPr>
          <w:lang w:val="en"/>
        </w:rPr>
      </w:pPr>
      <w:r w:rsidRPr="006574E1">
        <w:rPr>
          <w:lang w:val="en"/>
        </w:rPr>
        <w:t xml:space="preserve">Based on information provided by </w:t>
      </w:r>
      <w:proofErr w:type="spellStart"/>
      <w:r w:rsidRPr="006574E1">
        <w:rPr>
          <w:lang w:val="en"/>
        </w:rPr>
        <w:t>PSAs</w:t>
      </w:r>
      <w:proofErr w:type="spellEnd"/>
      <w:r w:rsidRPr="006574E1">
        <w:rPr>
          <w:lang w:val="en"/>
        </w:rPr>
        <w:t xml:space="preserve"> about their operational requirements, the </w:t>
      </w:r>
      <w:proofErr w:type="spellStart"/>
      <w:r w:rsidRPr="006574E1">
        <w:rPr>
          <w:lang w:val="en"/>
        </w:rPr>
        <w:t>ACMA</w:t>
      </w:r>
      <w:proofErr w:type="spellEnd"/>
      <w:r w:rsidRPr="006574E1">
        <w:rPr>
          <w:lang w:val="en"/>
        </w:rPr>
        <w:t xml:space="preserve"> has previously conducted an engineering analysis into the spectrum requirements for a </w:t>
      </w:r>
      <w:proofErr w:type="spellStart"/>
      <w:r w:rsidRPr="006574E1">
        <w:rPr>
          <w:lang w:val="en"/>
        </w:rPr>
        <w:t>PSMB</w:t>
      </w:r>
      <w:proofErr w:type="spellEnd"/>
      <w:r w:rsidRPr="006574E1">
        <w:rPr>
          <w:lang w:val="en"/>
        </w:rPr>
        <w:t xml:space="preserve"> capability. This analysis was carried out within parameters established by the Public Safety Mobile Broadband Steering Committee (</w:t>
      </w:r>
      <w:proofErr w:type="spellStart"/>
      <w:r w:rsidRPr="006574E1">
        <w:rPr>
          <w:lang w:val="en"/>
        </w:rPr>
        <w:t>PSMBSC</w:t>
      </w:r>
      <w:proofErr w:type="spellEnd"/>
      <w:r w:rsidRPr="006574E1">
        <w:rPr>
          <w:lang w:val="en"/>
        </w:rPr>
        <w:t xml:space="preserve">) and the Terms of </w:t>
      </w:r>
      <w:r w:rsidRPr="006574E1">
        <w:rPr>
          <w:lang w:val="en"/>
        </w:rPr>
        <w:lastRenderedPageBreak/>
        <w:t xml:space="preserve">Reference for that committee. However, spectrum alone will not achieve a </w:t>
      </w:r>
      <w:proofErr w:type="spellStart"/>
      <w:r w:rsidRPr="006574E1">
        <w:rPr>
          <w:lang w:val="en"/>
        </w:rPr>
        <w:t>PSMB</w:t>
      </w:r>
      <w:proofErr w:type="spellEnd"/>
      <w:r w:rsidRPr="006574E1">
        <w:rPr>
          <w:lang w:val="en"/>
        </w:rPr>
        <w:t xml:space="preserve"> capability as infrastructure and supporting networks with compatible end-user equipment are required. The Commission's analysis is concerned with an overall consideration of the most efficient, effective and economical way of delivering this capability, including a re-evaluation of user needs and project requirements given the passage of time.</w:t>
      </w:r>
    </w:p>
    <w:p w14:paraId="50FE5C7E" w14:textId="77777777" w:rsidR="006574E1" w:rsidRPr="006574E1" w:rsidRDefault="006574E1" w:rsidP="006574E1">
      <w:pPr>
        <w:pStyle w:val="Heading3"/>
      </w:pPr>
      <w:r w:rsidRPr="006574E1">
        <w:t>Process</w:t>
      </w:r>
    </w:p>
    <w:p w14:paraId="492F34BA" w14:textId="77777777" w:rsidR="006574E1" w:rsidRPr="006574E1" w:rsidRDefault="006574E1" w:rsidP="006574E1">
      <w:pPr>
        <w:pStyle w:val="BodyText"/>
        <w:rPr>
          <w:lang w:val="en"/>
        </w:rPr>
      </w:pPr>
      <w:r w:rsidRPr="006574E1">
        <w:rPr>
          <w:lang w:val="en"/>
        </w:rPr>
        <w:t xml:space="preserve">The Commission is to consult broadly, including with industry and non-government stakeholders, state and territory governments, and </w:t>
      </w:r>
      <w:proofErr w:type="spellStart"/>
      <w:r w:rsidRPr="006574E1">
        <w:rPr>
          <w:lang w:val="en"/>
        </w:rPr>
        <w:t>PSAs</w:t>
      </w:r>
      <w:proofErr w:type="spellEnd"/>
      <w:r w:rsidRPr="006574E1">
        <w:rPr>
          <w:lang w:val="en"/>
        </w:rPr>
        <w:t xml:space="preserve"> and relevant Commonwealth agencies.</w:t>
      </w:r>
    </w:p>
    <w:p w14:paraId="33068D13" w14:textId="77777777" w:rsidR="006574E1" w:rsidRPr="006574E1" w:rsidRDefault="006574E1" w:rsidP="006574E1">
      <w:pPr>
        <w:pStyle w:val="BodyText"/>
        <w:rPr>
          <w:lang w:val="en"/>
        </w:rPr>
      </w:pPr>
      <w:r w:rsidRPr="006574E1">
        <w:rPr>
          <w:lang w:val="en"/>
        </w:rPr>
        <w:t>The Commission will produce a draft and a final Report, both of which will be published. The final Report is to be provided to the Government within nine months of the receipt of these Terms of Reference.</w:t>
      </w:r>
    </w:p>
    <w:p w14:paraId="49F1D984" w14:textId="77777777" w:rsidR="008F7C02" w:rsidRPr="008F7C02" w:rsidRDefault="008F7C02" w:rsidP="00BC332D">
      <w:pPr>
        <w:pStyle w:val="BodyText"/>
        <w:spacing w:before="600"/>
        <w:rPr>
          <w:bCs/>
          <w:lang w:val="en"/>
        </w:rPr>
      </w:pPr>
      <w:r w:rsidRPr="008F7C02">
        <w:rPr>
          <w:bCs/>
          <w:lang w:val="en"/>
        </w:rPr>
        <w:t>J.B. HOCKEY</w:t>
      </w:r>
    </w:p>
    <w:p w14:paraId="0ED1A744" w14:textId="77777777" w:rsidR="008F7C02" w:rsidRDefault="008F7C02" w:rsidP="006574E1">
      <w:pPr>
        <w:pStyle w:val="BodyText"/>
        <w:rPr>
          <w:bCs/>
          <w:lang w:val="en"/>
        </w:rPr>
      </w:pPr>
      <w:r w:rsidRPr="008F7C02">
        <w:rPr>
          <w:bCs/>
          <w:lang w:val="en"/>
        </w:rPr>
        <w:t>Treasurer</w:t>
      </w:r>
    </w:p>
    <w:p w14:paraId="5E9D7D26" w14:textId="1C0A83A4" w:rsidR="006574E1" w:rsidRPr="006574E1" w:rsidRDefault="006574E1" w:rsidP="006574E1">
      <w:pPr>
        <w:pStyle w:val="BodyText"/>
        <w:rPr>
          <w:b/>
          <w:lang w:val="en"/>
        </w:rPr>
      </w:pPr>
      <w:r w:rsidRPr="006574E1">
        <w:rPr>
          <w:b/>
          <w:lang w:val="en"/>
        </w:rPr>
        <w:t>[Received 25 March 2015]</w:t>
      </w:r>
    </w:p>
    <w:p w14:paraId="41ED2ADA" w14:textId="77777777" w:rsidR="005358AA" w:rsidRDefault="005358AA" w:rsidP="00663C82">
      <w:pPr>
        <w:pStyle w:val="BodyText"/>
      </w:pPr>
    </w:p>
    <w:p w14:paraId="4291BF51" w14:textId="77777777" w:rsidR="005358AA" w:rsidRDefault="005358AA" w:rsidP="00663C82">
      <w:pPr>
        <w:pStyle w:val="BodyText"/>
        <w:sectPr w:rsidR="005358AA" w:rsidSect="008817F6">
          <w:footerReference w:type="even" r:id="rId25"/>
          <w:footerReference w:type="default" r:id="rId26"/>
          <w:pgSz w:w="11907" w:h="16840" w:code="9"/>
          <w:pgMar w:top="1706" w:right="1304" w:bottom="1247" w:left="1814" w:header="1701" w:footer="397" w:gutter="0"/>
          <w:pgNumType w:fmt="lowerRoman"/>
          <w:cols w:space="720"/>
        </w:sectPr>
      </w:pPr>
    </w:p>
    <w:p w14:paraId="6C656342" w14:textId="77777777" w:rsidR="001B7F1E" w:rsidRDefault="00735FEA" w:rsidP="008206EE">
      <w:pPr>
        <w:pStyle w:val="Heading1NotTOC"/>
      </w:pPr>
      <w:bookmarkStart w:id="7" w:name="Contents"/>
      <w:bookmarkEnd w:id="7"/>
      <w:r w:rsidRPr="00B153C3">
        <w:lastRenderedPageBreak/>
        <w:t>Contents</w:t>
      </w:r>
      <w:bookmarkStart w:id="8" w:name="InsertContents"/>
      <w:bookmarkEnd w:id="8"/>
    </w:p>
    <w:p w14:paraId="579F77B5" w14:textId="6057F03B" w:rsidR="009C6BC8" w:rsidRDefault="009C6BC8" w:rsidP="009C6BC8">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14:paraId="1BC031D3" w14:textId="26913079" w:rsidR="009C6BC8" w:rsidRDefault="009C6BC8" w:rsidP="009C6BC8">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264A8D21" w14:textId="264C62E9" w:rsidR="009C6BC8" w:rsidRDefault="009C6BC8" w:rsidP="009C6BC8">
      <w:pPr>
        <w:pStyle w:val="TOC1"/>
        <w:rPr>
          <w:rFonts w:asciiTheme="minorHAnsi" w:eastAsiaTheme="minorEastAsia" w:hAnsiTheme="minorHAnsi" w:cstheme="minorBidi"/>
          <w:b w:val="0"/>
          <w:noProof/>
          <w:sz w:val="22"/>
          <w:szCs w:val="22"/>
          <w:lang w:eastAsia="en-AU"/>
        </w:rPr>
      </w:pPr>
      <w:r>
        <w:rPr>
          <w:noProof/>
        </w:rPr>
        <w:t>Abbreviations</w:t>
      </w:r>
      <w:r>
        <w:rPr>
          <w:noProof/>
        </w:rPr>
        <w:tab/>
        <w:t>x</w:t>
      </w:r>
    </w:p>
    <w:p w14:paraId="1514E164" w14:textId="788A3494" w:rsidR="009C6BC8" w:rsidRDefault="009C6BC8" w:rsidP="009C6BC8">
      <w:pPr>
        <w:pStyle w:val="TOC1"/>
        <w:rPr>
          <w:rFonts w:asciiTheme="minorHAnsi" w:eastAsiaTheme="minorEastAsia" w:hAnsiTheme="minorHAnsi" w:cstheme="minorBidi"/>
          <w:b w:val="0"/>
          <w:noProof/>
          <w:sz w:val="22"/>
          <w:szCs w:val="22"/>
          <w:lang w:eastAsia="en-AU"/>
        </w:rPr>
      </w:pPr>
      <w:r>
        <w:rPr>
          <w:noProof/>
        </w:rPr>
        <w:t>Glossary</w:t>
      </w:r>
      <w:r>
        <w:rPr>
          <w:noProof/>
        </w:rPr>
        <w:tab/>
        <w:t>xiii</w:t>
      </w:r>
    </w:p>
    <w:p w14:paraId="66D7D9DA" w14:textId="65EA8AF8" w:rsidR="009C6BC8" w:rsidRDefault="009C6BC8" w:rsidP="009C6BC8">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01CD753D"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33</w:t>
      </w:r>
    </w:p>
    <w:p w14:paraId="42174DFF"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39</w:t>
      </w:r>
    </w:p>
    <w:p w14:paraId="13180942"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study</w:t>
      </w:r>
      <w:r>
        <w:rPr>
          <w:noProof/>
        </w:rPr>
        <w:tab/>
        <w:t>39</w:t>
      </w:r>
    </w:p>
    <w:p w14:paraId="1C27D663"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has the Commission been asked to do?</w:t>
      </w:r>
      <w:r>
        <w:rPr>
          <w:noProof/>
        </w:rPr>
        <w:tab/>
        <w:t>40</w:t>
      </w:r>
    </w:p>
    <w:p w14:paraId="3F584A4A"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Domestic and international experiences</w:t>
      </w:r>
      <w:r>
        <w:rPr>
          <w:noProof/>
        </w:rPr>
        <w:tab/>
        <w:t>41</w:t>
      </w:r>
    </w:p>
    <w:p w14:paraId="3926C6CF"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Stakeholder perspectives on PSMB</w:t>
      </w:r>
      <w:r>
        <w:rPr>
          <w:noProof/>
        </w:rPr>
        <w:tab/>
        <w:t>44</w:t>
      </w:r>
    </w:p>
    <w:p w14:paraId="1FA5C972"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The Commission’s approach</w:t>
      </w:r>
      <w:r>
        <w:rPr>
          <w:noProof/>
        </w:rPr>
        <w:tab/>
        <w:t>46</w:t>
      </w:r>
    </w:p>
    <w:p w14:paraId="362DD083"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Conduct of the study</w:t>
      </w:r>
      <w:r>
        <w:rPr>
          <w:noProof/>
        </w:rPr>
        <w:tab/>
        <w:t>47</w:t>
      </w:r>
    </w:p>
    <w:p w14:paraId="16A510FA"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1.7</w:t>
      </w:r>
      <w:r>
        <w:rPr>
          <w:rFonts w:asciiTheme="minorHAnsi" w:eastAsiaTheme="minorEastAsia" w:hAnsiTheme="minorHAnsi" w:cstheme="minorBidi"/>
          <w:noProof/>
          <w:sz w:val="22"/>
          <w:szCs w:val="22"/>
          <w:lang w:eastAsia="en-AU"/>
        </w:rPr>
        <w:tab/>
      </w:r>
      <w:r>
        <w:rPr>
          <w:noProof/>
        </w:rPr>
        <w:t>Structure of this report</w:t>
      </w:r>
      <w:r>
        <w:rPr>
          <w:noProof/>
        </w:rPr>
        <w:tab/>
        <w:t>47</w:t>
      </w:r>
    </w:p>
    <w:p w14:paraId="55890310"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Public safety agency communications</w:t>
      </w:r>
      <w:r>
        <w:rPr>
          <w:noProof/>
        </w:rPr>
        <w:tab/>
        <w:t>49</w:t>
      </w:r>
    </w:p>
    <w:p w14:paraId="04475827"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Who are the public safety agencies?</w:t>
      </w:r>
      <w:r>
        <w:rPr>
          <w:noProof/>
        </w:rPr>
        <w:tab/>
        <w:t>50</w:t>
      </w:r>
    </w:p>
    <w:p w14:paraId="400D93C1"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PSA demand for communication services</w:t>
      </w:r>
      <w:r>
        <w:rPr>
          <w:noProof/>
        </w:rPr>
        <w:tab/>
        <w:t>51</w:t>
      </w:r>
    </w:p>
    <w:p w14:paraId="63EA26CE"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How are PSAs communicating?</w:t>
      </w:r>
      <w:r>
        <w:rPr>
          <w:noProof/>
        </w:rPr>
        <w:tab/>
        <w:t>54</w:t>
      </w:r>
    </w:p>
    <w:p w14:paraId="28DFA8EB"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Operational and functional requirements of PSAs’ communication services</w:t>
      </w:r>
      <w:r>
        <w:rPr>
          <w:noProof/>
        </w:rPr>
        <w:tab/>
        <w:t>56</w:t>
      </w:r>
    </w:p>
    <w:p w14:paraId="2760116B"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Network infrastructure used to meet PSA communication needs</w:t>
      </w:r>
      <w:r>
        <w:rPr>
          <w:noProof/>
        </w:rPr>
        <w:tab/>
        <w:t>60</w:t>
      </w:r>
    </w:p>
    <w:p w14:paraId="2B890BBE"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Institutions, governance and regulatory arrangements</w:t>
      </w:r>
      <w:r>
        <w:rPr>
          <w:noProof/>
        </w:rPr>
        <w:tab/>
        <w:t>74</w:t>
      </w:r>
    </w:p>
    <w:p w14:paraId="439431A5"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2.7</w:t>
      </w:r>
      <w:r>
        <w:rPr>
          <w:rFonts w:asciiTheme="minorHAnsi" w:eastAsiaTheme="minorEastAsia" w:hAnsiTheme="minorHAnsi" w:cstheme="minorBidi"/>
          <w:noProof/>
          <w:sz w:val="22"/>
          <w:szCs w:val="22"/>
          <w:lang w:eastAsia="en-AU"/>
        </w:rPr>
        <w:tab/>
      </w:r>
      <w:r>
        <w:rPr>
          <w:noProof/>
        </w:rPr>
        <w:t>Limitations of current PSA communication capabilities</w:t>
      </w:r>
      <w:r>
        <w:rPr>
          <w:noProof/>
        </w:rPr>
        <w:tab/>
        <w:t>78</w:t>
      </w:r>
    </w:p>
    <w:p w14:paraId="27415492"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Framework for analysis</w:t>
      </w:r>
      <w:r>
        <w:rPr>
          <w:noProof/>
        </w:rPr>
        <w:tab/>
        <w:t>81</w:t>
      </w:r>
    </w:p>
    <w:p w14:paraId="10561F69"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Mobile broadband can enhance public safety</w:t>
      </w:r>
      <w:r>
        <w:rPr>
          <w:noProof/>
        </w:rPr>
        <w:tab/>
        <w:t>82</w:t>
      </w:r>
    </w:p>
    <w:p w14:paraId="52FFC5BA"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lastRenderedPageBreak/>
        <w:t>3.2</w:t>
      </w:r>
      <w:r>
        <w:rPr>
          <w:rFonts w:asciiTheme="minorHAnsi" w:eastAsiaTheme="minorEastAsia" w:hAnsiTheme="minorHAnsi" w:cstheme="minorBidi"/>
          <w:noProof/>
          <w:sz w:val="22"/>
          <w:szCs w:val="22"/>
          <w:lang w:eastAsia="en-AU"/>
        </w:rPr>
        <w:tab/>
      </w:r>
      <w:r>
        <w:rPr>
          <w:noProof/>
        </w:rPr>
        <w:t>The Commission’s first principles approach</w:t>
      </w:r>
      <w:r>
        <w:rPr>
          <w:noProof/>
        </w:rPr>
        <w:tab/>
        <w:t>88</w:t>
      </w:r>
    </w:p>
    <w:p w14:paraId="39514E75"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What is a public safety mobile broadband capability?</w:t>
      </w:r>
      <w:r>
        <w:rPr>
          <w:noProof/>
        </w:rPr>
        <w:tab/>
        <w:t>97</w:t>
      </w:r>
    </w:p>
    <w:p w14:paraId="7F3BA8D4"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Key dimensions of a mobile broadband capability</w:t>
      </w:r>
      <w:r>
        <w:rPr>
          <w:noProof/>
        </w:rPr>
        <w:tab/>
        <w:t>98</w:t>
      </w:r>
    </w:p>
    <w:p w14:paraId="2EC8D46A"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How are PSAs different to other mobile broadband customers?</w:t>
      </w:r>
      <w:r>
        <w:rPr>
          <w:noProof/>
        </w:rPr>
        <w:tab/>
        <w:t>107</w:t>
      </w:r>
    </w:p>
    <w:p w14:paraId="6989A2AC"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What do PSAs want from a PSMB capability?</w:t>
      </w:r>
      <w:r>
        <w:rPr>
          <w:noProof/>
        </w:rPr>
        <w:tab/>
        <w:t>112</w:t>
      </w:r>
    </w:p>
    <w:p w14:paraId="60329B37"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PSMB scenarios for analytical purposes</w:t>
      </w:r>
      <w:r>
        <w:rPr>
          <w:noProof/>
        </w:rPr>
        <w:tab/>
        <w:t>123</w:t>
      </w:r>
    </w:p>
    <w:p w14:paraId="10797B0E"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How can a PSMB capability be delivered?</w:t>
      </w:r>
      <w:r>
        <w:rPr>
          <w:noProof/>
        </w:rPr>
        <w:tab/>
        <w:t>129</w:t>
      </w:r>
    </w:p>
    <w:p w14:paraId="1F72750C"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Delivery approaches for PSMB</w:t>
      </w:r>
      <w:r>
        <w:rPr>
          <w:noProof/>
        </w:rPr>
        <w:tab/>
        <w:t>130</w:t>
      </w:r>
    </w:p>
    <w:p w14:paraId="0501003D"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Understanding mobile networks</w:t>
      </w:r>
      <w:r>
        <w:rPr>
          <w:noProof/>
        </w:rPr>
        <w:tab/>
        <w:t>132</w:t>
      </w:r>
    </w:p>
    <w:p w14:paraId="1272E474"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Coverage and capacity requirements</w:t>
      </w:r>
      <w:r>
        <w:rPr>
          <w:noProof/>
        </w:rPr>
        <w:tab/>
        <w:t>138</w:t>
      </w:r>
    </w:p>
    <w:p w14:paraId="5CB2E3C5"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Delivering priority services</w:t>
      </w:r>
      <w:r>
        <w:rPr>
          <w:noProof/>
        </w:rPr>
        <w:tab/>
        <w:t>149</w:t>
      </w:r>
    </w:p>
    <w:p w14:paraId="55D8EE28"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Network reliability</w:t>
      </w:r>
      <w:r>
        <w:rPr>
          <w:noProof/>
        </w:rPr>
        <w:tab/>
        <w:t>156</w:t>
      </w:r>
    </w:p>
    <w:p w14:paraId="7E355C74"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Migrating voice to LTE networks</w:t>
      </w:r>
      <w:r>
        <w:rPr>
          <w:noProof/>
        </w:rPr>
        <w:tab/>
        <w:t>159</w:t>
      </w:r>
    </w:p>
    <w:p w14:paraId="6028CBDE"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Interoperability and security</w:t>
      </w:r>
      <w:r>
        <w:rPr>
          <w:noProof/>
        </w:rPr>
        <w:tab/>
        <w:t>163</w:t>
      </w:r>
    </w:p>
    <w:p w14:paraId="1821FC10"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5.8</w:t>
      </w:r>
      <w:r>
        <w:rPr>
          <w:rFonts w:asciiTheme="minorHAnsi" w:eastAsiaTheme="minorEastAsia" w:hAnsiTheme="minorHAnsi" w:cstheme="minorBidi"/>
          <w:noProof/>
          <w:sz w:val="22"/>
          <w:szCs w:val="22"/>
          <w:lang w:eastAsia="en-AU"/>
        </w:rPr>
        <w:tab/>
      </w:r>
      <w:r>
        <w:rPr>
          <w:noProof/>
        </w:rPr>
        <w:t>Multi</w:t>
      </w:r>
      <w:r>
        <w:rPr>
          <w:noProof/>
        </w:rPr>
        <w:noBreakHyphen/>
        <w:t>carrier approaches</w:t>
      </w:r>
      <w:r>
        <w:rPr>
          <w:noProof/>
        </w:rPr>
        <w:tab/>
        <w:t>168</w:t>
      </w:r>
    </w:p>
    <w:p w14:paraId="6ACFA151"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5.9</w:t>
      </w:r>
      <w:r>
        <w:rPr>
          <w:rFonts w:asciiTheme="minorHAnsi" w:eastAsiaTheme="minorEastAsia" w:hAnsiTheme="minorHAnsi" w:cstheme="minorBidi"/>
          <w:noProof/>
          <w:sz w:val="22"/>
          <w:szCs w:val="22"/>
          <w:lang w:eastAsia="en-AU"/>
        </w:rPr>
        <w:tab/>
      </w:r>
      <w:r>
        <w:rPr>
          <w:noProof/>
        </w:rPr>
        <w:t>Timing and sustainability</w:t>
      </w:r>
      <w:r>
        <w:rPr>
          <w:noProof/>
        </w:rPr>
        <w:tab/>
        <w:t>171</w:t>
      </w:r>
    </w:p>
    <w:p w14:paraId="3A6C8069" w14:textId="7B596A47" w:rsidR="009C6BC8" w:rsidRDefault="009C6BC8" w:rsidP="009C6BC8">
      <w:pPr>
        <w:pStyle w:val="TOC2"/>
        <w:tabs>
          <w:tab w:val="left" w:pos="1320"/>
        </w:tabs>
        <w:rPr>
          <w:noProof/>
        </w:rPr>
      </w:pPr>
      <w:r>
        <w:rPr>
          <w:noProof/>
        </w:rPr>
        <w:t>5.10</w:t>
      </w:r>
      <w:r>
        <w:rPr>
          <w:rFonts w:asciiTheme="minorHAnsi" w:eastAsiaTheme="minorEastAsia" w:hAnsiTheme="minorHAnsi" w:cstheme="minorBidi"/>
          <w:noProof/>
          <w:sz w:val="22"/>
          <w:szCs w:val="22"/>
          <w:lang w:eastAsia="en-AU"/>
        </w:rPr>
        <w:tab/>
        <w:t xml:space="preserve"> </w:t>
      </w:r>
      <w:r>
        <w:rPr>
          <w:noProof/>
        </w:rPr>
        <w:t>Summing up</w:t>
      </w:r>
      <w:r>
        <w:rPr>
          <w:noProof/>
        </w:rPr>
        <w:tab/>
        <w:t>172</w:t>
      </w:r>
    </w:p>
    <w:p w14:paraId="677F5680"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Evaluating PSMB options</w:t>
      </w:r>
      <w:r>
        <w:rPr>
          <w:noProof/>
        </w:rPr>
        <w:tab/>
        <w:t>175</w:t>
      </w:r>
    </w:p>
    <w:p w14:paraId="1B2647B1"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Options for evaluation</w:t>
      </w:r>
      <w:r>
        <w:rPr>
          <w:noProof/>
        </w:rPr>
        <w:tab/>
        <w:t>176</w:t>
      </w:r>
    </w:p>
    <w:p w14:paraId="269906F4"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Approach to the cost evaluation</w:t>
      </w:r>
      <w:r>
        <w:rPr>
          <w:noProof/>
        </w:rPr>
        <w:tab/>
        <w:t>183</w:t>
      </w:r>
    </w:p>
    <w:p w14:paraId="57AC7437"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Cost evaluation results</w:t>
      </w:r>
      <w:r>
        <w:rPr>
          <w:noProof/>
        </w:rPr>
        <w:tab/>
        <w:t>187</w:t>
      </w:r>
    </w:p>
    <w:p w14:paraId="0DF336F4"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Evaluation of risks</w:t>
      </w:r>
      <w:r>
        <w:rPr>
          <w:noProof/>
        </w:rPr>
        <w:tab/>
        <w:t>197</w:t>
      </w:r>
    </w:p>
    <w:p w14:paraId="468FE15E"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Differences in benefits between options</w:t>
      </w:r>
      <w:r>
        <w:rPr>
          <w:noProof/>
        </w:rPr>
        <w:tab/>
        <w:t>206</w:t>
      </w:r>
    </w:p>
    <w:p w14:paraId="18C5ABDE"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Implementing a PSMB capability</w:t>
      </w:r>
      <w:r>
        <w:rPr>
          <w:noProof/>
        </w:rPr>
        <w:tab/>
        <w:t>209</w:t>
      </w:r>
    </w:p>
    <w:p w14:paraId="725F1985"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Institutional and governance arrangements</w:t>
      </w:r>
      <w:r>
        <w:rPr>
          <w:noProof/>
        </w:rPr>
        <w:tab/>
        <w:t>210</w:t>
      </w:r>
    </w:p>
    <w:p w14:paraId="4562F429"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National coordination and protocols</w:t>
      </w:r>
      <w:r>
        <w:rPr>
          <w:noProof/>
        </w:rPr>
        <w:tab/>
        <w:t>220</w:t>
      </w:r>
    </w:p>
    <w:p w14:paraId="003D91A7"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Spectrum allocation</w:t>
      </w:r>
      <w:r>
        <w:rPr>
          <w:noProof/>
        </w:rPr>
        <w:tab/>
        <w:t>225</w:t>
      </w:r>
    </w:p>
    <w:p w14:paraId="55097574"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The role of regulation</w:t>
      </w:r>
      <w:r>
        <w:rPr>
          <w:noProof/>
        </w:rPr>
        <w:tab/>
        <w:t>232</w:t>
      </w:r>
    </w:p>
    <w:p w14:paraId="66EBCF69"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Public procurement</w:t>
      </w:r>
      <w:r>
        <w:rPr>
          <w:noProof/>
        </w:rPr>
        <w:tab/>
        <w:t>237</w:t>
      </w:r>
    </w:p>
    <w:p w14:paraId="7F80E96D"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A phased approach to implementation</w:t>
      </w:r>
      <w:r>
        <w:rPr>
          <w:noProof/>
        </w:rPr>
        <w:tab/>
        <w:t>251</w:t>
      </w:r>
    </w:p>
    <w:p w14:paraId="0F87E539"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lastRenderedPageBreak/>
        <w:t>A</w:t>
      </w:r>
      <w:r>
        <w:rPr>
          <w:rFonts w:asciiTheme="minorHAnsi" w:eastAsiaTheme="minorEastAsia" w:hAnsiTheme="minorHAnsi" w:cstheme="minorBidi"/>
          <w:b w:val="0"/>
          <w:noProof/>
          <w:sz w:val="22"/>
          <w:szCs w:val="22"/>
          <w:lang w:eastAsia="en-AU"/>
        </w:rPr>
        <w:tab/>
      </w:r>
      <w:r>
        <w:rPr>
          <w:noProof/>
        </w:rPr>
        <w:t>Public consultation</w:t>
      </w:r>
      <w:r>
        <w:rPr>
          <w:noProof/>
        </w:rPr>
        <w:tab/>
        <w:t>257</w:t>
      </w:r>
    </w:p>
    <w:p w14:paraId="6B718177"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Domestic and international developments in PSMB</w:t>
      </w:r>
      <w:r>
        <w:rPr>
          <w:noProof/>
        </w:rPr>
        <w:tab/>
        <w:t>263</w:t>
      </w:r>
    </w:p>
    <w:p w14:paraId="7C809030"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Previous Australian reviews and policy background</w:t>
      </w:r>
      <w:r>
        <w:rPr>
          <w:noProof/>
        </w:rPr>
        <w:tab/>
        <w:t>263</w:t>
      </w:r>
    </w:p>
    <w:p w14:paraId="6B28793F"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International spectrum harmonisation and technical standards</w:t>
      </w:r>
      <w:r>
        <w:rPr>
          <w:noProof/>
        </w:rPr>
        <w:tab/>
        <w:t>266</w:t>
      </w:r>
    </w:p>
    <w:p w14:paraId="0AC050D0"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Approach to PSMB in other countries</w:t>
      </w:r>
      <w:r>
        <w:rPr>
          <w:noProof/>
        </w:rPr>
        <w:tab/>
        <w:t>271</w:t>
      </w:r>
    </w:p>
    <w:p w14:paraId="0EE8F6D6"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Quantitative methodology and results</w:t>
      </w:r>
      <w:r>
        <w:rPr>
          <w:noProof/>
        </w:rPr>
        <w:tab/>
        <w:t>287</w:t>
      </w:r>
    </w:p>
    <w:p w14:paraId="1A5216DB" w14:textId="77777777" w:rsidR="009C6BC8" w:rsidRDefault="009C6BC8" w:rsidP="009C6BC8">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About this appendix</w:t>
      </w:r>
      <w:r>
        <w:rPr>
          <w:noProof/>
        </w:rPr>
        <w:tab/>
        <w:t>287</w:t>
      </w:r>
    </w:p>
    <w:p w14:paraId="5A43A25A" w14:textId="77777777" w:rsidR="009C6BC8" w:rsidRDefault="009C6BC8" w:rsidP="009C6BC8">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Overview of the quantitative framework</w:t>
      </w:r>
      <w:r>
        <w:rPr>
          <w:noProof/>
        </w:rPr>
        <w:tab/>
        <w:t>288</w:t>
      </w:r>
    </w:p>
    <w:p w14:paraId="6FB84BE1" w14:textId="77777777" w:rsidR="009C6BC8" w:rsidRDefault="009C6BC8" w:rsidP="009C6BC8">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Geotyping</w:t>
      </w:r>
      <w:r>
        <w:rPr>
          <w:noProof/>
        </w:rPr>
        <w:tab/>
        <w:t>290</w:t>
      </w:r>
    </w:p>
    <w:p w14:paraId="0C43FA3E" w14:textId="77777777" w:rsidR="009C6BC8" w:rsidRDefault="009C6BC8" w:rsidP="009C6BC8">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r>
      <w:r>
        <w:rPr>
          <w:noProof/>
        </w:rPr>
        <w:t>RAN dimensioning</w:t>
      </w:r>
      <w:r>
        <w:rPr>
          <w:noProof/>
        </w:rPr>
        <w:tab/>
        <w:t>295</w:t>
      </w:r>
    </w:p>
    <w:p w14:paraId="26E3C79C" w14:textId="77777777" w:rsidR="009C6BC8" w:rsidRDefault="009C6BC8" w:rsidP="009C6BC8">
      <w:pPr>
        <w:pStyle w:val="TOC2"/>
        <w:tabs>
          <w:tab w:val="left" w:pos="1190"/>
        </w:tabs>
        <w:rPr>
          <w:rFonts w:asciiTheme="minorHAnsi" w:eastAsiaTheme="minorEastAsia" w:hAnsiTheme="minorHAnsi" w:cstheme="minorBidi"/>
          <w:noProof/>
          <w:sz w:val="22"/>
          <w:szCs w:val="22"/>
          <w:lang w:eastAsia="en-AU"/>
        </w:rPr>
      </w:pPr>
      <w:r>
        <w:rPr>
          <w:noProof/>
        </w:rPr>
        <w:t>C.5</w:t>
      </w:r>
      <w:r>
        <w:rPr>
          <w:rFonts w:asciiTheme="minorHAnsi" w:eastAsiaTheme="minorEastAsia" w:hAnsiTheme="minorHAnsi" w:cstheme="minorBidi"/>
          <w:noProof/>
          <w:sz w:val="22"/>
          <w:szCs w:val="22"/>
          <w:lang w:eastAsia="en-AU"/>
        </w:rPr>
        <w:tab/>
      </w:r>
      <w:r>
        <w:rPr>
          <w:noProof/>
        </w:rPr>
        <w:t>Network costing</w:t>
      </w:r>
      <w:r>
        <w:rPr>
          <w:noProof/>
        </w:rPr>
        <w:tab/>
        <w:t>301</w:t>
      </w:r>
    </w:p>
    <w:p w14:paraId="0B6D7029" w14:textId="77777777" w:rsidR="009C6BC8" w:rsidRDefault="009C6BC8" w:rsidP="009C6BC8">
      <w:pPr>
        <w:pStyle w:val="TOC2"/>
        <w:tabs>
          <w:tab w:val="left" w:pos="1190"/>
        </w:tabs>
        <w:rPr>
          <w:rFonts w:asciiTheme="minorHAnsi" w:eastAsiaTheme="minorEastAsia" w:hAnsiTheme="minorHAnsi" w:cstheme="minorBidi"/>
          <w:noProof/>
          <w:sz w:val="22"/>
          <w:szCs w:val="22"/>
          <w:lang w:eastAsia="en-AU"/>
        </w:rPr>
      </w:pPr>
      <w:r>
        <w:rPr>
          <w:noProof/>
        </w:rPr>
        <w:t>C.6</w:t>
      </w:r>
      <w:r>
        <w:rPr>
          <w:rFonts w:asciiTheme="minorHAnsi" w:eastAsiaTheme="minorEastAsia" w:hAnsiTheme="minorHAnsi" w:cstheme="minorBidi"/>
          <w:noProof/>
          <w:sz w:val="22"/>
          <w:szCs w:val="22"/>
          <w:lang w:eastAsia="en-AU"/>
        </w:rPr>
        <w:tab/>
      </w:r>
      <w:r>
        <w:rPr>
          <w:noProof/>
        </w:rPr>
        <w:t>Calibration and inputs</w:t>
      </w:r>
      <w:r>
        <w:rPr>
          <w:noProof/>
        </w:rPr>
        <w:tab/>
        <w:t>315</w:t>
      </w:r>
    </w:p>
    <w:p w14:paraId="00748920" w14:textId="77777777" w:rsidR="009C6BC8" w:rsidRDefault="009C6BC8" w:rsidP="009C6BC8">
      <w:pPr>
        <w:pStyle w:val="TOC2"/>
        <w:tabs>
          <w:tab w:val="left" w:pos="1190"/>
        </w:tabs>
        <w:rPr>
          <w:rFonts w:asciiTheme="minorHAnsi" w:eastAsiaTheme="minorEastAsia" w:hAnsiTheme="minorHAnsi" w:cstheme="minorBidi"/>
          <w:noProof/>
          <w:sz w:val="22"/>
          <w:szCs w:val="22"/>
          <w:lang w:eastAsia="en-AU"/>
        </w:rPr>
      </w:pPr>
      <w:r>
        <w:rPr>
          <w:noProof/>
        </w:rPr>
        <w:t>C.7</w:t>
      </w:r>
      <w:r>
        <w:rPr>
          <w:rFonts w:asciiTheme="minorHAnsi" w:eastAsiaTheme="minorEastAsia" w:hAnsiTheme="minorHAnsi" w:cstheme="minorBidi"/>
          <w:noProof/>
          <w:sz w:val="22"/>
          <w:szCs w:val="22"/>
          <w:lang w:eastAsia="en-AU"/>
        </w:rPr>
        <w:tab/>
      </w:r>
      <w:r>
        <w:rPr>
          <w:noProof/>
        </w:rPr>
        <w:t>Results</w:t>
      </w:r>
      <w:r>
        <w:rPr>
          <w:noProof/>
        </w:rPr>
        <w:tab/>
        <w:t>330</w:t>
      </w:r>
    </w:p>
    <w:p w14:paraId="11BD34E5" w14:textId="77777777" w:rsidR="009C6BC8" w:rsidRDefault="009C6BC8" w:rsidP="009C6BC8">
      <w:pPr>
        <w:pStyle w:val="TOC2"/>
        <w:tabs>
          <w:tab w:val="left" w:pos="1190"/>
        </w:tabs>
        <w:rPr>
          <w:rFonts w:asciiTheme="minorHAnsi" w:eastAsiaTheme="minorEastAsia" w:hAnsiTheme="minorHAnsi" w:cstheme="minorBidi"/>
          <w:noProof/>
          <w:sz w:val="22"/>
          <w:szCs w:val="22"/>
          <w:lang w:eastAsia="en-AU"/>
        </w:rPr>
      </w:pPr>
      <w:r>
        <w:rPr>
          <w:noProof/>
        </w:rPr>
        <w:t>C.8</w:t>
      </w:r>
      <w:r>
        <w:rPr>
          <w:rFonts w:asciiTheme="minorHAnsi" w:eastAsiaTheme="minorEastAsia" w:hAnsiTheme="minorHAnsi" w:cstheme="minorBidi"/>
          <w:noProof/>
          <w:sz w:val="22"/>
          <w:szCs w:val="22"/>
          <w:lang w:eastAsia="en-AU"/>
        </w:rPr>
        <w:tab/>
      </w:r>
      <w:r>
        <w:rPr>
          <w:noProof/>
        </w:rPr>
        <w:t>Alternative option designs</w:t>
      </w:r>
      <w:r>
        <w:rPr>
          <w:noProof/>
        </w:rPr>
        <w:tab/>
        <w:t>334</w:t>
      </w:r>
    </w:p>
    <w:p w14:paraId="22A2E560" w14:textId="77777777" w:rsidR="009C6BC8" w:rsidRDefault="009C6BC8" w:rsidP="009C6BC8">
      <w:pPr>
        <w:pStyle w:val="TOC2"/>
        <w:tabs>
          <w:tab w:val="left" w:pos="1190"/>
        </w:tabs>
        <w:rPr>
          <w:rFonts w:asciiTheme="minorHAnsi" w:eastAsiaTheme="minorEastAsia" w:hAnsiTheme="minorHAnsi" w:cstheme="minorBidi"/>
          <w:noProof/>
          <w:sz w:val="22"/>
          <w:szCs w:val="22"/>
          <w:lang w:eastAsia="en-AU"/>
        </w:rPr>
      </w:pPr>
      <w:r>
        <w:rPr>
          <w:noProof/>
        </w:rPr>
        <w:t>C.9</w:t>
      </w:r>
      <w:r>
        <w:rPr>
          <w:rFonts w:asciiTheme="minorHAnsi" w:eastAsiaTheme="minorEastAsia" w:hAnsiTheme="minorHAnsi" w:cstheme="minorBidi"/>
          <w:noProof/>
          <w:sz w:val="22"/>
          <w:szCs w:val="22"/>
          <w:lang w:eastAsia="en-AU"/>
        </w:rPr>
        <w:tab/>
      </w:r>
      <w:r>
        <w:rPr>
          <w:noProof/>
        </w:rPr>
        <w:t>Sensitivity testing</w:t>
      </w:r>
      <w:r>
        <w:rPr>
          <w:noProof/>
        </w:rPr>
        <w:tab/>
        <w:t>344</w:t>
      </w:r>
    </w:p>
    <w:p w14:paraId="5E464AFC" w14:textId="77777777" w:rsidR="009C6BC8" w:rsidRDefault="009C6BC8" w:rsidP="009C6BC8">
      <w:pPr>
        <w:pStyle w:val="TOC2"/>
        <w:tabs>
          <w:tab w:val="left" w:pos="1320"/>
        </w:tabs>
        <w:rPr>
          <w:rFonts w:asciiTheme="minorHAnsi" w:eastAsiaTheme="minorEastAsia" w:hAnsiTheme="minorHAnsi" w:cstheme="minorBidi"/>
          <w:noProof/>
          <w:sz w:val="22"/>
          <w:szCs w:val="22"/>
          <w:lang w:eastAsia="en-AU"/>
        </w:rPr>
      </w:pPr>
      <w:r>
        <w:rPr>
          <w:noProof/>
        </w:rPr>
        <w:t>C.10</w:t>
      </w:r>
      <w:r>
        <w:rPr>
          <w:rFonts w:asciiTheme="minorHAnsi" w:eastAsiaTheme="minorEastAsia" w:hAnsiTheme="minorHAnsi" w:cstheme="minorBidi"/>
          <w:noProof/>
          <w:sz w:val="22"/>
          <w:szCs w:val="22"/>
          <w:lang w:eastAsia="en-AU"/>
        </w:rPr>
        <w:tab/>
      </w:r>
      <w:r>
        <w:rPr>
          <w:noProof/>
        </w:rPr>
        <w:t>Excluded costs</w:t>
      </w:r>
      <w:r>
        <w:rPr>
          <w:noProof/>
        </w:rPr>
        <w:tab/>
        <w:t>369</w:t>
      </w:r>
    </w:p>
    <w:p w14:paraId="49B78318" w14:textId="77777777" w:rsidR="009C6BC8" w:rsidRDefault="009C6BC8" w:rsidP="009C6BC8">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Referee report</w:t>
      </w:r>
      <w:r>
        <w:rPr>
          <w:noProof/>
        </w:rPr>
        <w:tab/>
        <w:t>373</w:t>
      </w:r>
    </w:p>
    <w:p w14:paraId="202D1446" w14:textId="77777777" w:rsidR="009C6BC8" w:rsidRDefault="009C6BC8" w:rsidP="009C6BC8">
      <w:pPr>
        <w:pStyle w:val="TOC2"/>
        <w:rPr>
          <w:rFonts w:asciiTheme="minorHAnsi" w:eastAsiaTheme="minorEastAsia" w:hAnsiTheme="minorHAnsi" w:cstheme="minorBidi"/>
          <w:noProof/>
          <w:sz w:val="22"/>
          <w:szCs w:val="22"/>
          <w:lang w:eastAsia="en-AU"/>
        </w:rPr>
      </w:pPr>
      <w:r>
        <w:rPr>
          <w:noProof/>
        </w:rPr>
        <w:t>Executive summary</w:t>
      </w:r>
      <w:r>
        <w:rPr>
          <w:noProof/>
        </w:rPr>
        <w:tab/>
        <w:t>373</w:t>
      </w:r>
    </w:p>
    <w:p w14:paraId="7C6F9220"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1</w:t>
      </w:r>
      <w:r>
        <w:rPr>
          <w:rFonts w:asciiTheme="minorHAnsi" w:eastAsiaTheme="minorEastAsia" w:hAnsiTheme="minorHAnsi" w:cstheme="minorBidi"/>
          <w:noProof/>
          <w:sz w:val="22"/>
          <w:szCs w:val="22"/>
          <w:lang w:eastAsia="en-AU"/>
        </w:rPr>
        <w:tab/>
      </w:r>
      <w:r>
        <w:rPr>
          <w:noProof/>
        </w:rPr>
        <w:t>Introduction</w:t>
      </w:r>
      <w:r>
        <w:rPr>
          <w:noProof/>
        </w:rPr>
        <w:tab/>
        <w:t>374</w:t>
      </w:r>
    </w:p>
    <w:p w14:paraId="5F45C784"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2</w:t>
      </w:r>
      <w:r>
        <w:rPr>
          <w:rFonts w:asciiTheme="minorHAnsi" w:eastAsiaTheme="minorEastAsia" w:hAnsiTheme="minorHAnsi" w:cstheme="minorBidi"/>
          <w:noProof/>
          <w:sz w:val="22"/>
          <w:szCs w:val="22"/>
          <w:lang w:eastAsia="en-AU"/>
        </w:rPr>
        <w:tab/>
      </w:r>
      <w:r>
        <w:rPr>
          <w:noProof/>
        </w:rPr>
        <w:t>Background</w:t>
      </w:r>
      <w:r>
        <w:rPr>
          <w:noProof/>
        </w:rPr>
        <w:tab/>
        <w:t>374</w:t>
      </w:r>
    </w:p>
    <w:p w14:paraId="1303F064"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3</w:t>
      </w:r>
      <w:r>
        <w:rPr>
          <w:rFonts w:asciiTheme="minorHAnsi" w:eastAsiaTheme="minorEastAsia" w:hAnsiTheme="minorHAnsi" w:cstheme="minorBidi"/>
          <w:noProof/>
          <w:sz w:val="22"/>
          <w:szCs w:val="22"/>
          <w:lang w:eastAsia="en-AU"/>
        </w:rPr>
        <w:tab/>
      </w:r>
      <w:r>
        <w:rPr>
          <w:noProof/>
        </w:rPr>
        <w:t>Geotyping</w:t>
      </w:r>
      <w:r>
        <w:rPr>
          <w:noProof/>
        </w:rPr>
        <w:tab/>
        <w:t>375</w:t>
      </w:r>
    </w:p>
    <w:p w14:paraId="1929F337"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4</w:t>
      </w:r>
      <w:r>
        <w:rPr>
          <w:rFonts w:asciiTheme="minorHAnsi" w:eastAsiaTheme="minorEastAsia" w:hAnsiTheme="minorHAnsi" w:cstheme="minorBidi"/>
          <w:noProof/>
          <w:sz w:val="22"/>
          <w:szCs w:val="22"/>
          <w:lang w:eastAsia="en-AU"/>
        </w:rPr>
        <w:tab/>
      </w:r>
      <w:r>
        <w:rPr>
          <w:noProof/>
        </w:rPr>
        <w:t>RAN dimensioning</w:t>
      </w:r>
      <w:r>
        <w:rPr>
          <w:noProof/>
        </w:rPr>
        <w:tab/>
        <w:t>376</w:t>
      </w:r>
    </w:p>
    <w:p w14:paraId="79643202"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5</w:t>
      </w:r>
      <w:r>
        <w:rPr>
          <w:rFonts w:asciiTheme="minorHAnsi" w:eastAsiaTheme="minorEastAsia" w:hAnsiTheme="minorHAnsi" w:cstheme="minorBidi"/>
          <w:noProof/>
          <w:sz w:val="22"/>
          <w:szCs w:val="22"/>
          <w:lang w:eastAsia="en-AU"/>
        </w:rPr>
        <w:tab/>
      </w:r>
      <w:r>
        <w:rPr>
          <w:noProof/>
        </w:rPr>
        <w:t>Network costing</w:t>
      </w:r>
      <w:r>
        <w:rPr>
          <w:noProof/>
        </w:rPr>
        <w:tab/>
        <w:t>379</w:t>
      </w:r>
    </w:p>
    <w:p w14:paraId="13DF7D4D"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6</w:t>
      </w:r>
      <w:r>
        <w:rPr>
          <w:rFonts w:asciiTheme="minorHAnsi" w:eastAsiaTheme="minorEastAsia" w:hAnsiTheme="minorHAnsi" w:cstheme="minorBidi"/>
          <w:noProof/>
          <w:sz w:val="22"/>
          <w:szCs w:val="22"/>
          <w:lang w:eastAsia="en-AU"/>
        </w:rPr>
        <w:tab/>
      </w:r>
      <w:r>
        <w:rPr>
          <w:noProof/>
        </w:rPr>
        <w:t>Excluded costs</w:t>
      </w:r>
      <w:r>
        <w:rPr>
          <w:noProof/>
        </w:rPr>
        <w:tab/>
        <w:t>387</w:t>
      </w:r>
    </w:p>
    <w:p w14:paraId="7FD6AF23" w14:textId="77777777" w:rsidR="009C6BC8" w:rsidRDefault="009C6BC8" w:rsidP="009C6BC8">
      <w:pPr>
        <w:pStyle w:val="TOC2"/>
        <w:tabs>
          <w:tab w:val="left" w:pos="1134"/>
        </w:tabs>
        <w:rPr>
          <w:rFonts w:asciiTheme="minorHAnsi" w:eastAsiaTheme="minorEastAsia" w:hAnsiTheme="minorHAnsi" w:cstheme="minorBidi"/>
          <w:noProof/>
          <w:sz w:val="22"/>
          <w:szCs w:val="22"/>
          <w:lang w:eastAsia="en-AU"/>
        </w:rPr>
      </w:pPr>
      <w:r>
        <w:rPr>
          <w:noProof/>
        </w:rPr>
        <w:t>7</w:t>
      </w:r>
      <w:r>
        <w:rPr>
          <w:rFonts w:asciiTheme="minorHAnsi" w:eastAsiaTheme="minorEastAsia" w:hAnsiTheme="minorHAnsi" w:cstheme="minorBidi"/>
          <w:noProof/>
          <w:sz w:val="22"/>
          <w:szCs w:val="22"/>
          <w:lang w:eastAsia="en-AU"/>
        </w:rPr>
        <w:tab/>
      </w:r>
      <w:r>
        <w:rPr>
          <w:noProof/>
        </w:rPr>
        <w:t>Concluding remarks</w:t>
      </w:r>
      <w:r>
        <w:rPr>
          <w:noProof/>
        </w:rPr>
        <w:tab/>
        <w:t>388</w:t>
      </w:r>
    </w:p>
    <w:p w14:paraId="61216669" w14:textId="3CDAA960" w:rsidR="008449B8" w:rsidRPr="009C6BC8" w:rsidRDefault="009C6BC8" w:rsidP="009C6BC8">
      <w:pPr>
        <w:pStyle w:val="TOC1"/>
        <w:rPr>
          <w:rFonts w:eastAsiaTheme="minorEastAsia"/>
          <w:noProof/>
          <w:lang w:eastAsia="en-AU"/>
        </w:rPr>
      </w:pPr>
      <w:r>
        <w:rPr>
          <w:rFonts w:eastAsiaTheme="minorEastAsia"/>
          <w:noProof/>
          <w:lang w:eastAsia="en-AU"/>
        </w:rPr>
        <w:t>References</w:t>
      </w:r>
      <w:r>
        <w:rPr>
          <w:rFonts w:eastAsiaTheme="minorEastAsia"/>
          <w:noProof/>
          <w:lang w:eastAsia="en-AU"/>
        </w:rPr>
        <w:tab/>
        <w:t>391</w:t>
      </w:r>
    </w:p>
    <w:p w14:paraId="2B3BE1E4" w14:textId="77777777" w:rsidR="004D3F58" w:rsidRDefault="004D3F58">
      <w:pPr>
        <w:pStyle w:val="BodyText"/>
        <w:sectPr w:rsidR="004D3F58" w:rsidSect="007448F7">
          <w:headerReference w:type="even" r:id="rId27"/>
          <w:headerReference w:type="default" r:id="rId28"/>
          <w:footerReference w:type="even" r:id="rId29"/>
          <w:footerReference w:type="default" r:id="rId30"/>
          <w:type w:val="oddPage"/>
          <w:pgSz w:w="11907" w:h="16840" w:code="9"/>
          <w:pgMar w:top="1985" w:right="1304" w:bottom="1247" w:left="1814" w:header="1701" w:footer="397" w:gutter="0"/>
          <w:pgNumType w:fmt="lowerRoman"/>
          <w:cols w:space="720"/>
        </w:sectPr>
      </w:pPr>
    </w:p>
    <w:p w14:paraId="1B53AAB1" w14:textId="77777777" w:rsidR="008449B8" w:rsidRDefault="008449B8" w:rsidP="008449B8">
      <w:pPr>
        <w:pStyle w:val="Heading1"/>
      </w:pPr>
      <w:bookmarkStart w:id="9" w:name="Abbreviations"/>
      <w:bookmarkStart w:id="10" w:name="EndContents"/>
      <w:bookmarkStart w:id="11" w:name="RDnote"/>
      <w:bookmarkStart w:id="12" w:name="_Toc430080961"/>
      <w:bookmarkStart w:id="13" w:name="_Toc438454200"/>
      <w:bookmarkEnd w:id="9"/>
      <w:bookmarkEnd w:id="10"/>
      <w:bookmarkEnd w:id="11"/>
      <w:r>
        <w:lastRenderedPageBreak/>
        <w:t>Abbreviations</w:t>
      </w:r>
      <w:bookmarkEnd w:id="12"/>
      <w:bookmarkEnd w:id="13"/>
    </w:p>
    <w:p w14:paraId="61F7AF6A" w14:textId="7ADE4F7E" w:rsidR="00464E64" w:rsidRDefault="00464E64" w:rsidP="008449B8">
      <w:pPr>
        <w:pStyle w:val="Abbreviation"/>
      </w:pPr>
      <w:proofErr w:type="spellStart"/>
      <w:r>
        <w:t>2G</w:t>
      </w:r>
      <w:proofErr w:type="spellEnd"/>
      <w:r>
        <w:tab/>
        <w:t xml:space="preserve">Second generation </w:t>
      </w:r>
    </w:p>
    <w:p w14:paraId="73C81925" w14:textId="76115410" w:rsidR="008449B8" w:rsidRDefault="008449B8" w:rsidP="008449B8">
      <w:pPr>
        <w:pStyle w:val="Abbreviation"/>
      </w:pPr>
      <w:proofErr w:type="spellStart"/>
      <w:r>
        <w:t>3G</w:t>
      </w:r>
      <w:proofErr w:type="spellEnd"/>
      <w:r>
        <w:tab/>
        <w:t>Third generation</w:t>
      </w:r>
    </w:p>
    <w:p w14:paraId="5E79A044" w14:textId="77777777" w:rsidR="008449B8" w:rsidRDefault="008449B8" w:rsidP="008449B8">
      <w:pPr>
        <w:pStyle w:val="Abbreviation"/>
      </w:pPr>
      <w:proofErr w:type="spellStart"/>
      <w:r>
        <w:t>3GPP</w:t>
      </w:r>
      <w:proofErr w:type="spellEnd"/>
      <w:r>
        <w:tab/>
        <w:t>3</w:t>
      </w:r>
      <w:r w:rsidRPr="00BD27F1">
        <w:rPr>
          <w:vertAlign w:val="superscript"/>
        </w:rPr>
        <w:t>rd</w:t>
      </w:r>
      <w:r>
        <w:t xml:space="preserve"> Generation Partnership Project</w:t>
      </w:r>
    </w:p>
    <w:p w14:paraId="7B064C68" w14:textId="77777777" w:rsidR="008449B8" w:rsidRDefault="008449B8" w:rsidP="008449B8">
      <w:pPr>
        <w:pStyle w:val="Abbreviation"/>
      </w:pPr>
      <w:proofErr w:type="spellStart"/>
      <w:r>
        <w:t>4G</w:t>
      </w:r>
      <w:proofErr w:type="spellEnd"/>
      <w:r>
        <w:tab/>
        <w:t>Fourth generation</w:t>
      </w:r>
    </w:p>
    <w:p w14:paraId="3BAE2DB7" w14:textId="77777777" w:rsidR="008449B8" w:rsidRDefault="008449B8" w:rsidP="008449B8">
      <w:pPr>
        <w:pStyle w:val="Abbreviation"/>
      </w:pPr>
      <w:proofErr w:type="spellStart"/>
      <w:r>
        <w:t>5G</w:t>
      </w:r>
      <w:proofErr w:type="spellEnd"/>
      <w:r>
        <w:tab/>
        <w:t>Fifth generation</w:t>
      </w:r>
    </w:p>
    <w:p w14:paraId="241C89BE" w14:textId="77777777" w:rsidR="008449B8" w:rsidRDefault="008449B8" w:rsidP="008449B8">
      <w:pPr>
        <w:pStyle w:val="Abbreviation"/>
      </w:pPr>
      <w:proofErr w:type="spellStart"/>
      <w:r>
        <w:t>ACCC</w:t>
      </w:r>
      <w:proofErr w:type="spellEnd"/>
      <w:r>
        <w:tab/>
        <w:t>Australian Competition and Consumer Commission</w:t>
      </w:r>
    </w:p>
    <w:p w14:paraId="75DD03B4" w14:textId="77777777" w:rsidR="008449B8" w:rsidRDefault="008449B8" w:rsidP="008449B8">
      <w:pPr>
        <w:pStyle w:val="Abbreviation"/>
      </w:pPr>
      <w:proofErr w:type="spellStart"/>
      <w:r>
        <w:t>ACMA</w:t>
      </w:r>
      <w:proofErr w:type="spellEnd"/>
      <w:r>
        <w:tab/>
        <w:t>Australian Communications and Media Authority</w:t>
      </w:r>
    </w:p>
    <w:p w14:paraId="3AE40DBF" w14:textId="77777777" w:rsidR="008449B8" w:rsidRDefault="008449B8" w:rsidP="008449B8">
      <w:pPr>
        <w:pStyle w:val="Abbreviation"/>
      </w:pPr>
      <w:r>
        <w:t>APT</w:t>
      </w:r>
      <w:r>
        <w:tab/>
      </w:r>
      <w:r w:rsidRPr="00C15A0F">
        <w:t xml:space="preserve">Asia-Pacific </w:t>
      </w:r>
      <w:proofErr w:type="spellStart"/>
      <w:r w:rsidRPr="00C15A0F">
        <w:t>Telecommunity</w:t>
      </w:r>
      <w:proofErr w:type="spellEnd"/>
    </w:p>
    <w:p w14:paraId="444DC50F" w14:textId="7E58452B" w:rsidR="00E91470" w:rsidRDefault="00E91470" w:rsidP="008449B8">
      <w:pPr>
        <w:pStyle w:val="Abbreviation"/>
      </w:pPr>
      <w:r>
        <w:t>ARP</w:t>
      </w:r>
      <w:r>
        <w:tab/>
      </w:r>
      <w:r w:rsidRPr="003D72B4">
        <w:t>Allocation and Retention Priority</w:t>
      </w:r>
      <w:r>
        <w:tab/>
      </w:r>
    </w:p>
    <w:p w14:paraId="59F02DE1" w14:textId="77777777" w:rsidR="008449B8" w:rsidRDefault="008449B8" w:rsidP="008449B8">
      <w:pPr>
        <w:pStyle w:val="Abbreviation"/>
      </w:pPr>
      <w:proofErr w:type="spellStart"/>
      <w:r>
        <w:t>BAU</w:t>
      </w:r>
      <w:proofErr w:type="spellEnd"/>
      <w:r>
        <w:tab/>
        <w:t>Business as usual</w:t>
      </w:r>
    </w:p>
    <w:p w14:paraId="6E1CF43E" w14:textId="77777777" w:rsidR="008449B8" w:rsidRDefault="008449B8" w:rsidP="008449B8">
      <w:pPr>
        <w:pStyle w:val="Abbreviation"/>
      </w:pPr>
      <w:r>
        <w:t>bps</w:t>
      </w:r>
      <w:r>
        <w:tab/>
        <w:t>Bits per second</w:t>
      </w:r>
    </w:p>
    <w:p w14:paraId="27E2446C" w14:textId="77777777" w:rsidR="00373E01" w:rsidRDefault="00373E01" w:rsidP="00373E01">
      <w:pPr>
        <w:pStyle w:val="Abbreviation"/>
      </w:pPr>
      <w:r>
        <w:t>BSS</w:t>
      </w:r>
      <w:r>
        <w:tab/>
        <w:t>Business Support System</w:t>
      </w:r>
    </w:p>
    <w:p w14:paraId="67D2D0C1" w14:textId="77777777" w:rsidR="008449B8" w:rsidRDefault="008449B8" w:rsidP="008449B8">
      <w:pPr>
        <w:pStyle w:val="Abbreviation"/>
      </w:pPr>
      <w:r>
        <w:t>CAD</w:t>
      </w:r>
      <w:r>
        <w:tab/>
        <w:t>Computer Aided Dispatch</w:t>
      </w:r>
    </w:p>
    <w:p w14:paraId="0574BA86" w14:textId="77777777" w:rsidR="008449B8" w:rsidRDefault="008449B8" w:rsidP="008449B8">
      <w:pPr>
        <w:pStyle w:val="Abbreviation"/>
      </w:pPr>
      <w:proofErr w:type="spellStart"/>
      <w:r>
        <w:t>CBA</w:t>
      </w:r>
      <w:proofErr w:type="spellEnd"/>
      <w:r>
        <w:tab/>
        <w:t>Cost–benefit analysis</w:t>
      </w:r>
    </w:p>
    <w:p w14:paraId="6A244E04" w14:textId="77777777" w:rsidR="008449B8" w:rsidRDefault="008449B8" w:rsidP="008449B8">
      <w:pPr>
        <w:pStyle w:val="Abbreviation"/>
      </w:pPr>
      <w:r>
        <w:t>CBD</w:t>
      </w:r>
      <w:r>
        <w:tab/>
        <w:t>Central business district</w:t>
      </w:r>
    </w:p>
    <w:p w14:paraId="0DD1D728" w14:textId="77777777" w:rsidR="008449B8" w:rsidRDefault="008449B8" w:rsidP="008449B8">
      <w:pPr>
        <w:pStyle w:val="Abbreviation"/>
      </w:pPr>
      <w:proofErr w:type="spellStart"/>
      <w:r>
        <w:t>COAG</w:t>
      </w:r>
      <w:proofErr w:type="spellEnd"/>
      <w:r>
        <w:tab/>
        <w:t>Council of Australian Governments</w:t>
      </w:r>
    </w:p>
    <w:p w14:paraId="4637DBFE" w14:textId="77777777" w:rsidR="008449B8" w:rsidRDefault="008449B8" w:rsidP="008449B8">
      <w:pPr>
        <w:pStyle w:val="Abbreviation"/>
      </w:pPr>
      <w:r>
        <w:t>COW</w:t>
      </w:r>
      <w:r>
        <w:tab/>
        <w:t>Cell on wheels</w:t>
      </w:r>
    </w:p>
    <w:p w14:paraId="511E7011" w14:textId="197DD913" w:rsidR="00EE0545" w:rsidRDefault="00EE0545" w:rsidP="008449B8">
      <w:pPr>
        <w:pStyle w:val="Abbreviation"/>
      </w:pPr>
      <w:r>
        <w:t>ESN</w:t>
      </w:r>
      <w:r>
        <w:tab/>
      </w:r>
      <w:r w:rsidRPr="00554943">
        <w:t>Emergency Services Network</w:t>
      </w:r>
    </w:p>
    <w:p w14:paraId="67FF7D88" w14:textId="77777777" w:rsidR="008449B8" w:rsidRDefault="008449B8" w:rsidP="008449B8">
      <w:pPr>
        <w:pStyle w:val="Abbreviation"/>
      </w:pPr>
      <w:r>
        <w:t>GB</w:t>
      </w:r>
      <w:r>
        <w:tab/>
        <w:t>Gigabyte</w:t>
      </w:r>
    </w:p>
    <w:p w14:paraId="4F7FB793" w14:textId="77777777" w:rsidR="008449B8" w:rsidRDefault="008449B8" w:rsidP="008449B8">
      <w:pPr>
        <w:pStyle w:val="Abbreviation"/>
      </w:pPr>
      <w:r>
        <w:t>GHz</w:t>
      </w:r>
      <w:r>
        <w:tab/>
        <w:t>Gigahertz</w:t>
      </w:r>
    </w:p>
    <w:p w14:paraId="71B27531" w14:textId="77777777" w:rsidR="008449B8" w:rsidRDefault="008449B8" w:rsidP="008449B8">
      <w:pPr>
        <w:pStyle w:val="Abbreviation"/>
      </w:pPr>
      <w:r>
        <w:t>GPS</w:t>
      </w:r>
      <w:r>
        <w:tab/>
        <w:t>Global Positioning System</w:t>
      </w:r>
    </w:p>
    <w:p w14:paraId="6646BD21" w14:textId="77777777" w:rsidR="008449B8" w:rsidRDefault="008449B8" w:rsidP="008449B8">
      <w:pPr>
        <w:pStyle w:val="Abbreviation"/>
      </w:pPr>
      <w:proofErr w:type="spellStart"/>
      <w:r>
        <w:t>GRN</w:t>
      </w:r>
      <w:proofErr w:type="spellEnd"/>
      <w:r>
        <w:tab/>
        <w:t>Government Radio Network</w:t>
      </w:r>
    </w:p>
    <w:p w14:paraId="42D27D38" w14:textId="77777777" w:rsidR="008449B8" w:rsidRDefault="008449B8" w:rsidP="008449B8">
      <w:pPr>
        <w:pStyle w:val="Abbreviation"/>
      </w:pPr>
      <w:r>
        <w:t>GSM</w:t>
      </w:r>
      <w:r>
        <w:tab/>
      </w:r>
      <w:r w:rsidRPr="00AF2A6F">
        <w:t>Global System for Mobile Communications</w:t>
      </w:r>
    </w:p>
    <w:p w14:paraId="201AAC35" w14:textId="77777777" w:rsidR="008449B8" w:rsidRDefault="008449B8" w:rsidP="008449B8">
      <w:pPr>
        <w:pStyle w:val="Abbreviation"/>
      </w:pPr>
      <w:proofErr w:type="spellStart"/>
      <w:r>
        <w:t>GWN</w:t>
      </w:r>
      <w:proofErr w:type="spellEnd"/>
      <w:r>
        <w:tab/>
        <w:t>Government Wireless Network</w:t>
      </w:r>
    </w:p>
    <w:p w14:paraId="3A4D1F15" w14:textId="77777777" w:rsidR="008449B8" w:rsidRDefault="008449B8" w:rsidP="008449B8">
      <w:pPr>
        <w:pStyle w:val="Abbreviation"/>
      </w:pPr>
      <w:proofErr w:type="spellStart"/>
      <w:r>
        <w:t>HF</w:t>
      </w:r>
      <w:proofErr w:type="spellEnd"/>
      <w:r>
        <w:tab/>
        <w:t>High frequency</w:t>
      </w:r>
    </w:p>
    <w:p w14:paraId="105D322B" w14:textId="6E2F5AF0" w:rsidR="009C39F4" w:rsidRDefault="009C39F4" w:rsidP="008449B8">
      <w:pPr>
        <w:pStyle w:val="Abbreviation"/>
      </w:pPr>
      <w:proofErr w:type="spellStart"/>
      <w:r>
        <w:t>HSDPA</w:t>
      </w:r>
      <w:proofErr w:type="spellEnd"/>
      <w:r>
        <w:tab/>
      </w:r>
      <w:r w:rsidRPr="009C39F4">
        <w:t>High-Speed Downlink Packet Access</w:t>
      </w:r>
    </w:p>
    <w:p w14:paraId="3BAE3A74" w14:textId="77777777" w:rsidR="008449B8" w:rsidRDefault="008449B8" w:rsidP="008449B8">
      <w:pPr>
        <w:pStyle w:val="Abbreviation"/>
      </w:pPr>
      <w:r>
        <w:t>IC</w:t>
      </w:r>
      <w:r>
        <w:tab/>
        <w:t>Industry Commission</w:t>
      </w:r>
    </w:p>
    <w:p w14:paraId="3854E001" w14:textId="1E72CD75" w:rsidR="002B4ACA" w:rsidRDefault="002B4ACA" w:rsidP="008449B8">
      <w:pPr>
        <w:pStyle w:val="Abbreviation"/>
      </w:pPr>
      <w:proofErr w:type="spellStart"/>
      <w:r>
        <w:lastRenderedPageBreak/>
        <w:t>IoT</w:t>
      </w:r>
      <w:proofErr w:type="spellEnd"/>
      <w:r>
        <w:tab/>
      </w:r>
      <w:proofErr w:type="spellStart"/>
      <w:r>
        <w:t>Internet</w:t>
      </w:r>
      <w:proofErr w:type="spellEnd"/>
      <w:r>
        <w:t xml:space="preserve"> of Things</w:t>
      </w:r>
    </w:p>
    <w:p w14:paraId="2605351B" w14:textId="77777777" w:rsidR="008449B8" w:rsidRDefault="008449B8" w:rsidP="008449B8">
      <w:pPr>
        <w:pStyle w:val="Abbreviation"/>
      </w:pPr>
      <w:r>
        <w:t>IP</w:t>
      </w:r>
      <w:r>
        <w:tab/>
      </w:r>
      <w:proofErr w:type="spellStart"/>
      <w:r>
        <w:t>Internet</w:t>
      </w:r>
      <w:proofErr w:type="spellEnd"/>
      <w:r>
        <w:t xml:space="preserve"> protocol</w:t>
      </w:r>
    </w:p>
    <w:p w14:paraId="30D312CB" w14:textId="77777777" w:rsidR="008449B8" w:rsidRDefault="008449B8" w:rsidP="008449B8">
      <w:pPr>
        <w:pStyle w:val="Abbreviation"/>
      </w:pPr>
      <w:r>
        <w:t>IT</w:t>
      </w:r>
      <w:r>
        <w:tab/>
        <w:t>Information technology</w:t>
      </w:r>
    </w:p>
    <w:p w14:paraId="2C84C240" w14:textId="77777777" w:rsidR="008449B8" w:rsidRDefault="008449B8" w:rsidP="008449B8">
      <w:pPr>
        <w:pStyle w:val="Abbreviation"/>
      </w:pPr>
      <w:proofErr w:type="spellStart"/>
      <w:r>
        <w:t>ITU</w:t>
      </w:r>
      <w:proofErr w:type="spellEnd"/>
      <w:r>
        <w:tab/>
      </w:r>
      <w:r w:rsidRPr="00C50FC5">
        <w:t>International Telecommunication Union</w:t>
      </w:r>
    </w:p>
    <w:p w14:paraId="7668EA01" w14:textId="2510EF1C" w:rsidR="009C39F4" w:rsidRDefault="009C39F4" w:rsidP="008449B8">
      <w:pPr>
        <w:pStyle w:val="Abbreviation"/>
      </w:pPr>
      <w:proofErr w:type="spellStart"/>
      <w:r>
        <w:t>ITU</w:t>
      </w:r>
      <w:proofErr w:type="spellEnd"/>
      <w:r>
        <w:t>-R</w:t>
      </w:r>
      <w:r>
        <w:tab/>
      </w:r>
      <w:r w:rsidRPr="009C39F4">
        <w:t>Interna</w:t>
      </w:r>
      <w:r>
        <w:t>tional Telecommunication Union</w:t>
      </w:r>
      <w:r w:rsidRPr="009C39F4">
        <w:t xml:space="preserve"> </w:t>
      </w:r>
      <w:proofErr w:type="spellStart"/>
      <w:r w:rsidR="009271DA">
        <w:t>r</w:t>
      </w:r>
      <w:r w:rsidRPr="009C39F4">
        <w:t>adiocommunications</w:t>
      </w:r>
      <w:proofErr w:type="spellEnd"/>
      <w:r w:rsidRPr="009C39F4">
        <w:t xml:space="preserve"> </w:t>
      </w:r>
      <w:r w:rsidR="009271DA">
        <w:t>s</w:t>
      </w:r>
      <w:r w:rsidRPr="009C39F4">
        <w:t>ector</w:t>
      </w:r>
    </w:p>
    <w:p w14:paraId="7C1CD62E" w14:textId="31E61E87" w:rsidR="008449B8" w:rsidRDefault="008449B8" w:rsidP="008449B8">
      <w:pPr>
        <w:pStyle w:val="Abbreviation"/>
      </w:pPr>
      <w:r>
        <w:t>kbps</w:t>
      </w:r>
      <w:r>
        <w:tab/>
        <w:t>kilobits per second</w:t>
      </w:r>
    </w:p>
    <w:p w14:paraId="7951A71B" w14:textId="0FC2E50A" w:rsidR="008449B8" w:rsidRDefault="008449B8" w:rsidP="008449B8">
      <w:pPr>
        <w:pStyle w:val="Abbreviation"/>
      </w:pPr>
      <w:proofErr w:type="spellStart"/>
      <w:r>
        <w:t>LMR</w:t>
      </w:r>
      <w:proofErr w:type="spellEnd"/>
      <w:r>
        <w:tab/>
        <w:t xml:space="preserve">Land </w:t>
      </w:r>
      <w:r w:rsidR="003B26E5">
        <w:t>m</w:t>
      </w:r>
      <w:r>
        <w:t xml:space="preserve">obile </w:t>
      </w:r>
      <w:r w:rsidR="003B26E5">
        <w:t>r</w:t>
      </w:r>
      <w:r>
        <w:t>adio</w:t>
      </w:r>
    </w:p>
    <w:p w14:paraId="4C84B583" w14:textId="77777777" w:rsidR="008449B8" w:rsidRDefault="008449B8" w:rsidP="008449B8">
      <w:pPr>
        <w:pStyle w:val="Abbreviation"/>
      </w:pPr>
      <w:r>
        <w:t>LTE</w:t>
      </w:r>
      <w:r>
        <w:tab/>
        <w:t>Long Term Evolution</w:t>
      </w:r>
    </w:p>
    <w:p w14:paraId="215A838F" w14:textId="74353591" w:rsidR="002B4ACA" w:rsidRDefault="002B4ACA" w:rsidP="008449B8">
      <w:pPr>
        <w:pStyle w:val="Abbreviation"/>
      </w:pPr>
      <w:proofErr w:type="spellStart"/>
      <w:r>
        <w:t>M2M</w:t>
      </w:r>
      <w:proofErr w:type="spellEnd"/>
      <w:r>
        <w:tab/>
        <w:t>Machine</w:t>
      </w:r>
      <w:r>
        <w:noBreakHyphen/>
        <w:t>to</w:t>
      </w:r>
      <w:r>
        <w:noBreakHyphen/>
        <w:t>machine</w:t>
      </w:r>
    </w:p>
    <w:p w14:paraId="1715B5D2" w14:textId="612546C5" w:rsidR="00167EF1" w:rsidRDefault="00167EF1" w:rsidP="008449B8">
      <w:pPr>
        <w:pStyle w:val="Abbreviation"/>
      </w:pPr>
      <w:proofErr w:type="spellStart"/>
      <w:r>
        <w:t>MAPL</w:t>
      </w:r>
      <w:proofErr w:type="spellEnd"/>
      <w:r>
        <w:tab/>
        <w:t>M</w:t>
      </w:r>
      <w:r w:rsidRPr="00167EF1">
        <w:t>aximum allowable propagation loss</w:t>
      </w:r>
    </w:p>
    <w:p w14:paraId="1A34426D" w14:textId="77777777" w:rsidR="008449B8" w:rsidRDefault="008449B8" w:rsidP="008449B8">
      <w:pPr>
        <w:pStyle w:val="Abbreviation"/>
      </w:pPr>
      <w:r>
        <w:t>MB</w:t>
      </w:r>
      <w:r>
        <w:tab/>
        <w:t>Megabyte</w:t>
      </w:r>
    </w:p>
    <w:p w14:paraId="61E50F49" w14:textId="77777777" w:rsidR="008449B8" w:rsidRDefault="008449B8" w:rsidP="008449B8">
      <w:pPr>
        <w:pStyle w:val="Abbreviation"/>
      </w:pPr>
      <w:r>
        <w:t>Mbps</w:t>
      </w:r>
      <w:r>
        <w:tab/>
        <w:t>Megabits per second</w:t>
      </w:r>
    </w:p>
    <w:p w14:paraId="2B884C7F" w14:textId="77777777" w:rsidR="008449B8" w:rsidRDefault="008449B8" w:rsidP="008449B8">
      <w:pPr>
        <w:pStyle w:val="Abbreviation"/>
      </w:pPr>
      <w:proofErr w:type="spellStart"/>
      <w:r>
        <w:t>MDN</w:t>
      </w:r>
      <w:proofErr w:type="spellEnd"/>
      <w:r>
        <w:tab/>
        <w:t>Mobile Data Network</w:t>
      </w:r>
    </w:p>
    <w:p w14:paraId="72860B77" w14:textId="400A2802" w:rsidR="00D52550" w:rsidRDefault="00D52550" w:rsidP="008449B8">
      <w:pPr>
        <w:pStyle w:val="Abbreviation"/>
      </w:pPr>
      <w:r>
        <w:t>MDT</w:t>
      </w:r>
      <w:r>
        <w:tab/>
        <w:t>Mobile Data Terminal</w:t>
      </w:r>
    </w:p>
    <w:p w14:paraId="4D912AA6" w14:textId="17505D36" w:rsidR="00861D48" w:rsidRDefault="00861D48" w:rsidP="008449B8">
      <w:pPr>
        <w:pStyle w:val="Abbreviation"/>
      </w:pPr>
      <w:proofErr w:type="spellStart"/>
      <w:r>
        <w:t>MFB</w:t>
      </w:r>
      <w:proofErr w:type="spellEnd"/>
      <w:r>
        <w:tab/>
        <w:t>Metropolitan Fire Brigade</w:t>
      </w:r>
    </w:p>
    <w:p w14:paraId="26EB69F9" w14:textId="77777777" w:rsidR="008449B8" w:rsidRDefault="008449B8" w:rsidP="008449B8">
      <w:pPr>
        <w:pStyle w:val="Abbreviation"/>
      </w:pPr>
      <w:r>
        <w:t>MHz</w:t>
      </w:r>
      <w:r>
        <w:tab/>
        <w:t>Megahertz</w:t>
      </w:r>
    </w:p>
    <w:p w14:paraId="304D3406" w14:textId="77777777" w:rsidR="008449B8" w:rsidRDefault="008449B8" w:rsidP="008449B8">
      <w:pPr>
        <w:pStyle w:val="Abbreviation"/>
      </w:pPr>
      <w:proofErr w:type="spellStart"/>
      <w:r>
        <w:t>MIMO</w:t>
      </w:r>
      <w:proofErr w:type="spellEnd"/>
      <w:r>
        <w:tab/>
        <w:t>Multiple Input Multiple Output</w:t>
      </w:r>
    </w:p>
    <w:p w14:paraId="028C816A" w14:textId="17DC7E8C" w:rsidR="00975789" w:rsidRDefault="00975789" w:rsidP="008449B8">
      <w:pPr>
        <w:pStyle w:val="Abbreviation"/>
      </w:pPr>
      <w:proofErr w:type="spellStart"/>
      <w:r>
        <w:t>MVNO</w:t>
      </w:r>
      <w:proofErr w:type="spellEnd"/>
      <w:r>
        <w:tab/>
        <w:t>Mobile Virtual Network Operator</w:t>
      </w:r>
    </w:p>
    <w:p w14:paraId="1CD1975C" w14:textId="77777777" w:rsidR="008449B8" w:rsidRDefault="008449B8" w:rsidP="008449B8">
      <w:pPr>
        <w:pStyle w:val="Abbreviation"/>
      </w:pPr>
      <w:proofErr w:type="spellStart"/>
      <w:r>
        <w:t>NBN</w:t>
      </w:r>
      <w:proofErr w:type="spellEnd"/>
      <w:r>
        <w:tab/>
        <w:t>National Broadband Network</w:t>
      </w:r>
    </w:p>
    <w:p w14:paraId="2FA85B58" w14:textId="5FB45E8E" w:rsidR="008449B8" w:rsidRDefault="008449B8" w:rsidP="008449B8">
      <w:pPr>
        <w:pStyle w:val="Abbreviation"/>
      </w:pPr>
      <w:proofErr w:type="spellStart"/>
      <w:r>
        <w:t>NCCGR</w:t>
      </w:r>
      <w:proofErr w:type="spellEnd"/>
      <w:r>
        <w:tab/>
      </w:r>
      <w:r w:rsidRPr="00C50FC5">
        <w:t>National Coordinatin</w:t>
      </w:r>
      <w:r w:rsidR="00762A27">
        <w:t>g</w:t>
      </w:r>
      <w:r w:rsidRPr="00C50FC5">
        <w:t xml:space="preserve"> Committee for Government </w:t>
      </w:r>
      <w:proofErr w:type="spellStart"/>
      <w:r w:rsidRPr="00C50FC5">
        <w:t>Radiocommunications</w:t>
      </w:r>
      <w:proofErr w:type="spellEnd"/>
    </w:p>
    <w:p w14:paraId="6D27656E" w14:textId="77777777" w:rsidR="008449B8" w:rsidRDefault="008449B8" w:rsidP="008449B8">
      <w:pPr>
        <w:pStyle w:val="Abbreviation"/>
      </w:pPr>
      <w:proofErr w:type="spellStart"/>
      <w:r>
        <w:t>NPV</w:t>
      </w:r>
      <w:proofErr w:type="spellEnd"/>
      <w:r>
        <w:tab/>
        <w:t>Net present value</w:t>
      </w:r>
    </w:p>
    <w:p w14:paraId="540866D2" w14:textId="29C33551" w:rsidR="00B34954" w:rsidRDefault="00B34954" w:rsidP="008449B8">
      <w:pPr>
        <w:pStyle w:val="Abbreviation"/>
      </w:pPr>
      <w:r>
        <w:t>OECD</w:t>
      </w:r>
      <w:r>
        <w:tab/>
        <w:t>Organisation for Economic Co</w:t>
      </w:r>
      <w:r w:rsidR="00576330">
        <w:noBreakHyphen/>
      </w:r>
      <w:r>
        <w:t>operation and Development</w:t>
      </w:r>
    </w:p>
    <w:p w14:paraId="740BE901" w14:textId="3002E374" w:rsidR="00373E01" w:rsidRDefault="00373E01" w:rsidP="008449B8">
      <w:pPr>
        <w:pStyle w:val="Abbreviation"/>
      </w:pPr>
      <w:r>
        <w:t>OSS</w:t>
      </w:r>
      <w:r>
        <w:tab/>
        <w:t>Operations Support System</w:t>
      </w:r>
    </w:p>
    <w:p w14:paraId="74C84E98" w14:textId="77777777" w:rsidR="008449B8" w:rsidRDefault="008449B8" w:rsidP="008449B8">
      <w:pPr>
        <w:pStyle w:val="Abbreviation"/>
      </w:pPr>
      <w:proofErr w:type="spellStart"/>
      <w:r>
        <w:t>P25</w:t>
      </w:r>
      <w:proofErr w:type="spellEnd"/>
      <w:r>
        <w:tab/>
        <w:t>Project 25 digital radio</w:t>
      </w:r>
    </w:p>
    <w:p w14:paraId="437C025F" w14:textId="77777777" w:rsidR="008449B8" w:rsidRDefault="008449B8" w:rsidP="008449B8">
      <w:pPr>
        <w:pStyle w:val="Abbreviation"/>
      </w:pPr>
      <w:r>
        <w:t>PC</w:t>
      </w:r>
      <w:r>
        <w:tab/>
        <w:t>Productivity Commission</w:t>
      </w:r>
    </w:p>
    <w:p w14:paraId="0773D8BF" w14:textId="77777777" w:rsidR="008449B8" w:rsidRDefault="008449B8" w:rsidP="008449B8">
      <w:pPr>
        <w:pStyle w:val="Abbreviation"/>
      </w:pPr>
      <w:proofErr w:type="spellStart"/>
      <w:r>
        <w:t>PLMN</w:t>
      </w:r>
      <w:proofErr w:type="spellEnd"/>
      <w:r>
        <w:tab/>
        <w:t>P</w:t>
      </w:r>
      <w:r w:rsidRPr="001500C6">
        <w:t xml:space="preserve">ublic </w:t>
      </w:r>
      <w:r>
        <w:t>L</w:t>
      </w:r>
      <w:r w:rsidRPr="001500C6">
        <w:t xml:space="preserve">and </w:t>
      </w:r>
      <w:r>
        <w:t>M</w:t>
      </w:r>
      <w:r w:rsidRPr="001500C6">
        <w:t xml:space="preserve">obile </w:t>
      </w:r>
      <w:r>
        <w:t>N</w:t>
      </w:r>
      <w:r w:rsidRPr="001500C6">
        <w:t>etwork</w:t>
      </w:r>
    </w:p>
    <w:p w14:paraId="024ECFE3" w14:textId="77777777" w:rsidR="008449B8" w:rsidRDefault="008449B8" w:rsidP="008449B8">
      <w:pPr>
        <w:pStyle w:val="Abbreviation"/>
      </w:pPr>
      <w:proofErr w:type="spellStart"/>
      <w:r>
        <w:t>PPDR</w:t>
      </w:r>
      <w:proofErr w:type="spellEnd"/>
      <w:r>
        <w:tab/>
      </w:r>
      <w:r w:rsidRPr="00C50FC5">
        <w:t>Public protection and disaster relief</w:t>
      </w:r>
    </w:p>
    <w:p w14:paraId="2489E94B" w14:textId="77777777" w:rsidR="008449B8" w:rsidRDefault="008449B8" w:rsidP="008449B8">
      <w:pPr>
        <w:pStyle w:val="Abbreviation"/>
      </w:pPr>
      <w:proofErr w:type="spellStart"/>
      <w:r>
        <w:t>PSA</w:t>
      </w:r>
      <w:proofErr w:type="spellEnd"/>
      <w:r>
        <w:tab/>
        <w:t>Public safety agency</w:t>
      </w:r>
    </w:p>
    <w:p w14:paraId="59C7B412" w14:textId="77777777" w:rsidR="008449B8" w:rsidRDefault="008449B8" w:rsidP="008449B8">
      <w:pPr>
        <w:pStyle w:val="Abbreviation"/>
      </w:pPr>
      <w:proofErr w:type="spellStart"/>
      <w:r>
        <w:t>PSMB</w:t>
      </w:r>
      <w:proofErr w:type="spellEnd"/>
      <w:r>
        <w:tab/>
        <w:t>Public safety mobile broadband</w:t>
      </w:r>
    </w:p>
    <w:p w14:paraId="5D53EE81" w14:textId="77777777" w:rsidR="008449B8" w:rsidRDefault="008449B8" w:rsidP="008449B8">
      <w:pPr>
        <w:pStyle w:val="Abbreviation"/>
      </w:pPr>
      <w:proofErr w:type="spellStart"/>
      <w:r w:rsidRPr="00761DCC">
        <w:t>PSMBSC</w:t>
      </w:r>
      <w:proofErr w:type="spellEnd"/>
      <w:r>
        <w:tab/>
        <w:t>Public Safety Mobile Broadband Steering Committee</w:t>
      </w:r>
    </w:p>
    <w:p w14:paraId="77F1AE24" w14:textId="77777777" w:rsidR="008449B8" w:rsidRDefault="008449B8" w:rsidP="008449B8">
      <w:pPr>
        <w:pStyle w:val="Abbreviation"/>
      </w:pPr>
      <w:r>
        <w:t>PTT</w:t>
      </w:r>
      <w:r>
        <w:tab/>
        <w:t>Push to talk</w:t>
      </w:r>
    </w:p>
    <w:p w14:paraId="0DB28EC5" w14:textId="77777777" w:rsidR="008449B8" w:rsidRDefault="008449B8" w:rsidP="008449B8">
      <w:pPr>
        <w:pStyle w:val="Abbreviation"/>
      </w:pPr>
      <w:proofErr w:type="spellStart"/>
      <w:r>
        <w:lastRenderedPageBreak/>
        <w:t>QoS</w:t>
      </w:r>
      <w:proofErr w:type="spellEnd"/>
      <w:r>
        <w:tab/>
        <w:t>Quality of service</w:t>
      </w:r>
    </w:p>
    <w:p w14:paraId="161BE06E" w14:textId="6009158C" w:rsidR="008449B8" w:rsidRDefault="003B26E5" w:rsidP="008449B8">
      <w:pPr>
        <w:pStyle w:val="Abbreviation"/>
      </w:pPr>
      <w:r>
        <w:t>RAN</w:t>
      </w:r>
      <w:r>
        <w:tab/>
        <w:t>Radio a</w:t>
      </w:r>
      <w:r w:rsidR="008449B8">
        <w:t xml:space="preserve">ccess </w:t>
      </w:r>
      <w:r>
        <w:t>n</w:t>
      </w:r>
      <w:r w:rsidR="008449B8">
        <w:t>etwork</w:t>
      </w:r>
    </w:p>
    <w:p w14:paraId="6A52884D" w14:textId="7B43D327" w:rsidR="00167EF1" w:rsidRDefault="00167EF1" w:rsidP="008449B8">
      <w:pPr>
        <w:pStyle w:val="Abbreviation"/>
      </w:pPr>
      <w:proofErr w:type="spellStart"/>
      <w:r>
        <w:t>SA1</w:t>
      </w:r>
      <w:proofErr w:type="spellEnd"/>
      <w:r>
        <w:tab/>
        <w:t>Statistical Area Level 1</w:t>
      </w:r>
    </w:p>
    <w:p w14:paraId="4198824B" w14:textId="7F8E746F" w:rsidR="00167EF1" w:rsidRDefault="00167EF1" w:rsidP="008449B8">
      <w:pPr>
        <w:pStyle w:val="Abbreviation"/>
      </w:pPr>
      <w:proofErr w:type="spellStart"/>
      <w:r>
        <w:t>SA2</w:t>
      </w:r>
      <w:proofErr w:type="spellEnd"/>
      <w:r>
        <w:tab/>
        <w:t>Statistical Area Level 2</w:t>
      </w:r>
    </w:p>
    <w:p w14:paraId="467D8CAA" w14:textId="77777777" w:rsidR="008449B8" w:rsidRDefault="008449B8" w:rsidP="008449B8">
      <w:pPr>
        <w:pStyle w:val="Abbreviation"/>
      </w:pPr>
      <w:r>
        <w:t>SES</w:t>
      </w:r>
      <w:r>
        <w:tab/>
        <w:t>State Emergency Service</w:t>
      </w:r>
    </w:p>
    <w:p w14:paraId="598A3225" w14:textId="77777777" w:rsidR="008449B8" w:rsidRDefault="008449B8" w:rsidP="008449B8">
      <w:pPr>
        <w:pStyle w:val="Abbreviation"/>
      </w:pPr>
      <w:r>
        <w:t>SIM</w:t>
      </w:r>
      <w:r>
        <w:tab/>
        <w:t>S</w:t>
      </w:r>
      <w:r w:rsidRPr="00874431">
        <w:t>ubscriber</w:t>
      </w:r>
      <w:r>
        <w:t xml:space="preserve"> I</w:t>
      </w:r>
      <w:r w:rsidRPr="00874431">
        <w:t xml:space="preserve">dentity </w:t>
      </w:r>
      <w:r>
        <w:t>M</w:t>
      </w:r>
      <w:r w:rsidRPr="00874431">
        <w:t>odule</w:t>
      </w:r>
    </w:p>
    <w:p w14:paraId="25B28DDC" w14:textId="77777777" w:rsidR="008449B8" w:rsidRDefault="008449B8" w:rsidP="008449B8">
      <w:pPr>
        <w:pStyle w:val="Abbreviation"/>
      </w:pPr>
      <w:proofErr w:type="spellStart"/>
      <w:r>
        <w:t>SMS</w:t>
      </w:r>
      <w:proofErr w:type="spellEnd"/>
      <w:r>
        <w:tab/>
        <w:t>Short Message Service</w:t>
      </w:r>
    </w:p>
    <w:p w14:paraId="4DF8F149" w14:textId="77777777" w:rsidR="008449B8" w:rsidRDefault="008449B8" w:rsidP="008449B8">
      <w:pPr>
        <w:pStyle w:val="Abbreviation"/>
      </w:pPr>
      <w:r w:rsidRPr="00642DE3">
        <w:t>TETRA</w:t>
      </w:r>
      <w:r>
        <w:tab/>
      </w:r>
      <w:r w:rsidRPr="00642DE3">
        <w:t>Terrestrial Trunked Radio</w:t>
      </w:r>
    </w:p>
    <w:p w14:paraId="624D587B" w14:textId="77777777" w:rsidR="008449B8" w:rsidRDefault="008449B8" w:rsidP="008449B8">
      <w:pPr>
        <w:pStyle w:val="Abbreviation"/>
      </w:pPr>
      <w:r>
        <w:t>UHF</w:t>
      </w:r>
      <w:r>
        <w:tab/>
        <w:t>Ultra High Frequency</w:t>
      </w:r>
    </w:p>
    <w:p w14:paraId="4C485427" w14:textId="77777777" w:rsidR="008449B8" w:rsidRDefault="008449B8" w:rsidP="008449B8">
      <w:pPr>
        <w:pStyle w:val="Abbreviation"/>
      </w:pPr>
      <w:proofErr w:type="spellStart"/>
      <w:r>
        <w:t>USIM</w:t>
      </w:r>
      <w:proofErr w:type="spellEnd"/>
      <w:r>
        <w:tab/>
      </w:r>
      <w:r w:rsidRPr="00874431">
        <w:t>Universal Subscriber Identity Module</w:t>
      </w:r>
    </w:p>
    <w:p w14:paraId="0DD14479" w14:textId="77777777" w:rsidR="008449B8" w:rsidRDefault="008449B8" w:rsidP="008449B8">
      <w:pPr>
        <w:pStyle w:val="Abbreviation"/>
      </w:pPr>
      <w:r>
        <w:t>VHF</w:t>
      </w:r>
      <w:r>
        <w:tab/>
        <w:t>Very High Frequency</w:t>
      </w:r>
    </w:p>
    <w:p w14:paraId="303C8371" w14:textId="77777777" w:rsidR="008449B8" w:rsidRDefault="008449B8" w:rsidP="008449B8">
      <w:pPr>
        <w:pStyle w:val="Abbreviation"/>
      </w:pPr>
      <w:proofErr w:type="spellStart"/>
      <w:r>
        <w:t>WCDMA</w:t>
      </w:r>
      <w:proofErr w:type="spellEnd"/>
      <w:r>
        <w:tab/>
      </w:r>
      <w:r w:rsidRPr="004C52C9">
        <w:t>Wideband Code Division Multiple Access</w:t>
      </w:r>
    </w:p>
    <w:p w14:paraId="1C8B4358" w14:textId="77777777" w:rsidR="008449B8" w:rsidRDefault="008449B8" w:rsidP="008449B8">
      <w:pPr>
        <w:pStyle w:val="Abbreviation"/>
      </w:pPr>
      <w:proofErr w:type="spellStart"/>
      <w:r>
        <w:t>WLAN</w:t>
      </w:r>
      <w:proofErr w:type="spellEnd"/>
      <w:r>
        <w:t xml:space="preserve"> or Wi</w:t>
      </w:r>
      <w:r>
        <w:noBreakHyphen/>
        <w:t>Fi</w:t>
      </w:r>
      <w:r>
        <w:tab/>
        <w:t>Wireless local area network</w:t>
      </w:r>
    </w:p>
    <w:p w14:paraId="5A40D0EE" w14:textId="77777777" w:rsidR="00373E01" w:rsidRDefault="00373E01">
      <w:pPr>
        <w:rPr>
          <w:kern w:val="28"/>
          <w:sz w:val="52"/>
        </w:rPr>
      </w:pPr>
      <w:r>
        <w:br w:type="page"/>
      </w:r>
    </w:p>
    <w:p w14:paraId="25A350C6" w14:textId="2E67AC11" w:rsidR="008449B8" w:rsidRPr="007B2864" w:rsidRDefault="008449B8" w:rsidP="008449B8">
      <w:pPr>
        <w:pStyle w:val="Heading1"/>
      </w:pPr>
      <w:bookmarkStart w:id="14" w:name="_Toc430080962"/>
      <w:bookmarkStart w:id="15" w:name="_Toc438454201"/>
      <w:r w:rsidRPr="007B2864">
        <w:lastRenderedPageBreak/>
        <w:t>Glossary</w:t>
      </w:r>
      <w:bookmarkEnd w:id="14"/>
      <w:bookmarkEnd w:id="1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8449B8" w:rsidRPr="007B2864" w14:paraId="72D1CC40" w14:textId="77777777" w:rsidTr="00464E64">
        <w:tc>
          <w:tcPr>
            <w:tcW w:w="2155" w:type="dxa"/>
          </w:tcPr>
          <w:p w14:paraId="055E928D" w14:textId="77777777" w:rsidR="008449B8" w:rsidRPr="007B2864" w:rsidRDefault="008449B8" w:rsidP="00464E64">
            <w:pPr>
              <w:pStyle w:val="BodyText"/>
              <w:jc w:val="left"/>
            </w:pPr>
            <w:r w:rsidRPr="007B2864">
              <w:t>Capacity</w:t>
            </w:r>
          </w:p>
        </w:tc>
        <w:tc>
          <w:tcPr>
            <w:tcW w:w="6742" w:type="dxa"/>
          </w:tcPr>
          <w:p w14:paraId="1828DDCD" w14:textId="77777777" w:rsidR="008449B8" w:rsidRPr="007B2864" w:rsidRDefault="008449B8" w:rsidP="00464E64">
            <w:pPr>
              <w:pStyle w:val="BodyText"/>
            </w:pPr>
            <w:r w:rsidRPr="007B2864">
              <w:t xml:space="preserve">The </w:t>
            </w:r>
            <w:r>
              <w:t>volume</w:t>
            </w:r>
            <w:r w:rsidRPr="007B2864">
              <w:t xml:space="preserve"> of data that </w:t>
            </w:r>
            <w:r>
              <w:t>can be</w:t>
            </w:r>
            <w:r w:rsidRPr="007B2864">
              <w:t xml:space="preserve"> transmit</w:t>
            </w:r>
            <w:r>
              <w:t>ted</w:t>
            </w:r>
            <w:r w:rsidRPr="007B2864">
              <w:t xml:space="preserve"> over a mobile communications network</w:t>
            </w:r>
            <w:r>
              <w:t xml:space="preserve"> at a given point in time</w:t>
            </w:r>
          </w:p>
        </w:tc>
      </w:tr>
      <w:tr w:rsidR="007A52DC" w:rsidRPr="007B2864" w14:paraId="5490E9C0" w14:textId="77777777" w:rsidTr="00464E64">
        <w:tc>
          <w:tcPr>
            <w:tcW w:w="2155" w:type="dxa"/>
          </w:tcPr>
          <w:p w14:paraId="7FCA21EB" w14:textId="77777777" w:rsidR="007A52DC" w:rsidRPr="007B2864" w:rsidRDefault="007A52DC" w:rsidP="00464E64">
            <w:pPr>
              <w:pStyle w:val="BodyText"/>
              <w:jc w:val="left"/>
            </w:pPr>
            <w:r>
              <w:t>C</w:t>
            </w:r>
            <w:r w:rsidRPr="007B2864">
              <w:t>ommercial approach</w:t>
            </w:r>
          </w:p>
        </w:tc>
        <w:tc>
          <w:tcPr>
            <w:tcW w:w="6742" w:type="dxa"/>
          </w:tcPr>
          <w:p w14:paraId="08843FD1" w14:textId="77777777" w:rsidR="007A52DC" w:rsidRPr="007B2864" w:rsidRDefault="007A52DC" w:rsidP="00464E64">
            <w:pPr>
              <w:pStyle w:val="BodyText"/>
            </w:pPr>
            <w:r w:rsidRPr="007B2864">
              <w:t xml:space="preserve">Delivery of public safety mobile broadband over one or more mobile carrier networks </w:t>
            </w:r>
          </w:p>
        </w:tc>
      </w:tr>
      <w:tr w:rsidR="008449B8" w:rsidRPr="007B2864" w14:paraId="73A4EB59" w14:textId="77777777" w:rsidTr="00464E64">
        <w:tc>
          <w:tcPr>
            <w:tcW w:w="2155" w:type="dxa"/>
          </w:tcPr>
          <w:p w14:paraId="759597BA" w14:textId="77777777" w:rsidR="008449B8" w:rsidRPr="007B2864" w:rsidRDefault="008449B8" w:rsidP="00464E64">
            <w:pPr>
              <w:pStyle w:val="BodyText"/>
              <w:jc w:val="left"/>
            </w:pPr>
            <w:r w:rsidRPr="007B2864">
              <w:t>Coverage</w:t>
            </w:r>
          </w:p>
        </w:tc>
        <w:tc>
          <w:tcPr>
            <w:tcW w:w="6742" w:type="dxa"/>
          </w:tcPr>
          <w:p w14:paraId="06EAAABE" w14:textId="77777777" w:rsidR="008449B8" w:rsidRPr="007B2864" w:rsidRDefault="008449B8" w:rsidP="00464E64">
            <w:pPr>
              <w:pStyle w:val="BodyText"/>
            </w:pPr>
            <w:r w:rsidRPr="007B2864">
              <w:t xml:space="preserve">The geographic area </w:t>
            </w:r>
            <w:r>
              <w:t xml:space="preserve">or population </w:t>
            </w:r>
            <w:r w:rsidRPr="007B2864">
              <w:t>over which a mobile network can be accessed to a given standard (such as from within buildings or via a vehicle radio)</w:t>
            </w:r>
          </w:p>
        </w:tc>
      </w:tr>
      <w:tr w:rsidR="007A52DC" w:rsidRPr="007B2864" w14:paraId="1138ABE9" w14:textId="77777777" w:rsidTr="00464E64">
        <w:tc>
          <w:tcPr>
            <w:tcW w:w="2155" w:type="dxa"/>
          </w:tcPr>
          <w:p w14:paraId="712ED0E3" w14:textId="77777777" w:rsidR="007A52DC" w:rsidRPr="007B2864" w:rsidRDefault="007A52DC" w:rsidP="00464E64">
            <w:pPr>
              <w:pStyle w:val="BodyText"/>
              <w:jc w:val="left"/>
            </w:pPr>
            <w:r>
              <w:t>D</w:t>
            </w:r>
            <w:r w:rsidRPr="007B2864">
              <w:t>edicated approach</w:t>
            </w:r>
          </w:p>
        </w:tc>
        <w:tc>
          <w:tcPr>
            <w:tcW w:w="6742" w:type="dxa"/>
          </w:tcPr>
          <w:p w14:paraId="2C1087DB" w14:textId="77777777" w:rsidR="007A52DC" w:rsidRPr="007B2864" w:rsidRDefault="007A52DC" w:rsidP="00464E64">
            <w:pPr>
              <w:pStyle w:val="BodyText"/>
            </w:pPr>
            <w:r w:rsidRPr="007B2864">
              <w:t>Delivery of public safety mobile broadband over a dedicated network only</w:t>
            </w:r>
          </w:p>
        </w:tc>
      </w:tr>
      <w:tr w:rsidR="008449B8" w:rsidRPr="007B2864" w14:paraId="7BB4BB95" w14:textId="77777777" w:rsidTr="00464E64">
        <w:tc>
          <w:tcPr>
            <w:tcW w:w="2155" w:type="dxa"/>
          </w:tcPr>
          <w:p w14:paraId="18E5BB9B" w14:textId="77777777" w:rsidR="008449B8" w:rsidRPr="007B2864" w:rsidRDefault="008449B8" w:rsidP="00464E64">
            <w:pPr>
              <w:pStyle w:val="BodyText"/>
              <w:jc w:val="left"/>
            </w:pPr>
            <w:r w:rsidRPr="007B2864">
              <w:t>Dedicated network</w:t>
            </w:r>
          </w:p>
        </w:tc>
        <w:tc>
          <w:tcPr>
            <w:tcW w:w="6742" w:type="dxa"/>
          </w:tcPr>
          <w:p w14:paraId="405AEFF7" w14:textId="77777777" w:rsidR="008449B8" w:rsidRPr="007B2864" w:rsidRDefault="008449B8" w:rsidP="00464E64">
            <w:pPr>
              <w:pStyle w:val="BodyText"/>
            </w:pPr>
            <w:r w:rsidRPr="007B2864">
              <w:t>A Public Land Mobile Network that is built and operated specifically for the use of public safety agencies</w:t>
            </w:r>
          </w:p>
        </w:tc>
      </w:tr>
      <w:tr w:rsidR="008449B8" w:rsidRPr="007B2864" w14:paraId="2FD1AC21" w14:textId="77777777" w:rsidTr="00464E64">
        <w:tc>
          <w:tcPr>
            <w:tcW w:w="2155" w:type="dxa"/>
          </w:tcPr>
          <w:p w14:paraId="5F8D2FB3" w14:textId="77777777" w:rsidR="008449B8" w:rsidRPr="007B2864" w:rsidRDefault="008449B8" w:rsidP="00464E64">
            <w:pPr>
              <w:pStyle w:val="BodyText"/>
              <w:jc w:val="left"/>
            </w:pPr>
            <w:r w:rsidRPr="007B2864">
              <w:t>Dedicated spectrum</w:t>
            </w:r>
          </w:p>
        </w:tc>
        <w:tc>
          <w:tcPr>
            <w:tcW w:w="6742" w:type="dxa"/>
          </w:tcPr>
          <w:p w14:paraId="466BC782" w14:textId="77777777" w:rsidR="008449B8" w:rsidRPr="007B2864" w:rsidRDefault="008449B8" w:rsidP="00464E64">
            <w:pPr>
              <w:pStyle w:val="BodyText"/>
            </w:pPr>
            <w:r w:rsidRPr="007B2864">
              <w:t>Spectrum set aside for use on a dedicated public safety mobile broadband network</w:t>
            </w:r>
          </w:p>
        </w:tc>
      </w:tr>
      <w:tr w:rsidR="008449B8" w:rsidRPr="007B2864" w14:paraId="57541494" w14:textId="77777777" w:rsidTr="00464E64">
        <w:tc>
          <w:tcPr>
            <w:tcW w:w="2155" w:type="dxa"/>
          </w:tcPr>
          <w:p w14:paraId="19C54907" w14:textId="77777777" w:rsidR="008449B8" w:rsidRPr="007B2864" w:rsidRDefault="008449B8" w:rsidP="00464E64">
            <w:pPr>
              <w:pStyle w:val="BodyText"/>
              <w:jc w:val="left"/>
            </w:pPr>
            <w:r w:rsidRPr="007B2864">
              <w:t>Delivery option</w:t>
            </w:r>
          </w:p>
        </w:tc>
        <w:tc>
          <w:tcPr>
            <w:tcW w:w="6742" w:type="dxa"/>
          </w:tcPr>
          <w:p w14:paraId="408F5F9E" w14:textId="77777777" w:rsidR="008449B8" w:rsidRPr="007B2864" w:rsidRDefault="008449B8" w:rsidP="00464E64">
            <w:pPr>
              <w:pStyle w:val="BodyText"/>
            </w:pPr>
            <w:r w:rsidRPr="007B2864">
              <w:t>A specific way of delivering public safety mobile broadband (within a deployment approach)</w:t>
            </w:r>
          </w:p>
        </w:tc>
      </w:tr>
      <w:tr w:rsidR="008449B8" w:rsidRPr="007B2864" w14:paraId="463B52C6" w14:textId="77777777" w:rsidTr="00464E64">
        <w:tc>
          <w:tcPr>
            <w:tcW w:w="2155" w:type="dxa"/>
          </w:tcPr>
          <w:p w14:paraId="4FA645FC" w14:textId="77777777" w:rsidR="008449B8" w:rsidRPr="007B2864" w:rsidRDefault="008449B8" w:rsidP="00464E64">
            <w:pPr>
              <w:pStyle w:val="BodyText"/>
              <w:jc w:val="left"/>
            </w:pPr>
            <w:r w:rsidRPr="007B2864">
              <w:t>Deployment approach</w:t>
            </w:r>
          </w:p>
        </w:tc>
        <w:tc>
          <w:tcPr>
            <w:tcW w:w="6742" w:type="dxa"/>
          </w:tcPr>
          <w:p w14:paraId="38D7B4AE" w14:textId="77777777" w:rsidR="008449B8" w:rsidRPr="007B2864" w:rsidRDefault="008449B8" w:rsidP="00464E64">
            <w:pPr>
              <w:pStyle w:val="BodyText"/>
            </w:pPr>
            <w:r w:rsidRPr="007B2864">
              <w:t>A broad way of delivering public safety mobile broadband</w:t>
            </w:r>
            <w:r>
              <w:t>, such as</w:t>
            </w:r>
            <w:r w:rsidRPr="007B2864">
              <w:t xml:space="preserve"> through a dedicated network, commercial network</w:t>
            </w:r>
            <w:r>
              <w:t>(</w:t>
            </w:r>
            <w:r w:rsidRPr="007B2864">
              <w:t>s</w:t>
            </w:r>
            <w:r>
              <w:t>)</w:t>
            </w:r>
            <w:r w:rsidRPr="007B2864">
              <w:t>, or a combination (hybrid)</w:t>
            </w:r>
          </w:p>
        </w:tc>
      </w:tr>
      <w:tr w:rsidR="009C39F4" w:rsidRPr="007B2864" w14:paraId="35481D12" w14:textId="77777777" w:rsidTr="00464E64">
        <w:tc>
          <w:tcPr>
            <w:tcW w:w="2155" w:type="dxa"/>
          </w:tcPr>
          <w:p w14:paraId="4892D9E2" w14:textId="34988F55" w:rsidR="009C39F4" w:rsidRPr="007B2864" w:rsidRDefault="009C39F4" w:rsidP="00464E64">
            <w:pPr>
              <w:pStyle w:val="BodyText"/>
              <w:jc w:val="left"/>
            </w:pPr>
            <w:proofErr w:type="spellStart"/>
            <w:r>
              <w:t>Geotype</w:t>
            </w:r>
            <w:proofErr w:type="spellEnd"/>
          </w:p>
        </w:tc>
        <w:tc>
          <w:tcPr>
            <w:tcW w:w="6742" w:type="dxa"/>
          </w:tcPr>
          <w:p w14:paraId="44BD829A" w14:textId="1A0FAFC3" w:rsidR="002E2079" w:rsidRPr="007B2864" w:rsidRDefault="00B97105" w:rsidP="00725092">
            <w:pPr>
              <w:pStyle w:val="BodyText"/>
            </w:pPr>
            <w:r w:rsidRPr="00B97105">
              <w:t>A class of geographical area that, for the purpose of quantitative analysis, is deemed to have certain characteristics relating to</w:t>
            </w:r>
            <w:r>
              <w:t xml:space="preserve"> the demand and supply of </w:t>
            </w:r>
            <w:proofErr w:type="spellStart"/>
            <w:r>
              <w:t>PSMB</w:t>
            </w:r>
            <w:proofErr w:type="spellEnd"/>
          </w:p>
        </w:tc>
      </w:tr>
      <w:tr w:rsidR="008449B8" w:rsidRPr="007B2864" w14:paraId="1442FEF6" w14:textId="77777777" w:rsidTr="00464E64">
        <w:tc>
          <w:tcPr>
            <w:tcW w:w="2155" w:type="dxa"/>
          </w:tcPr>
          <w:p w14:paraId="44B95FB4" w14:textId="77777777" w:rsidR="008449B8" w:rsidRPr="007B2864" w:rsidRDefault="008449B8" w:rsidP="00464E64">
            <w:pPr>
              <w:pStyle w:val="BodyText"/>
              <w:jc w:val="left"/>
            </w:pPr>
            <w:r w:rsidRPr="007B2864">
              <w:t>Hybrid approach</w:t>
            </w:r>
          </w:p>
        </w:tc>
        <w:tc>
          <w:tcPr>
            <w:tcW w:w="6742" w:type="dxa"/>
          </w:tcPr>
          <w:p w14:paraId="16995AF4" w14:textId="06C2F54A" w:rsidR="008449B8" w:rsidRPr="007B2864" w:rsidRDefault="008449B8" w:rsidP="00464E64">
            <w:pPr>
              <w:pStyle w:val="BodyText"/>
            </w:pPr>
            <w:r w:rsidRPr="007B2864">
              <w:t>Delivery of public safety mobile broadband over some combination of dedicated network(s) and mobile carrier network</w:t>
            </w:r>
            <w:r w:rsidR="000147C5">
              <w:t>(</w:t>
            </w:r>
            <w:r w:rsidRPr="007B2864">
              <w:t>s</w:t>
            </w:r>
            <w:r w:rsidR="000147C5">
              <w:t>)</w:t>
            </w:r>
          </w:p>
        </w:tc>
      </w:tr>
      <w:tr w:rsidR="008449B8" w:rsidRPr="007B2864" w14:paraId="53AA721D" w14:textId="77777777" w:rsidTr="00464E64">
        <w:tc>
          <w:tcPr>
            <w:tcW w:w="2155" w:type="dxa"/>
          </w:tcPr>
          <w:p w14:paraId="693BDF4F" w14:textId="77777777" w:rsidR="008449B8" w:rsidRPr="007B2864" w:rsidRDefault="008449B8" w:rsidP="00464E64">
            <w:pPr>
              <w:pStyle w:val="BodyText"/>
              <w:jc w:val="left"/>
            </w:pPr>
            <w:r w:rsidRPr="007B2864">
              <w:t>Interoperability</w:t>
            </w:r>
          </w:p>
        </w:tc>
        <w:tc>
          <w:tcPr>
            <w:tcW w:w="6742" w:type="dxa"/>
          </w:tcPr>
          <w:p w14:paraId="38F2BF87" w14:textId="25DCCE88" w:rsidR="008449B8" w:rsidRPr="007B2864" w:rsidRDefault="008449B8" w:rsidP="00464E64">
            <w:pPr>
              <w:pStyle w:val="BodyText"/>
            </w:pPr>
            <w:r w:rsidRPr="007B2864">
              <w:t>The ability of public safety personnel in different agencies or jurisdictions to communicate over a mobile communications network</w:t>
            </w:r>
            <w:r w:rsidR="0074401D">
              <w:t>(s)</w:t>
            </w:r>
          </w:p>
        </w:tc>
      </w:tr>
      <w:tr w:rsidR="008449B8" w:rsidRPr="007B2864" w14:paraId="0F7C0368" w14:textId="77777777" w:rsidTr="00464E64">
        <w:tc>
          <w:tcPr>
            <w:tcW w:w="2155" w:type="dxa"/>
          </w:tcPr>
          <w:p w14:paraId="4CE894BB" w14:textId="77777777" w:rsidR="008449B8" w:rsidRPr="007B2864" w:rsidRDefault="008449B8" w:rsidP="00464E64">
            <w:pPr>
              <w:pStyle w:val="BodyText"/>
              <w:jc w:val="left"/>
            </w:pPr>
            <w:r w:rsidRPr="007B2864">
              <w:t>Land Mobile Radio</w:t>
            </w:r>
          </w:p>
        </w:tc>
        <w:tc>
          <w:tcPr>
            <w:tcW w:w="6742" w:type="dxa"/>
          </w:tcPr>
          <w:p w14:paraId="119EADBE" w14:textId="77777777" w:rsidR="008449B8" w:rsidRPr="007B2864" w:rsidRDefault="008449B8" w:rsidP="00464E64">
            <w:pPr>
              <w:pStyle w:val="BodyText"/>
            </w:pPr>
            <w:r w:rsidRPr="007B2864">
              <w:t xml:space="preserve">A type of mobile communications network that provides voice and narrowband data communications, usually for the exclusive use of public safety agencies </w:t>
            </w:r>
          </w:p>
        </w:tc>
      </w:tr>
      <w:tr w:rsidR="008449B8" w:rsidRPr="007B2864" w14:paraId="340C916C" w14:textId="77777777" w:rsidTr="00464E64">
        <w:tc>
          <w:tcPr>
            <w:tcW w:w="2155" w:type="dxa"/>
          </w:tcPr>
          <w:p w14:paraId="239B54CC" w14:textId="77777777" w:rsidR="008449B8" w:rsidRPr="007B2864" w:rsidRDefault="008449B8" w:rsidP="00464E64">
            <w:pPr>
              <w:pStyle w:val="BodyText"/>
              <w:jc w:val="left"/>
            </w:pPr>
            <w:r w:rsidRPr="007B2864">
              <w:lastRenderedPageBreak/>
              <w:t>Mobile carrier network</w:t>
            </w:r>
          </w:p>
        </w:tc>
        <w:tc>
          <w:tcPr>
            <w:tcW w:w="6742" w:type="dxa"/>
          </w:tcPr>
          <w:p w14:paraId="1910C970" w14:textId="22EC052F" w:rsidR="008449B8" w:rsidRPr="007B2864" w:rsidRDefault="008449B8" w:rsidP="0074401D">
            <w:pPr>
              <w:pStyle w:val="BodyText"/>
            </w:pPr>
            <w:r w:rsidRPr="007B2864">
              <w:t>A mobile broadband network, operated by a commercial entity, that delivers services to customers</w:t>
            </w:r>
          </w:p>
        </w:tc>
      </w:tr>
      <w:tr w:rsidR="008449B8" w:rsidRPr="007B2864" w14:paraId="58A28D6B" w14:textId="77777777" w:rsidTr="00464E64">
        <w:tc>
          <w:tcPr>
            <w:tcW w:w="2155" w:type="dxa"/>
          </w:tcPr>
          <w:p w14:paraId="6133BDDD" w14:textId="77777777" w:rsidR="008449B8" w:rsidRPr="007B2864" w:rsidRDefault="008449B8" w:rsidP="00464E64">
            <w:pPr>
              <w:pStyle w:val="BodyText"/>
              <w:jc w:val="left"/>
            </w:pPr>
            <w:r w:rsidRPr="007B2864">
              <w:t>Mobile communications network</w:t>
            </w:r>
          </w:p>
        </w:tc>
        <w:tc>
          <w:tcPr>
            <w:tcW w:w="6742" w:type="dxa"/>
          </w:tcPr>
          <w:p w14:paraId="1907BB21" w14:textId="77777777" w:rsidR="008449B8" w:rsidRPr="007B2864" w:rsidRDefault="008449B8" w:rsidP="00464E64">
            <w:pPr>
              <w:pStyle w:val="BodyText"/>
            </w:pPr>
            <w:r w:rsidRPr="007B2864">
              <w:t>Any communications network where permanent infrastructure has been deployed to allow users to wirelessly send and receive voice or data communications</w:t>
            </w:r>
          </w:p>
        </w:tc>
      </w:tr>
      <w:tr w:rsidR="008449B8" w:rsidRPr="007B2864" w14:paraId="5166A6F0" w14:textId="77777777" w:rsidTr="00464E64">
        <w:tc>
          <w:tcPr>
            <w:tcW w:w="2155" w:type="dxa"/>
          </w:tcPr>
          <w:p w14:paraId="6F18370E" w14:textId="77777777" w:rsidR="008449B8" w:rsidRPr="007B2864" w:rsidRDefault="008449B8" w:rsidP="00464E64">
            <w:pPr>
              <w:pStyle w:val="BodyText"/>
              <w:jc w:val="left"/>
            </w:pPr>
            <w:r>
              <w:t>Mobile Virtual Network Operator</w:t>
            </w:r>
          </w:p>
        </w:tc>
        <w:tc>
          <w:tcPr>
            <w:tcW w:w="6742" w:type="dxa"/>
          </w:tcPr>
          <w:p w14:paraId="0F051797" w14:textId="77777777" w:rsidR="008449B8" w:rsidRPr="007B2864" w:rsidRDefault="008449B8" w:rsidP="00464E64">
            <w:pPr>
              <w:pStyle w:val="BodyText"/>
            </w:pPr>
            <w:r w:rsidRPr="00CA567D">
              <w:t xml:space="preserve">A </w:t>
            </w:r>
            <w:r>
              <w:t>company that</w:t>
            </w:r>
            <w:r w:rsidRPr="00CA567D">
              <w:t xml:space="preserve"> resells services from </w:t>
            </w:r>
            <w:r>
              <w:t>mobile carriers</w:t>
            </w:r>
            <w:r w:rsidRPr="00CA567D">
              <w:t xml:space="preserve"> directly to </w:t>
            </w:r>
            <w:r>
              <w:t>consumers</w:t>
            </w:r>
          </w:p>
        </w:tc>
      </w:tr>
      <w:tr w:rsidR="008449B8" w:rsidRPr="007B2864" w14:paraId="33D4F98D" w14:textId="77777777" w:rsidTr="00464E64">
        <w:tc>
          <w:tcPr>
            <w:tcW w:w="2155" w:type="dxa"/>
          </w:tcPr>
          <w:p w14:paraId="6A1F3008" w14:textId="77777777" w:rsidR="008449B8" w:rsidRPr="007B2864" w:rsidRDefault="008449B8" w:rsidP="00464E64">
            <w:pPr>
              <w:pStyle w:val="BodyText"/>
              <w:jc w:val="left"/>
            </w:pPr>
            <w:r w:rsidRPr="007B2864">
              <w:t>Network accessibility</w:t>
            </w:r>
          </w:p>
        </w:tc>
        <w:tc>
          <w:tcPr>
            <w:tcW w:w="6742" w:type="dxa"/>
          </w:tcPr>
          <w:p w14:paraId="4982A3DC" w14:textId="77777777" w:rsidR="008449B8" w:rsidRPr="007B2864" w:rsidRDefault="008449B8" w:rsidP="00464E64">
            <w:pPr>
              <w:pStyle w:val="BodyText"/>
            </w:pPr>
            <w:r w:rsidRPr="007B2864">
              <w:t>The ability of users to establish a connection to a mobile communications network</w:t>
            </w:r>
            <w:r>
              <w:t>, even when it is congested</w:t>
            </w:r>
          </w:p>
        </w:tc>
      </w:tr>
      <w:tr w:rsidR="008449B8" w:rsidRPr="007B2864" w14:paraId="07642640" w14:textId="77777777" w:rsidTr="00464E64">
        <w:tc>
          <w:tcPr>
            <w:tcW w:w="2155" w:type="dxa"/>
          </w:tcPr>
          <w:p w14:paraId="0C766CC5" w14:textId="77777777" w:rsidR="008449B8" w:rsidRPr="007B2864" w:rsidRDefault="008449B8" w:rsidP="00464E64">
            <w:pPr>
              <w:pStyle w:val="BodyText"/>
              <w:jc w:val="left"/>
            </w:pPr>
            <w:r w:rsidRPr="007B2864">
              <w:t>Overflow</w:t>
            </w:r>
          </w:p>
        </w:tc>
        <w:tc>
          <w:tcPr>
            <w:tcW w:w="6742" w:type="dxa"/>
          </w:tcPr>
          <w:p w14:paraId="36376D2D" w14:textId="77777777" w:rsidR="008449B8" w:rsidRPr="007B2864" w:rsidRDefault="008449B8" w:rsidP="00464E64">
            <w:pPr>
              <w:pStyle w:val="BodyText"/>
            </w:pPr>
            <w:r w:rsidRPr="007B2864">
              <w:t>The ability for public safety mobile traffic to be carried over a mobile carrier network once the capacity of a dedicated network has been reached</w:t>
            </w:r>
          </w:p>
        </w:tc>
      </w:tr>
      <w:tr w:rsidR="008449B8" w:rsidRPr="007B2864" w14:paraId="2A99F3EF" w14:textId="77777777" w:rsidTr="00464E64">
        <w:tc>
          <w:tcPr>
            <w:tcW w:w="2155" w:type="dxa"/>
          </w:tcPr>
          <w:p w14:paraId="281C22FE" w14:textId="77777777" w:rsidR="008449B8" w:rsidRPr="007B2864" w:rsidRDefault="008449B8" w:rsidP="00464E64">
            <w:pPr>
              <w:pStyle w:val="BodyText"/>
              <w:jc w:val="left"/>
            </w:pPr>
            <w:r w:rsidRPr="007B2864">
              <w:t>Prioritisation</w:t>
            </w:r>
          </w:p>
        </w:tc>
        <w:tc>
          <w:tcPr>
            <w:tcW w:w="6742" w:type="dxa"/>
          </w:tcPr>
          <w:p w14:paraId="5A773786" w14:textId="77777777" w:rsidR="008449B8" w:rsidRPr="007B2864" w:rsidRDefault="008449B8" w:rsidP="00464E64">
            <w:pPr>
              <w:pStyle w:val="BodyText"/>
            </w:pPr>
            <w:r w:rsidRPr="007B2864">
              <w:t>The ability to give some voice or data traffic preference over other traffic</w:t>
            </w:r>
          </w:p>
        </w:tc>
      </w:tr>
      <w:tr w:rsidR="008449B8" w:rsidRPr="007B2864" w14:paraId="68AD3F61" w14:textId="77777777" w:rsidTr="00464E64">
        <w:tc>
          <w:tcPr>
            <w:tcW w:w="2155" w:type="dxa"/>
          </w:tcPr>
          <w:p w14:paraId="6F2FF302" w14:textId="77777777" w:rsidR="008449B8" w:rsidRPr="007B2864" w:rsidRDefault="008449B8" w:rsidP="00464E64">
            <w:pPr>
              <w:pStyle w:val="BodyText"/>
              <w:jc w:val="left"/>
            </w:pPr>
            <w:r w:rsidRPr="007B2864">
              <w:t>Public Land Mobile Network</w:t>
            </w:r>
          </w:p>
        </w:tc>
        <w:tc>
          <w:tcPr>
            <w:tcW w:w="6742" w:type="dxa"/>
          </w:tcPr>
          <w:p w14:paraId="1D8A961B" w14:textId="77777777" w:rsidR="008449B8" w:rsidRPr="007B2864" w:rsidRDefault="008449B8" w:rsidP="00464E64">
            <w:pPr>
              <w:pStyle w:val="BodyText"/>
            </w:pPr>
            <w:r w:rsidRPr="007B2864">
              <w:t>Any mobile communications network under the control of a single operator</w:t>
            </w:r>
          </w:p>
        </w:tc>
      </w:tr>
      <w:tr w:rsidR="008449B8" w:rsidRPr="007B2864" w14:paraId="04F43BB5" w14:textId="77777777" w:rsidTr="00464E64">
        <w:tc>
          <w:tcPr>
            <w:tcW w:w="2155" w:type="dxa"/>
          </w:tcPr>
          <w:p w14:paraId="59656792" w14:textId="77777777" w:rsidR="008449B8" w:rsidRPr="007B2864" w:rsidRDefault="008449B8" w:rsidP="00464E64">
            <w:pPr>
              <w:pStyle w:val="BodyText"/>
              <w:jc w:val="left"/>
            </w:pPr>
            <w:r w:rsidRPr="007B2864">
              <w:t>Public safety mobile broadband</w:t>
            </w:r>
          </w:p>
        </w:tc>
        <w:tc>
          <w:tcPr>
            <w:tcW w:w="6742" w:type="dxa"/>
          </w:tcPr>
          <w:p w14:paraId="22432522" w14:textId="77777777" w:rsidR="008449B8" w:rsidRPr="007B2864" w:rsidRDefault="008449B8" w:rsidP="00464E64">
            <w:pPr>
              <w:pStyle w:val="BodyText"/>
            </w:pPr>
            <w:r w:rsidRPr="007B2864">
              <w:t>Mobile broadband services that meet specific capacity, coverage and quality of service standards for public safety</w:t>
            </w:r>
          </w:p>
        </w:tc>
      </w:tr>
      <w:tr w:rsidR="008449B8" w:rsidRPr="007B2864" w14:paraId="1FBB58B4" w14:textId="77777777" w:rsidTr="00464E64">
        <w:tc>
          <w:tcPr>
            <w:tcW w:w="2155" w:type="dxa"/>
          </w:tcPr>
          <w:p w14:paraId="28A344A1" w14:textId="77777777" w:rsidR="008449B8" w:rsidRPr="007B2864" w:rsidRDefault="008449B8" w:rsidP="00464E64">
            <w:pPr>
              <w:pStyle w:val="BodyText"/>
              <w:jc w:val="left"/>
            </w:pPr>
            <w:r w:rsidRPr="007B2864">
              <w:t>Radio</w:t>
            </w:r>
          </w:p>
        </w:tc>
        <w:tc>
          <w:tcPr>
            <w:tcW w:w="6742" w:type="dxa"/>
          </w:tcPr>
          <w:p w14:paraId="1A8C9EF8" w14:textId="77777777" w:rsidR="008449B8" w:rsidRPr="007B2864" w:rsidRDefault="008449B8" w:rsidP="00464E64">
            <w:pPr>
              <w:pStyle w:val="BodyText"/>
            </w:pPr>
            <w:r w:rsidRPr="007B2864">
              <w:t>Any device that can wirelessly send and receive information over a mobile communications network</w:t>
            </w:r>
          </w:p>
        </w:tc>
      </w:tr>
      <w:tr w:rsidR="008449B8" w:rsidRPr="007B2864" w14:paraId="6D05F6B4" w14:textId="77777777" w:rsidTr="00464E64">
        <w:tc>
          <w:tcPr>
            <w:tcW w:w="2155" w:type="dxa"/>
          </w:tcPr>
          <w:p w14:paraId="7146A53D" w14:textId="77777777" w:rsidR="008449B8" w:rsidRPr="007B2864" w:rsidRDefault="008449B8" w:rsidP="00464E64">
            <w:pPr>
              <w:pStyle w:val="BodyText"/>
              <w:jc w:val="left"/>
            </w:pPr>
            <w:r w:rsidRPr="007B2864">
              <w:t>Resilience/ reliability</w:t>
            </w:r>
          </w:p>
        </w:tc>
        <w:tc>
          <w:tcPr>
            <w:tcW w:w="6742" w:type="dxa"/>
          </w:tcPr>
          <w:p w14:paraId="3E3E09AD" w14:textId="77777777" w:rsidR="008449B8" w:rsidRPr="007B2864" w:rsidRDefault="008449B8" w:rsidP="00464E64">
            <w:pPr>
              <w:pStyle w:val="BodyText"/>
            </w:pPr>
            <w:r w:rsidRPr="007B2864">
              <w:t>The ability of a mobile communications network to provide and maintain an acceptable level of service</w:t>
            </w:r>
            <w:r>
              <w:t>, including in adverse circumstances</w:t>
            </w:r>
          </w:p>
        </w:tc>
      </w:tr>
      <w:tr w:rsidR="008449B8" w:rsidRPr="007B2864" w14:paraId="770AFD00" w14:textId="77777777" w:rsidTr="00464E64">
        <w:tc>
          <w:tcPr>
            <w:tcW w:w="2155" w:type="dxa"/>
          </w:tcPr>
          <w:p w14:paraId="18D654D3" w14:textId="77777777" w:rsidR="008449B8" w:rsidRPr="007B2864" w:rsidRDefault="008449B8" w:rsidP="00464E64">
            <w:pPr>
              <w:pStyle w:val="BodyText"/>
              <w:jc w:val="left"/>
            </w:pPr>
            <w:proofErr w:type="spellStart"/>
            <w:r>
              <w:t>Ruggedise</w:t>
            </w:r>
            <w:proofErr w:type="spellEnd"/>
          </w:p>
        </w:tc>
        <w:tc>
          <w:tcPr>
            <w:tcW w:w="6742" w:type="dxa"/>
          </w:tcPr>
          <w:p w14:paraId="7180D8D3" w14:textId="77777777" w:rsidR="008449B8" w:rsidRPr="007B2864" w:rsidRDefault="008449B8" w:rsidP="00464E64">
            <w:pPr>
              <w:pStyle w:val="BodyText"/>
            </w:pPr>
            <w:r>
              <w:t>To make end</w:t>
            </w:r>
            <w:r>
              <w:noBreakHyphen/>
              <w:t>user devices resistant to heat, pressure or water</w:t>
            </w:r>
          </w:p>
        </w:tc>
      </w:tr>
      <w:tr w:rsidR="008449B8" w:rsidRPr="007B2864" w14:paraId="587863A6" w14:textId="77777777" w:rsidTr="00464E64">
        <w:tc>
          <w:tcPr>
            <w:tcW w:w="2155" w:type="dxa"/>
          </w:tcPr>
          <w:p w14:paraId="7B98EDFF" w14:textId="77777777" w:rsidR="008449B8" w:rsidRPr="007B2864" w:rsidRDefault="008449B8" w:rsidP="00464E64">
            <w:pPr>
              <w:pStyle w:val="BodyText"/>
              <w:jc w:val="left"/>
            </w:pPr>
            <w:r w:rsidRPr="007B2864">
              <w:t>Security</w:t>
            </w:r>
          </w:p>
        </w:tc>
        <w:tc>
          <w:tcPr>
            <w:tcW w:w="6742" w:type="dxa"/>
          </w:tcPr>
          <w:p w14:paraId="34EF395D" w14:textId="77777777" w:rsidR="008449B8" w:rsidRPr="007B2864" w:rsidRDefault="008449B8" w:rsidP="00464E64">
            <w:pPr>
              <w:pStyle w:val="BodyText"/>
            </w:pPr>
            <w:r w:rsidRPr="007B2864">
              <w:t>The prevention and/or rectification of disruption and interception of communications over a network</w:t>
            </w:r>
          </w:p>
        </w:tc>
      </w:tr>
      <w:tr w:rsidR="008449B8" w14:paraId="6E03EBBA" w14:textId="77777777" w:rsidTr="00464E64">
        <w:tc>
          <w:tcPr>
            <w:tcW w:w="2155" w:type="dxa"/>
          </w:tcPr>
          <w:p w14:paraId="1D93C05B" w14:textId="77777777" w:rsidR="008449B8" w:rsidRPr="007B2864" w:rsidRDefault="008449B8" w:rsidP="00464E64">
            <w:pPr>
              <w:pStyle w:val="BodyText"/>
              <w:jc w:val="left"/>
            </w:pPr>
            <w:r w:rsidRPr="007B2864">
              <w:t>Spectrum</w:t>
            </w:r>
          </w:p>
        </w:tc>
        <w:tc>
          <w:tcPr>
            <w:tcW w:w="6742" w:type="dxa"/>
          </w:tcPr>
          <w:p w14:paraId="48472FDC" w14:textId="77777777" w:rsidR="008449B8" w:rsidRDefault="008449B8" w:rsidP="00464E64">
            <w:pPr>
              <w:pStyle w:val="BodyText"/>
            </w:pPr>
            <w:r w:rsidRPr="007B2864">
              <w:t>Radiofrequency spectrum used to transmit and receive information over a mobile communications network</w:t>
            </w:r>
          </w:p>
        </w:tc>
      </w:tr>
      <w:tr w:rsidR="008449B8" w14:paraId="6A6E0E22" w14:textId="77777777" w:rsidTr="00464E64">
        <w:tc>
          <w:tcPr>
            <w:tcW w:w="2155" w:type="dxa"/>
          </w:tcPr>
          <w:p w14:paraId="2777327C" w14:textId="77777777" w:rsidR="008449B8" w:rsidRDefault="008449B8" w:rsidP="00464E64">
            <w:pPr>
              <w:pStyle w:val="BodyText"/>
              <w:jc w:val="left"/>
            </w:pPr>
            <w:r>
              <w:t>Standalone network</w:t>
            </w:r>
          </w:p>
        </w:tc>
        <w:tc>
          <w:tcPr>
            <w:tcW w:w="6742" w:type="dxa"/>
          </w:tcPr>
          <w:p w14:paraId="22D898E3" w14:textId="77777777" w:rsidR="008449B8" w:rsidRDefault="008449B8" w:rsidP="00464E64">
            <w:pPr>
              <w:pStyle w:val="BodyText"/>
            </w:pPr>
            <w:r>
              <w:t>A communications network that is not integrated with any other network</w:t>
            </w:r>
          </w:p>
        </w:tc>
      </w:tr>
    </w:tbl>
    <w:p w14:paraId="7AB587B0" w14:textId="77777777" w:rsidR="008F7C02" w:rsidRDefault="008F7C02" w:rsidP="008449B8">
      <w:pPr>
        <w:pStyle w:val="BodyText"/>
      </w:pPr>
    </w:p>
    <w:sectPr w:rsidR="008F7C02" w:rsidSect="00585B3F">
      <w:headerReference w:type="even" r:id="rId31"/>
      <w:headerReference w:type="default" r:id="rId32"/>
      <w:footerReference w:type="even" r:id="rId33"/>
      <w:footerReference w:type="default" r:id="rId34"/>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007432" w14:textId="77777777" w:rsidR="003C7944" w:rsidRDefault="003C7944">
      <w:r>
        <w:separator/>
      </w:r>
    </w:p>
    <w:p w14:paraId="61767003" w14:textId="77777777" w:rsidR="003C7944" w:rsidRDefault="003C7944"/>
    <w:p w14:paraId="17B418BB" w14:textId="77777777" w:rsidR="003C7944" w:rsidRDefault="003C7944"/>
  </w:endnote>
  <w:endnote w:type="continuationSeparator" w:id="0">
    <w:p w14:paraId="7F7F4F2C" w14:textId="77777777" w:rsidR="003C7944" w:rsidRDefault="003C7944">
      <w:r>
        <w:continuationSeparator/>
      </w:r>
    </w:p>
    <w:p w14:paraId="520D5779" w14:textId="77777777" w:rsidR="003C7944" w:rsidRDefault="003C7944"/>
    <w:p w14:paraId="64E1ACF9" w14:textId="77777777" w:rsidR="003C7944" w:rsidRDefault="003C7944"/>
  </w:endnote>
  <w:endnote w:type="continuationNotice" w:id="1">
    <w:p w14:paraId="16E6FEAF" w14:textId="77777777" w:rsidR="003C7944" w:rsidRDefault="003C79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7944" w14:paraId="649F6886" w14:textId="77777777" w:rsidTr="00663C82">
      <w:trPr>
        <w:trHeight w:hRule="exact" w:val="567"/>
      </w:trPr>
      <w:tc>
        <w:tcPr>
          <w:tcW w:w="510" w:type="dxa"/>
        </w:tcPr>
        <w:p w14:paraId="409794F3" w14:textId="77777777" w:rsidR="003C7944" w:rsidRDefault="003C7944" w:rsidP="00663C82">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A741E">
            <w:rPr>
              <w:rStyle w:val="PageNumber"/>
              <w:noProof/>
            </w:rPr>
            <w:t>iv</w:t>
          </w:r>
          <w:r>
            <w:rPr>
              <w:rStyle w:val="PageNumber"/>
            </w:rPr>
            <w:fldChar w:fldCharType="end"/>
          </w:r>
        </w:p>
      </w:tc>
      <w:tc>
        <w:tcPr>
          <w:tcW w:w="7767" w:type="dxa"/>
        </w:tcPr>
        <w:p w14:paraId="123A0C2A" w14:textId="77777777" w:rsidR="003C7944" w:rsidRPr="0013739A" w:rsidRDefault="003C7944" w:rsidP="00663C82">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FB07F7">
            <w:rPr>
              <w:rFonts w:cs="Arial"/>
            </w:rPr>
            <w:t xml:space="preserve">Research Report - Public Safety Mobile Broadband - </w:t>
          </w:r>
          <w:proofErr w:type="spellStart"/>
          <w:r w:rsidR="00FB07F7">
            <w:rPr>
              <w:rFonts w:cs="Arial"/>
            </w:rPr>
            <w:t>Prelminaries</w:t>
          </w:r>
          <w:proofErr w:type="spellEnd"/>
          <w:r w:rsidRPr="00BA5B14">
            <w:rPr>
              <w:rFonts w:cs="Arial"/>
            </w:rPr>
            <w:fldChar w:fldCharType="end"/>
          </w:r>
        </w:p>
      </w:tc>
      <w:tc>
        <w:tcPr>
          <w:tcW w:w="510" w:type="dxa"/>
        </w:tcPr>
        <w:p w14:paraId="57F17196" w14:textId="77777777" w:rsidR="003C7944" w:rsidRDefault="003C7944" w:rsidP="00663C82">
          <w:pPr>
            <w:pStyle w:val="Footer"/>
          </w:pPr>
        </w:p>
      </w:tc>
    </w:tr>
  </w:tbl>
  <w:p w14:paraId="5279BF22" w14:textId="77777777" w:rsidR="003C7944" w:rsidRDefault="003C7944" w:rsidP="00663C82">
    <w:pPr>
      <w:pStyle w:val="FooterEnd"/>
    </w:pPr>
  </w:p>
  <w:p w14:paraId="23A66F1E" w14:textId="77777777" w:rsidR="003C7944" w:rsidRDefault="003C7944">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7944" w14:paraId="376D3D12" w14:textId="77777777" w:rsidTr="00663C82">
      <w:trPr>
        <w:trHeight w:hRule="exact" w:val="567"/>
      </w:trPr>
      <w:tc>
        <w:tcPr>
          <w:tcW w:w="510" w:type="dxa"/>
        </w:tcPr>
        <w:p w14:paraId="300CBB84" w14:textId="77777777" w:rsidR="003C7944" w:rsidRDefault="003C7944">
          <w:pPr>
            <w:pStyle w:val="Footer"/>
            <w:ind w:right="360" w:firstLine="360"/>
          </w:pPr>
        </w:p>
      </w:tc>
      <w:tc>
        <w:tcPr>
          <w:tcW w:w="7767" w:type="dxa"/>
        </w:tcPr>
        <w:p w14:paraId="738293B6" w14:textId="77777777" w:rsidR="003C7944" w:rsidRPr="00C24C8B" w:rsidRDefault="003C7944" w:rsidP="00663C82">
          <w:pPr>
            <w:pStyle w:val="Footer"/>
            <w:jc w:val="right"/>
            <w:rPr>
              <w:rFonts w:cs="Arial"/>
            </w:rPr>
          </w:pPr>
          <w:r w:rsidRPr="00C24C8B">
            <w:rPr>
              <w:noProof/>
            </w:rPr>
            <w:fldChar w:fldCharType="begin"/>
          </w:r>
          <w:r w:rsidRPr="00C24C8B">
            <w:rPr>
              <w:noProof/>
            </w:rPr>
            <w:instrText xml:space="preserve"> STYLEREF "Heading 1" \* MERGEFORMAT </w:instrText>
          </w:r>
          <w:r w:rsidRPr="00C24C8B">
            <w:rPr>
              <w:noProof/>
            </w:rPr>
            <w:fldChar w:fldCharType="separate"/>
          </w:r>
          <w:r w:rsidR="00FB07F7" w:rsidRPr="00FB07F7">
            <w:rPr>
              <w:bCs/>
              <w:noProof/>
              <w:lang w:val="en-US"/>
            </w:rPr>
            <w:t>Foreword</w:t>
          </w:r>
          <w:r w:rsidRPr="00C24C8B">
            <w:rPr>
              <w:noProof/>
            </w:rPr>
            <w:fldChar w:fldCharType="end"/>
          </w:r>
          <w:r w:rsidRPr="00C24C8B">
            <w:rPr>
              <w:rFonts w:cs="Arial"/>
            </w:rPr>
            <w:t xml:space="preserve"> </w:t>
          </w:r>
        </w:p>
      </w:tc>
      <w:tc>
        <w:tcPr>
          <w:tcW w:w="510" w:type="dxa"/>
        </w:tcPr>
        <w:p w14:paraId="7369A85F" w14:textId="77777777" w:rsidR="003C7944" w:rsidRPr="00C24C8B" w:rsidRDefault="003C7944">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FB07F7">
            <w:rPr>
              <w:rStyle w:val="PageNumber"/>
              <w:caps w:val="0"/>
              <w:noProof/>
            </w:rPr>
            <w:t>iii</w:t>
          </w:r>
          <w:r w:rsidRPr="00C24C8B">
            <w:rPr>
              <w:rStyle w:val="PageNumber"/>
              <w:caps w:val="0"/>
            </w:rPr>
            <w:fldChar w:fldCharType="end"/>
          </w:r>
        </w:p>
      </w:tc>
    </w:tr>
  </w:tbl>
  <w:p w14:paraId="74CCBF6A" w14:textId="77777777" w:rsidR="003C7944" w:rsidRDefault="003C7944">
    <w:pPr>
      <w:pStyle w:val="FooterEnd"/>
    </w:pPr>
  </w:p>
  <w:p w14:paraId="6DD84A94" w14:textId="77777777" w:rsidR="003C7944" w:rsidRDefault="003C7944">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7944" w14:paraId="420B8B83" w14:textId="77777777" w:rsidTr="00663C82">
      <w:trPr>
        <w:trHeight w:hRule="exact" w:val="567"/>
      </w:trPr>
      <w:tc>
        <w:tcPr>
          <w:tcW w:w="510" w:type="dxa"/>
        </w:tcPr>
        <w:p w14:paraId="7EDFDA69" w14:textId="77777777" w:rsidR="003C7944" w:rsidRPr="00752FFF" w:rsidRDefault="003C7944" w:rsidP="00663C82">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FB07F7">
            <w:rPr>
              <w:rStyle w:val="PageNumber"/>
              <w:caps w:val="0"/>
              <w:noProof/>
            </w:rPr>
            <w:t>vi</w:t>
          </w:r>
          <w:r w:rsidRPr="00752FFF">
            <w:rPr>
              <w:rStyle w:val="PageNumber"/>
              <w:caps w:val="0"/>
            </w:rPr>
            <w:fldChar w:fldCharType="end"/>
          </w:r>
        </w:p>
      </w:tc>
      <w:tc>
        <w:tcPr>
          <w:tcW w:w="7767" w:type="dxa"/>
        </w:tcPr>
        <w:p w14:paraId="6CCAEFD8" w14:textId="122076E2" w:rsidR="003C7944" w:rsidRPr="0013739A" w:rsidRDefault="003C7944" w:rsidP="00663C82">
          <w:pPr>
            <w:pStyle w:val="Footer"/>
            <w:rPr>
              <w:rFonts w:cs="Arial"/>
            </w:rPr>
          </w:pPr>
          <w:r>
            <w:rPr>
              <w:rFonts w:cs="Arial"/>
            </w:rPr>
            <w:t>PUBLIC SAFETY MOBILE  BROADBAND</w:t>
          </w:r>
        </w:p>
      </w:tc>
      <w:tc>
        <w:tcPr>
          <w:tcW w:w="510" w:type="dxa"/>
        </w:tcPr>
        <w:p w14:paraId="40601B7E" w14:textId="77777777" w:rsidR="003C7944" w:rsidRDefault="003C7944" w:rsidP="00663C82">
          <w:pPr>
            <w:pStyle w:val="Footer"/>
          </w:pPr>
        </w:p>
      </w:tc>
    </w:tr>
  </w:tbl>
  <w:p w14:paraId="4FF3F928" w14:textId="77777777" w:rsidR="003C7944" w:rsidRDefault="003C7944" w:rsidP="00663C8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7944" w14:paraId="4CE51A70" w14:textId="77777777" w:rsidTr="00663C82">
      <w:trPr>
        <w:trHeight w:hRule="exact" w:val="567"/>
      </w:trPr>
      <w:tc>
        <w:tcPr>
          <w:tcW w:w="510" w:type="dxa"/>
        </w:tcPr>
        <w:p w14:paraId="5A2FBC4D" w14:textId="77777777" w:rsidR="003C7944" w:rsidRDefault="003C7944">
          <w:pPr>
            <w:pStyle w:val="Footer"/>
            <w:ind w:right="360" w:firstLine="360"/>
          </w:pPr>
        </w:p>
      </w:tc>
      <w:tc>
        <w:tcPr>
          <w:tcW w:w="7767" w:type="dxa"/>
        </w:tcPr>
        <w:p w14:paraId="7457B73A" w14:textId="77777777" w:rsidR="003C7944" w:rsidRPr="00752FFF" w:rsidRDefault="003C7944" w:rsidP="00663C82">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FB07F7" w:rsidRPr="00FB07F7">
            <w:rPr>
              <w:bCs/>
              <w:noProof/>
              <w:lang w:val="en-US"/>
            </w:rPr>
            <w:t>Terms</w:t>
          </w:r>
          <w:r w:rsidR="00FB07F7">
            <w:rPr>
              <w:noProof/>
            </w:rPr>
            <w:t xml:space="preserve"> of reference</w:t>
          </w:r>
          <w:r w:rsidRPr="00752FFF">
            <w:rPr>
              <w:noProof/>
            </w:rPr>
            <w:fldChar w:fldCharType="end"/>
          </w:r>
        </w:p>
      </w:tc>
      <w:tc>
        <w:tcPr>
          <w:tcW w:w="510" w:type="dxa"/>
        </w:tcPr>
        <w:p w14:paraId="641D236E" w14:textId="77777777" w:rsidR="003C7944" w:rsidRPr="00A24443" w:rsidRDefault="003C794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B07F7">
            <w:rPr>
              <w:rStyle w:val="PageNumber"/>
              <w:caps w:val="0"/>
              <w:noProof/>
            </w:rPr>
            <w:t>v</w:t>
          </w:r>
          <w:r w:rsidRPr="00A24443">
            <w:rPr>
              <w:rStyle w:val="PageNumber"/>
              <w:caps w:val="0"/>
            </w:rPr>
            <w:fldChar w:fldCharType="end"/>
          </w:r>
        </w:p>
      </w:tc>
    </w:tr>
  </w:tbl>
  <w:p w14:paraId="0C340E9C" w14:textId="77777777" w:rsidR="003C7944" w:rsidRDefault="003C7944">
    <w:pPr>
      <w:pStyle w:val="FooterEnd"/>
    </w:pPr>
  </w:p>
  <w:p w14:paraId="44213AEE" w14:textId="77777777" w:rsidR="003C7944" w:rsidRPr="00D01645" w:rsidRDefault="003C7944" w:rsidP="00663C8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7944" w14:paraId="179513EE" w14:textId="77777777" w:rsidTr="00663C82">
      <w:trPr>
        <w:trHeight w:hRule="exact" w:val="567"/>
      </w:trPr>
      <w:tc>
        <w:tcPr>
          <w:tcW w:w="510" w:type="dxa"/>
        </w:tcPr>
        <w:p w14:paraId="6954107F" w14:textId="77777777" w:rsidR="003C7944" w:rsidRPr="00A24443" w:rsidRDefault="003C7944" w:rsidP="00663C82">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B07F7">
            <w:rPr>
              <w:rStyle w:val="PageNumber"/>
              <w:caps w:val="0"/>
              <w:noProof/>
            </w:rPr>
            <w:t>viii</w:t>
          </w:r>
          <w:r w:rsidRPr="00A24443">
            <w:rPr>
              <w:rStyle w:val="PageNumber"/>
              <w:caps w:val="0"/>
            </w:rPr>
            <w:fldChar w:fldCharType="end"/>
          </w:r>
        </w:p>
      </w:tc>
      <w:tc>
        <w:tcPr>
          <w:tcW w:w="7767" w:type="dxa"/>
        </w:tcPr>
        <w:p w14:paraId="5909CD8C" w14:textId="2CB29FBB" w:rsidR="003C7944" w:rsidRPr="0013739A" w:rsidRDefault="008817F6" w:rsidP="00663C82">
          <w:pPr>
            <w:pStyle w:val="Footer"/>
            <w:rPr>
              <w:rFonts w:cs="Arial"/>
            </w:rPr>
          </w:pPr>
          <w:r>
            <w:rPr>
              <w:rFonts w:cs="Arial"/>
            </w:rPr>
            <w:t>Public Safety Mobile Broadband</w:t>
          </w:r>
        </w:p>
      </w:tc>
      <w:tc>
        <w:tcPr>
          <w:tcW w:w="510" w:type="dxa"/>
        </w:tcPr>
        <w:p w14:paraId="681F65E6" w14:textId="77777777" w:rsidR="003C7944" w:rsidRDefault="003C7944" w:rsidP="00663C82">
          <w:pPr>
            <w:pStyle w:val="Footer"/>
          </w:pPr>
        </w:p>
      </w:tc>
    </w:tr>
  </w:tbl>
  <w:p w14:paraId="4D2A501A" w14:textId="77777777" w:rsidR="003C7944" w:rsidRDefault="003C7944" w:rsidP="00663C82">
    <w:pPr>
      <w:pStyle w:val="FooterEnd"/>
    </w:pPr>
  </w:p>
  <w:p w14:paraId="6B4FC996" w14:textId="77777777" w:rsidR="003C7944" w:rsidRDefault="003C794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7944" w14:paraId="2F010497" w14:textId="77777777" w:rsidTr="00663C82">
      <w:trPr>
        <w:trHeight w:hRule="exact" w:val="567"/>
      </w:trPr>
      <w:tc>
        <w:tcPr>
          <w:tcW w:w="510" w:type="dxa"/>
        </w:tcPr>
        <w:p w14:paraId="5B16C280" w14:textId="77777777" w:rsidR="003C7944" w:rsidRDefault="003C7944">
          <w:pPr>
            <w:pStyle w:val="Footer"/>
            <w:ind w:right="360" w:firstLine="360"/>
          </w:pPr>
        </w:p>
      </w:tc>
      <w:tc>
        <w:tcPr>
          <w:tcW w:w="7767" w:type="dxa"/>
        </w:tcPr>
        <w:p w14:paraId="133080B2" w14:textId="77777777" w:rsidR="003C7944" w:rsidRPr="00BA5B14" w:rsidRDefault="003C7944"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FB07F7" w:rsidRPr="00FB07F7">
            <w:rPr>
              <w:bCs/>
              <w:noProof/>
            </w:rPr>
            <w:t>Contents</w:t>
          </w:r>
          <w:r w:rsidRPr="008F7DB7">
            <w:rPr>
              <w:noProof/>
            </w:rPr>
            <w:fldChar w:fldCharType="end"/>
          </w:r>
          <w:r>
            <w:rPr>
              <w:rFonts w:cs="Arial"/>
            </w:rPr>
            <w:t xml:space="preserve"> </w:t>
          </w:r>
        </w:p>
      </w:tc>
      <w:tc>
        <w:tcPr>
          <w:tcW w:w="510" w:type="dxa"/>
        </w:tcPr>
        <w:p w14:paraId="46C5D81F" w14:textId="77777777" w:rsidR="003C7944" w:rsidRPr="007448F7" w:rsidRDefault="003C7944">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B07F7">
            <w:rPr>
              <w:rStyle w:val="PageNumber"/>
              <w:caps w:val="0"/>
              <w:noProof/>
            </w:rPr>
            <w:t>ix</w:t>
          </w:r>
          <w:r w:rsidRPr="007448F7">
            <w:rPr>
              <w:rStyle w:val="PageNumber"/>
              <w:caps w:val="0"/>
            </w:rPr>
            <w:fldChar w:fldCharType="end"/>
          </w:r>
        </w:p>
      </w:tc>
    </w:tr>
  </w:tbl>
  <w:p w14:paraId="5519DAD6" w14:textId="77777777" w:rsidR="003C7944" w:rsidRDefault="003C7944">
    <w:pPr>
      <w:pStyle w:val="FooterEnd"/>
    </w:pPr>
  </w:p>
  <w:p w14:paraId="5BED369B" w14:textId="77777777" w:rsidR="003C7944" w:rsidRDefault="003C7944">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7944" w14:paraId="3D6F3230" w14:textId="77777777" w:rsidTr="00663C82">
      <w:trPr>
        <w:trHeight w:hRule="exact" w:val="567"/>
      </w:trPr>
      <w:tc>
        <w:tcPr>
          <w:tcW w:w="510" w:type="dxa"/>
        </w:tcPr>
        <w:p w14:paraId="2EEB620B" w14:textId="77777777" w:rsidR="003C7944" w:rsidRPr="007448F7" w:rsidRDefault="003C7944" w:rsidP="00663C82">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B07F7">
            <w:rPr>
              <w:rStyle w:val="PageNumber"/>
              <w:caps w:val="0"/>
              <w:noProof/>
            </w:rPr>
            <w:t>xiv</w:t>
          </w:r>
          <w:r w:rsidRPr="007448F7">
            <w:rPr>
              <w:rStyle w:val="PageNumber"/>
              <w:caps w:val="0"/>
            </w:rPr>
            <w:fldChar w:fldCharType="end"/>
          </w:r>
        </w:p>
      </w:tc>
      <w:tc>
        <w:tcPr>
          <w:tcW w:w="7767" w:type="dxa"/>
        </w:tcPr>
        <w:p w14:paraId="171D0EAC" w14:textId="629DF438" w:rsidR="003C7944" w:rsidRPr="0013739A" w:rsidRDefault="003C7944" w:rsidP="00271B0C">
          <w:pPr>
            <w:pStyle w:val="Footer"/>
            <w:rPr>
              <w:rFonts w:cs="Arial"/>
            </w:rPr>
          </w:pPr>
          <w:r>
            <w:rPr>
              <w:rFonts w:cs="Arial"/>
            </w:rPr>
            <w:t>PUBLIC SAFETY MOBILE  BROADBAND</w:t>
          </w:r>
        </w:p>
      </w:tc>
      <w:tc>
        <w:tcPr>
          <w:tcW w:w="510" w:type="dxa"/>
        </w:tcPr>
        <w:p w14:paraId="50C8ABAF" w14:textId="77777777" w:rsidR="003C7944" w:rsidRDefault="003C7944" w:rsidP="00663C82">
          <w:pPr>
            <w:pStyle w:val="Footer"/>
          </w:pPr>
        </w:p>
      </w:tc>
    </w:tr>
  </w:tbl>
  <w:p w14:paraId="6DE53E91" w14:textId="77777777" w:rsidR="003C7944" w:rsidRDefault="003C7944" w:rsidP="00663C82">
    <w:pPr>
      <w:pStyle w:val="FooterEnd"/>
    </w:pPr>
  </w:p>
  <w:p w14:paraId="0E9E266F" w14:textId="77777777" w:rsidR="003C7944" w:rsidRDefault="003C7944">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7944" w14:paraId="026EFF56" w14:textId="77777777" w:rsidTr="00663C82">
      <w:trPr>
        <w:trHeight w:hRule="exact" w:val="567"/>
      </w:trPr>
      <w:tc>
        <w:tcPr>
          <w:tcW w:w="510" w:type="dxa"/>
        </w:tcPr>
        <w:p w14:paraId="63C29721" w14:textId="77777777" w:rsidR="003C7944" w:rsidRDefault="003C7944">
          <w:pPr>
            <w:pStyle w:val="Footer"/>
            <w:ind w:right="360" w:firstLine="360"/>
          </w:pPr>
        </w:p>
      </w:tc>
      <w:tc>
        <w:tcPr>
          <w:tcW w:w="7767" w:type="dxa"/>
        </w:tcPr>
        <w:p w14:paraId="3B2CB06B" w14:textId="6D3AA053" w:rsidR="003C7944" w:rsidRPr="00340511" w:rsidRDefault="003C7944" w:rsidP="00376F80">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FB07F7">
            <w:rPr>
              <w:noProof/>
            </w:rPr>
            <w:t>Glossary</w:t>
          </w:r>
          <w:r w:rsidRPr="00340511">
            <w:rPr>
              <w:noProof/>
            </w:rPr>
            <w:fldChar w:fldCharType="end"/>
          </w:r>
        </w:p>
      </w:tc>
      <w:tc>
        <w:tcPr>
          <w:tcW w:w="510" w:type="dxa"/>
        </w:tcPr>
        <w:p w14:paraId="3C78D422" w14:textId="77777777" w:rsidR="003C7944" w:rsidRPr="00A24443" w:rsidRDefault="003C794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B07F7">
            <w:rPr>
              <w:rStyle w:val="PageNumber"/>
              <w:caps w:val="0"/>
              <w:noProof/>
            </w:rPr>
            <w:t>xiii</w:t>
          </w:r>
          <w:r w:rsidRPr="00A24443">
            <w:rPr>
              <w:rStyle w:val="PageNumber"/>
              <w:caps w:val="0"/>
            </w:rPr>
            <w:fldChar w:fldCharType="end"/>
          </w:r>
        </w:p>
      </w:tc>
    </w:tr>
  </w:tbl>
  <w:p w14:paraId="774637B1" w14:textId="77777777" w:rsidR="003C7944" w:rsidRDefault="003C7944">
    <w:pPr>
      <w:pStyle w:val="FooterEnd"/>
    </w:pPr>
  </w:p>
  <w:p w14:paraId="5BD37D02" w14:textId="77777777" w:rsidR="003C7944" w:rsidRDefault="003C7944"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E5209" w14:textId="53B4E5D0" w:rsidR="003C7944" w:rsidRDefault="003C7944">
      <w:r>
        <w:separator/>
      </w:r>
    </w:p>
  </w:footnote>
  <w:footnote w:type="continuationSeparator" w:id="0">
    <w:p w14:paraId="0C14038D" w14:textId="77777777" w:rsidR="003C7944" w:rsidRDefault="003C7944">
      <w:r>
        <w:continuationSeparator/>
      </w:r>
    </w:p>
    <w:p w14:paraId="76D8FC1B" w14:textId="77777777" w:rsidR="003C7944" w:rsidRDefault="003C7944"/>
    <w:p w14:paraId="7D4C8760" w14:textId="77777777" w:rsidR="003C7944" w:rsidRDefault="003C7944"/>
  </w:footnote>
  <w:footnote w:type="continuationNotice" w:id="1">
    <w:p w14:paraId="1B622A73" w14:textId="77777777" w:rsidR="003C7944" w:rsidRPr="00BC332D" w:rsidRDefault="003C7944" w:rsidP="00BC332D">
      <w:pPr>
        <w:spacing w:line="100" w:lineRule="exact"/>
        <w:rPr>
          <w:sz w:val="12"/>
          <w:szCs w:val="12"/>
        </w:rPr>
      </w:pPr>
    </w:p>
  </w:footnote>
  <w:footnote w:id="2">
    <w:p w14:paraId="56E88D99" w14:textId="6602B7EE" w:rsidR="003C7944" w:rsidRDefault="003C7944">
      <w:pPr>
        <w:pStyle w:val="FootnoteText"/>
      </w:pPr>
      <w:r w:rsidRPr="003A7E46">
        <w:rPr>
          <w:rStyle w:val="FootnoteReference"/>
        </w:rPr>
        <w:footnoteRef/>
      </w:r>
      <w:r w:rsidR="00BC332D">
        <w:tab/>
      </w:r>
      <w:r w:rsidRPr="006574E1">
        <w:rPr>
          <w:lang w:val="en"/>
        </w:rPr>
        <w:t xml:space="preserve">This is outlined in the </w:t>
      </w:r>
      <w:proofErr w:type="spellStart"/>
      <w:r w:rsidRPr="006574E1">
        <w:rPr>
          <w:lang w:val="en"/>
        </w:rPr>
        <w:t>COAG</w:t>
      </w:r>
      <w:proofErr w:type="spellEnd"/>
      <w:r w:rsidRPr="006574E1">
        <w:rPr>
          <w:lang w:val="en"/>
        </w:rPr>
        <w:t xml:space="preserve">-endorsed National Framework to Improve Government </w:t>
      </w:r>
      <w:proofErr w:type="spellStart"/>
      <w:r w:rsidRPr="006574E1">
        <w:rPr>
          <w:lang w:val="en"/>
        </w:rPr>
        <w:t>Radiocommunications</w:t>
      </w:r>
      <w:proofErr w:type="spellEnd"/>
      <w:r w:rsidRPr="006574E1">
        <w:rPr>
          <w:lang w:val="en"/>
        </w:rPr>
        <w:t xml:space="preserve"> Interoperability 2010-2020.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3C7944" w14:paraId="6BFF1854" w14:textId="77777777">
      <w:tc>
        <w:tcPr>
          <w:tcW w:w="2155" w:type="dxa"/>
          <w:tcBorders>
            <w:top w:val="single" w:sz="24" w:space="0" w:color="auto"/>
          </w:tcBorders>
        </w:tcPr>
        <w:p w14:paraId="22AB0CFB" w14:textId="77777777" w:rsidR="003C7944" w:rsidRDefault="003C7944">
          <w:pPr>
            <w:pStyle w:val="Header"/>
          </w:pPr>
        </w:p>
      </w:tc>
      <w:tc>
        <w:tcPr>
          <w:tcW w:w="6634" w:type="dxa"/>
          <w:tcBorders>
            <w:top w:val="single" w:sz="6" w:space="0" w:color="auto"/>
          </w:tcBorders>
        </w:tcPr>
        <w:p w14:paraId="171DC444" w14:textId="77777777" w:rsidR="003C7944" w:rsidRDefault="003C7944">
          <w:pPr>
            <w:pStyle w:val="Header"/>
          </w:pPr>
        </w:p>
      </w:tc>
    </w:tr>
  </w:tbl>
  <w:p w14:paraId="34552E20" w14:textId="77777777" w:rsidR="003C7944" w:rsidRDefault="003C794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C7944" w14:paraId="5C57A567" w14:textId="77777777" w:rsidTr="005C68FE">
      <w:tc>
        <w:tcPr>
          <w:tcW w:w="6634" w:type="dxa"/>
          <w:tcBorders>
            <w:top w:val="single" w:sz="6" w:space="0" w:color="auto"/>
          </w:tcBorders>
        </w:tcPr>
        <w:p w14:paraId="598F44E7" w14:textId="77777777" w:rsidR="003C7944" w:rsidRDefault="003C7944" w:rsidP="005C68FE">
          <w:pPr>
            <w:pStyle w:val="HeaderOdd"/>
          </w:pPr>
        </w:p>
      </w:tc>
      <w:tc>
        <w:tcPr>
          <w:tcW w:w="2155" w:type="dxa"/>
          <w:tcBorders>
            <w:top w:val="single" w:sz="24" w:space="0" w:color="auto"/>
          </w:tcBorders>
        </w:tcPr>
        <w:p w14:paraId="68533CFD" w14:textId="77777777" w:rsidR="003C7944" w:rsidRDefault="003C7944" w:rsidP="005C68FE">
          <w:pPr>
            <w:pStyle w:val="HeaderOdd"/>
          </w:pPr>
        </w:p>
      </w:tc>
    </w:tr>
  </w:tbl>
  <w:p w14:paraId="2971450C" w14:textId="77777777" w:rsidR="003C7944" w:rsidRPr="005C68FE" w:rsidRDefault="003C7944"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3C7944" w14:paraId="4BD97460" w14:textId="77777777">
      <w:tc>
        <w:tcPr>
          <w:tcW w:w="2155" w:type="dxa"/>
          <w:tcBorders>
            <w:top w:val="single" w:sz="24" w:space="0" w:color="auto"/>
          </w:tcBorders>
        </w:tcPr>
        <w:p w14:paraId="7DF35A37" w14:textId="77777777" w:rsidR="003C7944" w:rsidRDefault="003C7944">
          <w:pPr>
            <w:pStyle w:val="Header"/>
          </w:pPr>
        </w:p>
      </w:tc>
      <w:tc>
        <w:tcPr>
          <w:tcW w:w="6634" w:type="dxa"/>
          <w:tcBorders>
            <w:top w:val="single" w:sz="6" w:space="0" w:color="auto"/>
          </w:tcBorders>
        </w:tcPr>
        <w:p w14:paraId="7BD8EBC2" w14:textId="77777777" w:rsidR="003C7944" w:rsidRDefault="003C7944">
          <w:pPr>
            <w:pStyle w:val="Header"/>
          </w:pPr>
        </w:p>
      </w:tc>
    </w:tr>
  </w:tbl>
  <w:p w14:paraId="70526D4D" w14:textId="77777777" w:rsidR="003C7944" w:rsidRDefault="003C7944">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C7944" w14:paraId="6C6C3B17" w14:textId="77777777" w:rsidTr="005C68FE">
      <w:tc>
        <w:tcPr>
          <w:tcW w:w="6634" w:type="dxa"/>
          <w:tcBorders>
            <w:top w:val="single" w:sz="6" w:space="0" w:color="auto"/>
          </w:tcBorders>
        </w:tcPr>
        <w:p w14:paraId="71A81530" w14:textId="77777777" w:rsidR="003C7944" w:rsidRDefault="003C7944" w:rsidP="005C68FE">
          <w:pPr>
            <w:pStyle w:val="HeaderOdd"/>
          </w:pPr>
        </w:p>
      </w:tc>
      <w:tc>
        <w:tcPr>
          <w:tcW w:w="2155" w:type="dxa"/>
          <w:tcBorders>
            <w:top w:val="single" w:sz="24" w:space="0" w:color="auto"/>
          </w:tcBorders>
        </w:tcPr>
        <w:p w14:paraId="5841B93D" w14:textId="77777777" w:rsidR="003C7944" w:rsidRDefault="003C7944" w:rsidP="005C68FE">
          <w:pPr>
            <w:pStyle w:val="HeaderOdd"/>
          </w:pPr>
        </w:p>
      </w:tc>
    </w:tr>
  </w:tbl>
  <w:p w14:paraId="0F23CAB5" w14:textId="77777777" w:rsidR="003C7944" w:rsidRPr="005C68FE" w:rsidRDefault="003C7944"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C7944" w14:paraId="2EC96597" w14:textId="77777777" w:rsidTr="005C68FE">
      <w:tc>
        <w:tcPr>
          <w:tcW w:w="2155" w:type="dxa"/>
          <w:tcBorders>
            <w:top w:val="single" w:sz="24" w:space="0" w:color="auto"/>
          </w:tcBorders>
        </w:tcPr>
        <w:p w14:paraId="6CE0EF57" w14:textId="77777777" w:rsidR="003C7944" w:rsidRDefault="003C7944" w:rsidP="005C68FE">
          <w:pPr>
            <w:pStyle w:val="HeaderEven"/>
          </w:pPr>
        </w:p>
      </w:tc>
      <w:tc>
        <w:tcPr>
          <w:tcW w:w="6634" w:type="dxa"/>
          <w:tcBorders>
            <w:top w:val="single" w:sz="6" w:space="0" w:color="auto"/>
          </w:tcBorders>
        </w:tcPr>
        <w:p w14:paraId="0C4ADB3D" w14:textId="77777777" w:rsidR="003C7944" w:rsidRDefault="003C7944" w:rsidP="005C68FE">
          <w:pPr>
            <w:pStyle w:val="HeaderEven"/>
          </w:pPr>
        </w:p>
      </w:tc>
    </w:tr>
  </w:tbl>
  <w:p w14:paraId="7F4B0EB2" w14:textId="77777777" w:rsidR="003C7944" w:rsidRDefault="003C7944"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C7944" w14:paraId="33AB4EFB" w14:textId="77777777">
      <w:tc>
        <w:tcPr>
          <w:tcW w:w="6634" w:type="dxa"/>
          <w:tcBorders>
            <w:top w:val="single" w:sz="6" w:space="0" w:color="auto"/>
          </w:tcBorders>
        </w:tcPr>
        <w:p w14:paraId="26783206" w14:textId="77777777" w:rsidR="003C7944" w:rsidRDefault="003C7944">
          <w:pPr>
            <w:pStyle w:val="HeaderOdd"/>
          </w:pPr>
        </w:p>
      </w:tc>
      <w:tc>
        <w:tcPr>
          <w:tcW w:w="2155" w:type="dxa"/>
          <w:tcBorders>
            <w:top w:val="single" w:sz="24" w:space="0" w:color="auto"/>
          </w:tcBorders>
        </w:tcPr>
        <w:p w14:paraId="6C23C78D" w14:textId="77777777" w:rsidR="003C7944" w:rsidRDefault="003C7944">
          <w:pPr>
            <w:pStyle w:val="HeaderOdd"/>
          </w:pPr>
        </w:p>
      </w:tc>
    </w:tr>
  </w:tbl>
  <w:p w14:paraId="4E01B618" w14:textId="77777777" w:rsidR="003C7944" w:rsidRDefault="003C7944"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7"/>
  </w:num>
  <w:num w:numId="4">
    <w:abstractNumId w:val="1"/>
  </w:num>
  <w:num w:numId="5">
    <w:abstractNumId w:val="13"/>
  </w:num>
  <w:num w:numId="6">
    <w:abstractNumId w:val="12"/>
  </w:num>
  <w:num w:numId="7">
    <w:abstractNumId w:val="2"/>
  </w:num>
  <w:num w:numId="8">
    <w:abstractNumId w:val="6"/>
  </w:num>
  <w:num w:numId="9">
    <w:abstractNumId w:val="14"/>
  </w:num>
  <w:num w:numId="10">
    <w:abstractNumId w:val="9"/>
  </w:num>
  <w:num w:numId="11">
    <w:abstractNumId w:val="8"/>
  </w:num>
  <w:num w:numId="12">
    <w:abstractNumId w:val="0"/>
  </w:num>
  <w:num w:numId="13">
    <w:abstractNumId w:val="3"/>
  </w:num>
  <w:num w:numId="14">
    <w:abstractNumId w:val="11"/>
  </w:num>
  <w:num w:numId="15">
    <w:abstractNumId w:val="1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8AA"/>
    <w:rsid w:val="0000556F"/>
    <w:rsid w:val="000147C5"/>
    <w:rsid w:val="00016483"/>
    <w:rsid w:val="00017AFC"/>
    <w:rsid w:val="00025878"/>
    <w:rsid w:val="00026B38"/>
    <w:rsid w:val="000502D3"/>
    <w:rsid w:val="00052CB2"/>
    <w:rsid w:val="000623BF"/>
    <w:rsid w:val="00063C02"/>
    <w:rsid w:val="0006679F"/>
    <w:rsid w:val="000779EB"/>
    <w:rsid w:val="00077A89"/>
    <w:rsid w:val="0008283E"/>
    <w:rsid w:val="00095EEA"/>
    <w:rsid w:val="00097C15"/>
    <w:rsid w:val="000A0A0E"/>
    <w:rsid w:val="000A5E12"/>
    <w:rsid w:val="000B209E"/>
    <w:rsid w:val="000B416E"/>
    <w:rsid w:val="000E0EAD"/>
    <w:rsid w:val="000F0422"/>
    <w:rsid w:val="000F185F"/>
    <w:rsid w:val="000F2F5F"/>
    <w:rsid w:val="000F34F8"/>
    <w:rsid w:val="0010098A"/>
    <w:rsid w:val="00106041"/>
    <w:rsid w:val="0010611E"/>
    <w:rsid w:val="00113F9F"/>
    <w:rsid w:val="001140F2"/>
    <w:rsid w:val="00122FE9"/>
    <w:rsid w:val="00131572"/>
    <w:rsid w:val="00131D4F"/>
    <w:rsid w:val="00132491"/>
    <w:rsid w:val="0013399B"/>
    <w:rsid w:val="00167EF1"/>
    <w:rsid w:val="0017420C"/>
    <w:rsid w:val="00180515"/>
    <w:rsid w:val="00181F4B"/>
    <w:rsid w:val="00190919"/>
    <w:rsid w:val="00196FB3"/>
    <w:rsid w:val="001A5071"/>
    <w:rsid w:val="001A54A4"/>
    <w:rsid w:val="001B4E73"/>
    <w:rsid w:val="001B7F1E"/>
    <w:rsid w:val="001D4B1F"/>
    <w:rsid w:val="001D6629"/>
    <w:rsid w:val="001E3390"/>
    <w:rsid w:val="001E3ACB"/>
    <w:rsid w:val="001F2270"/>
    <w:rsid w:val="002020FC"/>
    <w:rsid w:val="00203B40"/>
    <w:rsid w:val="00205A82"/>
    <w:rsid w:val="00211BEE"/>
    <w:rsid w:val="0021211E"/>
    <w:rsid w:val="002179C6"/>
    <w:rsid w:val="00236C87"/>
    <w:rsid w:val="00261607"/>
    <w:rsid w:val="00263DD1"/>
    <w:rsid w:val="00264D3B"/>
    <w:rsid w:val="00265685"/>
    <w:rsid w:val="00266D85"/>
    <w:rsid w:val="00271B0C"/>
    <w:rsid w:val="002805EE"/>
    <w:rsid w:val="00281D5F"/>
    <w:rsid w:val="002923AD"/>
    <w:rsid w:val="00296592"/>
    <w:rsid w:val="002A0A4B"/>
    <w:rsid w:val="002A3B5A"/>
    <w:rsid w:val="002A499E"/>
    <w:rsid w:val="002B415C"/>
    <w:rsid w:val="002B4ACA"/>
    <w:rsid w:val="002B636E"/>
    <w:rsid w:val="002B64D6"/>
    <w:rsid w:val="002B72B6"/>
    <w:rsid w:val="002C12F5"/>
    <w:rsid w:val="002C275F"/>
    <w:rsid w:val="002D4991"/>
    <w:rsid w:val="002D6FCE"/>
    <w:rsid w:val="002E2079"/>
    <w:rsid w:val="002E73FD"/>
    <w:rsid w:val="002F3437"/>
    <w:rsid w:val="00316E6A"/>
    <w:rsid w:val="00334466"/>
    <w:rsid w:val="00340511"/>
    <w:rsid w:val="00373E01"/>
    <w:rsid w:val="00376397"/>
    <w:rsid w:val="00376F80"/>
    <w:rsid w:val="0038647D"/>
    <w:rsid w:val="00393522"/>
    <w:rsid w:val="00393A49"/>
    <w:rsid w:val="003A7E46"/>
    <w:rsid w:val="003B17D0"/>
    <w:rsid w:val="003B26E5"/>
    <w:rsid w:val="003B41E0"/>
    <w:rsid w:val="003B490B"/>
    <w:rsid w:val="003C3D73"/>
    <w:rsid w:val="003C7944"/>
    <w:rsid w:val="003D5F25"/>
    <w:rsid w:val="003D624D"/>
    <w:rsid w:val="003E7802"/>
    <w:rsid w:val="003F0C97"/>
    <w:rsid w:val="003F7951"/>
    <w:rsid w:val="0040191F"/>
    <w:rsid w:val="0042007A"/>
    <w:rsid w:val="00433C81"/>
    <w:rsid w:val="00440A5E"/>
    <w:rsid w:val="00446D6B"/>
    <w:rsid w:val="00457B3F"/>
    <w:rsid w:val="00463022"/>
    <w:rsid w:val="00464E64"/>
    <w:rsid w:val="00481CF0"/>
    <w:rsid w:val="004B36BA"/>
    <w:rsid w:val="004B4201"/>
    <w:rsid w:val="004B492A"/>
    <w:rsid w:val="004C0B0C"/>
    <w:rsid w:val="004C334E"/>
    <w:rsid w:val="004D3F58"/>
    <w:rsid w:val="004D7031"/>
    <w:rsid w:val="004E52E2"/>
    <w:rsid w:val="004E6BB4"/>
    <w:rsid w:val="004E7484"/>
    <w:rsid w:val="004E7D3C"/>
    <w:rsid w:val="004F25D8"/>
    <w:rsid w:val="00515101"/>
    <w:rsid w:val="00515D43"/>
    <w:rsid w:val="0052544D"/>
    <w:rsid w:val="00526B19"/>
    <w:rsid w:val="0053159E"/>
    <w:rsid w:val="005358AA"/>
    <w:rsid w:val="00551FB8"/>
    <w:rsid w:val="00552D22"/>
    <w:rsid w:val="005537F6"/>
    <w:rsid w:val="00560F43"/>
    <w:rsid w:val="005654D0"/>
    <w:rsid w:val="00576330"/>
    <w:rsid w:val="00585B3F"/>
    <w:rsid w:val="00592306"/>
    <w:rsid w:val="005B17AB"/>
    <w:rsid w:val="005B3BB1"/>
    <w:rsid w:val="005C4914"/>
    <w:rsid w:val="005C68FE"/>
    <w:rsid w:val="005D7B98"/>
    <w:rsid w:val="005F750A"/>
    <w:rsid w:val="005F7D30"/>
    <w:rsid w:val="0060187B"/>
    <w:rsid w:val="00602523"/>
    <w:rsid w:val="00603150"/>
    <w:rsid w:val="006040CB"/>
    <w:rsid w:val="00604351"/>
    <w:rsid w:val="00607D8A"/>
    <w:rsid w:val="0061373F"/>
    <w:rsid w:val="0061590F"/>
    <w:rsid w:val="0062417B"/>
    <w:rsid w:val="00636497"/>
    <w:rsid w:val="00641AE2"/>
    <w:rsid w:val="0064456A"/>
    <w:rsid w:val="00650DDA"/>
    <w:rsid w:val="00650F83"/>
    <w:rsid w:val="0065126A"/>
    <w:rsid w:val="00653FA6"/>
    <w:rsid w:val="006574E1"/>
    <w:rsid w:val="00661B36"/>
    <w:rsid w:val="00663C82"/>
    <w:rsid w:val="006657CC"/>
    <w:rsid w:val="006730B9"/>
    <w:rsid w:val="0067557D"/>
    <w:rsid w:val="006802D4"/>
    <w:rsid w:val="00683849"/>
    <w:rsid w:val="0068446A"/>
    <w:rsid w:val="00691AB5"/>
    <w:rsid w:val="00696B25"/>
    <w:rsid w:val="006A1DE4"/>
    <w:rsid w:val="006C1C8C"/>
    <w:rsid w:val="006C4DE4"/>
    <w:rsid w:val="006C7B3F"/>
    <w:rsid w:val="006E1E6B"/>
    <w:rsid w:val="006F0EAC"/>
    <w:rsid w:val="006F62D5"/>
    <w:rsid w:val="006F6A85"/>
    <w:rsid w:val="0070328D"/>
    <w:rsid w:val="007179B4"/>
    <w:rsid w:val="0072270E"/>
    <w:rsid w:val="00725092"/>
    <w:rsid w:val="00726861"/>
    <w:rsid w:val="00726A10"/>
    <w:rsid w:val="00731F96"/>
    <w:rsid w:val="00734127"/>
    <w:rsid w:val="00735FEA"/>
    <w:rsid w:val="0074164F"/>
    <w:rsid w:val="00743460"/>
    <w:rsid w:val="00743A27"/>
    <w:rsid w:val="0074401D"/>
    <w:rsid w:val="007448F7"/>
    <w:rsid w:val="0075020E"/>
    <w:rsid w:val="007515BB"/>
    <w:rsid w:val="00753DC6"/>
    <w:rsid w:val="0075578C"/>
    <w:rsid w:val="00762A27"/>
    <w:rsid w:val="00766DFB"/>
    <w:rsid w:val="007734B5"/>
    <w:rsid w:val="007809B8"/>
    <w:rsid w:val="007813A6"/>
    <w:rsid w:val="007A4F13"/>
    <w:rsid w:val="007A52DC"/>
    <w:rsid w:val="007B03AA"/>
    <w:rsid w:val="007B5EFD"/>
    <w:rsid w:val="007C5891"/>
    <w:rsid w:val="007C741B"/>
    <w:rsid w:val="007F45FC"/>
    <w:rsid w:val="00801DF0"/>
    <w:rsid w:val="00805FD7"/>
    <w:rsid w:val="008068B0"/>
    <w:rsid w:val="00806E54"/>
    <w:rsid w:val="00810555"/>
    <w:rsid w:val="008206EE"/>
    <w:rsid w:val="008214B1"/>
    <w:rsid w:val="00825C80"/>
    <w:rsid w:val="008273A9"/>
    <w:rsid w:val="00836E5D"/>
    <w:rsid w:val="00836ED7"/>
    <w:rsid w:val="0084355E"/>
    <w:rsid w:val="008449B8"/>
    <w:rsid w:val="008453AC"/>
    <w:rsid w:val="00846444"/>
    <w:rsid w:val="008465A9"/>
    <w:rsid w:val="00846782"/>
    <w:rsid w:val="00860D09"/>
    <w:rsid w:val="00861D48"/>
    <w:rsid w:val="00862044"/>
    <w:rsid w:val="00875004"/>
    <w:rsid w:val="00880BF7"/>
    <w:rsid w:val="008817F6"/>
    <w:rsid w:val="00886C1A"/>
    <w:rsid w:val="0089269F"/>
    <w:rsid w:val="008A2133"/>
    <w:rsid w:val="008A3857"/>
    <w:rsid w:val="008B145C"/>
    <w:rsid w:val="008B2205"/>
    <w:rsid w:val="008C305F"/>
    <w:rsid w:val="008C3AD2"/>
    <w:rsid w:val="008C7C3D"/>
    <w:rsid w:val="008D6F66"/>
    <w:rsid w:val="008E12BB"/>
    <w:rsid w:val="008E1BEA"/>
    <w:rsid w:val="008E242D"/>
    <w:rsid w:val="008E43D2"/>
    <w:rsid w:val="008E4E19"/>
    <w:rsid w:val="008E5248"/>
    <w:rsid w:val="008F04C9"/>
    <w:rsid w:val="008F6499"/>
    <w:rsid w:val="008F6D56"/>
    <w:rsid w:val="008F7269"/>
    <w:rsid w:val="008F7C02"/>
    <w:rsid w:val="008F7C50"/>
    <w:rsid w:val="008F7DB7"/>
    <w:rsid w:val="00901890"/>
    <w:rsid w:val="00903F8F"/>
    <w:rsid w:val="009046E2"/>
    <w:rsid w:val="009064D3"/>
    <w:rsid w:val="00915300"/>
    <w:rsid w:val="009271DA"/>
    <w:rsid w:val="009304C2"/>
    <w:rsid w:val="00933B0C"/>
    <w:rsid w:val="00935676"/>
    <w:rsid w:val="00964BC2"/>
    <w:rsid w:val="00971410"/>
    <w:rsid w:val="00975789"/>
    <w:rsid w:val="0098401D"/>
    <w:rsid w:val="009A64AD"/>
    <w:rsid w:val="009A789F"/>
    <w:rsid w:val="009B12EF"/>
    <w:rsid w:val="009B48F7"/>
    <w:rsid w:val="009B6185"/>
    <w:rsid w:val="009C39F4"/>
    <w:rsid w:val="009C6BC8"/>
    <w:rsid w:val="009C6C6D"/>
    <w:rsid w:val="009E1E78"/>
    <w:rsid w:val="009E27E0"/>
    <w:rsid w:val="00A1597D"/>
    <w:rsid w:val="00A31015"/>
    <w:rsid w:val="00A46989"/>
    <w:rsid w:val="00A469AA"/>
    <w:rsid w:val="00A63760"/>
    <w:rsid w:val="00A71CE9"/>
    <w:rsid w:val="00A72A19"/>
    <w:rsid w:val="00A75A30"/>
    <w:rsid w:val="00A93C82"/>
    <w:rsid w:val="00AB2A48"/>
    <w:rsid w:val="00AB30DB"/>
    <w:rsid w:val="00AC3236"/>
    <w:rsid w:val="00AD4874"/>
    <w:rsid w:val="00AD6AD1"/>
    <w:rsid w:val="00AE1F8A"/>
    <w:rsid w:val="00AE4F43"/>
    <w:rsid w:val="00AE5643"/>
    <w:rsid w:val="00AE57BF"/>
    <w:rsid w:val="00B036B2"/>
    <w:rsid w:val="00B04D19"/>
    <w:rsid w:val="00B153C3"/>
    <w:rsid w:val="00B1684F"/>
    <w:rsid w:val="00B22087"/>
    <w:rsid w:val="00B34954"/>
    <w:rsid w:val="00B703F7"/>
    <w:rsid w:val="00B722F2"/>
    <w:rsid w:val="00B80355"/>
    <w:rsid w:val="00B83510"/>
    <w:rsid w:val="00B90958"/>
    <w:rsid w:val="00B932E1"/>
    <w:rsid w:val="00B95339"/>
    <w:rsid w:val="00B97105"/>
    <w:rsid w:val="00BA0B81"/>
    <w:rsid w:val="00BB334E"/>
    <w:rsid w:val="00BB5DCF"/>
    <w:rsid w:val="00BB6C09"/>
    <w:rsid w:val="00BC2476"/>
    <w:rsid w:val="00BC332D"/>
    <w:rsid w:val="00BE1E90"/>
    <w:rsid w:val="00BE7165"/>
    <w:rsid w:val="00BE739A"/>
    <w:rsid w:val="00BF59EA"/>
    <w:rsid w:val="00BF79CD"/>
    <w:rsid w:val="00C030E4"/>
    <w:rsid w:val="00C0358F"/>
    <w:rsid w:val="00C058AB"/>
    <w:rsid w:val="00C0721B"/>
    <w:rsid w:val="00C151BA"/>
    <w:rsid w:val="00C15685"/>
    <w:rsid w:val="00C34C8C"/>
    <w:rsid w:val="00C50792"/>
    <w:rsid w:val="00C51371"/>
    <w:rsid w:val="00C55A45"/>
    <w:rsid w:val="00C5634D"/>
    <w:rsid w:val="00C576E0"/>
    <w:rsid w:val="00C904D9"/>
    <w:rsid w:val="00C94C06"/>
    <w:rsid w:val="00CA48BF"/>
    <w:rsid w:val="00CA7126"/>
    <w:rsid w:val="00CB3ACC"/>
    <w:rsid w:val="00CB4745"/>
    <w:rsid w:val="00CD2163"/>
    <w:rsid w:val="00CD4FE7"/>
    <w:rsid w:val="00CD5E6B"/>
    <w:rsid w:val="00CD679C"/>
    <w:rsid w:val="00CE4FBC"/>
    <w:rsid w:val="00CE5D96"/>
    <w:rsid w:val="00CE7344"/>
    <w:rsid w:val="00CF26EE"/>
    <w:rsid w:val="00D07FFE"/>
    <w:rsid w:val="00D310F0"/>
    <w:rsid w:val="00D37AC2"/>
    <w:rsid w:val="00D500A9"/>
    <w:rsid w:val="00D52550"/>
    <w:rsid w:val="00D6085A"/>
    <w:rsid w:val="00D61180"/>
    <w:rsid w:val="00D64121"/>
    <w:rsid w:val="00D67119"/>
    <w:rsid w:val="00D726D4"/>
    <w:rsid w:val="00D72BDB"/>
    <w:rsid w:val="00D732FE"/>
    <w:rsid w:val="00D74E25"/>
    <w:rsid w:val="00D75D53"/>
    <w:rsid w:val="00D772E9"/>
    <w:rsid w:val="00D82E10"/>
    <w:rsid w:val="00D83FBF"/>
    <w:rsid w:val="00D96085"/>
    <w:rsid w:val="00D969AE"/>
    <w:rsid w:val="00DA2668"/>
    <w:rsid w:val="00DA31AB"/>
    <w:rsid w:val="00DA3281"/>
    <w:rsid w:val="00DA6CBE"/>
    <w:rsid w:val="00DA6D3E"/>
    <w:rsid w:val="00DB6F1D"/>
    <w:rsid w:val="00DC02E8"/>
    <w:rsid w:val="00DC75C7"/>
    <w:rsid w:val="00DC78D3"/>
    <w:rsid w:val="00DD1077"/>
    <w:rsid w:val="00DE7CA4"/>
    <w:rsid w:val="00DF00FE"/>
    <w:rsid w:val="00DF4592"/>
    <w:rsid w:val="00E15FDC"/>
    <w:rsid w:val="00E2651B"/>
    <w:rsid w:val="00E30DDB"/>
    <w:rsid w:val="00E33281"/>
    <w:rsid w:val="00E51203"/>
    <w:rsid w:val="00E56621"/>
    <w:rsid w:val="00E6632E"/>
    <w:rsid w:val="00E90CF2"/>
    <w:rsid w:val="00E91470"/>
    <w:rsid w:val="00EA2164"/>
    <w:rsid w:val="00EA741E"/>
    <w:rsid w:val="00EB5813"/>
    <w:rsid w:val="00EC38C1"/>
    <w:rsid w:val="00EC628B"/>
    <w:rsid w:val="00EC6A53"/>
    <w:rsid w:val="00ED0F61"/>
    <w:rsid w:val="00EE0545"/>
    <w:rsid w:val="00EE3F6D"/>
    <w:rsid w:val="00EE73E1"/>
    <w:rsid w:val="00EF7B4D"/>
    <w:rsid w:val="00F03504"/>
    <w:rsid w:val="00F12107"/>
    <w:rsid w:val="00F13165"/>
    <w:rsid w:val="00F339A0"/>
    <w:rsid w:val="00F3787D"/>
    <w:rsid w:val="00F4234E"/>
    <w:rsid w:val="00F50DD9"/>
    <w:rsid w:val="00F61429"/>
    <w:rsid w:val="00F61633"/>
    <w:rsid w:val="00F718D1"/>
    <w:rsid w:val="00F7477E"/>
    <w:rsid w:val="00F85393"/>
    <w:rsid w:val="00FA438E"/>
    <w:rsid w:val="00FA4A24"/>
    <w:rsid w:val="00FB07F7"/>
    <w:rsid w:val="00FB7E25"/>
    <w:rsid w:val="00FC1EE2"/>
    <w:rsid w:val="00FC41B4"/>
    <w:rsid w:val="00FC5A6B"/>
    <w:rsid w:val="00FD4728"/>
    <w:rsid w:val="00FD741A"/>
    <w:rsid w:val="00FE249B"/>
    <w:rsid w:val="00FF2375"/>
    <w:rsid w:val="00FF3BD1"/>
    <w:rsid w:val="00FF67E3"/>
    <w:rsid w:val="00FF7F5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208DA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uiPriority="99"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uiPriority w:val="1"/>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7A52DC"/>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link w:val="BalloonTextChar"/>
    <w:uiPriority w:val="99"/>
    <w:semiHidden/>
    <w:rsid w:val="002B64D6"/>
    <w:rPr>
      <w:rFonts w:ascii="Tahoma" w:hAnsi="Tahoma" w:cs="Tahoma"/>
      <w:sz w:val="16"/>
      <w:szCs w:val="16"/>
    </w:rPr>
  </w:style>
  <w:style w:type="character" w:customStyle="1" w:styleId="BodyTextChar">
    <w:name w:val="Body Text Char"/>
    <w:basedOn w:val="DefaultParagraphFont"/>
    <w:link w:val="BodyText"/>
    <w:locked/>
    <w:rsid w:val="007A52DC"/>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35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5358AA"/>
    <w:rPr>
      <w:kern w:val="28"/>
      <w:sz w:val="52"/>
      <w:lang w:eastAsia="en-US"/>
    </w:rPr>
  </w:style>
  <w:style w:type="character" w:customStyle="1" w:styleId="Heading3Char">
    <w:name w:val="Heading 3 Char"/>
    <w:basedOn w:val="DefaultParagraphFont"/>
    <w:link w:val="Heading3"/>
    <w:rsid w:val="005358AA"/>
    <w:rPr>
      <w:rFonts w:ascii="Arial" w:hAnsi="Arial"/>
      <w:b/>
      <w:sz w:val="26"/>
    </w:rPr>
  </w:style>
  <w:style w:type="character" w:styleId="Emphasis">
    <w:name w:val="Emphasis"/>
    <w:basedOn w:val="DefaultParagraphFont"/>
    <w:uiPriority w:val="99"/>
    <w:qFormat/>
    <w:rsid w:val="00F3787D"/>
    <w:rPr>
      <w:i/>
      <w:iCs/>
    </w:rPr>
  </w:style>
  <w:style w:type="paragraph" w:styleId="CommentSubject">
    <w:name w:val="annotation subject"/>
    <w:basedOn w:val="CommentText"/>
    <w:next w:val="CommentText"/>
    <w:link w:val="CommentSubjectChar"/>
    <w:rsid w:val="00063C02"/>
    <w:pPr>
      <w:spacing w:before="0" w:line="240" w:lineRule="auto"/>
      <w:ind w:left="0" w:firstLine="0"/>
    </w:pPr>
    <w:rPr>
      <w:b/>
      <w:bCs/>
    </w:rPr>
  </w:style>
  <w:style w:type="character" w:customStyle="1" w:styleId="CommentTextChar">
    <w:name w:val="Comment Text Char"/>
    <w:basedOn w:val="DefaultParagraphFont"/>
    <w:link w:val="CommentText"/>
    <w:semiHidden/>
    <w:rsid w:val="00063C02"/>
    <w:rPr>
      <w:lang w:eastAsia="en-US"/>
    </w:rPr>
  </w:style>
  <w:style w:type="character" w:customStyle="1" w:styleId="CommentSubjectChar">
    <w:name w:val="Comment Subject Char"/>
    <w:basedOn w:val="CommentTextChar"/>
    <w:link w:val="CommentSubject"/>
    <w:rsid w:val="00063C02"/>
    <w:rPr>
      <w:b/>
      <w:bCs/>
      <w:lang w:eastAsia="en-US"/>
    </w:rPr>
  </w:style>
  <w:style w:type="paragraph" w:styleId="Revision">
    <w:name w:val="Revision"/>
    <w:hidden/>
    <w:uiPriority w:val="99"/>
    <w:semiHidden/>
    <w:rsid w:val="001A54A4"/>
    <w:rPr>
      <w:sz w:val="26"/>
      <w:lang w:eastAsia="en-US"/>
    </w:rPr>
  </w:style>
  <w:style w:type="paragraph" w:styleId="ListParagraph">
    <w:name w:val="List Paragraph"/>
    <w:basedOn w:val="Normal"/>
    <w:uiPriority w:val="1"/>
    <w:qFormat/>
    <w:rsid w:val="005B3BB1"/>
    <w:pPr>
      <w:widowControl w:val="0"/>
    </w:pPr>
    <w:rPr>
      <w:rFonts w:asciiTheme="minorHAnsi" w:eastAsiaTheme="minorHAnsi" w:hAnsiTheme="minorHAnsi" w:cstheme="minorBidi"/>
      <w:sz w:val="22"/>
      <w:szCs w:val="22"/>
      <w:lang w:val="en-US"/>
    </w:rPr>
  </w:style>
  <w:style w:type="paragraph" w:customStyle="1" w:styleId="TableParagraph">
    <w:name w:val="Table Paragraph"/>
    <w:basedOn w:val="Normal"/>
    <w:uiPriority w:val="1"/>
    <w:qFormat/>
    <w:rsid w:val="005B3BB1"/>
    <w:pPr>
      <w:widowControl w:val="0"/>
    </w:pPr>
    <w:rPr>
      <w:rFonts w:asciiTheme="minorHAnsi" w:eastAsiaTheme="minorHAnsi" w:hAnsiTheme="minorHAnsi" w:cstheme="minorBidi"/>
      <w:sz w:val="22"/>
      <w:szCs w:val="22"/>
      <w:lang w:val="en-US"/>
    </w:rPr>
  </w:style>
  <w:style w:type="character" w:customStyle="1" w:styleId="BalloonTextChar">
    <w:name w:val="Balloon Text Char"/>
    <w:basedOn w:val="DefaultParagraphFont"/>
    <w:link w:val="BalloonText"/>
    <w:uiPriority w:val="99"/>
    <w:semiHidden/>
    <w:rsid w:val="005B3BB1"/>
    <w:rPr>
      <w:rFonts w:ascii="Tahoma" w:hAnsi="Tahoma" w:cs="Tahoma"/>
      <w:sz w:val="16"/>
      <w:szCs w:val="16"/>
      <w:lang w:eastAsia="en-US"/>
    </w:rPr>
  </w:style>
  <w:style w:type="character" w:styleId="EndnoteReference">
    <w:name w:val="endnote reference"/>
    <w:basedOn w:val="DefaultParagraphFont"/>
    <w:rsid w:val="003A7E4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uiPriority="99"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uiPriority w:val="1"/>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7A52DC"/>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link w:val="BalloonTextChar"/>
    <w:uiPriority w:val="99"/>
    <w:semiHidden/>
    <w:rsid w:val="002B64D6"/>
    <w:rPr>
      <w:rFonts w:ascii="Tahoma" w:hAnsi="Tahoma" w:cs="Tahoma"/>
      <w:sz w:val="16"/>
      <w:szCs w:val="16"/>
    </w:rPr>
  </w:style>
  <w:style w:type="character" w:customStyle="1" w:styleId="BodyTextChar">
    <w:name w:val="Body Text Char"/>
    <w:basedOn w:val="DefaultParagraphFont"/>
    <w:link w:val="BodyText"/>
    <w:locked/>
    <w:rsid w:val="007A52DC"/>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35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5358AA"/>
    <w:rPr>
      <w:kern w:val="28"/>
      <w:sz w:val="52"/>
      <w:lang w:eastAsia="en-US"/>
    </w:rPr>
  </w:style>
  <w:style w:type="character" w:customStyle="1" w:styleId="Heading3Char">
    <w:name w:val="Heading 3 Char"/>
    <w:basedOn w:val="DefaultParagraphFont"/>
    <w:link w:val="Heading3"/>
    <w:rsid w:val="005358AA"/>
    <w:rPr>
      <w:rFonts w:ascii="Arial" w:hAnsi="Arial"/>
      <w:b/>
      <w:sz w:val="26"/>
    </w:rPr>
  </w:style>
  <w:style w:type="character" w:styleId="Emphasis">
    <w:name w:val="Emphasis"/>
    <w:basedOn w:val="DefaultParagraphFont"/>
    <w:uiPriority w:val="99"/>
    <w:qFormat/>
    <w:rsid w:val="00F3787D"/>
    <w:rPr>
      <w:i/>
      <w:iCs/>
    </w:rPr>
  </w:style>
  <w:style w:type="paragraph" w:styleId="CommentSubject">
    <w:name w:val="annotation subject"/>
    <w:basedOn w:val="CommentText"/>
    <w:next w:val="CommentText"/>
    <w:link w:val="CommentSubjectChar"/>
    <w:rsid w:val="00063C02"/>
    <w:pPr>
      <w:spacing w:before="0" w:line="240" w:lineRule="auto"/>
      <w:ind w:left="0" w:firstLine="0"/>
    </w:pPr>
    <w:rPr>
      <w:b/>
      <w:bCs/>
    </w:rPr>
  </w:style>
  <w:style w:type="character" w:customStyle="1" w:styleId="CommentTextChar">
    <w:name w:val="Comment Text Char"/>
    <w:basedOn w:val="DefaultParagraphFont"/>
    <w:link w:val="CommentText"/>
    <w:semiHidden/>
    <w:rsid w:val="00063C02"/>
    <w:rPr>
      <w:lang w:eastAsia="en-US"/>
    </w:rPr>
  </w:style>
  <w:style w:type="character" w:customStyle="1" w:styleId="CommentSubjectChar">
    <w:name w:val="Comment Subject Char"/>
    <w:basedOn w:val="CommentTextChar"/>
    <w:link w:val="CommentSubject"/>
    <w:rsid w:val="00063C02"/>
    <w:rPr>
      <w:b/>
      <w:bCs/>
      <w:lang w:eastAsia="en-US"/>
    </w:rPr>
  </w:style>
  <w:style w:type="paragraph" w:styleId="Revision">
    <w:name w:val="Revision"/>
    <w:hidden/>
    <w:uiPriority w:val="99"/>
    <w:semiHidden/>
    <w:rsid w:val="001A54A4"/>
    <w:rPr>
      <w:sz w:val="26"/>
      <w:lang w:eastAsia="en-US"/>
    </w:rPr>
  </w:style>
  <w:style w:type="paragraph" w:styleId="ListParagraph">
    <w:name w:val="List Paragraph"/>
    <w:basedOn w:val="Normal"/>
    <w:uiPriority w:val="1"/>
    <w:qFormat/>
    <w:rsid w:val="005B3BB1"/>
    <w:pPr>
      <w:widowControl w:val="0"/>
    </w:pPr>
    <w:rPr>
      <w:rFonts w:asciiTheme="minorHAnsi" w:eastAsiaTheme="minorHAnsi" w:hAnsiTheme="minorHAnsi" w:cstheme="minorBidi"/>
      <w:sz w:val="22"/>
      <w:szCs w:val="22"/>
      <w:lang w:val="en-US"/>
    </w:rPr>
  </w:style>
  <w:style w:type="paragraph" w:customStyle="1" w:styleId="TableParagraph">
    <w:name w:val="Table Paragraph"/>
    <w:basedOn w:val="Normal"/>
    <w:uiPriority w:val="1"/>
    <w:qFormat/>
    <w:rsid w:val="005B3BB1"/>
    <w:pPr>
      <w:widowControl w:val="0"/>
    </w:pPr>
    <w:rPr>
      <w:rFonts w:asciiTheme="minorHAnsi" w:eastAsiaTheme="minorHAnsi" w:hAnsiTheme="minorHAnsi" w:cstheme="minorBidi"/>
      <w:sz w:val="22"/>
      <w:szCs w:val="22"/>
      <w:lang w:val="en-US"/>
    </w:rPr>
  </w:style>
  <w:style w:type="character" w:customStyle="1" w:styleId="BalloonTextChar">
    <w:name w:val="Balloon Text Char"/>
    <w:basedOn w:val="DefaultParagraphFont"/>
    <w:link w:val="BalloonText"/>
    <w:uiPriority w:val="99"/>
    <w:semiHidden/>
    <w:rsid w:val="005B3BB1"/>
    <w:rPr>
      <w:rFonts w:ascii="Tahoma" w:hAnsi="Tahoma" w:cs="Tahoma"/>
      <w:sz w:val="16"/>
      <w:szCs w:val="16"/>
      <w:lang w:eastAsia="en-US"/>
    </w:rPr>
  </w:style>
  <w:style w:type="character" w:styleId="EndnoteReference">
    <w:name w:val="endnote reference"/>
    <w:basedOn w:val="DefaultParagraphFont"/>
    <w:rsid w:val="003A7E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269771921">
      <w:bodyDiv w:val="1"/>
      <w:marLeft w:val="0"/>
      <w:marRight w:val="0"/>
      <w:marTop w:val="0"/>
      <w:marBottom w:val="0"/>
      <w:divBdr>
        <w:top w:val="none" w:sz="0" w:space="0" w:color="auto"/>
        <w:left w:val="none" w:sz="0" w:space="0" w:color="auto"/>
        <w:bottom w:val="none" w:sz="0" w:space="0" w:color="auto"/>
        <w:right w:val="none" w:sz="0" w:space="0" w:color="auto"/>
      </w:divBdr>
      <w:divsChild>
        <w:div w:id="1239707694">
          <w:marLeft w:val="0"/>
          <w:marRight w:val="0"/>
          <w:marTop w:val="0"/>
          <w:marBottom w:val="0"/>
          <w:divBdr>
            <w:top w:val="none" w:sz="0" w:space="0" w:color="auto"/>
            <w:left w:val="none" w:sz="0" w:space="0" w:color="auto"/>
            <w:bottom w:val="none" w:sz="0" w:space="0" w:color="auto"/>
            <w:right w:val="none" w:sz="0" w:space="0" w:color="auto"/>
          </w:divBdr>
          <w:divsChild>
            <w:div w:id="1392655730">
              <w:marLeft w:val="0"/>
              <w:marRight w:val="0"/>
              <w:marTop w:val="0"/>
              <w:marBottom w:val="0"/>
              <w:divBdr>
                <w:top w:val="none" w:sz="0" w:space="0" w:color="auto"/>
                <w:left w:val="none" w:sz="0" w:space="0" w:color="auto"/>
                <w:bottom w:val="none" w:sz="0" w:space="0" w:color="auto"/>
                <w:right w:val="none" w:sz="0" w:space="0" w:color="auto"/>
              </w:divBdr>
              <w:divsChild>
                <w:div w:id="1382438476">
                  <w:marLeft w:val="0"/>
                  <w:marRight w:val="0"/>
                  <w:marTop w:val="0"/>
                  <w:marBottom w:val="0"/>
                  <w:divBdr>
                    <w:top w:val="none" w:sz="0" w:space="0" w:color="auto"/>
                    <w:left w:val="none" w:sz="0" w:space="0" w:color="auto"/>
                    <w:bottom w:val="none" w:sz="0" w:space="0" w:color="auto"/>
                    <w:right w:val="none" w:sz="0" w:space="0" w:color="auto"/>
                  </w:divBdr>
                  <w:divsChild>
                    <w:div w:id="667637234">
                      <w:marLeft w:val="0"/>
                      <w:marRight w:val="0"/>
                      <w:marTop w:val="0"/>
                      <w:marBottom w:val="0"/>
                      <w:divBdr>
                        <w:top w:val="none" w:sz="0" w:space="0" w:color="auto"/>
                        <w:left w:val="none" w:sz="0" w:space="0" w:color="auto"/>
                        <w:bottom w:val="none" w:sz="0" w:space="0" w:color="auto"/>
                        <w:right w:val="none" w:sz="0" w:space="0" w:color="auto"/>
                      </w:divBdr>
                      <w:divsChild>
                        <w:div w:id="1106466365">
                          <w:marLeft w:val="0"/>
                          <w:marRight w:val="0"/>
                          <w:marTop w:val="0"/>
                          <w:marBottom w:val="0"/>
                          <w:divBdr>
                            <w:top w:val="none" w:sz="0" w:space="0" w:color="auto"/>
                            <w:left w:val="none" w:sz="0" w:space="0" w:color="auto"/>
                            <w:bottom w:val="none" w:sz="0" w:space="0" w:color="auto"/>
                            <w:right w:val="none" w:sz="0" w:space="0" w:color="auto"/>
                          </w:divBdr>
                        </w:div>
                        <w:div w:id="1146553265">
                          <w:marLeft w:val="0"/>
                          <w:marRight w:val="0"/>
                          <w:marTop w:val="0"/>
                          <w:marBottom w:val="0"/>
                          <w:divBdr>
                            <w:top w:val="none" w:sz="0" w:space="0" w:color="auto"/>
                            <w:left w:val="none" w:sz="0" w:space="0" w:color="auto"/>
                            <w:bottom w:val="none" w:sz="0" w:space="0" w:color="auto"/>
                            <w:right w:val="none" w:sz="0" w:space="0" w:color="auto"/>
                          </w:divBdr>
                          <w:divsChild>
                            <w:div w:id="154155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544092">
      <w:bodyDiv w:val="1"/>
      <w:marLeft w:val="0"/>
      <w:marRight w:val="0"/>
      <w:marTop w:val="0"/>
      <w:marBottom w:val="0"/>
      <w:divBdr>
        <w:top w:val="none" w:sz="0" w:space="0" w:color="auto"/>
        <w:left w:val="none" w:sz="0" w:space="0" w:color="auto"/>
        <w:bottom w:val="none" w:sz="0" w:space="0" w:color="auto"/>
        <w:right w:val="none" w:sz="0" w:space="0" w:color="auto"/>
      </w:divBdr>
      <w:divsChild>
        <w:div w:id="1610814557">
          <w:marLeft w:val="0"/>
          <w:marRight w:val="0"/>
          <w:marTop w:val="0"/>
          <w:marBottom w:val="0"/>
          <w:divBdr>
            <w:top w:val="none" w:sz="0" w:space="0" w:color="auto"/>
            <w:left w:val="none" w:sz="0" w:space="0" w:color="auto"/>
            <w:bottom w:val="none" w:sz="0" w:space="0" w:color="auto"/>
            <w:right w:val="none" w:sz="0" w:space="0" w:color="auto"/>
          </w:divBdr>
          <w:divsChild>
            <w:div w:id="184489628">
              <w:marLeft w:val="0"/>
              <w:marRight w:val="0"/>
              <w:marTop w:val="0"/>
              <w:marBottom w:val="0"/>
              <w:divBdr>
                <w:top w:val="none" w:sz="0" w:space="0" w:color="auto"/>
                <w:left w:val="none" w:sz="0" w:space="0" w:color="auto"/>
                <w:bottom w:val="none" w:sz="0" w:space="0" w:color="auto"/>
                <w:right w:val="none" w:sz="0" w:space="0" w:color="auto"/>
              </w:divBdr>
              <w:divsChild>
                <w:div w:id="916597423">
                  <w:marLeft w:val="0"/>
                  <w:marRight w:val="0"/>
                  <w:marTop w:val="0"/>
                  <w:marBottom w:val="0"/>
                  <w:divBdr>
                    <w:top w:val="none" w:sz="0" w:space="0" w:color="auto"/>
                    <w:left w:val="none" w:sz="0" w:space="0" w:color="auto"/>
                    <w:bottom w:val="none" w:sz="0" w:space="0" w:color="auto"/>
                    <w:right w:val="none" w:sz="0" w:space="0" w:color="auto"/>
                  </w:divBdr>
                  <w:divsChild>
                    <w:div w:id="378746421">
                      <w:marLeft w:val="0"/>
                      <w:marRight w:val="0"/>
                      <w:marTop w:val="0"/>
                      <w:marBottom w:val="0"/>
                      <w:divBdr>
                        <w:top w:val="none" w:sz="0" w:space="0" w:color="auto"/>
                        <w:left w:val="none" w:sz="0" w:space="0" w:color="auto"/>
                        <w:bottom w:val="none" w:sz="0" w:space="0" w:color="auto"/>
                        <w:right w:val="none" w:sz="0" w:space="0" w:color="auto"/>
                      </w:divBdr>
                      <w:divsChild>
                        <w:div w:id="272249150">
                          <w:marLeft w:val="0"/>
                          <w:marRight w:val="0"/>
                          <w:marTop w:val="0"/>
                          <w:marBottom w:val="0"/>
                          <w:divBdr>
                            <w:top w:val="none" w:sz="0" w:space="0" w:color="auto"/>
                            <w:left w:val="none" w:sz="0" w:space="0" w:color="auto"/>
                            <w:bottom w:val="none" w:sz="0" w:space="0" w:color="auto"/>
                            <w:right w:val="none" w:sz="0" w:space="0" w:color="auto"/>
                          </w:divBdr>
                        </w:div>
                        <w:div w:id="1835338576">
                          <w:marLeft w:val="0"/>
                          <w:marRight w:val="0"/>
                          <w:marTop w:val="0"/>
                          <w:marBottom w:val="0"/>
                          <w:divBdr>
                            <w:top w:val="none" w:sz="0" w:space="0" w:color="auto"/>
                            <w:left w:val="none" w:sz="0" w:space="0" w:color="auto"/>
                            <w:bottom w:val="none" w:sz="0" w:space="0" w:color="auto"/>
                            <w:right w:val="none" w:sz="0" w:space="0" w:color="auto"/>
                          </w:divBdr>
                          <w:divsChild>
                            <w:div w:id="20850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creativecommons.org/licenses/by/3.0/a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8.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creativecommons.org/licenses/by/3.0/au" TargetMode="External"/><Relationship Id="rId25" Type="http://schemas.openxmlformats.org/officeDocument/2006/relationships/footer" Target="footer3.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itsanhonour.gov.au"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2.xml"/><Relationship Id="rId32"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1.xml"/><Relationship Id="rId28" Type="http://schemas.openxmlformats.org/officeDocument/2006/relationships/header" Target="header4.xml"/><Relationship Id="rId36"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hyperlink" Target="http://www.itsanhonour.gov.au/coat-arms/index.cfm"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2.xml"/><Relationship Id="rId27" Type="http://schemas.openxmlformats.org/officeDocument/2006/relationships/header" Target="header3.xml"/><Relationship Id="rId30" Type="http://schemas.openxmlformats.org/officeDocument/2006/relationships/footer" Target="footer6.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Reports" ma:contentTypeID="0x0101007916246811615643A710C6FEAFF56A87110400AF2611D8AD91C44A8E93B042974F4379" ma:contentTypeVersion="12" ma:contentTypeDescription="" ma:contentTypeScope="" ma:versionID="5d1842f98c165db1a5126c95ccf8cae8">
  <xsd:schema xmlns:xsd="http://www.w3.org/2001/XMLSchema" xmlns:xs="http://www.w3.org/2001/XMLSchema" xmlns:p="http://schemas.microsoft.com/office/2006/metadata/properties" xmlns:ns2="3f4bcce7-ac1a-4c9d-aa3e-7e77695652db" xmlns:ns3="8044c801-d84b-4ee1-a77e-678f8dcdee17" targetNamespace="http://schemas.microsoft.com/office/2006/metadata/properties" ma:root="true" ma:fieldsID="25d386302b83e58794aa8289db2033bd" ns2:_="" ns3:_="">
    <xsd:import namespace="3f4bcce7-ac1a-4c9d-aa3e-7e77695652db"/>
    <xsd:import namespace="8044c801-d84b-4ee1-a77e-678f8dcdee17"/>
    <xsd:element name="properties">
      <xsd:complexType>
        <xsd:sequence>
          <xsd:element name="documentManagement">
            <xsd:complexType>
              <xsd:all>
                <xsd:element ref="ns2:TaxCatchAll" minOccurs="0"/>
                <xsd:element ref="ns2:TaxCatchAllLabel" minOccurs="0"/>
                <xsd:element ref="ns2:p7a0baa8c88445a78b6f55906390ba17" minOccurs="0"/>
                <xsd:element ref="ns2:TaxKeywordTaxHTField" minOccurs="0"/>
                <xsd:element ref="ns2:_dlc_DocId" minOccurs="0"/>
                <xsd:element ref="ns2:_dlc_DocIdUrl" minOccurs="0"/>
                <xsd:element ref="ns2:_dlc_DocIdPersistId" minOccurs="0"/>
                <xsd:element ref="ns2:Draft_x0020_Report_x0020_Status"/>
                <xsd:element ref="ns3:Archive" minOccurs="0"/>
                <xsd:element ref="ns2: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indexed="true" ma:readOnly="false"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element name="TaxKeywordTaxHTField" ma:index="12" nillable="true" ma:taxonomy="true" ma:internalName="TaxKeywordTaxHTField" ma:taxonomyFieldName="TaxKeyword" ma:displayName="Enterprise Keywords" ma:fieldId="{23f27201-bee3-471e-b2e7-b64fd8b7ca38}" ma:taxonomyMulti="true" ma:sspId="70da5c63-8548-4ac8-9616-83b0f373280e" ma:termSetId="00000000-0000-0000-0000-000000000000" ma:anchorId="00000000-0000-0000-0000-000000000000" ma:open="true" ma:isKeyword="true">
      <xsd:complexType>
        <xsd:sequence>
          <xsd:element ref="pc:Terms" minOccurs="0" maxOccurs="1"/>
        </xsd:sequence>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Draft_x0020_Report_x0020_Status" ma:index="17" ma:displayName="Report Status" ma:default="In Draft State" ma:format="Dropdown" ma:internalName="Draft_x0020_Report_x0020_Status">
      <xsd:simpleType>
        <xsd:restriction base="dms:Choice">
          <xsd:enumeration value="In Draft State"/>
          <xsd:enumeration value="1st Circ to A/Comm"/>
          <xsd:enumeration value="Ready for Review by Commissioner/s"/>
          <xsd:enumeration value="1st Circ to Comms"/>
          <xsd:enumeration value="1st Circ comments back"/>
          <xsd:enumeration value="2nd Circ to A/Comm"/>
          <xsd:enumeration value="Ready for Review by Commissioner/s"/>
          <xsd:enumeration value="2nd Circ to Comms"/>
          <xsd:enumeration value="2nd Circ comments back"/>
          <xsd:enumeration value="3rd Circ to A/Comm"/>
          <xsd:enumeration value="Ready for Review by Commissioner/s"/>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element name="Ch" ma:index="19" nillable="true" ma:displayName="Ch" ma:format="Dropdown" ma:internalName="Ch" ma:readOnly="false">
      <xsd:simpleType>
        <xsd:union memberTypes="dms:Text">
          <xsd:simpleType>
            <xsd:restriction base="dms:Choice">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3"/>
              <xsd:enumeration value="14"/>
              <xsd:enumeration value="15"/>
              <xsd:enumeration value="16"/>
              <xsd:enumeration value="17"/>
              <xsd:enumeration value="18"/>
              <xsd:enumeration value="19"/>
              <xsd:enumeration value="20"/>
              <xsd:enumeration value="21"/>
              <xsd:enumeration value="22"/>
              <xsd:enumeration value="23"/>
              <xsd:enumeration value="24"/>
              <xsd:enumeration value="25"/>
              <xsd:enumeration value="26"/>
              <xsd:enumeration value="27"/>
              <xsd:enumeration value="28"/>
              <xsd:enumeration value="29"/>
              <xsd:enumeration value="30"/>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044c801-d84b-4ee1-a77e-678f8dcdee17" elementFormDefault="qualified">
    <xsd:import namespace="http://schemas.microsoft.com/office/2006/documentManagement/types"/>
    <xsd:import namespace="http://schemas.microsoft.com/office/infopath/2007/PartnerControls"/>
    <xsd:element name="Archive" ma:index="18" nillable="true" ma:displayName="Archive" ma:default="0" ma:internalName="Archiv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In Draft State</Draft_x0020_Report_x0020_Status>
    <TaxKeywordTaxHTField xmlns="3f4bcce7-ac1a-4c9d-aa3e-7e77695652db">
      <Terms xmlns="http://schemas.microsoft.com/office/infopath/2007/PartnerControls">
        <TermInfo xmlns="http://schemas.microsoft.com/office/infopath/2007/PartnerControls">
          <TermName xmlns="http://schemas.microsoft.com/office/infopath/2007/PartnerControls">PSMB</TermName>
          <TermId xmlns="http://schemas.microsoft.com/office/infopath/2007/PartnerControls">c58be152-92b6-4466-ad62-8ad1c93711be</TermId>
        </TermInfo>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TaxKeywordTaxHTField>
    <Archive xmlns="8044c801-d84b-4ee1-a77e-678f8dcdee17">false</Archive>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p7a0baa8c88445a78b6f55906390ba17>
    <TaxCatchAll xmlns="3f4bcce7-ac1a-4c9d-aa3e-7e77695652db">
      <Value>27</Value>
      <Value>740</Value>
      <Value>270</Value>
    </TaxCatchAll>
    <_dlc_DocId xmlns="3f4bcce7-ac1a-4c9d-aa3e-7e77695652db" xsi:nil="true"/>
    <Ch xmlns="3f4bcce7-ac1a-4c9d-aa3e-7e77695652db">Prelim</Ch>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mso-contentType ?>
<SharedContentType xmlns="Microsoft.SharePoint.Taxonomy.ContentTypeSync" SourceId="70da5c63-8548-4ac8-9616-83b0f373280e" ContentTypeId="0x0101007916246811615643A710C6FEAFF56A871104"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FF4DAAE-821F-478F-9AC1-1E925AEC7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8044c801-d84b-4ee1-a77e-678f8dcde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3291A-817B-48C2-9A14-6A0E770EDC61}">
  <ds:schemaRefs>
    <ds:schemaRef ds:uri="http://www.w3.org/XML/1998/namespace"/>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purl.org/dc/dcmitype/"/>
    <ds:schemaRef ds:uri="http://purl.org/dc/elements/1.1/"/>
    <ds:schemaRef ds:uri="http://schemas.microsoft.com/office/2006/documentManagement/types"/>
    <ds:schemaRef ds:uri="8044c801-d84b-4ee1-a77e-678f8dcdee17"/>
    <ds:schemaRef ds:uri="3f4bcce7-ac1a-4c9d-aa3e-7e77695652db"/>
  </ds:schemaRefs>
</ds:datastoreItem>
</file>

<file path=customXml/itemProps3.xml><?xml version="1.0" encoding="utf-8"?>
<ds:datastoreItem xmlns:ds="http://schemas.openxmlformats.org/officeDocument/2006/customXml" ds:itemID="{4F00CDC2-43CF-446C-9F41-350E8DD67747}">
  <ds:schemaRefs>
    <ds:schemaRef ds:uri="http://schemas.microsoft.com/sharepoint/v3/contenttype/forms"/>
  </ds:schemaRefs>
</ds:datastoreItem>
</file>

<file path=customXml/itemProps4.xml><?xml version="1.0" encoding="utf-8"?>
<ds:datastoreItem xmlns:ds="http://schemas.openxmlformats.org/officeDocument/2006/customXml" ds:itemID="{684EC132-E1E6-4801-89CF-08A1BA7269AA}">
  <ds:schemaRefs>
    <ds:schemaRef ds:uri="http://schemas.microsoft.com/office/2006/metadata/customXsn"/>
  </ds:schemaRefs>
</ds:datastoreItem>
</file>

<file path=customXml/itemProps5.xml><?xml version="1.0" encoding="utf-8"?>
<ds:datastoreItem xmlns:ds="http://schemas.openxmlformats.org/officeDocument/2006/customXml" ds:itemID="{805E6D92-84E5-4606-B70B-0025283F578F}">
  <ds:schemaRefs>
    <ds:schemaRef ds:uri="Microsoft.SharePoint.Taxonomy.ContentTypeSync"/>
  </ds:schemaRefs>
</ds:datastoreItem>
</file>

<file path=customXml/itemProps6.xml><?xml version="1.0" encoding="utf-8"?>
<ds:datastoreItem xmlns:ds="http://schemas.openxmlformats.org/officeDocument/2006/customXml" ds:itemID="{A9CAD053-7670-4866-A34D-B060BADCB827}">
  <ds:schemaRefs>
    <ds:schemaRef ds:uri="http://schemas.microsoft.com/sharepoint/events"/>
  </ds:schemaRefs>
</ds:datastoreItem>
</file>

<file path=customXml/itemProps7.xml><?xml version="1.0" encoding="utf-8"?>
<ds:datastoreItem xmlns:ds="http://schemas.openxmlformats.org/officeDocument/2006/customXml" ds:itemID="{CF30F28D-4686-4366-BD78-24CFA9EB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2749</TotalTime>
  <Pages>14</Pages>
  <Words>2596</Words>
  <Characters>15479</Characters>
  <Application>Microsoft Office Word</Application>
  <DocSecurity>0</DocSecurity>
  <Lines>418</Lines>
  <Paragraphs>317</Paragraphs>
  <ScaleCrop>false</ScaleCrop>
  <HeadingPairs>
    <vt:vector size="2" baseType="variant">
      <vt:variant>
        <vt:lpstr>Title</vt:lpstr>
      </vt:variant>
      <vt:variant>
        <vt:i4>1</vt:i4>
      </vt:variant>
    </vt:vector>
  </HeadingPairs>
  <TitlesOfParts>
    <vt:vector size="1" baseType="lpstr">
      <vt:lpstr>Research Report - Public Safety Mobile Broadband - Prelminaries</vt:lpstr>
    </vt:vector>
  </TitlesOfParts>
  <Company>Productivity Commission</Company>
  <LinksUpToDate>false</LinksUpToDate>
  <CharactersWithSpaces>17758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Report - Public Safety Mobile Broadband - Prelminaries</dc:title>
  <dc:creator>Productivity Commission</dc:creator>
  <cp:keywords>PSMB; Final Report</cp:keywords>
  <cp:lastModifiedBy>Michelle Cross</cp:lastModifiedBy>
  <cp:revision>98</cp:revision>
  <cp:lastPrinted>2015-12-22T03:01:00Z</cp:lastPrinted>
  <dcterms:created xsi:type="dcterms:W3CDTF">2015-08-25T05:34:00Z</dcterms:created>
  <dcterms:modified xsi:type="dcterms:W3CDTF">2015-12-22T03:02:00Z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0x0101007916246811615643A710C6FEAFF56A87110400AF2611D8AD91C44A8E93B042974F4379</vt:lpwstr>
  </property>
  <property fmtid="{D5CDD505-2E9C-101B-9397-08002B2CF9AE}" pid="3" name="RecordPoint_ActiveItemUniqueId">
    <vt:lpwstr>{7cf4c679-9f41-4443-acaf-86123815a246}</vt:lpwstr>
  </property>
  <property fmtid="{D5CDD505-2E9C-101B-9397-08002B2CF9AE}" pid="4" name="RecordPoint_WorkflowType">
    <vt:lpwstr>ActiveSubmitStub</vt:lpwstr>
  </property>
  <property fmtid="{D5CDD505-2E9C-101B-9397-08002B2CF9AE}" pid="5" name="RecordPoint_ActiveItemSiteId">
    <vt:lpwstr>{5750d626-0aa0-474c-a55f-8063909d4906}</vt:lpwstr>
  </property>
  <property fmtid="{D5CDD505-2E9C-101B-9397-08002B2CF9AE}" pid="6" name="RecordPoint_ActiveItemListId">
    <vt:lpwstr>{be8dc35f-563d-4c2a-9490-1e25c4540dd3}</vt:lpwstr>
  </property>
  <property fmtid="{D5CDD505-2E9C-101B-9397-08002B2CF9AE}" pid="7" name="RecordPoint_ActiveItemWebId">
    <vt:lpwstr>{0ee705b5-f2fd-4cac-b1c0-37fb413973cf}</vt:lpwstr>
  </property>
  <property fmtid="{D5CDD505-2E9C-101B-9397-08002B2CF9AE}" pid="8" name="Record Tag">
    <vt:lpwstr>270;#Final Report|2ba7de50-4c1d-4453-9bfb-2c08018fad73</vt:lpwstr>
  </property>
  <property fmtid="{D5CDD505-2E9C-101B-9397-08002B2CF9AE}" pid="9" name="TaxKeyword">
    <vt:lpwstr>740;#PSMB|c58be152-92b6-4466-ad62-8ad1c93711be;#27;#Final Report|2ba7de50-4c1d-4453-9bfb-2c08018fad73</vt:lpwstr>
  </property>
</Properties>
</file>