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B2E" w:rsidRDefault="00F21B2E">
      <w:pPr>
        <w:rPr>
          <w:b/>
          <w:szCs w:val="26"/>
        </w:rPr>
      </w:pPr>
      <w:r>
        <w:rPr>
          <w:noProof/>
          <w:lang w:eastAsia="en-AU"/>
        </w:rPr>
        <w:drawing>
          <wp:anchor distT="0" distB="0" distL="114300" distR="114300" simplePos="0" relativeHeight="251658240" behindDoc="0" locked="0" layoutInCell="1" allowOverlap="1">
            <wp:simplePos x="1152525" y="904875"/>
            <wp:positionH relativeFrom="page">
              <wp:align>center</wp:align>
            </wp:positionH>
            <wp:positionV relativeFrom="page">
              <wp:align>bottom</wp:align>
            </wp:positionV>
            <wp:extent cx="7560000" cy="10126800"/>
            <wp:effectExtent l="0" t="0" r="3175" b="8255"/>
            <wp:wrapNone/>
            <wp:docPr id="1" name="Picture 1" descr="Cover image.&#10;Australian Government Productivity Commission logo.&#10;Title: Regulatory Impact Analyis: Benchmarking.&#10;Productivity Commission Research Report.&#10;Nov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RIA-benchmarking-final-study.png"/>
                    <pic:cNvPicPr/>
                  </pic:nvPicPr>
                  <pic:blipFill>
                    <a:blip r:embed="rId8">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D4283D" w:rsidRPr="00D4283D" w:rsidRDefault="00D4283D" w:rsidP="003E7802">
      <w:pPr>
        <w:pStyle w:val="BodyText"/>
        <w:spacing w:before="160" w:line="240" w:lineRule="auto"/>
        <w:rPr>
          <w:b/>
          <w:snapToGrid w:val="0"/>
          <w:sz w:val="24"/>
        </w:rPr>
      </w:pPr>
      <w:bookmarkStart w:id="0" w:name="ISSN"/>
      <w:bookmarkEnd w:id="0"/>
      <w:r w:rsidRPr="00D4283D">
        <w:rPr>
          <w:rFonts w:cs="Arial"/>
          <w:b/>
          <w:color w:val="000000"/>
        </w:rPr>
        <w:t>ISBN 978-1-74037-423-1</w:t>
      </w:r>
    </w:p>
    <w:p w:rsidR="003E7802" w:rsidRPr="00691AB5" w:rsidRDefault="003E7802" w:rsidP="003E7802">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sz w:val="24"/>
        </w:rPr>
        <w:t>Productivity Commission</w:t>
      </w:r>
      <w:r w:rsidRPr="00691AB5">
        <w:rPr>
          <w:snapToGrid w:val="0"/>
          <w:sz w:val="24"/>
        </w:rPr>
        <w:t xml:space="preserve">. Requests and inquiries concerning reproduction and rights should be addressed to </w:t>
      </w:r>
      <w:r w:rsidR="009B12EF">
        <w:rPr>
          <w:snapToGrid w:val="0"/>
          <w:sz w:val="24"/>
        </w:rPr>
        <w:t>Media and Publications (see below)</w:t>
      </w:r>
      <w:r w:rsidR="00734127">
        <w:rPr>
          <w:snapToGrid w:val="0"/>
          <w:sz w:val="24"/>
        </w:rPr>
        <w:t>.</w:t>
      </w:r>
    </w:p>
    <w:p w:rsidR="003E7802" w:rsidRDefault="003E7802" w:rsidP="003E7802">
      <w:pPr>
        <w:pStyle w:val="BodyText"/>
        <w:spacing w:before="160" w:line="240" w:lineRule="auto"/>
        <w:rPr>
          <w:i/>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Me</w:t>
      </w:r>
      <w:r w:rsidR="00734127">
        <w:rPr>
          <w:i/>
          <w:snapToGrid w:val="0"/>
          <w:sz w:val="24"/>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AA389E" w:rsidP="003E7802">
      <w:pPr>
        <w:pStyle w:val="BodyText"/>
        <w:spacing w:before="160" w:after="120" w:line="240" w:lineRule="auto"/>
        <w:rPr>
          <w:sz w:val="24"/>
          <w:szCs w:val="24"/>
        </w:rPr>
      </w:pPr>
      <w:r>
        <w:rPr>
          <w:sz w:val="24"/>
          <w:szCs w:val="24"/>
        </w:rPr>
        <w:t xml:space="preserve">Productivity Commission 2012, </w:t>
      </w:r>
      <w:r w:rsidRPr="00AA389E">
        <w:rPr>
          <w:i/>
          <w:sz w:val="24"/>
          <w:szCs w:val="24"/>
        </w:rPr>
        <w:t>Regulatory Impact Analysis: Benchmarking</w:t>
      </w:r>
      <w:r>
        <w:rPr>
          <w:sz w:val="24"/>
          <w:szCs w:val="24"/>
        </w:rPr>
        <w:t>, Research Report, Canberra.</w:t>
      </w:r>
    </w:p>
    <w:p w:rsidR="00B41E6B" w:rsidRPr="00507F3C" w:rsidRDefault="00B41E6B">
      <w:pPr>
        <w:pStyle w:val="BodyText"/>
        <w:spacing w:before="160" w:after="120" w:line="240" w:lineRule="auto"/>
        <w:rPr>
          <w:sz w:val="20"/>
        </w:rPr>
      </w:pPr>
      <w:bookmarkStart w:id="1" w:name="JEL"/>
      <w:bookmarkEnd w:id="1"/>
      <w:proofErr w:type="spellStart"/>
      <w:r w:rsidRPr="00507F3C">
        <w:rPr>
          <w:sz w:val="20"/>
        </w:rPr>
        <w:t>JEL</w:t>
      </w:r>
      <w:proofErr w:type="spellEnd"/>
      <w:r w:rsidRPr="00507F3C">
        <w:rPr>
          <w:sz w:val="20"/>
        </w:rPr>
        <w:t xml:space="preserve"> code: </w:t>
      </w:r>
      <w:r w:rsidR="00AA389E">
        <w:rPr>
          <w:sz w:val="20"/>
        </w:rPr>
        <w:t xml:space="preserve"> </w:t>
      </w:r>
      <w:proofErr w:type="spellStart"/>
      <w:r w:rsidR="00AA389E">
        <w:rPr>
          <w:sz w:val="20"/>
        </w:rPr>
        <w:t>H8</w:t>
      </w:r>
      <w:proofErr w:type="spellEnd"/>
      <w:r w:rsidR="00AA389E">
        <w:rPr>
          <w:sz w:val="20"/>
        </w:rPr>
        <w:t xml:space="preserve">, </w:t>
      </w:r>
      <w:proofErr w:type="spellStart"/>
      <w:r w:rsidR="00AA389E">
        <w:rPr>
          <w:sz w:val="20"/>
        </w:rPr>
        <w:t>K20</w:t>
      </w:r>
      <w:proofErr w:type="spellEnd"/>
    </w:p>
    <w:p w:rsidR="003E7802" w:rsidRPr="00DC75C7" w:rsidRDefault="003E7802" w:rsidP="003E7802">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 w:val="24"/>
          <w:szCs w:val="24"/>
        </w:rPr>
      </w:pPr>
      <w:r w:rsidRPr="00DC75C7">
        <w:rPr>
          <w:b/>
          <w:i/>
          <w:sz w:val="24"/>
          <w:szCs w:val="24"/>
        </w:rPr>
        <w:t>The Productivity Commission</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B41E6B" w:rsidRDefault="00B41E6B">
      <w:bookmarkStart w:id="2" w:name="cov"/>
      <w:bookmarkEnd w:id="2"/>
      <w:r>
        <w:br w:type="page"/>
      </w:r>
    </w:p>
    <w:p w:rsidR="00735FEA" w:rsidRDefault="00735FEA">
      <w:pPr>
        <w:pStyle w:val="BodyText"/>
        <w:sectPr w:rsidR="00735FEA" w:rsidSect="00F21B2E">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418" w:right="1304" w:bottom="567" w:left="1814" w:header="1701" w:footer="567" w:gutter="0"/>
          <w:pgNumType w:start="2"/>
          <w:cols w:space="720"/>
          <w:titlePg/>
        </w:sectPr>
      </w:pPr>
    </w:p>
    <w:p w:rsidR="00B41E6B" w:rsidRDefault="005C00A7">
      <w:pPr>
        <w:pStyle w:val="Heading1"/>
      </w:pPr>
      <w:bookmarkStart w:id="3" w:name="_Toc341775603"/>
      <w:r>
        <w:lastRenderedPageBreak/>
        <w:t>Foreword</w:t>
      </w:r>
      <w:bookmarkEnd w:id="3"/>
    </w:p>
    <w:p w:rsidR="005C00A7" w:rsidRPr="00164DA6" w:rsidRDefault="005F3B89" w:rsidP="005C00A7">
      <w:pPr>
        <w:pStyle w:val="BodyText"/>
      </w:pPr>
      <w:r>
        <w:t>Good</w:t>
      </w:r>
      <w:r w:rsidR="00E47B75">
        <w:t xml:space="preserve"> public policy </w:t>
      </w:r>
      <w:r>
        <w:t>— policy that achieves desirable ends in cost-effective ways — demands good policy making processes</w:t>
      </w:r>
      <w:r w:rsidR="00E47B75">
        <w:t xml:space="preserve">. </w:t>
      </w:r>
      <w:r w:rsidR="001961AA">
        <w:t xml:space="preserve">By providing </w:t>
      </w:r>
      <w:r w:rsidR="00E47B75">
        <w:t>a better evidenti</w:t>
      </w:r>
      <w:r w:rsidR="001961AA">
        <w:t xml:space="preserve">ary basis for </w:t>
      </w:r>
      <w:r>
        <w:t xml:space="preserve">regulatory decision </w:t>
      </w:r>
      <w:r w:rsidR="001961AA">
        <w:t>making,</w:t>
      </w:r>
      <w:r>
        <w:t xml:space="preserve"> including through the testing of alternative approaches and consulting with those affected,</w:t>
      </w:r>
      <w:r w:rsidR="00E47B75">
        <w:t xml:space="preserve"> </w:t>
      </w:r>
      <w:r w:rsidR="001961AA">
        <w:t>regulatory impact analysis seeks to delive</w:t>
      </w:r>
      <w:r>
        <w:t>r</w:t>
      </w:r>
      <w:r w:rsidR="001961AA">
        <w:t xml:space="preserve"> regulations (or other policy solutions) that provide the gr</w:t>
      </w:r>
      <w:r>
        <w:t>eatest benefits to the community</w:t>
      </w:r>
      <w:r w:rsidR="001961AA">
        <w:t>.</w:t>
      </w:r>
      <w:r>
        <w:t xml:space="preserve"> The value of </w:t>
      </w:r>
      <w:r w:rsidR="00164DA6">
        <w:t xml:space="preserve">regulatory impact analysis </w:t>
      </w:r>
      <w:r>
        <w:t>processes is accepted by all Australian governments. However, the extent to which the</w:t>
      </w:r>
      <w:r w:rsidR="00674F5E">
        <w:t>se</w:t>
      </w:r>
      <w:r>
        <w:t xml:space="preserve"> processes have been implemented and embraced has been variable.</w:t>
      </w:r>
    </w:p>
    <w:p w:rsidR="005C00A7" w:rsidRDefault="001961AA" w:rsidP="005C00A7">
      <w:pPr>
        <w:pStyle w:val="BodyText"/>
      </w:pPr>
      <w:r>
        <w:t>This study</w:t>
      </w:r>
      <w:r w:rsidR="005F3B89">
        <w:t>, part of the Commission’s regulatory benchmarking stream, responds to a request from governments for the Commission to assess the performance of jurisdictions’ regulatory impact analysis processes, including at the level of</w:t>
      </w:r>
      <w:r>
        <w:t xml:space="preserve"> the Council of Australian Governments </w:t>
      </w:r>
      <w:r w:rsidR="00CF6159">
        <w:t>(COAG)</w:t>
      </w:r>
      <w:r w:rsidR="005F3B89">
        <w:t>, and to identify leading practices. The report is to inform jurisdictions on ways of improving their systems, drawing on practical examples from other jurisdictions. The study contributes to the</w:t>
      </w:r>
      <w:r w:rsidR="00CF6159">
        <w:t xml:space="preserve"> ‘regulation making and review’ </w:t>
      </w:r>
      <w:r w:rsidR="005F3B89">
        <w:t>component of COAG’s</w:t>
      </w:r>
      <w:r w:rsidR="00CF6159">
        <w:t xml:space="preserve"> </w:t>
      </w:r>
      <w:r w:rsidR="00CF6159" w:rsidRPr="00CF6159">
        <w:rPr>
          <w:i/>
        </w:rPr>
        <w:t>National Partnership Agreement to Deliver a Seamless National Economy</w:t>
      </w:r>
      <w:r w:rsidR="00CF6159">
        <w:t>.</w:t>
      </w:r>
      <w:r w:rsidR="005C00A7">
        <w:t xml:space="preserve"> </w:t>
      </w:r>
    </w:p>
    <w:p w:rsidR="005C00A7" w:rsidRDefault="005C00A7" w:rsidP="005C00A7">
      <w:pPr>
        <w:pStyle w:val="BodyText"/>
      </w:pPr>
      <w:r>
        <w:t>The study was overseen by Commissioner Robert Fitzgerald AM and Associate Commissioner Paul Coghlan</w:t>
      </w:r>
      <w:r w:rsidR="005F3B89">
        <w:t xml:space="preserve">. They were supported by a team in the Commission’s Canberra office </w:t>
      </w:r>
      <w:r>
        <w:t>led by Rosalyn Bell. The study benefitted from discussions</w:t>
      </w:r>
      <w:r w:rsidR="00EA44A5">
        <w:t xml:space="preserve"> and submissions from </w:t>
      </w:r>
      <w:r w:rsidR="005F3B89">
        <w:t xml:space="preserve">a variety of </w:t>
      </w:r>
      <w:r w:rsidR="00EA44A5">
        <w:t xml:space="preserve">stakeholders in </w:t>
      </w:r>
      <w:r w:rsidR="005F3B89">
        <w:t>the government, business and community sectors. It was especially assisted by responses to a detailed</w:t>
      </w:r>
      <w:r w:rsidR="00EA44A5">
        <w:t xml:space="preserve"> </w:t>
      </w:r>
      <w:r>
        <w:t>survey</w:t>
      </w:r>
      <w:r w:rsidR="00EA44A5">
        <w:t xml:space="preserve"> </w:t>
      </w:r>
      <w:r w:rsidR="005F3B89">
        <w:t>on experiences with</w:t>
      </w:r>
      <w:r w:rsidR="00EA44A5">
        <w:t xml:space="preserve"> </w:t>
      </w:r>
      <w:r w:rsidR="005F3B89">
        <w:t>regulatory assessment processes within government</w:t>
      </w:r>
      <w:r w:rsidR="000754C7">
        <w:t>s</w:t>
      </w:r>
      <w:r w:rsidR="005F3B89">
        <w:t>. The Commission is very grateful to all those</w:t>
      </w:r>
      <w:r>
        <w:t xml:space="preserve"> who contributed</w:t>
      </w:r>
      <w:r w:rsidR="005F3B89">
        <w:t xml:space="preserve"> to this study</w:t>
      </w:r>
      <w:r>
        <w:t>.</w:t>
      </w:r>
    </w:p>
    <w:p w:rsidR="005C00A7" w:rsidRDefault="005C00A7" w:rsidP="005C00A7">
      <w:pPr>
        <w:pStyle w:val="BodyText"/>
      </w:pPr>
      <w:r>
        <w:t>Gary Banks AO</w:t>
      </w:r>
    </w:p>
    <w:p w:rsidR="005C00A7" w:rsidRPr="005C00A7" w:rsidRDefault="005C00A7" w:rsidP="005C00A7">
      <w:pPr>
        <w:pStyle w:val="BodyText"/>
        <w:spacing w:before="0"/>
      </w:pPr>
      <w:r w:rsidRPr="005C00A7">
        <w:t>Chairman</w:t>
      </w:r>
    </w:p>
    <w:p w:rsidR="005C00A7" w:rsidRPr="005C00A7" w:rsidRDefault="005C00A7" w:rsidP="005C00A7">
      <w:pPr>
        <w:pStyle w:val="BodyText"/>
      </w:pPr>
      <w:r>
        <w:t>November 2012</w:t>
      </w:r>
    </w:p>
    <w:p w:rsidR="00B41E6B" w:rsidRDefault="00B41E6B">
      <w:pPr>
        <w:pStyle w:val="BodyText"/>
      </w:pPr>
    </w:p>
    <w:p w:rsidR="00B41E6B" w:rsidRDefault="00B41E6B">
      <w:pPr>
        <w:pStyle w:val="BodyText"/>
        <w:sectPr w:rsidR="00B41E6B" w:rsidSect="00F21B2E">
          <w:headerReference w:type="even" r:id="rId15"/>
          <w:headerReference w:type="default" r:id="rId16"/>
          <w:footerReference w:type="even" r:id="rId17"/>
          <w:footerReference w:type="default" r:id="rId18"/>
          <w:pgSz w:w="11906" w:h="16838" w:code="9"/>
          <w:pgMar w:top="1985" w:right="1304" w:bottom="1418" w:left="1814" w:header="1701" w:footer="567" w:gutter="0"/>
          <w:pgNumType w:fmt="lowerRoman" w:start="3"/>
          <w:cols w:space="708"/>
          <w:docGrid w:linePitch="360"/>
        </w:sectPr>
      </w:pPr>
    </w:p>
    <w:p w:rsidR="00B41E6B" w:rsidRDefault="00B41E6B">
      <w:pPr>
        <w:pStyle w:val="Heading2NotTOC"/>
      </w:pPr>
      <w:r>
        <w:lastRenderedPageBreak/>
        <w:t>Terms of reference</w:t>
      </w:r>
    </w:p>
    <w:p w:rsidR="00640756" w:rsidRPr="001C79EA" w:rsidRDefault="00640756" w:rsidP="00DF354D">
      <w:pPr>
        <w:pStyle w:val="BodyText"/>
        <w:rPr>
          <w:sz w:val="24"/>
          <w:szCs w:val="24"/>
        </w:rPr>
      </w:pPr>
      <w:r w:rsidRPr="001C79EA">
        <w:rPr>
          <w:sz w:val="24"/>
          <w:szCs w:val="24"/>
        </w:rPr>
        <w:t>I,</w:t>
      </w:r>
      <w:r w:rsidRPr="00C51CDC">
        <w:t xml:space="preserve"> </w:t>
      </w:r>
      <w:r w:rsidRPr="001C79EA">
        <w:rPr>
          <w:sz w:val="24"/>
          <w:szCs w:val="24"/>
        </w:rPr>
        <w:t xml:space="preserve">Mark </w:t>
      </w:r>
      <w:proofErr w:type="spellStart"/>
      <w:r w:rsidRPr="001C79EA">
        <w:rPr>
          <w:sz w:val="24"/>
          <w:szCs w:val="24"/>
        </w:rPr>
        <w:t>Arbib</w:t>
      </w:r>
      <w:proofErr w:type="spellEnd"/>
      <w:r w:rsidRPr="001C79EA">
        <w:rPr>
          <w:sz w:val="24"/>
          <w:szCs w:val="24"/>
        </w:rPr>
        <w:t xml:space="preserve">, Assistant Treasurer, under part 3 of the </w:t>
      </w:r>
      <w:r w:rsidRPr="001C79EA">
        <w:rPr>
          <w:i/>
          <w:sz w:val="24"/>
          <w:szCs w:val="24"/>
        </w:rPr>
        <w:t>Productivity Commission Act 1998</w:t>
      </w:r>
      <w:r w:rsidRPr="001C79EA">
        <w:rPr>
          <w:sz w:val="24"/>
          <w:szCs w:val="24"/>
        </w:rPr>
        <w:t>, hereby:</w:t>
      </w:r>
    </w:p>
    <w:p w:rsidR="00640756" w:rsidRPr="001C79EA" w:rsidRDefault="00640756" w:rsidP="00DF354D">
      <w:pPr>
        <w:pStyle w:val="BodyText"/>
        <w:rPr>
          <w:rFonts w:eastAsia="Calibri"/>
          <w:sz w:val="24"/>
          <w:szCs w:val="24"/>
        </w:rPr>
      </w:pPr>
      <w:r w:rsidRPr="001C79EA">
        <w:rPr>
          <w:rFonts w:eastAsia="Calibri"/>
          <w:sz w:val="24"/>
          <w:szCs w:val="24"/>
        </w:rPr>
        <w:t>The Productivity Commission is requested to undertake a study to benchmark the efficiency and quality of Commonwealth, state and territory and Council of Australian Governments (COAG) Regulatory Impact Analysis (RIA) processes, as at January 2012.</w:t>
      </w:r>
    </w:p>
    <w:p w:rsidR="00640756" w:rsidRPr="001C79EA" w:rsidRDefault="00640756" w:rsidP="00DF354D">
      <w:pPr>
        <w:pStyle w:val="BodyText"/>
        <w:rPr>
          <w:rFonts w:eastAsia="Calibri"/>
          <w:sz w:val="24"/>
          <w:szCs w:val="24"/>
        </w:rPr>
      </w:pPr>
      <w:r w:rsidRPr="001C79EA">
        <w:rPr>
          <w:rFonts w:eastAsia="Calibri"/>
          <w:sz w:val="24"/>
          <w:szCs w:val="24"/>
        </w:rPr>
        <w:t xml:space="preserve">The Commonwealth and each state and territory have well established individual RIA processes to guide decision makers in respective jurisdictions in considering proposals for new or amended regulation, with the broad objectives of ensuring that such regulation is efficient, effective and supports </w:t>
      </w:r>
      <w:proofErr w:type="spellStart"/>
      <w:r w:rsidRPr="001C79EA">
        <w:rPr>
          <w:rFonts w:eastAsia="Calibri"/>
          <w:sz w:val="24"/>
          <w:szCs w:val="24"/>
        </w:rPr>
        <w:t>well functioning</w:t>
      </w:r>
      <w:proofErr w:type="spellEnd"/>
      <w:r w:rsidRPr="001C79EA">
        <w:rPr>
          <w:rFonts w:eastAsia="Calibri"/>
          <w:sz w:val="24"/>
          <w:szCs w:val="24"/>
        </w:rPr>
        <w:t xml:space="preserve"> markets.  RIA processes also apply in respect of proposals for new or amended national regulatory initiatives being considered at the COAG level.</w:t>
      </w:r>
    </w:p>
    <w:p w:rsidR="00640756" w:rsidRPr="001C79EA" w:rsidRDefault="00640756" w:rsidP="00DF354D">
      <w:pPr>
        <w:pStyle w:val="BodyText"/>
        <w:rPr>
          <w:rFonts w:eastAsia="Calibri"/>
          <w:sz w:val="24"/>
          <w:szCs w:val="24"/>
        </w:rPr>
      </w:pPr>
      <w:r w:rsidRPr="001C79EA">
        <w:rPr>
          <w:rFonts w:eastAsia="Calibri"/>
          <w:sz w:val="24"/>
          <w:szCs w:val="24"/>
        </w:rPr>
        <w:t xml:space="preserve">A number of initiatives have been pursued through COAG in recent years with a view to identifying opportunities to strengthen jurisdictions’ RIA processes to better meet these objectives.  In its 2010 regulatory review </w:t>
      </w:r>
      <w:r w:rsidRPr="001C79EA">
        <w:rPr>
          <w:rFonts w:eastAsia="Calibri"/>
          <w:i/>
          <w:sz w:val="24"/>
          <w:szCs w:val="24"/>
        </w:rPr>
        <w:t>Australia: Towards a Seamless National Economy</w:t>
      </w:r>
      <w:r w:rsidRPr="001C79EA">
        <w:rPr>
          <w:rFonts w:eastAsia="Calibri"/>
          <w:sz w:val="24"/>
          <w:szCs w:val="24"/>
        </w:rPr>
        <w:t>, the OECD noted that regulatory management practices in Australia were at or close to international best practice, but that there may be opportunities to strengthen arrangements, particularly so as to ensure that new barriers to doing business nationally are not created.</w:t>
      </w:r>
    </w:p>
    <w:p w:rsidR="00640756" w:rsidRPr="001C79EA" w:rsidRDefault="00640756" w:rsidP="00DF354D">
      <w:pPr>
        <w:pStyle w:val="BodyText"/>
        <w:rPr>
          <w:rFonts w:eastAsia="Calibri"/>
          <w:sz w:val="24"/>
          <w:szCs w:val="24"/>
        </w:rPr>
      </w:pPr>
      <w:r w:rsidRPr="001C79EA">
        <w:rPr>
          <w:rFonts w:eastAsia="Calibri"/>
          <w:sz w:val="24"/>
          <w:szCs w:val="24"/>
        </w:rPr>
        <w:t>During 2010, under the auspices of COAG’s Business Regulation and Competition Working Group (BRCWG), jurisdictions assessed their RIA processes against an agreed set of design criteria that were broad ranging but put particular weight on the OECD recommendation regarding the national market implications of regulatory proposals.  Following this exercise, jurisdictions agreed to review their RIA processes during 2011 to consider opportunities to enhance current arrangements in five broad areas:</w:t>
      </w:r>
    </w:p>
    <w:p w:rsidR="00640756" w:rsidRPr="001C79EA" w:rsidRDefault="00640756" w:rsidP="00DF354D">
      <w:pPr>
        <w:pStyle w:val="ListBullet"/>
        <w:rPr>
          <w:rFonts w:eastAsia="Calibri"/>
          <w:sz w:val="24"/>
          <w:szCs w:val="24"/>
        </w:rPr>
      </w:pPr>
      <w:r w:rsidRPr="001C79EA">
        <w:rPr>
          <w:rFonts w:eastAsia="Calibri"/>
          <w:sz w:val="24"/>
          <w:szCs w:val="24"/>
        </w:rPr>
        <w:t xml:space="preserve">to ensure implications for national markets are given appropriate consideration when new or amended regulation is proposed and/or proposals to remake </w:t>
      </w:r>
      <w:proofErr w:type="spellStart"/>
      <w:r w:rsidRPr="001C79EA">
        <w:rPr>
          <w:rFonts w:eastAsia="Calibri"/>
          <w:sz w:val="24"/>
          <w:szCs w:val="24"/>
        </w:rPr>
        <w:t>sunsetting</w:t>
      </w:r>
      <w:proofErr w:type="spellEnd"/>
      <w:r w:rsidRPr="001C79EA">
        <w:rPr>
          <w:rFonts w:eastAsia="Calibri"/>
          <w:sz w:val="24"/>
          <w:szCs w:val="24"/>
        </w:rPr>
        <w:t xml:space="preserve"> regulation are being considered;</w:t>
      </w:r>
    </w:p>
    <w:p w:rsidR="00640756" w:rsidRPr="001C79EA" w:rsidRDefault="00640756" w:rsidP="00DF354D">
      <w:pPr>
        <w:pStyle w:val="ListBullet"/>
        <w:rPr>
          <w:rFonts w:eastAsia="Calibri"/>
          <w:sz w:val="24"/>
          <w:szCs w:val="24"/>
        </w:rPr>
      </w:pPr>
      <w:r w:rsidRPr="001C79EA">
        <w:rPr>
          <w:rFonts w:eastAsia="Calibri"/>
          <w:sz w:val="24"/>
          <w:szCs w:val="24"/>
        </w:rPr>
        <w:t xml:space="preserve">the establishment of objective criteria for evaluating proposals to remake </w:t>
      </w:r>
      <w:proofErr w:type="spellStart"/>
      <w:r w:rsidRPr="001C79EA">
        <w:rPr>
          <w:rFonts w:eastAsia="Calibri"/>
          <w:sz w:val="24"/>
          <w:szCs w:val="24"/>
        </w:rPr>
        <w:t>sunsetting</w:t>
      </w:r>
      <w:proofErr w:type="spellEnd"/>
      <w:r w:rsidRPr="001C79EA">
        <w:rPr>
          <w:rFonts w:eastAsia="Calibri"/>
          <w:sz w:val="24"/>
          <w:szCs w:val="24"/>
        </w:rPr>
        <w:t xml:space="preserve"> regulation;</w:t>
      </w:r>
    </w:p>
    <w:p w:rsidR="00640756" w:rsidRPr="001C79EA" w:rsidRDefault="00640756" w:rsidP="00DF354D">
      <w:pPr>
        <w:pStyle w:val="ListBullet"/>
        <w:rPr>
          <w:rFonts w:eastAsia="Calibri"/>
          <w:sz w:val="24"/>
          <w:szCs w:val="24"/>
        </w:rPr>
      </w:pPr>
      <w:r w:rsidRPr="001C79EA">
        <w:rPr>
          <w:rFonts w:eastAsia="Calibri"/>
          <w:sz w:val="24"/>
          <w:szCs w:val="24"/>
        </w:rPr>
        <w:t>the publication of Regulation Impact Statements (</w:t>
      </w:r>
      <w:proofErr w:type="spellStart"/>
      <w:r w:rsidRPr="001C79EA">
        <w:rPr>
          <w:rFonts w:eastAsia="Calibri"/>
          <w:sz w:val="24"/>
          <w:szCs w:val="24"/>
        </w:rPr>
        <w:t>RISs</w:t>
      </w:r>
      <w:proofErr w:type="spellEnd"/>
      <w:r w:rsidRPr="001C79EA">
        <w:rPr>
          <w:rFonts w:eastAsia="Calibri"/>
          <w:sz w:val="24"/>
          <w:szCs w:val="24"/>
        </w:rPr>
        <w:t>) or equivalent at or close to the time of policy decision;</w:t>
      </w:r>
    </w:p>
    <w:p w:rsidR="00640756" w:rsidRPr="001C79EA" w:rsidRDefault="00640756" w:rsidP="00DF354D">
      <w:pPr>
        <w:pStyle w:val="ListBullet"/>
        <w:rPr>
          <w:rFonts w:eastAsia="Calibri"/>
          <w:sz w:val="24"/>
          <w:szCs w:val="24"/>
        </w:rPr>
      </w:pPr>
      <w:r w:rsidRPr="001C79EA">
        <w:rPr>
          <w:rFonts w:eastAsia="Calibri"/>
          <w:sz w:val="24"/>
          <w:szCs w:val="24"/>
        </w:rPr>
        <w:t>fostering cultural change in regulation making; and</w:t>
      </w:r>
    </w:p>
    <w:p w:rsidR="00640756" w:rsidRPr="001C79EA" w:rsidRDefault="00640756" w:rsidP="00DF354D">
      <w:pPr>
        <w:pStyle w:val="ListBullet"/>
        <w:rPr>
          <w:rFonts w:eastAsia="Calibri"/>
          <w:sz w:val="24"/>
          <w:szCs w:val="24"/>
        </w:rPr>
      </w:pPr>
      <w:r w:rsidRPr="001C79EA">
        <w:rPr>
          <w:rFonts w:eastAsia="Calibri"/>
          <w:sz w:val="24"/>
          <w:szCs w:val="24"/>
        </w:rPr>
        <w:t>the use of common commencement dates as a device for reducing the regulatory burden on business.</w:t>
      </w:r>
    </w:p>
    <w:p w:rsidR="00640756" w:rsidRPr="001C79EA" w:rsidRDefault="00640756" w:rsidP="00DF354D">
      <w:pPr>
        <w:pStyle w:val="BodyText"/>
        <w:rPr>
          <w:rFonts w:eastAsia="Calibri"/>
          <w:sz w:val="24"/>
          <w:szCs w:val="24"/>
        </w:rPr>
      </w:pPr>
      <w:r w:rsidRPr="001C79EA">
        <w:rPr>
          <w:rFonts w:eastAsia="Calibri"/>
          <w:sz w:val="24"/>
          <w:szCs w:val="24"/>
        </w:rPr>
        <w:lastRenderedPageBreak/>
        <w:t xml:space="preserve">In undertaking this study, the Commission is to closely examine and assess the efficiency and effectiveness of the key features of the variety of RIA processes that apply across jurisdictions to provide a basis for establishing best practice so that individual jurisdictions can learn from the experience of others and to enable existing processes to be refined where appropriate to maximise their effectiveness.  The purpose of the benchmarking study is not to develop a harmonised approach to RIA processes, but to compare processes and identify leading practices, including the practical effectiveness, integration and policy influence of RIA processes with regard to: </w:t>
      </w:r>
    </w:p>
    <w:p w:rsidR="00640756" w:rsidRPr="001C79EA" w:rsidRDefault="00640756" w:rsidP="00DF354D">
      <w:pPr>
        <w:pStyle w:val="ListBullet"/>
        <w:rPr>
          <w:rFonts w:eastAsia="Calibri"/>
          <w:sz w:val="24"/>
          <w:szCs w:val="24"/>
        </w:rPr>
      </w:pPr>
      <w:r w:rsidRPr="001C79EA">
        <w:rPr>
          <w:rFonts w:eastAsia="Calibri"/>
          <w:sz w:val="24"/>
          <w:szCs w:val="24"/>
        </w:rPr>
        <w:t xml:space="preserve">the mechanisms in place to ensure accountability and compliance with RIA processes; </w:t>
      </w:r>
    </w:p>
    <w:p w:rsidR="00640756" w:rsidRPr="001C79EA" w:rsidRDefault="00640756" w:rsidP="00DF354D">
      <w:pPr>
        <w:pStyle w:val="ListBullet"/>
        <w:rPr>
          <w:rFonts w:eastAsia="Calibri"/>
          <w:sz w:val="24"/>
          <w:szCs w:val="24"/>
        </w:rPr>
      </w:pPr>
      <w:r w:rsidRPr="001C79EA">
        <w:rPr>
          <w:rFonts w:eastAsia="Calibri"/>
          <w:sz w:val="24"/>
          <w:szCs w:val="24"/>
        </w:rPr>
        <w:t xml:space="preserve">specific evidence of where the RIA process has resulted in improved regulation; </w:t>
      </w:r>
    </w:p>
    <w:p w:rsidR="00640756" w:rsidRPr="001C79EA" w:rsidRDefault="00640756" w:rsidP="00DF354D">
      <w:pPr>
        <w:pStyle w:val="ListBullet"/>
        <w:rPr>
          <w:rFonts w:eastAsia="Calibri"/>
          <w:sz w:val="24"/>
          <w:szCs w:val="24"/>
        </w:rPr>
      </w:pPr>
      <w:r w:rsidRPr="001C79EA">
        <w:rPr>
          <w:rFonts w:eastAsia="Calibri"/>
          <w:sz w:val="24"/>
          <w:szCs w:val="24"/>
        </w:rPr>
        <w:t xml:space="preserve">how and when in the decision-making cycle Ministers, or other decision makers, engage with </w:t>
      </w:r>
      <w:proofErr w:type="spellStart"/>
      <w:r w:rsidRPr="001C79EA">
        <w:rPr>
          <w:rFonts w:eastAsia="Calibri"/>
          <w:sz w:val="24"/>
          <w:szCs w:val="24"/>
        </w:rPr>
        <w:t>RISs</w:t>
      </w:r>
      <w:proofErr w:type="spellEnd"/>
      <w:r w:rsidRPr="001C79EA">
        <w:rPr>
          <w:rFonts w:eastAsia="Calibri"/>
          <w:sz w:val="24"/>
          <w:szCs w:val="24"/>
        </w:rPr>
        <w:t>; and</w:t>
      </w:r>
    </w:p>
    <w:p w:rsidR="00640756" w:rsidRPr="001C79EA" w:rsidRDefault="00640756" w:rsidP="00DF354D">
      <w:pPr>
        <w:pStyle w:val="ListBullet"/>
        <w:rPr>
          <w:rFonts w:eastAsia="Calibri"/>
          <w:sz w:val="24"/>
          <w:szCs w:val="24"/>
        </w:rPr>
      </w:pPr>
      <w:r w:rsidRPr="001C79EA">
        <w:rPr>
          <w:rFonts w:eastAsia="Calibri"/>
          <w:sz w:val="24"/>
          <w:szCs w:val="24"/>
        </w:rPr>
        <w:t xml:space="preserve">whether there are leading practice examples in RIA that might usefully inform reform consideration by individual jurisdictions. </w:t>
      </w:r>
    </w:p>
    <w:p w:rsidR="00640756" w:rsidRPr="001C79EA" w:rsidRDefault="00640756" w:rsidP="00DF354D">
      <w:pPr>
        <w:pStyle w:val="BodyText"/>
        <w:rPr>
          <w:rFonts w:eastAsia="Calibri"/>
          <w:sz w:val="24"/>
          <w:szCs w:val="24"/>
        </w:rPr>
      </w:pPr>
      <w:r w:rsidRPr="001C79EA">
        <w:rPr>
          <w:rFonts w:eastAsia="Calibri"/>
          <w:sz w:val="24"/>
          <w:szCs w:val="24"/>
        </w:rPr>
        <w:t xml:space="preserve">In assessing the efficiency and quality of both COAG and jurisdictional RIA processes, the Commission </w:t>
      </w:r>
      <w:bookmarkStart w:id="4" w:name="_Toc163298315"/>
      <w:r w:rsidRPr="001C79EA">
        <w:rPr>
          <w:rFonts w:eastAsia="Calibri"/>
          <w:sz w:val="24"/>
          <w:szCs w:val="24"/>
        </w:rPr>
        <w:t>should have regard to the following considerations:</w:t>
      </w:r>
    </w:p>
    <w:bookmarkEnd w:id="4"/>
    <w:p w:rsidR="00640756" w:rsidRPr="001C79EA" w:rsidRDefault="00640756" w:rsidP="00DF354D">
      <w:pPr>
        <w:pStyle w:val="ListBullet"/>
        <w:rPr>
          <w:rFonts w:eastAsia="Calibri"/>
          <w:sz w:val="24"/>
          <w:szCs w:val="24"/>
        </w:rPr>
      </w:pPr>
      <w:r w:rsidRPr="001C79EA">
        <w:rPr>
          <w:rFonts w:eastAsia="Calibri"/>
          <w:sz w:val="24"/>
          <w:szCs w:val="24"/>
        </w:rPr>
        <w:t>whether RIA processes place appropriate weight on the national market implications of regulatory proposals;</w:t>
      </w:r>
    </w:p>
    <w:p w:rsidR="00640756" w:rsidRPr="001C79EA" w:rsidRDefault="00640756" w:rsidP="00DF354D">
      <w:pPr>
        <w:pStyle w:val="ListBullet"/>
        <w:rPr>
          <w:rFonts w:eastAsia="Calibri"/>
          <w:sz w:val="24"/>
          <w:szCs w:val="24"/>
        </w:rPr>
      </w:pPr>
      <w:r w:rsidRPr="001C79EA">
        <w:rPr>
          <w:rFonts w:eastAsia="Calibri"/>
          <w:sz w:val="24"/>
          <w:szCs w:val="24"/>
        </w:rPr>
        <w:t>the extent to which RIA requirements are mandatory;</w:t>
      </w:r>
    </w:p>
    <w:p w:rsidR="00640756" w:rsidRPr="001C79EA" w:rsidRDefault="00640756" w:rsidP="00DF354D">
      <w:pPr>
        <w:pStyle w:val="ListBullet"/>
        <w:rPr>
          <w:rFonts w:eastAsia="Calibri"/>
          <w:sz w:val="24"/>
          <w:szCs w:val="24"/>
        </w:rPr>
      </w:pPr>
      <w:r w:rsidRPr="001C79EA">
        <w:rPr>
          <w:rFonts w:eastAsia="Calibri"/>
          <w:sz w:val="24"/>
          <w:szCs w:val="24"/>
        </w:rPr>
        <w:t>the ‘regulatory significance’ threshold, and related thresholds, such as impacts on specific sectors and regions, at which mandatory RIA processes are triggered;</w:t>
      </w:r>
    </w:p>
    <w:p w:rsidR="00640756" w:rsidRPr="001C79EA" w:rsidRDefault="00640756" w:rsidP="00DF354D">
      <w:pPr>
        <w:pStyle w:val="ListBullet"/>
        <w:rPr>
          <w:rFonts w:eastAsia="Calibri"/>
          <w:sz w:val="24"/>
          <w:szCs w:val="24"/>
        </w:rPr>
      </w:pPr>
      <w:r w:rsidRPr="001C79EA">
        <w:rPr>
          <w:rFonts w:eastAsia="Calibri"/>
          <w:sz w:val="24"/>
          <w:szCs w:val="24"/>
        </w:rPr>
        <w:t xml:space="preserve">guidance in regard to consultation processes and other features to enhance transparency such as publication of </w:t>
      </w:r>
      <w:proofErr w:type="spellStart"/>
      <w:r w:rsidRPr="001C79EA">
        <w:rPr>
          <w:rFonts w:eastAsia="Calibri"/>
          <w:sz w:val="24"/>
          <w:szCs w:val="24"/>
        </w:rPr>
        <w:t>RISs</w:t>
      </w:r>
      <w:proofErr w:type="spellEnd"/>
      <w:r w:rsidRPr="001C79EA">
        <w:rPr>
          <w:rFonts w:eastAsia="Calibri"/>
          <w:sz w:val="24"/>
          <w:szCs w:val="24"/>
        </w:rPr>
        <w:t xml:space="preserve"> and the assessment of RIA adequacy;</w:t>
      </w:r>
    </w:p>
    <w:p w:rsidR="00640756" w:rsidRPr="001C79EA" w:rsidRDefault="00640756" w:rsidP="00DF354D">
      <w:pPr>
        <w:pStyle w:val="ListBullet"/>
        <w:rPr>
          <w:rFonts w:eastAsia="Calibri"/>
          <w:sz w:val="24"/>
          <w:szCs w:val="24"/>
        </w:rPr>
      </w:pPr>
      <w:r w:rsidRPr="001C79EA">
        <w:rPr>
          <w:rFonts w:eastAsia="Calibri"/>
          <w:sz w:val="24"/>
          <w:szCs w:val="24"/>
        </w:rPr>
        <w:t>whether RIA applies to primary and subordinate legislation, legislative and non</w:t>
      </w:r>
      <w:r w:rsidRPr="001C79EA">
        <w:rPr>
          <w:rFonts w:eastAsia="Calibri"/>
          <w:sz w:val="24"/>
          <w:szCs w:val="24"/>
        </w:rPr>
        <w:noBreakHyphen/>
        <w:t xml:space="preserve">legislative instruments and quasi-regulation; </w:t>
      </w:r>
    </w:p>
    <w:p w:rsidR="00640756" w:rsidRPr="001C79EA" w:rsidRDefault="00640756" w:rsidP="00DF354D">
      <w:pPr>
        <w:pStyle w:val="ListBullet"/>
        <w:rPr>
          <w:rFonts w:eastAsia="Calibri"/>
          <w:sz w:val="24"/>
          <w:szCs w:val="24"/>
        </w:rPr>
      </w:pPr>
      <w:r w:rsidRPr="001C79EA">
        <w:rPr>
          <w:rFonts w:eastAsia="Calibri"/>
          <w:sz w:val="24"/>
          <w:szCs w:val="24"/>
        </w:rPr>
        <w:t>whether RIA requires consideration of competition impacts;</w:t>
      </w:r>
    </w:p>
    <w:p w:rsidR="00640756" w:rsidRPr="001C79EA" w:rsidRDefault="00640756" w:rsidP="00DF354D">
      <w:pPr>
        <w:pStyle w:val="ListBullet"/>
        <w:rPr>
          <w:rFonts w:eastAsia="Calibri"/>
          <w:sz w:val="24"/>
          <w:szCs w:val="24"/>
        </w:rPr>
      </w:pPr>
      <w:r w:rsidRPr="001C79EA">
        <w:rPr>
          <w:rFonts w:eastAsia="Calibri"/>
          <w:sz w:val="24"/>
          <w:szCs w:val="24"/>
        </w:rPr>
        <w:t>whether RIA requires consideration of the evaluation and review arrangements following the implementation of proposals, including whether or not policy objectives remain appropriate;</w:t>
      </w:r>
    </w:p>
    <w:p w:rsidR="00640756" w:rsidRPr="001C79EA" w:rsidRDefault="00640756" w:rsidP="00DF354D">
      <w:pPr>
        <w:pStyle w:val="ListBullet"/>
        <w:rPr>
          <w:rFonts w:eastAsia="Calibri"/>
          <w:sz w:val="24"/>
          <w:szCs w:val="24"/>
        </w:rPr>
      </w:pPr>
      <w:r w:rsidRPr="001C79EA">
        <w:rPr>
          <w:rFonts w:eastAsia="Calibri"/>
          <w:sz w:val="24"/>
          <w:szCs w:val="24"/>
        </w:rPr>
        <w:t xml:space="preserve">quality assurance processes, such as the independence and level of seniority for RIS sign-off; </w:t>
      </w:r>
    </w:p>
    <w:p w:rsidR="00640756" w:rsidRPr="001C79EA" w:rsidRDefault="00640756" w:rsidP="00DF354D">
      <w:pPr>
        <w:pStyle w:val="ListBullet"/>
        <w:rPr>
          <w:rFonts w:eastAsia="Calibri"/>
          <w:sz w:val="24"/>
          <w:szCs w:val="24"/>
        </w:rPr>
      </w:pPr>
      <w:r w:rsidRPr="001C79EA">
        <w:rPr>
          <w:rFonts w:eastAsia="Calibri"/>
          <w:sz w:val="24"/>
          <w:szCs w:val="24"/>
        </w:rPr>
        <w:t>requirements for consideration of both regulatory and non-regulatory options in RIA processes;</w:t>
      </w:r>
    </w:p>
    <w:p w:rsidR="00640756" w:rsidRPr="001C79EA" w:rsidRDefault="00640756" w:rsidP="00DF354D">
      <w:pPr>
        <w:pStyle w:val="ListBullet"/>
        <w:rPr>
          <w:rFonts w:eastAsia="Calibri"/>
          <w:sz w:val="24"/>
          <w:szCs w:val="24"/>
        </w:rPr>
      </w:pPr>
      <w:r w:rsidRPr="001C79EA">
        <w:rPr>
          <w:rFonts w:eastAsia="Calibri"/>
          <w:sz w:val="24"/>
          <w:szCs w:val="24"/>
        </w:rPr>
        <w:t xml:space="preserve">requirements for regulation that includes sunset clauses to also include guidelines for evaluation of the case for maintaining that regulation; and </w:t>
      </w:r>
    </w:p>
    <w:p w:rsidR="00640756" w:rsidRPr="001C79EA" w:rsidRDefault="00640756" w:rsidP="00DF354D">
      <w:pPr>
        <w:pStyle w:val="ListBullet"/>
        <w:rPr>
          <w:rFonts w:eastAsia="Calibri"/>
          <w:sz w:val="24"/>
          <w:szCs w:val="24"/>
        </w:rPr>
      </w:pPr>
      <w:r w:rsidRPr="001C79EA">
        <w:rPr>
          <w:rFonts w:eastAsia="Calibri"/>
          <w:sz w:val="24"/>
          <w:szCs w:val="24"/>
        </w:rPr>
        <w:lastRenderedPageBreak/>
        <w:t>the extent to which the benefits and costs of options are robustly analysed and quantified and included in a cost benefit or other decision-making framework.</w:t>
      </w:r>
    </w:p>
    <w:p w:rsidR="00640756" w:rsidRPr="001C79EA" w:rsidRDefault="00640756" w:rsidP="00DF354D">
      <w:pPr>
        <w:pStyle w:val="BodyText"/>
        <w:rPr>
          <w:rFonts w:eastAsia="Calibri"/>
          <w:sz w:val="24"/>
          <w:szCs w:val="24"/>
        </w:rPr>
      </w:pPr>
      <w:r w:rsidRPr="001C79EA">
        <w:rPr>
          <w:rFonts w:eastAsia="Calibri"/>
          <w:sz w:val="24"/>
          <w:szCs w:val="24"/>
        </w:rPr>
        <w:t xml:space="preserve">The Commission should consult as appropriate.  The final report is to be completed within nine months of receiving these terms of reference.  The Commission is to provide both a draft and final report, and the reports will be published.   </w:t>
      </w:r>
    </w:p>
    <w:p w:rsidR="00640756" w:rsidRPr="001C79EA" w:rsidRDefault="00640756" w:rsidP="00640756">
      <w:pPr>
        <w:spacing w:after="200" w:line="276" w:lineRule="auto"/>
        <w:jc w:val="both"/>
        <w:rPr>
          <w:rFonts w:eastAsia="Calibri"/>
          <w:sz w:val="24"/>
          <w:szCs w:val="24"/>
        </w:rPr>
      </w:pPr>
    </w:p>
    <w:p w:rsidR="00640756" w:rsidRPr="001C79EA" w:rsidRDefault="00640756" w:rsidP="00640756">
      <w:pPr>
        <w:spacing w:after="200" w:line="276" w:lineRule="auto"/>
        <w:rPr>
          <w:rFonts w:eastAsia="Calibri"/>
          <w:sz w:val="24"/>
          <w:szCs w:val="24"/>
        </w:rPr>
      </w:pPr>
      <w:r w:rsidRPr="001C79EA">
        <w:rPr>
          <w:rFonts w:eastAsia="Calibri"/>
          <w:sz w:val="24"/>
          <w:szCs w:val="24"/>
        </w:rPr>
        <w:t xml:space="preserve">MARK </w:t>
      </w:r>
      <w:proofErr w:type="spellStart"/>
      <w:r w:rsidRPr="001C79EA">
        <w:rPr>
          <w:rFonts w:eastAsia="Calibri"/>
          <w:sz w:val="24"/>
          <w:szCs w:val="24"/>
        </w:rPr>
        <w:t>ARBIB</w:t>
      </w:r>
      <w:proofErr w:type="spellEnd"/>
      <w:r w:rsidRPr="001C79EA">
        <w:rPr>
          <w:rFonts w:eastAsia="Calibri"/>
          <w:sz w:val="24"/>
          <w:szCs w:val="24"/>
        </w:rPr>
        <w:br/>
        <w:t>ASSISTANT TREASURER</w:t>
      </w:r>
    </w:p>
    <w:p w:rsidR="00640756" w:rsidRPr="00C51CDC" w:rsidRDefault="00640756" w:rsidP="00640756">
      <w:pPr>
        <w:autoSpaceDE w:val="0"/>
        <w:autoSpaceDN w:val="0"/>
        <w:adjustRightInd w:val="0"/>
        <w:spacing w:after="240"/>
        <w:jc w:val="both"/>
        <w:rPr>
          <w:rFonts w:eastAsia="Calibri"/>
          <w:szCs w:val="26"/>
        </w:rPr>
      </w:pPr>
      <w:r w:rsidRPr="001C79EA">
        <w:rPr>
          <w:rFonts w:eastAsia="Calibri"/>
          <w:sz w:val="24"/>
          <w:szCs w:val="24"/>
        </w:rPr>
        <w:t>[received 28 February 2012]</w:t>
      </w:r>
    </w:p>
    <w:p w:rsidR="00B41E6B" w:rsidRDefault="00B41E6B">
      <w:pPr>
        <w:pStyle w:val="BodyText"/>
        <w:spacing w:before="0"/>
      </w:pPr>
    </w:p>
    <w:p w:rsidR="00B41E6B" w:rsidRDefault="00B41E6B">
      <w:pPr>
        <w:pStyle w:val="BodyText"/>
        <w:sectPr w:rsidR="00B41E6B" w:rsidSect="009423D0">
          <w:headerReference w:type="even" r:id="rId19"/>
          <w:headerReference w:type="default" r:id="rId20"/>
          <w:footerReference w:type="even" r:id="rId21"/>
          <w:footerReference w:type="default" r:id="rId22"/>
          <w:pgSz w:w="11906" w:h="16838" w:code="9"/>
          <w:pgMar w:top="1985" w:right="1304" w:bottom="1418" w:left="1814" w:header="1701" w:footer="567" w:gutter="0"/>
          <w:pgNumType w:fmt="lowerRoman"/>
          <w:cols w:space="708"/>
          <w:docGrid w:linePitch="360"/>
        </w:sectPr>
      </w:pPr>
    </w:p>
    <w:p w:rsidR="00674F5E" w:rsidRDefault="00735FEA" w:rsidP="00674F5E">
      <w:pPr>
        <w:pStyle w:val="Heading1NotTOC"/>
        <w:spacing w:after="1200"/>
        <w:rPr>
          <w:noProof/>
        </w:rPr>
      </w:pPr>
      <w:bookmarkStart w:id="5" w:name="Contents"/>
      <w:bookmarkEnd w:id="5"/>
      <w:r w:rsidRPr="00B153C3">
        <w:lastRenderedPageBreak/>
        <w:t>Contents</w:t>
      </w:r>
      <w:bookmarkStart w:id="6" w:name="InsertContents"/>
      <w:bookmarkEnd w:id="6"/>
    </w:p>
    <w:p w:rsidR="00674F5E" w:rsidRDefault="00674F5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674F5E" w:rsidRDefault="00541A27">
      <w:pPr>
        <w:pStyle w:val="TOC1"/>
        <w:rPr>
          <w:rFonts w:asciiTheme="minorHAnsi" w:eastAsiaTheme="minorEastAsia" w:hAnsiTheme="minorHAnsi" w:cstheme="minorBidi"/>
          <w:b w:val="0"/>
          <w:noProof/>
          <w:sz w:val="22"/>
          <w:szCs w:val="22"/>
          <w:lang w:eastAsia="en-AU"/>
        </w:rPr>
      </w:pPr>
      <w:r>
        <w:rPr>
          <w:noProof/>
        </w:rPr>
        <w:t>Abbreviations</w:t>
      </w:r>
      <w:r>
        <w:rPr>
          <w:noProof/>
        </w:rPr>
        <w:tab/>
        <w:t>x</w:t>
      </w:r>
    </w:p>
    <w:p w:rsidR="00674F5E" w:rsidRDefault="00674F5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674F5E" w:rsidRDefault="00674F5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31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is regulatory impact analysis?</w:t>
      </w:r>
      <w:r>
        <w:rPr>
          <w:noProof/>
        </w:rPr>
        <w:tab/>
        <w:t>31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Recent reviews and changes to RIA processes</w:t>
      </w:r>
      <w:r>
        <w:rPr>
          <w:noProof/>
        </w:rPr>
        <w:tab/>
        <w:t>34</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study</w:t>
      </w:r>
      <w:r>
        <w:rPr>
          <w:noProof/>
        </w:rPr>
        <w:tab/>
        <w:t>36</w:t>
      </w:r>
    </w:p>
    <w:p w:rsidR="00674F5E" w:rsidRDefault="00674F5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Efficiency and effectiveness of regulatory impact analysis</w:t>
      </w:r>
      <w:r>
        <w:rPr>
          <w:noProof/>
        </w:rPr>
        <w:tab/>
        <w:t>49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w:t>
      </w:r>
      <w:r>
        <w:rPr>
          <w:noProof/>
        </w:rPr>
        <w:tab/>
        <w:t>50</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effective are RIA processes?</w:t>
      </w:r>
      <w:r>
        <w:rPr>
          <w:noProof/>
        </w:rPr>
        <w:tab/>
        <w:t>51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Costs of RIA</w:t>
      </w:r>
      <w:r>
        <w:rPr>
          <w:noProof/>
        </w:rPr>
        <w:tab/>
        <w:t>71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Conclusion</w:t>
      </w:r>
      <w:r>
        <w:rPr>
          <w:noProof/>
        </w:rPr>
        <w:tab/>
        <w:t>76</w:t>
      </w:r>
    </w:p>
    <w:p w:rsidR="00674F5E" w:rsidRDefault="00674F5E">
      <w:pPr>
        <w:pStyle w:val="TOC2"/>
        <w:tabs>
          <w:tab w:val="left" w:pos="1540"/>
        </w:tabs>
        <w:rPr>
          <w:rFonts w:asciiTheme="minorHAnsi" w:eastAsiaTheme="minorEastAsia" w:hAnsiTheme="minorHAnsi" w:cstheme="minorBidi"/>
          <w:noProof/>
          <w:sz w:val="22"/>
          <w:szCs w:val="22"/>
          <w:lang w:eastAsia="en-AU"/>
        </w:rPr>
      </w:pPr>
      <w:r>
        <w:rPr>
          <w:noProof/>
        </w:rPr>
        <w:t>Annex</w:t>
      </w:r>
      <w:r>
        <w:rPr>
          <w:rFonts w:asciiTheme="minorHAnsi" w:eastAsiaTheme="minorEastAsia" w:hAnsiTheme="minorHAnsi" w:cstheme="minorBidi"/>
          <w:noProof/>
          <w:sz w:val="22"/>
          <w:szCs w:val="22"/>
          <w:lang w:eastAsia="en-AU"/>
        </w:rPr>
        <w:tab/>
      </w:r>
      <w:r>
        <w:rPr>
          <w:noProof/>
        </w:rPr>
        <w:t>RIA practices by jurisdiction</w:t>
      </w:r>
      <w:r>
        <w:rPr>
          <w:noProof/>
        </w:rPr>
        <w:tab/>
        <w:t>78</w:t>
      </w:r>
    </w:p>
    <w:p w:rsidR="00674F5E" w:rsidRDefault="00674F5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Institutions involved in regulatory impact analysis</w:t>
      </w:r>
      <w:r>
        <w:rPr>
          <w:noProof/>
        </w:rPr>
        <w:tab/>
        <w:t>81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Institutions subject to RIA requirements</w:t>
      </w:r>
      <w:r>
        <w:rPr>
          <w:noProof/>
        </w:rPr>
        <w:tab/>
        <w:t>82</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Regulatory oversight bodies</w:t>
      </w:r>
      <w:r>
        <w:rPr>
          <w:noProof/>
        </w:rPr>
        <w:tab/>
        <w:t>89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Cabinet offices with a formal RIA gatekeeping role</w:t>
      </w:r>
      <w:r>
        <w:rPr>
          <w:noProof/>
        </w:rPr>
        <w:tab/>
        <w:t>101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Parliamentary scrutiny committees</w:t>
      </w:r>
      <w:r>
        <w:rPr>
          <w:noProof/>
        </w:rPr>
        <w:tab/>
        <w:t>103</w:t>
      </w:r>
    </w:p>
    <w:p w:rsidR="00674F5E" w:rsidRDefault="00674F5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Scope of regulatory impact analysis</w:t>
      </w:r>
      <w:r>
        <w:rPr>
          <w:noProof/>
        </w:rPr>
        <w:tab/>
        <w:t>105</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Regulation subject to RIA</w:t>
      </w:r>
      <w:r>
        <w:rPr>
          <w:noProof/>
        </w:rPr>
        <w:tab/>
        <w:t>106</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Trigger for RIS requirements</w:t>
      </w:r>
      <w:r>
        <w:rPr>
          <w:noProof/>
        </w:rPr>
        <w:tab/>
        <w:t>111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Who assesses whether a RIS is required?</w:t>
      </w:r>
      <w:r>
        <w:rPr>
          <w:noProof/>
        </w:rPr>
        <w:tab/>
        <w:t>122</w:t>
      </w:r>
    </w:p>
    <w:p w:rsidR="00674F5E" w:rsidRDefault="00674F5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Exceptions and exemptions</w:t>
      </w:r>
      <w:r>
        <w:rPr>
          <w:noProof/>
        </w:rPr>
        <w:tab/>
        <w:t>127</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w:t>
      </w:r>
      <w:r>
        <w:rPr>
          <w:noProof/>
        </w:rPr>
        <w:tab/>
        <w:t>128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Exceptions to RIA</w:t>
      </w:r>
      <w:r>
        <w:rPr>
          <w:noProof/>
        </w:rPr>
        <w:tab/>
        <w:t>129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Exemptions from RIS requirements</w:t>
      </w:r>
      <w:r>
        <w:rPr>
          <w:noProof/>
        </w:rPr>
        <w:tab/>
        <w:t>141</w:t>
      </w:r>
    </w:p>
    <w:p w:rsidR="00674F5E" w:rsidRDefault="00674F5E">
      <w:pPr>
        <w:pStyle w:val="TOC1"/>
        <w:rPr>
          <w:rFonts w:asciiTheme="minorHAnsi" w:eastAsiaTheme="minorEastAsia" w:hAnsiTheme="minorHAnsi" w:cstheme="minorBidi"/>
          <w:b w:val="0"/>
          <w:noProof/>
          <w:sz w:val="22"/>
          <w:szCs w:val="22"/>
          <w:lang w:eastAsia="en-AU"/>
        </w:rPr>
      </w:pPr>
      <w:r>
        <w:rPr>
          <w:noProof/>
        </w:rPr>
        <w:lastRenderedPageBreak/>
        <w:t>6</w:t>
      </w:r>
      <w:r>
        <w:rPr>
          <w:rFonts w:asciiTheme="minorHAnsi" w:eastAsiaTheme="minorEastAsia" w:hAnsiTheme="minorHAnsi" w:cstheme="minorBidi"/>
          <w:b w:val="0"/>
          <w:noProof/>
          <w:sz w:val="22"/>
          <w:szCs w:val="22"/>
          <w:lang w:eastAsia="en-AU"/>
        </w:rPr>
        <w:tab/>
      </w:r>
      <w:r>
        <w:rPr>
          <w:noProof/>
        </w:rPr>
        <w:t>Analytical requirements and impact assessment</w:t>
      </w:r>
      <w:r>
        <w:rPr>
          <w:noProof/>
        </w:rPr>
        <w:tab/>
        <w:t>149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elements of a RIS</w:t>
      </w:r>
      <w:r>
        <w:rPr>
          <w:noProof/>
        </w:rPr>
        <w:tab/>
        <w:t>150</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Problem identification and objectives</w:t>
      </w:r>
      <w:r>
        <w:rPr>
          <w:noProof/>
        </w:rPr>
        <w:tab/>
        <w:t>152</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Consideration of options</w:t>
      </w:r>
      <w:r>
        <w:rPr>
          <w:noProof/>
        </w:rPr>
        <w:tab/>
        <w:t>158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Assessment of impacts</w:t>
      </w:r>
      <w:r>
        <w:rPr>
          <w:noProof/>
        </w:rPr>
        <w:tab/>
        <w:t>164</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RIS conclusion and recommended option</w:t>
      </w:r>
      <w:r>
        <w:rPr>
          <w:noProof/>
        </w:rPr>
        <w:tab/>
        <w:t>178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Implementation, monitoring and enforcement</w:t>
      </w:r>
      <w:r>
        <w:rPr>
          <w:noProof/>
        </w:rPr>
        <w:tab/>
        <w:t>181</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Assessing national market implications</w:t>
      </w:r>
      <w:r>
        <w:rPr>
          <w:noProof/>
        </w:rPr>
        <w:tab/>
        <w:t>185</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Conclusion</w:t>
      </w:r>
      <w:r>
        <w:rPr>
          <w:noProof/>
        </w:rPr>
        <w:tab/>
        <w:t>194</w:t>
      </w:r>
    </w:p>
    <w:p w:rsidR="00674F5E" w:rsidRDefault="00674F5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Transparency and consultation</w:t>
      </w:r>
      <w:r>
        <w:rPr>
          <w:noProof/>
        </w:rPr>
        <w:tab/>
        <w:t>197</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What is transparency and why is it important?</w:t>
      </w:r>
      <w:r>
        <w:rPr>
          <w:noProof/>
        </w:rPr>
        <w:tab/>
        <w:t>198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Transparency of regulatory impact analysis undertaken by agencies</w:t>
      </w:r>
      <w:r>
        <w:rPr>
          <w:noProof/>
        </w:rPr>
        <w:tab/>
        <w:t>199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Transparency of regulatory oversight body adequacy assessments</w:t>
      </w:r>
      <w:r>
        <w:rPr>
          <w:noProof/>
        </w:rPr>
        <w:tab/>
        <w:t>222</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Transparency of ministers’ regulatory decisions</w:t>
      </w:r>
      <w:r>
        <w:rPr>
          <w:noProof/>
        </w:rPr>
        <w:tab/>
        <w:t>230</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Conclusion</w:t>
      </w:r>
      <w:r>
        <w:rPr>
          <w:noProof/>
        </w:rPr>
        <w:tab/>
        <w:t>235</w:t>
      </w:r>
    </w:p>
    <w:p w:rsidR="00674F5E" w:rsidRDefault="00674F5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Accountability and quality control</w:t>
      </w:r>
      <w:r>
        <w:rPr>
          <w:noProof/>
        </w:rPr>
        <w:tab/>
        <w:t>237</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is accountability?</w:t>
      </w:r>
      <w:r>
        <w:rPr>
          <w:noProof/>
        </w:rPr>
        <w:tab/>
        <w:t>238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Are government agencies accountable for the quality of their regulatory impact analysis?</w:t>
      </w:r>
      <w:r>
        <w:rPr>
          <w:noProof/>
        </w:rPr>
        <w:tab/>
        <w:t>239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Regulatory oversight body accountability</w:t>
      </w:r>
      <w:r>
        <w:rPr>
          <w:noProof/>
        </w:rPr>
        <w:tab/>
        <w:t>252</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Executive government accountability</w:t>
      </w:r>
      <w:r>
        <w:rPr>
          <w:noProof/>
        </w:rPr>
        <w:tab/>
        <w:t>266</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Conclusion</w:t>
      </w:r>
      <w:r>
        <w:rPr>
          <w:noProof/>
        </w:rPr>
        <w:tab/>
        <w:t>272</w:t>
      </w:r>
    </w:p>
    <w:p w:rsidR="00674F5E" w:rsidRDefault="00674F5E">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Regulatory reviews</w:t>
      </w:r>
      <w:r>
        <w:rPr>
          <w:noProof/>
        </w:rPr>
        <w:tab/>
        <w:t>275</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RIA’s role in promoting integrated regulatory policy</w:t>
      </w:r>
      <w:r>
        <w:rPr>
          <w:noProof/>
        </w:rPr>
        <w:tab/>
        <w:t>276</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‘Late RISs’ and post implementation reviews</w:t>
      </w:r>
      <w:r>
        <w:rPr>
          <w:noProof/>
        </w:rPr>
        <w:tab/>
        <w:t>279</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Reviews and evaluations flagged in RISs or in legislation</w:t>
      </w:r>
      <w:r>
        <w:rPr>
          <w:noProof/>
        </w:rPr>
        <w:tab/>
        <w:t>288</w:t>
      </w:r>
    </w:p>
    <w:p w:rsidR="00674F5E" w:rsidRDefault="00674F5E">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Reviews associated with sunsetting requirements</w:t>
      </w:r>
      <w:r>
        <w:rPr>
          <w:noProof/>
        </w:rPr>
        <w:tab/>
        <w:t>297</w:t>
      </w:r>
    </w:p>
    <w:p w:rsidR="008A697A" w:rsidRDefault="00674F5E">
      <w:pPr>
        <w:pStyle w:val="TOC2"/>
        <w:tabs>
          <w:tab w:val="left" w:pos="1190"/>
        </w:tabs>
        <w:rPr>
          <w:noProof/>
        </w:rPr>
      </w:pPr>
      <w:r>
        <w:rPr>
          <w:noProof/>
        </w:rPr>
        <w:t>9.5</w:t>
      </w:r>
      <w:r>
        <w:rPr>
          <w:rFonts w:asciiTheme="minorHAnsi" w:eastAsiaTheme="minorEastAsia" w:hAnsiTheme="minorHAnsi" w:cstheme="minorBidi"/>
          <w:noProof/>
          <w:sz w:val="22"/>
          <w:szCs w:val="22"/>
          <w:lang w:eastAsia="en-AU"/>
        </w:rPr>
        <w:tab/>
      </w:r>
      <w:r>
        <w:rPr>
          <w:noProof/>
        </w:rPr>
        <w:t>Conclusion</w:t>
      </w:r>
      <w:r>
        <w:rPr>
          <w:noProof/>
        </w:rPr>
        <w:tab/>
        <w:t>306</w:t>
      </w:r>
    </w:p>
    <w:p w:rsidR="008A697A" w:rsidRDefault="008A697A" w:rsidP="008A697A">
      <w:pPr>
        <w:pStyle w:val="TOC2"/>
        <w:rPr>
          <w:noProof/>
        </w:rPr>
      </w:pPr>
      <w:r>
        <w:rPr>
          <w:noProof/>
        </w:rPr>
        <w:br w:type="page"/>
      </w:r>
    </w:p>
    <w:p w:rsidR="00674F5E" w:rsidRDefault="00674F5E">
      <w:pPr>
        <w:pStyle w:val="TOC1"/>
        <w:rPr>
          <w:rFonts w:asciiTheme="minorHAnsi" w:eastAsiaTheme="minorEastAsia" w:hAnsiTheme="minorHAnsi" w:cstheme="minorBidi"/>
          <w:b w:val="0"/>
          <w:noProof/>
          <w:sz w:val="22"/>
          <w:szCs w:val="22"/>
          <w:lang w:eastAsia="en-AU"/>
        </w:rPr>
      </w:pPr>
      <w:r>
        <w:rPr>
          <w:noProof/>
        </w:rPr>
        <w:lastRenderedPageBreak/>
        <w:t>10</w:t>
      </w:r>
      <w:r>
        <w:rPr>
          <w:rFonts w:asciiTheme="minorHAnsi" w:eastAsiaTheme="minorEastAsia" w:hAnsiTheme="minorHAnsi" w:cstheme="minorBidi"/>
          <w:b w:val="0"/>
          <w:noProof/>
          <w:sz w:val="22"/>
          <w:szCs w:val="22"/>
          <w:lang w:eastAsia="en-AU"/>
        </w:rPr>
        <w:tab/>
      </w:r>
      <w:r>
        <w:rPr>
          <w:noProof/>
        </w:rPr>
        <w:t>Improving integration</w:t>
      </w:r>
      <w:r>
        <w:rPr>
          <w:noProof/>
        </w:rPr>
        <w:tab/>
        <w:t>307</w:t>
      </w:r>
    </w:p>
    <w:p w:rsidR="00674F5E" w:rsidRDefault="00674F5E" w:rsidP="008A697A">
      <w:pPr>
        <w:pStyle w:val="TOC2"/>
        <w:tabs>
          <w:tab w:val="left" w:pos="1418"/>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sidR="008A697A">
        <w:rPr>
          <w:rFonts w:asciiTheme="minorHAnsi" w:eastAsiaTheme="minorEastAsia" w:hAnsiTheme="minorHAnsi" w:cstheme="minorBidi"/>
          <w:noProof/>
          <w:sz w:val="22"/>
          <w:szCs w:val="22"/>
          <w:lang w:eastAsia="en-AU"/>
        </w:rPr>
        <w:t> </w:t>
      </w:r>
      <w:r>
        <w:rPr>
          <w:noProof/>
        </w:rPr>
        <w:t>What is integration?</w:t>
      </w:r>
      <w:r>
        <w:rPr>
          <w:noProof/>
        </w:rPr>
        <w:tab/>
        <w:t>308</w:t>
      </w:r>
    </w:p>
    <w:p w:rsidR="00674F5E" w:rsidRDefault="00674F5E" w:rsidP="008A697A">
      <w:pPr>
        <w:pStyle w:val="TOC2"/>
        <w:tabs>
          <w:tab w:val="left" w:pos="1418"/>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sidR="008A697A">
        <w:rPr>
          <w:rFonts w:asciiTheme="minorHAnsi" w:eastAsiaTheme="minorEastAsia" w:hAnsiTheme="minorHAnsi" w:cstheme="minorBidi"/>
          <w:noProof/>
          <w:sz w:val="22"/>
          <w:szCs w:val="22"/>
          <w:lang w:eastAsia="en-AU"/>
        </w:rPr>
        <w:t> </w:t>
      </w:r>
      <w:r>
        <w:rPr>
          <w:noProof/>
        </w:rPr>
        <w:t>Jurisdiction progress on integration</w:t>
      </w:r>
      <w:r>
        <w:rPr>
          <w:noProof/>
        </w:rPr>
        <w:tab/>
        <w:t>311</w:t>
      </w:r>
    </w:p>
    <w:p w:rsidR="00674F5E" w:rsidRDefault="00674F5E" w:rsidP="008A697A">
      <w:pPr>
        <w:pStyle w:val="TOC2"/>
        <w:tabs>
          <w:tab w:val="left" w:pos="1418"/>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sidR="008A697A">
        <w:rPr>
          <w:rFonts w:asciiTheme="minorHAnsi" w:eastAsiaTheme="minorEastAsia" w:hAnsiTheme="minorHAnsi" w:cstheme="minorBidi"/>
          <w:noProof/>
          <w:sz w:val="22"/>
          <w:szCs w:val="22"/>
          <w:lang w:eastAsia="en-AU"/>
        </w:rPr>
        <w:t> </w:t>
      </w:r>
      <w:r>
        <w:rPr>
          <w:noProof/>
        </w:rPr>
        <w:t>Barriers to integration</w:t>
      </w:r>
      <w:r>
        <w:rPr>
          <w:noProof/>
        </w:rPr>
        <w:tab/>
        <w:t>315</w:t>
      </w:r>
    </w:p>
    <w:p w:rsidR="00674F5E" w:rsidRDefault="00674F5E" w:rsidP="008A697A">
      <w:pPr>
        <w:pStyle w:val="TOC2"/>
        <w:tabs>
          <w:tab w:val="left" w:pos="1418"/>
        </w:tabs>
        <w:rPr>
          <w:noProof/>
        </w:rPr>
      </w:pPr>
      <w:r>
        <w:rPr>
          <w:noProof/>
        </w:rPr>
        <w:t>10.4</w:t>
      </w:r>
      <w:r>
        <w:rPr>
          <w:rFonts w:asciiTheme="minorHAnsi" w:eastAsiaTheme="minorEastAsia" w:hAnsiTheme="minorHAnsi" w:cstheme="minorBidi"/>
          <w:noProof/>
          <w:sz w:val="22"/>
          <w:szCs w:val="22"/>
          <w:lang w:eastAsia="en-AU"/>
        </w:rPr>
        <w:tab/>
      </w:r>
      <w:r w:rsidR="008A697A">
        <w:rPr>
          <w:rFonts w:asciiTheme="minorHAnsi" w:eastAsiaTheme="minorEastAsia" w:hAnsiTheme="minorHAnsi" w:cstheme="minorBidi"/>
          <w:noProof/>
          <w:sz w:val="22"/>
          <w:szCs w:val="22"/>
          <w:lang w:eastAsia="en-AU"/>
        </w:rPr>
        <w:t> </w:t>
      </w:r>
      <w:r>
        <w:rPr>
          <w:noProof/>
        </w:rPr>
        <w:t>Better integration of RIA into policy development</w:t>
      </w:r>
      <w:r>
        <w:rPr>
          <w:noProof/>
        </w:rPr>
        <w:tab/>
        <w:t>321</w:t>
      </w:r>
    </w:p>
    <w:p w:rsidR="008A697A" w:rsidRDefault="008A697A">
      <w:pPr>
        <w:pStyle w:val="TOC2"/>
        <w:tabs>
          <w:tab w:val="left" w:pos="1190"/>
        </w:tabs>
        <w:rPr>
          <w:rFonts w:asciiTheme="minorHAnsi" w:eastAsiaTheme="minorEastAsia" w:hAnsiTheme="minorHAnsi" w:cstheme="minorBidi"/>
          <w:noProof/>
          <w:sz w:val="22"/>
          <w:szCs w:val="22"/>
          <w:lang w:eastAsia="en-AU"/>
        </w:rPr>
      </w:pPr>
    </w:p>
    <w:p w:rsidR="00674F5E" w:rsidRDefault="00674F5E">
      <w:pPr>
        <w:pStyle w:val="TOC1"/>
        <w:rPr>
          <w:rFonts w:asciiTheme="minorHAnsi" w:eastAsiaTheme="minorEastAsia" w:hAnsiTheme="minorHAnsi" w:cstheme="minorBidi"/>
          <w:b w:val="0"/>
          <w:noProof/>
          <w:sz w:val="22"/>
          <w:szCs w:val="22"/>
          <w:lang w:eastAsia="en-AU"/>
        </w:rPr>
      </w:pPr>
      <w:r>
        <w:rPr>
          <w:noProof/>
        </w:rPr>
        <w:t>Appendixes</w:t>
      </w:r>
      <w:r>
        <w:rPr>
          <w:noProof/>
        </w:rPr>
        <w:tab/>
      </w:r>
    </w:p>
    <w:p w:rsidR="00674F5E" w:rsidRDefault="00674F5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Study participants</w:t>
      </w:r>
      <w:r>
        <w:rPr>
          <w:noProof/>
        </w:rPr>
        <w:tab/>
        <w:t>339</w:t>
      </w:r>
    </w:p>
    <w:p w:rsidR="00674F5E" w:rsidRDefault="00674F5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Jurisdiction guidance material</w:t>
      </w:r>
      <w:r>
        <w:rPr>
          <w:noProof/>
        </w:rPr>
        <w:tab/>
        <w:t>345</w:t>
      </w:r>
    </w:p>
    <w:p w:rsidR="00674F5E" w:rsidRDefault="00674F5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Best practice principles for RIA</w:t>
      </w:r>
      <w:r>
        <w:rPr>
          <w:noProof/>
        </w:rPr>
        <w:tab/>
        <w:t>351</w:t>
      </w:r>
    </w:p>
    <w:p w:rsidR="00674F5E" w:rsidRDefault="00674F5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Surveys of agencies and regulatory oversight bodies</w:t>
      </w:r>
      <w:r>
        <w:rPr>
          <w:noProof/>
        </w:rPr>
        <w:tab/>
        <w:t>355</w:t>
      </w:r>
    </w:p>
    <w:p w:rsidR="00674F5E" w:rsidRDefault="00674F5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Analysis of regulation impact statements</w:t>
      </w:r>
      <w:r>
        <w:rPr>
          <w:noProof/>
        </w:rPr>
        <w:tab/>
        <w:t>359</w:t>
      </w:r>
    </w:p>
    <w:p w:rsidR="00674F5E" w:rsidRDefault="00674F5E">
      <w:pPr>
        <w:pStyle w:val="TOC1"/>
        <w:rPr>
          <w:rFonts w:asciiTheme="minorHAnsi" w:eastAsiaTheme="minorEastAsia" w:hAnsiTheme="minorHAnsi" w:cstheme="minorBidi"/>
          <w:b w:val="0"/>
          <w:noProof/>
          <w:sz w:val="22"/>
          <w:szCs w:val="22"/>
          <w:lang w:eastAsia="en-AU"/>
        </w:rPr>
      </w:pPr>
      <w:r w:rsidRPr="00D45288">
        <w:rPr>
          <w:noProof/>
          <w:color w:val="000000" w:themeColor="text1"/>
        </w:rPr>
        <w:t>References</w:t>
      </w:r>
      <w:r>
        <w:rPr>
          <w:noProof/>
        </w:rPr>
        <w:tab/>
        <w:t>371</w:t>
      </w:r>
    </w:p>
    <w:p w:rsidR="00CB7E6A" w:rsidRDefault="00CB7E6A" w:rsidP="000B3D0B">
      <w:pPr>
        <w:pStyle w:val="TOC1"/>
      </w:pPr>
    </w:p>
    <w:p w:rsidR="000B3D0B" w:rsidRPr="000B3D0B" w:rsidRDefault="000B3D0B" w:rsidP="00AD5E6B">
      <w:pPr>
        <w:pStyle w:val="TOC2"/>
        <w:ind w:hanging="1020"/>
      </w:pPr>
    </w:p>
    <w:p w:rsidR="00CB7E6A" w:rsidRPr="000B3D0B" w:rsidRDefault="000B3D0B" w:rsidP="00CB7E6A">
      <w:pPr>
        <w:pStyle w:val="BodyText"/>
      </w:pPr>
      <w:r>
        <w:t xml:space="preserve">Additional material referred to in the chapters but not reproduced in this report </w:t>
      </w:r>
      <w:r w:rsidR="00541A27">
        <w:t>is</w:t>
      </w:r>
      <w:r>
        <w:t xml:space="preserve"> </w:t>
      </w:r>
      <w:r w:rsidRPr="000B3D0B">
        <w:t xml:space="preserve">available on the </w:t>
      </w:r>
      <w:r w:rsidR="005C00A7">
        <w:t>s</w:t>
      </w:r>
      <w:r w:rsidRPr="000B3D0B">
        <w:t xml:space="preserve">tudy website: </w:t>
      </w:r>
      <w:r w:rsidRPr="009E1CC6">
        <w:t>www.pc.gov.au/projects/study/</w:t>
      </w:r>
      <w:proofErr w:type="spellStart"/>
      <w:r w:rsidRPr="009E1CC6">
        <w:t>ria</w:t>
      </w:r>
      <w:proofErr w:type="spellEnd"/>
      <w:r w:rsidRPr="009E1CC6">
        <w:t>-benchmarking</w:t>
      </w:r>
    </w:p>
    <w:p w:rsidR="000B3D0B" w:rsidRDefault="000B3D0B" w:rsidP="000B3D0B">
      <w:pPr>
        <w:pStyle w:val="ListBullet"/>
      </w:pPr>
      <w:r>
        <w:t>RIA agency survey</w:t>
      </w:r>
    </w:p>
    <w:p w:rsidR="000B3D0B" w:rsidRDefault="000B3D0B" w:rsidP="000B3D0B">
      <w:pPr>
        <w:pStyle w:val="ListBullet"/>
      </w:pPr>
      <w:r>
        <w:t>RIA agency survey responses</w:t>
      </w:r>
    </w:p>
    <w:p w:rsidR="000B3D0B" w:rsidRDefault="000B3D0B" w:rsidP="000B3D0B">
      <w:pPr>
        <w:pStyle w:val="ListBullet"/>
      </w:pPr>
      <w:r>
        <w:t>RIA oversight body survey</w:t>
      </w:r>
    </w:p>
    <w:p w:rsidR="000B3D0B" w:rsidRDefault="000B3D0B" w:rsidP="000B3D0B">
      <w:pPr>
        <w:pStyle w:val="ListBullet"/>
      </w:pPr>
      <w:r>
        <w:t>RIA oversight body survey responses</w:t>
      </w:r>
    </w:p>
    <w:p w:rsidR="000B3D0B" w:rsidRPr="00CB7E6A" w:rsidRDefault="000B3D0B" w:rsidP="00CB7E6A">
      <w:pPr>
        <w:pStyle w:val="BodyText"/>
      </w:pPr>
    </w:p>
    <w:p w:rsidR="00735FEA" w:rsidRDefault="00735FEA">
      <w:pPr>
        <w:pStyle w:val="BodyText"/>
        <w:sectPr w:rsidR="00735FEA" w:rsidSect="00C55A45">
          <w:headerReference w:type="even" r:id="rId23"/>
          <w:headerReference w:type="default" r:id="rId24"/>
          <w:footerReference w:type="even" r:id="rId25"/>
          <w:footerReference w:type="default" r:id="rId26"/>
          <w:type w:val="oddPage"/>
          <w:pgSz w:w="11907" w:h="16840" w:code="9"/>
          <w:pgMar w:top="1985" w:right="1304" w:bottom="1418" w:left="1814" w:header="1701" w:footer="567" w:gutter="0"/>
          <w:pgNumType w:fmt="lowerRoman"/>
          <w:cols w:space="720"/>
        </w:sectPr>
      </w:pPr>
    </w:p>
    <w:p w:rsidR="00735FEA" w:rsidRDefault="00735FEA" w:rsidP="0051169D">
      <w:pPr>
        <w:pStyle w:val="Heading1"/>
        <w:spacing w:after="1080"/>
      </w:pPr>
      <w:bookmarkStart w:id="7" w:name="Abbreviations"/>
      <w:bookmarkStart w:id="8" w:name="RDnote"/>
      <w:bookmarkStart w:id="9" w:name="EndContents"/>
      <w:bookmarkStart w:id="10" w:name="_Toc333485172"/>
      <w:bookmarkStart w:id="11" w:name="_Toc341775604"/>
      <w:bookmarkEnd w:id="7"/>
      <w:bookmarkEnd w:id="8"/>
      <w:bookmarkEnd w:id="9"/>
      <w:r>
        <w:lastRenderedPageBreak/>
        <w:t>Abbreviations</w:t>
      </w:r>
      <w:bookmarkEnd w:id="10"/>
      <w:bookmarkEnd w:id="11"/>
    </w:p>
    <w:p w:rsidR="00770240" w:rsidRDefault="00770240" w:rsidP="00770240">
      <w:pPr>
        <w:pStyle w:val="Abbreviation"/>
      </w:pPr>
      <w:proofErr w:type="spellStart"/>
      <w:r>
        <w:t>A</w:t>
      </w:r>
      <w:r w:rsidR="0032194F">
        <w:t>ASB</w:t>
      </w:r>
      <w:proofErr w:type="spellEnd"/>
      <w:r w:rsidR="0032194F">
        <w:tab/>
        <w:t>Australian Accounting Standards Board</w:t>
      </w:r>
    </w:p>
    <w:p w:rsidR="0032194F" w:rsidRDefault="0032194F" w:rsidP="00545B1E">
      <w:pPr>
        <w:pStyle w:val="Abbreviation"/>
        <w:spacing w:before="40" w:after="40"/>
      </w:pPr>
      <w:proofErr w:type="spellStart"/>
      <w:r>
        <w:t>ACCI</w:t>
      </w:r>
      <w:proofErr w:type="spellEnd"/>
      <w:r>
        <w:tab/>
        <w:t>Australian Chamber of Commerce and Industry</w:t>
      </w:r>
    </w:p>
    <w:p w:rsidR="00770240" w:rsidRDefault="00770240" w:rsidP="00545B1E">
      <w:pPr>
        <w:pStyle w:val="Abbreviation"/>
        <w:spacing w:before="40" w:after="40"/>
      </w:pPr>
      <w:proofErr w:type="spellStart"/>
      <w:r>
        <w:t>AFGC</w:t>
      </w:r>
      <w:proofErr w:type="spellEnd"/>
      <w:r>
        <w:tab/>
        <w:t>Australian Food and Grocery Council</w:t>
      </w:r>
    </w:p>
    <w:p w:rsidR="00770240" w:rsidRDefault="00770240" w:rsidP="00545B1E">
      <w:pPr>
        <w:pStyle w:val="Abbreviation"/>
        <w:spacing w:before="40" w:after="40"/>
      </w:pPr>
      <w:proofErr w:type="spellStart"/>
      <w:r>
        <w:t>AFMA</w:t>
      </w:r>
      <w:proofErr w:type="spellEnd"/>
      <w:r>
        <w:tab/>
        <w:t>Australian Financial Markets Association</w:t>
      </w:r>
    </w:p>
    <w:p w:rsidR="00770240" w:rsidRDefault="00770240" w:rsidP="00545B1E">
      <w:pPr>
        <w:pStyle w:val="Abbreviation"/>
        <w:spacing w:before="40" w:after="40"/>
      </w:pPr>
      <w:proofErr w:type="spellStart"/>
      <w:r>
        <w:t>ANAO</w:t>
      </w:r>
      <w:proofErr w:type="spellEnd"/>
      <w:r>
        <w:tab/>
        <w:t>Australian National Audit Office</w:t>
      </w:r>
    </w:p>
    <w:p w:rsidR="0032194F" w:rsidRDefault="0032194F" w:rsidP="00545B1E">
      <w:pPr>
        <w:pStyle w:val="Abbreviation"/>
        <w:spacing w:before="40" w:after="40"/>
      </w:pPr>
      <w:r>
        <w:t>ARP</w:t>
      </w:r>
      <w:r>
        <w:tab/>
        <w:t>Annual Regulatory Plan</w:t>
      </w:r>
    </w:p>
    <w:p w:rsidR="00770240" w:rsidRDefault="00770240" w:rsidP="00545B1E">
      <w:pPr>
        <w:pStyle w:val="Abbreviation"/>
        <w:spacing w:before="40" w:after="40"/>
      </w:pPr>
      <w:r>
        <w:t>BCA</w:t>
      </w:r>
      <w:r>
        <w:tab/>
        <w:t>Business Council of Australia</w:t>
      </w:r>
    </w:p>
    <w:p w:rsidR="0032194F" w:rsidRDefault="0032194F" w:rsidP="00545B1E">
      <w:pPr>
        <w:pStyle w:val="Abbreviation"/>
        <w:spacing w:before="40" w:after="40"/>
      </w:pPr>
      <w:r>
        <w:t>BCC</w:t>
      </w:r>
      <w:r>
        <w:tab/>
        <w:t>Business Cost Calculator</w:t>
      </w:r>
    </w:p>
    <w:p w:rsidR="00770240" w:rsidRDefault="00770240" w:rsidP="00545B1E">
      <w:pPr>
        <w:pStyle w:val="Abbreviation"/>
        <w:spacing w:before="40" w:after="40"/>
      </w:pPr>
      <w:r>
        <w:t>BIA</w:t>
      </w:r>
      <w:r>
        <w:tab/>
        <w:t>Business Impact Assessment (Vic)</w:t>
      </w:r>
    </w:p>
    <w:p w:rsidR="00770240" w:rsidRDefault="00770240" w:rsidP="00545B1E">
      <w:pPr>
        <w:pStyle w:val="Abbreviation"/>
        <w:spacing w:before="40" w:after="40"/>
      </w:pPr>
      <w:r>
        <w:t>BRCWG</w:t>
      </w:r>
      <w:r>
        <w:tab/>
        <w:t>Business Regulation and Competition Working Group</w:t>
      </w:r>
    </w:p>
    <w:p w:rsidR="00770240" w:rsidRDefault="00770240" w:rsidP="00545B1E">
      <w:pPr>
        <w:pStyle w:val="Abbreviation"/>
        <w:spacing w:before="40" w:after="40"/>
      </w:pPr>
      <w:r>
        <w:t>BRO</w:t>
      </w:r>
      <w:r>
        <w:tab/>
        <w:t>Better Regulation Office (NSW)</w:t>
      </w:r>
    </w:p>
    <w:p w:rsidR="00770240" w:rsidRDefault="00770240" w:rsidP="00545B1E">
      <w:pPr>
        <w:pStyle w:val="Abbreviation"/>
        <w:spacing w:before="40" w:after="40"/>
      </w:pPr>
      <w:proofErr w:type="spellStart"/>
      <w:r>
        <w:t>BRS</w:t>
      </w:r>
      <w:proofErr w:type="spellEnd"/>
      <w:r>
        <w:tab/>
        <w:t>Better Regulation Statement</w:t>
      </w:r>
      <w:r w:rsidR="0051169D">
        <w:t xml:space="preserve"> (NSW)</w:t>
      </w:r>
    </w:p>
    <w:p w:rsidR="00770240" w:rsidRDefault="00770240" w:rsidP="00545B1E">
      <w:pPr>
        <w:pStyle w:val="Abbreviation"/>
        <w:spacing w:before="40" w:after="40"/>
      </w:pPr>
      <w:r>
        <w:t>CAN</w:t>
      </w:r>
      <w:r>
        <w:tab/>
        <w:t>Compliance Assessment Notice (WA)</w:t>
      </w:r>
    </w:p>
    <w:p w:rsidR="0032194F" w:rsidRDefault="0032194F" w:rsidP="00545B1E">
      <w:pPr>
        <w:pStyle w:val="Abbreviation"/>
        <w:spacing w:before="40" w:after="40"/>
      </w:pPr>
      <w:proofErr w:type="spellStart"/>
      <w:r>
        <w:t>CBA</w:t>
      </w:r>
      <w:proofErr w:type="spellEnd"/>
      <w:r>
        <w:tab/>
        <w:t>Cost benefit analysis</w:t>
      </w:r>
    </w:p>
    <w:p w:rsidR="0032194F" w:rsidRDefault="0032194F" w:rsidP="00545B1E">
      <w:pPr>
        <w:pStyle w:val="Abbreviation"/>
        <w:spacing w:before="40" w:after="40"/>
      </w:pPr>
      <w:r>
        <w:t>CIE</w:t>
      </w:r>
      <w:r>
        <w:tab/>
      </w:r>
      <w:r w:rsidR="00665F0D">
        <w:t>Centre for International Economics</w:t>
      </w:r>
    </w:p>
    <w:p w:rsidR="00770240" w:rsidRDefault="00770240" w:rsidP="00545B1E">
      <w:pPr>
        <w:pStyle w:val="Abbreviation"/>
        <w:spacing w:before="40" w:after="40"/>
      </w:pPr>
      <w:proofErr w:type="spellStart"/>
      <w:r>
        <w:t>CMPA</w:t>
      </w:r>
      <w:proofErr w:type="spellEnd"/>
      <w:r>
        <w:tab/>
        <w:t>Construction Materials Processors Association (Vic)</w:t>
      </w:r>
    </w:p>
    <w:p w:rsidR="00770240" w:rsidRDefault="00770240" w:rsidP="00545B1E">
      <w:pPr>
        <w:pStyle w:val="Abbreviation"/>
        <w:spacing w:before="40" w:after="40"/>
      </w:pPr>
      <w:r>
        <w:t>COAG</w:t>
      </w:r>
      <w:r>
        <w:tab/>
        <w:t>Council of Australian Governments</w:t>
      </w:r>
    </w:p>
    <w:p w:rsidR="0016031E" w:rsidRDefault="0016031E" w:rsidP="00545B1E">
      <w:pPr>
        <w:pStyle w:val="Abbreviation"/>
        <w:spacing w:before="40" w:after="40"/>
      </w:pPr>
      <w:r>
        <w:t>CRC</w:t>
      </w:r>
      <w:r w:rsidR="004B501E">
        <w:tab/>
        <w:t>COAG Reform Council</w:t>
      </w:r>
    </w:p>
    <w:p w:rsidR="00770240" w:rsidRDefault="00770240" w:rsidP="00545B1E">
      <w:pPr>
        <w:pStyle w:val="Abbreviation"/>
        <w:spacing w:before="40" w:after="40"/>
      </w:pPr>
      <w:proofErr w:type="spellStart"/>
      <w:r>
        <w:t>Cwlth</w:t>
      </w:r>
      <w:proofErr w:type="spellEnd"/>
      <w:r>
        <w:tab/>
        <w:t>Commonwealth</w:t>
      </w:r>
      <w:r w:rsidR="0016031E">
        <w:t xml:space="preserve"> of Australia</w:t>
      </w:r>
    </w:p>
    <w:p w:rsidR="0032194F" w:rsidRDefault="0032194F" w:rsidP="00545B1E">
      <w:pPr>
        <w:pStyle w:val="Abbreviation"/>
        <w:spacing w:before="40" w:after="40"/>
      </w:pPr>
      <w:r>
        <w:t>DCCEE</w:t>
      </w:r>
      <w:r w:rsidR="004B501E">
        <w:tab/>
        <w:t>Department of Climate Change and Energy Efficiency (</w:t>
      </w:r>
      <w:proofErr w:type="spellStart"/>
      <w:r w:rsidR="004B501E">
        <w:t>Cwlth</w:t>
      </w:r>
      <w:proofErr w:type="spellEnd"/>
      <w:r w:rsidR="004B501E">
        <w:t>)</w:t>
      </w:r>
    </w:p>
    <w:p w:rsidR="0032194F" w:rsidRDefault="0032194F" w:rsidP="00545B1E">
      <w:pPr>
        <w:pStyle w:val="Abbreviation"/>
        <w:spacing w:before="40" w:after="40"/>
      </w:pPr>
      <w:proofErr w:type="spellStart"/>
      <w:r>
        <w:t>DFD</w:t>
      </w:r>
      <w:proofErr w:type="spellEnd"/>
      <w:r w:rsidR="004B501E">
        <w:tab/>
        <w:t>Department of Finance and Deregulation (</w:t>
      </w:r>
      <w:proofErr w:type="spellStart"/>
      <w:r w:rsidR="004B501E">
        <w:t>Cwlth</w:t>
      </w:r>
      <w:proofErr w:type="spellEnd"/>
      <w:r w:rsidR="004B501E">
        <w:t>)</w:t>
      </w:r>
    </w:p>
    <w:p w:rsidR="00770240" w:rsidRDefault="00770240" w:rsidP="00545B1E">
      <w:pPr>
        <w:pStyle w:val="Abbreviation"/>
        <w:spacing w:before="40" w:after="40"/>
      </w:pPr>
      <w:r>
        <w:t>EC</w:t>
      </w:r>
      <w:r>
        <w:tab/>
        <w:t>European Commission</w:t>
      </w:r>
    </w:p>
    <w:p w:rsidR="00770240" w:rsidRDefault="00770240" w:rsidP="00545B1E">
      <w:pPr>
        <w:pStyle w:val="Abbreviation"/>
        <w:spacing w:before="40" w:after="40"/>
      </w:pPr>
      <w:proofErr w:type="spellStart"/>
      <w:r>
        <w:t>ECA</w:t>
      </w:r>
      <w:proofErr w:type="spellEnd"/>
      <w:r>
        <w:tab/>
        <w:t>European Court of Auditors</w:t>
      </w:r>
    </w:p>
    <w:p w:rsidR="00770240" w:rsidRDefault="00770240" w:rsidP="00545B1E">
      <w:pPr>
        <w:pStyle w:val="Abbreviation"/>
        <w:spacing w:before="40" w:after="40"/>
      </w:pPr>
      <w:proofErr w:type="spellStart"/>
      <w:r>
        <w:t>ERU</w:t>
      </w:r>
      <w:proofErr w:type="spellEnd"/>
      <w:r>
        <w:tab/>
        <w:t>Economic Reform Unit (</w:t>
      </w:r>
      <w:proofErr w:type="spellStart"/>
      <w:r>
        <w:t>Tas</w:t>
      </w:r>
      <w:proofErr w:type="spellEnd"/>
      <w:r>
        <w:t>)</w:t>
      </w:r>
    </w:p>
    <w:p w:rsidR="0032194F" w:rsidRDefault="004B501E" w:rsidP="00545B1E">
      <w:pPr>
        <w:pStyle w:val="Abbreviation"/>
        <w:spacing w:before="40" w:after="40"/>
      </w:pPr>
      <w:r>
        <w:t>FTE</w:t>
      </w:r>
      <w:r>
        <w:tab/>
      </w:r>
      <w:r w:rsidR="0051169D">
        <w:t>F</w:t>
      </w:r>
      <w:r>
        <w:t>ull time equivalent</w:t>
      </w:r>
    </w:p>
    <w:p w:rsidR="0032194F" w:rsidRDefault="004B501E" w:rsidP="00545B1E">
      <w:pPr>
        <w:pStyle w:val="Abbreviation"/>
        <w:spacing w:before="40" w:after="40"/>
      </w:pPr>
      <w:proofErr w:type="spellStart"/>
      <w:r>
        <w:t>GBE</w:t>
      </w:r>
      <w:proofErr w:type="spellEnd"/>
      <w:r>
        <w:tab/>
        <w:t xml:space="preserve">Government </w:t>
      </w:r>
      <w:r w:rsidR="0032194F">
        <w:t>Business Enterprise</w:t>
      </w:r>
    </w:p>
    <w:p w:rsidR="00770240" w:rsidRDefault="00770240" w:rsidP="00545B1E">
      <w:pPr>
        <w:pStyle w:val="Abbreviation"/>
        <w:spacing w:before="40" w:after="40"/>
      </w:pPr>
      <w:proofErr w:type="spellStart"/>
      <w:r>
        <w:t>IAB</w:t>
      </w:r>
      <w:proofErr w:type="spellEnd"/>
      <w:r>
        <w:tab/>
        <w:t>Impact Assessment Board (EU)</w:t>
      </w:r>
    </w:p>
    <w:p w:rsidR="00770240" w:rsidRDefault="00770240" w:rsidP="00545B1E">
      <w:pPr>
        <w:pStyle w:val="Abbreviation"/>
        <w:spacing w:before="40" w:after="40"/>
      </w:pPr>
      <w:proofErr w:type="spellStart"/>
      <w:r>
        <w:t>IAC</w:t>
      </w:r>
      <w:proofErr w:type="spellEnd"/>
      <w:r>
        <w:tab/>
        <w:t>Industries Assistance Commission</w:t>
      </w:r>
    </w:p>
    <w:p w:rsidR="00770240" w:rsidRDefault="00770240" w:rsidP="00545B1E">
      <w:pPr>
        <w:pStyle w:val="Abbreviation"/>
        <w:spacing w:before="40" w:after="40"/>
      </w:pPr>
      <w:r>
        <w:t>IC</w:t>
      </w:r>
      <w:r>
        <w:tab/>
        <w:t>Industry Commission</w:t>
      </w:r>
    </w:p>
    <w:p w:rsidR="0016031E" w:rsidRDefault="0016031E" w:rsidP="00545B1E">
      <w:pPr>
        <w:pStyle w:val="Abbreviation"/>
        <w:spacing w:before="40" w:after="40"/>
      </w:pPr>
      <w:proofErr w:type="spellStart"/>
      <w:r>
        <w:t>IPAA</w:t>
      </w:r>
      <w:proofErr w:type="spellEnd"/>
      <w:r w:rsidR="0032194F">
        <w:tab/>
        <w:t xml:space="preserve">Institute of Public </w:t>
      </w:r>
      <w:r w:rsidR="004B501E">
        <w:t>Administration</w:t>
      </w:r>
      <w:r w:rsidR="0032194F">
        <w:t xml:space="preserve"> Australia</w:t>
      </w:r>
    </w:p>
    <w:p w:rsidR="00770240" w:rsidRDefault="00770240" w:rsidP="00545B1E">
      <w:pPr>
        <w:pStyle w:val="Abbreviation"/>
        <w:spacing w:before="40" w:after="40"/>
      </w:pPr>
      <w:proofErr w:type="spellStart"/>
      <w:r>
        <w:t>IPART</w:t>
      </w:r>
      <w:proofErr w:type="spellEnd"/>
      <w:r>
        <w:tab/>
        <w:t>Independent Pricing and Regulatory Tribunal (NSW)</w:t>
      </w:r>
    </w:p>
    <w:p w:rsidR="00770240" w:rsidRDefault="00770240" w:rsidP="00545B1E">
      <w:pPr>
        <w:pStyle w:val="Abbreviation"/>
        <w:spacing w:before="40" w:after="40"/>
      </w:pPr>
      <w:proofErr w:type="spellStart"/>
      <w:r>
        <w:lastRenderedPageBreak/>
        <w:t>LRC</w:t>
      </w:r>
      <w:proofErr w:type="spellEnd"/>
      <w:r>
        <w:tab/>
        <w:t>Legislative Review Committee (NSW)</w:t>
      </w:r>
    </w:p>
    <w:p w:rsidR="0032194F" w:rsidRDefault="0032194F" w:rsidP="00545B1E">
      <w:pPr>
        <w:pStyle w:val="Abbreviation"/>
        <w:spacing w:before="40" w:after="40"/>
      </w:pPr>
      <w:proofErr w:type="spellStart"/>
      <w:r>
        <w:t>MBA</w:t>
      </w:r>
      <w:proofErr w:type="spellEnd"/>
      <w:r>
        <w:tab/>
        <w:t>Master Builders Australia</w:t>
      </w:r>
    </w:p>
    <w:p w:rsidR="0051169D" w:rsidRDefault="0051169D" w:rsidP="00545B1E">
      <w:pPr>
        <w:pStyle w:val="Abbreviation"/>
        <w:spacing w:before="40" w:after="40"/>
      </w:pPr>
      <w:proofErr w:type="spellStart"/>
      <w:r>
        <w:t>MPU</w:t>
      </w:r>
      <w:proofErr w:type="spellEnd"/>
      <w:r>
        <w:tab/>
        <w:t>Microeconomic Policy Unit (ACT)</w:t>
      </w:r>
    </w:p>
    <w:p w:rsidR="00407CF6" w:rsidRDefault="00407CF6" w:rsidP="00545B1E">
      <w:pPr>
        <w:pStyle w:val="Abbreviation"/>
        <w:spacing w:before="40" w:after="40"/>
      </w:pPr>
      <w:proofErr w:type="spellStart"/>
      <w:r>
        <w:t>NAO</w:t>
      </w:r>
      <w:proofErr w:type="spellEnd"/>
      <w:r>
        <w:tab/>
      </w:r>
      <w:r w:rsidR="0016031E">
        <w:t>Nation</w:t>
      </w:r>
      <w:r w:rsidR="003A5590">
        <w:t>al</w:t>
      </w:r>
      <w:r w:rsidR="0016031E">
        <w:t xml:space="preserve"> Audit Office</w:t>
      </w:r>
      <w:r w:rsidR="003A5590">
        <w:t xml:space="preserve"> (UK)</w:t>
      </w:r>
    </w:p>
    <w:p w:rsidR="00770240" w:rsidRDefault="00770240" w:rsidP="00545B1E">
      <w:pPr>
        <w:pStyle w:val="Abbreviation"/>
        <w:spacing w:before="40" w:after="40"/>
      </w:pPr>
      <w:proofErr w:type="spellStart"/>
      <w:r>
        <w:t>NSSB</w:t>
      </w:r>
      <w:proofErr w:type="spellEnd"/>
      <w:r>
        <w:tab/>
        <w:t>National standard</w:t>
      </w:r>
      <w:r w:rsidR="003A5590">
        <w:t xml:space="preserve"> </w:t>
      </w:r>
      <w:r>
        <w:t>setting bod</w:t>
      </w:r>
      <w:r w:rsidR="0051169D">
        <w:t>y</w:t>
      </w:r>
    </w:p>
    <w:p w:rsidR="00770240" w:rsidRDefault="00770240" w:rsidP="00545B1E">
      <w:pPr>
        <w:pStyle w:val="Abbreviation"/>
        <w:spacing w:before="40" w:after="40"/>
      </w:pPr>
      <w:r>
        <w:t>OBPR</w:t>
      </w:r>
      <w:r>
        <w:tab/>
        <w:t>Office of Best Practice Regulation (</w:t>
      </w:r>
      <w:proofErr w:type="spellStart"/>
      <w:r>
        <w:t>Cwlth</w:t>
      </w:r>
      <w:proofErr w:type="spellEnd"/>
      <w:r>
        <w:t>)</w:t>
      </w:r>
    </w:p>
    <w:p w:rsidR="00770240" w:rsidRDefault="00770240" w:rsidP="00545B1E">
      <w:pPr>
        <w:pStyle w:val="Abbreviation"/>
        <w:spacing w:before="40" w:after="40"/>
      </w:pPr>
      <w:r>
        <w:t>OECD</w:t>
      </w:r>
      <w:r>
        <w:tab/>
        <w:t>Organisation of Economic Co-operation and Development</w:t>
      </w:r>
    </w:p>
    <w:p w:rsidR="00770240" w:rsidRDefault="00770240" w:rsidP="00545B1E">
      <w:pPr>
        <w:pStyle w:val="Abbreviation"/>
        <w:spacing w:before="40" w:after="40"/>
      </w:pPr>
      <w:proofErr w:type="spellStart"/>
      <w:r>
        <w:t>OIRA</w:t>
      </w:r>
      <w:proofErr w:type="spellEnd"/>
      <w:r>
        <w:tab/>
        <w:t>Office of Information and Regulatory Affairs (US)</w:t>
      </w:r>
    </w:p>
    <w:p w:rsidR="00770240" w:rsidRDefault="00770240" w:rsidP="00545B1E">
      <w:pPr>
        <w:pStyle w:val="Abbreviation"/>
        <w:spacing w:before="40" w:after="40"/>
      </w:pPr>
      <w:r>
        <w:t>ORR</w:t>
      </w:r>
      <w:r>
        <w:tab/>
        <w:t>Office of Regulation Review (</w:t>
      </w:r>
      <w:proofErr w:type="spellStart"/>
      <w:r>
        <w:t>Cwlth</w:t>
      </w:r>
      <w:proofErr w:type="spellEnd"/>
      <w:r>
        <w:t>)</w:t>
      </w:r>
    </w:p>
    <w:p w:rsidR="00770240" w:rsidRDefault="00770240" w:rsidP="00545B1E">
      <w:pPr>
        <w:pStyle w:val="Abbreviation"/>
        <w:spacing w:before="40" w:after="40"/>
      </w:pPr>
      <w:r>
        <w:t>PC</w:t>
      </w:r>
      <w:r>
        <w:tab/>
        <w:t>Productivity Commission</w:t>
      </w:r>
    </w:p>
    <w:p w:rsidR="0016031E" w:rsidRDefault="0016031E" w:rsidP="00545B1E">
      <w:pPr>
        <w:pStyle w:val="Abbreviation"/>
        <w:spacing w:before="40" w:after="40"/>
      </w:pPr>
      <w:proofErr w:type="spellStart"/>
      <w:r>
        <w:t>PCA</w:t>
      </w:r>
      <w:proofErr w:type="spellEnd"/>
      <w:r w:rsidR="00665F0D">
        <w:tab/>
        <w:t>Property Council of Australia</w:t>
      </w:r>
    </w:p>
    <w:p w:rsidR="00770240" w:rsidRDefault="00770240" w:rsidP="00545B1E">
      <w:pPr>
        <w:pStyle w:val="Abbreviation"/>
        <w:spacing w:before="40" w:after="40"/>
      </w:pPr>
      <w:proofErr w:type="spellStart"/>
      <w:r>
        <w:t>PIA</w:t>
      </w:r>
      <w:proofErr w:type="spellEnd"/>
      <w:r>
        <w:tab/>
        <w:t>Preliminary Impact Assessment</w:t>
      </w:r>
    </w:p>
    <w:p w:rsidR="00770240" w:rsidRDefault="00770240" w:rsidP="00545B1E">
      <w:pPr>
        <w:pStyle w:val="Abbreviation"/>
        <w:spacing w:before="40" w:after="40"/>
      </w:pPr>
      <w:proofErr w:type="spellStart"/>
      <w:r>
        <w:t>PIR</w:t>
      </w:r>
      <w:proofErr w:type="spellEnd"/>
      <w:r>
        <w:tab/>
        <w:t>Post Implementation Review</w:t>
      </w:r>
    </w:p>
    <w:p w:rsidR="003A5590" w:rsidRDefault="003A5590" w:rsidP="00545B1E">
      <w:pPr>
        <w:pStyle w:val="Abbreviation"/>
        <w:spacing w:before="40" w:after="40"/>
      </w:pPr>
      <w:proofErr w:type="spellStart"/>
      <w:r>
        <w:t>QCA</w:t>
      </w:r>
      <w:proofErr w:type="spellEnd"/>
      <w:r>
        <w:tab/>
        <w:t>Queensland Competition Authority</w:t>
      </w:r>
    </w:p>
    <w:p w:rsidR="00770240" w:rsidRDefault="00770240" w:rsidP="00545B1E">
      <w:pPr>
        <w:pStyle w:val="Abbreviation"/>
        <w:spacing w:before="40" w:after="40"/>
      </w:pPr>
      <w:proofErr w:type="spellStart"/>
      <w:r>
        <w:t>QOBPR</w:t>
      </w:r>
      <w:proofErr w:type="spellEnd"/>
      <w:r>
        <w:tab/>
        <w:t>Queensland Office of Best Practice Regulation</w:t>
      </w:r>
    </w:p>
    <w:p w:rsidR="00770240" w:rsidRDefault="00770240" w:rsidP="00545B1E">
      <w:pPr>
        <w:pStyle w:val="Abbreviation"/>
        <w:spacing w:before="40" w:after="40"/>
      </w:pPr>
      <w:r>
        <w:t>RAS</w:t>
      </w:r>
      <w:r>
        <w:tab/>
        <w:t>Regulatory Assessment Statement (Qld)</w:t>
      </w:r>
    </w:p>
    <w:p w:rsidR="00770240" w:rsidRDefault="00770240" w:rsidP="00545B1E">
      <w:pPr>
        <w:pStyle w:val="Abbreviation"/>
        <w:spacing w:before="40" w:after="40"/>
      </w:pPr>
      <w:proofErr w:type="spellStart"/>
      <w:r>
        <w:t>RGU</w:t>
      </w:r>
      <w:proofErr w:type="spellEnd"/>
      <w:r>
        <w:tab/>
        <w:t>Regulatory Gatekeeping Unit (WA)</w:t>
      </w:r>
    </w:p>
    <w:p w:rsidR="00770240" w:rsidRDefault="00770240" w:rsidP="00545B1E">
      <w:pPr>
        <w:pStyle w:val="Abbreviation"/>
        <w:spacing w:before="40" w:after="40"/>
      </w:pPr>
      <w:r>
        <w:t>RIA</w:t>
      </w:r>
      <w:r>
        <w:tab/>
        <w:t>Regulatory Impact Analysis</w:t>
      </w:r>
    </w:p>
    <w:p w:rsidR="00770240" w:rsidRDefault="00770240" w:rsidP="00545B1E">
      <w:pPr>
        <w:pStyle w:val="Abbreviation"/>
        <w:spacing w:before="40" w:after="40"/>
      </w:pPr>
      <w:proofErr w:type="spellStart"/>
      <w:r>
        <w:t>RIC</w:t>
      </w:r>
      <w:proofErr w:type="spellEnd"/>
      <w:r>
        <w:tab/>
        <w:t>Regulation Impact Committee (NT)</w:t>
      </w:r>
    </w:p>
    <w:p w:rsidR="00770240" w:rsidRDefault="00770240" w:rsidP="00545B1E">
      <w:pPr>
        <w:pStyle w:val="Abbreviation"/>
        <w:spacing w:before="40" w:after="40"/>
      </w:pPr>
      <w:r>
        <w:t>RIS</w:t>
      </w:r>
      <w:r>
        <w:tab/>
        <w:t>Regulation Impact Statement</w:t>
      </w:r>
    </w:p>
    <w:p w:rsidR="00770240" w:rsidRDefault="00770240" w:rsidP="00545B1E">
      <w:pPr>
        <w:pStyle w:val="Abbreviation"/>
        <w:spacing w:before="40" w:after="40"/>
      </w:pPr>
      <w:proofErr w:type="spellStart"/>
      <w:r>
        <w:t>RIU</w:t>
      </w:r>
      <w:proofErr w:type="spellEnd"/>
      <w:r>
        <w:tab/>
        <w:t>Regulation Impact Unit (NT)</w:t>
      </w:r>
    </w:p>
    <w:p w:rsidR="0016031E" w:rsidRDefault="0016031E" w:rsidP="00545B1E">
      <w:pPr>
        <w:pStyle w:val="Abbreviation"/>
        <w:spacing w:before="40" w:after="40"/>
      </w:pPr>
      <w:r>
        <w:t>RPC</w:t>
      </w:r>
      <w:r>
        <w:tab/>
        <w:t>Regulatory Policy Checklist (Qld)</w:t>
      </w:r>
    </w:p>
    <w:p w:rsidR="00770240" w:rsidRDefault="00770240" w:rsidP="00545B1E">
      <w:pPr>
        <w:pStyle w:val="Abbreviation"/>
        <w:spacing w:before="40" w:after="40"/>
      </w:pPr>
      <w:proofErr w:type="spellStart"/>
      <w:r>
        <w:t>RPU</w:t>
      </w:r>
      <w:proofErr w:type="spellEnd"/>
      <w:r>
        <w:tab/>
        <w:t>Regulation Policy Unit (ACT)</w:t>
      </w:r>
    </w:p>
    <w:p w:rsidR="00770240" w:rsidRDefault="00770240" w:rsidP="00545B1E">
      <w:pPr>
        <w:pStyle w:val="Abbreviation"/>
        <w:spacing w:before="40" w:after="40"/>
      </w:pPr>
      <w:proofErr w:type="spellStart"/>
      <w:r>
        <w:t>RRB</w:t>
      </w:r>
      <w:proofErr w:type="spellEnd"/>
      <w:r>
        <w:tab/>
        <w:t>Regulatory Review Branch (Qld)</w:t>
      </w:r>
    </w:p>
    <w:p w:rsidR="00770240" w:rsidRDefault="00770240" w:rsidP="00545B1E">
      <w:pPr>
        <w:pStyle w:val="Abbreviation"/>
        <w:spacing w:before="40" w:after="40"/>
      </w:pPr>
      <w:proofErr w:type="spellStart"/>
      <w:r>
        <w:t>RRC</w:t>
      </w:r>
      <w:proofErr w:type="spellEnd"/>
      <w:r>
        <w:tab/>
        <w:t>Reducing Regulation Committee (UK)</w:t>
      </w:r>
    </w:p>
    <w:p w:rsidR="00770240" w:rsidRDefault="00770240" w:rsidP="00545B1E">
      <w:pPr>
        <w:pStyle w:val="Abbreviation"/>
        <w:spacing w:before="40" w:after="40"/>
      </w:pPr>
      <w:proofErr w:type="spellStart"/>
      <w:r>
        <w:t>SARC</w:t>
      </w:r>
      <w:proofErr w:type="spellEnd"/>
      <w:r>
        <w:tab/>
        <w:t>Scrutiny of Acts and Regulations Committee (Vic)</w:t>
      </w:r>
    </w:p>
    <w:p w:rsidR="0032194F" w:rsidRDefault="0032194F" w:rsidP="00545B1E">
      <w:pPr>
        <w:pStyle w:val="Abbreviation"/>
        <w:spacing w:before="40" w:after="40"/>
      </w:pPr>
      <w:proofErr w:type="spellStart"/>
      <w:r>
        <w:t>SBAC</w:t>
      </w:r>
      <w:proofErr w:type="spellEnd"/>
      <w:r>
        <w:tab/>
        <w:t>Small</w:t>
      </w:r>
      <w:r w:rsidR="00710934">
        <w:t xml:space="preserve"> Business Advisory Committee (</w:t>
      </w:r>
      <w:proofErr w:type="spellStart"/>
      <w:r w:rsidR="00710934">
        <w:t>C</w:t>
      </w:r>
      <w:r>
        <w:t>wlth</w:t>
      </w:r>
      <w:proofErr w:type="spellEnd"/>
      <w:r>
        <w:t>)</w:t>
      </w:r>
    </w:p>
    <w:p w:rsidR="00770240" w:rsidRDefault="00770240" w:rsidP="00545B1E">
      <w:pPr>
        <w:pStyle w:val="Abbreviation"/>
        <w:spacing w:before="40" w:after="40"/>
      </w:pPr>
      <w:proofErr w:type="spellStart"/>
      <w:r>
        <w:t>SBDC</w:t>
      </w:r>
      <w:proofErr w:type="spellEnd"/>
      <w:r>
        <w:tab/>
        <w:t>Small Business Development Corporation (WA)</w:t>
      </w:r>
    </w:p>
    <w:p w:rsidR="0032194F" w:rsidRDefault="0032194F" w:rsidP="00545B1E">
      <w:pPr>
        <w:pStyle w:val="Abbreviation"/>
        <w:spacing w:before="40" w:after="40"/>
      </w:pPr>
      <w:proofErr w:type="spellStart"/>
      <w:r>
        <w:t>SBV</w:t>
      </w:r>
      <w:proofErr w:type="spellEnd"/>
      <w:r>
        <w:tab/>
        <w:t>Small Business Victoria</w:t>
      </w:r>
    </w:p>
    <w:p w:rsidR="00770240" w:rsidRDefault="00770240" w:rsidP="00545B1E">
      <w:pPr>
        <w:pStyle w:val="Abbreviation"/>
        <w:spacing w:before="40" w:after="40"/>
      </w:pPr>
      <w:r>
        <w:t>SLA</w:t>
      </w:r>
      <w:r>
        <w:tab/>
        <w:t>Subordinate Legislation Act</w:t>
      </w:r>
    </w:p>
    <w:p w:rsidR="00770240" w:rsidRDefault="00770240" w:rsidP="00545B1E">
      <w:pPr>
        <w:pStyle w:val="Abbreviation"/>
        <w:spacing w:before="40" w:after="40"/>
      </w:pPr>
      <w:proofErr w:type="spellStart"/>
      <w:r>
        <w:t>SLC</w:t>
      </w:r>
      <w:proofErr w:type="spellEnd"/>
      <w:r>
        <w:tab/>
        <w:t>Subordinate Legislation Committee (</w:t>
      </w:r>
      <w:proofErr w:type="spellStart"/>
      <w:r>
        <w:t>Tas</w:t>
      </w:r>
      <w:proofErr w:type="spellEnd"/>
      <w:r>
        <w:t>)</w:t>
      </w:r>
    </w:p>
    <w:p w:rsidR="0016031E" w:rsidRDefault="0016031E" w:rsidP="00545B1E">
      <w:pPr>
        <w:pStyle w:val="Abbreviation"/>
        <w:spacing w:before="40" w:after="40"/>
      </w:pPr>
      <w:proofErr w:type="spellStart"/>
      <w:r>
        <w:t>SNE</w:t>
      </w:r>
      <w:proofErr w:type="spellEnd"/>
      <w:r w:rsidR="00665F0D">
        <w:tab/>
        <w:t>Seamless National Economy</w:t>
      </w:r>
    </w:p>
    <w:p w:rsidR="0032194F" w:rsidRDefault="0032194F" w:rsidP="00545B1E">
      <w:pPr>
        <w:pStyle w:val="Abbreviation"/>
        <w:spacing w:before="40" w:after="40"/>
      </w:pPr>
      <w:proofErr w:type="spellStart"/>
      <w:r>
        <w:t>TPSCSL</w:t>
      </w:r>
      <w:proofErr w:type="spellEnd"/>
      <w:r>
        <w:tab/>
        <w:t>Tasmanian Parlia</w:t>
      </w:r>
      <w:r w:rsidR="008B2373">
        <w:t>mentary Standing Committee on Subordinate Legislation</w:t>
      </w:r>
    </w:p>
    <w:p w:rsidR="003A5590" w:rsidRDefault="003A5590" w:rsidP="00545B1E">
      <w:pPr>
        <w:pStyle w:val="Abbreviation"/>
        <w:spacing w:before="40" w:after="40"/>
      </w:pPr>
      <w:r>
        <w:t>UK RPC</w:t>
      </w:r>
      <w:r>
        <w:tab/>
        <w:t>Regulatory Policy Committee (UK)</w:t>
      </w:r>
    </w:p>
    <w:p w:rsidR="00CB7E6A" w:rsidRPr="00ED1087" w:rsidRDefault="00770240" w:rsidP="00ED1087">
      <w:pPr>
        <w:pStyle w:val="Abbreviation"/>
        <w:spacing w:before="40" w:after="40"/>
        <w:rPr>
          <w:b/>
        </w:rPr>
      </w:pPr>
      <w:proofErr w:type="spellStart"/>
      <w:r>
        <w:t>VCEC</w:t>
      </w:r>
      <w:proofErr w:type="spellEnd"/>
      <w:r>
        <w:tab/>
        <w:t>Victorian Competition and Efficiency Commission</w:t>
      </w:r>
      <w:bookmarkStart w:id="12" w:name="Glossary"/>
      <w:bookmarkStart w:id="13" w:name="_GoBack"/>
      <w:bookmarkEnd w:id="12"/>
      <w:bookmarkEnd w:id="13"/>
    </w:p>
    <w:sectPr w:rsidR="00CB7E6A" w:rsidRPr="00ED1087" w:rsidSect="00C55A45">
      <w:headerReference w:type="even" r:id="rId27"/>
      <w:headerReference w:type="default" r:id="rId28"/>
      <w:footerReference w:type="even" r:id="rId29"/>
      <w:footerReference w:type="default" r:id="rId3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DA6" w:rsidRDefault="00164DA6">
      <w:r>
        <w:separator/>
      </w:r>
    </w:p>
    <w:p w:rsidR="00164DA6" w:rsidRDefault="00164DA6"/>
    <w:p w:rsidR="00164DA6" w:rsidRDefault="00164DA6"/>
  </w:endnote>
  <w:endnote w:type="continuationSeparator" w:id="0">
    <w:p w:rsidR="00164DA6" w:rsidRDefault="00164DA6">
      <w:r>
        <w:continuationSeparator/>
      </w:r>
    </w:p>
    <w:p w:rsidR="00164DA6" w:rsidRDefault="00164DA6"/>
    <w:p w:rsidR="00164DA6" w:rsidRDefault="00164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164DA6" w:rsidTr="008F7DB7">
      <w:trPr>
        <w:trHeight w:hRule="exact" w:val="740"/>
      </w:trPr>
      <w:tc>
        <w:tcPr>
          <w:tcW w:w="510" w:type="dxa"/>
          <w:tcBorders>
            <w:top w:val="single" w:sz="6" w:space="0" w:color="auto"/>
          </w:tcBorders>
        </w:tcPr>
        <w:p w:rsidR="00164DA6" w:rsidRPr="00C55A45" w:rsidRDefault="00164DA6">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ED1087">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164DA6" w:rsidRDefault="00164DA6">
          <w:pPr>
            <w:pStyle w:val="Footer"/>
            <w:rPr>
              <w:noProof/>
            </w:rPr>
          </w:pPr>
          <w:r>
            <w:rPr>
              <w:noProof/>
            </w:rPr>
            <w:fldChar w:fldCharType="begin"/>
          </w:r>
          <w:r>
            <w:rPr>
              <w:noProof/>
            </w:rPr>
            <w:instrText xml:space="preserve"> STYLEREF "Heading 1" \* MERGEFORMAT </w:instrText>
          </w:r>
          <w:r w:rsidR="00ED1087">
            <w:rPr>
              <w:noProof/>
            </w:rPr>
            <w:fldChar w:fldCharType="separate"/>
          </w:r>
          <w:r w:rsidR="00ED1087">
            <w:rPr>
              <w:noProof/>
            </w:rPr>
            <w:t>Abbreviations</w:t>
          </w:r>
          <w:r>
            <w:rPr>
              <w:noProof/>
            </w:rPr>
            <w:fldChar w:fldCharType="end"/>
          </w:r>
        </w:p>
      </w:tc>
      <w:tc>
        <w:tcPr>
          <w:tcW w:w="6634" w:type="dxa"/>
        </w:tcPr>
        <w:p w:rsidR="00164DA6" w:rsidRDefault="00164DA6">
          <w:pPr>
            <w:pStyle w:val="Footer"/>
            <w:rPr>
              <w:caps w:val="0"/>
            </w:rPr>
          </w:pPr>
        </w:p>
      </w:tc>
    </w:tr>
  </w:tbl>
  <w:p w:rsidR="00164DA6" w:rsidRDefault="00164DA6">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164DA6">
      <w:trPr>
        <w:trHeight w:hRule="exact" w:val="740"/>
      </w:trPr>
      <w:tc>
        <w:tcPr>
          <w:tcW w:w="6663" w:type="dxa"/>
        </w:tcPr>
        <w:p w:rsidR="00164DA6" w:rsidRDefault="00164DA6">
          <w:pPr>
            <w:pStyle w:val="Footer"/>
          </w:pPr>
        </w:p>
      </w:tc>
      <w:tc>
        <w:tcPr>
          <w:tcW w:w="1615" w:type="dxa"/>
          <w:tcBorders>
            <w:top w:val="single" w:sz="6" w:space="0" w:color="auto"/>
          </w:tcBorders>
        </w:tcPr>
        <w:p w:rsidR="00164DA6" w:rsidRDefault="00164DA6">
          <w:pPr>
            <w:pStyle w:val="Footer"/>
            <w:rPr>
              <w:rStyle w:val="PageNumber"/>
              <w:b w:val="0"/>
            </w:rPr>
          </w:pPr>
          <w:fldSimple w:instr=" STYLEREF &quot;Heading 1&quot; \* MERGEFORMAT ">
            <w:r w:rsidR="00ED1087">
              <w:rPr>
                <w:noProof/>
              </w:rPr>
              <w:t>Abbreviations</w:t>
            </w:r>
          </w:fldSimple>
        </w:p>
      </w:tc>
      <w:tc>
        <w:tcPr>
          <w:tcW w:w="510" w:type="dxa"/>
          <w:tcBorders>
            <w:top w:val="single" w:sz="6" w:space="0" w:color="auto"/>
          </w:tcBorders>
        </w:tcPr>
        <w:p w:rsidR="00164DA6" w:rsidRPr="00E15FDC" w:rsidRDefault="00164DA6">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ED1087">
            <w:rPr>
              <w:rStyle w:val="PageNumber"/>
              <w:caps w:val="0"/>
              <w:noProof/>
            </w:rPr>
            <w:t>xi</w:t>
          </w:r>
          <w:r w:rsidRPr="00E15FDC">
            <w:rPr>
              <w:rStyle w:val="PageNumber"/>
              <w:caps w:val="0"/>
              <w:noProof/>
            </w:rPr>
            <w:fldChar w:fldCharType="end"/>
          </w:r>
        </w:p>
      </w:tc>
    </w:tr>
  </w:tbl>
  <w:p w:rsidR="00164DA6" w:rsidRDefault="00164DA6"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64DA6">
      <w:trPr>
        <w:trHeight w:hRule="exact" w:val="740"/>
      </w:trPr>
      <w:tc>
        <w:tcPr>
          <w:tcW w:w="510" w:type="dxa"/>
          <w:tcBorders>
            <w:top w:val="single" w:sz="6" w:space="0" w:color="auto"/>
          </w:tcBorders>
        </w:tcPr>
        <w:p w:rsidR="00164DA6" w:rsidRPr="00FB245A" w:rsidRDefault="00164DA6">
          <w:pPr>
            <w:pStyle w:val="Footer"/>
            <w:tabs>
              <w:tab w:val="left" w:pos="0"/>
            </w:tabs>
            <w:ind w:right="0"/>
            <w:rPr>
              <w:rStyle w:val="PageNumber"/>
              <w:caps w:val="0"/>
            </w:rPr>
          </w:pPr>
          <w:r w:rsidRPr="00FB245A">
            <w:rPr>
              <w:rStyle w:val="PageNumber"/>
              <w:caps w:val="0"/>
            </w:rPr>
            <w:fldChar w:fldCharType="begin"/>
          </w:r>
          <w:r w:rsidRPr="00FB245A">
            <w:rPr>
              <w:rStyle w:val="PageNumber"/>
              <w:caps w:val="0"/>
            </w:rPr>
            <w:instrText xml:space="preserve">PAGE  </w:instrText>
          </w:r>
          <w:r w:rsidRPr="00FB245A">
            <w:rPr>
              <w:rStyle w:val="PageNumber"/>
              <w:caps w:val="0"/>
            </w:rPr>
            <w:fldChar w:fldCharType="separate"/>
          </w:r>
          <w:r w:rsidR="00F21B2E">
            <w:rPr>
              <w:rStyle w:val="PageNumber"/>
              <w:caps w:val="0"/>
              <w:noProof/>
            </w:rPr>
            <w:t>iv</w:t>
          </w:r>
          <w:r w:rsidRPr="00FB245A">
            <w:rPr>
              <w:rStyle w:val="PageNumber"/>
              <w:caps w:val="0"/>
            </w:rPr>
            <w:fldChar w:fldCharType="end"/>
          </w:r>
        </w:p>
      </w:tc>
      <w:tc>
        <w:tcPr>
          <w:tcW w:w="1644" w:type="dxa"/>
          <w:tcBorders>
            <w:top w:val="single" w:sz="6" w:space="0" w:color="auto"/>
          </w:tcBorders>
        </w:tcPr>
        <w:p w:rsidR="00164DA6" w:rsidRPr="00DC1829" w:rsidRDefault="00ED1087">
          <w:pPr>
            <w:pStyle w:val="Footer"/>
          </w:pPr>
          <w:r>
            <w:fldChar w:fldCharType="begin"/>
          </w:r>
          <w:r>
            <w:instrText xml:space="preserve"> STYLEREF "Heading 1" \* MERGEFORMAT </w:instrText>
          </w:r>
          <w:r>
            <w:fldChar w:fldCharType="separate"/>
          </w:r>
          <w:r w:rsidR="00F21B2E" w:rsidRPr="00F21B2E">
            <w:rPr>
              <w:bCs/>
              <w:noProof/>
            </w:rPr>
            <w:t>Foreword</w:t>
          </w:r>
          <w:r>
            <w:rPr>
              <w:bCs/>
              <w:noProof/>
            </w:rPr>
            <w:fldChar w:fldCharType="end"/>
          </w:r>
        </w:p>
      </w:tc>
      <w:tc>
        <w:tcPr>
          <w:tcW w:w="6634" w:type="dxa"/>
        </w:tcPr>
        <w:p w:rsidR="00164DA6" w:rsidRDefault="00164DA6">
          <w:pPr>
            <w:pStyle w:val="Footer"/>
          </w:pPr>
        </w:p>
      </w:tc>
    </w:tr>
  </w:tbl>
  <w:p w:rsidR="00164DA6" w:rsidRDefault="00164DA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164DA6">
      <w:trPr>
        <w:trHeight w:hRule="exact" w:val="740"/>
      </w:trPr>
      <w:tc>
        <w:tcPr>
          <w:tcW w:w="6480" w:type="dxa"/>
        </w:tcPr>
        <w:p w:rsidR="00164DA6" w:rsidRDefault="00164DA6">
          <w:pPr>
            <w:pStyle w:val="Footer"/>
          </w:pPr>
        </w:p>
      </w:tc>
      <w:tc>
        <w:tcPr>
          <w:tcW w:w="1798" w:type="dxa"/>
          <w:tcBorders>
            <w:top w:val="single" w:sz="6" w:space="0" w:color="auto"/>
          </w:tcBorders>
        </w:tcPr>
        <w:p w:rsidR="00164DA6" w:rsidRPr="007C4800" w:rsidRDefault="00ED1087">
          <w:pPr>
            <w:pStyle w:val="Footer"/>
            <w:rPr>
              <w:rStyle w:val="PageNumber"/>
            </w:rPr>
          </w:pPr>
          <w:r>
            <w:fldChar w:fldCharType="begin"/>
          </w:r>
          <w:r>
            <w:instrText xml:space="preserve"> STYLEREF "Heading 1" \* MERGEFORMAT </w:instrText>
          </w:r>
          <w:r>
            <w:fldChar w:fldCharType="separate"/>
          </w:r>
          <w:r w:rsidRPr="00ED1087">
            <w:rPr>
              <w:bCs/>
              <w:noProof/>
            </w:rPr>
            <w:t>Foreword</w:t>
          </w:r>
          <w:r>
            <w:rPr>
              <w:bCs/>
              <w:noProof/>
            </w:rPr>
            <w:fldChar w:fldCharType="end"/>
          </w:r>
        </w:p>
      </w:tc>
      <w:tc>
        <w:tcPr>
          <w:tcW w:w="510" w:type="dxa"/>
          <w:tcBorders>
            <w:top w:val="single" w:sz="6" w:space="0" w:color="auto"/>
          </w:tcBorders>
        </w:tcPr>
        <w:p w:rsidR="00164DA6" w:rsidRPr="00AF1009" w:rsidRDefault="00164DA6" w:rsidP="009423D0">
          <w:pPr>
            <w:pStyle w:val="PartTitle"/>
            <w:spacing w:before="80" w:after="0" w:line="200" w:lineRule="exact"/>
            <w:ind w:right="6"/>
            <w:rPr>
              <w:rStyle w:val="PageNumber"/>
              <w:smallCaps w:val="0"/>
            </w:rPr>
          </w:pPr>
          <w:r w:rsidRPr="00AF1009">
            <w:rPr>
              <w:rStyle w:val="PageNumber"/>
              <w:smallCaps w:val="0"/>
            </w:rPr>
            <w:fldChar w:fldCharType="begin"/>
          </w:r>
          <w:r w:rsidRPr="00AF1009">
            <w:rPr>
              <w:rStyle w:val="PageNumber"/>
              <w:smallCaps w:val="0"/>
            </w:rPr>
            <w:instrText xml:space="preserve">PAGE  </w:instrText>
          </w:r>
          <w:r w:rsidRPr="00AF1009">
            <w:rPr>
              <w:rStyle w:val="PageNumber"/>
              <w:smallCaps w:val="0"/>
            </w:rPr>
            <w:fldChar w:fldCharType="separate"/>
          </w:r>
          <w:r w:rsidR="00ED1087">
            <w:rPr>
              <w:rStyle w:val="PageNumber"/>
              <w:smallCaps w:val="0"/>
              <w:noProof/>
            </w:rPr>
            <w:t>iii</w:t>
          </w:r>
          <w:r w:rsidRPr="00AF1009">
            <w:rPr>
              <w:rStyle w:val="PageNumber"/>
              <w:smallCaps w:val="0"/>
            </w:rPr>
            <w:fldChar w:fldCharType="end"/>
          </w:r>
        </w:p>
      </w:tc>
    </w:tr>
  </w:tbl>
  <w:p w:rsidR="00164DA6" w:rsidRDefault="00164DA6">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64DA6">
      <w:trPr>
        <w:trHeight w:hRule="exact" w:val="740"/>
      </w:trPr>
      <w:tc>
        <w:tcPr>
          <w:tcW w:w="510" w:type="dxa"/>
          <w:tcBorders>
            <w:top w:val="single" w:sz="6" w:space="0" w:color="auto"/>
          </w:tcBorders>
        </w:tcPr>
        <w:p w:rsidR="00164DA6" w:rsidRPr="00097845" w:rsidRDefault="00164DA6">
          <w:pPr>
            <w:pStyle w:val="Footer"/>
            <w:tabs>
              <w:tab w:val="left" w:pos="0"/>
            </w:tabs>
            <w:ind w:right="0"/>
            <w:rPr>
              <w:rStyle w:val="PageNumber"/>
              <w:b w:val="0"/>
              <w:caps w:val="0"/>
            </w:rPr>
          </w:pPr>
          <w:r w:rsidRPr="00097845">
            <w:rPr>
              <w:rStyle w:val="PageNumber"/>
              <w:b w:val="0"/>
              <w:caps w:val="0"/>
            </w:rPr>
            <w:fldChar w:fldCharType="begin"/>
          </w:r>
          <w:r w:rsidRPr="00097845">
            <w:rPr>
              <w:rStyle w:val="PageNumber"/>
              <w:caps w:val="0"/>
            </w:rPr>
            <w:instrText xml:space="preserve">PAGE  </w:instrText>
          </w:r>
          <w:r w:rsidRPr="00097845">
            <w:rPr>
              <w:rStyle w:val="PageNumber"/>
              <w:b w:val="0"/>
              <w:caps w:val="0"/>
            </w:rPr>
            <w:fldChar w:fldCharType="separate"/>
          </w:r>
          <w:r w:rsidR="00ED1087">
            <w:rPr>
              <w:rStyle w:val="PageNumber"/>
              <w:caps w:val="0"/>
              <w:noProof/>
            </w:rPr>
            <w:t>vi</w:t>
          </w:r>
          <w:r w:rsidRPr="00097845">
            <w:rPr>
              <w:rStyle w:val="PageNumber"/>
              <w:b w:val="0"/>
              <w:caps w:val="0"/>
            </w:rPr>
            <w:fldChar w:fldCharType="end"/>
          </w:r>
        </w:p>
      </w:tc>
      <w:tc>
        <w:tcPr>
          <w:tcW w:w="1644" w:type="dxa"/>
          <w:tcBorders>
            <w:top w:val="single" w:sz="6" w:space="0" w:color="auto"/>
          </w:tcBorders>
        </w:tcPr>
        <w:p w:rsidR="00164DA6" w:rsidRPr="00A55177" w:rsidRDefault="00ED1087">
          <w:pPr>
            <w:pStyle w:val="Footer"/>
          </w:pPr>
          <w:r>
            <w:fldChar w:fldCharType="begin"/>
          </w:r>
          <w:r>
            <w:instrText xml:space="preserve"> STYLEREF "Heading 2 Not TOC" \* MERGEFORMAT </w:instrText>
          </w:r>
          <w:r>
            <w:fldChar w:fldCharType="separate"/>
          </w:r>
          <w:r w:rsidRPr="00ED1087">
            <w:rPr>
              <w:bCs/>
              <w:noProof/>
              <w:lang w:val="en-US"/>
            </w:rPr>
            <w:t>Terms of reference</w:t>
          </w:r>
          <w:r>
            <w:rPr>
              <w:bCs/>
              <w:noProof/>
              <w:lang w:val="en-US"/>
            </w:rPr>
            <w:fldChar w:fldCharType="end"/>
          </w:r>
        </w:p>
      </w:tc>
      <w:tc>
        <w:tcPr>
          <w:tcW w:w="6634" w:type="dxa"/>
        </w:tcPr>
        <w:p w:rsidR="00164DA6" w:rsidRDefault="00164DA6">
          <w:pPr>
            <w:pStyle w:val="Footer"/>
          </w:pPr>
        </w:p>
      </w:tc>
    </w:tr>
  </w:tbl>
  <w:p w:rsidR="00164DA6" w:rsidRDefault="00164DA6">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644"/>
      <w:gridCol w:w="510"/>
    </w:tblGrid>
    <w:tr w:rsidR="00164DA6" w:rsidTr="009423D0">
      <w:trPr>
        <w:trHeight w:hRule="exact" w:val="740"/>
      </w:trPr>
      <w:tc>
        <w:tcPr>
          <w:tcW w:w="6480" w:type="dxa"/>
        </w:tcPr>
        <w:p w:rsidR="00164DA6" w:rsidRDefault="00164DA6">
          <w:pPr>
            <w:pStyle w:val="Footer"/>
          </w:pPr>
        </w:p>
      </w:tc>
      <w:tc>
        <w:tcPr>
          <w:tcW w:w="1644" w:type="dxa"/>
          <w:tcBorders>
            <w:top w:val="single" w:sz="6" w:space="0" w:color="auto"/>
          </w:tcBorders>
        </w:tcPr>
        <w:p w:rsidR="00164DA6" w:rsidRPr="002D7C67" w:rsidRDefault="00ED1087">
          <w:pPr>
            <w:pStyle w:val="Footer"/>
            <w:rPr>
              <w:rStyle w:val="PageNumber"/>
            </w:rPr>
          </w:pPr>
          <w:r>
            <w:fldChar w:fldCharType="begin"/>
          </w:r>
          <w:r>
            <w:instrText xml:space="preserve"> STYLEREF "Heading 2 Not TOC" \* MERGEFORMAT </w:instrText>
          </w:r>
          <w:r>
            <w:fldChar w:fldCharType="separate"/>
          </w:r>
          <w:r w:rsidRPr="00ED1087">
            <w:rPr>
              <w:bCs/>
              <w:noProof/>
            </w:rPr>
            <w:t>Terms of reference</w:t>
          </w:r>
          <w:r>
            <w:rPr>
              <w:bCs/>
              <w:noProof/>
            </w:rPr>
            <w:fldChar w:fldCharType="end"/>
          </w:r>
        </w:p>
      </w:tc>
      <w:tc>
        <w:tcPr>
          <w:tcW w:w="510" w:type="dxa"/>
          <w:tcBorders>
            <w:top w:val="single" w:sz="6" w:space="0" w:color="auto"/>
          </w:tcBorders>
        </w:tcPr>
        <w:p w:rsidR="00164DA6" w:rsidRPr="009A6D09" w:rsidRDefault="00164DA6" w:rsidP="009423D0">
          <w:pPr>
            <w:pStyle w:val="PartTitle"/>
            <w:spacing w:before="80" w:after="0" w:line="200" w:lineRule="exact"/>
            <w:ind w:right="6"/>
            <w:rPr>
              <w:rStyle w:val="PageNumber"/>
              <w:smallCaps w:val="0"/>
              <w:noProof/>
            </w:rPr>
          </w:pPr>
          <w:r w:rsidRPr="009A6D09">
            <w:rPr>
              <w:rStyle w:val="PageNumber"/>
              <w:smallCaps w:val="0"/>
              <w:noProof/>
            </w:rPr>
            <w:fldChar w:fldCharType="begin"/>
          </w:r>
          <w:r w:rsidRPr="009A6D09">
            <w:rPr>
              <w:rStyle w:val="PageNumber"/>
              <w:smallCaps w:val="0"/>
              <w:noProof/>
            </w:rPr>
            <w:instrText xml:space="preserve">PAGE  </w:instrText>
          </w:r>
          <w:r w:rsidRPr="009A6D09">
            <w:rPr>
              <w:rStyle w:val="PageNumber"/>
              <w:smallCaps w:val="0"/>
              <w:noProof/>
            </w:rPr>
            <w:fldChar w:fldCharType="separate"/>
          </w:r>
          <w:r w:rsidR="00ED1087">
            <w:rPr>
              <w:rStyle w:val="PageNumber"/>
              <w:smallCaps w:val="0"/>
              <w:noProof/>
            </w:rPr>
            <w:t>v</w:t>
          </w:r>
          <w:r w:rsidRPr="009A6D09">
            <w:rPr>
              <w:rStyle w:val="PageNumber"/>
              <w:smallCaps w:val="0"/>
              <w:noProof/>
            </w:rPr>
            <w:fldChar w:fldCharType="end"/>
          </w:r>
        </w:p>
      </w:tc>
    </w:tr>
  </w:tbl>
  <w:p w:rsidR="00164DA6" w:rsidRDefault="00164DA6">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64DA6">
      <w:trPr>
        <w:trHeight w:hRule="exact" w:val="740"/>
      </w:trPr>
      <w:tc>
        <w:tcPr>
          <w:tcW w:w="510" w:type="dxa"/>
          <w:tcBorders>
            <w:top w:val="single" w:sz="6" w:space="0" w:color="auto"/>
          </w:tcBorders>
        </w:tcPr>
        <w:p w:rsidR="00164DA6" w:rsidRPr="008206EE" w:rsidRDefault="00164DA6">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ED1087">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164DA6" w:rsidRDefault="00ED1087">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164DA6" w:rsidRDefault="00164DA6">
          <w:pPr>
            <w:pStyle w:val="Footer"/>
            <w:rPr>
              <w:caps w:val="0"/>
            </w:rPr>
          </w:pPr>
        </w:p>
      </w:tc>
    </w:tr>
  </w:tbl>
  <w:p w:rsidR="00164DA6" w:rsidRDefault="00164DA6">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64DA6" w:rsidTr="008F7DB7">
      <w:trPr>
        <w:trHeight w:hRule="exact" w:val="740"/>
      </w:trPr>
      <w:tc>
        <w:tcPr>
          <w:tcW w:w="6634" w:type="dxa"/>
        </w:tcPr>
        <w:p w:rsidR="00164DA6" w:rsidRDefault="00164DA6">
          <w:pPr>
            <w:pStyle w:val="Footer"/>
          </w:pPr>
        </w:p>
      </w:tc>
      <w:tc>
        <w:tcPr>
          <w:tcW w:w="1644" w:type="dxa"/>
          <w:tcBorders>
            <w:top w:val="single" w:sz="6" w:space="0" w:color="auto"/>
          </w:tcBorders>
        </w:tcPr>
        <w:p w:rsidR="00164DA6" w:rsidRPr="008F7DB7" w:rsidRDefault="00164DA6">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ED1087">
            <w:rPr>
              <w:noProof/>
            </w:rPr>
            <w:t>Contents</w:t>
          </w:r>
          <w:r w:rsidRPr="008F7DB7">
            <w:rPr>
              <w:noProof/>
            </w:rPr>
            <w:fldChar w:fldCharType="end"/>
          </w:r>
        </w:p>
      </w:tc>
      <w:tc>
        <w:tcPr>
          <w:tcW w:w="510" w:type="dxa"/>
          <w:tcBorders>
            <w:top w:val="single" w:sz="6" w:space="0" w:color="auto"/>
          </w:tcBorders>
        </w:tcPr>
        <w:p w:rsidR="00164DA6" w:rsidRPr="00C55A45" w:rsidRDefault="00164DA6">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ED1087">
            <w:rPr>
              <w:rStyle w:val="PageNumber"/>
              <w:caps w:val="0"/>
              <w:noProof/>
            </w:rPr>
            <w:t>vii</w:t>
          </w:r>
          <w:r w:rsidRPr="00C55A45">
            <w:rPr>
              <w:rStyle w:val="PageNumber"/>
              <w:caps w:val="0"/>
              <w:noProof/>
            </w:rPr>
            <w:fldChar w:fldCharType="end"/>
          </w:r>
        </w:p>
      </w:tc>
    </w:tr>
  </w:tbl>
  <w:p w:rsidR="00164DA6" w:rsidRDefault="00164DA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DA6" w:rsidRDefault="00164DA6">
      <w:r>
        <w:separator/>
      </w:r>
    </w:p>
    <w:p w:rsidR="00164DA6" w:rsidRDefault="00164DA6"/>
    <w:p w:rsidR="00164DA6" w:rsidRDefault="00164DA6"/>
  </w:footnote>
  <w:footnote w:type="continuationSeparator" w:id="0">
    <w:p w:rsidR="00164DA6" w:rsidRDefault="00164DA6">
      <w:r>
        <w:continuationSeparator/>
      </w:r>
    </w:p>
    <w:p w:rsidR="00164DA6" w:rsidRDefault="00164DA6"/>
    <w:p w:rsidR="00164DA6" w:rsidRDefault="00164D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64DA6" w:rsidTr="005C68FE">
      <w:tc>
        <w:tcPr>
          <w:tcW w:w="2155" w:type="dxa"/>
          <w:tcBorders>
            <w:top w:val="single" w:sz="24" w:space="0" w:color="auto"/>
          </w:tcBorders>
        </w:tcPr>
        <w:p w:rsidR="00164DA6" w:rsidRDefault="00164DA6" w:rsidP="005C68FE">
          <w:pPr>
            <w:pStyle w:val="HeaderEven"/>
          </w:pPr>
        </w:p>
      </w:tc>
      <w:tc>
        <w:tcPr>
          <w:tcW w:w="6634" w:type="dxa"/>
          <w:tcBorders>
            <w:top w:val="single" w:sz="6" w:space="0" w:color="auto"/>
          </w:tcBorders>
        </w:tcPr>
        <w:p w:rsidR="00164DA6" w:rsidRDefault="00164DA6" w:rsidP="005C68FE">
          <w:pPr>
            <w:pStyle w:val="HeaderEven"/>
          </w:pPr>
        </w:p>
      </w:tc>
    </w:tr>
  </w:tbl>
  <w:p w:rsidR="00164DA6" w:rsidRDefault="00164DA6"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64DA6">
      <w:tc>
        <w:tcPr>
          <w:tcW w:w="6634" w:type="dxa"/>
          <w:tcBorders>
            <w:top w:val="single" w:sz="6" w:space="0" w:color="auto"/>
          </w:tcBorders>
        </w:tcPr>
        <w:p w:rsidR="00164DA6" w:rsidRDefault="00164DA6">
          <w:pPr>
            <w:pStyle w:val="HeaderOdd"/>
          </w:pPr>
        </w:p>
      </w:tc>
      <w:tc>
        <w:tcPr>
          <w:tcW w:w="2155" w:type="dxa"/>
          <w:tcBorders>
            <w:top w:val="single" w:sz="24" w:space="0" w:color="auto"/>
          </w:tcBorders>
        </w:tcPr>
        <w:p w:rsidR="00164DA6" w:rsidRDefault="00164DA6">
          <w:pPr>
            <w:pStyle w:val="HeaderOdd"/>
          </w:pPr>
        </w:p>
      </w:tc>
    </w:tr>
  </w:tbl>
  <w:p w:rsidR="00164DA6" w:rsidRDefault="00164DA6"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87" w:rsidRDefault="00ED108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64DA6">
      <w:tc>
        <w:tcPr>
          <w:tcW w:w="2155" w:type="dxa"/>
          <w:tcBorders>
            <w:top w:val="single" w:sz="24" w:space="0" w:color="auto"/>
          </w:tcBorders>
        </w:tcPr>
        <w:p w:rsidR="00164DA6" w:rsidRDefault="00164DA6">
          <w:pPr>
            <w:pStyle w:val="HeaderEven"/>
          </w:pPr>
        </w:p>
      </w:tc>
      <w:tc>
        <w:tcPr>
          <w:tcW w:w="6634" w:type="dxa"/>
          <w:tcBorders>
            <w:top w:val="single" w:sz="6" w:space="0" w:color="auto"/>
          </w:tcBorders>
        </w:tcPr>
        <w:p w:rsidR="00164DA6" w:rsidRDefault="00164DA6">
          <w:pPr>
            <w:pStyle w:val="HeaderEven"/>
          </w:pPr>
        </w:p>
      </w:tc>
    </w:tr>
  </w:tbl>
  <w:p w:rsidR="00164DA6" w:rsidRDefault="00164DA6">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64DA6">
      <w:tc>
        <w:tcPr>
          <w:tcW w:w="6634" w:type="dxa"/>
          <w:tcBorders>
            <w:top w:val="single" w:sz="6" w:space="0" w:color="auto"/>
          </w:tcBorders>
        </w:tcPr>
        <w:p w:rsidR="00164DA6" w:rsidRDefault="00164DA6">
          <w:pPr>
            <w:pStyle w:val="HeaderOdd"/>
          </w:pPr>
        </w:p>
      </w:tc>
      <w:tc>
        <w:tcPr>
          <w:tcW w:w="2155" w:type="dxa"/>
          <w:tcBorders>
            <w:top w:val="single" w:sz="24" w:space="0" w:color="auto"/>
          </w:tcBorders>
        </w:tcPr>
        <w:p w:rsidR="00164DA6" w:rsidRDefault="00164DA6">
          <w:pPr>
            <w:pStyle w:val="HeaderOdd"/>
          </w:pPr>
        </w:p>
      </w:tc>
    </w:tr>
  </w:tbl>
  <w:p w:rsidR="00164DA6" w:rsidRDefault="00164DA6">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64DA6">
      <w:tc>
        <w:tcPr>
          <w:tcW w:w="2155" w:type="dxa"/>
          <w:tcBorders>
            <w:top w:val="single" w:sz="24" w:space="0" w:color="auto"/>
          </w:tcBorders>
        </w:tcPr>
        <w:p w:rsidR="00164DA6" w:rsidRDefault="00164DA6">
          <w:pPr>
            <w:pStyle w:val="HeaderEven"/>
          </w:pPr>
        </w:p>
      </w:tc>
      <w:tc>
        <w:tcPr>
          <w:tcW w:w="6634" w:type="dxa"/>
          <w:tcBorders>
            <w:top w:val="single" w:sz="6" w:space="0" w:color="auto"/>
          </w:tcBorders>
        </w:tcPr>
        <w:p w:rsidR="00164DA6" w:rsidRDefault="00164DA6">
          <w:pPr>
            <w:pStyle w:val="HeaderEven"/>
          </w:pPr>
        </w:p>
      </w:tc>
    </w:tr>
  </w:tbl>
  <w:p w:rsidR="00164DA6" w:rsidRDefault="00164DA6">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64DA6">
      <w:tc>
        <w:tcPr>
          <w:tcW w:w="6634" w:type="dxa"/>
          <w:tcBorders>
            <w:top w:val="single" w:sz="6" w:space="0" w:color="auto"/>
          </w:tcBorders>
        </w:tcPr>
        <w:p w:rsidR="00164DA6" w:rsidRDefault="00164DA6">
          <w:pPr>
            <w:pStyle w:val="HeaderOdd"/>
          </w:pPr>
        </w:p>
      </w:tc>
      <w:tc>
        <w:tcPr>
          <w:tcW w:w="2155" w:type="dxa"/>
          <w:tcBorders>
            <w:top w:val="single" w:sz="24" w:space="0" w:color="auto"/>
          </w:tcBorders>
        </w:tcPr>
        <w:p w:rsidR="00164DA6" w:rsidRDefault="00164DA6">
          <w:pPr>
            <w:pStyle w:val="HeaderOdd"/>
          </w:pPr>
        </w:p>
      </w:tc>
    </w:tr>
  </w:tbl>
  <w:p w:rsidR="00164DA6" w:rsidRDefault="00164DA6">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64DA6">
      <w:tc>
        <w:tcPr>
          <w:tcW w:w="2155" w:type="dxa"/>
          <w:tcBorders>
            <w:top w:val="single" w:sz="24" w:space="0" w:color="auto"/>
          </w:tcBorders>
        </w:tcPr>
        <w:p w:rsidR="00164DA6" w:rsidRDefault="00164DA6">
          <w:pPr>
            <w:pStyle w:val="Header"/>
          </w:pPr>
        </w:p>
      </w:tc>
      <w:tc>
        <w:tcPr>
          <w:tcW w:w="6634" w:type="dxa"/>
          <w:tcBorders>
            <w:top w:val="single" w:sz="6" w:space="0" w:color="auto"/>
          </w:tcBorders>
        </w:tcPr>
        <w:p w:rsidR="00164DA6" w:rsidRDefault="00164DA6">
          <w:pPr>
            <w:pStyle w:val="Header"/>
          </w:pPr>
        </w:p>
      </w:tc>
    </w:tr>
  </w:tbl>
  <w:p w:rsidR="00164DA6" w:rsidRDefault="00164DA6">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64DA6" w:rsidTr="005C68FE">
      <w:tc>
        <w:tcPr>
          <w:tcW w:w="6634" w:type="dxa"/>
          <w:tcBorders>
            <w:top w:val="single" w:sz="6" w:space="0" w:color="auto"/>
          </w:tcBorders>
        </w:tcPr>
        <w:p w:rsidR="00164DA6" w:rsidRDefault="00164DA6" w:rsidP="005C68FE">
          <w:pPr>
            <w:pStyle w:val="HeaderOdd"/>
          </w:pPr>
        </w:p>
      </w:tc>
      <w:tc>
        <w:tcPr>
          <w:tcW w:w="2155" w:type="dxa"/>
          <w:tcBorders>
            <w:top w:val="single" w:sz="24" w:space="0" w:color="auto"/>
          </w:tcBorders>
        </w:tcPr>
        <w:p w:rsidR="00164DA6" w:rsidRDefault="00164DA6" w:rsidP="005C68FE">
          <w:pPr>
            <w:pStyle w:val="HeaderOdd"/>
          </w:pPr>
        </w:p>
      </w:tc>
    </w:tr>
  </w:tbl>
  <w:p w:rsidR="00164DA6" w:rsidRPr="005C68FE" w:rsidRDefault="00164DA6"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B6A2310"/>
    <w:multiLevelType w:val="hybridMultilevel"/>
    <w:tmpl w:val="9F04CF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0D9E0B0D"/>
    <w:multiLevelType w:val="hybridMultilevel"/>
    <w:tmpl w:val="3B7A08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5">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6">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7">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8">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9">
    <w:nsid w:val="6B740744"/>
    <w:multiLevelType w:val="singleLevel"/>
    <w:tmpl w:val="B4744B66"/>
    <w:lvl w:ilvl="0">
      <w:start w:val="1"/>
      <w:numFmt w:val="decimal"/>
      <w:lvlText w:val="%1."/>
      <w:legacy w:legacy="1" w:legacySpace="0" w:legacyIndent="340"/>
      <w:lvlJc w:val="left"/>
      <w:pPr>
        <w:ind w:left="340" w:hanging="340"/>
      </w:pPr>
    </w:lvl>
  </w:abstractNum>
  <w:abstractNum w:abstractNumId="20">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1">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9"/>
  </w:num>
  <w:num w:numId="13">
    <w:abstractNumId w:val="14"/>
  </w:num>
  <w:num w:numId="14">
    <w:abstractNumId w:val="8"/>
  </w:num>
  <w:num w:numId="15">
    <w:abstractNumId w:val="20"/>
  </w:num>
  <w:num w:numId="16">
    <w:abstractNumId w:val="15"/>
  </w:num>
  <w:num w:numId="17">
    <w:abstractNumId w:val="7"/>
  </w:num>
  <w:num w:numId="18">
    <w:abstractNumId w:val="18"/>
  </w:num>
  <w:num w:numId="19">
    <w:abstractNumId w:val="17"/>
  </w:num>
  <w:num w:numId="20">
    <w:abstractNumId w:val="21"/>
  </w:num>
  <w:num w:numId="21">
    <w:abstractNumId w:val="13"/>
  </w:num>
  <w:num w:numId="22">
    <w:abstractNumId w:val="11"/>
  </w:num>
  <w:num w:numId="23">
    <w:abstractNumId w:val="16"/>
  </w:num>
  <w:num w:numId="24">
    <w:abstractNumId w:val="12"/>
  </w:num>
  <w:num w:numId="25">
    <w:abstractNumId w:val="9"/>
  </w:num>
  <w:num w:numId="26">
    <w:abstractNumId w:val="10"/>
  </w:num>
  <w:num w:numId="27">
    <w:abstractNumId w:val="15"/>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E6B"/>
    <w:rsid w:val="00017AFC"/>
    <w:rsid w:val="00025878"/>
    <w:rsid w:val="00026B38"/>
    <w:rsid w:val="000502D3"/>
    <w:rsid w:val="000623BF"/>
    <w:rsid w:val="000754C7"/>
    <w:rsid w:val="00095EEA"/>
    <w:rsid w:val="00097C15"/>
    <w:rsid w:val="000A2E66"/>
    <w:rsid w:val="000B3D0B"/>
    <w:rsid w:val="000F185F"/>
    <w:rsid w:val="00106041"/>
    <w:rsid w:val="0013399B"/>
    <w:rsid w:val="0016031E"/>
    <w:rsid w:val="00164DA6"/>
    <w:rsid w:val="00181F4B"/>
    <w:rsid w:val="001961AA"/>
    <w:rsid w:val="00196FB3"/>
    <w:rsid w:val="001A5071"/>
    <w:rsid w:val="001B4E73"/>
    <w:rsid w:val="001B7F1E"/>
    <w:rsid w:val="001C79EA"/>
    <w:rsid w:val="001D4B1F"/>
    <w:rsid w:val="001D628A"/>
    <w:rsid w:val="001D6629"/>
    <w:rsid w:val="001F2270"/>
    <w:rsid w:val="00205A82"/>
    <w:rsid w:val="00211BEE"/>
    <w:rsid w:val="002179C6"/>
    <w:rsid w:val="00245DD1"/>
    <w:rsid w:val="00261607"/>
    <w:rsid w:val="00264D3B"/>
    <w:rsid w:val="00265685"/>
    <w:rsid w:val="00281D5F"/>
    <w:rsid w:val="002923AD"/>
    <w:rsid w:val="00296592"/>
    <w:rsid w:val="002A0A4B"/>
    <w:rsid w:val="002B636E"/>
    <w:rsid w:val="002B64D6"/>
    <w:rsid w:val="002D6FCE"/>
    <w:rsid w:val="002E232F"/>
    <w:rsid w:val="00303FA0"/>
    <w:rsid w:val="0032194F"/>
    <w:rsid w:val="00336CD0"/>
    <w:rsid w:val="003A5590"/>
    <w:rsid w:val="003B41E0"/>
    <w:rsid w:val="003D624D"/>
    <w:rsid w:val="003E7802"/>
    <w:rsid w:val="003F63B8"/>
    <w:rsid w:val="00407CF6"/>
    <w:rsid w:val="00433C81"/>
    <w:rsid w:val="00446D6B"/>
    <w:rsid w:val="00457B3F"/>
    <w:rsid w:val="004615B4"/>
    <w:rsid w:val="00463022"/>
    <w:rsid w:val="00473A04"/>
    <w:rsid w:val="00481CF0"/>
    <w:rsid w:val="004862F9"/>
    <w:rsid w:val="004B492A"/>
    <w:rsid w:val="004B501E"/>
    <w:rsid w:val="004C0B0C"/>
    <w:rsid w:val="004E52E2"/>
    <w:rsid w:val="004E6BB4"/>
    <w:rsid w:val="0051169D"/>
    <w:rsid w:val="00515D43"/>
    <w:rsid w:val="0052544D"/>
    <w:rsid w:val="00541A27"/>
    <w:rsid w:val="00545B1E"/>
    <w:rsid w:val="00551FB8"/>
    <w:rsid w:val="00560F43"/>
    <w:rsid w:val="00583622"/>
    <w:rsid w:val="005B17AB"/>
    <w:rsid w:val="005C00A7"/>
    <w:rsid w:val="005C68FE"/>
    <w:rsid w:val="005E0613"/>
    <w:rsid w:val="005F3B89"/>
    <w:rsid w:val="00602523"/>
    <w:rsid w:val="00607D8A"/>
    <w:rsid w:val="0061590F"/>
    <w:rsid w:val="00636497"/>
    <w:rsid w:val="00640756"/>
    <w:rsid w:val="00641AE2"/>
    <w:rsid w:val="0064456A"/>
    <w:rsid w:val="00650DDA"/>
    <w:rsid w:val="0065126A"/>
    <w:rsid w:val="00665F0D"/>
    <w:rsid w:val="00674F5E"/>
    <w:rsid w:val="006802D4"/>
    <w:rsid w:val="00683849"/>
    <w:rsid w:val="00691AB5"/>
    <w:rsid w:val="006970AC"/>
    <w:rsid w:val="006A302B"/>
    <w:rsid w:val="006A755A"/>
    <w:rsid w:val="006E1E6B"/>
    <w:rsid w:val="006F0EAC"/>
    <w:rsid w:val="006F6A85"/>
    <w:rsid w:val="0070328D"/>
    <w:rsid w:val="00710934"/>
    <w:rsid w:val="00731F96"/>
    <w:rsid w:val="00734127"/>
    <w:rsid w:val="00735FEA"/>
    <w:rsid w:val="00743460"/>
    <w:rsid w:val="00753DC6"/>
    <w:rsid w:val="0075578C"/>
    <w:rsid w:val="00770240"/>
    <w:rsid w:val="007734B5"/>
    <w:rsid w:val="007809B8"/>
    <w:rsid w:val="00792F72"/>
    <w:rsid w:val="007B2528"/>
    <w:rsid w:val="007F1618"/>
    <w:rsid w:val="008206EE"/>
    <w:rsid w:val="008214B1"/>
    <w:rsid w:val="00836ED7"/>
    <w:rsid w:val="008453AC"/>
    <w:rsid w:val="00856BAA"/>
    <w:rsid w:val="00860D09"/>
    <w:rsid w:val="00862044"/>
    <w:rsid w:val="008A697A"/>
    <w:rsid w:val="008B2373"/>
    <w:rsid w:val="008C305F"/>
    <w:rsid w:val="008C3AD2"/>
    <w:rsid w:val="008C7C3D"/>
    <w:rsid w:val="008D6F66"/>
    <w:rsid w:val="008E1BEA"/>
    <w:rsid w:val="008E43D2"/>
    <w:rsid w:val="008F04C9"/>
    <w:rsid w:val="008F7DB7"/>
    <w:rsid w:val="009064D3"/>
    <w:rsid w:val="00915300"/>
    <w:rsid w:val="00933B0C"/>
    <w:rsid w:val="00935676"/>
    <w:rsid w:val="009423D0"/>
    <w:rsid w:val="00973F82"/>
    <w:rsid w:val="0098401D"/>
    <w:rsid w:val="00985D28"/>
    <w:rsid w:val="009A789F"/>
    <w:rsid w:val="009B12EF"/>
    <w:rsid w:val="009B6185"/>
    <w:rsid w:val="009D1DE7"/>
    <w:rsid w:val="009E1CC6"/>
    <w:rsid w:val="009E1E78"/>
    <w:rsid w:val="00A10F7B"/>
    <w:rsid w:val="00A1597D"/>
    <w:rsid w:val="00A46989"/>
    <w:rsid w:val="00A71CE9"/>
    <w:rsid w:val="00A72A19"/>
    <w:rsid w:val="00A75A30"/>
    <w:rsid w:val="00A92EF8"/>
    <w:rsid w:val="00AA389E"/>
    <w:rsid w:val="00AB2A48"/>
    <w:rsid w:val="00AC3236"/>
    <w:rsid w:val="00AD4874"/>
    <w:rsid w:val="00AD5E6B"/>
    <w:rsid w:val="00AE1F8A"/>
    <w:rsid w:val="00B036B2"/>
    <w:rsid w:val="00B153C3"/>
    <w:rsid w:val="00B22087"/>
    <w:rsid w:val="00B41E6B"/>
    <w:rsid w:val="00B722F2"/>
    <w:rsid w:val="00B95339"/>
    <w:rsid w:val="00BB334E"/>
    <w:rsid w:val="00BB5DCF"/>
    <w:rsid w:val="00BF59EA"/>
    <w:rsid w:val="00BF5AD7"/>
    <w:rsid w:val="00BF79CD"/>
    <w:rsid w:val="00C02E41"/>
    <w:rsid w:val="00C0721B"/>
    <w:rsid w:val="00C34C8C"/>
    <w:rsid w:val="00C50792"/>
    <w:rsid w:val="00C51CDC"/>
    <w:rsid w:val="00C55A45"/>
    <w:rsid w:val="00C904D9"/>
    <w:rsid w:val="00C94C06"/>
    <w:rsid w:val="00CA17A4"/>
    <w:rsid w:val="00CA3D4D"/>
    <w:rsid w:val="00CA48BF"/>
    <w:rsid w:val="00CB3ACC"/>
    <w:rsid w:val="00CB4745"/>
    <w:rsid w:val="00CB7E6A"/>
    <w:rsid w:val="00CC2BDD"/>
    <w:rsid w:val="00CD2163"/>
    <w:rsid w:val="00CD4FE7"/>
    <w:rsid w:val="00CD55C5"/>
    <w:rsid w:val="00CE5D96"/>
    <w:rsid w:val="00CE7344"/>
    <w:rsid w:val="00CF26EE"/>
    <w:rsid w:val="00CF6159"/>
    <w:rsid w:val="00D310F0"/>
    <w:rsid w:val="00D37D70"/>
    <w:rsid w:val="00D4283D"/>
    <w:rsid w:val="00D47AE1"/>
    <w:rsid w:val="00D500A9"/>
    <w:rsid w:val="00D5462C"/>
    <w:rsid w:val="00D602DF"/>
    <w:rsid w:val="00D64121"/>
    <w:rsid w:val="00D732FE"/>
    <w:rsid w:val="00D772E9"/>
    <w:rsid w:val="00DA31AB"/>
    <w:rsid w:val="00DA3281"/>
    <w:rsid w:val="00DA6D3E"/>
    <w:rsid w:val="00DC02E8"/>
    <w:rsid w:val="00DC68CE"/>
    <w:rsid w:val="00DC75C7"/>
    <w:rsid w:val="00DF354D"/>
    <w:rsid w:val="00DF4592"/>
    <w:rsid w:val="00E15FDC"/>
    <w:rsid w:val="00E2651B"/>
    <w:rsid w:val="00E47B75"/>
    <w:rsid w:val="00E6632E"/>
    <w:rsid w:val="00E90CF2"/>
    <w:rsid w:val="00EA44A5"/>
    <w:rsid w:val="00ED1087"/>
    <w:rsid w:val="00EE73E1"/>
    <w:rsid w:val="00EF2C8D"/>
    <w:rsid w:val="00EF7E52"/>
    <w:rsid w:val="00F04FCD"/>
    <w:rsid w:val="00F12107"/>
    <w:rsid w:val="00F13165"/>
    <w:rsid w:val="00F21B2E"/>
    <w:rsid w:val="00F7477E"/>
    <w:rsid w:val="00F85393"/>
    <w:rsid w:val="00FB245A"/>
    <w:rsid w:val="00FC41B4"/>
    <w:rsid w:val="00FC5A6B"/>
    <w:rsid w:val="00FD4728"/>
    <w:rsid w:val="00FD5773"/>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table" w:styleId="TableGrid">
    <w:name w:val="Table Grid"/>
    <w:basedOn w:val="TableNormal"/>
    <w:rsid w:val="00B41E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B41E6B"/>
    <w:rPr>
      <w:caps/>
      <w:spacing w:val="-4"/>
      <w:sz w:val="16"/>
      <w:lang w:eastAsia="en-US"/>
    </w:rPr>
  </w:style>
  <w:style w:type="character" w:customStyle="1" w:styleId="Heading1Char">
    <w:name w:val="Heading 1 Char"/>
    <w:basedOn w:val="DefaultParagraphFont"/>
    <w:link w:val="Heading1"/>
    <w:rsid w:val="00B41E6B"/>
    <w:rPr>
      <w:kern w:val="28"/>
      <w:sz w:val="52"/>
      <w:lang w:eastAsia="en-US"/>
    </w:rPr>
  </w:style>
  <w:style w:type="character" w:styleId="Hyperlink">
    <w:name w:val="Hyperlink"/>
    <w:basedOn w:val="DefaultParagraphFont"/>
    <w:rsid w:val="00985D28"/>
    <w:rPr>
      <w:color w:val="0000FF" w:themeColor="hyperlink"/>
      <w:u w:val="single"/>
    </w:rPr>
  </w:style>
  <w:style w:type="paragraph" w:customStyle="1" w:styleId="in">
    <w:name w:val="in"/>
    <w:basedOn w:val="BodyText"/>
    <w:rsid w:val="000B3D0B"/>
    <w:pPr>
      <w:spacing w:before="120"/>
      <w:ind w:left="227" w:right="6"/>
    </w:pPr>
    <w:rPr>
      <w:rFonts w:ascii="Arial" w:hAnsi="Arial" w:cs="Arial"/>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table" w:styleId="TableGrid">
    <w:name w:val="Table Grid"/>
    <w:basedOn w:val="TableNormal"/>
    <w:rsid w:val="00B41E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B41E6B"/>
    <w:rPr>
      <w:caps/>
      <w:spacing w:val="-4"/>
      <w:sz w:val="16"/>
      <w:lang w:eastAsia="en-US"/>
    </w:rPr>
  </w:style>
  <w:style w:type="character" w:customStyle="1" w:styleId="Heading1Char">
    <w:name w:val="Heading 1 Char"/>
    <w:basedOn w:val="DefaultParagraphFont"/>
    <w:link w:val="Heading1"/>
    <w:rsid w:val="00B41E6B"/>
    <w:rPr>
      <w:kern w:val="28"/>
      <w:sz w:val="52"/>
      <w:lang w:eastAsia="en-US"/>
    </w:rPr>
  </w:style>
  <w:style w:type="character" w:styleId="Hyperlink">
    <w:name w:val="Hyperlink"/>
    <w:basedOn w:val="DefaultParagraphFont"/>
    <w:rsid w:val="00985D28"/>
    <w:rPr>
      <w:color w:val="0000FF" w:themeColor="hyperlink"/>
      <w:u w:val="single"/>
    </w:rPr>
  </w:style>
  <w:style w:type="paragraph" w:customStyle="1" w:styleId="in">
    <w:name w:val="in"/>
    <w:basedOn w:val="BodyText"/>
    <w:rsid w:val="000B3D0B"/>
    <w:pPr>
      <w:spacing w:before="120"/>
      <w:ind w:left="227" w:right="6"/>
    </w:pPr>
    <w:rPr>
      <w:rFonts w:ascii="Arial" w:hAnsi="Arial" w:cs="Arial"/>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356</TotalTime>
  <Pages>11</Pages>
  <Words>2051</Words>
  <Characters>12364</Characters>
  <Application>Microsoft Office Word</Application>
  <DocSecurity>0</DocSecurity>
  <Lines>301</Lines>
  <Paragraphs>228</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Louise Jordan</cp:lastModifiedBy>
  <cp:revision>60</cp:revision>
  <cp:lastPrinted>2012-08-23T03:07:00Z</cp:lastPrinted>
  <dcterms:created xsi:type="dcterms:W3CDTF">2012-07-31T23:18:00Z</dcterms:created>
  <dcterms:modified xsi:type="dcterms:W3CDTF">2012-11-29T04:32:00Z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-1338660053</vt:i4>
  </property>
  <property fmtid="{D5CDD505-2E9C-101B-9397-08002B2CF9AE}" pid="4" name="_EmailSubject">
    <vt:lpwstr>Web files - RIA - final research report [SEC=UNCLASSIFIED]</vt:lpwstr>
  </property>
  <property fmtid="{D5CDD505-2E9C-101B-9397-08002B2CF9AE}" pid="5" name="_AuthorEmail">
    <vt:lpwstr>Louise.Jordan@pc.gov.au</vt:lpwstr>
  </property>
  <property fmtid="{D5CDD505-2E9C-101B-9397-08002B2CF9AE}" pid="6" name="_AuthorEmailDisplayName">
    <vt:lpwstr>Jordan, Louise</vt:lpwstr>
  </property>
</Properties>
</file>