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D7DD7" w:rsidP="00EF6625">
      <w:pPr>
        <w:pStyle w:val="Heading1"/>
        <w:spacing w:before="0" w:after="960"/>
      </w:pPr>
      <w:bookmarkStart w:id="0" w:name="ChapterNumber"/>
      <w:r>
        <w:t>1</w:t>
      </w:r>
      <w:bookmarkEnd w:id="0"/>
      <w:r>
        <w:tab/>
      </w:r>
      <w:bookmarkStart w:id="1" w:name="ChapterTitle"/>
      <w:r>
        <w:t>Introduction</w:t>
      </w:r>
      <w:bookmarkEnd w:id="1"/>
    </w:p>
    <w:p w:rsidR="00A64AA5" w:rsidRDefault="008D7DD7" w:rsidP="00A64AA5">
      <w:pPr>
        <w:pStyle w:val="Heading2"/>
      </w:pPr>
      <w:bookmarkStart w:id="2" w:name="begin"/>
      <w:bookmarkEnd w:id="2"/>
      <w:r>
        <w:t>1.</w:t>
      </w:r>
      <w:r w:rsidR="0037184F">
        <w:rPr>
          <w:noProof/>
        </w:rPr>
        <w:t>1</w:t>
      </w:r>
      <w:r w:rsidR="00A64AA5">
        <w:tab/>
        <w:t>What is regulatory impact analysis?</w:t>
      </w:r>
    </w:p>
    <w:p w:rsidR="005002AF" w:rsidRDefault="007236BA" w:rsidP="00836D37">
      <w:pPr>
        <w:pStyle w:val="BodyText"/>
      </w:pPr>
      <w:r>
        <w:t>Regulatory impact analysis (</w:t>
      </w:r>
      <w:r w:rsidR="00A64AA5" w:rsidRPr="00484F52">
        <w:t>RIA</w:t>
      </w:r>
      <w:r>
        <w:t>)</w:t>
      </w:r>
      <w:r w:rsidR="00A64AA5" w:rsidRPr="00484F52">
        <w:t xml:space="preserve"> is designed to improve the quality of regulatory decisions by providing relevant information to decision makers and stakeholders about the expected consequences of differ</w:t>
      </w:r>
      <w:r w:rsidR="00A64AA5">
        <w:t>ent policy options.</w:t>
      </w:r>
      <w:r w:rsidR="00A64AA5">
        <w:rPr>
          <w:rStyle w:val="FootnoteReference"/>
        </w:rPr>
        <w:footnoteReference w:id="1"/>
      </w:r>
      <w:r w:rsidR="002E6D7E">
        <w:t xml:space="preserve"> </w:t>
      </w:r>
      <w:r w:rsidR="006F0C63">
        <w:t xml:space="preserve">As such, RIA introduces a consistent, systematic and evidence–based framework to the policy development process. </w:t>
      </w:r>
      <w:r w:rsidR="005002AF">
        <w:t>Throughout the report, t</w:t>
      </w:r>
      <w:r w:rsidR="005002AF" w:rsidRPr="000F09AA">
        <w:t xml:space="preserve">he Commission will use the term RIA when referring to the </w:t>
      </w:r>
      <w:r w:rsidR="005002AF" w:rsidRPr="00416F2E">
        <w:rPr>
          <w:i/>
        </w:rPr>
        <w:t>process</w:t>
      </w:r>
      <w:r w:rsidR="005002AF" w:rsidRPr="000F09AA">
        <w:t xml:space="preserve"> and </w:t>
      </w:r>
      <w:r w:rsidR="005002AF">
        <w:t>regulation impact statement (</w:t>
      </w:r>
      <w:r w:rsidR="005002AF" w:rsidRPr="000F09AA">
        <w:t>RIS</w:t>
      </w:r>
      <w:r w:rsidR="005002AF">
        <w:t>)</w:t>
      </w:r>
      <w:r w:rsidR="005002AF" w:rsidRPr="000F09AA">
        <w:t xml:space="preserve"> when referring to the resulting </w:t>
      </w:r>
      <w:r w:rsidR="005002AF" w:rsidRPr="008333FE">
        <w:rPr>
          <w:i/>
        </w:rPr>
        <w:t>document</w:t>
      </w:r>
      <w:r w:rsidR="005002AF" w:rsidRPr="000F09AA">
        <w:t xml:space="preserve"> or </w:t>
      </w:r>
      <w:r w:rsidR="005002AF" w:rsidRPr="00416F2E">
        <w:rPr>
          <w:i/>
        </w:rPr>
        <w:t>report</w:t>
      </w:r>
      <w:r w:rsidR="005002AF">
        <w:t>. The term ‘regulation’ will be used in the generic sense to include all common types of regulatory instruments, as defined in box 1.1.</w:t>
      </w:r>
    </w:p>
    <w:p w:rsidR="008D7DD7" w:rsidRPr="008D7DD7" w:rsidRDefault="008D7DD7" w:rsidP="008D7DD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4AA5" w:rsidTr="007236BA">
        <w:tc>
          <w:tcPr>
            <w:tcW w:w="8771" w:type="dxa"/>
            <w:tcBorders>
              <w:top w:val="single" w:sz="6" w:space="0" w:color="auto"/>
              <w:bottom w:val="nil"/>
            </w:tcBorders>
          </w:tcPr>
          <w:p w:rsidR="00A64AA5" w:rsidRDefault="00A64AA5" w:rsidP="007236BA">
            <w:pPr>
              <w:pStyle w:val="BoxTitle"/>
            </w:pPr>
            <w:r>
              <w:rPr>
                <w:b w:val="0"/>
              </w:rPr>
              <w:t xml:space="preserve">Box </w:t>
            </w:r>
            <w:r w:rsidR="008D7DD7">
              <w:rPr>
                <w:b w:val="0"/>
              </w:rPr>
              <w:t>1.</w:t>
            </w:r>
            <w:r w:rsidR="0037184F">
              <w:rPr>
                <w:b w:val="0"/>
                <w:noProof/>
              </w:rPr>
              <w:t>1</w:t>
            </w:r>
            <w:r>
              <w:tab/>
              <w:t>T</w:t>
            </w:r>
            <w:r w:rsidRPr="007039BF">
              <w:t>ypes of regulation</w:t>
            </w:r>
          </w:p>
        </w:tc>
      </w:tr>
      <w:tr w:rsidR="00A64AA5" w:rsidTr="007236BA">
        <w:trPr>
          <w:cantSplit/>
        </w:trPr>
        <w:tc>
          <w:tcPr>
            <w:tcW w:w="8771" w:type="dxa"/>
            <w:tcBorders>
              <w:top w:val="nil"/>
              <w:left w:val="single" w:sz="6" w:space="0" w:color="auto"/>
              <w:bottom w:val="nil"/>
              <w:right w:val="single" w:sz="6" w:space="0" w:color="auto"/>
            </w:tcBorders>
          </w:tcPr>
          <w:p w:rsidR="00A64AA5" w:rsidRPr="00440113" w:rsidRDefault="00A64AA5" w:rsidP="007236BA">
            <w:pPr>
              <w:pStyle w:val="BoxListBullet"/>
            </w:pPr>
            <w:r>
              <w:rPr>
                <w:i/>
              </w:rPr>
              <w:t>P</w:t>
            </w:r>
            <w:r w:rsidRPr="00440113">
              <w:rPr>
                <w:i/>
              </w:rPr>
              <w:t>rimary legislation</w:t>
            </w:r>
            <w:r>
              <w:t xml:space="preserve"> refers to Acts of Parliament</w:t>
            </w:r>
            <w:r w:rsidRPr="00440113">
              <w:t>.</w:t>
            </w:r>
          </w:p>
          <w:p w:rsidR="00A64AA5" w:rsidRPr="00440113" w:rsidRDefault="00A64AA5" w:rsidP="007236BA">
            <w:pPr>
              <w:pStyle w:val="BoxListBullet"/>
            </w:pPr>
            <w:r w:rsidRPr="00440113">
              <w:rPr>
                <w:i/>
              </w:rPr>
              <w:t>Subordinate legislation</w:t>
            </w:r>
            <w:r w:rsidRPr="00440113">
              <w:t xml:space="preserve"> comprises rules or instruments </w:t>
            </w:r>
            <w:r>
              <w:t>that</w:t>
            </w:r>
            <w:r w:rsidRPr="00440113">
              <w:t xml:space="preserve"> have been made by an authority to which Parliament has delegated part of its legislative power. These include disallowable instruments</w:t>
            </w:r>
            <w:r>
              <w:t xml:space="preserve"> such as</w:t>
            </w:r>
            <w:r w:rsidRPr="00440113">
              <w:t xml:space="preserve"> statutory rules, ordinances, bylaws, and other subordinate legislation which is not subject to Parliamentary scrutiny.</w:t>
            </w:r>
          </w:p>
          <w:p w:rsidR="00A64AA5" w:rsidRPr="00440113" w:rsidRDefault="00A64AA5" w:rsidP="007236BA">
            <w:pPr>
              <w:pStyle w:val="BoxListBullet"/>
            </w:pPr>
            <w:r>
              <w:rPr>
                <w:i/>
              </w:rPr>
              <w:t xml:space="preserve">Quasi </w:t>
            </w:r>
            <w:r w:rsidRPr="00440113">
              <w:rPr>
                <w:i/>
              </w:rPr>
              <w:t>regulation</w:t>
            </w:r>
            <w:r w:rsidRPr="00440113">
              <w:t xml:space="preserve"> encompasses those rules, instruments and standards by which government influences business to comply, but which do not form part of explicit government regulation. Examples </w:t>
            </w:r>
            <w:r>
              <w:t xml:space="preserve">can </w:t>
            </w:r>
            <w:r w:rsidRPr="00440113">
              <w:t>include</w:t>
            </w:r>
            <w:r>
              <w:t xml:space="preserve"> government </w:t>
            </w:r>
            <w:r w:rsidRPr="00440113">
              <w:t>endorsed industry codes of pr</w:t>
            </w:r>
            <w:r>
              <w:t xml:space="preserve">actice or standards, government </w:t>
            </w:r>
            <w:r w:rsidRPr="00440113">
              <w:t>issued guidance notes, industry</w:t>
            </w:r>
            <w:r>
              <w:noBreakHyphen/>
            </w:r>
            <w:r w:rsidRPr="00440113">
              <w:t>government agreements and national accreditation schemes.</w:t>
            </w:r>
            <w:r>
              <w:t xml:space="preserve"> Whether or not a particular measure is deemed to be quasi regulation depends on the nature of government involvement and whether there is a ‘reasonable’ expectation of compliance.</w:t>
            </w:r>
          </w:p>
          <w:p w:rsidR="00A64AA5" w:rsidRDefault="00A64AA5" w:rsidP="00DE6224">
            <w:pPr>
              <w:pStyle w:val="BoxListBullet"/>
            </w:pPr>
            <w:r>
              <w:rPr>
                <w:i/>
              </w:rPr>
              <w:t>Co-</w:t>
            </w:r>
            <w:r w:rsidRPr="00440113">
              <w:rPr>
                <w:i/>
              </w:rPr>
              <w:t>regulation</w:t>
            </w:r>
            <w:r w:rsidRPr="00440113">
              <w:t xml:space="preserve"> is a hybrid in </w:t>
            </w:r>
            <w:r>
              <w:t>which</w:t>
            </w:r>
            <w:r w:rsidRPr="00440113">
              <w:t xml:space="preserve"> industry develops and administers particular codes, standards or rules, but the government provides formal legislative backing to enable the arrangements to be enforced.</w:t>
            </w:r>
          </w:p>
        </w:tc>
      </w:tr>
      <w:tr w:rsidR="00A64AA5" w:rsidTr="007236BA">
        <w:trPr>
          <w:cantSplit/>
        </w:trPr>
        <w:tc>
          <w:tcPr>
            <w:tcW w:w="8771" w:type="dxa"/>
            <w:tcBorders>
              <w:top w:val="nil"/>
              <w:left w:val="single" w:sz="6" w:space="0" w:color="auto"/>
              <w:bottom w:val="single" w:sz="6" w:space="0" w:color="auto"/>
              <w:right w:val="single" w:sz="6" w:space="0" w:color="auto"/>
            </w:tcBorders>
          </w:tcPr>
          <w:p w:rsidR="00A64AA5" w:rsidRDefault="00A64AA5" w:rsidP="007236BA">
            <w:pPr>
              <w:pStyle w:val="Box"/>
              <w:spacing w:before="0" w:line="120" w:lineRule="exact"/>
            </w:pPr>
          </w:p>
        </w:tc>
      </w:tr>
      <w:tr w:rsidR="00A64AA5" w:rsidTr="007236BA">
        <w:tc>
          <w:tcPr>
            <w:tcW w:w="8771" w:type="dxa"/>
            <w:tcBorders>
              <w:top w:val="nil"/>
              <w:left w:val="nil"/>
              <w:bottom w:val="nil"/>
              <w:right w:val="nil"/>
            </w:tcBorders>
          </w:tcPr>
          <w:p w:rsidR="00A64AA5" w:rsidRDefault="00A64AA5" w:rsidP="007236BA">
            <w:pPr>
              <w:pStyle w:val="Box"/>
              <w:keepNext w:val="0"/>
              <w:spacing w:before="60" w:after="60" w:line="80" w:lineRule="exact"/>
              <w:rPr>
                <w:b/>
                <w:color w:val="FF00FF"/>
                <w:sz w:val="14"/>
              </w:rPr>
            </w:pPr>
          </w:p>
        </w:tc>
      </w:tr>
    </w:tbl>
    <w:p w:rsidR="005002AF" w:rsidRDefault="005002AF" w:rsidP="002A7406">
      <w:pPr>
        <w:pStyle w:val="BodyText"/>
      </w:pPr>
      <w:r>
        <w:t>The RIS broadly sets out the policy problem, objective and the impacts of a range of regulatory and non-regulatory options. The RIS</w:t>
      </w:r>
      <w:r w:rsidRPr="00484F52">
        <w:t xml:space="preserve"> can provide a </w:t>
      </w:r>
      <w:r>
        <w:t xml:space="preserve">basis </w:t>
      </w:r>
      <w:r w:rsidRPr="00484F52">
        <w:t xml:space="preserve">for community consultation during policy development. After government decisions are taken, </w:t>
      </w:r>
      <w:r>
        <w:t xml:space="preserve">the </w:t>
      </w:r>
      <w:r>
        <w:lastRenderedPageBreak/>
        <w:t>RIS</w:t>
      </w:r>
      <w:r w:rsidRPr="00484F52">
        <w:t xml:space="preserve"> can enhance ac</w:t>
      </w:r>
      <w:r>
        <w:t>countability by making the reasons</w:t>
      </w:r>
      <w:r w:rsidRPr="00484F52">
        <w:t xml:space="preserve"> for decisions transparent to the community.</w:t>
      </w:r>
      <w:r>
        <w:t xml:space="preserve"> </w:t>
      </w:r>
      <w:r w:rsidRPr="006F0C63">
        <w:t xml:space="preserve">Chapter 6 describes the elements of a RIS in more detail. </w:t>
      </w:r>
    </w:p>
    <w:p w:rsidR="002A7406" w:rsidRDefault="002A7406" w:rsidP="002A7406">
      <w:pPr>
        <w:pStyle w:val="BodyText"/>
      </w:pPr>
      <w:r w:rsidRPr="00484F52">
        <w:t>An illustrative schematic representation of the RIA process and its essential elements is provided in figure 1</w:t>
      </w:r>
      <w:r>
        <w:t xml:space="preserve">.1. </w:t>
      </w:r>
      <w:r w:rsidRPr="00535E3F">
        <w:t>In practice, the progression of RIA processes is rarely</w:t>
      </w:r>
      <w:r>
        <w:t xml:space="preserve"> as linear as depicted, instead</w:t>
      </w:r>
      <w:r w:rsidRPr="00535E3F">
        <w:t xml:space="preserve"> following a complex sequence of steps that intertwine with political and stakeholder negotiations, use of other policy development tools such as ‘</w:t>
      </w:r>
      <w:r>
        <w:t xml:space="preserve">green </w:t>
      </w:r>
      <w:r w:rsidRPr="00535E3F">
        <w:t>papers’ and other pol</w:t>
      </w:r>
      <w:r>
        <w:t xml:space="preserve">icy–specific </w:t>
      </w:r>
      <w:r w:rsidRPr="00535E3F">
        <w:t>reviews.</w:t>
      </w:r>
      <w:r>
        <w:t xml:space="preserve"> </w:t>
      </w:r>
    </w:p>
    <w:p w:rsidR="002E6D7E" w:rsidRDefault="002E6D7E" w:rsidP="002E6D7E">
      <w:pPr>
        <w:pStyle w:val="FigureTitle"/>
      </w:pPr>
      <w:r>
        <w:rPr>
          <w:b w:val="0"/>
        </w:rPr>
        <w:t xml:space="preserve">Figure </w:t>
      </w:r>
      <w:r w:rsidR="008D7DD7">
        <w:rPr>
          <w:b w:val="0"/>
        </w:rPr>
        <w:t>1.</w:t>
      </w:r>
      <w:r w:rsidR="0037184F">
        <w:rPr>
          <w:b w:val="0"/>
          <w:noProof/>
        </w:rPr>
        <w:t>1</w:t>
      </w:r>
      <w:r>
        <w:tab/>
      </w:r>
      <w:r w:rsidRPr="00D91512">
        <w:t>Stylised schematic of the RIA process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Caption w:val="Stylised schematic of the RIA process"/>
        <w:tblDescription w:val="Figure 1.1 Stylised schematic of the RIA process. This flowchart shows the RIA process from the trigger through to post implementation monitoring and evaluation."/>
      </w:tblPr>
      <w:tblGrid>
        <w:gridCol w:w="8777"/>
      </w:tblGrid>
      <w:tr w:rsidR="002E6D7E" w:rsidTr="002E6D7E">
        <w:tc>
          <w:tcPr>
            <w:tcW w:w="8777" w:type="dxa"/>
          </w:tcPr>
          <w:p w:rsidR="002E6D7E" w:rsidRDefault="008A21DE" w:rsidP="002E6D7E">
            <w:pPr>
              <w:pStyle w:val="Fig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348pt">
                  <v:imagedata r:id="rId9" o:title=""/>
                </v:shape>
              </w:pict>
            </w:r>
          </w:p>
        </w:tc>
      </w:tr>
    </w:tbl>
    <w:p w:rsidR="008D7DD7" w:rsidRDefault="008D7DD7" w:rsidP="008D7DD7">
      <w:pPr>
        <w:spacing w:before="240" w:line="320" w:lineRule="atLeast"/>
        <w:jc w:val="both"/>
        <w:rPr>
          <w:szCs w:val="20"/>
        </w:rPr>
      </w:pPr>
      <w:r w:rsidRPr="00484F52">
        <w:rPr>
          <w:szCs w:val="20"/>
        </w:rPr>
        <w:t>RIA seeks to ensure that regulations deliver the greatest benefit to the community relative to the overall costs they impose</w:t>
      </w:r>
      <w:r>
        <w:rPr>
          <w:szCs w:val="20"/>
        </w:rPr>
        <w:t xml:space="preserve"> by providing</w:t>
      </w:r>
      <w:r w:rsidRPr="00484F52">
        <w:rPr>
          <w:szCs w:val="20"/>
        </w:rPr>
        <w:t xml:space="preserve"> a better informed</w:t>
      </w:r>
      <w:r>
        <w:rPr>
          <w:szCs w:val="20"/>
        </w:rPr>
        <w:t>, transparent</w:t>
      </w:r>
      <w:r w:rsidRPr="00484F52">
        <w:rPr>
          <w:szCs w:val="20"/>
        </w:rPr>
        <w:t xml:space="preserve"> and </w:t>
      </w:r>
      <w:r w:rsidR="007D3E61">
        <w:rPr>
          <w:szCs w:val="20"/>
        </w:rPr>
        <w:t>evidence–</w:t>
      </w:r>
      <w:r>
        <w:rPr>
          <w:szCs w:val="20"/>
        </w:rPr>
        <w:t>based</w:t>
      </w:r>
      <w:r w:rsidRPr="00484F52">
        <w:rPr>
          <w:szCs w:val="20"/>
        </w:rPr>
        <w:t xml:space="preserve"> </w:t>
      </w:r>
      <w:r>
        <w:rPr>
          <w:szCs w:val="20"/>
        </w:rPr>
        <w:t>framework for making regulations</w:t>
      </w:r>
      <w:r w:rsidRPr="00484F52">
        <w:rPr>
          <w:szCs w:val="20"/>
        </w:rPr>
        <w:t>.</w:t>
      </w:r>
      <w:r>
        <w:rPr>
          <w:szCs w:val="20"/>
        </w:rPr>
        <w:t xml:space="preserve"> However, </w:t>
      </w:r>
      <w:r w:rsidRPr="00484F52">
        <w:rPr>
          <w:szCs w:val="20"/>
        </w:rPr>
        <w:t>RIA is just one of a range of strategies to improve regulatory decision making, and thus the effectiveness and efficiency of new and existing regulations. Important complementary and supporting strategies and tools include: managing and coordinating regulatory reform; public consultation policies and other measures to improve transparency and accountability; adm</w:t>
      </w:r>
      <w:r>
        <w:rPr>
          <w:szCs w:val="20"/>
        </w:rPr>
        <w:t xml:space="preserve">inistrative simplification, red </w:t>
      </w:r>
      <w:r w:rsidRPr="00484F52">
        <w:rPr>
          <w:szCs w:val="20"/>
        </w:rPr>
        <w:t xml:space="preserve">tape </w:t>
      </w:r>
      <w:r w:rsidRPr="00484F52">
        <w:rPr>
          <w:szCs w:val="20"/>
        </w:rPr>
        <w:lastRenderedPageBreak/>
        <w:t xml:space="preserve">reduction programs and other mechanisms designed to reduce regulatory compliance burdens; and reviews of existing regulation. </w:t>
      </w:r>
    </w:p>
    <w:p w:rsidR="008D7DD7" w:rsidRDefault="008D7DD7" w:rsidP="008D7DD7">
      <w:pPr>
        <w:spacing w:before="240" w:line="320" w:lineRule="atLeast"/>
        <w:jc w:val="both"/>
        <w:rPr>
          <w:szCs w:val="20"/>
        </w:rPr>
      </w:pPr>
      <w:r>
        <w:rPr>
          <w:szCs w:val="20"/>
        </w:rPr>
        <w:t xml:space="preserve">In principle, better decision making processes should improve regulatory outcomes. However, in practice, improvements in regulatory outcomes attributable to RIA are difficult to identify. This is because RIA is just one element </w:t>
      </w:r>
      <w:r w:rsidR="00931C20">
        <w:rPr>
          <w:szCs w:val="20"/>
        </w:rPr>
        <w:t>in</w:t>
      </w:r>
      <w:r>
        <w:rPr>
          <w:szCs w:val="20"/>
        </w:rPr>
        <w:t xml:space="preserve"> an array of influences on the policy decision and, in turn, the policy decision is just one factor (combined with other policies, strategies and institutional arrangements) which influence</w:t>
      </w:r>
      <w:r w:rsidR="00931C20">
        <w:rPr>
          <w:szCs w:val="20"/>
        </w:rPr>
        <w:t>s</w:t>
      </w:r>
      <w:r>
        <w:rPr>
          <w:szCs w:val="20"/>
        </w:rPr>
        <w:t xml:space="preserve"> regulatory outcomes. Also, there is typically no information on the decisions and resulting outcomes that would have prevailed in the absence of RIA. </w:t>
      </w:r>
    </w:p>
    <w:p w:rsidR="002A7406" w:rsidRDefault="002A7406" w:rsidP="002A7406">
      <w:pPr>
        <w:pStyle w:val="Heading3"/>
      </w:pPr>
      <w:r>
        <w:t>RIA in Australian jurisdictions</w:t>
      </w:r>
    </w:p>
    <w:p w:rsidR="002A7406" w:rsidRPr="00913AA8" w:rsidRDefault="002A7406" w:rsidP="00913AA8">
      <w:pPr>
        <w:pStyle w:val="BodyText"/>
      </w:pPr>
      <w:r w:rsidRPr="00913AA8">
        <w:t xml:space="preserve">The Commonwealth, each state and territory and </w:t>
      </w:r>
      <w:r w:rsidR="00F90EC3" w:rsidRPr="00913AA8">
        <w:t>the Council of Australian Governments (</w:t>
      </w:r>
      <w:r w:rsidRPr="00913AA8">
        <w:t>COAG</w:t>
      </w:r>
      <w:r w:rsidR="00F90EC3" w:rsidRPr="00913AA8">
        <w:t>)</w:t>
      </w:r>
      <w:r w:rsidRPr="00913AA8">
        <w:t xml:space="preserve"> (the ‘ten jurisdictions’) have all established RIA processes for new and amended regulation. The RIA process is typically an administrative requirement outlined in RIA guidelines and supported by other procedural documents such as Cabinet handbooks. Some jurisdictions have</w:t>
      </w:r>
      <w:r w:rsidR="00CD7430" w:rsidRPr="00913AA8">
        <w:t xml:space="preserve"> also set out</w:t>
      </w:r>
      <w:r w:rsidRPr="00913AA8">
        <w:t xml:space="preserve"> RIA requirements </w:t>
      </w:r>
      <w:r w:rsidR="00CD7430" w:rsidRPr="00913AA8">
        <w:t xml:space="preserve">in statute </w:t>
      </w:r>
      <w:r w:rsidRPr="00913AA8">
        <w:t>for subordinate legislation as listed in box 1.2.</w:t>
      </w:r>
      <w:r w:rsidR="009875A6" w:rsidRPr="00913AA8">
        <w:t xml:space="preserve"> </w:t>
      </w:r>
    </w:p>
    <w:p w:rsidR="00A64AA5" w:rsidRDefault="00A64AA5" w:rsidP="00F708D7">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4AA5" w:rsidTr="007236BA">
        <w:tc>
          <w:tcPr>
            <w:tcW w:w="8771" w:type="dxa"/>
            <w:tcBorders>
              <w:top w:val="single" w:sz="6" w:space="0" w:color="auto"/>
              <w:bottom w:val="nil"/>
            </w:tcBorders>
          </w:tcPr>
          <w:p w:rsidR="00A64AA5" w:rsidRDefault="00A64AA5" w:rsidP="007236BA">
            <w:pPr>
              <w:pStyle w:val="BoxTitle"/>
            </w:pPr>
            <w:r>
              <w:rPr>
                <w:b w:val="0"/>
              </w:rPr>
              <w:t xml:space="preserve">Box </w:t>
            </w:r>
            <w:r w:rsidR="008D7DD7">
              <w:rPr>
                <w:b w:val="0"/>
              </w:rPr>
              <w:t>1.</w:t>
            </w:r>
            <w:r w:rsidR="0037184F">
              <w:rPr>
                <w:b w:val="0"/>
                <w:noProof/>
              </w:rPr>
              <w:t>2</w:t>
            </w:r>
            <w:r>
              <w:tab/>
              <w:t xml:space="preserve">Legal mandates for RIA </w:t>
            </w:r>
          </w:p>
        </w:tc>
      </w:tr>
      <w:tr w:rsidR="00A64AA5" w:rsidTr="007236BA">
        <w:trPr>
          <w:cantSplit/>
        </w:trPr>
        <w:tc>
          <w:tcPr>
            <w:tcW w:w="8771" w:type="dxa"/>
            <w:tcBorders>
              <w:top w:val="nil"/>
              <w:left w:val="single" w:sz="6" w:space="0" w:color="auto"/>
              <w:bottom w:val="nil"/>
              <w:right w:val="single" w:sz="6" w:space="0" w:color="auto"/>
            </w:tcBorders>
          </w:tcPr>
          <w:p w:rsidR="00A64AA5" w:rsidRDefault="00A64AA5" w:rsidP="00931C20">
            <w:pPr>
              <w:pStyle w:val="Box"/>
              <w:tabs>
                <w:tab w:val="left" w:pos="3664"/>
              </w:tabs>
              <w:spacing w:line="240" w:lineRule="exact"/>
            </w:pPr>
            <w:r>
              <w:t xml:space="preserve">New South Wales </w:t>
            </w:r>
            <w:r>
              <w:tab/>
            </w:r>
            <w:r w:rsidRPr="0001591C">
              <w:rPr>
                <w:i/>
              </w:rPr>
              <w:t>Subordinate Legislation Act 1989</w:t>
            </w:r>
          </w:p>
          <w:p w:rsidR="00A64AA5" w:rsidRDefault="00A64AA5" w:rsidP="00931C20">
            <w:pPr>
              <w:pStyle w:val="Box"/>
              <w:tabs>
                <w:tab w:val="left" w:pos="3664"/>
              </w:tabs>
              <w:spacing w:line="240" w:lineRule="exact"/>
            </w:pPr>
            <w:r>
              <w:t xml:space="preserve">Victoria </w:t>
            </w:r>
            <w:r>
              <w:tab/>
            </w:r>
            <w:r w:rsidRPr="0001591C">
              <w:rPr>
                <w:i/>
              </w:rPr>
              <w:t>Subordinate Legislation Act 1994</w:t>
            </w:r>
          </w:p>
          <w:p w:rsidR="00A64AA5" w:rsidRDefault="00A64AA5" w:rsidP="00931C20">
            <w:pPr>
              <w:pStyle w:val="Box"/>
              <w:tabs>
                <w:tab w:val="left" w:pos="3664"/>
              </w:tabs>
              <w:spacing w:line="240" w:lineRule="exact"/>
            </w:pPr>
            <w:r>
              <w:t xml:space="preserve">Queensland </w:t>
            </w:r>
            <w:r>
              <w:tab/>
            </w:r>
            <w:r w:rsidRPr="0001591C">
              <w:rPr>
                <w:i/>
              </w:rPr>
              <w:t>Statutory Instruments Act 1992</w:t>
            </w:r>
            <w:r w:rsidR="007530AF" w:rsidRPr="00CD7430">
              <w:rPr>
                <w:rStyle w:val="FootnoteReference"/>
              </w:rPr>
              <w:footnoteReference w:id="2"/>
            </w:r>
          </w:p>
          <w:p w:rsidR="00A64AA5" w:rsidRDefault="00A64AA5" w:rsidP="00931C20">
            <w:pPr>
              <w:pStyle w:val="Box"/>
              <w:tabs>
                <w:tab w:val="left" w:pos="3664"/>
              </w:tabs>
              <w:spacing w:before="0" w:line="240" w:lineRule="exact"/>
            </w:pPr>
            <w:r>
              <w:rPr>
                <w:i/>
              </w:rPr>
              <w:tab/>
            </w:r>
            <w:r w:rsidRPr="0001591C">
              <w:rPr>
                <w:i/>
              </w:rPr>
              <w:t>Legislative Standards Act 1992</w:t>
            </w:r>
          </w:p>
          <w:p w:rsidR="00A64AA5" w:rsidRDefault="00A64AA5" w:rsidP="00931C20">
            <w:pPr>
              <w:pStyle w:val="Box"/>
              <w:tabs>
                <w:tab w:val="left" w:pos="3664"/>
              </w:tabs>
              <w:spacing w:line="240" w:lineRule="exact"/>
            </w:pPr>
            <w:r>
              <w:t xml:space="preserve">Tasmania </w:t>
            </w:r>
            <w:r>
              <w:tab/>
            </w:r>
            <w:r w:rsidRPr="0001591C">
              <w:rPr>
                <w:i/>
              </w:rPr>
              <w:t>Subordinate Legislation Act 1992</w:t>
            </w:r>
          </w:p>
          <w:p w:rsidR="00A64AA5" w:rsidRDefault="00A64AA5" w:rsidP="00931C20">
            <w:pPr>
              <w:pStyle w:val="Box"/>
              <w:tabs>
                <w:tab w:val="left" w:pos="3664"/>
              </w:tabs>
              <w:spacing w:line="240" w:lineRule="exact"/>
            </w:pPr>
            <w:r>
              <w:t xml:space="preserve">Australian Capital Territory </w:t>
            </w:r>
            <w:r>
              <w:tab/>
            </w:r>
            <w:r w:rsidRPr="0001591C">
              <w:rPr>
                <w:i/>
              </w:rPr>
              <w:t>Legislation Act 2001</w:t>
            </w:r>
          </w:p>
        </w:tc>
      </w:tr>
      <w:tr w:rsidR="00A64AA5" w:rsidTr="007236BA">
        <w:trPr>
          <w:cantSplit/>
        </w:trPr>
        <w:tc>
          <w:tcPr>
            <w:tcW w:w="8771" w:type="dxa"/>
            <w:tcBorders>
              <w:top w:val="nil"/>
              <w:left w:val="single" w:sz="6" w:space="0" w:color="auto"/>
              <w:bottom w:val="single" w:sz="6" w:space="0" w:color="auto"/>
              <w:right w:val="single" w:sz="6" w:space="0" w:color="auto"/>
            </w:tcBorders>
          </w:tcPr>
          <w:p w:rsidR="00A64AA5" w:rsidRDefault="00A64AA5" w:rsidP="007236BA">
            <w:pPr>
              <w:pStyle w:val="Box"/>
              <w:spacing w:before="0" w:line="120" w:lineRule="exact"/>
            </w:pPr>
          </w:p>
        </w:tc>
      </w:tr>
      <w:tr w:rsidR="00A64AA5" w:rsidTr="007236BA">
        <w:tc>
          <w:tcPr>
            <w:tcW w:w="8771" w:type="dxa"/>
            <w:tcBorders>
              <w:top w:val="nil"/>
              <w:left w:val="nil"/>
              <w:bottom w:val="nil"/>
              <w:right w:val="nil"/>
            </w:tcBorders>
          </w:tcPr>
          <w:p w:rsidR="00A64AA5" w:rsidRDefault="00A64AA5" w:rsidP="007236BA">
            <w:pPr>
              <w:pStyle w:val="Box"/>
              <w:keepNext w:val="0"/>
              <w:spacing w:before="60" w:after="60" w:line="80" w:lineRule="exact"/>
              <w:rPr>
                <w:b/>
                <w:color w:val="FF00FF"/>
                <w:sz w:val="14"/>
              </w:rPr>
            </w:pPr>
          </w:p>
        </w:tc>
      </w:tr>
    </w:tbl>
    <w:p w:rsidR="00A64AA5" w:rsidRPr="00D91512" w:rsidRDefault="0004142A" w:rsidP="00A64AA5">
      <w:pPr>
        <w:spacing w:before="240" w:line="320" w:lineRule="atLeast"/>
        <w:jc w:val="both"/>
        <w:rPr>
          <w:szCs w:val="20"/>
        </w:rPr>
      </w:pPr>
      <w:r>
        <w:rPr>
          <w:szCs w:val="20"/>
        </w:rPr>
        <w:t>The interaction of the key elements of RIA with policy development and decision making processes are represented for each Australian jurisdiction in figures 1.2 to 1.11 at the end of this chapter. The schematics show how RIA processes were implemented in practice in each of the jurisdictions, as at January 2012.</w:t>
      </w:r>
      <w:r w:rsidRPr="00913AA8">
        <w:t xml:space="preserve"> </w:t>
      </w:r>
      <w:r w:rsidR="00A64AA5">
        <w:rPr>
          <w:szCs w:val="20"/>
        </w:rPr>
        <w:t>Despite all ten jurisdictions having similar objectives for their RIA arrangements, there are marked differences in the practical implementation of these arrangements. These are discussed in detail in the remainder of the report, but some principal points of difference follow.</w:t>
      </w:r>
    </w:p>
    <w:p w:rsidR="00A64AA5" w:rsidRDefault="00A64AA5" w:rsidP="00A64AA5">
      <w:pPr>
        <w:pStyle w:val="ListBullet"/>
      </w:pPr>
      <w:r>
        <w:lastRenderedPageBreak/>
        <w:t xml:space="preserve">For some jurisdictions, whether the proposal involves primary or subordinate legislation, or is a matter to be considered by Cabinet, affects whether RIA requirements are applicable. </w:t>
      </w:r>
    </w:p>
    <w:p w:rsidR="00A64AA5" w:rsidRDefault="00A64AA5" w:rsidP="00A64AA5">
      <w:pPr>
        <w:pStyle w:val="ListBullet"/>
      </w:pPr>
      <w:r>
        <w:t>In several jurisdictions, significance thresholds, consultation and/or analytical requirements differ depending on whether the proposal involves primary or subordinate legislation.</w:t>
      </w:r>
    </w:p>
    <w:p w:rsidR="00A64AA5" w:rsidRDefault="00A64AA5" w:rsidP="00A64AA5">
      <w:pPr>
        <w:pStyle w:val="ListBullet"/>
      </w:pPr>
      <w:r>
        <w:t>The decision as to whether a regulatory proposal requires a RIS is made by the regulatory oversight body in some jurisdictions, but is left to the responsible minister or agency in others.</w:t>
      </w:r>
    </w:p>
    <w:p w:rsidR="00A64AA5" w:rsidRDefault="00A64AA5" w:rsidP="00A64AA5">
      <w:pPr>
        <w:pStyle w:val="ListBullet"/>
      </w:pPr>
      <w:r>
        <w:t>Some jurisdictions operate multi–stage RIA processes which can include a formal initial assessment of significance followed by a one or two stage RIS process.</w:t>
      </w:r>
    </w:p>
    <w:p w:rsidR="00A64AA5" w:rsidRDefault="00A64AA5" w:rsidP="00A64AA5">
      <w:pPr>
        <w:pStyle w:val="ListBullet"/>
      </w:pPr>
      <w:r>
        <w:t xml:space="preserve">Stakeholder engagement is a formal step in the process in some jurisdictions; in others, </w:t>
      </w:r>
      <w:r w:rsidR="007D3E61">
        <w:t>its</w:t>
      </w:r>
      <w:r>
        <w:t xml:space="preserve"> extent and timing is not specified.</w:t>
      </w:r>
    </w:p>
    <w:p w:rsidR="00A64AA5" w:rsidRDefault="00A64AA5" w:rsidP="00A64AA5">
      <w:pPr>
        <w:pStyle w:val="ListBullet"/>
      </w:pPr>
      <w:r>
        <w:t xml:space="preserve">Not all jurisdictions publish </w:t>
      </w:r>
      <w:proofErr w:type="spellStart"/>
      <w:r>
        <w:t>RISs</w:t>
      </w:r>
      <w:proofErr w:type="spellEnd"/>
      <w:r>
        <w:t xml:space="preserve"> and, of those that do, the timing ranges from publication at the time of regulatory announcement to </w:t>
      </w:r>
      <w:proofErr w:type="spellStart"/>
      <w:r>
        <w:t>some time</w:t>
      </w:r>
      <w:proofErr w:type="spellEnd"/>
      <w:r>
        <w:t xml:space="preserve"> after legislation is developed, at the responsible agency’s discretion.</w:t>
      </w:r>
    </w:p>
    <w:p w:rsidR="00A64AA5" w:rsidRDefault="00A64AA5" w:rsidP="00A64AA5">
      <w:pPr>
        <w:pStyle w:val="ListBullet"/>
      </w:pPr>
      <w:r>
        <w:t>While there are consequences for failure to implement RIA requirements in most jurisdictions, they differ substantially as to their nature and impacts.</w:t>
      </w:r>
    </w:p>
    <w:p w:rsidR="00A64AA5" w:rsidRDefault="00A64AA5" w:rsidP="00A64AA5">
      <w:pPr>
        <w:pStyle w:val="BodyText"/>
      </w:pPr>
      <w:r w:rsidRPr="00D4262E">
        <w:t>Of particular note</w:t>
      </w:r>
      <w:r>
        <w:t xml:space="preserve"> is that in five of the ten jurisdictions (those with RIA </w:t>
      </w:r>
      <w:r w:rsidR="00E57D8A">
        <w:t xml:space="preserve">requirements </w:t>
      </w:r>
      <w:r>
        <w:t>for their subordinate legislation</w:t>
      </w:r>
      <w:r w:rsidR="00E57D8A">
        <w:t xml:space="preserve"> set out in statute</w:t>
      </w:r>
      <w:r>
        <w:t xml:space="preserve">), dual RIA processes are in operation, usually with slightly different requirements. For example, in New South Wales, a ‘better regulation statement’ (rather than a ‘RIS’) is required for primary legislation and amending regulations. In Victoria, a ‘business impact assessment’ (rather than a ‘RIS’) is required for primary legislation. These different RIA processes are referred to throughout the report where relevant — although for simplicity, the term ‘RIS’ is used generically to cover the documents produced under all RIA processes. </w:t>
      </w:r>
    </w:p>
    <w:p w:rsidR="004B6513" w:rsidRDefault="008D7DD7" w:rsidP="004B6513">
      <w:pPr>
        <w:pStyle w:val="Heading2"/>
      </w:pPr>
      <w:r>
        <w:t>1.</w:t>
      </w:r>
      <w:r w:rsidR="0037184F">
        <w:rPr>
          <w:noProof/>
        </w:rPr>
        <w:t>2</w:t>
      </w:r>
      <w:r w:rsidR="004B6513">
        <w:tab/>
      </w:r>
      <w:r w:rsidR="00EB4120">
        <w:t>R</w:t>
      </w:r>
      <w:r w:rsidR="00F47906">
        <w:t>ecent r</w:t>
      </w:r>
      <w:r w:rsidR="004B6513">
        <w:t xml:space="preserve">eviews </w:t>
      </w:r>
      <w:r w:rsidR="00916E36">
        <w:t xml:space="preserve">and </w:t>
      </w:r>
      <w:r w:rsidR="00F47906">
        <w:t>changes to</w:t>
      </w:r>
      <w:r w:rsidR="00D82AF4">
        <w:t xml:space="preserve"> </w:t>
      </w:r>
      <w:r w:rsidR="00F47906">
        <w:t>RIA</w:t>
      </w:r>
      <w:r w:rsidR="00D82AF4">
        <w:t xml:space="preserve"> processes</w:t>
      </w:r>
    </w:p>
    <w:p w:rsidR="005B0796" w:rsidRDefault="00D82AF4" w:rsidP="001B1B51">
      <w:pPr>
        <w:pStyle w:val="BodyText"/>
      </w:pPr>
      <w:r>
        <w:t xml:space="preserve">A number of </w:t>
      </w:r>
      <w:r w:rsidR="00FE1267">
        <w:t>ju</w:t>
      </w:r>
      <w:r w:rsidR="00B00669">
        <w:t xml:space="preserve">risdictions have undergone </w:t>
      </w:r>
      <w:r w:rsidR="00FE1267">
        <w:t>comprehensive reviews of their regulatory processe</w:t>
      </w:r>
      <w:r w:rsidR="007F054D">
        <w:t xml:space="preserve">s </w:t>
      </w:r>
      <w:r w:rsidR="00F47906">
        <w:t>or made significant changes in recent years</w:t>
      </w:r>
      <w:r w:rsidR="00EB4120">
        <w:t xml:space="preserve"> (box </w:t>
      </w:r>
      <w:r w:rsidR="00F47906">
        <w:t>1.3). In addition, s</w:t>
      </w:r>
      <w:r w:rsidR="007028DC">
        <w:t>everal jurisdictions indicated</w:t>
      </w:r>
      <w:r w:rsidR="00F56600">
        <w:t xml:space="preserve"> </w:t>
      </w:r>
      <w:r>
        <w:t xml:space="preserve">to the Commission that </w:t>
      </w:r>
      <w:r w:rsidR="007028DC">
        <w:t xml:space="preserve">they </w:t>
      </w:r>
      <w:r w:rsidR="00FE1267">
        <w:t xml:space="preserve">are awaiting results from </w:t>
      </w:r>
      <w:r w:rsidR="007028DC">
        <w:t>this benchmarking study to inform the</w:t>
      </w:r>
      <w:r w:rsidR="00FE1267">
        <w:t xml:space="preserve"> direction</w:t>
      </w:r>
      <w:r w:rsidR="007028DC">
        <w:t xml:space="preserve"> of </w:t>
      </w:r>
      <w:r>
        <w:t>their</w:t>
      </w:r>
      <w:r w:rsidR="00D91512">
        <w:t xml:space="preserve"> current and</w:t>
      </w:r>
      <w:r>
        <w:t xml:space="preserve"> </w:t>
      </w:r>
      <w:r w:rsidR="007028DC">
        <w:t>upcoming reviews</w:t>
      </w:r>
      <w:r w:rsidR="00FE1267">
        <w:t>.</w:t>
      </w:r>
    </w:p>
    <w:p w:rsidR="00F47906" w:rsidRDefault="00F4790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7906">
        <w:tc>
          <w:tcPr>
            <w:tcW w:w="8771" w:type="dxa"/>
            <w:tcBorders>
              <w:top w:val="single" w:sz="6" w:space="0" w:color="auto"/>
              <w:bottom w:val="nil"/>
            </w:tcBorders>
          </w:tcPr>
          <w:p w:rsidR="00F47906" w:rsidRDefault="00F47906">
            <w:pPr>
              <w:pStyle w:val="BoxTitle"/>
            </w:pPr>
            <w:r>
              <w:rPr>
                <w:b w:val="0"/>
              </w:rPr>
              <w:t xml:space="preserve">Box </w:t>
            </w:r>
            <w:bookmarkStart w:id="3" w:name="OLE_LINK1"/>
            <w:r w:rsidR="008D7DD7">
              <w:rPr>
                <w:b w:val="0"/>
              </w:rPr>
              <w:t>1.</w:t>
            </w:r>
            <w:r w:rsidR="0037184F">
              <w:rPr>
                <w:b w:val="0"/>
                <w:noProof/>
              </w:rPr>
              <w:t>3</w:t>
            </w:r>
            <w:bookmarkEnd w:id="3"/>
            <w:r w:rsidR="00E91958">
              <w:tab/>
              <w:t xml:space="preserve">Jurisdictional reviews </w:t>
            </w:r>
            <w:r w:rsidR="00916E36">
              <w:t xml:space="preserve">and changes to </w:t>
            </w:r>
            <w:r>
              <w:t>RIA processes</w:t>
            </w:r>
          </w:p>
        </w:tc>
      </w:tr>
      <w:tr w:rsidR="00F47906">
        <w:trPr>
          <w:cantSplit/>
        </w:trPr>
        <w:tc>
          <w:tcPr>
            <w:tcW w:w="8771" w:type="dxa"/>
            <w:tcBorders>
              <w:top w:val="nil"/>
              <w:left w:val="single" w:sz="6" w:space="0" w:color="auto"/>
              <w:bottom w:val="nil"/>
              <w:right w:val="single" w:sz="6" w:space="0" w:color="auto"/>
            </w:tcBorders>
          </w:tcPr>
          <w:p w:rsidR="00F47906" w:rsidRPr="008D65CB" w:rsidRDefault="00F47906" w:rsidP="00F47906">
            <w:pPr>
              <w:pStyle w:val="BoxHeading1"/>
              <w:spacing w:before="160"/>
              <w:rPr>
                <w:szCs w:val="22"/>
              </w:rPr>
            </w:pPr>
            <w:r w:rsidRPr="008D65CB">
              <w:rPr>
                <w:szCs w:val="22"/>
              </w:rPr>
              <w:t>Australian Government</w:t>
            </w:r>
          </w:p>
          <w:p w:rsidR="00F47906" w:rsidRPr="00F26052" w:rsidRDefault="00F47906" w:rsidP="00F26052">
            <w:pPr>
              <w:pStyle w:val="BoxListBullet"/>
              <w:rPr>
                <w:sz w:val="21"/>
                <w:szCs w:val="21"/>
              </w:rPr>
            </w:pPr>
            <w:r w:rsidRPr="00983E22">
              <w:rPr>
                <w:sz w:val="21"/>
                <w:szCs w:val="21"/>
              </w:rPr>
              <w:t xml:space="preserve">In 2012, the Australian Government RIA process and its administration by the Office of Best Practice Regulation </w:t>
            </w:r>
            <w:r w:rsidR="00EE57B8" w:rsidRPr="00983E22">
              <w:rPr>
                <w:sz w:val="21"/>
                <w:szCs w:val="21"/>
              </w:rPr>
              <w:t xml:space="preserve">(OBPR) </w:t>
            </w:r>
            <w:r w:rsidRPr="00983E22">
              <w:rPr>
                <w:sz w:val="21"/>
                <w:szCs w:val="21"/>
              </w:rPr>
              <w:t xml:space="preserve">was reviewed by Robert Milliner and David </w:t>
            </w:r>
            <w:proofErr w:type="spellStart"/>
            <w:r w:rsidRPr="00983E22">
              <w:rPr>
                <w:sz w:val="21"/>
                <w:szCs w:val="21"/>
              </w:rPr>
              <w:t>Borthwick</w:t>
            </w:r>
            <w:proofErr w:type="spellEnd"/>
            <w:r w:rsidRPr="00983E22">
              <w:rPr>
                <w:sz w:val="21"/>
                <w:szCs w:val="21"/>
              </w:rPr>
              <w:t xml:space="preserve">. </w:t>
            </w:r>
            <w:r w:rsidR="00931C20" w:rsidRPr="00983E22">
              <w:rPr>
                <w:sz w:val="21"/>
                <w:szCs w:val="21"/>
              </w:rPr>
              <w:t xml:space="preserve">The review found that, although the Australian </w:t>
            </w:r>
            <w:r w:rsidR="00E57D8A" w:rsidRPr="00983E22">
              <w:rPr>
                <w:sz w:val="21"/>
                <w:szCs w:val="21"/>
              </w:rPr>
              <w:t>G</w:t>
            </w:r>
            <w:r w:rsidR="00931C20" w:rsidRPr="00983E22">
              <w:rPr>
                <w:sz w:val="21"/>
                <w:szCs w:val="21"/>
              </w:rPr>
              <w:t>overnment RIA framework was entirely consistent with OECD principles, there was ‘widespread lack of</w:t>
            </w:r>
            <w:r w:rsidR="00E57D8A" w:rsidRPr="00983E22">
              <w:rPr>
                <w:sz w:val="21"/>
                <w:szCs w:val="21"/>
              </w:rPr>
              <w:t xml:space="preserve"> acceptance of and</w:t>
            </w:r>
            <w:r w:rsidR="00931C20" w:rsidRPr="00983E22">
              <w:rPr>
                <w:sz w:val="21"/>
                <w:szCs w:val="21"/>
              </w:rPr>
              <w:t xml:space="preserve"> commitment to the RIA process by ministers and agencies’ and ‘substantial dissatisfaction by all major stakeholder groups’</w:t>
            </w:r>
            <w:r w:rsidR="00E57D8A" w:rsidRPr="00983E22">
              <w:rPr>
                <w:sz w:val="21"/>
                <w:szCs w:val="21"/>
              </w:rPr>
              <w:t xml:space="preserve"> (</w:t>
            </w:r>
            <w:proofErr w:type="spellStart"/>
            <w:r w:rsidR="00E57D8A" w:rsidRPr="00983E22">
              <w:rPr>
                <w:sz w:val="21"/>
                <w:szCs w:val="21"/>
              </w:rPr>
              <w:t>Borthwick</w:t>
            </w:r>
            <w:proofErr w:type="spellEnd"/>
            <w:r w:rsidR="00E57D8A" w:rsidRPr="00983E22">
              <w:rPr>
                <w:sz w:val="21"/>
                <w:szCs w:val="21"/>
              </w:rPr>
              <w:t xml:space="preserve"> and Milliner 2012, p. 9)</w:t>
            </w:r>
            <w:r w:rsidR="00931C20" w:rsidRPr="00983E22">
              <w:rPr>
                <w:sz w:val="21"/>
                <w:szCs w:val="21"/>
              </w:rPr>
              <w:t xml:space="preserve">. The review made a number of recommendations intended to increase agency responsibility for the RIA process and clearly define the role of the OBPR. The </w:t>
            </w:r>
            <w:r w:rsidRPr="00983E22">
              <w:rPr>
                <w:sz w:val="21"/>
                <w:szCs w:val="21"/>
              </w:rPr>
              <w:t xml:space="preserve">final report from the review was </w:t>
            </w:r>
            <w:r w:rsidR="00931C20" w:rsidRPr="00983E22">
              <w:rPr>
                <w:sz w:val="21"/>
                <w:szCs w:val="21"/>
              </w:rPr>
              <w:t>released</w:t>
            </w:r>
            <w:r w:rsidR="00931C20">
              <w:rPr>
                <w:sz w:val="21"/>
                <w:szCs w:val="21"/>
              </w:rPr>
              <w:t xml:space="preserve"> by Government in October</w:t>
            </w:r>
            <w:r w:rsidRPr="00F26052">
              <w:rPr>
                <w:sz w:val="21"/>
                <w:szCs w:val="21"/>
              </w:rPr>
              <w:t xml:space="preserve"> 2012</w:t>
            </w:r>
            <w:r w:rsidR="00931C20">
              <w:rPr>
                <w:sz w:val="21"/>
                <w:szCs w:val="21"/>
              </w:rPr>
              <w:t>, with the Government’s final response to the report recommendations</w:t>
            </w:r>
            <w:r w:rsidR="000E631D">
              <w:rPr>
                <w:sz w:val="21"/>
                <w:szCs w:val="21"/>
              </w:rPr>
              <w:t xml:space="preserve"> to</w:t>
            </w:r>
            <w:r w:rsidR="00931C20">
              <w:rPr>
                <w:sz w:val="21"/>
                <w:szCs w:val="21"/>
              </w:rPr>
              <w:t xml:space="preserve"> be released after a period of consultation.</w:t>
            </w:r>
          </w:p>
          <w:p w:rsidR="00F47906" w:rsidRPr="00F26052" w:rsidRDefault="000E631D" w:rsidP="00F26052">
            <w:pPr>
              <w:pStyle w:val="BoxListBullet"/>
              <w:rPr>
                <w:sz w:val="21"/>
                <w:szCs w:val="21"/>
              </w:rPr>
            </w:pPr>
            <w:r>
              <w:rPr>
                <w:sz w:val="21"/>
                <w:szCs w:val="21"/>
              </w:rPr>
              <w:t>In its review of regulatory reform, t</w:t>
            </w:r>
            <w:r w:rsidR="00F47906" w:rsidRPr="00F26052">
              <w:rPr>
                <w:sz w:val="21"/>
                <w:szCs w:val="21"/>
              </w:rPr>
              <w:t>he OECD (</w:t>
            </w:r>
            <w:proofErr w:type="spellStart"/>
            <w:r w:rsidR="00F47906" w:rsidRPr="00F26052">
              <w:rPr>
                <w:sz w:val="21"/>
                <w:szCs w:val="21"/>
              </w:rPr>
              <w:t>2010</w:t>
            </w:r>
            <w:r w:rsidR="008220A0">
              <w:rPr>
                <w:sz w:val="21"/>
                <w:szCs w:val="21"/>
              </w:rPr>
              <w:t>a</w:t>
            </w:r>
            <w:proofErr w:type="spellEnd"/>
            <w:r w:rsidR="00F47906" w:rsidRPr="00F26052">
              <w:rPr>
                <w:sz w:val="21"/>
                <w:szCs w:val="21"/>
              </w:rPr>
              <w:t>) found the Australian Government RIA process to be generally strong. The review made recommendations to enhance the process</w:t>
            </w:r>
            <w:r>
              <w:rPr>
                <w:sz w:val="21"/>
                <w:szCs w:val="21"/>
              </w:rPr>
              <w:t>,</w:t>
            </w:r>
            <w:r w:rsidR="00F47906" w:rsidRPr="00F26052">
              <w:rPr>
                <w:sz w:val="21"/>
                <w:szCs w:val="21"/>
              </w:rPr>
              <w:t xml:space="preserve"> such as increasing accountability of ministers and other authorities.</w:t>
            </w:r>
          </w:p>
          <w:p w:rsidR="00F47906" w:rsidRPr="00913AA8" w:rsidRDefault="00F47906" w:rsidP="00913AA8">
            <w:pPr>
              <w:pStyle w:val="BoxListBullet"/>
              <w:rPr>
                <w:sz w:val="21"/>
                <w:szCs w:val="21"/>
              </w:rPr>
            </w:pPr>
            <w:r w:rsidRPr="00913AA8">
              <w:rPr>
                <w:sz w:val="21"/>
                <w:szCs w:val="21"/>
              </w:rPr>
              <w:t xml:space="preserve">The Australian Government RIA process was also revised in late 2006, following the Regulation Taskforce Report (2006), </w:t>
            </w:r>
            <w:r w:rsidR="006125D0" w:rsidRPr="00913AA8">
              <w:rPr>
                <w:sz w:val="21"/>
                <w:szCs w:val="21"/>
              </w:rPr>
              <w:t xml:space="preserve">and subsequently modified further in 2010. </w:t>
            </w:r>
          </w:p>
          <w:p w:rsidR="00916E36" w:rsidRPr="008D65CB" w:rsidRDefault="00916E36" w:rsidP="00916E36">
            <w:pPr>
              <w:pStyle w:val="BoxHeading1"/>
              <w:spacing w:before="160"/>
              <w:rPr>
                <w:szCs w:val="22"/>
              </w:rPr>
            </w:pPr>
            <w:r w:rsidRPr="008D65CB">
              <w:rPr>
                <w:szCs w:val="22"/>
              </w:rPr>
              <w:t xml:space="preserve">Victoria </w:t>
            </w:r>
          </w:p>
          <w:p w:rsidR="00916E36" w:rsidRPr="00F26052" w:rsidRDefault="00916E36" w:rsidP="00F26052">
            <w:pPr>
              <w:pStyle w:val="BoxListBullet"/>
              <w:rPr>
                <w:sz w:val="21"/>
                <w:szCs w:val="21"/>
              </w:rPr>
            </w:pPr>
            <w:r w:rsidRPr="00F26052">
              <w:rPr>
                <w:sz w:val="21"/>
                <w:szCs w:val="21"/>
              </w:rPr>
              <w:t>In 2011, the Victorian Competition and Efficiency Commission (</w:t>
            </w:r>
            <w:proofErr w:type="spellStart"/>
            <w:r w:rsidRPr="00F26052">
              <w:rPr>
                <w:sz w:val="21"/>
                <w:szCs w:val="21"/>
              </w:rPr>
              <w:t>VCEC</w:t>
            </w:r>
            <w:proofErr w:type="spellEnd"/>
            <w:r w:rsidRPr="00F26052">
              <w:rPr>
                <w:sz w:val="21"/>
                <w:szCs w:val="21"/>
              </w:rPr>
              <w:t>) reported on priorities for reforms to the Victorian regulatory system</w:t>
            </w:r>
            <w:r w:rsidR="00692654">
              <w:rPr>
                <w:sz w:val="21"/>
                <w:szCs w:val="21"/>
              </w:rPr>
              <w:t xml:space="preserve"> (</w:t>
            </w:r>
            <w:proofErr w:type="spellStart"/>
            <w:r w:rsidR="00692654">
              <w:rPr>
                <w:sz w:val="21"/>
                <w:szCs w:val="21"/>
              </w:rPr>
              <w:t>VCEC</w:t>
            </w:r>
            <w:proofErr w:type="spellEnd"/>
            <w:r w:rsidR="00692654">
              <w:rPr>
                <w:sz w:val="21"/>
                <w:szCs w:val="21"/>
              </w:rPr>
              <w:t xml:space="preserve"> </w:t>
            </w:r>
            <w:proofErr w:type="spellStart"/>
            <w:r w:rsidR="00692654">
              <w:rPr>
                <w:sz w:val="21"/>
                <w:szCs w:val="21"/>
              </w:rPr>
              <w:t>2011b</w:t>
            </w:r>
            <w:proofErr w:type="spellEnd"/>
            <w:r w:rsidR="00692654">
              <w:rPr>
                <w:sz w:val="21"/>
                <w:szCs w:val="21"/>
              </w:rPr>
              <w:t>)</w:t>
            </w:r>
            <w:r w:rsidRPr="00F26052">
              <w:rPr>
                <w:sz w:val="21"/>
                <w:szCs w:val="21"/>
              </w:rPr>
              <w:t xml:space="preserve">. With regard to </w:t>
            </w:r>
            <w:proofErr w:type="spellStart"/>
            <w:r w:rsidRPr="00F26052">
              <w:rPr>
                <w:sz w:val="21"/>
                <w:szCs w:val="21"/>
              </w:rPr>
              <w:t>RIA</w:t>
            </w:r>
            <w:proofErr w:type="spellEnd"/>
            <w:r w:rsidRPr="00F26052">
              <w:rPr>
                <w:sz w:val="21"/>
                <w:szCs w:val="21"/>
              </w:rPr>
              <w:t xml:space="preserve">, </w:t>
            </w:r>
            <w:proofErr w:type="spellStart"/>
            <w:r w:rsidRPr="00F26052">
              <w:rPr>
                <w:sz w:val="21"/>
                <w:szCs w:val="21"/>
              </w:rPr>
              <w:t>VCEC</w:t>
            </w:r>
            <w:proofErr w:type="spellEnd"/>
            <w:r w:rsidRPr="00F26052">
              <w:rPr>
                <w:sz w:val="21"/>
                <w:szCs w:val="21"/>
              </w:rPr>
              <w:t xml:space="preserve"> recommended a move to a single impact assessment process for primary and subordinate legislation, a broadening in the scope of instruments and sectors covered, publication of all </w:t>
            </w:r>
            <w:proofErr w:type="spellStart"/>
            <w:r w:rsidRPr="00F26052">
              <w:rPr>
                <w:sz w:val="21"/>
                <w:szCs w:val="21"/>
              </w:rPr>
              <w:t>VCEC</w:t>
            </w:r>
            <w:proofErr w:type="spellEnd"/>
            <w:r w:rsidRPr="00F26052">
              <w:rPr>
                <w:sz w:val="21"/>
                <w:szCs w:val="21"/>
              </w:rPr>
              <w:t xml:space="preserve"> </w:t>
            </w:r>
            <w:proofErr w:type="spellStart"/>
            <w:r w:rsidRPr="00F26052">
              <w:rPr>
                <w:sz w:val="21"/>
                <w:szCs w:val="21"/>
              </w:rPr>
              <w:t>RIS</w:t>
            </w:r>
            <w:proofErr w:type="spellEnd"/>
            <w:r w:rsidRPr="00F26052">
              <w:rPr>
                <w:sz w:val="21"/>
                <w:szCs w:val="21"/>
              </w:rPr>
              <w:t xml:space="preserve"> assessment letters and a broadening in the range of options considered in preliminary consultation processes.</w:t>
            </w:r>
          </w:p>
          <w:p w:rsidR="00916E36" w:rsidRDefault="00916E36" w:rsidP="007D3E61">
            <w:pPr>
              <w:pStyle w:val="BoxListBullet"/>
              <w:rPr>
                <w:sz w:val="21"/>
                <w:szCs w:val="21"/>
              </w:rPr>
            </w:pPr>
            <w:r w:rsidRPr="00F26052">
              <w:rPr>
                <w:sz w:val="21"/>
                <w:szCs w:val="21"/>
              </w:rPr>
              <w:t xml:space="preserve">As input into the </w:t>
            </w:r>
            <w:proofErr w:type="spellStart"/>
            <w:r w:rsidRPr="00F26052">
              <w:rPr>
                <w:sz w:val="21"/>
                <w:szCs w:val="21"/>
              </w:rPr>
              <w:t>VCEC</w:t>
            </w:r>
            <w:proofErr w:type="spellEnd"/>
            <w:r w:rsidRPr="00F26052">
              <w:rPr>
                <w:sz w:val="21"/>
                <w:szCs w:val="21"/>
              </w:rPr>
              <w:t xml:space="preserve"> inquiry, Access Economics (2010) reviewed the effectiveness of the Victorian RIS process. Access Economics found the Victorian system performed well in relation to OECD guiding principles, but identified areas for improvement including greater emphasis on policy development throughout the RIS process, more consideration of non-regulatory options and earlie</w:t>
            </w:r>
            <w:r w:rsidR="007D3E61">
              <w:rPr>
                <w:sz w:val="21"/>
                <w:szCs w:val="21"/>
              </w:rPr>
              <w:t>r engagement with stakeholders.</w:t>
            </w:r>
          </w:p>
          <w:p w:rsidR="00F708D7" w:rsidRPr="008D65CB" w:rsidRDefault="00F708D7" w:rsidP="00F708D7">
            <w:pPr>
              <w:pStyle w:val="BoxHeading1"/>
              <w:spacing w:before="160"/>
              <w:rPr>
                <w:szCs w:val="22"/>
              </w:rPr>
            </w:pPr>
            <w:r w:rsidRPr="008D65CB">
              <w:rPr>
                <w:szCs w:val="22"/>
              </w:rPr>
              <w:t xml:space="preserve">New South Wales </w:t>
            </w:r>
          </w:p>
          <w:p w:rsidR="00F708D7" w:rsidRDefault="00F708D7" w:rsidP="00F708D7">
            <w:pPr>
              <w:pStyle w:val="BoxListBullet"/>
              <w:spacing w:before="80" w:line="270" w:lineRule="atLeast"/>
              <w:rPr>
                <w:sz w:val="21"/>
                <w:szCs w:val="21"/>
              </w:rPr>
            </w:pPr>
            <w:r w:rsidRPr="00F26052">
              <w:rPr>
                <w:sz w:val="21"/>
                <w:szCs w:val="21"/>
              </w:rPr>
              <w:t>The Better Regulation Office (BRO) released an issues paper in September 2011 which highlighted scope to improve consistency in the New South Wales regulatory process across different types of regulation, to centralise notice for RIA consultation, to introduce a post implementation review process and to publi</w:t>
            </w:r>
            <w:r>
              <w:rPr>
                <w:sz w:val="21"/>
                <w:szCs w:val="21"/>
              </w:rPr>
              <w:t xml:space="preserve">sh RIA compliance information. </w:t>
            </w:r>
          </w:p>
          <w:p w:rsidR="00F708D7" w:rsidRPr="00FA1CA1" w:rsidRDefault="00F708D7" w:rsidP="00FA1CA1">
            <w:pPr>
              <w:pStyle w:val="BoxListBullet"/>
              <w:spacing w:before="80" w:line="270" w:lineRule="atLeast"/>
              <w:rPr>
                <w:sz w:val="21"/>
                <w:szCs w:val="21"/>
              </w:rPr>
            </w:pPr>
            <w:r w:rsidRPr="007D3E61">
              <w:rPr>
                <w:sz w:val="21"/>
                <w:szCs w:val="21"/>
              </w:rPr>
              <w:t>The New South Wales system had previously been reviewed by the Independent Pricing and Regulatory Tribunal (</w:t>
            </w:r>
            <w:proofErr w:type="spellStart"/>
            <w:r w:rsidRPr="007D3E61">
              <w:rPr>
                <w:sz w:val="21"/>
                <w:szCs w:val="21"/>
              </w:rPr>
              <w:t>IPART</w:t>
            </w:r>
            <w:proofErr w:type="spellEnd"/>
            <w:r w:rsidRPr="007D3E61">
              <w:rPr>
                <w:sz w:val="21"/>
                <w:szCs w:val="21"/>
              </w:rPr>
              <w:t xml:space="preserve"> 2006). Recommendations of this review led to the creation of the BRO and informed the development of the </w:t>
            </w:r>
            <w:r w:rsidRPr="007D3E61">
              <w:rPr>
                <w:i/>
                <w:sz w:val="21"/>
                <w:szCs w:val="21"/>
              </w:rPr>
              <w:t>Guide to Better Regulation</w:t>
            </w:r>
            <w:r w:rsidRPr="007D3E61">
              <w:rPr>
                <w:sz w:val="21"/>
                <w:szCs w:val="21"/>
              </w:rPr>
              <w:t xml:space="preserve"> (NSW DPC 2009).</w:t>
            </w:r>
          </w:p>
        </w:tc>
      </w:tr>
      <w:tr w:rsidR="00F47906">
        <w:trPr>
          <w:cantSplit/>
        </w:trPr>
        <w:tc>
          <w:tcPr>
            <w:tcW w:w="8771" w:type="dxa"/>
            <w:tcBorders>
              <w:top w:val="nil"/>
              <w:left w:val="single" w:sz="6" w:space="0" w:color="auto"/>
              <w:bottom w:val="nil"/>
              <w:right w:val="single" w:sz="6" w:space="0" w:color="auto"/>
            </w:tcBorders>
          </w:tcPr>
          <w:p w:rsidR="00F47906" w:rsidRDefault="00FA1CA1" w:rsidP="00F47906">
            <w:pPr>
              <w:pStyle w:val="Continued"/>
            </w:pPr>
            <w:r>
              <w:t>(</w:t>
            </w:r>
            <w:r w:rsidR="00F47906">
              <w:t>Continued next page</w:t>
            </w:r>
            <w:r>
              <w:t>)</w:t>
            </w:r>
          </w:p>
        </w:tc>
      </w:tr>
      <w:tr w:rsidR="00F47906">
        <w:trPr>
          <w:cantSplit/>
        </w:trPr>
        <w:tc>
          <w:tcPr>
            <w:tcW w:w="8771" w:type="dxa"/>
            <w:tcBorders>
              <w:top w:val="nil"/>
              <w:left w:val="single" w:sz="6" w:space="0" w:color="auto"/>
              <w:bottom w:val="single" w:sz="6" w:space="0" w:color="auto"/>
              <w:right w:val="single" w:sz="6" w:space="0" w:color="auto"/>
            </w:tcBorders>
          </w:tcPr>
          <w:p w:rsidR="00F47906" w:rsidRDefault="00F47906">
            <w:pPr>
              <w:pStyle w:val="Box"/>
              <w:spacing w:before="0" w:line="120" w:lineRule="exact"/>
            </w:pPr>
          </w:p>
        </w:tc>
      </w:tr>
      <w:tr w:rsidR="00F47906" w:rsidRPr="000863A5">
        <w:tc>
          <w:tcPr>
            <w:tcW w:w="8771" w:type="dxa"/>
            <w:tcBorders>
              <w:top w:val="nil"/>
              <w:left w:val="nil"/>
              <w:bottom w:val="nil"/>
              <w:right w:val="nil"/>
            </w:tcBorders>
          </w:tcPr>
          <w:p w:rsidR="00F47906" w:rsidRPr="000863A5" w:rsidRDefault="00F47906" w:rsidP="00F47906">
            <w:pPr>
              <w:pStyle w:val="Box"/>
              <w:keepNext w:val="0"/>
              <w:spacing w:before="60" w:after="60" w:line="80" w:lineRule="exact"/>
              <w:rPr>
                <w:b/>
                <w:sz w:val="14"/>
              </w:rPr>
            </w:pPr>
          </w:p>
        </w:tc>
      </w:tr>
    </w:tbl>
    <w:p w:rsidR="00973C66" w:rsidRPr="00916E36" w:rsidRDefault="00973C6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3C66">
        <w:tc>
          <w:tcPr>
            <w:tcW w:w="8771" w:type="dxa"/>
            <w:tcBorders>
              <w:top w:val="single" w:sz="6" w:space="0" w:color="auto"/>
              <w:bottom w:val="nil"/>
            </w:tcBorders>
          </w:tcPr>
          <w:p w:rsidR="00973C66" w:rsidRDefault="00973C66" w:rsidP="008D7DD7">
            <w:pPr>
              <w:pStyle w:val="BoxTitle"/>
            </w:pPr>
            <w:r>
              <w:rPr>
                <w:b w:val="0"/>
              </w:rPr>
              <w:t xml:space="preserve">Box </w:t>
            </w:r>
            <w:r w:rsidR="008D7DD7" w:rsidRPr="008D7DD7">
              <w:rPr>
                <w:b w:val="0"/>
              </w:rPr>
              <w:t>1.3</w:t>
            </w:r>
            <w:r>
              <w:tab/>
            </w:r>
            <w:r w:rsidR="00FA1CA1" w:rsidRPr="00FA1CA1">
              <w:rPr>
                <w:b w:val="0"/>
                <w:sz w:val="18"/>
                <w:szCs w:val="18"/>
              </w:rPr>
              <w:t>(</w:t>
            </w:r>
            <w:r w:rsidR="00FA1CA1">
              <w:rPr>
                <w:b w:val="0"/>
                <w:sz w:val="18"/>
                <w:szCs w:val="18"/>
              </w:rPr>
              <w:t>c</w:t>
            </w:r>
            <w:r w:rsidR="00F47906" w:rsidRPr="00F47906">
              <w:rPr>
                <w:b w:val="0"/>
                <w:sz w:val="18"/>
                <w:szCs w:val="18"/>
              </w:rPr>
              <w:t>ontinued</w:t>
            </w:r>
            <w:r w:rsidR="00FA1CA1">
              <w:rPr>
                <w:b w:val="0"/>
                <w:sz w:val="18"/>
                <w:szCs w:val="18"/>
              </w:rPr>
              <w:t>)</w:t>
            </w:r>
          </w:p>
        </w:tc>
      </w:tr>
      <w:tr w:rsidR="00973C66" w:rsidTr="00916E36">
        <w:trPr>
          <w:cantSplit/>
          <w:trHeight w:val="4800"/>
        </w:trPr>
        <w:tc>
          <w:tcPr>
            <w:tcW w:w="8771" w:type="dxa"/>
            <w:tcBorders>
              <w:top w:val="nil"/>
              <w:left w:val="single" w:sz="6" w:space="0" w:color="auto"/>
              <w:bottom w:val="nil"/>
              <w:right w:val="single" w:sz="6" w:space="0" w:color="auto"/>
            </w:tcBorders>
          </w:tcPr>
          <w:p w:rsidR="00973C66" w:rsidRPr="008D65CB" w:rsidRDefault="00973C66" w:rsidP="008D65CB">
            <w:pPr>
              <w:pStyle w:val="BoxHeading1"/>
              <w:tabs>
                <w:tab w:val="left" w:pos="4965"/>
              </w:tabs>
              <w:rPr>
                <w:szCs w:val="22"/>
              </w:rPr>
            </w:pPr>
            <w:r w:rsidRPr="008D65CB">
              <w:rPr>
                <w:szCs w:val="22"/>
              </w:rPr>
              <w:t>Queensland</w:t>
            </w:r>
          </w:p>
          <w:p w:rsidR="00654990" w:rsidRPr="00F26052" w:rsidRDefault="009C08AA" w:rsidP="00270FF8">
            <w:pPr>
              <w:pStyle w:val="BoxListBullet"/>
              <w:spacing w:before="80" w:line="270" w:lineRule="atLeast"/>
              <w:rPr>
                <w:sz w:val="21"/>
                <w:szCs w:val="21"/>
              </w:rPr>
            </w:pPr>
            <w:r w:rsidRPr="00F26052">
              <w:rPr>
                <w:sz w:val="21"/>
                <w:szCs w:val="21"/>
              </w:rPr>
              <w:t>The Auditor</w:t>
            </w:r>
            <w:r w:rsidR="00270FF8" w:rsidRPr="00F26052">
              <w:rPr>
                <w:sz w:val="21"/>
                <w:szCs w:val="21"/>
              </w:rPr>
              <w:t>-</w:t>
            </w:r>
            <w:r w:rsidR="00D5663D" w:rsidRPr="00F26052">
              <w:rPr>
                <w:sz w:val="21"/>
                <w:szCs w:val="21"/>
              </w:rPr>
              <w:t xml:space="preserve">General </w:t>
            </w:r>
            <w:r w:rsidR="008C75EA" w:rsidRPr="00F26052">
              <w:rPr>
                <w:sz w:val="21"/>
                <w:szCs w:val="21"/>
              </w:rPr>
              <w:t xml:space="preserve">(2011), in </w:t>
            </w:r>
            <w:r w:rsidR="00F94A6A" w:rsidRPr="00F26052">
              <w:rPr>
                <w:sz w:val="21"/>
                <w:szCs w:val="21"/>
              </w:rPr>
              <w:t xml:space="preserve">following up on a 2009 audit of the </w:t>
            </w:r>
            <w:r w:rsidR="008C75EA" w:rsidRPr="00F26052">
              <w:rPr>
                <w:sz w:val="21"/>
                <w:szCs w:val="21"/>
              </w:rPr>
              <w:t xml:space="preserve">Queensland </w:t>
            </w:r>
            <w:r w:rsidR="00F94A6A" w:rsidRPr="00F26052">
              <w:rPr>
                <w:sz w:val="21"/>
                <w:szCs w:val="21"/>
              </w:rPr>
              <w:t>RIA</w:t>
            </w:r>
            <w:r w:rsidR="00FA4F68" w:rsidRPr="00F26052">
              <w:rPr>
                <w:sz w:val="21"/>
                <w:szCs w:val="21"/>
              </w:rPr>
              <w:t xml:space="preserve"> process</w:t>
            </w:r>
            <w:r w:rsidR="008C75EA" w:rsidRPr="00F26052">
              <w:rPr>
                <w:sz w:val="21"/>
                <w:szCs w:val="21"/>
              </w:rPr>
              <w:t xml:space="preserve">, </w:t>
            </w:r>
            <w:r w:rsidR="00D5663D" w:rsidRPr="00F26052">
              <w:rPr>
                <w:sz w:val="21"/>
                <w:szCs w:val="21"/>
              </w:rPr>
              <w:t>report</w:t>
            </w:r>
            <w:r w:rsidR="008C75EA" w:rsidRPr="00F26052">
              <w:rPr>
                <w:sz w:val="21"/>
                <w:szCs w:val="21"/>
              </w:rPr>
              <w:t>ed</w:t>
            </w:r>
            <w:r w:rsidR="00BC11A4" w:rsidRPr="00F26052">
              <w:rPr>
                <w:sz w:val="21"/>
                <w:szCs w:val="21"/>
              </w:rPr>
              <w:t xml:space="preserve"> </w:t>
            </w:r>
            <w:r w:rsidR="00FA4F68" w:rsidRPr="00F26052">
              <w:rPr>
                <w:sz w:val="21"/>
                <w:szCs w:val="21"/>
              </w:rPr>
              <w:t xml:space="preserve">the </w:t>
            </w:r>
            <w:r w:rsidR="008C75EA" w:rsidRPr="00F26052">
              <w:rPr>
                <w:sz w:val="21"/>
                <w:szCs w:val="21"/>
              </w:rPr>
              <w:t xml:space="preserve">RIA process had been improved to incorporate better regulatory principles and </w:t>
            </w:r>
            <w:r w:rsidR="00574F0F" w:rsidRPr="00F26052">
              <w:rPr>
                <w:sz w:val="21"/>
                <w:szCs w:val="21"/>
              </w:rPr>
              <w:t xml:space="preserve">to </w:t>
            </w:r>
            <w:r w:rsidR="008C75EA" w:rsidRPr="00F26052">
              <w:rPr>
                <w:sz w:val="21"/>
                <w:szCs w:val="21"/>
              </w:rPr>
              <w:t xml:space="preserve">apply to a broader </w:t>
            </w:r>
            <w:r w:rsidR="00270FF8" w:rsidRPr="00F26052">
              <w:rPr>
                <w:sz w:val="21"/>
                <w:szCs w:val="21"/>
              </w:rPr>
              <w:t xml:space="preserve">range </w:t>
            </w:r>
            <w:r w:rsidR="008C75EA" w:rsidRPr="00F26052">
              <w:rPr>
                <w:sz w:val="21"/>
                <w:szCs w:val="21"/>
              </w:rPr>
              <w:t>of regulation</w:t>
            </w:r>
            <w:r w:rsidR="00270FF8" w:rsidRPr="00F26052">
              <w:rPr>
                <w:sz w:val="21"/>
                <w:szCs w:val="21"/>
              </w:rPr>
              <w:t>s</w:t>
            </w:r>
            <w:r w:rsidR="008C75EA" w:rsidRPr="00F26052">
              <w:rPr>
                <w:sz w:val="21"/>
                <w:szCs w:val="21"/>
              </w:rPr>
              <w:t xml:space="preserve">. </w:t>
            </w:r>
            <w:r w:rsidR="00E440CE" w:rsidRPr="00F26052">
              <w:rPr>
                <w:sz w:val="21"/>
                <w:szCs w:val="21"/>
              </w:rPr>
              <w:t>A</w:t>
            </w:r>
            <w:r w:rsidR="00D5663D" w:rsidRPr="00F26052">
              <w:rPr>
                <w:sz w:val="21"/>
                <w:szCs w:val="21"/>
              </w:rPr>
              <w:t>mendments to legislation to provide</w:t>
            </w:r>
            <w:r w:rsidR="00F94A6A" w:rsidRPr="00F26052">
              <w:rPr>
                <w:sz w:val="21"/>
                <w:szCs w:val="21"/>
              </w:rPr>
              <w:t xml:space="preserve"> appropriate support for the RIA </w:t>
            </w:r>
            <w:r w:rsidR="007028DC" w:rsidRPr="00F26052">
              <w:rPr>
                <w:sz w:val="21"/>
                <w:szCs w:val="21"/>
              </w:rPr>
              <w:t>process</w:t>
            </w:r>
            <w:r w:rsidR="00E440CE" w:rsidRPr="00F26052">
              <w:rPr>
                <w:sz w:val="21"/>
                <w:szCs w:val="21"/>
              </w:rPr>
              <w:t xml:space="preserve"> were recommended</w:t>
            </w:r>
            <w:r w:rsidR="00F94A6A" w:rsidRPr="00F26052">
              <w:rPr>
                <w:sz w:val="21"/>
                <w:szCs w:val="21"/>
              </w:rPr>
              <w:t>.</w:t>
            </w:r>
          </w:p>
          <w:p w:rsidR="00EB4120" w:rsidRPr="00F26052" w:rsidRDefault="00F47906" w:rsidP="00270FF8">
            <w:pPr>
              <w:pStyle w:val="BoxListBullet"/>
              <w:spacing w:before="80" w:line="270" w:lineRule="atLeast"/>
              <w:rPr>
                <w:sz w:val="21"/>
                <w:szCs w:val="21"/>
              </w:rPr>
            </w:pPr>
            <w:r w:rsidRPr="00F26052">
              <w:rPr>
                <w:sz w:val="21"/>
                <w:szCs w:val="21"/>
              </w:rPr>
              <w:t xml:space="preserve">In July 2012, the Queensland Office of Best Practice Regulation was established in the Queensland Competition Authority (an independent statutory authority) to assess the adequacy of </w:t>
            </w:r>
            <w:proofErr w:type="spellStart"/>
            <w:r w:rsidRPr="00F26052">
              <w:rPr>
                <w:sz w:val="21"/>
                <w:szCs w:val="21"/>
              </w:rPr>
              <w:t>RISs</w:t>
            </w:r>
            <w:proofErr w:type="spellEnd"/>
            <w:r w:rsidRPr="00F26052">
              <w:rPr>
                <w:sz w:val="21"/>
                <w:szCs w:val="21"/>
              </w:rPr>
              <w:t xml:space="preserve"> and report on compliance with </w:t>
            </w:r>
            <w:proofErr w:type="spellStart"/>
            <w:r w:rsidRPr="00F26052">
              <w:rPr>
                <w:sz w:val="21"/>
                <w:szCs w:val="21"/>
              </w:rPr>
              <w:t>RIA</w:t>
            </w:r>
            <w:proofErr w:type="spellEnd"/>
            <w:r w:rsidRPr="00F26052">
              <w:rPr>
                <w:sz w:val="21"/>
                <w:szCs w:val="21"/>
              </w:rPr>
              <w:t xml:space="preserve"> </w:t>
            </w:r>
            <w:r w:rsidR="008D7DD7" w:rsidRPr="00F26052">
              <w:rPr>
                <w:sz w:val="21"/>
                <w:szCs w:val="21"/>
              </w:rPr>
              <w:t>(</w:t>
            </w:r>
            <w:proofErr w:type="spellStart"/>
            <w:r w:rsidR="008D7DD7" w:rsidRPr="00F26052">
              <w:rPr>
                <w:sz w:val="21"/>
                <w:szCs w:val="21"/>
              </w:rPr>
              <w:t>QCA</w:t>
            </w:r>
            <w:proofErr w:type="spellEnd"/>
            <w:r w:rsidR="008D7DD7" w:rsidRPr="00F26052">
              <w:rPr>
                <w:sz w:val="21"/>
                <w:szCs w:val="21"/>
              </w:rPr>
              <w:t xml:space="preserve"> 2012).</w:t>
            </w:r>
            <w:r w:rsidR="00F26052">
              <w:rPr>
                <w:sz w:val="21"/>
                <w:szCs w:val="21"/>
              </w:rPr>
              <w:t xml:space="preserve"> Previously regulatory oversight was undertaken by the Department of Treasury.</w:t>
            </w:r>
            <w:r w:rsidR="008D7DD7" w:rsidRPr="00F26052">
              <w:rPr>
                <w:sz w:val="21"/>
                <w:szCs w:val="21"/>
              </w:rPr>
              <w:t xml:space="preserve"> K</w:t>
            </w:r>
            <w:r w:rsidRPr="00F26052">
              <w:rPr>
                <w:sz w:val="21"/>
                <w:szCs w:val="21"/>
              </w:rPr>
              <w:t>ey features of the revised process are noted throughout the report where relevant.</w:t>
            </w:r>
          </w:p>
          <w:p w:rsidR="00F47906" w:rsidRDefault="00F47906" w:rsidP="00F47906">
            <w:pPr>
              <w:pStyle w:val="BoxHeading1"/>
            </w:pPr>
            <w:r>
              <w:t>South Australia</w:t>
            </w:r>
          </w:p>
          <w:p w:rsidR="00F47906" w:rsidRPr="00F26052" w:rsidRDefault="00F30FF3" w:rsidP="00692654">
            <w:pPr>
              <w:pStyle w:val="BoxListBullet"/>
              <w:rPr>
                <w:sz w:val="21"/>
                <w:szCs w:val="21"/>
              </w:rPr>
            </w:pPr>
            <w:r w:rsidRPr="00F26052">
              <w:rPr>
                <w:sz w:val="21"/>
                <w:szCs w:val="21"/>
              </w:rPr>
              <w:t xml:space="preserve">The </w:t>
            </w:r>
            <w:r w:rsidRPr="00F26052">
              <w:rPr>
                <w:i/>
                <w:sz w:val="21"/>
                <w:szCs w:val="21"/>
              </w:rPr>
              <w:t>Better Regulation Handbook</w:t>
            </w:r>
            <w:r w:rsidR="00F26052">
              <w:rPr>
                <w:sz w:val="21"/>
                <w:szCs w:val="21"/>
              </w:rPr>
              <w:t xml:space="preserve"> (SA </w:t>
            </w:r>
            <w:proofErr w:type="spellStart"/>
            <w:r w:rsidR="00692654">
              <w:rPr>
                <w:sz w:val="21"/>
                <w:szCs w:val="21"/>
              </w:rPr>
              <w:t>DPC</w:t>
            </w:r>
            <w:proofErr w:type="spellEnd"/>
            <w:r w:rsidR="00692654">
              <w:rPr>
                <w:sz w:val="21"/>
                <w:szCs w:val="21"/>
              </w:rPr>
              <w:t xml:space="preserve"> and </w:t>
            </w:r>
            <w:proofErr w:type="spellStart"/>
            <w:r w:rsidR="00692654">
              <w:rPr>
                <w:sz w:val="21"/>
                <w:szCs w:val="21"/>
              </w:rPr>
              <w:t>DTF</w:t>
            </w:r>
            <w:proofErr w:type="spellEnd"/>
            <w:r w:rsidR="00692654">
              <w:rPr>
                <w:sz w:val="21"/>
                <w:szCs w:val="21"/>
              </w:rPr>
              <w:t xml:space="preserve"> </w:t>
            </w:r>
            <w:r w:rsidRPr="00F26052">
              <w:rPr>
                <w:sz w:val="21"/>
                <w:szCs w:val="21"/>
              </w:rPr>
              <w:t>2011</w:t>
            </w:r>
            <w:r w:rsidR="00F26052">
              <w:rPr>
                <w:sz w:val="21"/>
                <w:szCs w:val="21"/>
              </w:rPr>
              <w:t>)</w:t>
            </w:r>
            <w:r w:rsidRPr="00F26052">
              <w:rPr>
                <w:sz w:val="21"/>
                <w:szCs w:val="21"/>
              </w:rPr>
              <w:t xml:space="preserve">, introduced a new and more formalised process for RIA, in line with the 2007 COAG–agreed </w:t>
            </w:r>
            <w:r w:rsidR="00F26052" w:rsidRPr="00F26052">
              <w:rPr>
                <w:sz w:val="21"/>
                <w:szCs w:val="21"/>
              </w:rPr>
              <w:t xml:space="preserve">best practice </w:t>
            </w:r>
            <w:r w:rsidRPr="00F26052">
              <w:rPr>
                <w:sz w:val="21"/>
                <w:szCs w:val="21"/>
              </w:rPr>
              <w:t>principles, and for the first time, outlined RIA requirements in a public document (rather than a Cabinet Circular)</w:t>
            </w:r>
            <w:r w:rsidR="00F26052" w:rsidRPr="00F26052">
              <w:rPr>
                <w:sz w:val="21"/>
                <w:szCs w:val="21"/>
              </w:rPr>
              <w:t xml:space="preserve"> (pers. comm., SA DPC, August 2012)</w:t>
            </w:r>
            <w:r w:rsidRPr="00F26052">
              <w:rPr>
                <w:sz w:val="21"/>
                <w:szCs w:val="21"/>
              </w:rPr>
              <w:t>.</w:t>
            </w:r>
          </w:p>
        </w:tc>
      </w:tr>
      <w:tr w:rsidR="00973C66" w:rsidTr="00916E36">
        <w:trPr>
          <w:cantSplit/>
          <w:trHeight w:val="72"/>
        </w:trPr>
        <w:tc>
          <w:tcPr>
            <w:tcW w:w="8771" w:type="dxa"/>
            <w:tcBorders>
              <w:top w:val="nil"/>
              <w:left w:val="single" w:sz="6" w:space="0" w:color="auto"/>
              <w:bottom w:val="single" w:sz="6" w:space="0" w:color="auto"/>
              <w:right w:val="single" w:sz="6" w:space="0" w:color="auto"/>
            </w:tcBorders>
          </w:tcPr>
          <w:p w:rsidR="00973C66" w:rsidRDefault="00973C66">
            <w:pPr>
              <w:pStyle w:val="Box"/>
              <w:spacing w:before="0" w:line="120" w:lineRule="exact"/>
            </w:pPr>
          </w:p>
        </w:tc>
      </w:tr>
    </w:tbl>
    <w:p w:rsidR="00F708D7" w:rsidRDefault="00F708D7" w:rsidP="00F708D7">
      <w:pPr>
        <w:pStyle w:val="BodyText"/>
      </w:pPr>
      <w:r>
        <w:t xml:space="preserve">As detailed in the terms of reference to the Commission’s study, the implementation plan for the ‘regulation making and review’ reform stream in the </w:t>
      </w:r>
      <w:r w:rsidRPr="00672DF5">
        <w:rPr>
          <w:i/>
        </w:rPr>
        <w:t>National Partnership Agreement to Deliver a Seamless National Economy</w:t>
      </w:r>
      <w:r>
        <w:t xml:space="preserve"> (</w:t>
      </w:r>
      <w:proofErr w:type="spellStart"/>
      <w:r>
        <w:t>SNE</w:t>
      </w:r>
      <w:proofErr w:type="spellEnd"/>
      <w:r>
        <w:t>) also required all jurisdictions to review their RIA processes during 2010 and 2011. In particular, jurisdictions consider</w:t>
      </w:r>
      <w:r w:rsidR="009E6225">
        <w:t>ed</w:t>
      </w:r>
      <w:r>
        <w:t xml:space="preserve"> opportunities for enhancing existing arrangements in areas such as consideration of national market implications, publication of </w:t>
      </w:r>
      <w:proofErr w:type="spellStart"/>
      <w:r>
        <w:t>RISs</w:t>
      </w:r>
      <w:proofErr w:type="spellEnd"/>
      <w:r>
        <w:t xml:space="preserve"> and fostering cultural change in regulation making. </w:t>
      </w:r>
    </w:p>
    <w:p w:rsidR="00E84066" w:rsidRPr="00E84066" w:rsidRDefault="008D7DD7" w:rsidP="008E60E5">
      <w:pPr>
        <w:pStyle w:val="Heading2"/>
        <w:spacing w:before="480"/>
      </w:pPr>
      <w:r>
        <w:t>1.</w:t>
      </w:r>
      <w:r w:rsidR="0037184F">
        <w:rPr>
          <w:noProof/>
        </w:rPr>
        <w:t>3</w:t>
      </w:r>
      <w:r w:rsidR="00E84066">
        <w:tab/>
      </w:r>
      <w:r w:rsidR="001B2F40">
        <w:t>Th</w:t>
      </w:r>
      <w:r w:rsidR="008408A2">
        <w:t>e Commission’s study</w:t>
      </w:r>
    </w:p>
    <w:p w:rsidR="001B2F40" w:rsidRDefault="00AB650F" w:rsidP="008E60E5">
      <w:pPr>
        <w:pStyle w:val="BodyText"/>
        <w:spacing w:before="180"/>
      </w:pPr>
      <w:r>
        <w:t xml:space="preserve">The Commission </w:t>
      </w:r>
      <w:r w:rsidR="00643E4C">
        <w:t>was</w:t>
      </w:r>
      <w:r>
        <w:t xml:space="preserve"> asked to undertake a study to benchmark the efficiency and quality of </w:t>
      </w:r>
      <w:r w:rsidR="002D0662">
        <w:t>RIA</w:t>
      </w:r>
      <w:r>
        <w:t xml:space="preserve"> processes</w:t>
      </w:r>
      <w:r w:rsidR="0004142A">
        <w:t xml:space="preserve"> in the ten jurisdictions</w:t>
      </w:r>
      <w:r>
        <w:t>, as at January 2012</w:t>
      </w:r>
      <w:r w:rsidR="006720FE">
        <w:t xml:space="preserve">. </w:t>
      </w:r>
      <w:r w:rsidR="00F90EC3">
        <w:t xml:space="preserve">The full terms of reference for the study are set out on </w:t>
      </w:r>
      <w:r w:rsidR="00F90EC3" w:rsidRPr="009E6225">
        <w:t>page iv</w:t>
      </w:r>
      <w:r w:rsidR="00F90EC3" w:rsidRPr="00EE74FC">
        <w:t>.</w:t>
      </w:r>
      <w:r w:rsidR="001B2F40">
        <w:t xml:space="preserve"> The study was added </w:t>
      </w:r>
      <w:r w:rsidR="0004142A">
        <w:t>to the</w:t>
      </w:r>
      <w:r w:rsidR="008B37A9">
        <w:t xml:space="preserve"> </w:t>
      </w:r>
      <w:proofErr w:type="spellStart"/>
      <w:r w:rsidR="008B37A9">
        <w:t>SNE</w:t>
      </w:r>
      <w:proofErr w:type="spellEnd"/>
      <w:r w:rsidR="0004142A">
        <w:t xml:space="preserve"> reform stream</w:t>
      </w:r>
      <w:r w:rsidR="008B37A9">
        <w:t xml:space="preserve"> </w:t>
      </w:r>
      <w:r w:rsidR="0004142A">
        <w:t xml:space="preserve">to move </w:t>
      </w:r>
      <w:r w:rsidR="008B37A9">
        <w:t xml:space="preserve">reform </w:t>
      </w:r>
      <w:r w:rsidR="001B2F40">
        <w:t>focus from ‘principles and the implementation of better regulatory decision-making processes’ to assessing whether these changes are delivering improved regulation and identifying the need for further reforms (CRC 2009).</w:t>
      </w:r>
    </w:p>
    <w:p w:rsidR="001B2F40" w:rsidRDefault="00320314" w:rsidP="008E60E5">
      <w:pPr>
        <w:pStyle w:val="BodyText"/>
        <w:spacing w:before="180"/>
      </w:pPr>
      <w:r w:rsidRPr="00D20AE6">
        <w:t>The purpose of the benchmarking study is not to develop a harmonised approach to RIA processes, but to compare processes and identify</w:t>
      </w:r>
      <w:r>
        <w:t xml:space="preserve"> </w:t>
      </w:r>
      <w:r w:rsidRPr="000B7B70">
        <w:t xml:space="preserve">leading practice examples </w:t>
      </w:r>
      <w:r w:rsidR="002E0F03">
        <w:t xml:space="preserve">(within Australia or overseas) </w:t>
      </w:r>
      <w:r w:rsidRPr="000B7B70">
        <w:t xml:space="preserve">that might usefully inform consideration </w:t>
      </w:r>
      <w:r>
        <w:t xml:space="preserve">for reform </w:t>
      </w:r>
      <w:r w:rsidRPr="000B7B70">
        <w:t>by individual ju</w:t>
      </w:r>
      <w:r>
        <w:t>ris</w:t>
      </w:r>
      <w:r w:rsidRPr="000B7B70">
        <w:t>dictions.</w:t>
      </w:r>
      <w:r>
        <w:t xml:space="preserve"> </w:t>
      </w:r>
      <w:r w:rsidR="0001591C">
        <w:t>The</w:t>
      </w:r>
      <w:r w:rsidR="002E0F03" w:rsidRPr="002E0F03">
        <w:t xml:space="preserve"> leading practices are based, where possible, on the OECD recommendation on </w:t>
      </w:r>
      <w:proofErr w:type="spellStart"/>
      <w:r w:rsidR="002E0F03">
        <w:t>RIA</w:t>
      </w:r>
      <w:proofErr w:type="spellEnd"/>
      <w:r w:rsidR="002F0791">
        <w:t xml:space="preserve"> (OECD </w:t>
      </w:r>
      <w:proofErr w:type="spellStart"/>
      <w:r w:rsidR="002F0791">
        <w:t>2012</w:t>
      </w:r>
      <w:r w:rsidR="00692654">
        <w:t>a</w:t>
      </w:r>
      <w:proofErr w:type="spellEnd"/>
      <w:r w:rsidR="002F0791">
        <w:t>) and COAG</w:t>
      </w:r>
      <w:r w:rsidR="004A0133">
        <w:t>–</w:t>
      </w:r>
      <w:r w:rsidR="002E0F03" w:rsidRPr="002E0F03">
        <w:t>agreed best practice principles (</w:t>
      </w:r>
      <w:r w:rsidR="0001591C">
        <w:t xml:space="preserve">COAG </w:t>
      </w:r>
      <w:proofErr w:type="spellStart"/>
      <w:r w:rsidR="002E0F03" w:rsidRPr="002E0F03">
        <w:t>2007</w:t>
      </w:r>
      <w:r w:rsidR="00754479">
        <w:t>a</w:t>
      </w:r>
      <w:proofErr w:type="spellEnd"/>
      <w:r w:rsidR="002E0F03" w:rsidRPr="002E0F03">
        <w:t>). The</w:t>
      </w:r>
      <w:r w:rsidR="00FA1CA1">
        <w:t>se are</w:t>
      </w:r>
      <w:r w:rsidR="002E0F03" w:rsidRPr="002E0F03">
        <w:t xml:space="preserve"> set out in appendix C.</w:t>
      </w:r>
      <w:r w:rsidR="001B2F40">
        <w:t xml:space="preserve"> </w:t>
      </w:r>
    </w:p>
    <w:p w:rsidR="00320314" w:rsidRDefault="00161FAC" w:rsidP="008E60E5">
      <w:pPr>
        <w:pStyle w:val="BodyText"/>
        <w:spacing w:before="180"/>
      </w:pPr>
      <w:r>
        <w:lastRenderedPageBreak/>
        <w:t xml:space="preserve">The Commission </w:t>
      </w:r>
      <w:r w:rsidR="00643E4C">
        <w:t>was</w:t>
      </w:r>
      <w:r>
        <w:t xml:space="preserve"> also asked to </w:t>
      </w:r>
      <w:r w:rsidR="003D0524">
        <w:t>assess</w:t>
      </w:r>
      <w:r>
        <w:t xml:space="preserve"> the practical i</w:t>
      </w:r>
      <w:r w:rsidR="003D0524">
        <w:t>nfluenc</w:t>
      </w:r>
      <w:r w:rsidR="00416F2E">
        <w:t xml:space="preserve">e of RIA on the policy </w:t>
      </w:r>
      <w:r>
        <w:t xml:space="preserve">making process by evaluating mechanisms for </w:t>
      </w:r>
      <w:r w:rsidR="0004142A">
        <w:t>transparency,</w:t>
      </w:r>
      <w:r w:rsidR="00416F2E">
        <w:t xml:space="preserve"> </w:t>
      </w:r>
      <w:r>
        <w:t xml:space="preserve">accountability and compliance, identifying evidence where RIA processes have </w:t>
      </w:r>
      <w:r w:rsidR="0099743E">
        <w:t>le</w:t>
      </w:r>
      <w:r w:rsidR="003D0524">
        <w:t>d to</w:t>
      </w:r>
      <w:r>
        <w:t xml:space="preserve"> improved </w:t>
      </w:r>
      <w:r w:rsidR="003D0524">
        <w:t>regulation and reporting on</w:t>
      </w:r>
      <w:r>
        <w:t xml:space="preserve"> the extent and timing of </w:t>
      </w:r>
      <w:r w:rsidR="00FA1CA1">
        <w:t>m</w:t>
      </w:r>
      <w:r>
        <w:t>inisterial engagement with the RIA process.</w:t>
      </w:r>
    </w:p>
    <w:p w:rsidR="00B107FC" w:rsidRDefault="002A7406" w:rsidP="008E60E5">
      <w:pPr>
        <w:pStyle w:val="BodyText"/>
        <w:spacing w:before="180"/>
      </w:pPr>
      <w:r>
        <w:t xml:space="preserve">A number of other concerns </w:t>
      </w:r>
      <w:r w:rsidRPr="00876C3C">
        <w:t>provided</w:t>
      </w:r>
      <w:r>
        <w:t xml:space="preserve"> additional</w:t>
      </w:r>
      <w:r w:rsidRPr="00876C3C">
        <w:t xml:space="preserve"> impetus</w:t>
      </w:r>
      <w:r>
        <w:t xml:space="preserve"> for this study. The OECD (</w:t>
      </w:r>
      <w:proofErr w:type="spellStart"/>
      <w:r>
        <w:t>2010</w:t>
      </w:r>
      <w:r w:rsidR="008220A0">
        <w:t>a</w:t>
      </w:r>
      <w:proofErr w:type="spellEnd"/>
      <w:r w:rsidRPr="00876C3C">
        <w:t xml:space="preserve">) identified the need to </w:t>
      </w:r>
      <w:r>
        <w:t>strengthen the contribution of RIA</w:t>
      </w:r>
      <w:r w:rsidRPr="00876C3C">
        <w:t xml:space="preserve"> to policy development, including by improving the quantitative </w:t>
      </w:r>
      <w:r w:rsidR="0004142A">
        <w:t>evidence underpinning decisions</w:t>
      </w:r>
      <w:r w:rsidRPr="00876C3C">
        <w:t xml:space="preserve"> and the need for greater accountability arrangements. </w:t>
      </w:r>
      <w:r w:rsidR="00B107FC">
        <w:t>From its 2010 scorecard benchmarking</w:t>
      </w:r>
      <w:r w:rsidR="001B2F40">
        <w:t xml:space="preserve"> Commonwealth, stat</w:t>
      </w:r>
      <w:r w:rsidR="00AB272B">
        <w:t>e and territory regulation making processes</w:t>
      </w:r>
      <w:r w:rsidR="00B107FC">
        <w:t>, the Business Counci</w:t>
      </w:r>
      <w:r w:rsidR="001B2F40">
        <w:t>l of Australia (BCA) found that, w</w:t>
      </w:r>
      <w:r w:rsidR="00AB272B">
        <w:t xml:space="preserve">hile there had been some </w:t>
      </w:r>
      <w:r w:rsidR="00B107FC">
        <w:t>improvement since the previous 2007 s</w:t>
      </w:r>
      <w:r w:rsidR="001B2F40">
        <w:t>corecard,</w:t>
      </w:r>
      <w:r w:rsidR="00B107FC">
        <w:t xml:space="preserve"> </w:t>
      </w:r>
      <w:r w:rsidR="00B107FC" w:rsidRPr="00A53D2A">
        <w:t xml:space="preserve">recommendations </w:t>
      </w:r>
      <w:r w:rsidR="00B107FC">
        <w:t>for improving</w:t>
      </w:r>
      <w:r w:rsidR="00B107FC" w:rsidRPr="00A53D2A">
        <w:t xml:space="preserve"> transparency and accountability </w:t>
      </w:r>
      <w:r w:rsidR="00AB272B">
        <w:t xml:space="preserve">that had been </w:t>
      </w:r>
      <w:r w:rsidR="00AB272B" w:rsidRPr="00A53D2A">
        <w:t xml:space="preserve">made in 2007 </w:t>
      </w:r>
      <w:r w:rsidR="00B107FC">
        <w:t>had not been adopted by jurisdictions</w:t>
      </w:r>
      <w:r w:rsidR="001B2F40">
        <w:t xml:space="preserve"> (BCA 2010)</w:t>
      </w:r>
      <w:r w:rsidR="00B107FC">
        <w:t xml:space="preserve">. </w:t>
      </w:r>
      <w:r>
        <w:t>The BCA</w:t>
      </w:r>
      <w:r w:rsidR="00672DF5">
        <w:t xml:space="preserve"> </w:t>
      </w:r>
      <w:r>
        <w:t xml:space="preserve">considered there was scope to improve Australia’s regulatory model to ‘prevent bad regulation from being made in the first place’. </w:t>
      </w:r>
    </w:p>
    <w:p w:rsidR="002A7406" w:rsidRDefault="002A7406" w:rsidP="008E60E5">
      <w:pPr>
        <w:pStyle w:val="BodyText"/>
        <w:spacing w:before="180"/>
      </w:pPr>
      <w:r>
        <w:t>Specific concerns raised by the BCA or</w:t>
      </w:r>
      <w:r w:rsidRPr="00876C3C">
        <w:t xml:space="preserve"> other business groups — for example, the Australian Chamber of Commerce and Industry (</w:t>
      </w:r>
      <w:proofErr w:type="spellStart"/>
      <w:r w:rsidRPr="00876C3C">
        <w:t>ACCI</w:t>
      </w:r>
      <w:proofErr w:type="spellEnd"/>
      <w:r w:rsidRPr="00876C3C">
        <w:t xml:space="preserve"> 2011) and the Property Council o</w:t>
      </w:r>
      <w:r>
        <w:t>f Australia (</w:t>
      </w:r>
      <w:proofErr w:type="spellStart"/>
      <w:r>
        <w:t>PCA</w:t>
      </w:r>
      <w:proofErr w:type="spellEnd"/>
      <w:r>
        <w:t xml:space="preserve"> 2011) — include</w:t>
      </w:r>
      <w:r w:rsidRPr="00876C3C">
        <w:t xml:space="preserve"> the lack of rigour in impact analysis (in particular, in relation to regulatory proposals of greater significance), the RIS not reflecting the resulting regulation, the need for more independent scrutiny of </w:t>
      </w:r>
      <w:proofErr w:type="spellStart"/>
      <w:r w:rsidRPr="00876C3C">
        <w:t>RISs</w:t>
      </w:r>
      <w:proofErr w:type="spellEnd"/>
      <w:r w:rsidRPr="00876C3C">
        <w:t>, in</w:t>
      </w:r>
      <w:r>
        <w:t>adequate consultation processes</w:t>
      </w:r>
      <w:r w:rsidRPr="00876C3C">
        <w:t xml:space="preserve"> and the number of exemptions </w:t>
      </w:r>
      <w:r>
        <w:t xml:space="preserve">granted </w:t>
      </w:r>
      <w:r w:rsidRPr="00876C3C">
        <w:t>under RIA processes.</w:t>
      </w:r>
      <w:r w:rsidR="00B107FC">
        <w:t xml:space="preserve"> </w:t>
      </w:r>
      <w:r w:rsidRPr="00580812">
        <w:t xml:space="preserve">Concerns have also been raised about reviews of </w:t>
      </w:r>
      <w:r w:rsidR="00FA1CA1">
        <w:t>existing regulation</w:t>
      </w:r>
      <w:r w:rsidRPr="00580812">
        <w:t xml:space="preserve">, including scheduled post implementation reviews and the large volume of regulation subject to mandatory reviews or </w:t>
      </w:r>
      <w:proofErr w:type="spellStart"/>
      <w:r w:rsidRPr="00580812">
        <w:t>sunsetting</w:t>
      </w:r>
      <w:proofErr w:type="spellEnd"/>
      <w:r w:rsidRPr="00580812">
        <w:t>. These reviews may create competing demands for skilled RIA resources and impose burden</w:t>
      </w:r>
      <w:r>
        <w:t>s</w:t>
      </w:r>
      <w:r w:rsidRPr="00580812">
        <w:t xml:space="preserve"> on business and community groups (PC 2011).</w:t>
      </w:r>
    </w:p>
    <w:p w:rsidR="002F407F" w:rsidRPr="00672DF5" w:rsidRDefault="00585088" w:rsidP="008E60E5">
      <w:pPr>
        <w:pStyle w:val="BodyText"/>
        <w:spacing w:before="180"/>
      </w:pPr>
      <w:r>
        <w:t xml:space="preserve">In preparing its report, the Commission </w:t>
      </w:r>
      <w:r w:rsidR="00643E4C">
        <w:t>drew</w:t>
      </w:r>
      <w:r w:rsidRPr="00376350">
        <w:t xml:space="preserve"> on</w:t>
      </w:r>
      <w:r w:rsidR="008B37A9">
        <w:t xml:space="preserve"> its extensive</w:t>
      </w:r>
      <w:r w:rsidRPr="00376350">
        <w:t xml:space="preserve"> consultations</w:t>
      </w:r>
      <w:r w:rsidR="00672DF5">
        <w:t xml:space="preserve"> and</w:t>
      </w:r>
      <w:r w:rsidR="008B37A9">
        <w:t xml:space="preserve"> on</w:t>
      </w:r>
      <w:r w:rsidR="009603C9">
        <w:t xml:space="preserve"> </w:t>
      </w:r>
      <w:r w:rsidRPr="00376350">
        <w:t>writte</w:t>
      </w:r>
      <w:r>
        <w:t>n submissions</w:t>
      </w:r>
      <w:r w:rsidR="00B6780C">
        <w:t xml:space="preserve"> (a</w:t>
      </w:r>
      <w:r w:rsidR="00672DF5">
        <w:t>ppendix A).</w:t>
      </w:r>
      <w:r w:rsidR="009603C9">
        <w:t xml:space="preserve"> </w:t>
      </w:r>
      <w:r w:rsidR="00672DF5">
        <w:t>T</w:t>
      </w:r>
      <w:r w:rsidR="00D91512">
        <w:t xml:space="preserve">he Commission </w:t>
      </w:r>
      <w:r w:rsidR="00672DF5">
        <w:t>also survey</w:t>
      </w:r>
      <w:r w:rsidR="00FA1CA1">
        <w:t>ed</w:t>
      </w:r>
      <w:r w:rsidR="009603C9">
        <w:t xml:space="preserve"> regulatory oversight bodies and agencies subject to RIA</w:t>
      </w:r>
      <w:r w:rsidR="003F362D">
        <w:t xml:space="preserve"> requirements</w:t>
      </w:r>
      <w:r w:rsidR="00E6442A">
        <w:t xml:space="preserve">, </w:t>
      </w:r>
      <w:r w:rsidR="003F362D">
        <w:t>receiv</w:t>
      </w:r>
      <w:r w:rsidR="00672DF5">
        <w:t>ing</w:t>
      </w:r>
      <w:r w:rsidR="003F362D">
        <w:t xml:space="preserve"> responses from </w:t>
      </w:r>
      <w:r w:rsidR="00CA1539">
        <w:t xml:space="preserve">69 </w:t>
      </w:r>
      <w:r w:rsidR="003F362D">
        <w:t>government officials involved in</w:t>
      </w:r>
      <w:r w:rsidR="00672DF5">
        <w:t xml:space="preserve"> the RIA process </w:t>
      </w:r>
      <w:r w:rsidR="00E6442A">
        <w:t>in</w:t>
      </w:r>
      <w:r w:rsidR="003F362D">
        <w:t xml:space="preserve"> one or more of the ten </w:t>
      </w:r>
      <w:r w:rsidR="00672DF5">
        <w:t>jurisdictions</w:t>
      </w:r>
      <w:r w:rsidR="00B6780C">
        <w:t xml:space="preserve"> (appendix D)</w:t>
      </w:r>
      <w:r w:rsidR="003F362D">
        <w:t xml:space="preserve">. </w:t>
      </w:r>
      <w:r w:rsidR="00585A58">
        <w:t xml:space="preserve">The study </w:t>
      </w:r>
      <w:r w:rsidR="004D2EEA">
        <w:t xml:space="preserve">further </w:t>
      </w:r>
      <w:r w:rsidR="00585A58">
        <w:t>dr</w:t>
      </w:r>
      <w:r w:rsidR="00643E4C">
        <w:t>ew</w:t>
      </w:r>
      <w:r w:rsidR="00585A58">
        <w:t xml:space="preserve"> on a broad level comparison of </w:t>
      </w:r>
      <w:r w:rsidR="004D2EEA" w:rsidRPr="009E6225">
        <w:t>1</w:t>
      </w:r>
      <w:r w:rsidR="004E5ACB" w:rsidRPr="009E6225">
        <w:t>8</w:t>
      </w:r>
      <w:r w:rsidR="009E6225" w:rsidRPr="009E6225">
        <w:t>2</w:t>
      </w:r>
      <w:r w:rsidR="004D2EEA" w:rsidRPr="009E6225">
        <w:t xml:space="preserve"> </w:t>
      </w:r>
      <w:proofErr w:type="spellStart"/>
      <w:r w:rsidR="00585A58">
        <w:t>RISs</w:t>
      </w:r>
      <w:proofErr w:type="spellEnd"/>
      <w:r w:rsidR="00585A58">
        <w:t xml:space="preserve"> completed during 2010 and 2011 from </w:t>
      </w:r>
      <w:r w:rsidR="00FB6EF2">
        <w:t>all</w:t>
      </w:r>
      <w:r w:rsidR="00585A58">
        <w:t xml:space="preserve"> ten jurisdictions. Finally</w:t>
      </w:r>
      <w:r w:rsidR="009603C9">
        <w:t>, the Commission c</w:t>
      </w:r>
      <w:r>
        <w:t>on</w:t>
      </w:r>
      <w:r w:rsidR="009603C9">
        <w:t>sidered</w:t>
      </w:r>
      <w:r>
        <w:t xml:space="preserve"> </w:t>
      </w:r>
      <w:r w:rsidRPr="00376350">
        <w:t>other research and information sources</w:t>
      </w:r>
      <w:r w:rsidR="00353DCA">
        <w:t>, including</w:t>
      </w:r>
      <w:r>
        <w:t xml:space="preserve"> analysis and findings in previous reviews and studies</w:t>
      </w:r>
      <w:r w:rsidR="009603C9">
        <w:t>.</w:t>
      </w:r>
      <w:r w:rsidR="00332B6D">
        <w:t xml:space="preserve"> </w:t>
      </w:r>
      <w:r w:rsidR="00BF11A0">
        <w:t xml:space="preserve">In particular, </w:t>
      </w:r>
      <w:r w:rsidR="003A3546">
        <w:t>this study</w:t>
      </w:r>
      <w:r w:rsidR="00BF11A0">
        <w:t xml:space="preserve"> benefited from </w:t>
      </w:r>
      <w:r w:rsidR="003A3546">
        <w:t>recent research undertaken</w:t>
      </w:r>
      <w:r w:rsidR="00BF11A0">
        <w:t xml:space="preserve"> </w:t>
      </w:r>
      <w:r w:rsidR="003A3546">
        <w:t xml:space="preserve">by the Commission on overseas approaches to managing regulation </w:t>
      </w:r>
      <w:r w:rsidR="00BF11A0">
        <w:t xml:space="preserve">(PC 2011, Appendix K). </w:t>
      </w:r>
      <w:r w:rsidR="0001591C">
        <w:t xml:space="preserve">Consistent with the </w:t>
      </w:r>
      <w:r w:rsidR="0001591C" w:rsidRPr="0001591C">
        <w:rPr>
          <w:i/>
        </w:rPr>
        <w:t>Productivity Commission Act 1998</w:t>
      </w:r>
      <w:r>
        <w:t>, the Commission based its assessments on arrangements that are likely to give the best outcome</w:t>
      </w:r>
      <w:r w:rsidR="007C2F7B">
        <w:t xml:space="preserve">s for the </w:t>
      </w:r>
      <w:r w:rsidR="0001591C">
        <w:t xml:space="preserve">Australian </w:t>
      </w:r>
      <w:r w:rsidR="007C2F7B">
        <w:t>community as a whole.</w:t>
      </w:r>
      <w:r w:rsidR="00252E93">
        <w:t xml:space="preserve"> </w:t>
      </w:r>
    </w:p>
    <w:p w:rsidR="00D41A22" w:rsidRDefault="00D41A22">
      <w:pPr>
        <w:pStyle w:val="FigureTitle"/>
      </w:pPr>
      <w:r>
        <w:rPr>
          <w:b w:val="0"/>
        </w:rPr>
        <w:lastRenderedPageBreak/>
        <w:t xml:space="preserve">Figure </w:t>
      </w:r>
      <w:r w:rsidR="008D7DD7">
        <w:rPr>
          <w:b w:val="0"/>
        </w:rPr>
        <w:t>1.</w:t>
      </w:r>
      <w:r w:rsidR="0037184F">
        <w:rPr>
          <w:b w:val="0"/>
          <w:noProof/>
        </w:rPr>
        <w:t>2</w:t>
      </w:r>
      <w:r>
        <w:tab/>
      </w:r>
      <w:r w:rsidRPr="00D41A22">
        <w:t>Commonwealth RIA and regulatory development</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1A22">
        <w:tc>
          <w:tcPr>
            <w:tcW w:w="8777" w:type="dxa"/>
          </w:tcPr>
          <w:p w:rsidR="00D41A22" w:rsidRDefault="00416B9B">
            <w:pPr>
              <w:pStyle w:val="Figure"/>
            </w:pPr>
            <w:r>
              <w:rPr>
                <w:noProof/>
              </w:rPr>
              <w:drawing>
                <wp:inline distT="0" distB="0" distL="0" distR="0" wp14:anchorId="0D923F73" wp14:editId="3E98D1E1">
                  <wp:extent cx="5568950" cy="7331710"/>
                  <wp:effectExtent l="0" t="0" r="0" b="2540"/>
                  <wp:docPr id="2" name="Picture 2" descr="Figure 1.2 Commonwealth RIA and regulatory development. This flowchart shows the interaction of the Commonwealth’s regulatory development processes with RIA proces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8950" cy="7331710"/>
                          </a:xfrm>
                          <a:prstGeom prst="rect">
                            <a:avLst/>
                          </a:prstGeom>
                          <a:noFill/>
                          <a:ln>
                            <a:noFill/>
                          </a:ln>
                        </pic:spPr>
                      </pic:pic>
                    </a:graphicData>
                  </a:graphic>
                </wp:inline>
              </w:drawing>
            </w:r>
          </w:p>
        </w:tc>
      </w:tr>
    </w:tbl>
    <w:p w:rsidR="00C419BC" w:rsidRDefault="00C419BC" w:rsidP="00C419BC">
      <w:pPr>
        <w:pStyle w:val="Note"/>
      </w:pPr>
      <w:r w:rsidRPr="00C419BC">
        <w:rPr>
          <w:b/>
        </w:rPr>
        <w:t>OBPR</w:t>
      </w:r>
      <w:r>
        <w:t xml:space="preserve"> Office of Best Practice Regulation </w:t>
      </w:r>
      <w:r w:rsidRPr="00C419BC">
        <w:rPr>
          <w:b/>
        </w:rPr>
        <w:t>PM</w:t>
      </w:r>
      <w:r>
        <w:t xml:space="preserve"> Prime Minister </w:t>
      </w:r>
      <w:r w:rsidRPr="00C419BC">
        <w:rPr>
          <w:b/>
        </w:rPr>
        <w:t>+</w:t>
      </w:r>
      <w:r>
        <w:t xml:space="preserve"> Agency may be directed by Minister on which options to analyse in a RIS for Cabinet or a committee of Cabinet, at any stage up until final assessment of the RIS by OBPR </w:t>
      </w:r>
      <w:r w:rsidRPr="00C419BC">
        <w:rPr>
          <w:b/>
        </w:rPr>
        <w:t>*</w:t>
      </w:r>
      <w:r>
        <w:t xml:space="preserve"> Consultat</w:t>
      </w:r>
      <w:r w:rsidR="00F72363">
        <w:t>ion is required at some point and</w:t>
      </w:r>
      <w:r>
        <w:t xml:space="preserve"> is sometimes undertaken at this stage </w:t>
      </w:r>
      <w:r w:rsidRPr="00C419BC">
        <w:rPr>
          <w:b/>
        </w:rPr>
        <w:t>#</w:t>
      </w:r>
      <w:r>
        <w:t xml:space="preserve"> Agency may consult the Small Business Advisory Council</w:t>
      </w:r>
      <w:r w:rsidR="00B571F2">
        <w:t>.</w:t>
      </w:r>
    </w:p>
    <w:p w:rsidR="008D65CB" w:rsidRDefault="002F407F" w:rsidP="008D65CB">
      <w:pPr>
        <w:pStyle w:val="FigureTitle"/>
        <w:spacing w:before="0"/>
      </w:pPr>
      <w:r>
        <w:br w:type="page"/>
      </w:r>
      <w:r w:rsidR="008D65CB">
        <w:rPr>
          <w:b w:val="0"/>
        </w:rPr>
        <w:lastRenderedPageBreak/>
        <w:t xml:space="preserve">Figure </w:t>
      </w:r>
      <w:r w:rsidR="008D7DD7">
        <w:rPr>
          <w:b w:val="0"/>
        </w:rPr>
        <w:t>1.</w:t>
      </w:r>
      <w:r w:rsidR="0037184F">
        <w:rPr>
          <w:b w:val="0"/>
          <w:noProof/>
        </w:rPr>
        <w:t>3</w:t>
      </w:r>
      <w:r w:rsidR="008D65CB">
        <w:tab/>
        <w:t>COAG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D65CB">
        <w:tc>
          <w:tcPr>
            <w:tcW w:w="8777" w:type="dxa"/>
          </w:tcPr>
          <w:p w:rsidR="008D65CB" w:rsidRDefault="00416B9B">
            <w:pPr>
              <w:pStyle w:val="Figure"/>
            </w:pPr>
            <w:r>
              <w:rPr>
                <w:noProof/>
              </w:rPr>
              <w:drawing>
                <wp:inline distT="0" distB="0" distL="0" distR="0" wp14:anchorId="07B879EF" wp14:editId="4B2A8D75">
                  <wp:extent cx="5568950" cy="7578725"/>
                  <wp:effectExtent l="0" t="0" r="0" b="3175"/>
                  <wp:docPr id="7" name="Picture 7" descr="Figure 1.3 COAG RIA and regulatory development. This flowchart shows the interaction of COAG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8950" cy="7578725"/>
                          </a:xfrm>
                          <a:prstGeom prst="rect">
                            <a:avLst/>
                          </a:prstGeom>
                          <a:noFill/>
                          <a:ln>
                            <a:noFill/>
                          </a:ln>
                        </pic:spPr>
                      </pic:pic>
                    </a:graphicData>
                  </a:graphic>
                </wp:inline>
              </w:drawing>
            </w:r>
          </w:p>
        </w:tc>
      </w:tr>
    </w:tbl>
    <w:p w:rsidR="00C419BC" w:rsidRDefault="00440D07" w:rsidP="00C419BC">
      <w:pPr>
        <w:pStyle w:val="Note"/>
      </w:pPr>
      <w:r w:rsidRPr="00440D07">
        <w:rPr>
          <w:b/>
        </w:rPr>
        <w:t>OBPR</w:t>
      </w:r>
      <w:r>
        <w:t xml:space="preserve"> Office of Best Practice Regulation </w:t>
      </w:r>
      <w:r w:rsidRPr="00440D07">
        <w:rPr>
          <w:b/>
        </w:rPr>
        <w:t>MC</w:t>
      </w:r>
      <w:r>
        <w:t xml:space="preserve"> Ministerial Council</w:t>
      </w:r>
    </w:p>
    <w:p w:rsidR="007F175E" w:rsidRDefault="007F175E">
      <w:pPr>
        <w:pStyle w:val="FigureTitle"/>
      </w:pPr>
      <w:r>
        <w:rPr>
          <w:b w:val="0"/>
        </w:rPr>
        <w:lastRenderedPageBreak/>
        <w:t xml:space="preserve">Figure </w:t>
      </w:r>
      <w:r w:rsidR="008D7DD7">
        <w:rPr>
          <w:b w:val="0"/>
        </w:rPr>
        <w:t>1.</w:t>
      </w:r>
      <w:r w:rsidR="0037184F">
        <w:rPr>
          <w:b w:val="0"/>
          <w:noProof/>
        </w:rPr>
        <w:t>4</w:t>
      </w:r>
      <w:r>
        <w:tab/>
        <w:t>New South Wales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F175E">
        <w:tc>
          <w:tcPr>
            <w:tcW w:w="8777" w:type="dxa"/>
          </w:tcPr>
          <w:p w:rsidR="007F175E" w:rsidRDefault="001F3BD6">
            <w:pPr>
              <w:pStyle w:val="Figure"/>
            </w:pPr>
            <w:bookmarkStart w:id="4" w:name="_GoBack"/>
            <w:r>
              <w:rPr>
                <w:noProof/>
              </w:rPr>
              <w:drawing>
                <wp:inline distT="0" distB="0" distL="0" distR="0">
                  <wp:extent cx="5572125" cy="7496175"/>
                  <wp:effectExtent l="0" t="0" r="9525" b="9525"/>
                  <wp:docPr id="12" name="Picture 12" descr="Figure 1.4 New South Wales RIA and regulatory development. This flowchart shows the interaction of New South Wales’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125" cy="7496175"/>
                          </a:xfrm>
                          <a:prstGeom prst="rect">
                            <a:avLst/>
                          </a:prstGeom>
                          <a:noFill/>
                          <a:ln>
                            <a:noFill/>
                          </a:ln>
                        </pic:spPr>
                      </pic:pic>
                    </a:graphicData>
                  </a:graphic>
                </wp:inline>
              </w:drawing>
            </w:r>
            <w:bookmarkEnd w:id="4"/>
          </w:p>
        </w:tc>
      </w:tr>
    </w:tbl>
    <w:p w:rsidR="00C620EC" w:rsidRDefault="00440D07" w:rsidP="00440D07">
      <w:pPr>
        <w:pStyle w:val="Note"/>
      </w:pPr>
      <w:proofErr w:type="spellStart"/>
      <w:r w:rsidRPr="00440D07">
        <w:rPr>
          <w:b/>
        </w:rPr>
        <w:t>BRS</w:t>
      </w:r>
      <w:proofErr w:type="spellEnd"/>
      <w:r>
        <w:t xml:space="preserve"> better regulation statement </w:t>
      </w:r>
      <w:r w:rsidRPr="00440D07">
        <w:rPr>
          <w:b/>
        </w:rPr>
        <w:t>BRO</w:t>
      </w:r>
      <w:r>
        <w:t xml:space="preserve"> Better Regulation Office </w:t>
      </w:r>
      <w:proofErr w:type="spellStart"/>
      <w:r w:rsidRPr="00440D07">
        <w:rPr>
          <w:b/>
        </w:rPr>
        <w:t>ExCo</w:t>
      </w:r>
      <w:proofErr w:type="spellEnd"/>
      <w:r>
        <w:t xml:space="preserve"> Executive Council </w:t>
      </w:r>
      <w:proofErr w:type="spellStart"/>
      <w:r w:rsidRPr="00440D07">
        <w:rPr>
          <w:b/>
        </w:rPr>
        <w:t>LRC</w:t>
      </w:r>
      <w:proofErr w:type="spellEnd"/>
      <w:r>
        <w:t xml:space="preserve"> Legislative Review Committee </w:t>
      </w:r>
      <w:r w:rsidRPr="00440D07">
        <w:rPr>
          <w:b/>
        </w:rPr>
        <w:t>SLA</w:t>
      </w:r>
      <w:r>
        <w:t xml:space="preserve"> Subordinate Legislation Act 1989 </w:t>
      </w:r>
      <w:r w:rsidRPr="00440D07">
        <w:rPr>
          <w:b/>
        </w:rPr>
        <w:t>*</w:t>
      </w:r>
      <w:r>
        <w:t xml:space="preserve"> Consultation is required to be undertaken on a draft RIS and during development of a </w:t>
      </w:r>
      <w:proofErr w:type="spellStart"/>
      <w:r>
        <w:t>BRS</w:t>
      </w:r>
      <w:proofErr w:type="spellEnd"/>
      <w:r>
        <w:t>. It is sometimes undertaken at one or more of these stages.</w:t>
      </w:r>
    </w:p>
    <w:p w:rsidR="00C620EC" w:rsidRDefault="00C620EC">
      <w:pPr>
        <w:pStyle w:val="FigureTitle"/>
      </w:pPr>
      <w:r>
        <w:rPr>
          <w:b w:val="0"/>
        </w:rPr>
        <w:lastRenderedPageBreak/>
        <w:t xml:space="preserve">Figure </w:t>
      </w:r>
      <w:r w:rsidR="008D7DD7">
        <w:rPr>
          <w:b w:val="0"/>
        </w:rPr>
        <w:t>1.</w:t>
      </w:r>
      <w:r w:rsidR="0037184F">
        <w:rPr>
          <w:b w:val="0"/>
          <w:noProof/>
        </w:rPr>
        <w:t>5</w:t>
      </w:r>
      <w:r>
        <w:tab/>
        <w:t>Victoria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620EC" w:rsidTr="00023B57">
        <w:trPr>
          <w:trHeight w:val="10879"/>
        </w:trPr>
        <w:tc>
          <w:tcPr>
            <w:tcW w:w="8777" w:type="dxa"/>
          </w:tcPr>
          <w:p w:rsidR="00C620EC" w:rsidRDefault="004F424B">
            <w:pPr>
              <w:pStyle w:val="Figure"/>
            </w:pPr>
            <w:r>
              <w:rPr>
                <w:noProof/>
              </w:rPr>
              <w:drawing>
                <wp:inline distT="0" distB="0" distL="0" distR="0" wp14:anchorId="0A6D08A7" wp14:editId="13F19FD3">
                  <wp:extent cx="5568950" cy="6755130"/>
                  <wp:effectExtent l="0" t="0" r="0" b="7620"/>
                  <wp:docPr id="6" name="Picture 6" descr="Figure 1.5 Victoria RIA and regulatory development. This flowchart shows the interaction of the Victorian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8950" cy="6755130"/>
                          </a:xfrm>
                          <a:prstGeom prst="rect">
                            <a:avLst/>
                          </a:prstGeom>
                          <a:noFill/>
                          <a:ln>
                            <a:noFill/>
                          </a:ln>
                        </pic:spPr>
                      </pic:pic>
                    </a:graphicData>
                  </a:graphic>
                </wp:inline>
              </w:drawing>
            </w:r>
          </w:p>
        </w:tc>
      </w:tr>
    </w:tbl>
    <w:p w:rsidR="00FF3443" w:rsidRDefault="00DB7B0C" w:rsidP="00023B57">
      <w:pPr>
        <w:pStyle w:val="Note"/>
      </w:pPr>
      <w:proofErr w:type="spellStart"/>
      <w:r w:rsidRPr="00DB7B0C">
        <w:rPr>
          <w:b/>
        </w:rPr>
        <w:t>VCEC</w:t>
      </w:r>
      <w:proofErr w:type="spellEnd"/>
      <w:r>
        <w:t xml:space="preserve"> Victorian Competition and Efficiency Commission </w:t>
      </w:r>
      <w:r w:rsidRPr="00DB7B0C">
        <w:rPr>
          <w:b/>
        </w:rPr>
        <w:t>BIA</w:t>
      </w:r>
      <w:r>
        <w:t xml:space="preserve"> business impact assessment </w:t>
      </w:r>
      <w:r w:rsidRPr="00DB7B0C">
        <w:rPr>
          <w:b/>
        </w:rPr>
        <w:t>SLA</w:t>
      </w:r>
      <w:r>
        <w:t xml:space="preserve"> Subordinate Legislation Act 1994 </w:t>
      </w:r>
      <w:r w:rsidRPr="00DB7B0C">
        <w:rPr>
          <w:b/>
        </w:rPr>
        <w:t>*</w:t>
      </w:r>
      <w:r>
        <w:t xml:space="preserve"> An ‘inadequate’ assessment is not made until a final draft is presented to </w:t>
      </w:r>
      <w:proofErr w:type="spellStart"/>
      <w:r>
        <w:t>VCEC</w:t>
      </w:r>
      <w:proofErr w:type="spellEnd"/>
      <w:r>
        <w:t xml:space="preserve">. The Victorian Guide to Regulation and the SLA allow for </w:t>
      </w:r>
      <w:proofErr w:type="spellStart"/>
      <w:r>
        <w:t>BIAs</w:t>
      </w:r>
      <w:proofErr w:type="spellEnd"/>
      <w:r>
        <w:t xml:space="preserve"> and </w:t>
      </w:r>
      <w:proofErr w:type="spellStart"/>
      <w:r>
        <w:t>RISs</w:t>
      </w:r>
      <w:proofErr w:type="spellEnd"/>
      <w:r>
        <w:t xml:space="preserve"> to proceed without an adequate assessment to demonstrate compliance with RIA requirements.</w:t>
      </w:r>
    </w:p>
    <w:p w:rsidR="004C04BA" w:rsidRDefault="004C04BA">
      <w:pPr>
        <w:pStyle w:val="FigureTitle"/>
      </w:pPr>
      <w:r>
        <w:rPr>
          <w:b w:val="0"/>
        </w:rPr>
        <w:lastRenderedPageBreak/>
        <w:t xml:space="preserve">Figure </w:t>
      </w:r>
      <w:r w:rsidR="008D7DD7">
        <w:rPr>
          <w:b w:val="0"/>
        </w:rPr>
        <w:t>1.</w:t>
      </w:r>
      <w:r w:rsidR="0037184F">
        <w:rPr>
          <w:b w:val="0"/>
          <w:noProof/>
        </w:rPr>
        <w:t>6</w:t>
      </w:r>
      <w:r>
        <w:tab/>
        <w:t>Queensland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C04BA" w:rsidTr="00DB7B0C">
        <w:trPr>
          <w:trHeight w:val="12005"/>
        </w:trPr>
        <w:tc>
          <w:tcPr>
            <w:tcW w:w="8777" w:type="dxa"/>
          </w:tcPr>
          <w:p w:rsidR="004C04BA" w:rsidRDefault="00B02F61">
            <w:pPr>
              <w:pStyle w:val="Figure"/>
            </w:pPr>
            <w:r>
              <w:rPr>
                <w:noProof/>
              </w:rPr>
              <w:drawing>
                <wp:inline distT="0" distB="0" distL="0" distR="0" wp14:anchorId="378D1B20" wp14:editId="3B565A51">
                  <wp:extent cx="5568950" cy="7537450"/>
                  <wp:effectExtent l="0" t="0" r="0" b="6350"/>
                  <wp:docPr id="5" name="Picture 5" descr="Figure 1.6 Queensland RIA and regulatory development. This flowchart shows the interaction of the Queensland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8950" cy="7537450"/>
                          </a:xfrm>
                          <a:prstGeom prst="rect">
                            <a:avLst/>
                          </a:prstGeom>
                          <a:noFill/>
                          <a:ln>
                            <a:noFill/>
                          </a:ln>
                        </pic:spPr>
                      </pic:pic>
                    </a:graphicData>
                  </a:graphic>
                </wp:inline>
              </w:drawing>
            </w:r>
          </w:p>
        </w:tc>
      </w:tr>
    </w:tbl>
    <w:p w:rsidR="00DB7B0C" w:rsidRPr="00DB7B0C" w:rsidRDefault="00DB7B0C" w:rsidP="00DB7B0C">
      <w:pPr>
        <w:pStyle w:val="Note"/>
        <w:rPr>
          <w:sz w:val="16"/>
        </w:rPr>
      </w:pPr>
      <w:r w:rsidRPr="00DB7B0C">
        <w:rPr>
          <w:b/>
          <w:sz w:val="16"/>
        </w:rPr>
        <w:t xml:space="preserve">RPC </w:t>
      </w:r>
      <w:r w:rsidRPr="00DB7B0C">
        <w:rPr>
          <w:sz w:val="16"/>
        </w:rPr>
        <w:t xml:space="preserve">Regulatory Principles Checklist </w:t>
      </w:r>
      <w:proofErr w:type="spellStart"/>
      <w:r w:rsidRPr="00DB7B0C">
        <w:rPr>
          <w:b/>
          <w:sz w:val="16"/>
        </w:rPr>
        <w:t>PIA</w:t>
      </w:r>
      <w:proofErr w:type="spellEnd"/>
      <w:r w:rsidRPr="00DB7B0C">
        <w:rPr>
          <w:sz w:val="16"/>
        </w:rPr>
        <w:t xml:space="preserve"> Preliminary Impact Assessment </w:t>
      </w:r>
      <w:r w:rsidRPr="00DB7B0C">
        <w:rPr>
          <w:b/>
          <w:sz w:val="16"/>
        </w:rPr>
        <w:t>RAS</w:t>
      </w:r>
      <w:r w:rsidRPr="00DB7B0C">
        <w:rPr>
          <w:sz w:val="16"/>
        </w:rPr>
        <w:t xml:space="preserve"> Regulatory Assessment Statement </w:t>
      </w:r>
      <w:r w:rsidRPr="00DB7B0C">
        <w:rPr>
          <w:b/>
          <w:sz w:val="16"/>
        </w:rPr>
        <w:t>*</w:t>
      </w:r>
      <w:r w:rsidRPr="00DB7B0C">
        <w:rPr>
          <w:sz w:val="16"/>
        </w:rPr>
        <w:t xml:space="preserve"> Some consultation may also be undertaken at this stage </w:t>
      </w:r>
      <w:r w:rsidRPr="00DB7B0C">
        <w:rPr>
          <w:b/>
          <w:sz w:val="16"/>
        </w:rPr>
        <w:t>#</w:t>
      </w:r>
      <w:r w:rsidRPr="00DB7B0C">
        <w:rPr>
          <w:sz w:val="16"/>
        </w:rPr>
        <w:t xml:space="preserve"> From July 2012, the provision of advice on </w:t>
      </w:r>
      <w:proofErr w:type="spellStart"/>
      <w:r w:rsidRPr="00DB7B0C">
        <w:rPr>
          <w:sz w:val="16"/>
        </w:rPr>
        <w:t>RASs</w:t>
      </w:r>
      <w:proofErr w:type="spellEnd"/>
      <w:r w:rsidRPr="00DB7B0C">
        <w:rPr>
          <w:sz w:val="16"/>
        </w:rPr>
        <w:t xml:space="preserve"> and assessment of RAS adequacy is undertaken by the Queensland Office of Best Practice Regulation, rather than Queensland Treasury</w:t>
      </w:r>
      <w:r w:rsidR="00643E4C">
        <w:rPr>
          <w:sz w:val="16"/>
        </w:rPr>
        <w:t>.</w:t>
      </w:r>
    </w:p>
    <w:p w:rsidR="004C04BA" w:rsidRDefault="004C04BA">
      <w:pPr>
        <w:pStyle w:val="FigureTitle"/>
      </w:pPr>
      <w:r>
        <w:rPr>
          <w:b w:val="0"/>
        </w:rPr>
        <w:lastRenderedPageBreak/>
        <w:t xml:space="preserve">Figure </w:t>
      </w:r>
      <w:r w:rsidR="008D7DD7">
        <w:rPr>
          <w:b w:val="0"/>
        </w:rPr>
        <w:t>1.</w:t>
      </w:r>
      <w:r w:rsidR="0037184F">
        <w:rPr>
          <w:b w:val="0"/>
          <w:noProof/>
        </w:rPr>
        <w:t>7</w:t>
      </w:r>
      <w:r>
        <w:tab/>
        <w:t xml:space="preserve">Western Australia RIA and regulatory development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C04BA" w:rsidTr="00DB7B0C">
        <w:trPr>
          <w:trHeight w:val="12154"/>
        </w:trPr>
        <w:tc>
          <w:tcPr>
            <w:tcW w:w="8777" w:type="dxa"/>
          </w:tcPr>
          <w:p w:rsidR="004C04BA" w:rsidRDefault="009E6225" w:rsidP="00F430C7">
            <w:pPr>
              <w:pStyle w:val="Figure"/>
              <w:spacing w:before="0" w:after="0"/>
            </w:pPr>
            <w:r>
              <w:rPr>
                <w:noProof/>
              </w:rPr>
              <w:drawing>
                <wp:inline distT="0" distB="0" distL="0" distR="0" wp14:anchorId="7AD39809" wp14:editId="227C7D78">
                  <wp:extent cx="5568950" cy="7661275"/>
                  <wp:effectExtent l="0" t="0" r="0" b="0"/>
                  <wp:docPr id="4" name="Picture 4" descr="Figure 1.7 Western Australia RIA and regulatory development. This flowchart shows the interaction of the Western Australian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68950" cy="7661275"/>
                          </a:xfrm>
                          <a:prstGeom prst="rect">
                            <a:avLst/>
                          </a:prstGeom>
                          <a:noFill/>
                          <a:ln>
                            <a:noFill/>
                          </a:ln>
                        </pic:spPr>
                      </pic:pic>
                    </a:graphicData>
                  </a:graphic>
                </wp:inline>
              </w:drawing>
            </w:r>
          </w:p>
        </w:tc>
      </w:tr>
    </w:tbl>
    <w:p w:rsidR="00DB7B0C" w:rsidRPr="005120B0" w:rsidRDefault="005120B0" w:rsidP="00DB7B0C">
      <w:pPr>
        <w:pStyle w:val="Note"/>
        <w:rPr>
          <w:sz w:val="16"/>
          <w:szCs w:val="16"/>
        </w:rPr>
      </w:pPr>
      <w:proofErr w:type="spellStart"/>
      <w:r w:rsidRPr="005120B0">
        <w:rPr>
          <w:b/>
          <w:sz w:val="16"/>
          <w:szCs w:val="16"/>
        </w:rPr>
        <w:t>RGU</w:t>
      </w:r>
      <w:proofErr w:type="spellEnd"/>
      <w:r w:rsidRPr="005120B0">
        <w:rPr>
          <w:sz w:val="16"/>
          <w:szCs w:val="16"/>
        </w:rPr>
        <w:t xml:space="preserve"> Regulatory Gatekeeping Unit </w:t>
      </w:r>
      <w:proofErr w:type="spellStart"/>
      <w:r w:rsidRPr="005120B0">
        <w:rPr>
          <w:b/>
          <w:sz w:val="16"/>
          <w:szCs w:val="16"/>
        </w:rPr>
        <w:t>PIA</w:t>
      </w:r>
      <w:proofErr w:type="spellEnd"/>
      <w:r w:rsidRPr="005120B0">
        <w:rPr>
          <w:sz w:val="16"/>
          <w:szCs w:val="16"/>
        </w:rPr>
        <w:t xml:space="preserve"> Preliminary Impact Assessment </w:t>
      </w:r>
      <w:r w:rsidRPr="005120B0">
        <w:rPr>
          <w:b/>
          <w:sz w:val="16"/>
          <w:szCs w:val="16"/>
        </w:rPr>
        <w:t>#</w:t>
      </w:r>
      <w:r w:rsidRPr="005120B0">
        <w:rPr>
          <w:sz w:val="16"/>
          <w:szCs w:val="16"/>
        </w:rPr>
        <w:t xml:space="preserve"> For proposals likely to be in a RIA ‘exception’ category, a shortened version of the </w:t>
      </w:r>
      <w:proofErr w:type="spellStart"/>
      <w:r w:rsidRPr="005120B0">
        <w:rPr>
          <w:sz w:val="16"/>
          <w:szCs w:val="16"/>
        </w:rPr>
        <w:t>PIA</w:t>
      </w:r>
      <w:proofErr w:type="spellEnd"/>
      <w:r w:rsidRPr="005120B0">
        <w:rPr>
          <w:sz w:val="16"/>
          <w:szCs w:val="16"/>
        </w:rPr>
        <w:t xml:space="preserve"> may be submitted to </w:t>
      </w:r>
      <w:proofErr w:type="spellStart"/>
      <w:r w:rsidRPr="005120B0">
        <w:rPr>
          <w:sz w:val="16"/>
          <w:szCs w:val="16"/>
        </w:rPr>
        <w:t>RGU</w:t>
      </w:r>
      <w:proofErr w:type="spellEnd"/>
      <w:r w:rsidR="00643E4C">
        <w:rPr>
          <w:sz w:val="16"/>
          <w:szCs w:val="16"/>
        </w:rPr>
        <w:t>.</w:t>
      </w:r>
      <w:r w:rsidRPr="005120B0">
        <w:rPr>
          <w:sz w:val="16"/>
          <w:szCs w:val="16"/>
        </w:rPr>
        <w:t xml:space="preserve"> </w:t>
      </w:r>
    </w:p>
    <w:p w:rsidR="009364C1" w:rsidRDefault="009364C1">
      <w:pPr>
        <w:pStyle w:val="FigureTitle"/>
      </w:pPr>
      <w:r>
        <w:rPr>
          <w:b w:val="0"/>
        </w:rPr>
        <w:lastRenderedPageBreak/>
        <w:t xml:space="preserve">Figure </w:t>
      </w:r>
      <w:r w:rsidR="008D7DD7">
        <w:rPr>
          <w:b w:val="0"/>
        </w:rPr>
        <w:t>1.</w:t>
      </w:r>
      <w:r w:rsidR="0037184F">
        <w:rPr>
          <w:b w:val="0"/>
          <w:noProof/>
        </w:rPr>
        <w:t>8</w:t>
      </w:r>
      <w:r>
        <w:tab/>
        <w:t>South Australia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364C1">
        <w:tc>
          <w:tcPr>
            <w:tcW w:w="8777" w:type="dxa"/>
          </w:tcPr>
          <w:p w:rsidR="009364C1" w:rsidRDefault="00A62FC6">
            <w:pPr>
              <w:pStyle w:val="Figure"/>
            </w:pPr>
            <w:r>
              <w:rPr>
                <w:noProof/>
              </w:rPr>
              <w:drawing>
                <wp:inline distT="0" distB="0" distL="0" distR="0" wp14:anchorId="1CE62329" wp14:editId="43DFA912">
                  <wp:extent cx="5563870" cy="7548245"/>
                  <wp:effectExtent l="0" t="0" r="0" b="0"/>
                  <wp:docPr id="8" name="Picture 8" descr="Figure 1.8 South Australia RIA and regulatory development. This flowchart shows the interaction of the South Australian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3870" cy="7548245"/>
                          </a:xfrm>
                          <a:prstGeom prst="rect">
                            <a:avLst/>
                          </a:prstGeom>
                          <a:noFill/>
                          <a:ln>
                            <a:noFill/>
                          </a:ln>
                        </pic:spPr>
                      </pic:pic>
                    </a:graphicData>
                  </a:graphic>
                </wp:inline>
              </w:drawing>
            </w:r>
          </w:p>
        </w:tc>
      </w:tr>
    </w:tbl>
    <w:p w:rsidR="009364C1" w:rsidRPr="005120B0" w:rsidRDefault="005120B0" w:rsidP="005120B0">
      <w:pPr>
        <w:pStyle w:val="Note"/>
        <w:rPr>
          <w:sz w:val="16"/>
          <w:szCs w:val="16"/>
        </w:rPr>
      </w:pPr>
      <w:proofErr w:type="spellStart"/>
      <w:r w:rsidRPr="006721B1">
        <w:rPr>
          <w:b/>
          <w:sz w:val="16"/>
          <w:szCs w:val="16"/>
        </w:rPr>
        <w:t>OEDB</w:t>
      </w:r>
      <w:proofErr w:type="spellEnd"/>
      <w:r w:rsidRPr="005120B0">
        <w:rPr>
          <w:sz w:val="16"/>
          <w:szCs w:val="16"/>
        </w:rPr>
        <w:t xml:space="preserve"> Office of the Economic Development Board </w:t>
      </w:r>
      <w:r w:rsidRPr="006721B1">
        <w:rPr>
          <w:b/>
          <w:sz w:val="16"/>
          <w:szCs w:val="16"/>
        </w:rPr>
        <w:t>#</w:t>
      </w:r>
      <w:r w:rsidRPr="006721B1">
        <w:rPr>
          <w:sz w:val="16"/>
          <w:szCs w:val="16"/>
        </w:rPr>
        <w:t xml:space="preserve"> </w:t>
      </w:r>
      <w:r w:rsidR="006E2B85">
        <w:rPr>
          <w:sz w:val="16"/>
          <w:szCs w:val="16"/>
        </w:rPr>
        <w:t xml:space="preserve">Four impact assessment agencies, see table 3.2. </w:t>
      </w:r>
      <w:r w:rsidRPr="005120B0">
        <w:rPr>
          <w:sz w:val="16"/>
          <w:szCs w:val="16"/>
        </w:rPr>
        <w:t xml:space="preserve"> ## Appeals go to the Chair of the Competitiveness Council (this function does not apply since 1 July 2012) </w:t>
      </w:r>
      <w:r w:rsidRPr="006721B1">
        <w:rPr>
          <w:b/>
          <w:sz w:val="16"/>
          <w:szCs w:val="16"/>
        </w:rPr>
        <w:t>*</w:t>
      </w:r>
      <w:r w:rsidRPr="005120B0">
        <w:rPr>
          <w:sz w:val="16"/>
          <w:szCs w:val="16"/>
        </w:rPr>
        <w:t xml:space="preserve"> Since January 2012, responsibility for red tape reduction and offsets has been moved from the </w:t>
      </w:r>
      <w:proofErr w:type="spellStart"/>
      <w:r w:rsidRPr="005120B0">
        <w:rPr>
          <w:sz w:val="16"/>
          <w:szCs w:val="16"/>
        </w:rPr>
        <w:t>OEDB</w:t>
      </w:r>
      <w:proofErr w:type="spellEnd"/>
      <w:r w:rsidRPr="005120B0">
        <w:rPr>
          <w:sz w:val="16"/>
          <w:szCs w:val="16"/>
        </w:rPr>
        <w:t xml:space="preserve"> to the Cabinet Office.</w:t>
      </w:r>
    </w:p>
    <w:p w:rsidR="009364C1" w:rsidRDefault="009364C1">
      <w:pPr>
        <w:pStyle w:val="FigureTitle"/>
      </w:pPr>
      <w:r>
        <w:rPr>
          <w:b w:val="0"/>
        </w:rPr>
        <w:lastRenderedPageBreak/>
        <w:t xml:space="preserve">Figure </w:t>
      </w:r>
      <w:r w:rsidR="008D7DD7">
        <w:rPr>
          <w:b w:val="0"/>
        </w:rPr>
        <w:t>1.</w:t>
      </w:r>
      <w:r w:rsidR="0037184F">
        <w:rPr>
          <w:b w:val="0"/>
          <w:noProof/>
        </w:rPr>
        <w:t>9</w:t>
      </w:r>
      <w:r>
        <w:tab/>
        <w:t>Tasmania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364C1">
        <w:tc>
          <w:tcPr>
            <w:tcW w:w="8777" w:type="dxa"/>
          </w:tcPr>
          <w:p w:rsidR="009364C1" w:rsidRDefault="006721B1">
            <w:pPr>
              <w:pStyle w:val="Figure"/>
            </w:pPr>
            <w:r>
              <w:rPr>
                <w:noProof/>
              </w:rPr>
              <w:drawing>
                <wp:inline distT="0" distB="0" distL="0" distR="0" wp14:anchorId="7665F4D2" wp14:editId="406E21F6">
                  <wp:extent cx="5568950" cy="7620000"/>
                  <wp:effectExtent l="0" t="0" r="0" b="0"/>
                  <wp:docPr id="9" name="Picture 9" descr="Figure 1.9 Tasmania RIA and regulatory development. This flowchart shows the interaction of the Tasmanian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8950" cy="7620000"/>
                          </a:xfrm>
                          <a:prstGeom prst="rect">
                            <a:avLst/>
                          </a:prstGeom>
                          <a:noFill/>
                          <a:ln>
                            <a:noFill/>
                          </a:ln>
                        </pic:spPr>
                      </pic:pic>
                    </a:graphicData>
                  </a:graphic>
                </wp:inline>
              </w:drawing>
            </w:r>
          </w:p>
        </w:tc>
      </w:tr>
    </w:tbl>
    <w:p w:rsidR="00574AD3" w:rsidRDefault="00574AD3" w:rsidP="00574AD3">
      <w:pPr>
        <w:pStyle w:val="Note"/>
      </w:pPr>
      <w:proofErr w:type="spellStart"/>
      <w:r w:rsidRPr="00574AD3">
        <w:rPr>
          <w:b/>
        </w:rPr>
        <w:t>ERU</w:t>
      </w:r>
      <w:proofErr w:type="spellEnd"/>
      <w:r>
        <w:t xml:space="preserve"> Economic Reform Unit </w:t>
      </w:r>
      <w:r w:rsidRPr="00574AD3">
        <w:rPr>
          <w:b/>
        </w:rPr>
        <w:t>MAS</w:t>
      </w:r>
      <w:r w:rsidR="006721B1">
        <w:t xml:space="preserve"> minor assessment s</w:t>
      </w:r>
      <w:r>
        <w:t>tatement</w:t>
      </w:r>
    </w:p>
    <w:p w:rsidR="008D65CB" w:rsidRDefault="008D65CB">
      <w:pPr>
        <w:pStyle w:val="FigureTitle"/>
      </w:pPr>
      <w:r>
        <w:rPr>
          <w:b w:val="0"/>
        </w:rPr>
        <w:lastRenderedPageBreak/>
        <w:t xml:space="preserve">Figure </w:t>
      </w:r>
      <w:r w:rsidR="008D7DD7">
        <w:rPr>
          <w:b w:val="0"/>
        </w:rPr>
        <w:t>1.</w:t>
      </w:r>
      <w:r w:rsidR="0037184F">
        <w:rPr>
          <w:b w:val="0"/>
          <w:noProof/>
        </w:rPr>
        <w:t>10</w:t>
      </w:r>
      <w:r>
        <w:tab/>
        <w:t>A</w:t>
      </w:r>
      <w:r w:rsidR="00F8544D">
        <w:t xml:space="preserve">ustralian </w:t>
      </w:r>
      <w:r>
        <w:t>C</w:t>
      </w:r>
      <w:r w:rsidR="00F8544D">
        <w:t xml:space="preserve">apital </w:t>
      </w:r>
      <w:r>
        <w:t>T</w:t>
      </w:r>
      <w:r w:rsidR="00F8544D">
        <w:t>erritory</w:t>
      </w:r>
      <w:r>
        <w:t xml:space="preserve">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D65CB">
        <w:tc>
          <w:tcPr>
            <w:tcW w:w="8777" w:type="dxa"/>
          </w:tcPr>
          <w:p w:rsidR="008D65CB" w:rsidRDefault="00E34ECE">
            <w:pPr>
              <w:pStyle w:val="Figure"/>
            </w:pPr>
            <w:r>
              <w:rPr>
                <w:noProof/>
              </w:rPr>
              <w:drawing>
                <wp:inline distT="0" distB="0" distL="0" distR="0" wp14:anchorId="5C19B601" wp14:editId="616823D2">
                  <wp:extent cx="5568950" cy="7512685"/>
                  <wp:effectExtent l="0" t="0" r="0" b="0"/>
                  <wp:docPr id="1" name="Picture 1" descr="Figure 1.10 Australian Capital Territory RIA and regulatory development. This flowchart shows the interaction of the ACT’s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68950" cy="7512685"/>
                          </a:xfrm>
                          <a:prstGeom prst="rect">
                            <a:avLst/>
                          </a:prstGeom>
                          <a:noFill/>
                          <a:ln>
                            <a:noFill/>
                          </a:ln>
                        </pic:spPr>
                      </pic:pic>
                    </a:graphicData>
                  </a:graphic>
                </wp:inline>
              </w:drawing>
            </w:r>
          </w:p>
        </w:tc>
      </w:tr>
    </w:tbl>
    <w:p w:rsidR="004C04BA" w:rsidRDefault="00E32704" w:rsidP="00E32704">
      <w:pPr>
        <w:pStyle w:val="Note"/>
      </w:pPr>
      <w:proofErr w:type="spellStart"/>
      <w:r w:rsidRPr="007D78FB">
        <w:rPr>
          <w:b/>
        </w:rPr>
        <w:t>MPU</w:t>
      </w:r>
      <w:proofErr w:type="spellEnd"/>
      <w:r>
        <w:t xml:space="preserve"> Microeconomic Policy Unit, ACT Treasury Directorate</w:t>
      </w:r>
      <w:r w:rsidR="007D78FB">
        <w:t xml:space="preserve"> </w:t>
      </w:r>
      <w:r w:rsidR="007D78FB" w:rsidRPr="007D78FB">
        <w:rPr>
          <w:b/>
        </w:rPr>
        <w:t>*</w:t>
      </w:r>
      <w:r w:rsidR="007D78FB">
        <w:t xml:space="preserve"> Public consultation requirements are contained in </w:t>
      </w:r>
      <w:r w:rsidR="007D78FB" w:rsidRPr="007D78FB">
        <w:rPr>
          <w:i/>
        </w:rPr>
        <w:t xml:space="preserve">Engaging </w:t>
      </w:r>
      <w:proofErr w:type="spellStart"/>
      <w:r w:rsidR="007D78FB" w:rsidRPr="007D78FB">
        <w:rPr>
          <w:i/>
        </w:rPr>
        <w:t>Canberrans</w:t>
      </w:r>
      <w:proofErr w:type="spellEnd"/>
      <w:r w:rsidR="007D78FB" w:rsidRPr="007D78FB">
        <w:rPr>
          <w:i/>
        </w:rPr>
        <w:t xml:space="preserve"> – a guide to community engagement</w:t>
      </w:r>
      <w:r w:rsidR="00E34ECE">
        <w:rPr>
          <w:i/>
        </w:rPr>
        <w:t xml:space="preserve"> </w:t>
      </w:r>
      <w:r w:rsidR="00E34ECE" w:rsidRPr="00E34ECE">
        <w:rPr>
          <w:b/>
        </w:rPr>
        <w:t>#</w:t>
      </w:r>
      <w:r w:rsidR="00E34ECE">
        <w:rPr>
          <w:i/>
        </w:rPr>
        <w:t xml:space="preserve"> </w:t>
      </w:r>
      <w:r w:rsidR="00E34ECE">
        <w:t>For proposals relating to subordinate legislation, agencies must prepare a ‘late RIS’ if the exemption is disallowed.</w:t>
      </w:r>
    </w:p>
    <w:p w:rsidR="004C04BA" w:rsidRDefault="004C04BA">
      <w:pPr>
        <w:pStyle w:val="FigureTitle"/>
      </w:pPr>
      <w:r>
        <w:rPr>
          <w:b w:val="0"/>
        </w:rPr>
        <w:lastRenderedPageBreak/>
        <w:t xml:space="preserve">Figure </w:t>
      </w:r>
      <w:r w:rsidR="008D7DD7">
        <w:rPr>
          <w:b w:val="0"/>
        </w:rPr>
        <w:t>1.</w:t>
      </w:r>
      <w:r w:rsidR="0037184F">
        <w:rPr>
          <w:b w:val="0"/>
          <w:noProof/>
        </w:rPr>
        <w:t>11</w:t>
      </w:r>
      <w:r>
        <w:tab/>
        <w:t>Northern Territory RIA and regulatory development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C04BA">
        <w:tc>
          <w:tcPr>
            <w:tcW w:w="8777" w:type="dxa"/>
          </w:tcPr>
          <w:p w:rsidR="004C04BA" w:rsidRDefault="00217F63" w:rsidP="00A64AA5">
            <w:pPr>
              <w:pStyle w:val="Figure"/>
              <w:spacing w:after="0"/>
            </w:pPr>
            <w:r>
              <w:rPr>
                <w:noProof/>
              </w:rPr>
              <w:drawing>
                <wp:inline distT="0" distB="0" distL="0" distR="0" wp14:anchorId="28161467" wp14:editId="72197162">
                  <wp:extent cx="5568950" cy="7620000"/>
                  <wp:effectExtent l="0" t="0" r="0" b="0"/>
                  <wp:docPr id="11" name="Picture 11" descr="Figure 1.11 Northern Territory RIA and regulatory development. This flowchart shows the interaction of the Northern Territory’s Commonwealth’s regulatory development processes with RIA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8950" cy="7620000"/>
                          </a:xfrm>
                          <a:prstGeom prst="rect">
                            <a:avLst/>
                          </a:prstGeom>
                          <a:noFill/>
                          <a:ln>
                            <a:noFill/>
                          </a:ln>
                        </pic:spPr>
                      </pic:pic>
                    </a:graphicData>
                  </a:graphic>
                </wp:inline>
              </w:drawing>
            </w:r>
          </w:p>
        </w:tc>
      </w:tr>
    </w:tbl>
    <w:p w:rsidR="005875C9" w:rsidRDefault="007D78FB" w:rsidP="007D78FB">
      <w:pPr>
        <w:pStyle w:val="Note"/>
      </w:pPr>
      <w:proofErr w:type="spellStart"/>
      <w:r w:rsidRPr="007D78FB">
        <w:rPr>
          <w:b/>
        </w:rPr>
        <w:t>ExCo</w:t>
      </w:r>
      <w:proofErr w:type="spellEnd"/>
      <w:r>
        <w:t xml:space="preserve"> Executive Council </w:t>
      </w:r>
      <w:proofErr w:type="spellStart"/>
      <w:r w:rsidRPr="007D78FB">
        <w:rPr>
          <w:b/>
        </w:rPr>
        <w:t>RIU</w:t>
      </w:r>
      <w:proofErr w:type="spellEnd"/>
      <w:r>
        <w:t xml:space="preserve"> Regulation Impact Unit </w:t>
      </w:r>
      <w:proofErr w:type="spellStart"/>
      <w:r w:rsidRPr="007D78FB">
        <w:rPr>
          <w:b/>
        </w:rPr>
        <w:t>RIC</w:t>
      </w:r>
      <w:proofErr w:type="spellEnd"/>
      <w:r>
        <w:t xml:space="preserve"> Regulation</w:t>
      </w:r>
      <w:r w:rsidR="00221A85">
        <w:t xml:space="preserve"> Impact Committee consists of Department of</w:t>
      </w:r>
      <w:r>
        <w:t xml:space="preserve"> Treasury</w:t>
      </w:r>
      <w:r w:rsidR="00221A85">
        <w:t xml:space="preserve"> and Finance</w:t>
      </w:r>
      <w:r>
        <w:t>, Department of</w:t>
      </w:r>
      <w:r w:rsidR="00221A85">
        <w:t xml:space="preserve"> the</w:t>
      </w:r>
      <w:r>
        <w:t xml:space="preserve"> Chief Minister, Department of</w:t>
      </w:r>
      <w:r w:rsidR="00221A85">
        <w:t xml:space="preserve"> the Attorney-General and</w:t>
      </w:r>
      <w:r>
        <w:t xml:space="preserve"> Justice and Department of Busines</w:t>
      </w:r>
      <w:r w:rsidR="00221A85">
        <w:t>s</w:t>
      </w:r>
      <w:r>
        <w:t xml:space="preserve"> </w:t>
      </w:r>
      <w:proofErr w:type="spellStart"/>
      <w:r w:rsidR="0047733D">
        <w:rPr>
          <w:b/>
        </w:rPr>
        <w:t>PRIA</w:t>
      </w:r>
      <w:proofErr w:type="spellEnd"/>
      <w:r>
        <w:t xml:space="preserve"> Preliminary regulatory impact </w:t>
      </w:r>
      <w:r w:rsidR="0047733D">
        <w:t>assessment</w:t>
      </w:r>
    </w:p>
    <w:sectPr w:rsidR="005875C9" w:rsidSect="004A7D54">
      <w:headerReference w:type="even" r:id="rId20"/>
      <w:headerReference w:type="default" r:id="rId21"/>
      <w:footerReference w:type="even" r:id="rId22"/>
      <w:footerReference w:type="default" r:id="rId23"/>
      <w:pgSz w:w="11907" w:h="16840" w:code="9"/>
      <w:pgMar w:top="1985" w:right="1304" w:bottom="1418" w:left="1814" w:header="1701" w:footer="567" w:gutter="0"/>
      <w:pgNumType w:start="3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A5" w:rsidRDefault="001711A5">
      <w:r>
        <w:separator/>
      </w:r>
    </w:p>
  </w:endnote>
  <w:endnote w:type="continuationSeparator" w:id="0">
    <w:p w:rsidR="001711A5" w:rsidRDefault="0017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711A5">
      <w:trPr>
        <w:trHeight w:hRule="exact" w:val="740"/>
      </w:trPr>
      <w:tc>
        <w:tcPr>
          <w:tcW w:w="510" w:type="dxa"/>
          <w:tcBorders>
            <w:top w:val="single" w:sz="6" w:space="0" w:color="auto"/>
          </w:tcBorders>
        </w:tcPr>
        <w:p w:rsidR="001711A5" w:rsidRDefault="001711A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A21DE">
            <w:rPr>
              <w:rStyle w:val="PageNumber"/>
              <w:noProof/>
            </w:rPr>
            <w:t>40</w:t>
          </w:r>
          <w:r>
            <w:rPr>
              <w:rStyle w:val="PageNumber"/>
            </w:rPr>
            <w:fldChar w:fldCharType="end"/>
          </w:r>
        </w:p>
      </w:tc>
      <w:tc>
        <w:tcPr>
          <w:tcW w:w="1644" w:type="dxa"/>
          <w:tcBorders>
            <w:top w:val="single" w:sz="6" w:space="0" w:color="auto"/>
          </w:tcBorders>
        </w:tcPr>
        <w:p w:rsidR="001711A5" w:rsidRDefault="001711A5" w:rsidP="0019293B">
          <w:pPr>
            <w:pStyle w:val="Footer"/>
          </w:pPr>
          <w:r>
            <w:fldChar w:fldCharType="begin"/>
          </w:r>
          <w:r>
            <w:instrText xml:space="preserve"> SUBJECT  \* MERGEFORMAT </w:instrText>
          </w:r>
          <w:r>
            <w:fldChar w:fldCharType="separate"/>
          </w:r>
          <w:proofErr w:type="spellStart"/>
          <w:r>
            <w:t>RIA</w:t>
          </w:r>
          <w:proofErr w:type="spellEnd"/>
          <w:r>
            <w:t xml:space="preserve"> Benchmarking</w:t>
          </w:r>
          <w:r>
            <w:fldChar w:fldCharType="end"/>
          </w:r>
        </w:p>
      </w:tc>
      <w:tc>
        <w:tcPr>
          <w:tcW w:w="6634" w:type="dxa"/>
        </w:tcPr>
        <w:p w:rsidR="001711A5" w:rsidRDefault="001711A5" w:rsidP="0019293B">
          <w:pPr>
            <w:pStyle w:val="Footer"/>
          </w:pPr>
        </w:p>
      </w:tc>
    </w:tr>
  </w:tbl>
  <w:p w:rsidR="001711A5" w:rsidRDefault="001711A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711A5">
      <w:trPr>
        <w:trHeight w:hRule="exact" w:val="740"/>
      </w:trPr>
      <w:tc>
        <w:tcPr>
          <w:tcW w:w="6634" w:type="dxa"/>
        </w:tcPr>
        <w:p w:rsidR="001711A5" w:rsidRDefault="001711A5">
          <w:pPr>
            <w:pStyle w:val="Footer"/>
            <w:ind w:right="360" w:firstLine="360"/>
          </w:pPr>
        </w:p>
      </w:tc>
      <w:tc>
        <w:tcPr>
          <w:tcW w:w="1644" w:type="dxa"/>
          <w:tcBorders>
            <w:top w:val="single" w:sz="6" w:space="0" w:color="auto"/>
          </w:tcBorders>
        </w:tcPr>
        <w:p w:rsidR="001711A5" w:rsidRDefault="008A21DE">
          <w:pPr>
            <w:pStyle w:val="Footer"/>
          </w:pPr>
          <w:r>
            <w:fldChar w:fldCharType="begin"/>
          </w:r>
          <w:r>
            <w:instrText xml:space="preserve"> TITLE  \* MERGEFORMAT </w:instrText>
          </w:r>
          <w:r>
            <w:fldChar w:fldCharType="separate"/>
          </w:r>
          <w:r w:rsidR="001711A5">
            <w:t>Introduction</w:t>
          </w:r>
          <w:r>
            <w:fldChar w:fldCharType="end"/>
          </w:r>
        </w:p>
      </w:tc>
      <w:tc>
        <w:tcPr>
          <w:tcW w:w="510" w:type="dxa"/>
          <w:tcBorders>
            <w:top w:val="single" w:sz="6" w:space="0" w:color="auto"/>
          </w:tcBorders>
        </w:tcPr>
        <w:p w:rsidR="001711A5" w:rsidRDefault="001711A5">
          <w:pPr>
            <w:pStyle w:val="Footer"/>
            <w:jc w:val="right"/>
          </w:pPr>
          <w:r>
            <w:rPr>
              <w:rStyle w:val="PageNumber"/>
            </w:rPr>
            <w:fldChar w:fldCharType="begin"/>
          </w:r>
          <w:r>
            <w:rPr>
              <w:rStyle w:val="PageNumber"/>
            </w:rPr>
            <w:instrText xml:space="preserve">PAGE  </w:instrText>
          </w:r>
          <w:r>
            <w:rPr>
              <w:rStyle w:val="PageNumber"/>
            </w:rPr>
            <w:fldChar w:fldCharType="separate"/>
          </w:r>
          <w:r w:rsidR="008A21DE">
            <w:rPr>
              <w:rStyle w:val="PageNumber"/>
              <w:noProof/>
            </w:rPr>
            <w:t>45</w:t>
          </w:r>
          <w:r>
            <w:rPr>
              <w:rStyle w:val="PageNumber"/>
            </w:rPr>
            <w:fldChar w:fldCharType="end"/>
          </w:r>
        </w:p>
      </w:tc>
    </w:tr>
  </w:tbl>
  <w:p w:rsidR="001711A5" w:rsidRDefault="001711A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A5" w:rsidRDefault="001711A5">
      <w:r>
        <w:separator/>
      </w:r>
    </w:p>
  </w:footnote>
  <w:footnote w:type="continuationSeparator" w:id="0">
    <w:p w:rsidR="001711A5" w:rsidRDefault="001711A5">
      <w:r>
        <w:continuationSeparator/>
      </w:r>
    </w:p>
  </w:footnote>
  <w:footnote w:id="1">
    <w:p w:rsidR="001711A5" w:rsidRDefault="001711A5" w:rsidP="00A64AA5">
      <w:pPr>
        <w:pStyle w:val="FootnoteText"/>
      </w:pPr>
      <w:r>
        <w:rPr>
          <w:rStyle w:val="FootnoteReference"/>
        </w:rPr>
        <w:footnoteRef/>
      </w:r>
      <w:r>
        <w:t xml:space="preserve"> </w:t>
      </w:r>
      <w:r>
        <w:tab/>
      </w:r>
      <w:r w:rsidRPr="000F09AA">
        <w:t>Regulatory impact analysis is also referred to in some jurisdictions as regulation impact analysis</w:t>
      </w:r>
      <w:r>
        <w:t>,</w:t>
      </w:r>
      <w:r w:rsidRPr="000F09AA">
        <w:t xml:space="preserve"> regulatory</w:t>
      </w:r>
      <w:r>
        <w:t>/regulation</w:t>
      </w:r>
      <w:r w:rsidRPr="000F09AA">
        <w:t xml:space="preserve"> impact assessment or impact analysis/assessment.</w:t>
      </w:r>
    </w:p>
  </w:footnote>
  <w:footnote w:id="2">
    <w:p w:rsidR="001711A5" w:rsidRDefault="001711A5">
      <w:pPr>
        <w:pStyle w:val="FootnoteText"/>
      </w:pPr>
      <w:r>
        <w:rPr>
          <w:rStyle w:val="FootnoteReference"/>
        </w:rPr>
        <w:footnoteRef/>
      </w:r>
      <w:r>
        <w:tab/>
        <w:t xml:space="preserve">As at 21 September 2012, Part 5 of the </w:t>
      </w:r>
      <w:r w:rsidRPr="007530AF">
        <w:rPr>
          <w:i/>
        </w:rPr>
        <w:t>Statutory Instruments Act 1992</w:t>
      </w:r>
      <w:r>
        <w:t xml:space="preserve">, which prescribed specific requirements for the preparation of </w:t>
      </w:r>
      <w:proofErr w:type="spellStart"/>
      <w:r>
        <w:t>RISs</w:t>
      </w:r>
      <w:proofErr w:type="spellEnd"/>
      <w:r>
        <w:t xml:space="preserve"> for subordinate legislation, was repealed.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11A5">
      <w:tc>
        <w:tcPr>
          <w:tcW w:w="2155" w:type="dxa"/>
          <w:tcBorders>
            <w:top w:val="single" w:sz="24" w:space="0" w:color="auto"/>
          </w:tcBorders>
        </w:tcPr>
        <w:p w:rsidR="001711A5" w:rsidRDefault="001711A5" w:rsidP="0019293B">
          <w:pPr>
            <w:pStyle w:val="HeaderEven"/>
          </w:pPr>
        </w:p>
      </w:tc>
      <w:tc>
        <w:tcPr>
          <w:tcW w:w="6634" w:type="dxa"/>
          <w:tcBorders>
            <w:top w:val="single" w:sz="6" w:space="0" w:color="auto"/>
          </w:tcBorders>
        </w:tcPr>
        <w:p w:rsidR="001711A5" w:rsidRDefault="001711A5" w:rsidP="0019293B">
          <w:pPr>
            <w:pStyle w:val="HeaderEven"/>
          </w:pPr>
        </w:p>
      </w:tc>
    </w:tr>
  </w:tbl>
  <w:p w:rsidR="001711A5" w:rsidRDefault="001711A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11A5">
      <w:tc>
        <w:tcPr>
          <w:tcW w:w="6634" w:type="dxa"/>
          <w:tcBorders>
            <w:top w:val="single" w:sz="6" w:space="0" w:color="auto"/>
          </w:tcBorders>
        </w:tcPr>
        <w:p w:rsidR="001711A5" w:rsidRDefault="001711A5" w:rsidP="00E669E2">
          <w:pPr>
            <w:pStyle w:val="HeaderOdd"/>
          </w:pPr>
        </w:p>
      </w:tc>
      <w:tc>
        <w:tcPr>
          <w:tcW w:w="2155" w:type="dxa"/>
          <w:tcBorders>
            <w:top w:val="single" w:sz="24" w:space="0" w:color="auto"/>
          </w:tcBorders>
        </w:tcPr>
        <w:p w:rsidR="001711A5" w:rsidRDefault="001711A5" w:rsidP="00E669E2">
          <w:pPr>
            <w:pStyle w:val="HeaderOdd"/>
          </w:pPr>
        </w:p>
      </w:tc>
    </w:tr>
  </w:tbl>
  <w:p w:rsidR="001711A5" w:rsidRDefault="001711A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6"/>
  </w:num>
  <w:num w:numId="11">
    <w:abstractNumId w:val="26"/>
  </w:num>
  <w:num w:numId="12">
    <w:abstractNumId w:val="15"/>
  </w:num>
  <w:num w:numId="13">
    <w:abstractNumId w:val="14"/>
  </w:num>
  <w:num w:numId="14">
    <w:abstractNumId w:val="17"/>
  </w:num>
  <w:num w:numId="1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6">
    <w:abstractNumId w:val="5"/>
  </w:num>
  <w:num w:numId="17">
    <w:abstractNumId w:val="3"/>
  </w:num>
  <w:num w:numId="18">
    <w:abstractNumId w:val="2"/>
  </w:num>
  <w:num w:numId="19">
    <w:abstractNumId w:val="4"/>
  </w:num>
  <w:num w:numId="20">
    <w:abstractNumId w:val="1"/>
  </w:num>
  <w:num w:numId="21">
    <w:abstractNumId w:val="0"/>
  </w:num>
  <w:num w:numId="22">
    <w:abstractNumId w:val="12"/>
  </w:num>
  <w:num w:numId="23">
    <w:abstractNumId w:val="34"/>
  </w:num>
  <w:num w:numId="24">
    <w:abstractNumId w:val="36"/>
  </w:num>
  <w:num w:numId="25">
    <w:abstractNumId w:val="24"/>
  </w:num>
  <w:num w:numId="26">
    <w:abstractNumId w:val="27"/>
  </w:num>
  <w:num w:numId="27">
    <w:abstractNumId w:val="29"/>
  </w:num>
  <w:num w:numId="28">
    <w:abstractNumId w:val="41"/>
  </w:num>
  <w:num w:numId="29">
    <w:abstractNumId w:val="33"/>
  </w:num>
  <w:num w:numId="30">
    <w:abstractNumId w:val="38"/>
  </w:num>
  <w:num w:numId="31">
    <w:abstractNumId w:val="39"/>
  </w:num>
  <w:num w:numId="32">
    <w:abstractNumId w:val="31"/>
  </w:num>
  <w:num w:numId="33">
    <w:abstractNumId w:val="21"/>
  </w:num>
  <w:num w:numId="34">
    <w:abstractNumId w:val="44"/>
  </w:num>
  <w:num w:numId="35">
    <w:abstractNumId w:val="8"/>
  </w:num>
  <w:num w:numId="36">
    <w:abstractNumId w:val="18"/>
  </w:num>
  <w:num w:numId="37">
    <w:abstractNumId w:val="40"/>
  </w:num>
  <w:num w:numId="38">
    <w:abstractNumId w:val="32"/>
  </w:num>
  <w:num w:numId="39">
    <w:abstractNumId w:val="13"/>
  </w:num>
  <w:num w:numId="40">
    <w:abstractNumId w:val="35"/>
  </w:num>
  <w:num w:numId="41">
    <w:abstractNumId w:val="23"/>
  </w:num>
  <w:num w:numId="42">
    <w:abstractNumId w:val="11"/>
  </w:num>
  <w:num w:numId="43">
    <w:abstractNumId w:val="19"/>
  </w:num>
  <w:num w:numId="44">
    <w:abstractNumId w:val="22"/>
  </w:num>
  <w:num w:numId="45">
    <w:abstractNumId w:val="30"/>
  </w:num>
  <w:num w:numId="4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3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RIA Benchmarking"/>
  </w:docVars>
  <w:rsids>
    <w:rsidRoot w:val="00C72D6A"/>
    <w:rsid w:val="00000E90"/>
    <w:rsid w:val="0001591C"/>
    <w:rsid w:val="00022C0C"/>
    <w:rsid w:val="00023B57"/>
    <w:rsid w:val="000245AA"/>
    <w:rsid w:val="0003664B"/>
    <w:rsid w:val="0004111F"/>
    <w:rsid w:val="0004142A"/>
    <w:rsid w:val="000565B3"/>
    <w:rsid w:val="000617CA"/>
    <w:rsid w:val="00061D84"/>
    <w:rsid w:val="00062135"/>
    <w:rsid w:val="0007150B"/>
    <w:rsid w:val="000864C6"/>
    <w:rsid w:val="000938F5"/>
    <w:rsid w:val="000A481B"/>
    <w:rsid w:val="000A5B12"/>
    <w:rsid w:val="000A7177"/>
    <w:rsid w:val="000B601B"/>
    <w:rsid w:val="000B619C"/>
    <w:rsid w:val="000C207E"/>
    <w:rsid w:val="000D3BC8"/>
    <w:rsid w:val="000D4241"/>
    <w:rsid w:val="000D62F6"/>
    <w:rsid w:val="000E3705"/>
    <w:rsid w:val="000E631D"/>
    <w:rsid w:val="000F0515"/>
    <w:rsid w:val="000F09AA"/>
    <w:rsid w:val="001012AB"/>
    <w:rsid w:val="0010694E"/>
    <w:rsid w:val="00110116"/>
    <w:rsid w:val="001264D1"/>
    <w:rsid w:val="00126EB8"/>
    <w:rsid w:val="00132527"/>
    <w:rsid w:val="001363AA"/>
    <w:rsid w:val="00142191"/>
    <w:rsid w:val="00157E32"/>
    <w:rsid w:val="00161FAC"/>
    <w:rsid w:val="001711A5"/>
    <w:rsid w:val="00171510"/>
    <w:rsid w:val="00183E82"/>
    <w:rsid w:val="00191B6C"/>
    <w:rsid w:val="0019293B"/>
    <w:rsid w:val="001936C6"/>
    <w:rsid w:val="00193C95"/>
    <w:rsid w:val="001A4BFA"/>
    <w:rsid w:val="001A4CF3"/>
    <w:rsid w:val="001B1B51"/>
    <w:rsid w:val="001B2F40"/>
    <w:rsid w:val="001C0865"/>
    <w:rsid w:val="001C3ABA"/>
    <w:rsid w:val="001C3B95"/>
    <w:rsid w:val="001C4312"/>
    <w:rsid w:val="001D075F"/>
    <w:rsid w:val="001D7B17"/>
    <w:rsid w:val="001E1AA8"/>
    <w:rsid w:val="001E2DF8"/>
    <w:rsid w:val="001E2F3E"/>
    <w:rsid w:val="001E31D8"/>
    <w:rsid w:val="001E32AC"/>
    <w:rsid w:val="001E7BE8"/>
    <w:rsid w:val="001F0248"/>
    <w:rsid w:val="001F3BD6"/>
    <w:rsid w:val="001F3EB3"/>
    <w:rsid w:val="001F6ED3"/>
    <w:rsid w:val="001F7A5D"/>
    <w:rsid w:val="00202C2C"/>
    <w:rsid w:val="002052ED"/>
    <w:rsid w:val="002149D3"/>
    <w:rsid w:val="00214AE2"/>
    <w:rsid w:val="00217F63"/>
    <w:rsid w:val="00221A85"/>
    <w:rsid w:val="002236C5"/>
    <w:rsid w:val="0023572B"/>
    <w:rsid w:val="00242279"/>
    <w:rsid w:val="00245C82"/>
    <w:rsid w:val="0024690D"/>
    <w:rsid w:val="00251B2B"/>
    <w:rsid w:val="00252C4B"/>
    <w:rsid w:val="00252E93"/>
    <w:rsid w:val="002643AC"/>
    <w:rsid w:val="00265095"/>
    <w:rsid w:val="0026538F"/>
    <w:rsid w:val="00265407"/>
    <w:rsid w:val="00267290"/>
    <w:rsid w:val="00270D91"/>
    <w:rsid w:val="00270FF8"/>
    <w:rsid w:val="002871D3"/>
    <w:rsid w:val="002876DD"/>
    <w:rsid w:val="00287795"/>
    <w:rsid w:val="00291B40"/>
    <w:rsid w:val="00295505"/>
    <w:rsid w:val="002A0752"/>
    <w:rsid w:val="002A4549"/>
    <w:rsid w:val="002A4F34"/>
    <w:rsid w:val="002A66E3"/>
    <w:rsid w:val="002A6EC0"/>
    <w:rsid w:val="002A7406"/>
    <w:rsid w:val="002B04C7"/>
    <w:rsid w:val="002B4008"/>
    <w:rsid w:val="002B51FE"/>
    <w:rsid w:val="002B5EAC"/>
    <w:rsid w:val="002C51A9"/>
    <w:rsid w:val="002D0662"/>
    <w:rsid w:val="002D0E8E"/>
    <w:rsid w:val="002D1D3F"/>
    <w:rsid w:val="002E0F03"/>
    <w:rsid w:val="002E513D"/>
    <w:rsid w:val="002E6D7E"/>
    <w:rsid w:val="002F0791"/>
    <w:rsid w:val="002F407F"/>
    <w:rsid w:val="00300A96"/>
    <w:rsid w:val="00301189"/>
    <w:rsid w:val="003172B6"/>
    <w:rsid w:val="00320314"/>
    <w:rsid w:val="00323E09"/>
    <w:rsid w:val="00327817"/>
    <w:rsid w:val="0033153F"/>
    <w:rsid w:val="00332B6D"/>
    <w:rsid w:val="00333932"/>
    <w:rsid w:val="0034320B"/>
    <w:rsid w:val="00346EAE"/>
    <w:rsid w:val="003518AA"/>
    <w:rsid w:val="00352165"/>
    <w:rsid w:val="00352D38"/>
    <w:rsid w:val="00353182"/>
    <w:rsid w:val="00353DCA"/>
    <w:rsid w:val="003565D9"/>
    <w:rsid w:val="003602E1"/>
    <w:rsid w:val="0037026F"/>
    <w:rsid w:val="00371240"/>
    <w:rsid w:val="0037184F"/>
    <w:rsid w:val="00371994"/>
    <w:rsid w:val="00374731"/>
    <w:rsid w:val="00375BF2"/>
    <w:rsid w:val="003766B9"/>
    <w:rsid w:val="003826FA"/>
    <w:rsid w:val="003866CD"/>
    <w:rsid w:val="0039156F"/>
    <w:rsid w:val="003919F9"/>
    <w:rsid w:val="003930F2"/>
    <w:rsid w:val="003938D8"/>
    <w:rsid w:val="003A3546"/>
    <w:rsid w:val="003A6129"/>
    <w:rsid w:val="003A6231"/>
    <w:rsid w:val="003C2247"/>
    <w:rsid w:val="003C38B5"/>
    <w:rsid w:val="003C5D99"/>
    <w:rsid w:val="003D0524"/>
    <w:rsid w:val="003D1FC5"/>
    <w:rsid w:val="003F0789"/>
    <w:rsid w:val="003F362D"/>
    <w:rsid w:val="003F6B5D"/>
    <w:rsid w:val="00401882"/>
    <w:rsid w:val="00407D21"/>
    <w:rsid w:val="004100C8"/>
    <w:rsid w:val="00412ACE"/>
    <w:rsid w:val="00413679"/>
    <w:rsid w:val="00416B9B"/>
    <w:rsid w:val="00416F2E"/>
    <w:rsid w:val="00417EC3"/>
    <w:rsid w:val="00431249"/>
    <w:rsid w:val="00431C4B"/>
    <w:rsid w:val="00434C19"/>
    <w:rsid w:val="00440D07"/>
    <w:rsid w:val="00443C37"/>
    <w:rsid w:val="00445E7F"/>
    <w:rsid w:val="00450810"/>
    <w:rsid w:val="00453B1B"/>
    <w:rsid w:val="00475D9D"/>
    <w:rsid w:val="00477144"/>
    <w:rsid w:val="0047733D"/>
    <w:rsid w:val="00477348"/>
    <w:rsid w:val="0048333C"/>
    <w:rsid w:val="004866DD"/>
    <w:rsid w:val="00487EFE"/>
    <w:rsid w:val="0049459F"/>
    <w:rsid w:val="004A0133"/>
    <w:rsid w:val="004A38DD"/>
    <w:rsid w:val="004A7D54"/>
    <w:rsid w:val="004B43AE"/>
    <w:rsid w:val="004B6513"/>
    <w:rsid w:val="004B6EF5"/>
    <w:rsid w:val="004B75EE"/>
    <w:rsid w:val="004C04BA"/>
    <w:rsid w:val="004C30ED"/>
    <w:rsid w:val="004D2EEA"/>
    <w:rsid w:val="004D5675"/>
    <w:rsid w:val="004E3203"/>
    <w:rsid w:val="004E5ACB"/>
    <w:rsid w:val="004F15F5"/>
    <w:rsid w:val="004F197D"/>
    <w:rsid w:val="004F424B"/>
    <w:rsid w:val="005002AF"/>
    <w:rsid w:val="00504576"/>
    <w:rsid w:val="005120B0"/>
    <w:rsid w:val="00512996"/>
    <w:rsid w:val="00523639"/>
    <w:rsid w:val="0053589A"/>
    <w:rsid w:val="00535E3F"/>
    <w:rsid w:val="005435D8"/>
    <w:rsid w:val="005475F9"/>
    <w:rsid w:val="005530BB"/>
    <w:rsid w:val="00563F03"/>
    <w:rsid w:val="0056430A"/>
    <w:rsid w:val="00564765"/>
    <w:rsid w:val="0056571D"/>
    <w:rsid w:val="00571D8B"/>
    <w:rsid w:val="005731A7"/>
    <w:rsid w:val="00574AD3"/>
    <w:rsid w:val="00574F0F"/>
    <w:rsid w:val="00576757"/>
    <w:rsid w:val="00580812"/>
    <w:rsid w:val="00581DAA"/>
    <w:rsid w:val="00583C39"/>
    <w:rsid w:val="00585088"/>
    <w:rsid w:val="00585A58"/>
    <w:rsid w:val="00586B9A"/>
    <w:rsid w:val="005875C9"/>
    <w:rsid w:val="005909CF"/>
    <w:rsid w:val="00591E71"/>
    <w:rsid w:val="00594EDE"/>
    <w:rsid w:val="00596D80"/>
    <w:rsid w:val="005A0D41"/>
    <w:rsid w:val="005A417E"/>
    <w:rsid w:val="005A4B78"/>
    <w:rsid w:val="005B0796"/>
    <w:rsid w:val="005B2A6D"/>
    <w:rsid w:val="005C5FA7"/>
    <w:rsid w:val="005C7C1B"/>
    <w:rsid w:val="005F4C9A"/>
    <w:rsid w:val="00601073"/>
    <w:rsid w:val="00607BF1"/>
    <w:rsid w:val="006125D0"/>
    <w:rsid w:val="0062599E"/>
    <w:rsid w:val="00630D4D"/>
    <w:rsid w:val="0063215C"/>
    <w:rsid w:val="00632A74"/>
    <w:rsid w:val="00632D89"/>
    <w:rsid w:val="006400B1"/>
    <w:rsid w:val="00643E4C"/>
    <w:rsid w:val="00644D3B"/>
    <w:rsid w:val="006458C8"/>
    <w:rsid w:val="00651B91"/>
    <w:rsid w:val="006541D2"/>
    <w:rsid w:val="00654990"/>
    <w:rsid w:val="0065527B"/>
    <w:rsid w:val="006720FE"/>
    <w:rsid w:val="006721B1"/>
    <w:rsid w:val="00672DF5"/>
    <w:rsid w:val="00672F62"/>
    <w:rsid w:val="006909E4"/>
    <w:rsid w:val="00692654"/>
    <w:rsid w:val="00697D4B"/>
    <w:rsid w:val="006A0B56"/>
    <w:rsid w:val="006A4655"/>
    <w:rsid w:val="006B2B3C"/>
    <w:rsid w:val="006B572C"/>
    <w:rsid w:val="006B6BDD"/>
    <w:rsid w:val="006C1BF7"/>
    <w:rsid w:val="006C45BF"/>
    <w:rsid w:val="006C7038"/>
    <w:rsid w:val="006D6B9E"/>
    <w:rsid w:val="006E2B85"/>
    <w:rsid w:val="006E3560"/>
    <w:rsid w:val="006E4513"/>
    <w:rsid w:val="006E73EF"/>
    <w:rsid w:val="006F0C63"/>
    <w:rsid w:val="006F39F7"/>
    <w:rsid w:val="006F518E"/>
    <w:rsid w:val="00701036"/>
    <w:rsid w:val="007028DC"/>
    <w:rsid w:val="00705FF3"/>
    <w:rsid w:val="00714D4D"/>
    <w:rsid w:val="007236BA"/>
    <w:rsid w:val="00724791"/>
    <w:rsid w:val="00751CD3"/>
    <w:rsid w:val="007530AF"/>
    <w:rsid w:val="00754479"/>
    <w:rsid w:val="007604BB"/>
    <w:rsid w:val="00766553"/>
    <w:rsid w:val="00766A5F"/>
    <w:rsid w:val="00777364"/>
    <w:rsid w:val="00785232"/>
    <w:rsid w:val="00797612"/>
    <w:rsid w:val="007A21EB"/>
    <w:rsid w:val="007A2513"/>
    <w:rsid w:val="007A6EBA"/>
    <w:rsid w:val="007B3C05"/>
    <w:rsid w:val="007C2F7B"/>
    <w:rsid w:val="007C36C9"/>
    <w:rsid w:val="007D378D"/>
    <w:rsid w:val="007D3E61"/>
    <w:rsid w:val="007D5086"/>
    <w:rsid w:val="007D78FB"/>
    <w:rsid w:val="007E01E4"/>
    <w:rsid w:val="007F054D"/>
    <w:rsid w:val="007F12C3"/>
    <w:rsid w:val="007F175E"/>
    <w:rsid w:val="007F5C57"/>
    <w:rsid w:val="007F7107"/>
    <w:rsid w:val="008010E4"/>
    <w:rsid w:val="00802D59"/>
    <w:rsid w:val="0081030F"/>
    <w:rsid w:val="0082087D"/>
    <w:rsid w:val="00820E37"/>
    <w:rsid w:val="008220A0"/>
    <w:rsid w:val="00830CF7"/>
    <w:rsid w:val="008333FE"/>
    <w:rsid w:val="00835FA8"/>
    <w:rsid w:val="00836945"/>
    <w:rsid w:val="00836D37"/>
    <w:rsid w:val="008401CA"/>
    <w:rsid w:val="008408A2"/>
    <w:rsid w:val="00842933"/>
    <w:rsid w:val="0086082C"/>
    <w:rsid w:val="0086221F"/>
    <w:rsid w:val="00864ADC"/>
    <w:rsid w:val="00866D7B"/>
    <w:rsid w:val="00866EBC"/>
    <w:rsid w:val="00876C3C"/>
    <w:rsid w:val="00880153"/>
    <w:rsid w:val="00880F97"/>
    <w:rsid w:val="0088133A"/>
    <w:rsid w:val="00892297"/>
    <w:rsid w:val="0089285E"/>
    <w:rsid w:val="0089436C"/>
    <w:rsid w:val="00896806"/>
    <w:rsid w:val="008A21DE"/>
    <w:rsid w:val="008A2F33"/>
    <w:rsid w:val="008A4B12"/>
    <w:rsid w:val="008B0CCF"/>
    <w:rsid w:val="008B1868"/>
    <w:rsid w:val="008B242E"/>
    <w:rsid w:val="008B37A9"/>
    <w:rsid w:val="008C745D"/>
    <w:rsid w:val="008C75EA"/>
    <w:rsid w:val="008D05D7"/>
    <w:rsid w:val="008D365C"/>
    <w:rsid w:val="008D65CB"/>
    <w:rsid w:val="008D6683"/>
    <w:rsid w:val="008D7DD7"/>
    <w:rsid w:val="008E428D"/>
    <w:rsid w:val="008E60E5"/>
    <w:rsid w:val="008E6A64"/>
    <w:rsid w:val="008F5D3C"/>
    <w:rsid w:val="009030BF"/>
    <w:rsid w:val="00913AA8"/>
    <w:rsid w:val="00913B01"/>
    <w:rsid w:val="00914368"/>
    <w:rsid w:val="00916E36"/>
    <w:rsid w:val="00921888"/>
    <w:rsid w:val="00922A11"/>
    <w:rsid w:val="0092348F"/>
    <w:rsid w:val="009248CA"/>
    <w:rsid w:val="00930C5F"/>
    <w:rsid w:val="00931076"/>
    <w:rsid w:val="00931C20"/>
    <w:rsid w:val="00931FE7"/>
    <w:rsid w:val="00932FFD"/>
    <w:rsid w:val="009337DC"/>
    <w:rsid w:val="009345D9"/>
    <w:rsid w:val="00934B15"/>
    <w:rsid w:val="00936215"/>
    <w:rsid w:val="009364C1"/>
    <w:rsid w:val="00942B62"/>
    <w:rsid w:val="009554AB"/>
    <w:rsid w:val="00956A0C"/>
    <w:rsid w:val="00956BD9"/>
    <w:rsid w:val="009603C9"/>
    <w:rsid w:val="00962489"/>
    <w:rsid w:val="00973C66"/>
    <w:rsid w:val="00980A00"/>
    <w:rsid w:val="00983E22"/>
    <w:rsid w:val="009875A6"/>
    <w:rsid w:val="00987D35"/>
    <w:rsid w:val="00990C2C"/>
    <w:rsid w:val="0099388A"/>
    <w:rsid w:val="0099743E"/>
    <w:rsid w:val="009A60CD"/>
    <w:rsid w:val="009B5233"/>
    <w:rsid w:val="009B7B2D"/>
    <w:rsid w:val="009C08AA"/>
    <w:rsid w:val="009D1B02"/>
    <w:rsid w:val="009D3733"/>
    <w:rsid w:val="009E165B"/>
    <w:rsid w:val="009E4ECC"/>
    <w:rsid w:val="009E6225"/>
    <w:rsid w:val="009E69E2"/>
    <w:rsid w:val="009F696D"/>
    <w:rsid w:val="009F6BC6"/>
    <w:rsid w:val="00A14E17"/>
    <w:rsid w:val="00A17328"/>
    <w:rsid w:val="00A204EB"/>
    <w:rsid w:val="00A23A20"/>
    <w:rsid w:val="00A25F3D"/>
    <w:rsid w:val="00A268B9"/>
    <w:rsid w:val="00A2703A"/>
    <w:rsid w:val="00A33DFF"/>
    <w:rsid w:val="00A35115"/>
    <w:rsid w:val="00A43A5D"/>
    <w:rsid w:val="00A45D4A"/>
    <w:rsid w:val="00A52F12"/>
    <w:rsid w:val="00A53D2A"/>
    <w:rsid w:val="00A554AB"/>
    <w:rsid w:val="00A62144"/>
    <w:rsid w:val="00A622DA"/>
    <w:rsid w:val="00A62FC6"/>
    <w:rsid w:val="00A64AA5"/>
    <w:rsid w:val="00A66284"/>
    <w:rsid w:val="00A73C63"/>
    <w:rsid w:val="00A73CE1"/>
    <w:rsid w:val="00A77508"/>
    <w:rsid w:val="00A80F7B"/>
    <w:rsid w:val="00A861C1"/>
    <w:rsid w:val="00A87614"/>
    <w:rsid w:val="00A92B53"/>
    <w:rsid w:val="00A94220"/>
    <w:rsid w:val="00A94FA6"/>
    <w:rsid w:val="00AA49A0"/>
    <w:rsid w:val="00AA6710"/>
    <w:rsid w:val="00AB0681"/>
    <w:rsid w:val="00AB272B"/>
    <w:rsid w:val="00AB650F"/>
    <w:rsid w:val="00AC098B"/>
    <w:rsid w:val="00AC4298"/>
    <w:rsid w:val="00AF0B50"/>
    <w:rsid w:val="00B00669"/>
    <w:rsid w:val="00B02F61"/>
    <w:rsid w:val="00B107FC"/>
    <w:rsid w:val="00B143FE"/>
    <w:rsid w:val="00B16C7A"/>
    <w:rsid w:val="00B24B25"/>
    <w:rsid w:val="00B35DC8"/>
    <w:rsid w:val="00B41A45"/>
    <w:rsid w:val="00B440AD"/>
    <w:rsid w:val="00B47469"/>
    <w:rsid w:val="00B51C2E"/>
    <w:rsid w:val="00B53E7E"/>
    <w:rsid w:val="00B571F2"/>
    <w:rsid w:val="00B6342E"/>
    <w:rsid w:val="00B6780C"/>
    <w:rsid w:val="00B7113F"/>
    <w:rsid w:val="00B72DDA"/>
    <w:rsid w:val="00B74F11"/>
    <w:rsid w:val="00B756B5"/>
    <w:rsid w:val="00B828D6"/>
    <w:rsid w:val="00B944E2"/>
    <w:rsid w:val="00BA2386"/>
    <w:rsid w:val="00BA2F91"/>
    <w:rsid w:val="00BA73B6"/>
    <w:rsid w:val="00BB4FCD"/>
    <w:rsid w:val="00BC11A4"/>
    <w:rsid w:val="00BC5287"/>
    <w:rsid w:val="00BD13EA"/>
    <w:rsid w:val="00BD2D5A"/>
    <w:rsid w:val="00BE3808"/>
    <w:rsid w:val="00BE76AB"/>
    <w:rsid w:val="00BF11A0"/>
    <w:rsid w:val="00C01FA3"/>
    <w:rsid w:val="00C062E9"/>
    <w:rsid w:val="00C07B64"/>
    <w:rsid w:val="00C13721"/>
    <w:rsid w:val="00C1517A"/>
    <w:rsid w:val="00C230B8"/>
    <w:rsid w:val="00C2315E"/>
    <w:rsid w:val="00C3066D"/>
    <w:rsid w:val="00C34540"/>
    <w:rsid w:val="00C37769"/>
    <w:rsid w:val="00C419BC"/>
    <w:rsid w:val="00C47C32"/>
    <w:rsid w:val="00C530DE"/>
    <w:rsid w:val="00C543F4"/>
    <w:rsid w:val="00C57587"/>
    <w:rsid w:val="00C576DD"/>
    <w:rsid w:val="00C61BDF"/>
    <w:rsid w:val="00C620EC"/>
    <w:rsid w:val="00C6291C"/>
    <w:rsid w:val="00C633CB"/>
    <w:rsid w:val="00C66B45"/>
    <w:rsid w:val="00C72856"/>
    <w:rsid w:val="00C72D6A"/>
    <w:rsid w:val="00C7393D"/>
    <w:rsid w:val="00C80DDA"/>
    <w:rsid w:val="00C83043"/>
    <w:rsid w:val="00C86BA3"/>
    <w:rsid w:val="00C87193"/>
    <w:rsid w:val="00C8762C"/>
    <w:rsid w:val="00C9420F"/>
    <w:rsid w:val="00CA00F9"/>
    <w:rsid w:val="00CA1539"/>
    <w:rsid w:val="00CA2961"/>
    <w:rsid w:val="00CA38DB"/>
    <w:rsid w:val="00CA42C7"/>
    <w:rsid w:val="00CB48E0"/>
    <w:rsid w:val="00CB50D7"/>
    <w:rsid w:val="00CB7177"/>
    <w:rsid w:val="00CC1998"/>
    <w:rsid w:val="00CC4946"/>
    <w:rsid w:val="00CD6CB4"/>
    <w:rsid w:val="00CD7430"/>
    <w:rsid w:val="00CE13A7"/>
    <w:rsid w:val="00CE1F0F"/>
    <w:rsid w:val="00CF06EB"/>
    <w:rsid w:val="00D114C7"/>
    <w:rsid w:val="00D26A4A"/>
    <w:rsid w:val="00D270A4"/>
    <w:rsid w:val="00D27AA8"/>
    <w:rsid w:val="00D34E1B"/>
    <w:rsid w:val="00D376BA"/>
    <w:rsid w:val="00D41A22"/>
    <w:rsid w:val="00D4262E"/>
    <w:rsid w:val="00D472CA"/>
    <w:rsid w:val="00D504B7"/>
    <w:rsid w:val="00D54835"/>
    <w:rsid w:val="00D5568A"/>
    <w:rsid w:val="00D5663D"/>
    <w:rsid w:val="00D578CC"/>
    <w:rsid w:val="00D63D73"/>
    <w:rsid w:val="00D64C96"/>
    <w:rsid w:val="00D66C6C"/>
    <w:rsid w:val="00D66E1E"/>
    <w:rsid w:val="00D75722"/>
    <w:rsid w:val="00D824C8"/>
    <w:rsid w:val="00D82AF4"/>
    <w:rsid w:val="00D83A5C"/>
    <w:rsid w:val="00D83B35"/>
    <w:rsid w:val="00D91512"/>
    <w:rsid w:val="00D920AE"/>
    <w:rsid w:val="00D94C39"/>
    <w:rsid w:val="00D95246"/>
    <w:rsid w:val="00DA5BBA"/>
    <w:rsid w:val="00DB67C9"/>
    <w:rsid w:val="00DB7B0C"/>
    <w:rsid w:val="00DC0C95"/>
    <w:rsid w:val="00DD2405"/>
    <w:rsid w:val="00DD6580"/>
    <w:rsid w:val="00DE3246"/>
    <w:rsid w:val="00DE3362"/>
    <w:rsid w:val="00DE4F4D"/>
    <w:rsid w:val="00DE4FA2"/>
    <w:rsid w:val="00DE6224"/>
    <w:rsid w:val="00E0088D"/>
    <w:rsid w:val="00E026A2"/>
    <w:rsid w:val="00E06BD8"/>
    <w:rsid w:val="00E13788"/>
    <w:rsid w:val="00E151C8"/>
    <w:rsid w:val="00E16964"/>
    <w:rsid w:val="00E17C72"/>
    <w:rsid w:val="00E21FC6"/>
    <w:rsid w:val="00E32704"/>
    <w:rsid w:val="00E327BB"/>
    <w:rsid w:val="00E34ECE"/>
    <w:rsid w:val="00E440CE"/>
    <w:rsid w:val="00E52F56"/>
    <w:rsid w:val="00E57D8A"/>
    <w:rsid w:val="00E6442A"/>
    <w:rsid w:val="00E669E2"/>
    <w:rsid w:val="00E70C6B"/>
    <w:rsid w:val="00E718AD"/>
    <w:rsid w:val="00E725E9"/>
    <w:rsid w:val="00E7598B"/>
    <w:rsid w:val="00E76135"/>
    <w:rsid w:val="00E77B1F"/>
    <w:rsid w:val="00E839BF"/>
    <w:rsid w:val="00E84066"/>
    <w:rsid w:val="00E86A01"/>
    <w:rsid w:val="00E90CD3"/>
    <w:rsid w:val="00E90E42"/>
    <w:rsid w:val="00E91958"/>
    <w:rsid w:val="00E97179"/>
    <w:rsid w:val="00EA623D"/>
    <w:rsid w:val="00EA6A29"/>
    <w:rsid w:val="00EB4120"/>
    <w:rsid w:val="00EC2844"/>
    <w:rsid w:val="00EC703E"/>
    <w:rsid w:val="00ED05F0"/>
    <w:rsid w:val="00ED5301"/>
    <w:rsid w:val="00ED67FC"/>
    <w:rsid w:val="00EE0B81"/>
    <w:rsid w:val="00EE4478"/>
    <w:rsid w:val="00EE57B8"/>
    <w:rsid w:val="00EE74FC"/>
    <w:rsid w:val="00EF6625"/>
    <w:rsid w:val="00EF6C6C"/>
    <w:rsid w:val="00EF771C"/>
    <w:rsid w:val="00F01F45"/>
    <w:rsid w:val="00F056FC"/>
    <w:rsid w:val="00F06C91"/>
    <w:rsid w:val="00F10476"/>
    <w:rsid w:val="00F11792"/>
    <w:rsid w:val="00F135D8"/>
    <w:rsid w:val="00F21454"/>
    <w:rsid w:val="00F26052"/>
    <w:rsid w:val="00F27FF5"/>
    <w:rsid w:val="00F30696"/>
    <w:rsid w:val="00F30FF3"/>
    <w:rsid w:val="00F31299"/>
    <w:rsid w:val="00F3183C"/>
    <w:rsid w:val="00F3534A"/>
    <w:rsid w:val="00F427AF"/>
    <w:rsid w:val="00F430C7"/>
    <w:rsid w:val="00F46F39"/>
    <w:rsid w:val="00F47906"/>
    <w:rsid w:val="00F56600"/>
    <w:rsid w:val="00F673B3"/>
    <w:rsid w:val="00F708D7"/>
    <w:rsid w:val="00F72363"/>
    <w:rsid w:val="00F7659D"/>
    <w:rsid w:val="00F85325"/>
    <w:rsid w:val="00F8544D"/>
    <w:rsid w:val="00F90EC3"/>
    <w:rsid w:val="00F94A6A"/>
    <w:rsid w:val="00F96F59"/>
    <w:rsid w:val="00F96F94"/>
    <w:rsid w:val="00FA1CA1"/>
    <w:rsid w:val="00FA383A"/>
    <w:rsid w:val="00FA4F68"/>
    <w:rsid w:val="00FA57E8"/>
    <w:rsid w:val="00FB6EF2"/>
    <w:rsid w:val="00FD22B1"/>
    <w:rsid w:val="00FD4784"/>
    <w:rsid w:val="00FE1267"/>
    <w:rsid w:val="00FE62B6"/>
    <w:rsid w:val="00FF2C3E"/>
    <w:rsid w:val="00FF3443"/>
    <w:rsid w:val="00FF7D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3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A21DE"/>
    <w:rPr>
      <w:sz w:val="26"/>
      <w:szCs w:val="24"/>
    </w:rPr>
  </w:style>
  <w:style w:type="paragraph" w:styleId="Heading1">
    <w:name w:val="heading 1"/>
    <w:basedOn w:val="BodyText"/>
    <w:next w:val="BodyText"/>
    <w:rsid w:val="008A21D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A21D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A21DE"/>
    <w:pPr>
      <w:spacing w:before="560" w:line="320" w:lineRule="exact"/>
      <w:ind w:left="0" w:firstLine="0"/>
      <w:outlineLvl w:val="2"/>
    </w:pPr>
    <w:rPr>
      <w:sz w:val="26"/>
    </w:rPr>
  </w:style>
  <w:style w:type="paragraph" w:styleId="Heading4">
    <w:name w:val="heading 4"/>
    <w:basedOn w:val="Heading3"/>
    <w:next w:val="BodyText"/>
    <w:qFormat/>
    <w:rsid w:val="008A21DE"/>
    <w:pPr>
      <w:spacing w:before="480"/>
      <w:outlineLvl w:val="3"/>
    </w:pPr>
    <w:rPr>
      <w:b w:val="0"/>
      <w:i/>
      <w:sz w:val="24"/>
    </w:rPr>
  </w:style>
  <w:style w:type="paragraph" w:styleId="Heading5">
    <w:name w:val="heading 5"/>
    <w:basedOn w:val="Heading4"/>
    <w:next w:val="BodyText"/>
    <w:qFormat/>
    <w:rsid w:val="008A21DE"/>
    <w:pPr>
      <w:outlineLvl w:val="4"/>
    </w:pPr>
    <w:rPr>
      <w:rFonts w:ascii="Times New Roman" w:hAnsi="Times New Roman"/>
      <w:sz w:val="26"/>
    </w:rPr>
  </w:style>
  <w:style w:type="paragraph" w:styleId="Heading6">
    <w:name w:val="heading 6"/>
    <w:basedOn w:val="BodyText"/>
    <w:next w:val="BodyText"/>
    <w:rsid w:val="008A21DE"/>
    <w:pPr>
      <w:spacing w:after="60"/>
      <w:jc w:val="left"/>
      <w:outlineLvl w:val="5"/>
    </w:pPr>
    <w:rPr>
      <w:i/>
      <w:sz w:val="22"/>
    </w:rPr>
  </w:style>
  <w:style w:type="paragraph" w:styleId="Heading7">
    <w:name w:val="heading 7"/>
    <w:basedOn w:val="BodyText"/>
    <w:next w:val="BodyText"/>
    <w:rsid w:val="008A21DE"/>
    <w:pPr>
      <w:spacing w:after="60" w:line="240" w:lineRule="auto"/>
      <w:jc w:val="left"/>
      <w:outlineLvl w:val="6"/>
    </w:pPr>
    <w:rPr>
      <w:rFonts w:ascii="Arial" w:hAnsi="Arial"/>
      <w:sz w:val="20"/>
    </w:rPr>
  </w:style>
  <w:style w:type="paragraph" w:styleId="Heading8">
    <w:name w:val="heading 8"/>
    <w:basedOn w:val="BodyText"/>
    <w:next w:val="BodyText"/>
    <w:rsid w:val="008A21DE"/>
    <w:pPr>
      <w:spacing w:after="60" w:line="240" w:lineRule="auto"/>
      <w:jc w:val="left"/>
      <w:outlineLvl w:val="7"/>
    </w:pPr>
    <w:rPr>
      <w:rFonts w:ascii="Arial" w:hAnsi="Arial"/>
      <w:i/>
      <w:sz w:val="20"/>
    </w:rPr>
  </w:style>
  <w:style w:type="paragraph" w:styleId="Heading9">
    <w:name w:val="heading 9"/>
    <w:basedOn w:val="BodyText"/>
    <w:next w:val="BodyText"/>
    <w:rsid w:val="008A21D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A21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1DE"/>
  </w:style>
  <w:style w:type="paragraph" w:styleId="BodyText">
    <w:name w:val="Body Text"/>
    <w:link w:val="BodyTextChar"/>
    <w:qFormat/>
    <w:rsid w:val="008A21DE"/>
    <w:pPr>
      <w:spacing w:before="240" w:line="320" w:lineRule="atLeast"/>
      <w:jc w:val="both"/>
    </w:pPr>
    <w:rPr>
      <w:sz w:val="26"/>
    </w:rPr>
  </w:style>
  <w:style w:type="paragraph" w:styleId="Footer">
    <w:name w:val="footer"/>
    <w:basedOn w:val="BodyText"/>
    <w:semiHidden/>
    <w:rsid w:val="008A21DE"/>
    <w:pPr>
      <w:spacing w:before="80" w:line="200" w:lineRule="exact"/>
      <w:ind w:right="6"/>
      <w:jc w:val="left"/>
    </w:pPr>
    <w:rPr>
      <w:caps/>
      <w:spacing w:val="-4"/>
      <w:sz w:val="16"/>
    </w:rPr>
  </w:style>
  <w:style w:type="paragraph" w:customStyle="1" w:styleId="FooterEnd">
    <w:name w:val="Footer End"/>
    <w:basedOn w:val="Footer"/>
    <w:rsid w:val="008A21DE"/>
    <w:pPr>
      <w:spacing w:before="0" w:line="20" w:lineRule="exact"/>
    </w:pPr>
  </w:style>
  <w:style w:type="paragraph" w:styleId="Header">
    <w:name w:val="header"/>
    <w:basedOn w:val="BodyText"/>
    <w:rsid w:val="008A21D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A21DE"/>
    <w:pPr>
      <w:spacing w:line="20" w:lineRule="exact"/>
    </w:pPr>
    <w:rPr>
      <w:sz w:val="16"/>
    </w:rPr>
  </w:style>
  <w:style w:type="paragraph" w:customStyle="1" w:styleId="HeaderEven">
    <w:name w:val="Header Even"/>
    <w:basedOn w:val="Header"/>
    <w:semiHidden/>
    <w:rsid w:val="008A21DE"/>
  </w:style>
  <w:style w:type="paragraph" w:customStyle="1" w:styleId="HeaderOdd">
    <w:name w:val="Header Odd"/>
    <w:basedOn w:val="Header"/>
    <w:semiHidden/>
    <w:rsid w:val="008A21DE"/>
  </w:style>
  <w:style w:type="character" w:styleId="PageNumber">
    <w:name w:val="page number"/>
    <w:basedOn w:val="DefaultParagraphFont"/>
    <w:rsid w:val="008A21DE"/>
    <w:rPr>
      <w:rFonts w:ascii="Arial" w:hAnsi="Arial"/>
      <w:b/>
      <w:sz w:val="16"/>
    </w:rPr>
  </w:style>
  <w:style w:type="paragraph" w:customStyle="1" w:styleId="Abbreviation">
    <w:name w:val="Abbreviation"/>
    <w:basedOn w:val="BodyText"/>
    <w:rsid w:val="008A21DE"/>
    <w:pPr>
      <w:spacing w:before="120"/>
      <w:ind w:left="2381" w:hanging="2381"/>
      <w:jc w:val="left"/>
    </w:pPr>
  </w:style>
  <w:style w:type="paragraph" w:customStyle="1" w:styleId="Box">
    <w:name w:val="Box"/>
    <w:basedOn w:val="BodyText"/>
    <w:link w:val="BoxChar"/>
    <w:qFormat/>
    <w:rsid w:val="008A21DE"/>
    <w:pPr>
      <w:keepNext/>
      <w:spacing w:before="120" w:line="280" w:lineRule="atLeast"/>
    </w:pPr>
    <w:rPr>
      <w:rFonts w:ascii="Arial" w:hAnsi="Arial"/>
      <w:sz w:val="22"/>
    </w:rPr>
  </w:style>
  <w:style w:type="paragraph" w:customStyle="1" w:styleId="BoxContinued">
    <w:name w:val="Box Continued"/>
    <w:basedOn w:val="BodyText"/>
    <w:next w:val="BodyText"/>
    <w:semiHidden/>
    <w:rsid w:val="008A21DE"/>
    <w:pPr>
      <w:spacing w:before="180" w:line="220" w:lineRule="exact"/>
      <w:jc w:val="right"/>
    </w:pPr>
    <w:rPr>
      <w:rFonts w:ascii="Arial" w:hAnsi="Arial"/>
      <w:sz w:val="18"/>
    </w:rPr>
  </w:style>
  <w:style w:type="paragraph" w:customStyle="1" w:styleId="BoxHeading1">
    <w:name w:val="Box Heading 1"/>
    <w:basedOn w:val="BodyText"/>
    <w:next w:val="Box"/>
    <w:rsid w:val="008A21DE"/>
    <w:pPr>
      <w:keepNext/>
      <w:spacing w:before="200" w:line="280" w:lineRule="atLeast"/>
    </w:pPr>
    <w:rPr>
      <w:rFonts w:ascii="Arial" w:hAnsi="Arial"/>
      <w:b/>
      <w:sz w:val="22"/>
    </w:rPr>
  </w:style>
  <w:style w:type="paragraph" w:customStyle="1" w:styleId="BoxHeading2">
    <w:name w:val="Box Heading 2"/>
    <w:basedOn w:val="BoxHeading1"/>
    <w:next w:val="Normal"/>
    <w:rsid w:val="008A21DE"/>
    <w:rPr>
      <w:b w:val="0"/>
      <w:i/>
    </w:rPr>
  </w:style>
  <w:style w:type="paragraph" w:customStyle="1" w:styleId="BoxListBullet">
    <w:name w:val="Box List Bullet"/>
    <w:basedOn w:val="BodyText"/>
    <w:link w:val="BoxListBulletChar"/>
    <w:rsid w:val="008A21DE"/>
    <w:pPr>
      <w:keepNext/>
      <w:numPr>
        <w:numId w:val="1"/>
      </w:numPr>
      <w:spacing w:before="60" w:line="280" w:lineRule="atLeast"/>
    </w:pPr>
    <w:rPr>
      <w:rFonts w:ascii="Arial" w:hAnsi="Arial"/>
      <w:sz w:val="22"/>
    </w:rPr>
  </w:style>
  <w:style w:type="paragraph" w:customStyle="1" w:styleId="BoxListBullet2">
    <w:name w:val="Box List Bullet 2"/>
    <w:basedOn w:val="BodyText"/>
    <w:rsid w:val="008A21DE"/>
    <w:pPr>
      <w:keepNext/>
      <w:numPr>
        <w:numId w:val="2"/>
      </w:numPr>
      <w:spacing w:before="60" w:line="280" w:lineRule="atLeast"/>
    </w:pPr>
    <w:rPr>
      <w:rFonts w:ascii="Arial" w:hAnsi="Arial"/>
      <w:sz w:val="22"/>
    </w:rPr>
  </w:style>
  <w:style w:type="paragraph" w:customStyle="1" w:styleId="BoxListNumber">
    <w:name w:val="Box List Number"/>
    <w:basedOn w:val="BodyText"/>
    <w:rsid w:val="008A21DE"/>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A21DE"/>
    <w:pPr>
      <w:numPr>
        <w:ilvl w:val="1"/>
      </w:numPr>
    </w:pPr>
  </w:style>
  <w:style w:type="paragraph" w:customStyle="1" w:styleId="BoxQuote">
    <w:name w:val="Box Quote"/>
    <w:basedOn w:val="BodyText"/>
    <w:next w:val="Box"/>
    <w:rsid w:val="008A21DE"/>
    <w:pPr>
      <w:keepNext/>
      <w:spacing w:before="60" w:line="260" w:lineRule="exact"/>
      <w:ind w:left="284"/>
    </w:pPr>
    <w:rPr>
      <w:rFonts w:ascii="Arial" w:hAnsi="Arial"/>
      <w:sz w:val="20"/>
    </w:rPr>
  </w:style>
  <w:style w:type="paragraph" w:customStyle="1" w:styleId="Note">
    <w:name w:val="Note"/>
    <w:basedOn w:val="BodyText"/>
    <w:next w:val="BodyText"/>
    <w:rsid w:val="008A21DE"/>
    <w:pPr>
      <w:keepLines/>
      <w:spacing w:before="80" w:line="220" w:lineRule="exact"/>
    </w:pPr>
    <w:rPr>
      <w:rFonts w:ascii="Arial" w:hAnsi="Arial"/>
      <w:sz w:val="18"/>
    </w:rPr>
  </w:style>
  <w:style w:type="paragraph" w:customStyle="1" w:styleId="Source">
    <w:name w:val="Source"/>
    <w:basedOn w:val="Note"/>
    <w:next w:val="BodyText"/>
    <w:rsid w:val="008A21DE"/>
    <w:pPr>
      <w:spacing w:after="120"/>
    </w:pPr>
  </w:style>
  <w:style w:type="paragraph" w:customStyle="1" w:styleId="BoxSource">
    <w:name w:val="Box Source"/>
    <w:basedOn w:val="Source"/>
    <w:next w:val="BodyText"/>
    <w:rsid w:val="008A21DE"/>
    <w:pPr>
      <w:spacing w:before="180" w:after="0"/>
    </w:pPr>
  </w:style>
  <w:style w:type="paragraph" w:customStyle="1" w:styleId="BoxSpace">
    <w:name w:val="Box Space"/>
    <w:basedOn w:val="BodyText"/>
    <w:rsid w:val="00931C20"/>
    <w:pPr>
      <w:keepNext/>
      <w:spacing w:before="360" w:line="80" w:lineRule="exact"/>
      <w:jc w:val="left"/>
    </w:pPr>
  </w:style>
  <w:style w:type="paragraph" w:styleId="Caption">
    <w:name w:val="caption"/>
    <w:basedOn w:val="Normal"/>
    <w:next w:val="BodyText"/>
    <w:rsid w:val="008A21D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A21DE"/>
    <w:pPr>
      <w:spacing w:before="120" w:after="0"/>
      <w:ind w:left="1304" w:hanging="1304"/>
    </w:pPr>
    <w:rPr>
      <w:sz w:val="24"/>
    </w:rPr>
  </w:style>
  <w:style w:type="paragraph" w:customStyle="1" w:styleId="BoxSubtitle">
    <w:name w:val="Box Subtitle"/>
    <w:basedOn w:val="BoxTitle"/>
    <w:next w:val="Normal"/>
    <w:rsid w:val="008A21DE"/>
    <w:pPr>
      <w:spacing w:after="80" w:line="200" w:lineRule="exact"/>
      <w:ind w:firstLine="0"/>
    </w:pPr>
    <w:rPr>
      <w:b w:val="0"/>
      <w:sz w:val="20"/>
    </w:rPr>
  </w:style>
  <w:style w:type="paragraph" w:customStyle="1" w:styleId="Chapter">
    <w:name w:val="Chapter"/>
    <w:basedOn w:val="Heading1"/>
    <w:next w:val="BodyText"/>
    <w:semiHidden/>
    <w:rsid w:val="008A21DE"/>
    <w:pPr>
      <w:ind w:left="0" w:firstLine="0"/>
      <w:outlineLvl w:val="9"/>
    </w:pPr>
  </w:style>
  <w:style w:type="paragraph" w:customStyle="1" w:styleId="ChapterSummary">
    <w:name w:val="Chapter Summary"/>
    <w:basedOn w:val="BodyText"/>
    <w:rsid w:val="008A21DE"/>
    <w:pPr>
      <w:ind w:left="907"/>
    </w:pPr>
    <w:rPr>
      <w:rFonts w:ascii="Arial" w:hAnsi="Arial"/>
      <w:b/>
      <w:sz w:val="22"/>
    </w:rPr>
  </w:style>
  <w:style w:type="character" w:styleId="CommentReference">
    <w:name w:val="annotation reference"/>
    <w:basedOn w:val="DefaultParagraphFont"/>
    <w:semiHidden/>
    <w:rsid w:val="008A21DE"/>
    <w:rPr>
      <w:b/>
      <w:vanish/>
      <w:color w:val="FF00FF"/>
      <w:sz w:val="20"/>
    </w:rPr>
  </w:style>
  <w:style w:type="paragraph" w:styleId="CommentText">
    <w:name w:val="annotation text"/>
    <w:basedOn w:val="Normal"/>
    <w:link w:val="CommentTextChar"/>
    <w:semiHidden/>
    <w:rsid w:val="008A21DE"/>
    <w:pPr>
      <w:spacing w:before="120" w:line="240" w:lineRule="atLeast"/>
      <w:ind w:left="567" w:hanging="567"/>
    </w:pPr>
    <w:rPr>
      <w:sz w:val="20"/>
    </w:rPr>
  </w:style>
  <w:style w:type="paragraph" w:customStyle="1" w:styleId="Continued">
    <w:name w:val="Continued"/>
    <w:basedOn w:val="BoxContinued"/>
    <w:next w:val="BodyText"/>
    <w:rsid w:val="008A21DE"/>
  </w:style>
  <w:style w:type="character" w:customStyle="1" w:styleId="DocumentInfo">
    <w:name w:val="Document Info"/>
    <w:basedOn w:val="DefaultParagraphFont"/>
    <w:semiHidden/>
    <w:rsid w:val="008A21DE"/>
    <w:rPr>
      <w:rFonts w:ascii="Arial" w:hAnsi="Arial"/>
      <w:sz w:val="14"/>
    </w:rPr>
  </w:style>
  <w:style w:type="character" w:customStyle="1" w:styleId="DraftingNote">
    <w:name w:val="Drafting Note"/>
    <w:basedOn w:val="DefaultParagraphFont"/>
    <w:rsid w:val="008A21DE"/>
    <w:rPr>
      <w:b/>
      <w:color w:val="FF0000"/>
      <w:sz w:val="24"/>
      <w:u w:val="dotted"/>
    </w:rPr>
  </w:style>
  <w:style w:type="paragraph" w:customStyle="1" w:styleId="Figure">
    <w:name w:val="Figure"/>
    <w:basedOn w:val="BodyText"/>
    <w:rsid w:val="008A21DE"/>
    <w:pPr>
      <w:keepNext/>
      <w:spacing w:before="120" w:after="120" w:line="240" w:lineRule="atLeast"/>
      <w:jc w:val="center"/>
    </w:pPr>
  </w:style>
  <w:style w:type="paragraph" w:customStyle="1" w:styleId="FigureTitle">
    <w:name w:val="Figure Title"/>
    <w:basedOn w:val="Caption"/>
    <w:next w:val="Subtitle"/>
    <w:rsid w:val="008A21DE"/>
    <w:rPr>
      <w:sz w:val="24"/>
    </w:rPr>
  </w:style>
  <w:style w:type="paragraph" w:styleId="Subtitle">
    <w:name w:val="Subtitle"/>
    <w:basedOn w:val="Caption"/>
    <w:link w:val="SubtitleChar"/>
    <w:rsid w:val="008A21DE"/>
    <w:pPr>
      <w:spacing w:before="0" w:line="200" w:lineRule="exact"/>
      <w:ind w:firstLine="0"/>
    </w:pPr>
    <w:rPr>
      <w:b w:val="0"/>
      <w:sz w:val="20"/>
    </w:rPr>
  </w:style>
  <w:style w:type="paragraph" w:customStyle="1" w:styleId="Finding">
    <w:name w:val="Finding"/>
    <w:basedOn w:val="BodyText"/>
    <w:rsid w:val="008A21DE"/>
    <w:pPr>
      <w:keepLines/>
      <w:spacing w:before="180"/>
    </w:pPr>
    <w:rPr>
      <w:i/>
    </w:rPr>
  </w:style>
  <w:style w:type="paragraph" w:customStyle="1" w:styleId="FindingBullet">
    <w:name w:val="Finding Bullet"/>
    <w:basedOn w:val="Finding"/>
    <w:rsid w:val="008A21DE"/>
    <w:pPr>
      <w:numPr>
        <w:numId w:val="3"/>
      </w:numPr>
      <w:spacing w:before="80"/>
    </w:pPr>
  </w:style>
  <w:style w:type="paragraph" w:customStyle="1" w:styleId="FindingNoTitle">
    <w:name w:val="Finding NoTitle"/>
    <w:basedOn w:val="Finding"/>
    <w:rsid w:val="008A21DE"/>
    <w:pPr>
      <w:spacing w:before="240"/>
    </w:pPr>
  </w:style>
  <w:style w:type="paragraph" w:customStyle="1" w:styleId="RecTitle">
    <w:name w:val="Rec Title"/>
    <w:basedOn w:val="BodyText"/>
    <w:next w:val="Normal"/>
    <w:rsid w:val="008A21DE"/>
    <w:pPr>
      <w:keepNext/>
      <w:keepLines/>
    </w:pPr>
    <w:rPr>
      <w:caps/>
      <w:sz w:val="20"/>
    </w:rPr>
  </w:style>
  <w:style w:type="paragraph" w:customStyle="1" w:styleId="FindingTitle">
    <w:name w:val="Finding Title"/>
    <w:basedOn w:val="RecTitle"/>
    <w:next w:val="Finding"/>
    <w:rsid w:val="008A21DE"/>
    <w:pPr>
      <w:framePr w:wrap="notBeside" w:hAnchor="text"/>
    </w:pPr>
  </w:style>
  <w:style w:type="character" w:styleId="FootnoteReference">
    <w:name w:val="footnote reference"/>
    <w:basedOn w:val="DefaultParagraphFont"/>
    <w:semiHidden/>
    <w:rsid w:val="008A21DE"/>
    <w:rPr>
      <w:rFonts w:ascii="Times New Roman" w:hAnsi="Times New Roman"/>
      <w:position w:val="6"/>
      <w:sz w:val="22"/>
      <w:vertAlign w:val="baseline"/>
    </w:rPr>
  </w:style>
  <w:style w:type="paragraph" w:styleId="FootnoteText">
    <w:name w:val="footnote text"/>
    <w:basedOn w:val="BodyText"/>
    <w:link w:val="FootnoteTextChar"/>
    <w:rsid w:val="008A21D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8A21DE"/>
    <w:pPr>
      <w:spacing w:before="360" w:after="120"/>
    </w:pPr>
    <w:rPr>
      <w:rFonts w:ascii="Arial" w:hAnsi="Arial"/>
      <w:sz w:val="24"/>
    </w:rPr>
  </w:style>
  <w:style w:type="paragraph" w:customStyle="1" w:styleId="Jurisdictioncommentsbodytext">
    <w:name w:val="Jurisdiction comments body text"/>
    <w:rsid w:val="008A21DE"/>
    <w:pPr>
      <w:spacing w:after="140"/>
      <w:jc w:val="both"/>
    </w:pPr>
    <w:rPr>
      <w:rFonts w:ascii="Arial" w:hAnsi="Arial"/>
      <w:sz w:val="24"/>
      <w:lang w:eastAsia="en-US"/>
    </w:rPr>
  </w:style>
  <w:style w:type="paragraph" w:customStyle="1" w:styleId="Jurisdictioncommentsheading">
    <w:name w:val="Jurisdiction comments heading"/>
    <w:rsid w:val="008A21D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A21DE"/>
    <w:pPr>
      <w:numPr>
        <w:numId w:val="4"/>
      </w:numPr>
      <w:spacing w:after="140"/>
      <w:jc w:val="both"/>
    </w:pPr>
    <w:rPr>
      <w:rFonts w:ascii="Arial" w:hAnsi="Arial"/>
      <w:sz w:val="24"/>
      <w:lang w:eastAsia="en-US"/>
    </w:rPr>
  </w:style>
  <w:style w:type="paragraph" w:styleId="ListBullet">
    <w:name w:val="List Bullet"/>
    <w:basedOn w:val="BodyText"/>
    <w:link w:val="ListBulletChar"/>
    <w:rsid w:val="008A21DE"/>
    <w:pPr>
      <w:numPr>
        <w:numId w:val="5"/>
      </w:numPr>
      <w:spacing w:before="120"/>
    </w:pPr>
  </w:style>
  <w:style w:type="paragraph" w:styleId="ListBullet2">
    <w:name w:val="List Bullet 2"/>
    <w:basedOn w:val="BodyText"/>
    <w:rsid w:val="008A21DE"/>
    <w:pPr>
      <w:numPr>
        <w:numId w:val="6"/>
      </w:numPr>
      <w:spacing w:before="120"/>
    </w:pPr>
  </w:style>
  <w:style w:type="paragraph" w:styleId="ListBullet3">
    <w:name w:val="List Bullet 3"/>
    <w:basedOn w:val="BodyText"/>
    <w:rsid w:val="008A21DE"/>
    <w:pPr>
      <w:numPr>
        <w:numId w:val="7"/>
      </w:numPr>
      <w:spacing w:before="120"/>
    </w:pPr>
  </w:style>
  <w:style w:type="paragraph" w:styleId="ListNumber">
    <w:name w:val="List Number"/>
    <w:basedOn w:val="BodyText"/>
    <w:rsid w:val="008A21DE"/>
    <w:pPr>
      <w:numPr>
        <w:numId w:val="12"/>
      </w:numPr>
      <w:spacing w:before="120"/>
    </w:pPr>
  </w:style>
  <w:style w:type="paragraph" w:styleId="ListNumber2">
    <w:name w:val="List Number 2"/>
    <w:basedOn w:val="ListNumber"/>
    <w:rsid w:val="008A21DE"/>
    <w:pPr>
      <w:numPr>
        <w:ilvl w:val="1"/>
      </w:numPr>
    </w:pPr>
  </w:style>
  <w:style w:type="paragraph" w:styleId="ListNumber3">
    <w:name w:val="List Number 3"/>
    <w:basedOn w:val="ListNumber2"/>
    <w:rsid w:val="008A21DE"/>
    <w:pPr>
      <w:numPr>
        <w:ilvl w:val="2"/>
      </w:numPr>
    </w:pPr>
  </w:style>
  <w:style w:type="character" w:customStyle="1" w:styleId="NoteLabel">
    <w:name w:val="Note Label"/>
    <w:basedOn w:val="DefaultParagraphFont"/>
    <w:rsid w:val="008A21DE"/>
    <w:rPr>
      <w:rFonts w:ascii="Arial" w:hAnsi="Arial"/>
      <w:b/>
      <w:position w:val="6"/>
      <w:sz w:val="18"/>
    </w:rPr>
  </w:style>
  <w:style w:type="paragraph" w:customStyle="1" w:styleId="PartDivider">
    <w:name w:val="Part Divider"/>
    <w:basedOn w:val="BodyText"/>
    <w:next w:val="BodyText"/>
    <w:semiHidden/>
    <w:rsid w:val="008A21DE"/>
    <w:pPr>
      <w:spacing w:before="0" w:line="40" w:lineRule="exact"/>
      <w:jc w:val="right"/>
    </w:pPr>
    <w:rPr>
      <w:smallCaps/>
      <w:sz w:val="16"/>
    </w:rPr>
  </w:style>
  <w:style w:type="paragraph" w:customStyle="1" w:styleId="PartNumber">
    <w:name w:val="Part Number"/>
    <w:basedOn w:val="BodyText"/>
    <w:next w:val="BodyText"/>
    <w:semiHidden/>
    <w:rsid w:val="008A21DE"/>
    <w:pPr>
      <w:spacing w:before="4000" w:line="320" w:lineRule="exact"/>
      <w:ind w:left="6634"/>
      <w:jc w:val="right"/>
    </w:pPr>
    <w:rPr>
      <w:smallCaps/>
      <w:spacing w:val="60"/>
      <w:sz w:val="32"/>
    </w:rPr>
  </w:style>
  <w:style w:type="paragraph" w:customStyle="1" w:styleId="PartTitle">
    <w:name w:val="Part Title"/>
    <w:basedOn w:val="BodyText"/>
    <w:semiHidden/>
    <w:rsid w:val="008A21DE"/>
    <w:pPr>
      <w:spacing w:before="160" w:after="1360" w:line="520" w:lineRule="exact"/>
      <w:ind w:right="2381"/>
      <w:jc w:val="right"/>
    </w:pPr>
    <w:rPr>
      <w:smallCaps/>
      <w:sz w:val="52"/>
    </w:rPr>
  </w:style>
  <w:style w:type="paragraph" w:styleId="Quote">
    <w:name w:val="Quote"/>
    <w:basedOn w:val="BodyText"/>
    <w:next w:val="BodyText"/>
    <w:qFormat/>
    <w:rsid w:val="008A21DE"/>
    <w:pPr>
      <w:spacing w:before="120" w:line="280" w:lineRule="exact"/>
      <w:ind w:left="340"/>
    </w:pPr>
    <w:rPr>
      <w:sz w:val="24"/>
    </w:rPr>
  </w:style>
  <w:style w:type="paragraph" w:customStyle="1" w:styleId="QuoteBullet">
    <w:name w:val="Quote Bullet"/>
    <w:basedOn w:val="Quote"/>
    <w:rsid w:val="008A21DE"/>
    <w:pPr>
      <w:numPr>
        <w:numId w:val="8"/>
      </w:numPr>
    </w:pPr>
  </w:style>
  <w:style w:type="paragraph" w:customStyle="1" w:styleId="Rec">
    <w:name w:val="Rec"/>
    <w:basedOn w:val="BodyText"/>
    <w:rsid w:val="008A21DE"/>
    <w:pPr>
      <w:keepLines/>
      <w:spacing w:before="180"/>
    </w:pPr>
    <w:rPr>
      <w:b/>
      <w:i/>
    </w:rPr>
  </w:style>
  <w:style w:type="paragraph" w:customStyle="1" w:styleId="RecBullet">
    <w:name w:val="Rec Bullet"/>
    <w:basedOn w:val="Rec"/>
    <w:rsid w:val="008A21DE"/>
    <w:pPr>
      <w:numPr>
        <w:numId w:val="9"/>
      </w:numPr>
      <w:spacing w:before="80"/>
    </w:pPr>
  </w:style>
  <w:style w:type="paragraph" w:customStyle="1" w:styleId="RecB">
    <w:name w:val="RecB"/>
    <w:basedOn w:val="Normal"/>
    <w:rsid w:val="008A21D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A21DE"/>
    <w:pPr>
      <w:numPr>
        <w:numId w:val="14"/>
      </w:numPr>
      <w:spacing w:before="80"/>
    </w:pPr>
  </w:style>
  <w:style w:type="paragraph" w:customStyle="1" w:styleId="RecBNoTitle">
    <w:name w:val="RecB NoTitle"/>
    <w:basedOn w:val="RecB"/>
    <w:rsid w:val="008A21DE"/>
    <w:pPr>
      <w:spacing w:before="240"/>
    </w:pPr>
  </w:style>
  <w:style w:type="paragraph" w:customStyle="1" w:styleId="Reference">
    <w:name w:val="Reference"/>
    <w:basedOn w:val="BodyText"/>
    <w:rsid w:val="008A21DE"/>
    <w:pPr>
      <w:spacing w:before="120"/>
      <w:ind w:left="340" w:hanging="340"/>
    </w:pPr>
  </w:style>
  <w:style w:type="paragraph" w:customStyle="1" w:styleId="SequenceInfo">
    <w:name w:val="Sequence Info"/>
    <w:basedOn w:val="BodyText"/>
    <w:semiHidden/>
    <w:rsid w:val="008A21DE"/>
    <w:rPr>
      <w:vanish/>
      <w:sz w:val="16"/>
    </w:rPr>
  </w:style>
  <w:style w:type="paragraph" w:customStyle="1" w:styleId="SideNote">
    <w:name w:val="Side Note"/>
    <w:basedOn w:val="BodyText"/>
    <w:next w:val="BodyText"/>
    <w:semiHidden/>
    <w:rsid w:val="008A21D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A21DE"/>
    <w:pPr>
      <w:framePr w:wrap="around"/>
      <w:numPr>
        <w:numId w:val="10"/>
      </w:numPr>
      <w:tabs>
        <w:tab w:val="left" w:pos="227"/>
      </w:tabs>
    </w:pPr>
  </w:style>
  <w:style w:type="paragraph" w:customStyle="1" w:styleId="SideNoteGraphic">
    <w:name w:val="Side Note Graphic"/>
    <w:basedOn w:val="SideNote"/>
    <w:next w:val="BodyText"/>
    <w:semiHidden/>
    <w:rsid w:val="008A21DE"/>
    <w:pPr>
      <w:framePr w:wrap="around"/>
    </w:pPr>
  </w:style>
  <w:style w:type="paragraph" w:customStyle="1" w:styleId="TableBodyText">
    <w:name w:val="Table Body Text"/>
    <w:basedOn w:val="BodyText"/>
    <w:rsid w:val="008A21D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8A21DE"/>
    <w:pPr>
      <w:numPr>
        <w:numId w:val="11"/>
      </w:numPr>
      <w:jc w:val="left"/>
    </w:pPr>
  </w:style>
  <w:style w:type="paragraph" w:customStyle="1" w:styleId="TableColumnHeading">
    <w:name w:val="Table Column Heading"/>
    <w:basedOn w:val="TableBodyText"/>
    <w:rsid w:val="008A21DE"/>
    <w:pPr>
      <w:spacing w:before="80" w:after="80"/>
    </w:pPr>
    <w:rPr>
      <w:i/>
    </w:rPr>
  </w:style>
  <w:style w:type="paragraph" w:styleId="TOC2">
    <w:name w:val="toc 2"/>
    <w:basedOn w:val="BodyText"/>
    <w:semiHidden/>
    <w:rsid w:val="008A21DE"/>
    <w:pPr>
      <w:tabs>
        <w:tab w:val="right" w:pos="8789"/>
      </w:tabs>
      <w:ind w:left="510" w:right="851" w:hanging="510"/>
      <w:jc w:val="left"/>
    </w:pPr>
    <w:rPr>
      <w:b/>
    </w:rPr>
  </w:style>
  <w:style w:type="paragraph" w:styleId="TOC3">
    <w:name w:val="toc 3"/>
    <w:basedOn w:val="TOC2"/>
    <w:semiHidden/>
    <w:rsid w:val="008A21DE"/>
    <w:pPr>
      <w:spacing w:before="60"/>
      <w:ind w:left="1190" w:hanging="680"/>
    </w:pPr>
    <w:rPr>
      <w:b w:val="0"/>
    </w:rPr>
  </w:style>
  <w:style w:type="paragraph" w:styleId="TableofFigures">
    <w:name w:val="table of figures"/>
    <w:basedOn w:val="TOC3"/>
    <w:next w:val="BodyText"/>
    <w:semiHidden/>
    <w:rsid w:val="008A21DE"/>
    <w:pPr>
      <w:ind w:left="737" w:hanging="737"/>
    </w:pPr>
  </w:style>
  <w:style w:type="paragraph" w:customStyle="1" w:styleId="TableTitle">
    <w:name w:val="Table Title"/>
    <w:basedOn w:val="Caption"/>
    <w:next w:val="Subtitle"/>
    <w:rsid w:val="008A21DE"/>
    <w:rPr>
      <w:sz w:val="24"/>
    </w:rPr>
  </w:style>
  <w:style w:type="paragraph" w:customStyle="1" w:styleId="TableUnitsRow">
    <w:name w:val="Table Units Row"/>
    <w:basedOn w:val="TableBodyText"/>
    <w:rsid w:val="008A21DE"/>
    <w:pPr>
      <w:spacing w:before="80" w:after="80"/>
    </w:pPr>
  </w:style>
  <w:style w:type="paragraph" w:styleId="TOC1">
    <w:name w:val="toc 1"/>
    <w:basedOn w:val="Normal"/>
    <w:next w:val="TOC2"/>
    <w:semiHidden/>
    <w:rsid w:val="008A21DE"/>
    <w:pPr>
      <w:tabs>
        <w:tab w:val="right" w:pos="8789"/>
      </w:tabs>
      <w:spacing w:before="480" w:after="60" w:line="320" w:lineRule="exact"/>
      <w:ind w:left="1191" w:right="851" w:hanging="1191"/>
    </w:pPr>
    <w:rPr>
      <w:b/>
      <w:caps/>
    </w:rPr>
  </w:style>
  <w:style w:type="paragraph" w:styleId="TOC4">
    <w:name w:val="toc 4"/>
    <w:basedOn w:val="TOC3"/>
    <w:semiHidden/>
    <w:rsid w:val="008A21DE"/>
    <w:pPr>
      <w:ind w:left="1191" w:firstLine="0"/>
    </w:pPr>
  </w:style>
  <w:style w:type="paragraph" w:customStyle="1" w:styleId="RecBBullet2">
    <w:name w:val="RecB Bullet 2"/>
    <w:basedOn w:val="ListBullet2"/>
    <w:rsid w:val="008A21DE"/>
    <w:pPr>
      <w:pBdr>
        <w:left w:val="single" w:sz="24" w:space="29" w:color="C0C0C0"/>
      </w:pBdr>
    </w:pPr>
    <w:rPr>
      <w:b/>
      <w:i/>
    </w:rPr>
  </w:style>
  <w:style w:type="paragraph" w:styleId="BalloonText">
    <w:name w:val="Balloon Text"/>
    <w:basedOn w:val="Normal"/>
    <w:link w:val="BalloonTextChar"/>
    <w:rsid w:val="008A21DE"/>
    <w:rPr>
      <w:rFonts w:ascii="Tahoma" w:hAnsi="Tahoma" w:cs="Tahoma"/>
      <w:sz w:val="16"/>
      <w:szCs w:val="16"/>
    </w:rPr>
  </w:style>
  <w:style w:type="character" w:customStyle="1" w:styleId="BalloonTextChar">
    <w:name w:val="Balloon Text Char"/>
    <w:basedOn w:val="DefaultParagraphFont"/>
    <w:link w:val="BalloonText"/>
    <w:rsid w:val="008A21DE"/>
    <w:rPr>
      <w:rFonts w:ascii="Tahoma" w:hAnsi="Tahoma" w:cs="Tahoma"/>
      <w:sz w:val="16"/>
      <w:szCs w:val="16"/>
    </w:rPr>
  </w:style>
  <w:style w:type="character" w:customStyle="1" w:styleId="SubtitleChar">
    <w:name w:val="Subtitle Char"/>
    <w:basedOn w:val="DefaultParagraphFont"/>
    <w:link w:val="Subtitle"/>
    <w:rsid w:val="008A21DE"/>
    <w:rPr>
      <w:rFonts w:ascii="Arial" w:hAnsi="Arial"/>
      <w:szCs w:val="24"/>
    </w:rPr>
  </w:style>
  <w:style w:type="paragraph" w:customStyle="1" w:styleId="BoxListBullet3">
    <w:name w:val="Box List Bullet 3"/>
    <w:basedOn w:val="ListBullet3"/>
    <w:rsid w:val="008A21DE"/>
    <w:pPr>
      <w:numPr>
        <w:numId w:val="4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A21DE"/>
    <w:rPr>
      <w:i/>
      <w:iCs/>
    </w:rPr>
  </w:style>
  <w:style w:type="character" w:customStyle="1" w:styleId="Heading2Char">
    <w:name w:val="Heading 2 Char"/>
    <w:basedOn w:val="DefaultParagraphFont"/>
    <w:link w:val="Heading2"/>
    <w:rsid w:val="008401CA"/>
    <w:rPr>
      <w:rFonts w:ascii="Arial" w:hAnsi="Arial"/>
      <w:b/>
      <w:sz w:val="32"/>
    </w:rPr>
  </w:style>
  <w:style w:type="character" w:customStyle="1" w:styleId="FootnoteTextChar">
    <w:name w:val="Footnote Text Char"/>
    <w:basedOn w:val="DefaultParagraphFont"/>
    <w:link w:val="FootnoteText"/>
    <w:rsid w:val="008401CA"/>
    <w:rPr>
      <w:sz w:val="22"/>
    </w:rPr>
  </w:style>
  <w:style w:type="character" w:customStyle="1" w:styleId="BodyTextChar">
    <w:name w:val="Body Text Char"/>
    <w:link w:val="BodyText"/>
    <w:rsid w:val="008401CA"/>
    <w:rPr>
      <w:sz w:val="26"/>
    </w:rPr>
  </w:style>
  <w:style w:type="character" w:customStyle="1" w:styleId="Heading3Char">
    <w:name w:val="Heading 3 Char"/>
    <w:link w:val="Heading3"/>
    <w:rsid w:val="008401CA"/>
    <w:rPr>
      <w:rFonts w:ascii="Arial" w:hAnsi="Arial"/>
      <w:b/>
      <w:sz w:val="26"/>
    </w:rPr>
  </w:style>
  <w:style w:type="character" w:styleId="Hyperlink">
    <w:name w:val="Hyperlink"/>
    <w:basedOn w:val="DefaultParagraphFont"/>
    <w:rsid w:val="001A4BFA"/>
    <w:rPr>
      <w:color w:val="0000FF" w:themeColor="hyperlink"/>
      <w:u w:val="single"/>
    </w:rPr>
  </w:style>
  <w:style w:type="character" w:customStyle="1" w:styleId="BodyTextChar1">
    <w:name w:val="Body Text Char1"/>
    <w:uiPriority w:val="99"/>
    <w:rsid w:val="00B35DC8"/>
    <w:rPr>
      <w:sz w:val="26"/>
    </w:rPr>
  </w:style>
  <w:style w:type="character" w:customStyle="1" w:styleId="ListBulletChar">
    <w:name w:val="List Bullet Char"/>
    <w:basedOn w:val="BodyTextChar1"/>
    <w:link w:val="ListBullet"/>
    <w:rsid w:val="001B1B51"/>
    <w:rPr>
      <w:sz w:val="26"/>
    </w:rPr>
  </w:style>
  <w:style w:type="paragraph" w:styleId="ListParagraph">
    <w:name w:val="List Paragraph"/>
    <w:basedOn w:val="Normal"/>
    <w:uiPriority w:val="34"/>
    <w:rsid w:val="0092348F"/>
    <w:pPr>
      <w:ind w:left="720"/>
      <w:contextualSpacing/>
    </w:pPr>
  </w:style>
  <w:style w:type="character" w:customStyle="1" w:styleId="BoxChar">
    <w:name w:val="Box Char"/>
    <w:link w:val="Box"/>
    <w:locked/>
    <w:rsid w:val="00FE1267"/>
    <w:rPr>
      <w:rFonts w:ascii="Arial" w:hAnsi="Arial"/>
      <w:sz w:val="22"/>
    </w:rPr>
  </w:style>
  <w:style w:type="character" w:customStyle="1" w:styleId="BoxListBulletChar">
    <w:name w:val="Box List Bullet Char"/>
    <w:link w:val="BoxListBullet"/>
    <w:rsid w:val="00FE1267"/>
    <w:rPr>
      <w:rFonts w:ascii="Arial" w:hAnsi="Arial"/>
      <w:sz w:val="22"/>
    </w:rPr>
  </w:style>
  <w:style w:type="paragraph" w:styleId="CommentSubject">
    <w:name w:val="annotation subject"/>
    <w:basedOn w:val="CommentText"/>
    <w:next w:val="CommentText"/>
    <w:link w:val="CommentSubjectChar"/>
    <w:rsid w:val="00E026A2"/>
    <w:pPr>
      <w:spacing w:before="0" w:after="200" w:line="240" w:lineRule="auto"/>
      <w:ind w:left="0" w:firstLine="0"/>
    </w:pPr>
    <w:rPr>
      <w:rFonts w:asciiTheme="minorHAnsi" w:eastAsiaTheme="minorHAnsi" w:hAnsiTheme="minorHAnsi" w:cstheme="minorBidi"/>
      <w:b/>
      <w:bCs/>
      <w:szCs w:val="20"/>
      <w:lang w:eastAsia="en-US"/>
    </w:rPr>
  </w:style>
  <w:style w:type="character" w:customStyle="1" w:styleId="CommentTextChar">
    <w:name w:val="Comment Text Char"/>
    <w:basedOn w:val="DefaultParagraphFont"/>
    <w:link w:val="CommentText"/>
    <w:semiHidden/>
    <w:rsid w:val="00E026A2"/>
    <w:rPr>
      <w:szCs w:val="24"/>
    </w:rPr>
  </w:style>
  <w:style w:type="character" w:customStyle="1" w:styleId="CommentSubjectChar">
    <w:name w:val="Comment Subject Char"/>
    <w:basedOn w:val="CommentTextChar"/>
    <w:link w:val="CommentSubject"/>
    <w:rsid w:val="00E026A2"/>
    <w:rPr>
      <w:rFonts w:asciiTheme="minorHAnsi" w:eastAsiaTheme="minorHAnsi" w:hAnsiTheme="minorHAnsi" w:cstheme="minorBidi"/>
      <w:b/>
      <w:bCs/>
      <w:szCs w:val="24"/>
      <w:lang w:eastAsia="en-US"/>
    </w:rPr>
  </w:style>
  <w:style w:type="paragraph" w:styleId="Revision">
    <w:name w:val="Revision"/>
    <w:hidden/>
    <w:uiPriority w:val="99"/>
    <w:semiHidden/>
    <w:rsid w:val="002052ED"/>
    <w:rPr>
      <w:rFonts w:asciiTheme="minorHAnsi" w:eastAsiaTheme="minorHAnsi" w:hAnsiTheme="minorHAnsi" w:cstheme="minorBidi"/>
      <w:sz w:val="22"/>
      <w:szCs w:val="22"/>
      <w:lang w:eastAsia="en-US"/>
    </w:rPr>
  </w:style>
  <w:style w:type="paragraph" w:customStyle="1" w:styleId="BoxQuoteBullet">
    <w:name w:val="Box Quote Bullet"/>
    <w:basedOn w:val="BoxQuote"/>
    <w:next w:val="Box"/>
    <w:rsid w:val="008A21DE"/>
    <w:pPr>
      <w:numPr>
        <w:numId w:val="43"/>
      </w:numPr>
      <w:ind w:left="568" w:hanging="284"/>
    </w:pPr>
  </w:style>
  <w:style w:type="paragraph" w:customStyle="1" w:styleId="InformationRequestBullet">
    <w:name w:val="Information Request Bullet"/>
    <w:basedOn w:val="ListBullet"/>
    <w:next w:val="BodyText"/>
    <w:rsid w:val="008A21DE"/>
    <w:pPr>
      <w:numPr>
        <w:numId w:val="44"/>
      </w:numPr>
      <w:ind w:left="340" w:hanging="340"/>
    </w:pPr>
    <w:rPr>
      <w:rFonts w:ascii="Arial" w:hAnsi="Arial"/>
      <w:i/>
      <w:sz w:val="24"/>
    </w:rPr>
  </w:style>
  <w:style w:type="paragraph" w:customStyle="1" w:styleId="BoxSpaceAbove">
    <w:name w:val="Box Space Above"/>
    <w:basedOn w:val="BodyText"/>
    <w:rsid w:val="008A21DE"/>
    <w:pPr>
      <w:keepNext/>
      <w:spacing w:before="360" w:line="80" w:lineRule="exact"/>
      <w:jc w:val="left"/>
    </w:pPr>
  </w:style>
  <w:style w:type="paragraph" w:customStyle="1" w:styleId="BoxSpaceBelow">
    <w:name w:val="Box Space Below"/>
    <w:basedOn w:val="Box"/>
    <w:rsid w:val="008A21DE"/>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A21DE"/>
    <w:rPr>
      <w:sz w:val="26"/>
      <w:szCs w:val="24"/>
    </w:rPr>
  </w:style>
  <w:style w:type="paragraph" w:styleId="Heading1">
    <w:name w:val="heading 1"/>
    <w:basedOn w:val="BodyText"/>
    <w:next w:val="BodyText"/>
    <w:rsid w:val="008A21D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8A21D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A21DE"/>
    <w:pPr>
      <w:spacing w:before="560" w:line="320" w:lineRule="exact"/>
      <w:ind w:left="0" w:firstLine="0"/>
      <w:outlineLvl w:val="2"/>
    </w:pPr>
    <w:rPr>
      <w:sz w:val="26"/>
    </w:rPr>
  </w:style>
  <w:style w:type="paragraph" w:styleId="Heading4">
    <w:name w:val="heading 4"/>
    <w:basedOn w:val="Heading3"/>
    <w:next w:val="BodyText"/>
    <w:qFormat/>
    <w:rsid w:val="008A21DE"/>
    <w:pPr>
      <w:spacing w:before="480"/>
      <w:outlineLvl w:val="3"/>
    </w:pPr>
    <w:rPr>
      <w:b w:val="0"/>
      <w:i/>
      <w:sz w:val="24"/>
    </w:rPr>
  </w:style>
  <w:style w:type="paragraph" w:styleId="Heading5">
    <w:name w:val="heading 5"/>
    <w:basedOn w:val="Heading4"/>
    <w:next w:val="BodyText"/>
    <w:qFormat/>
    <w:rsid w:val="008A21DE"/>
    <w:pPr>
      <w:outlineLvl w:val="4"/>
    </w:pPr>
    <w:rPr>
      <w:rFonts w:ascii="Times New Roman" w:hAnsi="Times New Roman"/>
      <w:sz w:val="26"/>
    </w:rPr>
  </w:style>
  <w:style w:type="paragraph" w:styleId="Heading6">
    <w:name w:val="heading 6"/>
    <w:basedOn w:val="BodyText"/>
    <w:next w:val="BodyText"/>
    <w:rsid w:val="008A21DE"/>
    <w:pPr>
      <w:spacing w:after="60"/>
      <w:jc w:val="left"/>
      <w:outlineLvl w:val="5"/>
    </w:pPr>
    <w:rPr>
      <w:i/>
      <w:sz w:val="22"/>
    </w:rPr>
  </w:style>
  <w:style w:type="paragraph" w:styleId="Heading7">
    <w:name w:val="heading 7"/>
    <w:basedOn w:val="BodyText"/>
    <w:next w:val="BodyText"/>
    <w:rsid w:val="008A21DE"/>
    <w:pPr>
      <w:spacing w:after="60" w:line="240" w:lineRule="auto"/>
      <w:jc w:val="left"/>
      <w:outlineLvl w:val="6"/>
    </w:pPr>
    <w:rPr>
      <w:rFonts w:ascii="Arial" w:hAnsi="Arial"/>
      <w:sz w:val="20"/>
    </w:rPr>
  </w:style>
  <w:style w:type="paragraph" w:styleId="Heading8">
    <w:name w:val="heading 8"/>
    <w:basedOn w:val="BodyText"/>
    <w:next w:val="BodyText"/>
    <w:rsid w:val="008A21DE"/>
    <w:pPr>
      <w:spacing w:after="60" w:line="240" w:lineRule="auto"/>
      <w:jc w:val="left"/>
      <w:outlineLvl w:val="7"/>
    </w:pPr>
    <w:rPr>
      <w:rFonts w:ascii="Arial" w:hAnsi="Arial"/>
      <w:i/>
      <w:sz w:val="20"/>
    </w:rPr>
  </w:style>
  <w:style w:type="paragraph" w:styleId="Heading9">
    <w:name w:val="heading 9"/>
    <w:basedOn w:val="BodyText"/>
    <w:next w:val="BodyText"/>
    <w:rsid w:val="008A21D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A21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21DE"/>
  </w:style>
  <w:style w:type="paragraph" w:styleId="BodyText">
    <w:name w:val="Body Text"/>
    <w:link w:val="BodyTextChar"/>
    <w:qFormat/>
    <w:rsid w:val="008A21DE"/>
    <w:pPr>
      <w:spacing w:before="240" w:line="320" w:lineRule="atLeast"/>
      <w:jc w:val="both"/>
    </w:pPr>
    <w:rPr>
      <w:sz w:val="26"/>
    </w:rPr>
  </w:style>
  <w:style w:type="paragraph" w:styleId="Footer">
    <w:name w:val="footer"/>
    <w:basedOn w:val="BodyText"/>
    <w:semiHidden/>
    <w:rsid w:val="008A21DE"/>
    <w:pPr>
      <w:spacing w:before="80" w:line="200" w:lineRule="exact"/>
      <w:ind w:right="6"/>
      <w:jc w:val="left"/>
    </w:pPr>
    <w:rPr>
      <w:caps/>
      <w:spacing w:val="-4"/>
      <w:sz w:val="16"/>
    </w:rPr>
  </w:style>
  <w:style w:type="paragraph" w:customStyle="1" w:styleId="FooterEnd">
    <w:name w:val="Footer End"/>
    <w:basedOn w:val="Footer"/>
    <w:rsid w:val="008A21DE"/>
    <w:pPr>
      <w:spacing w:before="0" w:line="20" w:lineRule="exact"/>
    </w:pPr>
  </w:style>
  <w:style w:type="paragraph" w:styleId="Header">
    <w:name w:val="header"/>
    <w:basedOn w:val="BodyText"/>
    <w:rsid w:val="008A21D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A21DE"/>
    <w:pPr>
      <w:spacing w:line="20" w:lineRule="exact"/>
    </w:pPr>
    <w:rPr>
      <w:sz w:val="16"/>
    </w:rPr>
  </w:style>
  <w:style w:type="paragraph" w:customStyle="1" w:styleId="HeaderEven">
    <w:name w:val="Header Even"/>
    <w:basedOn w:val="Header"/>
    <w:semiHidden/>
    <w:rsid w:val="008A21DE"/>
  </w:style>
  <w:style w:type="paragraph" w:customStyle="1" w:styleId="HeaderOdd">
    <w:name w:val="Header Odd"/>
    <w:basedOn w:val="Header"/>
    <w:semiHidden/>
    <w:rsid w:val="008A21DE"/>
  </w:style>
  <w:style w:type="character" w:styleId="PageNumber">
    <w:name w:val="page number"/>
    <w:basedOn w:val="DefaultParagraphFont"/>
    <w:rsid w:val="008A21DE"/>
    <w:rPr>
      <w:rFonts w:ascii="Arial" w:hAnsi="Arial"/>
      <w:b/>
      <w:sz w:val="16"/>
    </w:rPr>
  </w:style>
  <w:style w:type="paragraph" w:customStyle="1" w:styleId="Abbreviation">
    <w:name w:val="Abbreviation"/>
    <w:basedOn w:val="BodyText"/>
    <w:rsid w:val="008A21DE"/>
    <w:pPr>
      <w:spacing w:before="120"/>
      <w:ind w:left="2381" w:hanging="2381"/>
      <w:jc w:val="left"/>
    </w:pPr>
  </w:style>
  <w:style w:type="paragraph" w:customStyle="1" w:styleId="Box">
    <w:name w:val="Box"/>
    <w:basedOn w:val="BodyText"/>
    <w:link w:val="BoxChar"/>
    <w:qFormat/>
    <w:rsid w:val="008A21DE"/>
    <w:pPr>
      <w:keepNext/>
      <w:spacing w:before="120" w:line="280" w:lineRule="atLeast"/>
    </w:pPr>
    <w:rPr>
      <w:rFonts w:ascii="Arial" w:hAnsi="Arial"/>
      <w:sz w:val="22"/>
    </w:rPr>
  </w:style>
  <w:style w:type="paragraph" w:customStyle="1" w:styleId="BoxContinued">
    <w:name w:val="Box Continued"/>
    <w:basedOn w:val="BodyText"/>
    <w:next w:val="BodyText"/>
    <w:semiHidden/>
    <w:rsid w:val="008A21DE"/>
    <w:pPr>
      <w:spacing w:before="180" w:line="220" w:lineRule="exact"/>
      <w:jc w:val="right"/>
    </w:pPr>
    <w:rPr>
      <w:rFonts w:ascii="Arial" w:hAnsi="Arial"/>
      <w:sz w:val="18"/>
    </w:rPr>
  </w:style>
  <w:style w:type="paragraph" w:customStyle="1" w:styleId="BoxHeading1">
    <w:name w:val="Box Heading 1"/>
    <w:basedOn w:val="BodyText"/>
    <w:next w:val="Box"/>
    <w:rsid w:val="008A21DE"/>
    <w:pPr>
      <w:keepNext/>
      <w:spacing w:before="200" w:line="280" w:lineRule="atLeast"/>
    </w:pPr>
    <w:rPr>
      <w:rFonts w:ascii="Arial" w:hAnsi="Arial"/>
      <w:b/>
      <w:sz w:val="22"/>
    </w:rPr>
  </w:style>
  <w:style w:type="paragraph" w:customStyle="1" w:styleId="BoxHeading2">
    <w:name w:val="Box Heading 2"/>
    <w:basedOn w:val="BoxHeading1"/>
    <w:next w:val="Normal"/>
    <w:rsid w:val="008A21DE"/>
    <w:rPr>
      <w:b w:val="0"/>
      <w:i/>
    </w:rPr>
  </w:style>
  <w:style w:type="paragraph" w:customStyle="1" w:styleId="BoxListBullet">
    <w:name w:val="Box List Bullet"/>
    <w:basedOn w:val="BodyText"/>
    <w:link w:val="BoxListBulletChar"/>
    <w:rsid w:val="008A21DE"/>
    <w:pPr>
      <w:keepNext/>
      <w:numPr>
        <w:numId w:val="1"/>
      </w:numPr>
      <w:spacing w:before="60" w:line="280" w:lineRule="atLeast"/>
    </w:pPr>
    <w:rPr>
      <w:rFonts w:ascii="Arial" w:hAnsi="Arial"/>
      <w:sz w:val="22"/>
    </w:rPr>
  </w:style>
  <w:style w:type="paragraph" w:customStyle="1" w:styleId="BoxListBullet2">
    <w:name w:val="Box List Bullet 2"/>
    <w:basedOn w:val="BodyText"/>
    <w:rsid w:val="008A21DE"/>
    <w:pPr>
      <w:keepNext/>
      <w:numPr>
        <w:numId w:val="2"/>
      </w:numPr>
      <w:spacing w:before="60" w:line="280" w:lineRule="atLeast"/>
    </w:pPr>
    <w:rPr>
      <w:rFonts w:ascii="Arial" w:hAnsi="Arial"/>
      <w:sz w:val="22"/>
    </w:rPr>
  </w:style>
  <w:style w:type="paragraph" w:customStyle="1" w:styleId="BoxListNumber">
    <w:name w:val="Box List Number"/>
    <w:basedOn w:val="BodyText"/>
    <w:rsid w:val="008A21DE"/>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A21DE"/>
    <w:pPr>
      <w:numPr>
        <w:ilvl w:val="1"/>
      </w:numPr>
    </w:pPr>
  </w:style>
  <w:style w:type="paragraph" w:customStyle="1" w:styleId="BoxQuote">
    <w:name w:val="Box Quote"/>
    <w:basedOn w:val="BodyText"/>
    <w:next w:val="Box"/>
    <w:rsid w:val="008A21DE"/>
    <w:pPr>
      <w:keepNext/>
      <w:spacing w:before="60" w:line="260" w:lineRule="exact"/>
      <w:ind w:left="284"/>
    </w:pPr>
    <w:rPr>
      <w:rFonts w:ascii="Arial" w:hAnsi="Arial"/>
      <w:sz w:val="20"/>
    </w:rPr>
  </w:style>
  <w:style w:type="paragraph" w:customStyle="1" w:styleId="Note">
    <w:name w:val="Note"/>
    <w:basedOn w:val="BodyText"/>
    <w:next w:val="BodyText"/>
    <w:rsid w:val="008A21DE"/>
    <w:pPr>
      <w:keepLines/>
      <w:spacing w:before="80" w:line="220" w:lineRule="exact"/>
    </w:pPr>
    <w:rPr>
      <w:rFonts w:ascii="Arial" w:hAnsi="Arial"/>
      <w:sz w:val="18"/>
    </w:rPr>
  </w:style>
  <w:style w:type="paragraph" w:customStyle="1" w:styleId="Source">
    <w:name w:val="Source"/>
    <w:basedOn w:val="Note"/>
    <w:next w:val="BodyText"/>
    <w:rsid w:val="008A21DE"/>
    <w:pPr>
      <w:spacing w:after="120"/>
    </w:pPr>
  </w:style>
  <w:style w:type="paragraph" w:customStyle="1" w:styleId="BoxSource">
    <w:name w:val="Box Source"/>
    <w:basedOn w:val="Source"/>
    <w:next w:val="BodyText"/>
    <w:rsid w:val="008A21DE"/>
    <w:pPr>
      <w:spacing w:before="180" w:after="0"/>
    </w:pPr>
  </w:style>
  <w:style w:type="paragraph" w:customStyle="1" w:styleId="BoxSpace">
    <w:name w:val="Box Space"/>
    <w:basedOn w:val="BodyText"/>
    <w:rsid w:val="00931C20"/>
    <w:pPr>
      <w:keepNext/>
      <w:spacing w:before="360" w:line="80" w:lineRule="exact"/>
      <w:jc w:val="left"/>
    </w:pPr>
  </w:style>
  <w:style w:type="paragraph" w:styleId="Caption">
    <w:name w:val="caption"/>
    <w:basedOn w:val="Normal"/>
    <w:next w:val="BodyText"/>
    <w:rsid w:val="008A21D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A21DE"/>
    <w:pPr>
      <w:spacing w:before="120" w:after="0"/>
      <w:ind w:left="1304" w:hanging="1304"/>
    </w:pPr>
    <w:rPr>
      <w:sz w:val="24"/>
    </w:rPr>
  </w:style>
  <w:style w:type="paragraph" w:customStyle="1" w:styleId="BoxSubtitle">
    <w:name w:val="Box Subtitle"/>
    <w:basedOn w:val="BoxTitle"/>
    <w:next w:val="Normal"/>
    <w:rsid w:val="008A21DE"/>
    <w:pPr>
      <w:spacing w:after="80" w:line="200" w:lineRule="exact"/>
      <w:ind w:firstLine="0"/>
    </w:pPr>
    <w:rPr>
      <w:b w:val="0"/>
      <w:sz w:val="20"/>
    </w:rPr>
  </w:style>
  <w:style w:type="paragraph" w:customStyle="1" w:styleId="Chapter">
    <w:name w:val="Chapter"/>
    <w:basedOn w:val="Heading1"/>
    <w:next w:val="BodyText"/>
    <w:semiHidden/>
    <w:rsid w:val="008A21DE"/>
    <w:pPr>
      <w:ind w:left="0" w:firstLine="0"/>
      <w:outlineLvl w:val="9"/>
    </w:pPr>
  </w:style>
  <w:style w:type="paragraph" w:customStyle="1" w:styleId="ChapterSummary">
    <w:name w:val="Chapter Summary"/>
    <w:basedOn w:val="BodyText"/>
    <w:rsid w:val="008A21DE"/>
    <w:pPr>
      <w:ind w:left="907"/>
    </w:pPr>
    <w:rPr>
      <w:rFonts w:ascii="Arial" w:hAnsi="Arial"/>
      <w:b/>
      <w:sz w:val="22"/>
    </w:rPr>
  </w:style>
  <w:style w:type="character" w:styleId="CommentReference">
    <w:name w:val="annotation reference"/>
    <w:basedOn w:val="DefaultParagraphFont"/>
    <w:semiHidden/>
    <w:rsid w:val="008A21DE"/>
    <w:rPr>
      <w:b/>
      <w:vanish/>
      <w:color w:val="FF00FF"/>
      <w:sz w:val="20"/>
    </w:rPr>
  </w:style>
  <w:style w:type="paragraph" w:styleId="CommentText">
    <w:name w:val="annotation text"/>
    <w:basedOn w:val="Normal"/>
    <w:link w:val="CommentTextChar"/>
    <w:semiHidden/>
    <w:rsid w:val="008A21DE"/>
    <w:pPr>
      <w:spacing w:before="120" w:line="240" w:lineRule="atLeast"/>
      <w:ind w:left="567" w:hanging="567"/>
    </w:pPr>
    <w:rPr>
      <w:sz w:val="20"/>
    </w:rPr>
  </w:style>
  <w:style w:type="paragraph" w:customStyle="1" w:styleId="Continued">
    <w:name w:val="Continued"/>
    <w:basedOn w:val="BoxContinued"/>
    <w:next w:val="BodyText"/>
    <w:rsid w:val="008A21DE"/>
  </w:style>
  <w:style w:type="character" w:customStyle="1" w:styleId="DocumentInfo">
    <w:name w:val="Document Info"/>
    <w:basedOn w:val="DefaultParagraphFont"/>
    <w:semiHidden/>
    <w:rsid w:val="008A21DE"/>
    <w:rPr>
      <w:rFonts w:ascii="Arial" w:hAnsi="Arial"/>
      <w:sz w:val="14"/>
    </w:rPr>
  </w:style>
  <w:style w:type="character" w:customStyle="1" w:styleId="DraftingNote">
    <w:name w:val="Drafting Note"/>
    <w:basedOn w:val="DefaultParagraphFont"/>
    <w:rsid w:val="008A21DE"/>
    <w:rPr>
      <w:b/>
      <w:color w:val="FF0000"/>
      <w:sz w:val="24"/>
      <w:u w:val="dotted"/>
    </w:rPr>
  </w:style>
  <w:style w:type="paragraph" w:customStyle="1" w:styleId="Figure">
    <w:name w:val="Figure"/>
    <w:basedOn w:val="BodyText"/>
    <w:rsid w:val="008A21DE"/>
    <w:pPr>
      <w:keepNext/>
      <w:spacing w:before="120" w:after="120" w:line="240" w:lineRule="atLeast"/>
      <w:jc w:val="center"/>
    </w:pPr>
  </w:style>
  <w:style w:type="paragraph" w:customStyle="1" w:styleId="FigureTitle">
    <w:name w:val="Figure Title"/>
    <w:basedOn w:val="Caption"/>
    <w:next w:val="Subtitle"/>
    <w:rsid w:val="008A21DE"/>
    <w:rPr>
      <w:sz w:val="24"/>
    </w:rPr>
  </w:style>
  <w:style w:type="paragraph" w:styleId="Subtitle">
    <w:name w:val="Subtitle"/>
    <w:basedOn w:val="Caption"/>
    <w:link w:val="SubtitleChar"/>
    <w:rsid w:val="008A21DE"/>
    <w:pPr>
      <w:spacing w:before="0" w:line="200" w:lineRule="exact"/>
      <w:ind w:firstLine="0"/>
    </w:pPr>
    <w:rPr>
      <w:b w:val="0"/>
      <w:sz w:val="20"/>
    </w:rPr>
  </w:style>
  <w:style w:type="paragraph" w:customStyle="1" w:styleId="Finding">
    <w:name w:val="Finding"/>
    <w:basedOn w:val="BodyText"/>
    <w:rsid w:val="008A21DE"/>
    <w:pPr>
      <w:keepLines/>
      <w:spacing w:before="180"/>
    </w:pPr>
    <w:rPr>
      <w:i/>
    </w:rPr>
  </w:style>
  <w:style w:type="paragraph" w:customStyle="1" w:styleId="FindingBullet">
    <w:name w:val="Finding Bullet"/>
    <w:basedOn w:val="Finding"/>
    <w:rsid w:val="008A21DE"/>
    <w:pPr>
      <w:numPr>
        <w:numId w:val="3"/>
      </w:numPr>
      <w:spacing w:before="80"/>
    </w:pPr>
  </w:style>
  <w:style w:type="paragraph" w:customStyle="1" w:styleId="FindingNoTitle">
    <w:name w:val="Finding NoTitle"/>
    <w:basedOn w:val="Finding"/>
    <w:rsid w:val="008A21DE"/>
    <w:pPr>
      <w:spacing w:before="240"/>
    </w:pPr>
  </w:style>
  <w:style w:type="paragraph" w:customStyle="1" w:styleId="RecTitle">
    <w:name w:val="Rec Title"/>
    <w:basedOn w:val="BodyText"/>
    <w:next w:val="Normal"/>
    <w:rsid w:val="008A21DE"/>
    <w:pPr>
      <w:keepNext/>
      <w:keepLines/>
    </w:pPr>
    <w:rPr>
      <w:caps/>
      <w:sz w:val="20"/>
    </w:rPr>
  </w:style>
  <w:style w:type="paragraph" w:customStyle="1" w:styleId="FindingTitle">
    <w:name w:val="Finding Title"/>
    <w:basedOn w:val="RecTitle"/>
    <w:next w:val="Finding"/>
    <w:rsid w:val="008A21DE"/>
    <w:pPr>
      <w:framePr w:wrap="notBeside" w:hAnchor="text"/>
    </w:pPr>
  </w:style>
  <w:style w:type="character" w:styleId="FootnoteReference">
    <w:name w:val="footnote reference"/>
    <w:basedOn w:val="DefaultParagraphFont"/>
    <w:semiHidden/>
    <w:rsid w:val="008A21DE"/>
    <w:rPr>
      <w:rFonts w:ascii="Times New Roman" w:hAnsi="Times New Roman"/>
      <w:position w:val="6"/>
      <w:sz w:val="22"/>
      <w:vertAlign w:val="baseline"/>
    </w:rPr>
  </w:style>
  <w:style w:type="paragraph" w:styleId="FootnoteText">
    <w:name w:val="footnote text"/>
    <w:basedOn w:val="BodyText"/>
    <w:link w:val="FootnoteTextChar"/>
    <w:rsid w:val="008A21D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8A21DE"/>
    <w:pPr>
      <w:spacing w:before="360" w:after="120"/>
    </w:pPr>
    <w:rPr>
      <w:rFonts w:ascii="Arial" w:hAnsi="Arial"/>
      <w:sz w:val="24"/>
    </w:rPr>
  </w:style>
  <w:style w:type="paragraph" w:customStyle="1" w:styleId="Jurisdictioncommentsbodytext">
    <w:name w:val="Jurisdiction comments body text"/>
    <w:rsid w:val="008A21DE"/>
    <w:pPr>
      <w:spacing w:after="140"/>
      <w:jc w:val="both"/>
    </w:pPr>
    <w:rPr>
      <w:rFonts w:ascii="Arial" w:hAnsi="Arial"/>
      <w:sz w:val="24"/>
      <w:lang w:eastAsia="en-US"/>
    </w:rPr>
  </w:style>
  <w:style w:type="paragraph" w:customStyle="1" w:styleId="Jurisdictioncommentsheading">
    <w:name w:val="Jurisdiction comments heading"/>
    <w:rsid w:val="008A21D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A21DE"/>
    <w:pPr>
      <w:numPr>
        <w:numId w:val="4"/>
      </w:numPr>
      <w:spacing w:after="140"/>
      <w:jc w:val="both"/>
    </w:pPr>
    <w:rPr>
      <w:rFonts w:ascii="Arial" w:hAnsi="Arial"/>
      <w:sz w:val="24"/>
      <w:lang w:eastAsia="en-US"/>
    </w:rPr>
  </w:style>
  <w:style w:type="paragraph" w:styleId="ListBullet">
    <w:name w:val="List Bullet"/>
    <w:basedOn w:val="BodyText"/>
    <w:link w:val="ListBulletChar"/>
    <w:rsid w:val="008A21DE"/>
    <w:pPr>
      <w:numPr>
        <w:numId w:val="5"/>
      </w:numPr>
      <w:spacing w:before="120"/>
    </w:pPr>
  </w:style>
  <w:style w:type="paragraph" w:styleId="ListBullet2">
    <w:name w:val="List Bullet 2"/>
    <w:basedOn w:val="BodyText"/>
    <w:rsid w:val="008A21DE"/>
    <w:pPr>
      <w:numPr>
        <w:numId w:val="6"/>
      </w:numPr>
      <w:spacing w:before="120"/>
    </w:pPr>
  </w:style>
  <w:style w:type="paragraph" w:styleId="ListBullet3">
    <w:name w:val="List Bullet 3"/>
    <w:basedOn w:val="BodyText"/>
    <w:rsid w:val="008A21DE"/>
    <w:pPr>
      <w:numPr>
        <w:numId w:val="7"/>
      </w:numPr>
      <w:spacing w:before="120"/>
    </w:pPr>
  </w:style>
  <w:style w:type="paragraph" w:styleId="ListNumber">
    <w:name w:val="List Number"/>
    <w:basedOn w:val="BodyText"/>
    <w:rsid w:val="008A21DE"/>
    <w:pPr>
      <w:numPr>
        <w:numId w:val="12"/>
      </w:numPr>
      <w:spacing w:before="120"/>
    </w:pPr>
  </w:style>
  <w:style w:type="paragraph" w:styleId="ListNumber2">
    <w:name w:val="List Number 2"/>
    <w:basedOn w:val="ListNumber"/>
    <w:rsid w:val="008A21DE"/>
    <w:pPr>
      <w:numPr>
        <w:ilvl w:val="1"/>
      </w:numPr>
    </w:pPr>
  </w:style>
  <w:style w:type="paragraph" w:styleId="ListNumber3">
    <w:name w:val="List Number 3"/>
    <w:basedOn w:val="ListNumber2"/>
    <w:rsid w:val="008A21DE"/>
    <w:pPr>
      <w:numPr>
        <w:ilvl w:val="2"/>
      </w:numPr>
    </w:pPr>
  </w:style>
  <w:style w:type="character" w:customStyle="1" w:styleId="NoteLabel">
    <w:name w:val="Note Label"/>
    <w:basedOn w:val="DefaultParagraphFont"/>
    <w:rsid w:val="008A21DE"/>
    <w:rPr>
      <w:rFonts w:ascii="Arial" w:hAnsi="Arial"/>
      <w:b/>
      <w:position w:val="6"/>
      <w:sz w:val="18"/>
    </w:rPr>
  </w:style>
  <w:style w:type="paragraph" w:customStyle="1" w:styleId="PartDivider">
    <w:name w:val="Part Divider"/>
    <w:basedOn w:val="BodyText"/>
    <w:next w:val="BodyText"/>
    <w:semiHidden/>
    <w:rsid w:val="008A21DE"/>
    <w:pPr>
      <w:spacing w:before="0" w:line="40" w:lineRule="exact"/>
      <w:jc w:val="right"/>
    </w:pPr>
    <w:rPr>
      <w:smallCaps/>
      <w:sz w:val="16"/>
    </w:rPr>
  </w:style>
  <w:style w:type="paragraph" w:customStyle="1" w:styleId="PartNumber">
    <w:name w:val="Part Number"/>
    <w:basedOn w:val="BodyText"/>
    <w:next w:val="BodyText"/>
    <w:semiHidden/>
    <w:rsid w:val="008A21DE"/>
    <w:pPr>
      <w:spacing w:before="4000" w:line="320" w:lineRule="exact"/>
      <w:ind w:left="6634"/>
      <w:jc w:val="right"/>
    </w:pPr>
    <w:rPr>
      <w:smallCaps/>
      <w:spacing w:val="60"/>
      <w:sz w:val="32"/>
    </w:rPr>
  </w:style>
  <w:style w:type="paragraph" w:customStyle="1" w:styleId="PartTitle">
    <w:name w:val="Part Title"/>
    <w:basedOn w:val="BodyText"/>
    <w:semiHidden/>
    <w:rsid w:val="008A21DE"/>
    <w:pPr>
      <w:spacing w:before="160" w:after="1360" w:line="520" w:lineRule="exact"/>
      <w:ind w:right="2381"/>
      <w:jc w:val="right"/>
    </w:pPr>
    <w:rPr>
      <w:smallCaps/>
      <w:sz w:val="52"/>
    </w:rPr>
  </w:style>
  <w:style w:type="paragraph" w:styleId="Quote">
    <w:name w:val="Quote"/>
    <w:basedOn w:val="BodyText"/>
    <w:next w:val="BodyText"/>
    <w:qFormat/>
    <w:rsid w:val="008A21DE"/>
    <w:pPr>
      <w:spacing w:before="120" w:line="280" w:lineRule="exact"/>
      <w:ind w:left="340"/>
    </w:pPr>
    <w:rPr>
      <w:sz w:val="24"/>
    </w:rPr>
  </w:style>
  <w:style w:type="paragraph" w:customStyle="1" w:styleId="QuoteBullet">
    <w:name w:val="Quote Bullet"/>
    <w:basedOn w:val="Quote"/>
    <w:rsid w:val="008A21DE"/>
    <w:pPr>
      <w:numPr>
        <w:numId w:val="8"/>
      </w:numPr>
    </w:pPr>
  </w:style>
  <w:style w:type="paragraph" w:customStyle="1" w:styleId="Rec">
    <w:name w:val="Rec"/>
    <w:basedOn w:val="BodyText"/>
    <w:rsid w:val="008A21DE"/>
    <w:pPr>
      <w:keepLines/>
      <w:spacing w:before="180"/>
    </w:pPr>
    <w:rPr>
      <w:b/>
      <w:i/>
    </w:rPr>
  </w:style>
  <w:style w:type="paragraph" w:customStyle="1" w:styleId="RecBullet">
    <w:name w:val="Rec Bullet"/>
    <w:basedOn w:val="Rec"/>
    <w:rsid w:val="008A21DE"/>
    <w:pPr>
      <w:numPr>
        <w:numId w:val="9"/>
      </w:numPr>
      <w:spacing w:before="80"/>
    </w:pPr>
  </w:style>
  <w:style w:type="paragraph" w:customStyle="1" w:styleId="RecB">
    <w:name w:val="RecB"/>
    <w:basedOn w:val="Normal"/>
    <w:rsid w:val="008A21D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A21DE"/>
    <w:pPr>
      <w:numPr>
        <w:numId w:val="14"/>
      </w:numPr>
      <w:spacing w:before="80"/>
    </w:pPr>
  </w:style>
  <w:style w:type="paragraph" w:customStyle="1" w:styleId="RecBNoTitle">
    <w:name w:val="RecB NoTitle"/>
    <w:basedOn w:val="RecB"/>
    <w:rsid w:val="008A21DE"/>
    <w:pPr>
      <w:spacing w:before="240"/>
    </w:pPr>
  </w:style>
  <w:style w:type="paragraph" w:customStyle="1" w:styleId="Reference">
    <w:name w:val="Reference"/>
    <w:basedOn w:val="BodyText"/>
    <w:rsid w:val="008A21DE"/>
    <w:pPr>
      <w:spacing w:before="120"/>
      <w:ind w:left="340" w:hanging="340"/>
    </w:pPr>
  </w:style>
  <w:style w:type="paragraph" w:customStyle="1" w:styleId="SequenceInfo">
    <w:name w:val="Sequence Info"/>
    <w:basedOn w:val="BodyText"/>
    <w:semiHidden/>
    <w:rsid w:val="008A21DE"/>
    <w:rPr>
      <w:vanish/>
      <w:sz w:val="16"/>
    </w:rPr>
  </w:style>
  <w:style w:type="paragraph" w:customStyle="1" w:styleId="SideNote">
    <w:name w:val="Side Note"/>
    <w:basedOn w:val="BodyText"/>
    <w:next w:val="BodyText"/>
    <w:semiHidden/>
    <w:rsid w:val="008A21D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A21DE"/>
    <w:pPr>
      <w:framePr w:wrap="around"/>
      <w:numPr>
        <w:numId w:val="10"/>
      </w:numPr>
      <w:tabs>
        <w:tab w:val="left" w:pos="227"/>
      </w:tabs>
    </w:pPr>
  </w:style>
  <w:style w:type="paragraph" w:customStyle="1" w:styleId="SideNoteGraphic">
    <w:name w:val="Side Note Graphic"/>
    <w:basedOn w:val="SideNote"/>
    <w:next w:val="BodyText"/>
    <w:semiHidden/>
    <w:rsid w:val="008A21DE"/>
    <w:pPr>
      <w:framePr w:wrap="around"/>
    </w:pPr>
  </w:style>
  <w:style w:type="paragraph" w:customStyle="1" w:styleId="TableBodyText">
    <w:name w:val="Table Body Text"/>
    <w:basedOn w:val="BodyText"/>
    <w:rsid w:val="008A21D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8A21DE"/>
    <w:pPr>
      <w:numPr>
        <w:numId w:val="11"/>
      </w:numPr>
      <w:jc w:val="left"/>
    </w:pPr>
  </w:style>
  <w:style w:type="paragraph" w:customStyle="1" w:styleId="TableColumnHeading">
    <w:name w:val="Table Column Heading"/>
    <w:basedOn w:val="TableBodyText"/>
    <w:rsid w:val="008A21DE"/>
    <w:pPr>
      <w:spacing w:before="80" w:after="80"/>
    </w:pPr>
    <w:rPr>
      <w:i/>
    </w:rPr>
  </w:style>
  <w:style w:type="paragraph" w:styleId="TOC2">
    <w:name w:val="toc 2"/>
    <w:basedOn w:val="BodyText"/>
    <w:semiHidden/>
    <w:rsid w:val="008A21DE"/>
    <w:pPr>
      <w:tabs>
        <w:tab w:val="right" w:pos="8789"/>
      </w:tabs>
      <w:ind w:left="510" w:right="851" w:hanging="510"/>
      <w:jc w:val="left"/>
    </w:pPr>
    <w:rPr>
      <w:b/>
    </w:rPr>
  </w:style>
  <w:style w:type="paragraph" w:styleId="TOC3">
    <w:name w:val="toc 3"/>
    <w:basedOn w:val="TOC2"/>
    <w:semiHidden/>
    <w:rsid w:val="008A21DE"/>
    <w:pPr>
      <w:spacing w:before="60"/>
      <w:ind w:left="1190" w:hanging="680"/>
    </w:pPr>
    <w:rPr>
      <w:b w:val="0"/>
    </w:rPr>
  </w:style>
  <w:style w:type="paragraph" w:styleId="TableofFigures">
    <w:name w:val="table of figures"/>
    <w:basedOn w:val="TOC3"/>
    <w:next w:val="BodyText"/>
    <w:semiHidden/>
    <w:rsid w:val="008A21DE"/>
    <w:pPr>
      <w:ind w:left="737" w:hanging="737"/>
    </w:pPr>
  </w:style>
  <w:style w:type="paragraph" w:customStyle="1" w:styleId="TableTitle">
    <w:name w:val="Table Title"/>
    <w:basedOn w:val="Caption"/>
    <w:next w:val="Subtitle"/>
    <w:rsid w:val="008A21DE"/>
    <w:rPr>
      <w:sz w:val="24"/>
    </w:rPr>
  </w:style>
  <w:style w:type="paragraph" w:customStyle="1" w:styleId="TableUnitsRow">
    <w:name w:val="Table Units Row"/>
    <w:basedOn w:val="TableBodyText"/>
    <w:rsid w:val="008A21DE"/>
    <w:pPr>
      <w:spacing w:before="80" w:after="80"/>
    </w:pPr>
  </w:style>
  <w:style w:type="paragraph" w:styleId="TOC1">
    <w:name w:val="toc 1"/>
    <w:basedOn w:val="Normal"/>
    <w:next w:val="TOC2"/>
    <w:semiHidden/>
    <w:rsid w:val="008A21DE"/>
    <w:pPr>
      <w:tabs>
        <w:tab w:val="right" w:pos="8789"/>
      </w:tabs>
      <w:spacing w:before="480" w:after="60" w:line="320" w:lineRule="exact"/>
      <w:ind w:left="1191" w:right="851" w:hanging="1191"/>
    </w:pPr>
    <w:rPr>
      <w:b/>
      <w:caps/>
    </w:rPr>
  </w:style>
  <w:style w:type="paragraph" w:styleId="TOC4">
    <w:name w:val="toc 4"/>
    <w:basedOn w:val="TOC3"/>
    <w:semiHidden/>
    <w:rsid w:val="008A21DE"/>
    <w:pPr>
      <w:ind w:left="1191" w:firstLine="0"/>
    </w:pPr>
  </w:style>
  <w:style w:type="paragraph" w:customStyle="1" w:styleId="RecBBullet2">
    <w:name w:val="RecB Bullet 2"/>
    <w:basedOn w:val="ListBullet2"/>
    <w:rsid w:val="008A21DE"/>
    <w:pPr>
      <w:pBdr>
        <w:left w:val="single" w:sz="24" w:space="29" w:color="C0C0C0"/>
      </w:pBdr>
    </w:pPr>
    <w:rPr>
      <w:b/>
      <w:i/>
    </w:rPr>
  </w:style>
  <w:style w:type="paragraph" w:styleId="BalloonText">
    <w:name w:val="Balloon Text"/>
    <w:basedOn w:val="Normal"/>
    <w:link w:val="BalloonTextChar"/>
    <w:rsid w:val="008A21DE"/>
    <w:rPr>
      <w:rFonts w:ascii="Tahoma" w:hAnsi="Tahoma" w:cs="Tahoma"/>
      <w:sz w:val="16"/>
      <w:szCs w:val="16"/>
    </w:rPr>
  </w:style>
  <w:style w:type="character" w:customStyle="1" w:styleId="BalloonTextChar">
    <w:name w:val="Balloon Text Char"/>
    <w:basedOn w:val="DefaultParagraphFont"/>
    <w:link w:val="BalloonText"/>
    <w:rsid w:val="008A21DE"/>
    <w:rPr>
      <w:rFonts w:ascii="Tahoma" w:hAnsi="Tahoma" w:cs="Tahoma"/>
      <w:sz w:val="16"/>
      <w:szCs w:val="16"/>
    </w:rPr>
  </w:style>
  <w:style w:type="character" w:customStyle="1" w:styleId="SubtitleChar">
    <w:name w:val="Subtitle Char"/>
    <w:basedOn w:val="DefaultParagraphFont"/>
    <w:link w:val="Subtitle"/>
    <w:rsid w:val="008A21DE"/>
    <w:rPr>
      <w:rFonts w:ascii="Arial" w:hAnsi="Arial"/>
      <w:szCs w:val="24"/>
    </w:rPr>
  </w:style>
  <w:style w:type="paragraph" w:customStyle="1" w:styleId="BoxListBullet3">
    <w:name w:val="Box List Bullet 3"/>
    <w:basedOn w:val="ListBullet3"/>
    <w:rsid w:val="008A21DE"/>
    <w:pPr>
      <w:numPr>
        <w:numId w:val="45"/>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A21DE"/>
    <w:rPr>
      <w:i/>
      <w:iCs/>
    </w:rPr>
  </w:style>
  <w:style w:type="character" w:customStyle="1" w:styleId="Heading2Char">
    <w:name w:val="Heading 2 Char"/>
    <w:basedOn w:val="DefaultParagraphFont"/>
    <w:link w:val="Heading2"/>
    <w:rsid w:val="008401CA"/>
    <w:rPr>
      <w:rFonts w:ascii="Arial" w:hAnsi="Arial"/>
      <w:b/>
      <w:sz w:val="32"/>
    </w:rPr>
  </w:style>
  <w:style w:type="character" w:customStyle="1" w:styleId="FootnoteTextChar">
    <w:name w:val="Footnote Text Char"/>
    <w:basedOn w:val="DefaultParagraphFont"/>
    <w:link w:val="FootnoteText"/>
    <w:rsid w:val="008401CA"/>
    <w:rPr>
      <w:sz w:val="22"/>
    </w:rPr>
  </w:style>
  <w:style w:type="character" w:customStyle="1" w:styleId="BodyTextChar">
    <w:name w:val="Body Text Char"/>
    <w:link w:val="BodyText"/>
    <w:rsid w:val="008401CA"/>
    <w:rPr>
      <w:sz w:val="26"/>
    </w:rPr>
  </w:style>
  <w:style w:type="character" w:customStyle="1" w:styleId="Heading3Char">
    <w:name w:val="Heading 3 Char"/>
    <w:link w:val="Heading3"/>
    <w:rsid w:val="008401CA"/>
    <w:rPr>
      <w:rFonts w:ascii="Arial" w:hAnsi="Arial"/>
      <w:b/>
      <w:sz w:val="26"/>
    </w:rPr>
  </w:style>
  <w:style w:type="character" w:styleId="Hyperlink">
    <w:name w:val="Hyperlink"/>
    <w:basedOn w:val="DefaultParagraphFont"/>
    <w:rsid w:val="001A4BFA"/>
    <w:rPr>
      <w:color w:val="0000FF" w:themeColor="hyperlink"/>
      <w:u w:val="single"/>
    </w:rPr>
  </w:style>
  <w:style w:type="character" w:customStyle="1" w:styleId="BodyTextChar1">
    <w:name w:val="Body Text Char1"/>
    <w:uiPriority w:val="99"/>
    <w:rsid w:val="00B35DC8"/>
    <w:rPr>
      <w:sz w:val="26"/>
    </w:rPr>
  </w:style>
  <w:style w:type="character" w:customStyle="1" w:styleId="ListBulletChar">
    <w:name w:val="List Bullet Char"/>
    <w:basedOn w:val="BodyTextChar1"/>
    <w:link w:val="ListBullet"/>
    <w:rsid w:val="001B1B51"/>
    <w:rPr>
      <w:sz w:val="26"/>
    </w:rPr>
  </w:style>
  <w:style w:type="paragraph" w:styleId="ListParagraph">
    <w:name w:val="List Paragraph"/>
    <w:basedOn w:val="Normal"/>
    <w:uiPriority w:val="34"/>
    <w:rsid w:val="0092348F"/>
    <w:pPr>
      <w:ind w:left="720"/>
      <w:contextualSpacing/>
    </w:pPr>
  </w:style>
  <w:style w:type="character" w:customStyle="1" w:styleId="BoxChar">
    <w:name w:val="Box Char"/>
    <w:link w:val="Box"/>
    <w:locked/>
    <w:rsid w:val="00FE1267"/>
    <w:rPr>
      <w:rFonts w:ascii="Arial" w:hAnsi="Arial"/>
      <w:sz w:val="22"/>
    </w:rPr>
  </w:style>
  <w:style w:type="character" w:customStyle="1" w:styleId="BoxListBulletChar">
    <w:name w:val="Box List Bullet Char"/>
    <w:link w:val="BoxListBullet"/>
    <w:rsid w:val="00FE1267"/>
    <w:rPr>
      <w:rFonts w:ascii="Arial" w:hAnsi="Arial"/>
      <w:sz w:val="22"/>
    </w:rPr>
  </w:style>
  <w:style w:type="paragraph" w:styleId="CommentSubject">
    <w:name w:val="annotation subject"/>
    <w:basedOn w:val="CommentText"/>
    <w:next w:val="CommentText"/>
    <w:link w:val="CommentSubjectChar"/>
    <w:rsid w:val="00E026A2"/>
    <w:pPr>
      <w:spacing w:before="0" w:after="200" w:line="240" w:lineRule="auto"/>
      <w:ind w:left="0" w:firstLine="0"/>
    </w:pPr>
    <w:rPr>
      <w:rFonts w:asciiTheme="minorHAnsi" w:eastAsiaTheme="minorHAnsi" w:hAnsiTheme="minorHAnsi" w:cstheme="minorBidi"/>
      <w:b/>
      <w:bCs/>
      <w:szCs w:val="20"/>
      <w:lang w:eastAsia="en-US"/>
    </w:rPr>
  </w:style>
  <w:style w:type="character" w:customStyle="1" w:styleId="CommentTextChar">
    <w:name w:val="Comment Text Char"/>
    <w:basedOn w:val="DefaultParagraphFont"/>
    <w:link w:val="CommentText"/>
    <w:semiHidden/>
    <w:rsid w:val="00E026A2"/>
    <w:rPr>
      <w:szCs w:val="24"/>
    </w:rPr>
  </w:style>
  <w:style w:type="character" w:customStyle="1" w:styleId="CommentSubjectChar">
    <w:name w:val="Comment Subject Char"/>
    <w:basedOn w:val="CommentTextChar"/>
    <w:link w:val="CommentSubject"/>
    <w:rsid w:val="00E026A2"/>
    <w:rPr>
      <w:rFonts w:asciiTheme="minorHAnsi" w:eastAsiaTheme="minorHAnsi" w:hAnsiTheme="minorHAnsi" w:cstheme="minorBidi"/>
      <w:b/>
      <w:bCs/>
      <w:szCs w:val="24"/>
      <w:lang w:eastAsia="en-US"/>
    </w:rPr>
  </w:style>
  <w:style w:type="paragraph" w:styleId="Revision">
    <w:name w:val="Revision"/>
    <w:hidden/>
    <w:uiPriority w:val="99"/>
    <w:semiHidden/>
    <w:rsid w:val="002052ED"/>
    <w:rPr>
      <w:rFonts w:asciiTheme="minorHAnsi" w:eastAsiaTheme="minorHAnsi" w:hAnsiTheme="minorHAnsi" w:cstheme="minorBidi"/>
      <w:sz w:val="22"/>
      <w:szCs w:val="22"/>
      <w:lang w:eastAsia="en-US"/>
    </w:rPr>
  </w:style>
  <w:style w:type="paragraph" w:customStyle="1" w:styleId="BoxQuoteBullet">
    <w:name w:val="Box Quote Bullet"/>
    <w:basedOn w:val="BoxQuote"/>
    <w:next w:val="Box"/>
    <w:rsid w:val="008A21DE"/>
    <w:pPr>
      <w:numPr>
        <w:numId w:val="43"/>
      </w:numPr>
      <w:ind w:left="568" w:hanging="284"/>
    </w:pPr>
  </w:style>
  <w:style w:type="paragraph" w:customStyle="1" w:styleId="InformationRequestBullet">
    <w:name w:val="Information Request Bullet"/>
    <w:basedOn w:val="ListBullet"/>
    <w:next w:val="BodyText"/>
    <w:rsid w:val="008A21DE"/>
    <w:pPr>
      <w:numPr>
        <w:numId w:val="44"/>
      </w:numPr>
      <w:ind w:left="340" w:hanging="340"/>
    </w:pPr>
    <w:rPr>
      <w:rFonts w:ascii="Arial" w:hAnsi="Arial"/>
      <w:i/>
      <w:sz w:val="24"/>
    </w:rPr>
  </w:style>
  <w:style w:type="paragraph" w:customStyle="1" w:styleId="BoxSpaceAbove">
    <w:name w:val="Box Space Above"/>
    <w:basedOn w:val="BodyText"/>
    <w:rsid w:val="008A21DE"/>
    <w:pPr>
      <w:keepNext/>
      <w:spacing w:before="360" w:line="80" w:lineRule="exact"/>
      <w:jc w:val="left"/>
    </w:pPr>
  </w:style>
  <w:style w:type="paragraph" w:customStyle="1" w:styleId="BoxSpaceBelow">
    <w:name w:val="Box Space Below"/>
    <w:basedOn w:val="Box"/>
    <w:rsid w:val="008A21DE"/>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236840">
      <w:bodyDiv w:val="1"/>
      <w:marLeft w:val="0"/>
      <w:marRight w:val="0"/>
      <w:marTop w:val="0"/>
      <w:marBottom w:val="0"/>
      <w:divBdr>
        <w:top w:val="none" w:sz="0" w:space="0" w:color="auto"/>
        <w:left w:val="none" w:sz="0" w:space="0" w:color="auto"/>
        <w:bottom w:val="none" w:sz="0" w:space="0" w:color="auto"/>
        <w:right w:val="none" w:sz="0" w:space="0" w:color="auto"/>
      </w:divBdr>
    </w:div>
    <w:div w:id="1531408820">
      <w:bodyDiv w:val="1"/>
      <w:marLeft w:val="0"/>
      <w:marRight w:val="0"/>
      <w:marTop w:val="0"/>
      <w:marBottom w:val="0"/>
      <w:divBdr>
        <w:top w:val="none" w:sz="0" w:space="0" w:color="auto"/>
        <w:left w:val="none" w:sz="0" w:space="0" w:color="auto"/>
        <w:bottom w:val="none" w:sz="0" w:space="0" w:color="auto"/>
        <w:right w:val="none" w:sz="0" w:space="0" w:color="auto"/>
      </w:divBdr>
    </w:div>
    <w:div w:id="196472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0C7D-F075-49A9-B98B-C69191DC5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27</TotalTime>
  <Pages>17</Pages>
  <Words>2830</Words>
  <Characters>16443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19235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RIA Benchmarking</dc:subject>
  <dc:creator>Productivity Commission</dc:creator>
  <dc:description>1.</dc:description>
  <cp:lastModifiedBy>Louise Jordan</cp:lastModifiedBy>
  <cp:revision>4</cp:revision>
  <cp:lastPrinted>2012-11-28T05:22:00Z</cp:lastPrinted>
  <dcterms:created xsi:type="dcterms:W3CDTF">2012-11-28T05:22:00Z</dcterms:created>
  <dcterms:modified xsi:type="dcterms:W3CDTF">2012-11-29T03:56:00Z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1236868524</vt:i4>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ies>
</file>