
<file path=[Content_Types].xml><?xml version="1.0" encoding="utf-8"?>
<Types xmlns="http://schemas.openxmlformats.org/package/2006/content-types">
  <Default Extension="rels" ContentType="application/vnd.openxmlformats-package.relationships+xml"/>
  <Default Extension="xml" ContentType="application/xml"/>
  <Override PartName="/word/drawings/drawing1.xml" ContentType="application/vnd.openxmlformats-officedocument.drawingml.chartshapes+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BD7894" w:rsidRDefault="00287B41" w:rsidP="00287B41">
      <w:pPr>
        <w:pStyle w:val="Heading1"/>
      </w:pPr>
      <w:bookmarkStart w:id="0" w:name="ChapterNumber"/>
      <w:bookmarkStart w:id="1" w:name="_GoBack"/>
      <w:r>
        <w:t>3</w:t>
      </w:r>
      <w:bookmarkEnd w:id="0"/>
      <w:r>
        <w:tab/>
      </w:r>
      <w:bookmarkStart w:id="2" w:name="ChapterTitle"/>
      <w:r>
        <w:t>Institutions involved in regulatory impact analysis</w:t>
      </w:r>
      <w:bookmarkEnd w:id="2"/>
    </w:p>
    <w:p w:rsidR="00650E16" w:rsidRDefault="00650E1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50E16">
        <w:tc>
          <w:tcPr>
            <w:tcW w:w="8771" w:type="dxa"/>
            <w:tcBorders>
              <w:top w:val="single" w:sz="6" w:space="0" w:color="auto"/>
              <w:bottom w:val="nil"/>
            </w:tcBorders>
          </w:tcPr>
          <w:p w:rsidR="00650E16" w:rsidRPr="00751BF9" w:rsidRDefault="00650E16" w:rsidP="00650E16">
            <w:pPr>
              <w:pStyle w:val="BoxTitle"/>
            </w:pPr>
            <w:r w:rsidRPr="00751BF9">
              <w:t>Key points</w:t>
            </w:r>
          </w:p>
        </w:tc>
      </w:tr>
      <w:tr w:rsidR="00650E16" w:rsidTr="00650E16">
        <w:trPr>
          <w:cantSplit/>
        </w:trPr>
        <w:tc>
          <w:tcPr>
            <w:tcW w:w="8771" w:type="dxa"/>
            <w:tcBorders>
              <w:top w:val="nil"/>
              <w:left w:val="single" w:sz="6" w:space="0" w:color="auto"/>
              <w:bottom w:val="nil"/>
              <w:right w:val="single" w:sz="6" w:space="0" w:color="auto"/>
            </w:tcBorders>
          </w:tcPr>
          <w:p w:rsidR="00DD790B" w:rsidRPr="00BD7894" w:rsidRDefault="000C205F" w:rsidP="00133B38">
            <w:pPr>
              <w:pStyle w:val="BoxListBullet"/>
            </w:pPr>
            <w:r w:rsidRPr="00BD7894">
              <w:t>All government agencies, ministerial</w:t>
            </w:r>
            <w:r w:rsidR="004373FB">
              <w:t xml:space="preserve"> councils and national standard </w:t>
            </w:r>
            <w:r w:rsidRPr="00BD7894">
              <w:t xml:space="preserve">setting bodies </w:t>
            </w:r>
            <w:r w:rsidR="004373FB">
              <w:t xml:space="preserve">which make or amend regulation </w:t>
            </w:r>
            <w:r w:rsidRPr="00BD7894">
              <w:t>a</w:t>
            </w:r>
            <w:r w:rsidR="001657CA">
              <w:t xml:space="preserve">re subject to </w:t>
            </w:r>
            <w:r w:rsidR="009514F6">
              <w:t>regulatory impact analysis (</w:t>
            </w:r>
            <w:r w:rsidR="001657CA">
              <w:t>RIA</w:t>
            </w:r>
            <w:r w:rsidR="009514F6">
              <w:t>)</w:t>
            </w:r>
            <w:r w:rsidR="001657CA">
              <w:t xml:space="preserve"> requirements.</w:t>
            </w:r>
          </w:p>
          <w:p w:rsidR="009E39D1" w:rsidRPr="00BD7894" w:rsidRDefault="0030011E" w:rsidP="00195139">
            <w:pPr>
              <w:pStyle w:val="BoxListBullet"/>
            </w:pPr>
            <w:r>
              <w:t>The princip</w:t>
            </w:r>
            <w:r w:rsidR="008462BF">
              <w:t>al</w:t>
            </w:r>
            <w:r>
              <w:t xml:space="preserve"> role of ministers in the RIA process is to </w:t>
            </w:r>
            <w:r w:rsidR="00E800E1" w:rsidRPr="00E800E1">
              <w:t>decide how to address the relevant policy issue, given the information generated by RIA on potential options and their likely impacts</w:t>
            </w:r>
            <w:r w:rsidR="00EF34BA">
              <w:t>.</w:t>
            </w:r>
            <w:r>
              <w:t xml:space="preserve"> </w:t>
            </w:r>
            <w:r w:rsidR="00823B00" w:rsidRPr="00BD7894">
              <w:t xml:space="preserve">In some jurisdictions, ministers </w:t>
            </w:r>
            <w:r w:rsidR="00EF34BA">
              <w:t xml:space="preserve">also </w:t>
            </w:r>
            <w:r w:rsidR="00195139" w:rsidRPr="00BD7894">
              <w:t>certify</w:t>
            </w:r>
            <w:r w:rsidR="00823B00" w:rsidRPr="00BD7894">
              <w:t xml:space="preserve"> completed</w:t>
            </w:r>
            <w:r w:rsidR="00195139" w:rsidRPr="00BD7894">
              <w:t xml:space="preserve"> </w:t>
            </w:r>
            <w:r w:rsidR="00E800E1">
              <w:t>regulation impact statement (</w:t>
            </w:r>
            <w:r w:rsidR="00195139" w:rsidRPr="00BD7894">
              <w:t>RIS</w:t>
            </w:r>
            <w:r w:rsidR="00E800E1">
              <w:t>)</w:t>
            </w:r>
            <w:r w:rsidR="00195139" w:rsidRPr="00BD7894">
              <w:t xml:space="preserve"> documents</w:t>
            </w:r>
            <w:r w:rsidR="000F4CE6" w:rsidRPr="00BD7894">
              <w:t xml:space="preserve"> </w:t>
            </w:r>
            <w:r w:rsidR="000B09D3" w:rsidRPr="00BD7894">
              <w:t xml:space="preserve">to indicate that </w:t>
            </w:r>
            <w:r w:rsidR="000F4CE6" w:rsidRPr="00BD7894">
              <w:t>RIA requirements</w:t>
            </w:r>
            <w:r w:rsidR="000B09D3" w:rsidRPr="00BD7894">
              <w:t xml:space="preserve"> have been </w:t>
            </w:r>
            <w:r w:rsidR="005750C7">
              <w:t>satisfied</w:t>
            </w:r>
            <w:r w:rsidR="00EF34BA">
              <w:t xml:space="preserve"> and </w:t>
            </w:r>
            <w:r w:rsidR="00300A7F">
              <w:t xml:space="preserve">they may also </w:t>
            </w:r>
            <w:r w:rsidR="00EF34BA">
              <w:t>approve RIS exemptions</w:t>
            </w:r>
            <w:r w:rsidR="00195139" w:rsidRPr="00BD7894">
              <w:t>.</w:t>
            </w:r>
          </w:p>
          <w:p w:rsidR="009F4D5C" w:rsidRDefault="009F4D5C" w:rsidP="00650E16">
            <w:pPr>
              <w:pStyle w:val="BoxListBullet"/>
            </w:pPr>
            <w:r>
              <w:t>Agencies assess the need for</w:t>
            </w:r>
            <w:r w:rsidR="00E56E6D">
              <w:t xml:space="preserve"> a RIS</w:t>
            </w:r>
            <w:r>
              <w:t xml:space="preserve"> in </w:t>
            </w:r>
            <w:r w:rsidR="0086788F">
              <w:t>five</w:t>
            </w:r>
            <w:r w:rsidR="008B6C3F">
              <w:t xml:space="preserve"> </w:t>
            </w:r>
            <w:r>
              <w:t>of the ten jurisdictions, often with the advice of the jurisdiction</w:t>
            </w:r>
            <w:r w:rsidR="00345DA7">
              <w:t>al</w:t>
            </w:r>
            <w:r>
              <w:t xml:space="preserve"> regulatory oversight body.</w:t>
            </w:r>
            <w:r w:rsidR="008B6C3F">
              <w:t xml:space="preserve"> </w:t>
            </w:r>
            <w:r w:rsidR="0086788F">
              <w:t>Agencies in</w:t>
            </w:r>
            <w:r w:rsidR="008B6C3F">
              <w:t xml:space="preserve"> Tasmania</w:t>
            </w:r>
            <w:r w:rsidR="0086788F">
              <w:t xml:space="preserve"> also make such an</w:t>
            </w:r>
            <w:r w:rsidR="008B6C3F">
              <w:t xml:space="preserve"> assessment</w:t>
            </w:r>
            <w:r w:rsidR="0086788F">
              <w:t>,</w:t>
            </w:r>
            <w:r w:rsidR="008B6C3F">
              <w:t xml:space="preserve"> </w:t>
            </w:r>
            <w:r w:rsidR="0086788F">
              <w:t>but</w:t>
            </w:r>
            <w:r w:rsidR="008B6C3F">
              <w:t xml:space="preserve"> only for proposals relat</w:t>
            </w:r>
            <w:r w:rsidR="0086788F">
              <w:t>ed</w:t>
            </w:r>
            <w:r w:rsidR="008B6C3F">
              <w:t xml:space="preserve"> to subordinate legislation.</w:t>
            </w:r>
          </w:p>
          <w:p w:rsidR="00650E16" w:rsidRPr="00BD7894" w:rsidRDefault="00650E16" w:rsidP="00650E16">
            <w:pPr>
              <w:pStyle w:val="BoxListBullet"/>
            </w:pPr>
            <w:r w:rsidRPr="00BD7894">
              <w:t>Consistent with best practice, all Australian jurisdictions have a</w:t>
            </w:r>
            <w:r w:rsidR="00DD790B" w:rsidRPr="00BD7894">
              <w:t xml:space="preserve"> body</w:t>
            </w:r>
            <w:r w:rsidR="00B35691" w:rsidRPr="00BD7894">
              <w:t xml:space="preserve"> </w:t>
            </w:r>
            <w:r w:rsidR="00BD7DC9">
              <w:t xml:space="preserve">tasked with oversighting </w:t>
            </w:r>
            <w:r w:rsidR="00B35691" w:rsidRPr="00BD7894">
              <w:t>the RIA process.</w:t>
            </w:r>
            <w:r w:rsidRPr="00BD7894">
              <w:t xml:space="preserve"> </w:t>
            </w:r>
          </w:p>
          <w:p w:rsidR="00082262" w:rsidRPr="00BD7894" w:rsidRDefault="006B2C37" w:rsidP="00082262">
            <w:pPr>
              <w:pStyle w:val="BoxListBullet2"/>
            </w:pPr>
            <w:r>
              <w:t>Most</w:t>
            </w:r>
            <w:r w:rsidR="00082262" w:rsidRPr="00BD7894">
              <w:t xml:space="preserve"> jurisdictional oversight bodies reside within departments at the centre of government. The only exception</w:t>
            </w:r>
            <w:r w:rsidR="00082262">
              <w:t>s</w:t>
            </w:r>
            <w:r w:rsidR="00082262" w:rsidRPr="00BD7894">
              <w:t xml:space="preserve"> </w:t>
            </w:r>
            <w:r w:rsidR="00082262">
              <w:t>are</w:t>
            </w:r>
            <w:r w:rsidR="00082262" w:rsidRPr="00BD7894">
              <w:t xml:space="preserve"> the Victorian Competition and Efficiency Commission</w:t>
            </w:r>
            <w:r w:rsidR="00082262">
              <w:t xml:space="preserve"> and the newly established Queensland Office of Best Practice Regulation.</w:t>
            </w:r>
          </w:p>
          <w:p w:rsidR="006D7C58" w:rsidRPr="00BD7894" w:rsidRDefault="00650E16" w:rsidP="00650E16">
            <w:pPr>
              <w:pStyle w:val="BoxListBullet2"/>
            </w:pPr>
            <w:r w:rsidRPr="00BD7894">
              <w:t xml:space="preserve">In South Australia and </w:t>
            </w:r>
            <w:r w:rsidR="00B35691" w:rsidRPr="00BD7894">
              <w:t xml:space="preserve">the </w:t>
            </w:r>
            <w:r w:rsidRPr="00BD7894">
              <w:t>Northern Territory,</w:t>
            </w:r>
            <w:r w:rsidR="00393D6F">
              <w:t xml:space="preserve"> several </w:t>
            </w:r>
            <w:r w:rsidR="00C53875">
              <w:t xml:space="preserve">departments </w:t>
            </w:r>
            <w:r w:rsidR="00CC2D54">
              <w:t>contribute to the</w:t>
            </w:r>
            <w:r w:rsidR="00393D6F">
              <w:t xml:space="preserve"> </w:t>
            </w:r>
            <w:r w:rsidR="00F43655">
              <w:t>regulatory</w:t>
            </w:r>
            <w:r w:rsidRPr="00BD7894">
              <w:t xml:space="preserve"> oversight</w:t>
            </w:r>
            <w:r w:rsidR="00CC2D54">
              <w:t xml:space="preserve"> function</w:t>
            </w:r>
            <w:r w:rsidR="00853D99" w:rsidRPr="00BD7894">
              <w:t>.</w:t>
            </w:r>
          </w:p>
          <w:p w:rsidR="00650E16" w:rsidRPr="00BD7894" w:rsidRDefault="00DD790B" w:rsidP="00650E16">
            <w:pPr>
              <w:pStyle w:val="BoxListBullet"/>
            </w:pPr>
            <w:r w:rsidRPr="00BD7894">
              <w:t>Oversight body</w:t>
            </w:r>
            <w:r w:rsidR="00650E16" w:rsidRPr="00BD7894">
              <w:t xml:space="preserve"> functions vary between jurisdictions, but </w:t>
            </w:r>
            <w:r w:rsidR="006D7C58" w:rsidRPr="00BD7894">
              <w:t xml:space="preserve">can </w:t>
            </w:r>
            <w:r w:rsidR="00650E16" w:rsidRPr="00BD7894">
              <w:t>include</w:t>
            </w:r>
            <w:r w:rsidR="00326659" w:rsidRPr="00BD7894">
              <w:t>:</w:t>
            </w:r>
            <w:r w:rsidR="006D7C58" w:rsidRPr="00BD7894">
              <w:t xml:space="preserve"> deciding </w:t>
            </w:r>
            <w:r w:rsidR="00326659" w:rsidRPr="00BD7894">
              <w:t xml:space="preserve">whether </w:t>
            </w:r>
            <w:r w:rsidR="003F5233">
              <w:t xml:space="preserve">regulatory </w:t>
            </w:r>
            <w:r w:rsidR="00326659" w:rsidRPr="00BD7894">
              <w:t>proposals require a RIS;</w:t>
            </w:r>
            <w:r w:rsidR="00650E16" w:rsidRPr="00BD7894">
              <w:t xml:space="preserve"> </w:t>
            </w:r>
            <w:r w:rsidR="006D7C58" w:rsidRPr="00BD7894">
              <w:t xml:space="preserve">providing </w:t>
            </w:r>
            <w:r w:rsidR="00326659" w:rsidRPr="00BD7894">
              <w:t>advice</w:t>
            </w:r>
            <w:r w:rsidR="00D6339F">
              <w:t xml:space="preserve"> and training</w:t>
            </w:r>
            <w:r w:rsidR="00326659" w:rsidRPr="00BD7894">
              <w:t xml:space="preserve"> on the RIA process;</w:t>
            </w:r>
            <w:r w:rsidR="006D7C58" w:rsidRPr="00BD7894">
              <w:t xml:space="preserve"> examining and advising on the adequac</w:t>
            </w:r>
            <w:r w:rsidR="000F4CE6" w:rsidRPr="00BD7894">
              <w:t xml:space="preserve">y of </w:t>
            </w:r>
            <w:r w:rsidR="00962375" w:rsidRPr="00BD7894">
              <w:t>RIS documents</w:t>
            </w:r>
            <w:r w:rsidR="00326659" w:rsidRPr="00BD7894">
              <w:t>;</w:t>
            </w:r>
            <w:r w:rsidR="00962375" w:rsidRPr="00BD7894">
              <w:t xml:space="preserve"> and</w:t>
            </w:r>
            <w:r w:rsidR="000F4CE6" w:rsidRPr="00BD7894">
              <w:t xml:space="preserve"> reporting</w:t>
            </w:r>
            <w:r w:rsidR="001657CA">
              <w:t xml:space="preserve"> annually on</w:t>
            </w:r>
            <w:r w:rsidR="006D7C58" w:rsidRPr="00BD7894">
              <w:t xml:space="preserve"> agency compliance with the RIA process.</w:t>
            </w:r>
          </w:p>
          <w:p w:rsidR="00650E16" w:rsidRPr="00BD7894" w:rsidRDefault="003F5233" w:rsidP="006D7B63">
            <w:pPr>
              <w:pStyle w:val="BoxListBullet"/>
            </w:pPr>
            <w:r>
              <w:t>Information on c</w:t>
            </w:r>
            <w:r w:rsidR="00DD790B" w:rsidRPr="00BD7894">
              <w:t>ompliance</w:t>
            </w:r>
            <w:r w:rsidR="001657CA">
              <w:t xml:space="preserve"> </w:t>
            </w:r>
            <w:r>
              <w:t xml:space="preserve">with RIA requirements </w:t>
            </w:r>
            <w:r w:rsidR="00DD790B" w:rsidRPr="00BD7894">
              <w:t>is</w:t>
            </w:r>
            <w:r w:rsidR="00FD506A" w:rsidRPr="00BD7894">
              <w:t xml:space="preserve"> </w:t>
            </w:r>
            <w:r w:rsidR="00B35691" w:rsidRPr="00BD7894">
              <w:t xml:space="preserve">reported </w:t>
            </w:r>
            <w:r w:rsidR="006E5D21" w:rsidRPr="00BD7894">
              <w:t>annuall</w:t>
            </w:r>
            <w:r w:rsidR="00B35691" w:rsidRPr="00BD7894">
              <w:t xml:space="preserve">y </w:t>
            </w:r>
            <w:r w:rsidR="00FD506A" w:rsidRPr="00BD7894">
              <w:t xml:space="preserve">only </w:t>
            </w:r>
            <w:r w:rsidR="00B35691" w:rsidRPr="00BD7894">
              <w:t>in three</w:t>
            </w:r>
            <w:r w:rsidR="00DD790B" w:rsidRPr="00BD7894">
              <w:t xml:space="preserve"> jurisdictions —</w:t>
            </w:r>
            <w:r w:rsidR="00650E16" w:rsidRPr="00BD7894">
              <w:t xml:space="preserve"> </w:t>
            </w:r>
            <w:r w:rsidR="00393D6F">
              <w:t xml:space="preserve">the </w:t>
            </w:r>
            <w:r w:rsidR="000F4CE6" w:rsidRPr="00BD7894">
              <w:t>Commonwealth</w:t>
            </w:r>
            <w:r w:rsidR="00650E16" w:rsidRPr="00BD7894">
              <w:t>, CO</w:t>
            </w:r>
            <w:r w:rsidR="00DD790B" w:rsidRPr="00BD7894">
              <w:t>AG and</w:t>
            </w:r>
            <w:r w:rsidR="004373FB">
              <w:t xml:space="preserve"> Victoria.</w:t>
            </w:r>
          </w:p>
          <w:p w:rsidR="00DD790B" w:rsidRPr="00BD7894" w:rsidRDefault="009E39D1" w:rsidP="007E070B">
            <w:pPr>
              <w:pStyle w:val="BoxListBullet"/>
            </w:pPr>
            <w:r w:rsidRPr="00BD7894">
              <w:t>In five jurisdictions</w:t>
            </w:r>
            <w:r w:rsidR="00326659" w:rsidRPr="00BD7894">
              <w:t>,</w:t>
            </w:r>
            <w:r w:rsidRPr="00BD7894">
              <w:t xml:space="preserve"> Cabinet offices have a role </w:t>
            </w:r>
            <w:r w:rsidR="007E070B" w:rsidRPr="00BD7894">
              <w:t>verifying that proposals have satisfied RIA requirements before they</w:t>
            </w:r>
            <w:r w:rsidR="00393D6F">
              <w:t xml:space="preserve"> proceed to Cabinet or its sub-</w:t>
            </w:r>
            <w:r w:rsidR="007E070B" w:rsidRPr="00BD7894">
              <w:t>committees</w:t>
            </w:r>
            <w:r w:rsidRPr="00BD7894">
              <w:t>.</w:t>
            </w:r>
          </w:p>
          <w:p w:rsidR="00650E16" w:rsidRPr="00962375" w:rsidRDefault="00650E16" w:rsidP="00393D6F">
            <w:pPr>
              <w:pStyle w:val="BoxListBullet"/>
              <w:rPr>
                <w:rStyle w:val="DraftingNote"/>
                <w:b w:val="0"/>
                <w:color w:val="auto"/>
                <w:sz w:val="22"/>
                <w:u w:val="none"/>
              </w:rPr>
            </w:pPr>
            <w:r w:rsidRPr="00BD7894">
              <w:t>All jurisdictions have parliamentary scrutiny committees which examine legislation that</w:t>
            </w:r>
            <w:r w:rsidR="00D85F0F" w:rsidRPr="00BD7894">
              <w:t xml:space="preserve"> has proceeded to parliament to determine whether </w:t>
            </w:r>
            <w:r w:rsidR="00393D6F">
              <w:t>legislative</w:t>
            </w:r>
            <w:r w:rsidR="00393D6F" w:rsidRPr="00BD7894">
              <w:t xml:space="preserve"> </w:t>
            </w:r>
            <w:r w:rsidR="00D85F0F" w:rsidRPr="00BD7894">
              <w:t>principles and procedures have been followed</w:t>
            </w:r>
            <w:r w:rsidR="00962375" w:rsidRPr="00BD7894">
              <w:t xml:space="preserve">. </w:t>
            </w:r>
            <w:r w:rsidRPr="00BD7894">
              <w:t xml:space="preserve">In </w:t>
            </w:r>
            <w:r w:rsidR="009E39D1" w:rsidRPr="00BD7894">
              <w:t>five jurisdictions</w:t>
            </w:r>
            <w:r w:rsidR="00D85F0F" w:rsidRPr="00BD7894">
              <w:t xml:space="preserve"> </w:t>
            </w:r>
            <w:r w:rsidRPr="00BD7894">
              <w:t xml:space="preserve">these committees have an explicit mandate to consider whether </w:t>
            </w:r>
            <w:r w:rsidR="00393D6F">
              <w:t>RIA requirements have been met</w:t>
            </w:r>
            <w:r w:rsidR="00EB2073">
              <w:t>.</w:t>
            </w:r>
          </w:p>
        </w:tc>
      </w:tr>
      <w:tr w:rsidR="00650E16">
        <w:trPr>
          <w:cantSplit/>
        </w:trPr>
        <w:tc>
          <w:tcPr>
            <w:tcW w:w="8771" w:type="dxa"/>
            <w:tcBorders>
              <w:top w:val="nil"/>
              <w:left w:val="single" w:sz="6" w:space="0" w:color="auto"/>
              <w:bottom w:val="single" w:sz="6" w:space="0" w:color="auto"/>
              <w:right w:val="single" w:sz="6" w:space="0" w:color="auto"/>
            </w:tcBorders>
          </w:tcPr>
          <w:p w:rsidR="00650E16" w:rsidRDefault="00650E16">
            <w:pPr>
              <w:pStyle w:val="Box"/>
              <w:spacing w:before="0" w:line="120" w:lineRule="exact"/>
            </w:pPr>
          </w:p>
        </w:tc>
      </w:tr>
      <w:tr w:rsidR="00650E16">
        <w:tc>
          <w:tcPr>
            <w:tcW w:w="8771" w:type="dxa"/>
            <w:tcBorders>
              <w:top w:val="nil"/>
              <w:left w:val="nil"/>
              <w:bottom w:val="nil"/>
              <w:right w:val="nil"/>
            </w:tcBorders>
          </w:tcPr>
          <w:p w:rsidR="00650E16" w:rsidRDefault="00650E16">
            <w:pPr>
              <w:pStyle w:val="Box"/>
              <w:keepNext w:val="0"/>
              <w:spacing w:before="60" w:after="60" w:line="80" w:lineRule="exact"/>
              <w:rPr>
                <w:b/>
                <w:color w:val="FF00FF"/>
                <w:sz w:val="14"/>
              </w:rPr>
            </w:pPr>
          </w:p>
        </w:tc>
      </w:tr>
    </w:tbl>
    <w:p w:rsidR="0080740B" w:rsidRDefault="00D6339F" w:rsidP="00A970A6">
      <w:pPr>
        <w:pStyle w:val="BodyText"/>
      </w:pPr>
      <w:bookmarkStart w:id="3" w:name="begin"/>
      <w:bookmarkEnd w:id="3"/>
      <w:r w:rsidRPr="00D6339F">
        <w:lastRenderedPageBreak/>
        <w:t>This chapter describes</w:t>
      </w:r>
      <w:r w:rsidR="008627E6">
        <w:t xml:space="preserve"> </w:t>
      </w:r>
      <w:r w:rsidR="003F0778">
        <w:t xml:space="preserve">the roles </w:t>
      </w:r>
      <w:r w:rsidR="00EB2073">
        <w:t xml:space="preserve">and activities </w:t>
      </w:r>
      <w:r w:rsidR="003F0778">
        <w:t xml:space="preserve">of </w:t>
      </w:r>
      <w:r w:rsidR="008627E6">
        <w:t xml:space="preserve">institutions which are involved in </w:t>
      </w:r>
      <w:r w:rsidR="00751BF9">
        <w:t>RIA</w:t>
      </w:r>
      <w:r w:rsidR="008627E6">
        <w:t xml:space="preserve"> process</w:t>
      </w:r>
      <w:r w:rsidR="003F0778">
        <w:t>es</w:t>
      </w:r>
      <w:r w:rsidR="008627E6">
        <w:t>, as at January 2012</w:t>
      </w:r>
      <w:r w:rsidR="005626A4">
        <w:t>, with changes made after this point noted where relevant</w:t>
      </w:r>
      <w:r>
        <w:t>.</w:t>
      </w:r>
      <w:r w:rsidR="008627E6">
        <w:t xml:space="preserve"> </w:t>
      </w:r>
      <w:r w:rsidR="004E5A71">
        <w:t>Discussion of the</w:t>
      </w:r>
      <w:r w:rsidR="0080740B">
        <w:t xml:space="preserve"> appropriateness of these roles and the performance of these institutions is left to </w:t>
      </w:r>
      <w:r w:rsidR="005626A4">
        <w:t xml:space="preserve">other </w:t>
      </w:r>
      <w:r w:rsidR="0080740B">
        <w:t>chapters</w:t>
      </w:r>
      <w:r w:rsidR="003F0778">
        <w:t>.</w:t>
      </w:r>
    </w:p>
    <w:p w:rsidR="00B940AE" w:rsidRDefault="00205857" w:rsidP="00A970A6">
      <w:pPr>
        <w:pStyle w:val="BodyText"/>
      </w:pPr>
      <w:r w:rsidRPr="00D6339F">
        <w:t>RIA</w:t>
      </w:r>
      <w:r w:rsidRPr="00205857">
        <w:t xml:space="preserve"> requirements apply to institutions </w:t>
      </w:r>
      <w:r w:rsidR="007A6C9A">
        <w:t>that</w:t>
      </w:r>
      <w:r w:rsidRPr="00205857">
        <w:t xml:space="preserve"> create</w:t>
      </w:r>
      <w:r w:rsidR="00621835">
        <w:t>,</w:t>
      </w:r>
      <w:r w:rsidRPr="00205857">
        <w:t xml:space="preserve"> amend</w:t>
      </w:r>
      <w:r w:rsidR="00A63EB6">
        <w:t xml:space="preserve"> or review</w:t>
      </w:r>
      <w:r w:rsidRPr="00205857">
        <w:t xml:space="preserve"> regulations</w:t>
      </w:r>
      <w:r w:rsidR="007A6C9A">
        <w:t>.</w:t>
      </w:r>
      <w:r w:rsidRPr="00205857">
        <w:t xml:space="preserve"> </w:t>
      </w:r>
      <w:r w:rsidR="007A6C9A">
        <w:t>These include</w:t>
      </w:r>
      <w:r w:rsidR="007E070B">
        <w:t xml:space="preserve"> government departments</w:t>
      </w:r>
      <w:r w:rsidR="00393D6F">
        <w:t xml:space="preserve"> and</w:t>
      </w:r>
      <w:r w:rsidR="00EB2073">
        <w:t xml:space="preserve"> </w:t>
      </w:r>
      <w:r w:rsidR="007E070B">
        <w:t>agencies,</w:t>
      </w:r>
      <w:r w:rsidRPr="00205857">
        <w:t xml:space="preserve"> ministerial councils and national </w:t>
      </w:r>
      <w:r w:rsidR="004373FB">
        <w:t xml:space="preserve">standard </w:t>
      </w:r>
      <w:r w:rsidR="00155599">
        <w:t>setting bodies</w:t>
      </w:r>
      <w:r w:rsidR="00F7146D">
        <w:t xml:space="preserve"> (NSSBs)</w:t>
      </w:r>
      <w:r w:rsidR="00EB2073">
        <w:t xml:space="preserve"> </w:t>
      </w:r>
      <w:r w:rsidR="00627519">
        <w:t xml:space="preserve">— </w:t>
      </w:r>
      <w:r w:rsidR="00EB2073">
        <w:t>hereafter</w:t>
      </w:r>
      <w:r w:rsidR="00627519">
        <w:t>, when</w:t>
      </w:r>
      <w:r w:rsidR="00621835">
        <w:t xml:space="preserve"> these are</w:t>
      </w:r>
      <w:r w:rsidR="00EB2073">
        <w:t xml:space="preserve"> referred to collectively</w:t>
      </w:r>
      <w:r w:rsidR="00627519">
        <w:t>,</w:t>
      </w:r>
      <w:r w:rsidR="00EB2073">
        <w:t xml:space="preserve"> </w:t>
      </w:r>
      <w:r w:rsidR="00621835">
        <w:t xml:space="preserve">they </w:t>
      </w:r>
      <w:r w:rsidR="00627519">
        <w:t>will be termed</w:t>
      </w:r>
      <w:r w:rsidR="00EB2073">
        <w:t xml:space="preserve"> ‘agencies’</w:t>
      </w:r>
      <w:r w:rsidR="00155599">
        <w:t xml:space="preserve">. </w:t>
      </w:r>
      <w:r w:rsidR="00CC2D54">
        <w:t>In addition to these agencies, there are a number of</w:t>
      </w:r>
      <w:r w:rsidR="00B940AE">
        <w:t xml:space="preserve"> </w:t>
      </w:r>
      <w:r w:rsidR="00326659">
        <w:t xml:space="preserve">other </w:t>
      </w:r>
      <w:r w:rsidR="00627519">
        <w:t xml:space="preserve">bodies </w:t>
      </w:r>
      <w:r w:rsidR="005750C7">
        <w:t xml:space="preserve">with </w:t>
      </w:r>
      <w:r w:rsidR="00326659">
        <w:t>jurisdiction</w:t>
      </w:r>
      <w:r w:rsidR="00C53875">
        <w:t>-</w:t>
      </w:r>
      <w:r w:rsidR="00B940AE">
        <w:t>wide responsibility for ensuring RIA requirements are satisfied</w:t>
      </w:r>
      <w:r w:rsidR="00CC2D54">
        <w:t>, including</w:t>
      </w:r>
      <w:r w:rsidR="000F4CE6">
        <w:t>:</w:t>
      </w:r>
    </w:p>
    <w:p w:rsidR="00B940AE" w:rsidRDefault="00205857" w:rsidP="00B940AE">
      <w:pPr>
        <w:pStyle w:val="ListBullet"/>
      </w:pPr>
      <w:r w:rsidRPr="00205857">
        <w:t>regulatory oversight bodies</w:t>
      </w:r>
      <w:r w:rsidR="005626A4">
        <w:t xml:space="preserve"> with a</w:t>
      </w:r>
      <w:r w:rsidR="004373FB">
        <w:t xml:space="preserve"> role </w:t>
      </w:r>
      <w:r w:rsidR="008B6C3F">
        <w:t xml:space="preserve">of </w:t>
      </w:r>
      <w:r w:rsidR="004373FB">
        <w:t>ensur</w:t>
      </w:r>
      <w:r w:rsidR="005626A4">
        <w:t>ing</w:t>
      </w:r>
      <w:r w:rsidR="004373FB">
        <w:t xml:space="preserve"> that</w:t>
      </w:r>
      <w:r w:rsidRPr="00205857">
        <w:t xml:space="preserve"> </w:t>
      </w:r>
      <w:r w:rsidR="00B35691">
        <w:t>adequate</w:t>
      </w:r>
      <w:r w:rsidRPr="00205857">
        <w:t xml:space="preserve"> ana</w:t>
      </w:r>
      <w:r w:rsidR="00155599">
        <w:t xml:space="preserve">lysis has been undertaken prior to consideration </w:t>
      </w:r>
      <w:r w:rsidR="00650E16">
        <w:t xml:space="preserve">of </w:t>
      </w:r>
      <w:r w:rsidR="007A6C9A">
        <w:t>proposal</w:t>
      </w:r>
      <w:r w:rsidR="00650E16">
        <w:t>s</w:t>
      </w:r>
      <w:r w:rsidR="007A6C9A">
        <w:t xml:space="preserve"> by </w:t>
      </w:r>
      <w:r w:rsidR="00155599">
        <w:t>decision maker</w:t>
      </w:r>
      <w:r w:rsidR="007A6C9A">
        <w:t>s</w:t>
      </w:r>
    </w:p>
    <w:p w:rsidR="00B940AE" w:rsidRDefault="00621835" w:rsidP="00577C5B">
      <w:pPr>
        <w:pStyle w:val="ListBullet"/>
      </w:pPr>
      <w:r>
        <w:t>C</w:t>
      </w:r>
      <w:r w:rsidR="00B940AE">
        <w:t xml:space="preserve">abinet </w:t>
      </w:r>
      <w:r w:rsidR="007C44D1">
        <w:t>office</w:t>
      </w:r>
      <w:r w:rsidR="004D4172">
        <w:t>s</w:t>
      </w:r>
      <w:r w:rsidR="002F2380">
        <w:t>,</w:t>
      </w:r>
      <w:r w:rsidR="004D4172">
        <w:t xml:space="preserve"> which</w:t>
      </w:r>
      <w:r w:rsidR="002F2380">
        <w:t xml:space="preserve"> </w:t>
      </w:r>
      <w:r w:rsidR="00577C5B" w:rsidRPr="00577C5B">
        <w:t>may have a role verifying that appropriate RIA information is attached to Cabinet submissions or, in some cases, preventing proposals that have not met RIA requirements proceeding to decision makers</w:t>
      </w:r>
      <w:r w:rsidR="00577C5B" w:rsidRPr="00577C5B" w:rsidDel="00173380">
        <w:t xml:space="preserve"> </w:t>
      </w:r>
    </w:p>
    <w:p w:rsidR="00155599" w:rsidRPr="0057237F" w:rsidRDefault="00205857" w:rsidP="00B940AE">
      <w:pPr>
        <w:pStyle w:val="ListBullet"/>
      </w:pPr>
      <w:r w:rsidRPr="00205857">
        <w:t xml:space="preserve">parliamentary scrutiny committees which </w:t>
      </w:r>
      <w:r w:rsidR="00DD790B">
        <w:t xml:space="preserve">examine </w:t>
      </w:r>
      <w:r w:rsidR="007C44D1">
        <w:t>regulation tha</w:t>
      </w:r>
      <w:r w:rsidR="00627519">
        <w:t>t has proceeded to parliament</w:t>
      </w:r>
      <w:r w:rsidR="007C44D1">
        <w:t xml:space="preserve"> and</w:t>
      </w:r>
      <w:r w:rsidR="00627519">
        <w:t>,</w:t>
      </w:r>
      <w:r w:rsidR="007C44D1">
        <w:t xml:space="preserve"> </w:t>
      </w:r>
      <w:r w:rsidR="00627519">
        <w:t>in some cases,</w:t>
      </w:r>
      <w:r w:rsidR="007C44D1">
        <w:t xml:space="preserve"> have an explicit mandate to consider RIA requirements</w:t>
      </w:r>
      <w:r w:rsidR="00B35691">
        <w:t>.</w:t>
      </w:r>
    </w:p>
    <w:p w:rsidR="003458A9" w:rsidRDefault="00287B41" w:rsidP="003458A9">
      <w:pPr>
        <w:pStyle w:val="Heading2"/>
      </w:pPr>
      <w:r>
        <w:t>3.</w:t>
      </w:r>
      <w:r w:rsidR="00702C9A">
        <w:rPr>
          <w:noProof/>
        </w:rPr>
        <w:t>1</w:t>
      </w:r>
      <w:r w:rsidR="003F6865">
        <w:tab/>
      </w:r>
      <w:r w:rsidR="003458A9">
        <w:t xml:space="preserve">Institutions </w:t>
      </w:r>
      <w:r w:rsidR="004D1381">
        <w:t>subject to RIA requirements</w:t>
      </w:r>
    </w:p>
    <w:p w:rsidR="003458A9" w:rsidRDefault="003458A9" w:rsidP="003458A9">
      <w:pPr>
        <w:pStyle w:val="Heading3"/>
      </w:pPr>
      <w:r>
        <w:t xml:space="preserve">Government </w:t>
      </w:r>
      <w:r w:rsidR="007E070B">
        <w:t>departments and agencies</w:t>
      </w:r>
    </w:p>
    <w:p w:rsidR="00A46993" w:rsidRDefault="00EA12B4" w:rsidP="00C70C8B">
      <w:pPr>
        <w:pStyle w:val="BodyText"/>
      </w:pPr>
      <w:r>
        <w:t>A</w:t>
      </w:r>
      <w:r w:rsidR="00EA7E7D">
        <w:t xml:space="preserve">ll government </w:t>
      </w:r>
      <w:r w:rsidR="0010315D">
        <w:t>departments and agencies</w:t>
      </w:r>
      <w:r w:rsidR="00EA7E7D">
        <w:t xml:space="preserve"> which create or amend regulation are subject to </w:t>
      </w:r>
      <w:r>
        <w:t xml:space="preserve">their jurisdictional </w:t>
      </w:r>
      <w:r w:rsidR="00EA7E7D">
        <w:t xml:space="preserve">RIA </w:t>
      </w:r>
      <w:r w:rsidR="00816723">
        <w:t>requirements</w:t>
      </w:r>
      <w:r w:rsidR="005750C7">
        <w:t>,</w:t>
      </w:r>
      <w:r w:rsidR="00816723">
        <w:t xml:space="preserve"> </w:t>
      </w:r>
      <w:r w:rsidR="004373FB">
        <w:t>regardless of whether these agencies</w:t>
      </w:r>
      <w:r w:rsidR="00FD3725">
        <w:t xml:space="preserve"> are </w:t>
      </w:r>
      <w:r w:rsidR="00EA7E7D">
        <w:t>established administratively or by statute.</w:t>
      </w:r>
      <w:r w:rsidR="00125311">
        <w:t xml:space="preserve"> When agencies engage with RIA, this can involve:</w:t>
      </w:r>
    </w:p>
    <w:p w:rsidR="00683141" w:rsidRDefault="00683141" w:rsidP="00125311">
      <w:pPr>
        <w:pStyle w:val="ListBullet"/>
      </w:pPr>
      <w:r>
        <w:t>contacting the jurisdictional oversight body to seek advice early in the policy development process</w:t>
      </w:r>
    </w:p>
    <w:p w:rsidR="00125311" w:rsidRDefault="00627519" w:rsidP="00125311">
      <w:pPr>
        <w:pStyle w:val="ListBullet"/>
      </w:pPr>
      <w:r>
        <w:t xml:space="preserve">either </w:t>
      </w:r>
      <w:r w:rsidR="00125311">
        <w:t xml:space="preserve">deciding if a </w:t>
      </w:r>
      <w:r w:rsidR="00751BF9">
        <w:t>RIS</w:t>
      </w:r>
      <w:r w:rsidR="00125311">
        <w:t xml:space="preserve"> is required </w:t>
      </w:r>
      <w:r w:rsidR="00795F44">
        <w:t xml:space="preserve">for a proposal </w:t>
      </w:r>
      <w:r w:rsidR="00125311">
        <w:t>or</w:t>
      </w:r>
      <w:r w:rsidR="009F4D5C">
        <w:t>,</w:t>
      </w:r>
      <w:r w:rsidR="00125311">
        <w:t xml:space="preserve"> </w:t>
      </w:r>
      <w:r w:rsidR="009F4D5C">
        <w:t xml:space="preserve">in some jurisdictions, </w:t>
      </w:r>
      <w:r w:rsidR="00125311">
        <w:t xml:space="preserve">providing relevant information to the jurisdictional oversight body which </w:t>
      </w:r>
      <w:r w:rsidR="001E625A">
        <w:t xml:space="preserve">makes this </w:t>
      </w:r>
      <w:r w:rsidR="00125311">
        <w:t>d</w:t>
      </w:r>
      <w:r w:rsidR="001E625A">
        <w:t>ecision (</w:t>
      </w:r>
      <w:r w:rsidR="00086759">
        <w:t xml:space="preserve">see </w:t>
      </w:r>
      <w:r w:rsidR="001E625A">
        <w:t>section 3.2)</w:t>
      </w:r>
    </w:p>
    <w:p w:rsidR="004F25D7" w:rsidRDefault="00683141" w:rsidP="00125311">
      <w:pPr>
        <w:pStyle w:val="ListBullet"/>
      </w:pPr>
      <w:r>
        <w:t xml:space="preserve">undertaking the </w:t>
      </w:r>
      <w:r w:rsidR="00125311">
        <w:t>steps to prepare a RIS</w:t>
      </w:r>
      <w:r w:rsidR="001E625A">
        <w:t xml:space="preserve"> </w:t>
      </w:r>
      <w:r w:rsidR="00403219">
        <w:t>(including engaging with stakeholders)</w:t>
      </w:r>
    </w:p>
    <w:p w:rsidR="00125311" w:rsidRDefault="00683141" w:rsidP="00125311">
      <w:pPr>
        <w:pStyle w:val="ListBullet"/>
      </w:pPr>
      <w:r>
        <w:t>ensuring that relevant internal staff are sufficiently trained in RIA processes</w:t>
      </w:r>
    </w:p>
    <w:p w:rsidR="00683141" w:rsidRDefault="00795F44" w:rsidP="00125311">
      <w:pPr>
        <w:pStyle w:val="ListBullet"/>
      </w:pPr>
      <w:r>
        <w:t>publishing RISs</w:t>
      </w:r>
      <w:r w:rsidR="00683141">
        <w:t xml:space="preserve"> or approving their publication on a central RIS register.</w:t>
      </w:r>
    </w:p>
    <w:p w:rsidR="00351634" w:rsidRDefault="00351634" w:rsidP="00351634">
      <w:pPr>
        <w:pStyle w:val="BodyText"/>
      </w:pPr>
      <w:r>
        <w:lastRenderedPageBreak/>
        <w:t xml:space="preserve">In practice, </w:t>
      </w:r>
      <w:r w:rsidR="00F208E8">
        <w:t xml:space="preserve">the majority of </w:t>
      </w:r>
      <w:r w:rsidR="0017579E">
        <w:t>agencies</w:t>
      </w:r>
      <w:r w:rsidR="005750C7">
        <w:t xml:space="preserve"> undertake no more than one or two RISs in a given ye</w:t>
      </w:r>
      <w:r w:rsidR="0017579E">
        <w:t xml:space="preserve">ar, with many producing none. </w:t>
      </w:r>
      <w:r w:rsidR="001E7C44">
        <w:t>A</w:t>
      </w:r>
      <w:r w:rsidR="0017579E">
        <w:t xml:space="preserve"> </w:t>
      </w:r>
      <w:r w:rsidR="005750C7">
        <w:t xml:space="preserve">small number of agencies </w:t>
      </w:r>
      <w:r w:rsidR="00795F44">
        <w:t xml:space="preserve">undertake around five to ten RISs </w:t>
      </w:r>
      <w:r w:rsidR="001E7C44">
        <w:t xml:space="preserve">each year </w:t>
      </w:r>
      <w:r w:rsidR="00795F44">
        <w:t xml:space="preserve">— </w:t>
      </w:r>
      <w:r w:rsidR="001E7C44">
        <w:t xml:space="preserve">although </w:t>
      </w:r>
      <w:r w:rsidR="00795F44">
        <w:t>o</w:t>
      </w:r>
      <w:r w:rsidR="0017579E">
        <w:t>ften</w:t>
      </w:r>
      <w:r w:rsidR="005750C7">
        <w:t xml:space="preserve"> several of these </w:t>
      </w:r>
      <w:r w:rsidR="001E7C44">
        <w:t xml:space="preserve">RISs </w:t>
      </w:r>
      <w:r w:rsidR="005750C7">
        <w:t xml:space="preserve">stem from a single reform pursued by the agency. </w:t>
      </w:r>
      <w:r w:rsidR="0017579E">
        <w:t>In recent years, a</w:t>
      </w:r>
      <w:r w:rsidR="005750C7">
        <w:t xml:space="preserve">gencies with the </w:t>
      </w:r>
      <w:r w:rsidR="00CC2D54">
        <w:t xml:space="preserve">most </w:t>
      </w:r>
      <w:r w:rsidR="005750C7">
        <w:t xml:space="preserve">RIS activity </w:t>
      </w:r>
      <w:r w:rsidR="0017579E">
        <w:t>have been in</w:t>
      </w:r>
      <w:r w:rsidR="005750C7">
        <w:t xml:space="preserve"> areas such as finance, primary industry, environment and transport</w:t>
      </w:r>
      <w:r w:rsidR="005750C7" w:rsidRPr="00692260">
        <w:t>.</w:t>
      </w:r>
      <w:r w:rsidR="005750C7">
        <w:t xml:space="preserve"> </w:t>
      </w:r>
      <w:r w:rsidR="0017579E">
        <w:t>The number of RIS</w:t>
      </w:r>
      <w:r>
        <w:t xml:space="preserve">s produced </w:t>
      </w:r>
      <w:r w:rsidR="00AD42E4">
        <w:t xml:space="preserve">by </w:t>
      </w:r>
      <w:r w:rsidR="005750C7">
        <w:t xml:space="preserve">individual </w:t>
      </w:r>
      <w:r w:rsidR="00AD42E4">
        <w:t>agencies</w:t>
      </w:r>
      <w:r w:rsidR="0017579E">
        <w:t xml:space="preserve"> varies</w:t>
      </w:r>
      <w:r>
        <w:t xml:space="preserve"> over time depending on policy and regulatory priorities. </w:t>
      </w:r>
    </w:p>
    <w:p w:rsidR="00145058" w:rsidRDefault="009572CD" w:rsidP="00145058">
      <w:pPr>
        <w:pStyle w:val="Heading4"/>
      </w:pPr>
      <w:r>
        <w:t>Co</w:t>
      </w:r>
      <w:r w:rsidR="00145058">
        <w:t>ordination of RIA within and between agencies</w:t>
      </w:r>
    </w:p>
    <w:p w:rsidR="00145058" w:rsidRDefault="00145058" w:rsidP="00145058">
      <w:pPr>
        <w:pStyle w:val="BodyText"/>
      </w:pPr>
      <w:r>
        <w:t>Some agencies have established centralised RIA units to coordinate implementation of RIA requirements. In these agencies, the relevant policy branch is generally responsible for completing the</w:t>
      </w:r>
      <w:r w:rsidR="00795F44">
        <w:t xml:space="preserve"> RIA</w:t>
      </w:r>
      <w:r>
        <w:t xml:space="preserve"> process but is </w:t>
      </w:r>
      <w:r w:rsidR="00F5212B">
        <w:t xml:space="preserve">provided with guidance and technical assistance by the centralised unit. Around half of </w:t>
      </w:r>
      <w:r>
        <w:t>agency survey respondents indicated that their ag</w:t>
      </w:r>
      <w:r w:rsidR="00345DA7">
        <w:t>ency had a centralised unit which</w:t>
      </w:r>
      <w:r>
        <w:t xml:space="preserve"> assisted in undertaking the RIA process (PC </w:t>
      </w:r>
      <w:r w:rsidR="001E3AF6">
        <w:t>RIA S</w:t>
      </w:r>
      <w:r>
        <w:t xml:space="preserve">urvey 2012). A centralised unit was more common in agencies that </w:t>
      </w:r>
      <w:r w:rsidR="0017579E">
        <w:t>undertook a comparatively large</w:t>
      </w:r>
      <w:r w:rsidR="00F5212B">
        <w:t xml:space="preserve"> number of RISs or had</w:t>
      </w:r>
      <w:r>
        <w:t xml:space="preserve"> significant regulatory responsibilities. </w:t>
      </w:r>
      <w:r w:rsidR="0017579E">
        <w:t>Such a</w:t>
      </w:r>
      <w:r>
        <w:t xml:space="preserve"> unit may not be cost effective for smaller agencies and those that engage with the RIA process infrequently.</w:t>
      </w:r>
    </w:p>
    <w:p w:rsidR="00145058" w:rsidRDefault="00145058" w:rsidP="00145058">
      <w:pPr>
        <w:pStyle w:val="BodyText"/>
      </w:pPr>
      <w:r>
        <w:t xml:space="preserve">Some jurisdictions </w:t>
      </w:r>
      <w:r w:rsidRPr="005A4C74">
        <w:t>have</w:t>
      </w:r>
      <w:r w:rsidR="00593BB8">
        <w:t xml:space="preserve"> also</w:t>
      </w:r>
      <w:r w:rsidRPr="005A4C74">
        <w:t xml:space="preserve"> esta</w:t>
      </w:r>
      <w:r>
        <w:t xml:space="preserve">blished regulatory </w:t>
      </w:r>
      <w:r w:rsidRPr="005A4C74">
        <w:t>coordinators in agencies</w:t>
      </w:r>
      <w:r w:rsidR="00780750">
        <w:t>,</w:t>
      </w:r>
      <w:r w:rsidRPr="005A4C74">
        <w:t xml:space="preserve"> </w:t>
      </w:r>
      <w:r w:rsidR="00780750">
        <w:t>have</w:t>
      </w:r>
      <w:r w:rsidR="0017579E">
        <w:t xml:space="preserve"> </w:t>
      </w:r>
      <w:r w:rsidR="00780750">
        <w:t>had them in the past or intend to introduce them</w:t>
      </w:r>
      <w:r w:rsidR="001B6F5F">
        <w:t xml:space="preserve"> (box 3.1)</w:t>
      </w:r>
      <w:r w:rsidR="00780750">
        <w:t>.</w:t>
      </w:r>
      <w:r>
        <w:t xml:space="preserve"> </w:t>
      </w:r>
      <w:r w:rsidR="00780750">
        <w:t>Such coordinators can be a mechanism for sharing</w:t>
      </w:r>
      <w:r w:rsidRPr="005A4C74">
        <w:t xml:space="preserve"> experiences and </w:t>
      </w:r>
      <w:r w:rsidR="00780750" w:rsidRPr="005A4C74">
        <w:t>transfer</w:t>
      </w:r>
      <w:r w:rsidR="00780750">
        <w:t>ring</w:t>
      </w:r>
      <w:r w:rsidRPr="005A4C74">
        <w:t xml:space="preserve"> </w:t>
      </w:r>
      <w:r w:rsidR="009E0398">
        <w:t>knowledge</w:t>
      </w:r>
      <w:r w:rsidR="00345DA7">
        <w:t xml:space="preserve"> between agencies</w:t>
      </w:r>
      <w:r>
        <w:t>.</w:t>
      </w:r>
    </w:p>
    <w:p w:rsidR="001E7C44" w:rsidRDefault="001E7C44" w:rsidP="001E7C44">
      <w:pPr>
        <w:pStyle w:val="Heading3"/>
      </w:pPr>
      <w:r>
        <w:t>Ministerial councils and national standard setting b</w:t>
      </w:r>
      <w:r w:rsidRPr="00B940AE">
        <w:t xml:space="preserve">odies </w:t>
      </w:r>
    </w:p>
    <w:p w:rsidR="001E7C44" w:rsidRDefault="001E7C44" w:rsidP="001E7C44">
      <w:pPr>
        <w:pStyle w:val="BodyText"/>
      </w:pPr>
      <w:r>
        <w:t xml:space="preserve">Ministerial councils — consisting of standing councils, select councils and legislative and governance fora — are an integral part of the Council of Australian Governments (COAG) structure. They are comprised of representative ministers from the Commonwealth and all of the states and territories from the particular policy or reform area. The role of ministerial councils is to develop reform proposals to be considered by COAG and to oversee the implementation of reforms agreed by COAG. Often these reform proposals relate to implementation of broad goals set out in intergovernmental agreements, such as those made as a part of the </w:t>
      </w:r>
      <w:r w:rsidRPr="00EF34BA">
        <w:rPr>
          <w:i/>
        </w:rPr>
        <w:t>Seamless National Economy Partnership</w:t>
      </w:r>
      <w:r>
        <w:t xml:space="preserve"> (Victorian Department of Premier and Cabinet, sub. DR32). All ministerial councils are subject to the COAG RIA requirements when they make decisions of a regulatory nature. </w:t>
      </w:r>
    </w:p>
    <w:p w:rsidR="001E7C44" w:rsidRDefault="001E7C44" w:rsidP="00145058">
      <w:pPr>
        <w:pStyle w:val="BodyText"/>
      </w:pPr>
    </w:p>
    <w:p w:rsidR="008B6C3F" w:rsidRDefault="008B6C3F" w:rsidP="008B6C3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6C3F" w:rsidTr="0091167B">
        <w:tc>
          <w:tcPr>
            <w:tcW w:w="8771" w:type="dxa"/>
            <w:tcBorders>
              <w:top w:val="single" w:sz="6" w:space="0" w:color="auto"/>
              <w:bottom w:val="nil"/>
            </w:tcBorders>
          </w:tcPr>
          <w:p w:rsidR="008B6C3F" w:rsidRDefault="008B6C3F" w:rsidP="0091167B">
            <w:pPr>
              <w:pStyle w:val="BoxTitle"/>
            </w:pPr>
            <w:r>
              <w:rPr>
                <w:b w:val="0"/>
              </w:rPr>
              <w:t>Box 3.</w:t>
            </w:r>
            <w:r w:rsidR="00702C9A">
              <w:rPr>
                <w:b w:val="0"/>
                <w:noProof/>
              </w:rPr>
              <w:t>1</w:t>
            </w:r>
            <w:r>
              <w:tab/>
              <w:t>Regulatory coordinators</w:t>
            </w:r>
          </w:p>
        </w:tc>
      </w:tr>
      <w:tr w:rsidR="008B6C3F" w:rsidTr="0091167B">
        <w:trPr>
          <w:cantSplit/>
        </w:trPr>
        <w:tc>
          <w:tcPr>
            <w:tcW w:w="8771" w:type="dxa"/>
            <w:tcBorders>
              <w:top w:val="nil"/>
              <w:left w:val="single" w:sz="6" w:space="0" w:color="auto"/>
              <w:bottom w:val="nil"/>
              <w:right w:val="single" w:sz="6" w:space="0" w:color="auto"/>
            </w:tcBorders>
          </w:tcPr>
          <w:p w:rsidR="008B6C3F" w:rsidRDefault="008B6C3F" w:rsidP="001E7C44">
            <w:pPr>
              <w:pStyle w:val="BoxHeading1"/>
              <w:spacing w:before="240"/>
            </w:pPr>
            <w:r>
              <w:t>Commonwealth/COAG</w:t>
            </w:r>
          </w:p>
          <w:p w:rsidR="008B6C3F" w:rsidRPr="00836AC0" w:rsidRDefault="008B6C3F" w:rsidP="0091167B">
            <w:pPr>
              <w:pStyle w:val="Box"/>
              <w:rPr>
                <w:sz w:val="20"/>
              </w:rPr>
            </w:pPr>
            <w:r w:rsidRPr="00836AC0">
              <w:rPr>
                <w:sz w:val="20"/>
              </w:rPr>
              <w:t>The Best Practice Regulation Coordinators were established in Australian Government agencies in 2007 and in agencies subject to COAG RIA requirements in 2009-10 (Office of Best Practice Regulation (OBPR) 2010). Their role varies across agencies, with many acting as a first point of contact for policy officers undertaking RIA. The Commission understands that the role of these coordinators has now been supplemented by OBPR outpost officers (section 3.2).</w:t>
            </w:r>
          </w:p>
          <w:p w:rsidR="008B6C3F" w:rsidRDefault="008B6C3F" w:rsidP="001E7C44">
            <w:pPr>
              <w:pStyle w:val="BoxHeading1"/>
              <w:tabs>
                <w:tab w:val="center" w:pos="4243"/>
              </w:tabs>
              <w:spacing w:before="120"/>
            </w:pPr>
            <w:r>
              <w:t xml:space="preserve">Victoria </w:t>
            </w:r>
          </w:p>
          <w:p w:rsidR="008B6C3F" w:rsidRPr="00836AC0" w:rsidRDefault="008B6C3F" w:rsidP="0091167B">
            <w:pPr>
              <w:pStyle w:val="Box"/>
              <w:rPr>
                <w:sz w:val="20"/>
              </w:rPr>
            </w:pPr>
            <w:r w:rsidRPr="00836AC0">
              <w:rPr>
                <w:sz w:val="20"/>
              </w:rPr>
              <w:t>In its recent review of the Victorian regulatory system, the Victorian Competition and Efficiency Commission (VCEC) proposed regulator networks as an avenue to improve understanding of the available tools and share lessons from experience (VCEC 2011b). This recommendation was supported by the Victorian Government (Victorian Government 2012).</w:t>
            </w:r>
          </w:p>
          <w:p w:rsidR="008B6C3F" w:rsidRDefault="008B6C3F" w:rsidP="001E7C44">
            <w:pPr>
              <w:pStyle w:val="BoxHeading1"/>
              <w:tabs>
                <w:tab w:val="center" w:pos="4243"/>
              </w:tabs>
              <w:spacing w:before="120"/>
            </w:pPr>
            <w:r>
              <w:t xml:space="preserve">Queensland </w:t>
            </w:r>
          </w:p>
          <w:p w:rsidR="008B6C3F" w:rsidRPr="00836AC0" w:rsidRDefault="008B6C3F" w:rsidP="0091167B">
            <w:pPr>
              <w:pStyle w:val="Box"/>
              <w:rPr>
                <w:sz w:val="20"/>
              </w:rPr>
            </w:pPr>
            <w:r w:rsidRPr="00836AC0">
              <w:rPr>
                <w:sz w:val="20"/>
              </w:rPr>
              <w:t>In 2010, the Queensland Government established and funded ‘Regulatory Reform Champions’ for 18 months to assist in establishing the RIA system within their agencies. These were instrumental in setting up the RIA process and providing advice, assistance and guidance on RIA and the application of best practice principles (Queensland Treasury</w:t>
            </w:r>
            <w:r>
              <w:rPr>
                <w:sz w:val="20"/>
              </w:rPr>
              <w:t>,</w:t>
            </w:r>
            <w:r w:rsidRPr="00836AC0">
              <w:rPr>
                <w:sz w:val="20"/>
              </w:rPr>
              <w:t xml:space="preserve"> pers. comm., August 2012).</w:t>
            </w:r>
          </w:p>
          <w:p w:rsidR="008B6C3F" w:rsidRDefault="008B6C3F" w:rsidP="001E7C44">
            <w:pPr>
              <w:pStyle w:val="BoxHeading1"/>
              <w:tabs>
                <w:tab w:val="center" w:pos="4243"/>
              </w:tabs>
              <w:spacing w:before="120"/>
            </w:pPr>
            <w:r>
              <w:t>Western Australia</w:t>
            </w:r>
          </w:p>
          <w:p w:rsidR="008B6C3F" w:rsidRPr="00836AC0" w:rsidRDefault="008B6C3F" w:rsidP="0091167B">
            <w:pPr>
              <w:pStyle w:val="Box"/>
              <w:rPr>
                <w:sz w:val="20"/>
              </w:rPr>
            </w:pPr>
            <w:r w:rsidRPr="00836AC0">
              <w:rPr>
                <w:sz w:val="20"/>
              </w:rPr>
              <w:t>The RIA working group was established in 2010, comprising representatives from various agencies. This enabled agencies to provide feedback, to work with the oversight body on RIA implementation and to make recommendations on changes to RIA (Western Australian Government, sub. 24).</w:t>
            </w:r>
          </w:p>
        </w:tc>
      </w:tr>
      <w:tr w:rsidR="008B6C3F" w:rsidTr="0091167B">
        <w:trPr>
          <w:cantSplit/>
        </w:trPr>
        <w:tc>
          <w:tcPr>
            <w:tcW w:w="8771" w:type="dxa"/>
            <w:tcBorders>
              <w:top w:val="nil"/>
              <w:left w:val="single" w:sz="6" w:space="0" w:color="auto"/>
              <w:bottom w:val="single" w:sz="6" w:space="0" w:color="auto"/>
              <w:right w:val="single" w:sz="6" w:space="0" w:color="auto"/>
            </w:tcBorders>
          </w:tcPr>
          <w:p w:rsidR="008B6C3F" w:rsidRDefault="008B6C3F" w:rsidP="0091167B">
            <w:pPr>
              <w:pStyle w:val="Box"/>
              <w:spacing w:before="0" w:line="120" w:lineRule="exact"/>
            </w:pPr>
          </w:p>
        </w:tc>
      </w:tr>
      <w:tr w:rsidR="008B6C3F" w:rsidTr="0091167B">
        <w:trPr>
          <w:trHeight w:val="101"/>
        </w:trPr>
        <w:tc>
          <w:tcPr>
            <w:tcW w:w="8771" w:type="dxa"/>
            <w:tcBorders>
              <w:top w:val="nil"/>
              <w:left w:val="nil"/>
              <w:bottom w:val="nil"/>
              <w:right w:val="nil"/>
            </w:tcBorders>
          </w:tcPr>
          <w:p w:rsidR="008B6C3F" w:rsidRDefault="008B6C3F" w:rsidP="001E7C44">
            <w:pPr>
              <w:pStyle w:val="Box"/>
              <w:keepNext w:val="0"/>
              <w:spacing w:before="60" w:after="60" w:line="40" w:lineRule="exact"/>
              <w:rPr>
                <w:b/>
                <w:color w:val="FF00FF"/>
                <w:sz w:val="14"/>
              </w:rPr>
            </w:pPr>
          </w:p>
        </w:tc>
      </w:tr>
    </w:tbl>
    <w:p w:rsidR="0017579E" w:rsidRPr="00BB0AC3" w:rsidRDefault="0017579E" w:rsidP="00145058">
      <w:pPr>
        <w:pStyle w:val="BodyText"/>
      </w:pPr>
      <w:r>
        <w:t>During consultation</w:t>
      </w:r>
      <w:r w:rsidR="00C53875">
        <w:t>s</w:t>
      </w:r>
      <w:r>
        <w:t xml:space="preserve">, the Commission found that responsibility for implementing COAG RIA requirements varied between ministerial councils and </w:t>
      </w:r>
      <w:r w:rsidR="00E15B69">
        <w:t xml:space="preserve">across </w:t>
      </w:r>
      <w:r>
        <w:t xml:space="preserve">different proposals. In some cases, the regulatory proposal was presented by one jurisdiction and the agency supporting the proponent minister was responsible for </w:t>
      </w:r>
      <w:r w:rsidR="001B6F5F">
        <w:t>preparing the RIS</w:t>
      </w:r>
      <w:r>
        <w:t xml:space="preserve">. In other cases, the agency which was supporting the minister chairing the ministerial council had responsibility for </w:t>
      </w:r>
      <w:r w:rsidR="001B6F5F">
        <w:t>preparing the RIS</w:t>
      </w:r>
      <w:r>
        <w:t>.</w:t>
      </w:r>
    </w:p>
    <w:p w:rsidR="00EE2535" w:rsidRDefault="00F7146D" w:rsidP="00F63CEE">
      <w:pPr>
        <w:pStyle w:val="BodyText"/>
      </w:pPr>
      <w:r>
        <w:t>NSSBs</w:t>
      </w:r>
      <w:r w:rsidR="006C45A0">
        <w:t xml:space="preserve"> </w:t>
      </w:r>
      <w:r w:rsidR="00BE2B92">
        <w:t xml:space="preserve">can </w:t>
      </w:r>
      <w:r w:rsidR="009F4D5C">
        <w:t xml:space="preserve">be </w:t>
      </w:r>
      <w:r w:rsidR="00BE2B92">
        <w:t xml:space="preserve">either Commonwealth </w:t>
      </w:r>
      <w:r w:rsidR="00326659">
        <w:t xml:space="preserve">bodies subject to Australian government RIA requirements </w:t>
      </w:r>
      <w:r w:rsidR="00BE2B92">
        <w:t>or intergovernmental bodies</w:t>
      </w:r>
      <w:r w:rsidR="00326659">
        <w:t xml:space="preserve"> subject to COAG RIA requirements</w:t>
      </w:r>
      <w:r w:rsidR="00003FB3">
        <w:t>.</w:t>
      </w:r>
      <w:r w:rsidR="00BE2B92">
        <w:t xml:space="preserve"> </w:t>
      </w:r>
      <w:r w:rsidR="00273EB8">
        <w:t>Commonly, NSSB</w:t>
      </w:r>
      <w:r w:rsidR="008D6959">
        <w:t>s reach broad level agreement on standards which are then to be given force through regulation</w:t>
      </w:r>
      <w:r w:rsidR="00CC2D54">
        <w:t>. I</w:t>
      </w:r>
      <w:r w:rsidR="008D6959">
        <w:t xml:space="preserve">t is this resulting regulation which triggers the need for </w:t>
      </w:r>
      <w:r w:rsidR="00457E18">
        <w:t xml:space="preserve">early </w:t>
      </w:r>
      <w:r w:rsidR="008D6959">
        <w:t>consideration of RIA requirements.</w:t>
      </w:r>
    </w:p>
    <w:p w:rsidR="001E7C44" w:rsidRDefault="00AF4E2B" w:rsidP="00F63CEE">
      <w:pPr>
        <w:pStyle w:val="BodyText"/>
      </w:pPr>
      <w:r w:rsidRPr="00AF4E2B">
        <w:t>Similar to government agencies, individual ministerial councils and NSSBs have limited engagement with the RIA process, with many producing no RISs in a given year. The ministerial councils and some examples of NSSBs are listed in table 3.1.</w:t>
      </w:r>
      <w:r w:rsidR="001C5CB0">
        <w:t xml:space="preserve"> </w:t>
      </w:r>
    </w:p>
    <w:p w:rsidR="0055637E" w:rsidRDefault="0055637E" w:rsidP="0055637E">
      <w:pPr>
        <w:pStyle w:val="TableTitle"/>
      </w:pPr>
      <w:r>
        <w:rPr>
          <w:b w:val="0"/>
        </w:rPr>
        <w:lastRenderedPageBreak/>
        <w:t xml:space="preserve">Table </w:t>
      </w:r>
      <w:bookmarkStart w:id="4" w:name="OLE_LINK2"/>
      <w:r w:rsidR="00287B41">
        <w:rPr>
          <w:b w:val="0"/>
        </w:rPr>
        <w:t>3.</w:t>
      </w:r>
      <w:r w:rsidR="00702C9A">
        <w:rPr>
          <w:b w:val="0"/>
          <w:noProof/>
        </w:rPr>
        <w:t>1</w:t>
      </w:r>
      <w:bookmarkEnd w:id="4"/>
      <w:r>
        <w:tab/>
        <w:t>Ministerial councils and national standard setting bodies</w:t>
      </w:r>
    </w:p>
    <w:tbl>
      <w:tblPr>
        <w:tblW w:w="5000" w:type="pct"/>
        <w:tblCellMar>
          <w:left w:w="0" w:type="dxa"/>
          <w:right w:w="0" w:type="dxa"/>
        </w:tblCellMar>
        <w:tblLook w:val="0000" w:firstRow="0" w:lastRow="0" w:firstColumn="0" w:lastColumn="0" w:noHBand="0" w:noVBand="0"/>
      </w:tblPr>
      <w:tblGrid>
        <w:gridCol w:w="4140"/>
        <w:gridCol w:w="993"/>
        <w:gridCol w:w="1557"/>
        <w:gridCol w:w="2099"/>
      </w:tblGrid>
      <w:tr w:rsidR="0055637E" w:rsidRPr="000C205F" w:rsidTr="006E7AF4">
        <w:tc>
          <w:tcPr>
            <w:tcW w:w="5000" w:type="pct"/>
            <w:gridSpan w:val="4"/>
            <w:tcBorders>
              <w:top w:val="single" w:sz="6" w:space="0" w:color="auto"/>
              <w:bottom w:val="single" w:sz="6" w:space="0" w:color="auto"/>
            </w:tcBorders>
            <w:shd w:val="clear" w:color="auto" w:fill="auto"/>
          </w:tcPr>
          <w:p w:rsidR="0055637E" w:rsidRPr="000C205F" w:rsidRDefault="0055637E" w:rsidP="00C7523A">
            <w:pPr>
              <w:pStyle w:val="TableColumnHeading"/>
              <w:ind w:right="28"/>
              <w:jc w:val="left"/>
              <w:rPr>
                <w:b/>
              </w:rPr>
            </w:pPr>
            <w:r w:rsidRPr="000C205F">
              <w:rPr>
                <w:b/>
              </w:rPr>
              <w:t xml:space="preserve">Ministerial </w:t>
            </w:r>
            <w:r w:rsidR="00751BF9">
              <w:rPr>
                <w:b/>
              </w:rPr>
              <w:t>c</w:t>
            </w:r>
            <w:r w:rsidRPr="000C205F">
              <w:rPr>
                <w:b/>
              </w:rPr>
              <w:t>ouncils</w:t>
            </w:r>
            <w:r w:rsidR="00322F0D" w:rsidRPr="00E2544C">
              <w:rPr>
                <w:rStyle w:val="NoteLabel"/>
                <w:i w:val="0"/>
              </w:rPr>
              <w:t>a</w:t>
            </w:r>
          </w:p>
        </w:tc>
      </w:tr>
      <w:tr w:rsidR="005E3346" w:rsidTr="00AB6F48">
        <w:trPr>
          <w:trHeight w:val="307"/>
        </w:trPr>
        <w:tc>
          <w:tcPr>
            <w:tcW w:w="2355" w:type="pct"/>
            <w:tcBorders>
              <w:top w:val="single" w:sz="6" w:space="0" w:color="auto"/>
              <w:bottom w:val="single" w:sz="6" w:space="0" w:color="auto"/>
            </w:tcBorders>
            <w:shd w:val="clear" w:color="auto" w:fill="auto"/>
          </w:tcPr>
          <w:p w:rsidR="0055637E" w:rsidRDefault="0055637E" w:rsidP="0055637E">
            <w:pPr>
              <w:pStyle w:val="TableColumnHeading"/>
              <w:jc w:val="left"/>
            </w:pPr>
            <w:r>
              <w:t>Standing councils</w:t>
            </w:r>
          </w:p>
        </w:tc>
        <w:tc>
          <w:tcPr>
            <w:tcW w:w="1451" w:type="pct"/>
            <w:gridSpan w:val="2"/>
            <w:tcBorders>
              <w:top w:val="single" w:sz="6" w:space="0" w:color="auto"/>
              <w:bottom w:val="single" w:sz="6" w:space="0" w:color="auto"/>
            </w:tcBorders>
            <w:shd w:val="clear" w:color="auto" w:fill="auto"/>
          </w:tcPr>
          <w:p w:rsidR="0055637E" w:rsidRDefault="0055637E" w:rsidP="00703F92">
            <w:pPr>
              <w:pStyle w:val="TableColumnHeading"/>
              <w:ind w:left="1" w:firstLine="142"/>
              <w:jc w:val="left"/>
            </w:pPr>
            <w:r>
              <w:t>Select councils</w:t>
            </w:r>
          </w:p>
        </w:tc>
        <w:tc>
          <w:tcPr>
            <w:tcW w:w="1194" w:type="pct"/>
            <w:tcBorders>
              <w:top w:val="single" w:sz="6" w:space="0" w:color="auto"/>
              <w:bottom w:val="single" w:sz="6" w:space="0" w:color="auto"/>
            </w:tcBorders>
            <w:shd w:val="clear" w:color="auto" w:fill="auto"/>
          </w:tcPr>
          <w:p w:rsidR="0055637E" w:rsidRDefault="0055637E" w:rsidP="00703F92">
            <w:pPr>
              <w:pStyle w:val="TableColumnHeading"/>
              <w:ind w:right="28" w:hanging="6"/>
              <w:jc w:val="left"/>
            </w:pPr>
            <w:r>
              <w:t>Legislative and governance fora</w:t>
            </w:r>
          </w:p>
        </w:tc>
      </w:tr>
      <w:tr w:rsidR="005E3346" w:rsidRPr="000C205F" w:rsidTr="00AB6F48">
        <w:tc>
          <w:tcPr>
            <w:tcW w:w="2355" w:type="pct"/>
            <w:tcBorders>
              <w:bottom w:val="single" w:sz="4" w:space="0" w:color="auto"/>
            </w:tcBorders>
            <w:shd w:val="clear" w:color="auto" w:fill="auto"/>
          </w:tcPr>
          <w:p w:rsidR="0055637E" w:rsidRPr="005E3346" w:rsidRDefault="0055637E" w:rsidP="008B6C3F">
            <w:pPr>
              <w:pStyle w:val="TableBodyText"/>
              <w:spacing w:before="80"/>
              <w:ind w:left="142" w:hanging="136"/>
              <w:jc w:val="left"/>
              <w:rPr>
                <w:sz w:val="19"/>
                <w:szCs w:val="19"/>
              </w:rPr>
            </w:pPr>
            <w:r w:rsidRPr="005E3346">
              <w:rPr>
                <w:sz w:val="19"/>
                <w:szCs w:val="19"/>
              </w:rPr>
              <w:t>Community, Housing and Disability Services</w:t>
            </w:r>
          </w:p>
          <w:p w:rsidR="0055637E" w:rsidRPr="005E3346" w:rsidRDefault="0055637E" w:rsidP="00054463">
            <w:pPr>
              <w:pStyle w:val="TableBodyText"/>
              <w:ind w:left="142" w:hanging="136"/>
              <w:jc w:val="left"/>
              <w:rPr>
                <w:sz w:val="19"/>
                <w:szCs w:val="19"/>
              </w:rPr>
            </w:pPr>
            <w:r w:rsidRPr="005E3346">
              <w:rPr>
                <w:sz w:val="19"/>
                <w:szCs w:val="19"/>
              </w:rPr>
              <w:t>Energy and Resources</w:t>
            </w:r>
          </w:p>
          <w:p w:rsidR="0055637E" w:rsidRPr="005E3346" w:rsidRDefault="0055637E" w:rsidP="00054463">
            <w:pPr>
              <w:pStyle w:val="TableBodyText"/>
              <w:ind w:left="142" w:hanging="136"/>
              <w:jc w:val="left"/>
              <w:rPr>
                <w:sz w:val="19"/>
                <w:szCs w:val="19"/>
              </w:rPr>
            </w:pPr>
            <w:r w:rsidRPr="005E3346">
              <w:rPr>
                <w:sz w:val="19"/>
                <w:szCs w:val="19"/>
              </w:rPr>
              <w:t>Environment and Water</w:t>
            </w:r>
          </w:p>
          <w:p w:rsidR="0055637E" w:rsidRPr="005E3346" w:rsidRDefault="0055637E" w:rsidP="00054463">
            <w:pPr>
              <w:pStyle w:val="TableBodyText"/>
              <w:ind w:left="142" w:hanging="136"/>
              <w:jc w:val="left"/>
              <w:rPr>
                <w:sz w:val="19"/>
                <w:szCs w:val="19"/>
              </w:rPr>
            </w:pPr>
            <w:r w:rsidRPr="005E3346">
              <w:rPr>
                <w:sz w:val="19"/>
                <w:szCs w:val="19"/>
              </w:rPr>
              <w:t>Federal Financial Relations</w:t>
            </w:r>
          </w:p>
          <w:p w:rsidR="0055637E" w:rsidRPr="005E3346" w:rsidRDefault="0055637E" w:rsidP="00054463">
            <w:pPr>
              <w:pStyle w:val="TableBodyText"/>
              <w:ind w:left="142" w:hanging="136"/>
              <w:jc w:val="left"/>
              <w:rPr>
                <w:sz w:val="19"/>
                <w:szCs w:val="19"/>
              </w:rPr>
            </w:pPr>
            <w:r w:rsidRPr="005E3346">
              <w:rPr>
                <w:sz w:val="19"/>
                <w:szCs w:val="19"/>
              </w:rPr>
              <w:t>Health</w:t>
            </w:r>
          </w:p>
          <w:p w:rsidR="0055637E" w:rsidRPr="005E3346" w:rsidRDefault="0055637E" w:rsidP="00054463">
            <w:pPr>
              <w:pStyle w:val="TableBodyText"/>
              <w:ind w:left="142" w:hanging="136"/>
              <w:jc w:val="left"/>
              <w:rPr>
                <w:sz w:val="19"/>
                <w:szCs w:val="19"/>
              </w:rPr>
            </w:pPr>
            <w:r w:rsidRPr="005E3346">
              <w:rPr>
                <w:sz w:val="19"/>
                <w:szCs w:val="19"/>
              </w:rPr>
              <w:t>Law and Justice</w:t>
            </w:r>
          </w:p>
          <w:p w:rsidR="0055637E" w:rsidRPr="005E3346" w:rsidRDefault="0055637E" w:rsidP="00054463">
            <w:pPr>
              <w:pStyle w:val="TableBodyText"/>
              <w:ind w:left="142" w:hanging="136"/>
              <w:jc w:val="left"/>
              <w:rPr>
                <w:sz w:val="19"/>
                <w:szCs w:val="19"/>
              </w:rPr>
            </w:pPr>
            <w:r w:rsidRPr="005E3346">
              <w:rPr>
                <w:sz w:val="19"/>
                <w:szCs w:val="19"/>
              </w:rPr>
              <w:t>Police and Emergency Management</w:t>
            </w:r>
          </w:p>
          <w:p w:rsidR="0055637E" w:rsidRPr="005E3346" w:rsidRDefault="0055637E" w:rsidP="00054463">
            <w:pPr>
              <w:pStyle w:val="TableBodyText"/>
              <w:ind w:left="142" w:hanging="136"/>
              <w:jc w:val="left"/>
              <w:rPr>
                <w:sz w:val="19"/>
                <w:szCs w:val="19"/>
              </w:rPr>
            </w:pPr>
            <w:r w:rsidRPr="005E3346">
              <w:rPr>
                <w:sz w:val="19"/>
                <w:szCs w:val="19"/>
              </w:rPr>
              <w:t>Primary Industries</w:t>
            </w:r>
          </w:p>
          <w:p w:rsidR="0055637E" w:rsidRPr="005E3346" w:rsidRDefault="0055637E" w:rsidP="00054463">
            <w:pPr>
              <w:pStyle w:val="TableBodyText"/>
              <w:ind w:left="142" w:hanging="136"/>
              <w:jc w:val="left"/>
              <w:rPr>
                <w:sz w:val="19"/>
                <w:szCs w:val="19"/>
              </w:rPr>
            </w:pPr>
            <w:r w:rsidRPr="005E3346">
              <w:rPr>
                <w:sz w:val="19"/>
                <w:szCs w:val="19"/>
              </w:rPr>
              <w:t>Regional Australia</w:t>
            </w:r>
          </w:p>
          <w:p w:rsidR="0055637E" w:rsidRPr="005E3346" w:rsidRDefault="0055637E" w:rsidP="00054463">
            <w:pPr>
              <w:pStyle w:val="TableBodyText"/>
              <w:ind w:left="142" w:hanging="136"/>
              <w:jc w:val="left"/>
              <w:rPr>
                <w:sz w:val="19"/>
                <w:szCs w:val="19"/>
              </w:rPr>
            </w:pPr>
            <w:r w:rsidRPr="005E3346">
              <w:rPr>
                <w:sz w:val="19"/>
                <w:szCs w:val="19"/>
              </w:rPr>
              <w:t>Schools</w:t>
            </w:r>
            <w:r w:rsidR="00DD0F5A" w:rsidRPr="005E3346">
              <w:rPr>
                <w:sz w:val="19"/>
                <w:szCs w:val="19"/>
              </w:rPr>
              <w:t>,</w:t>
            </w:r>
            <w:r w:rsidRPr="005E3346">
              <w:rPr>
                <w:sz w:val="19"/>
                <w:szCs w:val="19"/>
              </w:rPr>
              <w:t xml:space="preserve"> Education and Early Childhood</w:t>
            </w:r>
          </w:p>
          <w:p w:rsidR="0055637E" w:rsidRPr="005E3346" w:rsidRDefault="0055637E" w:rsidP="00054463">
            <w:pPr>
              <w:pStyle w:val="TableBodyText"/>
              <w:ind w:left="142" w:hanging="136"/>
              <w:jc w:val="left"/>
              <w:rPr>
                <w:sz w:val="19"/>
                <w:szCs w:val="19"/>
              </w:rPr>
            </w:pPr>
            <w:r w:rsidRPr="005E3346">
              <w:rPr>
                <w:sz w:val="19"/>
                <w:szCs w:val="19"/>
              </w:rPr>
              <w:t>Tertiary Education, Skills and Employment</w:t>
            </w:r>
          </w:p>
          <w:p w:rsidR="00623C3A" w:rsidRPr="005E3346" w:rsidRDefault="0055637E" w:rsidP="00054463">
            <w:pPr>
              <w:pStyle w:val="TableBodyText"/>
              <w:ind w:left="142" w:hanging="136"/>
              <w:jc w:val="left"/>
              <w:rPr>
                <w:sz w:val="19"/>
                <w:szCs w:val="19"/>
              </w:rPr>
            </w:pPr>
            <w:r w:rsidRPr="005E3346">
              <w:rPr>
                <w:sz w:val="19"/>
                <w:szCs w:val="19"/>
              </w:rPr>
              <w:t>Transport and Infrastructure</w:t>
            </w:r>
          </w:p>
        </w:tc>
        <w:tc>
          <w:tcPr>
            <w:tcW w:w="1451" w:type="pct"/>
            <w:gridSpan w:val="2"/>
            <w:tcBorders>
              <w:bottom w:val="single" w:sz="4" w:space="0" w:color="auto"/>
            </w:tcBorders>
            <w:shd w:val="clear" w:color="auto" w:fill="auto"/>
          </w:tcPr>
          <w:p w:rsidR="0055637E" w:rsidRPr="005E3346" w:rsidRDefault="0055637E" w:rsidP="008B6C3F">
            <w:pPr>
              <w:pStyle w:val="TableBodyText"/>
              <w:spacing w:before="80"/>
              <w:ind w:left="142" w:hanging="29"/>
              <w:jc w:val="left"/>
              <w:rPr>
                <w:i/>
                <w:sz w:val="19"/>
                <w:szCs w:val="19"/>
              </w:rPr>
            </w:pPr>
            <w:r w:rsidRPr="005E3346">
              <w:rPr>
                <w:sz w:val="19"/>
                <w:szCs w:val="19"/>
              </w:rPr>
              <w:t>Climate Change</w:t>
            </w:r>
          </w:p>
          <w:p w:rsidR="0055637E" w:rsidRPr="005E3346" w:rsidRDefault="0055637E" w:rsidP="00703F92">
            <w:pPr>
              <w:pStyle w:val="TableBodyText"/>
              <w:ind w:left="1" w:firstLine="142"/>
              <w:jc w:val="left"/>
              <w:rPr>
                <w:sz w:val="19"/>
                <w:szCs w:val="19"/>
              </w:rPr>
            </w:pPr>
            <w:r w:rsidRPr="005E3346">
              <w:rPr>
                <w:sz w:val="19"/>
                <w:szCs w:val="19"/>
              </w:rPr>
              <w:t>Disability Reform</w:t>
            </w:r>
          </w:p>
          <w:p w:rsidR="0055637E" w:rsidRPr="005E3346" w:rsidRDefault="0055637E" w:rsidP="00703F92">
            <w:pPr>
              <w:pStyle w:val="TableBodyText"/>
              <w:ind w:left="1" w:firstLine="142"/>
              <w:jc w:val="left"/>
              <w:rPr>
                <w:sz w:val="19"/>
                <w:szCs w:val="19"/>
              </w:rPr>
            </w:pPr>
            <w:r w:rsidRPr="005E3346">
              <w:rPr>
                <w:sz w:val="19"/>
                <w:szCs w:val="19"/>
              </w:rPr>
              <w:t>Gambling Reform</w:t>
            </w:r>
          </w:p>
          <w:p w:rsidR="0055637E" w:rsidRPr="005E3346" w:rsidRDefault="0055637E" w:rsidP="00703F92">
            <w:pPr>
              <w:pStyle w:val="TableBodyText"/>
              <w:ind w:left="1" w:firstLine="142"/>
              <w:jc w:val="left"/>
              <w:rPr>
                <w:sz w:val="19"/>
                <w:szCs w:val="19"/>
              </w:rPr>
            </w:pPr>
            <w:r w:rsidRPr="005E3346">
              <w:rPr>
                <w:sz w:val="19"/>
                <w:szCs w:val="19"/>
              </w:rPr>
              <w:t xml:space="preserve">Homelessness </w:t>
            </w:r>
          </w:p>
          <w:p w:rsidR="0055637E" w:rsidRPr="005E3346" w:rsidRDefault="0055637E" w:rsidP="007D4657">
            <w:pPr>
              <w:pStyle w:val="TableBodyText"/>
              <w:ind w:left="285" w:hanging="142"/>
              <w:jc w:val="left"/>
              <w:rPr>
                <w:sz w:val="19"/>
                <w:szCs w:val="19"/>
              </w:rPr>
            </w:pPr>
            <w:r w:rsidRPr="005E3346">
              <w:rPr>
                <w:sz w:val="19"/>
                <w:szCs w:val="19"/>
              </w:rPr>
              <w:t>Immigration and Settlement</w:t>
            </w:r>
          </w:p>
          <w:p w:rsidR="0055637E" w:rsidRPr="005E3346" w:rsidRDefault="0055637E" w:rsidP="00703F92">
            <w:pPr>
              <w:pStyle w:val="TableBodyText"/>
              <w:ind w:left="1" w:firstLine="142"/>
              <w:jc w:val="left"/>
              <w:rPr>
                <w:sz w:val="19"/>
                <w:szCs w:val="19"/>
              </w:rPr>
            </w:pPr>
            <w:r w:rsidRPr="005E3346">
              <w:rPr>
                <w:sz w:val="19"/>
                <w:szCs w:val="19"/>
              </w:rPr>
              <w:t>Women’s Issues</w:t>
            </w:r>
          </w:p>
          <w:p w:rsidR="0055637E" w:rsidRPr="005E3346" w:rsidRDefault="0055637E" w:rsidP="00703F92">
            <w:pPr>
              <w:pStyle w:val="TableBodyText"/>
              <w:ind w:left="1" w:firstLine="142"/>
              <w:jc w:val="left"/>
              <w:rPr>
                <w:sz w:val="19"/>
                <w:szCs w:val="19"/>
              </w:rPr>
            </w:pPr>
            <w:r w:rsidRPr="005E3346">
              <w:rPr>
                <w:sz w:val="19"/>
                <w:szCs w:val="19"/>
              </w:rPr>
              <w:t>Workplace Relations</w:t>
            </w:r>
          </w:p>
        </w:tc>
        <w:tc>
          <w:tcPr>
            <w:tcW w:w="1194" w:type="pct"/>
            <w:tcBorders>
              <w:bottom w:val="single" w:sz="4" w:space="0" w:color="auto"/>
            </w:tcBorders>
            <w:shd w:val="clear" w:color="auto" w:fill="auto"/>
          </w:tcPr>
          <w:p w:rsidR="0055637E" w:rsidRPr="005E3346" w:rsidRDefault="0055637E" w:rsidP="008B6C3F">
            <w:pPr>
              <w:pStyle w:val="TableBodyText"/>
              <w:spacing w:before="80"/>
              <w:ind w:left="142" w:hanging="136"/>
              <w:jc w:val="left"/>
              <w:rPr>
                <w:i/>
                <w:sz w:val="19"/>
                <w:szCs w:val="19"/>
              </w:rPr>
            </w:pPr>
            <w:r w:rsidRPr="005E3346">
              <w:rPr>
                <w:sz w:val="19"/>
                <w:szCs w:val="19"/>
              </w:rPr>
              <w:t xml:space="preserve">Consumer Affairs </w:t>
            </w:r>
          </w:p>
          <w:p w:rsidR="0055637E" w:rsidRPr="005E3346" w:rsidRDefault="0055637E" w:rsidP="00703F92">
            <w:pPr>
              <w:pStyle w:val="TableBodyText"/>
              <w:ind w:hanging="6"/>
              <w:jc w:val="left"/>
              <w:rPr>
                <w:sz w:val="19"/>
                <w:szCs w:val="19"/>
              </w:rPr>
            </w:pPr>
            <w:r w:rsidRPr="005E3346">
              <w:rPr>
                <w:sz w:val="19"/>
                <w:szCs w:val="19"/>
              </w:rPr>
              <w:t>Corporations</w:t>
            </w:r>
          </w:p>
          <w:p w:rsidR="0055637E" w:rsidRPr="005E3346" w:rsidRDefault="0055637E" w:rsidP="00703F92">
            <w:pPr>
              <w:pStyle w:val="TableBodyText"/>
              <w:ind w:hanging="6"/>
              <w:jc w:val="left"/>
              <w:rPr>
                <w:sz w:val="19"/>
                <w:szCs w:val="19"/>
              </w:rPr>
            </w:pPr>
            <w:r w:rsidRPr="005E3346">
              <w:rPr>
                <w:sz w:val="19"/>
                <w:szCs w:val="19"/>
              </w:rPr>
              <w:t>Food Regulation</w:t>
            </w:r>
          </w:p>
          <w:p w:rsidR="0055637E" w:rsidRPr="005E3346" w:rsidRDefault="0055637E" w:rsidP="00703F92">
            <w:pPr>
              <w:pStyle w:val="TableBodyText"/>
              <w:ind w:hanging="6"/>
              <w:jc w:val="left"/>
              <w:rPr>
                <w:sz w:val="19"/>
                <w:szCs w:val="19"/>
              </w:rPr>
            </w:pPr>
            <w:r w:rsidRPr="005E3346">
              <w:rPr>
                <w:sz w:val="19"/>
                <w:szCs w:val="19"/>
              </w:rPr>
              <w:t>Gene Technology</w:t>
            </w:r>
          </w:p>
          <w:p w:rsidR="0055637E" w:rsidRPr="005E3346" w:rsidRDefault="0055637E" w:rsidP="00703F92">
            <w:pPr>
              <w:pStyle w:val="TableBodyText"/>
              <w:ind w:hanging="6"/>
              <w:jc w:val="left"/>
              <w:rPr>
                <w:sz w:val="19"/>
                <w:szCs w:val="19"/>
              </w:rPr>
            </w:pPr>
            <w:r w:rsidRPr="005E3346">
              <w:rPr>
                <w:sz w:val="19"/>
                <w:szCs w:val="19"/>
              </w:rPr>
              <w:t>Murray-Darling Basin</w:t>
            </w:r>
          </w:p>
          <w:p w:rsidR="0055637E" w:rsidRPr="005E3346" w:rsidRDefault="0055637E" w:rsidP="00703F92">
            <w:pPr>
              <w:pStyle w:val="TableBodyText"/>
              <w:ind w:hanging="6"/>
              <w:jc w:val="left"/>
              <w:rPr>
                <w:sz w:val="19"/>
                <w:szCs w:val="19"/>
              </w:rPr>
            </w:pPr>
          </w:p>
        </w:tc>
      </w:tr>
      <w:tr w:rsidR="00623C3A" w:rsidRPr="000C205F" w:rsidTr="00623C3A">
        <w:tc>
          <w:tcPr>
            <w:tcW w:w="5000" w:type="pct"/>
            <w:gridSpan w:val="4"/>
            <w:tcBorders>
              <w:top w:val="single" w:sz="4" w:space="0" w:color="auto"/>
              <w:bottom w:val="single" w:sz="4" w:space="0" w:color="auto"/>
            </w:tcBorders>
            <w:shd w:val="clear" w:color="auto" w:fill="auto"/>
          </w:tcPr>
          <w:p w:rsidR="00623C3A" w:rsidRPr="000C205F" w:rsidRDefault="00623C3A" w:rsidP="00C7523A">
            <w:pPr>
              <w:pStyle w:val="TableUnitsRow"/>
              <w:ind w:right="28"/>
              <w:jc w:val="left"/>
              <w:rPr>
                <w:sz w:val="18"/>
                <w:szCs w:val="18"/>
              </w:rPr>
            </w:pPr>
            <w:r w:rsidRPr="00623C3A">
              <w:rPr>
                <w:b/>
                <w:i/>
              </w:rPr>
              <w:t>National standard setting bodies</w:t>
            </w:r>
            <w:r w:rsidR="001F33C8">
              <w:rPr>
                <w:rStyle w:val="NoteLabel"/>
              </w:rPr>
              <w:t>b</w:t>
            </w:r>
            <w:r w:rsidR="001F33C8" w:rsidRPr="00C7523A" w:rsidDel="001F33C8">
              <w:t xml:space="preserve"> </w:t>
            </w:r>
          </w:p>
        </w:tc>
      </w:tr>
      <w:tr w:rsidR="00623C3A" w:rsidRPr="000C205F" w:rsidTr="006F3867">
        <w:tc>
          <w:tcPr>
            <w:tcW w:w="2920" w:type="pct"/>
            <w:gridSpan w:val="2"/>
            <w:tcBorders>
              <w:top w:val="single" w:sz="4" w:space="0" w:color="auto"/>
              <w:bottom w:val="single" w:sz="4" w:space="0" w:color="auto"/>
            </w:tcBorders>
            <w:shd w:val="clear" w:color="auto" w:fill="auto"/>
          </w:tcPr>
          <w:p w:rsidR="00623C3A" w:rsidRDefault="00623C3A" w:rsidP="00623C3A">
            <w:pPr>
              <w:pStyle w:val="TableColumnHeading"/>
              <w:ind w:right="28"/>
              <w:jc w:val="left"/>
            </w:pPr>
            <w:r>
              <w:t>Commonwealth</w:t>
            </w:r>
          </w:p>
        </w:tc>
        <w:tc>
          <w:tcPr>
            <w:tcW w:w="2080" w:type="pct"/>
            <w:gridSpan w:val="2"/>
            <w:tcBorders>
              <w:top w:val="single" w:sz="4" w:space="0" w:color="auto"/>
              <w:bottom w:val="single" w:sz="4" w:space="0" w:color="auto"/>
            </w:tcBorders>
            <w:shd w:val="clear" w:color="auto" w:fill="auto"/>
          </w:tcPr>
          <w:p w:rsidR="00623C3A" w:rsidRDefault="00623C3A" w:rsidP="008B6C3F">
            <w:pPr>
              <w:pStyle w:val="TableColumnHeading"/>
              <w:ind w:left="143" w:right="28" w:hanging="31"/>
              <w:jc w:val="left"/>
            </w:pPr>
            <w:r>
              <w:t>Intergovernmental (COAG)</w:t>
            </w:r>
          </w:p>
        </w:tc>
      </w:tr>
      <w:tr w:rsidR="00623C3A" w:rsidRPr="000C205F" w:rsidTr="006F3867">
        <w:tc>
          <w:tcPr>
            <w:tcW w:w="2920" w:type="pct"/>
            <w:gridSpan w:val="2"/>
            <w:tcBorders>
              <w:top w:val="single" w:sz="4" w:space="0" w:color="auto"/>
              <w:bottom w:val="single" w:sz="6" w:space="0" w:color="auto"/>
            </w:tcBorders>
            <w:shd w:val="clear" w:color="auto" w:fill="auto"/>
          </w:tcPr>
          <w:p w:rsidR="005E3346" w:rsidRPr="00227A33" w:rsidRDefault="005E3346" w:rsidP="008B6C3F">
            <w:pPr>
              <w:pStyle w:val="TableBodyText"/>
              <w:spacing w:before="80"/>
              <w:ind w:left="142" w:hanging="136"/>
              <w:jc w:val="left"/>
              <w:rPr>
                <w:i/>
                <w:sz w:val="19"/>
                <w:szCs w:val="19"/>
              </w:rPr>
            </w:pPr>
            <w:r w:rsidRPr="00227A33">
              <w:rPr>
                <w:sz w:val="19"/>
                <w:szCs w:val="19"/>
              </w:rPr>
              <w:t>Auditing and Assurance Standards Board</w:t>
            </w:r>
          </w:p>
          <w:p w:rsidR="005E3346" w:rsidRPr="00227A33" w:rsidRDefault="005E3346" w:rsidP="005E3346">
            <w:pPr>
              <w:pStyle w:val="TableBodyText"/>
              <w:ind w:left="142" w:hanging="136"/>
              <w:jc w:val="left"/>
              <w:rPr>
                <w:sz w:val="19"/>
                <w:szCs w:val="19"/>
              </w:rPr>
            </w:pPr>
            <w:r w:rsidRPr="00227A33">
              <w:rPr>
                <w:sz w:val="19"/>
                <w:szCs w:val="19"/>
              </w:rPr>
              <w:t>Australian Accounting Standards Board</w:t>
            </w:r>
          </w:p>
          <w:p w:rsidR="005E3346" w:rsidRPr="00227A33" w:rsidRDefault="005E3346" w:rsidP="005E3346">
            <w:pPr>
              <w:pStyle w:val="TableBodyText"/>
              <w:ind w:left="142" w:hanging="136"/>
              <w:jc w:val="left"/>
              <w:rPr>
                <w:sz w:val="19"/>
                <w:szCs w:val="19"/>
              </w:rPr>
            </w:pPr>
            <w:r w:rsidRPr="00227A33">
              <w:rPr>
                <w:sz w:val="19"/>
                <w:szCs w:val="19"/>
              </w:rPr>
              <w:t>Australian Communication and Media Authority</w:t>
            </w:r>
          </w:p>
          <w:p w:rsidR="005E3346" w:rsidRDefault="005E3346" w:rsidP="005E3346">
            <w:pPr>
              <w:pStyle w:val="TableBodyText"/>
              <w:ind w:left="142" w:hanging="136"/>
              <w:jc w:val="left"/>
              <w:rPr>
                <w:sz w:val="19"/>
                <w:szCs w:val="19"/>
              </w:rPr>
            </w:pPr>
            <w:r w:rsidRPr="00227A33">
              <w:rPr>
                <w:sz w:val="19"/>
                <w:szCs w:val="19"/>
              </w:rPr>
              <w:t>Australian Competition and Consumer Commission</w:t>
            </w:r>
          </w:p>
          <w:p w:rsidR="005E3346" w:rsidRPr="00227A33" w:rsidRDefault="005E3346" w:rsidP="005E3346">
            <w:pPr>
              <w:pStyle w:val="TableBodyText"/>
              <w:ind w:left="142" w:hanging="136"/>
              <w:jc w:val="left"/>
              <w:rPr>
                <w:sz w:val="19"/>
                <w:szCs w:val="19"/>
              </w:rPr>
            </w:pPr>
            <w:r>
              <w:rPr>
                <w:sz w:val="19"/>
                <w:szCs w:val="19"/>
              </w:rPr>
              <w:t>Australian Fisheries Management Authority</w:t>
            </w:r>
          </w:p>
          <w:p w:rsidR="005E3346" w:rsidRPr="00227A33" w:rsidRDefault="005E3346" w:rsidP="005E3346">
            <w:pPr>
              <w:pStyle w:val="TableBodyText"/>
              <w:ind w:left="142" w:hanging="136"/>
              <w:jc w:val="left"/>
              <w:rPr>
                <w:sz w:val="19"/>
                <w:szCs w:val="19"/>
              </w:rPr>
            </w:pPr>
            <w:r w:rsidRPr="00227A33">
              <w:rPr>
                <w:sz w:val="19"/>
                <w:szCs w:val="19"/>
              </w:rPr>
              <w:t>Australian Maritime Safety Authority</w:t>
            </w:r>
          </w:p>
          <w:p w:rsidR="005E3346" w:rsidRPr="00227A33" w:rsidRDefault="005E3346" w:rsidP="005E3346">
            <w:pPr>
              <w:pStyle w:val="TableBodyText"/>
              <w:ind w:left="142" w:hanging="136"/>
              <w:jc w:val="left"/>
              <w:rPr>
                <w:sz w:val="19"/>
                <w:szCs w:val="19"/>
              </w:rPr>
            </w:pPr>
            <w:r w:rsidRPr="00227A33">
              <w:rPr>
                <w:sz w:val="19"/>
                <w:szCs w:val="19"/>
              </w:rPr>
              <w:t>Australian Pesticides and Veterinary Medicines Authority</w:t>
            </w:r>
          </w:p>
          <w:p w:rsidR="005E3346" w:rsidRPr="00227A33" w:rsidRDefault="005E3346" w:rsidP="005E3346">
            <w:pPr>
              <w:pStyle w:val="TableBodyText"/>
              <w:ind w:left="142" w:hanging="136"/>
              <w:jc w:val="left"/>
              <w:rPr>
                <w:sz w:val="19"/>
                <w:szCs w:val="19"/>
              </w:rPr>
            </w:pPr>
            <w:r w:rsidRPr="00227A33">
              <w:rPr>
                <w:sz w:val="19"/>
                <w:szCs w:val="19"/>
              </w:rPr>
              <w:t>Australian Prudential Regulation Authority</w:t>
            </w:r>
          </w:p>
          <w:p w:rsidR="005E3346" w:rsidRPr="00227A33" w:rsidRDefault="005E3346" w:rsidP="005E3346">
            <w:pPr>
              <w:pStyle w:val="TableBodyText"/>
              <w:ind w:left="142" w:hanging="136"/>
              <w:jc w:val="left"/>
              <w:rPr>
                <w:sz w:val="19"/>
                <w:szCs w:val="19"/>
              </w:rPr>
            </w:pPr>
            <w:r w:rsidRPr="00227A33">
              <w:rPr>
                <w:sz w:val="19"/>
                <w:szCs w:val="19"/>
              </w:rPr>
              <w:t>Australian Radiation Protection and Nuclear Safety Agency</w:t>
            </w:r>
          </w:p>
          <w:p w:rsidR="005E3346" w:rsidRPr="00227A33" w:rsidRDefault="005E3346" w:rsidP="005E3346">
            <w:pPr>
              <w:pStyle w:val="TableBodyText"/>
              <w:ind w:left="142" w:hanging="136"/>
              <w:jc w:val="left"/>
              <w:rPr>
                <w:sz w:val="19"/>
                <w:szCs w:val="19"/>
              </w:rPr>
            </w:pPr>
            <w:r w:rsidRPr="00227A33">
              <w:rPr>
                <w:sz w:val="19"/>
                <w:szCs w:val="19"/>
              </w:rPr>
              <w:t>Australian Safeguards and Non-Proliferation Office</w:t>
            </w:r>
          </w:p>
          <w:p w:rsidR="005E3346" w:rsidRPr="00227A33" w:rsidRDefault="005E3346" w:rsidP="005E3346">
            <w:pPr>
              <w:pStyle w:val="TableBodyText"/>
              <w:ind w:left="142" w:hanging="136"/>
              <w:jc w:val="left"/>
              <w:rPr>
                <w:sz w:val="19"/>
                <w:szCs w:val="19"/>
              </w:rPr>
            </w:pPr>
            <w:r w:rsidRPr="00227A33">
              <w:rPr>
                <w:sz w:val="19"/>
                <w:szCs w:val="19"/>
              </w:rPr>
              <w:t>Australian Securities and Investments Commission</w:t>
            </w:r>
          </w:p>
          <w:p w:rsidR="005E3346" w:rsidRPr="00227A33" w:rsidRDefault="005E3346" w:rsidP="005E3346">
            <w:pPr>
              <w:pStyle w:val="TableBodyText"/>
              <w:ind w:left="142" w:hanging="136"/>
              <w:jc w:val="left"/>
              <w:rPr>
                <w:sz w:val="19"/>
                <w:szCs w:val="19"/>
              </w:rPr>
            </w:pPr>
            <w:r>
              <w:rPr>
                <w:sz w:val="19"/>
                <w:szCs w:val="19"/>
              </w:rPr>
              <w:t>Civil Aviation Safety Authority</w:t>
            </w:r>
          </w:p>
          <w:p w:rsidR="005E3346" w:rsidRPr="00227A33" w:rsidRDefault="005E3346" w:rsidP="005E3346">
            <w:pPr>
              <w:pStyle w:val="TableBodyText"/>
              <w:ind w:left="142" w:hanging="136"/>
              <w:jc w:val="left"/>
              <w:rPr>
                <w:sz w:val="19"/>
                <w:szCs w:val="19"/>
              </w:rPr>
            </w:pPr>
            <w:r w:rsidRPr="00227A33">
              <w:rPr>
                <w:sz w:val="19"/>
                <w:szCs w:val="19"/>
              </w:rPr>
              <w:t>Department of Families, Housing, Community Services and Indigenous Affairs (Child Care Standards)</w:t>
            </w:r>
          </w:p>
          <w:p w:rsidR="005E3346" w:rsidRPr="00227A33" w:rsidRDefault="005E3346" w:rsidP="005E3346">
            <w:pPr>
              <w:pStyle w:val="TableBodyText"/>
              <w:ind w:left="142" w:hanging="136"/>
              <w:jc w:val="left"/>
              <w:rPr>
                <w:sz w:val="19"/>
                <w:szCs w:val="19"/>
              </w:rPr>
            </w:pPr>
            <w:r w:rsidRPr="00227A33">
              <w:rPr>
                <w:sz w:val="19"/>
                <w:szCs w:val="19"/>
              </w:rPr>
              <w:t>Department of Health and Ageing</w:t>
            </w:r>
            <w:r>
              <w:rPr>
                <w:sz w:val="19"/>
                <w:szCs w:val="19"/>
              </w:rPr>
              <w:t xml:space="preserve"> (Aged Care Standards)</w:t>
            </w:r>
          </w:p>
          <w:p w:rsidR="005E3346" w:rsidRPr="00227A33" w:rsidRDefault="005E3346" w:rsidP="005E3346">
            <w:pPr>
              <w:pStyle w:val="TableBodyText"/>
              <w:ind w:left="142" w:hanging="136"/>
              <w:jc w:val="left"/>
              <w:rPr>
                <w:sz w:val="19"/>
                <w:szCs w:val="19"/>
              </w:rPr>
            </w:pPr>
            <w:r w:rsidRPr="00227A33">
              <w:rPr>
                <w:sz w:val="19"/>
                <w:szCs w:val="19"/>
              </w:rPr>
              <w:t>Office of the Gene Technology Regulator</w:t>
            </w:r>
          </w:p>
          <w:p w:rsidR="005E3346" w:rsidRPr="00227A33" w:rsidRDefault="005E3346" w:rsidP="005E3346">
            <w:pPr>
              <w:pStyle w:val="TableBodyText"/>
              <w:ind w:left="142" w:hanging="136"/>
              <w:jc w:val="left"/>
              <w:rPr>
                <w:sz w:val="19"/>
                <w:szCs w:val="19"/>
              </w:rPr>
            </w:pPr>
            <w:r w:rsidRPr="00227A33">
              <w:rPr>
                <w:sz w:val="19"/>
                <w:szCs w:val="19"/>
              </w:rPr>
              <w:t>Office of Chemical Safety</w:t>
            </w:r>
          </w:p>
          <w:p w:rsidR="005E3346" w:rsidRPr="00227A33" w:rsidRDefault="005E3346" w:rsidP="005E3346">
            <w:pPr>
              <w:pStyle w:val="TableBodyText"/>
              <w:ind w:left="142" w:hanging="136"/>
              <w:jc w:val="left"/>
              <w:rPr>
                <w:sz w:val="19"/>
                <w:szCs w:val="19"/>
              </w:rPr>
            </w:pPr>
            <w:r w:rsidRPr="00227A33">
              <w:rPr>
                <w:sz w:val="19"/>
                <w:szCs w:val="19"/>
              </w:rPr>
              <w:t>Private Health Insurance Administration Council</w:t>
            </w:r>
          </w:p>
          <w:p w:rsidR="00623C3A" w:rsidRPr="005E3346" w:rsidRDefault="005E3346" w:rsidP="00DD0F5A">
            <w:pPr>
              <w:pStyle w:val="TableBodyText"/>
              <w:ind w:left="142" w:hanging="136"/>
              <w:jc w:val="left"/>
              <w:rPr>
                <w:sz w:val="19"/>
                <w:szCs w:val="19"/>
              </w:rPr>
            </w:pPr>
            <w:r w:rsidRPr="00227A33">
              <w:rPr>
                <w:sz w:val="19"/>
                <w:szCs w:val="19"/>
              </w:rPr>
              <w:t>Therapeutic Goods Administration</w:t>
            </w:r>
          </w:p>
        </w:tc>
        <w:tc>
          <w:tcPr>
            <w:tcW w:w="2080" w:type="pct"/>
            <w:gridSpan w:val="2"/>
            <w:tcBorders>
              <w:top w:val="single" w:sz="4" w:space="0" w:color="auto"/>
              <w:bottom w:val="single" w:sz="6" w:space="0" w:color="auto"/>
            </w:tcBorders>
            <w:shd w:val="clear" w:color="auto" w:fill="auto"/>
          </w:tcPr>
          <w:p w:rsidR="005E3346" w:rsidRPr="00227A33" w:rsidRDefault="005E3346" w:rsidP="008B6C3F">
            <w:pPr>
              <w:pStyle w:val="TableBodyText"/>
              <w:spacing w:before="80"/>
              <w:ind w:left="142" w:firstLine="3"/>
              <w:jc w:val="left"/>
              <w:rPr>
                <w:i/>
                <w:sz w:val="19"/>
                <w:szCs w:val="19"/>
              </w:rPr>
            </w:pPr>
            <w:r w:rsidRPr="00227A33">
              <w:rPr>
                <w:sz w:val="19"/>
                <w:szCs w:val="19"/>
              </w:rPr>
              <w:t>Australian Building Codes Board</w:t>
            </w:r>
          </w:p>
          <w:p w:rsidR="005E3346" w:rsidRPr="00227A33" w:rsidRDefault="005E3346" w:rsidP="005E3346">
            <w:pPr>
              <w:pStyle w:val="TableBodyText"/>
              <w:spacing w:before="40"/>
              <w:ind w:left="285" w:hanging="142"/>
              <w:jc w:val="left"/>
              <w:rPr>
                <w:sz w:val="19"/>
                <w:szCs w:val="19"/>
              </w:rPr>
            </w:pPr>
            <w:r w:rsidRPr="00227A33">
              <w:rPr>
                <w:sz w:val="19"/>
                <w:szCs w:val="19"/>
              </w:rPr>
              <w:t>Australian Commission on Safety and Quality in Health Care</w:t>
            </w:r>
          </w:p>
          <w:p w:rsidR="005E3346" w:rsidRPr="00227A33" w:rsidRDefault="005E3346" w:rsidP="005E3346">
            <w:pPr>
              <w:pStyle w:val="TableBodyText"/>
              <w:spacing w:before="40"/>
              <w:ind w:left="285" w:hanging="142"/>
              <w:jc w:val="left"/>
              <w:rPr>
                <w:sz w:val="19"/>
                <w:szCs w:val="19"/>
              </w:rPr>
            </w:pPr>
            <w:r w:rsidRPr="00227A33">
              <w:rPr>
                <w:sz w:val="19"/>
                <w:szCs w:val="19"/>
              </w:rPr>
              <w:t>Environment Protection and Heritage Council</w:t>
            </w:r>
          </w:p>
          <w:p w:rsidR="005E3346" w:rsidRPr="00227A33" w:rsidRDefault="005E3346" w:rsidP="005E3346">
            <w:pPr>
              <w:pStyle w:val="TableBodyText"/>
              <w:spacing w:before="40"/>
              <w:ind w:left="285" w:hanging="142"/>
              <w:jc w:val="left"/>
              <w:rPr>
                <w:sz w:val="19"/>
                <w:szCs w:val="19"/>
              </w:rPr>
            </w:pPr>
            <w:r w:rsidRPr="00227A33">
              <w:rPr>
                <w:sz w:val="19"/>
                <w:szCs w:val="19"/>
              </w:rPr>
              <w:t>Financial Reporting Council</w:t>
            </w:r>
          </w:p>
          <w:p w:rsidR="005E3346" w:rsidRPr="00227A33" w:rsidRDefault="005E3346" w:rsidP="005E3346">
            <w:pPr>
              <w:pStyle w:val="TableBodyText"/>
              <w:spacing w:before="40"/>
              <w:ind w:left="285" w:hanging="142"/>
              <w:jc w:val="left"/>
              <w:rPr>
                <w:sz w:val="19"/>
                <w:szCs w:val="19"/>
              </w:rPr>
            </w:pPr>
            <w:r w:rsidRPr="00227A33">
              <w:rPr>
                <w:sz w:val="19"/>
                <w:szCs w:val="19"/>
              </w:rPr>
              <w:t>Food Standards Australia New Zealand</w:t>
            </w:r>
          </w:p>
          <w:p w:rsidR="005E3346" w:rsidRPr="00227A33" w:rsidRDefault="005E3346" w:rsidP="005E3346">
            <w:pPr>
              <w:pStyle w:val="TableBodyText"/>
              <w:spacing w:before="40"/>
              <w:ind w:left="285" w:hanging="142"/>
              <w:jc w:val="left"/>
              <w:rPr>
                <w:sz w:val="19"/>
                <w:szCs w:val="19"/>
              </w:rPr>
            </w:pPr>
            <w:r w:rsidRPr="00227A33">
              <w:rPr>
                <w:sz w:val="19"/>
                <w:szCs w:val="19"/>
              </w:rPr>
              <w:t>Fuel Standards Consultative Committee</w:t>
            </w:r>
          </w:p>
          <w:p w:rsidR="005E3346" w:rsidRPr="00227A33" w:rsidRDefault="005E3346" w:rsidP="005E3346">
            <w:pPr>
              <w:pStyle w:val="TableBodyText"/>
              <w:spacing w:before="40"/>
              <w:ind w:left="285" w:hanging="142"/>
              <w:jc w:val="left"/>
              <w:rPr>
                <w:sz w:val="19"/>
                <w:szCs w:val="19"/>
              </w:rPr>
            </w:pPr>
            <w:r w:rsidRPr="00227A33">
              <w:rPr>
                <w:sz w:val="19"/>
                <w:szCs w:val="19"/>
              </w:rPr>
              <w:t>National Health and Medical Research Council</w:t>
            </w:r>
          </w:p>
          <w:p w:rsidR="005E3346" w:rsidRPr="00227A33" w:rsidRDefault="005E3346" w:rsidP="005E3346">
            <w:pPr>
              <w:pStyle w:val="TableBodyText"/>
              <w:spacing w:before="40"/>
              <w:ind w:left="285" w:hanging="142"/>
              <w:jc w:val="left"/>
              <w:rPr>
                <w:sz w:val="19"/>
                <w:szCs w:val="19"/>
              </w:rPr>
            </w:pPr>
            <w:r w:rsidRPr="00227A33">
              <w:rPr>
                <w:sz w:val="19"/>
                <w:szCs w:val="19"/>
              </w:rPr>
              <w:t xml:space="preserve">National Industrial Chemicals Notification and Assessment Scheme </w:t>
            </w:r>
          </w:p>
          <w:p w:rsidR="005E3346" w:rsidRPr="00227A33" w:rsidRDefault="005E3346" w:rsidP="005E3346">
            <w:pPr>
              <w:pStyle w:val="TableBodyText"/>
              <w:spacing w:before="40"/>
              <w:ind w:left="285" w:hanging="142"/>
              <w:jc w:val="left"/>
              <w:rPr>
                <w:sz w:val="19"/>
                <w:szCs w:val="19"/>
              </w:rPr>
            </w:pPr>
            <w:r w:rsidRPr="00227A33">
              <w:rPr>
                <w:sz w:val="19"/>
                <w:szCs w:val="19"/>
              </w:rPr>
              <w:t>National Marine Safety Committee</w:t>
            </w:r>
          </w:p>
          <w:p w:rsidR="005E3346" w:rsidRPr="00227A33" w:rsidRDefault="005E3346" w:rsidP="005E3346">
            <w:pPr>
              <w:pStyle w:val="TableBodyText"/>
              <w:spacing w:before="40"/>
              <w:ind w:left="285" w:hanging="142"/>
              <w:jc w:val="left"/>
              <w:rPr>
                <w:sz w:val="19"/>
                <w:szCs w:val="19"/>
              </w:rPr>
            </w:pPr>
            <w:r w:rsidRPr="00227A33">
              <w:rPr>
                <w:sz w:val="19"/>
                <w:szCs w:val="19"/>
              </w:rPr>
              <w:t>National Pathology Accreditation Advisory Council</w:t>
            </w:r>
          </w:p>
          <w:p w:rsidR="005E3346" w:rsidRPr="00227A33" w:rsidRDefault="005E3346" w:rsidP="005E3346">
            <w:pPr>
              <w:pStyle w:val="TableBodyText"/>
              <w:spacing w:before="40"/>
              <w:ind w:left="285" w:hanging="142"/>
              <w:jc w:val="left"/>
              <w:rPr>
                <w:sz w:val="19"/>
                <w:szCs w:val="19"/>
              </w:rPr>
            </w:pPr>
            <w:r w:rsidRPr="00227A33">
              <w:rPr>
                <w:sz w:val="19"/>
                <w:szCs w:val="19"/>
              </w:rPr>
              <w:t>National Plumbing Regulators Forum</w:t>
            </w:r>
          </w:p>
          <w:p w:rsidR="005E3346" w:rsidRPr="00227A33" w:rsidRDefault="005E3346" w:rsidP="005E3346">
            <w:pPr>
              <w:pStyle w:val="TableBodyText"/>
              <w:spacing w:before="40"/>
              <w:ind w:left="285" w:hanging="142"/>
              <w:jc w:val="left"/>
              <w:rPr>
                <w:sz w:val="19"/>
                <w:szCs w:val="19"/>
              </w:rPr>
            </w:pPr>
            <w:r w:rsidRPr="00227A33">
              <w:rPr>
                <w:sz w:val="19"/>
                <w:szCs w:val="19"/>
              </w:rPr>
              <w:t>Nuclear Safety Committee</w:t>
            </w:r>
          </w:p>
          <w:p w:rsidR="005E3346" w:rsidRPr="00227A33" w:rsidRDefault="005E3346" w:rsidP="005E3346">
            <w:pPr>
              <w:pStyle w:val="TableBodyText"/>
              <w:spacing w:before="40"/>
              <w:ind w:left="285" w:hanging="142"/>
              <w:jc w:val="left"/>
              <w:rPr>
                <w:sz w:val="19"/>
                <w:szCs w:val="19"/>
              </w:rPr>
            </w:pPr>
            <w:r w:rsidRPr="00227A33">
              <w:rPr>
                <w:sz w:val="19"/>
                <w:szCs w:val="19"/>
              </w:rPr>
              <w:t>National Transport Commission</w:t>
            </w:r>
          </w:p>
          <w:p w:rsidR="00623C3A" w:rsidRPr="005E3346" w:rsidRDefault="005E3346" w:rsidP="00345DA7">
            <w:pPr>
              <w:pStyle w:val="TableBodyText"/>
              <w:ind w:left="285" w:hanging="142"/>
              <w:jc w:val="left"/>
              <w:rPr>
                <w:sz w:val="19"/>
                <w:szCs w:val="19"/>
              </w:rPr>
            </w:pPr>
            <w:r w:rsidRPr="00227A33">
              <w:rPr>
                <w:sz w:val="19"/>
                <w:szCs w:val="19"/>
              </w:rPr>
              <w:t>Security Sensitive Biological Agents Regulatory Scheme</w:t>
            </w:r>
          </w:p>
        </w:tc>
      </w:tr>
    </w:tbl>
    <w:p w:rsidR="00623C3A" w:rsidRDefault="00623C3A" w:rsidP="00623C3A">
      <w:pPr>
        <w:pStyle w:val="Note"/>
      </w:pPr>
      <w:r w:rsidRPr="008E77FE">
        <w:rPr>
          <w:rStyle w:val="NoteLabel"/>
        </w:rPr>
        <w:t>a</w:t>
      </w:r>
      <w:r>
        <w:t xml:space="preserve"> This new COAG Council System was established in February 2011 subsequent to </w:t>
      </w:r>
      <w:r w:rsidR="003B5ECE">
        <w:t>the</w:t>
      </w:r>
      <w:r>
        <w:t xml:space="preserve"> Hawke </w:t>
      </w:r>
      <w:r w:rsidR="003B5ECE">
        <w:t xml:space="preserve">review </w:t>
      </w:r>
      <w:r w:rsidRPr="00070323">
        <w:t>(</w:t>
      </w:r>
      <w:r w:rsidRPr="00B84312">
        <w:t>COAG 2011</w:t>
      </w:r>
      <w:r w:rsidRPr="00070323">
        <w:t>)</w:t>
      </w:r>
      <w:r w:rsidRPr="00F63CEE">
        <w:t xml:space="preserve">. </w:t>
      </w:r>
      <w:r w:rsidRPr="004D4172">
        <w:rPr>
          <w:i/>
        </w:rPr>
        <w:t>Standing Councils</w:t>
      </w:r>
      <w:r w:rsidRPr="00F63CEE">
        <w:t xml:space="preserve"> pursue and monitor priority issues of national significance which require sustained, collaborative effort and address key areas of</w:t>
      </w:r>
      <w:r w:rsidR="00DD0F5A">
        <w:t xml:space="preserve"> shared Commonwealth and s</w:t>
      </w:r>
      <w:r w:rsidRPr="00F63CEE">
        <w:t xml:space="preserve">tate responsibility and funding. </w:t>
      </w:r>
      <w:r w:rsidRPr="004D4172">
        <w:rPr>
          <w:i/>
        </w:rPr>
        <w:t>Select Councils</w:t>
      </w:r>
      <w:r w:rsidR="00457E18">
        <w:t xml:space="preserve"> undertake time</w:t>
      </w:r>
      <w:r w:rsidR="00E951A5">
        <w:t>-</w:t>
      </w:r>
      <w:r w:rsidRPr="00F63CEE">
        <w:t>limited work in ar</w:t>
      </w:r>
      <w:r w:rsidR="00DD0F5A">
        <w:t>eas of shared Commonwealth and s</w:t>
      </w:r>
      <w:r w:rsidRPr="00F63CEE">
        <w:t xml:space="preserve">tate responsibility. </w:t>
      </w:r>
      <w:r w:rsidRPr="004D4172">
        <w:rPr>
          <w:i/>
        </w:rPr>
        <w:t>Legislative and Governance Fora</w:t>
      </w:r>
      <w:r w:rsidRPr="00F63CEE">
        <w:t xml:space="preserve"> oversee significant collective responsibilities which are </w:t>
      </w:r>
      <w:r>
        <w:t>set out in governing instruments</w:t>
      </w:r>
      <w:r w:rsidRPr="00F63CEE">
        <w:t xml:space="preserve"> but </w:t>
      </w:r>
      <w:r>
        <w:t xml:space="preserve">are </w:t>
      </w:r>
      <w:r w:rsidRPr="00F63CEE">
        <w:t xml:space="preserve">outside the scope of Standing Councils. </w:t>
      </w:r>
      <w:r w:rsidR="001F33C8">
        <w:rPr>
          <w:rStyle w:val="NoteLabel"/>
        </w:rPr>
        <w:t>b</w:t>
      </w:r>
      <w:r w:rsidR="001F33C8">
        <w:t xml:space="preserve"> </w:t>
      </w:r>
      <w:r w:rsidR="006B2C37">
        <w:t xml:space="preserve">This list was compiled by the Commission and </w:t>
      </w:r>
      <w:r w:rsidR="00AF4E2B">
        <w:t>is not</w:t>
      </w:r>
      <w:r w:rsidR="006B2C37">
        <w:t xml:space="preserve"> complete as </w:t>
      </w:r>
      <w:r w:rsidR="001F33C8">
        <w:t xml:space="preserve">there </w:t>
      </w:r>
      <w:r w:rsidR="008B6C3F">
        <w:t>is</w:t>
      </w:r>
      <w:r w:rsidR="001F33C8">
        <w:t xml:space="preserve"> no systematic record of these bodies</w:t>
      </w:r>
      <w:r w:rsidR="00C37198">
        <w:t xml:space="preserve"> (pers. comm.,</w:t>
      </w:r>
      <w:r w:rsidR="00E951A5">
        <w:t xml:space="preserve"> Department of Prime Minister and C</w:t>
      </w:r>
      <w:r w:rsidR="00C37198">
        <w:t>abinet</w:t>
      </w:r>
      <w:r w:rsidR="00CC2D54">
        <w:t xml:space="preserve">, </w:t>
      </w:r>
      <w:r w:rsidR="00C37198">
        <w:t>August 2012</w:t>
      </w:r>
      <w:r w:rsidR="009514F6" w:rsidRPr="009514F6">
        <w:t xml:space="preserve"> </w:t>
      </w:r>
      <w:r w:rsidR="009514F6">
        <w:t>and OBPR, May 2012</w:t>
      </w:r>
      <w:r w:rsidR="00C37198">
        <w:t>)</w:t>
      </w:r>
      <w:r w:rsidR="001F33C8">
        <w:t xml:space="preserve">. </w:t>
      </w:r>
    </w:p>
    <w:p w:rsidR="00623C3A" w:rsidRPr="00A63EB6" w:rsidRDefault="00623C3A" w:rsidP="00623C3A">
      <w:pPr>
        <w:pStyle w:val="Source"/>
      </w:pPr>
      <w:r>
        <w:rPr>
          <w:i/>
        </w:rPr>
        <w:t>Source</w:t>
      </w:r>
      <w:r w:rsidR="00311B94">
        <w:rPr>
          <w:i/>
        </w:rPr>
        <w:t>s</w:t>
      </w:r>
      <w:r w:rsidR="00F7146D">
        <w:t xml:space="preserve">: COAG </w:t>
      </w:r>
      <w:r w:rsidR="005E7675">
        <w:t>(</w:t>
      </w:r>
      <w:r w:rsidR="00F7146D">
        <w:t>2011</w:t>
      </w:r>
      <w:r w:rsidR="005E7675">
        <w:t>)</w:t>
      </w:r>
      <w:r w:rsidR="001F33C8">
        <w:t>;</w:t>
      </w:r>
      <w:r w:rsidR="00311B94">
        <w:t xml:space="preserve"> Department of Health and Ageing, pers. comm., November 2011;</w:t>
      </w:r>
      <w:r w:rsidR="001F33C8">
        <w:t xml:space="preserve"> PC </w:t>
      </w:r>
      <w:r w:rsidR="00E67360">
        <w:t>assessment</w:t>
      </w:r>
      <w:r w:rsidR="001F33C8">
        <w:t>.</w:t>
      </w:r>
    </w:p>
    <w:p w:rsidR="001E7C44" w:rsidRDefault="001E7C44" w:rsidP="001E7C44">
      <w:pPr>
        <w:pStyle w:val="BodyText"/>
      </w:pPr>
      <w:r w:rsidRPr="0090538A">
        <w:lastRenderedPageBreak/>
        <w:t xml:space="preserve">The Commission was unable to find a full listing of NSSBs. </w:t>
      </w:r>
      <w:r>
        <w:t>Neither</w:t>
      </w:r>
      <w:r w:rsidRPr="0090538A">
        <w:t xml:space="preserve"> the Office of Best Practice Regulation</w:t>
      </w:r>
      <w:r>
        <w:t xml:space="preserve"> (</w:t>
      </w:r>
      <w:r w:rsidRPr="0090538A">
        <w:t>the oversight body that monitors NSSB c</w:t>
      </w:r>
      <w:r>
        <w:t>ompliance with RIA requirements),</w:t>
      </w:r>
      <w:r w:rsidRPr="0090538A">
        <w:t xml:space="preserve"> </w:t>
      </w:r>
      <w:r>
        <w:t xml:space="preserve">nor </w:t>
      </w:r>
      <w:r w:rsidRPr="0090538A">
        <w:t>the</w:t>
      </w:r>
      <w:r>
        <w:t xml:space="preserve"> </w:t>
      </w:r>
      <w:r w:rsidRPr="0090538A">
        <w:t>Department o</w:t>
      </w:r>
      <w:r>
        <w:t>f Prime Minister and Cabinet (which had an important role in developing the COAG RIA guidelines),</w:t>
      </w:r>
      <w:r w:rsidRPr="0090538A">
        <w:t xml:space="preserve"> keep a complete record of these bodies (pers. comm., Department of Prime Minister and Cabinet, August 2012 and OBPR, May 2012). The compilation of a comprehensive list of NSSBs would ensure clarity about which bodies are subject to RIA requirements.</w:t>
      </w:r>
    </w:p>
    <w:p w:rsidR="000876BE" w:rsidRDefault="00B722D3" w:rsidP="00B722D3">
      <w:pPr>
        <w:pStyle w:val="Heading3"/>
      </w:pPr>
      <w:r>
        <w:t xml:space="preserve">Role of ministers in </w:t>
      </w:r>
      <w:r w:rsidR="009F4D5C">
        <w:t>the</w:t>
      </w:r>
      <w:r>
        <w:t xml:space="preserve"> RIA</w:t>
      </w:r>
      <w:r w:rsidR="009F4D5C">
        <w:t xml:space="preserve"> process</w:t>
      </w:r>
    </w:p>
    <w:p w:rsidR="00DD519D" w:rsidRPr="005F3604" w:rsidRDefault="00DD519D" w:rsidP="0047665F">
      <w:pPr>
        <w:pStyle w:val="BodyText"/>
      </w:pPr>
      <w:r w:rsidRPr="005F3604">
        <w:t xml:space="preserve">The principal role for ministers in the RIA process is to decide </w:t>
      </w:r>
      <w:r w:rsidR="0098009A">
        <w:t>how</w:t>
      </w:r>
      <w:r w:rsidRPr="005F3604">
        <w:t xml:space="preserve"> to address the relevant policy issue, given the information generated </w:t>
      </w:r>
      <w:r w:rsidR="00457E18">
        <w:t xml:space="preserve">by RIA </w:t>
      </w:r>
      <w:r w:rsidRPr="005F3604">
        <w:t>on potential options and their likely impacts.</w:t>
      </w:r>
    </w:p>
    <w:p w:rsidR="0047665F" w:rsidRPr="005F3604" w:rsidRDefault="00B722D3" w:rsidP="0047665F">
      <w:pPr>
        <w:pStyle w:val="BodyText"/>
      </w:pPr>
      <w:r w:rsidRPr="005F3604">
        <w:t xml:space="preserve">In several jurisdictions, RIA guidelines outline </w:t>
      </w:r>
      <w:r w:rsidR="00DD519D" w:rsidRPr="005F3604">
        <w:t xml:space="preserve">other </w:t>
      </w:r>
      <w:r w:rsidRPr="005F3604">
        <w:t xml:space="preserve">roles </w:t>
      </w:r>
      <w:r w:rsidR="00DD519D" w:rsidRPr="005F3604">
        <w:t>for</w:t>
      </w:r>
      <w:r w:rsidR="00FD506A" w:rsidRPr="005F3604">
        <w:t xml:space="preserve"> </w:t>
      </w:r>
      <w:r w:rsidRPr="005F3604">
        <w:t xml:space="preserve">ministers in the RIA process. In some jurisdictions this includes deciding whether proposals require a RIS </w:t>
      </w:r>
      <w:r w:rsidR="001262B2">
        <w:t xml:space="preserve">(chapter 4) </w:t>
      </w:r>
      <w:r w:rsidRPr="005F3604">
        <w:t>and applying for ex</w:t>
      </w:r>
      <w:r w:rsidR="001262B2">
        <w:t>emptions (</w:t>
      </w:r>
      <w:r w:rsidR="0098009A">
        <w:t>chapter</w:t>
      </w:r>
      <w:r w:rsidR="001262B2">
        <w:t xml:space="preserve"> </w:t>
      </w:r>
      <w:r w:rsidR="00005FBA" w:rsidRPr="0098009A">
        <w:t>5</w:t>
      </w:r>
      <w:r w:rsidRPr="0098009A">
        <w:t>).</w:t>
      </w:r>
      <w:r w:rsidRPr="005F3604">
        <w:t xml:space="preserve"> The Australian Government RIA guidelines also (uniquely) allow ministers to constrain the options considered in a RIS:</w:t>
      </w:r>
    </w:p>
    <w:p w:rsidR="00B722D3" w:rsidRDefault="00B722D3" w:rsidP="00B722D3">
      <w:pPr>
        <w:pStyle w:val="Quote"/>
      </w:pPr>
      <w:r>
        <w:t>… agencies may be given direction regarding which options to analyse in a RIS for the Cabinet or a committee of the Cabinet. This would require the sponsoring minister to write to the Prime Minister or the Cabinet Secretary, copied to the Treasurer and the Minister for Finance and Deregulation. (Australian Government 2010</w:t>
      </w:r>
      <w:r w:rsidR="00AD44A1">
        <w:t>a</w:t>
      </w:r>
      <w:r>
        <w:t>, p. 15)</w:t>
      </w:r>
    </w:p>
    <w:p w:rsidR="00B722D3" w:rsidRPr="0057237F" w:rsidRDefault="00B722D3" w:rsidP="0047665F">
      <w:pPr>
        <w:pStyle w:val="BodyText"/>
      </w:pPr>
      <w:r>
        <w:t>At the</w:t>
      </w:r>
      <w:r w:rsidR="00FD506A">
        <w:t xml:space="preserve"> end of the RIA process, </w:t>
      </w:r>
      <w:r>
        <w:t xml:space="preserve">ministers </w:t>
      </w:r>
      <w:r w:rsidR="00E56E6D">
        <w:t xml:space="preserve">in </w:t>
      </w:r>
      <w:r w:rsidR="009F4D5C">
        <w:t>a number of</w:t>
      </w:r>
      <w:r>
        <w:t xml:space="preserve"> jurisdictions must certify</w:t>
      </w:r>
      <w:r w:rsidRPr="00705DE4">
        <w:t xml:space="preserve"> </w:t>
      </w:r>
      <w:r>
        <w:t xml:space="preserve">completed </w:t>
      </w:r>
      <w:r w:rsidRPr="00705DE4">
        <w:t>RIS</w:t>
      </w:r>
      <w:r>
        <w:t xml:space="preserve"> documents to indicate that they have </w:t>
      </w:r>
      <w:r w:rsidR="001262B2">
        <w:t>satisfied</w:t>
      </w:r>
      <w:r>
        <w:t xml:space="preserve"> RIA requirements. </w:t>
      </w:r>
      <w:r w:rsidR="00DD0F5A">
        <w:t>Requiring the responsible minister to endorse the RIS</w:t>
      </w:r>
      <w:r>
        <w:t xml:space="preserve"> is intended to provide account</w:t>
      </w:r>
      <w:r w:rsidR="00DD0F5A">
        <w:t>ability and quality assurance</w:t>
      </w:r>
      <w:r w:rsidRPr="00705DE4">
        <w:t>. In Victoria and Queensland</w:t>
      </w:r>
      <w:r w:rsidR="00E34A37">
        <w:t xml:space="preserve"> </w:t>
      </w:r>
      <w:r w:rsidRPr="00705DE4">
        <w:t xml:space="preserve">this </w:t>
      </w:r>
      <w:r w:rsidR="00C44516">
        <w:t>requirement</w:t>
      </w:r>
      <w:r>
        <w:t xml:space="preserve"> is outlined in RIA guidelines, </w:t>
      </w:r>
      <w:r w:rsidR="00880E0A">
        <w:t xml:space="preserve">with responsible </w:t>
      </w:r>
      <w:r>
        <w:t xml:space="preserve">ministers </w:t>
      </w:r>
      <w:r w:rsidR="00880E0A">
        <w:t xml:space="preserve">required to </w:t>
      </w:r>
      <w:r>
        <w:t xml:space="preserve">sign certificates </w:t>
      </w:r>
      <w:r w:rsidR="00880E0A">
        <w:t xml:space="preserve">before </w:t>
      </w:r>
      <w:r>
        <w:t>the pr</w:t>
      </w:r>
      <w:r w:rsidR="00964F59">
        <w:t>oposal proceeds to the decision</w:t>
      </w:r>
      <w:r w:rsidR="006B2C37">
        <w:t xml:space="preserve"> </w:t>
      </w:r>
      <w:r>
        <w:t xml:space="preserve">making stage </w:t>
      </w:r>
      <w:r w:rsidR="009E0398">
        <w:t xml:space="preserve">in order </w:t>
      </w:r>
      <w:r>
        <w:t xml:space="preserve">to indicate compliance with RIA requirements. </w:t>
      </w:r>
      <w:r w:rsidR="00457E18">
        <w:t xml:space="preserve">In New South Wales, Victoria and Tasmania, </w:t>
      </w:r>
      <w:r w:rsidR="00C44516">
        <w:t>this</w:t>
      </w:r>
      <w:r w:rsidR="003A5A37">
        <w:t xml:space="preserve"> requirement</w:t>
      </w:r>
      <w:r w:rsidR="00457E18">
        <w:t xml:space="preserve"> is outlined in the jurisdictional subordinate legislation Act (see box</w:t>
      </w:r>
      <w:r w:rsidR="006971B8">
        <w:t> </w:t>
      </w:r>
      <w:r w:rsidR="00345DA7">
        <w:t>1.2</w:t>
      </w:r>
      <w:r w:rsidR="00457E18">
        <w:t xml:space="preserve">). </w:t>
      </w:r>
      <w:r w:rsidR="00880E0A">
        <w:t>I</w:t>
      </w:r>
      <w:r w:rsidRPr="00705DE4">
        <w:t xml:space="preserve">n the </w:t>
      </w:r>
      <w:r>
        <w:t>Commonwealth</w:t>
      </w:r>
      <w:r w:rsidRPr="00705DE4">
        <w:t xml:space="preserve">, </w:t>
      </w:r>
      <w:r>
        <w:t>the RIA guidelines</w:t>
      </w:r>
      <w:r w:rsidRPr="00705DE4">
        <w:t xml:space="preserve"> </w:t>
      </w:r>
      <w:r>
        <w:t>require</w:t>
      </w:r>
      <w:r w:rsidRPr="00705DE4">
        <w:t xml:space="preserve"> the </w:t>
      </w:r>
      <w:r>
        <w:t xml:space="preserve">departmental secretary or deputy secretary (or the </w:t>
      </w:r>
      <w:r w:rsidRPr="0047665F">
        <w:t>relevant agency head or deputy head) to certify the RIS prior to final assessment by the OBPR (Australian Government</w:t>
      </w:r>
      <w:r w:rsidR="006E5D21">
        <w:t xml:space="preserve"> 2010</w:t>
      </w:r>
      <w:r w:rsidR="009A5EAF">
        <w:t>a</w:t>
      </w:r>
      <w:r w:rsidRPr="0047665F">
        <w:t>).</w:t>
      </w:r>
    </w:p>
    <w:p w:rsidR="00B722D3" w:rsidRPr="005F3604" w:rsidRDefault="00B722D3" w:rsidP="0047665F">
      <w:pPr>
        <w:pStyle w:val="BodyText"/>
      </w:pPr>
      <w:r w:rsidRPr="005F3604">
        <w:t xml:space="preserve">In </w:t>
      </w:r>
      <w:r w:rsidR="006B2C37">
        <w:t>o</w:t>
      </w:r>
      <w:r w:rsidR="00CE1A1D">
        <w:t>the</w:t>
      </w:r>
      <w:r w:rsidR="006B2C37">
        <w:t>r</w:t>
      </w:r>
      <w:r w:rsidR="00CE1A1D">
        <w:t xml:space="preserve"> states and territories</w:t>
      </w:r>
      <w:r w:rsidRPr="005F3604">
        <w:t xml:space="preserve">, </w:t>
      </w:r>
      <w:r w:rsidR="001B6F5F">
        <w:t>although there is no separate requirement to certify</w:t>
      </w:r>
      <w:r w:rsidRPr="005F3604">
        <w:t xml:space="preserve"> RIS documents, ministers are </w:t>
      </w:r>
      <w:r w:rsidR="001B6F5F">
        <w:t xml:space="preserve">still </w:t>
      </w:r>
      <w:r w:rsidRPr="005F3604">
        <w:t>required</w:t>
      </w:r>
      <w:r w:rsidR="0098009A">
        <w:t>, by Cabinet or ministerial handbooks,</w:t>
      </w:r>
      <w:r w:rsidRPr="005F3604">
        <w:t xml:space="preserve"> to certify their Cabinet submissions. </w:t>
      </w:r>
      <w:r w:rsidR="00C44516">
        <w:t>A</w:t>
      </w:r>
      <w:r w:rsidRPr="005F3604">
        <w:t xml:space="preserve"> Cabinet submission will generally include the RIS as an attachment for regulatory proposals with significant impacts.</w:t>
      </w:r>
    </w:p>
    <w:p w:rsidR="002B2C2B" w:rsidRDefault="0013244D" w:rsidP="0047665F">
      <w:pPr>
        <w:pStyle w:val="BodyText"/>
      </w:pPr>
      <w:r w:rsidRPr="0047665F">
        <w:lastRenderedPageBreak/>
        <w:t>The COAG guidelines (COAG 2007</w:t>
      </w:r>
      <w:r w:rsidR="00702178">
        <w:t>a</w:t>
      </w:r>
      <w:r w:rsidRPr="0047665F">
        <w:t>) do not outline a</w:t>
      </w:r>
      <w:r w:rsidR="000876BE" w:rsidRPr="0047665F">
        <w:t>ny</w:t>
      </w:r>
      <w:r w:rsidRPr="0047665F">
        <w:t xml:space="preserve"> requirement for </w:t>
      </w:r>
      <w:r w:rsidR="00B722D3" w:rsidRPr="0047665F">
        <w:t>ministers to certify</w:t>
      </w:r>
      <w:r w:rsidR="00B722D3">
        <w:t xml:space="preserve"> completed RIS documents</w:t>
      </w:r>
      <w:r>
        <w:t xml:space="preserve">. </w:t>
      </w:r>
      <w:r w:rsidR="00B722D3">
        <w:t>The</w:t>
      </w:r>
      <w:r w:rsidR="00AA2C52">
        <w:t xml:space="preserve"> guidelines do</w:t>
      </w:r>
      <w:r w:rsidR="009F5038">
        <w:t>, however,</w:t>
      </w:r>
      <w:r>
        <w:t xml:space="preserve"> make </w:t>
      </w:r>
      <w:r w:rsidR="009F5038">
        <w:t>a unique provision</w:t>
      </w:r>
      <w:r>
        <w:t xml:space="preserve"> for ministerial </w:t>
      </w:r>
      <w:r w:rsidR="00AA2C52">
        <w:t>council members to trigger an appeal of the RIA process</w:t>
      </w:r>
      <w:r w:rsidR="009F5038">
        <w:t xml:space="preserve"> if the</w:t>
      </w:r>
      <w:r w:rsidR="001262B2">
        <w:t>y consider it un</w:t>
      </w:r>
      <w:r w:rsidR="009F5038">
        <w:t>satisfactory</w:t>
      </w:r>
      <w:r w:rsidR="00AA2C52">
        <w:t>:</w:t>
      </w:r>
    </w:p>
    <w:p w:rsidR="00104427" w:rsidRDefault="00104427" w:rsidP="00104427">
      <w:pPr>
        <w:pStyle w:val="Quote"/>
      </w:pPr>
      <w:r>
        <w:t>Where a Minister is dissatisfied with the outcome of the impact assessment process, the Minister may seek the agreement of his/her Head of Government to request an independent review of the assessment process. (COAG</w:t>
      </w:r>
      <w:r w:rsidR="00D85F09">
        <w:t xml:space="preserve"> 2007</w:t>
      </w:r>
      <w:r w:rsidR="00702178">
        <w:t>a</w:t>
      </w:r>
      <w:r>
        <w:t>, p. 16)</w:t>
      </w:r>
    </w:p>
    <w:p w:rsidR="00C46E56" w:rsidRDefault="00C46E56" w:rsidP="00C46E56">
      <w:pPr>
        <w:pStyle w:val="Heading3"/>
      </w:pPr>
      <w:r>
        <w:t xml:space="preserve">Cost of RIA: </w:t>
      </w:r>
      <w:r w:rsidR="00173380">
        <w:t>i</w:t>
      </w:r>
      <w:r>
        <w:t>nstitutions subject to RIA requirements</w:t>
      </w:r>
    </w:p>
    <w:p w:rsidR="00E902B8" w:rsidRDefault="00A95BCA" w:rsidP="00CE73DD">
      <w:pPr>
        <w:pStyle w:val="BodyText"/>
      </w:pPr>
      <w:r w:rsidRPr="005F3604">
        <w:t>There is li</w:t>
      </w:r>
      <w:r w:rsidR="00513678" w:rsidRPr="005F3604">
        <w:t>mited</w:t>
      </w:r>
      <w:r w:rsidRPr="005F3604">
        <w:t xml:space="preserve"> information available on a</w:t>
      </w:r>
      <w:r w:rsidR="009E0398">
        <w:t>gency costs associated with RIA;</w:t>
      </w:r>
      <w:r w:rsidRPr="005F3604">
        <w:t xml:space="preserve"> the Commission surveyed agencies in all jurisdictions with a view to </w:t>
      </w:r>
      <w:r w:rsidR="00513678" w:rsidRPr="005F3604">
        <w:t>build</w:t>
      </w:r>
      <w:r w:rsidR="00106F7C" w:rsidRPr="005F3604">
        <w:t>ing</w:t>
      </w:r>
      <w:r w:rsidR="00513678" w:rsidRPr="005F3604">
        <w:t xml:space="preserve"> knowledge in this area</w:t>
      </w:r>
      <w:r w:rsidR="0043293C" w:rsidRPr="005F3604">
        <w:t xml:space="preserve"> (PC </w:t>
      </w:r>
      <w:r w:rsidR="001E3AF6">
        <w:t xml:space="preserve">RIA </w:t>
      </w:r>
      <w:r w:rsidR="0043293C" w:rsidRPr="005F3604">
        <w:t>Survey 2012)</w:t>
      </w:r>
      <w:r w:rsidR="00513678" w:rsidRPr="005F3604">
        <w:t xml:space="preserve">. </w:t>
      </w:r>
    </w:p>
    <w:p w:rsidR="002919E5" w:rsidRDefault="0043293C" w:rsidP="00CE73DD">
      <w:pPr>
        <w:pStyle w:val="BodyText"/>
      </w:pPr>
      <w:r w:rsidRPr="005F3604">
        <w:t>In the survey, r</w:t>
      </w:r>
      <w:r w:rsidR="00CE73DD" w:rsidRPr="005F3604">
        <w:t>espondents were asked</w:t>
      </w:r>
      <w:r w:rsidR="001F6637" w:rsidRPr="005F3604">
        <w:t xml:space="preserve"> to estimate the cost</w:t>
      </w:r>
      <w:r w:rsidR="00CE73DD" w:rsidRPr="005F3604">
        <w:t xml:space="preserve"> of the RIA process to their agency </w:t>
      </w:r>
      <w:r w:rsidR="007040E8" w:rsidRPr="005F3604">
        <w:t xml:space="preserve">above ‘business as usual costs’ </w:t>
      </w:r>
      <w:r w:rsidR="00580ADA">
        <w:t>for</w:t>
      </w:r>
      <w:r w:rsidR="00964F59">
        <w:t xml:space="preserve"> the financial year 2010</w:t>
      </w:r>
      <w:r w:rsidR="00580ADA">
        <w:t>-</w:t>
      </w:r>
      <w:r w:rsidR="001F6637" w:rsidRPr="005F3604">
        <w:t>11</w:t>
      </w:r>
      <w:r w:rsidR="00CE73DD" w:rsidRPr="005F3604">
        <w:t xml:space="preserve">. </w:t>
      </w:r>
      <w:r w:rsidR="00B73583" w:rsidRPr="005F3604">
        <w:t>Many</w:t>
      </w:r>
      <w:r w:rsidR="001F6637" w:rsidRPr="005F3604">
        <w:t xml:space="preserve"> </w:t>
      </w:r>
      <w:r w:rsidR="00CF79BD" w:rsidRPr="005F3604">
        <w:t xml:space="preserve">respondents </w:t>
      </w:r>
      <w:r w:rsidR="001F6637" w:rsidRPr="005F3604">
        <w:t>were unable to provide an estimate</w:t>
      </w:r>
      <w:r w:rsidR="00C446C2">
        <w:t xml:space="preserve"> —</w:t>
      </w:r>
      <w:r w:rsidR="00E902B8">
        <w:t xml:space="preserve"> perhaps due to</w:t>
      </w:r>
      <w:r w:rsidR="007040E8" w:rsidRPr="005F3604">
        <w:t xml:space="preserve"> </w:t>
      </w:r>
      <w:r w:rsidR="00CF79BD" w:rsidRPr="005F3604">
        <w:t>l</w:t>
      </w:r>
      <w:r w:rsidR="00005FBA">
        <w:t>ow RIA activity</w:t>
      </w:r>
      <w:r w:rsidR="001262B2">
        <w:t>, lack of record</w:t>
      </w:r>
      <w:r w:rsidR="00094846">
        <w:t>-</w:t>
      </w:r>
      <w:r w:rsidR="00CF79BD" w:rsidRPr="005F3604">
        <w:t xml:space="preserve">keeping or </w:t>
      </w:r>
      <w:r w:rsidR="007040E8" w:rsidRPr="005F3604">
        <w:t>the difficulty of separately identifying costs associated with RIA from other</w:t>
      </w:r>
      <w:r w:rsidR="00106F7C" w:rsidRPr="005F3604">
        <w:t xml:space="preserve"> agency</w:t>
      </w:r>
      <w:r w:rsidR="007040E8" w:rsidRPr="005F3604">
        <w:t xml:space="preserve"> costs. </w:t>
      </w:r>
      <w:r w:rsidR="00E902B8">
        <w:t>F</w:t>
      </w:r>
      <w:r w:rsidR="007220D1">
        <w:t xml:space="preserve">or those </w:t>
      </w:r>
      <w:r w:rsidR="007040E8" w:rsidRPr="005F3604">
        <w:t>agencies</w:t>
      </w:r>
      <w:r w:rsidR="007220D1">
        <w:t xml:space="preserve"> that</w:t>
      </w:r>
      <w:r w:rsidR="00B46550" w:rsidRPr="005F3604">
        <w:t xml:space="preserve"> did </w:t>
      </w:r>
      <w:r w:rsidR="00E902B8">
        <w:t>provide an</w:t>
      </w:r>
      <w:r w:rsidR="00C17D9A" w:rsidRPr="005F3604">
        <w:t xml:space="preserve"> estimate,</w:t>
      </w:r>
      <w:r w:rsidR="007220D1">
        <w:t xml:space="preserve"> the values</w:t>
      </w:r>
      <w:r w:rsidR="00B46550" w:rsidRPr="005F3604">
        <w:t xml:space="preserve"> varied </w:t>
      </w:r>
      <w:r w:rsidR="00687509" w:rsidRPr="005F3604">
        <w:t>substantially</w:t>
      </w:r>
      <w:r w:rsidR="00E902B8">
        <w:t>, ranging from $1200 to $3 million for the year</w:t>
      </w:r>
      <w:r w:rsidR="00106F7C" w:rsidRPr="005F3604">
        <w:t>. At</w:t>
      </w:r>
      <w:r w:rsidR="00B73583" w:rsidRPr="005F3604">
        <w:t xml:space="preserve"> the lower end</w:t>
      </w:r>
      <w:r w:rsidR="009325EA" w:rsidRPr="005F3604">
        <w:t xml:space="preserve">, </w:t>
      </w:r>
      <w:r w:rsidR="00F7525D">
        <w:t>the</w:t>
      </w:r>
      <w:r w:rsidR="00B46550" w:rsidRPr="005F3604">
        <w:t xml:space="preserve"> state agency</w:t>
      </w:r>
      <w:r w:rsidR="00B73583" w:rsidRPr="005F3604">
        <w:t xml:space="preserve"> report</w:t>
      </w:r>
      <w:r w:rsidR="00F7525D">
        <w:t>ing</w:t>
      </w:r>
      <w:r w:rsidR="00B73583" w:rsidRPr="005F3604">
        <w:t xml:space="preserve"> costs of $1200 </w:t>
      </w:r>
      <w:r w:rsidR="00103B80">
        <w:t>had no RIS activity</w:t>
      </w:r>
      <w:r w:rsidR="00F85712" w:rsidRPr="005F3604">
        <w:t xml:space="preserve"> and undert</w:t>
      </w:r>
      <w:r w:rsidR="00F7525D">
        <w:t>ook</w:t>
      </w:r>
      <w:r w:rsidR="00B73583" w:rsidRPr="005F3604">
        <w:t xml:space="preserve"> </w:t>
      </w:r>
      <w:r w:rsidR="00F7525D" w:rsidRPr="005F3604">
        <w:t xml:space="preserve">only </w:t>
      </w:r>
      <w:r w:rsidR="00B73583" w:rsidRPr="005F3604">
        <w:t>preliminary assessment</w:t>
      </w:r>
      <w:r w:rsidR="00106F7C" w:rsidRPr="005F3604">
        <w:t>s</w:t>
      </w:r>
      <w:r w:rsidR="00F85712" w:rsidRPr="005F3604">
        <w:t xml:space="preserve"> </w:t>
      </w:r>
      <w:r w:rsidR="00580ADA">
        <w:t>in 2010-</w:t>
      </w:r>
      <w:r w:rsidR="001262B2">
        <w:t>11</w:t>
      </w:r>
      <w:r w:rsidR="00106F7C" w:rsidRPr="005F3604">
        <w:t>. At</w:t>
      </w:r>
      <w:r w:rsidR="00B73583" w:rsidRPr="005F3604">
        <w:t xml:space="preserve"> the high</w:t>
      </w:r>
      <w:r w:rsidR="002A3BF9" w:rsidRPr="005F3604">
        <w:t>er</w:t>
      </w:r>
      <w:r w:rsidR="00B73583" w:rsidRPr="005F3604">
        <w:t xml:space="preserve"> end, one state agency rep</w:t>
      </w:r>
      <w:r w:rsidR="002A3BF9" w:rsidRPr="005F3604">
        <w:t xml:space="preserve">orted </w:t>
      </w:r>
      <w:r w:rsidR="00687509" w:rsidRPr="005F3604">
        <w:t>a total cost of $1.5 million</w:t>
      </w:r>
      <w:r w:rsidR="00580ADA">
        <w:t>, having completed eight</w:t>
      </w:r>
      <w:r w:rsidR="00DA07DE">
        <w:t xml:space="preserve"> RISs</w:t>
      </w:r>
      <w:r w:rsidR="002A3BF9" w:rsidRPr="005F3604">
        <w:t>.</w:t>
      </w:r>
      <w:r w:rsidR="007220D1">
        <w:t xml:space="preserve"> </w:t>
      </w:r>
      <w:r w:rsidR="00454A67">
        <w:t>The agency attributed this figure to eng</w:t>
      </w:r>
      <w:r w:rsidR="001262B2">
        <w:t>aging new in</w:t>
      </w:r>
      <w:r w:rsidR="00173380">
        <w:t>-</w:t>
      </w:r>
      <w:r w:rsidR="00454A67">
        <w:t xml:space="preserve">house staff with the required </w:t>
      </w:r>
      <w:r w:rsidR="00DA07DE">
        <w:t xml:space="preserve">analytical skills to complete </w:t>
      </w:r>
      <w:r w:rsidR="00454A67">
        <w:t>RIS</w:t>
      </w:r>
      <w:r w:rsidR="00DA07DE">
        <w:t>s</w:t>
      </w:r>
      <w:r w:rsidR="00103B80">
        <w:t>.</w:t>
      </w:r>
      <w:r w:rsidR="0053509C">
        <w:t xml:space="preserve"> </w:t>
      </w:r>
      <w:r w:rsidR="00C225AF" w:rsidRPr="005F3604">
        <w:t>The difference</w:t>
      </w:r>
      <w:r w:rsidR="009325EA" w:rsidRPr="005F3604">
        <w:t xml:space="preserve"> in reported costs</w:t>
      </w:r>
      <w:r w:rsidR="00C225AF" w:rsidRPr="005F3604">
        <w:t xml:space="preserve"> was </w:t>
      </w:r>
      <w:r w:rsidRPr="005F3604">
        <w:t xml:space="preserve">not entirely </w:t>
      </w:r>
      <w:r w:rsidR="00CB6FEB">
        <w:t>attributable to</w:t>
      </w:r>
      <w:r w:rsidRPr="005F3604">
        <w:t xml:space="preserve"> differing </w:t>
      </w:r>
      <w:r w:rsidR="00345DA7">
        <w:t xml:space="preserve">levels of RIS activity </w:t>
      </w:r>
      <w:r w:rsidRPr="005F3604">
        <w:t xml:space="preserve">because </w:t>
      </w:r>
      <w:r w:rsidR="00F85712" w:rsidRPr="005F3604">
        <w:t>individual RIS costs vary</w:t>
      </w:r>
      <w:r w:rsidR="009E0398">
        <w:t xml:space="preserve"> greatly. B</w:t>
      </w:r>
      <w:r w:rsidR="007670B7" w:rsidRPr="005F3604">
        <w:t>ox 3</w:t>
      </w:r>
      <w:r w:rsidR="00454A67">
        <w:t>.2</w:t>
      </w:r>
      <w:r w:rsidRPr="005F3604">
        <w:t xml:space="preserve"> provides </w:t>
      </w:r>
      <w:r w:rsidR="00A30F5B" w:rsidRPr="005F3604">
        <w:t xml:space="preserve">a summary of </w:t>
      </w:r>
      <w:r w:rsidR="00A70439">
        <w:t xml:space="preserve">information gathered by the Commission about the </w:t>
      </w:r>
      <w:r w:rsidR="009325EA" w:rsidRPr="005F3604">
        <w:t xml:space="preserve">cost of </w:t>
      </w:r>
      <w:r w:rsidR="00580ADA">
        <w:t>completing a single</w:t>
      </w:r>
      <w:r w:rsidR="009325EA" w:rsidRPr="005F3604">
        <w:t xml:space="preserve"> RIS.</w:t>
      </w:r>
    </w:p>
    <w:p w:rsidR="000C1DAC" w:rsidRDefault="000C1DAC" w:rsidP="00CE73DD">
      <w:pPr>
        <w:pStyle w:val="BodyText"/>
      </w:pPr>
      <w:r>
        <w:t>From box 3.2</w:t>
      </w:r>
      <w:r w:rsidRPr="005F3604">
        <w:t xml:space="preserve">, it is evident that consultant input </w:t>
      </w:r>
      <w:r>
        <w:t>can be</w:t>
      </w:r>
      <w:r w:rsidRPr="005F3604">
        <w:t xml:space="preserve"> a significant contributor to RIS costs. In the survey, 38 per cent of respondents reported</w:t>
      </w:r>
      <w:r>
        <w:t xml:space="preserve"> that</w:t>
      </w:r>
      <w:r w:rsidRPr="005F3604">
        <w:t xml:space="preserve"> they had used consultants for some aspect of the RIA process. Approximately 80 per cent of these had outsourced </w:t>
      </w:r>
      <w:r>
        <w:t>cost–</w:t>
      </w:r>
      <w:r w:rsidRPr="005F3604">
        <w:t>benefit analysis to consultants while 50 per cent had outsourced completion of the entire RIS (figure 3</w:t>
      </w:r>
      <w:r>
        <w:t>.1</w:t>
      </w:r>
      <w:r w:rsidRPr="005F3604">
        <w:t xml:space="preserve">). Where consultants had been engaged to complete the entire RIS, </w:t>
      </w:r>
      <w:r>
        <w:t>a significant percentage of</w:t>
      </w:r>
      <w:r w:rsidRPr="005F3604">
        <w:t xml:space="preserve"> agency RIA </w:t>
      </w:r>
      <w:r>
        <w:t>costs, for 2010-11,</w:t>
      </w:r>
      <w:r w:rsidRPr="005F3604">
        <w:t xml:space="preserve"> w</w:t>
      </w:r>
      <w:r>
        <w:t>as still</w:t>
      </w:r>
      <w:r w:rsidRPr="005F3604">
        <w:t xml:space="preserve"> </w:t>
      </w:r>
      <w:r>
        <w:t>attributed</w:t>
      </w:r>
      <w:r w:rsidRPr="005F3604">
        <w:t xml:space="preserve"> to internal staff cost</w:t>
      </w:r>
      <w:r>
        <w:t>s</w:t>
      </w:r>
      <w:r w:rsidRPr="005F3604">
        <w:t>.</w:t>
      </w:r>
      <w:r>
        <w:rPr>
          <w:rStyle w:val="FootnoteReference"/>
        </w:rPr>
        <w:footnoteReference w:id="1"/>
      </w:r>
    </w:p>
    <w:p w:rsidR="00B93C61" w:rsidRDefault="00B93C61" w:rsidP="00AB6F48">
      <w:pPr>
        <w:pStyle w:val="BoxSpace"/>
        <w:spacing w:before="12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93C61">
        <w:tc>
          <w:tcPr>
            <w:tcW w:w="8771" w:type="dxa"/>
            <w:tcBorders>
              <w:top w:val="single" w:sz="6" w:space="0" w:color="auto"/>
              <w:bottom w:val="nil"/>
            </w:tcBorders>
          </w:tcPr>
          <w:p w:rsidR="00B93C61" w:rsidRPr="00391A7C" w:rsidRDefault="00B93C61" w:rsidP="00B808C1">
            <w:pPr>
              <w:pStyle w:val="BoxTitle"/>
              <w:rPr>
                <w:sz w:val="18"/>
                <w:szCs w:val="18"/>
              </w:rPr>
            </w:pPr>
            <w:r>
              <w:rPr>
                <w:b w:val="0"/>
              </w:rPr>
              <w:t xml:space="preserve">Box </w:t>
            </w:r>
            <w:r w:rsidR="008B68F5" w:rsidRPr="008B68F5">
              <w:rPr>
                <w:b w:val="0"/>
              </w:rPr>
              <w:t>3.2</w:t>
            </w:r>
            <w:r>
              <w:tab/>
            </w:r>
            <w:r w:rsidR="00B808C1">
              <w:t>Information on the cost of completing a RIS</w:t>
            </w:r>
          </w:p>
        </w:tc>
      </w:tr>
      <w:tr w:rsidR="00B93C61" w:rsidTr="000C1DAC">
        <w:trPr>
          <w:cantSplit/>
          <w:trHeight w:val="2532"/>
        </w:trPr>
        <w:tc>
          <w:tcPr>
            <w:tcW w:w="8771" w:type="dxa"/>
            <w:tcBorders>
              <w:top w:val="nil"/>
              <w:left w:val="single" w:sz="6" w:space="0" w:color="auto"/>
              <w:bottom w:val="nil"/>
              <w:right w:val="single" w:sz="6" w:space="0" w:color="auto"/>
            </w:tcBorders>
          </w:tcPr>
          <w:p w:rsidR="00B808C1" w:rsidRPr="004E512F" w:rsidRDefault="00B808C1" w:rsidP="00B808C1">
            <w:pPr>
              <w:pStyle w:val="BoxHeading1"/>
              <w:rPr>
                <w:b w:val="0"/>
                <w:i/>
                <w:sz w:val="20"/>
              </w:rPr>
            </w:pPr>
            <w:r w:rsidRPr="00AF4E2B">
              <w:rPr>
                <w:b w:val="0"/>
                <w:i/>
                <w:sz w:val="20"/>
              </w:rPr>
              <w:t xml:space="preserve">PC RIA </w:t>
            </w:r>
            <w:r w:rsidRPr="001D06AF">
              <w:rPr>
                <w:b w:val="0"/>
                <w:i/>
                <w:sz w:val="20"/>
              </w:rPr>
              <w:t>S</w:t>
            </w:r>
            <w:r w:rsidRPr="00E67360">
              <w:rPr>
                <w:b w:val="0"/>
                <w:i/>
                <w:sz w:val="20"/>
              </w:rPr>
              <w:t xml:space="preserve">urvey </w:t>
            </w:r>
            <w:r w:rsidRPr="004E512F">
              <w:rPr>
                <w:b w:val="0"/>
                <w:i/>
                <w:sz w:val="20"/>
              </w:rPr>
              <w:t>2012 responses</w:t>
            </w:r>
          </w:p>
          <w:p w:rsidR="00B808C1" w:rsidRPr="00AF4E2B" w:rsidRDefault="00B808C1" w:rsidP="00B808C1">
            <w:pPr>
              <w:pStyle w:val="BoxListBullet"/>
              <w:rPr>
                <w:sz w:val="20"/>
              </w:rPr>
            </w:pPr>
            <w:r w:rsidRPr="00AF4E2B">
              <w:rPr>
                <w:sz w:val="20"/>
              </w:rPr>
              <w:t>Estimates for the cost of a single RIS ranged between $2500 and $450 000.</w:t>
            </w:r>
          </w:p>
          <w:p w:rsidR="00B808C1" w:rsidRPr="00BE3D28" w:rsidRDefault="00B808C1" w:rsidP="00B808C1">
            <w:pPr>
              <w:pStyle w:val="BoxListBullet2"/>
              <w:rPr>
                <w:sz w:val="20"/>
              </w:rPr>
            </w:pPr>
            <w:r w:rsidRPr="00AF4E2B">
              <w:rPr>
                <w:sz w:val="20"/>
              </w:rPr>
              <w:t>The agency that reported completing a RIS for $2500 stated this was at the lower end of typical RIS costs in recent years.</w:t>
            </w:r>
          </w:p>
          <w:p w:rsidR="00B808C1" w:rsidRPr="00BE3D28" w:rsidRDefault="00B808C1" w:rsidP="00B808C1">
            <w:pPr>
              <w:pStyle w:val="BoxListBullet2"/>
              <w:rPr>
                <w:sz w:val="20"/>
              </w:rPr>
            </w:pPr>
            <w:r w:rsidRPr="00AF4E2B">
              <w:rPr>
                <w:sz w:val="20"/>
              </w:rPr>
              <w:t xml:space="preserve">Two agencies each reported a recent RIS with a cost of around $450 000 — one agency prepared a COAG RIS, paying $240 000 to a consultant for cost–benefit analysis and $200 000 for internal staff time. The other agency prepared a state RIS paying $150 000 for consultant input, with the remainder comprising internal costs. </w:t>
            </w:r>
          </w:p>
          <w:p w:rsidR="00B808C1" w:rsidRPr="00B808C1" w:rsidRDefault="00B808C1" w:rsidP="00B808C1">
            <w:pPr>
              <w:pStyle w:val="BoxListBullet"/>
              <w:rPr>
                <w:sz w:val="20"/>
              </w:rPr>
            </w:pPr>
            <w:r w:rsidRPr="00AF4E2B">
              <w:rPr>
                <w:sz w:val="20"/>
              </w:rPr>
              <w:t>Other respondents reported consultant costs of $30 000 to $35 000 for a RIS, but did not provide the total cost for these RISs.</w:t>
            </w:r>
          </w:p>
          <w:p w:rsidR="00B808C1" w:rsidRPr="00AF4E2B" w:rsidRDefault="00B808C1" w:rsidP="00B808C1">
            <w:pPr>
              <w:pStyle w:val="BoxListBullet"/>
              <w:rPr>
                <w:sz w:val="20"/>
              </w:rPr>
            </w:pPr>
            <w:r w:rsidRPr="00AF4E2B">
              <w:rPr>
                <w:sz w:val="20"/>
              </w:rPr>
              <w:t>Two respondents from Commonwealth agencies described the cost of a RIS in terms of staff time:</w:t>
            </w:r>
          </w:p>
          <w:p w:rsidR="00B808C1" w:rsidRPr="00BE3D28" w:rsidRDefault="00B808C1" w:rsidP="00B808C1">
            <w:pPr>
              <w:pStyle w:val="BoxListBullet2"/>
              <w:rPr>
                <w:sz w:val="20"/>
              </w:rPr>
            </w:pPr>
            <w:r w:rsidRPr="004E512F">
              <w:rPr>
                <w:sz w:val="20"/>
              </w:rPr>
              <w:t>One agency reported an averag</w:t>
            </w:r>
            <w:r w:rsidRPr="00D21296">
              <w:rPr>
                <w:sz w:val="20"/>
              </w:rPr>
              <w:t>e RIS required 6 weeks work by a middle-level manager. Proposals which require more complex cost–benefit analysis and more extensive consultation were reported by that agency to take 15 to 20 weeks, while more straightforward proposals could take 2 to 4 we</w:t>
            </w:r>
            <w:r w:rsidRPr="00AF4E2B">
              <w:rPr>
                <w:sz w:val="20"/>
              </w:rPr>
              <w:t>eks.</w:t>
            </w:r>
          </w:p>
          <w:p w:rsidR="00B808C1" w:rsidRPr="00BE3D28" w:rsidRDefault="00B808C1" w:rsidP="00B808C1">
            <w:pPr>
              <w:pStyle w:val="BoxListBullet2"/>
              <w:rPr>
                <w:sz w:val="20"/>
              </w:rPr>
            </w:pPr>
            <w:r w:rsidRPr="00AF4E2B">
              <w:rPr>
                <w:sz w:val="20"/>
              </w:rPr>
              <w:t>Another agency reported that, depending on its size and complexity, a RIS could take between 50 and 145 hours, involving a range of staff levels.</w:t>
            </w:r>
          </w:p>
          <w:p w:rsidR="00B808C1" w:rsidRPr="00BE3D28" w:rsidRDefault="00B808C1" w:rsidP="00B808C1">
            <w:pPr>
              <w:pStyle w:val="BoxHeading1"/>
              <w:rPr>
                <w:b w:val="0"/>
                <w:i/>
                <w:sz w:val="20"/>
              </w:rPr>
            </w:pPr>
            <w:r w:rsidRPr="00AF4E2B">
              <w:rPr>
                <w:b w:val="0"/>
                <w:i/>
                <w:sz w:val="20"/>
              </w:rPr>
              <w:t>Study submission</w:t>
            </w:r>
          </w:p>
          <w:p w:rsidR="00B808C1" w:rsidRPr="00BE3D28" w:rsidRDefault="00B808C1" w:rsidP="00B808C1">
            <w:pPr>
              <w:pStyle w:val="Box"/>
              <w:rPr>
                <w:rFonts w:eastAsiaTheme="minorHAnsi"/>
                <w:sz w:val="20"/>
                <w:lang w:eastAsia="en-US"/>
              </w:rPr>
            </w:pPr>
            <w:r w:rsidRPr="00AF4E2B">
              <w:rPr>
                <w:sz w:val="20"/>
              </w:rPr>
              <w:t>The Australian Government Attorney General’s Department provided the following cost estimates associated with a COAG RIA process currently being undertaken</w:t>
            </w:r>
            <w:r w:rsidR="001E7C44">
              <w:rPr>
                <w:sz w:val="20"/>
              </w:rPr>
              <w:t>:</w:t>
            </w:r>
          </w:p>
          <w:p w:rsidR="00B808C1" w:rsidRPr="00BE3D28" w:rsidRDefault="001E7C44" w:rsidP="00B808C1">
            <w:pPr>
              <w:pStyle w:val="BoxListBullet"/>
              <w:rPr>
                <w:sz w:val="20"/>
              </w:rPr>
            </w:pPr>
            <w:r>
              <w:rPr>
                <w:sz w:val="20"/>
              </w:rPr>
              <w:t>a</w:t>
            </w:r>
            <w:r w:rsidR="00B808C1" w:rsidRPr="00AF4E2B">
              <w:rPr>
                <w:sz w:val="20"/>
              </w:rPr>
              <w:t>pproximately $300 000 for external consultants to conduct focus groups and prepare the consultation and final RISs</w:t>
            </w:r>
          </w:p>
          <w:p w:rsidR="00B808C1" w:rsidRPr="00BE3D28" w:rsidRDefault="001E7C44" w:rsidP="00B808C1">
            <w:pPr>
              <w:pStyle w:val="BoxListBullet"/>
              <w:rPr>
                <w:sz w:val="20"/>
              </w:rPr>
            </w:pPr>
            <w:r>
              <w:rPr>
                <w:sz w:val="20"/>
              </w:rPr>
              <w:t>a</w:t>
            </w:r>
            <w:r w:rsidR="00B808C1" w:rsidRPr="00AF4E2B">
              <w:rPr>
                <w:sz w:val="20"/>
              </w:rPr>
              <w:t>pproximately $50 000 in staff costs to undertake the procurement process to engage external consultants, and</w:t>
            </w:r>
          </w:p>
          <w:p w:rsidR="00B808C1" w:rsidRDefault="001E7C44" w:rsidP="00B808C1">
            <w:pPr>
              <w:pStyle w:val="BoxListBullet"/>
              <w:rPr>
                <w:sz w:val="20"/>
              </w:rPr>
            </w:pPr>
            <w:r>
              <w:rPr>
                <w:sz w:val="20"/>
              </w:rPr>
              <w:t>a</w:t>
            </w:r>
            <w:r w:rsidR="00B808C1" w:rsidRPr="00AF4E2B">
              <w:rPr>
                <w:sz w:val="20"/>
              </w:rPr>
              <w:t>pproximately $90 000 in advertising costs associated with the release of the consultation RIS to ensure adequate coverage of stakeholders, particularly small to medium enterprises (sub. 4).</w:t>
            </w:r>
          </w:p>
          <w:p w:rsidR="00B808C1" w:rsidRPr="001F459C" w:rsidRDefault="00B808C1" w:rsidP="00B808C1">
            <w:pPr>
              <w:pStyle w:val="Box"/>
              <w:rPr>
                <w:i/>
                <w:sz w:val="20"/>
              </w:rPr>
            </w:pPr>
            <w:r w:rsidRPr="001F459C">
              <w:rPr>
                <w:i/>
                <w:sz w:val="20"/>
              </w:rPr>
              <w:t>Office</w:t>
            </w:r>
            <w:r w:rsidRPr="001F459C">
              <w:rPr>
                <w:b/>
                <w:i/>
                <w:sz w:val="20"/>
              </w:rPr>
              <w:t xml:space="preserve"> </w:t>
            </w:r>
            <w:r w:rsidRPr="001F459C">
              <w:rPr>
                <w:i/>
                <w:sz w:val="20"/>
              </w:rPr>
              <w:t>of</w:t>
            </w:r>
            <w:r w:rsidRPr="001F459C">
              <w:rPr>
                <w:b/>
                <w:i/>
                <w:sz w:val="20"/>
              </w:rPr>
              <w:t xml:space="preserve"> </w:t>
            </w:r>
            <w:r w:rsidRPr="001F459C">
              <w:rPr>
                <w:i/>
                <w:sz w:val="20"/>
              </w:rPr>
              <w:t>Regulation</w:t>
            </w:r>
            <w:r w:rsidRPr="001F459C">
              <w:rPr>
                <w:b/>
                <w:i/>
                <w:sz w:val="20"/>
              </w:rPr>
              <w:t xml:space="preserve"> </w:t>
            </w:r>
            <w:r w:rsidRPr="001F459C">
              <w:rPr>
                <w:i/>
                <w:sz w:val="20"/>
              </w:rPr>
              <w:t>Review</w:t>
            </w:r>
            <w:r w:rsidRPr="001F459C">
              <w:rPr>
                <w:b/>
                <w:i/>
                <w:sz w:val="20"/>
              </w:rPr>
              <w:t xml:space="preserve"> </w:t>
            </w:r>
            <w:r w:rsidRPr="001F459C">
              <w:rPr>
                <w:i/>
                <w:sz w:val="20"/>
              </w:rPr>
              <w:t>estimate</w:t>
            </w:r>
          </w:p>
          <w:p w:rsidR="00271B24" w:rsidRPr="00CC2D54" w:rsidRDefault="00B808C1" w:rsidP="001E7C44">
            <w:pPr>
              <w:pStyle w:val="Box"/>
              <w:rPr>
                <w:i/>
              </w:rPr>
            </w:pPr>
            <w:r w:rsidRPr="00311B94">
              <w:rPr>
                <w:sz w:val="20"/>
              </w:rPr>
              <w:t xml:space="preserve">In 2005-06, the Office of Regulation Review (ORR), predecessor to the OBPR as regulatory oversight body for Commonwealth and COAG, asked Australian Government agencies to estimate the number of person days taken to prepare a RIS. It found, on average, </w:t>
            </w:r>
            <w:r w:rsidR="001E7C44" w:rsidRPr="00311B94">
              <w:rPr>
                <w:sz w:val="20"/>
              </w:rPr>
              <w:t xml:space="preserve">that </w:t>
            </w:r>
            <w:r w:rsidRPr="00311B94">
              <w:rPr>
                <w:sz w:val="20"/>
              </w:rPr>
              <w:t>it took nearly 15 person days to prepare a RIS. The ORR estimated that this translated to an average cost of around $5200 (approximately $6000 in current prices). This estimate was based on labour costs alone, other costs such as overheads, capital costs and consultant fees were not included (PC 2006).</w:t>
            </w:r>
          </w:p>
        </w:tc>
      </w:tr>
      <w:tr w:rsidR="00B93C61" w:rsidTr="000C1DAC">
        <w:trPr>
          <w:cantSplit/>
          <w:trHeight w:val="74"/>
        </w:trPr>
        <w:tc>
          <w:tcPr>
            <w:tcW w:w="8771" w:type="dxa"/>
            <w:tcBorders>
              <w:top w:val="nil"/>
              <w:left w:val="single" w:sz="6" w:space="0" w:color="auto"/>
              <w:bottom w:val="single" w:sz="6" w:space="0" w:color="auto"/>
              <w:right w:val="single" w:sz="6" w:space="0" w:color="auto"/>
            </w:tcBorders>
          </w:tcPr>
          <w:p w:rsidR="00B93C61" w:rsidRDefault="00B93C61">
            <w:pPr>
              <w:pStyle w:val="Box"/>
              <w:spacing w:before="0" w:line="120" w:lineRule="exact"/>
            </w:pPr>
          </w:p>
        </w:tc>
      </w:tr>
      <w:tr w:rsidR="00B93C61" w:rsidTr="000C1DAC">
        <w:trPr>
          <w:trHeight w:val="59"/>
        </w:trPr>
        <w:tc>
          <w:tcPr>
            <w:tcW w:w="8771" w:type="dxa"/>
            <w:tcBorders>
              <w:top w:val="nil"/>
              <w:left w:val="nil"/>
              <w:bottom w:val="nil"/>
              <w:right w:val="nil"/>
            </w:tcBorders>
          </w:tcPr>
          <w:p w:rsidR="00B93C61" w:rsidRDefault="00B93C61">
            <w:pPr>
              <w:pStyle w:val="Box"/>
              <w:keepNext w:val="0"/>
              <w:spacing w:before="60" w:after="60" w:line="80" w:lineRule="exact"/>
              <w:rPr>
                <w:b/>
                <w:color w:val="FF00FF"/>
                <w:sz w:val="14"/>
              </w:rPr>
            </w:pPr>
          </w:p>
        </w:tc>
      </w:tr>
    </w:tbl>
    <w:p w:rsidR="00F703E8" w:rsidRPr="005F3604" w:rsidRDefault="00F703E8" w:rsidP="00F703E8">
      <w:pPr>
        <w:pStyle w:val="BodyText"/>
      </w:pPr>
      <w:r>
        <w:lastRenderedPageBreak/>
        <w:t>The median</w:t>
      </w:r>
      <w:r w:rsidRPr="005F3604">
        <w:t xml:space="preserve"> cost of RIA fo</w:t>
      </w:r>
      <w:r>
        <w:t>r 2010-11 was approximately $37 </w:t>
      </w:r>
      <w:r w:rsidRPr="005F3604">
        <w:t>000 higher for agencies that indicated they had used consultants relative to those that had not.</w:t>
      </w:r>
      <w:r>
        <w:t xml:space="preserve"> </w:t>
      </w:r>
      <w:r w:rsidRPr="005F3604">
        <w:t>For one survey respondent</w:t>
      </w:r>
      <w:r>
        <w:t>,</w:t>
      </w:r>
      <w:r w:rsidRPr="005F3604">
        <w:t xml:space="preserve"> </w:t>
      </w:r>
      <w:r>
        <w:t>t</w:t>
      </w:r>
      <w:r w:rsidRPr="005F3604">
        <w:t xml:space="preserve">his difference </w:t>
      </w:r>
      <w:r>
        <w:t>was</w:t>
      </w:r>
      <w:r w:rsidRPr="005F3604">
        <w:t xml:space="preserve"> explained </w:t>
      </w:r>
      <w:r>
        <w:t>by high consultant fees relative to internal costs:</w:t>
      </w:r>
    </w:p>
    <w:p w:rsidR="00F703E8" w:rsidRPr="005F3604" w:rsidRDefault="00F703E8" w:rsidP="00F703E8">
      <w:pPr>
        <w:pStyle w:val="Quote"/>
      </w:pPr>
      <w:r w:rsidRPr="005F3604">
        <w:t>From the tender process, a typical RIS on a major topic would cost around $100</w:t>
      </w:r>
      <w:r>
        <w:t> </w:t>
      </w:r>
      <w:r w:rsidRPr="005F3604">
        <w:t>000 with some tenders at $120</w:t>
      </w:r>
      <w:r>
        <w:t> </w:t>
      </w:r>
      <w:r w:rsidRPr="005F3604">
        <w:t>000 and $150</w:t>
      </w:r>
      <w:r>
        <w:t> 000. In-</w:t>
      </w:r>
      <w:r w:rsidRPr="005F3604">
        <w:t>house cost of a similar RIS would be $75</w:t>
      </w:r>
      <w:r>
        <w:t> 000. (PC RIA Survey 2012)</w:t>
      </w:r>
    </w:p>
    <w:p w:rsidR="00F703E8" w:rsidRPr="005F3604" w:rsidRDefault="00F703E8" w:rsidP="00B36395">
      <w:pPr>
        <w:pStyle w:val="BodyText"/>
      </w:pPr>
      <w:r>
        <w:t>Alternatively, t</w:t>
      </w:r>
      <w:r w:rsidRPr="005F3604">
        <w:t xml:space="preserve">he </w:t>
      </w:r>
      <w:r>
        <w:t>cost difference may be due</w:t>
      </w:r>
      <w:r w:rsidRPr="005F3604">
        <w:t xml:space="preserve"> to agencies seek</w:t>
      </w:r>
      <w:r>
        <w:t>ing</w:t>
      </w:r>
      <w:r w:rsidRPr="005F3604">
        <w:t xml:space="preserve"> assistance from consultants on more complex proposals</w:t>
      </w:r>
      <w:r>
        <w:t>. It may also relate to an underestimate of the internal cost of RISs relative to consultant costs, if overhead costs of RISs prepared internally are difficult to measure.</w:t>
      </w:r>
    </w:p>
    <w:p w:rsidR="008C01F7" w:rsidRDefault="008C01F7" w:rsidP="005C1FB7">
      <w:pPr>
        <w:pStyle w:val="FigureTitle"/>
      </w:pPr>
      <w:r>
        <w:rPr>
          <w:b w:val="0"/>
        </w:rPr>
        <w:t xml:space="preserve">Figure </w:t>
      </w:r>
      <w:r w:rsidR="00287B41">
        <w:rPr>
          <w:b w:val="0"/>
        </w:rPr>
        <w:t>3.</w:t>
      </w:r>
      <w:r w:rsidR="00702C9A">
        <w:rPr>
          <w:b w:val="0"/>
          <w:noProof/>
        </w:rPr>
        <w:t>1</w:t>
      </w:r>
      <w:r w:rsidR="00803822">
        <w:tab/>
        <w:t>For w</w:t>
      </w:r>
      <w:r>
        <w:t>hat part of the RIA p</w:t>
      </w:r>
      <w:r w:rsidR="00803822">
        <w:t>rocess were consultants used</w:t>
      </w:r>
      <w:r w:rsidR="005C1FB7">
        <w: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8C01F7" w:rsidTr="00E94CA1">
        <w:tc>
          <w:tcPr>
            <w:tcW w:w="8777" w:type="dxa"/>
          </w:tcPr>
          <w:p w:rsidR="008C01F7" w:rsidRDefault="00E94CA1">
            <w:pPr>
              <w:pStyle w:val="Figure"/>
            </w:pPr>
            <w:r w:rsidRPr="00E94CA1">
              <w:rPr>
                <w:noProof/>
              </w:rPr>
              <w:drawing>
                <wp:inline distT="0" distB="0" distL="0" distR="0" wp14:anchorId="351B36CB" wp14:editId="7011D87E">
                  <wp:extent cx="5429250" cy="2333625"/>
                  <wp:effectExtent l="0" t="0" r="0" b="0"/>
                  <wp:docPr id="1" name="Chart 1" descr="Figure 3.1 For what part of the RIA process were consultants used? This chart shows the different functions consultants performed in RIA processes across 23 surveyed agencies.&#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8C01F7" w:rsidRDefault="008C01F7" w:rsidP="008C01F7">
      <w:pPr>
        <w:pStyle w:val="Note"/>
      </w:pPr>
      <w:r>
        <w:rPr>
          <w:rStyle w:val="NoteLabel"/>
        </w:rPr>
        <w:t>a</w:t>
      </w:r>
      <w:r>
        <w:t xml:space="preserve"> Based on 23 agencies which </w:t>
      </w:r>
      <w:r w:rsidR="00C843C1">
        <w:t>indicated</w:t>
      </w:r>
      <w:r>
        <w:t xml:space="preserve"> they had used consultants for RIA. This question related to use of consultants in general, rather than for a particular RIS. As such, agencies were able to select multiple options.</w:t>
      </w:r>
    </w:p>
    <w:p w:rsidR="00AF4E2B" w:rsidRPr="0057237F" w:rsidRDefault="008C01F7" w:rsidP="00AF4E2B">
      <w:pPr>
        <w:pStyle w:val="Source"/>
      </w:pPr>
      <w:r>
        <w:rPr>
          <w:i/>
        </w:rPr>
        <w:t>Data source</w:t>
      </w:r>
      <w:r w:rsidRPr="00167F06">
        <w:t xml:space="preserve">: </w:t>
      </w:r>
      <w:r>
        <w:t xml:space="preserve">PC </w:t>
      </w:r>
      <w:r w:rsidR="001E3AF6">
        <w:t xml:space="preserve">RIA </w:t>
      </w:r>
      <w:r>
        <w:t xml:space="preserve">Survey </w:t>
      </w:r>
      <w:r w:rsidR="005E7675">
        <w:t>(</w:t>
      </w:r>
      <w:r>
        <w:t>2012</w:t>
      </w:r>
      <w:r w:rsidR="005E7675">
        <w:t>)</w:t>
      </w:r>
      <w:r>
        <w:t>.</w:t>
      </w:r>
    </w:p>
    <w:p w:rsidR="006D6348" w:rsidRDefault="00287B41" w:rsidP="006D6348">
      <w:pPr>
        <w:pStyle w:val="Heading2"/>
      </w:pPr>
      <w:r>
        <w:t>3.</w:t>
      </w:r>
      <w:r w:rsidR="00702C9A">
        <w:rPr>
          <w:noProof/>
        </w:rPr>
        <w:t>2</w:t>
      </w:r>
      <w:r w:rsidR="00071134">
        <w:tab/>
        <w:t>Regulatory oversight b</w:t>
      </w:r>
      <w:r w:rsidR="00317DB6">
        <w:t>odies</w:t>
      </w:r>
    </w:p>
    <w:p w:rsidR="00205857" w:rsidRDefault="009F4D5C" w:rsidP="00205857">
      <w:pPr>
        <w:pStyle w:val="BodyText"/>
      </w:pPr>
      <w:r w:rsidRPr="00E27649">
        <w:t>Consistent with best practice, all Australian jurisdictions h</w:t>
      </w:r>
      <w:r>
        <w:t>ave a regulatory oversight body</w:t>
      </w:r>
      <w:r w:rsidRPr="00E27649">
        <w:t xml:space="preserve"> which administers </w:t>
      </w:r>
      <w:r w:rsidR="001C66E4">
        <w:t xml:space="preserve">and promotes </w:t>
      </w:r>
      <w:r w:rsidRPr="00E27649">
        <w:t>the RIA process</w:t>
      </w:r>
      <w:r w:rsidR="001C66E4">
        <w:t>.</w:t>
      </w:r>
      <w:r>
        <w:t xml:space="preserve"> </w:t>
      </w:r>
      <w:r w:rsidR="00AA33AE">
        <w:t>The key functions of oversight bodies</w:t>
      </w:r>
      <w:r w:rsidR="00B450AA">
        <w:t xml:space="preserve"> can</w:t>
      </w:r>
      <w:r w:rsidR="00CF646F">
        <w:t xml:space="preserve"> </w:t>
      </w:r>
      <w:r w:rsidR="00CD0F2C">
        <w:t>include</w:t>
      </w:r>
      <w:r w:rsidR="00205857">
        <w:t>:</w:t>
      </w:r>
    </w:p>
    <w:p w:rsidR="004D4900" w:rsidRDefault="004D4900" w:rsidP="004D4900">
      <w:pPr>
        <w:pStyle w:val="ListBullet"/>
      </w:pPr>
      <w:r>
        <w:t>deciding whether proposals require RISs</w:t>
      </w:r>
    </w:p>
    <w:p w:rsidR="004D4900" w:rsidRDefault="004D4900" w:rsidP="004D4900">
      <w:pPr>
        <w:pStyle w:val="ListBullet"/>
      </w:pPr>
      <w:r>
        <w:t>providing training and advice on the RIA process</w:t>
      </w:r>
    </w:p>
    <w:p w:rsidR="004D4900" w:rsidRDefault="004D4900" w:rsidP="004D4900">
      <w:pPr>
        <w:pStyle w:val="ListBullet"/>
      </w:pPr>
      <w:r>
        <w:t>examining and advising on adequacy of RISs</w:t>
      </w:r>
    </w:p>
    <w:p w:rsidR="004D4900" w:rsidRPr="0057237F" w:rsidRDefault="004D4900" w:rsidP="004D4900">
      <w:pPr>
        <w:pStyle w:val="ListBullet"/>
      </w:pPr>
      <w:r>
        <w:t>reporting annually on agency compliance with the RIA process.</w:t>
      </w:r>
    </w:p>
    <w:p w:rsidR="004D4900" w:rsidRPr="0057237F" w:rsidRDefault="004D4900" w:rsidP="004D4900">
      <w:pPr>
        <w:pStyle w:val="BodyText"/>
      </w:pPr>
      <w:r>
        <w:lastRenderedPageBreak/>
        <w:t>These functions may be performed by a single office or several agencies. Oversight bodies may also have other functions related to RIA, such as maintaining RIA guidance material and publishing RIS documents and adequacy assessments. They can also have roles which are not directly related to RIA, such as reviewing existing regulation, reducing red tape and conducting inquiries on behalf of government.</w:t>
      </w:r>
    </w:p>
    <w:p w:rsidR="006D6348" w:rsidRDefault="00A75A4B" w:rsidP="006D6348">
      <w:pPr>
        <w:pStyle w:val="Heading3"/>
      </w:pPr>
      <w:r>
        <w:t>Who are the r</w:t>
      </w:r>
      <w:r w:rsidR="00F40BDB">
        <w:t>egulatory oversight bodies in Australia</w:t>
      </w:r>
      <w:r>
        <w:t>?</w:t>
      </w:r>
    </w:p>
    <w:p w:rsidR="00054463" w:rsidRPr="005F3604" w:rsidRDefault="001C66E4" w:rsidP="00FF53EE">
      <w:pPr>
        <w:pStyle w:val="BodyText"/>
      </w:pPr>
      <w:r>
        <w:t xml:space="preserve">The </w:t>
      </w:r>
      <w:r w:rsidR="00A66616">
        <w:t xml:space="preserve">regulatory oversight </w:t>
      </w:r>
      <w:r>
        <w:t xml:space="preserve">function in each jurisdiction was generally established </w:t>
      </w:r>
      <w:r w:rsidR="00F7088E">
        <w:t>with the introduction of RIA requirements</w:t>
      </w:r>
      <w:r w:rsidRPr="001C66E4">
        <w:t xml:space="preserve"> </w:t>
      </w:r>
      <w:r>
        <w:t>(table 3</w:t>
      </w:r>
      <w:r w:rsidRPr="00366EFF">
        <w:t>.2</w:t>
      </w:r>
      <w:r>
        <w:t xml:space="preserve">). </w:t>
      </w:r>
      <w:r w:rsidR="00DA0F56" w:rsidRPr="00DA0F56">
        <w:t>The Australian Government introduced RIA requirements and an oversight body in 1985 (OECD 2010</w:t>
      </w:r>
      <w:r w:rsidR="009022C4">
        <w:t>b</w:t>
      </w:r>
      <w:r w:rsidR="00DA0F56" w:rsidRPr="00DA0F56">
        <w:t>). That body, now called the Office of Best Practice Regulation (OBPR), was also made responsible for oversight of the COAG RIA process in 1995. Victoria and New South Wales were the first states to establish regulatory oversight in the mid to late 1980s. Other jurisdictions introduced regulatory oversight more recently, with Western Australia establishing a RIA process for the first time in 2009.</w:t>
      </w:r>
    </w:p>
    <w:p w:rsidR="00054463" w:rsidRDefault="00054463" w:rsidP="00054463">
      <w:pPr>
        <w:pStyle w:val="BodyText"/>
      </w:pPr>
      <w:r w:rsidRPr="002F710A">
        <w:t>Australia</w:t>
      </w:r>
      <w:r w:rsidR="004260EE">
        <w:t>’</w:t>
      </w:r>
      <w:r w:rsidR="001C66E4">
        <w:t>s regulatory</w:t>
      </w:r>
      <w:r w:rsidR="001C66E4" w:rsidRPr="002F710A">
        <w:t xml:space="preserve"> </w:t>
      </w:r>
      <w:r w:rsidRPr="002F710A">
        <w:t>oversight bodies tend to reside at the centre of executive government</w:t>
      </w:r>
      <w:r w:rsidR="001C66E4">
        <w:t>s</w:t>
      </w:r>
      <w:r w:rsidRPr="002F710A">
        <w:t xml:space="preserve">, typically in the </w:t>
      </w:r>
      <w:r w:rsidR="001C66E4">
        <w:t xml:space="preserve">jurisdiction’s </w:t>
      </w:r>
      <w:r w:rsidRPr="002F710A">
        <w:t xml:space="preserve">Department of Treasury or Department of Premier and Cabinet. </w:t>
      </w:r>
      <w:r>
        <w:t>T</w:t>
      </w:r>
      <w:r w:rsidRPr="002F710A">
        <w:t xml:space="preserve">he </w:t>
      </w:r>
      <w:r>
        <w:t>exceptions to this are:</w:t>
      </w:r>
    </w:p>
    <w:p w:rsidR="00054463" w:rsidRDefault="00054463" w:rsidP="00054463">
      <w:pPr>
        <w:pStyle w:val="ListBullet"/>
      </w:pPr>
      <w:r>
        <w:t xml:space="preserve">the </w:t>
      </w:r>
      <w:r w:rsidRPr="002F710A">
        <w:t>Victorian Competition and Efficiency Commission (VCEC)</w:t>
      </w:r>
      <w:r>
        <w:t xml:space="preserve"> which is</w:t>
      </w:r>
      <w:r w:rsidRPr="002F710A">
        <w:t xml:space="preserve"> an independent advisory body established under the </w:t>
      </w:r>
      <w:r w:rsidRPr="002F710A">
        <w:rPr>
          <w:i/>
        </w:rPr>
        <w:t>State Owned Enterprises Act 1992</w:t>
      </w:r>
      <w:r w:rsidRPr="002F710A">
        <w:t> (Vic)</w:t>
      </w:r>
      <w:r>
        <w:t xml:space="preserve"> </w:t>
      </w:r>
    </w:p>
    <w:p w:rsidR="00054463" w:rsidRPr="002F710A" w:rsidRDefault="00054463" w:rsidP="00054463">
      <w:pPr>
        <w:pStyle w:val="ListBullet"/>
      </w:pPr>
      <w:r>
        <w:t>the Queensland Office of Best Practice Regulation (QOBPR) which was established in July 2012 within the Queensland Competition Authority — an independent statutory authority.</w:t>
      </w:r>
    </w:p>
    <w:p w:rsidR="00054463" w:rsidRDefault="001C66E4" w:rsidP="00054463">
      <w:pPr>
        <w:pStyle w:val="BodyText"/>
      </w:pPr>
      <w:r>
        <w:t>The</w:t>
      </w:r>
      <w:r w:rsidR="00054463">
        <w:t xml:space="preserve"> relative merits of different locations for the </w:t>
      </w:r>
      <w:r w:rsidR="00DA0F56">
        <w:t>regulatory oversight function are</w:t>
      </w:r>
      <w:r w:rsidR="00054463">
        <w:t xml:space="preserve"> </w:t>
      </w:r>
      <w:r>
        <w:t xml:space="preserve">discussed </w:t>
      </w:r>
      <w:r w:rsidR="00054463">
        <w:t>in chapter 8</w:t>
      </w:r>
      <w:r>
        <w:t xml:space="preserve"> in the context of accountability and quality control of RIA processes</w:t>
      </w:r>
      <w:r w:rsidR="00054463">
        <w:t>.</w:t>
      </w:r>
    </w:p>
    <w:p w:rsidR="00F703E8" w:rsidRDefault="00F703E8" w:rsidP="00054463">
      <w:pPr>
        <w:pStyle w:val="BodyText"/>
      </w:pPr>
      <w:r w:rsidRPr="002F710A">
        <w:t>In the majority of jurisdictions, oversight functions are performed by a single office, with the exception of the Northern Territory and South Australia. In the Northern Territory, the</w:t>
      </w:r>
      <w:r>
        <w:t xml:space="preserve"> Regulation Impact Unit</w:t>
      </w:r>
      <w:r w:rsidRPr="002F710A">
        <w:t xml:space="preserve"> in the Department of Treasury</w:t>
      </w:r>
      <w:r w:rsidR="006B2C37">
        <w:t xml:space="preserve"> and Finance</w:t>
      </w:r>
      <w:r w:rsidRPr="002F710A">
        <w:t xml:space="preserve"> advises agencies and provides administrative support to the Regulation Impact Committee</w:t>
      </w:r>
      <w:r>
        <w:t xml:space="preserve">, which </w:t>
      </w:r>
      <w:r w:rsidRPr="002F710A">
        <w:t>assesses and certifies the adequacy of RISs.</w:t>
      </w:r>
      <w:r>
        <w:t xml:space="preserve"> </w:t>
      </w:r>
      <w:r w:rsidRPr="002F710A">
        <w:t xml:space="preserve">In South Australia, the Cabinet Office signs off </w:t>
      </w:r>
      <w:r>
        <w:t>RIS</w:t>
      </w:r>
      <w:r w:rsidRPr="002F710A">
        <w:t xml:space="preserve">s for submission to Cabinet under the advisement of </w:t>
      </w:r>
      <w:r>
        <w:t>four</w:t>
      </w:r>
      <w:r w:rsidRPr="002F710A">
        <w:t xml:space="preserve"> ‘impact assessment agencies’</w:t>
      </w:r>
      <w:r>
        <w:t xml:space="preserve"> which </w:t>
      </w:r>
      <w:r w:rsidRPr="002F710A">
        <w:t xml:space="preserve">need to indicate they are satisfied that the RIS meets an appropriate standard in their area in order for a proposal to be signed off by Cabinet Office (SA </w:t>
      </w:r>
      <w:r>
        <w:t xml:space="preserve">DPC and DTF </w:t>
      </w:r>
      <w:r w:rsidRPr="002F710A">
        <w:t xml:space="preserve">2011). </w:t>
      </w:r>
    </w:p>
    <w:p w:rsidR="00501C01" w:rsidRDefault="00501C01" w:rsidP="00501C01">
      <w:pPr>
        <w:pStyle w:val="TableTitle"/>
        <w:rPr>
          <w:sz w:val="24"/>
        </w:rPr>
      </w:pPr>
      <w:r>
        <w:rPr>
          <w:b w:val="0"/>
        </w:rPr>
        <w:lastRenderedPageBreak/>
        <w:t xml:space="preserve">Table </w:t>
      </w:r>
      <w:r w:rsidR="00287B41">
        <w:rPr>
          <w:b w:val="0"/>
        </w:rPr>
        <w:t>3.</w:t>
      </w:r>
      <w:r w:rsidR="00702C9A">
        <w:rPr>
          <w:b w:val="0"/>
          <w:noProof/>
        </w:rPr>
        <w:t>2</w:t>
      </w:r>
      <w:r>
        <w:tab/>
      </w:r>
      <w:r>
        <w:rPr>
          <w:sz w:val="24"/>
        </w:rPr>
        <w:t>Regulatory oversight bodies</w:t>
      </w:r>
    </w:p>
    <w:p w:rsidR="00501C01" w:rsidRPr="00296C5D" w:rsidRDefault="00173EB7" w:rsidP="00501C01">
      <w:pPr>
        <w:pStyle w:val="Subtitle"/>
      </w:pPr>
      <w:r>
        <w:t>As</w:t>
      </w:r>
      <w:r w:rsidR="00454A67">
        <w:t xml:space="preserve"> at January 2012</w:t>
      </w:r>
    </w:p>
    <w:tbl>
      <w:tblPr>
        <w:tblW w:w="5000" w:type="pct"/>
        <w:tblLayout w:type="fixed"/>
        <w:tblCellMar>
          <w:left w:w="0" w:type="dxa"/>
          <w:right w:w="0" w:type="dxa"/>
        </w:tblCellMar>
        <w:tblLook w:val="0000" w:firstRow="0" w:lastRow="0" w:firstColumn="0" w:lastColumn="0" w:noHBand="0" w:noVBand="0"/>
      </w:tblPr>
      <w:tblGrid>
        <w:gridCol w:w="851"/>
        <w:gridCol w:w="4678"/>
        <w:gridCol w:w="2269"/>
        <w:gridCol w:w="991"/>
      </w:tblGrid>
      <w:tr w:rsidR="00501C01" w:rsidTr="00F23F17">
        <w:tc>
          <w:tcPr>
            <w:tcW w:w="484" w:type="pct"/>
            <w:tcBorders>
              <w:top w:val="single" w:sz="6" w:space="0" w:color="auto"/>
              <w:bottom w:val="single" w:sz="6" w:space="0" w:color="auto"/>
            </w:tcBorders>
            <w:shd w:val="clear" w:color="auto" w:fill="auto"/>
          </w:tcPr>
          <w:p w:rsidR="00501C01" w:rsidRDefault="00501C01" w:rsidP="00501C01">
            <w:pPr>
              <w:pStyle w:val="TableColumnHeading"/>
              <w:jc w:val="left"/>
            </w:pPr>
          </w:p>
        </w:tc>
        <w:tc>
          <w:tcPr>
            <w:tcW w:w="2661" w:type="pct"/>
            <w:tcBorders>
              <w:top w:val="single" w:sz="6" w:space="0" w:color="auto"/>
              <w:bottom w:val="single" w:sz="6" w:space="0" w:color="auto"/>
            </w:tcBorders>
            <w:shd w:val="clear" w:color="auto" w:fill="auto"/>
          </w:tcPr>
          <w:p w:rsidR="00501C01" w:rsidRDefault="00501C01" w:rsidP="00501C01">
            <w:pPr>
              <w:pStyle w:val="TableColumnHeading"/>
              <w:jc w:val="left"/>
            </w:pPr>
            <w:r>
              <w:t>Regulatory oversight body</w:t>
            </w:r>
          </w:p>
        </w:tc>
        <w:tc>
          <w:tcPr>
            <w:tcW w:w="1291" w:type="pct"/>
            <w:tcBorders>
              <w:top w:val="single" w:sz="6" w:space="0" w:color="auto"/>
              <w:bottom w:val="single" w:sz="6" w:space="0" w:color="auto"/>
            </w:tcBorders>
            <w:shd w:val="clear" w:color="auto" w:fill="auto"/>
          </w:tcPr>
          <w:p w:rsidR="00501C01" w:rsidRDefault="00501C01" w:rsidP="00501C01">
            <w:pPr>
              <w:pStyle w:val="TableColumnHeading"/>
              <w:ind w:right="28"/>
              <w:jc w:val="left"/>
            </w:pPr>
            <w:r>
              <w:t>Location in government</w:t>
            </w:r>
          </w:p>
        </w:tc>
        <w:tc>
          <w:tcPr>
            <w:tcW w:w="564" w:type="pct"/>
            <w:tcBorders>
              <w:top w:val="single" w:sz="6" w:space="0" w:color="auto"/>
              <w:bottom w:val="single" w:sz="6" w:space="0" w:color="auto"/>
            </w:tcBorders>
          </w:tcPr>
          <w:p w:rsidR="00501C01" w:rsidRDefault="00501C01" w:rsidP="00501C01">
            <w:pPr>
              <w:pStyle w:val="TableColumnHeading"/>
              <w:ind w:right="28"/>
              <w:jc w:val="left"/>
            </w:pPr>
            <w:r>
              <w:t>Introduced</w:t>
            </w:r>
          </w:p>
        </w:tc>
      </w:tr>
      <w:tr w:rsidR="00501C01" w:rsidTr="00F23F17">
        <w:tc>
          <w:tcPr>
            <w:tcW w:w="484" w:type="pct"/>
            <w:tcBorders>
              <w:top w:val="single" w:sz="6" w:space="0" w:color="auto"/>
            </w:tcBorders>
          </w:tcPr>
          <w:p w:rsidR="00501C01" w:rsidRDefault="00501C01" w:rsidP="00501C01">
            <w:pPr>
              <w:pStyle w:val="TableUnitsRow"/>
              <w:jc w:val="left"/>
            </w:pPr>
            <w:r>
              <w:t>Cwlth</w:t>
            </w:r>
          </w:p>
        </w:tc>
        <w:tc>
          <w:tcPr>
            <w:tcW w:w="2661" w:type="pct"/>
            <w:tcBorders>
              <w:top w:val="single" w:sz="6" w:space="0" w:color="auto"/>
            </w:tcBorders>
          </w:tcPr>
          <w:p w:rsidR="00501C01" w:rsidRDefault="00501C01" w:rsidP="00501C01">
            <w:pPr>
              <w:pStyle w:val="TableUnitsRow"/>
              <w:jc w:val="left"/>
            </w:pPr>
            <w:r>
              <w:t>Office of Best Practice Regulation (OBPR)</w:t>
            </w:r>
          </w:p>
        </w:tc>
        <w:tc>
          <w:tcPr>
            <w:tcW w:w="1291" w:type="pct"/>
            <w:tcBorders>
              <w:top w:val="single" w:sz="6" w:space="0" w:color="auto"/>
            </w:tcBorders>
          </w:tcPr>
          <w:p w:rsidR="00501C01" w:rsidRDefault="00501C01" w:rsidP="00DA0F56">
            <w:pPr>
              <w:pStyle w:val="TableUnitsRow"/>
              <w:ind w:left="0" w:right="28"/>
              <w:jc w:val="left"/>
            </w:pPr>
            <w:r>
              <w:t>Department of Finance and Deregulation (DFD)</w:t>
            </w:r>
          </w:p>
        </w:tc>
        <w:tc>
          <w:tcPr>
            <w:tcW w:w="564" w:type="pct"/>
            <w:tcBorders>
              <w:top w:val="single" w:sz="6" w:space="0" w:color="auto"/>
            </w:tcBorders>
          </w:tcPr>
          <w:p w:rsidR="00501C01" w:rsidRDefault="00501C01" w:rsidP="00CC2D54">
            <w:pPr>
              <w:pStyle w:val="TableUnitsRow"/>
              <w:ind w:right="28" w:firstLine="134"/>
              <w:jc w:val="left"/>
            </w:pPr>
            <w:r>
              <w:t>1985</w:t>
            </w:r>
            <w:r>
              <w:rPr>
                <w:rStyle w:val="NoteLabel"/>
              </w:rPr>
              <w:t xml:space="preserve"> a</w:t>
            </w:r>
          </w:p>
        </w:tc>
      </w:tr>
      <w:tr w:rsidR="00501C01" w:rsidTr="00F23F17">
        <w:tc>
          <w:tcPr>
            <w:tcW w:w="484" w:type="pct"/>
            <w:shd w:val="pct15" w:color="auto" w:fill="auto"/>
          </w:tcPr>
          <w:p w:rsidR="00501C01" w:rsidRDefault="00501C01" w:rsidP="00AD44A1">
            <w:pPr>
              <w:pStyle w:val="TableBodyText"/>
              <w:spacing w:before="40"/>
              <w:jc w:val="left"/>
            </w:pPr>
            <w:r>
              <w:t>COAG</w:t>
            </w:r>
          </w:p>
        </w:tc>
        <w:tc>
          <w:tcPr>
            <w:tcW w:w="2661" w:type="pct"/>
            <w:shd w:val="pct15" w:color="auto" w:fill="auto"/>
          </w:tcPr>
          <w:p w:rsidR="00501C01" w:rsidRDefault="00501C01" w:rsidP="00AD44A1">
            <w:pPr>
              <w:pStyle w:val="TableBodyText"/>
              <w:spacing w:before="40"/>
              <w:jc w:val="left"/>
            </w:pPr>
            <w:r>
              <w:t>OBPR</w:t>
            </w:r>
          </w:p>
        </w:tc>
        <w:tc>
          <w:tcPr>
            <w:tcW w:w="1291" w:type="pct"/>
            <w:shd w:val="pct15" w:color="auto" w:fill="auto"/>
          </w:tcPr>
          <w:p w:rsidR="00501C01" w:rsidRDefault="00501C01" w:rsidP="00DA0F56">
            <w:pPr>
              <w:pStyle w:val="TableBodyText"/>
              <w:spacing w:before="40"/>
              <w:ind w:left="0" w:right="28"/>
              <w:jc w:val="left"/>
            </w:pPr>
            <w:r>
              <w:t>DFD</w:t>
            </w:r>
          </w:p>
        </w:tc>
        <w:tc>
          <w:tcPr>
            <w:tcW w:w="564" w:type="pct"/>
            <w:shd w:val="pct15" w:color="auto" w:fill="auto"/>
          </w:tcPr>
          <w:p w:rsidR="00501C01" w:rsidRPr="0057237F" w:rsidRDefault="00501C01" w:rsidP="0057237F">
            <w:pPr>
              <w:pStyle w:val="TableBodyText"/>
              <w:spacing w:before="40"/>
              <w:ind w:right="28" w:firstLine="134"/>
              <w:jc w:val="left"/>
            </w:pPr>
            <w:r w:rsidRPr="0057237F">
              <w:t>1995</w:t>
            </w:r>
          </w:p>
        </w:tc>
      </w:tr>
      <w:tr w:rsidR="00501C01" w:rsidTr="00F23F17">
        <w:tc>
          <w:tcPr>
            <w:tcW w:w="484" w:type="pct"/>
          </w:tcPr>
          <w:p w:rsidR="00501C01" w:rsidRDefault="00501C01" w:rsidP="00AD44A1">
            <w:pPr>
              <w:pStyle w:val="TableBodyText"/>
              <w:spacing w:before="40"/>
              <w:jc w:val="left"/>
            </w:pPr>
            <w:r>
              <w:t>NSW</w:t>
            </w:r>
          </w:p>
        </w:tc>
        <w:tc>
          <w:tcPr>
            <w:tcW w:w="2661" w:type="pct"/>
          </w:tcPr>
          <w:p w:rsidR="00501C01" w:rsidRDefault="00501C01" w:rsidP="00AD44A1">
            <w:pPr>
              <w:pStyle w:val="TableBodyText"/>
              <w:spacing w:before="40"/>
              <w:jc w:val="left"/>
            </w:pPr>
            <w:r>
              <w:t>Better Regulation Office</w:t>
            </w:r>
            <w:r w:rsidR="00F703E8">
              <w:t xml:space="preserve"> (BRO)</w:t>
            </w:r>
          </w:p>
        </w:tc>
        <w:tc>
          <w:tcPr>
            <w:tcW w:w="1291" w:type="pct"/>
          </w:tcPr>
          <w:p w:rsidR="00501C01" w:rsidRDefault="00501C01" w:rsidP="00DA0F56">
            <w:pPr>
              <w:pStyle w:val="TableBodyText"/>
              <w:spacing w:before="40"/>
              <w:ind w:left="0" w:right="28"/>
              <w:jc w:val="left"/>
            </w:pPr>
            <w:r>
              <w:t>Department of Premier and Cabinet</w:t>
            </w:r>
          </w:p>
        </w:tc>
        <w:tc>
          <w:tcPr>
            <w:tcW w:w="564" w:type="pct"/>
          </w:tcPr>
          <w:p w:rsidR="00501C01" w:rsidRDefault="00501C01" w:rsidP="00AD44A1">
            <w:pPr>
              <w:pStyle w:val="TableBodyText"/>
              <w:spacing w:before="40"/>
              <w:ind w:right="28" w:firstLine="134"/>
              <w:jc w:val="left"/>
            </w:pPr>
            <w:r>
              <w:t>1989</w:t>
            </w:r>
          </w:p>
        </w:tc>
      </w:tr>
      <w:tr w:rsidR="00501C01" w:rsidTr="00F23F17">
        <w:tc>
          <w:tcPr>
            <w:tcW w:w="484" w:type="pct"/>
            <w:shd w:val="pct15" w:color="auto" w:fill="auto"/>
          </w:tcPr>
          <w:p w:rsidR="00501C01" w:rsidRDefault="00501C01" w:rsidP="00AD44A1">
            <w:pPr>
              <w:pStyle w:val="TableBodyText"/>
              <w:spacing w:before="40"/>
              <w:jc w:val="left"/>
            </w:pPr>
            <w:r>
              <w:t>Vic</w:t>
            </w:r>
          </w:p>
        </w:tc>
        <w:tc>
          <w:tcPr>
            <w:tcW w:w="2661" w:type="pct"/>
            <w:shd w:val="pct15" w:color="auto" w:fill="auto"/>
          </w:tcPr>
          <w:p w:rsidR="00501C01" w:rsidRDefault="00501C01" w:rsidP="00AD44A1">
            <w:pPr>
              <w:pStyle w:val="TableBodyText"/>
              <w:spacing w:before="40"/>
              <w:jc w:val="left"/>
            </w:pPr>
            <w:r>
              <w:t xml:space="preserve">Victorian Competition and Efficiency </w:t>
            </w:r>
            <w:r w:rsidR="00630E6C">
              <w:br/>
              <w:t xml:space="preserve">  </w:t>
            </w:r>
            <w:r>
              <w:t>Commission</w:t>
            </w:r>
            <w:r w:rsidR="007242E5">
              <w:t xml:space="preserve"> (VCEC)</w:t>
            </w:r>
          </w:p>
        </w:tc>
        <w:tc>
          <w:tcPr>
            <w:tcW w:w="1291" w:type="pct"/>
            <w:shd w:val="pct15" w:color="auto" w:fill="auto"/>
          </w:tcPr>
          <w:p w:rsidR="00501C01" w:rsidRDefault="00501C01" w:rsidP="00DA0F56">
            <w:pPr>
              <w:pStyle w:val="TableBodyText"/>
              <w:spacing w:before="40"/>
              <w:ind w:left="0" w:right="28"/>
              <w:jc w:val="left"/>
            </w:pPr>
            <w:r>
              <w:t xml:space="preserve">Independent state body — Department of Treasury and Finance Portfolio </w:t>
            </w:r>
          </w:p>
        </w:tc>
        <w:tc>
          <w:tcPr>
            <w:tcW w:w="564" w:type="pct"/>
            <w:shd w:val="pct15" w:color="auto" w:fill="auto"/>
          </w:tcPr>
          <w:p w:rsidR="00501C01" w:rsidRPr="00977D8B" w:rsidRDefault="00501C01" w:rsidP="00AD44A1">
            <w:pPr>
              <w:pStyle w:val="TableBodyText"/>
              <w:spacing w:before="40"/>
              <w:ind w:right="28" w:firstLine="134"/>
              <w:jc w:val="left"/>
              <w:rPr>
                <w:b/>
                <w:position w:val="6"/>
                <w:sz w:val="18"/>
              </w:rPr>
            </w:pPr>
            <w:r>
              <w:rPr>
                <w:rFonts w:cs="Arial"/>
              </w:rPr>
              <w:t>1985</w:t>
            </w:r>
            <w:r>
              <w:rPr>
                <w:rStyle w:val="NoteLabel"/>
              </w:rPr>
              <w:t xml:space="preserve"> b</w:t>
            </w:r>
          </w:p>
        </w:tc>
      </w:tr>
      <w:tr w:rsidR="00501C01" w:rsidTr="00F23F17">
        <w:tc>
          <w:tcPr>
            <w:tcW w:w="484" w:type="pct"/>
          </w:tcPr>
          <w:p w:rsidR="00501C01" w:rsidRDefault="00501C01" w:rsidP="00AD44A1">
            <w:pPr>
              <w:pStyle w:val="TableBodyText"/>
              <w:spacing w:before="40"/>
              <w:jc w:val="left"/>
            </w:pPr>
            <w:r>
              <w:t>Qld</w:t>
            </w:r>
          </w:p>
        </w:tc>
        <w:tc>
          <w:tcPr>
            <w:tcW w:w="2661" w:type="pct"/>
          </w:tcPr>
          <w:p w:rsidR="00501C01" w:rsidRDefault="00501C01" w:rsidP="00AD44A1">
            <w:pPr>
              <w:pStyle w:val="TableBodyText"/>
              <w:spacing w:before="40"/>
              <w:jc w:val="left"/>
            </w:pPr>
            <w:r>
              <w:t>Regulatory Review Branch</w:t>
            </w:r>
            <w:r w:rsidR="007242E5">
              <w:t xml:space="preserve"> (RRB)</w:t>
            </w:r>
          </w:p>
        </w:tc>
        <w:tc>
          <w:tcPr>
            <w:tcW w:w="1291" w:type="pct"/>
          </w:tcPr>
          <w:p w:rsidR="00501C01" w:rsidRDefault="00501C01" w:rsidP="00DA0F56">
            <w:pPr>
              <w:pStyle w:val="TableBodyText"/>
              <w:spacing w:before="40"/>
              <w:ind w:left="0" w:right="28"/>
              <w:jc w:val="left"/>
            </w:pPr>
            <w:r>
              <w:t>Department of Treasury</w:t>
            </w:r>
          </w:p>
        </w:tc>
        <w:tc>
          <w:tcPr>
            <w:tcW w:w="564" w:type="pct"/>
          </w:tcPr>
          <w:p w:rsidR="00501C01" w:rsidRPr="00977D8B" w:rsidRDefault="00501C01" w:rsidP="00AD44A1">
            <w:pPr>
              <w:pStyle w:val="TableBodyText"/>
              <w:spacing w:before="40"/>
              <w:ind w:right="28" w:firstLine="134"/>
              <w:jc w:val="left"/>
              <w:rPr>
                <w:rStyle w:val="DraftingNote"/>
                <w:color w:val="auto"/>
                <w:position w:val="6"/>
                <w:sz w:val="18"/>
                <w:u w:val="none"/>
              </w:rPr>
            </w:pPr>
            <w:r>
              <w:t>1990</w:t>
            </w:r>
            <w:r>
              <w:rPr>
                <w:rStyle w:val="NoteLabel"/>
              </w:rPr>
              <w:t xml:space="preserve"> c</w:t>
            </w:r>
          </w:p>
        </w:tc>
      </w:tr>
      <w:tr w:rsidR="00501C01" w:rsidTr="00F23F17">
        <w:tc>
          <w:tcPr>
            <w:tcW w:w="484" w:type="pct"/>
            <w:shd w:val="pct15" w:color="auto" w:fill="auto"/>
          </w:tcPr>
          <w:p w:rsidR="00501C01" w:rsidRDefault="00501C01" w:rsidP="00AD44A1">
            <w:pPr>
              <w:pStyle w:val="TableBodyText"/>
              <w:spacing w:before="40"/>
              <w:jc w:val="left"/>
            </w:pPr>
            <w:r>
              <w:t>WA</w:t>
            </w:r>
          </w:p>
        </w:tc>
        <w:tc>
          <w:tcPr>
            <w:tcW w:w="2661" w:type="pct"/>
            <w:shd w:val="pct15" w:color="auto" w:fill="auto"/>
          </w:tcPr>
          <w:p w:rsidR="00501C01" w:rsidRDefault="00501C01" w:rsidP="00AD44A1">
            <w:pPr>
              <w:pStyle w:val="TableBodyText"/>
              <w:spacing w:before="40"/>
              <w:jc w:val="left"/>
            </w:pPr>
            <w:r>
              <w:t>Regulatory Gatekeeping Unit</w:t>
            </w:r>
            <w:r w:rsidR="00F703E8">
              <w:t xml:space="preserve"> (RGU)</w:t>
            </w:r>
          </w:p>
        </w:tc>
        <w:tc>
          <w:tcPr>
            <w:tcW w:w="1291" w:type="pct"/>
            <w:shd w:val="pct15" w:color="auto" w:fill="auto"/>
          </w:tcPr>
          <w:p w:rsidR="00501C01" w:rsidRDefault="00501C01" w:rsidP="00DA0F56">
            <w:pPr>
              <w:pStyle w:val="TableBodyText"/>
              <w:spacing w:before="40"/>
              <w:ind w:left="0" w:right="28"/>
              <w:jc w:val="left"/>
            </w:pPr>
            <w:r>
              <w:t>Department of Treasury</w:t>
            </w:r>
          </w:p>
        </w:tc>
        <w:tc>
          <w:tcPr>
            <w:tcW w:w="564" w:type="pct"/>
            <w:shd w:val="pct15" w:color="auto" w:fill="auto"/>
          </w:tcPr>
          <w:p w:rsidR="00501C01" w:rsidRDefault="00501C01" w:rsidP="00AD44A1">
            <w:pPr>
              <w:pStyle w:val="TableBodyText"/>
              <w:spacing w:before="40"/>
              <w:ind w:right="28" w:firstLine="134"/>
              <w:jc w:val="left"/>
            </w:pPr>
            <w:r>
              <w:t>2009</w:t>
            </w:r>
          </w:p>
        </w:tc>
      </w:tr>
      <w:tr w:rsidR="00501C01" w:rsidRPr="000B09D3" w:rsidTr="00F23F17">
        <w:tc>
          <w:tcPr>
            <w:tcW w:w="484" w:type="pct"/>
          </w:tcPr>
          <w:p w:rsidR="00501C01" w:rsidRDefault="00501C01" w:rsidP="00AD44A1">
            <w:pPr>
              <w:pStyle w:val="TableBodyText"/>
              <w:spacing w:before="40"/>
              <w:jc w:val="left"/>
            </w:pPr>
            <w:r>
              <w:t>SA</w:t>
            </w:r>
          </w:p>
        </w:tc>
        <w:tc>
          <w:tcPr>
            <w:tcW w:w="2661" w:type="pct"/>
          </w:tcPr>
          <w:p w:rsidR="00F23F17" w:rsidRDefault="00501C01" w:rsidP="00F23F17">
            <w:pPr>
              <w:pStyle w:val="TableBodyText"/>
              <w:spacing w:before="40"/>
              <w:ind w:left="140" w:hanging="140"/>
              <w:jc w:val="left"/>
            </w:pPr>
            <w:r>
              <w:t>Cabinet Office (</w:t>
            </w:r>
            <w:r w:rsidR="00F23F17">
              <w:t>RIS sign off)</w:t>
            </w:r>
          </w:p>
          <w:p w:rsidR="00F7525D" w:rsidRDefault="00F7525D" w:rsidP="00F23F17">
            <w:pPr>
              <w:pStyle w:val="TableBodyText"/>
              <w:spacing w:before="40"/>
              <w:ind w:left="140" w:hanging="140"/>
              <w:jc w:val="left"/>
            </w:pPr>
            <w:r>
              <w:t>Impact assessment agencies</w:t>
            </w:r>
          </w:p>
          <w:p w:rsidR="00F23F17" w:rsidRDefault="00F31243" w:rsidP="00F7525D">
            <w:pPr>
              <w:pStyle w:val="TableBodyText"/>
              <w:spacing w:before="40"/>
              <w:ind w:left="283" w:hanging="141"/>
              <w:jc w:val="left"/>
            </w:pPr>
            <w:r w:rsidRPr="00F31243">
              <w:t xml:space="preserve">Department of Treasury and Finance </w:t>
            </w:r>
            <w:r w:rsidR="00C446C2">
              <w:br/>
            </w:r>
            <w:r w:rsidR="00F23F17">
              <w:t>(</w:t>
            </w:r>
            <w:r w:rsidRPr="00F31243">
              <w:t>cost–benefit analysis</w:t>
            </w:r>
            <w:r w:rsidR="00F23F17">
              <w:t>)</w:t>
            </w:r>
          </w:p>
          <w:p w:rsidR="00F23F17" w:rsidRDefault="00F31243" w:rsidP="00F7525D">
            <w:pPr>
              <w:pStyle w:val="TableBodyText"/>
              <w:spacing w:before="40"/>
              <w:ind w:left="283" w:hanging="141"/>
              <w:jc w:val="left"/>
            </w:pPr>
            <w:r w:rsidRPr="00F31243">
              <w:t xml:space="preserve">Department for Manufacturing, Innovation, </w:t>
            </w:r>
            <w:r w:rsidR="00630E6C">
              <w:br/>
            </w:r>
            <w:r w:rsidRPr="00F31243">
              <w:t>Trade, Resou</w:t>
            </w:r>
            <w:r>
              <w:t xml:space="preserve">rces </w:t>
            </w:r>
            <w:r w:rsidR="00F23F17">
              <w:t>&amp;</w:t>
            </w:r>
            <w:r>
              <w:t xml:space="preserve"> Energy </w:t>
            </w:r>
            <w:r w:rsidR="00C446C2">
              <w:br/>
            </w:r>
            <w:r w:rsidR="00F23F17">
              <w:t>(</w:t>
            </w:r>
            <w:r w:rsidRPr="00F31243">
              <w:t xml:space="preserve">business </w:t>
            </w:r>
            <w:r w:rsidR="00F23F17">
              <w:t>&amp;</w:t>
            </w:r>
            <w:r w:rsidRPr="00F31243">
              <w:t xml:space="preserve"> regional impacts</w:t>
            </w:r>
            <w:r w:rsidR="00F23F17">
              <w:t>)</w:t>
            </w:r>
            <w:r w:rsidRPr="00F31243">
              <w:t xml:space="preserve"> </w:t>
            </w:r>
          </w:p>
          <w:p w:rsidR="00F23F17" w:rsidRDefault="00F31243" w:rsidP="00F7525D">
            <w:pPr>
              <w:pStyle w:val="TableBodyText"/>
              <w:spacing w:before="40"/>
              <w:ind w:left="283" w:hanging="141"/>
              <w:jc w:val="left"/>
            </w:pPr>
            <w:r w:rsidRPr="00F31243">
              <w:t xml:space="preserve">Department for Communities </w:t>
            </w:r>
            <w:r w:rsidR="00F23F17">
              <w:t>&amp;</w:t>
            </w:r>
            <w:r w:rsidRPr="00F31243">
              <w:t xml:space="preserve"> S</w:t>
            </w:r>
            <w:r>
              <w:t xml:space="preserve">ocial </w:t>
            </w:r>
            <w:r w:rsidR="00630E6C">
              <w:br/>
            </w:r>
            <w:r>
              <w:t xml:space="preserve">Inclusion </w:t>
            </w:r>
            <w:r w:rsidR="00F23F17">
              <w:t>(</w:t>
            </w:r>
            <w:r w:rsidRPr="00F31243">
              <w:t>family and societal impacts</w:t>
            </w:r>
            <w:r w:rsidR="00F23F17">
              <w:t>)</w:t>
            </w:r>
            <w:r w:rsidRPr="00F31243">
              <w:t xml:space="preserve"> </w:t>
            </w:r>
          </w:p>
          <w:p w:rsidR="00501C01" w:rsidRPr="00CC1F39" w:rsidRDefault="00F31243" w:rsidP="00F7525D">
            <w:pPr>
              <w:pStyle w:val="TableBodyText"/>
              <w:spacing w:before="40"/>
              <w:ind w:left="283" w:hanging="141"/>
              <w:jc w:val="left"/>
              <w:rPr>
                <w:sz w:val="18"/>
              </w:rPr>
            </w:pPr>
            <w:r w:rsidRPr="00F31243">
              <w:t xml:space="preserve">Department of Environment, Water </w:t>
            </w:r>
            <w:r w:rsidR="00F23F17">
              <w:t>&amp;</w:t>
            </w:r>
            <w:r w:rsidRPr="00F31243">
              <w:t xml:space="preserve"> Natural Resources </w:t>
            </w:r>
            <w:r w:rsidR="00F23F17">
              <w:t>(</w:t>
            </w:r>
            <w:r w:rsidRPr="00F31243">
              <w:t>environmental impacts</w:t>
            </w:r>
            <w:r w:rsidR="00501C01">
              <w:t>)</w:t>
            </w:r>
          </w:p>
        </w:tc>
        <w:tc>
          <w:tcPr>
            <w:tcW w:w="1291" w:type="pct"/>
          </w:tcPr>
          <w:p w:rsidR="00501C01" w:rsidRDefault="00501C01" w:rsidP="00DA0F56">
            <w:pPr>
              <w:pStyle w:val="TableBodyText"/>
              <w:spacing w:before="40"/>
              <w:ind w:left="0" w:right="28"/>
              <w:jc w:val="left"/>
            </w:pPr>
            <w:r>
              <w:t>Department of the Premier and Cabinet</w:t>
            </w:r>
          </w:p>
        </w:tc>
        <w:tc>
          <w:tcPr>
            <w:tcW w:w="564" w:type="pct"/>
          </w:tcPr>
          <w:p w:rsidR="00501C01" w:rsidRPr="00A97D42" w:rsidRDefault="00501C01" w:rsidP="00AD44A1">
            <w:pPr>
              <w:pStyle w:val="TableBodyText"/>
              <w:spacing w:before="40"/>
              <w:ind w:firstLine="134"/>
              <w:jc w:val="left"/>
              <w:rPr>
                <w:rStyle w:val="DraftingNote"/>
                <w:color w:val="auto"/>
                <w:position w:val="6"/>
                <w:sz w:val="18"/>
                <w:u w:val="none"/>
              </w:rPr>
            </w:pPr>
            <w:r>
              <w:t>2003</w:t>
            </w:r>
            <w:r w:rsidR="0035772B">
              <w:rPr>
                <w:rStyle w:val="NoteLabel"/>
              </w:rPr>
              <w:t xml:space="preserve"> d</w:t>
            </w:r>
          </w:p>
        </w:tc>
      </w:tr>
      <w:tr w:rsidR="00501C01" w:rsidTr="00F23F17">
        <w:tc>
          <w:tcPr>
            <w:tcW w:w="484" w:type="pct"/>
            <w:shd w:val="pct15" w:color="auto" w:fill="auto"/>
          </w:tcPr>
          <w:p w:rsidR="00501C01" w:rsidRDefault="00501C01" w:rsidP="00AD44A1">
            <w:pPr>
              <w:pStyle w:val="TableBodyText"/>
              <w:spacing w:before="40"/>
              <w:jc w:val="left"/>
            </w:pPr>
            <w:r>
              <w:t>Tas</w:t>
            </w:r>
          </w:p>
        </w:tc>
        <w:tc>
          <w:tcPr>
            <w:tcW w:w="2661" w:type="pct"/>
            <w:shd w:val="pct15" w:color="auto" w:fill="auto"/>
          </w:tcPr>
          <w:p w:rsidR="00501C01" w:rsidRDefault="00501C01" w:rsidP="00AD44A1">
            <w:pPr>
              <w:pStyle w:val="TableBodyText"/>
              <w:spacing w:before="40"/>
              <w:jc w:val="left"/>
            </w:pPr>
            <w:r>
              <w:t>Economic Reform Unit</w:t>
            </w:r>
            <w:r w:rsidR="00F703E8">
              <w:t xml:space="preserve"> (ERU)</w:t>
            </w:r>
          </w:p>
        </w:tc>
        <w:tc>
          <w:tcPr>
            <w:tcW w:w="1291" w:type="pct"/>
            <w:shd w:val="pct15" w:color="auto" w:fill="auto"/>
          </w:tcPr>
          <w:p w:rsidR="00501C01" w:rsidRDefault="00501C01" w:rsidP="00DA0F56">
            <w:pPr>
              <w:pStyle w:val="TableBodyText"/>
              <w:spacing w:before="40"/>
              <w:ind w:left="0" w:right="28"/>
              <w:jc w:val="left"/>
            </w:pPr>
            <w:r>
              <w:t>Department of Treasury and Finance</w:t>
            </w:r>
          </w:p>
        </w:tc>
        <w:tc>
          <w:tcPr>
            <w:tcW w:w="564" w:type="pct"/>
            <w:shd w:val="pct15" w:color="auto" w:fill="auto"/>
          </w:tcPr>
          <w:p w:rsidR="00501C01" w:rsidRPr="00296C5D" w:rsidRDefault="0057237F" w:rsidP="00AD44A1">
            <w:pPr>
              <w:pStyle w:val="TableBodyText"/>
              <w:spacing w:before="40"/>
              <w:ind w:firstLine="134"/>
              <w:jc w:val="left"/>
              <w:rPr>
                <w:rStyle w:val="DraftingNote"/>
                <w:b w:val="0"/>
                <w:color w:val="auto"/>
                <w:sz w:val="20"/>
                <w:u w:val="none"/>
              </w:rPr>
            </w:pPr>
            <w:r w:rsidRPr="0057237F">
              <w:t>1995</w:t>
            </w:r>
          </w:p>
        </w:tc>
      </w:tr>
      <w:tr w:rsidR="00501C01" w:rsidTr="00F23F17">
        <w:tc>
          <w:tcPr>
            <w:tcW w:w="484" w:type="pct"/>
          </w:tcPr>
          <w:p w:rsidR="00501C01" w:rsidRDefault="00501C01" w:rsidP="00AD44A1">
            <w:pPr>
              <w:pStyle w:val="TableBodyText"/>
              <w:spacing w:before="40"/>
              <w:jc w:val="left"/>
            </w:pPr>
            <w:r>
              <w:t>NT</w:t>
            </w:r>
          </w:p>
        </w:tc>
        <w:tc>
          <w:tcPr>
            <w:tcW w:w="2661" w:type="pct"/>
          </w:tcPr>
          <w:p w:rsidR="00F23F17" w:rsidRDefault="00FE5C2F" w:rsidP="00F23F17">
            <w:pPr>
              <w:pStyle w:val="TableBodyText"/>
              <w:spacing w:before="40"/>
              <w:jc w:val="left"/>
            </w:pPr>
            <w:r>
              <w:t xml:space="preserve">Regulation Impact Unit </w:t>
            </w:r>
            <w:r w:rsidR="00F703E8">
              <w:t>(RIU)</w:t>
            </w:r>
          </w:p>
          <w:p w:rsidR="00F23F17" w:rsidRDefault="00501C01" w:rsidP="00F23F17">
            <w:pPr>
              <w:pStyle w:val="TableBodyText"/>
              <w:spacing w:before="40"/>
              <w:jc w:val="left"/>
            </w:pPr>
            <w:r>
              <w:t>Regulation Impact Committee</w:t>
            </w:r>
            <w:r w:rsidR="00D23FBA">
              <w:t xml:space="preserve"> </w:t>
            </w:r>
            <w:r w:rsidR="00F703E8">
              <w:t>(RIC)</w:t>
            </w:r>
          </w:p>
          <w:p w:rsidR="00F23F17" w:rsidRDefault="00320921" w:rsidP="00F23F17">
            <w:pPr>
              <w:pStyle w:val="TableBodyText"/>
              <w:spacing w:before="40"/>
              <w:ind w:left="140"/>
              <w:jc w:val="left"/>
            </w:pPr>
            <w:r>
              <w:t xml:space="preserve">Department of </w:t>
            </w:r>
            <w:r w:rsidR="00D23FBA">
              <w:t>Treasury</w:t>
            </w:r>
            <w:r>
              <w:t xml:space="preserve"> and Finance</w:t>
            </w:r>
            <w:r w:rsidR="00D23FBA">
              <w:t xml:space="preserve"> (chair</w:t>
            </w:r>
            <w:r w:rsidR="00F23F17">
              <w:t>)</w:t>
            </w:r>
          </w:p>
          <w:p w:rsidR="00F23F17" w:rsidRDefault="00D23FBA" w:rsidP="00F23F17">
            <w:pPr>
              <w:pStyle w:val="TableBodyText"/>
              <w:spacing w:before="40"/>
              <w:ind w:left="140"/>
              <w:jc w:val="left"/>
            </w:pPr>
            <w:r>
              <w:t>Department of the Chief Minister</w:t>
            </w:r>
          </w:p>
          <w:p w:rsidR="00F23F17" w:rsidRDefault="00E74A1F" w:rsidP="00F23F17">
            <w:pPr>
              <w:pStyle w:val="TableBodyText"/>
              <w:spacing w:before="40"/>
              <w:ind w:left="140"/>
              <w:jc w:val="left"/>
            </w:pPr>
            <w:r>
              <w:t xml:space="preserve">Department of </w:t>
            </w:r>
            <w:r w:rsidR="00320921">
              <w:t xml:space="preserve">the Attorney-General and </w:t>
            </w:r>
            <w:r>
              <w:t xml:space="preserve">Justice </w:t>
            </w:r>
          </w:p>
          <w:p w:rsidR="00501C01" w:rsidRDefault="00E74A1F" w:rsidP="00320921">
            <w:pPr>
              <w:pStyle w:val="TableBodyText"/>
              <w:spacing w:before="40"/>
              <w:ind w:left="140"/>
              <w:jc w:val="left"/>
            </w:pPr>
            <w:r>
              <w:t>Depart</w:t>
            </w:r>
            <w:r w:rsidR="00F23F17">
              <w:t>ment of Business</w:t>
            </w:r>
          </w:p>
        </w:tc>
        <w:tc>
          <w:tcPr>
            <w:tcW w:w="1291" w:type="pct"/>
          </w:tcPr>
          <w:p w:rsidR="00501C01" w:rsidRDefault="00501C01" w:rsidP="00DA0F56">
            <w:pPr>
              <w:pStyle w:val="TableBodyText"/>
              <w:spacing w:before="40"/>
              <w:ind w:left="0" w:right="28"/>
              <w:jc w:val="left"/>
            </w:pPr>
            <w:r>
              <w:t>Department of Treasury</w:t>
            </w:r>
            <w:r w:rsidR="00320921">
              <w:t xml:space="preserve"> and Finance</w:t>
            </w:r>
          </w:p>
        </w:tc>
        <w:tc>
          <w:tcPr>
            <w:tcW w:w="564" w:type="pct"/>
          </w:tcPr>
          <w:p w:rsidR="00501C01" w:rsidRPr="00823B00" w:rsidRDefault="0057237F" w:rsidP="00AD44A1">
            <w:pPr>
              <w:pStyle w:val="TableBodyText"/>
              <w:spacing w:before="40"/>
              <w:ind w:firstLine="134"/>
              <w:jc w:val="left"/>
              <w:rPr>
                <w:rStyle w:val="DraftingNote"/>
                <w:b w:val="0"/>
                <w:color w:val="auto"/>
                <w:sz w:val="20"/>
                <w:u w:val="none"/>
              </w:rPr>
            </w:pPr>
            <w:r>
              <w:t>2003</w:t>
            </w:r>
          </w:p>
        </w:tc>
      </w:tr>
      <w:tr w:rsidR="00501C01" w:rsidTr="00F23F17">
        <w:tc>
          <w:tcPr>
            <w:tcW w:w="484" w:type="pct"/>
            <w:tcBorders>
              <w:bottom w:val="single" w:sz="6" w:space="0" w:color="auto"/>
            </w:tcBorders>
            <w:shd w:val="pct15" w:color="auto" w:fill="auto"/>
          </w:tcPr>
          <w:p w:rsidR="00501C01" w:rsidRDefault="00501C01" w:rsidP="00AD44A1">
            <w:pPr>
              <w:pStyle w:val="TableBodyText"/>
              <w:spacing w:before="40"/>
              <w:jc w:val="left"/>
            </w:pPr>
            <w:r>
              <w:t>ACT</w:t>
            </w:r>
          </w:p>
        </w:tc>
        <w:tc>
          <w:tcPr>
            <w:tcW w:w="2661" w:type="pct"/>
            <w:tcBorders>
              <w:bottom w:val="single" w:sz="6" w:space="0" w:color="auto"/>
            </w:tcBorders>
            <w:shd w:val="pct15" w:color="auto" w:fill="auto"/>
          </w:tcPr>
          <w:p w:rsidR="00501C01" w:rsidRDefault="00FD15AB" w:rsidP="00AD44A1">
            <w:pPr>
              <w:pStyle w:val="TableBodyText"/>
              <w:spacing w:before="40"/>
              <w:jc w:val="left"/>
            </w:pPr>
            <w:r>
              <w:t xml:space="preserve">Microeconomic </w:t>
            </w:r>
            <w:r w:rsidR="00501C01">
              <w:t>Policy Unit</w:t>
            </w:r>
          </w:p>
        </w:tc>
        <w:tc>
          <w:tcPr>
            <w:tcW w:w="1291" w:type="pct"/>
            <w:tcBorders>
              <w:bottom w:val="single" w:sz="6" w:space="0" w:color="auto"/>
            </w:tcBorders>
            <w:shd w:val="pct15" w:color="auto" w:fill="auto"/>
          </w:tcPr>
          <w:p w:rsidR="00501C01" w:rsidRDefault="00501C01" w:rsidP="00DA0F56">
            <w:pPr>
              <w:pStyle w:val="TableBodyText"/>
              <w:spacing w:before="40"/>
              <w:ind w:left="0" w:right="28"/>
              <w:jc w:val="left"/>
            </w:pPr>
            <w:r>
              <w:t>Department of Treasury</w:t>
            </w:r>
          </w:p>
        </w:tc>
        <w:tc>
          <w:tcPr>
            <w:tcW w:w="564" w:type="pct"/>
            <w:tcBorders>
              <w:bottom w:val="single" w:sz="6" w:space="0" w:color="auto"/>
            </w:tcBorders>
            <w:shd w:val="pct15" w:color="auto" w:fill="auto"/>
          </w:tcPr>
          <w:p w:rsidR="00501C01" w:rsidRPr="004C3859" w:rsidRDefault="0057237F" w:rsidP="00AD44A1">
            <w:pPr>
              <w:pStyle w:val="TableBodyText"/>
              <w:spacing w:before="40"/>
              <w:ind w:firstLine="134"/>
              <w:jc w:val="left"/>
              <w:rPr>
                <w:rStyle w:val="DraftingNote"/>
                <w:b w:val="0"/>
                <w:color w:val="auto"/>
                <w:sz w:val="20"/>
                <w:u w:val="none"/>
              </w:rPr>
            </w:pPr>
            <w:r>
              <w:t>2000</w:t>
            </w:r>
          </w:p>
        </w:tc>
      </w:tr>
    </w:tbl>
    <w:p w:rsidR="00501C01" w:rsidRDefault="00501C01" w:rsidP="00501C01">
      <w:pPr>
        <w:pStyle w:val="Note"/>
      </w:pPr>
      <w:r>
        <w:rPr>
          <w:rStyle w:val="NoteLabel"/>
        </w:rPr>
        <w:t xml:space="preserve">a </w:t>
      </w:r>
      <w:r>
        <w:t>The Business Regulation Review Unit (BRRU) was established in the Department of Industry, Science and Technology in 1985. In 1989 the BRRU was renamed the Office of Regulation Review (ORR) and moved into the statutor</w:t>
      </w:r>
      <w:r w:rsidR="006B2C37">
        <w:t>il</w:t>
      </w:r>
      <w:r>
        <w:t>y independent Industry Commission</w:t>
      </w:r>
      <w:r w:rsidRPr="00C27BFB">
        <w:t xml:space="preserve">. </w:t>
      </w:r>
      <w:r>
        <w:t xml:space="preserve">In 2006 the ORR was renamed the OBPR and subsequently moved to DFD in 2007. </w:t>
      </w:r>
      <w:r>
        <w:rPr>
          <w:rStyle w:val="NoteLabel"/>
        </w:rPr>
        <w:t xml:space="preserve">b </w:t>
      </w:r>
      <w:r>
        <w:t xml:space="preserve">Prior to the establishment of </w:t>
      </w:r>
      <w:r w:rsidR="000C1DAC">
        <w:t xml:space="preserve">the </w:t>
      </w:r>
      <w:r w:rsidR="007242E5">
        <w:t xml:space="preserve">VCEC </w:t>
      </w:r>
      <w:r>
        <w:t xml:space="preserve">in 2004, oversight functions were undertaken by the Victorian Office of Regulation Reform which was located within the Department of State and Regional Development. </w:t>
      </w:r>
      <w:r>
        <w:rPr>
          <w:rStyle w:val="NoteLabel"/>
        </w:rPr>
        <w:t xml:space="preserve">c </w:t>
      </w:r>
      <w:r>
        <w:t xml:space="preserve">The </w:t>
      </w:r>
      <w:r w:rsidR="007242E5">
        <w:t>RRB</w:t>
      </w:r>
      <w:r>
        <w:t xml:space="preserve"> was preceded by the Q</w:t>
      </w:r>
      <w:r w:rsidRPr="00B940AE">
        <w:t xml:space="preserve">ueensland </w:t>
      </w:r>
      <w:r>
        <w:t xml:space="preserve">Office of </w:t>
      </w:r>
      <w:r w:rsidR="00C843C1">
        <w:t xml:space="preserve">Regulatory Efficiency which </w:t>
      </w:r>
      <w:r>
        <w:t>also</w:t>
      </w:r>
      <w:r w:rsidR="00C843C1">
        <w:t xml:space="preserve"> resided</w:t>
      </w:r>
      <w:r>
        <w:t xml:space="preserve"> in the Department of Treasury.</w:t>
      </w:r>
      <w:r w:rsidR="0035772B" w:rsidRPr="0035772B">
        <w:t xml:space="preserve"> </w:t>
      </w:r>
      <w:r w:rsidR="0035772B">
        <w:t xml:space="preserve">In July 2012, </w:t>
      </w:r>
      <w:r w:rsidR="002C27A5">
        <w:t>some</w:t>
      </w:r>
      <w:r w:rsidR="0035772B">
        <w:t xml:space="preserve"> oversight </w:t>
      </w:r>
      <w:r w:rsidR="002C27A5">
        <w:t>functions were</w:t>
      </w:r>
      <w:r w:rsidR="0035772B">
        <w:t xml:space="preserve"> relocated to the Queensland Office of Best Practice Regulation</w:t>
      </w:r>
      <w:r w:rsidR="00DA0F56">
        <w:t xml:space="preserve"> which was established in the Queensland Competition Authority</w:t>
      </w:r>
      <w:r w:rsidR="0035772B">
        <w:t>.</w:t>
      </w:r>
      <w:r w:rsidRPr="00296C5D">
        <w:rPr>
          <w:rStyle w:val="NoteLabel"/>
        </w:rPr>
        <w:t xml:space="preserve"> </w:t>
      </w:r>
      <w:r w:rsidR="0035772B">
        <w:rPr>
          <w:rStyle w:val="NoteLabel"/>
        </w:rPr>
        <w:t>d</w:t>
      </w:r>
      <w:r w:rsidR="00F7088E">
        <w:rPr>
          <w:rStyle w:val="NoteLabel"/>
        </w:rPr>
        <w:t> </w:t>
      </w:r>
      <w:r w:rsidR="005F0FE2">
        <w:t xml:space="preserve">Cabinet Office and three assessment agencies have performed an oversight role since 2003. The new </w:t>
      </w:r>
      <w:r w:rsidR="005F0FE2" w:rsidRPr="007242E5">
        <w:rPr>
          <w:i/>
        </w:rPr>
        <w:t>Better Regulation Handbook</w:t>
      </w:r>
      <w:r w:rsidR="005F0FE2">
        <w:t xml:space="preserve"> (</w:t>
      </w:r>
      <w:r w:rsidR="00B43E03" w:rsidRPr="00915891">
        <w:t xml:space="preserve">SA </w:t>
      </w:r>
      <w:r w:rsidR="00F23F17">
        <w:t>DPC and DTF</w:t>
      </w:r>
      <w:r w:rsidR="00B43E03" w:rsidRPr="00915891">
        <w:t xml:space="preserve"> </w:t>
      </w:r>
      <w:r w:rsidR="005F0FE2" w:rsidRPr="00915891">
        <w:t>2011) introduced</w:t>
      </w:r>
      <w:r w:rsidR="005F0FE2">
        <w:t xml:space="preserve"> the Department of Treasury and Finance as a fourth impact a</w:t>
      </w:r>
      <w:r w:rsidR="00F31243">
        <w:t>ssessment agency</w:t>
      </w:r>
      <w:r w:rsidR="005F0FE2">
        <w:t xml:space="preserve">. </w:t>
      </w:r>
    </w:p>
    <w:p w:rsidR="007F75C3" w:rsidRDefault="007F75C3" w:rsidP="007F75C3">
      <w:pPr>
        <w:pStyle w:val="BodyText"/>
      </w:pPr>
      <w:r w:rsidRPr="002F710A">
        <w:t>Thre</w:t>
      </w:r>
      <w:r w:rsidR="00454A67">
        <w:t>e jurisdictions have a</w:t>
      </w:r>
      <w:r w:rsidR="00E6538B">
        <w:t>n additional unit</w:t>
      </w:r>
      <w:r w:rsidR="00454A67">
        <w:t xml:space="preserve"> </w:t>
      </w:r>
      <w:r w:rsidR="00B07AB9">
        <w:t>(residing in a separate agency</w:t>
      </w:r>
      <w:r w:rsidR="00FE5C2F">
        <w:t xml:space="preserve"> to the oversight body</w:t>
      </w:r>
      <w:r w:rsidR="00B07AB9">
        <w:t>)</w:t>
      </w:r>
      <w:r w:rsidR="00B07AB9" w:rsidRPr="002F710A">
        <w:t xml:space="preserve"> </w:t>
      </w:r>
      <w:r w:rsidR="00E6538B">
        <w:t>tasked with</w:t>
      </w:r>
      <w:r w:rsidRPr="002F710A">
        <w:t xml:space="preserve"> ensuring small business impacts are addressed </w:t>
      </w:r>
      <w:r w:rsidRPr="002F710A">
        <w:lastRenderedPageBreak/>
        <w:t xml:space="preserve">appropriately during the RIA process. The functions </w:t>
      </w:r>
      <w:r w:rsidR="00FE5C2F">
        <w:t xml:space="preserve">and activities </w:t>
      </w:r>
      <w:r w:rsidRPr="002F710A">
        <w:t>of these small busine</w:t>
      </w:r>
      <w:r w:rsidR="002F710A">
        <w:t>ss</w:t>
      </w:r>
      <w:r w:rsidR="00A33D0E">
        <w:t xml:space="preserve"> units are summarised in box 3.3</w:t>
      </w:r>
      <w:r w:rsidRPr="002F710A">
        <w:t>.</w:t>
      </w:r>
    </w:p>
    <w:p w:rsidR="007F75C3" w:rsidRDefault="007F75C3" w:rsidP="007F75C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F75C3" w:rsidTr="007F75C3">
        <w:tc>
          <w:tcPr>
            <w:tcW w:w="8771" w:type="dxa"/>
            <w:tcBorders>
              <w:top w:val="single" w:sz="6" w:space="0" w:color="auto"/>
              <w:bottom w:val="nil"/>
            </w:tcBorders>
          </w:tcPr>
          <w:p w:rsidR="007F75C3" w:rsidRDefault="007F75C3" w:rsidP="007F75C3">
            <w:pPr>
              <w:pStyle w:val="BoxTitle"/>
            </w:pPr>
            <w:r>
              <w:rPr>
                <w:b w:val="0"/>
              </w:rPr>
              <w:t xml:space="preserve">Box </w:t>
            </w:r>
            <w:r w:rsidR="00287B41">
              <w:rPr>
                <w:b w:val="0"/>
              </w:rPr>
              <w:t>3.</w:t>
            </w:r>
            <w:r w:rsidR="00702C9A">
              <w:rPr>
                <w:b w:val="0"/>
                <w:noProof/>
              </w:rPr>
              <w:t>2</w:t>
            </w:r>
            <w:r>
              <w:tab/>
              <w:t>Separate units that focus on small business impacts</w:t>
            </w:r>
          </w:p>
        </w:tc>
      </w:tr>
      <w:tr w:rsidR="007F75C3" w:rsidTr="007F75C3">
        <w:trPr>
          <w:cantSplit/>
        </w:trPr>
        <w:tc>
          <w:tcPr>
            <w:tcW w:w="8771" w:type="dxa"/>
            <w:tcBorders>
              <w:top w:val="nil"/>
              <w:left w:val="single" w:sz="6" w:space="0" w:color="auto"/>
              <w:bottom w:val="nil"/>
              <w:right w:val="single" w:sz="6" w:space="0" w:color="auto"/>
            </w:tcBorders>
          </w:tcPr>
          <w:p w:rsidR="007F75C3" w:rsidRDefault="007F75C3" w:rsidP="007F75C3">
            <w:pPr>
              <w:pStyle w:val="BoxHeading1"/>
            </w:pPr>
            <w:r>
              <w:t>Commonwealth</w:t>
            </w:r>
          </w:p>
          <w:p w:rsidR="007F75C3" w:rsidRPr="00B701CA" w:rsidRDefault="007F75C3" w:rsidP="007F75C3">
            <w:pPr>
              <w:pStyle w:val="Box"/>
            </w:pPr>
            <w:r>
              <w:t>The Small Business Advisory Committee (SBAC) is a panel of small business experts</w:t>
            </w:r>
            <w:r w:rsidR="00036782">
              <w:t xml:space="preserve"> established in June 2</w:t>
            </w:r>
            <w:r w:rsidR="00E30D3C">
              <w:t>010. I</w:t>
            </w:r>
            <w:r w:rsidR="00C731F7">
              <w:t>ts role</w:t>
            </w:r>
            <w:r w:rsidR="00FF53EE">
              <w:t xml:space="preserve"> in RIA</w:t>
            </w:r>
            <w:r w:rsidR="00C731F7">
              <w:t xml:space="preserve"> is </w:t>
            </w:r>
            <w:r w:rsidR="00E6538B">
              <w:t xml:space="preserve">to advise on </w:t>
            </w:r>
            <w:r>
              <w:t xml:space="preserve">proposals that are likely to have a significant impact on small businesses. </w:t>
            </w:r>
            <w:r w:rsidR="00C731F7">
              <w:t>For these proposals</w:t>
            </w:r>
            <w:r>
              <w:t xml:space="preserve">, the </w:t>
            </w:r>
            <w:r w:rsidR="00C731F7">
              <w:t xml:space="preserve">agency </w:t>
            </w:r>
            <w:r w:rsidR="00B701CA">
              <w:t>contact</w:t>
            </w:r>
            <w:r w:rsidR="00C731F7">
              <w:t>s</w:t>
            </w:r>
            <w:r w:rsidR="00B701CA">
              <w:t xml:space="preserve"> </w:t>
            </w:r>
            <w:r w:rsidR="00B450AA">
              <w:t xml:space="preserve">the </w:t>
            </w:r>
            <w:r>
              <w:t>SBAC Secretariat</w:t>
            </w:r>
            <w:r w:rsidR="00B701CA">
              <w:t>,</w:t>
            </w:r>
            <w:r>
              <w:t xml:space="preserve"> </w:t>
            </w:r>
            <w:r w:rsidRPr="00900557">
              <w:t>located within the Department of Innovation</w:t>
            </w:r>
            <w:r w:rsidR="00FD506A">
              <w:t>,</w:t>
            </w:r>
            <w:r w:rsidRPr="00900557">
              <w:t xml:space="preserve"> Industry</w:t>
            </w:r>
            <w:r w:rsidR="00FD506A">
              <w:t>,</w:t>
            </w:r>
            <w:r w:rsidR="00934DBA">
              <w:t xml:space="preserve"> Science,</w:t>
            </w:r>
            <w:r w:rsidRPr="00900557">
              <w:t xml:space="preserve"> Research</w:t>
            </w:r>
            <w:r w:rsidR="00E6538B">
              <w:t xml:space="preserve"> and Tertiary Education</w:t>
            </w:r>
            <w:r w:rsidR="00934DBA">
              <w:t xml:space="preserve">. The </w:t>
            </w:r>
            <w:r>
              <w:t xml:space="preserve">Secretariat </w:t>
            </w:r>
            <w:r w:rsidR="00C731F7">
              <w:t>assists</w:t>
            </w:r>
            <w:r>
              <w:t xml:space="preserve"> the agency</w:t>
            </w:r>
            <w:r w:rsidR="00380F36">
              <w:t xml:space="preserve"> in determining</w:t>
            </w:r>
            <w:r w:rsidR="00934DBA">
              <w:t xml:space="preserve"> whether the </w:t>
            </w:r>
            <w:r>
              <w:t xml:space="preserve">RIS would benefit from referral to </w:t>
            </w:r>
            <w:r w:rsidR="00C731F7">
              <w:t xml:space="preserve">the </w:t>
            </w:r>
            <w:r>
              <w:t>SBAC, taking into account the availability</w:t>
            </w:r>
            <w:r w:rsidR="00380F36">
              <w:t xml:space="preserve"> of committee members and</w:t>
            </w:r>
            <w:r>
              <w:t xml:space="preserve"> timing issues </w:t>
            </w:r>
            <w:r w:rsidR="00B450AA">
              <w:t>(Australian Government 2010</w:t>
            </w:r>
            <w:r w:rsidR="00AD44A1">
              <w:t>a</w:t>
            </w:r>
            <w:r>
              <w:t xml:space="preserve">). </w:t>
            </w:r>
            <w:r w:rsidR="00B701CA">
              <w:t>Since its establishment, SBAC has provided advice</w:t>
            </w:r>
            <w:r w:rsidR="00E6538B">
              <w:t xml:space="preserve"> </w:t>
            </w:r>
            <w:r w:rsidR="00FF53EE">
              <w:t xml:space="preserve">on </w:t>
            </w:r>
            <w:r w:rsidR="00E6538B">
              <w:t>only</w:t>
            </w:r>
            <w:r w:rsidR="00934DBA">
              <w:t xml:space="preserve"> two</w:t>
            </w:r>
            <w:r w:rsidR="00B701CA">
              <w:t xml:space="preserve"> RISs. A</w:t>
            </w:r>
            <w:r w:rsidR="00B701CA" w:rsidRPr="00B701CA">
              <w:t>gencies</w:t>
            </w:r>
            <w:r w:rsidR="00B701CA">
              <w:t xml:space="preserve"> have sought to make use of SBAC</w:t>
            </w:r>
            <w:r w:rsidR="00B701CA" w:rsidRPr="00B701CA">
              <w:t xml:space="preserve"> on multiple occasions</w:t>
            </w:r>
            <w:r w:rsidR="00A66616">
              <w:t>;</w:t>
            </w:r>
            <w:r w:rsidR="00B701CA" w:rsidRPr="00B701CA">
              <w:t xml:space="preserve"> however, due to timing </w:t>
            </w:r>
            <w:r w:rsidR="00A67DDA">
              <w:t xml:space="preserve">or other </w:t>
            </w:r>
            <w:r w:rsidR="00B701CA" w:rsidRPr="00B701CA">
              <w:t xml:space="preserve">constraints </w:t>
            </w:r>
            <w:r w:rsidR="00F02961">
              <w:t>SBAC</w:t>
            </w:r>
            <w:r w:rsidR="00B701CA" w:rsidRPr="00B701CA">
              <w:t xml:space="preserve"> has not been in a position to provide advice</w:t>
            </w:r>
            <w:r w:rsidR="00F1787E">
              <w:t xml:space="preserve"> </w:t>
            </w:r>
            <w:r w:rsidR="00E6538B">
              <w:t>(</w:t>
            </w:r>
            <w:r w:rsidR="00686481">
              <w:t>SBAC Secretariat, pers. comm.</w:t>
            </w:r>
            <w:r w:rsidR="00036782">
              <w:t>, July 2012</w:t>
            </w:r>
            <w:r w:rsidR="00E6538B">
              <w:t>)</w:t>
            </w:r>
            <w:r w:rsidR="00B450AA">
              <w:t>.</w:t>
            </w:r>
            <w:r w:rsidR="00B450AA">
              <w:rPr>
                <w:rStyle w:val="FootnoteReference"/>
              </w:rPr>
              <w:footnoteReference w:id="2"/>
            </w:r>
          </w:p>
          <w:p w:rsidR="007F75C3" w:rsidRDefault="007F75C3" w:rsidP="007F75C3">
            <w:pPr>
              <w:pStyle w:val="BoxHeading1"/>
            </w:pPr>
            <w:r>
              <w:t>Victoria</w:t>
            </w:r>
          </w:p>
          <w:p w:rsidR="007F75C3" w:rsidRDefault="007F75C3" w:rsidP="007F75C3">
            <w:pPr>
              <w:pStyle w:val="Box"/>
            </w:pPr>
            <w:r>
              <w:t>Small Business Victoria (SBV)</w:t>
            </w:r>
            <w:r w:rsidR="00B45EC5">
              <w:t>,</w:t>
            </w:r>
            <w:r>
              <w:t xml:space="preserve"> in the Department of Business</w:t>
            </w:r>
            <w:r w:rsidR="00A77DEB">
              <w:t xml:space="preserve"> and</w:t>
            </w:r>
            <w:r>
              <w:t xml:space="preserve"> Innovation</w:t>
            </w:r>
            <w:r w:rsidR="00000F61">
              <w:t>,</w:t>
            </w:r>
            <w:r>
              <w:t xml:space="preserve"> </w:t>
            </w:r>
            <w:r w:rsidR="00E44C5E">
              <w:t xml:space="preserve">published </w:t>
            </w:r>
            <w:r>
              <w:t xml:space="preserve">a </w:t>
            </w:r>
            <w:r w:rsidRPr="0011458E">
              <w:rPr>
                <w:i/>
              </w:rPr>
              <w:t>Small Business</w:t>
            </w:r>
            <w:r>
              <w:rPr>
                <w:i/>
              </w:rPr>
              <w:t>:</w:t>
            </w:r>
            <w:r w:rsidRPr="0011458E">
              <w:rPr>
                <w:i/>
              </w:rPr>
              <w:t xml:space="preserve"> Regulatory Impact Assessment Manual</w:t>
            </w:r>
            <w:r>
              <w:t xml:space="preserve"> (Victorian Government 2007) which provides practical assistance for agencies under</w:t>
            </w:r>
            <w:r w:rsidR="00730315">
              <w:t>taking RIA</w:t>
            </w:r>
            <w:r w:rsidRPr="007F75C3">
              <w:rPr>
                <w:sz w:val="20"/>
              </w:rPr>
              <w:t xml:space="preserve">. </w:t>
            </w:r>
            <w:r>
              <w:t>The Victorian RIA guidelines (</w:t>
            </w:r>
            <w:r w:rsidR="00DA0F56">
              <w:t>Vic</w:t>
            </w:r>
            <w:r w:rsidR="00AF6EEA">
              <w:t>torian</w:t>
            </w:r>
            <w:r w:rsidRPr="0020547D">
              <w:t xml:space="preserve"> </w:t>
            </w:r>
            <w:r w:rsidR="00DA0F56">
              <w:t>DTF</w:t>
            </w:r>
            <w:r w:rsidRPr="0020547D">
              <w:t xml:space="preserve"> 2011</w:t>
            </w:r>
            <w:r w:rsidR="00E443B7" w:rsidRPr="0020547D">
              <w:t>a</w:t>
            </w:r>
            <w:r>
              <w:t xml:space="preserve">) recommend consultation with SBV early in the RIA process </w:t>
            </w:r>
            <w:r w:rsidR="00DA0F56">
              <w:t xml:space="preserve">for assistance with </w:t>
            </w:r>
            <w:r>
              <w:t>proposals that may have a significant impact on small businesses</w:t>
            </w:r>
            <w:r w:rsidR="00520E47">
              <w:t xml:space="preserve"> but this has rarely occurred in practice (SBV, pers. comm., August 2012)</w:t>
            </w:r>
            <w:r>
              <w:t>.</w:t>
            </w:r>
          </w:p>
          <w:p w:rsidR="007F75C3" w:rsidRDefault="00FE5C2F" w:rsidP="007F75C3">
            <w:pPr>
              <w:pStyle w:val="BoxHeading1"/>
            </w:pPr>
            <w:r>
              <w:t xml:space="preserve">Western Australia </w:t>
            </w:r>
          </w:p>
          <w:p w:rsidR="007F75C3" w:rsidRDefault="007F75C3" w:rsidP="007F75C3">
            <w:pPr>
              <w:pStyle w:val="Box"/>
            </w:pPr>
            <w:r>
              <w:t>The</w:t>
            </w:r>
            <w:r w:rsidRPr="004D4172">
              <w:t xml:space="preserve"> </w:t>
            </w:r>
            <w:r>
              <w:t xml:space="preserve">independent Small Business Development Corporation (SBDC) </w:t>
            </w:r>
            <w:r w:rsidR="00054463">
              <w:t>has</w:t>
            </w:r>
            <w:r>
              <w:t xml:space="preserve"> two </w:t>
            </w:r>
            <w:r w:rsidR="00054463">
              <w:t xml:space="preserve">key </w:t>
            </w:r>
            <w:r>
              <w:t>roles:</w:t>
            </w:r>
          </w:p>
          <w:p w:rsidR="007F75C3" w:rsidRDefault="007F75C3" w:rsidP="007F75C3">
            <w:pPr>
              <w:pStyle w:val="BoxListBullet"/>
            </w:pPr>
            <w:r>
              <w:t xml:space="preserve">reviewing </w:t>
            </w:r>
            <w:r w:rsidR="00A03F71">
              <w:t>p</w:t>
            </w:r>
            <w:r w:rsidR="00AC240E">
              <w:t xml:space="preserve">reliminary </w:t>
            </w:r>
            <w:r w:rsidR="00A03F71">
              <w:t>i</w:t>
            </w:r>
            <w:r w:rsidR="00AC240E">
              <w:t xml:space="preserve">mpact </w:t>
            </w:r>
            <w:r w:rsidR="00A03F71">
              <w:t>a</w:t>
            </w:r>
            <w:r w:rsidR="00AC240E">
              <w:t>ssessments (</w:t>
            </w:r>
            <w:r>
              <w:t>PIA</w:t>
            </w:r>
            <w:r w:rsidR="00FE5C2F">
              <w:t>s</w:t>
            </w:r>
            <w:r w:rsidR="00AC240E">
              <w:t>)</w:t>
            </w:r>
            <w:r>
              <w:t xml:space="preserve"> and RIS</w:t>
            </w:r>
            <w:r w:rsidR="00A66616">
              <w:t>s</w:t>
            </w:r>
            <w:r>
              <w:t xml:space="preserve"> </w:t>
            </w:r>
            <w:r w:rsidR="0051098E">
              <w:t>in order to provide</w:t>
            </w:r>
            <w:r>
              <w:t xml:space="preserve"> comments </w:t>
            </w:r>
            <w:r w:rsidR="00E30D3C">
              <w:t>to the oversight body, from a small business perspective, on the regulatory proposals</w:t>
            </w:r>
          </w:p>
          <w:p w:rsidR="007F75C3" w:rsidRDefault="007F75C3" w:rsidP="007F75C3">
            <w:pPr>
              <w:pStyle w:val="BoxListBullet"/>
            </w:pPr>
            <w:r>
              <w:t>providing direct assistance to agencies in assessing the significance of negative impacts on small businesses.</w:t>
            </w:r>
          </w:p>
          <w:p w:rsidR="007F75C3" w:rsidRPr="00911605" w:rsidRDefault="007F75C3" w:rsidP="00FE5C2F">
            <w:pPr>
              <w:pStyle w:val="Box"/>
              <w:rPr>
                <w:rStyle w:val="DraftingNote"/>
                <w:b w:val="0"/>
                <w:color w:val="auto"/>
                <w:sz w:val="22"/>
                <w:u w:val="none"/>
              </w:rPr>
            </w:pPr>
            <w:r>
              <w:t>Since 2009</w:t>
            </w:r>
            <w:r w:rsidR="00FE5C2F">
              <w:t>,</w:t>
            </w:r>
            <w:r>
              <w:t xml:space="preserve"> when the W</w:t>
            </w:r>
            <w:r w:rsidR="00FE5C2F">
              <w:t xml:space="preserve">estern </w:t>
            </w:r>
            <w:r>
              <w:t>A</w:t>
            </w:r>
            <w:r w:rsidR="00FE5C2F">
              <w:t>ustralian</w:t>
            </w:r>
            <w:r>
              <w:t xml:space="preserve"> RIA system was </w:t>
            </w:r>
            <w:r w:rsidR="00FE5C2F">
              <w:t>introduced</w:t>
            </w:r>
            <w:r>
              <w:t>, the SBDC has reviewed 129 PIA</w:t>
            </w:r>
            <w:r w:rsidR="00FE5C2F">
              <w:t>s</w:t>
            </w:r>
            <w:r>
              <w:t xml:space="preserve"> and provided assistance to numerous agencies to complete RIA documents. The SBDC has also prepared submissions to consultation R</w:t>
            </w:r>
            <w:r w:rsidR="00B450AA">
              <w:t>ISs (sub. 25</w:t>
            </w:r>
            <w:r>
              <w:t>).</w:t>
            </w:r>
          </w:p>
        </w:tc>
      </w:tr>
      <w:tr w:rsidR="007F75C3" w:rsidTr="007F75C3">
        <w:trPr>
          <w:cantSplit/>
        </w:trPr>
        <w:tc>
          <w:tcPr>
            <w:tcW w:w="8771" w:type="dxa"/>
            <w:tcBorders>
              <w:top w:val="nil"/>
              <w:left w:val="single" w:sz="6" w:space="0" w:color="auto"/>
              <w:bottom w:val="single" w:sz="6" w:space="0" w:color="auto"/>
              <w:right w:val="single" w:sz="6" w:space="0" w:color="auto"/>
            </w:tcBorders>
          </w:tcPr>
          <w:p w:rsidR="007F75C3" w:rsidRDefault="007F75C3" w:rsidP="007F75C3">
            <w:pPr>
              <w:pStyle w:val="Box"/>
              <w:spacing w:before="0" w:line="120" w:lineRule="exact"/>
            </w:pPr>
          </w:p>
        </w:tc>
      </w:tr>
      <w:tr w:rsidR="007F75C3" w:rsidTr="007F75C3">
        <w:tc>
          <w:tcPr>
            <w:tcW w:w="8771" w:type="dxa"/>
            <w:tcBorders>
              <w:top w:val="nil"/>
              <w:left w:val="nil"/>
              <w:bottom w:val="nil"/>
              <w:right w:val="nil"/>
            </w:tcBorders>
          </w:tcPr>
          <w:p w:rsidR="007F75C3" w:rsidRDefault="007F75C3" w:rsidP="007F75C3">
            <w:pPr>
              <w:pStyle w:val="Box"/>
              <w:keepNext w:val="0"/>
              <w:spacing w:before="60" w:after="60" w:line="80" w:lineRule="exact"/>
              <w:rPr>
                <w:b/>
                <w:color w:val="FF00FF"/>
                <w:sz w:val="14"/>
              </w:rPr>
            </w:pPr>
          </w:p>
        </w:tc>
      </w:tr>
    </w:tbl>
    <w:p w:rsidR="00CC1963" w:rsidRDefault="00CC1963" w:rsidP="00CC1963">
      <w:pPr>
        <w:pStyle w:val="Heading3"/>
      </w:pPr>
      <w:r>
        <w:lastRenderedPageBreak/>
        <w:t>Comparing roles of regulatory oversight bodies</w:t>
      </w:r>
    </w:p>
    <w:p w:rsidR="00CC1963" w:rsidRPr="002F710A" w:rsidRDefault="00CC1963" w:rsidP="00CC1963">
      <w:pPr>
        <w:pStyle w:val="BodyText"/>
      </w:pPr>
      <w:r w:rsidRPr="002F710A">
        <w:t xml:space="preserve">In all jurisdictions, oversight bodies examine and advise on </w:t>
      </w:r>
      <w:r>
        <w:t xml:space="preserve">the </w:t>
      </w:r>
      <w:r w:rsidRPr="002F710A">
        <w:t xml:space="preserve">adequacy of </w:t>
      </w:r>
      <w:r>
        <w:t>RIS</w:t>
      </w:r>
      <w:r w:rsidRPr="002F710A">
        <w:t xml:space="preserve">s </w:t>
      </w:r>
      <w:r>
        <w:t xml:space="preserve">and </w:t>
      </w:r>
      <w:r w:rsidRPr="002F710A">
        <w:t xml:space="preserve">provide </w:t>
      </w:r>
      <w:r>
        <w:t xml:space="preserve">some form of </w:t>
      </w:r>
      <w:r w:rsidRPr="002F710A">
        <w:t>advice and</w:t>
      </w:r>
      <w:r>
        <w:t>/or</w:t>
      </w:r>
      <w:r w:rsidRPr="002F710A">
        <w:t xml:space="preserve"> training to agencies. Oversight bodies report </w:t>
      </w:r>
      <w:r>
        <w:t xml:space="preserve">annually </w:t>
      </w:r>
      <w:r w:rsidRPr="002F710A">
        <w:t>on compliance in three jurisdictions</w:t>
      </w:r>
      <w:r>
        <w:t xml:space="preserve"> (table 3.3). T</w:t>
      </w:r>
      <w:r w:rsidRPr="002F710A">
        <w:t xml:space="preserve">he manner in which </w:t>
      </w:r>
      <w:r>
        <w:t>oversight functions</w:t>
      </w:r>
      <w:r w:rsidRPr="002F710A">
        <w:t xml:space="preserve"> are </w:t>
      </w:r>
      <w:r>
        <w:t>performed</w:t>
      </w:r>
      <w:r w:rsidRPr="002F710A">
        <w:t xml:space="preserve"> can vary significa</w:t>
      </w:r>
      <w:r>
        <w:t>ntly between jurisdictions — t</w:t>
      </w:r>
      <w:r w:rsidRPr="002F710A">
        <w:t>his is discussed below for each oversight function.</w:t>
      </w:r>
    </w:p>
    <w:p w:rsidR="00CC1963" w:rsidRDefault="00CC1963" w:rsidP="00CC1963">
      <w:pPr>
        <w:pStyle w:val="TableTitle"/>
      </w:pPr>
      <w:r>
        <w:rPr>
          <w:b w:val="0"/>
        </w:rPr>
        <w:t>Table 3.</w:t>
      </w:r>
      <w:r w:rsidR="00702C9A">
        <w:rPr>
          <w:b w:val="0"/>
          <w:noProof/>
        </w:rPr>
        <w:t>3</w:t>
      </w:r>
      <w:r>
        <w:tab/>
        <w:t>Summary of o</w:t>
      </w:r>
      <w:r w:rsidRPr="0061480B">
        <w:t>versight body functions</w:t>
      </w:r>
    </w:p>
    <w:p w:rsidR="00CC1963" w:rsidRDefault="00CC1963" w:rsidP="00CC1963">
      <w:pPr>
        <w:pStyle w:val="Subtitle"/>
      </w:pPr>
      <w:r>
        <w:t>As at January 2012</w:t>
      </w:r>
    </w:p>
    <w:tbl>
      <w:tblPr>
        <w:tblW w:w="5000" w:type="pct"/>
        <w:tblLayout w:type="fixed"/>
        <w:tblCellMar>
          <w:left w:w="0" w:type="dxa"/>
          <w:right w:w="0" w:type="dxa"/>
        </w:tblCellMar>
        <w:tblLook w:val="04A0" w:firstRow="1" w:lastRow="0" w:firstColumn="1" w:lastColumn="0" w:noHBand="0" w:noVBand="1"/>
      </w:tblPr>
      <w:tblGrid>
        <w:gridCol w:w="2269"/>
        <w:gridCol w:w="708"/>
        <w:gridCol w:w="710"/>
        <w:gridCol w:w="708"/>
        <w:gridCol w:w="708"/>
        <w:gridCol w:w="708"/>
        <w:gridCol w:w="568"/>
        <w:gridCol w:w="568"/>
        <w:gridCol w:w="708"/>
        <w:gridCol w:w="568"/>
        <w:gridCol w:w="566"/>
      </w:tblGrid>
      <w:tr w:rsidR="00CC1963" w:rsidRPr="004C3859" w:rsidTr="00CC1963">
        <w:tc>
          <w:tcPr>
            <w:tcW w:w="1290" w:type="pct"/>
            <w:tcBorders>
              <w:top w:val="single" w:sz="6" w:space="0" w:color="auto"/>
              <w:left w:val="nil"/>
              <w:bottom w:val="single" w:sz="6" w:space="0" w:color="auto"/>
              <w:right w:val="nil"/>
            </w:tcBorders>
            <w:hideMark/>
          </w:tcPr>
          <w:p w:rsidR="00CC1963" w:rsidRPr="004C3859" w:rsidRDefault="00CC1963" w:rsidP="00CC1963">
            <w:pPr>
              <w:pStyle w:val="TableColumnHeading"/>
              <w:jc w:val="left"/>
              <w:rPr>
                <w:lang w:eastAsia="en-US"/>
              </w:rPr>
            </w:pPr>
            <w:r w:rsidRPr="004C3859">
              <w:rPr>
                <w:lang w:eastAsia="en-US"/>
              </w:rPr>
              <w:t>Jurisdiction</w:t>
            </w:r>
          </w:p>
        </w:tc>
        <w:tc>
          <w:tcPr>
            <w:tcW w:w="403" w:type="pct"/>
            <w:tcBorders>
              <w:top w:val="single" w:sz="6" w:space="0" w:color="auto"/>
              <w:left w:val="nil"/>
              <w:bottom w:val="single" w:sz="6" w:space="0" w:color="auto"/>
              <w:right w:val="nil"/>
            </w:tcBorders>
            <w:vAlign w:val="center"/>
            <w:hideMark/>
          </w:tcPr>
          <w:p w:rsidR="00CC1963" w:rsidRPr="004C3859" w:rsidRDefault="00CC1963" w:rsidP="00CC1963">
            <w:pPr>
              <w:pStyle w:val="TableColumnHeading"/>
              <w:jc w:val="center"/>
              <w:rPr>
                <w:lang w:eastAsia="en-US"/>
              </w:rPr>
            </w:pPr>
            <w:r w:rsidRPr="004C3859">
              <w:rPr>
                <w:lang w:eastAsia="en-US"/>
              </w:rPr>
              <w:t>Cwlth</w:t>
            </w:r>
          </w:p>
        </w:tc>
        <w:tc>
          <w:tcPr>
            <w:tcW w:w="404" w:type="pct"/>
            <w:tcBorders>
              <w:top w:val="single" w:sz="6" w:space="0" w:color="auto"/>
              <w:left w:val="nil"/>
              <w:bottom w:val="single" w:sz="6" w:space="0" w:color="auto"/>
              <w:right w:val="nil"/>
            </w:tcBorders>
            <w:vAlign w:val="center"/>
            <w:hideMark/>
          </w:tcPr>
          <w:p w:rsidR="00CC1963" w:rsidRPr="004C3859" w:rsidRDefault="00CC1963" w:rsidP="00CC1963">
            <w:pPr>
              <w:pStyle w:val="TableColumnHeading"/>
              <w:jc w:val="center"/>
              <w:rPr>
                <w:lang w:eastAsia="en-US"/>
              </w:rPr>
            </w:pPr>
            <w:r w:rsidRPr="004C3859">
              <w:rPr>
                <w:lang w:eastAsia="en-US"/>
              </w:rPr>
              <w:t>COAG</w:t>
            </w:r>
          </w:p>
        </w:tc>
        <w:tc>
          <w:tcPr>
            <w:tcW w:w="403" w:type="pct"/>
            <w:tcBorders>
              <w:top w:val="single" w:sz="6" w:space="0" w:color="auto"/>
              <w:left w:val="nil"/>
              <w:bottom w:val="single" w:sz="6" w:space="0" w:color="auto"/>
              <w:right w:val="nil"/>
            </w:tcBorders>
            <w:vAlign w:val="center"/>
            <w:hideMark/>
          </w:tcPr>
          <w:p w:rsidR="00CC1963" w:rsidRPr="004C3859" w:rsidRDefault="00CC1963" w:rsidP="00CC1963">
            <w:pPr>
              <w:pStyle w:val="TableColumnHeading"/>
              <w:jc w:val="center"/>
              <w:rPr>
                <w:lang w:eastAsia="en-US"/>
              </w:rPr>
            </w:pPr>
            <w:r w:rsidRPr="004C3859">
              <w:rPr>
                <w:lang w:eastAsia="en-US"/>
              </w:rPr>
              <w:t>NSW</w:t>
            </w:r>
          </w:p>
        </w:tc>
        <w:tc>
          <w:tcPr>
            <w:tcW w:w="403" w:type="pct"/>
            <w:tcBorders>
              <w:top w:val="single" w:sz="6" w:space="0" w:color="auto"/>
              <w:left w:val="nil"/>
              <w:bottom w:val="single" w:sz="6" w:space="0" w:color="auto"/>
              <w:right w:val="nil"/>
            </w:tcBorders>
            <w:vAlign w:val="center"/>
            <w:hideMark/>
          </w:tcPr>
          <w:p w:rsidR="00CC1963" w:rsidRPr="004C3859" w:rsidRDefault="00CC1963" w:rsidP="00CC1963">
            <w:pPr>
              <w:pStyle w:val="TableColumnHeading"/>
              <w:jc w:val="center"/>
              <w:rPr>
                <w:lang w:eastAsia="en-US"/>
              </w:rPr>
            </w:pPr>
            <w:r w:rsidRPr="004C3859">
              <w:rPr>
                <w:lang w:eastAsia="en-US"/>
              </w:rPr>
              <w:t>Vic</w:t>
            </w:r>
          </w:p>
        </w:tc>
        <w:tc>
          <w:tcPr>
            <w:tcW w:w="403" w:type="pct"/>
            <w:tcBorders>
              <w:top w:val="single" w:sz="6" w:space="0" w:color="auto"/>
              <w:left w:val="nil"/>
              <w:bottom w:val="single" w:sz="6" w:space="0" w:color="auto"/>
              <w:right w:val="nil"/>
            </w:tcBorders>
            <w:vAlign w:val="center"/>
            <w:hideMark/>
          </w:tcPr>
          <w:p w:rsidR="00CC1963" w:rsidRPr="004C3859" w:rsidRDefault="00CC1963" w:rsidP="00CC1963">
            <w:pPr>
              <w:pStyle w:val="TableColumnHeading"/>
              <w:jc w:val="center"/>
              <w:rPr>
                <w:lang w:eastAsia="en-US"/>
              </w:rPr>
            </w:pPr>
            <w:r w:rsidRPr="004C3859">
              <w:rPr>
                <w:lang w:eastAsia="en-US"/>
              </w:rPr>
              <w:t>Qld</w:t>
            </w:r>
          </w:p>
        </w:tc>
        <w:tc>
          <w:tcPr>
            <w:tcW w:w="323" w:type="pct"/>
            <w:tcBorders>
              <w:top w:val="single" w:sz="6" w:space="0" w:color="auto"/>
              <w:left w:val="nil"/>
              <w:bottom w:val="single" w:sz="6" w:space="0" w:color="auto"/>
              <w:right w:val="nil"/>
            </w:tcBorders>
            <w:vAlign w:val="center"/>
            <w:hideMark/>
          </w:tcPr>
          <w:p w:rsidR="00CC1963" w:rsidRPr="004C3859" w:rsidRDefault="00CC1963" w:rsidP="00CC1963">
            <w:pPr>
              <w:pStyle w:val="TableColumnHeading"/>
              <w:jc w:val="center"/>
              <w:rPr>
                <w:lang w:eastAsia="en-US"/>
              </w:rPr>
            </w:pPr>
            <w:r w:rsidRPr="004C3859">
              <w:rPr>
                <w:lang w:eastAsia="en-US"/>
              </w:rPr>
              <w:t>WA</w:t>
            </w:r>
          </w:p>
        </w:tc>
        <w:tc>
          <w:tcPr>
            <w:tcW w:w="323" w:type="pct"/>
            <w:tcBorders>
              <w:top w:val="single" w:sz="6" w:space="0" w:color="auto"/>
              <w:left w:val="nil"/>
              <w:bottom w:val="single" w:sz="6" w:space="0" w:color="auto"/>
              <w:right w:val="nil"/>
            </w:tcBorders>
            <w:vAlign w:val="center"/>
            <w:hideMark/>
          </w:tcPr>
          <w:p w:rsidR="00CC1963" w:rsidRPr="004C3859" w:rsidRDefault="00CC1963" w:rsidP="00CC1963">
            <w:pPr>
              <w:pStyle w:val="TableColumnHeading"/>
              <w:jc w:val="center"/>
              <w:rPr>
                <w:lang w:eastAsia="en-US"/>
              </w:rPr>
            </w:pPr>
            <w:r w:rsidRPr="004C3859">
              <w:rPr>
                <w:lang w:eastAsia="en-US"/>
              </w:rPr>
              <w:t>SA</w:t>
            </w:r>
          </w:p>
        </w:tc>
        <w:tc>
          <w:tcPr>
            <w:tcW w:w="403" w:type="pct"/>
            <w:tcBorders>
              <w:top w:val="single" w:sz="6" w:space="0" w:color="auto"/>
              <w:left w:val="nil"/>
              <w:bottom w:val="single" w:sz="6" w:space="0" w:color="auto"/>
              <w:right w:val="nil"/>
            </w:tcBorders>
            <w:vAlign w:val="center"/>
            <w:hideMark/>
          </w:tcPr>
          <w:p w:rsidR="00CC1963" w:rsidRPr="004C3859" w:rsidRDefault="00CC1963" w:rsidP="00CC1963">
            <w:pPr>
              <w:pStyle w:val="TableColumnHeading"/>
              <w:jc w:val="center"/>
              <w:rPr>
                <w:lang w:eastAsia="en-US"/>
              </w:rPr>
            </w:pPr>
            <w:r w:rsidRPr="004C3859">
              <w:rPr>
                <w:lang w:eastAsia="en-US"/>
              </w:rPr>
              <w:t>Tas</w:t>
            </w:r>
          </w:p>
        </w:tc>
        <w:tc>
          <w:tcPr>
            <w:tcW w:w="323" w:type="pct"/>
            <w:tcBorders>
              <w:top w:val="single" w:sz="6" w:space="0" w:color="auto"/>
              <w:left w:val="nil"/>
              <w:bottom w:val="single" w:sz="6" w:space="0" w:color="auto"/>
              <w:right w:val="nil"/>
            </w:tcBorders>
            <w:vAlign w:val="center"/>
            <w:hideMark/>
          </w:tcPr>
          <w:p w:rsidR="00CC1963" w:rsidRPr="004C3859" w:rsidRDefault="00CC1963" w:rsidP="00CC1963">
            <w:pPr>
              <w:pStyle w:val="TableColumnHeading"/>
              <w:jc w:val="center"/>
              <w:rPr>
                <w:lang w:eastAsia="en-US"/>
              </w:rPr>
            </w:pPr>
            <w:r w:rsidRPr="004C3859">
              <w:rPr>
                <w:lang w:eastAsia="en-US"/>
              </w:rPr>
              <w:t>ACT</w:t>
            </w:r>
          </w:p>
        </w:tc>
        <w:tc>
          <w:tcPr>
            <w:tcW w:w="322" w:type="pct"/>
            <w:tcBorders>
              <w:top w:val="single" w:sz="6" w:space="0" w:color="auto"/>
              <w:left w:val="nil"/>
              <w:bottom w:val="single" w:sz="6" w:space="0" w:color="auto"/>
              <w:right w:val="nil"/>
            </w:tcBorders>
            <w:vAlign w:val="center"/>
            <w:hideMark/>
          </w:tcPr>
          <w:p w:rsidR="00CC1963" w:rsidRPr="004C3859" w:rsidRDefault="00CC1963" w:rsidP="00CC1963">
            <w:pPr>
              <w:pStyle w:val="TableColumnHeading"/>
              <w:ind w:right="28"/>
              <w:jc w:val="center"/>
              <w:rPr>
                <w:lang w:eastAsia="en-US"/>
              </w:rPr>
            </w:pPr>
            <w:r w:rsidRPr="004C3859">
              <w:rPr>
                <w:lang w:eastAsia="en-US"/>
              </w:rPr>
              <w:t>NT</w:t>
            </w:r>
          </w:p>
        </w:tc>
      </w:tr>
      <w:tr w:rsidR="00CC1963" w:rsidRPr="004C3859" w:rsidTr="00CC1963">
        <w:tc>
          <w:tcPr>
            <w:tcW w:w="1290" w:type="pct"/>
            <w:tcBorders>
              <w:top w:val="single" w:sz="6" w:space="0" w:color="auto"/>
              <w:left w:val="nil"/>
              <w:right w:val="nil"/>
            </w:tcBorders>
            <w:hideMark/>
          </w:tcPr>
          <w:p w:rsidR="00CC1963" w:rsidRPr="004C3859" w:rsidRDefault="00CC1963" w:rsidP="00CC1963">
            <w:pPr>
              <w:pStyle w:val="TableUnitsRow"/>
              <w:ind w:left="0" w:firstLine="6"/>
              <w:jc w:val="left"/>
              <w:rPr>
                <w:lang w:eastAsia="en-US"/>
              </w:rPr>
            </w:pPr>
            <w:r>
              <w:rPr>
                <w:lang w:eastAsia="en-US"/>
              </w:rPr>
              <w:t>Decide</w:t>
            </w:r>
            <w:r w:rsidRPr="004C3859">
              <w:rPr>
                <w:lang w:eastAsia="en-US"/>
              </w:rPr>
              <w:t xml:space="preserve"> whether proposals require </w:t>
            </w:r>
            <w:r>
              <w:rPr>
                <w:lang w:eastAsia="en-US"/>
              </w:rPr>
              <w:t>RISs</w:t>
            </w:r>
          </w:p>
        </w:tc>
        <w:tc>
          <w:tcPr>
            <w:tcW w:w="403" w:type="pct"/>
            <w:tcBorders>
              <w:top w:val="single" w:sz="6" w:space="0" w:color="auto"/>
              <w:left w:val="nil"/>
              <w:right w:val="nil"/>
            </w:tcBorders>
            <w:vAlign w:val="center"/>
            <w:hideMark/>
          </w:tcPr>
          <w:p w:rsidR="00CC1963" w:rsidRPr="004C3859" w:rsidRDefault="00CC1963" w:rsidP="00CC1963">
            <w:pPr>
              <w:pStyle w:val="TableUnitsRow"/>
              <w:jc w:val="center"/>
              <w:rPr>
                <w:lang w:eastAsia="en-US"/>
              </w:rPr>
            </w:pPr>
            <w:r w:rsidRPr="004C3859">
              <w:rPr>
                <w:lang w:eastAsia="en-US"/>
              </w:rPr>
              <w:sym w:font="Wingdings" w:char="F0FC"/>
            </w:r>
          </w:p>
        </w:tc>
        <w:tc>
          <w:tcPr>
            <w:tcW w:w="404" w:type="pct"/>
            <w:tcBorders>
              <w:top w:val="single" w:sz="6" w:space="0" w:color="auto"/>
              <w:left w:val="nil"/>
              <w:right w:val="nil"/>
            </w:tcBorders>
            <w:vAlign w:val="center"/>
            <w:hideMark/>
          </w:tcPr>
          <w:p w:rsidR="00CC1963" w:rsidRPr="004C3859" w:rsidRDefault="00CC1963" w:rsidP="00CC1963">
            <w:pPr>
              <w:pStyle w:val="TableUnitsRow"/>
              <w:jc w:val="center"/>
              <w:rPr>
                <w:lang w:eastAsia="en-US"/>
              </w:rPr>
            </w:pPr>
            <w:r w:rsidRPr="004C3859">
              <w:rPr>
                <w:lang w:eastAsia="en-US"/>
              </w:rPr>
              <w:sym w:font="Wingdings" w:char="F0FC"/>
            </w:r>
          </w:p>
        </w:tc>
        <w:tc>
          <w:tcPr>
            <w:tcW w:w="403" w:type="pct"/>
            <w:tcBorders>
              <w:top w:val="single" w:sz="6" w:space="0" w:color="auto"/>
              <w:left w:val="nil"/>
              <w:right w:val="nil"/>
            </w:tcBorders>
            <w:vAlign w:val="center"/>
            <w:hideMark/>
          </w:tcPr>
          <w:p w:rsidR="00CC1963" w:rsidRPr="00914B4B" w:rsidRDefault="00CC1963" w:rsidP="00CC1963">
            <w:pPr>
              <w:pStyle w:val="TableUnitsRow"/>
              <w:jc w:val="center"/>
              <w:rPr>
                <w:lang w:eastAsia="en-US"/>
              </w:rPr>
            </w:pPr>
            <w:r w:rsidRPr="00914B4B">
              <w:rPr>
                <w:lang w:eastAsia="en-US"/>
              </w:rPr>
              <w:sym w:font="Wingdings" w:char="F0FB"/>
            </w:r>
          </w:p>
        </w:tc>
        <w:tc>
          <w:tcPr>
            <w:tcW w:w="403" w:type="pct"/>
            <w:tcBorders>
              <w:top w:val="single" w:sz="6" w:space="0" w:color="auto"/>
              <w:left w:val="nil"/>
              <w:right w:val="nil"/>
            </w:tcBorders>
            <w:vAlign w:val="center"/>
            <w:hideMark/>
          </w:tcPr>
          <w:p w:rsidR="00CC1963" w:rsidRPr="00914B4B" w:rsidRDefault="00CC1963" w:rsidP="00CC1963">
            <w:pPr>
              <w:pStyle w:val="TableUnitsRow"/>
              <w:jc w:val="center"/>
              <w:rPr>
                <w:lang w:eastAsia="en-US"/>
              </w:rPr>
            </w:pPr>
            <w:r w:rsidRPr="00914B4B">
              <w:rPr>
                <w:lang w:eastAsia="en-US"/>
              </w:rPr>
              <w:sym w:font="Wingdings" w:char="F0FB"/>
            </w:r>
          </w:p>
        </w:tc>
        <w:tc>
          <w:tcPr>
            <w:tcW w:w="403" w:type="pct"/>
            <w:tcBorders>
              <w:top w:val="single" w:sz="6" w:space="0" w:color="auto"/>
              <w:left w:val="nil"/>
              <w:right w:val="nil"/>
            </w:tcBorders>
            <w:vAlign w:val="center"/>
            <w:hideMark/>
          </w:tcPr>
          <w:p w:rsidR="00CC1963" w:rsidRPr="00914B4B" w:rsidRDefault="00CC1963" w:rsidP="00CC1963">
            <w:pPr>
              <w:pStyle w:val="TableUnitsRow"/>
              <w:jc w:val="center"/>
              <w:rPr>
                <w:lang w:eastAsia="en-US"/>
              </w:rPr>
            </w:pPr>
            <w:r w:rsidRPr="00914B4B">
              <w:rPr>
                <w:lang w:eastAsia="en-US"/>
              </w:rPr>
              <w:sym w:font="Wingdings" w:char="F0FB"/>
            </w:r>
          </w:p>
        </w:tc>
        <w:tc>
          <w:tcPr>
            <w:tcW w:w="323" w:type="pct"/>
            <w:tcBorders>
              <w:top w:val="single" w:sz="6" w:space="0" w:color="auto"/>
              <w:left w:val="nil"/>
              <w:right w:val="nil"/>
            </w:tcBorders>
            <w:vAlign w:val="center"/>
            <w:hideMark/>
          </w:tcPr>
          <w:p w:rsidR="00CC1963" w:rsidRPr="004C3859" w:rsidRDefault="00CC1963" w:rsidP="00CC1963">
            <w:pPr>
              <w:pStyle w:val="TableUnitsRow"/>
              <w:jc w:val="center"/>
              <w:rPr>
                <w:lang w:eastAsia="en-US"/>
              </w:rPr>
            </w:pPr>
            <w:r w:rsidRPr="004C3859">
              <w:rPr>
                <w:lang w:eastAsia="en-US"/>
              </w:rPr>
              <w:sym w:font="Wingdings" w:char="F0FC"/>
            </w:r>
          </w:p>
        </w:tc>
        <w:tc>
          <w:tcPr>
            <w:tcW w:w="323" w:type="pct"/>
            <w:tcBorders>
              <w:top w:val="single" w:sz="6" w:space="0" w:color="auto"/>
              <w:left w:val="nil"/>
              <w:right w:val="nil"/>
            </w:tcBorders>
            <w:vAlign w:val="center"/>
            <w:hideMark/>
          </w:tcPr>
          <w:p w:rsidR="00CC1963" w:rsidRPr="004C3859" w:rsidRDefault="00CC1963" w:rsidP="00CC1963">
            <w:pPr>
              <w:pStyle w:val="TableUnitsRow"/>
              <w:jc w:val="center"/>
              <w:rPr>
                <w:lang w:eastAsia="en-US"/>
              </w:rPr>
            </w:pPr>
            <w:r w:rsidRPr="004C3859">
              <w:rPr>
                <w:lang w:eastAsia="en-US"/>
              </w:rPr>
              <w:sym w:font="Wingdings" w:char="F0FB"/>
            </w:r>
          </w:p>
        </w:tc>
        <w:tc>
          <w:tcPr>
            <w:tcW w:w="403" w:type="pct"/>
            <w:tcBorders>
              <w:top w:val="single" w:sz="6" w:space="0" w:color="auto"/>
              <w:left w:val="nil"/>
              <w:right w:val="nil"/>
            </w:tcBorders>
            <w:vAlign w:val="center"/>
            <w:hideMark/>
          </w:tcPr>
          <w:p w:rsidR="00CC1963" w:rsidRPr="004C3859" w:rsidRDefault="00C7523A" w:rsidP="00441931">
            <w:pPr>
              <w:pStyle w:val="TableUnitsRow"/>
              <w:spacing w:before="0" w:after="60"/>
              <w:jc w:val="center"/>
              <w:rPr>
                <w:lang w:eastAsia="en-US"/>
              </w:rPr>
            </w:pPr>
            <w:r>
              <w:rPr>
                <w:lang w:eastAsia="en-US"/>
              </w:rPr>
              <w:t> </w:t>
            </w:r>
            <w:r w:rsidR="00CC1963" w:rsidRPr="004C3859">
              <w:rPr>
                <w:lang w:eastAsia="en-US"/>
              </w:rPr>
              <w:sym w:font="Wingdings" w:char="F0FC"/>
            </w:r>
            <w:r w:rsidR="00CC1963">
              <w:rPr>
                <w:b/>
                <w:position w:val="6"/>
                <w:sz w:val="18"/>
              </w:rPr>
              <w:t>a</w:t>
            </w:r>
          </w:p>
        </w:tc>
        <w:tc>
          <w:tcPr>
            <w:tcW w:w="323" w:type="pct"/>
            <w:tcBorders>
              <w:top w:val="single" w:sz="6" w:space="0" w:color="auto"/>
              <w:left w:val="nil"/>
              <w:right w:val="nil"/>
            </w:tcBorders>
            <w:vAlign w:val="center"/>
            <w:hideMark/>
          </w:tcPr>
          <w:p w:rsidR="00CC1963" w:rsidRPr="004C3859" w:rsidRDefault="00CC1963" w:rsidP="00CC1963">
            <w:pPr>
              <w:pStyle w:val="TableUnitsRow"/>
              <w:jc w:val="center"/>
              <w:rPr>
                <w:lang w:eastAsia="en-US"/>
              </w:rPr>
            </w:pPr>
            <w:r w:rsidRPr="004C3859">
              <w:rPr>
                <w:lang w:eastAsia="en-US"/>
              </w:rPr>
              <w:sym w:font="Wingdings" w:char="F0FB"/>
            </w:r>
          </w:p>
        </w:tc>
        <w:tc>
          <w:tcPr>
            <w:tcW w:w="322" w:type="pct"/>
            <w:tcBorders>
              <w:top w:val="single" w:sz="6" w:space="0" w:color="auto"/>
              <w:left w:val="nil"/>
              <w:right w:val="nil"/>
            </w:tcBorders>
            <w:vAlign w:val="center"/>
            <w:hideMark/>
          </w:tcPr>
          <w:p w:rsidR="00CC1963" w:rsidRPr="004C3859" w:rsidRDefault="00CC1963" w:rsidP="00CC1963">
            <w:pPr>
              <w:pStyle w:val="TableUnitsRow"/>
              <w:ind w:right="28"/>
              <w:jc w:val="center"/>
              <w:rPr>
                <w:lang w:eastAsia="en-US"/>
              </w:rPr>
            </w:pPr>
            <w:r w:rsidRPr="004C3859">
              <w:rPr>
                <w:lang w:eastAsia="en-US"/>
              </w:rPr>
              <w:sym w:font="Wingdings" w:char="F0FC"/>
            </w:r>
          </w:p>
        </w:tc>
      </w:tr>
      <w:tr w:rsidR="00CC1963" w:rsidRPr="004C3859" w:rsidTr="00CC1963">
        <w:tc>
          <w:tcPr>
            <w:tcW w:w="1290" w:type="pct"/>
            <w:shd w:val="clear" w:color="auto" w:fill="auto"/>
            <w:hideMark/>
          </w:tcPr>
          <w:p w:rsidR="00CC1963" w:rsidRPr="004C3859" w:rsidRDefault="00CC1963" w:rsidP="00CC1963">
            <w:pPr>
              <w:pStyle w:val="TableBodyText"/>
              <w:spacing w:before="20"/>
              <w:ind w:left="0" w:firstLine="6"/>
              <w:jc w:val="left"/>
              <w:rPr>
                <w:lang w:eastAsia="en-US"/>
              </w:rPr>
            </w:pPr>
            <w:r w:rsidRPr="004C3859">
              <w:rPr>
                <w:lang w:eastAsia="en-US"/>
              </w:rPr>
              <w:t>Provid</w:t>
            </w:r>
            <w:r>
              <w:rPr>
                <w:lang w:eastAsia="en-US"/>
              </w:rPr>
              <w:t>e</w:t>
            </w:r>
            <w:r w:rsidRPr="004C3859">
              <w:rPr>
                <w:lang w:eastAsia="en-US"/>
              </w:rPr>
              <w:t xml:space="preserve"> </w:t>
            </w:r>
            <w:r>
              <w:rPr>
                <w:lang w:eastAsia="en-US"/>
              </w:rPr>
              <w:t>advice and/or training</w:t>
            </w:r>
            <w:r w:rsidRPr="004C3859">
              <w:rPr>
                <w:lang w:eastAsia="en-US"/>
              </w:rPr>
              <w:t xml:space="preserve"> on the RIA process</w:t>
            </w:r>
          </w:p>
        </w:tc>
        <w:tc>
          <w:tcPr>
            <w:tcW w:w="403" w:type="pct"/>
            <w:shd w:val="clear" w:color="auto" w:fill="auto"/>
            <w:vAlign w:val="center"/>
            <w:hideMark/>
          </w:tcPr>
          <w:p w:rsidR="00CC1963" w:rsidRPr="004C3859" w:rsidRDefault="00CC1963" w:rsidP="00CC1963">
            <w:pPr>
              <w:pStyle w:val="TableBodyText"/>
              <w:spacing w:before="20"/>
              <w:jc w:val="center"/>
              <w:rPr>
                <w:lang w:eastAsia="en-US"/>
              </w:rPr>
            </w:pPr>
            <w:r w:rsidRPr="004C3859">
              <w:rPr>
                <w:lang w:eastAsia="en-US"/>
              </w:rPr>
              <w:sym w:font="Wingdings" w:char="F0FC"/>
            </w:r>
          </w:p>
        </w:tc>
        <w:tc>
          <w:tcPr>
            <w:tcW w:w="404" w:type="pct"/>
            <w:shd w:val="clear" w:color="auto" w:fill="auto"/>
            <w:vAlign w:val="center"/>
            <w:hideMark/>
          </w:tcPr>
          <w:p w:rsidR="00CC1963" w:rsidRPr="004C3859" w:rsidRDefault="00CC1963" w:rsidP="00CC1963">
            <w:pPr>
              <w:pStyle w:val="TableBodyText"/>
              <w:spacing w:before="20"/>
              <w:jc w:val="center"/>
              <w:rPr>
                <w:lang w:eastAsia="en-US"/>
              </w:rPr>
            </w:pPr>
            <w:r w:rsidRPr="004C3859">
              <w:rPr>
                <w:lang w:eastAsia="en-US"/>
              </w:rPr>
              <w:sym w:font="Wingdings" w:char="F0FC"/>
            </w:r>
          </w:p>
        </w:tc>
        <w:tc>
          <w:tcPr>
            <w:tcW w:w="403" w:type="pct"/>
            <w:shd w:val="clear" w:color="auto" w:fill="auto"/>
            <w:vAlign w:val="center"/>
            <w:hideMark/>
          </w:tcPr>
          <w:p w:rsidR="00CC1963" w:rsidRPr="00914B4B" w:rsidRDefault="00CC1963" w:rsidP="00CC1963">
            <w:pPr>
              <w:pStyle w:val="TableBodyText"/>
              <w:spacing w:before="20"/>
              <w:jc w:val="center"/>
              <w:rPr>
                <w:lang w:eastAsia="en-US"/>
              </w:rPr>
            </w:pPr>
            <w:r w:rsidRPr="00914B4B">
              <w:rPr>
                <w:lang w:eastAsia="en-US"/>
              </w:rPr>
              <w:sym w:font="Wingdings" w:char="F0FC"/>
            </w:r>
          </w:p>
        </w:tc>
        <w:tc>
          <w:tcPr>
            <w:tcW w:w="403" w:type="pct"/>
            <w:shd w:val="clear" w:color="auto" w:fill="auto"/>
            <w:vAlign w:val="center"/>
            <w:hideMark/>
          </w:tcPr>
          <w:p w:rsidR="00CC1963" w:rsidRPr="00914B4B" w:rsidRDefault="00CC1963" w:rsidP="00CC1963">
            <w:pPr>
              <w:pStyle w:val="TableBodyText"/>
              <w:spacing w:before="20"/>
              <w:jc w:val="center"/>
              <w:rPr>
                <w:lang w:eastAsia="en-US"/>
              </w:rPr>
            </w:pPr>
            <w:r w:rsidRPr="00914B4B">
              <w:rPr>
                <w:lang w:eastAsia="en-US"/>
              </w:rPr>
              <w:sym w:font="Wingdings" w:char="F0FC"/>
            </w:r>
          </w:p>
        </w:tc>
        <w:tc>
          <w:tcPr>
            <w:tcW w:w="403" w:type="pct"/>
            <w:shd w:val="clear" w:color="auto" w:fill="auto"/>
            <w:vAlign w:val="center"/>
            <w:hideMark/>
          </w:tcPr>
          <w:p w:rsidR="00CC1963" w:rsidRPr="00914B4B" w:rsidRDefault="00CC1963" w:rsidP="00CC1963">
            <w:pPr>
              <w:pStyle w:val="TableBodyText"/>
              <w:spacing w:before="20"/>
              <w:jc w:val="center"/>
              <w:rPr>
                <w:lang w:eastAsia="en-US"/>
              </w:rPr>
            </w:pPr>
            <w:r w:rsidRPr="00914B4B">
              <w:rPr>
                <w:lang w:eastAsia="en-US"/>
              </w:rPr>
              <w:sym w:font="Wingdings" w:char="F0FC"/>
            </w:r>
          </w:p>
        </w:tc>
        <w:tc>
          <w:tcPr>
            <w:tcW w:w="323" w:type="pct"/>
            <w:shd w:val="clear" w:color="auto" w:fill="auto"/>
            <w:vAlign w:val="center"/>
            <w:hideMark/>
          </w:tcPr>
          <w:p w:rsidR="00CC1963" w:rsidRPr="004C3859" w:rsidRDefault="00CC1963" w:rsidP="00CC1963">
            <w:pPr>
              <w:pStyle w:val="TableBodyText"/>
              <w:spacing w:before="20"/>
              <w:jc w:val="center"/>
              <w:rPr>
                <w:lang w:eastAsia="en-US"/>
              </w:rPr>
            </w:pPr>
            <w:r w:rsidRPr="004C3859">
              <w:rPr>
                <w:lang w:eastAsia="en-US"/>
              </w:rPr>
              <w:sym w:font="Wingdings" w:char="F0FC"/>
            </w:r>
          </w:p>
        </w:tc>
        <w:tc>
          <w:tcPr>
            <w:tcW w:w="323" w:type="pct"/>
            <w:shd w:val="clear" w:color="auto" w:fill="auto"/>
            <w:vAlign w:val="center"/>
            <w:hideMark/>
          </w:tcPr>
          <w:p w:rsidR="00CC1963" w:rsidRPr="004C3859" w:rsidRDefault="00CC1963" w:rsidP="00CC1963">
            <w:pPr>
              <w:pStyle w:val="TableBodyText"/>
              <w:spacing w:before="20"/>
              <w:jc w:val="center"/>
              <w:rPr>
                <w:lang w:eastAsia="en-US"/>
              </w:rPr>
            </w:pPr>
            <w:r w:rsidRPr="004C3859">
              <w:rPr>
                <w:lang w:eastAsia="en-US"/>
              </w:rPr>
              <w:sym w:font="Wingdings" w:char="F0FC"/>
            </w:r>
          </w:p>
        </w:tc>
        <w:tc>
          <w:tcPr>
            <w:tcW w:w="403" w:type="pct"/>
            <w:shd w:val="clear" w:color="auto" w:fill="auto"/>
            <w:vAlign w:val="center"/>
            <w:hideMark/>
          </w:tcPr>
          <w:p w:rsidR="00CC1963" w:rsidRPr="004C3859" w:rsidRDefault="00CC1963" w:rsidP="00CC1963">
            <w:pPr>
              <w:pStyle w:val="TableBodyText"/>
              <w:spacing w:before="20"/>
              <w:jc w:val="center"/>
              <w:rPr>
                <w:lang w:eastAsia="en-US"/>
              </w:rPr>
            </w:pPr>
            <w:r w:rsidRPr="004C3859">
              <w:rPr>
                <w:lang w:eastAsia="en-US"/>
              </w:rPr>
              <w:sym w:font="Wingdings" w:char="F0FC"/>
            </w:r>
          </w:p>
        </w:tc>
        <w:tc>
          <w:tcPr>
            <w:tcW w:w="323" w:type="pct"/>
            <w:shd w:val="clear" w:color="auto" w:fill="auto"/>
            <w:vAlign w:val="center"/>
            <w:hideMark/>
          </w:tcPr>
          <w:p w:rsidR="00CC1963" w:rsidRPr="004C3859" w:rsidRDefault="00CC1963" w:rsidP="00CC1963">
            <w:pPr>
              <w:pStyle w:val="TableBodyText"/>
              <w:spacing w:before="20"/>
              <w:jc w:val="center"/>
              <w:rPr>
                <w:lang w:eastAsia="en-US"/>
              </w:rPr>
            </w:pPr>
            <w:r w:rsidRPr="004C3859">
              <w:rPr>
                <w:lang w:eastAsia="en-US"/>
              </w:rPr>
              <w:sym w:font="Wingdings" w:char="F0FC"/>
            </w:r>
          </w:p>
        </w:tc>
        <w:tc>
          <w:tcPr>
            <w:tcW w:w="322" w:type="pct"/>
            <w:shd w:val="clear" w:color="auto" w:fill="auto"/>
            <w:vAlign w:val="center"/>
            <w:hideMark/>
          </w:tcPr>
          <w:p w:rsidR="00CC1963" w:rsidRPr="004C3859" w:rsidRDefault="00CC1963" w:rsidP="00CC1963">
            <w:pPr>
              <w:pStyle w:val="TableBodyText"/>
              <w:spacing w:before="20"/>
              <w:ind w:right="28"/>
              <w:jc w:val="center"/>
              <w:rPr>
                <w:lang w:eastAsia="en-US"/>
              </w:rPr>
            </w:pPr>
            <w:r w:rsidRPr="004C3859">
              <w:rPr>
                <w:lang w:eastAsia="en-US"/>
              </w:rPr>
              <w:sym w:font="Wingdings" w:char="F0FC"/>
            </w:r>
          </w:p>
        </w:tc>
      </w:tr>
      <w:tr w:rsidR="00CC1963" w:rsidRPr="004C3859" w:rsidTr="00CC1963">
        <w:tc>
          <w:tcPr>
            <w:tcW w:w="1290" w:type="pct"/>
            <w:shd w:val="clear" w:color="auto" w:fill="auto"/>
            <w:hideMark/>
          </w:tcPr>
          <w:p w:rsidR="00CC1963" w:rsidRPr="004C3859" w:rsidRDefault="00CC1963" w:rsidP="00CC1963">
            <w:pPr>
              <w:pStyle w:val="TableBodyText"/>
              <w:spacing w:before="20"/>
              <w:ind w:left="0" w:firstLine="6"/>
              <w:jc w:val="left"/>
              <w:rPr>
                <w:lang w:eastAsia="en-US"/>
              </w:rPr>
            </w:pPr>
            <w:r w:rsidRPr="004C3859">
              <w:rPr>
                <w:lang w:eastAsia="en-US"/>
              </w:rPr>
              <w:t>Examin</w:t>
            </w:r>
            <w:r>
              <w:rPr>
                <w:lang w:eastAsia="en-US"/>
              </w:rPr>
              <w:t>e</w:t>
            </w:r>
            <w:r w:rsidRPr="004C3859">
              <w:rPr>
                <w:lang w:eastAsia="en-US"/>
              </w:rPr>
              <w:t xml:space="preserve"> </w:t>
            </w:r>
            <w:r>
              <w:rPr>
                <w:lang w:eastAsia="en-US"/>
              </w:rPr>
              <w:t>and advis</w:t>
            </w:r>
            <w:r w:rsidR="00000F61">
              <w:rPr>
                <w:lang w:eastAsia="en-US"/>
              </w:rPr>
              <w:t>e</w:t>
            </w:r>
            <w:r>
              <w:rPr>
                <w:lang w:eastAsia="en-US"/>
              </w:rPr>
              <w:t xml:space="preserve"> on adequacy of RISs</w:t>
            </w:r>
          </w:p>
        </w:tc>
        <w:tc>
          <w:tcPr>
            <w:tcW w:w="403" w:type="pct"/>
            <w:shd w:val="clear" w:color="auto" w:fill="auto"/>
            <w:vAlign w:val="center"/>
            <w:hideMark/>
          </w:tcPr>
          <w:p w:rsidR="00CC1963" w:rsidRPr="004C3859" w:rsidRDefault="00CC1963" w:rsidP="00CC1963">
            <w:pPr>
              <w:pStyle w:val="TableBodyText"/>
              <w:spacing w:before="20"/>
              <w:jc w:val="center"/>
              <w:rPr>
                <w:lang w:eastAsia="en-US"/>
              </w:rPr>
            </w:pPr>
            <w:r w:rsidRPr="004C3859">
              <w:rPr>
                <w:lang w:eastAsia="en-US"/>
              </w:rPr>
              <w:sym w:font="Wingdings" w:char="F0FC"/>
            </w:r>
          </w:p>
        </w:tc>
        <w:tc>
          <w:tcPr>
            <w:tcW w:w="404" w:type="pct"/>
            <w:shd w:val="clear" w:color="auto" w:fill="auto"/>
            <w:vAlign w:val="center"/>
            <w:hideMark/>
          </w:tcPr>
          <w:p w:rsidR="00CC1963" w:rsidRPr="004C3859" w:rsidRDefault="00CC1963" w:rsidP="00CC1963">
            <w:pPr>
              <w:pStyle w:val="TableBodyText"/>
              <w:spacing w:before="20"/>
              <w:jc w:val="center"/>
              <w:rPr>
                <w:lang w:eastAsia="en-US"/>
              </w:rPr>
            </w:pPr>
            <w:r w:rsidRPr="004C3859">
              <w:rPr>
                <w:lang w:eastAsia="en-US"/>
              </w:rPr>
              <w:sym w:font="Wingdings" w:char="F0FC"/>
            </w:r>
          </w:p>
        </w:tc>
        <w:tc>
          <w:tcPr>
            <w:tcW w:w="403" w:type="pct"/>
            <w:shd w:val="clear" w:color="auto" w:fill="auto"/>
            <w:vAlign w:val="center"/>
            <w:hideMark/>
          </w:tcPr>
          <w:p w:rsidR="00CC1963" w:rsidRPr="00914B4B" w:rsidRDefault="00CC1963" w:rsidP="00CC1963">
            <w:pPr>
              <w:pStyle w:val="TableBodyText"/>
              <w:spacing w:before="20"/>
              <w:jc w:val="center"/>
              <w:rPr>
                <w:lang w:eastAsia="en-US"/>
              </w:rPr>
            </w:pPr>
            <w:r w:rsidRPr="00914B4B">
              <w:rPr>
                <w:lang w:eastAsia="en-US"/>
              </w:rPr>
              <w:sym w:font="Wingdings" w:char="F0FC"/>
            </w:r>
          </w:p>
        </w:tc>
        <w:tc>
          <w:tcPr>
            <w:tcW w:w="403" w:type="pct"/>
            <w:shd w:val="clear" w:color="auto" w:fill="auto"/>
            <w:vAlign w:val="center"/>
            <w:hideMark/>
          </w:tcPr>
          <w:p w:rsidR="00CC1963" w:rsidRPr="00914B4B" w:rsidRDefault="00CC1963" w:rsidP="00CC1963">
            <w:pPr>
              <w:pStyle w:val="TableBodyText"/>
              <w:spacing w:before="20"/>
              <w:jc w:val="center"/>
              <w:rPr>
                <w:lang w:eastAsia="en-US"/>
              </w:rPr>
            </w:pPr>
            <w:r w:rsidRPr="00914B4B">
              <w:rPr>
                <w:lang w:eastAsia="en-US"/>
              </w:rPr>
              <w:sym w:font="Wingdings" w:char="F0FC"/>
            </w:r>
          </w:p>
        </w:tc>
        <w:tc>
          <w:tcPr>
            <w:tcW w:w="403" w:type="pct"/>
            <w:shd w:val="clear" w:color="auto" w:fill="auto"/>
            <w:vAlign w:val="center"/>
            <w:hideMark/>
          </w:tcPr>
          <w:p w:rsidR="00CC1963" w:rsidRPr="00914B4B" w:rsidRDefault="00CC1963" w:rsidP="00CC1963">
            <w:pPr>
              <w:pStyle w:val="TableBodyText"/>
              <w:spacing w:before="20"/>
              <w:jc w:val="center"/>
              <w:rPr>
                <w:lang w:eastAsia="en-US"/>
              </w:rPr>
            </w:pPr>
            <w:r w:rsidRPr="00914B4B">
              <w:rPr>
                <w:lang w:eastAsia="en-US"/>
              </w:rPr>
              <w:sym w:font="Wingdings" w:char="F0FC"/>
            </w:r>
          </w:p>
        </w:tc>
        <w:tc>
          <w:tcPr>
            <w:tcW w:w="323" w:type="pct"/>
            <w:shd w:val="clear" w:color="auto" w:fill="auto"/>
            <w:vAlign w:val="center"/>
            <w:hideMark/>
          </w:tcPr>
          <w:p w:rsidR="00CC1963" w:rsidRPr="004C3859" w:rsidRDefault="00CC1963" w:rsidP="00CC1963">
            <w:pPr>
              <w:pStyle w:val="TableBodyText"/>
              <w:spacing w:before="20"/>
              <w:jc w:val="center"/>
              <w:rPr>
                <w:lang w:eastAsia="en-US"/>
              </w:rPr>
            </w:pPr>
            <w:r w:rsidRPr="004C3859">
              <w:rPr>
                <w:lang w:eastAsia="en-US"/>
              </w:rPr>
              <w:sym w:font="Wingdings" w:char="F0FC"/>
            </w:r>
          </w:p>
        </w:tc>
        <w:tc>
          <w:tcPr>
            <w:tcW w:w="323" w:type="pct"/>
            <w:shd w:val="clear" w:color="auto" w:fill="auto"/>
            <w:vAlign w:val="center"/>
            <w:hideMark/>
          </w:tcPr>
          <w:p w:rsidR="00CC1963" w:rsidRPr="004C3859" w:rsidRDefault="00CC1963" w:rsidP="00CC1963">
            <w:pPr>
              <w:pStyle w:val="TableBodyText"/>
              <w:spacing w:before="20"/>
              <w:jc w:val="center"/>
              <w:rPr>
                <w:lang w:eastAsia="en-US"/>
              </w:rPr>
            </w:pPr>
            <w:r w:rsidRPr="004C3859">
              <w:rPr>
                <w:lang w:eastAsia="en-US"/>
              </w:rPr>
              <w:sym w:font="Wingdings" w:char="F0FC"/>
            </w:r>
          </w:p>
        </w:tc>
        <w:tc>
          <w:tcPr>
            <w:tcW w:w="403" w:type="pct"/>
            <w:shd w:val="clear" w:color="auto" w:fill="auto"/>
            <w:vAlign w:val="center"/>
            <w:hideMark/>
          </w:tcPr>
          <w:p w:rsidR="00CC1963" w:rsidRPr="004C3859" w:rsidRDefault="00CC1963" w:rsidP="00CC1963">
            <w:pPr>
              <w:pStyle w:val="TableBodyText"/>
              <w:spacing w:before="20"/>
              <w:jc w:val="center"/>
              <w:rPr>
                <w:lang w:eastAsia="en-US"/>
              </w:rPr>
            </w:pPr>
            <w:r w:rsidRPr="004C3859">
              <w:rPr>
                <w:lang w:eastAsia="en-US"/>
              </w:rPr>
              <w:sym w:font="Wingdings" w:char="F0FC"/>
            </w:r>
          </w:p>
        </w:tc>
        <w:tc>
          <w:tcPr>
            <w:tcW w:w="323" w:type="pct"/>
            <w:shd w:val="clear" w:color="auto" w:fill="auto"/>
            <w:vAlign w:val="center"/>
            <w:hideMark/>
          </w:tcPr>
          <w:p w:rsidR="00CC1963" w:rsidRPr="004C3859" w:rsidRDefault="00CC1963" w:rsidP="00CC1963">
            <w:pPr>
              <w:pStyle w:val="TableBodyText"/>
              <w:spacing w:before="20"/>
              <w:jc w:val="center"/>
              <w:rPr>
                <w:lang w:eastAsia="en-US"/>
              </w:rPr>
            </w:pPr>
            <w:r w:rsidRPr="004C3859">
              <w:rPr>
                <w:lang w:eastAsia="en-US"/>
              </w:rPr>
              <w:sym w:font="Wingdings" w:char="F0FC"/>
            </w:r>
          </w:p>
        </w:tc>
        <w:tc>
          <w:tcPr>
            <w:tcW w:w="322" w:type="pct"/>
            <w:shd w:val="clear" w:color="auto" w:fill="auto"/>
            <w:vAlign w:val="center"/>
            <w:hideMark/>
          </w:tcPr>
          <w:p w:rsidR="00CC1963" w:rsidRPr="004C3859" w:rsidRDefault="00CC1963" w:rsidP="00CC1963">
            <w:pPr>
              <w:pStyle w:val="TableBodyText"/>
              <w:spacing w:before="20"/>
              <w:ind w:right="28"/>
              <w:jc w:val="center"/>
              <w:rPr>
                <w:lang w:eastAsia="en-US"/>
              </w:rPr>
            </w:pPr>
            <w:r w:rsidRPr="004C3859">
              <w:rPr>
                <w:lang w:eastAsia="en-US"/>
              </w:rPr>
              <w:sym w:font="Wingdings" w:char="F0FC"/>
            </w:r>
          </w:p>
        </w:tc>
      </w:tr>
      <w:tr w:rsidR="00CC1963" w:rsidRPr="004C3859" w:rsidTr="005929B8">
        <w:trPr>
          <w:trHeight w:val="661"/>
        </w:trPr>
        <w:tc>
          <w:tcPr>
            <w:tcW w:w="1290" w:type="pct"/>
            <w:tcBorders>
              <w:bottom w:val="single" w:sz="4" w:space="0" w:color="auto"/>
            </w:tcBorders>
            <w:shd w:val="clear" w:color="auto" w:fill="auto"/>
          </w:tcPr>
          <w:p w:rsidR="00CC1963" w:rsidRPr="004C3859" w:rsidRDefault="00CC1963" w:rsidP="00CC1963">
            <w:pPr>
              <w:pStyle w:val="TableBodyText"/>
              <w:spacing w:before="20"/>
              <w:ind w:left="0" w:firstLine="6"/>
              <w:jc w:val="left"/>
              <w:rPr>
                <w:lang w:eastAsia="en-US"/>
              </w:rPr>
            </w:pPr>
            <w:r w:rsidRPr="004C3859">
              <w:rPr>
                <w:lang w:eastAsia="en-US"/>
              </w:rPr>
              <w:t xml:space="preserve">Report </w:t>
            </w:r>
            <w:r>
              <w:rPr>
                <w:lang w:eastAsia="en-US"/>
              </w:rPr>
              <w:t>annuall</w:t>
            </w:r>
            <w:r w:rsidRPr="004C3859">
              <w:rPr>
                <w:lang w:eastAsia="en-US"/>
              </w:rPr>
              <w:t>y on compliance with the RIA process</w:t>
            </w:r>
          </w:p>
        </w:tc>
        <w:tc>
          <w:tcPr>
            <w:tcW w:w="403" w:type="pct"/>
            <w:tcBorders>
              <w:bottom w:val="single" w:sz="4" w:space="0" w:color="auto"/>
            </w:tcBorders>
            <w:shd w:val="clear" w:color="auto" w:fill="auto"/>
            <w:vAlign w:val="center"/>
          </w:tcPr>
          <w:p w:rsidR="00CC1963" w:rsidRPr="004C3859" w:rsidRDefault="00CC1963" w:rsidP="005929B8">
            <w:pPr>
              <w:pStyle w:val="TableBodyText"/>
              <w:spacing w:before="20"/>
              <w:jc w:val="center"/>
              <w:rPr>
                <w:lang w:eastAsia="en-US"/>
              </w:rPr>
            </w:pPr>
            <w:r w:rsidRPr="004C3859">
              <w:rPr>
                <w:lang w:eastAsia="en-US"/>
              </w:rPr>
              <w:sym w:font="Wingdings" w:char="F0FC"/>
            </w:r>
          </w:p>
        </w:tc>
        <w:tc>
          <w:tcPr>
            <w:tcW w:w="404" w:type="pct"/>
            <w:tcBorders>
              <w:bottom w:val="single" w:sz="4" w:space="0" w:color="auto"/>
            </w:tcBorders>
            <w:shd w:val="clear" w:color="auto" w:fill="auto"/>
            <w:vAlign w:val="center"/>
          </w:tcPr>
          <w:p w:rsidR="00CC1963" w:rsidRPr="004C3859" w:rsidRDefault="00CC1963" w:rsidP="005929B8">
            <w:pPr>
              <w:pStyle w:val="TableBodyText"/>
              <w:spacing w:before="20"/>
              <w:jc w:val="center"/>
              <w:rPr>
                <w:lang w:eastAsia="en-US"/>
              </w:rPr>
            </w:pPr>
            <w:r w:rsidRPr="004C3859">
              <w:rPr>
                <w:lang w:eastAsia="en-US"/>
              </w:rPr>
              <w:sym w:font="Wingdings" w:char="F0FC"/>
            </w:r>
          </w:p>
        </w:tc>
        <w:tc>
          <w:tcPr>
            <w:tcW w:w="403" w:type="pct"/>
            <w:tcBorders>
              <w:bottom w:val="single" w:sz="4" w:space="0" w:color="auto"/>
            </w:tcBorders>
            <w:shd w:val="clear" w:color="auto" w:fill="auto"/>
            <w:vAlign w:val="center"/>
          </w:tcPr>
          <w:p w:rsidR="00CC1963" w:rsidRPr="00914B4B" w:rsidRDefault="00CC1963" w:rsidP="005929B8">
            <w:pPr>
              <w:pStyle w:val="TableBodyText"/>
              <w:spacing w:before="20"/>
              <w:jc w:val="center"/>
              <w:rPr>
                <w:lang w:eastAsia="en-US"/>
              </w:rPr>
            </w:pPr>
            <w:r w:rsidRPr="00914B4B">
              <w:rPr>
                <w:lang w:eastAsia="en-US"/>
              </w:rPr>
              <w:sym w:font="Wingdings" w:char="F0FB"/>
            </w:r>
          </w:p>
        </w:tc>
        <w:tc>
          <w:tcPr>
            <w:tcW w:w="403" w:type="pct"/>
            <w:tcBorders>
              <w:bottom w:val="single" w:sz="4" w:space="0" w:color="auto"/>
            </w:tcBorders>
            <w:shd w:val="clear" w:color="auto" w:fill="auto"/>
            <w:vAlign w:val="center"/>
          </w:tcPr>
          <w:p w:rsidR="00CC1963" w:rsidRPr="00914B4B" w:rsidRDefault="00CC1963" w:rsidP="005929B8">
            <w:pPr>
              <w:pStyle w:val="TableBodyText"/>
              <w:spacing w:before="20"/>
              <w:jc w:val="center"/>
              <w:rPr>
                <w:lang w:eastAsia="en-US"/>
              </w:rPr>
            </w:pPr>
            <w:r w:rsidRPr="00914B4B">
              <w:rPr>
                <w:lang w:eastAsia="en-US"/>
              </w:rPr>
              <w:sym w:font="Wingdings" w:char="F0FC"/>
            </w:r>
          </w:p>
        </w:tc>
        <w:tc>
          <w:tcPr>
            <w:tcW w:w="403" w:type="pct"/>
            <w:tcBorders>
              <w:bottom w:val="single" w:sz="4" w:space="0" w:color="auto"/>
            </w:tcBorders>
            <w:shd w:val="clear" w:color="auto" w:fill="auto"/>
            <w:vAlign w:val="center"/>
          </w:tcPr>
          <w:p w:rsidR="00CC1963" w:rsidRPr="00E6538B" w:rsidRDefault="00CC1963" w:rsidP="00441931">
            <w:pPr>
              <w:pStyle w:val="TableBodyText"/>
              <w:spacing w:after="60"/>
              <w:ind w:right="0"/>
              <w:jc w:val="center"/>
              <w:rPr>
                <w:b/>
                <w:lang w:eastAsia="en-US"/>
              </w:rPr>
            </w:pPr>
            <w:r w:rsidRPr="00914B4B">
              <w:rPr>
                <w:lang w:eastAsia="en-US"/>
              </w:rPr>
              <w:sym w:font="Wingdings" w:char="F0FB"/>
            </w:r>
            <w:r>
              <w:rPr>
                <w:b/>
                <w:position w:val="6"/>
                <w:sz w:val="18"/>
              </w:rPr>
              <w:t>b</w:t>
            </w:r>
          </w:p>
        </w:tc>
        <w:tc>
          <w:tcPr>
            <w:tcW w:w="323" w:type="pct"/>
            <w:tcBorders>
              <w:bottom w:val="single" w:sz="4" w:space="0" w:color="auto"/>
            </w:tcBorders>
            <w:shd w:val="clear" w:color="auto" w:fill="auto"/>
            <w:vAlign w:val="center"/>
          </w:tcPr>
          <w:p w:rsidR="00CC1963" w:rsidRPr="004C3859" w:rsidRDefault="00CC1963" w:rsidP="00441931">
            <w:pPr>
              <w:pStyle w:val="TableBodyText"/>
              <w:spacing w:after="60"/>
              <w:ind w:right="0"/>
              <w:jc w:val="center"/>
              <w:rPr>
                <w:lang w:eastAsia="en-US"/>
              </w:rPr>
            </w:pPr>
            <w:r w:rsidRPr="004C3859">
              <w:rPr>
                <w:lang w:eastAsia="en-US"/>
              </w:rPr>
              <w:sym w:font="Wingdings" w:char="F0FB"/>
            </w:r>
            <w:r>
              <w:rPr>
                <w:b/>
                <w:position w:val="6"/>
                <w:sz w:val="18"/>
              </w:rPr>
              <w:t>c</w:t>
            </w:r>
          </w:p>
        </w:tc>
        <w:tc>
          <w:tcPr>
            <w:tcW w:w="323" w:type="pct"/>
            <w:tcBorders>
              <w:bottom w:val="single" w:sz="4" w:space="0" w:color="auto"/>
            </w:tcBorders>
            <w:shd w:val="clear" w:color="auto" w:fill="auto"/>
            <w:vAlign w:val="center"/>
          </w:tcPr>
          <w:p w:rsidR="00CC1963" w:rsidRPr="004C3859" w:rsidRDefault="00CC1963" w:rsidP="005929B8">
            <w:pPr>
              <w:pStyle w:val="TableBodyText"/>
              <w:spacing w:before="20"/>
              <w:jc w:val="center"/>
              <w:rPr>
                <w:lang w:eastAsia="en-US"/>
              </w:rPr>
            </w:pPr>
            <w:r w:rsidRPr="004C3859">
              <w:rPr>
                <w:lang w:eastAsia="en-US"/>
              </w:rPr>
              <w:sym w:font="Wingdings" w:char="F0FB"/>
            </w:r>
          </w:p>
        </w:tc>
        <w:tc>
          <w:tcPr>
            <w:tcW w:w="403" w:type="pct"/>
            <w:tcBorders>
              <w:bottom w:val="single" w:sz="4" w:space="0" w:color="auto"/>
            </w:tcBorders>
            <w:shd w:val="clear" w:color="auto" w:fill="auto"/>
            <w:vAlign w:val="center"/>
          </w:tcPr>
          <w:p w:rsidR="00CC1963" w:rsidRPr="004C3859" w:rsidRDefault="00CC1963" w:rsidP="005929B8">
            <w:pPr>
              <w:pStyle w:val="TableBodyText"/>
              <w:spacing w:before="20"/>
              <w:jc w:val="center"/>
              <w:rPr>
                <w:lang w:eastAsia="en-US"/>
              </w:rPr>
            </w:pPr>
            <w:r w:rsidRPr="004C3859">
              <w:rPr>
                <w:lang w:eastAsia="en-US"/>
              </w:rPr>
              <w:sym w:font="Wingdings" w:char="F0FB"/>
            </w:r>
          </w:p>
        </w:tc>
        <w:tc>
          <w:tcPr>
            <w:tcW w:w="323" w:type="pct"/>
            <w:tcBorders>
              <w:bottom w:val="single" w:sz="4" w:space="0" w:color="auto"/>
            </w:tcBorders>
            <w:shd w:val="clear" w:color="auto" w:fill="auto"/>
            <w:vAlign w:val="center"/>
          </w:tcPr>
          <w:p w:rsidR="00CC1963" w:rsidRPr="004C3859" w:rsidRDefault="00CC1963" w:rsidP="005929B8">
            <w:pPr>
              <w:pStyle w:val="TableBodyText"/>
              <w:spacing w:before="20"/>
              <w:jc w:val="center"/>
              <w:rPr>
                <w:lang w:eastAsia="en-US"/>
              </w:rPr>
            </w:pPr>
            <w:r w:rsidRPr="004C3859">
              <w:rPr>
                <w:lang w:eastAsia="en-US"/>
              </w:rPr>
              <w:sym w:font="Wingdings" w:char="F0FB"/>
            </w:r>
          </w:p>
        </w:tc>
        <w:tc>
          <w:tcPr>
            <w:tcW w:w="322" w:type="pct"/>
            <w:tcBorders>
              <w:bottom w:val="single" w:sz="4" w:space="0" w:color="auto"/>
            </w:tcBorders>
            <w:shd w:val="clear" w:color="auto" w:fill="auto"/>
            <w:vAlign w:val="center"/>
          </w:tcPr>
          <w:p w:rsidR="00CC1963" w:rsidRPr="004C3859" w:rsidRDefault="00CC1963" w:rsidP="005929B8">
            <w:pPr>
              <w:pStyle w:val="TableBodyText"/>
              <w:spacing w:before="20"/>
              <w:ind w:right="28"/>
              <w:jc w:val="center"/>
              <w:rPr>
                <w:lang w:eastAsia="en-US"/>
              </w:rPr>
            </w:pPr>
            <w:r w:rsidRPr="004C3859">
              <w:rPr>
                <w:lang w:eastAsia="en-US"/>
              </w:rPr>
              <w:sym w:font="Wingdings" w:char="F0FB"/>
            </w:r>
          </w:p>
        </w:tc>
      </w:tr>
    </w:tbl>
    <w:p w:rsidR="00CC1963" w:rsidRPr="0061480B" w:rsidRDefault="00CC1963" w:rsidP="00CC1963">
      <w:pPr>
        <w:keepLines/>
        <w:spacing w:before="80" w:line="220" w:lineRule="exact"/>
        <w:jc w:val="both"/>
        <w:rPr>
          <w:rFonts w:ascii="Arial" w:hAnsi="Arial"/>
          <w:sz w:val="18"/>
          <w:szCs w:val="20"/>
        </w:rPr>
      </w:pPr>
      <w:r>
        <w:rPr>
          <w:rFonts w:ascii="Arial" w:hAnsi="Arial"/>
          <w:b/>
          <w:position w:val="6"/>
          <w:sz w:val="18"/>
          <w:szCs w:val="20"/>
        </w:rPr>
        <w:t>a</w:t>
      </w:r>
      <w:r w:rsidRPr="007C1C00">
        <w:rPr>
          <w:rStyle w:val="NoteChar"/>
        </w:rPr>
        <w:t xml:space="preserve"> </w:t>
      </w:r>
      <w:r>
        <w:rPr>
          <w:rStyle w:val="NoteChar"/>
        </w:rPr>
        <w:t xml:space="preserve">In Tasmania the oversight body determines if a RIS is required for proposed primary legislation based on a ‘statement of intent’ provided by the agency, while agencies self-assess the need for a RIS for proposed subordinate legislation. </w:t>
      </w:r>
      <w:r>
        <w:rPr>
          <w:rFonts w:ascii="Arial" w:hAnsi="Arial"/>
          <w:b/>
          <w:position w:val="6"/>
          <w:sz w:val="18"/>
          <w:szCs w:val="20"/>
        </w:rPr>
        <w:t>b</w:t>
      </w:r>
      <w:r w:rsidRPr="007C1C00">
        <w:rPr>
          <w:rStyle w:val="NoteChar"/>
        </w:rPr>
        <w:t xml:space="preserve"> </w:t>
      </w:r>
      <w:r>
        <w:rPr>
          <w:rStyle w:val="NoteChar"/>
        </w:rPr>
        <w:t>The newly established Queensland Office of Best Practice Regulation will be required to report annually on compliance with the RIA process (Queensland Competition Authority (QCA 2012)</w:t>
      </w:r>
      <w:r w:rsidR="00000F61">
        <w:rPr>
          <w:rStyle w:val="NoteChar"/>
        </w:rPr>
        <w:t>.</w:t>
      </w:r>
      <w:r>
        <w:rPr>
          <w:rStyle w:val="NoteChar"/>
        </w:rPr>
        <w:t xml:space="preserve"> </w:t>
      </w:r>
      <w:r>
        <w:rPr>
          <w:rFonts w:ascii="Arial" w:hAnsi="Arial"/>
          <w:b/>
          <w:position w:val="6"/>
          <w:sz w:val="18"/>
          <w:szCs w:val="20"/>
        </w:rPr>
        <w:t>c</w:t>
      </w:r>
      <w:r w:rsidRPr="007C1C00">
        <w:rPr>
          <w:rStyle w:val="NoteChar"/>
        </w:rPr>
        <w:t xml:space="preserve"> </w:t>
      </w:r>
      <w:r>
        <w:rPr>
          <w:rStyle w:val="NoteChar"/>
        </w:rPr>
        <w:t>The Western Australian Regulatory Gatekeeping Unit (RGU) has not yet published an annual compliance report, despite its guidelines. T</w:t>
      </w:r>
      <w:r w:rsidRPr="00B52FF0">
        <w:rPr>
          <w:rStyle w:val="NoteChar"/>
        </w:rPr>
        <w:t>he RGU Compliance Assessment Notice is published</w:t>
      </w:r>
      <w:r>
        <w:rPr>
          <w:rStyle w:val="NoteChar"/>
        </w:rPr>
        <w:t>,</w:t>
      </w:r>
      <w:r w:rsidRPr="00B52FF0">
        <w:rPr>
          <w:rStyle w:val="NoteChar"/>
        </w:rPr>
        <w:t xml:space="preserve"> along with the </w:t>
      </w:r>
      <w:r>
        <w:rPr>
          <w:rStyle w:val="NoteChar"/>
        </w:rPr>
        <w:t xml:space="preserve">relevant </w:t>
      </w:r>
      <w:r w:rsidRPr="00B52FF0">
        <w:rPr>
          <w:rStyle w:val="NoteChar"/>
        </w:rPr>
        <w:t>RIS</w:t>
      </w:r>
      <w:r>
        <w:rPr>
          <w:rStyle w:val="NoteChar"/>
        </w:rPr>
        <w:t>,</w:t>
      </w:r>
      <w:r w:rsidRPr="00B52FF0">
        <w:rPr>
          <w:rStyle w:val="NoteChar"/>
        </w:rPr>
        <w:t xml:space="preserve"> </w:t>
      </w:r>
      <w:r>
        <w:rPr>
          <w:rStyle w:val="NoteChar"/>
        </w:rPr>
        <w:t xml:space="preserve">on </w:t>
      </w:r>
      <w:r w:rsidRPr="00B52FF0">
        <w:rPr>
          <w:rStyle w:val="NoteChar"/>
        </w:rPr>
        <w:t>agency website</w:t>
      </w:r>
      <w:r>
        <w:rPr>
          <w:rStyle w:val="NoteChar"/>
        </w:rPr>
        <w:t>s</w:t>
      </w:r>
      <w:r w:rsidRPr="00B52FF0">
        <w:rPr>
          <w:rStyle w:val="NoteChar"/>
        </w:rPr>
        <w:t xml:space="preserve"> (and RGU provides a central link to these</w:t>
      </w:r>
      <w:r>
        <w:rPr>
          <w:rStyle w:val="NoteChar"/>
        </w:rPr>
        <w:t xml:space="preserve"> sites</w:t>
      </w:r>
      <w:r w:rsidRPr="00B52FF0">
        <w:rPr>
          <w:rStyle w:val="NoteChar"/>
        </w:rPr>
        <w:t>)</w:t>
      </w:r>
      <w:r>
        <w:rPr>
          <w:rStyle w:val="NoteChar"/>
        </w:rPr>
        <w:t xml:space="preserve">. However, this does not appear to occur </w:t>
      </w:r>
      <w:r w:rsidRPr="00B52FF0">
        <w:rPr>
          <w:rStyle w:val="NoteChar"/>
        </w:rPr>
        <w:t>sys</w:t>
      </w:r>
      <w:r>
        <w:rPr>
          <w:rStyle w:val="NoteChar"/>
        </w:rPr>
        <w:t>tematically for all RIS</w:t>
      </w:r>
      <w:r w:rsidRPr="00B52FF0">
        <w:rPr>
          <w:rStyle w:val="NoteChar"/>
        </w:rPr>
        <w:t>s</w:t>
      </w:r>
      <w:r>
        <w:rPr>
          <w:rStyle w:val="NoteChar"/>
        </w:rPr>
        <w:t>.</w:t>
      </w:r>
    </w:p>
    <w:p w:rsidR="00CC1963" w:rsidRDefault="00CC1963" w:rsidP="00CC1963">
      <w:pPr>
        <w:keepLines/>
        <w:spacing w:before="80" w:after="120" w:line="220" w:lineRule="exact"/>
        <w:jc w:val="both"/>
        <w:rPr>
          <w:rFonts w:ascii="Arial" w:hAnsi="Arial"/>
          <w:sz w:val="18"/>
          <w:szCs w:val="20"/>
        </w:rPr>
      </w:pPr>
      <w:r w:rsidRPr="0061480B">
        <w:rPr>
          <w:rFonts w:ascii="Arial" w:hAnsi="Arial"/>
          <w:i/>
          <w:sz w:val="18"/>
          <w:szCs w:val="20"/>
        </w:rPr>
        <w:t xml:space="preserve"> Source</w:t>
      </w:r>
      <w:r w:rsidRPr="0061480B">
        <w:rPr>
          <w:rFonts w:ascii="Arial" w:hAnsi="Arial"/>
          <w:sz w:val="18"/>
          <w:szCs w:val="20"/>
        </w:rPr>
        <w:t>: Jurisdictional guid</w:t>
      </w:r>
      <w:r>
        <w:rPr>
          <w:rFonts w:ascii="Arial" w:hAnsi="Arial"/>
          <w:sz w:val="18"/>
          <w:szCs w:val="20"/>
        </w:rPr>
        <w:t>ance material (appendix B).</w:t>
      </w:r>
    </w:p>
    <w:p w:rsidR="00093F39" w:rsidRDefault="00337CCD" w:rsidP="007F26D3">
      <w:pPr>
        <w:pStyle w:val="Heading4"/>
      </w:pPr>
      <w:r>
        <w:t>Deciding</w:t>
      </w:r>
      <w:r w:rsidR="00093F39">
        <w:t xml:space="preserve"> whether proposals require </w:t>
      </w:r>
      <w:r w:rsidR="007C1C00">
        <w:t>RIS</w:t>
      </w:r>
      <w:r w:rsidR="0051098E">
        <w:t>s</w:t>
      </w:r>
    </w:p>
    <w:p w:rsidR="007511F7" w:rsidRDefault="00E4034D" w:rsidP="00573A00">
      <w:pPr>
        <w:pStyle w:val="BodyText"/>
      </w:pPr>
      <w:r>
        <w:t>T</w:t>
      </w:r>
      <w:r w:rsidR="00337CCD">
        <w:t xml:space="preserve">hresholds </w:t>
      </w:r>
      <w:r w:rsidR="0026554D">
        <w:t>for triggering RIS requirements</w:t>
      </w:r>
      <w:r w:rsidR="00A95817">
        <w:t xml:space="preserve"> </w:t>
      </w:r>
      <w:r w:rsidR="00337CCD">
        <w:t xml:space="preserve">are </w:t>
      </w:r>
      <w:r w:rsidR="003914F8">
        <w:t>somewhat subjective</w:t>
      </w:r>
      <w:r w:rsidR="00315E58">
        <w:t xml:space="preserve">, which means </w:t>
      </w:r>
      <w:r w:rsidR="00337CCD">
        <w:t xml:space="preserve">proposals need to be interpreted </w:t>
      </w:r>
      <w:r w:rsidR="00484859">
        <w:t>on a case-by-</w:t>
      </w:r>
      <w:r w:rsidR="00337CCD">
        <w:t>case</w:t>
      </w:r>
      <w:r w:rsidR="00484859">
        <w:t xml:space="preserve"> basis</w:t>
      </w:r>
      <w:r>
        <w:t xml:space="preserve"> (discussed further in chapter 4)</w:t>
      </w:r>
      <w:r w:rsidR="004E6824">
        <w:t xml:space="preserve">. </w:t>
      </w:r>
      <w:r w:rsidR="00022DA1">
        <w:t xml:space="preserve">In </w:t>
      </w:r>
      <w:r w:rsidR="0086788F">
        <w:t xml:space="preserve">four </w:t>
      </w:r>
      <w:r w:rsidR="00022DA1">
        <w:t>jurisdictions</w:t>
      </w:r>
      <w:r w:rsidR="00324DD4">
        <w:t>,</w:t>
      </w:r>
      <w:r w:rsidR="00022DA1">
        <w:t xml:space="preserve"> the oversight bod</w:t>
      </w:r>
      <w:r w:rsidR="00F65850">
        <w:t>y is responsible</w:t>
      </w:r>
      <w:r w:rsidR="00C128BE">
        <w:t>,</w:t>
      </w:r>
      <w:r w:rsidR="00F65850">
        <w:t xml:space="preserve"> </w:t>
      </w:r>
      <w:r w:rsidR="00C128BE">
        <w:t xml:space="preserve">based on information provided by the agency, </w:t>
      </w:r>
      <w:r w:rsidR="00F65850">
        <w:t>for deciding whether</w:t>
      </w:r>
      <w:r w:rsidR="00022DA1">
        <w:t xml:space="preserve"> a RIS is required </w:t>
      </w:r>
      <w:r w:rsidR="00277181">
        <w:t>for a proposal</w:t>
      </w:r>
      <w:r w:rsidR="0086788F">
        <w:t xml:space="preserve">. Additionally, the oversight body in Tasmania assesses the need for a RIS, but only in relation to </w:t>
      </w:r>
      <w:r w:rsidR="00914ED6">
        <w:t xml:space="preserve">proposals </w:t>
      </w:r>
      <w:r w:rsidR="0086788F">
        <w:t>for</w:t>
      </w:r>
      <w:r w:rsidR="00914ED6">
        <w:t xml:space="preserve"> primary legislation</w:t>
      </w:r>
      <w:r w:rsidR="00F65850">
        <w:t>.</w:t>
      </w:r>
    </w:p>
    <w:p w:rsidR="004E6824" w:rsidRDefault="00022DA1" w:rsidP="00573A00">
      <w:pPr>
        <w:pStyle w:val="BodyText"/>
      </w:pPr>
      <w:r>
        <w:t xml:space="preserve">In the remaining jurisdictions, </w:t>
      </w:r>
      <w:r w:rsidR="00244077">
        <w:t xml:space="preserve">it is </w:t>
      </w:r>
      <w:r w:rsidR="00067C3B">
        <w:t xml:space="preserve">the </w:t>
      </w:r>
      <w:r w:rsidR="00244077">
        <w:t xml:space="preserve">role of </w:t>
      </w:r>
      <w:r>
        <w:t xml:space="preserve">the agency </w:t>
      </w:r>
      <w:r w:rsidR="00244077">
        <w:t xml:space="preserve">or responsible minister to </w:t>
      </w:r>
      <w:r w:rsidR="00F65850">
        <w:t>decide</w:t>
      </w:r>
      <w:r>
        <w:t xml:space="preserve"> whether a RIS is required. </w:t>
      </w:r>
      <w:r w:rsidR="00A515C3">
        <w:t>This is often termed agency ‘self</w:t>
      </w:r>
      <w:r w:rsidR="00A249CD">
        <w:t>-</w:t>
      </w:r>
      <w:r w:rsidR="00A515C3">
        <w:t xml:space="preserve">assessment’. </w:t>
      </w:r>
      <w:r w:rsidR="00ED7830" w:rsidRPr="00ED7830">
        <w:t>In practice</w:t>
      </w:r>
      <w:r w:rsidR="00F65850">
        <w:t xml:space="preserve"> in these jurisdictions,</w:t>
      </w:r>
      <w:r w:rsidR="00ED7830" w:rsidRPr="00ED7830">
        <w:t xml:space="preserve"> the</w:t>
      </w:r>
      <w:r w:rsidR="007511F7">
        <w:t xml:space="preserve"> oversight body is still</w:t>
      </w:r>
      <w:r w:rsidR="00ED7830" w:rsidRPr="00ED7830">
        <w:t xml:space="preserve"> involved </w:t>
      </w:r>
      <w:r w:rsidR="003914F8">
        <w:t xml:space="preserve">to some extent </w:t>
      </w:r>
      <w:r w:rsidR="00ED7830" w:rsidRPr="00ED7830">
        <w:t>in advising agencies</w:t>
      </w:r>
      <w:r w:rsidR="007511F7">
        <w:t xml:space="preserve"> early in the process.</w:t>
      </w:r>
      <w:r w:rsidR="00033429">
        <w:t xml:space="preserve"> </w:t>
      </w:r>
      <w:r w:rsidR="00C43CBB">
        <w:t xml:space="preserve">Survey respondents </w:t>
      </w:r>
      <w:r w:rsidR="00033429">
        <w:t>in jurisdi</w:t>
      </w:r>
      <w:r w:rsidR="00A249CD">
        <w:t>ctions with self-</w:t>
      </w:r>
      <w:r w:rsidR="00C43CBB">
        <w:t xml:space="preserve">assessment were equally likely to contact the oversight body early in the </w:t>
      </w:r>
      <w:r w:rsidR="00CB4296">
        <w:t xml:space="preserve">policy </w:t>
      </w:r>
      <w:r w:rsidR="00CB4296">
        <w:lastRenderedPageBreak/>
        <w:t xml:space="preserve">development </w:t>
      </w:r>
      <w:r w:rsidR="00C43CBB">
        <w:t xml:space="preserve">process as those in jurisdictions with </w:t>
      </w:r>
      <w:r w:rsidR="00A249CD">
        <w:t xml:space="preserve">formal </w:t>
      </w:r>
      <w:r w:rsidR="00C43CBB">
        <w:t>oversight body assessment. In both cases</w:t>
      </w:r>
      <w:r w:rsidR="00033429">
        <w:t xml:space="preserve">, </w:t>
      </w:r>
      <w:r w:rsidR="00185802">
        <w:t>agencies most commonly reported (</w:t>
      </w:r>
      <w:r w:rsidR="00036782">
        <w:t xml:space="preserve">in </w:t>
      </w:r>
      <w:r w:rsidR="00185802">
        <w:t>approximately 40 per cent</w:t>
      </w:r>
      <w:r w:rsidR="00036782">
        <w:t xml:space="preserve"> of responses</w:t>
      </w:r>
      <w:r w:rsidR="00185802">
        <w:t xml:space="preserve">) that </w:t>
      </w:r>
      <w:r w:rsidR="00033429">
        <w:t xml:space="preserve">they first engaged with the oversight body at the start of policy development (PC </w:t>
      </w:r>
      <w:r w:rsidR="001E3AF6">
        <w:t>RIA S</w:t>
      </w:r>
      <w:r w:rsidR="00033429">
        <w:t>urvey 2012).</w:t>
      </w:r>
    </w:p>
    <w:p w:rsidR="00277181" w:rsidRPr="00067C3B" w:rsidRDefault="00A249CD" w:rsidP="00741AB8">
      <w:pPr>
        <w:pStyle w:val="BodyText"/>
      </w:pPr>
      <w:r>
        <w:t>In some jurisdictions with self-</w:t>
      </w:r>
      <w:r w:rsidR="00277181">
        <w:t>assessment</w:t>
      </w:r>
      <w:r w:rsidR="00F65850">
        <w:t>,</w:t>
      </w:r>
      <w:r w:rsidR="00277181">
        <w:t xml:space="preserve"> an</w:t>
      </w:r>
      <w:r w:rsidR="00F54430">
        <w:t xml:space="preserve"> </w:t>
      </w:r>
      <w:r w:rsidR="006B2C37">
        <w:t xml:space="preserve">agency </w:t>
      </w:r>
      <w:r w:rsidR="00277181">
        <w:t>assessment</w:t>
      </w:r>
      <w:r w:rsidR="00A515C3">
        <w:t xml:space="preserve"> may be challenged </w:t>
      </w:r>
      <w:r w:rsidR="00315E58">
        <w:t xml:space="preserve">by the oversight body </w:t>
      </w:r>
      <w:r w:rsidR="003D0A0A">
        <w:t>prior to a</w:t>
      </w:r>
      <w:r w:rsidR="00FD506A">
        <w:t xml:space="preserve"> proposal reaching the decision</w:t>
      </w:r>
      <w:r w:rsidR="006B2C37">
        <w:t xml:space="preserve"> </w:t>
      </w:r>
      <w:r w:rsidR="00A515C3">
        <w:t>making stage</w:t>
      </w:r>
      <w:r w:rsidR="00224E1C">
        <w:t xml:space="preserve"> </w:t>
      </w:r>
      <w:r w:rsidR="003D0A0A">
        <w:t>(</w:t>
      </w:r>
      <w:r w:rsidR="003D0A0A" w:rsidRPr="003D0A0A">
        <w:t>chapter</w:t>
      </w:r>
      <w:r w:rsidR="003D0A0A">
        <w:t> </w:t>
      </w:r>
      <w:r w:rsidR="005C1FB7" w:rsidRPr="003D0A0A">
        <w:t>4</w:t>
      </w:r>
      <w:r w:rsidR="005C1FB7">
        <w:t>)</w:t>
      </w:r>
      <w:r w:rsidR="00F65850">
        <w:t xml:space="preserve">. </w:t>
      </w:r>
    </w:p>
    <w:p w:rsidR="00093F39" w:rsidRDefault="00093F39" w:rsidP="007F26D3">
      <w:pPr>
        <w:pStyle w:val="Heading4"/>
      </w:pPr>
      <w:r>
        <w:t xml:space="preserve">Providing </w:t>
      </w:r>
      <w:r w:rsidR="000131ED">
        <w:t xml:space="preserve">guidance, </w:t>
      </w:r>
      <w:r>
        <w:t>advice</w:t>
      </w:r>
      <w:r w:rsidR="00FD15AB">
        <w:t xml:space="preserve"> and training</w:t>
      </w:r>
      <w:r>
        <w:t xml:space="preserve"> on the RIA process</w:t>
      </w:r>
    </w:p>
    <w:p w:rsidR="000131ED" w:rsidRDefault="000131ED" w:rsidP="00AB6F48">
      <w:pPr>
        <w:pStyle w:val="Heading5"/>
        <w:spacing w:before="240"/>
      </w:pPr>
      <w:r>
        <w:t>Guidance material</w:t>
      </w:r>
    </w:p>
    <w:p w:rsidR="000131ED" w:rsidRDefault="000131ED" w:rsidP="000131ED">
      <w:pPr>
        <w:pStyle w:val="BodyText"/>
      </w:pPr>
      <w:r>
        <w:t xml:space="preserve">All jurisdictions have published RIA guidance material, which, in most cases has been written and is maintained by the regulatory oversight body. The guidance material covers the steps in the RIA process as well as, to varying extent, detailed information on how to complete a RIS. All guidance material has been updated in recent years with the exception of </w:t>
      </w:r>
      <w:r w:rsidRPr="00103B2E">
        <w:t>that of</w:t>
      </w:r>
      <w:r>
        <w:t xml:space="preserve"> the Australian Capital Territory, which has not updated its guidelines since 2003.</w:t>
      </w:r>
    </w:p>
    <w:p w:rsidR="000131ED" w:rsidRDefault="000131ED" w:rsidP="000131ED">
      <w:pPr>
        <w:pStyle w:val="BodyText"/>
      </w:pPr>
      <w:r>
        <w:t>In addition to RIA-specific guidance material, most jurisdictional Cabinet handbooks or drafting guides for Cabinet submissions include information on RIA requirements</w:t>
      </w:r>
      <w:r w:rsidR="003D0A0A">
        <w:t>.</w:t>
      </w:r>
      <w:r>
        <w:t xml:space="preserve"> For COAG, RIA requirements are reinforced in the </w:t>
      </w:r>
      <w:r w:rsidRPr="00084823">
        <w:rPr>
          <w:i/>
        </w:rPr>
        <w:t xml:space="preserve">Handbook for </w:t>
      </w:r>
      <w:r>
        <w:rPr>
          <w:i/>
        </w:rPr>
        <w:t>COAG</w:t>
      </w:r>
      <w:r w:rsidRPr="00084823">
        <w:rPr>
          <w:i/>
        </w:rPr>
        <w:t xml:space="preserve"> Councils</w:t>
      </w:r>
      <w:r>
        <w:t xml:space="preserve"> (COAG 2011). </w:t>
      </w:r>
    </w:p>
    <w:p w:rsidR="000131ED" w:rsidRDefault="000131ED" w:rsidP="00300724">
      <w:pPr>
        <w:pStyle w:val="Heading5"/>
      </w:pPr>
      <w:r>
        <w:t>Advice and training</w:t>
      </w:r>
    </w:p>
    <w:p w:rsidR="00581093" w:rsidRDefault="00EC35A0" w:rsidP="000958E8">
      <w:pPr>
        <w:pStyle w:val="BodyText"/>
      </w:pPr>
      <w:r>
        <w:t xml:space="preserve">All Australian oversight bodies provide </w:t>
      </w:r>
      <w:r w:rsidR="00801B70">
        <w:t xml:space="preserve">some form of </w:t>
      </w:r>
      <w:r>
        <w:t>advice and</w:t>
      </w:r>
      <w:r w:rsidR="003F7B58">
        <w:t>/or</w:t>
      </w:r>
      <w:r>
        <w:t xml:space="preserve"> training</w:t>
      </w:r>
      <w:r w:rsidR="00123DF1">
        <w:t xml:space="preserve"> to agencies in their jurisdictions. </w:t>
      </w:r>
      <w:r w:rsidR="00FF53EE">
        <w:t>In particular, t</w:t>
      </w:r>
      <w:r w:rsidR="00581093">
        <w:t>he oversight bod</w:t>
      </w:r>
      <w:r w:rsidR="00BE53DE">
        <w:t>y</w:t>
      </w:r>
      <w:r w:rsidR="00581093">
        <w:t xml:space="preserve"> in each jurisdiction offer</w:t>
      </w:r>
      <w:r w:rsidR="00BE53DE">
        <w:t>s</w:t>
      </w:r>
      <w:r w:rsidR="00581093">
        <w:t xml:space="preserve"> technical assistance and ad hoc advice to agencies</w:t>
      </w:r>
      <w:r w:rsidR="00BE53DE">
        <w:t>,</w:t>
      </w:r>
      <w:r w:rsidR="00581093">
        <w:t xml:space="preserve"> w</w:t>
      </w:r>
      <w:r w:rsidR="003D0A0A">
        <w:t>hether they are making general e</w:t>
      </w:r>
      <w:r w:rsidR="00581093">
        <w:t>nquir</w:t>
      </w:r>
      <w:r w:rsidR="00446DDB">
        <w:t>i</w:t>
      </w:r>
      <w:r w:rsidR="00581093">
        <w:t>es about the applicability of RIA or seeking assis</w:t>
      </w:r>
      <w:r w:rsidR="00036782">
        <w:t>tance in drafting a particular RIS</w:t>
      </w:r>
      <w:r w:rsidR="00520E47">
        <w:t xml:space="preserve"> (including guidance on cost–benefit analysis)</w:t>
      </w:r>
      <w:r w:rsidR="00581093">
        <w:t>.</w:t>
      </w:r>
      <w:r w:rsidR="003F7B58">
        <w:t xml:space="preserve"> </w:t>
      </w:r>
    </w:p>
    <w:p w:rsidR="00520E47" w:rsidRDefault="00EC5057" w:rsidP="000958E8">
      <w:pPr>
        <w:pStyle w:val="BodyText"/>
      </w:pPr>
      <w:r>
        <w:t xml:space="preserve">Most </w:t>
      </w:r>
      <w:r w:rsidR="00D520B0">
        <w:t>oversight bodies</w:t>
      </w:r>
      <w:r w:rsidR="00300724">
        <w:t xml:space="preserve"> also</w:t>
      </w:r>
      <w:r>
        <w:t xml:space="preserve"> offer formal training programs</w:t>
      </w:r>
      <w:r w:rsidR="00852836">
        <w:t xml:space="preserve"> (</w:t>
      </w:r>
      <w:r w:rsidR="00E4034D">
        <w:t>table 3.4</w:t>
      </w:r>
      <w:r>
        <w:t>). These programs gener</w:t>
      </w:r>
      <w:r w:rsidR="00D520B0">
        <w:t xml:space="preserve">ally take the form of workshops or </w:t>
      </w:r>
      <w:r>
        <w:t>seminars providing participants with a ge</w:t>
      </w:r>
      <w:r w:rsidR="00520E47">
        <w:t>neral overview of the RIA process</w:t>
      </w:r>
      <w:r>
        <w:t>, information on the main steps in a RIS and on the resources available to assist w</w:t>
      </w:r>
      <w:r w:rsidR="00D71F9F">
        <w:t xml:space="preserve">ith </w:t>
      </w:r>
      <w:r>
        <w:t xml:space="preserve">undertaking the process. The OBPR also provides workshop training slides on its website for the </w:t>
      </w:r>
      <w:r w:rsidR="00173EB7">
        <w:t>Commonwealth and COAG RIA processes.</w:t>
      </w:r>
      <w:r w:rsidR="00FF53EE">
        <w:t xml:space="preserve"> In Queensland, ongoing training is provided via web-based training modules. </w:t>
      </w:r>
      <w:r w:rsidR="00FF53EE" w:rsidRPr="00852836">
        <w:t xml:space="preserve">At the time </w:t>
      </w:r>
      <w:r w:rsidR="00FF53EE">
        <w:t>these modules were introduced</w:t>
      </w:r>
      <w:r w:rsidR="00FF53EE" w:rsidRPr="00852836">
        <w:t xml:space="preserve"> </w:t>
      </w:r>
      <w:r w:rsidR="00FF53EE">
        <w:t xml:space="preserve">in </w:t>
      </w:r>
      <w:r w:rsidR="00FF53EE" w:rsidRPr="00852836">
        <w:t>201</w:t>
      </w:r>
      <w:r w:rsidR="00FF53EE">
        <w:t xml:space="preserve">0, all existing government officers </w:t>
      </w:r>
      <w:r w:rsidR="00FF53EE" w:rsidRPr="00852836">
        <w:t>involved in the development or review of regulation were required to complet</w:t>
      </w:r>
      <w:r w:rsidR="00FF53EE">
        <w:t>e them (PC RIA Survey 2012)</w:t>
      </w:r>
      <w:r w:rsidR="00FF53EE" w:rsidRPr="00852836">
        <w:t>.</w:t>
      </w:r>
    </w:p>
    <w:p w:rsidR="00163B45" w:rsidRDefault="00163B45" w:rsidP="00163B45">
      <w:pPr>
        <w:pStyle w:val="TableTitle"/>
      </w:pPr>
      <w:r>
        <w:rPr>
          <w:b w:val="0"/>
        </w:rPr>
        <w:lastRenderedPageBreak/>
        <w:t xml:space="preserve">Table </w:t>
      </w:r>
      <w:r w:rsidR="00287B41">
        <w:rPr>
          <w:b w:val="0"/>
        </w:rPr>
        <w:t>3.</w:t>
      </w:r>
      <w:r w:rsidR="00702C9A">
        <w:rPr>
          <w:b w:val="0"/>
          <w:noProof/>
        </w:rPr>
        <w:t>4</w:t>
      </w:r>
      <w:r w:rsidR="00663312">
        <w:tab/>
        <w:t>O</w:t>
      </w:r>
      <w:r w:rsidRPr="0061480B">
        <w:t xml:space="preserve">versight body </w:t>
      </w:r>
      <w:r>
        <w:t>training</w:t>
      </w:r>
    </w:p>
    <w:p w:rsidR="00163B45" w:rsidRDefault="00173EB7" w:rsidP="00163B45">
      <w:pPr>
        <w:pStyle w:val="Subtitle"/>
      </w:pPr>
      <w:r>
        <w:t>2010-</w:t>
      </w:r>
      <w:r w:rsidR="00424973">
        <w:t>11</w:t>
      </w:r>
    </w:p>
    <w:tbl>
      <w:tblPr>
        <w:tblW w:w="4975" w:type="pct"/>
        <w:tblLayout w:type="fixed"/>
        <w:tblCellMar>
          <w:left w:w="0" w:type="dxa"/>
          <w:right w:w="0" w:type="dxa"/>
        </w:tblCellMar>
        <w:tblLook w:val="04A0" w:firstRow="1" w:lastRow="0" w:firstColumn="1" w:lastColumn="0" w:noHBand="0" w:noVBand="1"/>
      </w:tblPr>
      <w:tblGrid>
        <w:gridCol w:w="2271"/>
        <w:gridCol w:w="1446"/>
        <w:gridCol w:w="780"/>
        <w:gridCol w:w="568"/>
        <w:gridCol w:w="710"/>
        <w:gridCol w:w="708"/>
        <w:gridCol w:w="708"/>
        <w:gridCol w:w="568"/>
        <w:gridCol w:w="563"/>
        <w:gridCol w:w="423"/>
      </w:tblGrid>
      <w:tr w:rsidR="00322F0D" w:rsidRPr="004C3859" w:rsidTr="00AB6F48">
        <w:tc>
          <w:tcPr>
            <w:tcW w:w="1298" w:type="pct"/>
            <w:tcBorders>
              <w:top w:val="single" w:sz="6" w:space="0" w:color="auto"/>
              <w:left w:val="nil"/>
              <w:bottom w:val="single" w:sz="6" w:space="0" w:color="auto"/>
              <w:right w:val="nil"/>
            </w:tcBorders>
            <w:hideMark/>
          </w:tcPr>
          <w:p w:rsidR="00322F0D" w:rsidRPr="004C3859" w:rsidRDefault="00322F0D" w:rsidP="00337220">
            <w:pPr>
              <w:pStyle w:val="TableColumnHeading"/>
              <w:jc w:val="left"/>
              <w:rPr>
                <w:lang w:eastAsia="en-US"/>
              </w:rPr>
            </w:pPr>
            <w:r w:rsidRPr="004C3859">
              <w:rPr>
                <w:lang w:eastAsia="en-US"/>
              </w:rPr>
              <w:t>Jurisdiction</w:t>
            </w:r>
          </w:p>
        </w:tc>
        <w:tc>
          <w:tcPr>
            <w:tcW w:w="826" w:type="pct"/>
            <w:tcBorders>
              <w:top w:val="single" w:sz="6" w:space="0" w:color="auto"/>
              <w:left w:val="nil"/>
              <w:bottom w:val="single" w:sz="6" w:space="0" w:color="auto"/>
              <w:right w:val="nil"/>
            </w:tcBorders>
            <w:vAlign w:val="center"/>
            <w:hideMark/>
          </w:tcPr>
          <w:p w:rsidR="00322F0D" w:rsidRPr="004C3859" w:rsidRDefault="00322F0D" w:rsidP="00337220">
            <w:pPr>
              <w:pStyle w:val="TableColumnHeading"/>
              <w:jc w:val="center"/>
              <w:rPr>
                <w:lang w:eastAsia="en-US"/>
              </w:rPr>
            </w:pPr>
            <w:r w:rsidRPr="004C3859">
              <w:rPr>
                <w:lang w:eastAsia="en-US"/>
              </w:rPr>
              <w:t>Cwlth</w:t>
            </w:r>
            <w:r>
              <w:rPr>
                <w:lang w:eastAsia="en-US"/>
              </w:rPr>
              <w:t>/COAG</w:t>
            </w:r>
            <w:r>
              <w:rPr>
                <w:b/>
                <w:position w:val="6"/>
                <w:sz w:val="18"/>
              </w:rPr>
              <w:t>a</w:t>
            </w:r>
          </w:p>
        </w:tc>
        <w:tc>
          <w:tcPr>
            <w:tcW w:w="446" w:type="pct"/>
            <w:tcBorders>
              <w:top w:val="single" w:sz="6" w:space="0" w:color="auto"/>
              <w:left w:val="nil"/>
              <w:bottom w:val="single" w:sz="6" w:space="0" w:color="auto"/>
              <w:right w:val="nil"/>
            </w:tcBorders>
            <w:vAlign w:val="center"/>
            <w:hideMark/>
          </w:tcPr>
          <w:p w:rsidR="00322F0D" w:rsidRPr="004C3859" w:rsidRDefault="00322F0D" w:rsidP="00C7523A">
            <w:pPr>
              <w:pStyle w:val="TableColumnHeading"/>
              <w:spacing w:before="20" w:after="40"/>
              <w:ind w:right="0"/>
              <w:jc w:val="center"/>
              <w:rPr>
                <w:lang w:eastAsia="en-US"/>
              </w:rPr>
            </w:pPr>
            <w:r w:rsidRPr="004C3859">
              <w:rPr>
                <w:lang w:eastAsia="en-US"/>
              </w:rPr>
              <w:t>NSW</w:t>
            </w:r>
            <w:r>
              <w:rPr>
                <w:b/>
                <w:position w:val="6"/>
                <w:sz w:val="18"/>
              </w:rPr>
              <w:t>b</w:t>
            </w:r>
          </w:p>
        </w:tc>
        <w:tc>
          <w:tcPr>
            <w:tcW w:w="325" w:type="pct"/>
            <w:tcBorders>
              <w:top w:val="single" w:sz="6" w:space="0" w:color="auto"/>
              <w:left w:val="nil"/>
              <w:bottom w:val="single" w:sz="6" w:space="0" w:color="auto"/>
              <w:right w:val="nil"/>
            </w:tcBorders>
            <w:vAlign w:val="center"/>
            <w:hideMark/>
          </w:tcPr>
          <w:p w:rsidR="00322F0D" w:rsidRPr="004C3859" w:rsidRDefault="00322F0D" w:rsidP="00337220">
            <w:pPr>
              <w:pStyle w:val="TableColumnHeading"/>
              <w:jc w:val="center"/>
              <w:rPr>
                <w:lang w:eastAsia="en-US"/>
              </w:rPr>
            </w:pPr>
            <w:r w:rsidRPr="004C3859">
              <w:rPr>
                <w:lang w:eastAsia="en-US"/>
              </w:rPr>
              <w:t>Vic</w:t>
            </w:r>
          </w:p>
        </w:tc>
        <w:tc>
          <w:tcPr>
            <w:tcW w:w="406" w:type="pct"/>
            <w:tcBorders>
              <w:top w:val="single" w:sz="6" w:space="0" w:color="auto"/>
              <w:left w:val="nil"/>
              <w:bottom w:val="single" w:sz="6" w:space="0" w:color="auto"/>
              <w:right w:val="nil"/>
            </w:tcBorders>
            <w:vAlign w:val="center"/>
            <w:hideMark/>
          </w:tcPr>
          <w:p w:rsidR="00322F0D" w:rsidRPr="004C3859" w:rsidRDefault="00322F0D" w:rsidP="00337220">
            <w:pPr>
              <w:pStyle w:val="TableColumnHeading"/>
              <w:jc w:val="center"/>
              <w:rPr>
                <w:lang w:eastAsia="en-US"/>
              </w:rPr>
            </w:pPr>
            <w:r w:rsidRPr="004C3859">
              <w:rPr>
                <w:lang w:eastAsia="en-US"/>
              </w:rPr>
              <w:t>Qld</w:t>
            </w:r>
          </w:p>
        </w:tc>
        <w:tc>
          <w:tcPr>
            <w:tcW w:w="405" w:type="pct"/>
            <w:tcBorders>
              <w:top w:val="single" w:sz="6" w:space="0" w:color="auto"/>
              <w:left w:val="nil"/>
              <w:bottom w:val="single" w:sz="6" w:space="0" w:color="auto"/>
              <w:right w:val="nil"/>
            </w:tcBorders>
            <w:vAlign w:val="center"/>
            <w:hideMark/>
          </w:tcPr>
          <w:p w:rsidR="00322F0D" w:rsidRPr="004C3859" w:rsidRDefault="00322F0D" w:rsidP="00337220">
            <w:pPr>
              <w:pStyle w:val="TableColumnHeading"/>
              <w:jc w:val="center"/>
              <w:rPr>
                <w:lang w:eastAsia="en-US"/>
              </w:rPr>
            </w:pPr>
            <w:r w:rsidRPr="004C3859">
              <w:rPr>
                <w:lang w:eastAsia="en-US"/>
              </w:rPr>
              <w:t>WA</w:t>
            </w:r>
          </w:p>
        </w:tc>
        <w:tc>
          <w:tcPr>
            <w:tcW w:w="405" w:type="pct"/>
            <w:tcBorders>
              <w:top w:val="single" w:sz="6" w:space="0" w:color="auto"/>
              <w:left w:val="nil"/>
              <w:bottom w:val="single" w:sz="6" w:space="0" w:color="auto"/>
              <w:right w:val="nil"/>
            </w:tcBorders>
            <w:vAlign w:val="center"/>
            <w:hideMark/>
          </w:tcPr>
          <w:p w:rsidR="00322F0D" w:rsidRPr="004C3859" w:rsidRDefault="00322F0D" w:rsidP="00337220">
            <w:pPr>
              <w:pStyle w:val="TableColumnHeading"/>
              <w:jc w:val="center"/>
              <w:rPr>
                <w:lang w:eastAsia="en-US"/>
              </w:rPr>
            </w:pPr>
            <w:r w:rsidRPr="004C3859">
              <w:rPr>
                <w:lang w:eastAsia="en-US"/>
              </w:rPr>
              <w:t>SA</w:t>
            </w:r>
          </w:p>
        </w:tc>
        <w:tc>
          <w:tcPr>
            <w:tcW w:w="325" w:type="pct"/>
            <w:tcBorders>
              <w:top w:val="single" w:sz="6" w:space="0" w:color="auto"/>
              <w:left w:val="nil"/>
              <w:bottom w:val="single" w:sz="6" w:space="0" w:color="auto"/>
              <w:right w:val="nil"/>
            </w:tcBorders>
            <w:vAlign w:val="center"/>
            <w:hideMark/>
          </w:tcPr>
          <w:p w:rsidR="00322F0D" w:rsidRPr="004C3859" w:rsidRDefault="00322F0D" w:rsidP="00337220">
            <w:pPr>
              <w:pStyle w:val="TableColumnHeading"/>
              <w:jc w:val="center"/>
              <w:rPr>
                <w:lang w:eastAsia="en-US"/>
              </w:rPr>
            </w:pPr>
            <w:r w:rsidRPr="004C3859">
              <w:rPr>
                <w:lang w:eastAsia="en-US"/>
              </w:rPr>
              <w:t>Tas</w:t>
            </w:r>
          </w:p>
        </w:tc>
        <w:tc>
          <w:tcPr>
            <w:tcW w:w="322" w:type="pct"/>
            <w:tcBorders>
              <w:top w:val="single" w:sz="6" w:space="0" w:color="auto"/>
              <w:left w:val="nil"/>
              <w:bottom w:val="single" w:sz="6" w:space="0" w:color="auto"/>
              <w:right w:val="nil"/>
            </w:tcBorders>
            <w:vAlign w:val="center"/>
            <w:hideMark/>
          </w:tcPr>
          <w:p w:rsidR="00322F0D" w:rsidRPr="004C3859" w:rsidRDefault="00322F0D" w:rsidP="00337220">
            <w:pPr>
              <w:pStyle w:val="TableColumnHeading"/>
              <w:jc w:val="center"/>
              <w:rPr>
                <w:lang w:eastAsia="en-US"/>
              </w:rPr>
            </w:pPr>
            <w:r w:rsidRPr="004C3859">
              <w:rPr>
                <w:lang w:eastAsia="en-US"/>
              </w:rPr>
              <w:t>ACT</w:t>
            </w:r>
          </w:p>
        </w:tc>
        <w:tc>
          <w:tcPr>
            <w:tcW w:w="243" w:type="pct"/>
            <w:tcBorders>
              <w:top w:val="single" w:sz="6" w:space="0" w:color="auto"/>
              <w:left w:val="nil"/>
              <w:bottom w:val="single" w:sz="6" w:space="0" w:color="auto"/>
              <w:right w:val="nil"/>
            </w:tcBorders>
            <w:vAlign w:val="center"/>
            <w:hideMark/>
          </w:tcPr>
          <w:p w:rsidR="00322F0D" w:rsidRPr="004C3859" w:rsidRDefault="00322F0D" w:rsidP="00337220">
            <w:pPr>
              <w:pStyle w:val="TableColumnHeading"/>
              <w:ind w:right="28"/>
              <w:jc w:val="center"/>
              <w:rPr>
                <w:lang w:eastAsia="en-US"/>
              </w:rPr>
            </w:pPr>
            <w:r w:rsidRPr="004C3859">
              <w:rPr>
                <w:lang w:eastAsia="en-US"/>
              </w:rPr>
              <w:t>NT</w:t>
            </w:r>
          </w:p>
        </w:tc>
      </w:tr>
      <w:tr w:rsidR="00322F0D" w:rsidRPr="004C3859" w:rsidTr="00AB6F48">
        <w:tc>
          <w:tcPr>
            <w:tcW w:w="1298" w:type="pct"/>
            <w:tcBorders>
              <w:top w:val="single" w:sz="6" w:space="0" w:color="auto"/>
            </w:tcBorders>
            <w:shd w:val="clear" w:color="auto" w:fill="auto"/>
            <w:hideMark/>
          </w:tcPr>
          <w:p w:rsidR="00322F0D" w:rsidRPr="004C3859" w:rsidRDefault="00322F0D" w:rsidP="001B0B24">
            <w:pPr>
              <w:pStyle w:val="TableBodyText"/>
              <w:spacing w:beforeLines="20" w:before="48" w:afterLines="20" w:after="48"/>
              <w:jc w:val="left"/>
              <w:rPr>
                <w:lang w:eastAsia="en-US"/>
              </w:rPr>
            </w:pPr>
            <w:r>
              <w:rPr>
                <w:lang w:eastAsia="en-US"/>
              </w:rPr>
              <w:t>Formal general training</w:t>
            </w:r>
          </w:p>
        </w:tc>
        <w:tc>
          <w:tcPr>
            <w:tcW w:w="826" w:type="pct"/>
            <w:tcBorders>
              <w:top w:val="single" w:sz="6" w:space="0" w:color="auto"/>
            </w:tcBorders>
            <w:shd w:val="clear" w:color="auto" w:fill="auto"/>
            <w:vAlign w:val="center"/>
            <w:hideMark/>
          </w:tcPr>
          <w:p w:rsidR="00322F0D" w:rsidRPr="004C3859" w:rsidRDefault="00322F0D" w:rsidP="001B0B24">
            <w:pPr>
              <w:pStyle w:val="TableBodyText"/>
              <w:spacing w:beforeLines="20" w:before="48" w:afterLines="20" w:after="48"/>
              <w:jc w:val="center"/>
              <w:rPr>
                <w:lang w:eastAsia="en-US"/>
              </w:rPr>
            </w:pPr>
            <w:r w:rsidRPr="004C3859">
              <w:rPr>
                <w:lang w:eastAsia="en-US"/>
              </w:rPr>
              <w:sym w:font="Wingdings" w:char="F0FC"/>
            </w:r>
          </w:p>
        </w:tc>
        <w:tc>
          <w:tcPr>
            <w:tcW w:w="446" w:type="pct"/>
            <w:tcBorders>
              <w:top w:val="single" w:sz="6" w:space="0" w:color="auto"/>
            </w:tcBorders>
            <w:shd w:val="clear" w:color="auto" w:fill="auto"/>
            <w:vAlign w:val="center"/>
            <w:hideMark/>
          </w:tcPr>
          <w:p w:rsidR="00322F0D" w:rsidRPr="00914B4B" w:rsidRDefault="00322F0D" w:rsidP="001B0B24">
            <w:pPr>
              <w:pStyle w:val="TableBodyText"/>
              <w:spacing w:beforeLines="20" w:before="48" w:afterLines="20" w:after="48"/>
              <w:jc w:val="center"/>
              <w:rPr>
                <w:lang w:eastAsia="en-US"/>
              </w:rPr>
            </w:pPr>
            <w:r w:rsidRPr="00914B4B">
              <w:rPr>
                <w:lang w:eastAsia="en-US"/>
              </w:rPr>
              <w:sym w:font="Wingdings" w:char="F0FC"/>
            </w:r>
          </w:p>
        </w:tc>
        <w:tc>
          <w:tcPr>
            <w:tcW w:w="325" w:type="pct"/>
            <w:tcBorders>
              <w:top w:val="single" w:sz="6" w:space="0" w:color="auto"/>
            </w:tcBorders>
            <w:shd w:val="clear" w:color="auto" w:fill="auto"/>
            <w:vAlign w:val="center"/>
            <w:hideMark/>
          </w:tcPr>
          <w:p w:rsidR="00322F0D" w:rsidRPr="00914B4B" w:rsidRDefault="00322F0D" w:rsidP="001B0B24">
            <w:pPr>
              <w:pStyle w:val="TableBodyText"/>
              <w:spacing w:beforeLines="20" w:before="48" w:afterLines="20" w:after="48"/>
              <w:jc w:val="center"/>
              <w:rPr>
                <w:lang w:eastAsia="en-US"/>
              </w:rPr>
            </w:pPr>
            <w:r w:rsidRPr="00914B4B">
              <w:rPr>
                <w:lang w:eastAsia="en-US"/>
              </w:rPr>
              <w:sym w:font="Wingdings" w:char="F0FC"/>
            </w:r>
          </w:p>
        </w:tc>
        <w:tc>
          <w:tcPr>
            <w:tcW w:w="406" w:type="pct"/>
            <w:tcBorders>
              <w:top w:val="single" w:sz="6" w:space="0" w:color="auto"/>
            </w:tcBorders>
            <w:shd w:val="clear" w:color="auto" w:fill="auto"/>
            <w:vAlign w:val="center"/>
            <w:hideMark/>
          </w:tcPr>
          <w:p w:rsidR="00322F0D" w:rsidRPr="00914B4B" w:rsidRDefault="00322F0D" w:rsidP="00441931">
            <w:pPr>
              <w:pStyle w:val="TableBodyText"/>
              <w:spacing w:after="60"/>
              <w:ind w:right="0"/>
              <w:jc w:val="center"/>
              <w:rPr>
                <w:lang w:eastAsia="en-US"/>
              </w:rPr>
            </w:pPr>
            <w:r w:rsidRPr="00914B4B">
              <w:rPr>
                <w:lang w:eastAsia="en-US"/>
              </w:rPr>
              <w:sym w:font="Wingdings" w:char="F0FC"/>
            </w:r>
            <w:r>
              <w:rPr>
                <w:b/>
                <w:position w:val="6"/>
                <w:sz w:val="18"/>
              </w:rPr>
              <w:t>c</w:t>
            </w:r>
          </w:p>
        </w:tc>
        <w:tc>
          <w:tcPr>
            <w:tcW w:w="405" w:type="pct"/>
            <w:tcBorders>
              <w:top w:val="single" w:sz="6" w:space="0" w:color="auto"/>
            </w:tcBorders>
            <w:shd w:val="clear" w:color="auto" w:fill="auto"/>
            <w:vAlign w:val="center"/>
            <w:hideMark/>
          </w:tcPr>
          <w:p w:rsidR="00322F0D" w:rsidRPr="004C3859" w:rsidRDefault="00322F0D" w:rsidP="001B0B24">
            <w:pPr>
              <w:pStyle w:val="TableBodyText"/>
              <w:spacing w:beforeLines="20" w:before="48" w:afterLines="20" w:after="48"/>
              <w:jc w:val="center"/>
              <w:rPr>
                <w:lang w:eastAsia="en-US"/>
              </w:rPr>
            </w:pPr>
            <w:r w:rsidRPr="004C3859">
              <w:rPr>
                <w:lang w:eastAsia="en-US"/>
              </w:rPr>
              <w:sym w:font="Wingdings" w:char="F0FC"/>
            </w:r>
          </w:p>
        </w:tc>
        <w:tc>
          <w:tcPr>
            <w:tcW w:w="405" w:type="pct"/>
            <w:tcBorders>
              <w:top w:val="single" w:sz="6" w:space="0" w:color="auto"/>
            </w:tcBorders>
            <w:shd w:val="clear" w:color="auto" w:fill="auto"/>
            <w:vAlign w:val="center"/>
            <w:hideMark/>
          </w:tcPr>
          <w:p w:rsidR="00322F0D" w:rsidRPr="004C3859" w:rsidRDefault="00322F0D" w:rsidP="001B0B24">
            <w:pPr>
              <w:pStyle w:val="TableBodyText"/>
              <w:spacing w:beforeLines="20" w:before="48" w:afterLines="20" w:after="48"/>
              <w:jc w:val="center"/>
              <w:rPr>
                <w:lang w:eastAsia="en-US"/>
              </w:rPr>
            </w:pPr>
            <w:r w:rsidRPr="004C3859">
              <w:rPr>
                <w:lang w:eastAsia="en-US"/>
              </w:rPr>
              <w:sym w:font="Wingdings" w:char="F0FC"/>
            </w:r>
          </w:p>
        </w:tc>
        <w:tc>
          <w:tcPr>
            <w:tcW w:w="325" w:type="pct"/>
            <w:tcBorders>
              <w:top w:val="single" w:sz="6" w:space="0" w:color="auto"/>
            </w:tcBorders>
            <w:shd w:val="clear" w:color="auto" w:fill="auto"/>
            <w:vAlign w:val="center"/>
            <w:hideMark/>
          </w:tcPr>
          <w:p w:rsidR="00322F0D" w:rsidRPr="004C3859" w:rsidRDefault="00322F0D" w:rsidP="001B0B24">
            <w:pPr>
              <w:pStyle w:val="TableBodyText"/>
              <w:spacing w:beforeLines="20" w:before="48" w:afterLines="20" w:after="48"/>
              <w:jc w:val="center"/>
              <w:rPr>
                <w:lang w:eastAsia="en-US"/>
              </w:rPr>
            </w:pPr>
            <w:r w:rsidRPr="004C3859">
              <w:rPr>
                <w:lang w:eastAsia="en-US"/>
              </w:rPr>
              <w:sym w:font="Wingdings" w:char="F0FB"/>
            </w:r>
          </w:p>
        </w:tc>
        <w:tc>
          <w:tcPr>
            <w:tcW w:w="322" w:type="pct"/>
            <w:tcBorders>
              <w:top w:val="single" w:sz="6" w:space="0" w:color="auto"/>
            </w:tcBorders>
            <w:shd w:val="clear" w:color="auto" w:fill="auto"/>
            <w:vAlign w:val="center"/>
            <w:hideMark/>
          </w:tcPr>
          <w:p w:rsidR="00322F0D" w:rsidRPr="004C3859" w:rsidRDefault="00322F0D" w:rsidP="001B0B24">
            <w:pPr>
              <w:pStyle w:val="TableBodyText"/>
              <w:spacing w:beforeLines="20" w:before="48" w:afterLines="20" w:after="48"/>
              <w:jc w:val="center"/>
              <w:rPr>
                <w:lang w:eastAsia="en-US"/>
              </w:rPr>
            </w:pPr>
            <w:r w:rsidRPr="004C3859">
              <w:rPr>
                <w:lang w:eastAsia="en-US"/>
              </w:rPr>
              <w:sym w:font="Wingdings" w:char="F0FB"/>
            </w:r>
          </w:p>
        </w:tc>
        <w:tc>
          <w:tcPr>
            <w:tcW w:w="243" w:type="pct"/>
            <w:tcBorders>
              <w:top w:val="single" w:sz="6" w:space="0" w:color="auto"/>
            </w:tcBorders>
            <w:shd w:val="clear" w:color="auto" w:fill="auto"/>
            <w:vAlign w:val="center"/>
            <w:hideMark/>
          </w:tcPr>
          <w:p w:rsidR="00322F0D" w:rsidRPr="00D270D3" w:rsidRDefault="00322F0D" w:rsidP="00441931">
            <w:pPr>
              <w:keepNext/>
              <w:keepLines/>
              <w:spacing w:after="60" w:line="220" w:lineRule="atLeast"/>
              <w:ind w:left="6"/>
              <w:jc w:val="center"/>
              <w:rPr>
                <w:rFonts w:ascii="Arial" w:hAnsi="Arial"/>
                <w:sz w:val="18"/>
                <w:szCs w:val="20"/>
              </w:rPr>
            </w:pPr>
            <w:r w:rsidRPr="00424973">
              <w:rPr>
                <w:rFonts w:ascii="Arial" w:hAnsi="Arial" w:cs="Arial"/>
                <w:sz w:val="20"/>
                <w:szCs w:val="20"/>
                <w:lang w:eastAsia="en-US"/>
              </w:rPr>
              <w:sym w:font="Wingdings" w:char="F0FB"/>
            </w:r>
            <w:r>
              <w:rPr>
                <w:rFonts w:ascii="Arial" w:hAnsi="Arial"/>
                <w:b/>
                <w:position w:val="6"/>
                <w:sz w:val="18"/>
                <w:szCs w:val="20"/>
              </w:rPr>
              <w:t>d</w:t>
            </w:r>
          </w:p>
        </w:tc>
      </w:tr>
      <w:tr w:rsidR="00322F0D" w:rsidRPr="004C3859" w:rsidTr="00AB6F48">
        <w:tc>
          <w:tcPr>
            <w:tcW w:w="1298" w:type="pct"/>
            <w:shd w:val="clear" w:color="auto" w:fill="auto"/>
            <w:hideMark/>
          </w:tcPr>
          <w:p w:rsidR="00322F0D" w:rsidRDefault="00322F0D" w:rsidP="001B0B24">
            <w:pPr>
              <w:pStyle w:val="TableBodyText"/>
              <w:spacing w:beforeLines="20" w:before="48" w:afterLines="20" w:after="48"/>
              <w:jc w:val="left"/>
              <w:rPr>
                <w:lang w:eastAsia="en-US"/>
              </w:rPr>
            </w:pPr>
            <w:r>
              <w:rPr>
                <w:lang w:eastAsia="en-US"/>
              </w:rPr>
              <w:t>Web-based modules</w:t>
            </w:r>
          </w:p>
        </w:tc>
        <w:tc>
          <w:tcPr>
            <w:tcW w:w="826" w:type="pct"/>
            <w:shd w:val="clear" w:color="auto" w:fill="auto"/>
            <w:vAlign w:val="center"/>
            <w:hideMark/>
          </w:tcPr>
          <w:p w:rsidR="00322F0D" w:rsidRPr="004C3859" w:rsidRDefault="00322F0D" w:rsidP="001B0B24">
            <w:pPr>
              <w:pStyle w:val="TableBodyText"/>
              <w:spacing w:beforeLines="20" w:before="48" w:afterLines="20" w:after="48"/>
              <w:jc w:val="center"/>
              <w:rPr>
                <w:lang w:eastAsia="en-US"/>
              </w:rPr>
            </w:pPr>
            <w:r w:rsidRPr="00914B4B">
              <w:rPr>
                <w:lang w:eastAsia="en-US"/>
              </w:rPr>
              <w:sym w:font="Wingdings" w:char="F0FB"/>
            </w:r>
          </w:p>
        </w:tc>
        <w:tc>
          <w:tcPr>
            <w:tcW w:w="446" w:type="pct"/>
            <w:shd w:val="clear" w:color="auto" w:fill="auto"/>
            <w:vAlign w:val="center"/>
            <w:hideMark/>
          </w:tcPr>
          <w:p w:rsidR="00322F0D" w:rsidRPr="004C3859" w:rsidRDefault="00322F0D" w:rsidP="001B0B24">
            <w:pPr>
              <w:pStyle w:val="TableBodyText"/>
              <w:spacing w:beforeLines="20" w:before="48" w:afterLines="20" w:after="48"/>
              <w:jc w:val="center"/>
              <w:rPr>
                <w:lang w:eastAsia="en-US"/>
              </w:rPr>
            </w:pPr>
            <w:r w:rsidRPr="00914B4B">
              <w:rPr>
                <w:lang w:eastAsia="en-US"/>
              </w:rPr>
              <w:sym w:font="Wingdings" w:char="F0FB"/>
            </w:r>
          </w:p>
        </w:tc>
        <w:tc>
          <w:tcPr>
            <w:tcW w:w="325" w:type="pct"/>
            <w:shd w:val="clear" w:color="auto" w:fill="auto"/>
            <w:vAlign w:val="center"/>
            <w:hideMark/>
          </w:tcPr>
          <w:p w:rsidR="00322F0D" w:rsidRPr="00914B4B" w:rsidRDefault="00322F0D" w:rsidP="001B0B24">
            <w:pPr>
              <w:pStyle w:val="TableBodyText"/>
              <w:spacing w:beforeLines="20" w:before="48" w:afterLines="20" w:after="48"/>
              <w:jc w:val="center"/>
              <w:rPr>
                <w:lang w:eastAsia="en-US"/>
              </w:rPr>
            </w:pPr>
            <w:r w:rsidRPr="00914B4B">
              <w:rPr>
                <w:lang w:eastAsia="en-US"/>
              </w:rPr>
              <w:sym w:font="Wingdings" w:char="F0FB"/>
            </w:r>
          </w:p>
        </w:tc>
        <w:tc>
          <w:tcPr>
            <w:tcW w:w="406" w:type="pct"/>
            <w:shd w:val="clear" w:color="auto" w:fill="auto"/>
            <w:vAlign w:val="center"/>
            <w:hideMark/>
          </w:tcPr>
          <w:p w:rsidR="00322F0D" w:rsidRPr="00914B4B" w:rsidRDefault="00322F0D" w:rsidP="001B0B24">
            <w:pPr>
              <w:pStyle w:val="TableBodyText"/>
              <w:spacing w:beforeLines="20" w:before="48" w:afterLines="20" w:after="48"/>
              <w:jc w:val="center"/>
              <w:rPr>
                <w:lang w:eastAsia="en-US"/>
              </w:rPr>
            </w:pPr>
            <w:r w:rsidRPr="004C3859">
              <w:rPr>
                <w:lang w:eastAsia="en-US"/>
              </w:rPr>
              <w:sym w:font="Wingdings" w:char="F0FC"/>
            </w:r>
          </w:p>
        </w:tc>
        <w:tc>
          <w:tcPr>
            <w:tcW w:w="405" w:type="pct"/>
            <w:shd w:val="clear" w:color="auto" w:fill="auto"/>
            <w:vAlign w:val="center"/>
            <w:hideMark/>
          </w:tcPr>
          <w:p w:rsidR="00322F0D" w:rsidRPr="004C3859" w:rsidRDefault="00322F0D" w:rsidP="001B0B24">
            <w:pPr>
              <w:pStyle w:val="TableBodyText"/>
              <w:spacing w:beforeLines="20" w:before="48" w:afterLines="20" w:after="48"/>
              <w:jc w:val="center"/>
              <w:rPr>
                <w:lang w:eastAsia="en-US"/>
              </w:rPr>
            </w:pPr>
            <w:r w:rsidRPr="00914B4B">
              <w:rPr>
                <w:lang w:eastAsia="en-US"/>
              </w:rPr>
              <w:sym w:font="Wingdings" w:char="F0FB"/>
            </w:r>
          </w:p>
        </w:tc>
        <w:tc>
          <w:tcPr>
            <w:tcW w:w="405" w:type="pct"/>
            <w:shd w:val="clear" w:color="auto" w:fill="auto"/>
            <w:vAlign w:val="center"/>
            <w:hideMark/>
          </w:tcPr>
          <w:p w:rsidR="00322F0D" w:rsidRPr="004C3859" w:rsidRDefault="00322F0D" w:rsidP="001B0B24">
            <w:pPr>
              <w:pStyle w:val="TableBodyText"/>
              <w:spacing w:beforeLines="20" w:before="48" w:afterLines="20" w:after="48"/>
              <w:jc w:val="center"/>
              <w:rPr>
                <w:lang w:eastAsia="en-US"/>
              </w:rPr>
            </w:pPr>
            <w:r w:rsidRPr="00914B4B">
              <w:rPr>
                <w:lang w:eastAsia="en-US"/>
              </w:rPr>
              <w:sym w:font="Wingdings" w:char="F0FB"/>
            </w:r>
          </w:p>
        </w:tc>
        <w:tc>
          <w:tcPr>
            <w:tcW w:w="325" w:type="pct"/>
            <w:shd w:val="clear" w:color="auto" w:fill="auto"/>
            <w:vAlign w:val="center"/>
            <w:hideMark/>
          </w:tcPr>
          <w:p w:rsidR="00322F0D" w:rsidRPr="004C3859" w:rsidRDefault="00322F0D" w:rsidP="001B0B24">
            <w:pPr>
              <w:pStyle w:val="TableBodyText"/>
              <w:spacing w:beforeLines="20" w:before="48" w:afterLines="20" w:after="48"/>
              <w:jc w:val="center"/>
              <w:rPr>
                <w:lang w:eastAsia="en-US"/>
              </w:rPr>
            </w:pPr>
            <w:r w:rsidRPr="00914B4B">
              <w:rPr>
                <w:lang w:eastAsia="en-US"/>
              </w:rPr>
              <w:sym w:font="Wingdings" w:char="F0FB"/>
            </w:r>
          </w:p>
        </w:tc>
        <w:tc>
          <w:tcPr>
            <w:tcW w:w="322" w:type="pct"/>
            <w:shd w:val="clear" w:color="auto" w:fill="auto"/>
            <w:vAlign w:val="center"/>
            <w:hideMark/>
          </w:tcPr>
          <w:p w:rsidR="00322F0D" w:rsidRPr="00914B4B" w:rsidRDefault="00322F0D" w:rsidP="001B0B24">
            <w:pPr>
              <w:pStyle w:val="TableBodyText"/>
              <w:spacing w:beforeLines="20" w:before="48" w:afterLines="20" w:after="48"/>
              <w:jc w:val="center"/>
              <w:rPr>
                <w:lang w:eastAsia="en-US"/>
              </w:rPr>
            </w:pPr>
            <w:r w:rsidRPr="00914B4B">
              <w:rPr>
                <w:lang w:eastAsia="en-US"/>
              </w:rPr>
              <w:sym w:font="Wingdings" w:char="F0FB"/>
            </w:r>
          </w:p>
        </w:tc>
        <w:tc>
          <w:tcPr>
            <w:tcW w:w="243" w:type="pct"/>
            <w:shd w:val="clear" w:color="auto" w:fill="auto"/>
            <w:vAlign w:val="center"/>
            <w:hideMark/>
          </w:tcPr>
          <w:p w:rsidR="00322F0D" w:rsidRPr="004C3859" w:rsidRDefault="00322F0D" w:rsidP="001B0B24">
            <w:pPr>
              <w:pStyle w:val="TableBodyText"/>
              <w:spacing w:beforeLines="20" w:before="48" w:afterLines="20" w:after="48"/>
              <w:jc w:val="center"/>
              <w:rPr>
                <w:lang w:eastAsia="en-US"/>
              </w:rPr>
            </w:pPr>
            <w:r w:rsidRPr="00914B4B">
              <w:rPr>
                <w:lang w:eastAsia="en-US"/>
              </w:rPr>
              <w:sym w:font="Wingdings" w:char="F0FB"/>
            </w:r>
          </w:p>
        </w:tc>
      </w:tr>
      <w:tr w:rsidR="00322F0D" w:rsidRPr="004C3859" w:rsidTr="00AB6F48">
        <w:tc>
          <w:tcPr>
            <w:tcW w:w="1298" w:type="pct"/>
            <w:shd w:val="clear" w:color="auto" w:fill="auto"/>
          </w:tcPr>
          <w:p w:rsidR="00322F0D" w:rsidRPr="004C3859" w:rsidRDefault="00322F0D" w:rsidP="001B0B24">
            <w:pPr>
              <w:pStyle w:val="TableBodyText"/>
              <w:spacing w:beforeLines="20" w:before="48" w:afterLines="20" w:after="48"/>
              <w:jc w:val="left"/>
              <w:rPr>
                <w:lang w:eastAsia="en-US"/>
              </w:rPr>
            </w:pPr>
            <w:r>
              <w:rPr>
                <w:lang w:eastAsia="en-US"/>
              </w:rPr>
              <w:t>Formal CBA training</w:t>
            </w:r>
          </w:p>
        </w:tc>
        <w:tc>
          <w:tcPr>
            <w:tcW w:w="826" w:type="pct"/>
            <w:shd w:val="clear" w:color="auto" w:fill="auto"/>
            <w:vAlign w:val="center"/>
          </w:tcPr>
          <w:p w:rsidR="00322F0D" w:rsidRPr="004C3859" w:rsidRDefault="00322F0D" w:rsidP="001B0B24">
            <w:pPr>
              <w:pStyle w:val="TableBodyText"/>
              <w:spacing w:beforeLines="20" w:before="48" w:afterLines="20" w:after="48"/>
              <w:jc w:val="center"/>
              <w:rPr>
                <w:lang w:eastAsia="en-US"/>
              </w:rPr>
            </w:pPr>
            <w:r w:rsidRPr="004C3859">
              <w:rPr>
                <w:lang w:eastAsia="en-US"/>
              </w:rPr>
              <w:sym w:font="Wingdings" w:char="F0FC"/>
            </w:r>
          </w:p>
        </w:tc>
        <w:tc>
          <w:tcPr>
            <w:tcW w:w="446" w:type="pct"/>
            <w:shd w:val="clear" w:color="auto" w:fill="auto"/>
            <w:vAlign w:val="center"/>
          </w:tcPr>
          <w:p w:rsidR="00322F0D" w:rsidRPr="00914B4B" w:rsidRDefault="00322F0D" w:rsidP="001B0B24">
            <w:pPr>
              <w:pStyle w:val="TableBodyText"/>
              <w:spacing w:beforeLines="20" w:before="48" w:afterLines="20" w:after="48"/>
              <w:jc w:val="center"/>
              <w:rPr>
                <w:lang w:eastAsia="en-US"/>
              </w:rPr>
            </w:pPr>
            <w:r w:rsidRPr="00914B4B">
              <w:rPr>
                <w:lang w:eastAsia="en-US"/>
              </w:rPr>
              <w:sym w:font="Wingdings" w:char="F0FB"/>
            </w:r>
          </w:p>
        </w:tc>
        <w:tc>
          <w:tcPr>
            <w:tcW w:w="325" w:type="pct"/>
            <w:shd w:val="clear" w:color="auto" w:fill="auto"/>
            <w:vAlign w:val="center"/>
          </w:tcPr>
          <w:p w:rsidR="00322F0D" w:rsidRPr="00914B4B" w:rsidRDefault="00322F0D" w:rsidP="001B0B24">
            <w:pPr>
              <w:pStyle w:val="TableBodyText"/>
              <w:spacing w:beforeLines="20" w:before="48" w:afterLines="20" w:after="48"/>
              <w:jc w:val="center"/>
              <w:rPr>
                <w:lang w:eastAsia="en-US"/>
              </w:rPr>
            </w:pPr>
            <w:r w:rsidRPr="00914B4B">
              <w:rPr>
                <w:lang w:eastAsia="en-US"/>
              </w:rPr>
              <w:sym w:font="Wingdings" w:char="F0FC"/>
            </w:r>
          </w:p>
        </w:tc>
        <w:tc>
          <w:tcPr>
            <w:tcW w:w="406" w:type="pct"/>
            <w:shd w:val="clear" w:color="auto" w:fill="auto"/>
            <w:vAlign w:val="center"/>
          </w:tcPr>
          <w:p w:rsidR="00322F0D" w:rsidRPr="00914B4B" w:rsidRDefault="00322F0D" w:rsidP="001B0B24">
            <w:pPr>
              <w:pStyle w:val="TableBodyText"/>
              <w:spacing w:beforeLines="20" w:before="48" w:afterLines="20" w:after="48"/>
              <w:jc w:val="center"/>
              <w:rPr>
                <w:lang w:eastAsia="en-US"/>
              </w:rPr>
            </w:pPr>
            <w:r w:rsidRPr="00914B4B">
              <w:rPr>
                <w:lang w:eastAsia="en-US"/>
              </w:rPr>
              <w:sym w:font="Wingdings" w:char="F0FB"/>
            </w:r>
          </w:p>
        </w:tc>
        <w:tc>
          <w:tcPr>
            <w:tcW w:w="405" w:type="pct"/>
            <w:shd w:val="clear" w:color="auto" w:fill="auto"/>
            <w:vAlign w:val="center"/>
          </w:tcPr>
          <w:p w:rsidR="00322F0D" w:rsidRPr="004C3859" w:rsidRDefault="00322F0D" w:rsidP="001B0B24">
            <w:pPr>
              <w:pStyle w:val="TableBodyText"/>
              <w:spacing w:beforeLines="20" w:before="48" w:afterLines="20" w:after="48"/>
              <w:jc w:val="center"/>
              <w:rPr>
                <w:lang w:eastAsia="en-US"/>
              </w:rPr>
            </w:pPr>
            <w:r w:rsidRPr="00914B4B">
              <w:rPr>
                <w:lang w:eastAsia="en-US"/>
              </w:rPr>
              <w:sym w:font="Wingdings" w:char="F0FB"/>
            </w:r>
          </w:p>
        </w:tc>
        <w:tc>
          <w:tcPr>
            <w:tcW w:w="405" w:type="pct"/>
            <w:shd w:val="clear" w:color="auto" w:fill="auto"/>
            <w:vAlign w:val="center"/>
          </w:tcPr>
          <w:p w:rsidR="00322F0D" w:rsidRPr="004C3859" w:rsidRDefault="00322F0D" w:rsidP="00441931">
            <w:pPr>
              <w:pStyle w:val="TableBodyText"/>
              <w:spacing w:after="60"/>
              <w:ind w:right="0"/>
              <w:jc w:val="center"/>
              <w:rPr>
                <w:lang w:eastAsia="en-US"/>
              </w:rPr>
            </w:pPr>
            <w:r w:rsidRPr="004C3859">
              <w:rPr>
                <w:lang w:eastAsia="en-US"/>
              </w:rPr>
              <w:sym w:font="Wingdings" w:char="F0FC"/>
            </w:r>
            <w:r>
              <w:rPr>
                <w:b/>
                <w:position w:val="6"/>
                <w:sz w:val="18"/>
              </w:rPr>
              <w:t>e</w:t>
            </w:r>
          </w:p>
        </w:tc>
        <w:tc>
          <w:tcPr>
            <w:tcW w:w="325" w:type="pct"/>
            <w:shd w:val="clear" w:color="auto" w:fill="auto"/>
            <w:vAlign w:val="center"/>
          </w:tcPr>
          <w:p w:rsidR="00322F0D" w:rsidRPr="004C3859" w:rsidRDefault="00322F0D" w:rsidP="001B0B24">
            <w:pPr>
              <w:pStyle w:val="TableBodyText"/>
              <w:spacing w:beforeLines="20" w:before="48" w:afterLines="20" w:after="48"/>
              <w:jc w:val="center"/>
              <w:rPr>
                <w:lang w:eastAsia="en-US"/>
              </w:rPr>
            </w:pPr>
            <w:r w:rsidRPr="004C3859">
              <w:rPr>
                <w:lang w:eastAsia="en-US"/>
              </w:rPr>
              <w:sym w:font="Wingdings" w:char="F0FB"/>
            </w:r>
          </w:p>
        </w:tc>
        <w:tc>
          <w:tcPr>
            <w:tcW w:w="322" w:type="pct"/>
            <w:shd w:val="clear" w:color="auto" w:fill="auto"/>
            <w:vAlign w:val="center"/>
          </w:tcPr>
          <w:p w:rsidR="00322F0D" w:rsidRPr="004C3859" w:rsidRDefault="00322F0D" w:rsidP="001B0B24">
            <w:pPr>
              <w:pStyle w:val="TableBodyText"/>
              <w:spacing w:beforeLines="20" w:before="48" w:afterLines="20" w:after="48"/>
              <w:jc w:val="center"/>
              <w:rPr>
                <w:lang w:eastAsia="en-US"/>
              </w:rPr>
            </w:pPr>
            <w:r w:rsidRPr="004C3859">
              <w:rPr>
                <w:lang w:eastAsia="en-US"/>
              </w:rPr>
              <w:sym w:font="Wingdings" w:char="F0FB"/>
            </w:r>
          </w:p>
        </w:tc>
        <w:tc>
          <w:tcPr>
            <w:tcW w:w="243" w:type="pct"/>
            <w:shd w:val="clear" w:color="auto" w:fill="auto"/>
            <w:vAlign w:val="center"/>
          </w:tcPr>
          <w:p w:rsidR="00322F0D" w:rsidRPr="004C3859" w:rsidRDefault="00322F0D" w:rsidP="001B0B24">
            <w:pPr>
              <w:pStyle w:val="TableBodyText"/>
              <w:spacing w:beforeLines="20" w:before="48" w:afterLines="20" w:after="48"/>
              <w:jc w:val="center"/>
              <w:rPr>
                <w:lang w:eastAsia="en-US"/>
              </w:rPr>
            </w:pPr>
            <w:r w:rsidRPr="004C3859">
              <w:rPr>
                <w:lang w:eastAsia="en-US"/>
              </w:rPr>
              <w:sym w:font="Wingdings" w:char="F0FB"/>
            </w:r>
          </w:p>
        </w:tc>
      </w:tr>
      <w:tr w:rsidR="00322F0D" w:rsidRPr="004C3859" w:rsidTr="00AB6F48">
        <w:tc>
          <w:tcPr>
            <w:tcW w:w="1298" w:type="pct"/>
            <w:shd w:val="clear" w:color="auto" w:fill="auto"/>
          </w:tcPr>
          <w:p w:rsidR="00322F0D" w:rsidRPr="004C3859" w:rsidRDefault="00322F0D" w:rsidP="001B0B24">
            <w:pPr>
              <w:pStyle w:val="TableBodyText"/>
              <w:spacing w:beforeLines="20" w:before="48" w:afterLines="20" w:after="48"/>
              <w:jc w:val="left"/>
              <w:rPr>
                <w:lang w:eastAsia="en-US"/>
              </w:rPr>
            </w:pPr>
            <w:r>
              <w:rPr>
                <w:lang w:eastAsia="en-US"/>
              </w:rPr>
              <w:t>Formal training tailored to agency needs</w:t>
            </w:r>
          </w:p>
        </w:tc>
        <w:tc>
          <w:tcPr>
            <w:tcW w:w="826" w:type="pct"/>
            <w:shd w:val="clear" w:color="auto" w:fill="auto"/>
            <w:vAlign w:val="center"/>
          </w:tcPr>
          <w:p w:rsidR="00322F0D" w:rsidRPr="004C3859" w:rsidRDefault="00322F0D" w:rsidP="001B0B24">
            <w:pPr>
              <w:pStyle w:val="TableBodyText"/>
              <w:spacing w:beforeLines="20" w:before="48" w:afterLines="20" w:after="48"/>
              <w:jc w:val="center"/>
              <w:rPr>
                <w:lang w:eastAsia="en-US"/>
              </w:rPr>
            </w:pPr>
            <w:r w:rsidRPr="004C3859">
              <w:rPr>
                <w:lang w:eastAsia="en-US"/>
              </w:rPr>
              <w:sym w:font="Wingdings" w:char="F0FC"/>
            </w:r>
          </w:p>
        </w:tc>
        <w:tc>
          <w:tcPr>
            <w:tcW w:w="446" w:type="pct"/>
            <w:shd w:val="clear" w:color="auto" w:fill="auto"/>
            <w:vAlign w:val="center"/>
          </w:tcPr>
          <w:p w:rsidR="00322F0D" w:rsidRPr="00914B4B" w:rsidRDefault="00322F0D" w:rsidP="001B0B24">
            <w:pPr>
              <w:pStyle w:val="TableBodyText"/>
              <w:spacing w:beforeLines="20" w:before="48" w:afterLines="20" w:after="48"/>
              <w:jc w:val="center"/>
              <w:rPr>
                <w:lang w:eastAsia="en-US"/>
              </w:rPr>
            </w:pPr>
            <w:r w:rsidRPr="00914B4B">
              <w:rPr>
                <w:lang w:eastAsia="en-US"/>
              </w:rPr>
              <w:sym w:font="Wingdings" w:char="F0FB"/>
            </w:r>
          </w:p>
        </w:tc>
        <w:tc>
          <w:tcPr>
            <w:tcW w:w="325" w:type="pct"/>
            <w:shd w:val="clear" w:color="auto" w:fill="auto"/>
            <w:vAlign w:val="center"/>
          </w:tcPr>
          <w:p w:rsidR="00322F0D" w:rsidRPr="00914B4B" w:rsidRDefault="00322F0D" w:rsidP="001B0B24">
            <w:pPr>
              <w:pStyle w:val="TableBodyText"/>
              <w:spacing w:beforeLines="20" w:before="48" w:afterLines="20" w:after="48"/>
              <w:jc w:val="center"/>
              <w:rPr>
                <w:lang w:eastAsia="en-US"/>
              </w:rPr>
            </w:pPr>
            <w:r w:rsidRPr="00914B4B">
              <w:rPr>
                <w:lang w:eastAsia="en-US"/>
              </w:rPr>
              <w:sym w:font="Wingdings" w:char="F0FC"/>
            </w:r>
          </w:p>
        </w:tc>
        <w:tc>
          <w:tcPr>
            <w:tcW w:w="406" w:type="pct"/>
            <w:shd w:val="clear" w:color="auto" w:fill="auto"/>
            <w:vAlign w:val="center"/>
          </w:tcPr>
          <w:p w:rsidR="00322F0D" w:rsidRPr="00914B4B" w:rsidRDefault="00322F0D" w:rsidP="001B0B24">
            <w:pPr>
              <w:pStyle w:val="TableBodyText"/>
              <w:spacing w:beforeLines="20" w:before="48" w:afterLines="20" w:after="48"/>
              <w:jc w:val="center"/>
              <w:rPr>
                <w:lang w:eastAsia="en-US"/>
              </w:rPr>
            </w:pPr>
            <w:r w:rsidRPr="004C3859">
              <w:rPr>
                <w:lang w:eastAsia="en-US"/>
              </w:rPr>
              <w:sym w:font="Wingdings" w:char="F0FC"/>
            </w:r>
          </w:p>
        </w:tc>
        <w:tc>
          <w:tcPr>
            <w:tcW w:w="405" w:type="pct"/>
            <w:shd w:val="clear" w:color="auto" w:fill="auto"/>
            <w:vAlign w:val="center"/>
          </w:tcPr>
          <w:p w:rsidR="00322F0D" w:rsidRPr="004C3859" w:rsidRDefault="00322F0D" w:rsidP="001B0B24">
            <w:pPr>
              <w:pStyle w:val="TableBodyText"/>
              <w:spacing w:beforeLines="20" w:before="48" w:afterLines="20" w:after="48"/>
              <w:jc w:val="center"/>
              <w:rPr>
                <w:lang w:eastAsia="en-US"/>
              </w:rPr>
            </w:pPr>
            <w:r w:rsidRPr="004C3859">
              <w:rPr>
                <w:lang w:eastAsia="en-US"/>
              </w:rPr>
              <w:sym w:font="Wingdings" w:char="F0FC"/>
            </w:r>
          </w:p>
        </w:tc>
        <w:tc>
          <w:tcPr>
            <w:tcW w:w="405" w:type="pct"/>
            <w:shd w:val="clear" w:color="auto" w:fill="auto"/>
            <w:vAlign w:val="center"/>
          </w:tcPr>
          <w:p w:rsidR="00322F0D" w:rsidRPr="00914B4B" w:rsidRDefault="00322F0D" w:rsidP="001B0B24">
            <w:pPr>
              <w:pStyle w:val="TableBodyText"/>
              <w:spacing w:beforeLines="20" w:before="48" w:afterLines="20" w:after="48"/>
              <w:jc w:val="center"/>
              <w:rPr>
                <w:lang w:eastAsia="en-US"/>
              </w:rPr>
            </w:pPr>
            <w:r w:rsidRPr="004C3859">
              <w:rPr>
                <w:lang w:eastAsia="en-US"/>
              </w:rPr>
              <w:sym w:font="Wingdings" w:char="F0FC"/>
            </w:r>
          </w:p>
        </w:tc>
        <w:tc>
          <w:tcPr>
            <w:tcW w:w="325" w:type="pct"/>
            <w:shd w:val="clear" w:color="auto" w:fill="auto"/>
            <w:vAlign w:val="center"/>
          </w:tcPr>
          <w:p w:rsidR="00322F0D" w:rsidRPr="004C3859" w:rsidRDefault="00322F0D" w:rsidP="001B0B24">
            <w:pPr>
              <w:pStyle w:val="TableBodyText"/>
              <w:spacing w:beforeLines="20" w:before="48" w:afterLines="20" w:after="48"/>
              <w:jc w:val="center"/>
              <w:rPr>
                <w:lang w:eastAsia="en-US"/>
              </w:rPr>
            </w:pPr>
            <w:r>
              <w:rPr>
                <w:lang w:eastAsia="en-US"/>
              </w:rPr>
              <w:t>..</w:t>
            </w:r>
          </w:p>
        </w:tc>
        <w:tc>
          <w:tcPr>
            <w:tcW w:w="322" w:type="pct"/>
            <w:shd w:val="clear" w:color="auto" w:fill="auto"/>
            <w:vAlign w:val="center"/>
          </w:tcPr>
          <w:p w:rsidR="00322F0D" w:rsidRPr="00914B4B" w:rsidRDefault="00322F0D" w:rsidP="001B0B24">
            <w:pPr>
              <w:pStyle w:val="TableBodyText"/>
              <w:spacing w:beforeLines="20" w:before="48" w:afterLines="20" w:after="48"/>
              <w:jc w:val="center"/>
              <w:rPr>
                <w:lang w:eastAsia="en-US"/>
              </w:rPr>
            </w:pPr>
            <w:r>
              <w:rPr>
                <w:lang w:eastAsia="en-US"/>
              </w:rPr>
              <w:t>..</w:t>
            </w:r>
          </w:p>
        </w:tc>
        <w:tc>
          <w:tcPr>
            <w:tcW w:w="243" w:type="pct"/>
            <w:shd w:val="clear" w:color="auto" w:fill="auto"/>
            <w:vAlign w:val="center"/>
          </w:tcPr>
          <w:p w:rsidR="00322F0D" w:rsidRPr="004C3859" w:rsidRDefault="00322F0D" w:rsidP="001B0B24">
            <w:pPr>
              <w:pStyle w:val="TableBodyText"/>
              <w:spacing w:beforeLines="20" w:before="48" w:afterLines="20" w:after="48"/>
              <w:jc w:val="center"/>
              <w:rPr>
                <w:lang w:eastAsia="en-US"/>
              </w:rPr>
            </w:pPr>
            <w:r>
              <w:rPr>
                <w:lang w:eastAsia="en-US"/>
              </w:rPr>
              <w:t>..</w:t>
            </w:r>
          </w:p>
        </w:tc>
      </w:tr>
      <w:tr w:rsidR="00322F0D" w:rsidRPr="004C3859" w:rsidTr="00AB6F48">
        <w:tc>
          <w:tcPr>
            <w:tcW w:w="1298" w:type="pct"/>
            <w:shd w:val="clear" w:color="auto" w:fill="auto"/>
          </w:tcPr>
          <w:p w:rsidR="00322F0D" w:rsidRDefault="00322F0D" w:rsidP="001B0B24">
            <w:pPr>
              <w:pStyle w:val="TableBodyText"/>
              <w:spacing w:beforeLines="20" w:before="48" w:afterLines="20" w:after="48"/>
              <w:jc w:val="left"/>
              <w:rPr>
                <w:lang w:eastAsia="en-US"/>
              </w:rPr>
            </w:pPr>
            <w:r>
              <w:rPr>
                <w:lang w:eastAsia="en-US"/>
              </w:rPr>
              <w:t>Course length for formal training (in hours)</w:t>
            </w:r>
          </w:p>
        </w:tc>
        <w:tc>
          <w:tcPr>
            <w:tcW w:w="826" w:type="pct"/>
            <w:shd w:val="clear" w:color="auto" w:fill="auto"/>
            <w:vAlign w:val="center"/>
          </w:tcPr>
          <w:p w:rsidR="00322F0D" w:rsidRPr="004C3859" w:rsidRDefault="00322F0D" w:rsidP="001B0B24">
            <w:pPr>
              <w:pStyle w:val="TableBodyText"/>
              <w:spacing w:beforeLines="20" w:before="48" w:afterLines="20" w:after="48"/>
              <w:jc w:val="center"/>
              <w:rPr>
                <w:lang w:eastAsia="en-US"/>
              </w:rPr>
            </w:pPr>
            <w:r>
              <w:rPr>
                <w:lang w:eastAsia="en-US"/>
              </w:rPr>
              <w:t>2-4</w:t>
            </w:r>
          </w:p>
        </w:tc>
        <w:tc>
          <w:tcPr>
            <w:tcW w:w="446" w:type="pct"/>
            <w:shd w:val="clear" w:color="auto" w:fill="auto"/>
            <w:vAlign w:val="center"/>
          </w:tcPr>
          <w:p w:rsidR="00322F0D" w:rsidRPr="004C3859" w:rsidRDefault="00322F0D" w:rsidP="001B0B24">
            <w:pPr>
              <w:pStyle w:val="TableBodyText"/>
              <w:spacing w:beforeLines="20" w:before="48" w:afterLines="20" w:after="48"/>
              <w:jc w:val="center"/>
              <w:rPr>
                <w:lang w:eastAsia="en-US"/>
              </w:rPr>
            </w:pPr>
            <w:r>
              <w:rPr>
                <w:lang w:eastAsia="en-US"/>
              </w:rPr>
              <w:t>1.5</w:t>
            </w:r>
          </w:p>
        </w:tc>
        <w:tc>
          <w:tcPr>
            <w:tcW w:w="325" w:type="pct"/>
            <w:shd w:val="clear" w:color="auto" w:fill="auto"/>
            <w:vAlign w:val="center"/>
          </w:tcPr>
          <w:p w:rsidR="00322F0D" w:rsidRPr="00914B4B" w:rsidRDefault="00322F0D" w:rsidP="001B0B24">
            <w:pPr>
              <w:pStyle w:val="TableBodyText"/>
              <w:spacing w:beforeLines="20" w:before="48" w:afterLines="20" w:after="48"/>
              <w:jc w:val="center"/>
              <w:rPr>
                <w:lang w:eastAsia="en-US"/>
              </w:rPr>
            </w:pPr>
            <w:r>
              <w:rPr>
                <w:lang w:eastAsia="en-US"/>
              </w:rPr>
              <w:t>full day</w:t>
            </w:r>
          </w:p>
        </w:tc>
        <w:tc>
          <w:tcPr>
            <w:tcW w:w="406" w:type="pct"/>
            <w:shd w:val="clear" w:color="auto" w:fill="auto"/>
            <w:vAlign w:val="center"/>
          </w:tcPr>
          <w:p w:rsidR="00322F0D" w:rsidRPr="00914B4B" w:rsidRDefault="00322F0D" w:rsidP="001B0B24">
            <w:pPr>
              <w:pStyle w:val="TableBodyText"/>
              <w:spacing w:beforeLines="20" w:before="48" w:afterLines="20" w:after="48"/>
              <w:jc w:val="center"/>
              <w:rPr>
                <w:lang w:eastAsia="en-US"/>
              </w:rPr>
            </w:pPr>
            <w:r>
              <w:rPr>
                <w:lang w:eastAsia="en-US"/>
              </w:rPr>
              <w:t>1-3</w:t>
            </w:r>
          </w:p>
        </w:tc>
        <w:tc>
          <w:tcPr>
            <w:tcW w:w="405" w:type="pct"/>
            <w:shd w:val="clear" w:color="auto" w:fill="auto"/>
            <w:vAlign w:val="center"/>
          </w:tcPr>
          <w:p w:rsidR="00322F0D" w:rsidRPr="004C3859" w:rsidRDefault="00322F0D" w:rsidP="001B0B24">
            <w:pPr>
              <w:pStyle w:val="TableBodyText"/>
              <w:spacing w:beforeLines="20" w:before="48" w:afterLines="20" w:after="48"/>
              <w:jc w:val="center"/>
              <w:rPr>
                <w:lang w:eastAsia="en-US"/>
              </w:rPr>
            </w:pPr>
            <w:r>
              <w:rPr>
                <w:lang w:eastAsia="en-US"/>
              </w:rPr>
              <w:t>1-3</w:t>
            </w:r>
          </w:p>
        </w:tc>
        <w:tc>
          <w:tcPr>
            <w:tcW w:w="405" w:type="pct"/>
            <w:shd w:val="clear" w:color="auto" w:fill="auto"/>
            <w:vAlign w:val="center"/>
          </w:tcPr>
          <w:p w:rsidR="00322F0D" w:rsidRPr="004C3859" w:rsidRDefault="00322F0D" w:rsidP="001B0B24">
            <w:pPr>
              <w:pStyle w:val="TableBodyText"/>
              <w:spacing w:beforeLines="20" w:before="48" w:afterLines="20" w:after="48"/>
              <w:jc w:val="center"/>
              <w:rPr>
                <w:lang w:eastAsia="en-US"/>
              </w:rPr>
            </w:pPr>
            <w:r>
              <w:rPr>
                <w:lang w:eastAsia="en-US"/>
              </w:rPr>
              <w:t>1-4</w:t>
            </w:r>
          </w:p>
        </w:tc>
        <w:tc>
          <w:tcPr>
            <w:tcW w:w="325" w:type="pct"/>
            <w:shd w:val="clear" w:color="auto" w:fill="auto"/>
            <w:vAlign w:val="center"/>
          </w:tcPr>
          <w:p w:rsidR="00322F0D" w:rsidRPr="004C3859" w:rsidRDefault="00322F0D" w:rsidP="001B0B24">
            <w:pPr>
              <w:pStyle w:val="TableBodyText"/>
              <w:spacing w:beforeLines="20" w:before="48" w:afterLines="20" w:after="48"/>
              <w:jc w:val="center"/>
              <w:rPr>
                <w:lang w:eastAsia="en-US"/>
              </w:rPr>
            </w:pPr>
            <w:r>
              <w:rPr>
                <w:lang w:eastAsia="en-US"/>
              </w:rPr>
              <w:t>..</w:t>
            </w:r>
          </w:p>
        </w:tc>
        <w:tc>
          <w:tcPr>
            <w:tcW w:w="322" w:type="pct"/>
            <w:shd w:val="clear" w:color="auto" w:fill="auto"/>
            <w:vAlign w:val="center"/>
          </w:tcPr>
          <w:p w:rsidR="00322F0D" w:rsidRPr="004C3859" w:rsidRDefault="00322F0D" w:rsidP="001B0B24">
            <w:pPr>
              <w:pStyle w:val="TableBodyText"/>
              <w:spacing w:beforeLines="20" w:before="48" w:afterLines="20" w:after="48"/>
              <w:jc w:val="center"/>
              <w:rPr>
                <w:lang w:eastAsia="en-US"/>
              </w:rPr>
            </w:pPr>
            <w:r>
              <w:rPr>
                <w:lang w:eastAsia="en-US"/>
              </w:rPr>
              <w:t>..</w:t>
            </w:r>
          </w:p>
        </w:tc>
        <w:tc>
          <w:tcPr>
            <w:tcW w:w="243" w:type="pct"/>
            <w:shd w:val="clear" w:color="auto" w:fill="auto"/>
            <w:vAlign w:val="center"/>
          </w:tcPr>
          <w:p w:rsidR="00322F0D" w:rsidRPr="004C3859" w:rsidRDefault="00322F0D" w:rsidP="001B0B24">
            <w:pPr>
              <w:pStyle w:val="TableBodyText"/>
              <w:spacing w:beforeLines="20" w:before="48" w:afterLines="20" w:after="48"/>
              <w:jc w:val="center"/>
              <w:rPr>
                <w:lang w:eastAsia="en-US"/>
              </w:rPr>
            </w:pPr>
            <w:r>
              <w:rPr>
                <w:lang w:eastAsia="en-US"/>
              </w:rPr>
              <w:t>..</w:t>
            </w:r>
          </w:p>
        </w:tc>
      </w:tr>
      <w:tr w:rsidR="007D4414" w:rsidRPr="004C3859" w:rsidTr="005C1F5D">
        <w:tc>
          <w:tcPr>
            <w:tcW w:w="1298" w:type="pct"/>
            <w:shd w:val="clear" w:color="auto" w:fill="auto"/>
          </w:tcPr>
          <w:p w:rsidR="00761060" w:rsidRDefault="00EE4DE2" w:rsidP="001B0B24">
            <w:pPr>
              <w:pStyle w:val="TableBodyText"/>
              <w:spacing w:beforeLines="20" w:before="48" w:afterLines="20" w:after="48"/>
              <w:jc w:val="left"/>
              <w:rPr>
                <w:lang w:eastAsia="en-US"/>
              </w:rPr>
            </w:pPr>
            <w:r>
              <w:rPr>
                <w:lang w:eastAsia="en-US"/>
              </w:rPr>
              <w:t>Total number of co</w:t>
            </w:r>
            <w:r w:rsidR="00173EB7">
              <w:rPr>
                <w:lang w:eastAsia="en-US"/>
              </w:rPr>
              <w:t>urses 2010-</w:t>
            </w:r>
            <w:r w:rsidR="00761060">
              <w:rPr>
                <w:lang w:eastAsia="en-US"/>
              </w:rPr>
              <w:t>11</w:t>
            </w:r>
          </w:p>
        </w:tc>
        <w:tc>
          <w:tcPr>
            <w:tcW w:w="826" w:type="pct"/>
            <w:shd w:val="clear" w:color="auto" w:fill="auto"/>
            <w:vAlign w:val="center"/>
          </w:tcPr>
          <w:p w:rsidR="00761060" w:rsidRPr="004C3859" w:rsidRDefault="00761060" w:rsidP="001B0B24">
            <w:pPr>
              <w:pStyle w:val="TableBodyText"/>
              <w:spacing w:beforeLines="20" w:before="48" w:afterLines="20" w:after="48"/>
              <w:jc w:val="center"/>
              <w:rPr>
                <w:lang w:eastAsia="en-US"/>
              </w:rPr>
            </w:pPr>
            <w:r>
              <w:rPr>
                <w:lang w:eastAsia="en-US"/>
              </w:rPr>
              <w:t>28</w:t>
            </w:r>
          </w:p>
        </w:tc>
        <w:tc>
          <w:tcPr>
            <w:tcW w:w="446" w:type="pct"/>
            <w:shd w:val="clear" w:color="auto" w:fill="auto"/>
            <w:vAlign w:val="center"/>
          </w:tcPr>
          <w:p w:rsidR="00761060" w:rsidRPr="004C3859" w:rsidRDefault="00761060" w:rsidP="005C1F5D">
            <w:pPr>
              <w:pStyle w:val="TableBodyText"/>
              <w:spacing w:beforeLines="20" w:before="48" w:afterLines="20" w:after="48"/>
              <w:jc w:val="center"/>
              <w:rPr>
                <w:i/>
                <w:lang w:eastAsia="en-US"/>
              </w:rPr>
            </w:pPr>
            <w:r>
              <w:rPr>
                <w:lang w:eastAsia="en-US"/>
              </w:rPr>
              <w:t>11</w:t>
            </w:r>
          </w:p>
        </w:tc>
        <w:tc>
          <w:tcPr>
            <w:tcW w:w="325" w:type="pct"/>
            <w:shd w:val="clear" w:color="auto" w:fill="auto"/>
            <w:vAlign w:val="center"/>
          </w:tcPr>
          <w:p w:rsidR="00761060" w:rsidRPr="00914B4B" w:rsidRDefault="00761060" w:rsidP="005C1F5D">
            <w:pPr>
              <w:pStyle w:val="TableBodyText"/>
              <w:spacing w:beforeLines="20" w:before="48" w:afterLines="20" w:after="48"/>
              <w:jc w:val="center"/>
              <w:rPr>
                <w:i/>
                <w:lang w:eastAsia="en-US"/>
              </w:rPr>
            </w:pPr>
            <w:r>
              <w:rPr>
                <w:lang w:eastAsia="en-US"/>
              </w:rPr>
              <w:t>9</w:t>
            </w:r>
          </w:p>
        </w:tc>
        <w:tc>
          <w:tcPr>
            <w:tcW w:w="406" w:type="pct"/>
            <w:shd w:val="clear" w:color="auto" w:fill="auto"/>
            <w:vAlign w:val="center"/>
          </w:tcPr>
          <w:p w:rsidR="00761060" w:rsidRPr="00914B4B" w:rsidRDefault="00724B6C" w:rsidP="001B0B24">
            <w:pPr>
              <w:pStyle w:val="TableBodyText"/>
              <w:spacing w:beforeLines="20" w:before="48" w:afterLines="20" w:after="48"/>
              <w:jc w:val="center"/>
              <w:rPr>
                <w:lang w:eastAsia="en-US"/>
              </w:rPr>
            </w:pPr>
            <w:r>
              <w:rPr>
                <w:lang w:eastAsia="en-US"/>
              </w:rPr>
              <w:t>33</w:t>
            </w:r>
          </w:p>
        </w:tc>
        <w:tc>
          <w:tcPr>
            <w:tcW w:w="405" w:type="pct"/>
            <w:shd w:val="clear" w:color="auto" w:fill="auto"/>
            <w:vAlign w:val="center"/>
          </w:tcPr>
          <w:p w:rsidR="00761060" w:rsidRPr="004C3859" w:rsidRDefault="00761060" w:rsidP="001B0B24">
            <w:pPr>
              <w:pStyle w:val="TableBodyText"/>
              <w:spacing w:beforeLines="20" w:before="48" w:afterLines="20" w:after="48"/>
              <w:jc w:val="center"/>
              <w:rPr>
                <w:lang w:eastAsia="en-US"/>
              </w:rPr>
            </w:pPr>
            <w:r>
              <w:rPr>
                <w:lang w:eastAsia="en-US"/>
              </w:rPr>
              <w:t>9</w:t>
            </w:r>
          </w:p>
        </w:tc>
        <w:tc>
          <w:tcPr>
            <w:tcW w:w="405" w:type="pct"/>
            <w:shd w:val="clear" w:color="auto" w:fill="auto"/>
            <w:vAlign w:val="center"/>
          </w:tcPr>
          <w:p w:rsidR="00761060" w:rsidRPr="004C3859" w:rsidRDefault="00E30D3C" w:rsidP="001B0B24">
            <w:pPr>
              <w:pStyle w:val="TableBodyText"/>
              <w:spacing w:beforeLines="20" w:before="48" w:afterLines="20" w:after="48"/>
              <w:jc w:val="center"/>
              <w:rPr>
                <w:lang w:eastAsia="en-US"/>
              </w:rPr>
            </w:pPr>
            <w:r>
              <w:rPr>
                <w:lang w:eastAsia="en-US"/>
              </w:rPr>
              <w:t>15</w:t>
            </w:r>
          </w:p>
        </w:tc>
        <w:tc>
          <w:tcPr>
            <w:tcW w:w="325" w:type="pct"/>
            <w:shd w:val="clear" w:color="auto" w:fill="auto"/>
            <w:vAlign w:val="center"/>
          </w:tcPr>
          <w:p w:rsidR="00761060" w:rsidRPr="004C3859" w:rsidRDefault="00761060" w:rsidP="001B0B24">
            <w:pPr>
              <w:pStyle w:val="TableBodyText"/>
              <w:spacing w:beforeLines="20" w:before="48" w:afterLines="20" w:after="48"/>
              <w:jc w:val="center"/>
              <w:rPr>
                <w:lang w:eastAsia="en-US"/>
              </w:rPr>
            </w:pPr>
            <w:r>
              <w:rPr>
                <w:lang w:eastAsia="en-US"/>
              </w:rPr>
              <w:t>..</w:t>
            </w:r>
          </w:p>
        </w:tc>
        <w:tc>
          <w:tcPr>
            <w:tcW w:w="322" w:type="pct"/>
            <w:shd w:val="clear" w:color="auto" w:fill="auto"/>
            <w:vAlign w:val="center"/>
          </w:tcPr>
          <w:p w:rsidR="00761060" w:rsidRPr="004C3859" w:rsidRDefault="00761060" w:rsidP="001B0B24">
            <w:pPr>
              <w:pStyle w:val="TableBodyText"/>
              <w:spacing w:beforeLines="20" w:before="48" w:afterLines="20" w:after="48"/>
              <w:jc w:val="center"/>
              <w:rPr>
                <w:lang w:eastAsia="en-US"/>
              </w:rPr>
            </w:pPr>
            <w:r>
              <w:rPr>
                <w:lang w:eastAsia="en-US"/>
              </w:rPr>
              <w:t>..</w:t>
            </w:r>
          </w:p>
        </w:tc>
        <w:tc>
          <w:tcPr>
            <w:tcW w:w="243" w:type="pct"/>
            <w:shd w:val="clear" w:color="auto" w:fill="auto"/>
            <w:vAlign w:val="center"/>
          </w:tcPr>
          <w:p w:rsidR="00761060" w:rsidRPr="004C3859" w:rsidRDefault="00761060" w:rsidP="001B0B24">
            <w:pPr>
              <w:pStyle w:val="TableBodyText"/>
              <w:spacing w:beforeLines="20" w:before="48" w:afterLines="20" w:after="48"/>
              <w:jc w:val="center"/>
              <w:rPr>
                <w:lang w:eastAsia="en-US"/>
              </w:rPr>
            </w:pPr>
            <w:r>
              <w:rPr>
                <w:lang w:eastAsia="en-US"/>
              </w:rPr>
              <w:t>..</w:t>
            </w:r>
          </w:p>
        </w:tc>
      </w:tr>
      <w:tr w:rsidR="007D4414" w:rsidRPr="004C3859" w:rsidTr="00AB6F48">
        <w:tc>
          <w:tcPr>
            <w:tcW w:w="1298" w:type="pct"/>
            <w:tcBorders>
              <w:bottom w:val="single" w:sz="4" w:space="0" w:color="auto"/>
            </w:tcBorders>
            <w:shd w:val="clear" w:color="auto" w:fill="auto"/>
          </w:tcPr>
          <w:p w:rsidR="00761060" w:rsidRDefault="00761060" w:rsidP="001B0B24">
            <w:pPr>
              <w:pStyle w:val="TableBodyText"/>
              <w:spacing w:beforeLines="20" w:before="48" w:afterLines="20" w:after="48"/>
              <w:jc w:val="left"/>
              <w:rPr>
                <w:lang w:eastAsia="en-US"/>
              </w:rPr>
            </w:pPr>
            <w:r>
              <w:rPr>
                <w:lang w:eastAsia="en-US"/>
              </w:rPr>
              <w:t>Approximate total number of sta</w:t>
            </w:r>
            <w:r w:rsidR="00173EB7">
              <w:rPr>
                <w:lang w:eastAsia="en-US"/>
              </w:rPr>
              <w:t>ff trained 2010-</w:t>
            </w:r>
            <w:r w:rsidRPr="00A8029E">
              <w:rPr>
                <w:lang w:eastAsia="en-US"/>
              </w:rPr>
              <w:t>11</w:t>
            </w:r>
          </w:p>
        </w:tc>
        <w:tc>
          <w:tcPr>
            <w:tcW w:w="826" w:type="pct"/>
            <w:tcBorders>
              <w:bottom w:val="single" w:sz="4" w:space="0" w:color="auto"/>
            </w:tcBorders>
            <w:shd w:val="clear" w:color="auto" w:fill="auto"/>
            <w:vAlign w:val="center"/>
          </w:tcPr>
          <w:p w:rsidR="00761060" w:rsidRPr="004C3859" w:rsidRDefault="00761060" w:rsidP="001B0B24">
            <w:pPr>
              <w:pStyle w:val="TableBodyText"/>
              <w:spacing w:beforeLines="20" w:before="48" w:afterLines="20" w:after="48"/>
              <w:jc w:val="center"/>
              <w:rPr>
                <w:lang w:eastAsia="en-US"/>
              </w:rPr>
            </w:pPr>
            <w:r>
              <w:rPr>
                <w:lang w:eastAsia="en-US"/>
              </w:rPr>
              <w:t>404</w:t>
            </w:r>
          </w:p>
        </w:tc>
        <w:tc>
          <w:tcPr>
            <w:tcW w:w="446" w:type="pct"/>
            <w:tcBorders>
              <w:bottom w:val="single" w:sz="4" w:space="0" w:color="auto"/>
            </w:tcBorders>
            <w:shd w:val="clear" w:color="auto" w:fill="auto"/>
            <w:vAlign w:val="center"/>
          </w:tcPr>
          <w:p w:rsidR="00761060" w:rsidRPr="004C3859" w:rsidRDefault="00761060" w:rsidP="005C1F5D">
            <w:pPr>
              <w:pStyle w:val="TableBodyText"/>
              <w:spacing w:beforeLines="20" w:before="48" w:afterLines="20" w:after="48"/>
              <w:jc w:val="center"/>
              <w:rPr>
                <w:i/>
                <w:lang w:eastAsia="en-US"/>
              </w:rPr>
            </w:pPr>
            <w:r>
              <w:rPr>
                <w:lang w:eastAsia="en-US"/>
              </w:rPr>
              <w:t>140</w:t>
            </w:r>
          </w:p>
        </w:tc>
        <w:tc>
          <w:tcPr>
            <w:tcW w:w="325" w:type="pct"/>
            <w:tcBorders>
              <w:bottom w:val="single" w:sz="4" w:space="0" w:color="auto"/>
            </w:tcBorders>
            <w:shd w:val="clear" w:color="auto" w:fill="auto"/>
            <w:vAlign w:val="center"/>
          </w:tcPr>
          <w:p w:rsidR="00761060" w:rsidRPr="00914B4B" w:rsidRDefault="00761060" w:rsidP="00AB6F48">
            <w:pPr>
              <w:pStyle w:val="TableBodyText"/>
              <w:spacing w:beforeLines="20" w:before="48" w:afterLines="20" w:after="48"/>
              <w:rPr>
                <w:i/>
                <w:lang w:eastAsia="en-US"/>
              </w:rPr>
            </w:pPr>
            <w:r>
              <w:rPr>
                <w:lang w:eastAsia="en-US"/>
              </w:rPr>
              <w:t>171</w:t>
            </w:r>
          </w:p>
        </w:tc>
        <w:tc>
          <w:tcPr>
            <w:tcW w:w="406" w:type="pct"/>
            <w:tcBorders>
              <w:bottom w:val="single" w:sz="4" w:space="0" w:color="auto"/>
            </w:tcBorders>
            <w:shd w:val="clear" w:color="auto" w:fill="auto"/>
            <w:vAlign w:val="center"/>
          </w:tcPr>
          <w:p w:rsidR="00761060" w:rsidRPr="00914B4B" w:rsidRDefault="00761060" w:rsidP="00441931">
            <w:pPr>
              <w:pStyle w:val="TableBodyText"/>
              <w:spacing w:afterLines="20" w:after="48"/>
              <w:jc w:val="center"/>
              <w:rPr>
                <w:lang w:eastAsia="en-US"/>
              </w:rPr>
            </w:pPr>
            <w:r>
              <w:rPr>
                <w:lang w:eastAsia="en-US"/>
              </w:rPr>
              <w:t>460</w:t>
            </w:r>
            <w:r w:rsidR="00630C96">
              <w:rPr>
                <w:b/>
                <w:position w:val="6"/>
                <w:sz w:val="18"/>
              </w:rPr>
              <w:t>f</w:t>
            </w:r>
          </w:p>
        </w:tc>
        <w:tc>
          <w:tcPr>
            <w:tcW w:w="405" w:type="pct"/>
            <w:tcBorders>
              <w:bottom w:val="single" w:sz="4" w:space="0" w:color="auto"/>
            </w:tcBorders>
            <w:shd w:val="clear" w:color="auto" w:fill="auto"/>
            <w:vAlign w:val="center"/>
          </w:tcPr>
          <w:p w:rsidR="00761060" w:rsidRPr="004C3859" w:rsidRDefault="00761060" w:rsidP="001B0B24">
            <w:pPr>
              <w:pStyle w:val="TableBodyText"/>
              <w:spacing w:beforeLines="20" w:before="48" w:afterLines="20" w:after="48"/>
              <w:jc w:val="center"/>
              <w:rPr>
                <w:lang w:eastAsia="en-US"/>
              </w:rPr>
            </w:pPr>
            <w:r>
              <w:rPr>
                <w:lang w:eastAsia="en-US"/>
              </w:rPr>
              <w:t>425</w:t>
            </w:r>
          </w:p>
        </w:tc>
        <w:tc>
          <w:tcPr>
            <w:tcW w:w="405" w:type="pct"/>
            <w:tcBorders>
              <w:bottom w:val="single" w:sz="4" w:space="0" w:color="auto"/>
            </w:tcBorders>
            <w:shd w:val="clear" w:color="auto" w:fill="auto"/>
            <w:vAlign w:val="center"/>
          </w:tcPr>
          <w:p w:rsidR="00761060" w:rsidRPr="004C3859" w:rsidRDefault="00761060" w:rsidP="001B0B24">
            <w:pPr>
              <w:pStyle w:val="TableBodyText"/>
              <w:spacing w:beforeLines="20" w:before="48" w:afterLines="20" w:after="48"/>
              <w:jc w:val="center"/>
              <w:rPr>
                <w:lang w:eastAsia="en-US"/>
              </w:rPr>
            </w:pPr>
            <w:r>
              <w:rPr>
                <w:lang w:eastAsia="en-US"/>
              </w:rPr>
              <w:t>180</w:t>
            </w:r>
          </w:p>
        </w:tc>
        <w:tc>
          <w:tcPr>
            <w:tcW w:w="325" w:type="pct"/>
            <w:tcBorders>
              <w:bottom w:val="single" w:sz="4" w:space="0" w:color="auto"/>
            </w:tcBorders>
            <w:shd w:val="clear" w:color="auto" w:fill="auto"/>
            <w:vAlign w:val="center"/>
          </w:tcPr>
          <w:p w:rsidR="00761060" w:rsidRPr="004C3859" w:rsidRDefault="00761060" w:rsidP="001B0B24">
            <w:pPr>
              <w:pStyle w:val="TableBodyText"/>
              <w:spacing w:beforeLines="20" w:before="48" w:afterLines="20" w:after="48"/>
              <w:jc w:val="center"/>
              <w:rPr>
                <w:lang w:eastAsia="en-US"/>
              </w:rPr>
            </w:pPr>
            <w:r>
              <w:rPr>
                <w:lang w:eastAsia="en-US"/>
              </w:rPr>
              <w:t>..</w:t>
            </w:r>
          </w:p>
        </w:tc>
        <w:tc>
          <w:tcPr>
            <w:tcW w:w="322" w:type="pct"/>
            <w:tcBorders>
              <w:bottom w:val="single" w:sz="4" w:space="0" w:color="auto"/>
            </w:tcBorders>
            <w:shd w:val="clear" w:color="auto" w:fill="auto"/>
            <w:vAlign w:val="center"/>
          </w:tcPr>
          <w:p w:rsidR="00761060" w:rsidRPr="004C3859" w:rsidRDefault="00761060" w:rsidP="001B0B24">
            <w:pPr>
              <w:pStyle w:val="TableBodyText"/>
              <w:spacing w:beforeLines="20" w:before="48" w:afterLines="20" w:after="48"/>
              <w:jc w:val="center"/>
              <w:rPr>
                <w:lang w:eastAsia="en-US"/>
              </w:rPr>
            </w:pPr>
            <w:r>
              <w:rPr>
                <w:lang w:eastAsia="en-US"/>
              </w:rPr>
              <w:t>..</w:t>
            </w:r>
          </w:p>
        </w:tc>
        <w:tc>
          <w:tcPr>
            <w:tcW w:w="243" w:type="pct"/>
            <w:tcBorders>
              <w:bottom w:val="single" w:sz="4" w:space="0" w:color="auto"/>
            </w:tcBorders>
            <w:shd w:val="clear" w:color="auto" w:fill="auto"/>
            <w:vAlign w:val="center"/>
          </w:tcPr>
          <w:p w:rsidR="00761060" w:rsidRPr="004C3859" w:rsidRDefault="00761060" w:rsidP="001B0B24">
            <w:pPr>
              <w:pStyle w:val="TableBodyText"/>
              <w:spacing w:beforeLines="20" w:before="48" w:afterLines="20" w:after="48"/>
              <w:jc w:val="center"/>
              <w:rPr>
                <w:lang w:eastAsia="en-US"/>
              </w:rPr>
            </w:pPr>
            <w:r>
              <w:rPr>
                <w:lang w:eastAsia="en-US"/>
              </w:rPr>
              <w:t>..</w:t>
            </w:r>
          </w:p>
        </w:tc>
      </w:tr>
    </w:tbl>
    <w:p w:rsidR="00163B45" w:rsidRPr="0057237F" w:rsidRDefault="00163B45" w:rsidP="00163B45">
      <w:pPr>
        <w:keepLines/>
        <w:spacing w:before="80" w:line="220" w:lineRule="exact"/>
        <w:jc w:val="both"/>
      </w:pPr>
      <w:r>
        <w:rPr>
          <w:rFonts w:ascii="Arial" w:hAnsi="Arial"/>
          <w:b/>
          <w:position w:val="6"/>
          <w:sz w:val="18"/>
          <w:szCs w:val="20"/>
        </w:rPr>
        <w:t>a</w:t>
      </w:r>
      <w:r w:rsidRPr="007C1C00">
        <w:rPr>
          <w:rStyle w:val="NoteChar"/>
        </w:rPr>
        <w:t xml:space="preserve"> </w:t>
      </w:r>
      <w:r w:rsidR="0076315E">
        <w:rPr>
          <w:rStyle w:val="NoteChar"/>
        </w:rPr>
        <w:t>T</w:t>
      </w:r>
      <w:r w:rsidR="00322F0D">
        <w:rPr>
          <w:rStyle w:val="NoteChar"/>
        </w:rPr>
        <w:t xml:space="preserve">raining for agencies which undertake RIA under </w:t>
      </w:r>
      <w:r w:rsidR="0076315E">
        <w:rPr>
          <w:rStyle w:val="NoteChar"/>
        </w:rPr>
        <w:t xml:space="preserve">either </w:t>
      </w:r>
      <w:r w:rsidR="00322F0D">
        <w:rPr>
          <w:rStyle w:val="NoteChar"/>
        </w:rPr>
        <w:t xml:space="preserve">the Commonwealth </w:t>
      </w:r>
      <w:r w:rsidR="0076315E">
        <w:rPr>
          <w:rStyle w:val="NoteChar"/>
        </w:rPr>
        <w:t>or</w:t>
      </w:r>
      <w:r w:rsidR="00322F0D">
        <w:rPr>
          <w:rStyle w:val="NoteChar"/>
        </w:rPr>
        <w:t xml:space="preserve"> COAG process</w:t>
      </w:r>
      <w:r w:rsidR="0076315E">
        <w:rPr>
          <w:rStyle w:val="NoteChar"/>
        </w:rPr>
        <w:t xml:space="preserve"> is provided by the OBPR</w:t>
      </w:r>
      <w:r w:rsidR="00322F0D">
        <w:rPr>
          <w:rStyle w:val="NoteChar"/>
        </w:rPr>
        <w:t xml:space="preserve">. </w:t>
      </w:r>
      <w:r w:rsidR="00322F0D">
        <w:rPr>
          <w:rFonts w:ascii="Arial" w:hAnsi="Arial"/>
          <w:b/>
          <w:position w:val="6"/>
          <w:sz w:val="18"/>
          <w:szCs w:val="20"/>
        </w:rPr>
        <w:t>b</w:t>
      </w:r>
      <w:r w:rsidR="00322F0D">
        <w:rPr>
          <w:rStyle w:val="NoteChar"/>
        </w:rPr>
        <w:t xml:space="preserve"> </w:t>
      </w:r>
      <w:r w:rsidR="00173EB7">
        <w:rPr>
          <w:rStyle w:val="NoteChar"/>
        </w:rPr>
        <w:t>NSW data relate to 2011-</w:t>
      </w:r>
      <w:r w:rsidRPr="00C724D8">
        <w:rPr>
          <w:rStyle w:val="NoteChar"/>
        </w:rPr>
        <w:t xml:space="preserve">12. No </w:t>
      </w:r>
      <w:r w:rsidR="00173EB7">
        <w:rPr>
          <w:rStyle w:val="NoteChar"/>
        </w:rPr>
        <w:t>training was undertaken in 2010-</w:t>
      </w:r>
      <w:r w:rsidRPr="00C724D8">
        <w:rPr>
          <w:rStyle w:val="NoteChar"/>
        </w:rPr>
        <w:t xml:space="preserve">11 because </w:t>
      </w:r>
      <w:r w:rsidR="006D3810">
        <w:rPr>
          <w:rStyle w:val="NoteChar"/>
        </w:rPr>
        <w:t>a</w:t>
      </w:r>
      <w:r w:rsidR="00A67DDA">
        <w:rPr>
          <w:rStyle w:val="NoteChar"/>
        </w:rPr>
        <w:t xml:space="preserve"> </w:t>
      </w:r>
      <w:r w:rsidRPr="00C724D8">
        <w:rPr>
          <w:rStyle w:val="NoteChar"/>
        </w:rPr>
        <w:t>change of go</w:t>
      </w:r>
      <w:r w:rsidR="00084823">
        <w:rPr>
          <w:rStyle w:val="NoteChar"/>
        </w:rPr>
        <w:t xml:space="preserve">vernment resulted in </w:t>
      </w:r>
      <w:r w:rsidRPr="00C724D8">
        <w:rPr>
          <w:rStyle w:val="NoteChar"/>
        </w:rPr>
        <w:t>revisions to policies and training material.</w:t>
      </w:r>
      <w:r>
        <w:rPr>
          <w:rStyle w:val="NoteChar"/>
        </w:rPr>
        <w:t xml:space="preserve"> </w:t>
      </w:r>
      <w:r w:rsidR="00322F0D">
        <w:rPr>
          <w:rFonts w:ascii="Arial" w:hAnsi="Arial"/>
          <w:b/>
          <w:position w:val="6"/>
          <w:sz w:val="18"/>
          <w:szCs w:val="20"/>
        </w:rPr>
        <w:t>c</w:t>
      </w:r>
      <w:r>
        <w:rPr>
          <w:rStyle w:val="NoteChar"/>
        </w:rPr>
        <w:t xml:space="preserve"> Mainly associated with </w:t>
      </w:r>
      <w:r w:rsidR="00F56A5C">
        <w:rPr>
          <w:rStyle w:val="NoteChar"/>
        </w:rPr>
        <w:t xml:space="preserve">the </w:t>
      </w:r>
      <w:r>
        <w:rPr>
          <w:rStyle w:val="NoteChar"/>
        </w:rPr>
        <w:t xml:space="preserve">introduction of </w:t>
      </w:r>
      <w:r w:rsidR="00F56A5C">
        <w:rPr>
          <w:rStyle w:val="NoteChar"/>
        </w:rPr>
        <w:t xml:space="preserve">the </w:t>
      </w:r>
      <w:r>
        <w:rPr>
          <w:rStyle w:val="NoteChar"/>
        </w:rPr>
        <w:t>new RAS system</w:t>
      </w:r>
      <w:r w:rsidR="00F56A5C">
        <w:rPr>
          <w:rStyle w:val="NoteChar"/>
        </w:rPr>
        <w:t xml:space="preserve"> in 2010</w:t>
      </w:r>
      <w:r w:rsidR="00173EB7">
        <w:rPr>
          <w:rStyle w:val="NoteChar"/>
        </w:rPr>
        <w:t>, rather than on-</w:t>
      </w:r>
      <w:r w:rsidR="007B0D1F">
        <w:rPr>
          <w:rStyle w:val="NoteChar"/>
        </w:rPr>
        <w:t>going training.</w:t>
      </w:r>
      <w:r>
        <w:rPr>
          <w:rStyle w:val="NoteChar"/>
        </w:rPr>
        <w:t xml:space="preserve"> </w:t>
      </w:r>
      <w:r w:rsidR="00322F0D">
        <w:rPr>
          <w:rFonts w:ascii="Arial" w:hAnsi="Arial"/>
          <w:b/>
          <w:position w:val="6"/>
          <w:sz w:val="18"/>
          <w:szCs w:val="20"/>
        </w:rPr>
        <w:t>d</w:t>
      </w:r>
      <w:r w:rsidRPr="007C1C00">
        <w:rPr>
          <w:rStyle w:val="NoteChar"/>
        </w:rPr>
        <w:t xml:space="preserve"> </w:t>
      </w:r>
      <w:r w:rsidR="007D4414">
        <w:rPr>
          <w:rStyle w:val="NoteChar"/>
        </w:rPr>
        <w:t>Has been provid</w:t>
      </w:r>
      <w:r w:rsidR="00173EB7">
        <w:rPr>
          <w:rStyle w:val="NoteChar"/>
        </w:rPr>
        <w:t xml:space="preserve">ed </w:t>
      </w:r>
      <w:r w:rsidR="00A67DDA">
        <w:rPr>
          <w:rStyle w:val="NoteChar"/>
        </w:rPr>
        <w:t>prior to</w:t>
      </w:r>
      <w:r w:rsidR="00173EB7">
        <w:rPr>
          <w:rStyle w:val="NoteChar"/>
        </w:rPr>
        <w:t xml:space="preserve"> 2010-</w:t>
      </w:r>
      <w:r w:rsidR="00446DDB">
        <w:rPr>
          <w:rStyle w:val="NoteChar"/>
        </w:rPr>
        <w:t>11</w:t>
      </w:r>
      <w:r w:rsidR="00A67DDA">
        <w:rPr>
          <w:rStyle w:val="NoteChar"/>
        </w:rPr>
        <w:t>.</w:t>
      </w:r>
      <w:r w:rsidR="007D4414">
        <w:rPr>
          <w:rStyle w:val="NoteChar"/>
        </w:rPr>
        <w:t xml:space="preserve"> </w:t>
      </w:r>
      <w:r w:rsidR="00A67DDA">
        <w:rPr>
          <w:rStyle w:val="NoteChar"/>
        </w:rPr>
        <w:t>R</w:t>
      </w:r>
      <w:r w:rsidR="007D4414">
        <w:rPr>
          <w:rStyle w:val="NoteChar"/>
        </w:rPr>
        <w:t xml:space="preserve">ecently the </w:t>
      </w:r>
      <w:r w:rsidR="00055539">
        <w:rPr>
          <w:rStyle w:val="NoteChar"/>
        </w:rPr>
        <w:t xml:space="preserve">RIU </w:t>
      </w:r>
      <w:r w:rsidR="007D4414">
        <w:rPr>
          <w:rStyle w:val="NoteChar"/>
        </w:rPr>
        <w:t xml:space="preserve">has favoured providing assistance </w:t>
      </w:r>
      <w:r w:rsidR="00267842">
        <w:rPr>
          <w:rStyle w:val="NoteChar"/>
        </w:rPr>
        <w:t>on specific proposals, rather than general training.</w:t>
      </w:r>
      <w:r>
        <w:rPr>
          <w:rStyle w:val="NoteChar"/>
        </w:rPr>
        <w:t xml:space="preserve"> </w:t>
      </w:r>
      <w:r w:rsidR="00322F0D">
        <w:rPr>
          <w:rFonts w:ascii="Arial" w:hAnsi="Arial"/>
          <w:b/>
          <w:position w:val="6"/>
          <w:sz w:val="18"/>
          <w:szCs w:val="20"/>
        </w:rPr>
        <w:t>e</w:t>
      </w:r>
      <w:r w:rsidR="00173EB7" w:rsidRPr="007C1C00">
        <w:rPr>
          <w:rStyle w:val="NoteChar"/>
        </w:rPr>
        <w:t xml:space="preserve"> </w:t>
      </w:r>
      <w:r w:rsidR="00173EB7">
        <w:rPr>
          <w:rStyle w:val="NoteChar"/>
        </w:rPr>
        <w:t xml:space="preserve">Initial workshops associated with the introduction of the new system, no further workshops are planned at this stage. </w:t>
      </w:r>
      <w:r w:rsidR="00322F0D">
        <w:rPr>
          <w:rFonts w:ascii="Arial" w:hAnsi="Arial"/>
          <w:b/>
          <w:position w:val="6"/>
          <w:sz w:val="18"/>
          <w:szCs w:val="20"/>
        </w:rPr>
        <w:t>f</w:t>
      </w:r>
      <w:r w:rsidRPr="007C1C00">
        <w:rPr>
          <w:rStyle w:val="NoteChar"/>
        </w:rPr>
        <w:t xml:space="preserve"> </w:t>
      </w:r>
      <w:r>
        <w:rPr>
          <w:rStyle w:val="NoteChar"/>
        </w:rPr>
        <w:t>Including 160 staff trained in using the</w:t>
      </w:r>
      <w:r w:rsidR="00724B6C">
        <w:rPr>
          <w:rStyle w:val="NoteChar"/>
        </w:rPr>
        <w:t xml:space="preserve"> Compliance Cost Calculator</w:t>
      </w:r>
      <w:r w:rsidR="00055539">
        <w:rPr>
          <w:rStyle w:val="NoteChar"/>
        </w:rPr>
        <w:t xml:space="preserve"> </w:t>
      </w:r>
      <w:r w:rsidR="00724B6C">
        <w:rPr>
          <w:rStyle w:val="NoteChar"/>
        </w:rPr>
        <w:t>.</w:t>
      </w:r>
      <w:r w:rsidR="00173EB7">
        <w:rPr>
          <w:rStyle w:val="NoteChar"/>
        </w:rPr>
        <w:t>.</w:t>
      </w:r>
      <w:r w:rsidR="00055539">
        <w:rPr>
          <w:rStyle w:val="NoteChar"/>
        </w:rPr>
        <w:t xml:space="preserve"> </w:t>
      </w:r>
      <w:r>
        <w:rPr>
          <w:rStyle w:val="NoteChar"/>
        </w:rPr>
        <w:t>not applicable</w:t>
      </w:r>
      <w:r w:rsidR="00185802">
        <w:rPr>
          <w:rStyle w:val="NoteChar"/>
        </w:rPr>
        <w:t xml:space="preserve"> </w:t>
      </w:r>
    </w:p>
    <w:p w:rsidR="002F710A" w:rsidRDefault="002F710A" w:rsidP="002F710A">
      <w:pPr>
        <w:pStyle w:val="Source"/>
      </w:pPr>
      <w:r>
        <w:rPr>
          <w:i/>
        </w:rPr>
        <w:t>Source</w:t>
      </w:r>
      <w:r w:rsidR="00AF6EEA">
        <w:rPr>
          <w:i/>
        </w:rPr>
        <w:t>s</w:t>
      </w:r>
      <w:r>
        <w:t xml:space="preserve">: PC </w:t>
      </w:r>
      <w:r w:rsidR="001E3AF6">
        <w:t>RIA S</w:t>
      </w:r>
      <w:r>
        <w:t>urvey</w:t>
      </w:r>
      <w:r w:rsidR="00163B45">
        <w:t xml:space="preserve"> </w:t>
      </w:r>
      <w:r w:rsidR="005E7675">
        <w:t>(</w:t>
      </w:r>
      <w:r w:rsidR="00163B45">
        <w:t>2012</w:t>
      </w:r>
      <w:r w:rsidR="005E7675">
        <w:t>)</w:t>
      </w:r>
      <w:r w:rsidR="003B5CC2">
        <w:t xml:space="preserve"> and PC information requests to jurisdictions</w:t>
      </w:r>
      <w:r>
        <w:t xml:space="preserve">. </w:t>
      </w:r>
    </w:p>
    <w:p w:rsidR="00741AB8" w:rsidRDefault="00741AB8" w:rsidP="00741AB8">
      <w:pPr>
        <w:pStyle w:val="BodyText"/>
      </w:pPr>
      <w:r>
        <w:t xml:space="preserve">In a number of jurisdictions, there is an increasing focus on training tailored to address agency–specific issues. Tailored training can involve examining RISs previously completed by the agency or workshopping current and upcoming proposals. </w:t>
      </w:r>
      <w:r w:rsidRPr="000B1189">
        <w:t xml:space="preserve">Some jurisdictions </w:t>
      </w:r>
      <w:r>
        <w:t xml:space="preserve">also </w:t>
      </w:r>
      <w:r w:rsidRPr="000B1189">
        <w:t>offer more in</w:t>
      </w:r>
      <w:r>
        <w:t>-depth training in cost–</w:t>
      </w:r>
      <w:r w:rsidRPr="000B1189">
        <w:t>benefit</w:t>
      </w:r>
      <w:r>
        <w:t xml:space="preserve"> analysis (CBA). </w:t>
      </w:r>
    </w:p>
    <w:p w:rsidR="00741AB8" w:rsidRDefault="00741AB8" w:rsidP="00173EB7">
      <w:pPr>
        <w:pStyle w:val="BodyText"/>
      </w:pPr>
      <w:r>
        <w:t xml:space="preserve">No formal on-going training is offered by oversight bodies in Tasmania, the Australian Capital Territory and the Northern Territory. For Tasmania and the Northern Territory, the comparatively small number of </w:t>
      </w:r>
      <w:r w:rsidRPr="00084823">
        <w:t>RISs</w:t>
      </w:r>
      <w:r>
        <w:t xml:space="preserve"> (chapter 4</w:t>
      </w:r>
      <w:r w:rsidRPr="00084823">
        <w:t>)</w:t>
      </w:r>
      <w:r>
        <w:t xml:space="preserve"> may mean that provision of oversight body advice, on request, is more cost effective than formal training.</w:t>
      </w:r>
    </w:p>
    <w:p w:rsidR="00173EB7" w:rsidRDefault="00173EB7" w:rsidP="00173EB7">
      <w:pPr>
        <w:pStyle w:val="BodyText"/>
      </w:pPr>
      <w:r>
        <w:t>In addition to advice and training, t</w:t>
      </w:r>
      <w:r w:rsidRPr="0089557B">
        <w:t xml:space="preserve">he OBPR </w:t>
      </w:r>
      <w:r>
        <w:t xml:space="preserve">introduced an </w:t>
      </w:r>
      <w:r w:rsidR="00C128BE">
        <w:t>‘</w:t>
      </w:r>
      <w:r>
        <w:t xml:space="preserve">outpost </w:t>
      </w:r>
      <w:r w:rsidRPr="0089557B">
        <w:t>officer</w:t>
      </w:r>
      <w:r w:rsidR="00C128BE">
        <w:t>’</w:t>
      </w:r>
      <w:r>
        <w:t xml:space="preserve"> program in late 2011 (OBPR 2011</w:t>
      </w:r>
      <w:r w:rsidR="009022C4">
        <w:t>b</w:t>
      </w:r>
      <w:r>
        <w:t xml:space="preserve">). Under this </w:t>
      </w:r>
      <w:r w:rsidR="00A67DDA">
        <w:t>program</w:t>
      </w:r>
      <w:r>
        <w:t>, an OBPR officer is assigned</w:t>
      </w:r>
      <w:r w:rsidRPr="0089557B">
        <w:t xml:space="preserve"> </w:t>
      </w:r>
      <w:r>
        <w:t>to an agency preparing a Commonwealth or COAG RIS,</w:t>
      </w:r>
      <w:r w:rsidRPr="0089557B">
        <w:t xml:space="preserve"> </w:t>
      </w:r>
      <w:r>
        <w:t xml:space="preserve">for a period of several weeks to months, </w:t>
      </w:r>
      <w:r w:rsidRPr="0089557B">
        <w:t xml:space="preserve">to </w:t>
      </w:r>
      <w:r>
        <w:t>assist the agency in developing the RIS.</w:t>
      </w:r>
      <w:r w:rsidRPr="00C32E52">
        <w:t xml:space="preserve"> </w:t>
      </w:r>
      <w:r>
        <w:t>This can include:</w:t>
      </w:r>
    </w:p>
    <w:p w:rsidR="00173EB7" w:rsidRDefault="00173EB7" w:rsidP="00FB7FDD">
      <w:pPr>
        <w:pStyle w:val="QuoteBullet"/>
      </w:pPr>
      <w:r>
        <w:t>a short term engagement to develop an outline of the RIS and provide instructions for its preparation</w:t>
      </w:r>
    </w:p>
    <w:p w:rsidR="00173EB7" w:rsidRDefault="00173EB7" w:rsidP="00FB7FDD">
      <w:pPr>
        <w:pStyle w:val="QuoteBullet"/>
      </w:pPr>
      <w:r>
        <w:t xml:space="preserve">a longer term </w:t>
      </w:r>
      <w:r w:rsidR="00DC09AB">
        <w:t>engagement to coordinate agency-</w:t>
      </w:r>
      <w:r>
        <w:t>wide input into the RIS</w:t>
      </w:r>
    </w:p>
    <w:p w:rsidR="00173EB7" w:rsidRDefault="00173EB7" w:rsidP="00FB7FDD">
      <w:pPr>
        <w:pStyle w:val="QuoteBullet"/>
      </w:pPr>
      <w:r>
        <w:lastRenderedPageBreak/>
        <w:t>a long term engagement to write the RIS drawing on best practice consultation processes already undertaken. (</w:t>
      </w:r>
      <w:r w:rsidR="00A63EB6" w:rsidRPr="00A63EB6">
        <w:t>OBPR 2011</w:t>
      </w:r>
      <w:r w:rsidR="009022C4">
        <w:t>b</w:t>
      </w:r>
      <w:r w:rsidR="00094846">
        <w:t>, p. 1</w:t>
      </w:r>
      <w:r>
        <w:t>)</w:t>
      </w:r>
    </w:p>
    <w:p w:rsidR="00173EB7" w:rsidRDefault="00173EB7" w:rsidP="003D0CC8">
      <w:pPr>
        <w:pStyle w:val="BodyText"/>
        <w:tabs>
          <w:tab w:val="left" w:pos="4253"/>
        </w:tabs>
      </w:pPr>
      <w:r>
        <w:t>There</w:t>
      </w:r>
      <w:r w:rsidR="00876543">
        <w:t xml:space="preserve"> have been up to </w:t>
      </w:r>
      <w:r>
        <w:t xml:space="preserve">six </w:t>
      </w:r>
      <w:r w:rsidR="004136E9">
        <w:t xml:space="preserve">outpost </w:t>
      </w:r>
      <w:r>
        <w:t xml:space="preserve">officers </w:t>
      </w:r>
      <w:r w:rsidR="004136E9">
        <w:t>a</w:t>
      </w:r>
      <w:r w:rsidR="00000F61">
        <w:t>cross</w:t>
      </w:r>
      <w:r w:rsidR="00876543">
        <w:t xml:space="preserve"> </w:t>
      </w:r>
      <w:r>
        <w:t>various agencies at any one time</w:t>
      </w:r>
      <w:r w:rsidR="004136E9">
        <w:t>, though there is no set limit on the number that can be outposted</w:t>
      </w:r>
      <w:r>
        <w:t xml:space="preserve">. The fees for services are </w:t>
      </w:r>
      <w:r w:rsidR="00503F23">
        <w:t xml:space="preserve">charged on a cost recovery basis, </w:t>
      </w:r>
      <w:r w:rsidR="00467051">
        <w:t>and were</w:t>
      </w:r>
      <w:r w:rsidR="00503F23">
        <w:t xml:space="preserve"> around $800 to $900 per day</w:t>
      </w:r>
      <w:r w:rsidR="00467051">
        <w:t xml:space="preserve"> (depending on the nature of service provided) in January 2012 (OBPR 2011</w:t>
      </w:r>
      <w:r w:rsidR="009022C4">
        <w:t>c</w:t>
      </w:r>
      <w:r w:rsidR="00467051">
        <w:t xml:space="preserve">, sub. DR35). They have since risen to around $940 to $1400 per day (OBPR, pers. comm. November 2012). </w:t>
      </w:r>
    </w:p>
    <w:p w:rsidR="00093F39" w:rsidRDefault="00093F39" w:rsidP="007F26D3">
      <w:pPr>
        <w:pStyle w:val="Heading4"/>
      </w:pPr>
      <w:r>
        <w:t>Examining and advising on adequacy of RIS</w:t>
      </w:r>
      <w:r w:rsidR="007C1C00">
        <w:t>s</w:t>
      </w:r>
    </w:p>
    <w:p w:rsidR="00C27BFB" w:rsidRDefault="00A45842" w:rsidP="00A45842">
      <w:pPr>
        <w:pStyle w:val="BodyText"/>
      </w:pPr>
      <w:r>
        <w:t xml:space="preserve">In all Australian jurisdictions the oversight </w:t>
      </w:r>
      <w:r w:rsidR="00EE4DE2">
        <w:t>body examines RIS</w:t>
      </w:r>
      <w:r>
        <w:t xml:space="preserve">s to determine whether they satisfy the relevant adequacy criteria. This </w:t>
      </w:r>
      <w:r w:rsidR="002E3234">
        <w:t>can involve seeking information, explanation and justification from agencies</w:t>
      </w:r>
      <w:r w:rsidR="00424973">
        <w:t xml:space="preserve"> on the contents of RIS</w:t>
      </w:r>
      <w:r w:rsidR="002E3234">
        <w:t>s. Hence, it is sometimes referred to as the ‘challenge function’.</w:t>
      </w:r>
    </w:p>
    <w:p w:rsidR="00A45842" w:rsidRDefault="00C27BFB" w:rsidP="00A45842">
      <w:pPr>
        <w:pStyle w:val="BodyText"/>
      </w:pPr>
      <w:r>
        <w:t>When</w:t>
      </w:r>
      <w:r w:rsidR="000C606A">
        <w:t xml:space="preserve"> the agency determines the RIS</w:t>
      </w:r>
      <w:r w:rsidR="00A45842">
        <w:t xml:space="preserve"> is ready </w:t>
      </w:r>
      <w:r w:rsidR="000D1E8A">
        <w:t>to proceed to the decision</w:t>
      </w:r>
      <w:r w:rsidR="00E373F5">
        <w:t xml:space="preserve"> </w:t>
      </w:r>
      <w:r>
        <w:t>making stage</w:t>
      </w:r>
      <w:r w:rsidR="00A45842">
        <w:t xml:space="preserve"> (or to be published in the case of </w:t>
      </w:r>
      <w:r w:rsidR="00CE113C">
        <w:t xml:space="preserve">a </w:t>
      </w:r>
      <w:r w:rsidR="00A45842" w:rsidRPr="00CE113C">
        <w:rPr>
          <w:i/>
        </w:rPr>
        <w:t>consultation</w:t>
      </w:r>
      <w:r w:rsidR="00A45842">
        <w:t xml:space="preserve"> RIS)</w:t>
      </w:r>
      <w:r w:rsidR="00FD506A">
        <w:t>,</w:t>
      </w:r>
      <w:r w:rsidR="00A45842">
        <w:t xml:space="preserve"> the oversight body </w:t>
      </w:r>
      <w:r w:rsidR="000C606A">
        <w:t xml:space="preserve">will </w:t>
      </w:r>
      <w:r w:rsidR="006B2C37">
        <w:t xml:space="preserve">examine </w:t>
      </w:r>
      <w:r w:rsidR="000C606A">
        <w:t xml:space="preserve">the RIS. </w:t>
      </w:r>
      <w:r w:rsidR="00A22942">
        <w:t>In every jurisdiction, a</w:t>
      </w:r>
      <w:r w:rsidR="00A45842">
        <w:t xml:space="preserve"> RIS </w:t>
      </w:r>
      <w:r w:rsidR="006B2C37">
        <w:t>found to be</w:t>
      </w:r>
      <w:r w:rsidR="00A45842">
        <w:t xml:space="preserve"> adequate by the oversight body will proceed to the decis</w:t>
      </w:r>
      <w:r w:rsidR="00CE113C">
        <w:t>ion maker (or</w:t>
      </w:r>
      <w:r w:rsidR="00A11B09">
        <w:t>, in the case of a</w:t>
      </w:r>
      <w:r w:rsidR="00CE113C">
        <w:t xml:space="preserve"> </w:t>
      </w:r>
      <w:r w:rsidR="00A11B09" w:rsidRPr="00CE113C">
        <w:rPr>
          <w:i/>
        </w:rPr>
        <w:t>consultation</w:t>
      </w:r>
      <w:r w:rsidR="00A11B09">
        <w:t xml:space="preserve"> RIS, </w:t>
      </w:r>
      <w:r w:rsidR="00CE113C">
        <w:t>to p</w:t>
      </w:r>
      <w:r w:rsidR="00B07AB9">
        <w:t>ublication</w:t>
      </w:r>
      <w:r w:rsidR="00A45842">
        <w:t xml:space="preserve">). Where </w:t>
      </w:r>
      <w:r w:rsidR="00A22942">
        <w:t>a</w:t>
      </w:r>
      <w:r w:rsidR="00A45842">
        <w:t xml:space="preserve"> </w:t>
      </w:r>
      <w:r w:rsidR="006A4A49">
        <w:rPr>
          <w:i/>
        </w:rPr>
        <w:t>final</w:t>
      </w:r>
      <w:r w:rsidR="00A45842">
        <w:t xml:space="preserve"> RIS is</w:t>
      </w:r>
      <w:r>
        <w:t xml:space="preserve"> </w:t>
      </w:r>
      <w:r w:rsidR="006B2C37">
        <w:t>found to be</w:t>
      </w:r>
      <w:r w:rsidR="00B07AB9">
        <w:t xml:space="preserve"> inadequate, the proposal</w:t>
      </w:r>
      <w:r w:rsidR="00A45842">
        <w:t xml:space="preserve"> </w:t>
      </w:r>
      <w:r w:rsidR="00A22942">
        <w:t xml:space="preserve">may (depending on the jurisdiction and often also whether the proposal relates to primary or other </w:t>
      </w:r>
      <w:r w:rsidR="00A03F71">
        <w:t>regulation</w:t>
      </w:r>
      <w:r w:rsidR="00A22942">
        <w:t>)</w:t>
      </w:r>
      <w:r w:rsidR="00A45842">
        <w:t xml:space="preserve"> either:</w:t>
      </w:r>
    </w:p>
    <w:p w:rsidR="00A45842" w:rsidRDefault="00A45842" w:rsidP="00A45842">
      <w:pPr>
        <w:pStyle w:val="ListBullet"/>
      </w:pPr>
      <w:r>
        <w:t>proceed to the decision maker</w:t>
      </w:r>
      <w:r w:rsidR="000C606A">
        <w:t>, in some cases</w:t>
      </w:r>
      <w:r>
        <w:t xml:space="preserve"> with comments attached from the oversight </w:t>
      </w:r>
      <w:r w:rsidR="00B07AB9">
        <w:t>body outlining its concerns with the RIS, or</w:t>
      </w:r>
    </w:p>
    <w:p w:rsidR="00A45842" w:rsidRDefault="00A45842" w:rsidP="00A45842">
      <w:pPr>
        <w:pStyle w:val="ListBullet"/>
      </w:pPr>
      <w:r>
        <w:t xml:space="preserve">be returned to the agency for further development. </w:t>
      </w:r>
    </w:p>
    <w:p w:rsidR="00A45842" w:rsidRDefault="00A22942" w:rsidP="00A45842">
      <w:pPr>
        <w:pStyle w:val="BodyText"/>
      </w:pPr>
      <w:r>
        <w:t>In practice, what occurs can vary from proposal to proposal within a jurisdiction. Progression of a proposal can also</w:t>
      </w:r>
      <w:r w:rsidR="00125311">
        <w:t xml:space="preserve"> </w:t>
      </w:r>
      <w:r>
        <w:t>depend</w:t>
      </w:r>
      <w:r w:rsidR="00A45842">
        <w:t xml:space="preserve"> on whether </w:t>
      </w:r>
      <w:r w:rsidR="00094846">
        <w:t>a</w:t>
      </w:r>
      <w:r>
        <w:t xml:space="preserve"> jurisdiction</w:t>
      </w:r>
      <w:r w:rsidR="00094846">
        <w:t>’s</w:t>
      </w:r>
      <w:r>
        <w:t xml:space="preserve"> </w:t>
      </w:r>
      <w:r w:rsidR="00A45842">
        <w:t xml:space="preserve">Cabinet office has a </w:t>
      </w:r>
      <w:r w:rsidR="00B07AB9">
        <w:t>RIA ‘</w:t>
      </w:r>
      <w:r w:rsidR="00A45842">
        <w:t>gatekeep</w:t>
      </w:r>
      <w:r w:rsidR="00E4034D">
        <w:t>ing</w:t>
      </w:r>
      <w:r w:rsidR="00B07AB9">
        <w:t>’</w:t>
      </w:r>
      <w:r w:rsidR="001F229A">
        <w:t xml:space="preserve"> role (</w:t>
      </w:r>
      <w:r w:rsidR="00E4034D">
        <w:t>section 3</w:t>
      </w:r>
      <w:r w:rsidR="00A45842">
        <w:t>.3)</w:t>
      </w:r>
      <w:r w:rsidR="00AE0A26">
        <w:t>.</w:t>
      </w:r>
      <w:r w:rsidR="00CE113C">
        <w:t xml:space="preserve"> </w:t>
      </w:r>
    </w:p>
    <w:p w:rsidR="00A45842" w:rsidRDefault="002E3234" w:rsidP="00A45842">
      <w:pPr>
        <w:pStyle w:val="BodyText"/>
      </w:pPr>
      <w:r>
        <w:t>Of all the functions performed by oversight bodies</w:t>
      </w:r>
      <w:r w:rsidR="00C27BFB">
        <w:t>, t</w:t>
      </w:r>
      <w:r w:rsidR="00A45842">
        <w:t>h</w:t>
      </w:r>
      <w:r w:rsidR="00000F61">
        <w:t>e</w:t>
      </w:r>
      <w:r w:rsidR="00A45842">
        <w:t xml:space="preserve"> challenge function is perhaps the most important contributor to RIA quality control</w:t>
      </w:r>
      <w:r w:rsidR="00A63EB6">
        <w:t xml:space="preserve"> (</w:t>
      </w:r>
      <w:r w:rsidR="00055539">
        <w:t>c</w:t>
      </w:r>
      <w:r w:rsidR="00A63EB6">
        <w:t>hapter 8)</w:t>
      </w:r>
      <w:r w:rsidR="00A45842">
        <w:t xml:space="preserve">. The OECD considers it to be a vital mechanism for ensuring regulatory quality: </w:t>
      </w:r>
    </w:p>
    <w:p w:rsidR="00A45842" w:rsidRDefault="00A45842" w:rsidP="00A45842">
      <w:pPr>
        <w:pStyle w:val="Quote"/>
      </w:pPr>
      <w:r>
        <w:t>A central pillar of regulatory policy is the concept of an independent body that can assess the substantive quality of new regulation and work to ensure that ministries achieve the goals embodied in the assessment criteria … To be effective, the oversight body must be able to question the quality of RIA and regulatory proposals. (OECD 2008, p. 37)</w:t>
      </w:r>
    </w:p>
    <w:p w:rsidR="006E5D21" w:rsidRDefault="006E5D21" w:rsidP="006E5D21">
      <w:pPr>
        <w:pStyle w:val="Heading4"/>
      </w:pPr>
      <w:r>
        <w:lastRenderedPageBreak/>
        <w:t>Annual reporting on agency compliance with the RIA process</w:t>
      </w:r>
    </w:p>
    <w:p w:rsidR="006E5D21" w:rsidRPr="002F710A" w:rsidRDefault="006E5D21" w:rsidP="006E5D21">
      <w:pPr>
        <w:pStyle w:val="BodyText"/>
      </w:pPr>
      <w:r w:rsidRPr="002F710A">
        <w:t>The majority of oversight bodies do not publicly report on compliance with RIA requirements</w:t>
      </w:r>
      <w:r w:rsidR="00BE129F" w:rsidRPr="002F710A">
        <w:t xml:space="preserve"> —</w:t>
      </w:r>
      <w:r w:rsidRPr="002F710A">
        <w:t xml:space="preserve"> </w:t>
      </w:r>
      <w:r w:rsidR="00BE129F" w:rsidRPr="002F710A">
        <w:t>o</w:t>
      </w:r>
      <w:r w:rsidRPr="002F710A">
        <w:t xml:space="preserve">nly </w:t>
      </w:r>
      <w:r w:rsidR="000C1DAC">
        <w:t xml:space="preserve">the </w:t>
      </w:r>
      <w:r w:rsidRPr="002F710A">
        <w:t xml:space="preserve">OBPR and </w:t>
      </w:r>
      <w:r w:rsidR="000C1DAC">
        <w:t xml:space="preserve">the </w:t>
      </w:r>
      <w:r w:rsidRPr="002F710A">
        <w:t xml:space="preserve">VCEC publish </w:t>
      </w:r>
      <w:r w:rsidR="00083BEC">
        <w:t xml:space="preserve">RIS adequacy or </w:t>
      </w:r>
      <w:r w:rsidRPr="002F710A">
        <w:t xml:space="preserve">compliance </w:t>
      </w:r>
      <w:r w:rsidR="000D1E8A">
        <w:t>information</w:t>
      </w:r>
      <w:r w:rsidRPr="002F710A">
        <w:t xml:space="preserve"> annually. </w:t>
      </w:r>
      <w:r w:rsidR="00A41D0B">
        <w:t>The importance of public compliance reporting for transparency of RIA processes is discussed in detail in chapter 7.</w:t>
      </w:r>
    </w:p>
    <w:p w:rsidR="006E5D21" w:rsidRDefault="006E5D21" w:rsidP="00FB7FDD">
      <w:pPr>
        <w:pStyle w:val="Heading5"/>
        <w:tabs>
          <w:tab w:val="left" w:pos="7807"/>
        </w:tabs>
        <w:spacing w:before="360"/>
      </w:pPr>
      <w:r>
        <w:t>Compliance reporting in Commonwealth and COAG</w:t>
      </w:r>
    </w:p>
    <w:p w:rsidR="006E5D21" w:rsidRDefault="006E5D21" w:rsidP="006E5D21">
      <w:pPr>
        <w:pStyle w:val="BodyText"/>
      </w:pPr>
      <w:r>
        <w:t xml:space="preserve">The OBPR publishes compliance information for Commonwealth and COAG in its annual </w:t>
      </w:r>
      <w:r w:rsidRPr="00121EE9">
        <w:rPr>
          <w:i/>
        </w:rPr>
        <w:t>Best Practice Regulation Report</w:t>
      </w:r>
      <w:r>
        <w:rPr>
          <w:i/>
        </w:rPr>
        <w:t xml:space="preserve"> </w:t>
      </w:r>
      <w:r w:rsidR="00A41D0B" w:rsidRPr="00A41D0B">
        <w:t xml:space="preserve">including </w:t>
      </w:r>
      <w:r w:rsidR="00A41D0B">
        <w:t xml:space="preserve">aggregated </w:t>
      </w:r>
      <w:r w:rsidR="00EE7F37">
        <w:t xml:space="preserve">RIS </w:t>
      </w:r>
      <w:r w:rsidR="00A41D0B">
        <w:t>compliance rates and</w:t>
      </w:r>
      <w:r w:rsidR="00EE7F37">
        <w:t xml:space="preserve"> RIS</w:t>
      </w:r>
      <w:r w:rsidR="00A41D0B" w:rsidRPr="00A41D0B">
        <w:t xml:space="preserve"> compliance </w:t>
      </w:r>
      <w:r w:rsidR="00A41D0B">
        <w:t>by individual agency</w:t>
      </w:r>
      <w:r w:rsidR="00A41D0B" w:rsidRPr="00A41D0B">
        <w:t xml:space="preserve"> and proposal</w:t>
      </w:r>
      <w:r w:rsidR="00A41D0B">
        <w:rPr>
          <w:i/>
        </w:rPr>
        <w:t xml:space="preserve"> </w:t>
      </w:r>
      <w:r w:rsidRPr="003914F8">
        <w:t>(</w:t>
      </w:r>
      <w:r w:rsidR="007410D7">
        <w:t xml:space="preserve">see for example, </w:t>
      </w:r>
      <w:r w:rsidRPr="003914F8">
        <w:t>OBPR 2011</w:t>
      </w:r>
      <w:r w:rsidR="00C03263">
        <w:t>a</w:t>
      </w:r>
      <w:r w:rsidRPr="003914F8">
        <w:t>).</w:t>
      </w:r>
      <w:r w:rsidR="00EE7F37">
        <w:t xml:space="preserve"> The</w:t>
      </w:r>
      <w:r w:rsidR="005C306C">
        <w:t xml:space="preserve"> annual</w:t>
      </w:r>
      <w:r w:rsidR="00EE7F37">
        <w:t xml:space="preserve"> </w:t>
      </w:r>
      <w:r w:rsidR="0035007F">
        <w:t>report also includes information</w:t>
      </w:r>
      <w:r w:rsidR="00EE7F37">
        <w:t xml:space="preserve"> on compliance with requirements to </w:t>
      </w:r>
      <w:r w:rsidR="004A23C5">
        <w:t xml:space="preserve">write and </w:t>
      </w:r>
      <w:r w:rsidR="00EE7F37">
        <w:t>pub</w:t>
      </w:r>
      <w:r w:rsidR="00800B56">
        <w:t>lish a</w:t>
      </w:r>
      <w:r w:rsidR="00EE7F37">
        <w:t xml:space="preserve">nnual </w:t>
      </w:r>
      <w:r w:rsidR="00800B56">
        <w:t>regulatory p</w:t>
      </w:r>
      <w:r w:rsidR="004A23C5">
        <w:t xml:space="preserve">lans and </w:t>
      </w:r>
      <w:r w:rsidR="00800B56">
        <w:t>post</w:t>
      </w:r>
      <w:r w:rsidR="00606A1D">
        <w:t xml:space="preserve"> implementation review</w:t>
      </w:r>
      <w:r w:rsidR="004A23C5">
        <w:t>s</w:t>
      </w:r>
      <w:r w:rsidR="00606A1D">
        <w:t xml:space="preserve"> (discussed in chapters 7 and 9 respectively)</w:t>
      </w:r>
      <w:r w:rsidR="004A23C5">
        <w:t>.</w:t>
      </w:r>
      <w:r>
        <w:t xml:space="preserve"> In addition, the OBPR pub</w:t>
      </w:r>
      <w:r w:rsidR="000C606A">
        <w:t xml:space="preserve">lishes compliance </w:t>
      </w:r>
      <w:r w:rsidR="00A22942">
        <w:t xml:space="preserve">information </w:t>
      </w:r>
      <w:r w:rsidR="000C606A">
        <w:t>online on a central RIS r</w:t>
      </w:r>
      <w:r>
        <w:t>egister when each regulatory decision is announced.</w:t>
      </w:r>
      <w:r w:rsidR="00055539">
        <w:t xml:space="preserve"> </w:t>
      </w:r>
      <w:r>
        <w:t xml:space="preserve">A summary of recent RIS compliance rates </w:t>
      </w:r>
      <w:r w:rsidR="00B800EA">
        <w:t>is reproduced in table</w:t>
      </w:r>
      <w:r>
        <w:t xml:space="preserve"> </w:t>
      </w:r>
      <w:r w:rsidR="00E4034D">
        <w:t>3</w:t>
      </w:r>
      <w:r w:rsidR="00B07AB9">
        <w:t>.5</w:t>
      </w:r>
      <w:r>
        <w:t xml:space="preserve">. </w:t>
      </w:r>
      <w:r w:rsidRPr="0074416C">
        <w:t>In the Commonwealth process</w:t>
      </w:r>
      <w:r w:rsidR="00303E2D">
        <w:t>,</w:t>
      </w:r>
      <w:r w:rsidRPr="0074416C">
        <w:t xml:space="preserve"> compliance is </w:t>
      </w:r>
      <w:r>
        <w:t>reported for two stages:</w:t>
      </w:r>
      <w:r w:rsidRPr="0074416C">
        <w:t xml:space="preserve"> </w:t>
      </w:r>
    </w:p>
    <w:p w:rsidR="00300724" w:rsidRDefault="00300724" w:rsidP="00300724">
      <w:pPr>
        <w:pStyle w:val="ListBullet"/>
      </w:pPr>
      <w:r>
        <w:t>t</w:t>
      </w:r>
      <w:r w:rsidRPr="0074416C">
        <w:t xml:space="preserve">he </w:t>
      </w:r>
      <w:r>
        <w:t>‘decision</w:t>
      </w:r>
      <w:r w:rsidR="009F43E3">
        <w:t xml:space="preserve"> </w:t>
      </w:r>
      <w:r w:rsidRPr="0074416C">
        <w:t>making stage</w:t>
      </w:r>
      <w:r>
        <w:t>’</w:t>
      </w:r>
      <w:r w:rsidRPr="0074416C">
        <w:t xml:space="preserve"> </w:t>
      </w:r>
      <w:r>
        <w:t>requires a RIS assessed as adequate by the OBPR to be presented to the decision maker(s) at the time the decision is made</w:t>
      </w:r>
    </w:p>
    <w:p w:rsidR="00A22942" w:rsidRDefault="00A22942" w:rsidP="00300724">
      <w:pPr>
        <w:pStyle w:val="ListBullet"/>
      </w:pPr>
      <w:r w:rsidRPr="0074416C">
        <w:t xml:space="preserve">the </w:t>
      </w:r>
      <w:r>
        <w:t>‘</w:t>
      </w:r>
      <w:r w:rsidRPr="0074416C">
        <w:t>transparency stage</w:t>
      </w:r>
      <w:r>
        <w:t>’</w:t>
      </w:r>
      <w:r w:rsidRPr="0074416C">
        <w:t xml:space="preserve"> requires </w:t>
      </w:r>
      <w:r w:rsidR="0076315E">
        <w:t xml:space="preserve">this </w:t>
      </w:r>
      <w:r>
        <w:t>RIS be published as soon as practicable after the regulatory announcement</w:t>
      </w:r>
      <w:r w:rsidR="00300A7F">
        <w:t>.</w:t>
      </w:r>
      <w:r w:rsidRPr="0074416C">
        <w:t xml:space="preserve"> </w:t>
      </w:r>
    </w:p>
    <w:p w:rsidR="00BA27AA" w:rsidRDefault="00BA27AA" w:rsidP="000D1E8A">
      <w:pPr>
        <w:pStyle w:val="TableTitle"/>
      </w:pPr>
      <w:r>
        <w:rPr>
          <w:b w:val="0"/>
        </w:rPr>
        <w:t xml:space="preserve">Table </w:t>
      </w:r>
      <w:r w:rsidR="00287B41">
        <w:rPr>
          <w:b w:val="0"/>
        </w:rPr>
        <w:t>3.</w:t>
      </w:r>
      <w:r w:rsidR="00702C9A">
        <w:rPr>
          <w:b w:val="0"/>
          <w:noProof/>
        </w:rPr>
        <w:t>5</w:t>
      </w:r>
      <w:r>
        <w:tab/>
        <w:t>Australian Government and COAG RIS compliance</w:t>
      </w:r>
      <w:r w:rsidR="000C1DAC" w:rsidRPr="000C1DAC">
        <w:rPr>
          <w:rStyle w:val="NoteLabel"/>
          <w:b/>
          <w:position w:val="10"/>
        </w:rPr>
        <w:t>a</w:t>
      </w:r>
    </w:p>
    <w:tbl>
      <w:tblPr>
        <w:tblW w:w="5000" w:type="pct"/>
        <w:tblCellMar>
          <w:left w:w="0" w:type="dxa"/>
          <w:right w:w="0" w:type="dxa"/>
        </w:tblCellMar>
        <w:tblLook w:val="0000" w:firstRow="0" w:lastRow="0" w:firstColumn="0" w:lastColumn="0" w:noHBand="0" w:noVBand="0"/>
      </w:tblPr>
      <w:tblGrid>
        <w:gridCol w:w="2648"/>
        <w:gridCol w:w="629"/>
        <w:gridCol w:w="645"/>
        <w:gridCol w:w="624"/>
        <w:gridCol w:w="610"/>
        <w:gridCol w:w="610"/>
        <w:gridCol w:w="610"/>
        <w:gridCol w:w="610"/>
        <w:gridCol w:w="610"/>
        <w:gridCol w:w="657"/>
        <w:gridCol w:w="536"/>
      </w:tblGrid>
      <w:tr w:rsidR="00D357A3" w:rsidTr="00E443B7">
        <w:trPr>
          <w:trHeight w:val="195"/>
        </w:trPr>
        <w:tc>
          <w:tcPr>
            <w:tcW w:w="1506" w:type="pct"/>
            <w:vMerge w:val="restart"/>
            <w:tcBorders>
              <w:top w:val="single" w:sz="6" w:space="0" w:color="auto"/>
            </w:tcBorders>
            <w:shd w:val="clear" w:color="auto" w:fill="auto"/>
          </w:tcPr>
          <w:p w:rsidR="00D357A3" w:rsidRDefault="00D357A3" w:rsidP="00E443B7">
            <w:pPr>
              <w:pStyle w:val="TableColumnHeading"/>
              <w:jc w:val="left"/>
            </w:pPr>
          </w:p>
        </w:tc>
        <w:tc>
          <w:tcPr>
            <w:tcW w:w="725" w:type="pct"/>
            <w:gridSpan w:val="2"/>
            <w:tcBorders>
              <w:top w:val="single" w:sz="6" w:space="0" w:color="auto"/>
            </w:tcBorders>
          </w:tcPr>
          <w:p w:rsidR="00D357A3" w:rsidRDefault="00D357A3" w:rsidP="00E443B7">
            <w:pPr>
              <w:pStyle w:val="TableColumnHeading"/>
              <w:jc w:val="center"/>
            </w:pPr>
            <w:r>
              <w:t>2007-08</w:t>
            </w:r>
          </w:p>
        </w:tc>
        <w:tc>
          <w:tcPr>
            <w:tcW w:w="702" w:type="pct"/>
            <w:gridSpan w:val="2"/>
            <w:tcBorders>
              <w:top w:val="single" w:sz="6" w:space="0" w:color="auto"/>
            </w:tcBorders>
          </w:tcPr>
          <w:p w:rsidR="00D357A3" w:rsidRDefault="00D357A3" w:rsidP="00E443B7">
            <w:pPr>
              <w:pStyle w:val="TableColumnHeading"/>
              <w:jc w:val="center"/>
            </w:pPr>
            <w:r>
              <w:t>2008-09</w:t>
            </w:r>
          </w:p>
        </w:tc>
        <w:tc>
          <w:tcPr>
            <w:tcW w:w="694" w:type="pct"/>
            <w:gridSpan w:val="2"/>
            <w:tcBorders>
              <w:top w:val="single" w:sz="6" w:space="0" w:color="auto"/>
            </w:tcBorders>
          </w:tcPr>
          <w:p w:rsidR="00D357A3" w:rsidRDefault="00D357A3" w:rsidP="00E443B7">
            <w:pPr>
              <w:pStyle w:val="TableColumnHeading"/>
              <w:ind w:right="28"/>
              <w:jc w:val="center"/>
            </w:pPr>
            <w:r>
              <w:t>2009-10</w:t>
            </w:r>
          </w:p>
        </w:tc>
        <w:tc>
          <w:tcPr>
            <w:tcW w:w="694" w:type="pct"/>
            <w:gridSpan w:val="2"/>
            <w:tcBorders>
              <w:top w:val="single" w:sz="6" w:space="0" w:color="auto"/>
            </w:tcBorders>
          </w:tcPr>
          <w:p w:rsidR="00D357A3" w:rsidRDefault="00D357A3" w:rsidP="00E443B7">
            <w:pPr>
              <w:pStyle w:val="TableColumnHeading"/>
              <w:ind w:right="28"/>
              <w:jc w:val="center"/>
            </w:pPr>
            <w:r>
              <w:t>2010-11</w:t>
            </w:r>
          </w:p>
        </w:tc>
        <w:tc>
          <w:tcPr>
            <w:tcW w:w="679" w:type="pct"/>
            <w:gridSpan w:val="2"/>
            <w:tcBorders>
              <w:top w:val="single" w:sz="6" w:space="0" w:color="auto"/>
            </w:tcBorders>
            <w:shd w:val="clear" w:color="auto" w:fill="auto"/>
          </w:tcPr>
          <w:p w:rsidR="00D357A3" w:rsidRDefault="00D357A3" w:rsidP="00E443B7">
            <w:pPr>
              <w:pStyle w:val="TableColumnHeading"/>
              <w:ind w:right="28"/>
              <w:jc w:val="center"/>
            </w:pPr>
            <w:r>
              <w:t>2011-12</w:t>
            </w:r>
          </w:p>
        </w:tc>
      </w:tr>
      <w:tr w:rsidR="00D357A3" w:rsidTr="00E443B7">
        <w:trPr>
          <w:trHeight w:val="195"/>
        </w:trPr>
        <w:tc>
          <w:tcPr>
            <w:tcW w:w="1506" w:type="pct"/>
            <w:vMerge/>
            <w:tcBorders>
              <w:bottom w:val="single" w:sz="6" w:space="0" w:color="auto"/>
            </w:tcBorders>
            <w:shd w:val="clear" w:color="auto" w:fill="auto"/>
          </w:tcPr>
          <w:p w:rsidR="00D357A3" w:rsidRDefault="00D357A3" w:rsidP="00E443B7">
            <w:pPr>
              <w:pStyle w:val="TableColumnHeading"/>
              <w:jc w:val="left"/>
            </w:pPr>
          </w:p>
        </w:tc>
        <w:tc>
          <w:tcPr>
            <w:tcW w:w="358" w:type="pct"/>
            <w:tcBorders>
              <w:bottom w:val="single" w:sz="6" w:space="0" w:color="auto"/>
            </w:tcBorders>
          </w:tcPr>
          <w:p w:rsidR="00D357A3" w:rsidRDefault="00D357A3" w:rsidP="00E443B7">
            <w:pPr>
              <w:pStyle w:val="TableUnitsRow"/>
              <w:jc w:val="center"/>
            </w:pPr>
            <w:r>
              <w:t>ratio</w:t>
            </w:r>
          </w:p>
        </w:tc>
        <w:tc>
          <w:tcPr>
            <w:tcW w:w="367" w:type="pct"/>
            <w:tcBorders>
              <w:bottom w:val="single" w:sz="6" w:space="0" w:color="auto"/>
            </w:tcBorders>
          </w:tcPr>
          <w:p w:rsidR="00D357A3" w:rsidRDefault="00D357A3" w:rsidP="00E443B7">
            <w:pPr>
              <w:pStyle w:val="TableUnitsRow"/>
              <w:jc w:val="center"/>
            </w:pPr>
            <w:r>
              <w:t>%</w:t>
            </w:r>
          </w:p>
        </w:tc>
        <w:tc>
          <w:tcPr>
            <w:tcW w:w="355" w:type="pct"/>
            <w:tcBorders>
              <w:bottom w:val="single" w:sz="6" w:space="0" w:color="auto"/>
            </w:tcBorders>
          </w:tcPr>
          <w:p w:rsidR="00D357A3" w:rsidRDefault="00D357A3" w:rsidP="00E443B7">
            <w:pPr>
              <w:pStyle w:val="TableUnitsRow"/>
              <w:jc w:val="center"/>
            </w:pPr>
            <w:r>
              <w:t>ratio</w:t>
            </w:r>
          </w:p>
        </w:tc>
        <w:tc>
          <w:tcPr>
            <w:tcW w:w="347" w:type="pct"/>
            <w:tcBorders>
              <w:bottom w:val="single" w:sz="6" w:space="0" w:color="auto"/>
            </w:tcBorders>
          </w:tcPr>
          <w:p w:rsidR="00D357A3" w:rsidRDefault="00D357A3" w:rsidP="00E443B7">
            <w:pPr>
              <w:pStyle w:val="TableUnitsRow"/>
              <w:jc w:val="center"/>
            </w:pPr>
            <w:r>
              <w:t>%</w:t>
            </w:r>
          </w:p>
        </w:tc>
        <w:tc>
          <w:tcPr>
            <w:tcW w:w="347" w:type="pct"/>
            <w:tcBorders>
              <w:bottom w:val="single" w:sz="6" w:space="0" w:color="auto"/>
            </w:tcBorders>
          </w:tcPr>
          <w:p w:rsidR="00D357A3" w:rsidRDefault="00D357A3" w:rsidP="00E443B7">
            <w:pPr>
              <w:pStyle w:val="TableUnitsRow"/>
              <w:jc w:val="center"/>
            </w:pPr>
            <w:r>
              <w:t>ratio</w:t>
            </w:r>
          </w:p>
        </w:tc>
        <w:tc>
          <w:tcPr>
            <w:tcW w:w="347" w:type="pct"/>
            <w:tcBorders>
              <w:bottom w:val="single" w:sz="6" w:space="0" w:color="auto"/>
            </w:tcBorders>
          </w:tcPr>
          <w:p w:rsidR="00D357A3" w:rsidRDefault="00D357A3" w:rsidP="00E443B7">
            <w:pPr>
              <w:pStyle w:val="TableUnitsRow"/>
              <w:jc w:val="center"/>
            </w:pPr>
            <w:r>
              <w:t>%</w:t>
            </w:r>
          </w:p>
        </w:tc>
        <w:tc>
          <w:tcPr>
            <w:tcW w:w="347" w:type="pct"/>
            <w:tcBorders>
              <w:bottom w:val="single" w:sz="6" w:space="0" w:color="auto"/>
            </w:tcBorders>
          </w:tcPr>
          <w:p w:rsidR="00D357A3" w:rsidRDefault="00D357A3" w:rsidP="00E443B7">
            <w:pPr>
              <w:pStyle w:val="TableUnitsRow"/>
              <w:jc w:val="center"/>
            </w:pPr>
            <w:r>
              <w:t>ratio</w:t>
            </w:r>
          </w:p>
        </w:tc>
        <w:tc>
          <w:tcPr>
            <w:tcW w:w="347" w:type="pct"/>
            <w:tcBorders>
              <w:bottom w:val="single" w:sz="6" w:space="0" w:color="auto"/>
            </w:tcBorders>
          </w:tcPr>
          <w:p w:rsidR="00D357A3" w:rsidRDefault="00D357A3" w:rsidP="00E443B7">
            <w:pPr>
              <w:pStyle w:val="TableUnitsRow"/>
              <w:jc w:val="center"/>
            </w:pPr>
            <w:r>
              <w:t>%</w:t>
            </w:r>
          </w:p>
        </w:tc>
        <w:tc>
          <w:tcPr>
            <w:tcW w:w="374" w:type="pct"/>
            <w:tcBorders>
              <w:bottom w:val="single" w:sz="6" w:space="0" w:color="auto"/>
            </w:tcBorders>
            <w:shd w:val="clear" w:color="auto" w:fill="auto"/>
          </w:tcPr>
          <w:p w:rsidR="00D357A3" w:rsidRDefault="00D357A3" w:rsidP="00E443B7">
            <w:pPr>
              <w:pStyle w:val="TableUnitsRow"/>
              <w:jc w:val="center"/>
            </w:pPr>
            <w:r>
              <w:t>ratio</w:t>
            </w:r>
          </w:p>
        </w:tc>
        <w:tc>
          <w:tcPr>
            <w:tcW w:w="305" w:type="pct"/>
            <w:tcBorders>
              <w:bottom w:val="single" w:sz="6" w:space="0" w:color="auto"/>
            </w:tcBorders>
            <w:shd w:val="clear" w:color="auto" w:fill="auto"/>
          </w:tcPr>
          <w:p w:rsidR="00D357A3" w:rsidRDefault="00D357A3" w:rsidP="00E443B7">
            <w:pPr>
              <w:pStyle w:val="TableUnitsRow"/>
              <w:jc w:val="center"/>
            </w:pPr>
            <w:r>
              <w:t>%</w:t>
            </w:r>
          </w:p>
        </w:tc>
      </w:tr>
      <w:tr w:rsidR="00D357A3" w:rsidTr="00E443B7">
        <w:trPr>
          <w:trHeight w:val="390"/>
        </w:trPr>
        <w:tc>
          <w:tcPr>
            <w:tcW w:w="1506" w:type="pct"/>
            <w:tcBorders>
              <w:top w:val="single" w:sz="6" w:space="0" w:color="auto"/>
            </w:tcBorders>
            <w:shd w:val="clear" w:color="auto" w:fill="auto"/>
            <w:vAlign w:val="center"/>
          </w:tcPr>
          <w:p w:rsidR="00D357A3" w:rsidRPr="008B1075" w:rsidRDefault="00D357A3" w:rsidP="00E443B7">
            <w:pPr>
              <w:pStyle w:val="TableUnitsRow"/>
              <w:jc w:val="left"/>
              <w:rPr>
                <w:b/>
              </w:rPr>
            </w:pPr>
            <w:r w:rsidRPr="008B1075">
              <w:rPr>
                <w:b/>
              </w:rPr>
              <w:t>Commonwealth</w:t>
            </w:r>
          </w:p>
        </w:tc>
        <w:tc>
          <w:tcPr>
            <w:tcW w:w="358" w:type="pct"/>
            <w:tcBorders>
              <w:top w:val="single" w:sz="6" w:space="0" w:color="auto"/>
            </w:tcBorders>
            <w:shd w:val="clear" w:color="auto" w:fill="auto"/>
            <w:vAlign w:val="center"/>
          </w:tcPr>
          <w:p w:rsidR="00D357A3" w:rsidRDefault="00D357A3" w:rsidP="00E443B7">
            <w:pPr>
              <w:pStyle w:val="TableUnitsRow"/>
              <w:jc w:val="center"/>
            </w:pPr>
          </w:p>
        </w:tc>
        <w:tc>
          <w:tcPr>
            <w:tcW w:w="367" w:type="pct"/>
            <w:tcBorders>
              <w:top w:val="single" w:sz="6" w:space="0" w:color="auto"/>
            </w:tcBorders>
            <w:shd w:val="clear" w:color="auto" w:fill="auto"/>
            <w:vAlign w:val="center"/>
          </w:tcPr>
          <w:p w:rsidR="00D357A3" w:rsidRDefault="00D357A3" w:rsidP="00E443B7">
            <w:pPr>
              <w:pStyle w:val="TableUnitsRow"/>
              <w:jc w:val="center"/>
            </w:pPr>
          </w:p>
        </w:tc>
        <w:tc>
          <w:tcPr>
            <w:tcW w:w="355" w:type="pct"/>
            <w:tcBorders>
              <w:top w:val="single" w:sz="6" w:space="0" w:color="auto"/>
            </w:tcBorders>
            <w:shd w:val="clear" w:color="auto" w:fill="auto"/>
            <w:vAlign w:val="center"/>
          </w:tcPr>
          <w:p w:rsidR="00D357A3" w:rsidRDefault="00D357A3" w:rsidP="00E443B7">
            <w:pPr>
              <w:pStyle w:val="TableUnitsRow"/>
              <w:jc w:val="center"/>
            </w:pPr>
          </w:p>
        </w:tc>
        <w:tc>
          <w:tcPr>
            <w:tcW w:w="347" w:type="pct"/>
            <w:tcBorders>
              <w:top w:val="single" w:sz="6" w:space="0" w:color="auto"/>
            </w:tcBorders>
            <w:shd w:val="clear" w:color="auto" w:fill="auto"/>
            <w:vAlign w:val="center"/>
          </w:tcPr>
          <w:p w:rsidR="00D357A3" w:rsidRDefault="00D357A3" w:rsidP="00E443B7">
            <w:pPr>
              <w:pStyle w:val="TableUnitsRow"/>
              <w:ind w:right="28"/>
              <w:jc w:val="center"/>
            </w:pPr>
          </w:p>
        </w:tc>
        <w:tc>
          <w:tcPr>
            <w:tcW w:w="347" w:type="pct"/>
            <w:tcBorders>
              <w:top w:val="single" w:sz="6" w:space="0" w:color="auto"/>
            </w:tcBorders>
            <w:shd w:val="clear" w:color="auto" w:fill="auto"/>
            <w:vAlign w:val="center"/>
          </w:tcPr>
          <w:p w:rsidR="00D357A3" w:rsidRDefault="00D357A3" w:rsidP="00E443B7">
            <w:pPr>
              <w:pStyle w:val="TableUnitsRow"/>
              <w:ind w:right="28"/>
              <w:jc w:val="center"/>
            </w:pPr>
          </w:p>
        </w:tc>
        <w:tc>
          <w:tcPr>
            <w:tcW w:w="347" w:type="pct"/>
            <w:tcBorders>
              <w:top w:val="single" w:sz="6" w:space="0" w:color="auto"/>
            </w:tcBorders>
            <w:shd w:val="clear" w:color="auto" w:fill="auto"/>
            <w:vAlign w:val="center"/>
          </w:tcPr>
          <w:p w:rsidR="00D357A3" w:rsidRDefault="00D357A3" w:rsidP="00E443B7">
            <w:pPr>
              <w:pStyle w:val="TableUnitsRow"/>
              <w:ind w:right="28"/>
              <w:jc w:val="center"/>
            </w:pPr>
          </w:p>
        </w:tc>
        <w:tc>
          <w:tcPr>
            <w:tcW w:w="347" w:type="pct"/>
            <w:tcBorders>
              <w:top w:val="single" w:sz="6" w:space="0" w:color="auto"/>
            </w:tcBorders>
            <w:vAlign w:val="center"/>
          </w:tcPr>
          <w:p w:rsidR="00D357A3" w:rsidRDefault="00D357A3" w:rsidP="00E443B7">
            <w:pPr>
              <w:pStyle w:val="TableUnitsRow"/>
              <w:ind w:right="28"/>
              <w:jc w:val="center"/>
            </w:pPr>
          </w:p>
        </w:tc>
        <w:tc>
          <w:tcPr>
            <w:tcW w:w="347" w:type="pct"/>
            <w:tcBorders>
              <w:top w:val="single" w:sz="6" w:space="0" w:color="auto"/>
            </w:tcBorders>
            <w:vAlign w:val="center"/>
          </w:tcPr>
          <w:p w:rsidR="00D357A3" w:rsidRDefault="00D357A3" w:rsidP="00E443B7">
            <w:pPr>
              <w:pStyle w:val="TableUnitsRow"/>
              <w:ind w:right="28"/>
              <w:jc w:val="center"/>
            </w:pPr>
          </w:p>
        </w:tc>
        <w:tc>
          <w:tcPr>
            <w:tcW w:w="374" w:type="pct"/>
            <w:tcBorders>
              <w:top w:val="single" w:sz="6" w:space="0" w:color="auto"/>
            </w:tcBorders>
            <w:shd w:val="clear" w:color="auto" w:fill="auto"/>
            <w:vAlign w:val="center"/>
          </w:tcPr>
          <w:p w:rsidR="00D357A3" w:rsidRDefault="00D357A3" w:rsidP="00E443B7">
            <w:pPr>
              <w:pStyle w:val="TableUnitsRow"/>
              <w:jc w:val="center"/>
            </w:pPr>
          </w:p>
        </w:tc>
        <w:tc>
          <w:tcPr>
            <w:tcW w:w="305" w:type="pct"/>
            <w:tcBorders>
              <w:top w:val="single" w:sz="6" w:space="0" w:color="auto"/>
            </w:tcBorders>
            <w:shd w:val="clear" w:color="auto" w:fill="auto"/>
            <w:vAlign w:val="center"/>
          </w:tcPr>
          <w:p w:rsidR="00D357A3" w:rsidRDefault="00D357A3" w:rsidP="00E443B7">
            <w:pPr>
              <w:pStyle w:val="TableUnitsRow"/>
              <w:jc w:val="center"/>
            </w:pPr>
          </w:p>
        </w:tc>
      </w:tr>
      <w:tr w:rsidR="00D357A3" w:rsidTr="00E443B7">
        <w:trPr>
          <w:trHeight w:val="390"/>
        </w:trPr>
        <w:tc>
          <w:tcPr>
            <w:tcW w:w="1506" w:type="pct"/>
            <w:shd w:val="clear" w:color="auto" w:fill="auto"/>
            <w:vAlign w:val="center"/>
          </w:tcPr>
          <w:p w:rsidR="00D357A3" w:rsidRDefault="00D357A3" w:rsidP="00E443B7">
            <w:pPr>
              <w:pStyle w:val="TableUnitsRow"/>
              <w:jc w:val="left"/>
            </w:pPr>
            <w:r>
              <w:t>Decision</w:t>
            </w:r>
            <w:r w:rsidR="009F43E3">
              <w:t xml:space="preserve"> </w:t>
            </w:r>
            <w:r>
              <w:t>making stage</w:t>
            </w:r>
          </w:p>
        </w:tc>
        <w:tc>
          <w:tcPr>
            <w:tcW w:w="358" w:type="pct"/>
            <w:shd w:val="clear" w:color="auto" w:fill="auto"/>
            <w:vAlign w:val="center"/>
          </w:tcPr>
          <w:p w:rsidR="00D357A3" w:rsidRDefault="00D357A3" w:rsidP="00E443B7">
            <w:pPr>
              <w:pStyle w:val="TableUnitsRow"/>
              <w:jc w:val="center"/>
            </w:pPr>
            <w:r>
              <w:t>43/48</w:t>
            </w:r>
          </w:p>
        </w:tc>
        <w:tc>
          <w:tcPr>
            <w:tcW w:w="367" w:type="pct"/>
            <w:shd w:val="clear" w:color="auto" w:fill="auto"/>
            <w:vAlign w:val="center"/>
          </w:tcPr>
          <w:p w:rsidR="00D357A3" w:rsidRDefault="00D357A3" w:rsidP="00E443B7">
            <w:pPr>
              <w:pStyle w:val="TableUnitsRow"/>
              <w:jc w:val="center"/>
            </w:pPr>
            <w:r>
              <w:t>90</w:t>
            </w:r>
          </w:p>
        </w:tc>
        <w:tc>
          <w:tcPr>
            <w:tcW w:w="355" w:type="pct"/>
            <w:shd w:val="clear" w:color="auto" w:fill="auto"/>
            <w:vAlign w:val="center"/>
          </w:tcPr>
          <w:p w:rsidR="00D357A3" w:rsidRDefault="00D357A3" w:rsidP="00E443B7">
            <w:pPr>
              <w:pStyle w:val="TableUnitsRow"/>
              <w:jc w:val="center"/>
            </w:pPr>
            <w:r>
              <w:t>45/53</w:t>
            </w:r>
          </w:p>
        </w:tc>
        <w:tc>
          <w:tcPr>
            <w:tcW w:w="347" w:type="pct"/>
            <w:shd w:val="clear" w:color="auto" w:fill="auto"/>
            <w:vAlign w:val="center"/>
          </w:tcPr>
          <w:p w:rsidR="00D357A3" w:rsidRDefault="00D357A3" w:rsidP="00E443B7">
            <w:pPr>
              <w:pStyle w:val="TableUnitsRow"/>
              <w:ind w:right="28"/>
              <w:jc w:val="center"/>
            </w:pPr>
            <w:r>
              <w:t>85</w:t>
            </w:r>
          </w:p>
        </w:tc>
        <w:tc>
          <w:tcPr>
            <w:tcW w:w="347" w:type="pct"/>
            <w:shd w:val="clear" w:color="auto" w:fill="auto"/>
            <w:vAlign w:val="center"/>
          </w:tcPr>
          <w:p w:rsidR="00D357A3" w:rsidRDefault="00D357A3" w:rsidP="00E443B7">
            <w:pPr>
              <w:pStyle w:val="TableUnitsRow"/>
              <w:ind w:right="28"/>
              <w:jc w:val="center"/>
            </w:pPr>
            <w:r>
              <w:t>63/75</w:t>
            </w:r>
          </w:p>
        </w:tc>
        <w:tc>
          <w:tcPr>
            <w:tcW w:w="347" w:type="pct"/>
            <w:shd w:val="clear" w:color="auto" w:fill="auto"/>
            <w:vAlign w:val="center"/>
          </w:tcPr>
          <w:p w:rsidR="00D357A3" w:rsidRDefault="00D357A3" w:rsidP="00E443B7">
            <w:pPr>
              <w:pStyle w:val="TableUnitsRow"/>
              <w:ind w:right="28"/>
              <w:jc w:val="center"/>
            </w:pPr>
            <w:r>
              <w:t>84</w:t>
            </w:r>
          </w:p>
        </w:tc>
        <w:tc>
          <w:tcPr>
            <w:tcW w:w="347" w:type="pct"/>
            <w:vAlign w:val="center"/>
          </w:tcPr>
          <w:p w:rsidR="00D357A3" w:rsidRDefault="00D357A3" w:rsidP="00E443B7">
            <w:pPr>
              <w:pStyle w:val="TableUnitsRow"/>
              <w:ind w:right="28"/>
              <w:jc w:val="center"/>
            </w:pPr>
            <w:r>
              <w:t>47/63</w:t>
            </w:r>
          </w:p>
        </w:tc>
        <w:tc>
          <w:tcPr>
            <w:tcW w:w="347" w:type="pct"/>
            <w:vAlign w:val="center"/>
          </w:tcPr>
          <w:p w:rsidR="00D357A3" w:rsidRDefault="00D357A3" w:rsidP="00E443B7">
            <w:pPr>
              <w:pStyle w:val="TableUnitsRow"/>
              <w:ind w:right="28"/>
              <w:jc w:val="center"/>
            </w:pPr>
            <w:r>
              <w:t>75</w:t>
            </w:r>
          </w:p>
        </w:tc>
        <w:tc>
          <w:tcPr>
            <w:tcW w:w="374" w:type="pct"/>
            <w:shd w:val="clear" w:color="auto" w:fill="auto"/>
            <w:vAlign w:val="center"/>
          </w:tcPr>
          <w:p w:rsidR="00D357A3" w:rsidRDefault="00870FC3" w:rsidP="00E443B7">
            <w:pPr>
              <w:pStyle w:val="TableUnitsRow"/>
              <w:jc w:val="center"/>
            </w:pPr>
            <w:r>
              <w:t>69/78</w:t>
            </w:r>
          </w:p>
        </w:tc>
        <w:tc>
          <w:tcPr>
            <w:tcW w:w="305" w:type="pct"/>
            <w:shd w:val="clear" w:color="auto" w:fill="auto"/>
            <w:vAlign w:val="center"/>
          </w:tcPr>
          <w:p w:rsidR="00D357A3" w:rsidRDefault="00870FC3" w:rsidP="00E443B7">
            <w:pPr>
              <w:pStyle w:val="TableUnitsRow"/>
              <w:jc w:val="center"/>
            </w:pPr>
            <w:r>
              <w:t>88</w:t>
            </w:r>
          </w:p>
        </w:tc>
      </w:tr>
      <w:tr w:rsidR="00D357A3" w:rsidTr="00E443B7">
        <w:trPr>
          <w:trHeight w:val="390"/>
        </w:trPr>
        <w:tc>
          <w:tcPr>
            <w:tcW w:w="1506" w:type="pct"/>
            <w:shd w:val="clear" w:color="auto" w:fill="auto"/>
            <w:vAlign w:val="center"/>
          </w:tcPr>
          <w:p w:rsidR="00D357A3" w:rsidRDefault="00D357A3" w:rsidP="00E443B7">
            <w:pPr>
              <w:pStyle w:val="TableBodyText"/>
              <w:ind w:left="1440" w:hanging="1434"/>
              <w:jc w:val="left"/>
            </w:pPr>
            <w:r>
              <w:t>Transparency stage</w:t>
            </w:r>
            <w:r>
              <w:rPr>
                <w:rStyle w:val="NoteLabel"/>
              </w:rPr>
              <w:t>b</w:t>
            </w:r>
          </w:p>
        </w:tc>
        <w:tc>
          <w:tcPr>
            <w:tcW w:w="358" w:type="pct"/>
            <w:shd w:val="clear" w:color="auto" w:fill="auto"/>
            <w:vAlign w:val="center"/>
          </w:tcPr>
          <w:p w:rsidR="00D357A3" w:rsidRDefault="00D357A3" w:rsidP="00E443B7">
            <w:pPr>
              <w:pStyle w:val="TableBodyText"/>
              <w:jc w:val="center"/>
            </w:pPr>
            <w:r>
              <w:t>41/45</w:t>
            </w:r>
          </w:p>
        </w:tc>
        <w:tc>
          <w:tcPr>
            <w:tcW w:w="367" w:type="pct"/>
            <w:shd w:val="clear" w:color="auto" w:fill="auto"/>
            <w:vAlign w:val="center"/>
          </w:tcPr>
          <w:p w:rsidR="00D357A3" w:rsidRDefault="00D357A3" w:rsidP="00E443B7">
            <w:pPr>
              <w:pStyle w:val="TableBodyText"/>
              <w:jc w:val="center"/>
            </w:pPr>
            <w:r>
              <w:t>91</w:t>
            </w:r>
          </w:p>
        </w:tc>
        <w:tc>
          <w:tcPr>
            <w:tcW w:w="355" w:type="pct"/>
            <w:shd w:val="clear" w:color="auto" w:fill="auto"/>
            <w:vAlign w:val="center"/>
          </w:tcPr>
          <w:p w:rsidR="00D357A3" w:rsidRDefault="00D357A3" w:rsidP="00E443B7">
            <w:pPr>
              <w:pStyle w:val="TableBodyText"/>
              <w:jc w:val="center"/>
            </w:pPr>
            <w:r>
              <w:t>41/49</w:t>
            </w:r>
          </w:p>
        </w:tc>
        <w:tc>
          <w:tcPr>
            <w:tcW w:w="347" w:type="pct"/>
            <w:shd w:val="clear" w:color="auto" w:fill="auto"/>
            <w:vAlign w:val="center"/>
          </w:tcPr>
          <w:p w:rsidR="00D357A3" w:rsidRDefault="00D357A3" w:rsidP="00E443B7">
            <w:pPr>
              <w:pStyle w:val="TableBodyText"/>
              <w:ind w:right="28"/>
              <w:jc w:val="center"/>
            </w:pPr>
            <w:r>
              <w:t>84</w:t>
            </w:r>
          </w:p>
        </w:tc>
        <w:tc>
          <w:tcPr>
            <w:tcW w:w="347" w:type="pct"/>
            <w:shd w:val="clear" w:color="auto" w:fill="auto"/>
            <w:vAlign w:val="center"/>
          </w:tcPr>
          <w:p w:rsidR="00D357A3" w:rsidRDefault="00D357A3" w:rsidP="00E443B7">
            <w:pPr>
              <w:pStyle w:val="TableBodyText"/>
              <w:ind w:right="28"/>
              <w:jc w:val="center"/>
            </w:pPr>
            <w:r>
              <w:t>59/74</w:t>
            </w:r>
          </w:p>
        </w:tc>
        <w:tc>
          <w:tcPr>
            <w:tcW w:w="347" w:type="pct"/>
            <w:shd w:val="clear" w:color="auto" w:fill="auto"/>
            <w:vAlign w:val="center"/>
          </w:tcPr>
          <w:p w:rsidR="00D357A3" w:rsidRDefault="00D357A3" w:rsidP="00E443B7">
            <w:pPr>
              <w:pStyle w:val="TableBodyText"/>
              <w:ind w:right="28"/>
              <w:jc w:val="center"/>
            </w:pPr>
            <w:r>
              <w:t>80</w:t>
            </w:r>
          </w:p>
        </w:tc>
        <w:tc>
          <w:tcPr>
            <w:tcW w:w="347" w:type="pct"/>
            <w:vAlign w:val="center"/>
          </w:tcPr>
          <w:p w:rsidR="00D357A3" w:rsidRDefault="00D357A3" w:rsidP="00E443B7">
            <w:pPr>
              <w:pStyle w:val="TableBodyText"/>
              <w:ind w:right="28"/>
              <w:jc w:val="center"/>
            </w:pPr>
            <w:r>
              <w:t>45/63</w:t>
            </w:r>
          </w:p>
        </w:tc>
        <w:tc>
          <w:tcPr>
            <w:tcW w:w="347" w:type="pct"/>
            <w:vAlign w:val="center"/>
          </w:tcPr>
          <w:p w:rsidR="00D357A3" w:rsidRDefault="00D357A3" w:rsidP="00E443B7">
            <w:pPr>
              <w:pStyle w:val="TableBodyText"/>
              <w:ind w:right="28"/>
              <w:jc w:val="center"/>
            </w:pPr>
            <w:r>
              <w:t>71</w:t>
            </w:r>
          </w:p>
        </w:tc>
        <w:tc>
          <w:tcPr>
            <w:tcW w:w="374" w:type="pct"/>
            <w:shd w:val="clear" w:color="auto" w:fill="auto"/>
            <w:vAlign w:val="center"/>
          </w:tcPr>
          <w:p w:rsidR="00D357A3" w:rsidRDefault="00870FC3" w:rsidP="00E443B7">
            <w:pPr>
              <w:pStyle w:val="TableBodyText"/>
              <w:jc w:val="center"/>
            </w:pPr>
            <w:r>
              <w:t>70/78</w:t>
            </w:r>
          </w:p>
        </w:tc>
        <w:tc>
          <w:tcPr>
            <w:tcW w:w="305" w:type="pct"/>
            <w:shd w:val="clear" w:color="auto" w:fill="auto"/>
            <w:vAlign w:val="center"/>
          </w:tcPr>
          <w:p w:rsidR="00D357A3" w:rsidRDefault="00870FC3" w:rsidP="00E443B7">
            <w:pPr>
              <w:pStyle w:val="TableBodyText"/>
              <w:jc w:val="center"/>
            </w:pPr>
            <w:r>
              <w:t>90</w:t>
            </w:r>
          </w:p>
        </w:tc>
      </w:tr>
      <w:tr w:rsidR="00D357A3" w:rsidTr="00E443B7">
        <w:trPr>
          <w:trHeight w:val="390"/>
        </w:trPr>
        <w:tc>
          <w:tcPr>
            <w:tcW w:w="1506" w:type="pct"/>
            <w:tcBorders>
              <w:top w:val="single" w:sz="6" w:space="0" w:color="auto"/>
            </w:tcBorders>
            <w:shd w:val="clear" w:color="auto" w:fill="auto"/>
            <w:vAlign w:val="center"/>
          </w:tcPr>
          <w:p w:rsidR="00D357A3" w:rsidRPr="008B1075" w:rsidRDefault="00D357A3" w:rsidP="00E443B7">
            <w:pPr>
              <w:pStyle w:val="TableUnitsRow"/>
              <w:jc w:val="left"/>
              <w:rPr>
                <w:b/>
              </w:rPr>
            </w:pPr>
            <w:r w:rsidRPr="008B1075">
              <w:rPr>
                <w:b/>
              </w:rPr>
              <w:t>COAG</w:t>
            </w:r>
          </w:p>
        </w:tc>
        <w:tc>
          <w:tcPr>
            <w:tcW w:w="725" w:type="pct"/>
            <w:gridSpan w:val="2"/>
            <w:tcBorders>
              <w:top w:val="single" w:sz="6" w:space="0" w:color="auto"/>
            </w:tcBorders>
            <w:shd w:val="clear" w:color="auto" w:fill="auto"/>
            <w:vAlign w:val="center"/>
          </w:tcPr>
          <w:p w:rsidR="00D357A3" w:rsidRDefault="00D357A3" w:rsidP="00E443B7">
            <w:pPr>
              <w:pStyle w:val="TableUnitsRow"/>
            </w:pPr>
          </w:p>
        </w:tc>
        <w:tc>
          <w:tcPr>
            <w:tcW w:w="702" w:type="pct"/>
            <w:gridSpan w:val="2"/>
            <w:tcBorders>
              <w:top w:val="single" w:sz="6" w:space="0" w:color="auto"/>
            </w:tcBorders>
            <w:shd w:val="clear" w:color="auto" w:fill="auto"/>
            <w:vAlign w:val="center"/>
          </w:tcPr>
          <w:p w:rsidR="00D357A3" w:rsidRDefault="00D357A3" w:rsidP="00E443B7">
            <w:pPr>
              <w:pStyle w:val="TableUnitsRow"/>
            </w:pPr>
          </w:p>
        </w:tc>
        <w:tc>
          <w:tcPr>
            <w:tcW w:w="694" w:type="pct"/>
            <w:gridSpan w:val="2"/>
            <w:tcBorders>
              <w:top w:val="single" w:sz="6" w:space="0" w:color="auto"/>
            </w:tcBorders>
            <w:shd w:val="clear" w:color="auto" w:fill="auto"/>
            <w:vAlign w:val="center"/>
          </w:tcPr>
          <w:p w:rsidR="00D357A3" w:rsidRDefault="00D357A3" w:rsidP="00E443B7">
            <w:pPr>
              <w:pStyle w:val="TableUnitsRow"/>
              <w:ind w:right="28"/>
            </w:pPr>
          </w:p>
        </w:tc>
        <w:tc>
          <w:tcPr>
            <w:tcW w:w="694" w:type="pct"/>
            <w:gridSpan w:val="2"/>
            <w:tcBorders>
              <w:top w:val="single" w:sz="6" w:space="0" w:color="auto"/>
            </w:tcBorders>
            <w:vAlign w:val="center"/>
          </w:tcPr>
          <w:p w:rsidR="00D357A3" w:rsidRDefault="00D357A3" w:rsidP="00E443B7">
            <w:pPr>
              <w:pStyle w:val="TableUnitsRow"/>
              <w:ind w:right="28"/>
            </w:pPr>
          </w:p>
        </w:tc>
        <w:tc>
          <w:tcPr>
            <w:tcW w:w="679" w:type="pct"/>
            <w:gridSpan w:val="2"/>
            <w:tcBorders>
              <w:top w:val="single" w:sz="6" w:space="0" w:color="auto"/>
            </w:tcBorders>
            <w:shd w:val="clear" w:color="auto" w:fill="auto"/>
            <w:vAlign w:val="center"/>
          </w:tcPr>
          <w:p w:rsidR="00D357A3" w:rsidRDefault="00D357A3" w:rsidP="00E443B7">
            <w:pPr>
              <w:pStyle w:val="TableUnitsRow"/>
              <w:ind w:right="28"/>
            </w:pPr>
          </w:p>
        </w:tc>
      </w:tr>
      <w:tr w:rsidR="00D357A3" w:rsidTr="00E443B7">
        <w:trPr>
          <w:trHeight w:val="390"/>
        </w:trPr>
        <w:tc>
          <w:tcPr>
            <w:tcW w:w="1506" w:type="pct"/>
            <w:vAlign w:val="center"/>
          </w:tcPr>
          <w:p w:rsidR="00D357A3" w:rsidRDefault="00D357A3" w:rsidP="00E443B7">
            <w:pPr>
              <w:pStyle w:val="TableUnitsRow"/>
              <w:jc w:val="left"/>
            </w:pPr>
            <w:r>
              <w:t>Consultation stage</w:t>
            </w:r>
          </w:p>
        </w:tc>
        <w:tc>
          <w:tcPr>
            <w:tcW w:w="358" w:type="pct"/>
            <w:vAlign w:val="center"/>
          </w:tcPr>
          <w:p w:rsidR="00D357A3" w:rsidRDefault="00D357A3" w:rsidP="00E443B7">
            <w:pPr>
              <w:pStyle w:val="TableUnitsRow"/>
              <w:jc w:val="center"/>
            </w:pPr>
            <w:r>
              <w:t>26/27</w:t>
            </w:r>
          </w:p>
        </w:tc>
        <w:tc>
          <w:tcPr>
            <w:tcW w:w="367" w:type="pct"/>
            <w:vAlign w:val="center"/>
          </w:tcPr>
          <w:p w:rsidR="00D357A3" w:rsidRDefault="00D357A3" w:rsidP="00E443B7">
            <w:pPr>
              <w:pStyle w:val="TableUnitsRow"/>
              <w:jc w:val="center"/>
            </w:pPr>
            <w:r>
              <w:t>96</w:t>
            </w:r>
          </w:p>
        </w:tc>
        <w:tc>
          <w:tcPr>
            <w:tcW w:w="355" w:type="pct"/>
            <w:vAlign w:val="center"/>
          </w:tcPr>
          <w:p w:rsidR="00D357A3" w:rsidRDefault="00D357A3" w:rsidP="00E443B7">
            <w:pPr>
              <w:pStyle w:val="TableUnitsRow"/>
              <w:jc w:val="center"/>
            </w:pPr>
            <w:r>
              <w:t>22/25</w:t>
            </w:r>
          </w:p>
        </w:tc>
        <w:tc>
          <w:tcPr>
            <w:tcW w:w="347" w:type="pct"/>
            <w:vAlign w:val="center"/>
          </w:tcPr>
          <w:p w:rsidR="00D357A3" w:rsidRDefault="00D357A3" w:rsidP="00E443B7">
            <w:pPr>
              <w:pStyle w:val="TableUnitsRow"/>
              <w:ind w:right="28"/>
              <w:jc w:val="center"/>
            </w:pPr>
            <w:r>
              <w:t>88</w:t>
            </w:r>
          </w:p>
        </w:tc>
        <w:tc>
          <w:tcPr>
            <w:tcW w:w="347" w:type="pct"/>
            <w:vAlign w:val="center"/>
          </w:tcPr>
          <w:p w:rsidR="00D357A3" w:rsidRDefault="00D357A3" w:rsidP="00E443B7">
            <w:pPr>
              <w:pStyle w:val="TableUnitsRow"/>
              <w:ind w:right="28"/>
              <w:jc w:val="center"/>
            </w:pPr>
            <w:r>
              <w:t>29/41</w:t>
            </w:r>
          </w:p>
        </w:tc>
        <w:tc>
          <w:tcPr>
            <w:tcW w:w="347" w:type="pct"/>
            <w:vAlign w:val="center"/>
          </w:tcPr>
          <w:p w:rsidR="00D357A3" w:rsidRDefault="00D357A3" w:rsidP="00E443B7">
            <w:pPr>
              <w:pStyle w:val="TableUnitsRow"/>
              <w:ind w:right="28"/>
              <w:jc w:val="center"/>
            </w:pPr>
            <w:r>
              <w:t>71</w:t>
            </w:r>
          </w:p>
        </w:tc>
        <w:tc>
          <w:tcPr>
            <w:tcW w:w="347" w:type="pct"/>
            <w:vAlign w:val="center"/>
          </w:tcPr>
          <w:p w:rsidR="00D357A3" w:rsidRDefault="00D357A3" w:rsidP="00E443B7">
            <w:pPr>
              <w:pStyle w:val="TableUnitsRow"/>
              <w:ind w:right="28"/>
              <w:jc w:val="center"/>
            </w:pPr>
            <w:r>
              <w:t>8/9</w:t>
            </w:r>
          </w:p>
        </w:tc>
        <w:tc>
          <w:tcPr>
            <w:tcW w:w="347" w:type="pct"/>
            <w:vAlign w:val="center"/>
          </w:tcPr>
          <w:p w:rsidR="00D357A3" w:rsidRDefault="00D357A3" w:rsidP="00E443B7">
            <w:pPr>
              <w:pStyle w:val="TableUnitsRow"/>
              <w:ind w:right="28"/>
              <w:jc w:val="center"/>
            </w:pPr>
            <w:r>
              <w:t>89</w:t>
            </w:r>
          </w:p>
        </w:tc>
        <w:tc>
          <w:tcPr>
            <w:tcW w:w="374" w:type="pct"/>
            <w:vAlign w:val="center"/>
          </w:tcPr>
          <w:p w:rsidR="00D357A3" w:rsidRDefault="00E51DE2" w:rsidP="00E443B7">
            <w:pPr>
              <w:pStyle w:val="TableUnitsRow"/>
              <w:jc w:val="center"/>
            </w:pPr>
            <w:r>
              <w:t>13/16</w:t>
            </w:r>
          </w:p>
        </w:tc>
        <w:tc>
          <w:tcPr>
            <w:tcW w:w="305" w:type="pct"/>
            <w:vAlign w:val="center"/>
          </w:tcPr>
          <w:p w:rsidR="00D357A3" w:rsidRDefault="00E51DE2" w:rsidP="00E443B7">
            <w:pPr>
              <w:pStyle w:val="TableUnitsRow"/>
              <w:jc w:val="center"/>
            </w:pPr>
            <w:r>
              <w:t>81</w:t>
            </w:r>
          </w:p>
        </w:tc>
      </w:tr>
      <w:tr w:rsidR="00D357A3" w:rsidTr="00E443B7">
        <w:trPr>
          <w:trHeight w:val="390"/>
        </w:trPr>
        <w:tc>
          <w:tcPr>
            <w:tcW w:w="1506" w:type="pct"/>
            <w:tcBorders>
              <w:bottom w:val="single" w:sz="4" w:space="0" w:color="auto"/>
            </w:tcBorders>
            <w:shd w:val="clear" w:color="auto" w:fill="auto"/>
            <w:vAlign w:val="center"/>
          </w:tcPr>
          <w:p w:rsidR="00D357A3" w:rsidRDefault="00D357A3" w:rsidP="00E443B7">
            <w:pPr>
              <w:pStyle w:val="TableBodyText"/>
              <w:ind w:left="1440" w:hanging="1434"/>
              <w:jc w:val="left"/>
            </w:pPr>
            <w:r>
              <w:t>Decision stage</w:t>
            </w:r>
          </w:p>
        </w:tc>
        <w:tc>
          <w:tcPr>
            <w:tcW w:w="358" w:type="pct"/>
            <w:tcBorders>
              <w:bottom w:val="single" w:sz="4" w:space="0" w:color="auto"/>
            </w:tcBorders>
            <w:shd w:val="clear" w:color="auto" w:fill="auto"/>
            <w:vAlign w:val="center"/>
          </w:tcPr>
          <w:p w:rsidR="00D357A3" w:rsidRDefault="00D357A3" w:rsidP="00E443B7">
            <w:pPr>
              <w:pStyle w:val="TableBodyText"/>
              <w:jc w:val="center"/>
            </w:pPr>
            <w:r>
              <w:t>25/27</w:t>
            </w:r>
          </w:p>
        </w:tc>
        <w:tc>
          <w:tcPr>
            <w:tcW w:w="367" w:type="pct"/>
            <w:tcBorders>
              <w:bottom w:val="single" w:sz="4" w:space="0" w:color="auto"/>
            </w:tcBorders>
            <w:shd w:val="clear" w:color="auto" w:fill="auto"/>
            <w:vAlign w:val="center"/>
          </w:tcPr>
          <w:p w:rsidR="00D357A3" w:rsidRDefault="00D357A3" w:rsidP="00E443B7">
            <w:pPr>
              <w:pStyle w:val="TableBodyText"/>
              <w:jc w:val="center"/>
            </w:pPr>
            <w:r>
              <w:t>93</w:t>
            </w:r>
          </w:p>
        </w:tc>
        <w:tc>
          <w:tcPr>
            <w:tcW w:w="355" w:type="pct"/>
            <w:tcBorders>
              <w:bottom w:val="single" w:sz="4" w:space="0" w:color="auto"/>
            </w:tcBorders>
            <w:shd w:val="clear" w:color="auto" w:fill="auto"/>
            <w:vAlign w:val="center"/>
          </w:tcPr>
          <w:p w:rsidR="00D357A3" w:rsidRDefault="00D357A3" w:rsidP="00E443B7">
            <w:pPr>
              <w:pStyle w:val="TableBodyText"/>
              <w:jc w:val="center"/>
            </w:pPr>
            <w:r>
              <w:t>24/25</w:t>
            </w:r>
          </w:p>
        </w:tc>
        <w:tc>
          <w:tcPr>
            <w:tcW w:w="347" w:type="pct"/>
            <w:tcBorders>
              <w:bottom w:val="single" w:sz="4" w:space="0" w:color="auto"/>
            </w:tcBorders>
            <w:shd w:val="clear" w:color="auto" w:fill="auto"/>
            <w:vAlign w:val="center"/>
          </w:tcPr>
          <w:p w:rsidR="00D357A3" w:rsidRDefault="00D357A3" w:rsidP="00E443B7">
            <w:pPr>
              <w:pStyle w:val="TableBodyText"/>
              <w:ind w:right="28"/>
              <w:jc w:val="center"/>
            </w:pPr>
            <w:r>
              <w:t>96</w:t>
            </w:r>
          </w:p>
        </w:tc>
        <w:tc>
          <w:tcPr>
            <w:tcW w:w="347" w:type="pct"/>
            <w:tcBorders>
              <w:bottom w:val="single" w:sz="4" w:space="0" w:color="auto"/>
            </w:tcBorders>
            <w:shd w:val="clear" w:color="auto" w:fill="auto"/>
            <w:vAlign w:val="center"/>
          </w:tcPr>
          <w:p w:rsidR="00D357A3" w:rsidRDefault="00D357A3" w:rsidP="00E443B7">
            <w:pPr>
              <w:pStyle w:val="TableBodyText"/>
              <w:ind w:right="28"/>
              <w:jc w:val="center"/>
            </w:pPr>
            <w:r>
              <w:t>32/41</w:t>
            </w:r>
          </w:p>
        </w:tc>
        <w:tc>
          <w:tcPr>
            <w:tcW w:w="347" w:type="pct"/>
            <w:tcBorders>
              <w:bottom w:val="single" w:sz="4" w:space="0" w:color="auto"/>
            </w:tcBorders>
            <w:shd w:val="clear" w:color="auto" w:fill="auto"/>
            <w:vAlign w:val="center"/>
          </w:tcPr>
          <w:p w:rsidR="00D357A3" w:rsidRDefault="00D357A3" w:rsidP="00E443B7">
            <w:pPr>
              <w:pStyle w:val="TableBodyText"/>
              <w:ind w:right="28"/>
              <w:jc w:val="center"/>
            </w:pPr>
            <w:r>
              <w:t>78</w:t>
            </w:r>
          </w:p>
        </w:tc>
        <w:tc>
          <w:tcPr>
            <w:tcW w:w="347" w:type="pct"/>
            <w:tcBorders>
              <w:bottom w:val="single" w:sz="4" w:space="0" w:color="auto"/>
            </w:tcBorders>
            <w:vAlign w:val="center"/>
          </w:tcPr>
          <w:p w:rsidR="00D357A3" w:rsidRDefault="00D357A3" w:rsidP="00E443B7">
            <w:pPr>
              <w:pStyle w:val="TableBodyText"/>
              <w:ind w:right="28"/>
              <w:jc w:val="center"/>
            </w:pPr>
            <w:r>
              <w:t>9/10</w:t>
            </w:r>
          </w:p>
        </w:tc>
        <w:tc>
          <w:tcPr>
            <w:tcW w:w="347" w:type="pct"/>
            <w:tcBorders>
              <w:bottom w:val="single" w:sz="4" w:space="0" w:color="auto"/>
            </w:tcBorders>
            <w:vAlign w:val="center"/>
          </w:tcPr>
          <w:p w:rsidR="00D357A3" w:rsidRDefault="00D357A3" w:rsidP="00E443B7">
            <w:pPr>
              <w:pStyle w:val="TableBodyText"/>
              <w:ind w:right="28"/>
              <w:jc w:val="center"/>
            </w:pPr>
            <w:r>
              <w:t>90</w:t>
            </w:r>
          </w:p>
        </w:tc>
        <w:tc>
          <w:tcPr>
            <w:tcW w:w="374" w:type="pct"/>
            <w:tcBorders>
              <w:bottom w:val="single" w:sz="4" w:space="0" w:color="auto"/>
            </w:tcBorders>
            <w:shd w:val="clear" w:color="auto" w:fill="auto"/>
            <w:vAlign w:val="center"/>
          </w:tcPr>
          <w:p w:rsidR="00D357A3" w:rsidRDefault="00D357A3" w:rsidP="00E443B7">
            <w:pPr>
              <w:pStyle w:val="TableBodyText"/>
              <w:jc w:val="center"/>
            </w:pPr>
            <w:r>
              <w:t>13/1</w:t>
            </w:r>
            <w:r w:rsidR="00E51DE2">
              <w:t>6</w:t>
            </w:r>
          </w:p>
        </w:tc>
        <w:tc>
          <w:tcPr>
            <w:tcW w:w="305" w:type="pct"/>
            <w:tcBorders>
              <w:bottom w:val="single" w:sz="4" w:space="0" w:color="auto"/>
            </w:tcBorders>
            <w:shd w:val="clear" w:color="auto" w:fill="auto"/>
            <w:vAlign w:val="center"/>
          </w:tcPr>
          <w:p w:rsidR="00D357A3" w:rsidRDefault="00D357A3" w:rsidP="00E443B7">
            <w:pPr>
              <w:pStyle w:val="TableBodyText"/>
              <w:jc w:val="center"/>
            </w:pPr>
            <w:r>
              <w:t>8</w:t>
            </w:r>
            <w:r w:rsidR="00E51DE2">
              <w:t>1</w:t>
            </w:r>
          </w:p>
        </w:tc>
      </w:tr>
    </w:tbl>
    <w:p w:rsidR="00BA27AA" w:rsidRDefault="00471768" w:rsidP="00BA27AA">
      <w:pPr>
        <w:pStyle w:val="Source"/>
      </w:pPr>
      <w:r>
        <w:rPr>
          <w:rStyle w:val="NoteLabel"/>
        </w:rPr>
        <w:t xml:space="preserve">a </w:t>
      </w:r>
      <w:r w:rsidRPr="0074416C">
        <w:t xml:space="preserve">The compliance rate is the number of proposals where </w:t>
      </w:r>
      <w:r>
        <w:t xml:space="preserve">RIS </w:t>
      </w:r>
      <w:r w:rsidRPr="0074416C">
        <w:t xml:space="preserve">requirements were </w:t>
      </w:r>
      <w:r w:rsidR="00907B45">
        <w:t>met</w:t>
      </w:r>
      <w:r w:rsidRPr="0074416C">
        <w:t xml:space="preserve"> divided by the total number of proposals which required a RIS</w:t>
      </w:r>
      <w:r w:rsidR="00907B45">
        <w:t xml:space="preserve"> </w:t>
      </w:r>
      <w:r w:rsidR="00A63030">
        <w:t>as determined by</w:t>
      </w:r>
      <w:r w:rsidR="00907B45">
        <w:t xml:space="preserve"> the OBPR</w:t>
      </w:r>
      <w:r w:rsidR="007410D7">
        <w:t>.</w:t>
      </w:r>
      <w:r w:rsidR="00907B45">
        <w:t xml:space="preserve"> </w:t>
      </w:r>
      <w:r>
        <w:rPr>
          <w:rStyle w:val="NoteLabel"/>
        </w:rPr>
        <w:t>b</w:t>
      </w:r>
      <w:r w:rsidR="00BA27AA">
        <w:rPr>
          <w:rStyle w:val="NoteLabel"/>
        </w:rPr>
        <w:t xml:space="preserve"> </w:t>
      </w:r>
      <w:r w:rsidR="00BA27AA">
        <w:t xml:space="preserve">There are </w:t>
      </w:r>
      <w:r w:rsidR="00A22942">
        <w:t>sometimes fewer</w:t>
      </w:r>
      <w:r w:rsidR="00BA27AA">
        <w:t xml:space="preserve"> RIS</w:t>
      </w:r>
      <w:r w:rsidR="00A22942">
        <w:t>s</w:t>
      </w:r>
      <w:r w:rsidR="00BA27AA">
        <w:t xml:space="preserve"> at the transparency stage because some proposals have multiple decision stages and, as a result, require more than one</w:t>
      </w:r>
      <w:r w:rsidR="007410D7">
        <w:t xml:space="preserve"> decision</w:t>
      </w:r>
      <w:r w:rsidR="00BA27AA">
        <w:t xml:space="preserve"> RIS. </w:t>
      </w:r>
    </w:p>
    <w:p w:rsidR="00BA27AA" w:rsidRPr="0074416C" w:rsidRDefault="00BA27AA" w:rsidP="002F710A">
      <w:pPr>
        <w:pStyle w:val="Source"/>
      </w:pPr>
      <w:r>
        <w:rPr>
          <w:i/>
        </w:rPr>
        <w:t>Source</w:t>
      </w:r>
      <w:r w:rsidR="00AF6EEA">
        <w:rPr>
          <w:i/>
        </w:rPr>
        <w:t>s</w:t>
      </w:r>
      <w:r w:rsidR="000D1E8A">
        <w:t>: OBPR (2011</w:t>
      </w:r>
      <w:r w:rsidR="00C03263">
        <w:t>a</w:t>
      </w:r>
      <w:r w:rsidR="000D1E8A">
        <w:t xml:space="preserve">, </w:t>
      </w:r>
      <w:r w:rsidR="002B522F">
        <w:t>2012</w:t>
      </w:r>
      <w:r w:rsidR="009022C4">
        <w:t>a</w:t>
      </w:r>
      <w:r w:rsidR="000D1E8A">
        <w:t>)</w:t>
      </w:r>
      <w:r w:rsidR="001E3AF6">
        <w:t>.</w:t>
      </w:r>
    </w:p>
    <w:p w:rsidR="000B08F1" w:rsidRDefault="000B08F1" w:rsidP="000B08F1">
      <w:pPr>
        <w:pStyle w:val="BodyText"/>
      </w:pPr>
      <w:r>
        <w:lastRenderedPageBreak/>
        <w:t>The COAG process involves two RIS documents, one for the consultation stage and another for the decision stage. Compliance is reported separately for each of these stages, and requires the RIS to be assessed as adequate by the OBPR and published as soon as practicable after the regulatory announcement.</w:t>
      </w:r>
    </w:p>
    <w:p w:rsidR="00A41D0B" w:rsidRPr="0057237F" w:rsidRDefault="00552049" w:rsidP="00A41D0B">
      <w:pPr>
        <w:pStyle w:val="BodyText"/>
      </w:pPr>
      <w:r>
        <w:t>C</w:t>
      </w:r>
      <w:r w:rsidR="007410D7">
        <w:t>ompliance levels</w:t>
      </w:r>
      <w:r>
        <w:t xml:space="preserve"> for Commonwealth and COAG</w:t>
      </w:r>
      <w:r w:rsidR="007410D7">
        <w:t xml:space="preserve"> have generally been high at both RIS stages over recent years. </w:t>
      </w:r>
      <w:r w:rsidR="00EC6A9B">
        <w:t xml:space="preserve">Lower compliance in some years </w:t>
      </w:r>
      <w:r w:rsidR="006E5D21">
        <w:t xml:space="preserve">is largely based on </w:t>
      </w:r>
      <w:r w:rsidR="00EC6A9B">
        <w:t>a higher</w:t>
      </w:r>
      <w:r w:rsidR="006E5D21">
        <w:t xml:space="preserve"> number of </w:t>
      </w:r>
      <w:r w:rsidR="00B07AB9">
        <w:t>proposals with no RIS (where a RIS</w:t>
      </w:r>
      <w:r w:rsidR="006E5D21">
        <w:t xml:space="preserve"> was required), rather than </w:t>
      </w:r>
      <w:r w:rsidR="00EC6A9B">
        <w:t>more</w:t>
      </w:r>
      <w:r w:rsidR="006E5D21">
        <w:t xml:space="preserve"> proposals where a RIS has been assessed </w:t>
      </w:r>
      <w:r w:rsidR="000C606A">
        <w:t xml:space="preserve">as </w:t>
      </w:r>
      <w:r w:rsidR="006E5D21">
        <w:t xml:space="preserve">inadequate by the OBPR. In other words, where a RIS is completed, it is usually assessed as adequate. </w:t>
      </w:r>
    </w:p>
    <w:p w:rsidR="006E5D21" w:rsidRPr="00F01F24" w:rsidRDefault="006E5D21" w:rsidP="00A41D0B">
      <w:pPr>
        <w:pStyle w:val="Heading5"/>
      </w:pPr>
      <w:r>
        <w:t>Compliance reporting in Victoria</w:t>
      </w:r>
    </w:p>
    <w:p w:rsidR="006E5D21" w:rsidRDefault="000C1DAC" w:rsidP="006E5D21">
      <w:pPr>
        <w:pStyle w:val="BodyText"/>
      </w:pPr>
      <w:r>
        <w:t xml:space="preserve">The </w:t>
      </w:r>
      <w:r w:rsidR="006E5D21">
        <w:t xml:space="preserve">VCEC reports on compliance in its annual report, stating the number of RISs and </w:t>
      </w:r>
      <w:r w:rsidR="000D1E8A">
        <w:t>business impact assessments (</w:t>
      </w:r>
      <w:r w:rsidR="006E5D21">
        <w:t>BIAs</w:t>
      </w:r>
      <w:r w:rsidR="000D1E8A">
        <w:t>)</w:t>
      </w:r>
      <w:r w:rsidR="006E5D21">
        <w:t xml:space="preserve"> assessed and specifying where these were asse</w:t>
      </w:r>
      <w:r w:rsidR="006E5D21" w:rsidRPr="00CB2BBB">
        <w:t>ssed as inadequate</w:t>
      </w:r>
      <w:r w:rsidR="00A11B09">
        <w:t xml:space="preserve"> (t</w:t>
      </w:r>
      <w:r w:rsidR="00E4034D">
        <w:t>able 3</w:t>
      </w:r>
      <w:r w:rsidR="00A33D0E">
        <w:t>.6</w:t>
      </w:r>
      <w:r w:rsidR="002F131F">
        <w:t>).</w:t>
      </w:r>
      <w:r w:rsidR="006E5D21" w:rsidRPr="00CB2BBB">
        <w:t xml:space="preserve"> </w:t>
      </w:r>
      <w:r>
        <w:t xml:space="preserve">The </w:t>
      </w:r>
      <w:r w:rsidR="00E800E1">
        <w:t xml:space="preserve">VCEC does not monitor </w:t>
      </w:r>
      <w:r w:rsidR="00266925">
        <w:t xml:space="preserve">or report on </w:t>
      </w:r>
      <w:r w:rsidR="00E800E1">
        <w:t xml:space="preserve">whether </w:t>
      </w:r>
      <w:r w:rsidR="00C53875">
        <w:t xml:space="preserve">the responsible minister </w:t>
      </w:r>
      <w:r w:rsidR="00E800E1">
        <w:t>appropriately assess</w:t>
      </w:r>
      <w:r w:rsidR="00C53875">
        <w:t>e</w:t>
      </w:r>
      <w:r w:rsidR="00083BEC">
        <w:t>d</w:t>
      </w:r>
      <w:r w:rsidR="00E800E1">
        <w:t xml:space="preserve"> the need for a RIS/BIA.</w:t>
      </w:r>
      <w:r w:rsidR="00FB7FDD">
        <w:rPr>
          <w:rStyle w:val="FootnoteReference"/>
        </w:rPr>
        <w:footnoteReference w:id="3"/>
      </w:r>
    </w:p>
    <w:p w:rsidR="00BA27AA" w:rsidRDefault="00BA27AA" w:rsidP="000D1E8A">
      <w:pPr>
        <w:pStyle w:val="TableTitle"/>
      </w:pPr>
      <w:r>
        <w:rPr>
          <w:b w:val="0"/>
        </w:rPr>
        <w:t xml:space="preserve">Table </w:t>
      </w:r>
      <w:r w:rsidR="00287B41">
        <w:rPr>
          <w:b w:val="0"/>
        </w:rPr>
        <w:t>3.</w:t>
      </w:r>
      <w:r w:rsidR="00702C9A">
        <w:rPr>
          <w:b w:val="0"/>
          <w:noProof/>
        </w:rPr>
        <w:t>6</w:t>
      </w:r>
      <w:r>
        <w:tab/>
        <w:t xml:space="preserve">Victorian </w:t>
      </w:r>
      <w:r w:rsidR="000C606A">
        <w:t xml:space="preserve">RIS and BIA </w:t>
      </w:r>
      <w:r>
        <w:t>compliance</w:t>
      </w:r>
      <w:r w:rsidR="000C1DAC" w:rsidRPr="000C1DAC">
        <w:rPr>
          <w:rStyle w:val="NoteLabel"/>
          <w:b/>
          <w:position w:val="10"/>
        </w:rPr>
        <w:t>a</w:t>
      </w:r>
    </w:p>
    <w:tbl>
      <w:tblPr>
        <w:tblW w:w="5000" w:type="pct"/>
        <w:tblCellMar>
          <w:left w:w="0" w:type="dxa"/>
          <w:right w:w="0" w:type="dxa"/>
        </w:tblCellMar>
        <w:tblLook w:val="0000" w:firstRow="0" w:lastRow="0" w:firstColumn="0" w:lastColumn="0" w:noHBand="0" w:noVBand="0"/>
      </w:tblPr>
      <w:tblGrid>
        <w:gridCol w:w="1289"/>
        <w:gridCol w:w="749"/>
        <w:gridCol w:w="749"/>
        <w:gridCol w:w="749"/>
        <w:gridCol w:w="751"/>
        <w:gridCol w:w="749"/>
        <w:gridCol w:w="751"/>
        <w:gridCol w:w="749"/>
        <w:gridCol w:w="751"/>
        <w:gridCol w:w="751"/>
        <w:gridCol w:w="751"/>
      </w:tblGrid>
      <w:tr w:rsidR="00503F23" w:rsidRPr="00BF2B2A" w:rsidTr="00503F23">
        <w:trPr>
          <w:trHeight w:val="195"/>
        </w:trPr>
        <w:tc>
          <w:tcPr>
            <w:tcW w:w="733" w:type="pct"/>
            <w:vMerge w:val="restart"/>
            <w:tcBorders>
              <w:top w:val="single" w:sz="6" w:space="0" w:color="auto"/>
            </w:tcBorders>
            <w:shd w:val="clear" w:color="auto" w:fill="auto"/>
          </w:tcPr>
          <w:p w:rsidR="00503F23" w:rsidRPr="00BF2B2A" w:rsidRDefault="00503F23" w:rsidP="00E443B7">
            <w:pPr>
              <w:keepNext/>
              <w:keepLines/>
              <w:spacing w:before="80" w:after="80" w:line="220" w:lineRule="atLeast"/>
              <w:ind w:left="6" w:right="113"/>
              <w:rPr>
                <w:rFonts w:ascii="Arial" w:hAnsi="Arial"/>
                <w:i/>
                <w:sz w:val="20"/>
                <w:szCs w:val="20"/>
              </w:rPr>
            </w:pPr>
          </w:p>
        </w:tc>
        <w:tc>
          <w:tcPr>
            <w:tcW w:w="852" w:type="pct"/>
            <w:gridSpan w:val="2"/>
            <w:tcBorders>
              <w:top w:val="single" w:sz="6" w:space="0" w:color="auto"/>
            </w:tcBorders>
          </w:tcPr>
          <w:p w:rsidR="00503F23" w:rsidRDefault="00503F23" w:rsidP="00E443B7">
            <w:pPr>
              <w:pStyle w:val="TableColumnHeading"/>
              <w:jc w:val="center"/>
            </w:pPr>
            <w:r>
              <w:t>2007-08</w:t>
            </w:r>
          </w:p>
        </w:tc>
        <w:tc>
          <w:tcPr>
            <w:tcW w:w="853" w:type="pct"/>
            <w:gridSpan w:val="2"/>
            <w:tcBorders>
              <w:top w:val="single" w:sz="6" w:space="0" w:color="auto"/>
            </w:tcBorders>
          </w:tcPr>
          <w:p w:rsidR="00503F23" w:rsidRDefault="00503F23" w:rsidP="00E443B7">
            <w:pPr>
              <w:pStyle w:val="TableColumnHeading"/>
              <w:jc w:val="center"/>
            </w:pPr>
            <w:r>
              <w:t>2008-09</w:t>
            </w:r>
          </w:p>
        </w:tc>
        <w:tc>
          <w:tcPr>
            <w:tcW w:w="853" w:type="pct"/>
            <w:gridSpan w:val="2"/>
            <w:tcBorders>
              <w:top w:val="single" w:sz="6" w:space="0" w:color="auto"/>
            </w:tcBorders>
          </w:tcPr>
          <w:p w:rsidR="00503F23" w:rsidRDefault="00503F23" w:rsidP="00E443B7">
            <w:pPr>
              <w:pStyle w:val="TableColumnHeading"/>
              <w:ind w:right="28"/>
              <w:jc w:val="center"/>
            </w:pPr>
            <w:r>
              <w:t>2009-10</w:t>
            </w:r>
          </w:p>
        </w:tc>
        <w:tc>
          <w:tcPr>
            <w:tcW w:w="853" w:type="pct"/>
            <w:gridSpan w:val="2"/>
            <w:tcBorders>
              <w:top w:val="single" w:sz="6" w:space="0" w:color="auto"/>
            </w:tcBorders>
            <w:shd w:val="clear" w:color="auto" w:fill="auto"/>
          </w:tcPr>
          <w:p w:rsidR="00503F23" w:rsidRDefault="00503F23" w:rsidP="00E443B7">
            <w:pPr>
              <w:pStyle w:val="TableColumnHeading"/>
              <w:ind w:right="28"/>
              <w:jc w:val="center"/>
            </w:pPr>
            <w:r>
              <w:t>2010-11</w:t>
            </w:r>
          </w:p>
        </w:tc>
        <w:tc>
          <w:tcPr>
            <w:tcW w:w="854" w:type="pct"/>
            <w:gridSpan w:val="2"/>
            <w:tcBorders>
              <w:top w:val="single" w:sz="6" w:space="0" w:color="auto"/>
            </w:tcBorders>
          </w:tcPr>
          <w:p w:rsidR="00503F23" w:rsidRDefault="00503F23" w:rsidP="00E443B7">
            <w:pPr>
              <w:pStyle w:val="TableColumnHeading"/>
              <w:ind w:right="28"/>
              <w:jc w:val="center"/>
            </w:pPr>
            <w:r>
              <w:t>2011-12</w:t>
            </w:r>
          </w:p>
        </w:tc>
      </w:tr>
      <w:tr w:rsidR="00503F23" w:rsidRPr="00BF2B2A" w:rsidTr="00503F23">
        <w:trPr>
          <w:trHeight w:val="195"/>
        </w:trPr>
        <w:tc>
          <w:tcPr>
            <w:tcW w:w="733" w:type="pct"/>
            <w:vMerge/>
            <w:tcBorders>
              <w:bottom w:val="single" w:sz="6" w:space="0" w:color="auto"/>
            </w:tcBorders>
            <w:shd w:val="clear" w:color="auto" w:fill="auto"/>
          </w:tcPr>
          <w:p w:rsidR="00503F23" w:rsidRPr="00BF2B2A" w:rsidRDefault="00503F23" w:rsidP="00E443B7">
            <w:pPr>
              <w:keepNext/>
              <w:keepLines/>
              <w:spacing w:before="80" w:after="80" w:line="220" w:lineRule="atLeast"/>
              <w:ind w:left="6" w:right="113"/>
              <w:rPr>
                <w:rFonts w:ascii="Arial" w:hAnsi="Arial"/>
                <w:i/>
                <w:sz w:val="20"/>
                <w:szCs w:val="20"/>
              </w:rPr>
            </w:pPr>
          </w:p>
        </w:tc>
        <w:tc>
          <w:tcPr>
            <w:tcW w:w="426" w:type="pct"/>
            <w:tcBorders>
              <w:bottom w:val="single" w:sz="6" w:space="0" w:color="auto"/>
            </w:tcBorders>
          </w:tcPr>
          <w:p w:rsidR="00503F23" w:rsidRDefault="00503F23" w:rsidP="00E443B7">
            <w:pPr>
              <w:pStyle w:val="TableUnitsRow"/>
              <w:jc w:val="center"/>
            </w:pPr>
            <w:r>
              <w:t>ratio</w:t>
            </w:r>
          </w:p>
        </w:tc>
        <w:tc>
          <w:tcPr>
            <w:tcW w:w="426" w:type="pct"/>
            <w:tcBorders>
              <w:bottom w:val="single" w:sz="6" w:space="0" w:color="auto"/>
            </w:tcBorders>
          </w:tcPr>
          <w:p w:rsidR="00503F23" w:rsidRDefault="00503F23" w:rsidP="00E443B7">
            <w:pPr>
              <w:pStyle w:val="TableUnitsRow"/>
              <w:jc w:val="center"/>
            </w:pPr>
            <w:r>
              <w:t>%</w:t>
            </w:r>
          </w:p>
        </w:tc>
        <w:tc>
          <w:tcPr>
            <w:tcW w:w="426" w:type="pct"/>
            <w:tcBorders>
              <w:bottom w:val="single" w:sz="6" w:space="0" w:color="auto"/>
            </w:tcBorders>
          </w:tcPr>
          <w:p w:rsidR="00503F23" w:rsidRDefault="00503F23" w:rsidP="00E443B7">
            <w:pPr>
              <w:pStyle w:val="TableUnitsRow"/>
              <w:jc w:val="center"/>
            </w:pPr>
            <w:r>
              <w:t>ratio</w:t>
            </w:r>
          </w:p>
        </w:tc>
        <w:tc>
          <w:tcPr>
            <w:tcW w:w="427" w:type="pct"/>
            <w:tcBorders>
              <w:bottom w:val="single" w:sz="6" w:space="0" w:color="auto"/>
            </w:tcBorders>
          </w:tcPr>
          <w:p w:rsidR="00503F23" w:rsidRDefault="00503F23" w:rsidP="00E443B7">
            <w:pPr>
              <w:pStyle w:val="TableUnitsRow"/>
              <w:jc w:val="center"/>
            </w:pPr>
            <w:r>
              <w:t>%</w:t>
            </w:r>
          </w:p>
        </w:tc>
        <w:tc>
          <w:tcPr>
            <w:tcW w:w="426" w:type="pct"/>
            <w:tcBorders>
              <w:bottom w:val="single" w:sz="6" w:space="0" w:color="auto"/>
            </w:tcBorders>
          </w:tcPr>
          <w:p w:rsidR="00503F23" w:rsidRDefault="00503F23" w:rsidP="00E443B7">
            <w:pPr>
              <w:pStyle w:val="TableUnitsRow"/>
              <w:jc w:val="center"/>
            </w:pPr>
            <w:r>
              <w:t>ratio</w:t>
            </w:r>
          </w:p>
        </w:tc>
        <w:tc>
          <w:tcPr>
            <w:tcW w:w="427" w:type="pct"/>
            <w:tcBorders>
              <w:bottom w:val="single" w:sz="6" w:space="0" w:color="auto"/>
            </w:tcBorders>
          </w:tcPr>
          <w:p w:rsidR="00503F23" w:rsidRDefault="00503F23" w:rsidP="00E443B7">
            <w:pPr>
              <w:pStyle w:val="TableUnitsRow"/>
              <w:jc w:val="center"/>
            </w:pPr>
            <w:r>
              <w:t>%</w:t>
            </w:r>
          </w:p>
        </w:tc>
        <w:tc>
          <w:tcPr>
            <w:tcW w:w="426" w:type="pct"/>
            <w:tcBorders>
              <w:bottom w:val="single" w:sz="6" w:space="0" w:color="auto"/>
            </w:tcBorders>
            <w:shd w:val="clear" w:color="auto" w:fill="auto"/>
          </w:tcPr>
          <w:p w:rsidR="00503F23" w:rsidRDefault="00503F23" w:rsidP="00E443B7">
            <w:pPr>
              <w:pStyle w:val="TableUnitsRow"/>
              <w:jc w:val="center"/>
            </w:pPr>
            <w:r>
              <w:t>ratio</w:t>
            </w:r>
          </w:p>
        </w:tc>
        <w:tc>
          <w:tcPr>
            <w:tcW w:w="427" w:type="pct"/>
            <w:tcBorders>
              <w:bottom w:val="single" w:sz="6" w:space="0" w:color="auto"/>
            </w:tcBorders>
            <w:shd w:val="clear" w:color="auto" w:fill="auto"/>
          </w:tcPr>
          <w:p w:rsidR="00503F23" w:rsidRDefault="00503F23" w:rsidP="00E443B7">
            <w:pPr>
              <w:pStyle w:val="TableUnitsRow"/>
              <w:jc w:val="center"/>
            </w:pPr>
            <w:r>
              <w:t>%</w:t>
            </w:r>
          </w:p>
        </w:tc>
        <w:tc>
          <w:tcPr>
            <w:tcW w:w="427" w:type="pct"/>
            <w:tcBorders>
              <w:bottom w:val="single" w:sz="6" w:space="0" w:color="auto"/>
            </w:tcBorders>
          </w:tcPr>
          <w:p w:rsidR="00503F23" w:rsidRDefault="00503F23" w:rsidP="00E443B7">
            <w:pPr>
              <w:pStyle w:val="TableUnitsRow"/>
              <w:jc w:val="center"/>
            </w:pPr>
            <w:r>
              <w:t>ratio</w:t>
            </w:r>
          </w:p>
        </w:tc>
        <w:tc>
          <w:tcPr>
            <w:tcW w:w="427" w:type="pct"/>
            <w:tcBorders>
              <w:bottom w:val="single" w:sz="6" w:space="0" w:color="auto"/>
            </w:tcBorders>
          </w:tcPr>
          <w:p w:rsidR="00503F23" w:rsidRDefault="00503F23" w:rsidP="00E443B7">
            <w:pPr>
              <w:pStyle w:val="TableUnitsRow"/>
              <w:jc w:val="center"/>
            </w:pPr>
            <w:r>
              <w:t>%</w:t>
            </w:r>
          </w:p>
        </w:tc>
      </w:tr>
      <w:tr w:rsidR="00503F23" w:rsidRPr="00BF2B2A" w:rsidTr="00503F23">
        <w:trPr>
          <w:trHeight w:val="376"/>
        </w:trPr>
        <w:tc>
          <w:tcPr>
            <w:tcW w:w="733" w:type="pct"/>
            <w:shd w:val="clear" w:color="auto" w:fill="auto"/>
            <w:vAlign w:val="center"/>
          </w:tcPr>
          <w:p w:rsidR="00503F23" w:rsidRPr="00BF2B2A" w:rsidRDefault="00503F23" w:rsidP="00E443B7">
            <w:pPr>
              <w:keepNext/>
              <w:keepLines/>
              <w:spacing w:before="80" w:after="80" w:line="220" w:lineRule="atLeast"/>
              <w:ind w:left="6" w:right="113"/>
              <w:rPr>
                <w:rFonts w:ascii="Arial" w:hAnsi="Arial"/>
                <w:sz w:val="20"/>
                <w:szCs w:val="20"/>
              </w:rPr>
            </w:pPr>
            <w:r w:rsidRPr="00BF2B2A">
              <w:rPr>
                <w:rFonts w:ascii="Arial" w:hAnsi="Arial"/>
                <w:sz w:val="20"/>
                <w:szCs w:val="20"/>
              </w:rPr>
              <w:t>RIS</w:t>
            </w:r>
          </w:p>
        </w:tc>
        <w:tc>
          <w:tcPr>
            <w:tcW w:w="426" w:type="pct"/>
            <w:shd w:val="clear" w:color="auto" w:fill="auto"/>
            <w:vAlign w:val="center"/>
          </w:tcPr>
          <w:p w:rsidR="00503F23" w:rsidRPr="00BF2B2A" w:rsidRDefault="00503F23" w:rsidP="00B3672D">
            <w:pPr>
              <w:keepNext/>
              <w:keepLines/>
              <w:spacing w:before="80" w:after="80" w:line="220" w:lineRule="atLeast"/>
              <w:ind w:left="6" w:right="113"/>
              <w:jc w:val="center"/>
              <w:rPr>
                <w:rFonts w:ascii="Arial" w:hAnsi="Arial"/>
                <w:sz w:val="20"/>
                <w:szCs w:val="20"/>
              </w:rPr>
            </w:pPr>
            <w:r>
              <w:rPr>
                <w:rFonts w:ascii="Arial" w:hAnsi="Arial"/>
                <w:sz w:val="20"/>
                <w:szCs w:val="20"/>
              </w:rPr>
              <w:t>29/29</w:t>
            </w:r>
          </w:p>
        </w:tc>
        <w:tc>
          <w:tcPr>
            <w:tcW w:w="426" w:type="pct"/>
            <w:shd w:val="clear" w:color="auto" w:fill="auto"/>
            <w:vAlign w:val="center"/>
          </w:tcPr>
          <w:p w:rsidR="00503F23" w:rsidRPr="00BF2B2A" w:rsidRDefault="00503F23" w:rsidP="00C7523A">
            <w:pPr>
              <w:keepNext/>
              <w:keepLines/>
              <w:spacing w:before="40" w:after="80" w:line="220" w:lineRule="atLeast"/>
              <w:ind w:left="6"/>
              <w:jc w:val="center"/>
              <w:rPr>
                <w:rFonts w:ascii="Arial" w:hAnsi="Arial"/>
                <w:sz w:val="20"/>
                <w:szCs w:val="20"/>
              </w:rPr>
            </w:pPr>
            <w:r w:rsidRPr="00BF2B2A">
              <w:rPr>
                <w:rFonts w:ascii="Arial" w:hAnsi="Arial"/>
                <w:sz w:val="20"/>
                <w:szCs w:val="20"/>
              </w:rPr>
              <w:t>100</w:t>
            </w:r>
            <w:r w:rsidRPr="00BF2B2A">
              <w:rPr>
                <w:rFonts w:ascii="Arial" w:hAnsi="Arial"/>
                <w:b/>
                <w:position w:val="6"/>
                <w:sz w:val="18"/>
                <w:szCs w:val="20"/>
              </w:rPr>
              <w:t>b</w:t>
            </w:r>
          </w:p>
        </w:tc>
        <w:tc>
          <w:tcPr>
            <w:tcW w:w="426" w:type="pct"/>
            <w:shd w:val="clear" w:color="auto" w:fill="auto"/>
            <w:vAlign w:val="center"/>
          </w:tcPr>
          <w:p w:rsidR="00503F23" w:rsidRPr="00BF2B2A" w:rsidRDefault="000076CF" w:rsidP="00B3672D">
            <w:pPr>
              <w:keepNext/>
              <w:keepLines/>
              <w:spacing w:before="80" w:after="80" w:line="220" w:lineRule="atLeast"/>
              <w:ind w:left="6" w:right="113"/>
              <w:jc w:val="center"/>
              <w:rPr>
                <w:rFonts w:ascii="Arial" w:hAnsi="Arial"/>
                <w:sz w:val="20"/>
                <w:szCs w:val="20"/>
              </w:rPr>
            </w:pPr>
            <w:r>
              <w:rPr>
                <w:rFonts w:ascii="Arial" w:hAnsi="Arial"/>
                <w:sz w:val="20"/>
                <w:szCs w:val="20"/>
              </w:rPr>
              <w:t> </w:t>
            </w:r>
            <w:r w:rsidR="00503F23">
              <w:rPr>
                <w:rFonts w:ascii="Arial" w:hAnsi="Arial"/>
                <w:sz w:val="20"/>
                <w:szCs w:val="20"/>
              </w:rPr>
              <w:t>27/28</w:t>
            </w:r>
          </w:p>
        </w:tc>
        <w:tc>
          <w:tcPr>
            <w:tcW w:w="427" w:type="pct"/>
            <w:shd w:val="clear" w:color="auto" w:fill="auto"/>
            <w:vAlign w:val="center"/>
          </w:tcPr>
          <w:p w:rsidR="00503F23" w:rsidRPr="00BF2B2A" w:rsidRDefault="00503F23" w:rsidP="00B3672D">
            <w:pPr>
              <w:keepNext/>
              <w:keepLines/>
              <w:spacing w:before="80" w:after="80" w:line="220" w:lineRule="atLeast"/>
              <w:ind w:left="6" w:right="28"/>
              <w:jc w:val="center"/>
              <w:rPr>
                <w:rFonts w:ascii="Arial" w:hAnsi="Arial"/>
                <w:sz w:val="20"/>
                <w:szCs w:val="20"/>
              </w:rPr>
            </w:pPr>
            <w:r>
              <w:rPr>
                <w:rFonts w:ascii="Arial" w:hAnsi="Arial"/>
                <w:sz w:val="20"/>
                <w:szCs w:val="20"/>
              </w:rPr>
              <w:t>96</w:t>
            </w:r>
          </w:p>
        </w:tc>
        <w:tc>
          <w:tcPr>
            <w:tcW w:w="426" w:type="pct"/>
            <w:shd w:val="clear" w:color="auto" w:fill="auto"/>
            <w:vAlign w:val="center"/>
          </w:tcPr>
          <w:p w:rsidR="00503F23" w:rsidRPr="00BF2B2A" w:rsidRDefault="00503F23" w:rsidP="00B3672D">
            <w:pPr>
              <w:keepNext/>
              <w:keepLines/>
              <w:spacing w:before="80" w:after="80" w:line="220" w:lineRule="atLeast"/>
              <w:ind w:left="6" w:right="28"/>
              <w:jc w:val="center"/>
              <w:rPr>
                <w:rFonts w:ascii="Arial" w:hAnsi="Arial"/>
                <w:sz w:val="20"/>
                <w:szCs w:val="20"/>
              </w:rPr>
            </w:pPr>
            <w:r w:rsidRPr="00BF2B2A">
              <w:rPr>
                <w:rFonts w:ascii="Arial" w:hAnsi="Arial"/>
                <w:sz w:val="20"/>
                <w:szCs w:val="20"/>
              </w:rPr>
              <w:t>29/29</w:t>
            </w:r>
          </w:p>
        </w:tc>
        <w:tc>
          <w:tcPr>
            <w:tcW w:w="427" w:type="pct"/>
            <w:shd w:val="clear" w:color="auto" w:fill="auto"/>
            <w:vAlign w:val="center"/>
          </w:tcPr>
          <w:p w:rsidR="00503F23" w:rsidRPr="00BF2B2A" w:rsidRDefault="00503F23" w:rsidP="00C7523A">
            <w:pPr>
              <w:keepNext/>
              <w:keepLines/>
              <w:spacing w:before="40" w:after="80" w:line="220" w:lineRule="atLeast"/>
              <w:ind w:left="6"/>
              <w:jc w:val="center"/>
              <w:rPr>
                <w:rFonts w:ascii="Arial" w:hAnsi="Arial"/>
                <w:sz w:val="20"/>
                <w:szCs w:val="20"/>
              </w:rPr>
            </w:pPr>
            <w:r w:rsidRPr="00BF2B2A">
              <w:rPr>
                <w:rFonts w:ascii="Arial" w:hAnsi="Arial"/>
                <w:sz w:val="20"/>
                <w:szCs w:val="20"/>
              </w:rPr>
              <w:t>100</w:t>
            </w:r>
            <w:r w:rsidRPr="00BF2B2A">
              <w:rPr>
                <w:rFonts w:ascii="Arial" w:hAnsi="Arial"/>
                <w:b/>
                <w:position w:val="6"/>
                <w:sz w:val="18"/>
                <w:szCs w:val="20"/>
              </w:rPr>
              <w:t>b</w:t>
            </w:r>
          </w:p>
        </w:tc>
        <w:tc>
          <w:tcPr>
            <w:tcW w:w="426" w:type="pct"/>
            <w:shd w:val="clear" w:color="auto" w:fill="auto"/>
            <w:vAlign w:val="center"/>
          </w:tcPr>
          <w:p w:rsidR="00503F23" w:rsidRPr="00BF2B2A" w:rsidRDefault="00503F23" w:rsidP="00B3672D">
            <w:pPr>
              <w:keepNext/>
              <w:keepLines/>
              <w:spacing w:before="80" w:after="80" w:line="220" w:lineRule="atLeast"/>
              <w:ind w:left="6" w:right="28"/>
              <w:jc w:val="center"/>
              <w:rPr>
                <w:rFonts w:ascii="Arial" w:hAnsi="Arial"/>
                <w:sz w:val="20"/>
                <w:szCs w:val="20"/>
              </w:rPr>
            </w:pPr>
            <w:r w:rsidRPr="001175A4">
              <w:rPr>
                <w:rFonts w:ascii="Arial" w:hAnsi="Arial"/>
                <w:sz w:val="20"/>
                <w:szCs w:val="20"/>
              </w:rPr>
              <w:t>11/11</w:t>
            </w:r>
          </w:p>
        </w:tc>
        <w:tc>
          <w:tcPr>
            <w:tcW w:w="427" w:type="pct"/>
            <w:shd w:val="clear" w:color="auto" w:fill="auto"/>
          </w:tcPr>
          <w:p w:rsidR="00503F23" w:rsidRPr="00BF2B2A" w:rsidRDefault="00503F23" w:rsidP="00C7523A">
            <w:pPr>
              <w:keepNext/>
              <w:keepLines/>
              <w:spacing w:before="40" w:after="80" w:line="220" w:lineRule="atLeast"/>
              <w:ind w:left="6"/>
              <w:jc w:val="center"/>
              <w:rPr>
                <w:rFonts w:ascii="Arial" w:hAnsi="Arial"/>
                <w:sz w:val="20"/>
                <w:szCs w:val="20"/>
              </w:rPr>
            </w:pPr>
            <w:r w:rsidRPr="00BF2B2A">
              <w:rPr>
                <w:rFonts w:ascii="Arial" w:hAnsi="Arial"/>
                <w:sz w:val="20"/>
                <w:szCs w:val="20"/>
              </w:rPr>
              <w:t>100</w:t>
            </w:r>
            <w:r w:rsidRPr="00BF2B2A">
              <w:rPr>
                <w:rFonts w:ascii="Arial" w:hAnsi="Arial"/>
                <w:b/>
                <w:position w:val="6"/>
                <w:sz w:val="18"/>
                <w:szCs w:val="20"/>
              </w:rPr>
              <w:t>b</w:t>
            </w:r>
          </w:p>
        </w:tc>
        <w:tc>
          <w:tcPr>
            <w:tcW w:w="427" w:type="pct"/>
          </w:tcPr>
          <w:p w:rsidR="00503F23" w:rsidRPr="00BF2B2A" w:rsidRDefault="00503F23" w:rsidP="00855234">
            <w:pPr>
              <w:keepNext/>
              <w:keepLines/>
              <w:spacing w:before="100" w:after="80" w:line="220" w:lineRule="atLeast"/>
              <w:ind w:left="6"/>
              <w:jc w:val="center"/>
              <w:rPr>
                <w:rFonts w:ascii="Arial" w:hAnsi="Arial"/>
                <w:i/>
                <w:sz w:val="20"/>
                <w:szCs w:val="20"/>
              </w:rPr>
            </w:pPr>
            <w:r>
              <w:rPr>
                <w:rFonts w:ascii="Arial" w:hAnsi="Arial"/>
                <w:sz w:val="20"/>
                <w:szCs w:val="20"/>
              </w:rPr>
              <w:t>13/13</w:t>
            </w:r>
          </w:p>
        </w:tc>
        <w:tc>
          <w:tcPr>
            <w:tcW w:w="427" w:type="pct"/>
          </w:tcPr>
          <w:p w:rsidR="00503F23" w:rsidRPr="00BF2B2A" w:rsidRDefault="00503F23" w:rsidP="00C7523A">
            <w:pPr>
              <w:keepNext/>
              <w:keepLines/>
              <w:spacing w:before="40" w:after="80" w:line="220" w:lineRule="atLeast"/>
              <w:ind w:left="6"/>
              <w:jc w:val="center"/>
              <w:rPr>
                <w:rFonts w:ascii="Arial" w:hAnsi="Arial"/>
                <w:sz w:val="20"/>
                <w:szCs w:val="20"/>
              </w:rPr>
            </w:pPr>
            <w:r w:rsidRPr="00BF2B2A">
              <w:rPr>
                <w:rFonts w:ascii="Arial" w:hAnsi="Arial"/>
                <w:sz w:val="20"/>
                <w:szCs w:val="20"/>
              </w:rPr>
              <w:t>100</w:t>
            </w:r>
            <w:r w:rsidRPr="00BF2B2A">
              <w:rPr>
                <w:rFonts w:ascii="Arial" w:hAnsi="Arial"/>
                <w:b/>
                <w:position w:val="6"/>
                <w:sz w:val="18"/>
                <w:szCs w:val="20"/>
              </w:rPr>
              <w:t>b</w:t>
            </w:r>
          </w:p>
        </w:tc>
      </w:tr>
      <w:tr w:rsidR="00503F23" w:rsidRPr="00BF2B2A" w:rsidTr="00503F23">
        <w:trPr>
          <w:trHeight w:val="249"/>
        </w:trPr>
        <w:tc>
          <w:tcPr>
            <w:tcW w:w="733" w:type="pct"/>
            <w:tcBorders>
              <w:bottom w:val="single" w:sz="4" w:space="0" w:color="auto"/>
            </w:tcBorders>
            <w:shd w:val="clear" w:color="auto" w:fill="auto"/>
            <w:vAlign w:val="center"/>
          </w:tcPr>
          <w:p w:rsidR="00503F23" w:rsidRPr="00BF2B2A" w:rsidRDefault="00503F23" w:rsidP="00E443B7">
            <w:pPr>
              <w:keepNext/>
              <w:keepLines/>
              <w:spacing w:after="40" w:line="220" w:lineRule="atLeast"/>
              <w:ind w:left="1440" w:right="113" w:hanging="1434"/>
              <w:rPr>
                <w:rFonts w:ascii="Arial" w:hAnsi="Arial"/>
                <w:sz w:val="20"/>
                <w:szCs w:val="20"/>
              </w:rPr>
            </w:pPr>
            <w:r w:rsidRPr="00BF2B2A">
              <w:rPr>
                <w:rFonts w:ascii="Arial" w:hAnsi="Arial"/>
                <w:sz w:val="20"/>
                <w:szCs w:val="20"/>
              </w:rPr>
              <w:t>BIA</w:t>
            </w:r>
          </w:p>
        </w:tc>
        <w:tc>
          <w:tcPr>
            <w:tcW w:w="426" w:type="pct"/>
            <w:tcBorders>
              <w:bottom w:val="single" w:sz="4" w:space="0" w:color="auto"/>
            </w:tcBorders>
            <w:shd w:val="clear" w:color="auto" w:fill="auto"/>
            <w:vAlign w:val="center"/>
          </w:tcPr>
          <w:p w:rsidR="00503F23" w:rsidRPr="00BF2B2A" w:rsidRDefault="00503F23" w:rsidP="00B3672D">
            <w:pPr>
              <w:keepNext/>
              <w:keepLines/>
              <w:spacing w:after="40" w:line="220" w:lineRule="atLeast"/>
              <w:ind w:left="6" w:right="113"/>
              <w:jc w:val="center"/>
              <w:rPr>
                <w:rFonts w:ascii="Arial" w:hAnsi="Arial"/>
                <w:sz w:val="20"/>
                <w:szCs w:val="20"/>
              </w:rPr>
            </w:pPr>
            <w:r>
              <w:rPr>
                <w:rFonts w:ascii="Arial" w:hAnsi="Arial"/>
                <w:sz w:val="20"/>
                <w:szCs w:val="20"/>
              </w:rPr>
              <w:t>7/8</w:t>
            </w:r>
          </w:p>
        </w:tc>
        <w:tc>
          <w:tcPr>
            <w:tcW w:w="426" w:type="pct"/>
            <w:tcBorders>
              <w:bottom w:val="single" w:sz="4" w:space="0" w:color="auto"/>
            </w:tcBorders>
            <w:shd w:val="clear" w:color="auto" w:fill="auto"/>
            <w:vAlign w:val="center"/>
          </w:tcPr>
          <w:p w:rsidR="00503F23" w:rsidRPr="00BF2B2A" w:rsidRDefault="000076CF" w:rsidP="00B3672D">
            <w:pPr>
              <w:keepNext/>
              <w:keepLines/>
              <w:spacing w:after="40" w:line="220" w:lineRule="atLeast"/>
              <w:ind w:left="6" w:right="113"/>
              <w:jc w:val="center"/>
              <w:rPr>
                <w:rFonts w:ascii="Arial" w:hAnsi="Arial"/>
                <w:sz w:val="20"/>
                <w:szCs w:val="20"/>
              </w:rPr>
            </w:pPr>
            <w:r>
              <w:rPr>
                <w:rFonts w:ascii="Arial" w:hAnsi="Arial"/>
                <w:sz w:val="20"/>
                <w:szCs w:val="20"/>
              </w:rPr>
              <w:t>  </w:t>
            </w:r>
            <w:r w:rsidR="00503F23">
              <w:rPr>
                <w:rFonts w:ascii="Arial" w:hAnsi="Arial"/>
                <w:sz w:val="20"/>
                <w:szCs w:val="20"/>
              </w:rPr>
              <w:t>87.5</w:t>
            </w:r>
          </w:p>
        </w:tc>
        <w:tc>
          <w:tcPr>
            <w:tcW w:w="426" w:type="pct"/>
            <w:tcBorders>
              <w:bottom w:val="single" w:sz="4" w:space="0" w:color="auto"/>
            </w:tcBorders>
            <w:shd w:val="clear" w:color="auto" w:fill="auto"/>
            <w:vAlign w:val="center"/>
          </w:tcPr>
          <w:p w:rsidR="00503F23" w:rsidRPr="00BF2B2A" w:rsidRDefault="00503F23" w:rsidP="00B3672D">
            <w:pPr>
              <w:keepNext/>
              <w:keepLines/>
              <w:spacing w:after="40" w:line="220" w:lineRule="atLeast"/>
              <w:ind w:left="6" w:right="28"/>
              <w:jc w:val="center"/>
              <w:rPr>
                <w:rFonts w:ascii="Arial" w:hAnsi="Arial"/>
                <w:sz w:val="20"/>
                <w:szCs w:val="20"/>
              </w:rPr>
            </w:pPr>
            <w:r>
              <w:rPr>
                <w:rFonts w:ascii="Arial" w:hAnsi="Arial"/>
                <w:sz w:val="20"/>
                <w:szCs w:val="20"/>
              </w:rPr>
              <w:t>12/13</w:t>
            </w:r>
          </w:p>
        </w:tc>
        <w:tc>
          <w:tcPr>
            <w:tcW w:w="427" w:type="pct"/>
            <w:tcBorders>
              <w:bottom w:val="single" w:sz="4" w:space="0" w:color="auto"/>
            </w:tcBorders>
            <w:shd w:val="clear" w:color="auto" w:fill="auto"/>
            <w:vAlign w:val="center"/>
          </w:tcPr>
          <w:p w:rsidR="00503F23" w:rsidRPr="00BF2B2A" w:rsidRDefault="00503F23" w:rsidP="00B3672D">
            <w:pPr>
              <w:keepNext/>
              <w:keepLines/>
              <w:spacing w:after="40" w:line="220" w:lineRule="atLeast"/>
              <w:ind w:left="6" w:right="28"/>
              <w:jc w:val="center"/>
              <w:rPr>
                <w:rFonts w:ascii="Arial" w:hAnsi="Arial"/>
                <w:sz w:val="20"/>
                <w:szCs w:val="20"/>
              </w:rPr>
            </w:pPr>
            <w:r>
              <w:rPr>
                <w:rFonts w:ascii="Arial" w:hAnsi="Arial"/>
                <w:sz w:val="20"/>
                <w:szCs w:val="20"/>
              </w:rPr>
              <w:t>92</w:t>
            </w:r>
          </w:p>
        </w:tc>
        <w:tc>
          <w:tcPr>
            <w:tcW w:w="426" w:type="pct"/>
            <w:tcBorders>
              <w:bottom w:val="single" w:sz="4" w:space="0" w:color="auto"/>
            </w:tcBorders>
            <w:shd w:val="clear" w:color="auto" w:fill="auto"/>
            <w:vAlign w:val="center"/>
          </w:tcPr>
          <w:p w:rsidR="00503F23" w:rsidRPr="00BF2B2A" w:rsidRDefault="00503F23" w:rsidP="00B3672D">
            <w:pPr>
              <w:keepNext/>
              <w:keepLines/>
              <w:spacing w:after="40" w:line="220" w:lineRule="atLeast"/>
              <w:ind w:left="6" w:right="28"/>
              <w:jc w:val="center"/>
              <w:rPr>
                <w:rFonts w:ascii="Arial" w:hAnsi="Arial"/>
                <w:sz w:val="20"/>
                <w:szCs w:val="20"/>
              </w:rPr>
            </w:pPr>
            <w:r>
              <w:rPr>
                <w:rFonts w:ascii="Arial" w:hAnsi="Arial"/>
                <w:sz w:val="20"/>
                <w:szCs w:val="20"/>
              </w:rPr>
              <w:t>14/15</w:t>
            </w:r>
          </w:p>
        </w:tc>
        <w:tc>
          <w:tcPr>
            <w:tcW w:w="427" w:type="pct"/>
            <w:tcBorders>
              <w:bottom w:val="single" w:sz="4" w:space="0" w:color="auto"/>
            </w:tcBorders>
            <w:shd w:val="clear" w:color="auto" w:fill="auto"/>
            <w:vAlign w:val="center"/>
          </w:tcPr>
          <w:p w:rsidR="00503F23" w:rsidRPr="00BF2B2A" w:rsidRDefault="00503F23" w:rsidP="00B3672D">
            <w:pPr>
              <w:keepNext/>
              <w:keepLines/>
              <w:spacing w:after="40" w:line="220" w:lineRule="atLeast"/>
              <w:ind w:left="6" w:right="28"/>
              <w:jc w:val="center"/>
              <w:rPr>
                <w:rFonts w:ascii="Arial" w:hAnsi="Arial"/>
                <w:sz w:val="20"/>
                <w:szCs w:val="20"/>
              </w:rPr>
            </w:pPr>
            <w:r>
              <w:rPr>
                <w:rFonts w:ascii="Arial" w:hAnsi="Arial"/>
                <w:sz w:val="20"/>
                <w:szCs w:val="20"/>
              </w:rPr>
              <w:t>93</w:t>
            </w:r>
          </w:p>
        </w:tc>
        <w:tc>
          <w:tcPr>
            <w:tcW w:w="426" w:type="pct"/>
            <w:tcBorders>
              <w:bottom w:val="single" w:sz="4" w:space="0" w:color="auto"/>
            </w:tcBorders>
            <w:shd w:val="clear" w:color="auto" w:fill="auto"/>
            <w:vAlign w:val="center"/>
          </w:tcPr>
          <w:p w:rsidR="00503F23" w:rsidRPr="00BF2B2A" w:rsidRDefault="00503F23" w:rsidP="00B3672D">
            <w:pPr>
              <w:keepNext/>
              <w:keepLines/>
              <w:spacing w:after="40" w:line="220" w:lineRule="atLeast"/>
              <w:ind w:left="6" w:right="28"/>
              <w:jc w:val="center"/>
              <w:rPr>
                <w:rFonts w:ascii="Arial" w:hAnsi="Arial"/>
                <w:sz w:val="20"/>
                <w:szCs w:val="20"/>
              </w:rPr>
            </w:pPr>
            <w:r>
              <w:rPr>
                <w:rFonts w:ascii="Arial" w:hAnsi="Arial"/>
                <w:sz w:val="20"/>
                <w:szCs w:val="20"/>
              </w:rPr>
              <w:t>2/2</w:t>
            </w:r>
          </w:p>
        </w:tc>
        <w:tc>
          <w:tcPr>
            <w:tcW w:w="427" w:type="pct"/>
            <w:tcBorders>
              <w:bottom w:val="single" w:sz="4" w:space="0" w:color="auto"/>
            </w:tcBorders>
            <w:shd w:val="clear" w:color="auto" w:fill="auto"/>
          </w:tcPr>
          <w:p w:rsidR="00503F23" w:rsidRPr="00BF2B2A" w:rsidRDefault="00503F23" w:rsidP="00C7523A">
            <w:pPr>
              <w:keepNext/>
              <w:keepLines/>
              <w:spacing w:before="40" w:after="80" w:line="220" w:lineRule="atLeast"/>
              <w:ind w:left="6"/>
              <w:jc w:val="center"/>
              <w:rPr>
                <w:rFonts w:ascii="Arial" w:hAnsi="Arial"/>
                <w:sz w:val="20"/>
                <w:szCs w:val="20"/>
              </w:rPr>
            </w:pPr>
            <w:r w:rsidRPr="00BF2B2A">
              <w:rPr>
                <w:rFonts w:ascii="Arial" w:hAnsi="Arial"/>
                <w:sz w:val="20"/>
                <w:szCs w:val="20"/>
              </w:rPr>
              <w:t>100</w:t>
            </w:r>
            <w:r w:rsidRPr="00BF2B2A">
              <w:rPr>
                <w:rFonts w:ascii="Arial" w:hAnsi="Arial"/>
                <w:b/>
                <w:position w:val="6"/>
                <w:sz w:val="18"/>
                <w:szCs w:val="20"/>
              </w:rPr>
              <w:t>b</w:t>
            </w:r>
          </w:p>
        </w:tc>
        <w:tc>
          <w:tcPr>
            <w:tcW w:w="427" w:type="pct"/>
            <w:tcBorders>
              <w:bottom w:val="single" w:sz="4" w:space="0" w:color="auto"/>
            </w:tcBorders>
          </w:tcPr>
          <w:p w:rsidR="00503F23" w:rsidRPr="00BF2B2A" w:rsidRDefault="00503F23" w:rsidP="00C7523A">
            <w:pPr>
              <w:keepNext/>
              <w:keepLines/>
              <w:spacing w:before="60" w:after="40" w:line="220" w:lineRule="atLeast"/>
              <w:ind w:left="6"/>
              <w:jc w:val="center"/>
              <w:rPr>
                <w:rFonts w:ascii="Arial" w:hAnsi="Arial"/>
                <w:sz w:val="20"/>
                <w:szCs w:val="20"/>
              </w:rPr>
            </w:pPr>
            <w:r>
              <w:rPr>
                <w:rFonts w:ascii="Arial" w:hAnsi="Arial"/>
                <w:sz w:val="20"/>
                <w:szCs w:val="20"/>
              </w:rPr>
              <w:t>2/2</w:t>
            </w:r>
          </w:p>
        </w:tc>
        <w:tc>
          <w:tcPr>
            <w:tcW w:w="427" w:type="pct"/>
            <w:tcBorders>
              <w:bottom w:val="single" w:sz="4" w:space="0" w:color="auto"/>
            </w:tcBorders>
          </w:tcPr>
          <w:p w:rsidR="00503F23" w:rsidRPr="00BF2B2A" w:rsidRDefault="00503F23" w:rsidP="00C7523A">
            <w:pPr>
              <w:keepNext/>
              <w:keepLines/>
              <w:spacing w:before="40" w:after="80" w:line="220" w:lineRule="atLeast"/>
              <w:ind w:left="6"/>
              <w:jc w:val="center"/>
              <w:rPr>
                <w:rFonts w:ascii="Arial" w:hAnsi="Arial"/>
                <w:sz w:val="20"/>
                <w:szCs w:val="20"/>
              </w:rPr>
            </w:pPr>
            <w:r w:rsidRPr="00BF2B2A">
              <w:rPr>
                <w:rFonts w:ascii="Arial" w:hAnsi="Arial"/>
                <w:sz w:val="20"/>
                <w:szCs w:val="20"/>
              </w:rPr>
              <w:t>100</w:t>
            </w:r>
            <w:r w:rsidRPr="00BF2B2A">
              <w:rPr>
                <w:rFonts w:ascii="Arial" w:hAnsi="Arial"/>
                <w:b/>
                <w:position w:val="6"/>
                <w:sz w:val="18"/>
                <w:szCs w:val="20"/>
              </w:rPr>
              <w:t>b</w:t>
            </w:r>
          </w:p>
        </w:tc>
      </w:tr>
    </w:tbl>
    <w:p w:rsidR="00BA27AA" w:rsidRDefault="00907B45" w:rsidP="00BA27AA">
      <w:pPr>
        <w:pStyle w:val="Source"/>
      </w:pPr>
      <w:r>
        <w:rPr>
          <w:rStyle w:val="NoteLabel"/>
        </w:rPr>
        <w:t xml:space="preserve">a </w:t>
      </w:r>
      <w:r w:rsidRPr="0074416C">
        <w:t xml:space="preserve">The compliance rate is the number of </w:t>
      </w:r>
      <w:r>
        <w:t>RIS</w:t>
      </w:r>
      <w:r w:rsidR="00A63030">
        <w:t>s</w:t>
      </w:r>
      <w:r w:rsidR="00083BEC">
        <w:t xml:space="preserve"> or </w:t>
      </w:r>
      <w:r w:rsidR="00A41D0B">
        <w:t>BIAs</w:t>
      </w:r>
      <w:r>
        <w:t xml:space="preserve"> assessed as adequate divided</w:t>
      </w:r>
      <w:r w:rsidRPr="0074416C">
        <w:t xml:space="preserve"> by the total number of RIS</w:t>
      </w:r>
      <w:r>
        <w:t>s</w:t>
      </w:r>
      <w:r w:rsidR="00083BEC">
        <w:t xml:space="preserve"> or </w:t>
      </w:r>
      <w:r w:rsidR="00A41D0B">
        <w:t>BIAs</w:t>
      </w:r>
      <w:r>
        <w:t xml:space="preserve"> </w:t>
      </w:r>
      <w:r w:rsidR="00A63030">
        <w:t xml:space="preserve">assessed by </w:t>
      </w:r>
      <w:r w:rsidR="000C1DAC">
        <w:t xml:space="preserve">the </w:t>
      </w:r>
      <w:r>
        <w:t>VCEC</w:t>
      </w:r>
      <w:r w:rsidR="000D1E8A">
        <w:t>.</w:t>
      </w:r>
      <w:r>
        <w:t xml:space="preserve"> </w:t>
      </w:r>
      <w:r>
        <w:rPr>
          <w:rStyle w:val="NoteLabel"/>
        </w:rPr>
        <w:t>b</w:t>
      </w:r>
      <w:r w:rsidR="00BA27AA">
        <w:rPr>
          <w:rStyle w:val="NoteLabel"/>
        </w:rPr>
        <w:t xml:space="preserve"> </w:t>
      </w:r>
      <w:r w:rsidR="00BA27AA">
        <w:t xml:space="preserve">Full compliance is implied but not explicitly stated in the VCEC annual reports. </w:t>
      </w:r>
    </w:p>
    <w:p w:rsidR="00BA27AA" w:rsidRPr="00526E5C" w:rsidRDefault="00BA27AA" w:rsidP="00BA27AA">
      <w:pPr>
        <w:pStyle w:val="Source"/>
      </w:pPr>
      <w:r>
        <w:rPr>
          <w:i/>
        </w:rPr>
        <w:t>Source</w:t>
      </w:r>
      <w:r w:rsidR="00AF6EEA">
        <w:rPr>
          <w:i/>
        </w:rPr>
        <w:t>s</w:t>
      </w:r>
      <w:r>
        <w:t xml:space="preserve">: VCEC </w:t>
      </w:r>
      <w:r w:rsidR="000D1E8A">
        <w:t>(</w:t>
      </w:r>
      <w:r w:rsidR="00F373C2">
        <w:t>2008, 2009, 2010, 2011</w:t>
      </w:r>
      <w:r w:rsidR="00C03263">
        <w:t>a</w:t>
      </w:r>
      <w:r w:rsidR="00D2116D">
        <w:t>,</w:t>
      </w:r>
      <w:r w:rsidR="00AF6EEA">
        <w:t xml:space="preserve"> 2012</w:t>
      </w:r>
      <w:r w:rsidR="000D1E8A">
        <w:t>)</w:t>
      </w:r>
      <w:r w:rsidR="00F373C2">
        <w:t>.</w:t>
      </w:r>
    </w:p>
    <w:p w:rsidR="006E5D21" w:rsidRPr="00CB2BBB" w:rsidRDefault="006E5D21" w:rsidP="006E5D21">
      <w:pPr>
        <w:pStyle w:val="BodyText"/>
      </w:pPr>
      <w:r w:rsidRPr="007A4FBA">
        <w:t>Compliance rates for both RIS</w:t>
      </w:r>
      <w:r>
        <w:t>s</w:t>
      </w:r>
      <w:r w:rsidRPr="007A4FBA">
        <w:t xml:space="preserve"> and BIA</w:t>
      </w:r>
      <w:r>
        <w:t>s have been high in recent years</w:t>
      </w:r>
      <w:r w:rsidRPr="007A4FBA">
        <w:t xml:space="preserve">. As </w:t>
      </w:r>
      <w:r w:rsidR="00F2340E">
        <w:t>for</w:t>
      </w:r>
      <w:r w:rsidRPr="007A4FBA">
        <w:t xml:space="preserve"> Commonwealth and COAG</w:t>
      </w:r>
      <w:r w:rsidR="00EE4DE2">
        <w:t xml:space="preserve">, </w:t>
      </w:r>
      <w:r w:rsidRPr="007A4FBA">
        <w:t>where a RIS</w:t>
      </w:r>
      <w:r w:rsidR="00083BEC">
        <w:t xml:space="preserve"> or </w:t>
      </w:r>
      <w:r w:rsidRPr="007A4FBA">
        <w:t>BIA is completed</w:t>
      </w:r>
      <w:r w:rsidR="00083BEC">
        <w:t xml:space="preserve"> in Victoria</w:t>
      </w:r>
      <w:r w:rsidRPr="007A4FBA">
        <w:t xml:space="preserve"> it is</w:t>
      </w:r>
      <w:r>
        <w:t xml:space="preserve"> usu</w:t>
      </w:r>
      <w:r w:rsidRPr="007A4FBA">
        <w:t xml:space="preserve">ally assessed as adequate. </w:t>
      </w:r>
      <w:r>
        <w:t>Only one published RIS has been assessed as inadequate since</w:t>
      </w:r>
      <w:r w:rsidR="000C1DAC">
        <w:t xml:space="preserve"> the</w:t>
      </w:r>
      <w:r>
        <w:t xml:space="preserve"> VCEC was established in 2004. In its annual report, </w:t>
      </w:r>
      <w:r w:rsidR="000C1DAC">
        <w:t xml:space="preserve">the </w:t>
      </w:r>
      <w:r>
        <w:t xml:space="preserve">VCEC provided explicit reasons for </w:t>
      </w:r>
      <w:r w:rsidR="009D75EB">
        <w:t xml:space="preserve">its </w:t>
      </w:r>
      <w:r>
        <w:t>assessment</w:t>
      </w:r>
      <w:r w:rsidR="00083BEC">
        <w:t xml:space="preserve"> in that case</w:t>
      </w:r>
      <w:r>
        <w:t xml:space="preserve">: </w:t>
      </w:r>
    </w:p>
    <w:p w:rsidR="006E5D21" w:rsidRPr="002F710A" w:rsidRDefault="006E5D21" w:rsidP="006E5D21">
      <w:pPr>
        <w:pStyle w:val="Quote"/>
      </w:pPr>
      <w:r w:rsidRPr="002F710A">
        <w:t xml:space="preserve">The Commission’s assessment was based on the fact that the level of analysis in key components of the RIS did not meet the requirements of section 10(3) of the Subordinate Legislation Act 1994 … did not provide sufficient or clear analysis of whether the benefits arising from this element of the proposed Regulations exceeded the estimated costs of $70 million per year, or whether it provided the best overall </w:t>
      </w:r>
      <w:r w:rsidRPr="002F710A">
        <w:lastRenderedPageBreak/>
        <w:t>outcomes for the community compared wi</w:t>
      </w:r>
      <w:r w:rsidR="000C606A">
        <w:t xml:space="preserve">th other feasible approaches </w:t>
      </w:r>
      <w:r w:rsidRPr="002F710A">
        <w:t>… The analysis of the fees imposed through the Regulations also was not sufficiently robu</w:t>
      </w:r>
      <w:r w:rsidR="00303E2D" w:rsidRPr="002F710A">
        <w:t>st</w:t>
      </w:r>
      <w:r w:rsidRPr="002F710A">
        <w:t>. (VCEC 2009, p. 69)</w:t>
      </w:r>
    </w:p>
    <w:p w:rsidR="006E5D21" w:rsidRDefault="006E5D21" w:rsidP="006E5D21">
      <w:pPr>
        <w:pStyle w:val="BodyText"/>
      </w:pPr>
      <w:r>
        <w:t xml:space="preserve">There have been </w:t>
      </w:r>
      <w:r w:rsidR="009D75EB">
        <w:t xml:space="preserve">a small number of </w:t>
      </w:r>
      <w:r>
        <w:t xml:space="preserve">BIAs assessed as inadequate in recent years. </w:t>
      </w:r>
      <w:r w:rsidRPr="00CB2BBB">
        <w:t xml:space="preserve">Where </w:t>
      </w:r>
      <w:r>
        <w:t xml:space="preserve">this occurs, the VCEC does not </w:t>
      </w:r>
      <w:r w:rsidR="00E800E1">
        <w:t xml:space="preserve">individually identify the proposal or </w:t>
      </w:r>
      <w:r>
        <w:t>report reasons for its assessment because BIAs are cabinet-in-confidence documents and are not publicly released</w:t>
      </w:r>
      <w:r w:rsidRPr="00AC4824">
        <w:t>.</w:t>
      </w:r>
    </w:p>
    <w:p w:rsidR="004B5216" w:rsidRDefault="004B5216" w:rsidP="009546AF">
      <w:pPr>
        <w:pStyle w:val="Heading3"/>
      </w:pPr>
      <w:r>
        <w:t xml:space="preserve">Cost of RIA: </w:t>
      </w:r>
      <w:r w:rsidR="0064710E">
        <w:t>r</w:t>
      </w:r>
      <w:r>
        <w:t>egulatory oversight bodies</w:t>
      </w:r>
    </w:p>
    <w:p w:rsidR="005B3011" w:rsidRDefault="00A22942" w:rsidP="005B3011">
      <w:pPr>
        <w:pStyle w:val="BodyText"/>
      </w:pPr>
      <w:r>
        <w:t>C</w:t>
      </w:r>
      <w:r w:rsidR="000D1E8A">
        <w:t xml:space="preserve">osts and </w:t>
      </w:r>
      <w:r w:rsidR="001B6247">
        <w:t>staff</w:t>
      </w:r>
      <w:r>
        <w:t xml:space="preserve"> levels</w:t>
      </w:r>
      <w:r w:rsidR="00F373C2">
        <w:t xml:space="preserve"> associated with RIA related activities vary</w:t>
      </w:r>
      <w:r w:rsidR="005B3011" w:rsidRPr="002F710A">
        <w:t xml:space="preserve"> su</w:t>
      </w:r>
      <w:r w:rsidR="00454269" w:rsidRPr="002F710A">
        <w:t>bstantially</w:t>
      </w:r>
      <w:r w:rsidR="00F373C2">
        <w:t xml:space="preserve"> between oversight bodies</w:t>
      </w:r>
      <w:r>
        <w:t>,</w:t>
      </w:r>
      <w:r w:rsidR="00F373C2">
        <w:t xml:space="preserve"> due </w:t>
      </w:r>
      <w:r w:rsidR="00F2340E">
        <w:t xml:space="preserve">mainly </w:t>
      </w:r>
      <w:r w:rsidR="00F373C2">
        <w:t>to</w:t>
      </w:r>
      <w:r w:rsidR="00692260">
        <w:t xml:space="preserve"> </w:t>
      </w:r>
      <w:r>
        <w:t>variations in</w:t>
      </w:r>
      <w:r w:rsidR="00F373C2">
        <w:t xml:space="preserve"> </w:t>
      </w:r>
      <w:r w:rsidR="00F2340E">
        <w:t xml:space="preserve">oversight functions (table 3.7) and </w:t>
      </w:r>
      <w:r w:rsidR="00F373C2">
        <w:t>RIA</w:t>
      </w:r>
      <w:r w:rsidR="005B3011" w:rsidRPr="002F710A">
        <w:t xml:space="preserve"> activity </w:t>
      </w:r>
      <w:r w:rsidR="009D75EB">
        <w:t xml:space="preserve">(chapter 4) </w:t>
      </w:r>
      <w:r>
        <w:t>between</w:t>
      </w:r>
      <w:r w:rsidR="00F373C2">
        <w:t xml:space="preserve"> jurisdictions</w:t>
      </w:r>
      <w:r w:rsidR="00125311">
        <w:t>.</w:t>
      </w:r>
      <w:r w:rsidR="00DF2394" w:rsidRPr="00125311">
        <w:t xml:space="preserve"> </w:t>
      </w:r>
      <w:r w:rsidR="00DF2394">
        <w:t xml:space="preserve">The </w:t>
      </w:r>
      <w:r w:rsidR="00125311">
        <w:t xml:space="preserve">cost </w:t>
      </w:r>
      <w:r>
        <w:t xml:space="preserve">and staffing </w:t>
      </w:r>
      <w:r w:rsidR="00F373C2">
        <w:t>figures do not represent</w:t>
      </w:r>
      <w:r w:rsidR="00DF2394">
        <w:t xml:space="preserve"> </w:t>
      </w:r>
      <w:r w:rsidR="00777E60">
        <w:t xml:space="preserve">total </w:t>
      </w:r>
      <w:r w:rsidR="00F373C2">
        <w:t xml:space="preserve">budgets or employee numbers, since some </w:t>
      </w:r>
      <w:r w:rsidR="00DF2394">
        <w:t xml:space="preserve">oversight bodies have </w:t>
      </w:r>
      <w:r w:rsidR="007C10F6">
        <w:t>functions which do not relate to</w:t>
      </w:r>
      <w:r w:rsidR="00DF2394">
        <w:t xml:space="preserve"> RIA.</w:t>
      </w:r>
      <w:r w:rsidR="007C10F6">
        <w:t xml:space="preserve"> For example, the Tasmanian </w:t>
      </w:r>
      <w:r w:rsidR="00B3672D">
        <w:t>ERU</w:t>
      </w:r>
      <w:r w:rsidR="00F17B3B">
        <w:t xml:space="preserve"> </w:t>
      </w:r>
      <w:r w:rsidR="00B07AB9">
        <w:t>has seven</w:t>
      </w:r>
      <w:r w:rsidR="00F373C2">
        <w:t xml:space="preserve"> staff members undertaking RIA </w:t>
      </w:r>
      <w:r w:rsidR="001B6247">
        <w:t>related activities as</w:t>
      </w:r>
      <w:r w:rsidR="00223AEC">
        <w:t xml:space="preserve"> </w:t>
      </w:r>
      <w:r w:rsidR="007C10F6">
        <w:t xml:space="preserve">part of their broader duties, </w:t>
      </w:r>
      <w:r w:rsidR="00AF75D8">
        <w:t xml:space="preserve">resulting in a RIA </w:t>
      </w:r>
      <w:r>
        <w:t>full time equivalent (</w:t>
      </w:r>
      <w:r w:rsidR="00AF75D8">
        <w:t>FTE</w:t>
      </w:r>
      <w:r>
        <w:t>)</w:t>
      </w:r>
      <w:r w:rsidR="00AF75D8">
        <w:t xml:space="preserve"> estimate of </w:t>
      </w:r>
      <w:r w:rsidR="00223AEC">
        <w:t xml:space="preserve">only </w:t>
      </w:r>
      <w:r w:rsidR="00B07AB9">
        <w:t>two</w:t>
      </w:r>
      <w:r w:rsidR="007C10F6">
        <w:t xml:space="preserve"> </w:t>
      </w:r>
      <w:r w:rsidR="00777E60">
        <w:t>staff</w:t>
      </w:r>
      <w:r w:rsidR="001B6247">
        <w:t>.</w:t>
      </w:r>
    </w:p>
    <w:p w:rsidR="00CD1EB8" w:rsidRDefault="00CD1EB8" w:rsidP="00CD1EB8">
      <w:pPr>
        <w:pStyle w:val="TableTitle"/>
      </w:pPr>
      <w:r>
        <w:rPr>
          <w:b w:val="0"/>
        </w:rPr>
        <w:t xml:space="preserve">Table </w:t>
      </w:r>
      <w:r w:rsidR="00287B41">
        <w:rPr>
          <w:b w:val="0"/>
        </w:rPr>
        <w:t>3.</w:t>
      </w:r>
      <w:r w:rsidR="00702C9A">
        <w:rPr>
          <w:b w:val="0"/>
          <w:noProof/>
        </w:rPr>
        <w:t>7</w:t>
      </w:r>
      <w:r>
        <w:tab/>
        <w:t>Oversight body costs</w:t>
      </w:r>
      <w:r w:rsidR="00DF2394">
        <w:t xml:space="preserve"> and s</w:t>
      </w:r>
      <w:r w:rsidR="00EE4DE2">
        <w:t>taff</w:t>
      </w:r>
      <w:r w:rsidR="00DF2394">
        <w:t xml:space="preserve"> for RIA</w:t>
      </w:r>
      <w:r w:rsidR="001B6247">
        <w:t xml:space="preserve"> activities</w:t>
      </w:r>
    </w:p>
    <w:p w:rsidR="001C6BDB" w:rsidRDefault="000D1E8A">
      <w:pPr>
        <w:pStyle w:val="Subtitle"/>
      </w:pPr>
      <w:r>
        <w:t>2010-</w:t>
      </w:r>
      <w:r w:rsidR="001B6247">
        <w:t>11</w:t>
      </w:r>
    </w:p>
    <w:tbl>
      <w:tblPr>
        <w:tblW w:w="5000" w:type="pct"/>
        <w:tblCellMar>
          <w:left w:w="0" w:type="dxa"/>
          <w:right w:w="0" w:type="dxa"/>
        </w:tblCellMar>
        <w:tblLook w:val="0000" w:firstRow="0" w:lastRow="0" w:firstColumn="0" w:lastColumn="0" w:noHBand="0" w:noVBand="0"/>
      </w:tblPr>
      <w:tblGrid>
        <w:gridCol w:w="2930"/>
        <w:gridCol w:w="1890"/>
        <w:gridCol w:w="1041"/>
        <w:gridCol w:w="1652"/>
        <w:gridCol w:w="1276"/>
      </w:tblGrid>
      <w:tr w:rsidR="001C6BDB" w:rsidTr="001C6BDB">
        <w:tc>
          <w:tcPr>
            <w:tcW w:w="1667" w:type="pct"/>
            <w:tcBorders>
              <w:top w:val="single" w:sz="6" w:space="0" w:color="auto"/>
              <w:bottom w:val="single" w:sz="6" w:space="0" w:color="auto"/>
            </w:tcBorders>
            <w:shd w:val="clear" w:color="auto" w:fill="auto"/>
          </w:tcPr>
          <w:p w:rsidR="001C6BDB" w:rsidRDefault="001C6BDB" w:rsidP="001C6BDB">
            <w:pPr>
              <w:pStyle w:val="TableColumnHeading"/>
              <w:jc w:val="left"/>
            </w:pPr>
            <w:r>
              <w:t>Jurisdiction</w:t>
            </w:r>
          </w:p>
        </w:tc>
        <w:tc>
          <w:tcPr>
            <w:tcW w:w="1667" w:type="pct"/>
            <w:gridSpan w:val="2"/>
            <w:tcBorders>
              <w:top w:val="single" w:sz="6" w:space="0" w:color="auto"/>
              <w:bottom w:val="single" w:sz="6" w:space="0" w:color="auto"/>
            </w:tcBorders>
            <w:shd w:val="clear" w:color="auto" w:fill="auto"/>
          </w:tcPr>
          <w:p w:rsidR="001C6BDB" w:rsidRDefault="001C6BDB" w:rsidP="00B3672D">
            <w:pPr>
              <w:pStyle w:val="TableColumnHeading"/>
              <w:ind w:right="0"/>
              <w:jc w:val="center"/>
            </w:pPr>
            <w:r>
              <w:t>Costs ($)</w:t>
            </w:r>
          </w:p>
        </w:tc>
        <w:tc>
          <w:tcPr>
            <w:tcW w:w="1666" w:type="pct"/>
            <w:gridSpan w:val="2"/>
            <w:tcBorders>
              <w:top w:val="single" w:sz="6" w:space="0" w:color="auto"/>
              <w:bottom w:val="single" w:sz="6" w:space="0" w:color="auto"/>
            </w:tcBorders>
            <w:shd w:val="clear" w:color="auto" w:fill="auto"/>
          </w:tcPr>
          <w:p w:rsidR="001C6BDB" w:rsidRDefault="001C6BDB" w:rsidP="00445EAB">
            <w:pPr>
              <w:pStyle w:val="TableColumnHeading"/>
              <w:ind w:right="28"/>
              <w:jc w:val="center"/>
            </w:pPr>
            <w:r>
              <w:t>Full-time equivalent staff</w:t>
            </w:r>
          </w:p>
        </w:tc>
      </w:tr>
      <w:tr w:rsidR="0078218E" w:rsidTr="0078218E">
        <w:trPr>
          <w:trHeight w:val="298"/>
        </w:trPr>
        <w:tc>
          <w:tcPr>
            <w:tcW w:w="1667" w:type="pct"/>
          </w:tcPr>
          <w:p w:rsidR="0078218E" w:rsidRDefault="0078218E" w:rsidP="00445EAB">
            <w:pPr>
              <w:pStyle w:val="TableUnitsRow"/>
              <w:jc w:val="left"/>
            </w:pPr>
            <w:r>
              <w:t>Cwlth</w:t>
            </w:r>
            <w:r w:rsidRPr="008E77FE">
              <w:rPr>
                <w:rStyle w:val="NoteLabel"/>
              </w:rPr>
              <w:t>a</w:t>
            </w:r>
          </w:p>
        </w:tc>
        <w:tc>
          <w:tcPr>
            <w:tcW w:w="1075" w:type="pct"/>
            <w:vAlign w:val="bottom"/>
          </w:tcPr>
          <w:p w:rsidR="0078218E" w:rsidRDefault="0078218E" w:rsidP="0078218E">
            <w:pPr>
              <w:pStyle w:val="TableUnitsRow"/>
              <w:tabs>
                <w:tab w:val="left" w:pos="2600"/>
              </w:tabs>
              <w:ind w:right="-1"/>
            </w:pPr>
            <w:r>
              <w:t>2 660 000</w:t>
            </w:r>
          </w:p>
        </w:tc>
        <w:tc>
          <w:tcPr>
            <w:tcW w:w="592" w:type="pct"/>
          </w:tcPr>
          <w:p w:rsidR="0078218E" w:rsidRDefault="0078218E" w:rsidP="0078218E">
            <w:pPr>
              <w:pStyle w:val="TableBodyText"/>
              <w:ind w:right="0" w:hanging="6"/>
              <w:jc w:val="left"/>
            </w:pPr>
          </w:p>
        </w:tc>
        <w:tc>
          <w:tcPr>
            <w:tcW w:w="940" w:type="pct"/>
            <w:vAlign w:val="bottom"/>
          </w:tcPr>
          <w:p w:rsidR="0078218E" w:rsidRDefault="0078218E" w:rsidP="0078218E">
            <w:pPr>
              <w:pStyle w:val="TableUnitsRow"/>
              <w:ind w:right="0"/>
            </w:pPr>
            <w:r>
              <w:t>18.9</w:t>
            </w:r>
          </w:p>
        </w:tc>
        <w:tc>
          <w:tcPr>
            <w:tcW w:w="726" w:type="pct"/>
          </w:tcPr>
          <w:p w:rsidR="0078218E" w:rsidRDefault="0078218E" w:rsidP="001C6BDB">
            <w:pPr>
              <w:pStyle w:val="TableBodyText"/>
              <w:ind w:right="28"/>
            </w:pPr>
          </w:p>
        </w:tc>
      </w:tr>
      <w:tr w:rsidR="0078218E" w:rsidTr="0078218E">
        <w:tc>
          <w:tcPr>
            <w:tcW w:w="1667" w:type="pct"/>
          </w:tcPr>
          <w:p w:rsidR="0078218E" w:rsidRDefault="0078218E" w:rsidP="00445EAB">
            <w:pPr>
              <w:pStyle w:val="TableBodyText"/>
              <w:spacing w:before="20"/>
              <w:jc w:val="left"/>
            </w:pPr>
            <w:r>
              <w:t>COAG</w:t>
            </w:r>
            <w:r w:rsidRPr="008E77FE">
              <w:rPr>
                <w:rStyle w:val="NoteLabel"/>
              </w:rPr>
              <w:t>a</w:t>
            </w:r>
          </w:p>
        </w:tc>
        <w:tc>
          <w:tcPr>
            <w:tcW w:w="1075" w:type="pct"/>
            <w:vAlign w:val="bottom"/>
          </w:tcPr>
          <w:p w:rsidR="0078218E" w:rsidRDefault="0078218E" w:rsidP="0078218E">
            <w:pPr>
              <w:pStyle w:val="TableBodyText"/>
              <w:tabs>
                <w:tab w:val="left" w:pos="2600"/>
              </w:tabs>
              <w:spacing w:before="20"/>
              <w:ind w:right="-1"/>
            </w:pPr>
            <w:r>
              <w:t>1 140 000</w:t>
            </w:r>
          </w:p>
        </w:tc>
        <w:tc>
          <w:tcPr>
            <w:tcW w:w="592" w:type="pct"/>
          </w:tcPr>
          <w:p w:rsidR="0078218E" w:rsidRDefault="0078218E" w:rsidP="0078218E">
            <w:pPr>
              <w:pStyle w:val="TableBodyText"/>
              <w:ind w:right="0" w:hanging="6"/>
              <w:jc w:val="left"/>
            </w:pPr>
          </w:p>
        </w:tc>
        <w:tc>
          <w:tcPr>
            <w:tcW w:w="940" w:type="pct"/>
            <w:vAlign w:val="bottom"/>
          </w:tcPr>
          <w:p w:rsidR="0078218E" w:rsidRDefault="0078218E" w:rsidP="0078218E">
            <w:pPr>
              <w:pStyle w:val="TableBodyText"/>
              <w:spacing w:before="20"/>
              <w:ind w:right="0"/>
            </w:pPr>
            <w:r>
              <w:t>8.1</w:t>
            </w:r>
          </w:p>
        </w:tc>
        <w:tc>
          <w:tcPr>
            <w:tcW w:w="726" w:type="pct"/>
          </w:tcPr>
          <w:p w:rsidR="0078218E" w:rsidRDefault="0078218E" w:rsidP="001C6BDB">
            <w:pPr>
              <w:pStyle w:val="TableBodyText"/>
              <w:ind w:right="28"/>
            </w:pPr>
          </w:p>
        </w:tc>
      </w:tr>
      <w:tr w:rsidR="0078218E" w:rsidTr="0078218E">
        <w:tc>
          <w:tcPr>
            <w:tcW w:w="1667" w:type="pct"/>
          </w:tcPr>
          <w:p w:rsidR="0078218E" w:rsidRDefault="0078218E" w:rsidP="00445EAB">
            <w:pPr>
              <w:pStyle w:val="TableBodyText"/>
              <w:spacing w:before="20"/>
              <w:jc w:val="left"/>
            </w:pPr>
            <w:r>
              <w:t>NSW</w:t>
            </w:r>
          </w:p>
        </w:tc>
        <w:tc>
          <w:tcPr>
            <w:tcW w:w="1075" w:type="pct"/>
            <w:vAlign w:val="bottom"/>
          </w:tcPr>
          <w:p w:rsidR="0078218E" w:rsidRDefault="0078218E" w:rsidP="0078218E">
            <w:pPr>
              <w:pStyle w:val="TableBodyText"/>
              <w:ind w:right="0"/>
            </w:pPr>
            <w:r>
              <w:t>500 000</w:t>
            </w:r>
          </w:p>
        </w:tc>
        <w:tc>
          <w:tcPr>
            <w:tcW w:w="592" w:type="pct"/>
          </w:tcPr>
          <w:p w:rsidR="0078218E" w:rsidRDefault="0078218E" w:rsidP="0078218E">
            <w:pPr>
              <w:pStyle w:val="TableBodyText"/>
              <w:ind w:right="0" w:hanging="6"/>
              <w:jc w:val="left"/>
            </w:pPr>
            <w:r>
              <w:rPr>
                <w:rStyle w:val="NoteLabel"/>
              </w:rPr>
              <w:t>b</w:t>
            </w:r>
          </w:p>
        </w:tc>
        <w:tc>
          <w:tcPr>
            <w:tcW w:w="940" w:type="pct"/>
            <w:vAlign w:val="bottom"/>
          </w:tcPr>
          <w:p w:rsidR="0078218E" w:rsidRDefault="0078218E" w:rsidP="0078218E">
            <w:pPr>
              <w:pStyle w:val="TableBodyText"/>
              <w:spacing w:before="20"/>
              <w:ind w:right="0"/>
            </w:pPr>
            <w:r>
              <w:t>2-3</w:t>
            </w:r>
          </w:p>
        </w:tc>
        <w:tc>
          <w:tcPr>
            <w:tcW w:w="726" w:type="pct"/>
          </w:tcPr>
          <w:p w:rsidR="0078218E" w:rsidRDefault="0078218E" w:rsidP="001C6BDB">
            <w:pPr>
              <w:pStyle w:val="TableBodyText"/>
              <w:ind w:right="28"/>
            </w:pPr>
          </w:p>
        </w:tc>
      </w:tr>
      <w:tr w:rsidR="0078218E" w:rsidTr="0078218E">
        <w:tc>
          <w:tcPr>
            <w:tcW w:w="1667" w:type="pct"/>
          </w:tcPr>
          <w:p w:rsidR="0078218E" w:rsidRDefault="0078218E" w:rsidP="00445EAB">
            <w:pPr>
              <w:pStyle w:val="TableBodyText"/>
              <w:spacing w:before="20"/>
              <w:jc w:val="left"/>
            </w:pPr>
            <w:r>
              <w:t>Vic</w:t>
            </w:r>
          </w:p>
        </w:tc>
        <w:tc>
          <w:tcPr>
            <w:tcW w:w="1075" w:type="pct"/>
            <w:vAlign w:val="bottom"/>
          </w:tcPr>
          <w:p w:rsidR="0078218E" w:rsidRDefault="0078218E" w:rsidP="0078218E">
            <w:pPr>
              <w:pStyle w:val="TableBodyText"/>
              <w:ind w:right="0"/>
            </w:pPr>
            <w:r>
              <w:t>880 000</w:t>
            </w:r>
          </w:p>
        </w:tc>
        <w:tc>
          <w:tcPr>
            <w:tcW w:w="592" w:type="pct"/>
          </w:tcPr>
          <w:p w:rsidR="0078218E" w:rsidRDefault="0078218E" w:rsidP="0078218E">
            <w:pPr>
              <w:pStyle w:val="TableBodyText"/>
              <w:ind w:right="0" w:hanging="6"/>
              <w:jc w:val="left"/>
            </w:pPr>
            <w:r>
              <w:rPr>
                <w:rStyle w:val="NoteLabel"/>
              </w:rPr>
              <w:t>c</w:t>
            </w:r>
          </w:p>
        </w:tc>
        <w:tc>
          <w:tcPr>
            <w:tcW w:w="940" w:type="pct"/>
            <w:vAlign w:val="bottom"/>
          </w:tcPr>
          <w:p w:rsidR="0078218E" w:rsidRDefault="0078218E" w:rsidP="0078218E">
            <w:pPr>
              <w:pStyle w:val="TableBodyText"/>
              <w:spacing w:before="20"/>
              <w:ind w:right="0"/>
            </w:pPr>
            <w:r>
              <w:t>5.4</w:t>
            </w:r>
          </w:p>
        </w:tc>
        <w:tc>
          <w:tcPr>
            <w:tcW w:w="726" w:type="pct"/>
          </w:tcPr>
          <w:p w:rsidR="0078218E" w:rsidRDefault="0078218E" w:rsidP="001C6BDB">
            <w:pPr>
              <w:pStyle w:val="TableBodyText"/>
              <w:ind w:right="28"/>
            </w:pPr>
          </w:p>
        </w:tc>
      </w:tr>
      <w:tr w:rsidR="0078218E" w:rsidTr="0078218E">
        <w:tc>
          <w:tcPr>
            <w:tcW w:w="1667" w:type="pct"/>
          </w:tcPr>
          <w:p w:rsidR="0078218E" w:rsidRDefault="0078218E" w:rsidP="00445EAB">
            <w:pPr>
              <w:pStyle w:val="TableBodyText"/>
              <w:spacing w:before="20"/>
              <w:jc w:val="left"/>
            </w:pPr>
            <w:r>
              <w:t>Qld</w:t>
            </w:r>
          </w:p>
        </w:tc>
        <w:tc>
          <w:tcPr>
            <w:tcW w:w="1075" w:type="pct"/>
            <w:vAlign w:val="bottom"/>
          </w:tcPr>
          <w:p w:rsidR="0078218E" w:rsidRDefault="0078218E" w:rsidP="0078218E">
            <w:pPr>
              <w:pStyle w:val="TableBodyText"/>
              <w:ind w:right="0"/>
            </w:pPr>
            <w:r>
              <w:t>975 000</w:t>
            </w:r>
          </w:p>
        </w:tc>
        <w:tc>
          <w:tcPr>
            <w:tcW w:w="592" w:type="pct"/>
          </w:tcPr>
          <w:p w:rsidR="0078218E" w:rsidRDefault="0078218E" w:rsidP="0078218E">
            <w:pPr>
              <w:pStyle w:val="TableBodyText"/>
              <w:ind w:right="0" w:hanging="6"/>
              <w:jc w:val="left"/>
            </w:pPr>
            <w:r>
              <w:rPr>
                <w:rStyle w:val="NoteLabel"/>
              </w:rPr>
              <w:t>d</w:t>
            </w:r>
          </w:p>
        </w:tc>
        <w:tc>
          <w:tcPr>
            <w:tcW w:w="940" w:type="pct"/>
            <w:vAlign w:val="bottom"/>
          </w:tcPr>
          <w:p w:rsidR="0078218E" w:rsidRDefault="0078218E" w:rsidP="0078218E">
            <w:pPr>
              <w:pStyle w:val="TableBodyText"/>
              <w:spacing w:before="20"/>
              <w:ind w:right="0"/>
            </w:pPr>
            <w:r>
              <w:t>2-3</w:t>
            </w:r>
          </w:p>
        </w:tc>
        <w:tc>
          <w:tcPr>
            <w:tcW w:w="726" w:type="pct"/>
          </w:tcPr>
          <w:p w:rsidR="0078218E" w:rsidRDefault="0078218E" w:rsidP="001C6BDB">
            <w:pPr>
              <w:pStyle w:val="TableBodyText"/>
              <w:ind w:right="28"/>
            </w:pPr>
          </w:p>
        </w:tc>
      </w:tr>
      <w:tr w:rsidR="0078218E" w:rsidTr="0078218E">
        <w:tc>
          <w:tcPr>
            <w:tcW w:w="1667" w:type="pct"/>
          </w:tcPr>
          <w:p w:rsidR="0078218E" w:rsidRDefault="0078218E" w:rsidP="00445EAB">
            <w:pPr>
              <w:pStyle w:val="TableBodyText"/>
              <w:spacing w:before="20"/>
              <w:jc w:val="left"/>
            </w:pPr>
            <w:r>
              <w:t>WA</w:t>
            </w:r>
          </w:p>
        </w:tc>
        <w:tc>
          <w:tcPr>
            <w:tcW w:w="1075" w:type="pct"/>
            <w:vAlign w:val="bottom"/>
          </w:tcPr>
          <w:p w:rsidR="0078218E" w:rsidRDefault="0078218E" w:rsidP="0078218E">
            <w:pPr>
              <w:pStyle w:val="TableBodyText"/>
              <w:spacing w:before="20"/>
              <w:ind w:right="-1"/>
            </w:pPr>
            <w:r>
              <w:t>na</w:t>
            </w:r>
          </w:p>
        </w:tc>
        <w:tc>
          <w:tcPr>
            <w:tcW w:w="592" w:type="pct"/>
          </w:tcPr>
          <w:p w:rsidR="0078218E" w:rsidRDefault="0078218E" w:rsidP="0078218E">
            <w:pPr>
              <w:pStyle w:val="TableBodyText"/>
              <w:ind w:right="0" w:hanging="6"/>
              <w:jc w:val="left"/>
            </w:pPr>
          </w:p>
        </w:tc>
        <w:tc>
          <w:tcPr>
            <w:tcW w:w="940" w:type="pct"/>
            <w:vAlign w:val="bottom"/>
          </w:tcPr>
          <w:p w:rsidR="0078218E" w:rsidRDefault="0078218E" w:rsidP="0078218E">
            <w:pPr>
              <w:pStyle w:val="TableBodyText"/>
              <w:spacing w:before="20"/>
              <w:ind w:right="0"/>
            </w:pPr>
            <w:r>
              <w:t>6-8</w:t>
            </w:r>
          </w:p>
        </w:tc>
        <w:tc>
          <w:tcPr>
            <w:tcW w:w="726" w:type="pct"/>
          </w:tcPr>
          <w:p w:rsidR="0078218E" w:rsidRDefault="0078218E" w:rsidP="001C6BDB">
            <w:pPr>
              <w:pStyle w:val="TableBodyText"/>
              <w:ind w:right="28"/>
            </w:pPr>
          </w:p>
        </w:tc>
      </w:tr>
      <w:tr w:rsidR="0078218E" w:rsidTr="0078218E">
        <w:tc>
          <w:tcPr>
            <w:tcW w:w="1667" w:type="pct"/>
          </w:tcPr>
          <w:p w:rsidR="0078218E" w:rsidRDefault="0078218E" w:rsidP="00445EAB">
            <w:pPr>
              <w:pStyle w:val="TableBodyText"/>
              <w:spacing w:before="20"/>
              <w:jc w:val="left"/>
            </w:pPr>
            <w:r>
              <w:t>SA</w:t>
            </w:r>
          </w:p>
        </w:tc>
        <w:tc>
          <w:tcPr>
            <w:tcW w:w="1075" w:type="pct"/>
            <w:vAlign w:val="bottom"/>
          </w:tcPr>
          <w:p w:rsidR="0078218E" w:rsidRPr="00CC1F39" w:rsidRDefault="0078218E" w:rsidP="0078218E">
            <w:pPr>
              <w:pStyle w:val="TableBodyText"/>
              <w:spacing w:before="20"/>
              <w:ind w:right="-1"/>
              <w:rPr>
                <w:sz w:val="18"/>
              </w:rPr>
            </w:pPr>
            <w:r>
              <w:rPr>
                <w:sz w:val="18"/>
              </w:rPr>
              <w:t>na</w:t>
            </w:r>
          </w:p>
        </w:tc>
        <w:tc>
          <w:tcPr>
            <w:tcW w:w="592" w:type="pct"/>
          </w:tcPr>
          <w:p w:rsidR="0078218E" w:rsidRDefault="0078218E" w:rsidP="0078218E">
            <w:pPr>
              <w:pStyle w:val="TableBodyText"/>
              <w:ind w:right="0" w:hanging="6"/>
              <w:jc w:val="left"/>
            </w:pPr>
          </w:p>
        </w:tc>
        <w:tc>
          <w:tcPr>
            <w:tcW w:w="940" w:type="pct"/>
            <w:vAlign w:val="bottom"/>
          </w:tcPr>
          <w:p w:rsidR="0078218E" w:rsidRDefault="0078218E" w:rsidP="0078218E">
            <w:pPr>
              <w:pStyle w:val="TableBodyText"/>
              <w:ind w:right="0"/>
            </w:pPr>
            <w:r>
              <w:t>1.1</w:t>
            </w:r>
          </w:p>
        </w:tc>
        <w:tc>
          <w:tcPr>
            <w:tcW w:w="726" w:type="pct"/>
          </w:tcPr>
          <w:p w:rsidR="0078218E" w:rsidRDefault="0078218E" w:rsidP="0078218E">
            <w:pPr>
              <w:pStyle w:val="TableBodyText"/>
              <w:ind w:right="28"/>
              <w:jc w:val="left"/>
            </w:pPr>
            <w:r>
              <w:rPr>
                <w:rStyle w:val="NoteLabel"/>
              </w:rPr>
              <w:t>e</w:t>
            </w:r>
          </w:p>
        </w:tc>
      </w:tr>
      <w:tr w:rsidR="0078218E" w:rsidTr="0078218E">
        <w:tc>
          <w:tcPr>
            <w:tcW w:w="1667" w:type="pct"/>
          </w:tcPr>
          <w:p w:rsidR="0078218E" w:rsidRDefault="0078218E" w:rsidP="00445EAB">
            <w:pPr>
              <w:pStyle w:val="TableBodyText"/>
              <w:spacing w:before="20"/>
              <w:jc w:val="left"/>
            </w:pPr>
            <w:r>
              <w:t>Tas</w:t>
            </w:r>
          </w:p>
        </w:tc>
        <w:tc>
          <w:tcPr>
            <w:tcW w:w="1075" w:type="pct"/>
            <w:vAlign w:val="bottom"/>
          </w:tcPr>
          <w:p w:rsidR="0078218E" w:rsidRDefault="0078218E" w:rsidP="0078218E">
            <w:pPr>
              <w:pStyle w:val="TableBodyText"/>
              <w:spacing w:before="20"/>
              <w:ind w:right="-1"/>
            </w:pPr>
            <w:r>
              <w:t>220 000</w:t>
            </w:r>
          </w:p>
        </w:tc>
        <w:tc>
          <w:tcPr>
            <w:tcW w:w="592" w:type="pct"/>
          </w:tcPr>
          <w:p w:rsidR="0078218E" w:rsidRDefault="0078218E" w:rsidP="0078218E">
            <w:pPr>
              <w:pStyle w:val="TableBodyText"/>
              <w:ind w:right="0" w:hanging="6"/>
              <w:jc w:val="left"/>
            </w:pPr>
          </w:p>
        </w:tc>
        <w:tc>
          <w:tcPr>
            <w:tcW w:w="940" w:type="pct"/>
            <w:vAlign w:val="bottom"/>
          </w:tcPr>
          <w:p w:rsidR="0078218E" w:rsidRDefault="0078218E" w:rsidP="0078218E">
            <w:pPr>
              <w:pStyle w:val="TableBodyText"/>
              <w:spacing w:before="20"/>
              <w:ind w:left="142" w:right="0"/>
            </w:pPr>
            <w:r>
              <w:t>2</w:t>
            </w:r>
          </w:p>
        </w:tc>
        <w:tc>
          <w:tcPr>
            <w:tcW w:w="726" w:type="pct"/>
          </w:tcPr>
          <w:p w:rsidR="0078218E" w:rsidRDefault="0078218E" w:rsidP="001C6BDB">
            <w:pPr>
              <w:pStyle w:val="TableBodyText"/>
              <w:ind w:right="28"/>
            </w:pPr>
          </w:p>
        </w:tc>
      </w:tr>
      <w:tr w:rsidR="0078218E" w:rsidTr="0078218E">
        <w:tc>
          <w:tcPr>
            <w:tcW w:w="1667" w:type="pct"/>
          </w:tcPr>
          <w:p w:rsidR="0078218E" w:rsidRDefault="0078218E" w:rsidP="00445EAB">
            <w:pPr>
              <w:pStyle w:val="TableBodyText"/>
              <w:spacing w:before="20"/>
              <w:jc w:val="left"/>
            </w:pPr>
            <w:r>
              <w:t>ACT</w:t>
            </w:r>
          </w:p>
        </w:tc>
        <w:tc>
          <w:tcPr>
            <w:tcW w:w="1075" w:type="pct"/>
            <w:vAlign w:val="bottom"/>
          </w:tcPr>
          <w:p w:rsidR="0078218E" w:rsidRDefault="0078218E" w:rsidP="0078218E">
            <w:pPr>
              <w:pStyle w:val="TableBodyText"/>
              <w:spacing w:before="20"/>
              <w:ind w:right="-1"/>
            </w:pPr>
            <w:r>
              <w:t>na</w:t>
            </w:r>
          </w:p>
        </w:tc>
        <w:tc>
          <w:tcPr>
            <w:tcW w:w="592" w:type="pct"/>
          </w:tcPr>
          <w:p w:rsidR="0078218E" w:rsidRDefault="0078218E" w:rsidP="0078218E">
            <w:pPr>
              <w:pStyle w:val="TableBodyText"/>
              <w:ind w:right="0" w:hanging="6"/>
              <w:jc w:val="left"/>
            </w:pPr>
          </w:p>
        </w:tc>
        <w:tc>
          <w:tcPr>
            <w:tcW w:w="940" w:type="pct"/>
            <w:vAlign w:val="bottom"/>
          </w:tcPr>
          <w:p w:rsidR="0078218E" w:rsidRDefault="0078218E" w:rsidP="0078218E">
            <w:pPr>
              <w:pStyle w:val="TableBodyText"/>
              <w:spacing w:before="20"/>
              <w:ind w:left="142" w:right="0"/>
            </w:pPr>
            <w:r>
              <w:t>&lt;2</w:t>
            </w:r>
          </w:p>
        </w:tc>
        <w:tc>
          <w:tcPr>
            <w:tcW w:w="726" w:type="pct"/>
          </w:tcPr>
          <w:p w:rsidR="0078218E" w:rsidRDefault="0078218E" w:rsidP="001C6BDB">
            <w:pPr>
              <w:pStyle w:val="TableBodyText"/>
              <w:ind w:right="28"/>
            </w:pPr>
          </w:p>
        </w:tc>
      </w:tr>
      <w:tr w:rsidR="0078218E" w:rsidTr="0078218E">
        <w:tc>
          <w:tcPr>
            <w:tcW w:w="1667" w:type="pct"/>
            <w:tcBorders>
              <w:bottom w:val="single" w:sz="6" w:space="0" w:color="auto"/>
            </w:tcBorders>
            <w:shd w:val="clear" w:color="auto" w:fill="auto"/>
          </w:tcPr>
          <w:p w:rsidR="0078218E" w:rsidRDefault="0078218E" w:rsidP="00445EAB">
            <w:pPr>
              <w:pStyle w:val="TableBodyText"/>
              <w:spacing w:before="20"/>
              <w:jc w:val="left"/>
            </w:pPr>
            <w:r>
              <w:t>NT</w:t>
            </w:r>
          </w:p>
        </w:tc>
        <w:tc>
          <w:tcPr>
            <w:tcW w:w="1075" w:type="pct"/>
            <w:tcBorders>
              <w:bottom w:val="single" w:sz="6" w:space="0" w:color="auto"/>
            </w:tcBorders>
            <w:shd w:val="clear" w:color="auto" w:fill="auto"/>
            <w:vAlign w:val="bottom"/>
          </w:tcPr>
          <w:p w:rsidR="0078218E" w:rsidRDefault="0078218E" w:rsidP="0078218E">
            <w:pPr>
              <w:pStyle w:val="TableBodyText"/>
              <w:spacing w:before="20"/>
              <w:ind w:right="-1"/>
            </w:pPr>
            <w:r>
              <w:t>100 000</w:t>
            </w:r>
          </w:p>
        </w:tc>
        <w:tc>
          <w:tcPr>
            <w:tcW w:w="592" w:type="pct"/>
            <w:tcBorders>
              <w:bottom w:val="single" w:sz="6" w:space="0" w:color="auto"/>
            </w:tcBorders>
            <w:shd w:val="clear" w:color="auto" w:fill="auto"/>
          </w:tcPr>
          <w:p w:rsidR="0078218E" w:rsidRDefault="0078218E" w:rsidP="0078218E">
            <w:pPr>
              <w:pStyle w:val="TableBodyText"/>
              <w:ind w:right="0" w:hanging="6"/>
              <w:jc w:val="left"/>
            </w:pPr>
          </w:p>
        </w:tc>
        <w:tc>
          <w:tcPr>
            <w:tcW w:w="940" w:type="pct"/>
            <w:tcBorders>
              <w:bottom w:val="single" w:sz="6" w:space="0" w:color="auto"/>
            </w:tcBorders>
            <w:shd w:val="clear" w:color="auto" w:fill="auto"/>
            <w:vAlign w:val="bottom"/>
          </w:tcPr>
          <w:p w:rsidR="0078218E" w:rsidRDefault="0078218E" w:rsidP="0078218E">
            <w:pPr>
              <w:pStyle w:val="TableBodyText"/>
              <w:spacing w:before="20"/>
              <w:ind w:left="142" w:right="0"/>
            </w:pPr>
            <w:r>
              <w:t>1.8</w:t>
            </w:r>
          </w:p>
        </w:tc>
        <w:tc>
          <w:tcPr>
            <w:tcW w:w="726" w:type="pct"/>
            <w:tcBorders>
              <w:bottom w:val="single" w:sz="6" w:space="0" w:color="auto"/>
            </w:tcBorders>
            <w:shd w:val="clear" w:color="auto" w:fill="auto"/>
          </w:tcPr>
          <w:p w:rsidR="0078218E" w:rsidRDefault="0078218E" w:rsidP="001C6BDB">
            <w:pPr>
              <w:pStyle w:val="TableBodyText"/>
              <w:ind w:right="28"/>
            </w:pPr>
          </w:p>
        </w:tc>
      </w:tr>
    </w:tbl>
    <w:p w:rsidR="00CD1EB8" w:rsidRDefault="00000F4C" w:rsidP="00CD1EB8">
      <w:pPr>
        <w:pStyle w:val="Note"/>
      </w:pPr>
      <w:r w:rsidRPr="008E77FE">
        <w:rPr>
          <w:rStyle w:val="NoteLabel"/>
        </w:rPr>
        <w:t>a</w:t>
      </w:r>
      <w:r>
        <w:t xml:space="preserve"> Commonwealth and COAG values are</w:t>
      </w:r>
      <w:r w:rsidR="000D1E8A">
        <w:t xml:space="preserve"> reported for 2012-</w:t>
      </w:r>
      <w:r w:rsidR="00E10214">
        <w:t xml:space="preserve">13 </w:t>
      </w:r>
      <w:r>
        <w:t xml:space="preserve">based on a total </w:t>
      </w:r>
      <w:r w:rsidR="00E10214">
        <w:t xml:space="preserve">OBPR </w:t>
      </w:r>
      <w:r>
        <w:t>budget of $3.8 million and 27 FTEs</w:t>
      </w:r>
      <w:r w:rsidR="00AF6EEA">
        <w:t>,</w:t>
      </w:r>
      <w:r w:rsidR="00EE4DE2">
        <w:t xml:space="preserve"> OBPR was not able to provide a budget for earlier years</w:t>
      </w:r>
      <w:r>
        <w:t>.</w:t>
      </w:r>
      <w:r w:rsidR="00E10214">
        <w:t xml:space="preserve"> The budget includes $651 000 of cost recovery revenue and approximately six FTEs (hired since November 2011) associated with the new outposting program. The OBPR estimated the ratio of resource usage b</w:t>
      </w:r>
      <w:r w:rsidR="001B6247">
        <w:t>etween Commonwealth and COAG to be</w:t>
      </w:r>
      <w:r w:rsidR="00E10214">
        <w:t xml:space="preserve"> 70:30. The OBPR does not receive</w:t>
      </w:r>
      <w:r w:rsidR="00F2340E">
        <w:t xml:space="preserve"> separate</w:t>
      </w:r>
      <w:r w:rsidR="00E10214">
        <w:t xml:space="preserve"> funding for its COAG work.</w:t>
      </w:r>
      <w:r>
        <w:t xml:space="preserve"> </w:t>
      </w:r>
      <w:r>
        <w:rPr>
          <w:rStyle w:val="NoteLabel"/>
        </w:rPr>
        <w:t>b</w:t>
      </w:r>
      <w:r w:rsidR="00CD1EB8">
        <w:t xml:space="preserve"> This is an ‘under normal circumstances’ estimate</w:t>
      </w:r>
      <w:r w:rsidR="00F17B3B">
        <w:t xml:space="preserve">; </w:t>
      </w:r>
      <w:r w:rsidR="00F17B3B" w:rsidRPr="00F17B3B">
        <w:t xml:space="preserve">actual </w:t>
      </w:r>
      <w:r w:rsidR="009D75EB">
        <w:t>cost</w:t>
      </w:r>
      <w:r w:rsidR="00F17B3B">
        <w:t xml:space="preserve"> may have </w:t>
      </w:r>
      <w:r w:rsidR="009D75EB">
        <w:t xml:space="preserve">differed </w:t>
      </w:r>
      <w:r w:rsidR="000D1E8A">
        <w:t>during some of 2010-</w:t>
      </w:r>
      <w:r w:rsidR="00F17B3B" w:rsidRPr="00F17B3B">
        <w:t>11, which was an atypical year because of the NSW State Election</w:t>
      </w:r>
      <w:r w:rsidR="00F2340E">
        <w:t>.</w:t>
      </w:r>
      <w:r w:rsidR="00F17B3B">
        <w:t xml:space="preserve"> </w:t>
      </w:r>
      <w:r>
        <w:rPr>
          <w:rStyle w:val="NoteLabel"/>
        </w:rPr>
        <w:t>c</w:t>
      </w:r>
      <w:r w:rsidR="00CD1EB8">
        <w:t xml:space="preserve"> </w:t>
      </w:r>
      <w:r w:rsidR="00223AEC">
        <w:t>This value is lower than normal</w:t>
      </w:r>
      <w:r w:rsidR="00CD1EB8">
        <w:t xml:space="preserve"> </w:t>
      </w:r>
      <w:r w:rsidR="00223AEC">
        <w:t>(</w:t>
      </w:r>
      <w:r w:rsidR="00CD1EB8">
        <w:t>the VCEC bud</w:t>
      </w:r>
      <w:r w:rsidR="000D1E8A">
        <w:t>get is usually around $</w:t>
      </w:r>
      <w:r w:rsidR="000D1E8A" w:rsidRPr="000D1E8A">
        <w:t>1</w:t>
      </w:r>
      <w:r w:rsidR="000D1E8A">
        <w:t> </w:t>
      </w:r>
      <w:r w:rsidR="007C10F6" w:rsidRPr="000D1E8A">
        <w:t>000</w:t>
      </w:r>
      <w:r w:rsidR="000D1E8A">
        <w:t> </w:t>
      </w:r>
      <w:r w:rsidR="007C10F6">
        <w:t>000</w:t>
      </w:r>
      <w:r w:rsidR="00223AEC">
        <w:t>)</w:t>
      </w:r>
      <w:r w:rsidR="00CD1EB8">
        <w:t xml:space="preserve"> </w:t>
      </w:r>
      <w:r w:rsidR="00223AEC">
        <w:t>possibly</w:t>
      </w:r>
      <w:r w:rsidR="00CD1EB8">
        <w:t xml:space="preserve"> du</w:t>
      </w:r>
      <w:r w:rsidR="000D1E8A">
        <w:t>e to lower RIS activity in 2010-</w:t>
      </w:r>
      <w:r w:rsidR="00CD1EB8">
        <w:t xml:space="preserve">11 than recent years. </w:t>
      </w:r>
      <w:r>
        <w:rPr>
          <w:rStyle w:val="NoteLabel"/>
        </w:rPr>
        <w:t>d</w:t>
      </w:r>
      <w:r w:rsidR="00446DDB">
        <w:t xml:space="preserve"> This value is higher</w:t>
      </w:r>
      <w:r w:rsidR="00CD1EB8">
        <w:t xml:space="preserve"> than normal due </w:t>
      </w:r>
      <w:r w:rsidR="0047754D">
        <w:t>to the introduction of a new RIA</w:t>
      </w:r>
      <w:r w:rsidR="00CD1EB8">
        <w:t xml:space="preserve"> system </w:t>
      </w:r>
      <w:r w:rsidR="0047754D">
        <w:t>which involved engaging</w:t>
      </w:r>
      <w:r w:rsidR="00CD1EB8">
        <w:t xml:space="preserve"> extra staff </w:t>
      </w:r>
      <w:r w:rsidR="0047754D">
        <w:t>for</w:t>
      </w:r>
      <w:r w:rsidR="00223AEC">
        <w:t xml:space="preserve"> training. I</w:t>
      </w:r>
      <w:r w:rsidR="00CD1EB8">
        <w:t>n recent years th</w:t>
      </w:r>
      <w:r w:rsidR="007C10F6">
        <w:t>e figure has been closer to $</w:t>
      </w:r>
      <w:r w:rsidR="007C10F6" w:rsidRPr="007C10F6">
        <w:t>600</w:t>
      </w:r>
      <w:r w:rsidR="0047754D">
        <w:t xml:space="preserve"> </w:t>
      </w:r>
      <w:r w:rsidR="007C10F6" w:rsidRPr="007C10F6">
        <w:t>000</w:t>
      </w:r>
      <w:r w:rsidR="00CD1EB8">
        <w:t>.</w:t>
      </w:r>
      <w:r w:rsidR="0093742E">
        <w:t xml:space="preserve"> </w:t>
      </w:r>
      <w:r w:rsidR="0093742E">
        <w:rPr>
          <w:rStyle w:val="NoteLabel"/>
        </w:rPr>
        <w:t>e</w:t>
      </w:r>
      <w:r w:rsidR="0093742E">
        <w:t xml:space="preserve"> </w:t>
      </w:r>
      <w:r w:rsidR="000D1E8A">
        <w:t>This figure is for 2011-</w:t>
      </w:r>
      <w:r w:rsidR="007436EB">
        <w:t>12.</w:t>
      </w:r>
      <w:r w:rsidR="00CD1EB8">
        <w:t xml:space="preserve"> </w:t>
      </w:r>
      <w:r w:rsidR="000D1E8A" w:rsidRPr="00A03F71">
        <w:t>n</w:t>
      </w:r>
      <w:r w:rsidR="00DF2394" w:rsidRPr="00A03F71">
        <w:t>a</w:t>
      </w:r>
      <w:r w:rsidR="000D1E8A">
        <w:t xml:space="preserve"> </w:t>
      </w:r>
      <w:r w:rsidR="00724B6C">
        <w:t>not available</w:t>
      </w:r>
      <w:r w:rsidR="00F2340E">
        <w:t>.</w:t>
      </w:r>
    </w:p>
    <w:p w:rsidR="00842AF7" w:rsidRDefault="00842AF7" w:rsidP="00842AF7">
      <w:pPr>
        <w:pStyle w:val="Source"/>
      </w:pPr>
      <w:r>
        <w:rPr>
          <w:i/>
        </w:rPr>
        <w:t>Source</w:t>
      </w:r>
      <w:r w:rsidR="00AF6EEA">
        <w:rPr>
          <w:i/>
        </w:rPr>
        <w:t>s</w:t>
      </w:r>
      <w:r>
        <w:t xml:space="preserve">: </w:t>
      </w:r>
      <w:r w:rsidR="007C10F6">
        <w:t xml:space="preserve">PC </w:t>
      </w:r>
      <w:r w:rsidR="001E3AF6">
        <w:t xml:space="preserve">RIA </w:t>
      </w:r>
      <w:r w:rsidR="007C10F6">
        <w:t xml:space="preserve">Survey </w:t>
      </w:r>
      <w:r w:rsidR="005E7675">
        <w:t>(</w:t>
      </w:r>
      <w:r w:rsidR="007C10F6">
        <w:t>2012</w:t>
      </w:r>
      <w:r w:rsidR="005E7675">
        <w:t>)</w:t>
      </w:r>
      <w:r w:rsidR="007C10F6">
        <w:t xml:space="preserve"> and PC information request</w:t>
      </w:r>
      <w:r w:rsidR="003B5CC2">
        <w:t>s</w:t>
      </w:r>
      <w:r w:rsidR="007C10F6">
        <w:t xml:space="preserve"> to jurisdictions</w:t>
      </w:r>
      <w:r w:rsidR="00223AEC">
        <w:t>.</w:t>
      </w:r>
    </w:p>
    <w:p w:rsidR="007C10F6" w:rsidRDefault="001C6BDB" w:rsidP="007C10F6">
      <w:pPr>
        <w:pStyle w:val="BodyText"/>
      </w:pPr>
      <w:r>
        <w:lastRenderedPageBreak/>
        <w:t>The distribution of total oversight body RIA costs between functions was provided in survey responses for seven jurisdictions (table 3.8). Key features are listed below.</w:t>
      </w:r>
    </w:p>
    <w:p w:rsidR="00BA4DE8" w:rsidRDefault="00777E60" w:rsidP="00300724">
      <w:pPr>
        <w:pStyle w:val="ListBullet"/>
      </w:pPr>
      <w:r>
        <w:t xml:space="preserve">In jurisdictions with </w:t>
      </w:r>
      <w:r w:rsidR="00172EB4">
        <w:t>a formal preliminary assessment stage</w:t>
      </w:r>
      <w:r w:rsidR="00BB7311">
        <w:t xml:space="preserve"> (Queensland and</w:t>
      </w:r>
      <w:r w:rsidR="00FA0DAF">
        <w:t xml:space="preserve"> Western Australia), a large proportion of oversight body </w:t>
      </w:r>
      <w:r w:rsidR="00F17B3B">
        <w:t>cost</w:t>
      </w:r>
      <w:r w:rsidR="00F12E1E">
        <w:t>s</w:t>
      </w:r>
      <w:r w:rsidR="00012717">
        <w:t xml:space="preserve"> relate</w:t>
      </w:r>
      <w:r w:rsidR="00FA0DAF">
        <w:t xml:space="preserve"> to this</w:t>
      </w:r>
      <w:r w:rsidR="00012717">
        <w:t xml:space="preserve"> stage of the RIA process</w:t>
      </w:r>
      <w:r w:rsidR="00FA0DAF">
        <w:t xml:space="preserve">. </w:t>
      </w:r>
      <w:r w:rsidR="00BA4DE8">
        <w:t xml:space="preserve">In </w:t>
      </w:r>
      <w:r w:rsidR="00ED4BA9">
        <w:t xml:space="preserve">these jurisdictions, and in </w:t>
      </w:r>
      <w:r w:rsidR="00BA4DE8">
        <w:t>Tasmania</w:t>
      </w:r>
      <w:r w:rsidR="0064710E">
        <w:t xml:space="preserve"> — </w:t>
      </w:r>
      <w:r w:rsidR="00ED4BA9">
        <w:t xml:space="preserve">where the ERU </w:t>
      </w:r>
      <w:r w:rsidR="00AC240E">
        <w:t xml:space="preserve">advises </w:t>
      </w:r>
      <w:r w:rsidR="00ED4BA9">
        <w:t>whether a RIS is required based on a ‘Statement of Intent’ provided by the agency</w:t>
      </w:r>
      <w:r w:rsidR="0064710E">
        <w:t xml:space="preserve"> —</w:t>
      </w:r>
      <w:r w:rsidR="00ED4BA9">
        <w:t xml:space="preserve"> RIS activity is </w:t>
      </w:r>
      <w:r w:rsidR="00AC240E">
        <w:t>also relatively low (chapter 4)</w:t>
      </w:r>
      <w:r w:rsidR="00A03D71">
        <w:t>,</w:t>
      </w:r>
      <w:r w:rsidR="00AC240E">
        <w:t xml:space="preserve"> which further explains the </w:t>
      </w:r>
      <w:r w:rsidR="00F17B3B">
        <w:t>relatively high propor</w:t>
      </w:r>
      <w:r w:rsidR="00F12E1E">
        <w:t>tion of oversight body effort at</w:t>
      </w:r>
      <w:r w:rsidR="00F17B3B">
        <w:t xml:space="preserve"> the preliminary assessment stage</w:t>
      </w:r>
      <w:r w:rsidR="00AC240E">
        <w:t>.</w:t>
      </w:r>
    </w:p>
    <w:p w:rsidR="00012717" w:rsidRDefault="00FA0DAF" w:rsidP="00012717">
      <w:pPr>
        <w:pStyle w:val="ListBullet"/>
      </w:pPr>
      <w:r>
        <w:t xml:space="preserve">The oversight bodies for </w:t>
      </w:r>
      <w:r w:rsidR="007C10F6" w:rsidRPr="00CD1EB8">
        <w:t>C</w:t>
      </w:r>
      <w:r>
        <w:t>ommon</w:t>
      </w:r>
      <w:r w:rsidR="007C10F6" w:rsidRPr="00CD1EB8">
        <w:t>w</w:t>
      </w:r>
      <w:r>
        <w:t xml:space="preserve">ealth, COAG and the Northern Territory spend a large proportion of their </w:t>
      </w:r>
      <w:r w:rsidR="00172EB4">
        <w:t>costs on</w:t>
      </w:r>
      <w:r>
        <w:t xml:space="preserve"> assisting agencies to prepare RISs. This is consistent with </w:t>
      </w:r>
      <w:r w:rsidR="00172EB4">
        <w:t>the</w:t>
      </w:r>
      <w:r w:rsidR="00F17B3B">
        <w:t>ir</w:t>
      </w:r>
      <w:r w:rsidR="00172EB4">
        <w:t xml:space="preserve"> </w:t>
      </w:r>
      <w:r>
        <w:t>survey responses</w:t>
      </w:r>
      <w:r w:rsidR="00172EB4">
        <w:t xml:space="preserve">, </w:t>
      </w:r>
      <w:r>
        <w:t>which flagged a shift from</w:t>
      </w:r>
      <w:r w:rsidR="00125311">
        <w:t xml:space="preserve"> general</w:t>
      </w:r>
      <w:r>
        <w:t xml:space="preserve"> training to assistance</w:t>
      </w:r>
      <w:r w:rsidR="00012717">
        <w:t xml:space="preserve"> based on agency needs</w:t>
      </w:r>
      <w:r>
        <w:t>.</w:t>
      </w:r>
      <w:r w:rsidR="007C10F6" w:rsidRPr="00CD1EB8">
        <w:t xml:space="preserve"> </w:t>
      </w:r>
      <w:r w:rsidR="00F12E1E">
        <w:t>More generally</w:t>
      </w:r>
      <w:r w:rsidR="00012717">
        <w:t xml:space="preserve">, most oversight bodies tend to spend more on assisting agencies with RISs than on training, with </w:t>
      </w:r>
      <w:r w:rsidR="00EE4DE2">
        <w:t xml:space="preserve">the </w:t>
      </w:r>
      <w:r w:rsidR="00012717">
        <w:t>Queensland</w:t>
      </w:r>
      <w:r w:rsidR="00EE4DE2">
        <w:t xml:space="preserve"> RRB</w:t>
      </w:r>
      <w:r w:rsidR="00012717">
        <w:t xml:space="preserve"> being the only exception.</w:t>
      </w:r>
    </w:p>
    <w:p w:rsidR="00FA0DAF" w:rsidRDefault="00FA0DAF" w:rsidP="007C10F6">
      <w:pPr>
        <w:pStyle w:val="ListBullet"/>
      </w:pPr>
      <w:r>
        <w:t xml:space="preserve">Compliance monitoring and reporting, </w:t>
      </w:r>
      <w:r w:rsidR="007C10F6" w:rsidRPr="00CD1EB8">
        <w:t>incl</w:t>
      </w:r>
      <w:r>
        <w:t>uding</w:t>
      </w:r>
      <w:r w:rsidR="007C10F6" w:rsidRPr="00CD1EB8">
        <w:t xml:space="preserve"> in </w:t>
      </w:r>
      <w:r>
        <w:t xml:space="preserve">those </w:t>
      </w:r>
      <w:r w:rsidR="007C10F6" w:rsidRPr="00CD1EB8">
        <w:t>juris</w:t>
      </w:r>
      <w:r>
        <w:t xml:space="preserve">dictions that report annually on compliance, represents a small proportion of oversight </w:t>
      </w:r>
      <w:r w:rsidR="00125311">
        <w:t xml:space="preserve">body </w:t>
      </w:r>
      <w:r>
        <w:t>expenditure.</w:t>
      </w:r>
    </w:p>
    <w:p w:rsidR="00BA27AA" w:rsidRDefault="00BA27AA" w:rsidP="005F3604">
      <w:pPr>
        <w:pStyle w:val="TableTitle"/>
      </w:pPr>
      <w:r>
        <w:rPr>
          <w:b w:val="0"/>
        </w:rPr>
        <w:t xml:space="preserve">Table </w:t>
      </w:r>
      <w:r w:rsidR="00287B41">
        <w:rPr>
          <w:b w:val="0"/>
        </w:rPr>
        <w:t>3.</w:t>
      </w:r>
      <w:r w:rsidR="00702C9A">
        <w:rPr>
          <w:b w:val="0"/>
          <w:noProof/>
        </w:rPr>
        <w:t>8</w:t>
      </w:r>
      <w:r>
        <w:tab/>
      </w:r>
      <w:r w:rsidR="00D00CD3">
        <w:t>Distribution</w:t>
      </w:r>
      <w:r>
        <w:t xml:space="preserve"> of oversight body </w:t>
      </w:r>
      <w:r w:rsidR="00012717">
        <w:t>costs</w:t>
      </w:r>
      <w:r w:rsidR="000C1DAC" w:rsidRPr="000C1DAC">
        <w:rPr>
          <w:rStyle w:val="NoteLabel"/>
          <w:b/>
          <w:position w:val="10"/>
        </w:rPr>
        <w:t>a</w:t>
      </w:r>
      <w:r w:rsidR="000C1DAC" w:rsidRPr="000C1DAC">
        <w:rPr>
          <w:rStyle w:val="NoteLabel"/>
          <w:position w:val="10"/>
          <w:sz w:val="22"/>
        </w:rPr>
        <w:t xml:space="preserve"> </w:t>
      </w:r>
    </w:p>
    <w:p w:rsidR="00BA27AA" w:rsidRDefault="00F12E1E" w:rsidP="00BA27AA">
      <w:pPr>
        <w:pStyle w:val="Subtitle"/>
      </w:pPr>
      <w:r>
        <w:t>2010-</w:t>
      </w:r>
      <w:r w:rsidR="001B6247">
        <w:t>11</w:t>
      </w:r>
    </w:p>
    <w:tbl>
      <w:tblPr>
        <w:tblW w:w="5000" w:type="pct"/>
        <w:tblCellMar>
          <w:left w:w="0" w:type="dxa"/>
          <w:right w:w="0" w:type="dxa"/>
        </w:tblCellMar>
        <w:tblLook w:val="0000" w:firstRow="0" w:lastRow="0" w:firstColumn="0" w:lastColumn="0" w:noHBand="0" w:noVBand="0"/>
      </w:tblPr>
      <w:tblGrid>
        <w:gridCol w:w="3544"/>
        <w:gridCol w:w="749"/>
        <w:gridCol w:w="749"/>
        <w:gridCol w:w="626"/>
        <w:gridCol w:w="872"/>
        <w:gridCol w:w="830"/>
        <w:gridCol w:w="670"/>
        <w:gridCol w:w="749"/>
      </w:tblGrid>
      <w:tr w:rsidR="00BA27AA" w:rsidTr="00B3672D">
        <w:tc>
          <w:tcPr>
            <w:tcW w:w="2017" w:type="pct"/>
            <w:tcBorders>
              <w:top w:val="single" w:sz="6" w:space="0" w:color="auto"/>
              <w:bottom w:val="single" w:sz="6" w:space="0" w:color="auto"/>
            </w:tcBorders>
            <w:shd w:val="clear" w:color="auto" w:fill="auto"/>
          </w:tcPr>
          <w:p w:rsidR="00BA27AA" w:rsidRDefault="00BA27AA" w:rsidP="005F3604">
            <w:pPr>
              <w:pStyle w:val="TableColumnHeading"/>
              <w:jc w:val="left"/>
            </w:pPr>
            <w:r>
              <w:t>Activity</w:t>
            </w:r>
          </w:p>
        </w:tc>
        <w:tc>
          <w:tcPr>
            <w:tcW w:w="426" w:type="pct"/>
            <w:tcBorders>
              <w:top w:val="single" w:sz="6" w:space="0" w:color="auto"/>
              <w:bottom w:val="single" w:sz="6" w:space="0" w:color="auto"/>
            </w:tcBorders>
            <w:shd w:val="clear" w:color="auto" w:fill="auto"/>
          </w:tcPr>
          <w:p w:rsidR="00BA27AA" w:rsidRDefault="00BA27AA" w:rsidP="00F12E1E">
            <w:pPr>
              <w:pStyle w:val="TableColumnHeading"/>
            </w:pPr>
            <w:r>
              <w:t>Cwlth</w:t>
            </w:r>
          </w:p>
        </w:tc>
        <w:tc>
          <w:tcPr>
            <w:tcW w:w="426" w:type="pct"/>
            <w:tcBorders>
              <w:top w:val="single" w:sz="6" w:space="0" w:color="auto"/>
              <w:bottom w:val="single" w:sz="6" w:space="0" w:color="auto"/>
            </w:tcBorders>
          </w:tcPr>
          <w:p w:rsidR="00BA27AA" w:rsidRDefault="00BA27AA" w:rsidP="00056784">
            <w:pPr>
              <w:pStyle w:val="TableColumnHeading"/>
              <w:ind w:right="11"/>
            </w:pPr>
            <w:r>
              <w:t>COAG</w:t>
            </w:r>
          </w:p>
        </w:tc>
        <w:tc>
          <w:tcPr>
            <w:tcW w:w="356" w:type="pct"/>
            <w:tcBorders>
              <w:top w:val="single" w:sz="6" w:space="0" w:color="auto"/>
              <w:bottom w:val="single" w:sz="6" w:space="0" w:color="auto"/>
            </w:tcBorders>
          </w:tcPr>
          <w:p w:rsidR="00BA27AA" w:rsidRDefault="00BA27AA" w:rsidP="00056784">
            <w:pPr>
              <w:pStyle w:val="TableColumnHeading"/>
              <w:ind w:right="11"/>
            </w:pPr>
            <w:r>
              <w:t>Vic</w:t>
            </w:r>
          </w:p>
        </w:tc>
        <w:tc>
          <w:tcPr>
            <w:tcW w:w="496" w:type="pct"/>
            <w:tcBorders>
              <w:top w:val="single" w:sz="6" w:space="0" w:color="auto"/>
              <w:bottom w:val="single" w:sz="6" w:space="0" w:color="auto"/>
            </w:tcBorders>
          </w:tcPr>
          <w:p w:rsidR="00BA27AA" w:rsidRDefault="00BA27AA" w:rsidP="006330D9">
            <w:pPr>
              <w:pStyle w:val="TableColumnHeading"/>
              <w:spacing w:before="40"/>
              <w:ind w:right="11"/>
            </w:pPr>
            <w:r>
              <w:t>Qld</w:t>
            </w:r>
            <w:r w:rsidR="0047754D">
              <w:rPr>
                <w:rStyle w:val="NoteLabel"/>
              </w:rPr>
              <w:t>b</w:t>
            </w:r>
          </w:p>
        </w:tc>
        <w:tc>
          <w:tcPr>
            <w:tcW w:w="472" w:type="pct"/>
            <w:tcBorders>
              <w:top w:val="single" w:sz="6" w:space="0" w:color="auto"/>
              <w:bottom w:val="single" w:sz="6" w:space="0" w:color="auto"/>
            </w:tcBorders>
          </w:tcPr>
          <w:p w:rsidR="00BA27AA" w:rsidRDefault="00BA27AA" w:rsidP="00056784">
            <w:pPr>
              <w:pStyle w:val="TableColumnHeading"/>
              <w:ind w:right="11"/>
            </w:pPr>
            <w:r>
              <w:t>WA</w:t>
            </w:r>
            <w:r w:rsidR="00B3672D">
              <w:t>   </w:t>
            </w:r>
          </w:p>
        </w:tc>
        <w:tc>
          <w:tcPr>
            <w:tcW w:w="381" w:type="pct"/>
            <w:tcBorders>
              <w:top w:val="single" w:sz="6" w:space="0" w:color="auto"/>
              <w:bottom w:val="single" w:sz="6" w:space="0" w:color="auto"/>
            </w:tcBorders>
          </w:tcPr>
          <w:p w:rsidR="00BA27AA" w:rsidRDefault="00BA27AA" w:rsidP="00056784">
            <w:pPr>
              <w:pStyle w:val="TableColumnHeading"/>
              <w:ind w:right="11"/>
            </w:pPr>
            <w:r>
              <w:t>Tas</w:t>
            </w:r>
          </w:p>
        </w:tc>
        <w:tc>
          <w:tcPr>
            <w:tcW w:w="426" w:type="pct"/>
            <w:tcBorders>
              <w:top w:val="single" w:sz="6" w:space="0" w:color="auto"/>
              <w:bottom w:val="single" w:sz="6" w:space="0" w:color="auto"/>
            </w:tcBorders>
            <w:shd w:val="clear" w:color="auto" w:fill="auto"/>
          </w:tcPr>
          <w:p w:rsidR="00BA27AA" w:rsidRDefault="00BA27AA" w:rsidP="00F12E1E">
            <w:pPr>
              <w:pStyle w:val="TableColumnHeading"/>
              <w:ind w:right="28"/>
            </w:pPr>
            <w:r>
              <w:t>NT</w:t>
            </w:r>
          </w:p>
        </w:tc>
      </w:tr>
      <w:tr w:rsidR="00BA27AA" w:rsidTr="00B3672D">
        <w:tc>
          <w:tcPr>
            <w:tcW w:w="2017" w:type="pct"/>
            <w:tcBorders>
              <w:top w:val="single" w:sz="6" w:space="0" w:color="auto"/>
            </w:tcBorders>
          </w:tcPr>
          <w:p w:rsidR="00BA27AA" w:rsidRDefault="00BA27AA" w:rsidP="005F3604">
            <w:pPr>
              <w:pStyle w:val="TableUnitsRow"/>
              <w:jc w:val="left"/>
            </w:pPr>
          </w:p>
        </w:tc>
        <w:tc>
          <w:tcPr>
            <w:tcW w:w="426" w:type="pct"/>
            <w:tcBorders>
              <w:top w:val="single" w:sz="6" w:space="0" w:color="auto"/>
            </w:tcBorders>
          </w:tcPr>
          <w:p w:rsidR="00BA27AA" w:rsidRDefault="00BA27AA" w:rsidP="005F3604">
            <w:pPr>
              <w:pStyle w:val="TableUnitsRow"/>
            </w:pPr>
            <w:r>
              <w:t>%</w:t>
            </w:r>
          </w:p>
        </w:tc>
        <w:tc>
          <w:tcPr>
            <w:tcW w:w="426" w:type="pct"/>
            <w:tcBorders>
              <w:top w:val="single" w:sz="6" w:space="0" w:color="auto"/>
            </w:tcBorders>
          </w:tcPr>
          <w:p w:rsidR="00BA27AA" w:rsidRDefault="00BA27AA" w:rsidP="00056784">
            <w:pPr>
              <w:pStyle w:val="TableUnitsRow"/>
              <w:ind w:right="11"/>
            </w:pPr>
            <w:r>
              <w:t>%</w:t>
            </w:r>
          </w:p>
        </w:tc>
        <w:tc>
          <w:tcPr>
            <w:tcW w:w="356" w:type="pct"/>
            <w:tcBorders>
              <w:top w:val="single" w:sz="6" w:space="0" w:color="auto"/>
            </w:tcBorders>
          </w:tcPr>
          <w:p w:rsidR="00BA27AA" w:rsidRDefault="00BA27AA" w:rsidP="00056784">
            <w:pPr>
              <w:pStyle w:val="TableUnitsRow"/>
              <w:ind w:right="11"/>
            </w:pPr>
            <w:r>
              <w:t>%</w:t>
            </w:r>
          </w:p>
        </w:tc>
        <w:tc>
          <w:tcPr>
            <w:tcW w:w="496" w:type="pct"/>
            <w:tcBorders>
              <w:top w:val="single" w:sz="6" w:space="0" w:color="auto"/>
            </w:tcBorders>
          </w:tcPr>
          <w:p w:rsidR="00BA27AA" w:rsidRDefault="00BA27AA" w:rsidP="00056784">
            <w:pPr>
              <w:pStyle w:val="TableUnitsRow"/>
              <w:ind w:right="11"/>
            </w:pPr>
            <w:r>
              <w:t>%</w:t>
            </w:r>
          </w:p>
        </w:tc>
        <w:tc>
          <w:tcPr>
            <w:tcW w:w="472" w:type="pct"/>
            <w:tcBorders>
              <w:top w:val="single" w:sz="6" w:space="0" w:color="auto"/>
            </w:tcBorders>
          </w:tcPr>
          <w:p w:rsidR="00BA27AA" w:rsidRDefault="00BA27AA" w:rsidP="00056784">
            <w:pPr>
              <w:pStyle w:val="TableUnitsRow"/>
              <w:ind w:right="11"/>
            </w:pPr>
            <w:r>
              <w:t>%</w:t>
            </w:r>
            <w:r w:rsidR="00B3672D">
              <w:t>   </w:t>
            </w:r>
          </w:p>
        </w:tc>
        <w:tc>
          <w:tcPr>
            <w:tcW w:w="381" w:type="pct"/>
            <w:tcBorders>
              <w:top w:val="single" w:sz="6" w:space="0" w:color="auto"/>
            </w:tcBorders>
          </w:tcPr>
          <w:p w:rsidR="00BA27AA" w:rsidRDefault="00BA27AA" w:rsidP="00056784">
            <w:pPr>
              <w:pStyle w:val="TableUnitsRow"/>
              <w:ind w:right="11"/>
            </w:pPr>
            <w:r>
              <w:t>%</w:t>
            </w:r>
          </w:p>
        </w:tc>
        <w:tc>
          <w:tcPr>
            <w:tcW w:w="426" w:type="pct"/>
            <w:tcBorders>
              <w:top w:val="single" w:sz="6" w:space="0" w:color="auto"/>
            </w:tcBorders>
          </w:tcPr>
          <w:p w:rsidR="00BA27AA" w:rsidRDefault="00BA27AA" w:rsidP="005F3604">
            <w:pPr>
              <w:pStyle w:val="TableUnitsRow"/>
              <w:ind w:right="28"/>
            </w:pPr>
            <w:r>
              <w:t>%</w:t>
            </w:r>
          </w:p>
        </w:tc>
      </w:tr>
      <w:tr w:rsidR="00BA27AA" w:rsidTr="00B3672D">
        <w:tc>
          <w:tcPr>
            <w:tcW w:w="2017" w:type="pct"/>
            <w:shd w:val="pct15" w:color="auto" w:fill="auto"/>
          </w:tcPr>
          <w:p w:rsidR="00BA27AA" w:rsidRDefault="00BA27AA" w:rsidP="005F3604">
            <w:pPr>
              <w:pStyle w:val="TableUnitsRow"/>
              <w:jc w:val="left"/>
            </w:pPr>
            <w:r>
              <w:t>Advising whether a RIS is required</w:t>
            </w:r>
          </w:p>
        </w:tc>
        <w:tc>
          <w:tcPr>
            <w:tcW w:w="426" w:type="pct"/>
            <w:shd w:val="pct15" w:color="auto" w:fill="auto"/>
          </w:tcPr>
          <w:p w:rsidR="00BA27AA" w:rsidRDefault="00BA27AA" w:rsidP="005F3604">
            <w:pPr>
              <w:pStyle w:val="TableUnitsRow"/>
            </w:pPr>
            <w:r>
              <w:t>10</w:t>
            </w:r>
          </w:p>
        </w:tc>
        <w:tc>
          <w:tcPr>
            <w:tcW w:w="426" w:type="pct"/>
            <w:shd w:val="pct15" w:color="auto" w:fill="auto"/>
          </w:tcPr>
          <w:p w:rsidR="00BA27AA" w:rsidRDefault="00BA27AA" w:rsidP="00056784">
            <w:pPr>
              <w:pStyle w:val="TableUnitsRow"/>
              <w:ind w:right="11"/>
            </w:pPr>
            <w:r>
              <w:t>10</w:t>
            </w:r>
          </w:p>
        </w:tc>
        <w:tc>
          <w:tcPr>
            <w:tcW w:w="356" w:type="pct"/>
            <w:shd w:val="pct15" w:color="auto" w:fill="auto"/>
          </w:tcPr>
          <w:p w:rsidR="00BA27AA" w:rsidRDefault="00BA27AA" w:rsidP="00056784">
            <w:pPr>
              <w:pStyle w:val="TableUnitsRow"/>
              <w:ind w:right="11"/>
            </w:pPr>
            <w:r>
              <w:t>20</w:t>
            </w:r>
          </w:p>
        </w:tc>
        <w:tc>
          <w:tcPr>
            <w:tcW w:w="496" w:type="pct"/>
            <w:shd w:val="pct15" w:color="auto" w:fill="auto"/>
          </w:tcPr>
          <w:p w:rsidR="00BA27AA" w:rsidRDefault="00BA27AA" w:rsidP="00056784">
            <w:pPr>
              <w:pStyle w:val="TableUnitsRow"/>
              <w:ind w:right="11"/>
            </w:pPr>
            <w:r>
              <w:t>68</w:t>
            </w:r>
            <w:r w:rsidR="00777E60">
              <w:t xml:space="preserve"> (80)</w:t>
            </w:r>
          </w:p>
        </w:tc>
        <w:tc>
          <w:tcPr>
            <w:tcW w:w="472" w:type="pct"/>
            <w:shd w:val="pct15" w:color="auto" w:fill="auto"/>
          </w:tcPr>
          <w:p w:rsidR="00BA27AA" w:rsidRDefault="00AD54C6" w:rsidP="00056784">
            <w:pPr>
              <w:pStyle w:val="TableUnitsRow"/>
              <w:ind w:right="11"/>
            </w:pPr>
            <w:r>
              <w:t>10</w:t>
            </w:r>
            <w:r w:rsidR="00B3672D">
              <w:t> </w:t>
            </w:r>
            <w:r w:rsidR="00056784">
              <w:t>  </w:t>
            </w:r>
          </w:p>
        </w:tc>
        <w:tc>
          <w:tcPr>
            <w:tcW w:w="381" w:type="pct"/>
            <w:shd w:val="pct15" w:color="auto" w:fill="auto"/>
          </w:tcPr>
          <w:p w:rsidR="00BA27AA" w:rsidRDefault="00BA27AA" w:rsidP="00056784">
            <w:pPr>
              <w:pStyle w:val="TableUnitsRow"/>
              <w:ind w:right="11"/>
            </w:pPr>
            <w:r>
              <w:t>90</w:t>
            </w:r>
          </w:p>
        </w:tc>
        <w:tc>
          <w:tcPr>
            <w:tcW w:w="426" w:type="pct"/>
            <w:shd w:val="pct15" w:color="auto" w:fill="auto"/>
          </w:tcPr>
          <w:p w:rsidR="00BA27AA" w:rsidRDefault="00BA27AA" w:rsidP="005F3604">
            <w:pPr>
              <w:pStyle w:val="TableUnitsRow"/>
              <w:ind w:right="28"/>
            </w:pPr>
            <w:r>
              <w:t>30</w:t>
            </w:r>
          </w:p>
        </w:tc>
      </w:tr>
      <w:tr w:rsidR="00BA27AA" w:rsidTr="00B3672D">
        <w:tc>
          <w:tcPr>
            <w:tcW w:w="2017" w:type="pct"/>
          </w:tcPr>
          <w:p w:rsidR="00BA27AA" w:rsidRDefault="00BA27AA" w:rsidP="005F3604">
            <w:pPr>
              <w:pStyle w:val="TableUnitsRow"/>
              <w:jc w:val="left"/>
            </w:pPr>
            <w:r>
              <w:t>Assistance preparing RIS</w:t>
            </w:r>
          </w:p>
        </w:tc>
        <w:tc>
          <w:tcPr>
            <w:tcW w:w="426" w:type="pct"/>
          </w:tcPr>
          <w:p w:rsidR="00BA27AA" w:rsidRDefault="00BA27AA" w:rsidP="005F3604">
            <w:pPr>
              <w:pStyle w:val="TableUnitsRow"/>
            </w:pPr>
            <w:r>
              <w:t>40</w:t>
            </w:r>
          </w:p>
        </w:tc>
        <w:tc>
          <w:tcPr>
            <w:tcW w:w="426" w:type="pct"/>
          </w:tcPr>
          <w:p w:rsidR="00BA27AA" w:rsidRDefault="00BA27AA" w:rsidP="00056784">
            <w:pPr>
              <w:pStyle w:val="TableUnitsRow"/>
              <w:ind w:right="11"/>
            </w:pPr>
            <w:r>
              <w:t>40</w:t>
            </w:r>
          </w:p>
        </w:tc>
        <w:tc>
          <w:tcPr>
            <w:tcW w:w="356" w:type="pct"/>
          </w:tcPr>
          <w:p w:rsidR="00BA27AA" w:rsidRDefault="00BA27AA" w:rsidP="00056784">
            <w:pPr>
              <w:pStyle w:val="TableUnitsRow"/>
              <w:ind w:right="11"/>
            </w:pPr>
            <w:r>
              <w:t>15</w:t>
            </w:r>
          </w:p>
        </w:tc>
        <w:tc>
          <w:tcPr>
            <w:tcW w:w="496" w:type="pct"/>
          </w:tcPr>
          <w:p w:rsidR="00BA27AA" w:rsidRDefault="00BA27AA" w:rsidP="00056784">
            <w:pPr>
              <w:pStyle w:val="TableUnitsRow"/>
              <w:ind w:right="11"/>
            </w:pPr>
            <w:r>
              <w:t>2</w:t>
            </w:r>
            <w:r w:rsidR="0027094A">
              <w:t xml:space="preserve">  </w:t>
            </w:r>
            <w:r w:rsidR="00777E60">
              <w:t xml:space="preserve"> (2)</w:t>
            </w:r>
          </w:p>
        </w:tc>
        <w:tc>
          <w:tcPr>
            <w:tcW w:w="472" w:type="pct"/>
          </w:tcPr>
          <w:p w:rsidR="00BA27AA" w:rsidRDefault="00BA27AA" w:rsidP="00056784">
            <w:pPr>
              <w:pStyle w:val="TableUnitsRow"/>
              <w:ind w:right="11"/>
            </w:pPr>
            <w:r>
              <w:t>15</w:t>
            </w:r>
            <w:r w:rsidR="00B3672D">
              <w:t> </w:t>
            </w:r>
            <w:r w:rsidR="00056784">
              <w:t>  </w:t>
            </w:r>
          </w:p>
        </w:tc>
        <w:tc>
          <w:tcPr>
            <w:tcW w:w="381" w:type="pct"/>
          </w:tcPr>
          <w:p w:rsidR="00BA27AA" w:rsidRDefault="00BA27AA" w:rsidP="00056784">
            <w:pPr>
              <w:pStyle w:val="TableUnitsRow"/>
              <w:ind w:right="11"/>
            </w:pPr>
            <w:r>
              <w:t>4</w:t>
            </w:r>
          </w:p>
        </w:tc>
        <w:tc>
          <w:tcPr>
            <w:tcW w:w="426" w:type="pct"/>
          </w:tcPr>
          <w:p w:rsidR="00BA27AA" w:rsidRDefault="00BA27AA" w:rsidP="005F3604">
            <w:pPr>
              <w:pStyle w:val="TableUnitsRow"/>
              <w:ind w:right="28"/>
            </w:pPr>
            <w:r>
              <w:t>30</w:t>
            </w:r>
          </w:p>
        </w:tc>
      </w:tr>
      <w:tr w:rsidR="00BA27AA" w:rsidTr="00B3672D">
        <w:tc>
          <w:tcPr>
            <w:tcW w:w="2017" w:type="pct"/>
            <w:shd w:val="pct15" w:color="auto" w:fill="auto"/>
          </w:tcPr>
          <w:p w:rsidR="00BA27AA" w:rsidRDefault="00BA27AA" w:rsidP="005F3604">
            <w:pPr>
              <w:pStyle w:val="TableUnitsRow"/>
              <w:jc w:val="left"/>
            </w:pPr>
            <w:r>
              <w:t>Assessing RIS adequacy</w:t>
            </w:r>
          </w:p>
        </w:tc>
        <w:tc>
          <w:tcPr>
            <w:tcW w:w="426" w:type="pct"/>
            <w:shd w:val="pct15" w:color="auto" w:fill="auto"/>
          </w:tcPr>
          <w:p w:rsidR="00BA27AA" w:rsidRDefault="00BA27AA" w:rsidP="005F3604">
            <w:pPr>
              <w:pStyle w:val="TableUnitsRow"/>
            </w:pPr>
            <w:r>
              <w:t>35</w:t>
            </w:r>
          </w:p>
        </w:tc>
        <w:tc>
          <w:tcPr>
            <w:tcW w:w="426" w:type="pct"/>
            <w:shd w:val="pct15" w:color="auto" w:fill="auto"/>
          </w:tcPr>
          <w:p w:rsidR="00BA27AA" w:rsidRDefault="00BA27AA" w:rsidP="00056784">
            <w:pPr>
              <w:pStyle w:val="TableUnitsRow"/>
              <w:ind w:right="11"/>
            </w:pPr>
            <w:r>
              <w:t>35</w:t>
            </w:r>
          </w:p>
        </w:tc>
        <w:tc>
          <w:tcPr>
            <w:tcW w:w="356" w:type="pct"/>
            <w:shd w:val="pct15" w:color="auto" w:fill="auto"/>
          </w:tcPr>
          <w:p w:rsidR="00BA27AA" w:rsidRDefault="00BA27AA" w:rsidP="00056784">
            <w:pPr>
              <w:pStyle w:val="TableUnitsRow"/>
              <w:ind w:right="11"/>
            </w:pPr>
            <w:r>
              <w:t>50</w:t>
            </w:r>
          </w:p>
        </w:tc>
        <w:tc>
          <w:tcPr>
            <w:tcW w:w="496" w:type="pct"/>
            <w:shd w:val="pct15" w:color="auto" w:fill="auto"/>
          </w:tcPr>
          <w:p w:rsidR="00BA27AA" w:rsidRDefault="00BA27AA" w:rsidP="00056784">
            <w:pPr>
              <w:pStyle w:val="TableUnitsRow"/>
              <w:ind w:right="11"/>
            </w:pPr>
            <w:r>
              <w:t>7</w:t>
            </w:r>
            <w:r w:rsidR="00777E60">
              <w:t xml:space="preserve"> </w:t>
            </w:r>
            <w:r w:rsidR="0027094A">
              <w:t xml:space="preserve">  </w:t>
            </w:r>
            <w:r w:rsidR="00777E60">
              <w:t>(7)</w:t>
            </w:r>
          </w:p>
        </w:tc>
        <w:tc>
          <w:tcPr>
            <w:tcW w:w="472" w:type="pct"/>
            <w:shd w:val="pct15" w:color="auto" w:fill="auto"/>
          </w:tcPr>
          <w:p w:rsidR="00BA27AA" w:rsidRDefault="00BA27AA" w:rsidP="00056784">
            <w:pPr>
              <w:pStyle w:val="TableUnitsRow"/>
              <w:ind w:right="11"/>
            </w:pPr>
            <w:r>
              <w:t>10</w:t>
            </w:r>
            <w:r w:rsidR="00B3672D">
              <w:t> </w:t>
            </w:r>
            <w:r w:rsidR="00056784">
              <w:t>  </w:t>
            </w:r>
          </w:p>
        </w:tc>
        <w:tc>
          <w:tcPr>
            <w:tcW w:w="381" w:type="pct"/>
            <w:shd w:val="pct15" w:color="auto" w:fill="auto"/>
          </w:tcPr>
          <w:p w:rsidR="00BA27AA" w:rsidRDefault="00BA27AA" w:rsidP="00056784">
            <w:pPr>
              <w:pStyle w:val="TableUnitsRow"/>
              <w:ind w:right="11"/>
            </w:pPr>
            <w:r>
              <w:t>4</w:t>
            </w:r>
          </w:p>
        </w:tc>
        <w:tc>
          <w:tcPr>
            <w:tcW w:w="426" w:type="pct"/>
            <w:shd w:val="pct15" w:color="auto" w:fill="auto"/>
          </w:tcPr>
          <w:p w:rsidR="00BA27AA" w:rsidRDefault="00BA27AA" w:rsidP="005F3604">
            <w:pPr>
              <w:pStyle w:val="TableUnitsRow"/>
              <w:ind w:right="28"/>
            </w:pPr>
            <w:r>
              <w:t>40</w:t>
            </w:r>
          </w:p>
        </w:tc>
      </w:tr>
      <w:tr w:rsidR="00BA27AA" w:rsidTr="00B3672D">
        <w:tc>
          <w:tcPr>
            <w:tcW w:w="2017" w:type="pct"/>
          </w:tcPr>
          <w:p w:rsidR="00BA27AA" w:rsidRDefault="00BA27AA" w:rsidP="005F3604">
            <w:pPr>
              <w:pStyle w:val="TableUnitsRow"/>
              <w:jc w:val="left"/>
            </w:pPr>
            <w:r>
              <w:t>Compliance monitoring and reporting</w:t>
            </w:r>
          </w:p>
        </w:tc>
        <w:tc>
          <w:tcPr>
            <w:tcW w:w="426" w:type="pct"/>
          </w:tcPr>
          <w:p w:rsidR="00BA27AA" w:rsidRDefault="00BA27AA" w:rsidP="005F3604">
            <w:pPr>
              <w:pStyle w:val="TableUnitsRow"/>
            </w:pPr>
            <w:r>
              <w:t>10</w:t>
            </w:r>
          </w:p>
        </w:tc>
        <w:tc>
          <w:tcPr>
            <w:tcW w:w="426" w:type="pct"/>
          </w:tcPr>
          <w:p w:rsidR="00BA27AA" w:rsidRDefault="00BA27AA" w:rsidP="00056784">
            <w:pPr>
              <w:pStyle w:val="TableUnitsRow"/>
              <w:ind w:right="11"/>
            </w:pPr>
            <w:r>
              <w:t>10</w:t>
            </w:r>
          </w:p>
        </w:tc>
        <w:tc>
          <w:tcPr>
            <w:tcW w:w="356" w:type="pct"/>
          </w:tcPr>
          <w:p w:rsidR="00BA27AA" w:rsidRDefault="00BA27AA" w:rsidP="00056784">
            <w:pPr>
              <w:pStyle w:val="TableUnitsRow"/>
              <w:ind w:right="11"/>
            </w:pPr>
            <w:r>
              <w:t>5</w:t>
            </w:r>
          </w:p>
        </w:tc>
        <w:tc>
          <w:tcPr>
            <w:tcW w:w="496" w:type="pct"/>
          </w:tcPr>
          <w:p w:rsidR="00BA27AA" w:rsidRDefault="00BA27AA" w:rsidP="00056784">
            <w:pPr>
              <w:pStyle w:val="TableUnitsRow"/>
              <w:ind w:right="11"/>
            </w:pPr>
            <w:r>
              <w:t>6</w:t>
            </w:r>
            <w:r w:rsidR="0027094A">
              <w:t xml:space="preserve">  </w:t>
            </w:r>
            <w:r w:rsidR="00777E60">
              <w:t xml:space="preserve"> (5)</w:t>
            </w:r>
          </w:p>
        </w:tc>
        <w:tc>
          <w:tcPr>
            <w:tcW w:w="472" w:type="pct"/>
          </w:tcPr>
          <w:p w:rsidR="00BA27AA" w:rsidRDefault="00BA27AA" w:rsidP="00056784">
            <w:pPr>
              <w:pStyle w:val="TableUnitsRow"/>
              <w:ind w:right="11"/>
            </w:pPr>
            <w:r>
              <w:t>20</w:t>
            </w:r>
            <w:r w:rsidR="00B3672D">
              <w:t> </w:t>
            </w:r>
            <w:r w:rsidR="00056784">
              <w:t>  </w:t>
            </w:r>
          </w:p>
        </w:tc>
        <w:tc>
          <w:tcPr>
            <w:tcW w:w="381" w:type="pct"/>
          </w:tcPr>
          <w:p w:rsidR="00BA27AA" w:rsidRDefault="00BA27AA" w:rsidP="00056784">
            <w:pPr>
              <w:pStyle w:val="TableUnitsRow"/>
              <w:ind w:right="11"/>
            </w:pPr>
            <w:r>
              <w:t>1</w:t>
            </w:r>
          </w:p>
        </w:tc>
        <w:tc>
          <w:tcPr>
            <w:tcW w:w="426" w:type="pct"/>
          </w:tcPr>
          <w:p w:rsidR="00BA27AA" w:rsidRDefault="00BA27AA" w:rsidP="005F3604">
            <w:pPr>
              <w:pStyle w:val="TableUnitsRow"/>
              <w:ind w:right="28"/>
            </w:pPr>
            <w:r>
              <w:t>0</w:t>
            </w:r>
          </w:p>
        </w:tc>
      </w:tr>
      <w:tr w:rsidR="00BA27AA" w:rsidTr="00B3672D">
        <w:tc>
          <w:tcPr>
            <w:tcW w:w="2017" w:type="pct"/>
            <w:shd w:val="pct15" w:color="auto" w:fill="auto"/>
          </w:tcPr>
          <w:p w:rsidR="00BA27AA" w:rsidRDefault="00BA27AA" w:rsidP="005F3604">
            <w:pPr>
              <w:pStyle w:val="TableUnitsRow"/>
              <w:jc w:val="left"/>
            </w:pPr>
            <w:r>
              <w:t>Training</w:t>
            </w:r>
          </w:p>
        </w:tc>
        <w:tc>
          <w:tcPr>
            <w:tcW w:w="426" w:type="pct"/>
            <w:shd w:val="pct15" w:color="auto" w:fill="auto"/>
          </w:tcPr>
          <w:p w:rsidR="00BA27AA" w:rsidRDefault="00BA27AA" w:rsidP="005F3604">
            <w:pPr>
              <w:pStyle w:val="TableUnitsRow"/>
            </w:pPr>
            <w:r>
              <w:t>5</w:t>
            </w:r>
          </w:p>
        </w:tc>
        <w:tc>
          <w:tcPr>
            <w:tcW w:w="426" w:type="pct"/>
            <w:shd w:val="pct15" w:color="auto" w:fill="auto"/>
          </w:tcPr>
          <w:p w:rsidR="00BA27AA" w:rsidRDefault="00BA27AA" w:rsidP="00056784">
            <w:pPr>
              <w:pStyle w:val="TableUnitsRow"/>
              <w:ind w:right="11"/>
            </w:pPr>
            <w:r>
              <w:t>5</w:t>
            </w:r>
          </w:p>
        </w:tc>
        <w:tc>
          <w:tcPr>
            <w:tcW w:w="356" w:type="pct"/>
            <w:shd w:val="pct15" w:color="auto" w:fill="auto"/>
          </w:tcPr>
          <w:p w:rsidR="00BA27AA" w:rsidRDefault="00BA27AA" w:rsidP="00056784">
            <w:pPr>
              <w:pStyle w:val="TableUnitsRow"/>
              <w:ind w:right="11"/>
            </w:pPr>
            <w:r>
              <w:t>5</w:t>
            </w:r>
          </w:p>
        </w:tc>
        <w:tc>
          <w:tcPr>
            <w:tcW w:w="496" w:type="pct"/>
            <w:shd w:val="pct15" w:color="auto" w:fill="auto"/>
          </w:tcPr>
          <w:p w:rsidR="00BA27AA" w:rsidRDefault="00BA27AA" w:rsidP="00056784">
            <w:pPr>
              <w:pStyle w:val="TableUnitsRow"/>
              <w:ind w:right="11"/>
            </w:pPr>
            <w:r>
              <w:t>17</w:t>
            </w:r>
            <w:r w:rsidR="0027094A">
              <w:t xml:space="preserve">  </w:t>
            </w:r>
            <w:r w:rsidR="00777E60">
              <w:t xml:space="preserve"> (6)</w:t>
            </w:r>
          </w:p>
        </w:tc>
        <w:tc>
          <w:tcPr>
            <w:tcW w:w="472" w:type="pct"/>
            <w:shd w:val="pct15" w:color="auto" w:fill="auto"/>
          </w:tcPr>
          <w:p w:rsidR="00BA27AA" w:rsidRDefault="00BA27AA" w:rsidP="00056784">
            <w:pPr>
              <w:pStyle w:val="TableUnitsRow"/>
              <w:ind w:right="11"/>
            </w:pPr>
            <w:r>
              <w:t>5</w:t>
            </w:r>
            <w:r w:rsidR="00B3672D">
              <w:t> </w:t>
            </w:r>
            <w:r w:rsidR="00056784">
              <w:t>  </w:t>
            </w:r>
            <w:r w:rsidR="0027094A">
              <w:t xml:space="preserve"> </w:t>
            </w:r>
          </w:p>
        </w:tc>
        <w:tc>
          <w:tcPr>
            <w:tcW w:w="381" w:type="pct"/>
            <w:shd w:val="pct15" w:color="auto" w:fill="auto"/>
          </w:tcPr>
          <w:p w:rsidR="00BA27AA" w:rsidRDefault="00BA27AA" w:rsidP="00056784">
            <w:pPr>
              <w:pStyle w:val="TableUnitsRow"/>
              <w:ind w:right="11"/>
            </w:pPr>
            <w:r>
              <w:t>1</w:t>
            </w:r>
          </w:p>
        </w:tc>
        <w:tc>
          <w:tcPr>
            <w:tcW w:w="426" w:type="pct"/>
            <w:shd w:val="pct15" w:color="auto" w:fill="auto"/>
          </w:tcPr>
          <w:p w:rsidR="00BA27AA" w:rsidRDefault="00BA27AA" w:rsidP="005F3604">
            <w:pPr>
              <w:pStyle w:val="TableUnitsRow"/>
              <w:ind w:right="28"/>
            </w:pPr>
            <w:r>
              <w:t>0</w:t>
            </w:r>
          </w:p>
        </w:tc>
      </w:tr>
      <w:tr w:rsidR="00BA27AA" w:rsidTr="00B3672D">
        <w:tc>
          <w:tcPr>
            <w:tcW w:w="2017" w:type="pct"/>
            <w:tcBorders>
              <w:bottom w:val="single" w:sz="6" w:space="0" w:color="auto"/>
            </w:tcBorders>
            <w:shd w:val="clear" w:color="auto" w:fill="auto"/>
            <w:vAlign w:val="center"/>
          </w:tcPr>
          <w:p w:rsidR="00BA27AA" w:rsidRDefault="00BA27AA" w:rsidP="005F3604">
            <w:pPr>
              <w:pStyle w:val="TableBodyText"/>
              <w:jc w:val="left"/>
            </w:pPr>
            <w:r>
              <w:t>Other</w:t>
            </w:r>
          </w:p>
        </w:tc>
        <w:tc>
          <w:tcPr>
            <w:tcW w:w="426" w:type="pct"/>
            <w:tcBorders>
              <w:bottom w:val="single" w:sz="6" w:space="0" w:color="auto"/>
            </w:tcBorders>
            <w:shd w:val="clear" w:color="auto" w:fill="auto"/>
          </w:tcPr>
          <w:p w:rsidR="00BA27AA" w:rsidRDefault="00BA27AA" w:rsidP="005F3604">
            <w:pPr>
              <w:pStyle w:val="TableBodyText"/>
            </w:pPr>
            <w:r>
              <w:t>0</w:t>
            </w:r>
          </w:p>
        </w:tc>
        <w:tc>
          <w:tcPr>
            <w:tcW w:w="426" w:type="pct"/>
            <w:tcBorders>
              <w:bottom w:val="single" w:sz="6" w:space="0" w:color="auto"/>
            </w:tcBorders>
          </w:tcPr>
          <w:p w:rsidR="00BA27AA" w:rsidRDefault="00BA27AA" w:rsidP="00056784">
            <w:pPr>
              <w:pStyle w:val="TableBodyText"/>
              <w:ind w:right="11"/>
            </w:pPr>
            <w:r>
              <w:t>0</w:t>
            </w:r>
          </w:p>
        </w:tc>
        <w:tc>
          <w:tcPr>
            <w:tcW w:w="356" w:type="pct"/>
            <w:tcBorders>
              <w:bottom w:val="single" w:sz="6" w:space="0" w:color="auto"/>
            </w:tcBorders>
          </w:tcPr>
          <w:p w:rsidR="00BA27AA" w:rsidRDefault="00BA27AA" w:rsidP="00056784">
            <w:pPr>
              <w:pStyle w:val="TableBodyText"/>
              <w:ind w:right="11"/>
            </w:pPr>
            <w:r>
              <w:t>5</w:t>
            </w:r>
          </w:p>
        </w:tc>
        <w:tc>
          <w:tcPr>
            <w:tcW w:w="496" w:type="pct"/>
            <w:tcBorders>
              <w:bottom w:val="single" w:sz="6" w:space="0" w:color="auto"/>
            </w:tcBorders>
          </w:tcPr>
          <w:p w:rsidR="00BA27AA" w:rsidRDefault="00BA27AA" w:rsidP="00056784">
            <w:pPr>
              <w:pStyle w:val="TableBodyText"/>
              <w:ind w:right="11"/>
            </w:pPr>
            <w:r>
              <w:t>0</w:t>
            </w:r>
            <w:r w:rsidR="0027094A">
              <w:t xml:space="preserve">  </w:t>
            </w:r>
            <w:r w:rsidR="00777E60">
              <w:t xml:space="preserve"> (0)</w:t>
            </w:r>
          </w:p>
        </w:tc>
        <w:tc>
          <w:tcPr>
            <w:tcW w:w="472" w:type="pct"/>
            <w:tcBorders>
              <w:bottom w:val="single" w:sz="6" w:space="0" w:color="auto"/>
            </w:tcBorders>
          </w:tcPr>
          <w:p w:rsidR="00BA27AA" w:rsidRDefault="00AD54C6" w:rsidP="00056784">
            <w:pPr>
              <w:pStyle w:val="TableBodyText"/>
              <w:ind w:right="11"/>
            </w:pPr>
            <w:r>
              <w:t>40</w:t>
            </w:r>
            <w:r w:rsidR="0047754D">
              <w:rPr>
                <w:rStyle w:val="NoteLabel"/>
              </w:rPr>
              <w:t>c</w:t>
            </w:r>
          </w:p>
        </w:tc>
        <w:tc>
          <w:tcPr>
            <w:tcW w:w="381" w:type="pct"/>
            <w:tcBorders>
              <w:bottom w:val="single" w:sz="6" w:space="0" w:color="auto"/>
            </w:tcBorders>
          </w:tcPr>
          <w:p w:rsidR="00BA27AA" w:rsidRDefault="00BA27AA" w:rsidP="00056784">
            <w:pPr>
              <w:pStyle w:val="TableBodyText"/>
              <w:ind w:right="11"/>
            </w:pPr>
            <w:r>
              <w:t>0</w:t>
            </w:r>
          </w:p>
        </w:tc>
        <w:tc>
          <w:tcPr>
            <w:tcW w:w="426" w:type="pct"/>
            <w:tcBorders>
              <w:bottom w:val="single" w:sz="6" w:space="0" w:color="auto"/>
            </w:tcBorders>
            <w:shd w:val="clear" w:color="auto" w:fill="auto"/>
          </w:tcPr>
          <w:p w:rsidR="00BA27AA" w:rsidRDefault="00BA27AA" w:rsidP="005F3604">
            <w:pPr>
              <w:pStyle w:val="TableBodyText"/>
              <w:ind w:right="28"/>
            </w:pPr>
            <w:r>
              <w:t>0</w:t>
            </w:r>
          </w:p>
        </w:tc>
      </w:tr>
      <w:tr w:rsidR="00BA27AA" w:rsidRPr="00054463" w:rsidTr="00B3672D">
        <w:tc>
          <w:tcPr>
            <w:tcW w:w="2017" w:type="pct"/>
            <w:tcBorders>
              <w:top w:val="single" w:sz="6" w:space="0" w:color="auto"/>
              <w:bottom w:val="single" w:sz="6" w:space="0" w:color="auto"/>
            </w:tcBorders>
            <w:shd w:val="clear" w:color="auto" w:fill="auto"/>
          </w:tcPr>
          <w:p w:rsidR="00BA27AA" w:rsidRPr="00054463" w:rsidRDefault="00BA27AA" w:rsidP="0027094A">
            <w:pPr>
              <w:pStyle w:val="TableBodyText"/>
              <w:spacing w:before="40"/>
              <w:jc w:val="left"/>
            </w:pPr>
            <w:r w:rsidRPr="00054463">
              <w:t>Total</w:t>
            </w:r>
          </w:p>
        </w:tc>
        <w:tc>
          <w:tcPr>
            <w:tcW w:w="426" w:type="pct"/>
            <w:tcBorders>
              <w:top w:val="single" w:sz="6" w:space="0" w:color="auto"/>
              <w:bottom w:val="single" w:sz="6" w:space="0" w:color="auto"/>
            </w:tcBorders>
            <w:shd w:val="clear" w:color="auto" w:fill="auto"/>
          </w:tcPr>
          <w:p w:rsidR="00BA27AA" w:rsidRPr="00054463" w:rsidRDefault="00BA27AA" w:rsidP="0027094A">
            <w:pPr>
              <w:pStyle w:val="TableBodyText"/>
              <w:spacing w:before="40"/>
            </w:pPr>
            <w:r w:rsidRPr="00054463">
              <w:t>100</w:t>
            </w:r>
          </w:p>
        </w:tc>
        <w:tc>
          <w:tcPr>
            <w:tcW w:w="426" w:type="pct"/>
            <w:tcBorders>
              <w:top w:val="single" w:sz="6" w:space="0" w:color="auto"/>
              <w:bottom w:val="single" w:sz="6" w:space="0" w:color="auto"/>
            </w:tcBorders>
          </w:tcPr>
          <w:p w:rsidR="00BA27AA" w:rsidRPr="00054463" w:rsidRDefault="00BA27AA" w:rsidP="00056784">
            <w:pPr>
              <w:pStyle w:val="TableBodyText"/>
              <w:spacing w:before="40"/>
              <w:ind w:right="11"/>
            </w:pPr>
            <w:r w:rsidRPr="00054463">
              <w:t>100</w:t>
            </w:r>
          </w:p>
        </w:tc>
        <w:tc>
          <w:tcPr>
            <w:tcW w:w="356" w:type="pct"/>
            <w:tcBorders>
              <w:top w:val="single" w:sz="6" w:space="0" w:color="auto"/>
              <w:bottom w:val="single" w:sz="6" w:space="0" w:color="auto"/>
            </w:tcBorders>
          </w:tcPr>
          <w:p w:rsidR="00BA27AA" w:rsidRPr="00054463" w:rsidRDefault="00BA27AA" w:rsidP="00056784">
            <w:pPr>
              <w:pStyle w:val="TableBodyText"/>
              <w:spacing w:before="40"/>
              <w:ind w:right="11"/>
            </w:pPr>
            <w:r w:rsidRPr="00054463">
              <w:t>100</w:t>
            </w:r>
          </w:p>
        </w:tc>
        <w:tc>
          <w:tcPr>
            <w:tcW w:w="496" w:type="pct"/>
            <w:tcBorders>
              <w:top w:val="single" w:sz="6" w:space="0" w:color="auto"/>
              <w:bottom w:val="single" w:sz="6" w:space="0" w:color="auto"/>
            </w:tcBorders>
          </w:tcPr>
          <w:p w:rsidR="00BA27AA" w:rsidRPr="00054463" w:rsidRDefault="00BA27AA" w:rsidP="00056784">
            <w:pPr>
              <w:pStyle w:val="TableBodyText"/>
              <w:spacing w:before="40"/>
              <w:ind w:right="11"/>
            </w:pPr>
            <w:r w:rsidRPr="00054463">
              <w:t>100</w:t>
            </w:r>
          </w:p>
        </w:tc>
        <w:tc>
          <w:tcPr>
            <w:tcW w:w="472" w:type="pct"/>
            <w:tcBorders>
              <w:top w:val="single" w:sz="6" w:space="0" w:color="auto"/>
              <w:bottom w:val="single" w:sz="6" w:space="0" w:color="auto"/>
            </w:tcBorders>
          </w:tcPr>
          <w:p w:rsidR="00BA27AA" w:rsidRPr="00054463" w:rsidRDefault="00B341C2" w:rsidP="00056784">
            <w:pPr>
              <w:pStyle w:val="TableBodyText"/>
              <w:spacing w:before="40"/>
              <w:ind w:right="11"/>
            </w:pPr>
            <w:r>
              <w:t>100 </w:t>
            </w:r>
            <w:r w:rsidR="00B3672D">
              <w:t> </w:t>
            </w:r>
          </w:p>
        </w:tc>
        <w:tc>
          <w:tcPr>
            <w:tcW w:w="381" w:type="pct"/>
            <w:tcBorders>
              <w:top w:val="single" w:sz="6" w:space="0" w:color="auto"/>
              <w:bottom w:val="single" w:sz="6" w:space="0" w:color="auto"/>
            </w:tcBorders>
          </w:tcPr>
          <w:p w:rsidR="00BA27AA" w:rsidRPr="00054463" w:rsidRDefault="00BA27AA" w:rsidP="00056784">
            <w:pPr>
              <w:pStyle w:val="TableBodyText"/>
              <w:spacing w:before="40"/>
              <w:ind w:right="11"/>
            </w:pPr>
            <w:r w:rsidRPr="00054463">
              <w:t>100</w:t>
            </w:r>
          </w:p>
        </w:tc>
        <w:tc>
          <w:tcPr>
            <w:tcW w:w="426" w:type="pct"/>
            <w:tcBorders>
              <w:top w:val="single" w:sz="6" w:space="0" w:color="auto"/>
              <w:bottom w:val="single" w:sz="6" w:space="0" w:color="auto"/>
            </w:tcBorders>
            <w:shd w:val="clear" w:color="auto" w:fill="auto"/>
          </w:tcPr>
          <w:p w:rsidR="00BA27AA" w:rsidRPr="00054463" w:rsidRDefault="00BA27AA" w:rsidP="0027094A">
            <w:pPr>
              <w:pStyle w:val="TableBodyText"/>
              <w:spacing w:before="40"/>
              <w:ind w:right="28"/>
            </w:pPr>
            <w:r w:rsidRPr="00054463">
              <w:t>100</w:t>
            </w:r>
          </w:p>
        </w:tc>
      </w:tr>
    </w:tbl>
    <w:p w:rsidR="00BA27AA" w:rsidRDefault="00BA27AA" w:rsidP="00BA27AA">
      <w:pPr>
        <w:pStyle w:val="Note"/>
      </w:pPr>
      <w:r w:rsidRPr="008E77FE">
        <w:rPr>
          <w:rStyle w:val="NoteLabel"/>
        </w:rPr>
        <w:t>a</w:t>
      </w:r>
      <w:r>
        <w:sym w:font="Wingdings" w:char="F020"/>
      </w:r>
      <w:r>
        <w:t>NSW, SA and ACT oversight bodies were unable to provide estimates.</w:t>
      </w:r>
      <w:r w:rsidR="00AD54C6">
        <w:t xml:space="preserve"> </w:t>
      </w:r>
      <w:r w:rsidR="0047754D">
        <w:rPr>
          <w:rStyle w:val="NoteLabel"/>
        </w:rPr>
        <w:t>b</w:t>
      </w:r>
      <w:r w:rsidR="0047754D">
        <w:sym w:font="Wingdings" w:char="F020"/>
      </w:r>
      <w:r w:rsidR="0047754D">
        <w:t xml:space="preserve">This distribution </w:t>
      </w:r>
      <w:r w:rsidR="00C128BE">
        <w:t xml:space="preserve">for 2010-11 </w:t>
      </w:r>
      <w:r w:rsidR="0047754D">
        <w:t xml:space="preserve">was reported as being atypical because of implementation training relating </w:t>
      </w:r>
      <w:r w:rsidR="00777E60">
        <w:t>to the new RIA system. A more typical distribution from previous years is shown in brackets.</w:t>
      </w:r>
      <w:r w:rsidR="0047754D" w:rsidRPr="00D730B9">
        <w:t xml:space="preserve"> </w:t>
      </w:r>
      <w:r w:rsidR="0047754D">
        <w:rPr>
          <w:rStyle w:val="NoteLabel"/>
        </w:rPr>
        <w:t>c</w:t>
      </w:r>
      <w:r w:rsidR="00D730B9">
        <w:sym w:font="Wingdings" w:char="F020"/>
      </w:r>
      <w:r w:rsidR="00F17B3B">
        <w:t>Other costs include assessing</w:t>
      </w:r>
      <w:r w:rsidR="00D730B9">
        <w:t xml:space="preserve"> </w:t>
      </w:r>
      <w:r w:rsidR="000E5EA0">
        <w:t xml:space="preserve">the adequacy of </w:t>
      </w:r>
      <w:r w:rsidR="00D730B9">
        <w:t>P</w:t>
      </w:r>
      <w:r w:rsidR="00FA0DAF">
        <w:t xml:space="preserve">reliminary </w:t>
      </w:r>
      <w:r w:rsidR="00D730B9">
        <w:t>I</w:t>
      </w:r>
      <w:r w:rsidR="00FA0DAF">
        <w:t xml:space="preserve">mpact </w:t>
      </w:r>
      <w:r w:rsidR="00D730B9">
        <w:t>A</w:t>
      </w:r>
      <w:r w:rsidR="00FA0DAF">
        <w:t>ssessment</w:t>
      </w:r>
      <w:r w:rsidR="00D730B9">
        <w:t xml:space="preserve">s and assistance </w:t>
      </w:r>
      <w:r w:rsidR="00D730B9" w:rsidRPr="00D730B9">
        <w:t>provide</w:t>
      </w:r>
      <w:r w:rsidR="00D730B9">
        <w:t>d to</w:t>
      </w:r>
      <w:r w:rsidR="00D730B9" w:rsidRPr="00D730B9">
        <w:t xml:space="preserve"> agencies on how to apply </w:t>
      </w:r>
      <w:r w:rsidR="00D730B9">
        <w:t>RIA</w:t>
      </w:r>
      <w:r w:rsidR="00F17B3B">
        <w:t xml:space="preserve"> to the various stages of </w:t>
      </w:r>
      <w:r w:rsidR="00D730B9" w:rsidRPr="00D730B9">
        <w:t>policy development</w:t>
      </w:r>
      <w:r w:rsidR="00D730B9">
        <w:t>.</w:t>
      </w:r>
    </w:p>
    <w:p w:rsidR="009964EB" w:rsidRPr="009964EB" w:rsidRDefault="00BA27AA" w:rsidP="009964EB">
      <w:pPr>
        <w:pStyle w:val="Source"/>
      </w:pPr>
      <w:r>
        <w:rPr>
          <w:i/>
        </w:rPr>
        <w:t>Source</w:t>
      </w:r>
      <w:r>
        <w:t xml:space="preserve">: PC </w:t>
      </w:r>
      <w:r w:rsidR="001E3AF6">
        <w:t xml:space="preserve">RIA </w:t>
      </w:r>
      <w:r>
        <w:t xml:space="preserve">Survey </w:t>
      </w:r>
      <w:r w:rsidR="005E7675">
        <w:t>(</w:t>
      </w:r>
      <w:r>
        <w:t>2012</w:t>
      </w:r>
      <w:r w:rsidR="005E7675">
        <w:t>)</w:t>
      </w:r>
      <w:r w:rsidR="00F12E1E">
        <w:t>.</w:t>
      </w:r>
    </w:p>
    <w:p w:rsidR="00816DFA" w:rsidRPr="00000E60" w:rsidRDefault="00287B41" w:rsidP="00000E60">
      <w:pPr>
        <w:pStyle w:val="Heading2"/>
      </w:pPr>
      <w:r>
        <w:lastRenderedPageBreak/>
        <w:t>3.</w:t>
      </w:r>
      <w:r w:rsidR="00702C9A">
        <w:rPr>
          <w:noProof/>
        </w:rPr>
        <w:t>3</w:t>
      </w:r>
      <w:r w:rsidR="00816DFA">
        <w:tab/>
      </w:r>
      <w:r w:rsidR="00AB44C1">
        <w:t>Cabinet o</w:t>
      </w:r>
      <w:r w:rsidR="00F521E4">
        <w:t xml:space="preserve">ffices with a </w:t>
      </w:r>
      <w:r w:rsidR="0005652F">
        <w:t xml:space="preserve">formal </w:t>
      </w:r>
      <w:r w:rsidR="00B07AB9">
        <w:t xml:space="preserve">RIA </w:t>
      </w:r>
      <w:r w:rsidR="00F521E4">
        <w:t>gatekeeping</w:t>
      </w:r>
      <w:r w:rsidR="0052334C">
        <w:t xml:space="preserve"> role</w:t>
      </w:r>
    </w:p>
    <w:p w:rsidR="00A165AD" w:rsidRPr="002F710A" w:rsidRDefault="00554401" w:rsidP="00686A24">
      <w:pPr>
        <w:pStyle w:val="BodyText"/>
      </w:pPr>
      <w:r w:rsidRPr="002F710A">
        <w:t xml:space="preserve">In five jurisdictions, </w:t>
      </w:r>
      <w:r w:rsidR="009C3B6A" w:rsidRPr="002F710A">
        <w:t>C</w:t>
      </w:r>
      <w:r w:rsidR="009F2B3E" w:rsidRPr="002F710A">
        <w:t xml:space="preserve">abinet </w:t>
      </w:r>
      <w:r w:rsidR="0005652F" w:rsidRPr="002F710A">
        <w:t>offices</w:t>
      </w:r>
      <w:r w:rsidR="000F36B1" w:rsidRPr="002F710A">
        <w:t xml:space="preserve"> have a role </w:t>
      </w:r>
      <w:r w:rsidR="00685F64" w:rsidRPr="002F710A">
        <w:t>verifying that</w:t>
      </w:r>
      <w:r w:rsidR="000F36B1" w:rsidRPr="002F710A">
        <w:t xml:space="preserve"> </w:t>
      </w:r>
      <w:r w:rsidR="009F2B3E" w:rsidRPr="002F710A">
        <w:t>proposal</w:t>
      </w:r>
      <w:r w:rsidR="000F36B1" w:rsidRPr="002F710A">
        <w:t>s</w:t>
      </w:r>
      <w:r w:rsidR="00541BB5" w:rsidRPr="002F710A">
        <w:t xml:space="preserve"> have satisfied</w:t>
      </w:r>
      <w:r w:rsidR="00685F64" w:rsidRPr="002F710A">
        <w:t xml:space="preserve"> RIA requirements before they proceed</w:t>
      </w:r>
      <w:r w:rsidR="001A3FFE" w:rsidRPr="002F710A">
        <w:t xml:space="preserve"> to Cabinet or </w:t>
      </w:r>
      <w:r w:rsidR="003B2635" w:rsidRPr="002F710A">
        <w:t xml:space="preserve">its </w:t>
      </w:r>
      <w:r w:rsidR="00F12E1E">
        <w:t>sub-</w:t>
      </w:r>
      <w:r w:rsidR="000F36B1" w:rsidRPr="002F710A">
        <w:t>committees</w:t>
      </w:r>
      <w:r w:rsidR="00C128BE">
        <w:t xml:space="preserve"> (table 3.9)</w:t>
      </w:r>
      <w:r w:rsidR="009F2B3E" w:rsidRPr="002F710A">
        <w:t xml:space="preserve">. </w:t>
      </w:r>
      <w:r w:rsidR="00541BB5" w:rsidRPr="002F710A">
        <w:t>This role is formalised in RIA guidance material or othe</w:t>
      </w:r>
      <w:r w:rsidR="00403219">
        <w:t>r documents such as Cabinet or m</w:t>
      </w:r>
      <w:r w:rsidR="00541BB5" w:rsidRPr="002F710A">
        <w:t>inisterial handbook</w:t>
      </w:r>
      <w:r w:rsidR="0005652F" w:rsidRPr="002F710A">
        <w:t>s</w:t>
      </w:r>
      <w:r w:rsidR="00541BB5" w:rsidRPr="002F710A">
        <w:t xml:space="preserve">. </w:t>
      </w:r>
      <w:r w:rsidR="00D7345F" w:rsidRPr="002F710A">
        <w:t xml:space="preserve">It </w:t>
      </w:r>
      <w:r w:rsidR="00685F64" w:rsidRPr="002F710A">
        <w:t xml:space="preserve">is </w:t>
      </w:r>
      <w:r w:rsidR="00F95B34" w:rsidRPr="002F710A">
        <w:t xml:space="preserve">often </w:t>
      </w:r>
      <w:r w:rsidR="00685F64" w:rsidRPr="002F710A">
        <w:t xml:space="preserve">termed a </w:t>
      </w:r>
      <w:r w:rsidR="00B07AB9">
        <w:t xml:space="preserve">RIA </w:t>
      </w:r>
      <w:r w:rsidR="00685F64" w:rsidRPr="002F710A">
        <w:t>‘gatekeeping’</w:t>
      </w:r>
      <w:r w:rsidR="00B52A28" w:rsidRPr="002F710A">
        <w:t xml:space="preserve"> role as</w:t>
      </w:r>
      <w:r w:rsidR="00DA3734">
        <w:t>, in principle,</w:t>
      </w:r>
      <w:r w:rsidR="00B52A28" w:rsidRPr="002F710A">
        <w:t xml:space="preserve"> it involves preventing proposals </w:t>
      </w:r>
      <w:r w:rsidR="00BA4A1D" w:rsidRPr="002F710A">
        <w:t xml:space="preserve">from </w:t>
      </w:r>
      <w:r w:rsidR="00EE4DE2">
        <w:t xml:space="preserve">proceeding to </w:t>
      </w:r>
      <w:r w:rsidR="00B52A28" w:rsidRPr="002F710A">
        <w:t>decision maker</w:t>
      </w:r>
      <w:r w:rsidR="00EE4DE2">
        <w:t>s</w:t>
      </w:r>
      <w:r w:rsidR="00B52A28" w:rsidRPr="002F710A">
        <w:t xml:space="preserve"> where </w:t>
      </w:r>
      <w:r w:rsidR="0030011E">
        <w:t xml:space="preserve">the oversight body has advised that </w:t>
      </w:r>
      <w:r w:rsidR="00B52A28" w:rsidRPr="002F710A">
        <w:t>RIA requirements have not been met</w:t>
      </w:r>
      <w:r w:rsidR="00686A24" w:rsidRPr="002F710A">
        <w:t>.</w:t>
      </w:r>
    </w:p>
    <w:p w:rsidR="00334F9B" w:rsidRPr="0057237F" w:rsidRDefault="00B52A28" w:rsidP="00686A24">
      <w:pPr>
        <w:pStyle w:val="BodyText"/>
      </w:pPr>
      <w:r w:rsidRPr="002F710A">
        <w:t>This is distinct from Cabinet offices</w:t>
      </w:r>
      <w:r w:rsidR="00554401" w:rsidRPr="002F710A">
        <w:t xml:space="preserve"> in </w:t>
      </w:r>
      <w:r w:rsidR="000C606A">
        <w:t>other</w:t>
      </w:r>
      <w:r w:rsidR="00554401" w:rsidRPr="002F710A">
        <w:t xml:space="preserve"> jurisdictions</w:t>
      </w:r>
      <w:r w:rsidRPr="002F710A">
        <w:t xml:space="preserve"> </w:t>
      </w:r>
      <w:r w:rsidR="001F7CE5" w:rsidRPr="002F710A">
        <w:t>which have a</w:t>
      </w:r>
      <w:r w:rsidR="00172EB4">
        <w:t>n information facilitation</w:t>
      </w:r>
      <w:r w:rsidR="001F7CE5" w:rsidRPr="002F710A">
        <w:t xml:space="preserve"> role</w:t>
      </w:r>
      <w:r w:rsidRPr="002F710A">
        <w:t xml:space="preserve"> </w:t>
      </w:r>
      <w:r w:rsidR="001F7CE5" w:rsidRPr="002F710A">
        <w:t xml:space="preserve">ensuring </w:t>
      </w:r>
      <w:r w:rsidRPr="002F710A">
        <w:t xml:space="preserve">that </w:t>
      </w:r>
      <w:r w:rsidR="000C606A">
        <w:t xml:space="preserve">the RIS (where submitted by the agency) and </w:t>
      </w:r>
      <w:r w:rsidRPr="002F710A">
        <w:t xml:space="preserve">oversight body comments are attached to </w:t>
      </w:r>
      <w:r w:rsidR="001F7CE5" w:rsidRPr="002F710A">
        <w:t>proposals</w:t>
      </w:r>
      <w:r w:rsidR="00BA4A1D" w:rsidRPr="002F710A">
        <w:t xml:space="preserve"> regardless of whether </w:t>
      </w:r>
      <w:r w:rsidR="000C606A">
        <w:t>RIA requirements have been met</w:t>
      </w:r>
      <w:r w:rsidR="001F7CE5" w:rsidRPr="002F710A">
        <w:t xml:space="preserve">. This </w:t>
      </w:r>
      <w:r w:rsidR="00194293" w:rsidRPr="002F710A">
        <w:t xml:space="preserve">does not comprise </w:t>
      </w:r>
      <w:r w:rsidR="001F7CE5" w:rsidRPr="002F710A">
        <w:t>a</w:t>
      </w:r>
      <w:r w:rsidR="00125311">
        <w:t xml:space="preserve"> RIA</w:t>
      </w:r>
      <w:r w:rsidR="001F7CE5" w:rsidRPr="002F710A">
        <w:t xml:space="preserve"> ‘</w:t>
      </w:r>
      <w:r w:rsidRPr="002F710A">
        <w:t>gatekeeping</w:t>
      </w:r>
      <w:r w:rsidR="001F7CE5" w:rsidRPr="002F710A">
        <w:t xml:space="preserve">’ </w:t>
      </w:r>
      <w:r w:rsidR="00DA3734">
        <w:t xml:space="preserve">role </w:t>
      </w:r>
      <w:r w:rsidR="00194293" w:rsidRPr="002F710A">
        <w:t>because</w:t>
      </w:r>
      <w:r w:rsidRPr="002F710A">
        <w:t xml:space="preserve"> proposa</w:t>
      </w:r>
      <w:r w:rsidR="00194293" w:rsidRPr="002F710A">
        <w:t>ls which have not complied with RIA requirements</w:t>
      </w:r>
      <w:r w:rsidR="00A03D71">
        <w:t xml:space="preserve"> still</w:t>
      </w:r>
      <w:r w:rsidRPr="002F710A">
        <w:t xml:space="preserve"> </w:t>
      </w:r>
      <w:r w:rsidR="001F7CE5" w:rsidRPr="002F710A">
        <w:t xml:space="preserve">proceed to </w:t>
      </w:r>
      <w:r w:rsidR="00A03D71">
        <w:t>the decision maker</w:t>
      </w:r>
      <w:r w:rsidR="00194293" w:rsidRPr="002F710A">
        <w:t>.</w:t>
      </w:r>
    </w:p>
    <w:p w:rsidR="00BA27AA" w:rsidRDefault="00BA27AA" w:rsidP="005F3604">
      <w:pPr>
        <w:pStyle w:val="TableTitle"/>
      </w:pPr>
      <w:r>
        <w:rPr>
          <w:b w:val="0"/>
        </w:rPr>
        <w:t xml:space="preserve">Table </w:t>
      </w:r>
      <w:r w:rsidR="00287B41">
        <w:rPr>
          <w:b w:val="0"/>
        </w:rPr>
        <w:t>3.</w:t>
      </w:r>
      <w:r w:rsidR="00702C9A">
        <w:rPr>
          <w:b w:val="0"/>
          <w:noProof/>
        </w:rPr>
        <w:t>9</w:t>
      </w:r>
      <w:r>
        <w:tab/>
        <w:t xml:space="preserve">Formal </w:t>
      </w:r>
      <w:r w:rsidR="00172EB4">
        <w:t xml:space="preserve">RIA </w:t>
      </w:r>
      <w:r>
        <w:t>gatekeeping</w:t>
      </w:r>
      <w:r w:rsidRPr="003F5242">
        <w:t xml:space="preserve"> </w:t>
      </w:r>
      <w:r>
        <w:t>role</w:t>
      </w:r>
      <w:r w:rsidRPr="003F5242">
        <w:t>s</w:t>
      </w:r>
    </w:p>
    <w:p w:rsidR="00BA27AA" w:rsidRDefault="00806068" w:rsidP="00BA27AA">
      <w:pPr>
        <w:pStyle w:val="Subtitle"/>
      </w:pPr>
      <w:r>
        <w:t>A</w:t>
      </w:r>
      <w:r w:rsidR="00172EB4">
        <w:t>s at January 2012</w:t>
      </w:r>
    </w:p>
    <w:tbl>
      <w:tblPr>
        <w:tblW w:w="5000" w:type="pct"/>
        <w:tblCellMar>
          <w:left w:w="0" w:type="dxa"/>
          <w:right w:w="0" w:type="dxa"/>
        </w:tblCellMar>
        <w:tblLook w:val="0000" w:firstRow="0" w:lastRow="0" w:firstColumn="0" w:lastColumn="0" w:noHBand="0" w:noVBand="0"/>
      </w:tblPr>
      <w:tblGrid>
        <w:gridCol w:w="784"/>
        <w:gridCol w:w="1624"/>
        <w:gridCol w:w="1702"/>
        <w:gridCol w:w="4679"/>
      </w:tblGrid>
      <w:tr w:rsidR="00BA27AA" w:rsidTr="00224E1C">
        <w:tc>
          <w:tcPr>
            <w:tcW w:w="446" w:type="pct"/>
            <w:tcBorders>
              <w:top w:val="single" w:sz="6" w:space="0" w:color="auto"/>
              <w:bottom w:val="single" w:sz="6" w:space="0" w:color="auto"/>
            </w:tcBorders>
            <w:shd w:val="clear" w:color="auto" w:fill="auto"/>
          </w:tcPr>
          <w:p w:rsidR="00BA27AA" w:rsidRPr="00A6033A" w:rsidRDefault="00BA27AA" w:rsidP="005F3604">
            <w:pPr>
              <w:pStyle w:val="TableColumnHeading"/>
              <w:jc w:val="left"/>
              <w:rPr>
                <w:sz w:val="18"/>
                <w:szCs w:val="18"/>
              </w:rPr>
            </w:pPr>
          </w:p>
        </w:tc>
        <w:tc>
          <w:tcPr>
            <w:tcW w:w="924" w:type="pct"/>
            <w:tcBorders>
              <w:top w:val="single" w:sz="6" w:space="0" w:color="auto"/>
              <w:bottom w:val="single" w:sz="6" w:space="0" w:color="auto"/>
            </w:tcBorders>
          </w:tcPr>
          <w:p w:rsidR="00BA27AA" w:rsidRPr="00853CD4" w:rsidRDefault="009F78F9" w:rsidP="009F78F9">
            <w:pPr>
              <w:pStyle w:val="TableColumnHeading"/>
              <w:jc w:val="left"/>
              <w:rPr>
                <w:rStyle w:val="DraftingNote"/>
                <w:b w:val="0"/>
                <w:color w:val="auto"/>
                <w:sz w:val="18"/>
                <w:szCs w:val="18"/>
                <w:u w:val="none"/>
              </w:rPr>
            </w:pPr>
            <w:r>
              <w:rPr>
                <w:sz w:val="18"/>
                <w:szCs w:val="18"/>
              </w:rPr>
              <w:t xml:space="preserve">Formal </w:t>
            </w:r>
            <w:r w:rsidR="00172EB4">
              <w:rPr>
                <w:sz w:val="18"/>
                <w:szCs w:val="18"/>
              </w:rPr>
              <w:t xml:space="preserve">RIA </w:t>
            </w:r>
            <w:r>
              <w:rPr>
                <w:sz w:val="18"/>
                <w:szCs w:val="18"/>
              </w:rPr>
              <w:t>gatekeeping</w:t>
            </w:r>
            <w:r w:rsidR="00BA27AA">
              <w:rPr>
                <w:sz w:val="18"/>
                <w:szCs w:val="18"/>
              </w:rPr>
              <w:t xml:space="preserve"> role?</w:t>
            </w:r>
          </w:p>
        </w:tc>
        <w:tc>
          <w:tcPr>
            <w:tcW w:w="968" w:type="pct"/>
            <w:tcBorders>
              <w:top w:val="single" w:sz="6" w:space="0" w:color="auto"/>
              <w:bottom w:val="single" w:sz="6" w:space="0" w:color="auto"/>
            </w:tcBorders>
            <w:shd w:val="clear" w:color="auto" w:fill="auto"/>
          </w:tcPr>
          <w:p w:rsidR="00BA27AA" w:rsidRPr="00A6033A" w:rsidRDefault="00BA27AA" w:rsidP="009F78F9">
            <w:pPr>
              <w:pStyle w:val="TableColumnHeading"/>
              <w:jc w:val="left"/>
              <w:rPr>
                <w:sz w:val="18"/>
                <w:szCs w:val="18"/>
              </w:rPr>
            </w:pPr>
            <w:r>
              <w:rPr>
                <w:sz w:val="18"/>
                <w:szCs w:val="18"/>
              </w:rPr>
              <w:t xml:space="preserve">Who performs </w:t>
            </w:r>
            <w:r w:rsidR="0027094A">
              <w:rPr>
                <w:sz w:val="18"/>
                <w:szCs w:val="18"/>
              </w:rPr>
              <w:br/>
            </w:r>
            <w:r>
              <w:rPr>
                <w:sz w:val="18"/>
                <w:szCs w:val="18"/>
              </w:rPr>
              <w:t>the role?</w:t>
            </w:r>
          </w:p>
        </w:tc>
        <w:tc>
          <w:tcPr>
            <w:tcW w:w="2662" w:type="pct"/>
            <w:tcBorders>
              <w:top w:val="single" w:sz="6" w:space="0" w:color="auto"/>
              <w:bottom w:val="single" w:sz="6" w:space="0" w:color="auto"/>
            </w:tcBorders>
            <w:shd w:val="clear" w:color="auto" w:fill="auto"/>
          </w:tcPr>
          <w:p w:rsidR="00BA27AA" w:rsidRPr="001A3FFE" w:rsidRDefault="00BA27AA" w:rsidP="009F78F9">
            <w:pPr>
              <w:pStyle w:val="TableColumnHeading"/>
              <w:jc w:val="left"/>
              <w:rPr>
                <w:rStyle w:val="DraftingNote"/>
                <w:b w:val="0"/>
                <w:color w:val="auto"/>
                <w:sz w:val="18"/>
                <w:szCs w:val="18"/>
                <w:u w:val="none"/>
              </w:rPr>
            </w:pPr>
            <w:r>
              <w:rPr>
                <w:sz w:val="18"/>
                <w:szCs w:val="18"/>
              </w:rPr>
              <w:t xml:space="preserve">What should happen if a proposal does not satisfy </w:t>
            </w:r>
            <w:r w:rsidR="0027094A">
              <w:rPr>
                <w:sz w:val="18"/>
                <w:szCs w:val="18"/>
              </w:rPr>
              <w:br/>
            </w:r>
            <w:r>
              <w:rPr>
                <w:sz w:val="18"/>
                <w:szCs w:val="18"/>
              </w:rPr>
              <w:t>RIA requirements?</w:t>
            </w:r>
          </w:p>
        </w:tc>
      </w:tr>
      <w:tr w:rsidR="00BA27AA" w:rsidTr="00224E1C">
        <w:tc>
          <w:tcPr>
            <w:tcW w:w="446" w:type="pct"/>
            <w:tcBorders>
              <w:top w:val="single" w:sz="6" w:space="0" w:color="auto"/>
            </w:tcBorders>
          </w:tcPr>
          <w:p w:rsidR="00BA27AA" w:rsidRPr="00393D6F" w:rsidRDefault="00BA27AA" w:rsidP="002B1D7E">
            <w:pPr>
              <w:pStyle w:val="TableBodyText"/>
              <w:spacing w:before="40"/>
              <w:jc w:val="left"/>
              <w:rPr>
                <w:sz w:val="18"/>
                <w:szCs w:val="18"/>
              </w:rPr>
            </w:pPr>
            <w:r w:rsidRPr="00393D6F">
              <w:rPr>
                <w:sz w:val="18"/>
                <w:szCs w:val="18"/>
              </w:rPr>
              <w:t>Cwlth</w:t>
            </w:r>
          </w:p>
        </w:tc>
        <w:tc>
          <w:tcPr>
            <w:tcW w:w="924" w:type="pct"/>
            <w:tcBorders>
              <w:top w:val="single" w:sz="6" w:space="0" w:color="auto"/>
            </w:tcBorders>
          </w:tcPr>
          <w:p w:rsidR="00BA27AA" w:rsidRPr="00393D6F" w:rsidRDefault="00BA27AA" w:rsidP="0076315E">
            <w:pPr>
              <w:pStyle w:val="TableBodyText"/>
              <w:spacing w:before="40"/>
              <w:ind w:firstLine="203"/>
              <w:jc w:val="left"/>
              <w:rPr>
                <w:sz w:val="18"/>
                <w:szCs w:val="18"/>
              </w:rPr>
            </w:pPr>
            <w:r w:rsidRPr="00393D6F">
              <w:rPr>
                <w:sz w:val="18"/>
                <w:szCs w:val="18"/>
              </w:rPr>
              <w:t>Yes</w:t>
            </w:r>
          </w:p>
        </w:tc>
        <w:tc>
          <w:tcPr>
            <w:tcW w:w="968" w:type="pct"/>
            <w:tcBorders>
              <w:top w:val="single" w:sz="6" w:space="0" w:color="auto"/>
            </w:tcBorders>
          </w:tcPr>
          <w:p w:rsidR="00BA27AA" w:rsidRPr="00393D6F" w:rsidRDefault="00BA27AA" w:rsidP="002B1D7E">
            <w:pPr>
              <w:pStyle w:val="TableBodyText"/>
              <w:spacing w:before="40"/>
              <w:jc w:val="left"/>
              <w:rPr>
                <w:sz w:val="18"/>
                <w:szCs w:val="18"/>
              </w:rPr>
            </w:pPr>
            <w:r w:rsidRPr="00393D6F">
              <w:rPr>
                <w:sz w:val="18"/>
                <w:szCs w:val="18"/>
              </w:rPr>
              <w:t>Cabinet Secretariat</w:t>
            </w:r>
          </w:p>
        </w:tc>
        <w:tc>
          <w:tcPr>
            <w:tcW w:w="2662" w:type="pct"/>
            <w:tcBorders>
              <w:top w:val="single" w:sz="6" w:space="0" w:color="auto"/>
            </w:tcBorders>
          </w:tcPr>
          <w:p w:rsidR="00BA27AA" w:rsidRPr="00393D6F" w:rsidRDefault="00BA27AA" w:rsidP="002B1D7E">
            <w:pPr>
              <w:pStyle w:val="TableBodyText"/>
              <w:spacing w:before="40"/>
              <w:jc w:val="left"/>
              <w:rPr>
                <w:sz w:val="18"/>
                <w:szCs w:val="18"/>
              </w:rPr>
            </w:pPr>
            <w:r w:rsidRPr="00393D6F">
              <w:rPr>
                <w:sz w:val="18"/>
                <w:szCs w:val="18"/>
              </w:rPr>
              <w:t>The Cabinet Secretariat will not circulate final Cabinet submissions or memoranda or other Cabinet papers</w:t>
            </w:r>
          </w:p>
        </w:tc>
      </w:tr>
      <w:tr w:rsidR="00BA27AA" w:rsidTr="00224E1C">
        <w:tc>
          <w:tcPr>
            <w:tcW w:w="446" w:type="pct"/>
            <w:shd w:val="pct15" w:color="auto" w:fill="auto"/>
          </w:tcPr>
          <w:p w:rsidR="00BA27AA" w:rsidRPr="00A6033A" w:rsidRDefault="00BA27AA" w:rsidP="002B1D7E">
            <w:pPr>
              <w:pStyle w:val="TableBodyText"/>
              <w:spacing w:before="40"/>
              <w:jc w:val="left"/>
              <w:rPr>
                <w:sz w:val="18"/>
                <w:szCs w:val="18"/>
              </w:rPr>
            </w:pPr>
            <w:r w:rsidRPr="00A6033A">
              <w:rPr>
                <w:sz w:val="18"/>
                <w:szCs w:val="18"/>
              </w:rPr>
              <w:t>COAG</w:t>
            </w:r>
          </w:p>
        </w:tc>
        <w:tc>
          <w:tcPr>
            <w:tcW w:w="924" w:type="pct"/>
            <w:shd w:val="pct15" w:color="auto" w:fill="auto"/>
          </w:tcPr>
          <w:p w:rsidR="00BA27AA" w:rsidRPr="00393D6F" w:rsidRDefault="00806068" w:rsidP="0076315E">
            <w:pPr>
              <w:pStyle w:val="TableBodyText"/>
              <w:spacing w:before="40"/>
              <w:ind w:firstLine="203"/>
              <w:jc w:val="left"/>
              <w:rPr>
                <w:sz w:val="18"/>
                <w:szCs w:val="18"/>
              </w:rPr>
            </w:pPr>
            <w:r w:rsidRPr="00393D6F">
              <w:rPr>
                <w:sz w:val="18"/>
                <w:szCs w:val="18"/>
              </w:rPr>
              <w:t>na</w:t>
            </w:r>
          </w:p>
        </w:tc>
        <w:tc>
          <w:tcPr>
            <w:tcW w:w="968" w:type="pct"/>
            <w:shd w:val="pct15" w:color="auto" w:fill="auto"/>
          </w:tcPr>
          <w:p w:rsidR="00BA27AA" w:rsidRPr="00A6033A" w:rsidRDefault="00BA27AA" w:rsidP="002B1D7E">
            <w:pPr>
              <w:pStyle w:val="TableBodyText"/>
              <w:spacing w:before="40"/>
              <w:jc w:val="left"/>
              <w:rPr>
                <w:sz w:val="18"/>
                <w:szCs w:val="18"/>
              </w:rPr>
            </w:pPr>
          </w:p>
        </w:tc>
        <w:tc>
          <w:tcPr>
            <w:tcW w:w="2662" w:type="pct"/>
            <w:shd w:val="pct15" w:color="auto" w:fill="auto"/>
          </w:tcPr>
          <w:p w:rsidR="00BA27AA" w:rsidRPr="00A6033A" w:rsidRDefault="00BA27AA" w:rsidP="002B1D7E">
            <w:pPr>
              <w:pStyle w:val="TableBodyText"/>
              <w:spacing w:before="40"/>
              <w:jc w:val="left"/>
              <w:rPr>
                <w:sz w:val="18"/>
                <w:szCs w:val="18"/>
              </w:rPr>
            </w:pPr>
          </w:p>
        </w:tc>
      </w:tr>
      <w:tr w:rsidR="00BA27AA" w:rsidTr="00224E1C">
        <w:tc>
          <w:tcPr>
            <w:tcW w:w="446" w:type="pct"/>
          </w:tcPr>
          <w:p w:rsidR="00BA27AA" w:rsidRPr="00A6033A" w:rsidRDefault="00BA27AA" w:rsidP="002B1D7E">
            <w:pPr>
              <w:pStyle w:val="TableBodyText"/>
              <w:spacing w:before="40"/>
              <w:jc w:val="left"/>
              <w:rPr>
                <w:sz w:val="18"/>
                <w:szCs w:val="18"/>
              </w:rPr>
            </w:pPr>
            <w:r w:rsidRPr="00A6033A">
              <w:rPr>
                <w:sz w:val="18"/>
                <w:szCs w:val="18"/>
              </w:rPr>
              <w:t>NSW</w:t>
            </w:r>
          </w:p>
        </w:tc>
        <w:tc>
          <w:tcPr>
            <w:tcW w:w="924" w:type="pct"/>
          </w:tcPr>
          <w:p w:rsidR="00BA27AA" w:rsidRDefault="00BA27AA" w:rsidP="0076315E">
            <w:pPr>
              <w:pStyle w:val="TableBodyText"/>
              <w:spacing w:before="40"/>
              <w:ind w:firstLine="203"/>
              <w:jc w:val="left"/>
              <w:rPr>
                <w:sz w:val="18"/>
                <w:szCs w:val="18"/>
              </w:rPr>
            </w:pPr>
            <w:r>
              <w:rPr>
                <w:sz w:val="18"/>
                <w:szCs w:val="18"/>
              </w:rPr>
              <w:t>Yes</w:t>
            </w:r>
          </w:p>
        </w:tc>
        <w:tc>
          <w:tcPr>
            <w:tcW w:w="968" w:type="pct"/>
          </w:tcPr>
          <w:p w:rsidR="00BA27AA" w:rsidRPr="00A6033A" w:rsidRDefault="00BA27AA" w:rsidP="006330D9">
            <w:pPr>
              <w:pStyle w:val="TableBodyText"/>
              <w:jc w:val="left"/>
              <w:rPr>
                <w:sz w:val="18"/>
                <w:szCs w:val="18"/>
              </w:rPr>
            </w:pPr>
            <w:r>
              <w:rPr>
                <w:sz w:val="18"/>
                <w:szCs w:val="18"/>
              </w:rPr>
              <w:t>Premier</w:t>
            </w:r>
            <w:r w:rsidR="00C54CDD">
              <w:rPr>
                <w:rStyle w:val="NoteLabel"/>
              </w:rPr>
              <w:t>a</w:t>
            </w:r>
          </w:p>
        </w:tc>
        <w:tc>
          <w:tcPr>
            <w:tcW w:w="2662" w:type="pct"/>
          </w:tcPr>
          <w:p w:rsidR="00BA27AA" w:rsidRPr="00A6033A" w:rsidRDefault="00906396" w:rsidP="002B1D7E">
            <w:pPr>
              <w:pStyle w:val="TableBodyText"/>
              <w:spacing w:before="40"/>
              <w:jc w:val="left"/>
              <w:rPr>
                <w:sz w:val="18"/>
                <w:szCs w:val="18"/>
              </w:rPr>
            </w:pPr>
            <w:r>
              <w:rPr>
                <w:sz w:val="18"/>
                <w:szCs w:val="18"/>
              </w:rPr>
              <w:t xml:space="preserve">The </w:t>
            </w:r>
            <w:r w:rsidR="00BA27AA">
              <w:rPr>
                <w:sz w:val="18"/>
                <w:szCs w:val="18"/>
              </w:rPr>
              <w:t xml:space="preserve">Premier can exclude proposal from Cabinet Agenda or not forward Executive Council Minutes for consideration by the </w:t>
            </w:r>
            <w:r w:rsidR="00A03F71">
              <w:rPr>
                <w:sz w:val="18"/>
                <w:szCs w:val="18"/>
              </w:rPr>
              <w:t>Governor</w:t>
            </w:r>
            <w:r w:rsidR="00BA27AA">
              <w:rPr>
                <w:sz w:val="18"/>
                <w:szCs w:val="18"/>
              </w:rPr>
              <w:t>-in-Council based on advice from the Department of Premier and Cabinet</w:t>
            </w:r>
          </w:p>
        </w:tc>
      </w:tr>
      <w:tr w:rsidR="00BA27AA" w:rsidTr="00224E1C">
        <w:tc>
          <w:tcPr>
            <w:tcW w:w="446" w:type="pct"/>
            <w:shd w:val="pct15" w:color="auto" w:fill="auto"/>
          </w:tcPr>
          <w:p w:rsidR="00BA27AA" w:rsidRPr="00A6033A" w:rsidRDefault="00BA27AA" w:rsidP="002B1D7E">
            <w:pPr>
              <w:pStyle w:val="TableBodyText"/>
              <w:spacing w:before="40"/>
              <w:jc w:val="left"/>
              <w:rPr>
                <w:sz w:val="18"/>
                <w:szCs w:val="18"/>
              </w:rPr>
            </w:pPr>
            <w:r w:rsidRPr="00A6033A">
              <w:rPr>
                <w:sz w:val="18"/>
                <w:szCs w:val="18"/>
              </w:rPr>
              <w:t>Vic</w:t>
            </w:r>
          </w:p>
        </w:tc>
        <w:tc>
          <w:tcPr>
            <w:tcW w:w="924" w:type="pct"/>
            <w:shd w:val="pct15" w:color="auto" w:fill="auto"/>
          </w:tcPr>
          <w:p w:rsidR="00BA27AA" w:rsidRPr="00B800EA" w:rsidRDefault="0057237F" w:rsidP="0076315E">
            <w:pPr>
              <w:pStyle w:val="TableBodyText"/>
              <w:spacing w:before="40"/>
              <w:ind w:firstLine="203"/>
              <w:jc w:val="left"/>
              <w:rPr>
                <w:rStyle w:val="DraftingNote"/>
                <w:b w:val="0"/>
                <w:color w:val="auto"/>
                <w:sz w:val="18"/>
                <w:szCs w:val="18"/>
                <w:u w:val="none"/>
              </w:rPr>
            </w:pPr>
            <w:r>
              <w:rPr>
                <w:sz w:val="18"/>
                <w:szCs w:val="18"/>
              </w:rPr>
              <w:t>No</w:t>
            </w:r>
          </w:p>
        </w:tc>
        <w:tc>
          <w:tcPr>
            <w:tcW w:w="968" w:type="pct"/>
            <w:shd w:val="pct15" w:color="auto" w:fill="auto"/>
          </w:tcPr>
          <w:p w:rsidR="00BA27AA" w:rsidRPr="005C305A" w:rsidRDefault="00BA27AA" w:rsidP="002B1D7E">
            <w:pPr>
              <w:pStyle w:val="TableBodyText"/>
              <w:spacing w:before="40"/>
              <w:jc w:val="left"/>
              <w:rPr>
                <w:rStyle w:val="DraftingNote"/>
                <w:b w:val="0"/>
                <w:color w:val="auto"/>
                <w:sz w:val="18"/>
                <w:szCs w:val="18"/>
                <w:u w:val="none"/>
              </w:rPr>
            </w:pPr>
          </w:p>
        </w:tc>
        <w:tc>
          <w:tcPr>
            <w:tcW w:w="2662" w:type="pct"/>
            <w:shd w:val="pct15" w:color="auto" w:fill="auto"/>
          </w:tcPr>
          <w:p w:rsidR="00BA27AA" w:rsidRPr="00A6033A" w:rsidRDefault="00BA27AA" w:rsidP="002B1D7E">
            <w:pPr>
              <w:pStyle w:val="TableBodyText"/>
              <w:spacing w:before="40"/>
              <w:jc w:val="left"/>
              <w:rPr>
                <w:sz w:val="18"/>
                <w:szCs w:val="18"/>
              </w:rPr>
            </w:pPr>
          </w:p>
        </w:tc>
      </w:tr>
      <w:tr w:rsidR="00BA27AA" w:rsidTr="00224E1C">
        <w:tc>
          <w:tcPr>
            <w:tcW w:w="446" w:type="pct"/>
          </w:tcPr>
          <w:p w:rsidR="00BA27AA" w:rsidRPr="00A6033A" w:rsidRDefault="00BA27AA" w:rsidP="002B1D7E">
            <w:pPr>
              <w:pStyle w:val="TableBodyText"/>
              <w:spacing w:before="40"/>
              <w:jc w:val="left"/>
              <w:rPr>
                <w:sz w:val="18"/>
                <w:szCs w:val="18"/>
              </w:rPr>
            </w:pPr>
            <w:r w:rsidRPr="00A6033A">
              <w:rPr>
                <w:sz w:val="18"/>
                <w:szCs w:val="18"/>
              </w:rPr>
              <w:t>Qld</w:t>
            </w:r>
          </w:p>
        </w:tc>
        <w:tc>
          <w:tcPr>
            <w:tcW w:w="924" w:type="pct"/>
          </w:tcPr>
          <w:p w:rsidR="00BA27AA" w:rsidRDefault="00BA27AA" w:rsidP="0076315E">
            <w:pPr>
              <w:pStyle w:val="TableBodyText"/>
              <w:spacing w:before="40"/>
              <w:ind w:firstLine="203"/>
              <w:jc w:val="left"/>
              <w:rPr>
                <w:sz w:val="18"/>
                <w:szCs w:val="18"/>
              </w:rPr>
            </w:pPr>
            <w:r>
              <w:rPr>
                <w:sz w:val="18"/>
                <w:szCs w:val="18"/>
              </w:rPr>
              <w:t>No</w:t>
            </w:r>
          </w:p>
        </w:tc>
        <w:tc>
          <w:tcPr>
            <w:tcW w:w="968" w:type="pct"/>
          </w:tcPr>
          <w:p w:rsidR="00BA27AA" w:rsidRPr="00A6033A" w:rsidRDefault="00BA27AA" w:rsidP="002B1D7E">
            <w:pPr>
              <w:pStyle w:val="TableBodyText"/>
              <w:spacing w:before="40"/>
              <w:jc w:val="left"/>
              <w:rPr>
                <w:sz w:val="18"/>
                <w:szCs w:val="18"/>
              </w:rPr>
            </w:pPr>
          </w:p>
        </w:tc>
        <w:tc>
          <w:tcPr>
            <w:tcW w:w="2662" w:type="pct"/>
          </w:tcPr>
          <w:p w:rsidR="00BA27AA" w:rsidRPr="00A6033A" w:rsidRDefault="00BA27AA" w:rsidP="002B1D7E">
            <w:pPr>
              <w:pStyle w:val="TableBodyText"/>
              <w:spacing w:before="40"/>
              <w:jc w:val="left"/>
              <w:rPr>
                <w:sz w:val="18"/>
                <w:szCs w:val="18"/>
              </w:rPr>
            </w:pPr>
          </w:p>
        </w:tc>
      </w:tr>
      <w:tr w:rsidR="00BA27AA" w:rsidTr="00224E1C">
        <w:tc>
          <w:tcPr>
            <w:tcW w:w="446" w:type="pct"/>
            <w:shd w:val="pct15" w:color="auto" w:fill="auto"/>
          </w:tcPr>
          <w:p w:rsidR="00BA27AA" w:rsidRPr="00A6033A" w:rsidRDefault="00BA27AA" w:rsidP="002B1D7E">
            <w:pPr>
              <w:pStyle w:val="TableBodyText"/>
              <w:spacing w:before="40"/>
              <w:jc w:val="left"/>
              <w:rPr>
                <w:sz w:val="18"/>
                <w:szCs w:val="18"/>
              </w:rPr>
            </w:pPr>
            <w:r w:rsidRPr="00A6033A">
              <w:rPr>
                <w:sz w:val="18"/>
                <w:szCs w:val="18"/>
              </w:rPr>
              <w:t>WA</w:t>
            </w:r>
          </w:p>
        </w:tc>
        <w:tc>
          <w:tcPr>
            <w:tcW w:w="924" w:type="pct"/>
            <w:shd w:val="pct15" w:color="auto" w:fill="auto"/>
          </w:tcPr>
          <w:p w:rsidR="00BA27AA" w:rsidRDefault="00BA27AA" w:rsidP="0076315E">
            <w:pPr>
              <w:pStyle w:val="TableBodyText"/>
              <w:spacing w:before="40"/>
              <w:ind w:firstLine="203"/>
              <w:jc w:val="left"/>
              <w:rPr>
                <w:sz w:val="18"/>
                <w:szCs w:val="18"/>
              </w:rPr>
            </w:pPr>
            <w:r>
              <w:rPr>
                <w:sz w:val="18"/>
                <w:szCs w:val="18"/>
              </w:rPr>
              <w:t>Yes</w:t>
            </w:r>
          </w:p>
        </w:tc>
        <w:tc>
          <w:tcPr>
            <w:tcW w:w="968" w:type="pct"/>
            <w:shd w:val="pct15" w:color="auto" w:fill="auto"/>
          </w:tcPr>
          <w:p w:rsidR="00BA27AA" w:rsidRPr="00A6033A" w:rsidRDefault="00BA27AA" w:rsidP="002B1D7E">
            <w:pPr>
              <w:pStyle w:val="TableBodyText"/>
              <w:spacing w:before="40"/>
              <w:jc w:val="left"/>
              <w:rPr>
                <w:sz w:val="18"/>
                <w:szCs w:val="18"/>
              </w:rPr>
            </w:pPr>
            <w:r>
              <w:rPr>
                <w:sz w:val="18"/>
                <w:szCs w:val="18"/>
              </w:rPr>
              <w:t>Cabinet Services Branch</w:t>
            </w:r>
          </w:p>
        </w:tc>
        <w:tc>
          <w:tcPr>
            <w:tcW w:w="2662" w:type="pct"/>
            <w:shd w:val="pct15" w:color="auto" w:fill="auto"/>
          </w:tcPr>
          <w:p w:rsidR="00BA27AA" w:rsidRPr="00853CD4" w:rsidRDefault="00BA27AA" w:rsidP="002B1D7E">
            <w:pPr>
              <w:pStyle w:val="TableBodyText"/>
              <w:spacing w:before="40"/>
              <w:jc w:val="left"/>
              <w:rPr>
                <w:sz w:val="18"/>
              </w:rPr>
            </w:pPr>
            <w:r w:rsidRPr="004701F3">
              <w:rPr>
                <w:sz w:val="18"/>
              </w:rPr>
              <w:t>Cabinet Services Branch may return the Cabinet submission to the Minister</w:t>
            </w:r>
          </w:p>
        </w:tc>
      </w:tr>
      <w:tr w:rsidR="00BA27AA" w:rsidTr="00224E1C">
        <w:tc>
          <w:tcPr>
            <w:tcW w:w="446" w:type="pct"/>
          </w:tcPr>
          <w:p w:rsidR="00BA27AA" w:rsidRPr="00A6033A" w:rsidRDefault="00BA27AA" w:rsidP="002B1D7E">
            <w:pPr>
              <w:pStyle w:val="TableBodyText"/>
              <w:spacing w:before="40"/>
              <w:jc w:val="left"/>
              <w:rPr>
                <w:sz w:val="18"/>
                <w:szCs w:val="18"/>
              </w:rPr>
            </w:pPr>
            <w:r w:rsidRPr="00A6033A">
              <w:rPr>
                <w:sz w:val="18"/>
                <w:szCs w:val="18"/>
              </w:rPr>
              <w:t>SA</w:t>
            </w:r>
          </w:p>
        </w:tc>
        <w:tc>
          <w:tcPr>
            <w:tcW w:w="924" w:type="pct"/>
          </w:tcPr>
          <w:p w:rsidR="00BA27AA" w:rsidRDefault="00BA27AA" w:rsidP="0076315E">
            <w:pPr>
              <w:pStyle w:val="TableBodyText"/>
              <w:spacing w:before="40"/>
              <w:ind w:firstLine="203"/>
              <w:jc w:val="left"/>
              <w:rPr>
                <w:sz w:val="18"/>
                <w:szCs w:val="18"/>
              </w:rPr>
            </w:pPr>
            <w:r>
              <w:rPr>
                <w:sz w:val="18"/>
                <w:szCs w:val="18"/>
              </w:rPr>
              <w:t>Yes</w:t>
            </w:r>
          </w:p>
        </w:tc>
        <w:tc>
          <w:tcPr>
            <w:tcW w:w="968" w:type="pct"/>
          </w:tcPr>
          <w:p w:rsidR="00BA27AA" w:rsidRPr="00A6033A" w:rsidRDefault="00BA27AA" w:rsidP="002B1D7E">
            <w:pPr>
              <w:pStyle w:val="TableBodyText"/>
              <w:spacing w:before="40"/>
              <w:jc w:val="left"/>
              <w:rPr>
                <w:sz w:val="18"/>
                <w:szCs w:val="18"/>
              </w:rPr>
            </w:pPr>
            <w:r>
              <w:rPr>
                <w:sz w:val="18"/>
                <w:szCs w:val="18"/>
              </w:rPr>
              <w:t>Cabinet Office</w:t>
            </w:r>
          </w:p>
        </w:tc>
        <w:tc>
          <w:tcPr>
            <w:tcW w:w="2662" w:type="pct"/>
          </w:tcPr>
          <w:p w:rsidR="00BA27AA" w:rsidRPr="00A6033A" w:rsidRDefault="00BA27AA" w:rsidP="002B1D7E">
            <w:pPr>
              <w:pStyle w:val="TableBodyText"/>
              <w:spacing w:before="40"/>
              <w:jc w:val="left"/>
              <w:rPr>
                <w:sz w:val="18"/>
                <w:szCs w:val="18"/>
              </w:rPr>
            </w:pPr>
            <w:r w:rsidRPr="009F106D">
              <w:rPr>
                <w:sz w:val="18"/>
                <w:szCs w:val="18"/>
              </w:rPr>
              <w:t xml:space="preserve">Cabinet </w:t>
            </w:r>
            <w:r>
              <w:rPr>
                <w:sz w:val="18"/>
                <w:szCs w:val="18"/>
              </w:rPr>
              <w:t>Office will not sign-off on the R</w:t>
            </w:r>
            <w:r w:rsidR="00223AEC">
              <w:rPr>
                <w:sz w:val="18"/>
                <w:szCs w:val="18"/>
              </w:rPr>
              <w:t>IS, meaning it cannot proceed for</w:t>
            </w:r>
            <w:r>
              <w:rPr>
                <w:sz w:val="18"/>
                <w:szCs w:val="18"/>
              </w:rPr>
              <w:t xml:space="preserve"> consideration by Cabinet </w:t>
            </w:r>
          </w:p>
        </w:tc>
      </w:tr>
      <w:tr w:rsidR="00BA27AA" w:rsidTr="00224E1C">
        <w:tc>
          <w:tcPr>
            <w:tcW w:w="446" w:type="pct"/>
            <w:shd w:val="pct15" w:color="auto" w:fill="auto"/>
          </w:tcPr>
          <w:p w:rsidR="00BA27AA" w:rsidRPr="00A6033A" w:rsidRDefault="00BA27AA" w:rsidP="002B1D7E">
            <w:pPr>
              <w:pStyle w:val="TableBodyText"/>
              <w:spacing w:before="40"/>
              <w:jc w:val="left"/>
              <w:rPr>
                <w:sz w:val="18"/>
                <w:szCs w:val="18"/>
              </w:rPr>
            </w:pPr>
            <w:r w:rsidRPr="00A6033A">
              <w:rPr>
                <w:sz w:val="18"/>
                <w:szCs w:val="18"/>
              </w:rPr>
              <w:t>Tas</w:t>
            </w:r>
          </w:p>
        </w:tc>
        <w:tc>
          <w:tcPr>
            <w:tcW w:w="924" w:type="pct"/>
            <w:shd w:val="pct15" w:color="auto" w:fill="auto"/>
          </w:tcPr>
          <w:p w:rsidR="00BA27AA" w:rsidRDefault="00BA27AA" w:rsidP="0076315E">
            <w:pPr>
              <w:pStyle w:val="TableBodyText"/>
              <w:spacing w:before="40"/>
              <w:ind w:firstLine="203"/>
              <w:jc w:val="left"/>
              <w:rPr>
                <w:sz w:val="18"/>
                <w:szCs w:val="18"/>
              </w:rPr>
            </w:pPr>
            <w:r>
              <w:rPr>
                <w:sz w:val="18"/>
                <w:szCs w:val="18"/>
              </w:rPr>
              <w:t>No</w:t>
            </w:r>
          </w:p>
        </w:tc>
        <w:tc>
          <w:tcPr>
            <w:tcW w:w="968" w:type="pct"/>
            <w:shd w:val="pct15" w:color="auto" w:fill="auto"/>
          </w:tcPr>
          <w:p w:rsidR="00BA27AA" w:rsidRPr="00CC69B4" w:rsidRDefault="00BA27AA" w:rsidP="002B1D7E">
            <w:pPr>
              <w:pStyle w:val="TableBodyText"/>
              <w:spacing w:before="40"/>
              <w:jc w:val="left"/>
              <w:rPr>
                <w:rStyle w:val="DraftingNote"/>
                <w:b w:val="0"/>
                <w:color w:val="auto"/>
                <w:sz w:val="18"/>
                <w:szCs w:val="18"/>
                <w:u w:val="none"/>
              </w:rPr>
            </w:pPr>
          </w:p>
        </w:tc>
        <w:tc>
          <w:tcPr>
            <w:tcW w:w="2662" w:type="pct"/>
            <w:shd w:val="pct15" w:color="auto" w:fill="auto"/>
          </w:tcPr>
          <w:p w:rsidR="00BA27AA" w:rsidRPr="00A6033A" w:rsidRDefault="00BA27AA" w:rsidP="002B1D7E">
            <w:pPr>
              <w:pStyle w:val="TableBodyText"/>
              <w:spacing w:before="40"/>
              <w:jc w:val="left"/>
              <w:rPr>
                <w:sz w:val="18"/>
                <w:szCs w:val="18"/>
              </w:rPr>
            </w:pPr>
          </w:p>
        </w:tc>
      </w:tr>
      <w:tr w:rsidR="00BA27AA" w:rsidRPr="0052334C" w:rsidTr="00224E1C">
        <w:tc>
          <w:tcPr>
            <w:tcW w:w="446" w:type="pct"/>
          </w:tcPr>
          <w:p w:rsidR="00BA27AA" w:rsidRPr="00A6033A" w:rsidRDefault="00BA27AA" w:rsidP="002B1D7E">
            <w:pPr>
              <w:pStyle w:val="TableBodyText"/>
              <w:spacing w:before="40"/>
              <w:jc w:val="left"/>
              <w:rPr>
                <w:sz w:val="18"/>
                <w:szCs w:val="18"/>
              </w:rPr>
            </w:pPr>
            <w:r w:rsidRPr="00A6033A">
              <w:rPr>
                <w:sz w:val="18"/>
                <w:szCs w:val="18"/>
              </w:rPr>
              <w:t>ACT</w:t>
            </w:r>
          </w:p>
        </w:tc>
        <w:tc>
          <w:tcPr>
            <w:tcW w:w="924" w:type="pct"/>
          </w:tcPr>
          <w:p w:rsidR="00BA27AA" w:rsidRPr="00C94609" w:rsidRDefault="00BA27AA" w:rsidP="0076315E">
            <w:pPr>
              <w:pStyle w:val="TableBodyText"/>
              <w:spacing w:before="40"/>
              <w:ind w:firstLine="203"/>
              <w:jc w:val="left"/>
              <w:rPr>
                <w:rStyle w:val="DraftingNote"/>
                <w:b w:val="0"/>
                <w:color w:val="auto"/>
                <w:sz w:val="18"/>
                <w:szCs w:val="18"/>
                <w:u w:val="none"/>
              </w:rPr>
            </w:pPr>
            <w:r w:rsidRPr="0058429F">
              <w:rPr>
                <w:sz w:val="18"/>
                <w:szCs w:val="18"/>
              </w:rPr>
              <w:t>No</w:t>
            </w:r>
          </w:p>
        </w:tc>
        <w:tc>
          <w:tcPr>
            <w:tcW w:w="968" w:type="pct"/>
          </w:tcPr>
          <w:p w:rsidR="00BA27AA" w:rsidRPr="00A6033A" w:rsidRDefault="00BA27AA" w:rsidP="002B1D7E">
            <w:pPr>
              <w:pStyle w:val="TableBodyText"/>
              <w:spacing w:before="40"/>
              <w:jc w:val="left"/>
              <w:rPr>
                <w:sz w:val="18"/>
                <w:szCs w:val="18"/>
              </w:rPr>
            </w:pPr>
          </w:p>
        </w:tc>
        <w:tc>
          <w:tcPr>
            <w:tcW w:w="2662" w:type="pct"/>
          </w:tcPr>
          <w:p w:rsidR="00BA27AA" w:rsidRPr="0052334C" w:rsidRDefault="00BA27AA" w:rsidP="002B1D7E">
            <w:pPr>
              <w:pStyle w:val="TableBodyText"/>
              <w:spacing w:before="40"/>
              <w:jc w:val="left"/>
              <w:rPr>
                <w:rStyle w:val="DraftingNote"/>
                <w:b w:val="0"/>
                <w:color w:val="auto"/>
                <w:sz w:val="20"/>
                <w:u w:val="none"/>
              </w:rPr>
            </w:pPr>
          </w:p>
        </w:tc>
      </w:tr>
      <w:tr w:rsidR="00BA27AA" w:rsidTr="00224E1C">
        <w:tc>
          <w:tcPr>
            <w:tcW w:w="446" w:type="pct"/>
            <w:tcBorders>
              <w:bottom w:val="single" w:sz="6" w:space="0" w:color="auto"/>
            </w:tcBorders>
            <w:shd w:val="pct15" w:color="auto" w:fill="auto"/>
          </w:tcPr>
          <w:p w:rsidR="00BA27AA" w:rsidRPr="00A6033A" w:rsidRDefault="00BA27AA" w:rsidP="002B1D7E">
            <w:pPr>
              <w:pStyle w:val="TableBodyText"/>
              <w:spacing w:before="40"/>
              <w:jc w:val="left"/>
              <w:rPr>
                <w:sz w:val="18"/>
                <w:szCs w:val="18"/>
              </w:rPr>
            </w:pPr>
            <w:r w:rsidRPr="00A6033A">
              <w:rPr>
                <w:sz w:val="18"/>
                <w:szCs w:val="18"/>
              </w:rPr>
              <w:t>NT</w:t>
            </w:r>
          </w:p>
        </w:tc>
        <w:tc>
          <w:tcPr>
            <w:tcW w:w="924" w:type="pct"/>
            <w:tcBorders>
              <w:bottom w:val="single" w:sz="6" w:space="0" w:color="auto"/>
            </w:tcBorders>
            <w:shd w:val="pct15" w:color="auto" w:fill="auto"/>
          </w:tcPr>
          <w:p w:rsidR="00BA27AA" w:rsidRDefault="00BA27AA" w:rsidP="0076315E">
            <w:pPr>
              <w:pStyle w:val="TableBodyText"/>
              <w:spacing w:before="40"/>
              <w:ind w:firstLine="203"/>
              <w:jc w:val="left"/>
              <w:rPr>
                <w:sz w:val="18"/>
                <w:szCs w:val="18"/>
              </w:rPr>
            </w:pPr>
            <w:r>
              <w:rPr>
                <w:sz w:val="18"/>
                <w:szCs w:val="18"/>
              </w:rPr>
              <w:t>Yes</w:t>
            </w:r>
          </w:p>
        </w:tc>
        <w:tc>
          <w:tcPr>
            <w:tcW w:w="968" w:type="pct"/>
            <w:tcBorders>
              <w:bottom w:val="single" w:sz="6" w:space="0" w:color="auto"/>
            </w:tcBorders>
            <w:shd w:val="pct15" w:color="auto" w:fill="auto"/>
          </w:tcPr>
          <w:p w:rsidR="00BA27AA" w:rsidRPr="00A6033A" w:rsidRDefault="00BA27AA" w:rsidP="002B1D7E">
            <w:pPr>
              <w:pStyle w:val="TableBodyText"/>
              <w:spacing w:before="40"/>
              <w:jc w:val="left"/>
              <w:rPr>
                <w:sz w:val="18"/>
                <w:szCs w:val="18"/>
              </w:rPr>
            </w:pPr>
            <w:r>
              <w:rPr>
                <w:sz w:val="18"/>
                <w:szCs w:val="18"/>
              </w:rPr>
              <w:t>Cabinet Office</w:t>
            </w:r>
          </w:p>
        </w:tc>
        <w:tc>
          <w:tcPr>
            <w:tcW w:w="2662" w:type="pct"/>
            <w:tcBorders>
              <w:bottom w:val="single" w:sz="6" w:space="0" w:color="auto"/>
            </w:tcBorders>
            <w:shd w:val="pct15" w:color="auto" w:fill="auto"/>
          </w:tcPr>
          <w:p w:rsidR="00BA27AA" w:rsidRPr="00A6033A" w:rsidRDefault="00BA27AA" w:rsidP="002B1D7E">
            <w:pPr>
              <w:pStyle w:val="TableBodyText"/>
              <w:spacing w:before="40"/>
              <w:jc w:val="left"/>
              <w:rPr>
                <w:sz w:val="18"/>
                <w:szCs w:val="18"/>
              </w:rPr>
            </w:pPr>
            <w:r w:rsidRPr="00165B30">
              <w:rPr>
                <w:sz w:val="18"/>
                <w:szCs w:val="18"/>
              </w:rPr>
              <w:t xml:space="preserve">The Cabinet Office will not proceed with </w:t>
            </w:r>
            <w:r>
              <w:rPr>
                <w:sz w:val="18"/>
                <w:szCs w:val="18"/>
              </w:rPr>
              <w:t xml:space="preserve">the </w:t>
            </w:r>
            <w:r w:rsidRPr="00165B30">
              <w:rPr>
                <w:sz w:val="18"/>
                <w:szCs w:val="18"/>
              </w:rPr>
              <w:t>proposal</w:t>
            </w:r>
          </w:p>
        </w:tc>
      </w:tr>
    </w:tbl>
    <w:p w:rsidR="00BA27AA" w:rsidRPr="0058429F" w:rsidRDefault="00C54CDD" w:rsidP="00BA27AA">
      <w:pPr>
        <w:pStyle w:val="Note"/>
        <w:rPr>
          <w:b/>
          <w:sz w:val="16"/>
          <w:u w:val="dotted"/>
        </w:rPr>
      </w:pPr>
      <w:r>
        <w:rPr>
          <w:rStyle w:val="NoteLabel"/>
        </w:rPr>
        <w:t>a</w:t>
      </w:r>
      <w:r w:rsidR="00BA27AA">
        <w:t xml:space="preserve"> Performing the role of the Minister for Regulatory Reform as outlined in the NSW guidelines.</w:t>
      </w:r>
      <w:r w:rsidR="009F78F9">
        <w:t xml:space="preserve"> </w:t>
      </w:r>
      <w:r w:rsidR="00806068" w:rsidRPr="00A03F71">
        <w:t>na</w:t>
      </w:r>
      <w:r w:rsidR="00806068">
        <w:t> </w:t>
      </w:r>
      <w:r w:rsidR="00DF5C21">
        <w:t xml:space="preserve">not </w:t>
      </w:r>
      <w:r w:rsidR="00806068">
        <w:t>applicable</w:t>
      </w:r>
      <w:r w:rsidR="0027094A">
        <w:t>.</w:t>
      </w:r>
    </w:p>
    <w:p w:rsidR="00BA27AA" w:rsidRPr="003F0763" w:rsidRDefault="00BA27AA" w:rsidP="00BA27AA">
      <w:pPr>
        <w:pStyle w:val="Source"/>
      </w:pPr>
      <w:r>
        <w:rPr>
          <w:i/>
        </w:rPr>
        <w:t xml:space="preserve"> Source</w:t>
      </w:r>
      <w:r>
        <w:t>: Jurisdictional guidance material</w:t>
      </w:r>
      <w:r w:rsidRPr="001229B8">
        <w:t xml:space="preserve"> </w:t>
      </w:r>
      <w:r w:rsidR="00A03F71">
        <w:t>(</w:t>
      </w:r>
      <w:r w:rsidR="00172EB4">
        <w:t>appendix B</w:t>
      </w:r>
      <w:r w:rsidR="00A03F71">
        <w:t>)</w:t>
      </w:r>
      <w:r w:rsidR="00172EB4">
        <w:t>.</w:t>
      </w:r>
    </w:p>
    <w:p w:rsidR="00906E78" w:rsidRDefault="00906E78" w:rsidP="00194293">
      <w:pPr>
        <w:pStyle w:val="BodyText"/>
      </w:pPr>
      <w:r>
        <w:t>Where there is</w:t>
      </w:r>
      <w:r w:rsidRPr="002F710A">
        <w:t xml:space="preserve"> formal </w:t>
      </w:r>
      <w:r>
        <w:t xml:space="preserve">RIA </w:t>
      </w:r>
      <w:r w:rsidRPr="002F710A">
        <w:t>gatekeeping</w:t>
      </w:r>
      <w:r>
        <w:t>, this</w:t>
      </w:r>
      <w:r w:rsidRPr="002F710A">
        <w:t xml:space="preserve"> does not </w:t>
      </w:r>
      <w:r>
        <w:t>cover</w:t>
      </w:r>
      <w:r w:rsidRPr="002F710A">
        <w:t xml:space="preserve"> decisions m</w:t>
      </w:r>
      <w:r>
        <w:t>ade outside Cabinet and its sub-</w:t>
      </w:r>
      <w:r w:rsidRPr="002F710A">
        <w:t xml:space="preserve">committees. In such cases, and in jurisdictions with no formal </w:t>
      </w:r>
      <w:r>
        <w:lastRenderedPageBreak/>
        <w:t xml:space="preserve">RIA </w:t>
      </w:r>
      <w:r w:rsidRPr="002F710A">
        <w:t>gatekeeping, the minister responsible for a proposal is typically charged with ensuring RIA requirements have been satisfied</w:t>
      </w:r>
      <w:r>
        <w:t xml:space="preserve"> before the decision </w:t>
      </w:r>
      <w:r w:rsidRPr="002F710A">
        <w:t>making stage.</w:t>
      </w:r>
    </w:p>
    <w:p w:rsidR="00BA4A1D" w:rsidRPr="002F710A" w:rsidRDefault="00223AEC" w:rsidP="00194293">
      <w:pPr>
        <w:pStyle w:val="BodyText"/>
      </w:pPr>
      <w:r>
        <w:t xml:space="preserve">In </w:t>
      </w:r>
      <w:r w:rsidR="00BA4A1D" w:rsidRPr="002F710A">
        <w:t xml:space="preserve">New </w:t>
      </w:r>
      <w:r>
        <w:t>South Wales and South Australia, the regulatory oversight body is located in the same agen</w:t>
      </w:r>
      <w:r w:rsidR="0093742E">
        <w:t xml:space="preserve">cy as the RIA gatekeeping role — the </w:t>
      </w:r>
      <w:r w:rsidR="00BA4A1D" w:rsidRPr="002F710A">
        <w:t>Departme</w:t>
      </w:r>
      <w:r w:rsidR="009546AF" w:rsidRPr="002F710A">
        <w:t xml:space="preserve">nt of Premier and Cabinet (DPC). </w:t>
      </w:r>
      <w:r w:rsidR="009F5209" w:rsidRPr="002F710A">
        <w:t>I</w:t>
      </w:r>
      <w:r w:rsidR="00BA4A1D" w:rsidRPr="002F710A">
        <w:t>n N</w:t>
      </w:r>
      <w:r w:rsidR="009546AF" w:rsidRPr="002F710A">
        <w:t xml:space="preserve">ew </w:t>
      </w:r>
      <w:r w:rsidR="00BA4A1D" w:rsidRPr="002F710A">
        <w:t>S</w:t>
      </w:r>
      <w:r w:rsidR="009546AF" w:rsidRPr="002F710A">
        <w:t xml:space="preserve">outh </w:t>
      </w:r>
      <w:r w:rsidR="00BA4A1D" w:rsidRPr="002F710A">
        <w:t>W</w:t>
      </w:r>
      <w:r w:rsidR="009546AF" w:rsidRPr="002F710A">
        <w:t>ales</w:t>
      </w:r>
      <w:r w:rsidR="009F5209" w:rsidRPr="002F710A">
        <w:t>,</w:t>
      </w:r>
      <w:r w:rsidR="00BA4A1D" w:rsidRPr="002F710A">
        <w:t xml:space="preserve"> </w:t>
      </w:r>
      <w:r w:rsidR="00C128BE">
        <w:t>the</w:t>
      </w:r>
      <w:r w:rsidR="00991AF7" w:rsidRPr="002F710A">
        <w:t xml:space="preserve"> DPC reported that the BRO:</w:t>
      </w:r>
    </w:p>
    <w:p w:rsidR="00991AF7" w:rsidRDefault="00991AF7" w:rsidP="00991AF7">
      <w:pPr>
        <w:pStyle w:val="Quote"/>
      </w:pPr>
      <w:r w:rsidRPr="002F710A">
        <w:t>…</w:t>
      </w:r>
      <w:r w:rsidR="00806068">
        <w:t xml:space="preserve"> </w:t>
      </w:r>
      <w:r w:rsidRPr="002F710A">
        <w:t>assessed 132 Cabinet Minutes and 409 Executive Council proposals against the Government’s better regulation principles, including 24 significant proposals that required either a Better Regulation Statement or a Regulatory Impact Statement</w:t>
      </w:r>
      <w:r w:rsidR="00E12B40">
        <w:t>.</w:t>
      </w:r>
      <w:r w:rsidRPr="002F710A">
        <w:t xml:space="preserve"> (NSW </w:t>
      </w:r>
      <w:r w:rsidR="00AF6EEA">
        <w:t>DPC</w:t>
      </w:r>
      <w:r w:rsidRPr="002F710A">
        <w:t xml:space="preserve"> 2011</w:t>
      </w:r>
      <w:r w:rsidR="00806068">
        <w:t>, p. 24</w:t>
      </w:r>
      <w:r w:rsidR="00E12B40">
        <w:t>)</w:t>
      </w:r>
    </w:p>
    <w:p w:rsidR="009D0990" w:rsidRPr="009D0990" w:rsidRDefault="009D0990" w:rsidP="00853CD4">
      <w:pPr>
        <w:pStyle w:val="BodyText"/>
      </w:pPr>
      <w:r>
        <w:t xml:space="preserve">These </w:t>
      </w:r>
      <w:r w:rsidR="00783AA6">
        <w:t>represent a subset of the</w:t>
      </w:r>
      <w:r>
        <w:t xml:space="preserve"> Cabinet Minutes and Executive Council proposals for the year, since only </w:t>
      </w:r>
      <w:r w:rsidR="00783AA6">
        <w:t xml:space="preserve">regulatory </w:t>
      </w:r>
      <w:r>
        <w:t>proposals</w:t>
      </w:r>
      <w:r w:rsidR="00783AA6">
        <w:t xml:space="preserve"> </w:t>
      </w:r>
      <w:r>
        <w:t xml:space="preserve">are </w:t>
      </w:r>
      <w:r w:rsidR="00783AA6">
        <w:t>assessed by the</w:t>
      </w:r>
      <w:r>
        <w:t xml:space="preserve"> BRO. For Executive Council proposals, </w:t>
      </w:r>
      <w:r w:rsidR="00806068">
        <w:t xml:space="preserve">the </w:t>
      </w:r>
      <w:r w:rsidR="00C128BE">
        <w:t xml:space="preserve">NSW </w:t>
      </w:r>
      <w:r>
        <w:t>Cabinet Secretariat refers instruments which appear re</w:t>
      </w:r>
      <w:r w:rsidR="00783AA6">
        <w:t xml:space="preserve">gulatory in nature to the BRO. </w:t>
      </w:r>
      <w:r w:rsidR="00223AEC">
        <w:t>For</w:t>
      </w:r>
      <w:r>
        <w:t xml:space="preserve"> C</w:t>
      </w:r>
      <w:r w:rsidR="00783AA6">
        <w:t>abinet Minutes, it is up to</w:t>
      </w:r>
      <w:r w:rsidRPr="009D0990">
        <w:t xml:space="preserve"> policy bra</w:t>
      </w:r>
      <w:r>
        <w:t>nch</w:t>
      </w:r>
      <w:r w:rsidR="00783AA6">
        <w:t xml:space="preserve">es </w:t>
      </w:r>
      <w:r w:rsidR="00223AEC">
        <w:t xml:space="preserve">in DPC </w:t>
      </w:r>
      <w:r w:rsidR="00783AA6">
        <w:t>to</w:t>
      </w:r>
      <w:r>
        <w:t xml:space="preserve"> determine</w:t>
      </w:r>
      <w:r w:rsidR="00783AA6">
        <w:t xml:space="preserve"> whether a </w:t>
      </w:r>
      <w:r>
        <w:t xml:space="preserve">proposal </w:t>
      </w:r>
      <w:r w:rsidR="00783AA6">
        <w:t>requires comment</w:t>
      </w:r>
      <w:r>
        <w:t xml:space="preserve"> from the</w:t>
      </w:r>
      <w:r w:rsidRPr="009D0990">
        <w:t xml:space="preserve"> BRO</w:t>
      </w:r>
      <w:r w:rsidR="00783AA6">
        <w:t>, and refer the Minute to the BRO for ‘consideration and advice’</w:t>
      </w:r>
      <w:r>
        <w:t xml:space="preserve">. </w:t>
      </w:r>
      <w:r w:rsidRPr="009D0990">
        <w:t>For proposals that will go to full Cabinet (</w:t>
      </w:r>
      <w:r w:rsidR="00783AA6">
        <w:t xml:space="preserve">rather than a Cabinet Committee), BRO </w:t>
      </w:r>
      <w:r w:rsidRPr="009D0990">
        <w:t>r</w:t>
      </w:r>
      <w:r w:rsidR="00783AA6">
        <w:t>eceives a copy of the proposal during</w:t>
      </w:r>
      <w:r w:rsidRPr="009D0990">
        <w:t xml:space="preserve"> the initial distribution</w:t>
      </w:r>
      <w:r w:rsidR="00783AA6">
        <w:t xml:space="preserve"> to</w:t>
      </w:r>
      <w:r w:rsidRPr="009D0990">
        <w:t xml:space="preserve"> policy bran</w:t>
      </w:r>
      <w:r>
        <w:t>ch</w:t>
      </w:r>
      <w:r w:rsidR="00783AA6">
        <w:t xml:space="preserve">es. </w:t>
      </w:r>
      <w:r>
        <w:t xml:space="preserve">This can allow </w:t>
      </w:r>
      <w:r w:rsidR="00783AA6">
        <w:t xml:space="preserve">it </w:t>
      </w:r>
      <w:r>
        <w:t xml:space="preserve">to </w:t>
      </w:r>
      <w:r w:rsidRPr="009D0990">
        <w:t xml:space="preserve">initiate assessment </w:t>
      </w:r>
      <w:r w:rsidR="00783AA6">
        <w:t>of a proposal without waiting</w:t>
      </w:r>
      <w:r w:rsidRPr="009D0990">
        <w:t xml:space="preserve"> for </w:t>
      </w:r>
      <w:r w:rsidR="00783AA6">
        <w:t xml:space="preserve">referral from a </w:t>
      </w:r>
      <w:r w:rsidRPr="009D0990">
        <w:t>poli</w:t>
      </w:r>
      <w:r w:rsidR="00783AA6">
        <w:t>cy branch</w:t>
      </w:r>
      <w:r w:rsidR="000E5EA0">
        <w:t xml:space="preserve"> (NSW DPC, pers. comm., July 2012)</w:t>
      </w:r>
      <w:r w:rsidR="00783AA6">
        <w:t>.</w:t>
      </w:r>
    </w:p>
    <w:p w:rsidR="00B4728B" w:rsidRPr="002F710A" w:rsidRDefault="00B4728B" w:rsidP="00853CD4">
      <w:pPr>
        <w:pStyle w:val="BodyText"/>
      </w:pPr>
      <w:r w:rsidRPr="009D0990">
        <w:t>S</w:t>
      </w:r>
      <w:r w:rsidR="00686A24" w:rsidRPr="009D0990">
        <w:t xml:space="preserve">outh </w:t>
      </w:r>
      <w:r w:rsidRPr="009D0990">
        <w:t>A</w:t>
      </w:r>
      <w:r w:rsidR="00686A24" w:rsidRPr="009D0990">
        <w:t>ustralia</w:t>
      </w:r>
      <w:r w:rsidR="00880A5F" w:rsidRPr="009D0990">
        <w:t xml:space="preserve"> and the Northern Territory are the only jurisdictions</w:t>
      </w:r>
      <w:r w:rsidR="009F5209" w:rsidRPr="009D0990">
        <w:t xml:space="preserve"> which outline</w:t>
      </w:r>
      <w:r w:rsidR="009F78F9" w:rsidRPr="009D0990">
        <w:t>,</w:t>
      </w:r>
      <w:r w:rsidR="009F5209" w:rsidRPr="002F710A">
        <w:t xml:space="preserve"> </w:t>
      </w:r>
      <w:r w:rsidR="00880A5F" w:rsidRPr="002F710A">
        <w:t>in the RIA guidelines</w:t>
      </w:r>
      <w:r w:rsidR="009F78F9">
        <w:t>, formal</w:t>
      </w:r>
      <w:r w:rsidR="009F5209" w:rsidRPr="002F710A">
        <w:t xml:space="preserve"> alternative approaches to bring</w:t>
      </w:r>
      <w:r w:rsidR="00806068">
        <w:t>ing</w:t>
      </w:r>
      <w:r w:rsidR="009F5209" w:rsidRPr="002F710A">
        <w:t xml:space="preserve"> a proposal to Cabinet</w:t>
      </w:r>
      <w:r w:rsidR="00880A5F" w:rsidRPr="002F710A">
        <w:t xml:space="preserve">. In South Australia, there is </w:t>
      </w:r>
      <w:r w:rsidR="00686A24" w:rsidRPr="002F710A">
        <w:t xml:space="preserve">a formal appeal </w:t>
      </w:r>
      <w:r w:rsidR="009546AF" w:rsidRPr="002F710A">
        <w:t>process for</w:t>
      </w:r>
      <w:r w:rsidR="00194293" w:rsidRPr="002F710A">
        <w:t xml:space="preserve"> the decision made by </w:t>
      </w:r>
      <w:r w:rsidR="009546AF" w:rsidRPr="002F710A">
        <w:t xml:space="preserve">the </w:t>
      </w:r>
      <w:r w:rsidR="00194293" w:rsidRPr="002F710A">
        <w:t>Cabinet Office</w:t>
      </w:r>
      <w:r w:rsidR="00806068">
        <w:t>:</w:t>
      </w:r>
      <w:r w:rsidR="00223AEC">
        <w:rPr>
          <w:rStyle w:val="FootnoteReference"/>
        </w:rPr>
        <w:footnoteReference w:id="4"/>
      </w:r>
    </w:p>
    <w:p w:rsidR="00686A24" w:rsidRPr="002F710A" w:rsidRDefault="00686A24" w:rsidP="009546AF">
      <w:pPr>
        <w:pStyle w:val="Quote"/>
      </w:pPr>
      <w:r w:rsidRPr="002F710A">
        <w:t>Where Cabinet Office sign-off is not gained and the agency does not revise the RIS, the agency may access an appeal mechanism. If deemed appropriate, the Minister for Industry and Trade, in his capacity as Chair of the Competitiveness Council, can override the Cabinet Office assessment. The proponent Minister should submit the appeal to the Minister for Industry and Trade</w:t>
      </w:r>
      <w:r w:rsidR="00806068">
        <w:t>.</w:t>
      </w:r>
      <w:r w:rsidRPr="002F710A">
        <w:t xml:space="preserve"> (</w:t>
      </w:r>
      <w:r w:rsidR="001017C7" w:rsidRPr="002F710A">
        <w:t>SA</w:t>
      </w:r>
      <w:r w:rsidRPr="002F710A">
        <w:t xml:space="preserve"> </w:t>
      </w:r>
      <w:r w:rsidR="00AF6EEA">
        <w:t xml:space="preserve">DPC and DTF </w:t>
      </w:r>
      <w:r w:rsidRPr="002F710A">
        <w:t>2011</w:t>
      </w:r>
      <w:r w:rsidR="00194293" w:rsidRPr="002F710A">
        <w:t>, p.</w:t>
      </w:r>
      <w:r w:rsidR="00806068">
        <w:t xml:space="preserve"> </w:t>
      </w:r>
      <w:r w:rsidR="00194293" w:rsidRPr="002F710A">
        <w:t>10)</w:t>
      </w:r>
    </w:p>
    <w:p w:rsidR="00A15089" w:rsidRPr="002F710A" w:rsidRDefault="00880A5F" w:rsidP="00456D6F">
      <w:pPr>
        <w:pStyle w:val="BodyText"/>
      </w:pPr>
      <w:r w:rsidRPr="002F710A">
        <w:t>In the Northern Territory, proposals with</w:t>
      </w:r>
      <w:r w:rsidR="00EE129F">
        <w:t>out</w:t>
      </w:r>
      <w:r w:rsidRPr="002F710A">
        <w:t xml:space="preserve"> </w:t>
      </w:r>
      <w:r w:rsidR="0076765B" w:rsidRPr="002F710A">
        <w:t xml:space="preserve">an </w:t>
      </w:r>
      <w:r w:rsidRPr="002F710A">
        <w:t xml:space="preserve">adequate RIS can proceed to decision makers with approval from the </w:t>
      </w:r>
      <w:r w:rsidR="009F78F9">
        <w:t>proponent</w:t>
      </w:r>
      <w:r w:rsidRPr="002F710A">
        <w:t xml:space="preserve"> minister:</w:t>
      </w:r>
    </w:p>
    <w:p w:rsidR="00880A5F" w:rsidRPr="002F710A" w:rsidRDefault="00456D6F" w:rsidP="00456D6F">
      <w:pPr>
        <w:pStyle w:val="Quote"/>
      </w:pPr>
      <w:r w:rsidRPr="002F710A">
        <w:t xml:space="preserve">The Cabinet Office will not proceed with regulatory proposals in the absence of certification from the Regulatory Impact Committee. </w:t>
      </w:r>
      <w:r w:rsidR="00880A5F" w:rsidRPr="002F710A">
        <w:t>Ministerial approval is required if regulation is to proceed to Cabinet or Executive Council in the absence of RIS certification or with certification indicating that the regulation does not comply with regulation-making principles.</w:t>
      </w:r>
      <w:r w:rsidRPr="002F710A">
        <w:t xml:space="preserve"> (NT </w:t>
      </w:r>
      <w:r w:rsidR="00BF6AB2">
        <w:t>Treasury</w:t>
      </w:r>
      <w:r w:rsidRPr="002F710A">
        <w:t xml:space="preserve"> 2007</w:t>
      </w:r>
      <w:r w:rsidR="00362C1B">
        <w:t>a</w:t>
      </w:r>
      <w:r w:rsidRPr="002F710A">
        <w:t>, p. 16)</w:t>
      </w:r>
    </w:p>
    <w:p w:rsidR="00EE129F" w:rsidRDefault="00EE129F" w:rsidP="001A3FFE">
      <w:pPr>
        <w:pStyle w:val="BodyText"/>
      </w:pPr>
      <w:r>
        <w:lastRenderedPageBreak/>
        <w:t xml:space="preserve">However, while not reflected in the Northern Territory guidelines, the proponent minister </w:t>
      </w:r>
      <w:r w:rsidR="0030011E">
        <w:t>also</w:t>
      </w:r>
      <w:r>
        <w:t xml:space="preserve"> need</w:t>
      </w:r>
      <w:r w:rsidR="0030011E">
        <w:t>s</w:t>
      </w:r>
      <w:r>
        <w:t xml:space="preserve"> to </w:t>
      </w:r>
      <w:r w:rsidR="00AE2FA2">
        <w:t>obtain the</w:t>
      </w:r>
      <w:r>
        <w:t xml:space="preserve"> Chief Minister</w:t>
      </w:r>
      <w:r w:rsidR="00AE2FA2">
        <w:t xml:space="preserve">’s approval for </w:t>
      </w:r>
      <w:r w:rsidR="0030011E">
        <w:t>such a</w:t>
      </w:r>
      <w:r w:rsidR="00AE2FA2">
        <w:t xml:space="preserve"> proposal to proceed</w:t>
      </w:r>
      <w:r>
        <w:t xml:space="preserve"> </w:t>
      </w:r>
      <w:r w:rsidR="00AE2FA2">
        <w:t>to Cabinet (NT Department of Treasury and Finance, sub. DR30).</w:t>
      </w:r>
    </w:p>
    <w:p w:rsidR="0005652F" w:rsidRPr="0057237F" w:rsidRDefault="00303E2D" w:rsidP="001A3FFE">
      <w:pPr>
        <w:pStyle w:val="BodyText"/>
      </w:pPr>
      <w:r>
        <w:t xml:space="preserve">It is important to </w:t>
      </w:r>
      <w:r w:rsidR="009F78F9">
        <w:t xml:space="preserve">also </w:t>
      </w:r>
      <w:r>
        <w:t xml:space="preserve">note that in jurisdictions with a formal </w:t>
      </w:r>
      <w:r w:rsidR="00172EB4">
        <w:t xml:space="preserve">RIA </w:t>
      </w:r>
      <w:r>
        <w:t xml:space="preserve">gatekeeping arrangement, there are also informal avenues for </w:t>
      </w:r>
      <w:r w:rsidR="00DA3734">
        <w:t xml:space="preserve">circumventing </w:t>
      </w:r>
      <w:r>
        <w:t>this process.</w:t>
      </w:r>
      <w:r w:rsidR="009F78F9">
        <w:t xml:space="preserve"> </w:t>
      </w:r>
      <w:r w:rsidR="0005652F" w:rsidRPr="00B52A28">
        <w:t xml:space="preserve">The effectiveness </w:t>
      </w:r>
      <w:r w:rsidR="004E4B1E">
        <w:t xml:space="preserve">and limitations </w:t>
      </w:r>
      <w:r w:rsidR="004D1EF0">
        <w:t>of formal</w:t>
      </w:r>
      <w:r w:rsidR="00172EB4">
        <w:t xml:space="preserve"> RIA gatekeeping</w:t>
      </w:r>
      <w:r w:rsidR="004D1EF0">
        <w:t xml:space="preserve"> </w:t>
      </w:r>
      <w:r w:rsidR="004E4B1E">
        <w:t>are</w:t>
      </w:r>
      <w:r w:rsidR="0005652F" w:rsidRPr="00B52A28">
        <w:t xml:space="preserve"> discussed in chapter 8.</w:t>
      </w:r>
    </w:p>
    <w:p w:rsidR="00816DFA" w:rsidRDefault="00287B41" w:rsidP="00816DFA">
      <w:pPr>
        <w:pStyle w:val="Heading2"/>
      </w:pPr>
      <w:r>
        <w:t>3.</w:t>
      </w:r>
      <w:r w:rsidR="00702C9A">
        <w:rPr>
          <w:noProof/>
        </w:rPr>
        <w:t>4</w:t>
      </w:r>
      <w:r w:rsidR="00816DFA">
        <w:tab/>
      </w:r>
      <w:r w:rsidR="00AA3F4F">
        <w:t>Parliamentary scrutiny committees</w:t>
      </w:r>
    </w:p>
    <w:p w:rsidR="00EE4DE2" w:rsidRDefault="00F2340E" w:rsidP="00D85F0F">
      <w:pPr>
        <w:pStyle w:val="BodyText"/>
      </w:pPr>
      <w:r>
        <w:t>The Commonwealth and all states and territories</w:t>
      </w:r>
      <w:r w:rsidR="00EC4183">
        <w:t xml:space="preserve"> have parliamentary scrutiny committees which examine legislation t</w:t>
      </w:r>
      <w:r w:rsidR="00A22D80">
        <w:t>hat has proceeded to parliament</w:t>
      </w:r>
      <w:r w:rsidR="00A03D71">
        <w:t xml:space="preserve"> (table 3.10)</w:t>
      </w:r>
      <w:r w:rsidR="00D85F0F">
        <w:t>.</w:t>
      </w:r>
      <w:r w:rsidR="0037739E">
        <w:t xml:space="preserve"> </w:t>
      </w:r>
      <w:r w:rsidR="00B46DF6">
        <w:t>The</w:t>
      </w:r>
      <w:r w:rsidR="00002C6C">
        <w:t xml:space="preserve"> </w:t>
      </w:r>
      <w:r w:rsidR="005F79D2">
        <w:t>mandate</w:t>
      </w:r>
      <w:r w:rsidR="005C1212">
        <w:t>s</w:t>
      </w:r>
      <w:r w:rsidR="00B46DF6">
        <w:t xml:space="preserve"> of these committees vary</w:t>
      </w:r>
      <w:r w:rsidR="000D7BBC">
        <w:t>, and</w:t>
      </w:r>
      <w:r w:rsidR="00AD3E67">
        <w:t xml:space="preserve"> </w:t>
      </w:r>
      <w:r w:rsidR="00002C6C">
        <w:t>can</w:t>
      </w:r>
      <w:r w:rsidR="009137DD">
        <w:t xml:space="preserve"> include </w:t>
      </w:r>
      <w:r w:rsidR="00B52A28">
        <w:t>consider</w:t>
      </w:r>
      <w:r w:rsidR="007B4A02">
        <w:t>ing whether app</w:t>
      </w:r>
      <w:r w:rsidR="00303E2D">
        <w:t>ropriate procedures and princip</w:t>
      </w:r>
      <w:r w:rsidR="007B4A02">
        <w:t>l</w:t>
      </w:r>
      <w:r w:rsidR="00303E2D">
        <w:t>e</w:t>
      </w:r>
      <w:r w:rsidR="007B4A02">
        <w:t>s have been followed</w:t>
      </w:r>
      <w:r w:rsidR="0037739E">
        <w:t xml:space="preserve"> </w:t>
      </w:r>
      <w:r w:rsidR="00B21A57">
        <w:t>in</w:t>
      </w:r>
      <w:r w:rsidR="005C1212">
        <w:t xml:space="preserve"> areas such as</w:t>
      </w:r>
      <w:r w:rsidR="00B46DF6">
        <w:t xml:space="preserve"> human rights</w:t>
      </w:r>
      <w:r w:rsidR="00B21A57">
        <w:t>, parliamentary propriety an</w:t>
      </w:r>
      <w:r w:rsidR="0037739E">
        <w:t xml:space="preserve">d </w:t>
      </w:r>
      <w:r w:rsidR="00B46DF6">
        <w:t>delegation of legislative powers</w:t>
      </w:r>
      <w:r w:rsidR="00002C6C">
        <w:t xml:space="preserve">. </w:t>
      </w:r>
    </w:p>
    <w:p w:rsidR="000D7BBC" w:rsidRDefault="000D7BBC" w:rsidP="000D7BBC">
      <w:pPr>
        <w:pStyle w:val="TableTitle"/>
      </w:pPr>
      <w:r>
        <w:rPr>
          <w:b w:val="0"/>
        </w:rPr>
        <w:t xml:space="preserve">Table </w:t>
      </w:r>
      <w:r w:rsidR="00287B41">
        <w:rPr>
          <w:b w:val="0"/>
        </w:rPr>
        <w:t>3.</w:t>
      </w:r>
      <w:r w:rsidR="00702C9A">
        <w:rPr>
          <w:b w:val="0"/>
          <w:noProof/>
        </w:rPr>
        <w:t>10</w:t>
      </w:r>
      <w:r>
        <w:tab/>
        <w:t>Parliamentary scrutiny committees</w:t>
      </w:r>
    </w:p>
    <w:p w:rsidR="000D7BBC" w:rsidRDefault="00806068" w:rsidP="000D7BBC">
      <w:pPr>
        <w:pStyle w:val="Subtitle"/>
      </w:pPr>
      <w:r>
        <w:t>A</w:t>
      </w:r>
      <w:r w:rsidR="00EE4DE2">
        <w:t>s at January 2012</w:t>
      </w:r>
    </w:p>
    <w:tbl>
      <w:tblPr>
        <w:tblW w:w="5000" w:type="pct"/>
        <w:tblCellMar>
          <w:left w:w="0" w:type="dxa"/>
          <w:right w:w="0" w:type="dxa"/>
        </w:tblCellMar>
        <w:tblLook w:val="0000" w:firstRow="0" w:lastRow="0" w:firstColumn="0" w:lastColumn="0" w:noHBand="0" w:noVBand="0"/>
      </w:tblPr>
      <w:tblGrid>
        <w:gridCol w:w="1134"/>
        <w:gridCol w:w="5530"/>
        <w:gridCol w:w="2125"/>
      </w:tblGrid>
      <w:tr w:rsidR="000D7BBC" w:rsidTr="00906E78">
        <w:tc>
          <w:tcPr>
            <w:tcW w:w="645" w:type="pct"/>
            <w:tcBorders>
              <w:top w:val="single" w:sz="6" w:space="0" w:color="auto"/>
              <w:bottom w:val="single" w:sz="6" w:space="0" w:color="auto"/>
            </w:tcBorders>
            <w:shd w:val="clear" w:color="auto" w:fill="auto"/>
          </w:tcPr>
          <w:p w:rsidR="000D7BBC" w:rsidRPr="00A6033A" w:rsidRDefault="000D7BBC" w:rsidP="000D7BBC">
            <w:pPr>
              <w:pStyle w:val="TableColumnHeading"/>
              <w:jc w:val="left"/>
              <w:rPr>
                <w:sz w:val="18"/>
                <w:szCs w:val="18"/>
              </w:rPr>
            </w:pPr>
          </w:p>
        </w:tc>
        <w:tc>
          <w:tcPr>
            <w:tcW w:w="3146" w:type="pct"/>
            <w:tcBorders>
              <w:top w:val="single" w:sz="6" w:space="0" w:color="auto"/>
              <w:bottom w:val="single" w:sz="6" w:space="0" w:color="auto"/>
            </w:tcBorders>
            <w:shd w:val="clear" w:color="auto" w:fill="auto"/>
          </w:tcPr>
          <w:p w:rsidR="000D7BBC" w:rsidRPr="00A6033A" w:rsidRDefault="000D7BBC" w:rsidP="000D7BBC">
            <w:pPr>
              <w:pStyle w:val="TableColumnHeading"/>
              <w:jc w:val="left"/>
              <w:rPr>
                <w:sz w:val="18"/>
                <w:szCs w:val="18"/>
              </w:rPr>
            </w:pPr>
            <w:r>
              <w:rPr>
                <w:sz w:val="18"/>
                <w:szCs w:val="18"/>
              </w:rPr>
              <w:t>Parliamentary scrutiny committees</w:t>
            </w:r>
          </w:p>
        </w:tc>
        <w:tc>
          <w:tcPr>
            <w:tcW w:w="1209" w:type="pct"/>
            <w:tcBorders>
              <w:top w:val="single" w:sz="6" w:space="0" w:color="auto"/>
              <w:bottom w:val="single" w:sz="6" w:space="0" w:color="auto"/>
            </w:tcBorders>
            <w:shd w:val="clear" w:color="auto" w:fill="auto"/>
          </w:tcPr>
          <w:p w:rsidR="000D7BBC" w:rsidRPr="00A6033A" w:rsidRDefault="00A03D71" w:rsidP="00A03D71">
            <w:pPr>
              <w:pStyle w:val="TableColumnHeading"/>
              <w:jc w:val="left"/>
              <w:rPr>
                <w:sz w:val="18"/>
                <w:szCs w:val="18"/>
              </w:rPr>
            </w:pPr>
            <w:r>
              <w:rPr>
                <w:sz w:val="18"/>
                <w:szCs w:val="18"/>
              </w:rPr>
              <w:t xml:space="preserve">Is there an explicit mandate related </w:t>
            </w:r>
            <w:r w:rsidR="000D7BBC">
              <w:rPr>
                <w:sz w:val="18"/>
                <w:szCs w:val="18"/>
              </w:rPr>
              <w:t>to RIA?</w:t>
            </w:r>
          </w:p>
        </w:tc>
      </w:tr>
      <w:tr w:rsidR="000D7BBC" w:rsidTr="00906E78">
        <w:tc>
          <w:tcPr>
            <w:tcW w:w="645" w:type="pct"/>
            <w:tcBorders>
              <w:top w:val="single" w:sz="6" w:space="0" w:color="auto"/>
            </w:tcBorders>
            <w:shd w:val="pct15" w:color="auto" w:fill="auto"/>
          </w:tcPr>
          <w:p w:rsidR="000D7BBC" w:rsidRPr="00223D34" w:rsidRDefault="000D7BBC" w:rsidP="002B1D7E">
            <w:pPr>
              <w:pStyle w:val="TableBodyText"/>
              <w:spacing w:before="40"/>
              <w:jc w:val="left"/>
              <w:rPr>
                <w:sz w:val="18"/>
                <w:szCs w:val="18"/>
              </w:rPr>
            </w:pPr>
            <w:r w:rsidRPr="00223D34">
              <w:rPr>
                <w:sz w:val="18"/>
                <w:szCs w:val="18"/>
              </w:rPr>
              <w:t>Cwlth</w:t>
            </w:r>
          </w:p>
        </w:tc>
        <w:tc>
          <w:tcPr>
            <w:tcW w:w="3146" w:type="pct"/>
            <w:tcBorders>
              <w:top w:val="single" w:sz="6" w:space="0" w:color="auto"/>
            </w:tcBorders>
            <w:shd w:val="pct15" w:color="auto" w:fill="auto"/>
          </w:tcPr>
          <w:p w:rsidR="000D7BBC" w:rsidRPr="00223D34" w:rsidRDefault="000D7BBC" w:rsidP="002B1D7E">
            <w:pPr>
              <w:pStyle w:val="TableBodyText"/>
              <w:spacing w:before="40"/>
              <w:jc w:val="left"/>
              <w:rPr>
                <w:sz w:val="18"/>
                <w:szCs w:val="18"/>
              </w:rPr>
            </w:pPr>
            <w:r>
              <w:rPr>
                <w:sz w:val="18"/>
                <w:szCs w:val="18"/>
              </w:rPr>
              <w:t>Scrutiny of Bills C</w:t>
            </w:r>
            <w:r w:rsidRPr="00223D34">
              <w:rPr>
                <w:sz w:val="18"/>
                <w:szCs w:val="18"/>
              </w:rPr>
              <w:t>ommittee</w:t>
            </w:r>
          </w:p>
          <w:p w:rsidR="000D7BBC" w:rsidRPr="00223D34" w:rsidRDefault="000D7BBC" w:rsidP="002B1D7E">
            <w:pPr>
              <w:pStyle w:val="TableBodyText"/>
              <w:spacing w:before="40"/>
              <w:jc w:val="left"/>
              <w:rPr>
                <w:sz w:val="18"/>
                <w:szCs w:val="18"/>
              </w:rPr>
            </w:pPr>
            <w:r>
              <w:rPr>
                <w:sz w:val="18"/>
                <w:szCs w:val="18"/>
              </w:rPr>
              <w:t>Regulations and O</w:t>
            </w:r>
            <w:r w:rsidRPr="00223D34">
              <w:rPr>
                <w:sz w:val="18"/>
                <w:szCs w:val="18"/>
              </w:rPr>
              <w:t>rd</w:t>
            </w:r>
            <w:r>
              <w:rPr>
                <w:sz w:val="18"/>
                <w:szCs w:val="18"/>
              </w:rPr>
              <w:t>inances C</w:t>
            </w:r>
            <w:r w:rsidRPr="00223D34">
              <w:rPr>
                <w:sz w:val="18"/>
                <w:szCs w:val="18"/>
              </w:rPr>
              <w:t>ommittee</w:t>
            </w:r>
          </w:p>
        </w:tc>
        <w:tc>
          <w:tcPr>
            <w:tcW w:w="1209" w:type="pct"/>
            <w:tcBorders>
              <w:top w:val="single" w:sz="6" w:space="0" w:color="auto"/>
            </w:tcBorders>
            <w:shd w:val="pct15" w:color="auto" w:fill="auto"/>
          </w:tcPr>
          <w:p w:rsidR="000D7BBC" w:rsidRPr="00223D34" w:rsidRDefault="000D7BBC" w:rsidP="002B1D7E">
            <w:pPr>
              <w:pStyle w:val="TableBodyText"/>
              <w:spacing w:before="40"/>
              <w:jc w:val="left"/>
              <w:rPr>
                <w:sz w:val="18"/>
                <w:szCs w:val="18"/>
              </w:rPr>
            </w:pPr>
            <w:r w:rsidRPr="00223D34">
              <w:rPr>
                <w:sz w:val="18"/>
                <w:szCs w:val="18"/>
              </w:rPr>
              <w:t>No</w:t>
            </w:r>
          </w:p>
          <w:p w:rsidR="000D7BBC" w:rsidRPr="00223D34" w:rsidRDefault="000D7BBC" w:rsidP="002B1D7E">
            <w:pPr>
              <w:pStyle w:val="TableBodyText"/>
              <w:spacing w:before="40"/>
              <w:jc w:val="left"/>
              <w:rPr>
                <w:sz w:val="18"/>
                <w:szCs w:val="18"/>
              </w:rPr>
            </w:pPr>
            <w:r w:rsidRPr="00223D34">
              <w:rPr>
                <w:sz w:val="18"/>
                <w:szCs w:val="18"/>
              </w:rPr>
              <w:t>No</w:t>
            </w:r>
          </w:p>
        </w:tc>
      </w:tr>
      <w:tr w:rsidR="000D7BBC" w:rsidTr="00224E1C">
        <w:tc>
          <w:tcPr>
            <w:tcW w:w="645" w:type="pct"/>
          </w:tcPr>
          <w:p w:rsidR="000D7BBC" w:rsidRPr="00A6033A" w:rsidRDefault="000D7BBC" w:rsidP="002B1D7E">
            <w:pPr>
              <w:pStyle w:val="TableBodyText"/>
              <w:spacing w:before="40"/>
              <w:jc w:val="left"/>
              <w:rPr>
                <w:sz w:val="18"/>
                <w:szCs w:val="18"/>
              </w:rPr>
            </w:pPr>
            <w:r w:rsidRPr="00A6033A">
              <w:rPr>
                <w:sz w:val="18"/>
                <w:szCs w:val="18"/>
              </w:rPr>
              <w:t>NSW</w:t>
            </w:r>
          </w:p>
        </w:tc>
        <w:tc>
          <w:tcPr>
            <w:tcW w:w="3146" w:type="pct"/>
          </w:tcPr>
          <w:p w:rsidR="000D7BBC" w:rsidRPr="00A6033A" w:rsidRDefault="000D7BBC" w:rsidP="002B1D7E">
            <w:pPr>
              <w:pStyle w:val="TableBodyText"/>
              <w:spacing w:before="40"/>
              <w:jc w:val="left"/>
              <w:rPr>
                <w:sz w:val="18"/>
                <w:szCs w:val="18"/>
              </w:rPr>
            </w:pPr>
            <w:r>
              <w:rPr>
                <w:sz w:val="18"/>
                <w:szCs w:val="18"/>
              </w:rPr>
              <w:t>Legislative Review C</w:t>
            </w:r>
            <w:r w:rsidRPr="0078478D">
              <w:rPr>
                <w:sz w:val="18"/>
                <w:szCs w:val="18"/>
              </w:rPr>
              <w:t>ommittee</w:t>
            </w:r>
          </w:p>
        </w:tc>
        <w:tc>
          <w:tcPr>
            <w:tcW w:w="1209" w:type="pct"/>
          </w:tcPr>
          <w:p w:rsidR="000D7BBC" w:rsidRPr="0058429F" w:rsidRDefault="0057237F" w:rsidP="0057237F">
            <w:pPr>
              <w:pStyle w:val="TableBodyText"/>
              <w:spacing w:before="40"/>
              <w:jc w:val="left"/>
              <w:rPr>
                <w:rStyle w:val="DraftingNote"/>
                <w:b w:val="0"/>
                <w:color w:val="auto"/>
                <w:sz w:val="18"/>
                <w:u w:val="none"/>
              </w:rPr>
            </w:pPr>
            <w:r>
              <w:rPr>
                <w:sz w:val="18"/>
                <w:szCs w:val="18"/>
              </w:rPr>
              <w:t>Yes</w:t>
            </w:r>
            <w:r w:rsidR="000D7BBC">
              <w:rPr>
                <w:rStyle w:val="NoteLabel"/>
              </w:rPr>
              <w:t>a</w:t>
            </w:r>
          </w:p>
        </w:tc>
      </w:tr>
      <w:tr w:rsidR="000D7BBC" w:rsidTr="00224E1C">
        <w:tc>
          <w:tcPr>
            <w:tcW w:w="645" w:type="pct"/>
            <w:shd w:val="pct15" w:color="auto" w:fill="auto"/>
          </w:tcPr>
          <w:p w:rsidR="000D7BBC" w:rsidRPr="00A6033A" w:rsidRDefault="000D7BBC" w:rsidP="002B1D7E">
            <w:pPr>
              <w:pStyle w:val="TableBodyText"/>
              <w:spacing w:before="40"/>
              <w:jc w:val="left"/>
              <w:rPr>
                <w:sz w:val="18"/>
                <w:szCs w:val="18"/>
              </w:rPr>
            </w:pPr>
            <w:r w:rsidRPr="00A6033A">
              <w:rPr>
                <w:sz w:val="18"/>
                <w:szCs w:val="18"/>
              </w:rPr>
              <w:t>Vic</w:t>
            </w:r>
          </w:p>
        </w:tc>
        <w:tc>
          <w:tcPr>
            <w:tcW w:w="3146" w:type="pct"/>
            <w:shd w:val="pct15" w:color="auto" w:fill="auto"/>
          </w:tcPr>
          <w:p w:rsidR="000D7BBC" w:rsidRPr="00EA7088" w:rsidRDefault="000D7BBC" w:rsidP="002B1D7E">
            <w:pPr>
              <w:pStyle w:val="TableBodyText"/>
              <w:spacing w:before="40"/>
              <w:jc w:val="left"/>
              <w:rPr>
                <w:rStyle w:val="DraftingNote"/>
                <w:b w:val="0"/>
                <w:color w:val="auto"/>
                <w:sz w:val="20"/>
                <w:u w:val="none"/>
              </w:rPr>
            </w:pPr>
            <w:r>
              <w:rPr>
                <w:sz w:val="18"/>
                <w:szCs w:val="18"/>
              </w:rPr>
              <w:t>Scrutiny of Acts and Regulations C</w:t>
            </w:r>
            <w:r w:rsidRPr="0078478D">
              <w:rPr>
                <w:sz w:val="18"/>
                <w:szCs w:val="18"/>
              </w:rPr>
              <w:t>ommittee</w:t>
            </w:r>
          </w:p>
        </w:tc>
        <w:tc>
          <w:tcPr>
            <w:tcW w:w="1209" w:type="pct"/>
            <w:shd w:val="pct15" w:color="auto" w:fill="auto"/>
          </w:tcPr>
          <w:p w:rsidR="000D7BBC" w:rsidRPr="00A6033A" w:rsidRDefault="000D7BBC" w:rsidP="002B1D7E">
            <w:pPr>
              <w:pStyle w:val="TableBodyText"/>
              <w:spacing w:before="40"/>
              <w:jc w:val="left"/>
              <w:rPr>
                <w:sz w:val="18"/>
                <w:szCs w:val="18"/>
              </w:rPr>
            </w:pPr>
            <w:r>
              <w:rPr>
                <w:sz w:val="18"/>
                <w:szCs w:val="18"/>
              </w:rPr>
              <w:t>Yes</w:t>
            </w:r>
          </w:p>
        </w:tc>
      </w:tr>
      <w:tr w:rsidR="000D7BBC" w:rsidTr="00224E1C">
        <w:tc>
          <w:tcPr>
            <w:tcW w:w="645" w:type="pct"/>
          </w:tcPr>
          <w:p w:rsidR="000D7BBC" w:rsidRPr="00A6033A" w:rsidRDefault="000D7BBC" w:rsidP="002B1D7E">
            <w:pPr>
              <w:pStyle w:val="TableBodyText"/>
              <w:spacing w:before="40"/>
              <w:jc w:val="left"/>
              <w:rPr>
                <w:sz w:val="18"/>
                <w:szCs w:val="18"/>
              </w:rPr>
            </w:pPr>
            <w:r w:rsidRPr="00A6033A">
              <w:rPr>
                <w:sz w:val="18"/>
                <w:szCs w:val="18"/>
              </w:rPr>
              <w:t>Qld</w:t>
            </w:r>
          </w:p>
        </w:tc>
        <w:tc>
          <w:tcPr>
            <w:tcW w:w="3146" w:type="pct"/>
          </w:tcPr>
          <w:p w:rsidR="000D7BBC" w:rsidRPr="00261D38" w:rsidRDefault="000D7BBC" w:rsidP="002B1D7E">
            <w:pPr>
              <w:pStyle w:val="TableBodyText"/>
              <w:spacing w:before="40"/>
              <w:jc w:val="left"/>
              <w:rPr>
                <w:b/>
                <w:sz w:val="18"/>
                <w:szCs w:val="18"/>
              </w:rPr>
            </w:pPr>
            <w:r>
              <w:rPr>
                <w:sz w:val="18"/>
                <w:szCs w:val="18"/>
              </w:rPr>
              <w:t>Scrutiny of Legislation Committee</w:t>
            </w:r>
            <w:r>
              <w:rPr>
                <w:rStyle w:val="NoteLabel"/>
              </w:rPr>
              <w:t>b</w:t>
            </w:r>
          </w:p>
        </w:tc>
        <w:tc>
          <w:tcPr>
            <w:tcW w:w="1209" w:type="pct"/>
          </w:tcPr>
          <w:p w:rsidR="000D7BBC" w:rsidRPr="0058429F" w:rsidRDefault="0057237F" w:rsidP="002B1D7E">
            <w:pPr>
              <w:pStyle w:val="TableBodyText"/>
              <w:spacing w:before="40"/>
              <w:jc w:val="left"/>
              <w:rPr>
                <w:rStyle w:val="DraftingNote"/>
                <w:b w:val="0"/>
                <w:color w:val="auto"/>
                <w:sz w:val="18"/>
                <w:u w:val="none"/>
              </w:rPr>
            </w:pPr>
            <w:r>
              <w:rPr>
                <w:sz w:val="18"/>
                <w:szCs w:val="18"/>
              </w:rPr>
              <w:t>Yes</w:t>
            </w:r>
          </w:p>
        </w:tc>
      </w:tr>
      <w:tr w:rsidR="000D7BBC" w:rsidTr="00224E1C">
        <w:tc>
          <w:tcPr>
            <w:tcW w:w="645" w:type="pct"/>
            <w:shd w:val="pct15" w:color="auto" w:fill="auto"/>
          </w:tcPr>
          <w:p w:rsidR="000D7BBC" w:rsidRPr="00A6033A" w:rsidRDefault="000D7BBC" w:rsidP="002B1D7E">
            <w:pPr>
              <w:pStyle w:val="TableBodyText"/>
              <w:spacing w:before="40"/>
              <w:jc w:val="left"/>
              <w:rPr>
                <w:sz w:val="18"/>
                <w:szCs w:val="18"/>
              </w:rPr>
            </w:pPr>
            <w:r w:rsidRPr="00A6033A">
              <w:rPr>
                <w:sz w:val="18"/>
                <w:szCs w:val="18"/>
              </w:rPr>
              <w:t>WA</w:t>
            </w:r>
          </w:p>
        </w:tc>
        <w:tc>
          <w:tcPr>
            <w:tcW w:w="3146" w:type="pct"/>
            <w:shd w:val="pct15" w:color="auto" w:fill="auto"/>
          </w:tcPr>
          <w:p w:rsidR="000D7BBC" w:rsidRPr="00095FCB" w:rsidRDefault="000D7BBC" w:rsidP="002B1D7E">
            <w:pPr>
              <w:pStyle w:val="TableBodyText"/>
              <w:spacing w:before="40"/>
              <w:jc w:val="left"/>
              <w:rPr>
                <w:sz w:val="18"/>
                <w:szCs w:val="18"/>
              </w:rPr>
            </w:pPr>
            <w:r>
              <w:rPr>
                <w:sz w:val="18"/>
                <w:szCs w:val="18"/>
              </w:rPr>
              <w:t>Legislation Committee</w:t>
            </w:r>
          </w:p>
          <w:p w:rsidR="000D7BBC" w:rsidRPr="00095FCB" w:rsidRDefault="000D7BBC" w:rsidP="002B1D7E">
            <w:pPr>
              <w:pStyle w:val="TableBodyText"/>
              <w:spacing w:before="40"/>
              <w:jc w:val="left"/>
              <w:rPr>
                <w:sz w:val="18"/>
                <w:szCs w:val="18"/>
              </w:rPr>
            </w:pPr>
            <w:r>
              <w:rPr>
                <w:sz w:val="18"/>
                <w:szCs w:val="18"/>
              </w:rPr>
              <w:t>Delegated Legislation C</w:t>
            </w:r>
            <w:r w:rsidRPr="00095FCB">
              <w:rPr>
                <w:sz w:val="18"/>
                <w:szCs w:val="18"/>
              </w:rPr>
              <w:t>ommittee</w:t>
            </w:r>
          </w:p>
          <w:p w:rsidR="000D7BBC" w:rsidRPr="00A6033A" w:rsidRDefault="000D7BBC" w:rsidP="002B1D7E">
            <w:pPr>
              <w:pStyle w:val="TableBodyText"/>
              <w:spacing w:before="40"/>
              <w:jc w:val="left"/>
              <w:rPr>
                <w:sz w:val="18"/>
                <w:szCs w:val="18"/>
              </w:rPr>
            </w:pPr>
            <w:r>
              <w:rPr>
                <w:sz w:val="18"/>
                <w:szCs w:val="18"/>
              </w:rPr>
              <w:t>Uniform legislation and Statutes Review C</w:t>
            </w:r>
            <w:r w:rsidRPr="00095FCB">
              <w:rPr>
                <w:sz w:val="18"/>
                <w:szCs w:val="18"/>
              </w:rPr>
              <w:t>ommittee</w:t>
            </w:r>
          </w:p>
        </w:tc>
        <w:tc>
          <w:tcPr>
            <w:tcW w:w="1209" w:type="pct"/>
            <w:shd w:val="pct15" w:color="auto" w:fill="auto"/>
          </w:tcPr>
          <w:p w:rsidR="000D7BBC" w:rsidRDefault="000D7BBC" w:rsidP="002B1D7E">
            <w:pPr>
              <w:pStyle w:val="TableBodyText"/>
              <w:spacing w:before="40"/>
              <w:jc w:val="left"/>
              <w:rPr>
                <w:sz w:val="18"/>
                <w:szCs w:val="18"/>
              </w:rPr>
            </w:pPr>
            <w:r>
              <w:rPr>
                <w:sz w:val="18"/>
                <w:szCs w:val="18"/>
              </w:rPr>
              <w:t>No</w:t>
            </w:r>
          </w:p>
          <w:p w:rsidR="000D7BBC" w:rsidRDefault="000D7BBC" w:rsidP="002B1D7E">
            <w:pPr>
              <w:pStyle w:val="TableBodyText"/>
              <w:spacing w:before="40"/>
              <w:jc w:val="left"/>
              <w:rPr>
                <w:sz w:val="18"/>
                <w:szCs w:val="18"/>
              </w:rPr>
            </w:pPr>
            <w:r>
              <w:rPr>
                <w:sz w:val="18"/>
                <w:szCs w:val="18"/>
              </w:rPr>
              <w:t>No</w:t>
            </w:r>
          </w:p>
          <w:p w:rsidR="000D7BBC" w:rsidRPr="00A6033A" w:rsidRDefault="000D7BBC" w:rsidP="002B1D7E">
            <w:pPr>
              <w:pStyle w:val="TableBodyText"/>
              <w:spacing w:before="40"/>
              <w:jc w:val="left"/>
              <w:rPr>
                <w:sz w:val="18"/>
                <w:szCs w:val="18"/>
              </w:rPr>
            </w:pPr>
            <w:r>
              <w:rPr>
                <w:sz w:val="18"/>
                <w:szCs w:val="18"/>
              </w:rPr>
              <w:t>No</w:t>
            </w:r>
          </w:p>
        </w:tc>
      </w:tr>
      <w:tr w:rsidR="000D7BBC" w:rsidTr="00224E1C">
        <w:tc>
          <w:tcPr>
            <w:tcW w:w="645" w:type="pct"/>
          </w:tcPr>
          <w:p w:rsidR="000D7BBC" w:rsidRPr="00A6033A" w:rsidRDefault="000D7BBC" w:rsidP="002B1D7E">
            <w:pPr>
              <w:pStyle w:val="TableBodyText"/>
              <w:spacing w:before="40"/>
              <w:jc w:val="left"/>
              <w:rPr>
                <w:sz w:val="18"/>
                <w:szCs w:val="18"/>
              </w:rPr>
            </w:pPr>
            <w:r w:rsidRPr="00A6033A">
              <w:rPr>
                <w:sz w:val="18"/>
                <w:szCs w:val="18"/>
              </w:rPr>
              <w:t>SA</w:t>
            </w:r>
          </w:p>
        </w:tc>
        <w:tc>
          <w:tcPr>
            <w:tcW w:w="3146" w:type="pct"/>
          </w:tcPr>
          <w:p w:rsidR="000D7BBC" w:rsidRPr="00A6033A" w:rsidRDefault="000D7BBC" w:rsidP="002B1D7E">
            <w:pPr>
              <w:pStyle w:val="TableBodyText"/>
              <w:spacing w:before="40"/>
              <w:jc w:val="left"/>
              <w:rPr>
                <w:sz w:val="18"/>
                <w:szCs w:val="18"/>
              </w:rPr>
            </w:pPr>
            <w:r>
              <w:rPr>
                <w:sz w:val="18"/>
                <w:szCs w:val="18"/>
              </w:rPr>
              <w:t>Legislative Review C</w:t>
            </w:r>
            <w:r w:rsidRPr="00095FCB">
              <w:rPr>
                <w:sz w:val="18"/>
                <w:szCs w:val="18"/>
              </w:rPr>
              <w:t>ommittee</w:t>
            </w:r>
          </w:p>
        </w:tc>
        <w:tc>
          <w:tcPr>
            <w:tcW w:w="1209" w:type="pct"/>
          </w:tcPr>
          <w:p w:rsidR="000D7BBC" w:rsidRPr="00A6033A" w:rsidRDefault="000D7BBC" w:rsidP="002B1D7E">
            <w:pPr>
              <w:pStyle w:val="TableBodyText"/>
              <w:spacing w:before="40"/>
              <w:jc w:val="left"/>
              <w:rPr>
                <w:sz w:val="18"/>
                <w:szCs w:val="18"/>
              </w:rPr>
            </w:pPr>
            <w:r>
              <w:rPr>
                <w:sz w:val="18"/>
                <w:szCs w:val="18"/>
              </w:rPr>
              <w:t>No</w:t>
            </w:r>
          </w:p>
        </w:tc>
      </w:tr>
      <w:tr w:rsidR="000D7BBC" w:rsidTr="00224E1C">
        <w:tc>
          <w:tcPr>
            <w:tcW w:w="645" w:type="pct"/>
            <w:shd w:val="pct15" w:color="auto" w:fill="auto"/>
          </w:tcPr>
          <w:p w:rsidR="000D7BBC" w:rsidRPr="00A6033A" w:rsidRDefault="000D7BBC" w:rsidP="002B1D7E">
            <w:pPr>
              <w:pStyle w:val="TableBodyText"/>
              <w:spacing w:before="40"/>
              <w:jc w:val="left"/>
              <w:rPr>
                <w:sz w:val="18"/>
                <w:szCs w:val="18"/>
              </w:rPr>
            </w:pPr>
            <w:r w:rsidRPr="00A6033A">
              <w:rPr>
                <w:sz w:val="18"/>
                <w:szCs w:val="18"/>
              </w:rPr>
              <w:t>Tas</w:t>
            </w:r>
          </w:p>
        </w:tc>
        <w:tc>
          <w:tcPr>
            <w:tcW w:w="3146" w:type="pct"/>
            <w:shd w:val="pct15" w:color="auto" w:fill="auto"/>
          </w:tcPr>
          <w:p w:rsidR="000D7BBC" w:rsidRPr="00A6033A" w:rsidRDefault="000D7BBC" w:rsidP="002B1D7E">
            <w:pPr>
              <w:pStyle w:val="TableBodyText"/>
              <w:spacing w:before="40"/>
              <w:jc w:val="left"/>
              <w:rPr>
                <w:sz w:val="18"/>
                <w:szCs w:val="18"/>
              </w:rPr>
            </w:pPr>
            <w:r>
              <w:rPr>
                <w:sz w:val="18"/>
                <w:szCs w:val="18"/>
              </w:rPr>
              <w:t>Standing Committee on Subordinate L</w:t>
            </w:r>
            <w:r w:rsidRPr="00095FCB">
              <w:rPr>
                <w:sz w:val="18"/>
                <w:szCs w:val="18"/>
              </w:rPr>
              <w:t>egislation</w:t>
            </w:r>
          </w:p>
        </w:tc>
        <w:tc>
          <w:tcPr>
            <w:tcW w:w="1209" w:type="pct"/>
            <w:shd w:val="pct15" w:color="auto" w:fill="auto"/>
          </w:tcPr>
          <w:p w:rsidR="000D7BBC" w:rsidRPr="00A6033A" w:rsidRDefault="000D7BBC" w:rsidP="002B1D7E">
            <w:pPr>
              <w:pStyle w:val="TableBodyText"/>
              <w:spacing w:before="40"/>
              <w:jc w:val="left"/>
              <w:rPr>
                <w:sz w:val="18"/>
                <w:szCs w:val="18"/>
              </w:rPr>
            </w:pPr>
            <w:r>
              <w:rPr>
                <w:sz w:val="18"/>
                <w:szCs w:val="18"/>
              </w:rPr>
              <w:t>Yes</w:t>
            </w:r>
          </w:p>
        </w:tc>
      </w:tr>
      <w:tr w:rsidR="000D7BBC" w:rsidRPr="00AC5559" w:rsidTr="00224E1C">
        <w:tc>
          <w:tcPr>
            <w:tcW w:w="645" w:type="pct"/>
          </w:tcPr>
          <w:p w:rsidR="000D7BBC" w:rsidRPr="00A6033A" w:rsidRDefault="000D7BBC" w:rsidP="002B1D7E">
            <w:pPr>
              <w:pStyle w:val="TableBodyText"/>
              <w:spacing w:before="40"/>
              <w:jc w:val="left"/>
              <w:rPr>
                <w:sz w:val="18"/>
                <w:szCs w:val="18"/>
              </w:rPr>
            </w:pPr>
            <w:r w:rsidRPr="00A6033A">
              <w:rPr>
                <w:sz w:val="18"/>
                <w:szCs w:val="18"/>
              </w:rPr>
              <w:t>ACT</w:t>
            </w:r>
          </w:p>
        </w:tc>
        <w:tc>
          <w:tcPr>
            <w:tcW w:w="3146" w:type="pct"/>
          </w:tcPr>
          <w:p w:rsidR="000D7BBC" w:rsidRPr="00A6033A" w:rsidRDefault="000D7BBC" w:rsidP="002B1D7E">
            <w:pPr>
              <w:pStyle w:val="TableBodyText"/>
              <w:spacing w:before="40"/>
              <w:jc w:val="left"/>
              <w:rPr>
                <w:sz w:val="18"/>
                <w:szCs w:val="18"/>
              </w:rPr>
            </w:pPr>
            <w:r>
              <w:rPr>
                <w:sz w:val="18"/>
                <w:szCs w:val="18"/>
              </w:rPr>
              <w:t>Standing Committee on Justice and Community S</w:t>
            </w:r>
            <w:r w:rsidRPr="00095FCB">
              <w:rPr>
                <w:sz w:val="18"/>
                <w:szCs w:val="18"/>
              </w:rPr>
              <w:t>afe</w:t>
            </w:r>
            <w:r>
              <w:rPr>
                <w:sz w:val="18"/>
                <w:szCs w:val="18"/>
              </w:rPr>
              <w:t>ty</w:t>
            </w:r>
            <w:r>
              <w:rPr>
                <w:rStyle w:val="NoteLabel"/>
              </w:rPr>
              <w:t>c</w:t>
            </w:r>
          </w:p>
        </w:tc>
        <w:tc>
          <w:tcPr>
            <w:tcW w:w="1209" w:type="pct"/>
          </w:tcPr>
          <w:p w:rsidR="000D7BBC" w:rsidRPr="00A6033A" w:rsidRDefault="000D7BBC" w:rsidP="002B1D7E">
            <w:pPr>
              <w:pStyle w:val="TableBodyText"/>
              <w:spacing w:before="40"/>
              <w:jc w:val="left"/>
              <w:rPr>
                <w:sz w:val="18"/>
                <w:szCs w:val="18"/>
              </w:rPr>
            </w:pPr>
            <w:r>
              <w:rPr>
                <w:sz w:val="18"/>
                <w:szCs w:val="18"/>
              </w:rPr>
              <w:t>Yes</w:t>
            </w:r>
          </w:p>
        </w:tc>
      </w:tr>
      <w:tr w:rsidR="000D7BBC" w:rsidTr="00224E1C">
        <w:tc>
          <w:tcPr>
            <w:tcW w:w="645" w:type="pct"/>
            <w:tcBorders>
              <w:bottom w:val="single" w:sz="6" w:space="0" w:color="auto"/>
            </w:tcBorders>
            <w:shd w:val="pct15" w:color="auto" w:fill="auto"/>
          </w:tcPr>
          <w:p w:rsidR="000D7BBC" w:rsidRPr="00A6033A" w:rsidRDefault="000D7BBC" w:rsidP="002B1D7E">
            <w:pPr>
              <w:pStyle w:val="TableBodyText"/>
              <w:spacing w:before="40"/>
              <w:jc w:val="left"/>
              <w:rPr>
                <w:sz w:val="18"/>
                <w:szCs w:val="18"/>
              </w:rPr>
            </w:pPr>
            <w:r w:rsidRPr="00A6033A">
              <w:rPr>
                <w:sz w:val="18"/>
                <w:szCs w:val="18"/>
              </w:rPr>
              <w:t>NT</w:t>
            </w:r>
          </w:p>
        </w:tc>
        <w:tc>
          <w:tcPr>
            <w:tcW w:w="3146" w:type="pct"/>
            <w:tcBorders>
              <w:bottom w:val="single" w:sz="6" w:space="0" w:color="auto"/>
            </w:tcBorders>
            <w:shd w:val="pct15" w:color="auto" w:fill="auto"/>
          </w:tcPr>
          <w:p w:rsidR="000D7BBC" w:rsidRPr="00A6033A" w:rsidRDefault="000D7BBC" w:rsidP="002B1D7E">
            <w:pPr>
              <w:pStyle w:val="TableBodyText"/>
              <w:spacing w:before="40"/>
              <w:jc w:val="left"/>
              <w:rPr>
                <w:sz w:val="18"/>
                <w:szCs w:val="18"/>
              </w:rPr>
            </w:pPr>
            <w:r w:rsidRPr="00095FCB">
              <w:rPr>
                <w:sz w:val="18"/>
                <w:szCs w:val="18"/>
              </w:rPr>
              <w:t>S</w:t>
            </w:r>
            <w:r>
              <w:rPr>
                <w:sz w:val="18"/>
                <w:szCs w:val="18"/>
              </w:rPr>
              <w:t>ubordinate Legislation and Publications</w:t>
            </w:r>
          </w:p>
        </w:tc>
        <w:tc>
          <w:tcPr>
            <w:tcW w:w="1209" w:type="pct"/>
            <w:tcBorders>
              <w:bottom w:val="single" w:sz="6" w:space="0" w:color="auto"/>
            </w:tcBorders>
            <w:shd w:val="pct15" w:color="auto" w:fill="auto"/>
          </w:tcPr>
          <w:p w:rsidR="000D7BBC" w:rsidRPr="00A6033A" w:rsidRDefault="000D7BBC" w:rsidP="002B1D7E">
            <w:pPr>
              <w:pStyle w:val="TableBodyText"/>
              <w:spacing w:before="40"/>
              <w:jc w:val="left"/>
              <w:rPr>
                <w:sz w:val="18"/>
                <w:szCs w:val="18"/>
              </w:rPr>
            </w:pPr>
            <w:r>
              <w:rPr>
                <w:sz w:val="18"/>
                <w:szCs w:val="18"/>
              </w:rPr>
              <w:t>No</w:t>
            </w:r>
          </w:p>
        </w:tc>
      </w:tr>
    </w:tbl>
    <w:p w:rsidR="000D7BBC" w:rsidRPr="00760597" w:rsidRDefault="000D7BBC" w:rsidP="000D7BBC">
      <w:pPr>
        <w:pStyle w:val="Note"/>
        <w:rPr>
          <w:szCs w:val="18"/>
        </w:rPr>
      </w:pPr>
      <w:r>
        <w:rPr>
          <w:rStyle w:val="NoteLabel"/>
        </w:rPr>
        <w:t>a</w:t>
      </w:r>
      <w:r>
        <w:t xml:space="preserve"> </w:t>
      </w:r>
      <w:r w:rsidRPr="007305D4">
        <w:rPr>
          <w:szCs w:val="18"/>
        </w:rPr>
        <w:t>Scrutinise</w:t>
      </w:r>
      <w:r>
        <w:rPr>
          <w:szCs w:val="18"/>
        </w:rPr>
        <w:t>s</w:t>
      </w:r>
      <w:r w:rsidRPr="007305D4">
        <w:rPr>
          <w:szCs w:val="18"/>
        </w:rPr>
        <w:t xml:space="preserve"> subordinate legislation with an explicit mandate to consider RIA, also scrutinises Bills but with no explicit requirement to consider RIA. Can recommend disallowance of subor</w:t>
      </w:r>
      <w:r>
        <w:rPr>
          <w:szCs w:val="18"/>
        </w:rPr>
        <w:t>dinate legislation (not Bills).</w:t>
      </w:r>
      <w:r>
        <w:rPr>
          <w:rStyle w:val="NoteLabel"/>
        </w:rPr>
        <w:t>b</w:t>
      </w:r>
      <w:r>
        <w:t> </w:t>
      </w:r>
      <w:r w:rsidR="00C370A2">
        <w:t>This committee ceased to exist on 30 June 2011. Its role has been replaced, u</w:t>
      </w:r>
      <w:r>
        <w:t>nder a new committee system established in May 2012, by seven separate portfolio committees, each scrutinising regulation in its respective portfolio area</w:t>
      </w:r>
      <w:r w:rsidRPr="00317FA9">
        <w:t xml:space="preserve">. </w:t>
      </w:r>
      <w:r>
        <w:rPr>
          <w:rStyle w:val="NoteLabel"/>
        </w:rPr>
        <w:t>c</w:t>
      </w:r>
      <w:r>
        <w:t xml:space="preserve"> </w:t>
      </w:r>
      <w:r>
        <w:rPr>
          <w:szCs w:val="18"/>
        </w:rPr>
        <w:t>Performing the d</w:t>
      </w:r>
      <w:r w:rsidR="00AC45A2">
        <w:rPr>
          <w:szCs w:val="18"/>
        </w:rPr>
        <w:t>uties of the</w:t>
      </w:r>
      <w:r>
        <w:rPr>
          <w:szCs w:val="18"/>
        </w:rPr>
        <w:t xml:space="preserve"> </w:t>
      </w:r>
      <w:r w:rsidR="00AC45A2">
        <w:rPr>
          <w:szCs w:val="18"/>
        </w:rPr>
        <w:t>Scrutiny of Bills and Subordinate Legislation C</w:t>
      </w:r>
      <w:r>
        <w:rPr>
          <w:szCs w:val="18"/>
        </w:rPr>
        <w:t>ommittee.</w:t>
      </w:r>
    </w:p>
    <w:p w:rsidR="000D7BBC" w:rsidRDefault="000D7BBC" w:rsidP="000D7BBC">
      <w:pPr>
        <w:pStyle w:val="Source"/>
      </w:pPr>
      <w:r>
        <w:rPr>
          <w:i/>
        </w:rPr>
        <w:t>Source</w:t>
      </w:r>
      <w:r>
        <w:t>: Jurisdictional parliamentary committee websites</w:t>
      </w:r>
      <w:r w:rsidR="00806068">
        <w:t>.</w:t>
      </w:r>
    </w:p>
    <w:p w:rsidR="003802B7" w:rsidRDefault="009F5209" w:rsidP="00D85F0F">
      <w:pPr>
        <w:pStyle w:val="BodyText"/>
      </w:pPr>
      <w:r>
        <w:t xml:space="preserve">In five </w:t>
      </w:r>
      <w:r w:rsidR="00D85F0F">
        <w:t>jurisdictions</w:t>
      </w:r>
      <w:r w:rsidR="00662514">
        <w:t>,</w:t>
      </w:r>
      <w:r w:rsidR="00D85F0F">
        <w:t xml:space="preserve"> </w:t>
      </w:r>
      <w:r w:rsidR="00002C6C">
        <w:t xml:space="preserve">parliamentary scrutiny </w:t>
      </w:r>
      <w:r w:rsidR="00EC4183">
        <w:t>committee</w:t>
      </w:r>
      <w:r w:rsidR="005F79D2">
        <w:t>s</w:t>
      </w:r>
      <w:r w:rsidR="00EC4183">
        <w:t xml:space="preserve"> have </w:t>
      </w:r>
      <w:r w:rsidR="00B46DF6">
        <w:t>an explicit mandate to examine procedural compliance</w:t>
      </w:r>
      <w:r w:rsidR="005C1212">
        <w:t xml:space="preserve"> with RIA requirements</w:t>
      </w:r>
      <w:r w:rsidR="009F78F9">
        <w:t xml:space="preserve">. These </w:t>
      </w:r>
      <w:r w:rsidR="00C672E2">
        <w:t xml:space="preserve">are the </w:t>
      </w:r>
      <w:r w:rsidR="00C128BE">
        <w:t xml:space="preserve">same </w:t>
      </w:r>
      <w:r w:rsidR="00C672E2">
        <w:t>jurisdictions in which</w:t>
      </w:r>
      <w:r w:rsidR="009F78F9">
        <w:t xml:space="preserve"> RIA requirements are mandated for subordinate legislation </w:t>
      </w:r>
      <w:r w:rsidR="009F78F9">
        <w:lastRenderedPageBreak/>
        <w:t>(</w:t>
      </w:r>
      <w:r w:rsidR="009F78F9" w:rsidRPr="000E5EA0">
        <w:t>see box 1.</w:t>
      </w:r>
      <w:r w:rsidR="000E5EA0" w:rsidRPr="000E5EA0">
        <w:t>2</w:t>
      </w:r>
      <w:r w:rsidR="009F78F9">
        <w:t>). The functions</w:t>
      </w:r>
      <w:r w:rsidR="005C1212">
        <w:t xml:space="preserve"> </w:t>
      </w:r>
      <w:r w:rsidR="009F78F9">
        <w:t xml:space="preserve">of scrutiny committees </w:t>
      </w:r>
      <w:r w:rsidR="00C128BE">
        <w:t xml:space="preserve">with a RIA mandate </w:t>
      </w:r>
      <w:r w:rsidR="005C1212">
        <w:t xml:space="preserve">can </w:t>
      </w:r>
      <w:r w:rsidR="0037739E">
        <w:t>include</w:t>
      </w:r>
      <w:r w:rsidR="003802B7">
        <w:t>:</w:t>
      </w:r>
    </w:p>
    <w:p w:rsidR="003802B7" w:rsidRDefault="003802B7" w:rsidP="003802B7">
      <w:pPr>
        <w:pStyle w:val="ListBullet"/>
      </w:pPr>
      <w:r>
        <w:t xml:space="preserve">examining whether relevant </w:t>
      </w:r>
      <w:r w:rsidR="009F78F9">
        <w:t>documents</w:t>
      </w:r>
      <w:r>
        <w:t xml:space="preserve"> contain appropriate information and are signed by ministers</w:t>
      </w:r>
    </w:p>
    <w:p w:rsidR="003802B7" w:rsidRDefault="00CA1DAE" w:rsidP="003802B7">
      <w:pPr>
        <w:pStyle w:val="ListBullet"/>
      </w:pPr>
      <w:r>
        <w:t xml:space="preserve">considering whether </w:t>
      </w:r>
      <w:r w:rsidR="00AD3E67">
        <w:t xml:space="preserve">consultation </w:t>
      </w:r>
      <w:r w:rsidR="003802B7">
        <w:t xml:space="preserve">undertaken </w:t>
      </w:r>
      <w:r w:rsidR="00AD3E67">
        <w:t>was adequate</w:t>
      </w:r>
    </w:p>
    <w:p w:rsidR="003802B7" w:rsidRDefault="00CA1DAE" w:rsidP="003802B7">
      <w:pPr>
        <w:pStyle w:val="ListBullet"/>
      </w:pPr>
      <w:r>
        <w:t>verifying that the RIS is adequate.</w:t>
      </w:r>
    </w:p>
    <w:p w:rsidR="00BB7311" w:rsidRPr="00BB7311" w:rsidRDefault="00C672E2" w:rsidP="004343EE">
      <w:pPr>
        <w:pStyle w:val="BodyText"/>
      </w:pPr>
      <w:r>
        <w:t>If the committee</w:t>
      </w:r>
      <w:r w:rsidR="009F5209" w:rsidRPr="002F710A">
        <w:t xml:space="preserve"> considers </w:t>
      </w:r>
      <w:r>
        <w:t xml:space="preserve">that </w:t>
      </w:r>
      <w:r w:rsidR="00D97E79" w:rsidRPr="002F710A">
        <w:t>RIA proc</w:t>
      </w:r>
      <w:r w:rsidR="009F5209" w:rsidRPr="002F710A">
        <w:t>esses have not been</w:t>
      </w:r>
      <w:r>
        <w:t xml:space="preserve"> appropriately</w:t>
      </w:r>
      <w:r w:rsidR="009F5209" w:rsidRPr="002F710A">
        <w:t xml:space="preserve"> followed</w:t>
      </w:r>
      <w:r>
        <w:t>, it can</w:t>
      </w:r>
      <w:r w:rsidR="0038171D">
        <w:t xml:space="preserve"> </w:t>
      </w:r>
      <w:r w:rsidR="004E4B1E">
        <w:t>c</w:t>
      </w:r>
      <w:r w:rsidR="00D97E79">
        <w:t xml:space="preserve">orrespond with the responsible minister </w:t>
      </w:r>
      <w:r w:rsidR="00906E78">
        <w:t xml:space="preserve">or departmental official </w:t>
      </w:r>
      <w:r w:rsidR="00D97E79">
        <w:t>to seek clarification or amendment</w:t>
      </w:r>
      <w:r w:rsidR="004E4B1E">
        <w:t>,</w:t>
      </w:r>
      <w:r w:rsidR="0038171D">
        <w:t xml:space="preserve"> </w:t>
      </w:r>
      <w:r w:rsidR="004E4B1E">
        <w:t>r</w:t>
      </w:r>
      <w:r w:rsidR="00D97E79">
        <w:t>eport to parliament to inform decision making</w:t>
      </w:r>
      <w:r w:rsidR="004E4B1E">
        <w:t xml:space="preserve"> or</w:t>
      </w:r>
      <w:r w:rsidR="0038171D">
        <w:t xml:space="preserve"> </w:t>
      </w:r>
      <w:r w:rsidR="004E4B1E">
        <w:t>r</w:t>
      </w:r>
      <w:r w:rsidR="00D97E79">
        <w:t>ecommend disallowance of the instrument to parliament.</w:t>
      </w:r>
      <w:r w:rsidR="0038171D">
        <w:rPr>
          <w:rStyle w:val="FootnoteReference"/>
        </w:rPr>
        <w:footnoteReference w:id="5"/>
      </w:r>
      <w:r w:rsidR="00D97E79">
        <w:t xml:space="preserve"> </w:t>
      </w:r>
      <w:r w:rsidR="00662514">
        <w:t xml:space="preserve">In practice, scrutiny committees have generally favoured the first two options and have not been active in recommending disallowance based on an inadequate RIA process. </w:t>
      </w:r>
      <w:r w:rsidR="004B72A6">
        <w:t xml:space="preserve">The effectiveness of these parliamentary scrutiny committees in </w:t>
      </w:r>
      <w:r w:rsidR="0030011E">
        <w:t>supporting the accountability of RIA processes</w:t>
      </w:r>
      <w:r w:rsidR="004B72A6">
        <w:t xml:space="preserve"> is discussed further in chapter 8.</w:t>
      </w:r>
      <w:bookmarkEnd w:id="1"/>
    </w:p>
    <w:sectPr w:rsidR="00BB7311" w:rsidRPr="00BB7311" w:rsidSect="001E7C44">
      <w:headerReference w:type="even" r:id="rId10"/>
      <w:headerReference w:type="default" r:id="rId11"/>
      <w:footerReference w:type="even" r:id="rId12"/>
      <w:footerReference w:type="default" r:id="rId13"/>
      <w:pgSz w:w="11907" w:h="16840" w:code="9"/>
      <w:pgMar w:top="1985" w:right="1304" w:bottom="1418" w:left="1814" w:header="1701" w:footer="567" w:gutter="0"/>
      <w:pgNumType w:start="8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67B" w:rsidRDefault="0091167B">
      <w:r>
        <w:separator/>
      </w:r>
    </w:p>
  </w:endnote>
  <w:endnote w:type="continuationSeparator" w:id="0">
    <w:p w:rsidR="0091167B" w:rsidRDefault="00911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1167B">
      <w:trPr>
        <w:trHeight w:hRule="exact" w:val="740"/>
      </w:trPr>
      <w:tc>
        <w:tcPr>
          <w:tcW w:w="510" w:type="dxa"/>
          <w:tcBorders>
            <w:top w:val="single" w:sz="6" w:space="0" w:color="auto"/>
          </w:tcBorders>
        </w:tcPr>
        <w:p w:rsidR="0091167B" w:rsidRDefault="0091167B"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420E7">
            <w:rPr>
              <w:rStyle w:val="PageNumber"/>
              <w:noProof/>
            </w:rPr>
            <w:t>104</w:t>
          </w:r>
          <w:r>
            <w:rPr>
              <w:rStyle w:val="PageNumber"/>
            </w:rPr>
            <w:fldChar w:fldCharType="end"/>
          </w:r>
        </w:p>
      </w:tc>
      <w:tc>
        <w:tcPr>
          <w:tcW w:w="1644" w:type="dxa"/>
          <w:tcBorders>
            <w:top w:val="single" w:sz="6" w:space="0" w:color="auto"/>
          </w:tcBorders>
        </w:tcPr>
        <w:p w:rsidR="0091167B" w:rsidRDefault="000420E7" w:rsidP="0019293B">
          <w:pPr>
            <w:pStyle w:val="Footer"/>
          </w:pPr>
          <w:r>
            <w:fldChar w:fldCharType="begin"/>
          </w:r>
          <w:r>
            <w:instrText xml:space="preserve"> SUBJECT  \* MERGEFORMAT </w:instrText>
          </w:r>
          <w:r>
            <w:fldChar w:fldCharType="separate"/>
          </w:r>
          <w:r w:rsidR="00702C9A">
            <w:t>RIA Benchmarking</w:t>
          </w:r>
          <w:r>
            <w:fldChar w:fldCharType="end"/>
          </w:r>
        </w:p>
      </w:tc>
      <w:tc>
        <w:tcPr>
          <w:tcW w:w="6634" w:type="dxa"/>
        </w:tcPr>
        <w:p w:rsidR="0091167B" w:rsidRDefault="0091167B" w:rsidP="0019293B">
          <w:pPr>
            <w:pStyle w:val="Footer"/>
          </w:pPr>
        </w:p>
      </w:tc>
    </w:tr>
  </w:tbl>
  <w:p w:rsidR="0091167B" w:rsidRDefault="0091167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1167B">
      <w:trPr>
        <w:trHeight w:hRule="exact" w:val="740"/>
      </w:trPr>
      <w:tc>
        <w:tcPr>
          <w:tcW w:w="6634" w:type="dxa"/>
        </w:tcPr>
        <w:p w:rsidR="0091167B" w:rsidRDefault="0091167B">
          <w:pPr>
            <w:pStyle w:val="Footer"/>
            <w:ind w:right="360" w:firstLine="360"/>
          </w:pPr>
        </w:p>
      </w:tc>
      <w:tc>
        <w:tcPr>
          <w:tcW w:w="1644" w:type="dxa"/>
          <w:tcBorders>
            <w:top w:val="single" w:sz="6" w:space="0" w:color="auto"/>
          </w:tcBorders>
        </w:tcPr>
        <w:p w:rsidR="0091167B" w:rsidRDefault="000420E7">
          <w:pPr>
            <w:pStyle w:val="Footer"/>
          </w:pPr>
          <w:r>
            <w:fldChar w:fldCharType="begin"/>
          </w:r>
          <w:r>
            <w:instrText xml:space="preserve"> TITLE  \* MERGEFORMAT </w:instrText>
          </w:r>
          <w:r>
            <w:fldChar w:fldCharType="separate"/>
          </w:r>
          <w:r w:rsidR="00702C9A">
            <w:t>Institutions</w:t>
          </w:r>
          <w:r>
            <w:fldChar w:fldCharType="end"/>
          </w:r>
        </w:p>
      </w:tc>
      <w:tc>
        <w:tcPr>
          <w:tcW w:w="510" w:type="dxa"/>
          <w:tcBorders>
            <w:top w:val="single" w:sz="6" w:space="0" w:color="auto"/>
          </w:tcBorders>
        </w:tcPr>
        <w:p w:rsidR="0091167B" w:rsidRDefault="0091167B">
          <w:pPr>
            <w:pStyle w:val="Footer"/>
            <w:jc w:val="right"/>
          </w:pPr>
          <w:r>
            <w:rPr>
              <w:rStyle w:val="PageNumber"/>
            </w:rPr>
            <w:fldChar w:fldCharType="begin"/>
          </w:r>
          <w:r>
            <w:rPr>
              <w:rStyle w:val="PageNumber"/>
            </w:rPr>
            <w:instrText xml:space="preserve">PAGE  </w:instrText>
          </w:r>
          <w:r>
            <w:rPr>
              <w:rStyle w:val="PageNumber"/>
            </w:rPr>
            <w:fldChar w:fldCharType="separate"/>
          </w:r>
          <w:r w:rsidR="000420E7">
            <w:rPr>
              <w:rStyle w:val="PageNumber"/>
              <w:noProof/>
            </w:rPr>
            <w:t>103</w:t>
          </w:r>
          <w:r>
            <w:rPr>
              <w:rStyle w:val="PageNumber"/>
            </w:rPr>
            <w:fldChar w:fldCharType="end"/>
          </w:r>
        </w:p>
      </w:tc>
    </w:tr>
  </w:tbl>
  <w:p w:rsidR="0091167B" w:rsidRDefault="0091167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67B" w:rsidRDefault="0091167B">
      <w:r>
        <w:separator/>
      </w:r>
    </w:p>
  </w:footnote>
  <w:footnote w:type="continuationSeparator" w:id="0">
    <w:p w:rsidR="0091167B" w:rsidRDefault="0091167B">
      <w:r>
        <w:continuationSeparator/>
      </w:r>
    </w:p>
  </w:footnote>
  <w:footnote w:id="1">
    <w:p w:rsidR="0091167B" w:rsidRPr="00DD23E2" w:rsidRDefault="0091167B" w:rsidP="000C1DAC">
      <w:pPr>
        <w:pStyle w:val="FootnoteText"/>
      </w:pPr>
      <w:r>
        <w:rPr>
          <w:rStyle w:val="FootnoteReference"/>
        </w:rPr>
        <w:footnoteRef/>
      </w:r>
      <w:r>
        <w:tab/>
        <w:t xml:space="preserve">Note </w:t>
      </w:r>
      <w:r w:rsidRPr="00DD23E2">
        <w:t>that responses relating to the use of consultants are not directly comparable to reported costs because the question about consultants was not time</w:t>
      </w:r>
      <w:r>
        <w:t>-</w:t>
      </w:r>
      <w:r w:rsidRPr="00DD23E2">
        <w:t>specific, while the cost question related only to 2010-11.</w:t>
      </w:r>
    </w:p>
  </w:footnote>
  <w:footnote w:id="2">
    <w:p w:rsidR="0091167B" w:rsidRDefault="0091167B" w:rsidP="00E443B7">
      <w:pPr>
        <w:pStyle w:val="FootnoteText"/>
      </w:pPr>
      <w:r>
        <w:rPr>
          <w:rStyle w:val="FootnoteReference"/>
        </w:rPr>
        <w:footnoteRef/>
      </w:r>
      <w:r>
        <w:t xml:space="preserve"> </w:t>
      </w:r>
      <w:r>
        <w:tab/>
      </w:r>
      <w:r w:rsidRPr="00934DBA">
        <w:t xml:space="preserve">The role of </w:t>
      </w:r>
      <w:r>
        <w:t>SBAC has recently been expanded to include providing</w:t>
      </w:r>
      <w:r w:rsidRPr="00934DBA">
        <w:t xml:space="preserve"> broad</w:t>
      </w:r>
      <w:r>
        <w:t>er advice to the Government</w:t>
      </w:r>
      <w:r w:rsidRPr="00934DBA">
        <w:t xml:space="preserve"> </w:t>
      </w:r>
      <w:r>
        <w:t>and a</w:t>
      </w:r>
      <w:r w:rsidRPr="00934DBA">
        <w:t>n internal evaluation of the</w:t>
      </w:r>
      <w:r>
        <w:t xml:space="preserve"> future role of</w:t>
      </w:r>
      <w:r w:rsidRPr="00934DBA">
        <w:t xml:space="preserve"> </w:t>
      </w:r>
      <w:r>
        <w:t xml:space="preserve">SBAC is planned. </w:t>
      </w:r>
    </w:p>
  </w:footnote>
  <w:footnote w:id="3">
    <w:p w:rsidR="0091167B" w:rsidRDefault="0091167B">
      <w:pPr>
        <w:pStyle w:val="FootnoteText"/>
      </w:pPr>
      <w:r>
        <w:rPr>
          <w:rStyle w:val="FootnoteReference"/>
        </w:rPr>
        <w:footnoteRef/>
      </w:r>
      <w:r>
        <w:tab/>
        <w:t xml:space="preserve">The </w:t>
      </w:r>
      <w:r w:rsidRPr="007B28A4">
        <w:t>Scrutiny of Acts and Regulations Committee</w:t>
      </w:r>
      <w:r>
        <w:t xml:space="preserve"> verifies that agencies decided appropriately on the need for a RIS for each proposal that proceeded to Parliament. </w:t>
      </w:r>
    </w:p>
  </w:footnote>
  <w:footnote w:id="4">
    <w:p w:rsidR="0091167B" w:rsidRDefault="0091167B" w:rsidP="00056784">
      <w:pPr>
        <w:pStyle w:val="FootnoteText"/>
      </w:pPr>
      <w:r>
        <w:rPr>
          <w:rStyle w:val="FootnoteReference"/>
        </w:rPr>
        <w:footnoteRef/>
      </w:r>
      <w:r>
        <w:tab/>
        <w:t xml:space="preserve">There have been no formal appeals to the Minister on decisions made by Cabinet Office. As at </w:t>
      </w:r>
      <w:r w:rsidRPr="002B0EFE">
        <w:t>1</w:t>
      </w:r>
      <w:r>
        <w:t> </w:t>
      </w:r>
      <w:r w:rsidRPr="002B0EFE">
        <w:t>July</w:t>
      </w:r>
      <w:r>
        <w:t xml:space="preserve"> 2012, the Competitiveness Council no longer exists; a review of the appeal process will be undertaken in the near future (SA Cabinet Office, pers. comm., July 2012).</w:t>
      </w:r>
    </w:p>
  </w:footnote>
  <w:footnote w:id="5">
    <w:p w:rsidR="0091167B" w:rsidRDefault="0091167B" w:rsidP="00855234">
      <w:pPr>
        <w:pStyle w:val="FootnoteText"/>
      </w:pPr>
      <w:r>
        <w:rPr>
          <w:rStyle w:val="FootnoteReference"/>
        </w:rPr>
        <w:footnoteRef/>
      </w:r>
      <w:r>
        <w:tab/>
        <w:t>Recommending disallowance is distinct from a ‘disallowance motion’ which can be made by any member of parliament and leads to a vote on the instrument. When a scrutiny committee recommends disallowance, this will not lead directly to a vote until a disallowance motion has been made.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1167B">
      <w:tc>
        <w:tcPr>
          <w:tcW w:w="2155" w:type="dxa"/>
          <w:tcBorders>
            <w:top w:val="single" w:sz="24" w:space="0" w:color="auto"/>
          </w:tcBorders>
        </w:tcPr>
        <w:p w:rsidR="0091167B" w:rsidRDefault="0091167B" w:rsidP="0019293B">
          <w:pPr>
            <w:pStyle w:val="HeaderEven"/>
          </w:pPr>
        </w:p>
      </w:tc>
      <w:tc>
        <w:tcPr>
          <w:tcW w:w="6634" w:type="dxa"/>
          <w:tcBorders>
            <w:top w:val="single" w:sz="6" w:space="0" w:color="auto"/>
          </w:tcBorders>
        </w:tcPr>
        <w:p w:rsidR="0091167B" w:rsidRDefault="0091167B" w:rsidP="0019293B">
          <w:pPr>
            <w:pStyle w:val="HeaderEven"/>
          </w:pPr>
        </w:p>
      </w:tc>
    </w:tr>
  </w:tbl>
  <w:p w:rsidR="0091167B" w:rsidRDefault="0091167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1167B">
      <w:tc>
        <w:tcPr>
          <w:tcW w:w="6634" w:type="dxa"/>
          <w:tcBorders>
            <w:top w:val="single" w:sz="6" w:space="0" w:color="auto"/>
          </w:tcBorders>
        </w:tcPr>
        <w:p w:rsidR="0091167B" w:rsidRDefault="0091167B" w:rsidP="00E669E2">
          <w:pPr>
            <w:pStyle w:val="HeaderOdd"/>
          </w:pPr>
        </w:p>
      </w:tc>
      <w:tc>
        <w:tcPr>
          <w:tcW w:w="2155" w:type="dxa"/>
          <w:tcBorders>
            <w:top w:val="single" w:sz="24" w:space="0" w:color="auto"/>
          </w:tcBorders>
        </w:tcPr>
        <w:p w:rsidR="0091167B" w:rsidRDefault="0091167B" w:rsidP="00E669E2">
          <w:pPr>
            <w:pStyle w:val="HeaderOdd"/>
          </w:pPr>
        </w:p>
      </w:tc>
    </w:tr>
  </w:tbl>
  <w:p w:rsidR="0091167B" w:rsidRDefault="0091167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FFFFFF88"/>
    <w:multiLevelType w:val="singleLevel"/>
    <w:tmpl w:val="0B5AF1CA"/>
    <w:lvl w:ilvl="0">
      <w:start w:val="1"/>
      <w:numFmt w:val="decimal"/>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4"/>
  </w:num>
  <w:num w:numId="3">
    <w:abstractNumId w:val="14"/>
  </w:num>
  <w:num w:numId="4">
    <w:abstractNumId w:val="2"/>
  </w:num>
  <w:num w:numId="5">
    <w:abstractNumId w:val="10"/>
  </w:num>
  <w:num w:numId="6">
    <w:abstractNumId w:val="3"/>
  </w:num>
  <w:num w:numId="7">
    <w:abstractNumId w:val="13"/>
  </w:num>
  <w:num w:numId="8">
    <w:abstractNumId w:val="12"/>
  </w:num>
  <w:num w:numId="9">
    <w:abstractNumId w:val="15"/>
  </w:num>
  <w:num w:numId="10">
    <w:abstractNumId w:val="7"/>
  </w:num>
  <w:num w:numId="11">
    <w:abstractNumId w:val="11"/>
  </w:num>
  <w:num w:numId="12">
    <w:abstractNumId w:val="6"/>
  </w:num>
  <w:num w:numId="13">
    <w:abstractNumId w:val="5"/>
  </w:num>
  <w:num w:numId="14">
    <w:abstractNumId w:val="8"/>
  </w:num>
  <w:num w:numId="15">
    <w:abstractNumId w:val="10"/>
  </w:num>
  <w:num w:numId="16">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7">
    <w:abstractNumId w:val="0"/>
  </w:num>
  <w:num w:numId="1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stitutions"/>
    <w:docVar w:name="ShortReportTitle" w:val="RIA Benchmarking"/>
  </w:docVars>
  <w:rsids>
    <w:rsidRoot w:val="00317DB6"/>
    <w:rsid w:val="00000E60"/>
    <w:rsid w:val="00000F4C"/>
    <w:rsid w:val="00000F61"/>
    <w:rsid w:val="00002C6C"/>
    <w:rsid w:val="00003B41"/>
    <w:rsid w:val="00003FB3"/>
    <w:rsid w:val="00005FBA"/>
    <w:rsid w:val="00007639"/>
    <w:rsid w:val="000076CF"/>
    <w:rsid w:val="00012717"/>
    <w:rsid w:val="00013104"/>
    <w:rsid w:val="000131ED"/>
    <w:rsid w:val="00022DA1"/>
    <w:rsid w:val="000245AA"/>
    <w:rsid w:val="0002677D"/>
    <w:rsid w:val="00030A7F"/>
    <w:rsid w:val="000327D4"/>
    <w:rsid w:val="00032CA4"/>
    <w:rsid w:val="00033429"/>
    <w:rsid w:val="0003664B"/>
    <w:rsid w:val="00036782"/>
    <w:rsid w:val="00037618"/>
    <w:rsid w:val="00040E5D"/>
    <w:rsid w:val="0004111F"/>
    <w:rsid w:val="000420E7"/>
    <w:rsid w:val="00042EAC"/>
    <w:rsid w:val="00045854"/>
    <w:rsid w:val="00054463"/>
    <w:rsid w:val="00055539"/>
    <w:rsid w:val="000560BE"/>
    <w:rsid w:val="0005652F"/>
    <w:rsid w:val="000565B3"/>
    <w:rsid w:val="00056784"/>
    <w:rsid w:val="00056B97"/>
    <w:rsid w:val="000610DC"/>
    <w:rsid w:val="00062DF6"/>
    <w:rsid w:val="000652AD"/>
    <w:rsid w:val="0006714E"/>
    <w:rsid w:val="00067C3B"/>
    <w:rsid w:val="00070323"/>
    <w:rsid w:val="000706D4"/>
    <w:rsid w:val="00071134"/>
    <w:rsid w:val="0007150B"/>
    <w:rsid w:val="00072B4D"/>
    <w:rsid w:val="00073BFF"/>
    <w:rsid w:val="0008134B"/>
    <w:rsid w:val="00082262"/>
    <w:rsid w:val="00083BEC"/>
    <w:rsid w:val="00084823"/>
    <w:rsid w:val="0008617E"/>
    <w:rsid w:val="00086759"/>
    <w:rsid w:val="000876BE"/>
    <w:rsid w:val="00090603"/>
    <w:rsid w:val="00090AF5"/>
    <w:rsid w:val="000938F5"/>
    <w:rsid w:val="00093F39"/>
    <w:rsid w:val="00094846"/>
    <w:rsid w:val="0009488C"/>
    <w:rsid w:val="000958E8"/>
    <w:rsid w:val="000959A5"/>
    <w:rsid w:val="00095FCB"/>
    <w:rsid w:val="000A1133"/>
    <w:rsid w:val="000A25E9"/>
    <w:rsid w:val="000A2A0B"/>
    <w:rsid w:val="000A797B"/>
    <w:rsid w:val="000B0113"/>
    <w:rsid w:val="000B08F1"/>
    <w:rsid w:val="000B09D3"/>
    <w:rsid w:val="000B36A3"/>
    <w:rsid w:val="000B601B"/>
    <w:rsid w:val="000B710E"/>
    <w:rsid w:val="000C1223"/>
    <w:rsid w:val="000C1DAC"/>
    <w:rsid w:val="000C205F"/>
    <w:rsid w:val="000C207E"/>
    <w:rsid w:val="000C4E98"/>
    <w:rsid w:val="000C4EF8"/>
    <w:rsid w:val="000C606A"/>
    <w:rsid w:val="000C6CEC"/>
    <w:rsid w:val="000C6F80"/>
    <w:rsid w:val="000C75BC"/>
    <w:rsid w:val="000C7868"/>
    <w:rsid w:val="000D00EC"/>
    <w:rsid w:val="000D1618"/>
    <w:rsid w:val="000D1E8A"/>
    <w:rsid w:val="000D36AD"/>
    <w:rsid w:val="000D4989"/>
    <w:rsid w:val="000D7BBC"/>
    <w:rsid w:val="000D7F32"/>
    <w:rsid w:val="000E13B6"/>
    <w:rsid w:val="000E1966"/>
    <w:rsid w:val="000E1A26"/>
    <w:rsid w:val="000E2868"/>
    <w:rsid w:val="000E5EA0"/>
    <w:rsid w:val="000E7994"/>
    <w:rsid w:val="000E7E69"/>
    <w:rsid w:val="000F36B1"/>
    <w:rsid w:val="000F3AA0"/>
    <w:rsid w:val="000F48B1"/>
    <w:rsid w:val="000F4CE6"/>
    <w:rsid w:val="000F4D7F"/>
    <w:rsid w:val="000F6DCE"/>
    <w:rsid w:val="000F6FA3"/>
    <w:rsid w:val="001017C7"/>
    <w:rsid w:val="00101AAB"/>
    <w:rsid w:val="0010315D"/>
    <w:rsid w:val="00103B2E"/>
    <w:rsid w:val="00103B80"/>
    <w:rsid w:val="00104427"/>
    <w:rsid w:val="00104B8C"/>
    <w:rsid w:val="00106DE5"/>
    <w:rsid w:val="00106F7C"/>
    <w:rsid w:val="0010766C"/>
    <w:rsid w:val="00110116"/>
    <w:rsid w:val="0011198B"/>
    <w:rsid w:val="0011458E"/>
    <w:rsid w:val="00115CA1"/>
    <w:rsid w:val="00121EE9"/>
    <w:rsid w:val="001229B8"/>
    <w:rsid w:val="00122AD3"/>
    <w:rsid w:val="0012317A"/>
    <w:rsid w:val="00123DF1"/>
    <w:rsid w:val="00125311"/>
    <w:rsid w:val="00125DE4"/>
    <w:rsid w:val="001262B2"/>
    <w:rsid w:val="00126EB8"/>
    <w:rsid w:val="0013244D"/>
    <w:rsid w:val="00133B38"/>
    <w:rsid w:val="00133C71"/>
    <w:rsid w:val="001363AA"/>
    <w:rsid w:val="001364AA"/>
    <w:rsid w:val="00137FBA"/>
    <w:rsid w:val="00137FC0"/>
    <w:rsid w:val="001427F0"/>
    <w:rsid w:val="00142C4F"/>
    <w:rsid w:val="001441FD"/>
    <w:rsid w:val="00144259"/>
    <w:rsid w:val="00144FE8"/>
    <w:rsid w:val="00145058"/>
    <w:rsid w:val="0014545B"/>
    <w:rsid w:val="00147AFC"/>
    <w:rsid w:val="00155599"/>
    <w:rsid w:val="00157363"/>
    <w:rsid w:val="00161284"/>
    <w:rsid w:val="00163B45"/>
    <w:rsid w:val="00163B5E"/>
    <w:rsid w:val="001657CA"/>
    <w:rsid w:val="00165B30"/>
    <w:rsid w:val="001712DB"/>
    <w:rsid w:val="00171582"/>
    <w:rsid w:val="00171CB9"/>
    <w:rsid w:val="00172095"/>
    <w:rsid w:val="00172EB4"/>
    <w:rsid w:val="00173380"/>
    <w:rsid w:val="00173EB7"/>
    <w:rsid w:val="0017579E"/>
    <w:rsid w:val="0017583E"/>
    <w:rsid w:val="00180D2B"/>
    <w:rsid w:val="00183792"/>
    <w:rsid w:val="00183E82"/>
    <w:rsid w:val="001840C2"/>
    <w:rsid w:val="00185802"/>
    <w:rsid w:val="0019293B"/>
    <w:rsid w:val="00194293"/>
    <w:rsid w:val="00195139"/>
    <w:rsid w:val="001A01BB"/>
    <w:rsid w:val="001A2428"/>
    <w:rsid w:val="001A3FFE"/>
    <w:rsid w:val="001A5AF3"/>
    <w:rsid w:val="001A6B83"/>
    <w:rsid w:val="001A6BD1"/>
    <w:rsid w:val="001B02BE"/>
    <w:rsid w:val="001B0B24"/>
    <w:rsid w:val="001B6247"/>
    <w:rsid w:val="001B6F5F"/>
    <w:rsid w:val="001C0865"/>
    <w:rsid w:val="001C0D3D"/>
    <w:rsid w:val="001C3ABA"/>
    <w:rsid w:val="001C3C9C"/>
    <w:rsid w:val="001C5CB0"/>
    <w:rsid w:val="001C60AC"/>
    <w:rsid w:val="001C66E4"/>
    <w:rsid w:val="001C6BDB"/>
    <w:rsid w:val="001C7809"/>
    <w:rsid w:val="001D06AF"/>
    <w:rsid w:val="001D1206"/>
    <w:rsid w:val="001D32F9"/>
    <w:rsid w:val="001D333A"/>
    <w:rsid w:val="001D5F5A"/>
    <w:rsid w:val="001E0BBD"/>
    <w:rsid w:val="001E1994"/>
    <w:rsid w:val="001E2322"/>
    <w:rsid w:val="001E3AF6"/>
    <w:rsid w:val="001E625A"/>
    <w:rsid w:val="001E6526"/>
    <w:rsid w:val="001E7BE8"/>
    <w:rsid w:val="001E7C44"/>
    <w:rsid w:val="001F0248"/>
    <w:rsid w:val="001F178D"/>
    <w:rsid w:val="001F229A"/>
    <w:rsid w:val="001F33C8"/>
    <w:rsid w:val="001F3EB3"/>
    <w:rsid w:val="001F459C"/>
    <w:rsid w:val="001F6637"/>
    <w:rsid w:val="001F706A"/>
    <w:rsid w:val="001F7CE5"/>
    <w:rsid w:val="0020188B"/>
    <w:rsid w:val="00201A4A"/>
    <w:rsid w:val="00202946"/>
    <w:rsid w:val="00202C2C"/>
    <w:rsid w:val="00204330"/>
    <w:rsid w:val="0020547D"/>
    <w:rsid w:val="00205857"/>
    <w:rsid w:val="00206150"/>
    <w:rsid w:val="00206181"/>
    <w:rsid w:val="00207846"/>
    <w:rsid w:val="00223AEC"/>
    <w:rsid w:val="00223D34"/>
    <w:rsid w:val="00224E1C"/>
    <w:rsid w:val="0022656F"/>
    <w:rsid w:val="002304A9"/>
    <w:rsid w:val="002304B3"/>
    <w:rsid w:val="00232087"/>
    <w:rsid w:val="00234403"/>
    <w:rsid w:val="00237D36"/>
    <w:rsid w:val="00240D15"/>
    <w:rsid w:val="00242210"/>
    <w:rsid w:val="00242279"/>
    <w:rsid w:val="00243521"/>
    <w:rsid w:val="00243897"/>
    <w:rsid w:val="00244077"/>
    <w:rsid w:val="00245C82"/>
    <w:rsid w:val="00250751"/>
    <w:rsid w:val="00250DF9"/>
    <w:rsid w:val="0025209F"/>
    <w:rsid w:val="00252B9D"/>
    <w:rsid w:val="00252C12"/>
    <w:rsid w:val="0025621C"/>
    <w:rsid w:val="00261D38"/>
    <w:rsid w:val="00262265"/>
    <w:rsid w:val="00264ECA"/>
    <w:rsid w:val="0026554D"/>
    <w:rsid w:val="00266925"/>
    <w:rsid w:val="00267842"/>
    <w:rsid w:val="00270131"/>
    <w:rsid w:val="0027094A"/>
    <w:rsid w:val="00271B24"/>
    <w:rsid w:val="00273EB8"/>
    <w:rsid w:val="00276FE2"/>
    <w:rsid w:val="00277181"/>
    <w:rsid w:val="00277599"/>
    <w:rsid w:val="00282E19"/>
    <w:rsid w:val="00285022"/>
    <w:rsid w:val="00285AD0"/>
    <w:rsid w:val="00286008"/>
    <w:rsid w:val="00286B14"/>
    <w:rsid w:val="00286C5D"/>
    <w:rsid w:val="00287B41"/>
    <w:rsid w:val="00290593"/>
    <w:rsid w:val="002919E5"/>
    <w:rsid w:val="00291B40"/>
    <w:rsid w:val="00293271"/>
    <w:rsid w:val="002933DA"/>
    <w:rsid w:val="00295761"/>
    <w:rsid w:val="00296C5D"/>
    <w:rsid w:val="002A2083"/>
    <w:rsid w:val="002A2EDE"/>
    <w:rsid w:val="002A3BF9"/>
    <w:rsid w:val="002A5E26"/>
    <w:rsid w:val="002A7048"/>
    <w:rsid w:val="002B0EFE"/>
    <w:rsid w:val="002B1D7E"/>
    <w:rsid w:val="002B2C2B"/>
    <w:rsid w:val="002B3CB7"/>
    <w:rsid w:val="002B4008"/>
    <w:rsid w:val="002B522F"/>
    <w:rsid w:val="002B586D"/>
    <w:rsid w:val="002B58DC"/>
    <w:rsid w:val="002B6DFB"/>
    <w:rsid w:val="002B6F1B"/>
    <w:rsid w:val="002B7673"/>
    <w:rsid w:val="002C11AE"/>
    <w:rsid w:val="002C25FE"/>
    <w:rsid w:val="002C27A5"/>
    <w:rsid w:val="002D0E8E"/>
    <w:rsid w:val="002D2852"/>
    <w:rsid w:val="002E3234"/>
    <w:rsid w:val="002E7FCE"/>
    <w:rsid w:val="002F04EA"/>
    <w:rsid w:val="002F131F"/>
    <w:rsid w:val="002F1D8F"/>
    <w:rsid w:val="002F2380"/>
    <w:rsid w:val="002F6FE8"/>
    <w:rsid w:val="002F710A"/>
    <w:rsid w:val="002F79EE"/>
    <w:rsid w:val="0030011E"/>
    <w:rsid w:val="00300607"/>
    <w:rsid w:val="00300724"/>
    <w:rsid w:val="00300A7F"/>
    <w:rsid w:val="00301189"/>
    <w:rsid w:val="003018D7"/>
    <w:rsid w:val="003022B1"/>
    <w:rsid w:val="00303E2D"/>
    <w:rsid w:val="0030583B"/>
    <w:rsid w:val="003079E6"/>
    <w:rsid w:val="003108C9"/>
    <w:rsid w:val="0031178A"/>
    <w:rsid w:val="00311B94"/>
    <w:rsid w:val="003145A6"/>
    <w:rsid w:val="003151FA"/>
    <w:rsid w:val="00315E58"/>
    <w:rsid w:val="00317DB6"/>
    <w:rsid w:val="00317FA9"/>
    <w:rsid w:val="00320921"/>
    <w:rsid w:val="0032107C"/>
    <w:rsid w:val="00322C22"/>
    <w:rsid w:val="00322F0D"/>
    <w:rsid w:val="00323E09"/>
    <w:rsid w:val="00324DD4"/>
    <w:rsid w:val="0032585D"/>
    <w:rsid w:val="00326659"/>
    <w:rsid w:val="003266D7"/>
    <w:rsid w:val="00326761"/>
    <w:rsid w:val="00326A13"/>
    <w:rsid w:val="00327100"/>
    <w:rsid w:val="00333932"/>
    <w:rsid w:val="00333CE3"/>
    <w:rsid w:val="003349A8"/>
    <w:rsid w:val="00334BB5"/>
    <w:rsid w:val="00334F9B"/>
    <w:rsid w:val="0033555E"/>
    <w:rsid w:val="003366D4"/>
    <w:rsid w:val="00337220"/>
    <w:rsid w:val="003377AF"/>
    <w:rsid w:val="00337CCD"/>
    <w:rsid w:val="00342266"/>
    <w:rsid w:val="00344489"/>
    <w:rsid w:val="00344D3C"/>
    <w:rsid w:val="003458A9"/>
    <w:rsid w:val="00345BC3"/>
    <w:rsid w:val="00345DA7"/>
    <w:rsid w:val="0035007F"/>
    <w:rsid w:val="00351634"/>
    <w:rsid w:val="003518AA"/>
    <w:rsid w:val="00352165"/>
    <w:rsid w:val="00353182"/>
    <w:rsid w:val="00353A80"/>
    <w:rsid w:val="003565D9"/>
    <w:rsid w:val="0035772B"/>
    <w:rsid w:val="003601B5"/>
    <w:rsid w:val="003602E1"/>
    <w:rsid w:val="0036259A"/>
    <w:rsid w:val="00362C1B"/>
    <w:rsid w:val="00365110"/>
    <w:rsid w:val="00366EFF"/>
    <w:rsid w:val="0037026F"/>
    <w:rsid w:val="0037107C"/>
    <w:rsid w:val="00371240"/>
    <w:rsid w:val="00374731"/>
    <w:rsid w:val="0037739E"/>
    <w:rsid w:val="003802B7"/>
    <w:rsid w:val="00380F36"/>
    <w:rsid w:val="0038171D"/>
    <w:rsid w:val="003846BB"/>
    <w:rsid w:val="003871E5"/>
    <w:rsid w:val="00387FC7"/>
    <w:rsid w:val="003914F8"/>
    <w:rsid w:val="003919F9"/>
    <w:rsid w:val="00391A7C"/>
    <w:rsid w:val="00393160"/>
    <w:rsid w:val="00393D6F"/>
    <w:rsid w:val="003A09F3"/>
    <w:rsid w:val="003A1520"/>
    <w:rsid w:val="003A2AF1"/>
    <w:rsid w:val="003A3C62"/>
    <w:rsid w:val="003A4B08"/>
    <w:rsid w:val="003A5A37"/>
    <w:rsid w:val="003A6AC3"/>
    <w:rsid w:val="003B2635"/>
    <w:rsid w:val="003B36FB"/>
    <w:rsid w:val="003B4B7E"/>
    <w:rsid w:val="003B5CC2"/>
    <w:rsid w:val="003B5ECE"/>
    <w:rsid w:val="003B6F56"/>
    <w:rsid w:val="003B7415"/>
    <w:rsid w:val="003C1154"/>
    <w:rsid w:val="003C38B5"/>
    <w:rsid w:val="003C490D"/>
    <w:rsid w:val="003C5D99"/>
    <w:rsid w:val="003D0A0A"/>
    <w:rsid w:val="003D0CC8"/>
    <w:rsid w:val="003D1465"/>
    <w:rsid w:val="003D3B85"/>
    <w:rsid w:val="003D3F31"/>
    <w:rsid w:val="003E1A86"/>
    <w:rsid w:val="003E238D"/>
    <w:rsid w:val="003E2773"/>
    <w:rsid w:val="003E2D98"/>
    <w:rsid w:val="003F0778"/>
    <w:rsid w:val="003F0789"/>
    <w:rsid w:val="003F286C"/>
    <w:rsid w:val="003F405E"/>
    <w:rsid w:val="003F5233"/>
    <w:rsid w:val="003F5242"/>
    <w:rsid w:val="003F5BA4"/>
    <w:rsid w:val="003F6865"/>
    <w:rsid w:val="003F6B6E"/>
    <w:rsid w:val="003F7B58"/>
    <w:rsid w:val="0040073B"/>
    <w:rsid w:val="00401882"/>
    <w:rsid w:val="00403219"/>
    <w:rsid w:val="004044AC"/>
    <w:rsid w:val="004100C8"/>
    <w:rsid w:val="00410811"/>
    <w:rsid w:val="00412ACE"/>
    <w:rsid w:val="004136E9"/>
    <w:rsid w:val="0041610A"/>
    <w:rsid w:val="00423E76"/>
    <w:rsid w:val="00424973"/>
    <w:rsid w:val="00425375"/>
    <w:rsid w:val="004258CF"/>
    <w:rsid w:val="004260EE"/>
    <w:rsid w:val="00427A65"/>
    <w:rsid w:val="00427D7E"/>
    <w:rsid w:val="00431249"/>
    <w:rsid w:val="0043293C"/>
    <w:rsid w:val="00433062"/>
    <w:rsid w:val="004343EE"/>
    <w:rsid w:val="00434C19"/>
    <w:rsid w:val="00435ABC"/>
    <w:rsid w:val="004373FB"/>
    <w:rsid w:val="00441931"/>
    <w:rsid w:val="00445EAB"/>
    <w:rsid w:val="00446DDB"/>
    <w:rsid w:val="00447C55"/>
    <w:rsid w:val="004507A7"/>
    <w:rsid w:val="00450810"/>
    <w:rsid w:val="00451452"/>
    <w:rsid w:val="00452FB4"/>
    <w:rsid w:val="00453BF8"/>
    <w:rsid w:val="004541AD"/>
    <w:rsid w:val="00454269"/>
    <w:rsid w:val="00454A67"/>
    <w:rsid w:val="00456D6F"/>
    <w:rsid w:val="00457E18"/>
    <w:rsid w:val="00461FB8"/>
    <w:rsid w:val="00463D4D"/>
    <w:rsid w:val="00467051"/>
    <w:rsid w:val="00467E8B"/>
    <w:rsid w:val="004701F3"/>
    <w:rsid w:val="00471768"/>
    <w:rsid w:val="004741D9"/>
    <w:rsid w:val="004745BC"/>
    <w:rsid w:val="00474C00"/>
    <w:rsid w:val="0047622A"/>
    <w:rsid w:val="0047665F"/>
    <w:rsid w:val="00477144"/>
    <w:rsid w:val="0047754D"/>
    <w:rsid w:val="00477FA4"/>
    <w:rsid w:val="00481388"/>
    <w:rsid w:val="00481E75"/>
    <w:rsid w:val="00482581"/>
    <w:rsid w:val="00482E78"/>
    <w:rsid w:val="00484859"/>
    <w:rsid w:val="00486EDA"/>
    <w:rsid w:val="0049153B"/>
    <w:rsid w:val="004922A9"/>
    <w:rsid w:val="004923F8"/>
    <w:rsid w:val="0049459F"/>
    <w:rsid w:val="004A0CA0"/>
    <w:rsid w:val="004A23C5"/>
    <w:rsid w:val="004A38DD"/>
    <w:rsid w:val="004A7E0D"/>
    <w:rsid w:val="004B261D"/>
    <w:rsid w:val="004B43AE"/>
    <w:rsid w:val="004B5216"/>
    <w:rsid w:val="004B72A6"/>
    <w:rsid w:val="004B741C"/>
    <w:rsid w:val="004C30ED"/>
    <w:rsid w:val="004C3859"/>
    <w:rsid w:val="004C770D"/>
    <w:rsid w:val="004D1381"/>
    <w:rsid w:val="004D1EE6"/>
    <w:rsid w:val="004D1EF0"/>
    <w:rsid w:val="004D33E9"/>
    <w:rsid w:val="004D4172"/>
    <w:rsid w:val="004D4900"/>
    <w:rsid w:val="004D5675"/>
    <w:rsid w:val="004E36C6"/>
    <w:rsid w:val="004E4B1E"/>
    <w:rsid w:val="004E512F"/>
    <w:rsid w:val="004E5A71"/>
    <w:rsid w:val="004E6824"/>
    <w:rsid w:val="004E6E56"/>
    <w:rsid w:val="004F25D7"/>
    <w:rsid w:val="004F2E07"/>
    <w:rsid w:val="004F4BED"/>
    <w:rsid w:val="004F5955"/>
    <w:rsid w:val="00501C01"/>
    <w:rsid w:val="00503F23"/>
    <w:rsid w:val="00504A70"/>
    <w:rsid w:val="005057FD"/>
    <w:rsid w:val="00505C9D"/>
    <w:rsid w:val="00507F2C"/>
    <w:rsid w:val="00510533"/>
    <w:rsid w:val="0051098E"/>
    <w:rsid w:val="00510E17"/>
    <w:rsid w:val="00513678"/>
    <w:rsid w:val="0051741C"/>
    <w:rsid w:val="005203D3"/>
    <w:rsid w:val="00520E47"/>
    <w:rsid w:val="00522EB1"/>
    <w:rsid w:val="0052334C"/>
    <w:rsid w:val="00523639"/>
    <w:rsid w:val="005244AE"/>
    <w:rsid w:val="00526E5C"/>
    <w:rsid w:val="00530A53"/>
    <w:rsid w:val="0053509C"/>
    <w:rsid w:val="00541BB5"/>
    <w:rsid w:val="005426C6"/>
    <w:rsid w:val="005430D1"/>
    <w:rsid w:val="00544697"/>
    <w:rsid w:val="00544C57"/>
    <w:rsid w:val="00546326"/>
    <w:rsid w:val="00552049"/>
    <w:rsid w:val="00554401"/>
    <w:rsid w:val="005555F3"/>
    <w:rsid w:val="00555E32"/>
    <w:rsid w:val="0055637E"/>
    <w:rsid w:val="0056046B"/>
    <w:rsid w:val="005626A4"/>
    <w:rsid w:val="00562BC2"/>
    <w:rsid w:val="00564593"/>
    <w:rsid w:val="0057237F"/>
    <w:rsid w:val="00572E71"/>
    <w:rsid w:val="00573A00"/>
    <w:rsid w:val="005750C7"/>
    <w:rsid w:val="005759DB"/>
    <w:rsid w:val="00576C00"/>
    <w:rsid w:val="00577AC7"/>
    <w:rsid w:val="00577C5B"/>
    <w:rsid w:val="00580ADA"/>
    <w:rsid w:val="00581093"/>
    <w:rsid w:val="00583C39"/>
    <w:rsid w:val="0058429F"/>
    <w:rsid w:val="00586143"/>
    <w:rsid w:val="005870B3"/>
    <w:rsid w:val="005909CF"/>
    <w:rsid w:val="00591E71"/>
    <w:rsid w:val="005929B8"/>
    <w:rsid w:val="00593BB8"/>
    <w:rsid w:val="00594AE0"/>
    <w:rsid w:val="0059504A"/>
    <w:rsid w:val="00595D80"/>
    <w:rsid w:val="00597D19"/>
    <w:rsid w:val="005A0D41"/>
    <w:rsid w:val="005A21F3"/>
    <w:rsid w:val="005A4C74"/>
    <w:rsid w:val="005B1D5B"/>
    <w:rsid w:val="005B3011"/>
    <w:rsid w:val="005B3A53"/>
    <w:rsid w:val="005C07A7"/>
    <w:rsid w:val="005C1212"/>
    <w:rsid w:val="005C1F5D"/>
    <w:rsid w:val="005C1FB7"/>
    <w:rsid w:val="005C2DA5"/>
    <w:rsid w:val="005C305A"/>
    <w:rsid w:val="005C306C"/>
    <w:rsid w:val="005C3274"/>
    <w:rsid w:val="005C5A9D"/>
    <w:rsid w:val="005C618E"/>
    <w:rsid w:val="005C7279"/>
    <w:rsid w:val="005D73FE"/>
    <w:rsid w:val="005E06CE"/>
    <w:rsid w:val="005E0BC8"/>
    <w:rsid w:val="005E3346"/>
    <w:rsid w:val="005E4E98"/>
    <w:rsid w:val="005E754F"/>
    <w:rsid w:val="005E7675"/>
    <w:rsid w:val="005E7A7B"/>
    <w:rsid w:val="005F05ED"/>
    <w:rsid w:val="005F0FE2"/>
    <w:rsid w:val="005F1BC8"/>
    <w:rsid w:val="005F3604"/>
    <w:rsid w:val="005F3B47"/>
    <w:rsid w:val="005F5B06"/>
    <w:rsid w:val="005F5BAC"/>
    <w:rsid w:val="005F79D2"/>
    <w:rsid w:val="005F7E38"/>
    <w:rsid w:val="00600515"/>
    <w:rsid w:val="00601D3E"/>
    <w:rsid w:val="00603BE3"/>
    <w:rsid w:val="00604821"/>
    <w:rsid w:val="00606675"/>
    <w:rsid w:val="00606A1D"/>
    <w:rsid w:val="006074EF"/>
    <w:rsid w:val="00607BF1"/>
    <w:rsid w:val="00607CD7"/>
    <w:rsid w:val="0061283C"/>
    <w:rsid w:val="0061480B"/>
    <w:rsid w:val="00614C3A"/>
    <w:rsid w:val="00614D9B"/>
    <w:rsid w:val="00617F24"/>
    <w:rsid w:val="00621835"/>
    <w:rsid w:val="00622EDE"/>
    <w:rsid w:val="00623C3A"/>
    <w:rsid w:val="0062592A"/>
    <w:rsid w:val="00625F14"/>
    <w:rsid w:val="006262A6"/>
    <w:rsid w:val="0062640C"/>
    <w:rsid w:val="00626D96"/>
    <w:rsid w:val="00627519"/>
    <w:rsid w:val="00630C96"/>
    <w:rsid w:val="00630D4D"/>
    <w:rsid w:val="00630E6C"/>
    <w:rsid w:val="0063124D"/>
    <w:rsid w:val="00631ECE"/>
    <w:rsid w:val="006325D8"/>
    <w:rsid w:val="00632A74"/>
    <w:rsid w:val="006330D9"/>
    <w:rsid w:val="006336D9"/>
    <w:rsid w:val="00637996"/>
    <w:rsid w:val="006415CF"/>
    <w:rsid w:val="006415D4"/>
    <w:rsid w:val="006463D3"/>
    <w:rsid w:val="0064710E"/>
    <w:rsid w:val="00650E16"/>
    <w:rsid w:val="006544B1"/>
    <w:rsid w:val="00656978"/>
    <w:rsid w:val="00661B3D"/>
    <w:rsid w:val="00662514"/>
    <w:rsid w:val="00663312"/>
    <w:rsid w:val="00664870"/>
    <w:rsid w:val="006664D5"/>
    <w:rsid w:val="0067621D"/>
    <w:rsid w:val="00676805"/>
    <w:rsid w:val="00676AA8"/>
    <w:rsid w:val="00683141"/>
    <w:rsid w:val="00685F64"/>
    <w:rsid w:val="00686481"/>
    <w:rsid w:val="00686A24"/>
    <w:rsid w:val="00687509"/>
    <w:rsid w:val="00690F6E"/>
    <w:rsid w:val="00692260"/>
    <w:rsid w:val="00692919"/>
    <w:rsid w:val="006971B8"/>
    <w:rsid w:val="006A0BB2"/>
    <w:rsid w:val="006A11ED"/>
    <w:rsid w:val="006A4655"/>
    <w:rsid w:val="006A4701"/>
    <w:rsid w:val="006A4A49"/>
    <w:rsid w:val="006A673F"/>
    <w:rsid w:val="006A67E2"/>
    <w:rsid w:val="006B2B3C"/>
    <w:rsid w:val="006B2C37"/>
    <w:rsid w:val="006B3AAF"/>
    <w:rsid w:val="006C1410"/>
    <w:rsid w:val="006C45A0"/>
    <w:rsid w:val="006C4C42"/>
    <w:rsid w:val="006C4C81"/>
    <w:rsid w:val="006C7038"/>
    <w:rsid w:val="006C78D1"/>
    <w:rsid w:val="006D0866"/>
    <w:rsid w:val="006D161D"/>
    <w:rsid w:val="006D1F5B"/>
    <w:rsid w:val="006D28BF"/>
    <w:rsid w:val="006D3810"/>
    <w:rsid w:val="006D6348"/>
    <w:rsid w:val="006D7B63"/>
    <w:rsid w:val="006D7C58"/>
    <w:rsid w:val="006E01E0"/>
    <w:rsid w:val="006E5D21"/>
    <w:rsid w:val="006E73EF"/>
    <w:rsid w:val="006E7AF4"/>
    <w:rsid w:val="006F24E2"/>
    <w:rsid w:val="006F2899"/>
    <w:rsid w:val="006F3867"/>
    <w:rsid w:val="006F4454"/>
    <w:rsid w:val="006F5800"/>
    <w:rsid w:val="006F6C0E"/>
    <w:rsid w:val="00701B5A"/>
    <w:rsid w:val="00702178"/>
    <w:rsid w:val="00702C9A"/>
    <w:rsid w:val="00703959"/>
    <w:rsid w:val="00703F92"/>
    <w:rsid w:val="007040E8"/>
    <w:rsid w:val="0070518E"/>
    <w:rsid w:val="007058B6"/>
    <w:rsid w:val="00705B98"/>
    <w:rsid w:val="00705DE4"/>
    <w:rsid w:val="0070663D"/>
    <w:rsid w:val="00706814"/>
    <w:rsid w:val="007143D7"/>
    <w:rsid w:val="00714D4D"/>
    <w:rsid w:val="0071559E"/>
    <w:rsid w:val="00716687"/>
    <w:rsid w:val="007220D1"/>
    <w:rsid w:val="007242E5"/>
    <w:rsid w:val="00724B6C"/>
    <w:rsid w:val="00725508"/>
    <w:rsid w:val="00725DC9"/>
    <w:rsid w:val="0072610C"/>
    <w:rsid w:val="00730315"/>
    <w:rsid w:val="007305D4"/>
    <w:rsid w:val="00734183"/>
    <w:rsid w:val="00735962"/>
    <w:rsid w:val="00740516"/>
    <w:rsid w:val="007410D7"/>
    <w:rsid w:val="00741AB8"/>
    <w:rsid w:val="007421E3"/>
    <w:rsid w:val="007436EB"/>
    <w:rsid w:val="0074416C"/>
    <w:rsid w:val="007465AC"/>
    <w:rsid w:val="00747589"/>
    <w:rsid w:val="007510A1"/>
    <w:rsid w:val="007511F7"/>
    <w:rsid w:val="00751BF9"/>
    <w:rsid w:val="0075326D"/>
    <w:rsid w:val="0075347B"/>
    <w:rsid w:val="00753E0B"/>
    <w:rsid w:val="007545A2"/>
    <w:rsid w:val="007604BB"/>
    <w:rsid w:val="00760597"/>
    <w:rsid w:val="00761060"/>
    <w:rsid w:val="0076260F"/>
    <w:rsid w:val="00762F4D"/>
    <w:rsid w:val="0076315E"/>
    <w:rsid w:val="00764E10"/>
    <w:rsid w:val="007651BB"/>
    <w:rsid w:val="00765E9D"/>
    <w:rsid w:val="007670B7"/>
    <w:rsid w:val="0076765B"/>
    <w:rsid w:val="007717EF"/>
    <w:rsid w:val="00771936"/>
    <w:rsid w:val="00771CC0"/>
    <w:rsid w:val="007757F9"/>
    <w:rsid w:val="00775CE8"/>
    <w:rsid w:val="00777E60"/>
    <w:rsid w:val="00780750"/>
    <w:rsid w:val="0078218E"/>
    <w:rsid w:val="00783AA6"/>
    <w:rsid w:val="0078478D"/>
    <w:rsid w:val="00785232"/>
    <w:rsid w:val="00793465"/>
    <w:rsid w:val="00793961"/>
    <w:rsid w:val="00795F44"/>
    <w:rsid w:val="00797A88"/>
    <w:rsid w:val="007A21EB"/>
    <w:rsid w:val="007A4FBA"/>
    <w:rsid w:val="007A69D7"/>
    <w:rsid w:val="007A6C9A"/>
    <w:rsid w:val="007A6ED1"/>
    <w:rsid w:val="007B0D1F"/>
    <w:rsid w:val="007B28A4"/>
    <w:rsid w:val="007B4A02"/>
    <w:rsid w:val="007C10F6"/>
    <w:rsid w:val="007C1C00"/>
    <w:rsid w:val="007C36C9"/>
    <w:rsid w:val="007C44D1"/>
    <w:rsid w:val="007D0AB1"/>
    <w:rsid w:val="007D4414"/>
    <w:rsid w:val="007D4657"/>
    <w:rsid w:val="007E01E4"/>
    <w:rsid w:val="007E070B"/>
    <w:rsid w:val="007F26D3"/>
    <w:rsid w:val="007F3404"/>
    <w:rsid w:val="007F55BB"/>
    <w:rsid w:val="007F7107"/>
    <w:rsid w:val="007F75C3"/>
    <w:rsid w:val="00800B56"/>
    <w:rsid w:val="00801405"/>
    <w:rsid w:val="008014B7"/>
    <w:rsid w:val="0080160D"/>
    <w:rsid w:val="00801B70"/>
    <w:rsid w:val="00803822"/>
    <w:rsid w:val="00805AD6"/>
    <w:rsid w:val="00806068"/>
    <w:rsid w:val="0080648B"/>
    <w:rsid w:val="0080740B"/>
    <w:rsid w:val="00810175"/>
    <w:rsid w:val="0081030F"/>
    <w:rsid w:val="00810BCD"/>
    <w:rsid w:val="008110E5"/>
    <w:rsid w:val="008114EA"/>
    <w:rsid w:val="008148BE"/>
    <w:rsid w:val="00816723"/>
    <w:rsid w:val="00816DFA"/>
    <w:rsid w:val="00816F16"/>
    <w:rsid w:val="0082087D"/>
    <w:rsid w:val="008215BF"/>
    <w:rsid w:val="00823B00"/>
    <w:rsid w:val="0082404C"/>
    <w:rsid w:val="00825974"/>
    <w:rsid w:val="0082739F"/>
    <w:rsid w:val="00830867"/>
    <w:rsid w:val="00831A4F"/>
    <w:rsid w:val="00833FA7"/>
    <w:rsid w:val="00836AC0"/>
    <w:rsid w:val="00836BC8"/>
    <w:rsid w:val="00842933"/>
    <w:rsid w:val="00842AF7"/>
    <w:rsid w:val="008462BF"/>
    <w:rsid w:val="00846D22"/>
    <w:rsid w:val="00852836"/>
    <w:rsid w:val="00852A2D"/>
    <w:rsid w:val="00853CD4"/>
    <w:rsid w:val="00853D99"/>
    <w:rsid w:val="00855234"/>
    <w:rsid w:val="00855A61"/>
    <w:rsid w:val="0085753F"/>
    <w:rsid w:val="0086082C"/>
    <w:rsid w:val="008627E6"/>
    <w:rsid w:val="008636AE"/>
    <w:rsid w:val="00863734"/>
    <w:rsid w:val="00864ADC"/>
    <w:rsid w:val="00865BC3"/>
    <w:rsid w:val="00866C16"/>
    <w:rsid w:val="0086788F"/>
    <w:rsid w:val="00870FC3"/>
    <w:rsid w:val="008730F9"/>
    <w:rsid w:val="00873D41"/>
    <w:rsid w:val="00873EBD"/>
    <w:rsid w:val="008743D7"/>
    <w:rsid w:val="00874458"/>
    <w:rsid w:val="0087456F"/>
    <w:rsid w:val="008755A3"/>
    <w:rsid w:val="00876543"/>
    <w:rsid w:val="00880153"/>
    <w:rsid w:val="00880A5F"/>
    <w:rsid w:val="00880E0A"/>
    <w:rsid w:val="00880F97"/>
    <w:rsid w:val="0088133A"/>
    <w:rsid w:val="00881DF0"/>
    <w:rsid w:val="008821BD"/>
    <w:rsid w:val="00882BEA"/>
    <w:rsid w:val="00885B20"/>
    <w:rsid w:val="00886331"/>
    <w:rsid w:val="008906D9"/>
    <w:rsid w:val="0089285E"/>
    <w:rsid w:val="0089436C"/>
    <w:rsid w:val="008A11EF"/>
    <w:rsid w:val="008A155C"/>
    <w:rsid w:val="008A3438"/>
    <w:rsid w:val="008A41CA"/>
    <w:rsid w:val="008A5869"/>
    <w:rsid w:val="008B1075"/>
    <w:rsid w:val="008B1D5F"/>
    <w:rsid w:val="008B3D27"/>
    <w:rsid w:val="008B68F5"/>
    <w:rsid w:val="008B6C3F"/>
    <w:rsid w:val="008C01F7"/>
    <w:rsid w:val="008C1D4B"/>
    <w:rsid w:val="008C2F7C"/>
    <w:rsid w:val="008C4157"/>
    <w:rsid w:val="008C6C3B"/>
    <w:rsid w:val="008D31E5"/>
    <w:rsid w:val="008D3356"/>
    <w:rsid w:val="008D365C"/>
    <w:rsid w:val="008D3FBD"/>
    <w:rsid w:val="008D6959"/>
    <w:rsid w:val="008E316E"/>
    <w:rsid w:val="008E3598"/>
    <w:rsid w:val="008E432F"/>
    <w:rsid w:val="008F0C41"/>
    <w:rsid w:val="008F3485"/>
    <w:rsid w:val="008F614B"/>
    <w:rsid w:val="00900557"/>
    <w:rsid w:val="009022C4"/>
    <w:rsid w:val="009030BF"/>
    <w:rsid w:val="00904182"/>
    <w:rsid w:val="00906396"/>
    <w:rsid w:val="009063CC"/>
    <w:rsid w:val="00906A75"/>
    <w:rsid w:val="00906E78"/>
    <w:rsid w:val="00907B45"/>
    <w:rsid w:val="009103C1"/>
    <w:rsid w:val="00910F80"/>
    <w:rsid w:val="00911605"/>
    <w:rsid w:val="0091167B"/>
    <w:rsid w:val="009117E2"/>
    <w:rsid w:val="00913508"/>
    <w:rsid w:val="009137DD"/>
    <w:rsid w:val="00913BE0"/>
    <w:rsid w:val="0091425F"/>
    <w:rsid w:val="00914368"/>
    <w:rsid w:val="00914B4B"/>
    <w:rsid w:val="00914ED6"/>
    <w:rsid w:val="00915891"/>
    <w:rsid w:val="00917AF2"/>
    <w:rsid w:val="00920377"/>
    <w:rsid w:val="00923F33"/>
    <w:rsid w:val="009240C2"/>
    <w:rsid w:val="00926C5C"/>
    <w:rsid w:val="00931076"/>
    <w:rsid w:val="009325EA"/>
    <w:rsid w:val="009345D9"/>
    <w:rsid w:val="00934B15"/>
    <w:rsid w:val="00934DBA"/>
    <w:rsid w:val="0093742E"/>
    <w:rsid w:val="0094250A"/>
    <w:rsid w:val="00942B62"/>
    <w:rsid w:val="00950080"/>
    <w:rsid w:val="0095042E"/>
    <w:rsid w:val="009514F6"/>
    <w:rsid w:val="00952707"/>
    <w:rsid w:val="009530D4"/>
    <w:rsid w:val="009546AF"/>
    <w:rsid w:val="00956A0C"/>
    <w:rsid w:val="00956BD9"/>
    <w:rsid w:val="009572CD"/>
    <w:rsid w:val="00957AF0"/>
    <w:rsid w:val="00962375"/>
    <w:rsid w:val="00962433"/>
    <w:rsid w:val="00962489"/>
    <w:rsid w:val="00964F59"/>
    <w:rsid w:val="00971DEF"/>
    <w:rsid w:val="00974B39"/>
    <w:rsid w:val="009779E7"/>
    <w:rsid w:val="00977D8B"/>
    <w:rsid w:val="0098009A"/>
    <w:rsid w:val="00980592"/>
    <w:rsid w:val="00980B57"/>
    <w:rsid w:val="00984242"/>
    <w:rsid w:val="00984DBD"/>
    <w:rsid w:val="00990C2C"/>
    <w:rsid w:val="00991AF7"/>
    <w:rsid w:val="009920F9"/>
    <w:rsid w:val="00994D8A"/>
    <w:rsid w:val="0099613C"/>
    <w:rsid w:val="0099614E"/>
    <w:rsid w:val="009964EB"/>
    <w:rsid w:val="009A5EAF"/>
    <w:rsid w:val="009A6066"/>
    <w:rsid w:val="009A6594"/>
    <w:rsid w:val="009B362E"/>
    <w:rsid w:val="009B4C12"/>
    <w:rsid w:val="009B7FC2"/>
    <w:rsid w:val="009C3B6A"/>
    <w:rsid w:val="009C6096"/>
    <w:rsid w:val="009C64D0"/>
    <w:rsid w:val="009C6C6B"/>
    <w:rsid w:val="009D0990"/>
    <w:rsid w:val="009D1248"/>
    <w:rsid w:val="009D43AA"/>
    <w:rsid w:val="009D75EB"/>
    <w:rsid w:val="009D7FE4"/>
    <w:rsid w:val="009E0398"/>
    <w:rsid w:val="009E39D1"/>
    <w:rsid w:val="009E46AE"/>
    <w:rsid w:val="009E5964"/>
    <w:rsid w:val="009F106D"/>
    <w:rsid w:val="009F142E"/>
    <w:rsid w:val="009F2B3E"/>
    <w:rsid w:val="009F43E3"/>
    <w:rsid w:val="009F4D5C"/>
    <w:rsid w:val="009F5038"/>
    <w:rsid w:val="009F514A"/>
    <w:rsid w:val="009F5209"/>
    <w:rsid w:val="009F5525"/>
    <w:rsid w:val="009F68E4"/>
    <w:rsid w:val="009F696D"/>
    <w:rsid w:val="009F6BC6"/>
    <w:rsid w:val="009F78F9"/>
    <w:rsid w:val="00A03D71"/>
    <w:rsid w:val="00A03F71"/>
    <w:rsid w:val="00A06683"/>
    <w:rsid w:val="00A0677E"/>
    <w:rsid w:val="00A070E1"/>
    <w:rsid w:val="00A10411"/>
    <w:rsid w:val="00A11B09"/>
    <w:rsid w:val="00A11BB7"/>
    <w:rsid w:val="00A14C2E"/>
    <w:rsid w:val="00A15089"/>
    <w:rsid w:val="00A15D58"/>
    <w:rsid w:val="00A165AD"/>
    <w:rsid w:val="00A1701C"/>
    <w:rsid w:val="00A17328"/>
    <w:rsid w:val="00A17E3B"/>
    <w:rsid w:val="00A22942"/>
    <w:rsid w:val="00A22D80"/>
    <w:rsid w:val="00A23A20"/>
    <w:rsid w:val="00A23B0F"/>
    <w:rsid w:val="00A23BFC"/>
    <w:rsid w:val="00A2454D"/>
    <w:rsid w:val="00A249CD"/>
    <w:rsid w:val="00A268B9"/>
    <w:rsid w:val="00A26909"/>
    <w:rsid w:val="00A2703A"/>
    <w:rsid w:val="00A27D69"/>
    <w:rsid w:val="00A30F5B"/>
    <w:rsid w:val="00A3155C"/>
    <w:rsid w:val="00A321DC"/>
    <w:rsid w:val="00A33D0E"/>
    <w:rsid w:val="00A33DFF"/>
    <w:rsid w:val="00A33FDA"/>
    <w:rsid w:val="00A34ACE"/>
    <w:rsid w:val="00A34DC9"/>
    <w:rsid w:val="00A35115"/>
    <w:rsid w:val="00A36A7E"/>
    <w:rsid w:val="00A372BE"/>
    <w:rsid w:val="00A41D0B"/>
    <w:rsid w:val="00A45842"/>
    <w:rsid w:val="00A46993"/>
    <w:rsid w:val="00A515C3"/>
    <w:rsid w:val="00A516E1"/>
    <w:rsid w:val="00A5184C"/>
    <w:rsid w:val="00A53C49"/>
    <w:rsid w:val="00A54427"/>
    <w:rsid w:val="00A554AB"/>
    <w:rsid w:val="00A57133"/>
    <w:rsid w:val="00A573BF"/>
    <w:rsid w:val="00A63030"/>
    <w:rsid w:val="00A63BD9"/>
    <w:rsid w:val="00A63EB6"/>
    <w:rsid w:val="00A66616"/>
    <w:rsid w:val="00A67517"/>
    <w:rsid w:val="00A67DDA"/>
    <w:rsid w:val="00A70439"/>
    <w:rsid w:val="00A7443E"/>
    <w:rsid w:val="00A75A4B"/>
    <w:rsid w:val="00A7709B"/>
    <w:rsid w:val="00A77DEB"/>
    <w:rsid w:val="00A80419"/>
    <w:rsid w:val="00A807F1"/>
    <w:rsid w:val="00A859B6"/>
    <w:rsid w:val="00A91B2B"/>
    <w:rsid w:val="00A92B53"/>
    <w:rsid w:val="00A94FA6"/>
    <w:rsid w:val="00A95817"/>
    <w:rsid w:val="00A95BCA"/>
    <w:rsid w:val="00A970A6"/>
    <w:rsid w:val="00A977E3"/>
    <w:rsid w:val="00A97D42"/>
    <w:rsid w:val="00AA1407"/>
    <w:rsid w:val="00AA2C52"/>
    <w:rsid w:val="00AA33AE"/>
    <w:rsid w:val="00AA3F4F"/>
    <w:rsid w:val="00AA46D6"/>
    <w:rsid w:val="00AA49A0"/>
    <w:rsid w:val="00AA642D"/>
    <w:rsid w:val="00AA6710"/>
    <w:rsid w:val="00AB0681"/>
    <w:rsid w:val="00AB1592"/>
    <w:rsid w:val="00AB44C1"/>
    <w:rsid w:val="00AB6F48"/>
    <w:rsid w:val="00AC174B"/>
    <w:rsid w:val="00AC240E"/>
    <w:rsid w:val="00AC33F6"/>
    <w:rsid w:val="00AC340F"/>
    <w:rsid w:val="00AC45A2"/>
    <w:rsid w:val="00AC4824"/>
    <w:rsid w:val="00AC49A6"/>
    <w:rsid w:val="00AC5559"/>
    <w:rsid w:val="00AD0301"/>
    <w:rsid w:val="00AD1C30"/>
    <w:rsid w:val="00AD2391"/>
    <w:rsid w:val="00AD3E67"/>
    <w:rsid w:val="00AD42E4"/>
    <w:rsid w:val="00AD44A1"/>
    <w:rsid w:val="00AD54C6"/>
    <w:rsid w:val="00AD639A"/>
    <w:rsid w:val="00AE024D"/>
    <w:rsid w:val="00AE0A26"/>
    <w:rsid w:val="00AE0CDF"/>
    <w:rsid w:val="00AE2FA2"/>
    <w:rsid w:val="00AE634B"/>
    <w:rsid w:val="00AF1347"/>
    <w:rsid w:val="00AF1D8E"/>
    <w:rsid w:val="00AF27A2"/>
    <w:rsid w:val="00AF391A"/>
    <w:rsid w:val="00AF49DA"/>
    <w:rsid w:val="00AF4E2B"/>
    <w:rsid w:val="00AF5E1D"/>
    <w:rsid w:val="00AF6EEA"/>
    <w:rsid w:val="00AF75D8"/>
    <w:rsid w:val="00B052D4"/>
    <w:rsid w:val="00B05D83"/>
    <w:rsid w:val="00B07AB9"/>
    <w:rsid w:val="00B11F09"/>
    <w:rsid w:val="00B12C41"/>
    <w:rsid w:val="00B20299"/>
    <w:rsid w:val="00B21A57"/>
    <w:rsid w:val="00B21B7F"/>
    <w:rsid w:val="00B258BC"/>
    <w:rsid w:val="00B25A7C"/>
    <w:rsid w:val="00B31AA8"/>
    <w:rsid w:val="00B33D41"/>
    <w:rsid w:val="00B341C2"/>
    <w:rsid w:val="00B35691"/>
    <w:rsid w:val="00B36395"/>
    <w:rsid w:val="00B3672D"/>
    <w:rsid w:val="00B4004F"/>
    <w:rsid w:val="00B40596"/>
    <w:rsid w:val="00B43804"/>
    <w:rsid w:val="00B43E03"/>
    <w:rsid w:val="00B440AD"/>
    <w:rsid w:val="00B44435"/>
    <w:rsid w:val="00B450AA"/>
    <w:rsid w:val="00B45EC5"/>
    <w:rsid w:val="00B46550"/>
    <w:rsid w:val="00B46DF6"/>
    <w:rsid w:val="00B4728B"/>
    <w:rsid w:val="00B504C6"/>
    <w:rsid w:val="00B5083E"/>
    <w:rsid w:val="00B52A28"/>
    <w:rsid w:val="00B52FF0"/>
    <w:rsid w:val="00B53E7E"/>
    <w:rsid w:val="00B61693"/>
    <w:rsid w:val="00B61C45"/>
    <w:rsid w:val="00B6325A"/>
    <w:rsid w:val="00B6342E"/>
    <w:rsid w:val="00B653F6"/>
    <w:rsid w:val="00B67956"/>
    <w:rsid w:val="00B701CA"/>
    <w:rsid w:val="00B7036C"/>
    <w:rsid w:val="00B70B84"/>
    <w:rsid w:val="00B7113F"/>
    <w:rsid w:val="00B722D3"/>
    <w:rsid w:val="00B73583"/>
    <w:rsid w:val="00B73C8F"/>
    <w:rsid w:val="00B76006"/>
    <w:rsid w:val="00B76412"/>
    <w:rsid w:val="00B77935"/>
    <w:rsid w:val="00B77DB1"/>
    <w:rsid w:val="00B800EA"/>
    <w:rsid w:val="00B808C1"/>
    <w:rsid w:val="00B83541"/>
    <w:rsid w:val="00B84312"/>
    <w:rsid w:val="00B93C61"/>
    <w:rsid w:val="00B940AE"/>
    <w:rsid w:val="00B9468D"/>
    <w:rsid w:val="00B95FD2"/>
    <w:rsid w:val="00B9660F"/>
    <w:rsid w:val="00B96D86"/>
    <w:rsid w:val="00BA27AA"/>
    <w:rsid w:val="00BA335E"/>
    <w:rsid w:val="00BA4A1D"/>
    <w:rsid w:val="00BA4DE8"/>
    <w:rsid w:val="00BA6219"/>
    <w:rsid w:val="00BA73B6"/>
    <w:rsid w:val="00BB0675"/>
    <w:rsid w:val="00BB0AC3"/>
    <w:rsid w:val="00BB1A39"/>
    <w:rsid w:val="00BB4FCD"/>
    <w:rsid w:val="00BB6188"/>
    <w:rsid w:val="00BB7311"/>
    <w:rsid w:val="00BB75EB"/>
    <w:rsid w:val="00BD13EA"/>
    <w:rsid w:val="00BD1DED"/>
    <w:rsid w:val="00BD3268"/>
    <w:rsid w:val="00BD339B"/>
    <w:rsid w:val="00BD3B7D"/>
    <w:rsid w:val="00BD7894"/>
    <w:rsid w:val="00BD7DC9"/>
    <w:rsid w:val="00BE129F"/>
    <w:rsid w:val="00BE2B92"/>
    <w:rsid w:val="00BE3808"/>
    <w:rsid w:val="00BE3D28"/>
    <w:rsid w:val="00BE4820"/>
    <w:rsid w:val="00BE4934"/>
    <w:rsid w:val="00BE53DE"/>
    <w:rsid w:val="00BE54F1"/>
    <w:rsid w:val="00BE6369"/>
    <w:rsid w:val="00BF54B6"/>
    <w:rsid w:val="00BF6310"/>
    <w:rsid w:val="00BF6AB2"/>
    <w:rsid w:val="00BF72B7"/>
    <w:rsid w:val="00C00C67"/>
    <w:rsid w:val="00C03263"/>
    <w:rsid w:val="00C05C30"/>
    <w:rsid w:val="00C062E9"/>
    <w:rsid w:val="00C07B64"/>
    <w:rsid w:val="00C128BE"/>
    <w:rsid w:val="00C1316A"/>
    <w:rsid w:val="00C13721"/>
    <w:rsid w:val="00C156BB"/>
    <w:rsid w:val="00C15ECA"/>
    <w:rsid w:val="00C17D9A"/>
    <w:rsid w:val="00C21161"/>
    <w:rsid w:val="00C219B6"/>
    <w:rsid w:val="00C225AF"/>
    <w:rsid w:val="00C22C2B"/>
    <w:rsid w:val="00C2548E"/>
    <w:rsid w:val="00C25C79"/>
    <w:rsid w:val="00C27BFB"/>
    <w:rsid w:val="00C3066D"/>
    <w:rsid w:val="00C32804"/>
    <w:rsid w:val="00C32E52"/>
    <w:rsid w:val="00C32EE6"/>
    <w:rsid w:val="00C33667"/>
    <w:rsid w:val="00C34FF3"/>
    <w:rsid w:val="00C35537"/>
    <w:rsid w:val="00C36995"/>
    <w:rsid w:val="00C370A2"/>
    <w:rsid w:val="00C37171"/>
    <w:rsid w:val="00C37198"/>
    <w:rsid w:val="00C37790"/>
    <w:rsid w:val="00C4172E"/>
    <w:rsid w:val="00C42C6A"/>
    <w:rsid w:val="00C43A39"/>
    <w:rsid w:val="00C43CBB"/>
    <w:rsid w:val="00C44516"/>
    <w:rsid w:val="00C446C2"/>
    <w:rsid w:val="00C46E56"/>
    <w:rsid w:val="00C471EB"/>
    <w:rsid w:val="00C47F28"/>
    <w:rsid w:val="00C53875"/>
    <w:rsid w:val="00C53BA7"/>
    <w:rsid w:val="00C543F4"/>
    <w:rsid w:val="00C54CDD"/>
    <w:rsid w:val="00C56C4B"/>
    <w:rsid w:val="00C6291C"/>
    <w:rsid w:val="00C633CB"/>
    <w:rsid w:val="00C646DD"/>
    <w:rsid w:val="00C650EF"/>
    <w:rsid w:val="00C672E2"/>
    <w:rsid w:val="00C67AC6"/>
    <w:rsid w:val="00C67EFD"/>
    <w:rsid w:val="00C7097D"/>
    <w:rsid w:val="00C70C8B"/>
    <w:rsid w:val="00C71BD3"/>
    <w:rsid w:val="00C731F7"/>
    <w:rsid w:val="00C7523A"/>
    <w:rsid w:val="00C76808"/>
    <w:rsid w:val="00C76ACD"/>
    <w:rsid w:val="00C778A8"/>
    <w:rsid w:val="00C77959"/>
    <w:rsid w:val="00C843C1"/>
    <w:rsid w:val="00C8762C"/>
    <w:rsid w:val="00C94609"/>
    <w:rsid w:val="00C9758B"/>
    <w:rsid w:val="00CA00F9"/>
    <w:rsid w:val="00CA1DAE"/>
    <w:rsid w:val="00CA2961"/>
    <w:rsid w:val="00CA2A47"/>
    <w:rsid w:val="00CA40CB"/>
    <w:rsid w:val="00CB2BBB"/>
    <w:rsid w:val="00CB3AA6"/>
    <w:rsid w:val="00CB4296"/>
    <w:rsid w:val="00CB42BA"/>
    <w:rsid w:val="00CB50D7"/>
    <w:rsid w:val="00CB6FEB"/>
    <w:rsid w:val="00CB7177"/>
    <w:rsid w:val="00CC1963"/>
    <w:rsid w:val="00CC1998"/>
    <w:rsid w:val="00CC2D54"/>
    <w:rsid w:val="00CC4946"/>
    <w:rsid w:val="00CC4DF3"/>
    <w:rsid w:val="00CC57BD"/>
    <w:rsid w:val="00CC69B4"/>
    <w:rsid w:val="00CC7A2C"/>
    <w:rsid w:val="00CD0F2C"/>
    <w:rsid w:val="00CD1EB8"/>
    <w:rsid w:val="00CD565F"/>
    <w:rsid w:val="00CD63EF"/>
    <w:rsid w:val="00CE113C"/>
    <w:rsid w:val="00CE1A1D"/>
    <w:rsid w:val="00CE5BCE"/>
    <w:rsid w:val="00CE73DD"/>
    <w:rsid w:val="00CE7668"/>
    <w:rsid w:val="00CF0C71"/>
    <w:rsid w:val="00CF646F"/>
    <w:rsid w:val="00CF79BD"/>
    <w:rsid w:val="00D00CD3"/>
    <w:rsid w:val="00D103D5"/>
    <w:rsid w:val="00D121D2"/>
    <w:rsid w:val="00D12846"/>
    <w:rsid w:val="00D14658"/>
    <w:rsid w:val="00D14ED2"/>
    <w:rsid w:val="00D15050"/>
    <w:rsid w:val="00D2116D"/>
    <w:rsid w:val="00D211B8"/>
    <w:rsid w:val="00D21296"/>
    <w:rsid w:val="00D21D0F"/>
    <w:rsid w:val="00D23FBA"/>
    <w:rsid w:val="00D2663F"/>
    <w:rsid w:val="00D270A4"/>
    <w:rsid w:val="00D31BD2"/>
    <w:rsid w:val="00D321C1"/>
    <w:rsid w:val="00D324B6"/>
    <w:rsid w:val="00D336D3"/>
    <w:rsid w:val="00D34E1B"/>
    <w:rsid w:val="00D357A3"/>
    <w:rsid w:val="00D376BA"/>
    <w:rsid w:val="00D40959"/>
    <w:rsid w:val="00D445E0"/>
    <w:rsid w:val="00D458D2"/>
    <w:rsid w:val="00D50C90"/>
    <w:rsid w:val="00D520B0"/>
    <w:rsid w:val="00D5568A"/>
    <w:rsid w:val="00D571E4"/>
    <w:rsid w:val="00D601D6"/>
    <w:rsid w:val="00D6339F"/>
    <w:rsid w:val="00D63D73"/>
    <w:rsid w:val="00D6573A"/>
    <w:rsid w:val="00D65B00"/>
    <w:rsid w:val="00D66E1E"/>
    <w:rsid w:val="00D71187"/>
    <w:rsid w:val="00D71F9F"/>
    <w:rsid w:val="00D725DF"/>
    <w:rsid w:val="00D730B9"/>
    <w:rsid w:val="00D7345F"/>
    <w:rsid w:val="00D75722"/>
    <w:rsid w:val="00D83B3C"/>
    <w:rsid w:val="00D84369"/>
    <w:rsid w:val="00D85F09"/>
    <w:rsid w:val="00D85F0F"/>
    <w:rsid w:val="00D864A9"/>
    <w:rsid w:val="00D87ABD"/>
    <w:rsid w:val="00D903DA"/>
    <w:rsid w:val="00D97E79"/>
    <w:rsid w:val="00DA07DE"/>
    <w:rsid w:val="00DA0F56"/>
    <w:rsid w:val="00DA225A"/>
    <w:rsid w:val="00DA2871"/>
    <w:rsid w:val="00DA3734"/>
    <w:rsid w:val="00DA4F65"/>
    <w:rsid w:val="00DA5BBA"/>
    <w:rsid w:val="00DA7471"/>
    <w:rsid w:val="00DB00DB"/>
    <w:rsid w:val="00DB32EB"/>
    <w:rsid w:val="00DB3E67"/>
    <w:rsid w:val="00DB4A7B"/>
    <w:rsid w:val="00DB67C9"/>
    <w:rsid w:val="00DC0036"/>
    <w:rsid w:val="00DC09AB"/>
    <w:rsid w:val="00DC0C95"/>
    <w:rsid w:val="00DC1346"/>
    <w:rsid w:val="00DC4FE5"/>
    <w:rsid w:val="00DC585C"/>
    <w:rsid w:val="00DD0F5A"/>
    <w:rsid w:val="00DD23E2"/>
    <w:rsid w:val="00DD4A12"/>
    <w:rsid w:val="00DD519D"/>
    <w:rsid w:val="00DD6580"/>
    <w:rsid w:val="00DD790B"/>
    <w:rsid w:val="00DE054F"/>
    <w:rsid w:val="00DE1F5D"/>
    <w:rsid w:val="00DE3515"/>
    <w:rsid w:val="00DE5CFE"/>
    <w:rsid w:val="00DF2394"/>
    <w:rsid w:val="00DF3AF1"/>
    <w:rsid w:val="00DF5C21"/>
    <w:rsid w:val="00E06328"/>
    <w:rsid w:val="00E10214"/>
    <w:rsid w:val="00E12B40"/>
    <w:rsid w:val="00E134E6"/>
    <w:rsid w:val="00E15B69"/>
    <w:rsid w:val="00E17C72"/>
    <w:rsid w:val="00E21FC6"/>
    <w:rsid w:val="00E2345C"/>
    <w:rsid w:val="00E252A7"/>
    <w:rsid w:val="00E25D36"/>
    <w:rsid w:val="00E273BF"/>
    <w:rsid w:val="00E27649"/>
    <w:rsid w:val="00E3040B"/>
    <w:rsid w:val="00E30D3C"/>
    <w:rsid w:val="00E3426D"/>
    <w:rsid w:val="00E34435"/>
    <w:rsid w:val="00E34A37"/>
    <w:rsid w:val="00E373F5"/>
    <w:rsid w:val="00E4034D"/>
    <w:rsid w:val="00E41130"/>
    <w:rsid w:val="00E443B7"/>
    <w:rsid w:val="00E44C5E"/>
    <w:rsid w:val="00E51DE2"/>
    <w:rsid w:val="00E52BEA"/>
    <w:rsid w:val="00E5512F"/>
    <w:rsid w:val="00E55846"/>
    <w:rsid w:val="00E56E6D"/>
    <w:rsid w:val="00E62A4A"/>
    <w:rsid w:val="00E62E15"/>
    <w:rsid w:val="00E6373D"/>
    <w:rsid w:val="00E6538B"/>
    <w:rsid w:val="00E669E2"/>
    <w:rsid w:val="00E67360"/>
    <w:rsid w:val="00E74A1F"/>
    <w:rsid w:val="00E74ABE"/>
    <w:rsid w:val="00E74DD2"/>
    <w:rsid w:val="00E75216"/>
    <w:rsid w:val="00E76135"/>
    <w:rsid w:val="00E800E1"/>
    <w:rsid w:val="00E81204"/>
    <w:rsid w:val="00E83778"/>
    <w:rsid w:val="00E83A5A"/>
    <w:rsid w:val="00E902B8"/>
    <w:rsid w:val="00E92119"/>
    <w:rsid w:val="00E93EB4"/>
    <w:rsid w:val="00E94CA1"/>
    <w:rsid w:val="00E951A5"/>
    <w:rsid w:val="00E955AF"/>
    <w:rsid w:val="00E956EB"/>
    <w:rsid w:val="00E95A55"/>
    <w:rsid w:val="00EA12B4"/>
    <w:rsid w:val="00EA151A"/>
    <w:rsid w:val="00EA295D"/>
    <w:rsid w:val="00EA53F6"/>
    <w:rsid w:val="00EA7088"/>
    <w:rsid w:val="00EA7E7D"/>
    <w:rsid w:val="00EB2073"/>
    <w:rsid w:val="00EB2E83"/>
    <w:rsid w:val="00EB3A47"/>
    <w:rsid w:val="00EB4F2B"/>
    <w:rsid w:val="00EB7706"/>
    <w:rsid w:val="00EC2844"/>
    <w:rsid w:val="00EC35A0"/>
    <w:rsid w:val="00EC4183"/>
    <w:rsid w:val="00EC5057"/>
    <w:rsid w:val="00EC640E"/>
    <w:rsid w:val="00EC6A9B"/>
    <w:rsid w:val="00EC6BF1"/>
    <w:rsid w:val="00ED160E"/>
    <w:rsid w:val="00ED2E02"/>
    <w:rsid w:val="00ED4BA9"/>
    <w:rsid w:val="00ED7830"/>
    <w:rsid w:val="00EE129F"/>
    <w:rsid w:val="00EE13F0"/>
    <w:rsid w:val="00EE2535"/>
    <w:rsid w:val="00EE2708"/>
    <w:rsid w:val="00EE4DE2"/>
    <w:rsid w:val="00EE7F37"/>
    <w:rsid w:val="00EF30E3"/>
    <w:rsid w:val="00EF34BA"/>
    <w:rsid w:val="00EF5710"/>
    <w:rsid w:val="00EF60DD"/>
    <w:rsid w:val="00EF6C6C"/>
    <w:rsid w:val="00EF7AF2"/>
    <w:rsid w:val="00F00DBF"/>
    <w:rsid w:val="00F01F24"/>
    <w:rsid w:val="00F02961"/>
    <w:rsid w:val="00F02D45"/>
    <w:rsid w:val="00F0377F"/>
    <w:rsid w:val="00F056FC"/>
    <w:rsid w:val="00F10476"/>
    <w:rsid w:val="00F1248B"/>
    <w:rsid w:val="00F12E1E"/>
    <w:rsid w:val="00F12EF8"/>
    <w:rsid w:val="00F135D8"/>
    <w:rsid w:val="00F144D4"/>
    <w:rsid w:val="00F1787E"/>
    <w:rsid w:val="00F17B3B"/>
    <w:rsid w:val="00F208E8"/>
    <w:rsid w:val="00F2340E"/>
    <w:rsid w:val="00F23F17"/>
    <w:rsid w:val="00F25DBD"/>
    <w:rsid w:val="00F264F8"/>
    <w:rsid w:val="00F268D4"/>
    <w:rsid w:val="00F31243"/>
    <w:rsid w:val="00F31299"/>
    <w:rsid w:val="00F345E0"/>
    <w:rsid w:val="00F3534A"/>
    <w:rsid w:val="00F373C2"/>
    <w:rsid w:val="00F40179"/>
    <w:rsid w:val="00F40BDB"/>
    <w:rsid w:val="00F43655"/>
    <w:rsid w:val="00F4398B"/>
    <w:rsid w:val="00F46183"/>
    <w:rsid w:val="00F51630"/>
    <w:rsid w:val="00F51CD6"/>
    <w:rsid w:val="00F5212B"/>
    <w:rsid w:val="00F521E4"/>
    <w:rsid w:val="00F52C1E"/>
    <w:rsid w:val="00F54430"/>
    <w:rsid w:val="00F56A5C"/>
    <w:rsid w:val="00F57739"/>
    <w:rsid w:val="00F57980"/>
    <w:rsid w:val="00F63CEE"/>
    <w:rsid w:val="00F64F39"/>
    <w:rsid w:val="00F65850"/>
    <w:rsid w:val="00F703E8"/>
    <w:rsid w:val="00F7088E"/>
    <w:rsid w:val="00F70C42"/>
    <w:rsid w:val="00F7146D"/>
    <w:rsid w:val="00F7525D"/>
    <w:rsid w:val="00F764B1"/>
    <w:rsid w:val="00F76603"/>
    <w:rsid w:val="00F76995"/>
    <w:rsid w:val="00F80E86"/>
    <w:rsid w:val="00F85325"/>
    <w:rsid w:val="00F85712"/>
    <w:rsid w:val="00F8692F"/>
    <w:rsid w:val="00F92181"/>
    <w:rsid w:val="00F93C56"/>
    <w:rsid w:val="00F95B34"/>
    <w:rsid w:val="00F97FCA"/>
    <w:rsid w:val="00FA0DAF"/>
    <w:rsid w:val="00FA4AEA"/>
    <w:rsid w:val="00FA4D99"/>
    <w:rsid w:val="00FA7176"/>
    <w:rsid w:val="00FB16D5"/>
    <w:rsid w:val="00FB1AF0"/>
    <w:rsid w:val="00FB2174"/>
    <w:rsid w:val="00FB43C0"/>
    <w:rsid w:val="00FB7FDD"/>
    <w:rsid w:val="00FD0A5D"/>
    <w:rsid w:val="00FD118C"/>
    <w:rsid w:val="00FD15AB"/>
    <w:rsid w:val="00FD22B1"/>
    <w:rsid w:val="00FD3370"/>
    <w:rsid w:val="00FD3725"/>
    <w:rsid w:val="00FD506A"/>
    <w:rsid w:val="00FE017C"/>
    <w:rsid w:val="00FE205C"/>
    <w:rsid w:val="00FE394F"/>
    <w:rsid w:val="00FE5C2F"/>
    <w:rsid w:val="00FE6DD0"/>
    <w:rsid w:val="00FE7521"/>
    <w:rsid w:val="00FF0180"/>
    <w:rsid w:val="00FF0529"/>
    <w:rsid w:val="00FF11C4"/>
    <w:rsid w:val="00FF3916"/>
    <w:rsid w:val="00FF53EE"/>
    <w:rsid w:val="00FF74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A27A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Heading3Char">
    <w:name w:val="Heading 3 Char"/>
    <w:basedOn w:val="DefaultParagraphFont"/>
    <w:link w:val="Heading3"/>
    <w:uiPriority w:val="99"/>
    <w:rsid w:val="00923F33"/>
    <w:rPr>
      <w:rFonts w:ascii="Arial" w:hAnsi="Arial"/>
      <w:b/>
      <w:sz w:val="26"/>
    </w:rPr>
  </w:style>
  <w:style w:type="character" w:customStyle="1" w:styleId="BodyTextChar">
    <w:name w:val="Body Text Char"/>
    <w:basedOn w:val="DefaultParagraphFont"/>
    <w:link w:val="BodyText"/>
    <w:rsid w:val="006D6348"/>
    <w:rPr>
      <w:sz w:val="26"/>
    </w:rPr>
  </w:style>
  <w:style w:type="character" w:customStyle="1" w:styleId="NoteChar">
    <w:name w:val="Note Char"/>
    <w:link w:val="Note"/>
    <w:rsid w:val="006D6348"/>
    <w:rPr>
      <w:rFonts w:ascii="Arial" w:hAnsi="Arial"/>
      <w:sz w:val="18"/>
    </w:rPr>
  </w:style>
  <w:style w:type="character" w:styleId="Hyperlink">
    <w:name w:val="Hyperlink"/>
    <w:basedOn w:val="DefaultParagraphFont"/>
    <w:uiPriority w:val="99"/>
    <w:unhideWhenUsed/>
    <w:rsid w:val="003F286C"/>
    <w:rPr>
      <w:color w:val="3B5690"/>
      <w:u w:val="single"/>
    </w:rPr>
  </w:style>
  <w:style w:type="paragraph" w:customStyle="1" w:styleId="Bod">
    <w:name w:val="Bod"/>
    <w:basedOn w:val="BodyText"/>
    <w:rsid w:val="003F6B6E"/>
  </w:style>
  <w:style w:type="paragraph" w:customStyle="1" w:styleId="Bodyy">
    <w:name w:val="Bodyy"/>
    <w:basedOn w:val="ListBullet"/>
    <w:rsid w:val="001A5AF3"/>
    <w:pPr>
      <w:numPr>
        <w:numId w:val="0"/>
      </w:numPr>
      <w:ind w:left="340" w:hanging="340"/>
    </w:pPr>
  </w:style>
  <w:style w:type="paragraph" w:customStyle="1" w:styleId="Bullet">
    <w:name w:val="Bullet"/>
    <w:basedOn w:val="BodyText"/>
    <w:rsid w:val="00B46DF6"/>
  </w:style>
  <w:style w:type="character" w:customStyle="1" w:styleId="CommentTextChar">
    <w:name w:val="Comment Text Char"/>
    <w:basedOn w:val="DefaultParagraphFont"/>
    <w:link w:val="CommentText"/>
    <w:semiHidden/>
    <w:rsid w:val="009E39D1"/>
    <w:rPr>
      <w:szCs w:val="24"/>
    </w:rPr>
  </w:style>
  <w:style w:type="paragraph" w:customStyle="1" w:styleId="Level5">
    <w:name w:val="Level 5"/>
    <w:basedOn w:val="BodyText"/>
    <w:rsid w:val="00F01F24"/>
  </w:style>
  <w:style w:type="character" w:customStyle="1" w:styleId="QuoteChar">
    <w:name w:val="Quote Char"/>
    <w:basedOn w:val="DefaultParagraphFont"/>
    <w:link w:val="Quote"/>
    <w:rsid w:val="00A45842"/>
    <w:rPr>
      <w:sz w:val="24"/>
    </w:rPr>
  </w:style>
  <w:style w:type="paragraph" w:styleId="Revision">
    <w:name w:val="Revision"/>
    <w:hidden/>
    <w:uiPriority w:val="99"/>
    <w:semiHidden/>
    <w:rsid w:val="00273EB8"/>
    <w:rPr>
      <w:sz w:val="26"/>
      <w:szCs w:val="24"/>
    </w:rPr>
  </w:style>
  <w:style w:type="paragraph" w:styleId="EndnoteText">
    <w:name w:val="endnote text"/>
    <w:basedOn w:val="Normal"/>
    <w:link w:val="EndnoteTextChar"/>
    <w:rsid w:val="00FA7176"/>
    <w:rPr>
      <w:sz w:val="20"/>
      <w:szCs w:val="20"/>
    </w:rPr>
  </w:style>
  <w:style w:type="character" w:customStyle="1" w:styleId="EndnoteTextChar">
    <w:name w:val="Endnote Text Char"/>
    <w:basedOn w:val="DefaultParagraphFont"/>
    <w:link w:val="EndnoteText"/>
    <w:rsid w:val="00FA7176"/>
  </w:style>
  <w:style w:type="character" w:styleId="EndnoteReference">
    <w:name w:val="endnote reference"/>
    <w:basedOn w:val="DefaultParagraphFont"/>
    <w:rsid w:val="00FA7176"/>
    <w:rPr>
      <w:vertAlign w:val="superscript"/>
    </w:rPr>
  </w:style>
  <w:style w:type="character" w:customStyle="1" w:styleId="BoxChar">
    <w:name w:val="Box Char"/>
    <w:basedOn w:val="DefaultParagraphFont"/>
    <w:link w:val="Box"/>
    <w:locked/>
    <w:rsid w:val="009572CD"/>
    <w:rPr>
      <w:rFonts w:ascii="Arial" w:hAnsi="Arial"/>
      <w:sz w:val="22"/>
    </w:rPr>
  </w:style>
  <w:style w:type="character" w:customStyle="1" w:styleId="BoxListBulletChar">
    <w:name w:val="Box List Bullet Char"/>
    <w:basedOn w:val="DefaultParagraphFont"/>
    <w:link w:val="BoxListBullet"/>
    <w:locked/>
    <w:rsid w:val="009572CD"/>
    <w:rPr>
      <w:rFonts w:ascii="Arial" w:hAnsi="Arial"/>
      <w:sz w:val="22"/>
    </w:rPr>
  </w:style>
  <w:style w:type="paragraph" w:styleId="CommentSubject">
    <w:name w:val="annotation subject"/>
    <w:basedOn w:val="CommentText"/>
    <w:next w:val="CommentText"/>
    <w:link w:val="CommentSubjectChar"/>
    <w:rsid w:val="00BE53DE"/>
    <w:pPr>
      <w:spacing w:before="0" w:line="240" w:lineRule="auto"/>
      <w:ind w:left="0" w:firstLine="0"/>
    </w:pPr>
    <w:rPr>
      <w:b/>
      <w:bCs/>
      <w:szCs w:val="20"/>
    </w:rPr>
  </w:style>
  <w:style w:type="character" w:customStyle="1" w:styleId="CommentSubjectChar">
    <w:name w:val="Comment Subject Char"/>
    <w:basedOn w:val="CommentTextChar"/>
    <w:link w:val="CommentSubject"/>
    <w:rsid w:val="00BE53DE"/>
    <w:rPr>
      <w:b/>
      <w:bCs/>
      <w:szCs w:val="24"/>
    </w:rPr>
  </w:style>
  <w:style w:type="table" w:styleId="TableGrid">
    <w:name w:val="Table Grid"/>
    <w:basedOn w:val="TableNormal"/>
    <w:rsid w:val="00322C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A27A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Heading3Char">
    <w:name w:val="Heading 3 Char"/>
    <w:basedOn w:val="DefaultParagraphFont"/>
    <w:link w:val="Heading3"/>
    <w:uiPriority w:val="99"/>
    <w:rsid w:val="00923F33"/>
    <w:rPr>
      <w:rFonts w:ascii="Arial" w:hAnsi="Arial"/>
      <w:b/>
      <w:sz w:val="26"/>
    </w:rPr>
  </w:style>
  <w:style w:type="character" w:customStyle="1" w:styleId="BodyTextChar">
    <w:name w:val="Body Text Char"/>
    <w:basedOn w:val="DefaultParagraphFont"/>
    <w:link w:val="BodyText"/>
    <w:rsid w:val="006D6348"/>
    <w:rPr>
      <w:sz w:val="26"/>
    </w:rPr>
  </w:style>
  <w:style w:type="character" w:customStyle="1" w:styleId="NoteChar">
    <w:name w:val="Note Char"/>
    <w:link w:val="Note"/>
    <w:rsid w:val="006D6348"/>
    <w:rPr>
      <w:rFonts w:ascii="Arial" w:hAnsi="Arial"/>
      <w:sz w:val="18"/>
    </w:rPr>
  </w:style>
  <w:style w:type="character" w:styleId="Hyperlink">
    <w:name w:val="Hyperlink"/>
    <w:basedOn w:val="DefaultParagraphFont"/>
    <w:uiPriority w:val="99"/>
    <w:unhideWhenUsed/>
    <w:rsid w:val="003F286C"/>
    <w:rPr>
      <w:color w:val="3B5690"/>
      <w:u w:val="single"/>
    </w:rPr>
  </w:style>
  <w:style w:type="paragraph" w:customStyle="1" w:styleId="Bod">
    <w:name w:val="Bod"/>
    <w:basedOn w:val="BodyText"/>
    <w:rsid w:val="003F6B6E"/>
  </w:style>
  <w:style w:type="paragraph" w:customStyle="1" w:styleId="Bodyy">
    <w:name w:val="Bodyy"/>
    <w:basedOn w:val="ListBullet"/>
    <w:rsid w:val="001A5AF3"/>
    <w:pPr>
      <w:numPr>
        <w:numId w:val="0"/>
      </w:numPr>
      <w:ind w:left="340" w:hanging="340"/>
    </w:pPr>
  </w:style>
  <w:style w:type="paragraph" w:customStyle="1" w:styleId="Bullet">
    <w:name w:val="Bullet"/>
    <w:basedOn w:val="BodyText"/>
    <w:rsid w:val="00B46DF6"/>
  </w:style>
  <w:style w:type="character" w:customStyle="1" w:styleId="CommentTextChar">
    <w:name w:val="Comment Text Char"/>
    <w:basedOn w:val="DefaultParagraphFont"/>
    <w:link w:val="CommentText"/>
    <w:semiHidden/>
    <w:rsid w:val="009E39D1"/>
    <w:rPr>
      <w:szCs w:val="24"/>
    </w:rPr>
  </w:style>
  <w:style w:type="paragraph" w:customStyle="1" w:styleId="Level5">
    <w:name w:val="Level 5"/>
    <w:basedOn w:val="BodyText"/>
    <w:rsid w:val="00F01F24"/>
  </w:style>
  <w:style w:type="character" w:customStyle="1" w:styleId="QuoteChar">
    <w:name w:val="Quote Char"/>
    <w:basedOn w:val="DefaultParagraphFont"/>
    <w:link w:val="Quote"/>
    <w:rsid w:val="00A45842"/>
    <w:rPr>
      <w:sz w:val="24"/>
    </w:rPr>
  </w:style>
  <w:style w:type="paragraph" w:styleId="Revision">
    <w:name w:val="Revision"/>
    <w:hidden/>
    <w:uiPriority w:val="99"/>
    <w:semiHidden/>
    <w:rsid w:val="00273EB8"/>
    <w:rPr>
      <w:sz w:val="26"/>
      <w:szCs w:val="24"/>
    </w:rPr>
  </w:style>
  <w:style w:type="paragraph" w:styleId="EndnoteText">
    <w:name w:val="endnote text"/>
    <w:basedOn w:val="Normal"/>
    <w:link w:val="EndnoteTextChar"/>
    <w:rsid w:val="00FA7176"/>
    <w:rPr>
      <w:sz w:val="20"/>
      <w:szCs w:val="20"/>
    </w:rPr>
  </w:style>
  <w:style w:type="character" w:customStyle="1" w:styleId="EndnoteTextChar">
    <w:name w:val="Endnote Text Char"/>
    <w:basedOn w:val="DefaultParagraphFont"/>
    <w:link w:val="EndnoteText"/>
    <w:rsid w:val="00FA7176"/>
  </w:style>
  <w:style w:type="character" w:styleId="EndnoteReference">
    <w:name w:val="endnote reference"/>
    <w:basedOn w:val="DefaultParagraphFont"/>
    <w:rsid w:val="00FA7176"/>
    <w:rPr>
      <w:vertAlign w:val="superscript"/>
    </w:rPr>
  </w:style>
  <w:style w:type="character" w:customStyle="1" w:styleId="BoxChar">
    <w:name w:val="Box Char"/>
    <w:basedOn w:val="DefaultParagraphFont"/>
    <w:link w:val="Box"/>
    <w:locked/>
    <w:rsid w:val="009572CD"/>
    <w:rPr>
      <w:rFonts w:ascii="Arial" w:hAnsi="Arial"/>
      <w:sz w:val="22"/>
    </w:rPr>
  </w:style>
  <w:style w:type="character" w:customStyle="1" w:styleId="BoxListBulletChar">
    <w:name w:val="Box List Bullet Char"/>
    <w:basedOn w:val="DefaultParagraphFont"/>
    <w:link w:val="BoxListBullet"/>
    <w:locked/>
    <w:rsid w:val="009572CD"/>
    <w:rPr>
      <w:rFonts w:ascii="Arial" w:hAnsi="Arial"/>
      <w:sz w:val="22"/>
    </w:rPr>
  </w:style>
  <w:style w:type="paragraph" w:styleId="CommentSubject">
    <w:name w:val="annotation subject"/>
    <w:basedOn w:val="CommentText"/>
    <w:next w:val="CommentText"/>
    <w:link w:val="CommentSubjectChar"/>
    <w:rsid w:val="00BE53DE"/>
    <w:pPr>
      <w:spacing w:before="0" w:line="240" w:lineRule="auto"/>
      <w:ind w:left="0" w:firstLine="0"/>
    </w:pPr>
    <w:rPr>
      <w:b/>
      <w:bCs/>
      <w:szCs w:val="20"/>
    </w:rPr>
  </w:style>
  <w:style w:type="character" w:customStyle="1" w:styleId="CommentSubjectChar">
    <w:name w:val="Comment Subject Char"/>
    <w:basedOn w:val="CommentTextChar"/>
    <w:link w:val="CommentSubject"/>
    <w:rsid w:val="00BE53DE"/>
    <w:rPr>
      <w:b/>
      <w:bCs/>
      <w:szCs w:val="24"/>
    </w:rPr>
  </w:style>
  <w:style w:type="table" w:styleId="TableGrid">
    <w:name w:val="Table Grid"/>
    <w:basedOn w:val="TableNormal"/>
    <w:rsid w:val="00322C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6364">
      <w:bodyDiv w:val="1"/>
      <w:marLeft w:val="0"/>
      <w:marRight w:val="0"/>
      <w:marTop w:val="0"/>
      <w:marBottom w:val="0"/>
      <w:divBdr>
        <w:top w:val="none" w:sz="0" w:space="0" w:color="auto"/>
        <w:left w:val="none" w:sz="0" w:space="0" w:color="auto"/>
        <w:bottom w:val="none" w:sz="0" w:space="0" w:color="auto"/>
        <w:right w:val="none" w:sz="0" w:space="0" w:color="auto"/>
      </w:divBdr>
      <w:divsChild>
        <w:div w:id="1018044421">
          <w:marLeft w:val="0"/>
          <w:marRight w:val="0"/>
          <w:marTop w:val="0"/>
          <w:marBottom w:val="0"/>
          <w:divBdr>
            <w:top w:val="none" w:sz="0" w:space="0" w:color="auto"/>
            <w:left w:val="none" w:sz="0" w:space="0" w:color="auto"/>
            <w:bottom w:val="none" w:sz="0" w:space="0" w:color="auto"/>
            <w:right w:val="none" w:sz="0" w:space="0" w:color="auto"/>
          </w:divBdr>
          <w:divsChild>
            <w:div w:id="272828094">
              <w:marLeft w:val="0"/>
              <w:marRight w:val="0"/>
              <w:marTop w:val="0"/>
              <w:marBottom w:val="0"/>
              <w:divBdr>
                <w:top w:val="none" w:sz="0" w:space="0" w:color="auto"/>
                <w:left w:val="none" w:sz="0" w:space="0" w:color="auto"/>
                <w:bottom w:val="none" w:sz="0" w:space="0" w:color="auto"/>
                <w:right w:val="none" w:sz="0" w:space="0" w:color="auto"/>
              </w:divBdr>
              <w:divsChild>
                <w:div w:id="74592847">
                  <w:marLeft w:val="0"/>
                  <w:marRight w:val="0"/>
                  <w:marTop w:val="0"/>
                  <w:marBottom w:val="0"/>
                  <w:divBdr>
                    <w:top w:val="none" w:sz="0" w:space="0" w:color="auto"/>
                    <w:left w:val="none" w:sz="0" w:space="0" w:color="auto"/>
                    <w:bottom w:val="none" w:sz="0" w:space="0" w:color="auto"/>
                    <w:right w:val="none" w:sz="0" w:space="0" w:color="auto"/>
                  </w:divBdr>
                  <w:divsChild>
                    <w:div w:id="1650401119">
                      <w:marLeft w:val="0"/>
                      <w:marRight w:val="0"/>
                      <w:marTop w:val="0"/>
                      <w:marBottom w:val="300"/>
                      <w:divBdr>
                        <w:top w:val="single" w:sz="6" w:space="0" w:color="CCCCCC"/>
                        <w:left w:val="single" w:sz="6" w:space="0" w:color="CCCCCC"/>
                        <w:bottom w:val="single" w:sz="6" w:space="0" w:color="CCCCCC"/>
                        <w:right w:val="single" w:sz="6" w:space="0" w:color="CCCCCC"/>
                      </w:divBdr>
                    </w:div>
                  </w:divsChild>
                </w:div>
              </w:divsChild>
            </w:div>
          </w:divsChild>
        </w:div>
      </w:divsChild>
    </w:div>
    <w:div w:id="75059521">
      <w:bodyDiv w:val="1"/>
      <w:marLeft w:val="0"/>
      <w:marRight w:val="0"/>
      <w:marTop w:val="0"/>
      <w:marBottom w:val="0"/>
      <w:divBdr>
        <w:top w:val="none" w:sz="0" w:space="0" w:color="auto"/>
        <w:left w:val="none" w:sz="0" w:space="0" w:color="auto"/>
        <w:bottom w:val="none" w:sz="0" w:space="0" w:color="auto"/>
        <w:right w:val="none" w:sz="0" w:space="0" w:color="auto"/>
      </w:divBdr>
    </w:div>
    <w:div w:id="301927420">
      <w:bodyDiv w:val="1"/>
      <w:marLeft w:val="0"/>
      <w:marRight w:val="0"/>
      <w:marTop w:val="0"/>
      <w:marBottom w:val="0"/>
      <w:divBdr>
        <w:top w:val="none" w:sz="0" w:space="0" w:color="auto"/>
        <w:left w:val="none" w:sz="0" w:space="0" w:color="auto"/>
        <w:bottom w:val="none" w:sz="0" w:space="0" w:color="auto"/>
        <w:right w:val="none" w:sz="0" w:space="0" w:color="auto"/>
      </w:divBdr>
    </w:div>
    <w:div w:id="489516281">
      <w:bodyDiv w:val="1"/>
      <w:marLeft w:val="0"/>
      <w:marRight w:val="0"/>
      <w:marTop w:val="0"/>
      <w:marBottom w:val="0"/>
      <w:divBdr>
        <w:top w:val="none" w:sz="0" w:space="0" w:color="auto"/>
        <w:left w:val="none" w:sz="0" w:space="0" w:color="auto"/>
        <w:bottom w:val="none" w:sz="0" w:space="0" w:color="auto"/>
        <w:right w:val="none" w:sz="0" w:space="0" w:color="auto"/>
      </w:divBdr>
    </w:div>
    <w:div w:id="634217085">
      <w:bodyDiv w:val="1"/>
      <w:marLeft w:val="0"/>
      <w:marRight w:val="0"/>
      <w:marTop w:val="0"/>
      <w:marBottom w:val="0"/>
      <w:divBdr>
        <w:top w:val="none" w:sz="0" w:space="0" w:color="auto"/>
        <w:left w:val="none" w:sz="0" w:space="0" w:color="auto"/>
        <w:bottom w:val="none" w:sz="0" w:space="0" w:color="auto"/>
        <w:right w:val="none" w:sz="0" w:space="0" w:color="auto"/>
      </w:divBdr>
    </w:div>
    <w:div w:id="686980038">
      <w:bodyDiv w:val="1"/>
      <w:marLeft w:val="0"/>
      <w:marRight w:val="0"/>
      <w:marTop w:val="0"/>
      <w:marBottom w:val="0"/>
      <w:divBdr>
        <w:top w:val="none" w:sz="0" w:space="0" w:color="auto"/>
        <w:left w:val="none" w:sz="0" w:space="0" w:color="auto"/>
        <w:bottom w:val="none" w:sz="0" w:space="0" w:color="auto"/>
        <w:right w:val="none" w:sz="0" w:space="0" w:color="auto"/>
      </w:divBdr>
    </w:div>
    <w:div w:id="702248211">
      <w:bodyDiv w:val="1"/>
      <w:marLeft w:val="0"/>
      <w:marRight w:val="0"/>
      <w:marTop w:val="0"/>
      <w:marBottom w:val="0"/>
      <w:divBdr>
        <w:top w:val="none" w:sz="0" w:space="0" w:color="auto"/>
        <w:left w:val="none" w:sz="0" w:space="0" w:color="auto"/>
        <w:bottom w:val="none" w:sz="0" w:space="0" w:color="auto"/>
        <w:right w:val="none" w:sz="0" w:space="0" w:color="auto"/>
      </w:divBdr>
      <w:divsChild>
        <w:div w:id="432045730">
          <w:marLeft w:val="0"/>
          <w:marRight w:val="0"/>
          <w:marTop w:val="0"/>
          <w:marBottom w:val="0"/>
          <w:divBdr>
            <w:top w:val="none" w:sz="0" w:space="0" w:color="auto"/>
            <w:left w:val="none" w:sz="0" w:space="0" w:color="auto"/>
            <w:bottom w:val="none" w:sz="0" w:space="0" w:color="auto"/>
            <w:right w:val="none" w:sz="0" w:space="0" w:color="auto"/>
          </w:divBdr>
          <w:divsChild>
            <w:div w:id="854267452">
              <w:marLeft w:val="0"/>
              <w:marRight w:val="0"/>
              <w:marTop w:val="0"/>
              <w:marBottom w:val="0"/>
              <w:divBdr>
                <w:top w:val="none" w:sz="0" w:space="0" w:color="auto"/>
                <w:left w:val="none" w:sz="0" w:space="0" w:color="auto"/>
                <w:bottom w:val="none" w:sz="0" w:space="0" w:color="auto"/>
                <w:right w:val="none" w:sz="0" w:space="0" w:color="auto"/>
              </w:divBdr>
              <w:divsChild>
                <w:div w:id="328750784">
                  <w:marLeft w:val="0"/>
                  <w:marRight w:val="0"/>
                  <w:marTop w:val="0"/>
                  <w:marBottom w:val="0"/>
                  <w:divBdr>
                    <w:top w:val="single" w:sz="6" w:space="0" w:color="FFFFFF"/>
                    <w:left w:val="none" w:sz="0" w:space="0" w:color="auto"/>
                    <w:bottom w:val="none" w:sz="0" w:space="0" w:color="auto"/>
                    <w:right w:val="single" w:sz="48" w:space="0" w:color="FFFFFF"/>
                  </w:divBdr>
                  <w:divsChild>
                    <w:div w:id="1936666137">
                      <w:marLeft w:val="4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910974">
      <w:bodyDiv w:val="1"/>
      <w:marLeft w:val="0"/>
      <w:marRight w:val="0"/>
      <w:marTop w:val="0"/>
      <w:marBottom w:val="0"/>
      <w:divBdr>
        <w:top w:val="none" w:sz="0" w:space="0" w:color="auto"/>
        <w:left w:val="none" w:sz="0" w:space="0" w:color="auto"/>
        <w:bottom w:val="none" w:sz="0" w:space="0" w:color="auto"/>
        <w:right w:val="none" w:sz="0" w:space="0" w:color="auto"/>
      </w:divBdr>
      <w:divsChild>
        <w:div w:id="1698382540">
          <w:marLeft w:val="0"/>
          <w:marRight w:val="0"/>
          <w:marTop w:val="0"/>
          <w:marBottom w:val="0"/>
          <w:divBdr>
            <w:top w:val="none" w:sz="0" w:space="0" w:color="auto"/>
            <w:left w:val="none" w:sz="0" w:space="0" w:color="auto"/>
            <w:bottom w:val="none" w:sz="0" w:space="0" w:color="auto"/>
            <w:right w:val="none" w:sz="0" w:space="0" w:color="auto"/>
          </w:divBdr>
          <w:divsChild>
            <w:div w:id="1698702271">
              <w:marLeft w:val="0"/>
              <w:marRight w:val="0"/>
              <w:marTop w:val="0"/>
              <w:marBottom w:val="0"/>
              <w:divBdr>
                <w:top w:val="none" w:sz="0" w:space="0" w:color="auto"/>
                <w:left w:val="none" w:sz="0" w:space="0" w:color="auto"/>
                <w:bottom w:val="none" w:sz="0" w:space="0" w:color="auto"/>
                <w:right w:val="none" w:sz="0" w:space="0" w:color="auto"/>
              </w:divBdr>
              <w:divsChild>
                <w:div w:id="924001131">
                  <w:marLeft w:val="0"/>
                  <w:marRight w:val="0"/>
                  <w:marTop w:val="0"/>
                  <w:marBottom w:val="0"/>
                  <w:divBdr>
                    <w:top w:val="single" w:sz="6" w:space="0" w:color="FFFFFF"/>
                    <w:left w:val="none" w:sz="0" w:space="0" w:color="auto"/>
                    <w:bottom w:val="none" w:sz="0" w:space="0" w:color="auto"/>
                    <w:right w:val="single" w:sz="48" w:space="0" w:color="FFFFFF"/>
                  </w:divBdr>
                  <w:divsChild>
                    <w:div w:id="1805855061">
                      <w:marLeft w:val="4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370369">
      <w:bodyDiv w:val="1"/>
      <w:marLeft w:val="0"/>
      <w:marRight w:val="0"/>
      <w:marTop w:val="0"/>
      <w:marBottom w:val="0"/>
      <w:divBdr>
        <w:top w:val="none" w:sz="0" w:space="0" w:color="auto"/>
        <w:left w:val="none" w:sz="0" w:space="0" w:color="auto"/>
        <w:bottom w:val="none" w:sz="0" w:space="0" w:color="auto"/>
        <w:right w:val="none" w:sz="0" w:space="0" w:color="auto"/>
      </w:divBdr>
    </w:div>
    <w:div w:id="840392809">
      <w:bodyDiv w:val="1"/>
      <w:marLeft w:val="0"/>
      <w:marRight w:val="0"/>
      <w:marTop w:val="0"/>
      <w:marBottom w:val="0"/>
      <w:divBdr>
        <w:top w:val="none" w:sz="0" w:space="0" w:color="auto"/>
        <w:left w:val="none" w:sz="0" w:space="0" w:color="auto"/>
        <w:bottom w:val="none" w:sz="0" w:space="0" w:color="auto"/>
        <w:right w:val="none" w:sz="0" w:space="0" w:color="auto"/>
      </w:divBdr>
    </w:div>
    <w:div w:id="1147210482">
      <w:bodyDiv w:val="1"/>
      <w:marLeft w:val="0"/>
      <w:marRight w:val="0"/>
      <w:marTop w:val="0"/>
      <w:marBottom w:val="0"/>
      <w:divBdr>
        <w:top w:val="none" w:sz="0" w:space="0" w:color="auto"/>
        <w:left w:val="none" w:sz="0" w:space="0" w:color="auto"/>
        <w:bottom w:val="none" w:sz="0" w:space="0" w:color="auto"/>
        <w:right w:val="none" w:sz="0" w:space="0" w:color="auto"/>
      </w:divBdr>
      <w:divsChild>
        <w:div w:id="809131079">
          <w:marLeft w:val="0"/>
          <w:marRight w:val="0"/>
          <w:marTop w:val="0"/>
          <w:marBottom w:val="0"/>
          <w:divBdr>
            <w:top w:val="none" w:sz="0" w:space="0" w:color="auto"/>
            <w:left w:val="none" w:sz="0" w:space="0" w:color="auto"/>
            <w:bottom w:val="none" w:sz="0" w:space="0" w:color="auto"/>
            <w:right w:val="none" w:sz="0" w:space="0" w:color="auto"/>
          </w:divBdr>
          <w:divsChild>
            <w:div w:id="645552259">
              <w:marLeft w:val="0"/>
              <w:marRight w:val="0"/>
              <w:marTop w:val="0"/>
              <w:marBottom w:val="0"/>
              <w:divBdr>
                <w:top w:val="none" w:sz="0" w:space="0" w:color="auto"/>
                <w:left w:val="none" w:sz="0" w:space="0" w:color="auto"/>
                <w:bottom w:val="none" w:sz="0" w:space="0" w:color="auto"/>
                <w:right w:val="none" w:sz="0" w:space="0" w:color="auto"/>
              </w:divBdr>
              <w:divsChild>
                <w:div w:id="55007079">
                  <w:marLeft w:val="0"/>
                  <w:marRight w:val="0"/>
                  <w:marTop w:val="0"/>
                  <w:marBottom w:val="0"/>
                  <w:divBdr>
                    <w:top w:val="single" w:sz="6" w:space="0" w:color="FFFFFF"/>
                    <w:left w:val="none" w:sz="0" w:space="0" w:color="auto"/>
                    <w:bottom w:val="none" w:sz="0" w:space="0" w:color="auto"/>
                    <w:right w:val="single" w:sz="48" w:space="0" w:color="FFFFFF"/>
                  </w:divBdr>
                  <w:divsChild>
                    <w:div w:id="1921596457">
                      <w:marLeft w:val="4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078318">
      <w:bodyDiv w:val="1"/>
      <w:marLeft w:val="0"/>
      <w:marRight w:val="0"/>
      <w:marTop w:val="0"/>
      <w:marBottom w:val="0"/>
      <w:divBdr>
        <w:top w:val="none" w:sz="0" w:space="0" w:color="auto"/>
        <w:left w:val="none" w:sz="0" w:space="0" w:color="auto"/>
        <w:bottom w:val="none" w:sz="0" w:space="0" w:color="auto"/>
        <w:right w:val="none" w:sz="0" w:space="0" w:color="auto"/>
      </w:divBdr>
      <w:divsChild>
        <w:div w:id="1899508678">
          <w:marLeft w:val="0"/>
          <w:marRight w:val="0"/>
          <w:marTop w:val="0"/>
          <w:marBottom w:val="0"/>
          <w:divBdr>
            <w:top w:val="none" w:sz="0" w:space="0" w:color="auto"/>
            <w:left w:val="none" w:sz="0" w:space="0" w:color="auto"/>
            <w:bottom w:val="none" w:sz="0" w:space="0" w:color="auto"/>
            <w:right w:val="none" w:sz="0" w:space="0" w:color="auto"/>
          </w:divBdr>
          <w:divsChild>
            <w:div w:id="98031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3197">
      <w:bodyDiv w:val="1"/>
      <w:marLeft w:val="0"/>
      <w:marRight w:val="0"/>
      <w:marTop w:val="0"/>
      <w:marBottom w:val="0"/>
      <w:divBdr>
        <w:top w:val="none" w:sz="0" w:space="0" w:color="auto"/>
        <w:left w:val="none" w:sz="0" w:space="0" w:color="auto"/>
        <w:bottom w:val="none" w:sz="0" w:space="0" w:color="auto"/>
        <w:right w:val="none" w:sz="0" w:space="0" w:color="auto"/>
      </w:divBdr>
      <w:divsChild>
        <w:div w:id="683170951">
          <w:marLeft w:val="0"/>
          <w:marRight w:val="0"/>
          <w:marTop w:val="0"/>
          <w:marBottom w:val="0"/>
          <w:divBdr>
            <w:top w:val="none" w:sz="0" w:space="0" w:color="auto"/>
            <w:left w:val="none" w:sz="0" w:space="0" w:color="auto"/>
            <w:bottom w:val="none" w:sz="0" w:space="0" w:color="auto"/>
            <w:right w:val="none" w:sz="0" w:space="0" w:color="auto"/>
          </w:divBdr>
          <w:divsChild>
            <w:div w:id="385683348">
              <w:marLeft w:val="0"/>
              <w:marRight w:val="0"/>
              <w:marTop w:val="0"/>
              <w:marBottom w:val="0"/>
              <w:divBdr>
                <w:top w:val="none" w:sz="0" w:space="0" w:color="auto"/>
                <w:left w:val="none" w:sz="0" w:space="0" w:color="auto"/>
                <w:bottom w:val="none" w:sz="0" w:space="0" w:color="auto"/>
                <w:right w:val="none" w:sz="0" w:space="0" w:color="auto"/>
              </w:divBdr>
              <w:divsChild>
                <w:div w:id="1781606076">
                  <w:marLeft w:val="0"/>
                  <w:marRight w:val="0"/>
                  <w:marTop w:val="0"/>
                  <w:marBottom w:val="0"/>
                  <w:divBdr>
                    <w:top w:val="single" w:sz="6" w:space="0" w:color="FFFFFF"/>
                    <w:left w:val="none" w:sz="0" w:space="0" w:color="auto"/>
                    <w:bottom w:val="none" w:sz="0" w:space="0" w:color="auto"/>
                    <w:right w:val="single" w:sz="48" w:space="0" w:color="FFFFFF"/>
                  </w:divBdr>
                  <w:divsChild>
                    <w:div w:id="25717770">
                      <w:marLeft w:val="4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951482">
      <w:bodyDiv w:val="1"/>
      <w:marLeft w:val="0"/>
      <w:marRight w:val="0"/>
      <w:marTop w:val="0"/>
      <w:marBottom w:val="0"/>
      <w:divBdr>
        <w:top w:val="none" w:sz="0" w:space="0" w:color="auto"/>
        <w:left w:val="none" w:sz="0" w:space="0" w:color="auto"/>
        <w:bottom w:val="none" w:sz="0" w:space="0" w:color="auto"/>
        <w:right w:val="none" w:sz="0" w:space="0" w:color="auto"/>
      </w:divBdr>
    </w:div>
    <w:div w:id="1449665629">
      <w:bodyDiv w:val="1"/>
      <w:marLeft w:val="0"/>
      <w:marRight w:val="0"/>
      <w:marTop w:val="0"/>
      <w:marBottom w:val="0"/>
      <w:divBdr>
        <w:top w:val="none" w:sz="0" w:space="0" w:color="auto"/>
        <w:left w:val="none" w:sz="0" w:space="0" w:color="auto"/>
        <w:bottom w:val="none" w:sz="0" w:space="0" w:color="auto"/>
        <w:right w:val="none" w:sz="0" w:space="0" w:color="auto"/>
      </w:divBdr>
    </w:div>
    <w:div w:id="1482768951">
      <w:bodyDiv w:val="1"/>
      <w:marLeft w:val="0"/>
      <w:marRight w:val="0"/>
      <w:marTop w:val="0"/>
      <w:marBottom w:val="0"/>
      <w:divBdr>
        <w:top w:val="none" w:sz="0" w:space="0" w:color="auto"/>
        <w:left w:val="none" w:sz="0" w:space="0" w:color="auto"/>
        <w:bottom w:val="none" w:sz="0" w:space="0" w:color="auto"/>
        <w:right w:val="none" w:sz="0" w:space="0" w:color="auto"/>
      </w:divBdr>
    </w:div>
    <w:div w:id="1554778139">
      <w:bodyDiv w:val="1"/>
      <w:marLeft w:val="0"/>
      <w:marRight w:val="0"/>
      <w:marTop w:val="0"/>
      <w:marBottom w:val="0"/>
      <w:divBdr>
        <w:top w:val="none" w:sz="0" w:space="0" w:color="auto"/>
        <w:left w:val="none" w:sz="0" w:space="0" w:color="auto"/>
        <w:bottom w:val="none" w:sz="0" w:space="0" w:color="auto"/>
        <w:right w:val="none" w:sz="0" w:space="0" w:color="auto"/>
      </w:divBdr>
    </w:div>
    <w:div w:id="1621759914">
      <w:bodyDiv w:val="1"/>
      <w:marLeft w:val="0"/>
      <w:marRight w:val="0"/>
      <w:marTop w:val="0"/>
      <w:marBottom w:val="0"/>
      <w:divBdr>
        <w:top w:val="none" w:sz="0" w:space="0" w:color="auto"/>
        <w:left w:val="none" w:sz="0" w:space="0" w:color="auto"/>
        <w:bottom w:val="none" w:sz="0" w:space="0" w:color="auto"/>
        <w:right w:val="none" w:sz="0" w:space="0" w:color="auto"/>
      </w:divBdr>
    </w:div>
    <w:div w:id="1739403487">
      <w:bodyDiv w:val="1"/>
      <w:marLeft w:val="0"/>
      <w:marRight w:val="0"/>
      <w:marTop w:val="0"/>
      <w:marBottom w:val="0"/>
      <w:divBdr>
        <w:top w:val="none" w:sz="0" w:space="0" w:color="auto"/>
        <w:left w:val="none" w:sz="0" w:space="0" w:color="auto"/>
        <w:bottom w:val="none" w:sz="0" w:space="0" w:color="auto"/>
        <w:right w:val="none" w:sz="0" w:space="0" w:color="auto"/>
      </w:divBdr>
    </w:div>
    <w:div w:id="1839422271">
      <w:bodyDiv w:val="1"/>
      <w:marLeft w:val="0"/>
      <w:marRight w:val="0"/>
      <w:marTop w:val="0"/>
      <w:marBottom w:val="0"/>
      <w:divBdr>
        <w:top w:val="none" w:sz="0" w:space="0" w:color="auto"/>
        <w:left w:val="none" w:sz="0" w:space="0" w:color="auto"/>
        <w:bottom w:val="none" w:sz="0" w:space="0" w:color="auto"/>
        <w:right w:val="none" w:sz="0" w:space="0" w:color="auto"/>
      </w:divBdr>
    </w:div>
    <w:div w:id="2052806272">
      <w:bodyDiv w:val="1"/>
      <w:marLeft w:val="0"/>
      <w:marRight w:val="0"/>
      <w:marTop w:val="0"/>
      <w:marBottom w:val="0"/>
      <w:divBdr>
        <w:top w:val="none" w:sz="0" w:space="0" w:color="auto"/>
        <w:left w:val="none" w:sz="0" w:space="0" w:color="auto"/>
        <w:bottom w:val="none" w:sz="0" w:space="0" w:color="auto"/>
        <w:right w:val="none" w:sz="0" w:space="0" w:color="auto"/>
      </w:divBdr>
    </w:div>
    <w:div w:id="2097510993">
      <w:bodyDiv w:val="1"/>
      <w:marLeft w:val="0"/>
      <w:marRight w:val="0"/>
      <w:marTop w:val="0"/>
      <w:marBottom w:val="0"/>
      <w:divBdr>
        <w:top w:val="none" w:sz="0" w:space="0" w:color="auto"/>
        <w:left w:val="none" w:sz="0" w:space="0" w:color="auto"/>
        <w:bottom w:val="none" w:sz="0" w:space="0" w:color="auto"/>
        <w:right w:val="none" w:sz="0" w:space="0" w:color="auto"/>
      </w:divBdr>
    </w:div>
    <w:div w:id="2128622258">
      <w:bodyDiv w:val="1"/>
      <w:marLeft w:val="0"/>
      <w:marRight w:val="0"/>
      <w:marTop w:val="0"/>
      <w:marBottom w:val="0"/>
      <w:divBdr>
        <w:top w:val="none" w:sz="0" w:space="0" w:color="auto"/>
        <w:left w:val="none" w:sz="0" w:space="0" w:color="auto"/>
        <w:bottom w:val="none" w:sz="0" w:space="0" w:color="auto"/>
        <w:right w:val="none" w:sz="0" w:space="0" w:color="auto"/>
      </w:divBdr>
    </w:div>
    <w:div w:id="213786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nch1\groups\RIA%20Benchmarking\Final%20Report\Charts%20&amp;%20Tables\Figure%203.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377407407407423E-2"/>
          <c:y val="0.12379928523694686"/>
          <c:w val="0.89575222222222217"/>
          <c:h val="0.69857624939739671"/>
        </c:manualLayout>
      </c:layout>
      <c:barChart>
        <c:barDir val="col"/>
        <c:grouping val="clustered"/>
        <c:varyColors val="0"/>
        <c:ser>
          <c:idx val="0"/>
          <c:order val="0"/>
          <c:spPr>
            <a:solidFill>
              <a:schemeClr val="tx1"/>
            </a:solidFill>
            <a:ln>
              <a:solidFill>
                <a:sysClr val="windowText" lastClr="000000"/>
              </a:solidFill>
            </a:ln>
          </c:spPr>
          <c:invertIfNegative val="0"/>
          <c:cat>
            <c:strRef>
              <c:f>'Use of consultants'!$A$2:$A$8</c:f>
              <c:strCache>
                <c:ptCount val="7"/>
                <c:pt idx="0">
                  <c:v>determining if RIS required</c:v>
                </c:pt>
                <c:pt idx="1">
                  <c:v>developing 
options</c:v>
                </c:pt>
                <c:pt idx="2">
                  <c:v>consultation</c:v>
                </c:pt>
                <c:pt idx="3">
                  <c:v>cost benefit 
analysis</c:v>
                </c:pt>
                <c:pt idx="4">
                  <c:v>preparing 
complete RIS</c:v>
                </c:pt>
                <c:pt idx="5">
                  <c:v>entire RIA 
process</c:v>
                </c:pt>
                <c:pt idx="6">
                  <c:v>other</c:v>
                </c:pt>
              </c:strCache>
            </c:strRef>
          </c:cat>
          <c:val>
            <c:numRef>
              <c:f>'Use of consultants'!$C$2:$C$8</c:f>
              <c:numCache>
                <c:formatCode>0</c:formatCode>
                <c:ptCount val="7"/>
                <c:pt idx="0">
                  <c:v>4.3478260869565215</c:v>
                </c:pt>
                <c:pt idx="1">
                  <c:v>17.391304347826086</c:v>
                </c:pt>
                <c:pt idx="2">
                  <c:v>17.391304347826086</c:v>
                </c:pt>
                <c:pt idx="3">
                  <c:v>78.260869565217391</c:v>
                </c:pt>
                <c:pt idx="4">
                  <c:v>56.521739130434781</c:v>
                </c:pt>
                <c:pt idx="5">
                  <c:v>17.391304347826086</c:v>
                </c:pt>
                <c:pt idx="6">
                  <c:v>4.3478260869565215</c:v>
                </c:pt>
              </c:numCache>
            </c:numRef>
          </c:val>
        </c:ser>
        <c:dLbls>
          <c:showLegendKey val="0"/>
          <c:showVal val="0"/>
          <c:showCatName val="0"/>
          <c:showSerName val="0"/>
          <c:showPercent val="0"/>
          <c:showBubbleSize val="0"/>
        </c:dLbls>
        <c:gapWidth val="150"/>
        <c:axId val="112839680"/>
        <c:axId val="130054016"/>
      </c:barChart>
      <c:catAx>
        <c:axId val="112839680"/>
        <c:scaling>
          <c:orientation val="minMax"/>
        </c:scaling>
        <c:delete val="0"/>
        <c:axPos val="b"/>
        <c:majorTickMark val="none"/>
        <c:minorTickMark val="none"/>
        <c:tickLblPos val="nextTo"/>
        <c:txPr>
          <a:bodyPr rot="0"/>
          <a:lstStyle/>
          <a:p>
            <a:pPr>
              <a:defRPr sz="900"/>
            </a:pPr>
            <a:endParaRPr lang="en-US"/>
          </a:p>
        </c:txPr>
        <c:crossAx val="130054016"/>
        <c:crosses val="autoZero"/>
        <c:auto val="1"/>
        <c:lblAlgn val="ctr"/>
        <c:lblOffset val="100"/>
        <c:noMultiLvlLbl val="0"/>
      </c:catAx>
      <c:valAx>
        <c:axId val="130054016"/>
        <c:scaling>
          <c:orientation val="minMax"/>
          <c:max val="80"/>
        </c:scaling>
        <c:delete val="0"/>
        <c:axPos val="l"/>
        <c:majorGridlines/>
        <c:numFmt formatCode="#,##0" sourceLinked="0"/>
        <c:majorTickMark val="out"/>
        <c:minorTickMark val="none"/>
        <c:tickLblPos val="nextTo"/>
        <c:crossAx val="112839680"/>
        <c:crosses val="autoZero"/>
        <c:crossBetween val="between"/>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0.01754</cdr:x>
      <cdr:y>0</cdr:y>
    </cdr:from>
    <cdr:to>
      <cdr:x>0.31579</cdr:x>
      <cdr:y>0.11429</cdr:y>
    </cdr:to>
    <cdr:sp macro="" textlink="">
      <cdr:nvSpPr>
        <cdr:cNvPr id="2" name="TextBox 1"/>
        <cdr:cNvSpPr txBox="1"/>
      </cdr:nvSpPr>
      <cdr:spPr>
        <a:xfrm xmlns:a="http://schemas.openxmlformats.org/drawingml/2006/main">
          <a:off x="95251" y="0"/>
          <a:ext cx="1619250" cy="2667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rtl="0" eaLnBrk="1" fontAlgn="auto" latinLnBrk="0" hangingPunct="1">
            <a:lnSpc>
              <a:spcPct val="100000"/>
            </a:lnSpc>
            <a:spcBef>
              <a:spcPts val="0"/>
            </a:spcBef>
            <a:spcAft>
              <a:spcPts val="0"/>
            </a:spcAft>
            <a:buClrTx/>
            <a:buSzTx/>
            <a:buFontTx/>
            <a:buNone/>
            <a:tabLst/>
            <a:defRPr/>
          </a:pPr>
          <a:r>
            <a:rPr lang="en-AU" sz="1000" b="0" i="0" baseline="0">
              <a:effectLst/>
              <a:latin typeface="Arial" pitchFamily="34" charset="0"/>
              <a:ea typeface="+mn-ea"/>
              <a:cs typeface="Arial" pitchFamily="34" charset="0"/>
            </a:rPr>
            <a:t>Per cent of agencies</a:t>
          </a:r>
          <a:r>
            <a:rPr lang="en-AU" sz="1200" b="1" i="0" baseline="30000">
              <a:effectLst/>
              <a:latin typeface="Arial" pitchFamily="34" charset="0"/>
              <a:ea typeface="+mn-ea"/>
              <a:cs typeface="Arial" pitchFamily="34" charset="0"/>
            </a:rPr>
            <a:t>a</a:t>
          </a:r>
          <a:endParaRPr lang="en-AU" sz="1050">
            <a:effectLst/>
            <a:latin typeface="Arial" pitchFamily="34" charset="0"/>
            <a:cs typeface="Arial" pitchFamily="34" charset="0"/>
          </a:endParaRPr>
        </a:p>
        <a:p xmlns:a="http://schemas.openxmlformats.org/drawingml/2006/main">
          <a:endParaRPr lang="en-AU" sz="1000">
            <a:latin typeface="Arial" pitchFamily="34" charset="0"/>
            <a:cs typeface="Arial"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75619-3EB2-458F-95D5-5FA9E8B27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8463</TotalTime>
  <Pages>24</Pages>
  <Words>8574</Words>
  <Characters>47398</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Institutions</vt:lpstr>
    </vt:vector>
  </TitlesOfParts>
  <Company>Productivity Commission</Company>
  <LinksUpToDate>false</LinksUpToDate>
  <CharactersWithSpaces>55861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Institutions</dc:title>
  <dc:subject>RIA Benchmarking</dc:subject>
  <dc:creator>Productivity Commission</dc:creator>
  <cp:keywords/>
  <dc:description>3.</dc:description>
  <cp:lastModifiedBy>Melissa Edwards</cp:lastModifiedBy>
  <cp:revision>218</cp:revision>
  <cp:lastPrinted>2012-11-25T23:00:00Z</cp:lastPrinted>
  <dcterms:created xsi:type="dcterms:W3CDTF">2012-07-13T00:44:00Z</dcterms:created>
  <dcterms:modified xsi:type="dcterms:W3CDTF">2012-11-26T23:46:00Z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-1415238161</vt:i4>
  </property>
  <property fmtid="{D5CDD505-2E9C-101B-9397-08002B2CF9AE}" pid="3" name="_NewReviewCycle">
    <vt:lpwstr/>
  </property>
  <property fmtid="{D5CDD505-2E9C-101B-9397-08002B2CF9AE}" pid="4" name="_EmailSubject">
    <vt:lpwstr>Web files - RIA - final research report</vt:lpwstr>
  </property>
  <property fmtid="{D5CDD505-2E9C-101B-9397-08002B2CF9AE}" pid="5" name="_AuthorEmail">
    <vt:lpwstr>Louise.Jordan@pc.gov.au</vt:lpwstr>
  </property>
  <property fmtid="{D5CDD505-2E9C-101B-9397-08002B2CF9AE}" pid="6" name="_AuthorEmailDisplayName">
    <vt:lpwstr>Jordan, Louise</vt:lpwstr>
  </property>
</Properties>
</file>