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45E51" w:rsidP="00A6771B">
      <w:pPr>
        <w:pStyle w:val="Heading1"/>
        <w:spacing w:before="0" w:after="720"/>
      </w:pPr>
      <w:bookmarkStart w:id="0" w:name="ChapterNumber"/>
      <w:bookmarkStart w:id="1" w:name="_GoBack"/>
      <w:r>
        <w:t>4</w:t>
      </w:r>
      <w:bookmarkEnd w:id="0"/>
      <w:r w:rsidR="00D70B04">
        <w:tab/>
      </w:r>
      <w:r w:rsidR="005B415C">
        <w:t>Scope of r</w:t>
      </w:r>
      <w:r w:rsidR="00774E83">
        <w:t xml:space="preserve">egulatory </w:t>
      </w:r>
      <w:r w:rsidR="005B415C">
        <w:t>i</w:t>
      </w:r>
      <w:r w:rsidR="00774E83">
        <w:t xml:space="preserve">mpact </w:t>
      </w:r>
      <w:r w:rsidR="005B415C">
        <w:t>a</w:t>
      </w:r>
      <w:r w:rsidR="004161E1">
        <w:t>nalysis</w:t>
      </w:r>
    </w:p>
    <w:p w:rsidR="00E1242E" w:rsidRDefault="00E1242E" w:rsidP="00E1242E">
      <w:pPr>
        <w:pStyle w:val="BoxSpac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1242E" w:rsidTr="008D483F">
        <w:tc>
          <w:tcPr>
            <w:tcW w:w="8771" w:type="dxa"/>
            <w:tcBorders>
              <w:top w:val="single" w:sz="6" w:space="0" w:color="auto"/>
              <w:bottom w:val="nil"/>
            </w:tcBorders>
          </w:tcPr>
          <w:p w:rsidR="00E1242E" w:rsidRDefault="00E1242E" w:rsidP="00B3348D">
            <w:pPr>
              <w:pStyle w:val="BoxTitle"/>
            </w:pPr>
            <w:r>
              <w:t>Key points</w:t>
            </w:r>
          </w:p>
        </w:tc>
      </w:tr>
      <w:tr w:rsidR="00E1242E" w:rsidTr="008D483F">
        <w:trPr>
          <w:cantSplit/>
        </w:trPr>
        <w:tc>
          <w:tcPr>
            <w:tcW w:w="8771" w:type="dxa"/>
            <w:tcBorders>
              <w:top w:val="nil"/>
              <w:left w:val="single" w:sz="6" w:space="0" w:color="auto"/>
              <w:bottom w:val="nil"/>
              <w:right w:val="single" w:sz="6" w:space="0" w:color="auto"/>
            </w:tcBorders>
          </w:tcPr>
          <w:p w:rsidR="00E1242E" w:rsidRDefault="00397A67" w:rsidP="00AB1C86">
            <w:pPr>
              <w:pStyle w:val="BoxListBullet"/>
            </w:pPr>
            <w:r>
              <w:t>Regulatory impact analysis (</w:t>
            </w:r>
            <w:r w:rsidR="00E1242E">
              <w:t>RIA</w:t>
            </w:r>
            <w:r>
              <w:t>)</w:t>
            </w:r>
            <w:r w:rsidR="00E1242E">
              <w:t xml:space="preserve"> should, in principle, apply to all regulatory instruments where there is an expectation of compliance. </w:t>
            </w:r>
            <w:r w:rsidR="00F85DF5">
              <w:t xml:space="preserve">In all jurisdictions, </w:t>
            </w:r>
            <w:r w:rsidR="00E1242E">
              <w:t>RIA applies to new or amended primary and subordinate regulation</w:t>
            </w:r>
            <w:r w:rsidR="00F85DF5">
              <w:t xml:space="preserve">, and </w:t>
            </w:r>
            <w:r w:rsidR="00E1242E">
              <w:t>also to quasi regulation</w:t>
            </w:r>
            <w:r w:rsidR="00F85DF5">
              <w:t>,</w:t>
            </w:r>
            <w:r w:rsidR="00E1242E">
              <w:t xml:space="preserve"> except in N</w:t>
            </w:r>
            <w:r w:rsidR="00BD11A0">
              <w:t xml:space="preserve">ew </w:t>
            </w:r>
            <w:r w:rsidR="00E1242E">
              <w:t>S</w:t>
            </w:r>
            <w:r w:rsidR="00BD11A0">
              <w:t xml:space="preserve">outh </w:t>
            </w:r>
            <w:r w:rsidR="00E1242E">
              <w:t>W</w:t>
            </w:r>
            <w:r w:rsidR="00BD11A0">
              <w:t>ales</w:t>
            </w:r>
            <w:r w:rsidR="00E1242E">
              <w:t>, Victoria</w:t>
            </w:r>
            <w:r w:rsidR="006B71F9">
              <w:t>, Western Australia</w:t>
            </w:r>
            <w:r w:rsidR="00E1242E">
              <w:t xml:space="preserve"> and Tasmania</w:t>
            </w:r>
            <w:r>
              <w:t>,</w:t>
            </w:r>
            <w:r w:rsidR="00E1242E">
              <w:t xml:space="preserve"> and to the remaking of </w:t>
            </w:r>
            <w:proofErr w:type="spellStart"/>
            <w:r w:rsidR="00E1242E">
              <w:t>sunsetting</w:t>
            </w:r>
            <w:proofErr w:type="spellEnd"/>
            <w:r w:rsidR="00E1242E">
              <w:t xml:space="preserve"> regulations, </w:t>
            </w:r>
            <w:r w:rsidR="00571A15">
              <w:t xml:space="preserve">except </w:t>
            </w:r>
            <w:r w:rsidR="00E1242E">
              <w:t>in Western Australia (and</w:t>
            </w:r>
            <w:r>
              <w:t>,</w:t>
            </w:r>
            <w:r w:rsidR="00E1242E">
              <w:t xml:space="preserve"> in some circumstances</w:t>
            </w:r>
            <w:r w:rsidR="004161E1">
              <w:t>,</w:t>
            </w:r>
            <w:r w:rsidR="00E1242E">
              <w:t xml:space="preserve"> Tasmania).</w:t>
            </w:r>
          </w:p>
          <w:p w:rsidR="006B71F9" w:rsidRDefault="006B71F9" w:rsidP="006B71F9">
            <w:pPr>
              <w:pStyle w:val="BoxListBullet"/>
            </w:pPr>
            <w:r>
              <w:t>All</w:t>
            </w:r>
            <w:r w:rsidRPr="00E716E1">
              <w:t xml:space="preserve"> jurisdictions </w:t>
            </w:r>
            <w:r>
              <w:t>(except the ACT for primary legislation)</w:t>
            </w:r>
            <w:r w:rsidRPr="00E716E1">
              <w:t xml:space="preserve"> apply </w:t>
            </w:r>
            <w:r w:rsidR="00697E3D">
              <w:t xml:space="preserve">threshold </w:t>
            </w:r>
            <w:r w:rsidRPr="00E716E1">
              <w:t>significance test</w:t>
            </w:r>
            <w:r w:rsidR="00697E3D">
              <w:t>s</w:t>
            </w:r>
            <w:r w:rsidRPr="00E716E1">
              <w:t xml:space="preserve"> to </w:t>
            </w:r>
            <w:r w:rsidR="00697E3D">
              <w:t>decide which</w:t>
            </w:r>
            <w:r w:rsidR="00697E3D" w:rsidRPr="00E716E1">
              <w:t xml:space="preserve"> </w:t>
            </w:r>
            <w:r w:rsidR="00697E3D">
              <w:t>regulatory proposals require</w:t>
            </w:r>
            <w:r w:rsidR="00697E3D" w:rsidRPr="00E716E1">
              <w:t xml:space="preserve"> </w:t>
            </w:r>
            <w:r w:rsidR="00070EFA">
              <w:t>r</w:t>
            </w:r>
            <w:r w:rsidR="00397A67">
              <w:t xml:space="preserve">egulation </w:t>
            </w:r>
            <w:r w:rsidR="00070EFA">
              <w:t>i</w:t>
            </w:r>
            <w:r w:rsidR="00397A67">
              <w:t xml:space="preserve">mpact </w:t>
            </w:r>
            <w:r w:rsidR="00070EFA">
              <w:t>s</w:t>
            </w:r>
            <w:r w:rsidR="00397A67">
              <w:t>tatements (</w:t>
            </w:r>
            <w:r w:rsidRPr="00E716E1">
              <w:t>RISs</w:t>
            </w:r>
            <w:r w:rsidR="00397A67">
              <w:t>)</w:t>
            </w:r>
            <w:r w:rsidR="00254BB6">
              <w:t>.</w:t>
            </w:r>
          </w:p>
          <w:p w:rsidR="00AB1C86" w:rsidRDefault="00C870A9" w:rsidP="00F85DF5">
            <w:pPr>
              <w:pStyle w:val="BoxListBullet"/>
            </w:pPr>
            <w:r>
              <w:t xml:space="preserve">Despite the broad range of regulation subject to RIA, </w:t>
            </w:r>
            <w:r w:rsidR="00AB1C86">
              <w:t>only 1 to 3 per cent of all regulation made across Australia’s jurisdictions</w:t>
            </w:r>
            <w:r>
              <w:t xml:space="preserve"> has had a RIS prepared for it</w:t>
            </w:r>
            <w:r w:rsidR="00AB1C86">
              <w:t>.</w:t>
            </w:r>
          </w:p>
          <w:p w:rsidR="00F85DF5" w:rsidRDefault="00F85DF5" w:rsidP="00F85DF5">
            <w:pPr>
              <w:pStyle w:val="BoxListBullet"/>
            </w:pPr>
            <w:r>
              <w:t>Concerns were raised about the subjectiveness of decisions on the need for a RIS. Agencies provided examples of being asked to prepare RISs where they considered the impacts were not significant; while industry groups raised instances of agencies not preparing RISs for proposals they considered to have significant impacts.</w:t>
            </w:r>
          </w:p>
          <w:p w:rsidR="00F85DF5" w:rsidRDefault="00F85DF5" w:rsidP="00F85DF5">
            <w:pPr>
              <w:pStyle w:val="BoxListBullet2"/>
            </w:pPr>
            <w:r>
              <w:t>The provision of improved guidance and examples of what constitutes significant impacts may reduce the number of judgments that are disputed.</w:t>
            </w:r>
          </w:p>
          <w:p w:rsidR="006B71F9" w:rsidRDefault="006B71F9" w:rsidP="006B71F9">
            <w:pPr>
              <w:pStyle w:val="BoxListBullet"/>
            </w:pPr>
            <w:r>
              <w:t>Significant differences exist across jurisdictions in the initial screening required to determine whether</w:t>
            </w:r>
            <w:r w:rsidR="00F85DF5">
              <w:t xml:space="preserve"> likely impacts are significant.</w:t>
            </w:r>
            <w:r>
              <w:t xml:space="preserve"> Queensland, Western Australia and the Northern Territory have a formal process of preliminary assessment to determine whether </w:t>
            </w:r>
            <w:r w:rsidR="00F85DF5">
              <w:t>a RIS is required.</w:t>
            </w:r>
          </w:p>
          <w:p w:rsidR="00802B5E" w:rsidRDefault="00C870A9" w:rsidP="007F1CBE">
            <w:pPr>
              <w:pStyle w:val="BoxListBullet"/>
            </w:pPr>
            <w:r>
              <w:t>F</w:t>
            </w:r>
            <w:r w:rsidR="00774E83">
              <w:t xml:space="preserve">or regulation </w:t>
            </w:r>
            <w:r>
              <w:t>subject to</w:t>
            </w:r>
            <w:r w:rsidR="00774E83">
              <w:t xml:space="preserve"> RIA</w:t>
            </w:r>
            <w:r>
              <w:t>, it</w:t>
            </w:r>
            <w:r w:rsidR="00774E83">
              <w:t xml:space="preserve"> </w:t>
            </w:r>
            <w:r w:rsidR="000C5AFA">
              <w:t xml:space="preserve">should be </w:t>
            </w:r>
            <w:r>
              <w:t xml:space="preserve">presumed </w:t>
            </w:r>
            <w:r w:rsidR="000C5AFA">
              <w:t xml:space="preserve">that a RIS is required, </w:t>
            </w:r>
            <w:r w:rsidR="00C80331">
              <w:t xml:space="preserve">unless it can be shown that </w:t>
            </w:r>
            <w:r>
              <w:t>impacts are</w:t>
            </w:r>
            <w:r w:rsidR="000C5AFA">
              <w:t xml:space="preserve"> not </w:t>
            </w:r>
            <w:r>
              <w:t>significant</w:t>
            </w:r>
            <w:r w:rsidR="00802B5E">
              <w:t>.</w:t>
            </w:r>
            <w:r w:rsidR="00C80331">
              <w:t xml:space="preserve"> </w:t>
            </w:r>
            <w:r>
              <w:t>S</w:t>
            </w:r>
            <w:r w:rsidR="00802B5E">
              <w:t xml:space="preserve">uch a presumption is a feature of the RIS trigger </w:t>
            </w:r>
            <w:r w:rsidR="000C5AFA">
              <w:t xml:space="preserve">only </w:t>
            </w:r>
            <w:r w:rsidR="00802B5E">
              <w:t xml:space="preserve">for subordinate legislation in </w:t>
            </w:r>
            <w:r w:rsidR="000C5AFA">
              <w:t xml:space="preserve">New South Wales </w:t>
            </w:r>
            <w:r w:rsidR="00802B5E">
              <w:t>and Victoria.</w:t>
            </w:r>
          </w:p>
          <w:p w:rsidR="007B285A" w:rsidRDefault="007B285A" w:rsidP="007B285A">
            <w:pPr>
              <w:pStyle w:val="BoxListBullet2"/>
            </w:pPr>
            <w:r>
              <w:t>Where impacts are assessed as not significant (hence no RIS is required), reasons for the determination should be made public.</w:t>
            </w:r>
          </w:p>
          <w:p w:rsidR="000C5AFA" w:rsidRDefault="000C5AFA" w:rsidP="009C1E2E">
            <w:pPr>
              <w:pStyle w:val="BoxListBullet"/>
            </w:pPr>
            <w:r>
              <w:t xml:space="preserve">The RIS trigger should consider </w:t>
            </w:r>
            <w:r w:rsidR="00254BB6">
              <w:t xml:space="preserve">both </w:t>
            </w:r>
            <w:r w:rsidR="00254BB6" w:rsidRPr="00E716E1">
              <w:t xml:space="preserve">positive </w:t>
            </w:r>
            <w:r w:rsidR="00254BB6">
              <w:t xml:space="preserve">and </w:t>
            </w:r>
            <w:r w:rsidR="00254BB6" w:rsidRPr="00E716E1">
              <w:t>negative</w:t>
            </w:r>
            <w:r w:rsidR="00254BB6">
              <w:t xml:space="preserve"> </w:t>
            </w:r>
            <w:r w:rsidR="00B919DB">
              <w:t xml:space="preserve">impacts </w:t>
            </w:r>
            <w:r w:rsidRPr="00E716E1">
              <w:t>on any group in the community</w:t>
            </w:r>
            <w:r w:rsidR="008D483F">
              <w:t>, as is the case with t</w:t>
            </w:r>
            <w:r w:rsidR="00897470">
              <w:t>he Northern Territory</w:t>
            </w:r>
            <w:r w:rsidR="008D483F">
              <w:t>.</w:t>
            </w:r>
          </w:p>
          <w:p w:rsidR="00A6771B" w:rsidRDefault="00A6771B" w:rsidP="00A6771B">
            <w:pPr>
              <w:pStyle w:val="BoxListBullet"/>
            </w:pPr>
            <w:r>
              <w:t>Agency self-assessment of the need for a RIS (subject to appropriate auditing) may improve RIA efficiency, particularly in those jurisdictions with a relatively high level of RIA activity.</w:t>
            </w:r>
          </w:p>
          <w:p w:rsidR="00C870A9" w:rsidRDefault="007C6989" w:rsidP="00C870A9">
            <w:pPr>
              <w:pStyle w:val="BoxListBullet"/>
            </w:pPr>
            <w:r>
              <w:t>I</w:t>
            </w:r>
            <w:r w:rsidR="00E1242E">
              <w:t xml:space="preserve">rrespective of who makes the determination as to whether a RIS is required, the </w:t>
            </w:r>
            <w:r w:rsidR="00C870A9">
              <w:t>initial impact analysis and documentary requirements should be streamlined and the minimum necessary (generally not more than a basic pro forma checklist).</w:t>
            </w:r>
          </w:p>
          <w:p w:rsidR="00C870A9" w:rsidRDefault="00C870A9" w:rsidP="00C870A9">
            <w:pPr>
              <w:pStyle w:val="BoxListBullet2"/>
            </w:pPr>
            <w:r>
              <w:t>Determinations of the need for a RIS should be subject to periodic independent auditing.</w:t>
            </w:r>
          </w:p>
        </w:tc>
      </w:tr>
      <w:tr w:rsidR="00E1242E" w:rsidTr="008D483F">
        <w:trPr>
          <w:cantSplit/>
        </w:trPr>
        <w:tc>
          <w:tcPr>
            <w:tcW w:w="8771" w:type="dxa"/>
            <w:tcBorders>
              <w:top w:val="nil"/>
              <w:left w:val="single" w:sz="6" w:space="0" w:color="auto"/>
              <w:bottom w:val="single" w:sz="6" w:space="0" w:color="auto"/>
              <w:right w:val="single" w:sz="6" w:space="0" w:color="auto"/>
            </w:tcBorders>
          </w:tcPr>
          <w:p w:rsidR="00E1242E" w:rsidRDefault="00E1242E" w:rsidP="00B3348D">
            <w:pPr>
              <w:pStyle w:val="Box"/>
              <w:spacing w:before="0" w:line="120" w:lineRule="exact"/>
            </w:pPr>
          </w:p>
        </w:tc>
      </w:tr>
      <w:tr w:rsidR="00E1242E" w:rsidTr="00B3348D">
        <w:tc>
          <w:tcPr>
            <w:tcW w:w="8771" w:type="dxa"/>
            <w:tcBorders>
              <w:top w:val="nil"/>
              <w:left w:val="nil"/>
              <w:bottom w:val="nil"/>
              <w:right w:val="nil"/>
            </w:tcBorders>
          </w:tcPr>
          <w:p w:rsidR="00E1242E" w:rsidRDefault="00E1242E" w:rsidP="00B3348D">
            <w:pPr>
              <w:pStyle w:val="Box"/>
              <w:keepNext w:val="0"/>
              <w:spacing w:before="60" w:after="60" w:line="80" w:lineRule="exact"/>
              <w:rPr>
                <w:b/>
                <w:color w:val="FF00FF"/>
                <w:sz w:val="14"/>
              </w:rPr>
            </w:pPr>
          </w:p>
        </w:tc>
      </w:tr>
    </w:tbl>
    <w:p w:rsidR="00596A4B" w:rsidRDefault="00A0015A" w:rsidP="00A0015A">
      <w:pPr>
        <w:pStyle w:val="BodyText"/>
      </w:pPr>
      <w:r>
        <w:t xml:space="preserve">The terms of reference </w:t>
      </w:r>
      <w:r w:rsidR="00A75272">
        <w:t xml:space="preserve">specifically request </w:t>
      </w:r>
      <w:r w:rsidR="002D389F">
        <w:t xml:space="preserve">that </w:t>
      </w:r>
      <w:r>
        <w:t>the Commission assess ‘whether RIA applies to primary and subordinate legislation, legislative and non-legislative instruments and quasi</w:t>
      </w:r>
      <w:r w:rsidR="00997AB0">
        <w:t xml:space="preserve"> </w:t>
      </w:r>
      <w:r>
        <w:t>regulation’. The Commission is also to consider the ‘regulatory significance threshold, and related thresholds, such as impacts on specific sectors and regions, at which mandatory RIA processes are triggered’.</w:t>
      </w:r>
    </w:p>
    <w:p w:rsidR="00A0015A" w:rsidRDefault="00596A4B" w:rsidP="00A0015A">
      <w:pPr>
        <w:pStyle w:val="BodyText"/>
      </w:pPr>
      <w:r>
        <w:t>This chapter considers the types of regulations that are subject to RIA requirements, the various significance thresholds and associated processes for determining when the requirement for a RIS is triggered.</w:t>
      </w:r>
      <w:r w:rsidR="00BC0BC4">
        <w:t xml:space="preserve"> </w:t>
      </w:r>
      <w:r w:rsidR="00BD11A0">
        <w:t>Regulatory proposals that are outside the scope of RIA (exceptions and exemptions) are covered in chapter </w:t>
      </w:r>
      <w:r w:rsidR="00145E51">
        <w:t>5</w:t>
      </w:r>
      <w:r w:rsidR="00BD11A0">
        <w:t>.</w:t>
      </w:r>
    </w:p>
    <w:p w:rsidR="00A0015A" w:rsidRDefault="00145E51" w:rsidP="00A0015A">
      <w:pPr>
        <w:pStyle w:val="Heading2"/>
      </w:pPr>
      <w:bookmarkStart w:id="3" w:name="OLE_LINK6"/>
      <w:bookmarkStart w:id="4" w:name="_Toc326139776"/>
      <w:r>
        <w:t>4.</w:t>
      </w:r>
      <w:r w:rsidR="009445FF">
        <w:rPr>
          <w:noProof/>
        </w:rPr>
        <w:t>1</w:t>
      </w:r>
      <w:bookmarkEnd w:id="3"/>
      <w:r w:rsidR="00A0015A">
        <w:tab/>
        <w:t>Regulation subject to RIA</w:t>
      </w:r>
      <w:bookmarkEnd w:id="4"/>
    </w:p>
    <w:p w:rsidR="001A5F1A" w:rsidRDefault="009C1E2E" w:rsidP="001A5F1A">
      <w:pPr>
        <w:pStyle w:val="BodyText"/>
      </w:pPr>
      <w:r>
        <w:t>As discussed</w:t>
      </w:r>
      <w:r w:rsidR="001A5F1A">
        <w:t xml:space="preserve"> in chapter 1, ‘regulation’ covers both primary and subordinate legis</w:t>
      </w:r>
      <w:r w:rsidR="00E354DA">
        <w:t>lative instruments, as well as — in certain circumstances —</w:t>
      </w:r>
      <w:r w:rsidR="00FE7D26">
        <w:t xml:space="preserve"> </w:t>
      </w:r>
      <w:r w:rsidR="00177B23">
        <w:t xml:space="preserve">quasi regulation, </w:t>
      </w:r>
      <w:r w:rsidR="001A5F1A">
        <w:t>such as codes of conduct, industry agreements and other guidance documents.</w:t>
      </w:r>
    </w:p>
    <w:p w:rsidR="00A0015A" w:rsidRDefault="001A5F1A" w:rsidP="00A0015A">
      <w:pPr>
        <w:pStyle w:val="BodyText"/>
      </w:pPr>
      <w:r>
        <w:t>T</w:t>
      </w:r>
      <w:r w:rsidR="00A0015A">
        <w:t xml:space="preserve">he </w:t>
      </w:r>
      <w:r w:rsidR="00A0015A" w:rsidRPr="001169F1">
        <w:t>OECD</w:t>
      </w:r>
      <w:r w:rsidR="00BC0BC4">
        <w:t>,</w:t>
      </w:r>
      <w:r w:rsidR="00A0015A" w:rsidRPr="001169F1">
        <w:t xml:space="preserve"> </w:t>
      </w:r>
      <w:r>
        <w:t>when considering the appropriate coverage of RIA</w:t>
      </w:r>
      <w:r w:rsidR="00596A4B">
        <w:t>,</w:t>
      </w:r>
      <w:r w:rsidR="00CF5B12">
        <w:t xml:space="preserve"> </w:t>
      </w:r>
      <w:r w:rsidR="00596A4B" w:rsidRPr="001169F1">
        <w:t xml:space="preserve">has </w:t>
      </w:r>
      <w:r w:rsidR="00596A4B">
        <w:t xml:space="preserve">defined regulation broadly </w:t>
      </w:r>
      <w:r w:rsidR="00CF5B12">
        <w:t>as</w:t>
      </w:r>
      <w:r w:rsidR="00A0015A">
        <w:t>:</w:t>
      </w:r>
    </w:p>
    <w:p w:rsidR="00A0015A" w:rsidRDefault="001A5F1A" w:rsidP="00A0015A">
      <w:pPr>
        <w:pStyle w:val="Quote"/>
      </w:pPr>
      <w:r>
        <w:t>…</w:t>
      </w:r>
      <w:r w:rsidR="00397A67">
        <w:t xml:space="preserve"> </w:t>
      </w:r>
      <w:r w:rsidR="00A0015A">
        <w:t>referring to the diverse set of instruments by which governments set requirements on enterprises and citizens. Regulations include laws, formal and informal orders and subordinate rules issued by all levels of government</w:t>
      </w:r>
      <w:r w:rsidR="00464AFA">
        <w:t>, and rules issued by non</w:t>
      </w:r>
      <w:r w:rsidR="00464AFA">
        <w:noBreakHyphen/>
      </w:r>
      <w:r w:rsidR="00A0015A">
        <w:t>governmental or self</w:t>
      </w:r>
      <w:r w:rsidR="00A0015A">
        <w:noBreakHyphen/>
        <w:t xml:space="preserve">regulatory bodies to which governments have delegated regulatory powers. (OECD </w:t>
      </w:r>
      <w:proofErr w:type="spellStart"/>
      <w:r w:rsidR="00A0015A">
        <w:t>2012</w:t>
      </w:r>
      <w:r w:rsidR="005F7EBF">
        <w:t>a</w:t>
      </w:r>
      <w:proofErr w:type="spellEnd"/>
      <w:r w:rsidR="00A0015A">
        <w:t>, p. 21)</w:t>
      </w:r>
    </w:p>
    <w:p w:rsidR="003F5998" w:rsidRDefault="00596A4B" w:rsidP="003F5998">
      <w:pPr>
        <w:pStyle w:val="BodyText"/>
      </w:pPr>
      <w:r>
        <w:t>In m</w:t>
      </w:r>
      <w:r w:rsidR="003F5998">
        <w:t>ost Australian jurisdictions</w:t>
      </w:r>
      <w:r w:rsidR="00177B23">
        <w:t>,</w:t>
      </w:r>
      <w:r w:rsidR="003F5998">
        <w:t xml:space="preserve"> </w:t>
      </w:r>
      <w:r>
        <w:t>the</w:t>
      </w:r>
      <w:r w:rsidR="003F5998">
        <w:t xml:space="preserve"> determin</w:t>
      </w:r>
      <w:r>
        <w:t>ation</w:t>
      </w:r>
      <w:r w:rsidR="003F5998">
        <w:t xml:space="preserve"> </w:t>
      </w:r>
      <w:r>
        <w:t>of the</w:t>
      </w:r>
      <w:r w:rsidR="003F5998">
        <w:t xml:space="preserve"> types of regulatory instruments subject to RIA</w:t>
      </w:r>
      <w:r w:rsidR="00177B23">
        <w:t xml:space="preserve"> </w:t>
      </w:r>
      <w:r w:rsidR="003F5998">
        <w:t xml:space="preserve">is based upon whether there is an ‘expectation of compliance’. </w:t>
      </w:r>
      <w:r w:rsidR="00397A67">
        <w:t>For example, t</w:t>
      </w:r>
      <w:r w:rsidR="003F5998">
        <w:t>he Australian Government guidance material states that:</w:t>
      </w:r>
    </w:p>
    <w:p w:rsidR="003F5998" w:rsidRDefault="003F5998" w:rsidP="003F5998">
      <w:pPr>
        <w:pStyle w:val="Quote"/>
      </w:pPr>
      <w:r w:rsidRPr="008A402F">
        <w:t>Regulation is any ‘rule’ endorsed by government where there is an expectation of compliance. It includes primary legislation and legislative instruments (both disallowable and non-disallowabl</w:t>
      </w:r>
      <w:r>
        <w:t>e) and international treaties.</w:t>
      </w:r>
      <w:r w:rsidRPr="008A402F">
        <w:t xml:space="preserve"> It also comprises other means by which governments influence businesses and the not-for-profit sector to comply but that do not form part of explicit government regulation (for example, industry codes of practice, guidance notes, industry-government agreements and accreditation schemes).</w:t>
      </w:r>
      <w:r>
        <w:t xml:space="preserve"> (Australian Government </w:t>
      </w:r>
      <w:proofErr w:type="spellStart"/>
      <w:r>
        <w:t>2010</w:t>
      </w:r>
      <w:r w:rsidR="006A0201">
        <w:t>a</w:t>
      </w:r>
      <w:proofErr w:type="spellEnd"/>
      <w:r>
        <w:t>, p. 9)</w:t>
      </w:r>
    </w:p>
    <w:p w:rsidR="00CA0221" w:rsidRDefault="00CA0221" w:rsidP="00A0015A">
      <w:pPr>
        <w:pStyle w:val="BodyText"/>
      </w:pPr>
      <w:r>
        <w:t>All Australian jurisdictions state that the RIA requirements a</w:t>
      </w:r>
      <w:r w:rsidR="00464AFA">
        <w:t>pply to all government agencies. T</w:t>
      </w:r>
      <w:r>
        <w:t>he Australian Government, Queensland and South Australia</w:t>
      </w:r>
      <w:r w:rsidR="00464AFA">
        <w:t>n guidance materials expressly state that</w:t>
      </w:r>
      <w:r w:rsidR="003142DE">
        <w:t xml:space="preserve"> administrative or statutor</w:t>
      </w:r>
      <w:r>
        <w:t>y inde</w:t>
      </w:r>
      <w:r w:rsidR="003F5998">
        <w:t>pendent bodies</w:t>
      </w:r>
      <w:r w:rsidR="00464AFA">
        <w:t xml:space="preserve"> are subject to the RIA requirements</w:t>
      </w:r>
      <w:r w:rsidR="003F5998">
        <w:t>.</w:t>
      </w:r>
    </w:p>
    <w:p w:rsidR="00A0015A" w:rsidRPr="00342A24" w:rsidRDefault="00A0015A" w:rsidP="00A0015A">
      <w:pPr>
        <w:pStyle w:val="Heading3"/>
      </w:pPr>
      <w:bookmarkStart w:id="5" w:name="_Toc326139777"/>
      <w:r>
        <w:lastRenderedPageBreak/>
        <w:t xml:space="preserve">Jurisdictional </w:t>
      </w:r>
      <w:bookmarkEnd w:id="5"/>
      <w:r>
        <w:t>approaches to regulation coverage</w:t>
      </w:r>
    </w:p>
    <w:p w:rsidR="00BC6F64" w:rsidRDefault="00BC6F64" w:rsidP="00BC6F64">
      <w:pPr>
        <w:pStyle w:val="Heading4"/>
      </w:pPr>
      <w:r>
        <w:t>Types of regulations covered by RIA</w:t>
      </w:r>
    </w:p>
    <w:p w:rsidR="00BC0BC4" w:rsidRDefault="00BC6F64" w:rsidP="00BC6F64">
      <w:pPr>
        <w:pStyle w:val="BodyText"/>
      </w:pPr>
      <w:r>
        <w:t xml:space="preserve">Most jurisdictions stipulate that RIA applies to new and amending Bills and regulations, as well as to </w:t>
      </w:r>
      <w:proofErr w:type="spellStart"/>
      <w:r>
        <w:t>sunsetting</w:t>
      </w:r>
      <w:proofErr w:type="spellEnd"/>
      <w:r>
        <w:t xml:space="preserve"> regulations (table 4.1). </w:t>
      </w:r>
      <w:r w:rsidR="00BC0BC4">
        <w:t xml:space="preserve">The RIA requirements for reviews of regulation are covered in chapter 9. </w:t>
      </w:r>
    </w:p>
    <w:p w:rsidR="002B55E0" w:rsidRDefault="00BC0BC4" w:rsidP="00BC0BC4">
      <w:pPr>
        <w:pStyle w:val="BodyText"/>
      </w:pPr>
      <w:r>
        <w:t>Amongst the ten jurisdictions, t</w:t>
      </w:r>
      <w:r w:rsidR="00BC6F64">
        <w:t>he</w:t>
      </w:r>
      <w:r w:rsidR="00596A4B">
        <w:t xml:space="preserve"> scope of RIA in the</w:t>
      </w:r>
      <w:r w:rsidR="00BC6F64">
        <w:t xml:space="preserve"> Northern Territory </w:t>
      </w:r>
      <w:r w:rsidR="00596A4B">
        <w:t>is</w:t>
      </w:r>
      <w:r w:rsidR="00BC6F64">
        <w:t xml:space="preserve"> particularly broad </w:t>
      </w:r>
      <w:r>
        <w:t xml:space="preserve">as it includes all </w:t>
      </w:r>
      <w:r w:rsidR="00BC6F64">
        <w:t>primary and subordinate legislation, as well as legislative and non-legislative instruments such as rules, codes, plans of management and quasi regulation.</w:t>
      </w:r>
      <w:r w:rsidR="00BC6F64" w:rsidRPr="00382F2E">
        <w:t xml:space="preserve"> </w:t>
      </w:r>
      <w:r>
        <w:t>Similarly</w:t>
      </w:r>
      <w:r w:rsidR="000B43AD">
        <w:t xml:space="preserve"> broad</w:t>
      </w:r>
      <w:r>
        <w:t xml:space="preserve">, </w:t>
      </w:r>
      <w:r w:rsidR="002B55E0">
        <w:t xml:space="preserve">the </w:t>
      </w:r>
      <w:r>
        <w:t xml:space="preserve">COAG RIA </w:t>
      </w:r>
      <w:r w:rsidR="002B55E0">
        <w:t>guidebook states that:</w:t>
      </w:r>
    </w:p>
    <w:p w:rsidR="002B55E0" w:rsidRPr="00B301B4" w:rsidRDefault="002B55E0" w:rsidP="002B55E0">
      <w:pPr>
        <w:pStyle w:val="Quote"/>
      </w:pPr>
      <w:r w:rsidRPr="00B301B4">
        <w:t>If regulatory options are being considered (such as self-regulation where governments expect business to</w:t>
      </w:r>
      <w:r>
        <w:t xml:space="preserve"> </w:t>
      </w:r>
      <w:r w:rsidRPr="00B301B4">
        <w:t>comply, quasi</w:t>
      </w:r>
      <w:r>
        <w:t xml:space="preserve"> </w:t>
      </w:r>
      <w:r w:rsidRPr="00B301B4">
        <w:t>regulation, co-regulation and ‘black letter law’) then Ministerial Councils must subject these</w:t>
      </w:r>
      <w:r>
        <w:t xml:space="preserve"> </w:t>
      </w:r>
      <w:r w:rsidRPr="00B301B4">
        <w:t>options to a regulatory impact assessment process through the preparation of a draft and final RIS.</w:t>
      </w:r>
      <w:r>
        <w:t xml:space="preserve"> (</w:t>
      </w:r>
      <w:proofErr w:type="spellStart"/>
      <w:r>
        <w:t>COAG</w:t>
      </w:r>
      <w:proofErr w:type="spellEnd"/>
      <w:r>
        <w:t xml:space="preserve"> </w:t>
      </w:r>
      <w:proofErr w:type="spellStart"/>
      <w:r>
        <w:t>2007a</w:t>
      </w:r>
      <w:proofErr w:type="spellEnd"/>
      <w:r>
        <w:t>, p. 7)</w:t>
      </w:r>
    </w:p>
    <w:p w:rsidR="00C31D44" w:rsidRPr="00B301B4" w:rsidRDefault="00C31D44" w:rsidP="00BC0BC4">
      <w:pPr>
        <w:pStyle w:val="BodyText"/>
        <w:keepNext/>
      </w:pPr>
      <w:r>
        <w:t xml:space="preserve">Individual jurisdictions adopting a COAG proposal typically determine how intergovernmental decisions and agreements are implemented in regulation. For some regulatory proposals, COAG creates model legislation to assist jurisdictions in developing their own legislation. </w:t>
      </w:r>
      <w:r w:rsidR="002B55E0">
        <w:t>Chapter 6 discusses individual jurisdictional approaches to COAG regulatory proposals.</w:t>
      </w:r>
    </w:p>
    <w:p w:rsidR="00A0015A" w:rsidRDefault="00A0015A" w:rsidP="001A3634">
      <w:pPr>
        <w:pStyle w:val="TableTitle"/>
      </w:pPr>
      <w:r>
        <w:rPr>
          <w:b w:val="0"/>
        </w:rPr>
        <w:t xml:space="preserve">Table </w:t>
      </w:r>
      <w:bookmarkStart w:id="6" w:name="OLE_LINK2"/>
      <w:r w:rsidR="006870ED">
        <w:rPr>
          <w:b w:val="0"/>
        </w:rPr>
        <w:t>4.</w:t>
      </w:r>
      <w:r w:rsidR="009445FF">
        <w:rPr>
          <w:b w:val="0"/>
          <w:noProof/>
        </w:rPr>
        <w:t>1</w:t>
      </w:r>
      <w:bookmarkEnd w:id="6"/>
      <w:r>
        <w:tab/>
        <w:t>Regulatory proposals subject to RIA</w:t>
      </w:r>
    </w:p>
    <w:tbl>
      <w:tblPr>
        <w:tblW w:w="0" w:type="auto"/>
        <w:tblCellMar>
          <w:left w:w="0" w:type="dxa"/>
          <w:right w:w="0" w:type="dxa"/>
        </w:tblCellMar>
        <w:tblLook w:val="0000" w:firstRow="0" w:lastRow="0" w:firstColumn="0" w:lastColumn="0" w:noHBand="0" w:noVBand="0"/>
      </w:tblPr>
      <w:tblGrid>
        <w:gridCol w:w="3244"/>
        <w:gridCol w:w="620"/>
        <w:gridCol w:w="708"/>
        <w:gridCol w:w="586"/>
        <w:gridCol w:w="512"/>
        <w:gridCol w:w="567"/>
        <w:gridCol w:w="567"/>
        <w:gridCol w:w="540"/>
        <w:gridCol w:w="453"/>
        <w:gridCol w:w="567"/>
        <w:gridCol w:w="425"/>
      </w:tblGrid>
      <w:tr w:rsidR="00C833D7" w:rsidTr="00C833D7">
        <w:tc>
          <w:tcPr>
            <w:tcW w:w="0" w:type="auto"/>
            <w:tcBorders>
              <w:top w:val="single" w:sz="6" w:space="0" w:color="auto"/>
              <w:bottom w:val="single" w:sz="6" w:space="0" w:color="auto"/>
            </w:tcBorders>
            <w:shd w:val="clear" w:color="auto" w:fill="auto"/>
          </w:tcPr>
          <w:p w:rsidR="00A0015A" w:rsidRDefault="00A0015A" w:rsidP="00294605">
            <w:pPr>
              <w:pStyle w:val="TableColumnHeading"/>
              <w:jc w:val="left"/>
            </w:pPr>
            <w:r>
              <w:t>Type of regulation</w:t>
            </w:r>
          </w:p>
        </w:tc>
        <w:tc>
          <w:tcPr>
            <w:tcW w:w="0" w:type="auto"/>
            <w:tcBorders>
              <w:top w:val="single" w:sz="6" w:space="0" w:color="auto"/>
              <w:bottom w:val="single" w:sz="6" w:space="0" w:color="auto"/>
            </w:tcBorders>
            <w:shd w:val="clear" w:color="auto" w:fill="auto"/>
          </w:tcPr>
          <w:p w:rsidR="00A0015A" w:rsidRDefault="00A0015A" w:rsidP="00294605">
            <w:pPr>
              <w:pStyle w:val="TableColumnHeading"/>
            </w:pPr>
            <w:proofErr w:type="spellStart"/>
            <w:r>
              <w:t>Cwlth</w:t>
            </w:r>
            <w:proofErr w:type="spellEnd"/>
          </w:p>
        </w:tc>
        <w:tc>
          <w:tcPr>
            <w:tcW w:w="0" w:type="auto"/>
            <w:tcBorders>
              <w:top w:val="single" w:sz="6" w:space="0" w:color="auto"/>
              <w:bottom w:val="single" w:sz="6" w:space="0" w:color="auto"/>
            </w:tcBorders>
            <w:shd w:val="clear" w:color="auto" w:fill="auto"/>
          </w:tcPr>
          <w:p w:rsidR="00A0015A" w:rsidRDefault="00A0015A" w:rsidP="00294605">
            <w:pPr>
              <w:pStyle w:val="TableColumnHeading"/>
            </w:pPr>
            <w:r>
              <w:t>COAG</w:t>
            </w:r>
          </w:p>
        </w:tc>
        <w:tc>
          <w:tcPr>
            <w:tcW w:w="0" w:type="auto"/>
            <w:tcBorders>
              <w:top w:val="single" w:sz="6" w:space="0" w:color="auto"/>
              <w:bottom w:val="single" w:sz="6" w:space="0" w:color="auto"/>
            </w:tcBorders>
            <w:shd w:val="clear" w:color="auto" w:fill="auto"/>
          </w:tcPr>
          <w:p w:rsidR="00A0015A" w:rsidRDefault="00A0015A" w:rsidP="00294605">
            <w:pPr>
              <w:pStyle w:val="TableColumnHeading"/>
            </w:pPr>
            <w:r>
              <w:t>NSW</w:t>
            </w:r>
          </w:p>
        </w:tc>
        <w:tc>
          <w:tcPr>
            <w:tcW w:w="512" w:type="dxa"/>
            <w:tcBorders>
              <w:top w:val="single" w:sz="6" w:space="0" w:color="auto"/>
              <w:bottom w:val="single" w:sz="6" w:space="0" w:color="auto"/>
            </w:tcBorders>
            <w:shd w:val="clear" w:color="auto" w:fill="auto"/>
          </w:tcPr>
          <w:p w:rsidR="00A0015A" w:rsidRDefault="00A0015A" w:rsidP="00294605">
            <w:pPr>
              <w:pStyle w:val="TableColumnHeading"/>
            </w:pPr>
            <w:r>
              <w:t>Vic</w:t>
            </w:r>
          </w:p>
        </w:tc>
        <w:tc>
          <w:tcPr>
            <w:tcW w:w="567" w:type="dxa"/>
            <w:tcBorders>
              <w:top w:val="single" w:sz="6" w:space="0" w:color="auto"/>
              <w:bottom w:val="single" w:sz="6" w:space="0" w:color="auto"/>
            </w:tcBorders>
            <w:shd w:val="clear" w:color="auto" w:fill="auto"/>
          </w:tcPr>
          <w:p w:rsidR="00A0015A" w:rsidRDefault="00A0015A" w:rsidP="00294605">
            <w:pPr>
              <w:pStyle w:val="TableColumnHeading"/>
            </w:pPr>
            <w:r>
              <w:t>Qld</w:t>
            </w:r>
          </w:p>
        </w:tc>
        <w:tc>
          <w:tcPr>
            <w:tcW w:w="567" w:type="dxa"/>
            <w:tcBorders>
              <w:top w:val="single" w:sz="6" w:space="0" w:color="auto"/>
              <w:bottom w:val="single" w:sz="6" w:space="0" w:color="auto"/>
            </w:tcBorders>
            <w:shd w:val="clear" w:color="auto" w:fill="auto"/>
          </w:tcPr>
          <w:p w:rsidR="00A0015A" w:rsidRDefault="00A0015A" w:rsidP="00294605">
            <w:pPr>
              <w:pStyle w:val="TableColumnHeading"/>
            </w:pPr>
            <w:r>
              <w:t>WA</w:t>
            </w:r>
          </w:p>
        </w:tc>
        <w:tc>
          <w:tcPr>
            <w:tcW w:w="540" w:type="dxa"/>
            <w:tcBorders>
              <w:top w:val="single" w:sz="6" w:space="0" w:color="auto"/>
              <w:bottom w:val="single" w:sz="6" w:space="0" w:color="auto"/>
            </w:tcBorders>
            <w:shd w:val="clear" w:color="auto" w:fill="auto"/>
          </w:tcPr>
          <w:p w:rsidR="00A0015A" w:rsidRDefault="00A0015A" w:rsidP="00294605">
            <w:pPr>
              <w:pStyle w:val="TableColumnHeading"/>
            </w:pPr>
            <w:r>
              <w:t>SA</w:t>
            </w:r>
          </w:p>
        </w:tc>
        <w:tc>
          <w:tcPr>
            <w:tcW w:w="453" w:type="dxa"/>
            <w:tcBorders>
              <w:top w:val="single" w:sz="6" w:space="0" w:color="auto"/>
              <w:bottom w:val="single" w:sz="6" w:space="0" w:color="auto"/>
            </w:tcBorders>
            <w:shd w:val="clear" w:color="auto" w:fill="auto"/>
          </w:tcPr>
          <w:p w:rsidR="00A0015A" w:rsidRDefault="00A0015A" w:rsidP="00294605">
            <w:pPr>
              <w:pStyle w:val="TableColumnHeading"/>
            </w:pPr>
            <w:proofErr w:type="spellStart"/>
            <w:r>
              <w:t>Tas</w:t>
            </w:r>
            <w:proofErr w:type="spellEnd"/>
          </w:p>
        </w:tc>
        <w:tc>
          <w:tcPr>
            <w:tcW w:w="567" w:type="dxa"/>
            <w:tcBorders>
              <w:top w:val="single" w:sz="6" w:space="0" w:color="auto"/>
              <w:bottom w:val="single" w:sz="6" w:space="0" w:color="auto"/>
            </w:tcBorders>
            <w:shd w:val="clear" w:color="auto" w:fill="auto"/>
          </w:tcPr>
          <w:p w:rsidR="00A0015A" w:rsidRDefault="00A0015A" w:rsidP="00294605">
            <w:pPr>
              <w:pStyle w:val="TableColumnHeading"/>
            </w:pPr>
            <w:r>
              <w:t>ACT</w:t>
            </w:r>
          </w:p>
        </w:tc>
        <w:tc>
          <w:tcPr>
            <w:tcW w:w="425" w:type="dxa"/>
            <w:tcBorders>
              <w:top w:val="single" w:sz="6" w:space="0" w:color="auto"/>
              <w:bottom w:val="single" w:sz="6" w:space="0" w:color="auto"/>
            </w:tcBorders>
            <w:shd w:val="clear" w:color="auto" w:fill="auto"/>
          </w:tcPr>
          <w:p w:rsidR="00A0015A" w:rsidRDefault="00A0015A" w:rsidP="00294605">
            <w:pPr>
              <w:pStyle w:val="TableColumnHeading"/>
              <w:ind w:right="28"/>
            </w:pPr>
            <w:r>
              <w:t>NT</w:t>
            </w:r>
          </w:p>
        </w:tc>
      </w:tr>
      <w:tr w:rsidR="00C833D7" w:rsidTr="00C833D7">
        <w:tc>
          <w:tcPr>
            <w:tcW w:w="0" w:type="auto"/>
            <w:tcBorders>
              <w:top w:val="single" w:sz="6" w:space="0" w:color="auto"/>
            </w:tcBorders>
          </w:tcPr>
          <w:p w:rsidR="00A0015A" w:rsidRDefault="00A0015A" w:rsidP="00294605">
            <w:pPr>
              <w:pStyle w:val="TableUnitsRow"/>
              <w:jc w:val="left"/>
            </w:pPr>
            <w:r>
              <w:t>New Bills</w:t>
            </w:r>
          </w:p>
        </w:tc>
        <w:tc>
          <w:tcPr>
            <w:tcW w:w="0" w:type="auto"/>
            <w:tcBorders>
              <w:top w:val="single" w:sz="6" w:space="0" w:color="auto"/>
            </w:tcBorders>
          </w:tcPr>
          <w:p w:rsidR="00A0015A" w:rsidRDefault="00A0015A" w:rsidP="000B43AD">
            <w:pPr>
              <w:pStyle w:val="TableUnitsRow"/>
              <w:jc w:val="center"/>
              <w:rPr>
                <w:i/>
              </w:rPr>
            </w:pPr>
            <w:r>
              <w:sym w:font="Wingdings" w:char="F0FC"/>
            </w:r>
          </w:p>
        </w:tc>
        <w:tc>
          <w:tcPr>
            <w:tcW w:w="0" w:type="auto"/>
            <w:tcBorders>
              <w:top w:val="single" w:sz="6" w:space="0" w:color="auto"/>
            </w:tcBorders>
          </w:tcPr>
          <w:p w:rsidR="00A0015A" w:rsidRDefault="003F1CC6" w:rsidP="000B43AD">
            <w:pPr>
              <w:pStyle w:val="TableUnitsRow"/>
              <w:jc w:val="center"/>
              <w:rPr>
                <w:i/>
              </w:rPr>
            </w:pPr>
            <w:r>
              <w:sym w:font="Wingdings" w:char="F0FC"/>
            </w:r>
          </w:p>
        </w:tc>
        <w:tc>
          <w:tcPr>
            <w:tcW w:w="0" w:type="auto"/>
            <w:tcBorders>
              <w:top w:val="single" w:sz="6" w:space="0" w:color="auto"/>
            </w:tcBorders>
          </w:tcPr>
          <w:p w:rsidR="00A0015A" w:rsidRDefault="00A0015A" w:rsidP="000B43AD">
            <w:pPr>
              <w:pStyle w:val="TableUnitsRow"/>
              <w:jc w:val="center"/>
              <w:rPr>
                <w:i/>
              </w:rPr>
            </w:pPr>
            <w:r>
              <w:sym w:font="Wingdings" w:char="F0FC"/>
            </w:r>
          </w:p>
        </w:tc>
        <w:tc>
          <w:tcPr>
            <w:tcW w:w="512" w:type="dxa"/>
            <w:tcBorders>
              <w:top w:val="single" w:sz="6" w:space="0" w:color="auto"/>
            </w:tcBorders>
          </w:tcPr>
          <w:p w:rsidR="00A0015A" w:rsidRDefault="00A0015A" w:rsidP="000B43AD">
            <w:pPr>
              <w:pStyle w:val="TableUnitsRow"/>
              <w:jc w:val="center"/>
              <w:rPr>
                <w:i/>
              </w:rPr>
            </w:pPr>
            <w:bookmarkStart w:id="7" w:name="OLE_LINK1"/>
            <w:r>
              <w:sym w:font="Wingdings" w:char="F0FC"/>
            </w:r>
            <w:bookmarkEnd w:id="7"/>
          </w:p>
        </w:tc>
        <w:tc>
          <w:tcPr>
            <w:tcW w:w="567" w:type="dxa"/>
            <w:tcBorders>
              <w:top w:val="single" w:sz="6" w:space="0" w:color="auto"/>
            </w:tcBorders>
          </w:tcPr>
          <w:p w:rsidR="00A0015A" w:rsidRDefault="00A0015A" w:rsidP="000B43AD">
            <w:pPr>
              <w:pStyle w:val="TableUnitsRow"/>
              <w:jc w:val="center"/>
              <w:rPr>
                <w:i/>
              </w:rPr>
            </w:pPr>
            <w:r>
              <w:sym w:font="Wingdings" w:char="F0FC"/>
            </w:r>
          </w:p>
        </w:tc>
        <w:tc>
          <w:tcPr>
            <w:tcW w:w="567" w:type="dxa"/>
            <w:tcBorders>
              <w:top w:val="single" w:sz="6" w:space="0" w:color="auto"/>
            </w:tcBorders>
          </w:tcPr>
          <w:p w:rsidR="00A0015A" w:rsidRDefault="00A0015A" w:rsidP="000B43AD">
            <w:pPr>
              <w:pStyle w:val="TableUnitsRow"/>
              <w:jc w:val="center"/>
              <w:rPr>
                <w:i/>
              </w:rPr>
            </w:pPr>
            <w:r>
              <w:sym w:font="Wingdings" w:char="F0FC"/>
            </w:r>
          </w:p>
        </w:tc>
        <w:tc>
          <w:tcPr>
            <w:tcW w:w="540" w:type="dxa"/>
            <w:tcBorders>
              <w:top w:val="single" w:sz="6" w:space="0" w:color="auto"/>
            </w:tcBorders>
          </w:tcPr>
          <w:p w:rsidR="00A0015A" w:rsidRDefault="00A0015A" w:rsidP="000B43AD">
            <w:pPr>
              <w:pStyle w:val="TableUnitsRow"/>
              <w:jc w:val="center"/>
              <w:rPr>
                <w:i/>
              </w:rPr>
            </w:pPr>
            <w:r>
              <w:sym w:font="Wingdings" w:char="F0FC"/>
            </w:r>
          </w:p>
        </w:tc>
        <w:tc>
          <w:tcPr>
            <w:tcW w:w="453" w:type="dxa"/>
            <w:tcBorders>
              <w:top w:val="single" w:sz="6" w:space="0" w:color="auto"/>
            </w:tcBorders>
          </w:tcPr>
          <w:p w:rsidR="00A0015A" w:rsidRDefault="00A0015A" w:rsidP="000B43AD">
            <w:pPr>
              <w:pStyle w:val="TableUnitsRow"/>
              <w:jc w:val="center"/>
              <w:rPr>
                <w:i/>
              </w:rPr>
            </w:pPr>
            <w:r>
              <w:sym w:font="Wingdings" w:char="F0FC"/>
            </w:r>
          </w:p>
        </w:tc>
        <w:tc>
          <w:tcPr>
            <w:tcW w:w="567" w:type="dxa"/>
            <w:tcBorders>
              <w:top w:val="single" w:sz="6" w:space="0" w:color="auto"/>
            </w:tcBorders>
          </w:tcPr>
          <w:p w:rsidR="00A0015A" w:rsidRDefault="00A0015A" w:rsidP="000B43AD">
            <w:pPr>
              <w:pStyle w:val="TableUnitsRow"/>
              <w:jc w:val="center"/>
              <w:rPr>
                <w:i/>
              </w:rPr>
            </w:pPr>
            <w:r>
              <w:sym w:font="Wingdings" w:char="F0FC"/>
            </w:r>
          </w:p>
        </w:tc>
        <w:tc>
          <w:tcPr>
            <w:tcW w:w="425" w:type="dxa"/>
            <w:tcBorders>
              <w:top w:val="single" w:sz="6" w:space="0" w:color="auto"/>
            </w:tcBorders>
          </w:tcPr>
          <w:p w:rsidR="00A0015A" w:rsidRDefault="00A0015A" w:rsidP="000B43AD">
            <w:pPr>
              <w:pStyle w:val="TableUnitsRow"/>
              <w:ind w:right="28"/>
              <w:jc w:val="center"/>
              <w:rPr>
                <w:i/>
              </w:rPr>
            </w:pPr>
            <w:r>
              <w:sym w:font="Wingdings" w:char="F0FC"/>
            </w:r>
          </w:p>
        </w:tc>
      </w:tr>
      <w:tr w:rsidR="00C833D7" w:rsidTr="00C833D7">
        <w:tc>
          <w:tcPr>
            <w:tcW w:w="0" w:type="auto"/>
          </w:tcPr>
          <w:p w:rsidR="00A0015A" w:rsidRDefault="00A0015A" w:rsidP="006902D7">
            <w:pPr>
              <w:pStyle w:val="TableBodyText"/>
              <w:spacing w:before="20"/>
              <w:jc w:val="left"/>
            </w:pPr>
            <w:r>
              <w:t>Amending Bills</w:t>
            </w:r>
          </w:p>
        </w:tc>
        <w:tc>
          <w:tcPr>
            <w:tcW w:w="0" w:type="auto"/>
          </w:tcPr>
          <w:p w:rsidR="00A0015A" w:rsidRDefault="00A0015A" w:rsidP="000B43AD">
            <w:pPr>
              <w:pStyle w:val="TableBodyText"/>
              <w:spacing w:before="20"/>
              <w:jc w:val="center"/>
              <w:rPr>
                <w:i/>
              </w:rPr>
            </w:pPr>
            <w:r>
              <w:sym w:font="Wingdings" w:char="F0FC"/>
            </w:r>
          </w:p>
        </w:tc>
        <w:tc>
          <w:tcPr>
            <w:tcW w:w="0" w:type="auto"/>
          </w:tcPr>
          <w:p w:rsidR="00A0015A" w:rsidRDefault="003F1CC6" w:rsidP="000B43AD">
            <w:pPr>
              <w:pStyle w:val="TableBodyText"/>
              <w:spacing w:before="20"/>
              <w:jc w:val="center"/>
              <w:rPr>
                <w:i/>
              </w:rPr>
            </w:pPr>
            <w:r>
              <w:sym w:font="Wingdings" w:char="F0FC"/>
            </w:r>
          </w:p>
        </w:tc>
        <w:tc>
          <w:tcPr>
            <w:tcW w:w="0" w:type="auto"/>
          </w:tcPr>
          <w:p w:rsidR="00A0015A" w:rsidRDefault="00A0015A" w:rsidP="000B43AD">
            <w:pPr>
              <w:pStyle w:val="TableBodyText"/>
              <w:spacing w:before="20"/>
              <w:jc w:val="center"/>
              <w:rPr>
                <w:i/>
              </w:rPr>
            </w:pPr>
            <w:r>
              <w:sym w:font="Wingdings" w:char="F0FC"/>
            </w:r>
          </w:p>
        </w:tc>
        <w:tc>
          <w:tcPr>
            <w:tcW w:w="512" w:type="dxa"/>
          </w:tcPr>
          <w:p w:rsidR="00A0015A" w:rsidRDefault="00A0015A" w:rsidP="000B43AD">
            <w:pPr>
              <w:pStyle w:val="TableBodyText"/>
              <w:spacing w:before="20"/>
              <w:jc w:val="center"/>
              <w:rPr>
                <w:i/>
              </w:rPr>
            </w:pPr>
            <w:r>
              <w:sym w:font="Wingdings" w:char="F0FC"/>
            </w:r>
          </w:p>
        </w:tc>
        <w:tc>
          <w:tcPr>
            <w:tcW w:w="567" w:type="dxa"/>
          </w:tcPr>
          <w:p w:rsidR="00A0015A" w:rsidRDefault="00A0015A" w:rsidP="000B43AD">
            <w:pPr>
              <w:pStyle w:val="TableBodyText"/>
              <w:spacing w:before="20"/>
              <w:jc w:val="center"/>
              <w:rPr>
                <w:i/>
              </w:rPr>
            </w:pPr>
            <w:r>
              <w:sym w:font="Wingdings" w:char="F0FC"/>
            </w:r>
          </w:p>
        </w:tc>
        <w:tc>
          <w:tcPr>
            <w:tcW w:w="567" w:type="dxa"/>
          </w:tcPr>
          <w:p w:rsidR="00A0015A" w:rsidRDefault="00A0015A" w:rsidP="000B43AD">
            <w:pPr>
              <w:pStyle w:val="TableBodyText"/>
              <w:spacing w:before="20"/>
              <w:jc w:val="center"/>
              <w:rPr>
                <w:i/>
              </w:rPr>
            </w:pPr>
            <w:r>
              <w:sym w:font="Wingdings" w:char="F0FC"/>
            </w:r>
          </w:p>
        </w:tc>
        <w:tc>
          <w:tcPr>
            <w:tcW w:w="540" w:type="dxa"/>
          </w:tcPr>
          <w:p w:rsidR="00A0015A" w:rsidRDefault="00A0015A" w:rsidP="000B43AD">
            <w:pPr>
              <w:pStyle w:val="TableBodyText"/>
              <w:spacing w:before="20"/>
              <w:jc w:val="center"/>
              <w:rPr>
                <w:i/>
              </w:rPr>
            </w:pPr>
            <w:r>
              <w:sym w:font="Wingdings" w:char="F0FC"/>
            </w:r>
          </w:p>
        </w:tc>
        <w:tc>
          <w:tcPr>
            <w:tcW w:w="453" w:type="dxa"/>
          </w:tcPr>
          <w:p w:rsidR="00A0015A" w:rsidRDefault="00A0015A" w:rsidP="000B43AD">
            <w:pPr>
              <w:pStyle w:val="TableBodyText"/>
              <w:spacing w:before="20"/>
              <w:jc w:val="center"/>
              <w:rPr>
                <w:i/>
              </w:rPr>
            </w:pPr>
            <w:r>
              <w:sym w:font="Wingdings" w:char="F0FC"/>
            </w:r>
          </w:p>
        </w:tc>
        <w:tc>
          <w:tcPr>
            <w:tcW w:w="567" w:type="dxa"/>
          </w:tcPr>
          <w:p w:rsidR="00A0015A" w:rsidRDefault="00A0015A" w:rsidP="000B43AD">
            <w:pPr>
              <w:pStyle w:val="TableBodyText"/>
              <w:spacing w:before="20"/>
              <w:jc w:val="center"/>
              <w:rPr>
                <w:i/>
              </w:rPr>
            </w:pPr>
            <w:r>
              <w:sym w:font="Wingdings" w:char="F0FC"/>
            </w:r>
          </w:p>
        </w:tc>
        <w:tc>
          <w:tcPr>
            <w:tcW w:w="425" w:type="dxa"/>
          </w:tcPr>
          <w:p w:rsidR="00A0015A" w:rsidRDefault="00A0015A" w:rsidP="000B43AD">
            <w:pPr>
              <w:pStyle w:val="TableBodyText"/>
              <w:spacing w:before="20"/>
              <w:ind w:right="28"/>
              <w:jc w:val="center"/>
              <w:rPr>
                <w:i/>
              </w:rPr>
            </w:pPr>
            <w:r>
              <w:sym w:font="Wingdings" w:char="F0FC"/>
            </w:r>
          </w:p>
        </w:tc>
      </w:tr>
      <w:tr w:rsidR="00C833D7" w:rsidTr="00C833D7">
        <w:tc>
          <w:tcPr>
            <w:tcW w:w="0" w:type="auto"/>
          </w:tcPr>
          <w:p w:rsidR="00A0015A" w:rsidRDefault="00A0015A" w:rsidP="006902D7">
            <w:pPr>
              <w:pStyle w:val="TableBodyText"/>
              <w:spacing w:before="20"/>
              <w:jc w:val="left"/>
            </w:pPr>
            <w:r>
              <w:t>New regulations</w:t>
            </w:r>
          </w:p>
        </w:tc>
        <w:tc>
          <w:tcPr>
            <w:tcW w:w="0" w:type="auto"/>
          </w:tcPr>
          <w:p w:rsidR="00A0015A" w:rsidRDefault="00A0015A" w:rsidP="000B43AD">
            <w:pPr>
              <w:pStyle w:val="TableBodyText"/>
              <w:spacing w:before="20"/>
              <w:jc w:val="center"/>
              <w:rPr>
                <w:i/>
              </w:rPr>
            </w:pPr>
            <w:r>
              <w:sym w:font="Wingdings" w:char="F0FC"/>
            </w:r>
          </w:p>
        </w:tc>
        <w:tc>
          <w:tcPr>
            <w:tcW w:w="0" w:type="auto"/>
          </w:tcPr>
          <w:p w:rsidR="00A0015A" w:rsidRDefault="003F1CC6" w:rsidP="000B43AD">
            <w:pPr>
              <w:pStyle w:val="TableBodyText"/>
              <w:spacing w:before="20"/>
              <w:jc w:val="center"/>
              <w:rPr>
                <w:i/>
              </w:rPr>
            </w:pPr>
            <w:r>
              <w:sym w:font="Wingdings" w:char="F0FC"/>
            </w:r>
          </w:p>
        </w:tc>
        <w:tc>
          <w:tcPr>
            <w:tcW w:w="0" w:type="auto"/>
          </w:tcPr>
          <w:p w:rsidR="00A0015A" w:rsidRDefault="00A0015A" w:rsidP="000B43AD">
            <w:pPr>
              <w:pStyle w:val="TableBodyText"/>
              <w:spacing w:before="20"/>
              <w:jc w:val="center"/>
              <w:rPr>
                <w:i/>
              </w:rPr>
            </w:pPr>
            <w:r>
              <w:sym w:font="Wingdings" w:char="F0FC"/>
            </w:r>
          </w:p>
        </w:tc>
        <w:tc>
          <w:tcPr>
            <w:tcW w:w="512" w:type="dxa"/>
          </w:tcPr>
          <w:p w:rsidR="00A0015A" w:rsidRDefault="00A0015A" w:rsidP="000B43AD">
            <w:pPr>
              <w:pStyle w:val="TableBodyText"/>
              <w:spacing w:before="20"/>
              <w:jc w:val="center"/>
              <w:rPr>
                <w:i/>
              </w:rPr>
            </w:pPr>
            <w:r>
              <w:sym w:font="Wingdings" w:char="F0FC"/>
            </w:r>
          </w:p>
        </w:tc>
        <w:tc>
          <w:tcPr>
            <w:tcW w:w="567" w:type="dxa"/>
          </w:tcPr>
          <w:p w:rsidR="00A0015A" w:rsidRDefault="00A0015A" w:rsidP="000B43AD">
            <w:pPr>
              <w:pStyle w:val="TableBodyText"/>
              <w:spacing w:before="20"/>
              <w:jc w:val="center"/>
              <w:rPr>
                <w:i/>
              </w:rPr>
            </w:pPr>
            <w:r>
              <w:sym w:font="Wingdings" w:char="F0FC"/>
            </w:r>
          </w:p>
        </w:tc>
        <w:tc>
          <w:tcPr>
            <w:tcW w:w="567" w:type="dxa"/>
          </w:tcPr>
          <w:p w:rsidR="00A0015A" w:rsidRDefault="00A0015A" w:rsidP="000B43AD">
            <w:pPr>
              <w:pStyle w:val="TableBodyText"/>
              <w:spacing w:before="20"/>
              <w:jc w:val="center"/>
              <w:rPr>
                <w:i/>
              </w:rPr>
            </w:pPr>
            <w:r>
              <w:sym w:font="Wingdings" w:char="F0FC"/>
            </w:r>
          </w:p>
        </w:tc>
        <w:tc>
          <w:tcPr>
            <w:tcW w:w="540" w:type="dxa"/>
          </w:tcPr>
          <w:p w:rsidR="00A0015A" w:rsidRDefault="00A0015A" w:rsidP="000B43AD">
            <w:pPr>
              <w:pStyle w:val="TableBodyText"/>
              <w:spacing w:before="20"/>
              <w:jc w:val="center"/>
              <w:rPr>
                <w:i/>
              </w:rPr>
            </w:pPr>
            <w:r>
              <w:sym w:font="Wingdings" w:char="F0FC"/>
            </w:r>
          </w:p>
        </w:tc>
        <w:tc>
          <w:tcPr>
            <w:tcW w:w="453" w:type="dxa"/>
          </w:tcPr>
          <w:p w:rsidR="00A0015A" w:rsidRDefault="00A0015A" w:rsidP="000B43AD">
            <w:pPr>
              <w:pStyle w:val="TableBodyText"/>
              <w:spacing w:before="20"/>
              <w:jc w:val="center"/>
              <w:rPr>
                <w:i/>
              </w:rPr>
            </w:pPr>
            <w:r>
              <w:sym w:font="Wingdings" w:char="F0FC"/>
            </w:r>
          </w:p>
        </w:tc>
        <w:tc>
          <w:tcPr>
            <w:tcW w:w="567" w:type="dxa"/>
          </w:tcPr>
          <w:p w:rsidR="00A0015A" w:rsidRDefault="00A0015A" w:rsidP="000B43AD">
            <w:pPr>
              <w:pStyle w:val="TableBodyText"/>
              <w:spacing w:before="20"/>
              <w:jc w:val="center"/>
              <w:rPr>
                <w:i/>
              </w:rPr>
            </w:pPr>
            <w:r>
              <w:sym w:font="Wingdings" w:char="F0FC"/>
            </w:r>
          </w:p>
        </w:tc>
        <w:tc>
          <w:tcPr>
            <w:tcW w:w="425" w:type="dxa"/>
          </w:tcPr>
          <w:p w:rsidR="00A0015A" w:rsidRDefault="00A0015A" w:rsidP="000B43AD">
            <w:pPr>
              <w:pStyle w:val="TableBodyText"/>
              <w:spacing w:before="20"/>
              <w:ind w:right="28"/>
              <w:jc w:val="center"/>
              <w:rPr>
                <w:i/>
              </w:rPr>
            </w:pPr>
            <w:r>
              <w:sym w:font="Wingdings" w:char="F0FC"/>
            </w:r>
          </w:p>
        </w:tc>
      </w:tr>
      <w:tr w:rsidR="00C833D7" w:rsidTr="00C833D7">
        <w:tc>
          <w:tcPr>
            <w:tcW w:w="0" w:type="auto"/>
          </w:tcPr>
          <w:p w:rsidR="00A0015A" w:rsidRDefault="00A0015A" w:rsidP="006902D7">
            <w:pPr>
              <w:pStyle w:val="TableBodyText"/>
              <w:spacing w:before="20"/>
              <w:jc w:val="left"/>
            </w:pPr>
            <w:r>
              <w:t>Amending regulations</w:t>
            </w:r>
          </w:p>
        </w:tc>
        <w:tc>
          <w:tcPr>
            <w:tcW w:w="0" w:type="auto"/>
          </w:tcPr>
          <w:p w:rsidR="00A0015A" w:rsidRDefault="00A0015A" w:rsidP="000B43AD">
            <w:pPr>
              <w:pStyle w:val="TableBodyText"/>
              <w:spacing w:before="20"/>
              <w:jc w:val="center"/>
              <w:rPr>
                <w:i/>
              </w:rPr>
            </w:pPr>
            <w:r>
              <w:sym w:font="Wingdings" w:char="F0FC"/>
            </w:r>
          </w:p>
        </w:tc>
        <w:tc>
          <w:tcPr>
            <w:tcW w:w="0" w:type="auto"/>
          </w:tcPr>
          <w:p w:rsidR="00A0015A" w:rsidRPr="008F3F6A" w:rsidRDefault="003F1CC6" w:rsidP="000B43AD">
            <w:pPr>
              <w:pStyle w:val="TableBodyText"/>
              <w:spacing w:before="20"/>
              <w:jc w:val="center"/>
              <w:rPr>
                <w:i/>
              </w:rPr>
            </w:pPr>
            <w:r>
              <w:sym w:font="Wingdings" w:char="F0FC"/>
            </w:r>
          </w:p>
        </w:tc>
        <w:tc>
          <w:tcPr>
            <w:tcW w:w="0" w:type="auto"/>
          </w:tcPr>
          <w:p w:rsidR="00A0015A" w:rsidRPr="008F3F6A" w:rsidRDefault="00A0015A" w:rsidP="000B43AD">
            <w:pPr>
              <w:pStyle w:val="TableBodyText"/>
              <w:spacing w:before="20"/>
              <w:jc w:val="center"/>
              <w:rPr>
                <w:rStyle w:val="NoteLabel"/>
                <w:b w:val="0"/>
                <w:position w:val="0"/>
                <w:sz w:val="20"/>
              </w:rPr>
            </w:pPr>
            <w:r>
              <w:sym w:font="Wingdings" w:char="F0FC"/>
            </w:r>
          </w:p>
        </w:tc>
        <w:tc>
          <w:tcPr>
            <w:tcW w:w="512" w:type="dxa"/>
          </w:tcPr>
          <w:p w:rsidR="00A0015A" w:rsidRPr="00306A07" w:rsidRDefault="00A0015A" w:rsidP="000B43AD">
            <w:pPr>
              <w:pStyle w:val="TableBodyText"/>
              <w:spacing w:before="20"/>
              <w:jc w:val="center"/>
              <w:rPr>
                <w:i/>
              </w:rPr>
            </w:pPr>
            <w:r w:rsidRPr="00306A07">
              <w:sym w:font="Wingdings" w:char="F0FC"/>
            </w:r>
          </w:p>
        </w:tc>
        <w:tc>
          <w:tcPr>
            <w:tcW w:w="567" w:type="dxa"/>
          </w:tcPr>
          <w:p w:rsidR="00A0015A" w:rsidRPr="00306A07" w:rsidRDefault="00A0015A" w:rsidP="000B43AD">
            <w:pPr>
              <w:pStyle w:val="TableBodyText"/>
              <w:spacing w:before="20"/>
              <w:jc w:val="center"/>
              <w:rPr>
                <w:rStyle w:val="NoteLabel"/>
                <w:b w:val="0"/>
                <w:position w:val="0"/>
                <w:sz w:val="20"/>
              </w:rPr>
            </w:pPr>
            <w:r w:rsidRPr="00306A07">
              <w:sym w:font="Wingdings" w:char="F0FC"/>
            </w:r>
          </w:p>
        </w:tc>
        <w:tc>
          <w:tcPr>
            <w:tcW w:w="567" w:type="dxa"/>
          </w:tcPr>
          <w:p w:rsidR="00A0015A" w:rsidRDefault="00A0015A" w:rsidP="000B43AD">
            <w:pPr>
              <w:pStyle w:val="TableBodyText"/>
              <w:spacing w:before="20"/>
              <w:jc w:val="center"/>
              <w:rPr>
                <w:i/>
              </w:rPr>
            </w:pPr>
            <w:r>
              <w:sym w:font="Wingdings" w:char="F0FC"/>
            </w:r>
          </w:p>
        </w:tc>
        <w:tc>
          <w:tcPr>
            <w:tcW w:w="540" w:type="dxa"/>
          </w:tcPr>
          <w:p w:rsidR="00A0015A" w:rsidRDefault="00A0015A" w:rsidP="000B43AD">
            <w:pPr>
              <w:pStyle w:val="TableBodyText"/>
              <w:spacing w:before="20"/>
              <w:jc w:val="center"/>
              <w:rPr>
                <w:i/>
              </w:rPr>
            </w:pPr>
            <w:r>
              <w:sym w:font="Wingdings" w:char="F0FC"/>
            </w:r>
          </w:p>
        </w:tc>
        <w:tc>
          <w:tcPr>
            <w:tcW w:w="453" w:type="dxa"/>
          </w:tcPr>
          <w:p w:rsidR="00A0015A" w:rsidRDefault="00A0015A" w:rsidP="000B43AD">
            <w:pPr>
              <w:pStyle w:val="TableBodyText"/>
              <w:spacing w:before="20"/>
              <w:jc w:val="center"/>
              <w:rPr>
                <w:i/>
              </w:rPr>
            </w:pPr>
            <w:r>
              <w:sym w:font="Wingdings" w:char="F0FC"/>
            </w:r>
          </w:p>
        </w:tc>
        <w:tc>
          <w:tcPr>
            <w:tcW w:w="567" w:type="dxa"/>
          </w:tcPr>
          <w:p w:rsidR="00A0015A" w:rsidRDefault="00A0015A" w:rsidP="000B43AD">
            <w:pPr>
              <w:pStyle w:val="TableBodyText"/>
              <w:spacing w:before="20"/>
              <w:jc w:val="center"/>
              <w:rPr>
                <w:i/>
              </w:rPr>
            </w:pPr>
            <w:r>
              <w:sym w:font="Wingdings" w:char="F0FC"/>
            </w:r>
          </w:p>
        </w:tc>
        <w:tc>
          <w:tcPr>
            <w:tcW w:w="425" w:type="dxa"/>
          </w:tcPr>
          <w:p w:rsidR="00A0015A" w:rsidRDefault="00A0015A" w:rsidP="000B43AD">
            <w:pPr>
              <w:pStyle w:val="TableBodyText"/>
              <w:spacing w:before="20"/>
              <w:ind w:right="28"/>
              <w:jc w:val="center"/>
              <w:rPr>
                <w:i/>
              </w:rPr>
            </w:pPr>
            <w:r>
              <w:sym w:font="Wingdings" w:char="F0FC"/>
            </w:r>
          </w:p>
        </w:tc>
      </w:tr>
      <w:tr w:rsidR="00C833D7" w:rsidTr="00C833D7">
        <w:tc>
          <w:tcPr>
            <w:tcW w:w="0" w:type="auto"/>
          </w:tcPr>
          <w:p w:rsidR="00A0015A" w:rsidRDefault="00A0015A" w:rsidP="006902D7">
            <w:pPr>
              <w:pStyle w:val="TableBodyText"/>
              <w:spacing w:before="20"/>
              <w:jc w:val="left"/>
            </w:pPr>
            <w:r>
              <w:t xml:space="preserve">Remaking of </w:t>
            </w:r>
            <w:proofErr w:type="spellStart"/>
            <w:r>
              <w:t>sunsetting</w:t>
            </w:r>
            <w:proofErr w:type="spellEnd"/>
            <w:r>
              <w:t xml:space="preserve"> regulations</w:t>
            </w:r>
          </w:p>
        </w:tc>
        <w:tc>
          <w:tcPr>
            <w:tcW w:w="0" w:type="auto"/>
          </w:tcPr>
          <w:p w:rsidR="00A0015A" w:rsidRDefault="00A0015A" w:rsidP="000B43AD">
            <w:pPr>
              <w:pStyle w:val="TableBodyText"/>
              <w:spacing w:before="40"/>
              <w:jc w:val="center"/>
              <w:rPr>
                <w:i/>
              </w:rPr>
            </w:pPr>
            <w:r>
              <w:sym w:font="Wingdings" w:char="F0FC"/>
            </w:r>
          </w:p>
        </w:tc>
        <w:tc>
          <w:tcPr>
            <w:tcW w:w="0" w:type="auto"/>
          </w:tcPr>
          <w:p w:rsidR="00A0015A" w:rsidRDefault="00A0015A" w:rsidP="000B43AD">
            <w:pPr>
              <w:pStyle w:val="TableBodyText"/>
              <w:spacing w:before="40"/>
              <w:jc w:val="center"/>
              <w:rPr>
                <w:i/>
              </w:rPr>
            </w:pPr>
            <w:r>
              <w:t>..</w:t>
            </w:r>
          </w:p>
        </w:tc>
        <w:tc>
          <w:tcPr>
            <w:tcW w:w="0" w:type="auto"/>
          </w:tcPr>
          <w:p w:rsidR="00A0015A" w:rsidRDefault="00A0015A" w:rsidP="000B43AD">
            <w:pPr>
              <w:pStyle w:val="TableBodyText"/>
              <w:spacing w:before="40"/>
              <w:jc w:val="center"/>
              <w:rPr>
                <w:i/>
              </w:rPr>
            </w:pPr>
            <w:r>
              <w:sym w:font="Wingdings" w:char="F0FC"/>
            </w:r>
          </w:p>
        </w:tc>
        <w:tc>
          <w:tcPr>
            <w:tcW w:w="512" w:type="dxa"/>
          </w:tcPr>
          <w:p w:rsidR="00A0015A" w:rsidRDefault="00A0015A" w:rsidP="000B43AD">
            <w:pPr>
              <w:pStyle w:val="TableBodyText"/>
              <w:spacing w:before="40"/>
              <w:jc w:val="center"/>
              <w:rPr>
                <w:i/>
              </w:rPr>
            </w:pPr>
            <w:r>
              <w:sym w:font="Wingdings" w:char="F0FC"/>
            </w:r>
          </w:p>
        </w:tc>
        <w:tc>
          <w:tcPr>
            <w:tcW w:w="567" w:type="dxa"/>
          </w:tcPr>
          <w:p w:rsidR="00A0015A" w:rsidRPr="004A436D" w:rsidRDefault="004A436D" w:rsidP="000B43AD">
            <w:pPr>
              <w:pStyle w:val="TableBodyText"/>
              <w:spacing w:before="40"/>
              <w:jc w:val="center"/>
              <w:rPr>
                <w:i/>
              </w:rPr>
            </w:pPr>
            <w:r>
              <w:sym w:font="Wingdings" w:char="F0FC"/>
            </w:r>
          </w:p>
        </w:tc>
        <w:tc>
          <w:tcPr>
            <w:tcW w:w="567" w:type="dxa"/>
          </w:tcPr>
          <w:p w:rsidR="00A0015A" w:rsidRPr="00571A15" w:rsidRDefault="00571A15" w:rsidP="000B43AD">
            <w:pPr>
              <w:pStyle w:val="TableBodyText"/>
              <w:spacing w:before="40"/>
              <w:jc w:val="center"/>
              <w:rPr>
                <w:i/>
              </w:rPr>
            </w:pPr>
            <w:r>
              <w:sym w:font="Wingdings" w:char="F0FB"/>
            </w:r>
          </w:p>
        </w:tc>
        <w:tc>
          <w:tcPr>
            <w:tcW w:w="540" w:type="dxa"/>
          </w:tcPr>
          <w:p w:rsidR="00A0015A" w:rsidRDefault="00A0015A" w:rsidP="000B43AD">
            <w:pPr>
              <w:pStyle w:val="TableBodyText"/>
              <w:spacing w:before="40"/>
              <w:jc w:val="center"/>
              <w:rPr>
                <w:i/>
              </w:rPr>
            </w:pPr>
            <w:r>
              <w:sym w:font="Wingdings" w:char="F0FC"/>
            </w:r>
          </w:p>
        </w:tc>
        <w:tc>
          <w:tcPr>
            <w:tcW w:w="453" w:type="dxa"/>
          </w:tcPr>
          <w:p w:rsidR="00A0015A" w:rsidRPr="008F3F6A" w:rsidRDefault="00BA2D73" w:rsidP="000B43AD">
            <w:pPr>
              <w:pStyle w:val="TableBodyText"/>
              <w:spacing w:before="100" w:beforeAutospacing="1"/>
              <w:ind w:right="0"/>
              <w:jc w:val="center"/>
              <w:rPr>
                <w:rStyle w:val="NoteLabel"/>
              </w:rPr>
            </w:pPr>
            <w:r>
              <w:sym w:font="Wingdings" w:char="F0FC"/>
            </w:r>
            <w:r w:rsidR="00A0015A">
              <w:rPr>
                <w:rStyle w:val="NoteLabel"/>
              </w:rPr>
              <w:t>a</w:t>
            </w:r>
          </w:p>
        </w:tc>
        <w:tc>
          <w:tcPr>
            <w:tcW w:w="567" w:type="dxa"/>
          </w:tcPr>
          <w:p w:rsidR="00A0015A" w:rsidRDefault="00A0015A" w:rsidP="000B43AD">
            <w:pPr>
              <w:pStyle w:val="TableBodyText"/>
              <w:spacing w:before="40"/>
              <w:jc w:val="center"/>
              <w:rPr>
                <w:i/>
              </w:rPr>
            </w:pPr>
            <w:r>
              <w:sym w:font="Wingdings" w:char="F0FC"/>
            </w:r>
          </w:p>
        </w:tc>
        <w:tc>
          <w:tcPr>
            <w:tcW w:w="425" w:type="dxa"/>
          </w:tcPr>
          <w:p w:rsidR="00A0015A" w:rsidRDefault="00A0015A" w:rsidP="000B43AD">
            <w:pPr>
              <w:pStyle w:val="TableBodyText"/>
              <w:spacing w:before="40"/>
              <w:ind w:right="28"/>
              <w:jc w:val="center"/>
              <w:rPr>
                <w:i/>
              </w:rPr>
            </w:pPr>
            <w:r>
              <w:sym w:font="Wingdings" w:char="F0FC"/>
            </w:r>
          </w:p>
        </w:tc>
      </w:tr>
      <w:tr w:rsidR="00C833D7" w:rsidTr="00C833D7">
        <w:tc>
          <w:tcPr>
            <w:tcW w:w="0" w:type="auto"/>
            <w:tcBorders>
              <w:bottom w:val="single" w:sz="4" w:space="0" w:color="auto"/>
            </w:tcBorders>
          </w:tcPr>
          <w:p w:rsidR="00A0015A" w:rsidRDefault="00A0015A" w:rsidP="00997AB0">
            <w:pPr>
              <w:pStyle w:val="TableBodyText"/>
              <w:spacing w:before="20"/>
              <w:jc w:val="left"/>
            </w:pPr>
            <w:r>
              <w:t>Quasi</w:t>
            </w:r>
            <w:r w:rsidR="00997AB0">
              <w:t xml:space="preserve"> </w:t>
            </w:r>
            <w:r>
              <w:t>regulation</w:t>
            </w:r>
          </w:p>
        </w:tc>
        <w:tc>
          <w:tcPr>
            <w:tcW w:w="0" w:type="auto"/>
            <w:tcBorders>
              <w:bottom w:val="single" w:sz="4" w:space="0" w:color="auto"/>
            </w:tcBorders>
          </w:tcPr>
          <w:p w:rsidR="00A0015A" w:rsidRPr="00A93E24" w:rsidRDefault="00A0015A" w:rsidP="000B43AD">
            <w:pPr>
              <w:pStyle w:val="TableBodyText"/>
              <w:spacing w:before="40"/>
              <w:jc w:val="center"/>
              <w:rPr>
                <w:rStyle w:val="NoteLabel"/>
                <w:b w:val="0"/>
                <w:position w:val="0"/>
                <w:sz w:val="20"/>
              </w:rPr>
            </w:pPr>
            <w:r>
              <w:sym w:font="Wingdings" w:char="F0FC"/>
            </w:r>
          </w:p>
        </w:tc>
        <w:tc>
          <w:tcPr>
            <w:tcW w:w="0" w:type="auto"/>
            <w:tcBorders>
              <w:bottom w:val="single" w:sz="4" w:space="0" w:color="auto"/>
            </w:tcBorders>
          </w:tcPr>
          <w:p w:rsidR="00A0015A" w:rsidRDefault="003F1CC6" w:rsidP="000B43AD">
            <w:pPr>
              <w:pStyle w:val="TableBodyText"/>
              <w:spacing w:before="40"/>
              <w:jc w:val="center"/>
              <w:rPr>
                <w:i/>
              </w:rPr>
            </w:pPr>
            <w:r>
              <w:sym w:font="Wingdings" w:char="F0FC"/>
            </w:r>
          </w:p>
        </w:tc>
        <w:tc>
          <w:tcPr>
            <w:tcW w:w="0" w:type="auto"/>
            <w:tcBorders>
              <w:bottom w:val="single" w:sz="4" w:space="0" w:color="auto"/>
            </w:tcBorders>
          </w:tcPr>
          <w:p w:rsidR="00A0015A" w:rsidRPr="00027DAA" w:rsidRDefault="00A0015A" w:rsidP="000B43AD">
            <w:pPr>
              <w:pStyle w:val="TableBodyText"/>
              <w:ind w:right="0"/>
              <w:jc w:val="center"/>
              <w:rPr>
                <w:rStyle w:val="NoteLabel"/>
              </w:rPr>
            </w:pPr>
            <w:r>
              <w:sym w:font="Wingdings" w:char="F0FB"/>
            </w:r>
            <w:r>
              <w:rPr>
                <w:rStyle w:val="NoteLabel"/>
              </w:rPr>
              <w:t>b</w:t>
            </w:r>
          </w:p>
        </w:tc>
        <w:tc>
          <w:tcPr>
            <w:tcW w:w="512" w:type="dxa"/>
            <w:tcBorders>
              <w:bottom w:val="single" w:sz="4" w:space="0" w:color="auto"/>
            </w:tcBorders>
          </w:tcPr>
          <w:p w:rsidR="00A0015A" w:rsidRPr="00A443F5" w:rsidRDefault="00A0015A" w:rsidP="000B43AD">
            <w:pPr>
              <w:pStyle w:val="TableBodyText"/>
              <w:ind w:right="0"/>
              <w:jc w:val="center"/>
              <w:rPr>
                <w:rStyle w:val="NoteLabel"/>
              </w:rPr>
            </w:pPr>
            <w:r>
              <w:sym w:font="Wingdings" w:char="F0FB"/>
            </w:r>
            <w:r>
              <w:rPr>
                <w:rStyle w:val="NoteLabel"/>
              </w:rPr>
              <w:t>c</w:t>
            </w:r>
          </w:p>
        </w:tc>
        <w:tc>
          <w:tcPr>
            <w:tcW w:w="567" w:type="dxa"/>
            <w:tcBorders>
              <w:bottom w:val="single" w:sz="4" w:space="0" w:color="auto"/>
            </w:tcBorders>
          </w:tcPr>
          <w:p w:rsidR="00A0015A" w:rsidRDefault="003C250F" w:rsidP="000B43AD">
            <w:pPr>
              <w:pStyle w:val="TableBodyText"/>
              <w:spacing w:before="40"/>
              <w:jc w:val="center"/>
              <w:rPr>
                <w:i/>
              </w:rPr>
            </w:pPr>
            <w:r>
              <w:sym w:font="Wingdings" w:char="F0FC"/>
            </w:r>
          </w:p>
        </w:tc>
        <w:tc>
          <w:tcPr>
            <w:tcW w:w="567" w:type="dxa"/>
            <w:tcBorders>
              <w:bottom w:val="single" w:sz="4" w:space="0" w:color="auto"/>
            </w:tcBorders>
          </w:tcPr>
          <w:p w:rsidR="00A0015A" w:rsidRDefault="001B1153" w:rsidP="000B43AD">
            <w:pPr>
              <w:pStyle w:val="TableBodyText"/>
              <w:spacing w:before="40"/>
              <w:jc w:val="center"/>
              <w:rPr>
                <w:i/>
              </w:rPr>
            </w:pPr>
            <w:r>
              <w:sym w:font="Wingdings" w:char="F0FB"/>
            </w:r>
          </w:p>
        </w:tc>
        <w:tc>
          <w:tcPr>
            <w:tcW w:w="540" w:type="dxa"/>
            <w:tcBorders>
              <w:bottom w:val="single" w:sz="4" w:space="0" w:color="auto"/>
            </w:tcBorders>
          </w:tcPr>
          <w:p w:rsidR="00A0015A" w:rsidRDefault="00A0015A" w:rsidP="000B43AD">
            <w:pPr>
              <w:pStyle w:val="TableBodyText"/>
              <w:spacing w:before="40"/>
              <w:jc w:val="center"/>
              <w:rPr>
                <w:i/>
              </w:rPr>
            </w:pPr>
            <w:r>
              <w:sym w:font="Wingdings" w:char="F0FC"/>
            </w:r>
          </w:p>
        </w:tc>
        <w:tc>
          <w:tcPr>
            <w:tcW w:w="453" w:type="dxa"/>
            <w:tcBorders>
              <w:bottom w:val="single" w:sz="4" w:space="0" w:color="auto"/>
            </w:tcBorders>
          </w:tcPr>
          <w:p w:rsidR="00A0015A" w:rsidRDefault="00A0015A" w:rsidP="000B43AD">
            <w:pPr>
              <w:pStyle w:val="TableBodyText"/>
              <w:spacing w:before="40"/>
              <w:jc w:val="center"/>
              <w:rPr>
                <w:i/>
              </w:rPr>
            </w:pPr>
            <w:r>
              <w:sym w:font="Wingdings" w:char="F0FB"/>
            </w:r>
          </w:p>
        </w:tc>
        <w:tc>
          <w:tcPr>
            <w:tcW w:w="567" w:type="dxa"/>
            <w:tcBorders>
              <w:bottom w:val="single" w:sz="4" w:space="0" w:color="auto"/>
            </w:tcBorders>
          </w:tcPr>
          <w:p w:rsidR="00A0015A" w:rsidRPr="00B27145" w:rsidRDefault="00A0015A" w:rsidP="000B43AD">
            <w:pPr>
              <w:pStyle w:val="TableBodyText"/>
              <w:ind w:right="0"/>
              <w:jc w:val="center"/>
              <w:rPr>
                <w:rStyle w:val="NoteLabel"/>
              </w:rPr>
            </w:pPr>
            <w:r>
              <w:sym w:font="Wingdings" w:char="F0FC"/>
            </w:r>
            <w:r>
              <w:rPr>
                <w:rStyle w:val="NoteLabel"/>
              </w:rPr>
              <w:t>d</w:t>
            </w:r>
          </w:p>
        </w:tc>
        <w:tc>
          <w:tcPr>
            <w:tcW w:w="425" w:type="dxa"/>
            <w:tcBorders>
              <w:bottom w:val="single" w:sz="4" w:space="0" w:color="auto"/>
            </w:tcBorders>
          </w:tcPr>
          <w:p w:rsidR="00A0015A" w:rsidRDefault="00A0015A" w:rsidP="000B43AD">
            <w:pPr>
              <w:pStyle w:val="TableBodyText"/>
              <w:spacing w:before="40"/>
              <w:ind w:right="28"/>
              <w:jc w:val="center"/>
              <w:rPr>
                <w:i/>
              </w:rPr>
            </w:pPr>
            <w:r>
              <w:sym w:font="Wingdings" w:char="F0FC"/>
            </w:r>
          </w:p>
        </w:tc>
      </w:tr>
    </w:tbl>
    <w:p w:rsidR="00A0015A" w:rsidRDefault="00A0015A" w:rsidP="00A0015A">
      <w:pPr>
        <w:pStyle w:val="Note"/>
      </w:pPr>
      <w:proofErr w:type="spellStart"/>
      <w:r w:rsidRPr="00CF5BBA">
        <w:rPr>
          <w:rStyle w:val="NoteLabel"/>
        </w:rPr>
        <w:t>a</w:t>
      </w:r>
      <w:proofErr w:type="spellEnd"/>
      <w:r>
        <w:t xml:space="preserve"> </w:t>
      </w:r>
      <w:proofErr w:type="spellStart"/>
      <w:r>
        <w:t>A</w:t>
      </w:r>
      <w:proofErr w:type="spellEnd"/>
      <w:r>
        <w:t xml:space="preserve"> </w:t>
      </w:r>
      <w:proofErr w:type="spellStart"/>
      <w:r>
        <w:t>RIS</w:t>
      </w:r>
      <w:proofErr w:type="spellEnd"/>
      <w:r>
        <w:t xml:space="preserve"> is not required for the remaking of subordinate legislation where the </w:t>
      </w:r>
      <w:r w:rsidR="009C1E2E">
        <w:t xml:space="preserve">original </w:t>
      </w:r>
      <w:r>
        <w:t>regulation has been in operation at some tim</w:t>
      </w:r>
      <w:r w:rsidR="00464AFA">
        <w:t>e in the preceding 12 months,</w:t>
      </w:r>
      <w:r w:rsidR="009C1E2E">
        <w:t xml:space="preserve"> and </w:t>
      </w:r>
      <w:r>
        <w:t>has been in operation for less than 10 years, and a RIS was prepared in relation to the earlier regulation.</w:t>
      </w:r>
      <w:r w:rsidR="00BA2D73">
        <w:t xml:space="preserve"> In practice, this means that regulation could potentially last for up to 19 years without a review.</w:t>
      </w:r>
      <w:r>
        <w:t xml:space="preserve">  </w:t>
      </w:r>
      <w:r>
        <w:rPr>
          <w:rStyle w:val="NoteLabel"/>
        </w:rPr>
        <w:t>b</w:t>
      </w:r>
      <w:r w:rsidR="00997AB0">
        <w:t xml:space="preserve"> Quasi </w:t>
      </w:r>
      <w:r>
        <w:t xml:space="preserve">regulation is considered </w:t>
      </w:r>
      <w:r w:rsidR="009C1E2E">
        <w:t>a non-regulatory approach in</w:t>
      </w:r>
      <w:r>
        <w:t xml:space="preserve"> NSW, and hence it is not subject to RIA.  </w:t>
      </w:r>
      <w:r>
        <w:rPr>
          <w:rStyle w:val="NoteLabel"/>
        </w:rPr>
        <w:t>c</w:t>
      </w:r>
      <w:r>
        <w:t xml:space="preserve"> Victor</w:t>
      </w:r>
      <w:r w:rsidR="00997AB0">
        <w:t xml:space="preserve">ia </w:t>
      </w:r>
      <w:r w:rsidR="002B55E0">
        <w:t xml:space="preserve">has treated </w:t>
      </w:r>
      <w:r w:rsidR="00997AB0">
        <w:t xml:space="preserve">quasi </w:t>
      </w:r>
      <w:r w:rsidR="00464AFA">
        <w:t xml:space="preserve">regulation as </w:t>
      </w:r>
      <w:r w:rsidR="002B55E0">
        <w:t>an</w:t>
      </w:r>
      <w:r>
        <w:t xml:space="preserve"> ‘other regulatory form’ not subject to RIA.</w:t>
      </w:r>
      <w:r w:rsidR="00CB7016" w:rsidRPr="00CB7016">
        <w:t xml:space="preserve"> </w:t>
      </w:r>
      <w:r w:rsidR="00CB7016">
        <w:t>Recent legislative changes have meant that some forms of quasi regulation are now subject to RIA.</w:t>
      </w:r>
      <w:r>
        <w:t xml:space="preserve">  </w:t>
      </w:r>
      <w:r>
        <w:rPr>
          <w:rStyle w:val="NoteLabel"/>
        </w:rPr>
        <w:t>d</w:t>
      </w:r>
      <w:r w:rsidR="00997AB0">
        <w:t xml:space="preserve"> The ACT classifies quasi </w:t>
      </w:r>
      <w:r>
        <w:t>regulation as a non-regulatory approach, however a RIS sh</w:t>
      </w:r>
      <w:r w:rsidR="00397A67">
        <w:t xml:space="preserve">ould still be undertaken.  .. </w:t>
      </w:r>
      <w:r>
        <w:t>not applicable.</w:t>
      </w:r>
    </w:p>
    <w:p w:rsidR="00A0015A" w:rsidRPr="007A7D4D" w:rsidRDefault="00A0015A" w:rsidP="00A0015A">
      <w:pPr>
        <w:pStyle w:val="Source"/>
      </w:pPr>
      <w:r>
        <w:rPr>
          <w:i/>
        </w:rPr>
        <w:t>Source</w:t>
      </w:r>
      <w:r>
        <w:t>: Jurisdictional guidance material</w:t>
      </w:r>
      <w:r w:rsidR="002324AE">
        <w:t xml:space="preserve"> (a</w:t>
      </w:r>
      <w:r w:rsidR="00F65683">
        <w:t>ppendix B)</w:t>
      </w:r>
      <w:r>
        <w:t>.</w:t>
      </w:r>
    </w:p>
    <w:p w:rsidR="000B43AD" w:rsidRDefault="000B43AD" w:rsidP="000B43AD">
      <w:pPr>
        <w:pStyle w:val="BodyText"/>
      </w:pPr>
      <w:r>
        <w:t xml:space="preserve">The </w:t>
      </w:r>
      <w:r w:rsidR="0047170A">
        <w:t>application of</w:t>
      </w:r>
      <w:r>
        <w:t xml:space="preserve"> RIA to quasi regulation is </w:t>
      </w:r>
      <w:r w:rsidR="0047170A">
        <w:t>not a feature of all</w:t>
      </w:r>
      <w:r>
        <w:t xml:space="preserve"> jurisdiction</w:t>
      </w:r>
      <w:r w:rsidR="00FE7D26">
        <w:t>s</w:t>
      </w:r>
      <w:r>
        <w:t xml:space="preserve">. For example, quasi regulation is not subject to RIA in New South Wales, Victoria, </w:t>
      </w:r>
      <w:r>
        <w:lastRenderedPageBreak/>
        <w:t>Western Australia or Tasmania, whereas the Australian Government explicitly states that quasi regulation is subject to RIA.</w:t>
      </w:r>
    </w:p>
    <w:p w:rsidR="00A25124" w:rsidRDefault="0047170A" w:rsidP="00A0015A">
      <w:pPr>
        <w:pStyle w:val="BodyText"/>
      </w:pPr>
      <w:r>
        <w:t xml:space="preserve">Part of the reason for </w:t>
      </w:r>
      <w:r w:rsidR="008D687D">
        <w:t>the</w:t>
      </w:r>
      <w:r>
        <w:t xml:space="preserve"> variable treatment of quasi regulation is that t</w:t>
      </w:r>
      <w:r w:rsidR="002B55E0">
        <w:t xml:space="preserve">here </w:t>
      </w:r>
      <w:r>
        <w:t>remain</w:t>
      </w:r>
      <w:r w:rsidR="002B55E0">
        <w:t xml:space="preserve"> issues around what constitutes quasi regulation</w:t>
      </w:r>
      <w:r>
        <w:t>. There are also</w:t>
      </w:r>
      <w:r w:rsidR="002B55E0">
        <w:t xml:space="preserve"> </w:t>
      </w:r>
      <w:r w:rsidR="00BF0972">
        <w:t>practical difficulties in monitoring the development of quasi</w:t>
      </w:r>
      <w:r w:rsidR="00997AB0">
        <w:t xml:space="preserve"> </w:t>
      </w:r>
      <w:r w:rsidR="00BF0972">
        <w:t>regulation</w:t>
      </w:r>
      <w:r>
        <w:t>,</w:t>
      </w:r>
      <w:r w:rsidR="00BF0972">
        <w:t xml:space="preserve"> as it often is developed outside parliamentary processes.</w:t>
      </w:r>
      <w:r>
        <w:t xml:space="preserve"> </w:t>
      </w:r>
      <w:r w:rsidR="00177B23">
        <w:t>I</w:t>
      </w:r>
      <w:r w:rsidR="00A25124">
        <w:t>f quasi</w:t>
      </w:r>
      <w:r w:rsidR="00997AB0">
        <w:t xml:space="preserve"> </w:t>
      </w:r>
      <w:r w:rsidR="00A25124">
        <w:t xml:space="preserve">regulation </w:t>
      </w:r>
      <w:r w:rsidR="000B43AD">
        <w:t>were</w:t>
      </w:r>
      <w:r w:rsidR="00143772">
        <w:t xml:space="preserve"> </w:t>
      </w:r>
      <w:r w:rsidR="00A25124">
        <w:t xml:space="preserve">excluded from RIA, </w:t>
      </w:r>
      <w:r w:rsidR="000B43AD">
        <w:t>this</w:t>
      </w:r>
      <w:r w:rsidR="00A25124">
        <w:t xml:space="preserve"> could potentially incentivise agencies to categorise regulato</w:t>
      </w:r>
      <w:r w:rsidR="00386257">
        <w:t>ry proposals as quasi</w:t>
      </w:r>
      <w:r w:rsidR="00997AB0">
        <w:t xml:space="preserve"> </w:t>
      </w:r>
      <w:r w:rsidR="00386257">
        <w:t>regulation</w:t>
      </w:r>
      <w:r w:rsidR="00A25124">
        <w:t xml:space="preserve"> so as to circumvent the RIA requirement. </w:t>
      </w:r>
      <w:r>
        <w:t>However, i</w:t>
      </w:r>
      <w:r w:rsidR="00A25124">
        <w:t>t is unclear to what extent this concern could be realised due to the low level of monitoring that quasi</w:t>
      </w:r>
      <w:r w:rsidR="00997AB0">
        <w:t xml:space="preserve"> </w:t>
      </w:r>
      <w:r w:rsidR="00A25124">
        <w:t>regulation typically receives.</w:t>
      </w:r>
    </w:p>
    <w:p w:rsidR="00965D32" w:rsidRDefault="00965D32" w:rsidP="00965D32">
      <w:pPr>
        <w:pStyle w:val="BodyText"/>
      </w:pPr>
      <w:r>
        <w:t>The Small Business Development Corporation (</w:t>
      </w:r>
      <w:proofErr w:type="spellStart"/>
      <w:r>
        <w:t>SBDC</w:t>
      </w:r>
      <w:proofErr w:type="spellEnd"/>
      <w:r>
        <w:t>) strongly advocated that the scope of RIA</w:t>
      </w:r>
      <w:r w:rsidR="00143772">
        <w:t xml:space="preserve"> in Western Australia be extended by including</w:t>
      </w:r>
      <w:r>
        <w:t xml:space="preserve"> quasi regulation:</w:t>
      </w:r>
    </w:p>
    <w:p w:rsidR="00965D32" w:rsidRDefault="00965D32" w:rsidP="00965D32">
      <w:pPr>
        <w:pStyle w:val="Quote"/>
      </w:pPr>
      <w:r>
        <w:t xml:space="preserve">In the </w:t>
      </w:r>
      <w:proofErr w:type="spellStart"/>
      <w:r>
        <w:t>SBDC’s</w:t>
      </w:r>
      <w:proofErr w:type="spellEnd"/>
      <w:r>
        <w:t xml:space="preserve"> opinion, the most significant shortcoming of the existing RIA system in Western Australia is that it only applies to primary and secondary legislation, at the expense of other quasi regulatory instruments … The [Red Tape Reduction Group] found that the majority of the regulatory burden on business in Western Australia did not directly come from legislation or regulations passed by Parliament, but rather from quasi regulations (such as policies, procedures and business rules) and their administration by government. (</w:t>
      </w:r>
      <w:proofErr w:type="spellStart"/>
      <w:r>
        <w:t>SBDC</w:t>
      </w:r>
      <w:proofErr w:type="spellEnd"/>
      <w:r>
        <w:t>, sub. 25, p. 5)</w:t>
      </w:r>
    </w:p>
    <w:p w:rsidR="000831E2" w:rsidRDefault="000831E2" w:rsidP="000831E2">
      <w:pPr>
        <w:pStyle w:val="BodyText"/>
      </w:pPr>
      <w:r>
        <w:t xml:space="preserve">Victoria has recently expanded the types of regulation subject to RIA to include some forms of quasi regulation such as ministerial orders, codes of practice and licence conditions that apply to a class of people (Department of Premier and Cabinet 2010, in </w:t>
      </w:r>
      <w:proofErr w:type="spellStart"/>
      <w:r>
        <w:t>VCEC</w:t>
      </w:r>
      <w:proofErr w:type="spellEnd"/>
      <w:r>
        <w:t xml:space="preserve"> 2010). The second reading speech for the Bill introducing the changes noted:</w:t>
      </w:r>
    </w:p>
    <w:p w:rsidR="00D65DEC" w:rsidRDefault="00D65DEC" w:rsidP="000831E2">
      <w:pPr>
        <w:pStyle w:val="Quote"/>
        <w:rPr>
          <w:lang w:val="en-GB"/>
        </w:rPr>
      </w:pPr>
      <w:r>
        <w:rPr>
          <w:lang w:val="en-GB"/>
        </w:rPr>
        <w:t xml:space="preserve">The changes </w:t>
      </w:r>
      <w:r w:rsidR="00B00404">
        <w:rPr>
          <w:lang w:val="en-GB"/>
        </w:rPr>
        <w:t>…</w:t>
      </w:r>
      <w:r>
        <w:rPr>
          <w:lang w:val="en-GB"/>
        </w:rPr>
        <w:t xml:space="preserve"> will mean more types of subordinate legislation that have a significant burden on the public will be the subject of analysis, public consultation and scrutiny through the regulatory impact statement (RIS) process. There will be a consistent level of scrutiny for all subordinate legislation based upon an instrument's potential impact, rather than its legal form. (Hulls 2010</w:t>
      </w:r>
      <w:r w:rsidR="00AD4C28">
        <w:rPr>
          <w:lang w:val="en-GB"/>
        </w:rPr>
        <w:t>, p. 3615</w:t>
      </w:r>
      <w:r>
        <w:rPr>
          <w:lang w:val="en-GB"/>
        </w:rPr>
        <w:t>)</w:t>
      </w:r>
    </w:p>
    <w:p w:rsidR="00B90181" w:rsidRDefault="00A25124" w:rsidP="00A0015A">
      <w:pPr>
        <w:pStyle w:val="BodyText"/>
      </w:pPr>
      <w:r>
        <w:t>Notwithstanding the potential definitional and practical difficulties of monitoring quasi</w:t>
      </w:r>
      <w:r w:rsidR="00997AB0">
        <w:t xml:space="preserve"> </w:t>
      </w:r>
      <w:r>
        <w:t xml:space="preserve">regulation, the Commission considers that any proposed </w:t>
      </w:r>
      <w:r w:rsidR="00965D32">
        <w:t xml:space="preserve">regulation </w:t>
      </w:r>
      <w:r>
        <w:t xml:space="preserve">with a widespread expectation of compliance ought </w:t>
      </w:r>
      <w:r w:rsidR="00A96553">
        <w:t>to be subject to RIA.</w:t>
      </w:r>
    </w:p>
    <w:p w:rsidR="0051098F" w:rsidRDefault="0051098F" w:rsidP="0051098F">
      <w:pPr>
        <w:pStyle w:val="FindingTitle"/>
        <w:framePr w:wrap="notBeside"/>
      </w:pPr>
      <w:r>
        <w:t xml:space="preserve">leading practice </w:t>
      </w:r>
      <w:r w:rsidR="00DF63E7">
        <w:t>4.</w:t>
      </w:r>
      <w:r w:rsidR="009445FF">
        <w:rPr>
          <w:noProof/>
        </w:rPr>
        <w:t>1</w:t>
      </w:r>
    </w:p>
    <w:p w:rsidR="00CD025A" w:rsidRPr="0047170A" w:rsidRDefault="00CD025A" w:rsidP="00CD025A">
      <w:pPr>
        <w:pStyle w:val="Finding"/>
        <w:rPr>
          <w:b/>
        </w:rPr>
      </w:pPr>
      <w:r w:rsidRPr="0047170A">
        <w:rPr>
          <w:b/>
        </w:rPr>
        <w:t>Subject to appropriate exceptions, outcomes are enhanced where primary, subordinate and quasi regulation are included within the scope of the RIA process.</w:t>
      </w:r>
    </w:p>
    <w:p w:rsidR="0022353D" w:rsidRDefault="00AF5F34" w:rsidP="004878B6">
      <w:pPr>
        <w:pStyle w:val="BodyText"/>
      </w:pPr>
      <w:r w:rsidRPr="00AF5F34">
        <w:lastRenderedPageBreak/>
        <w:t xml:space="preserve">The Commission received a </w:t>
      </w:r>
      <w:r>
        <w:t>number of submissions from study</w:t>
      </w:r>
      <w:r w:rsidRPr="00AF5F34">
        <w:t xml:space="preserve"> parti</w:t>
      </w:r>
      <w:r>
        <w:t>ci</w:t>
      </w:r>
      <w:r w:rsidRPr="00AF5F34">
        <w:t xml:space="preserve">pants advocating that local government regulation be subject to </w:t>
      </w:r>
      <w:r w:rsidR="00747BE5">
        <w:t xml:space="preserve">RIA </w:t>
      </w:r>
      <w:r w:rsidR="00002843">
        <w:t>(for example,</w:t>
      </w:r>
      <w:r w:rsidR="0022353D">
        <w:t xml:space="preserve"> </w:t>
      </w:r>
      <w:r w:rsidR="00747BE5" w:rsidRPr="00747BE5">
        <w:t xml:space="preserve">Construction Material Processors Association Inc. </w:t>
      </w:r>
      <w:r w:rsidR="006F301B">
        <w:t>(</w:t>
      </w:r>
      <w:r w:rsidR="00747BE5" w:rsidRPr="00747BE5">
        <w:t>sub. 9</w:t>
      </w:r>
      <w:r w:rsidR="006F301B">
        <w:t>) and the</w:t>
      </w:r>
      <w:r w:rsidR="00747BE5" w:rsidRPr="00747BE5">
        <w:t xml:space="preserve"> Small Business Development Corporation </w:t>
      </w:r>
      <w:r w:rsidR="006F301B">
        <w:t>(</w:t>
      </w:r>
      <w:r w:rsidR="00747BE5" w:rsidRPr="00747BE5">
        <w:t>sub. 25</w:t>
      </w:r>
      <w:r w:rsidR="00747BE5">
        <w:t>)</w:t>
      </w:r>
      <w:r w:rsidR="00002843">
        <w:t>)</w:t>
      </w:r>
      <w:r w:rsidR="00747BE5">
        <w:t>.</w:t>
      </w:r>
      <w:r w:rsidR="0022353D">
        <w:t xml:space="preserve"> </w:t>
      </w:r>
      <w:r w:rsidR="00DA7D56">
        <w:t xml:space="preserve">The Commission’s report into </w:t>
      </w:r>
      <w:r w:rsidR="0022353D">
        <w:t xml:space="preserve">the regulatory role of </w:t>
      </w:r>
      <w:r w:rsidR="00DA7D56">
        <w:t xml:space="preserve">local government </w:t>
      </w:r>
      <w:r w:rsidR="0022353D">
        <w:t>noted</w:t>
      </w:r>
      <w:r w:rsidR="00DA7D56">
        <w:t xml:space="preserve"> that only Tasmanian local governments are required to undertake RIA as part of </w:t>
      </w:r>
      <w:r w:rsidR="006F301B">
        <w:t xml:space="preserve">policy </w:t>
      </w:r>
      <w:r w:rsidR="00DA7D56">
        <w:t>development (PC 201</w:t>
      </w:r>
      <w:r w:rsidR="0022353D">
        <w:t>2</w:t>
      </w:r>
      <w:r w:rsidR="003E6672">
        <w:t>).</w:t>
      </w:r>
    </w:p>
    <w:p w:rsidR="004878B6" w:rsidRDefault="00DA7D56" w:rsidP="004878B6">
      <w:pPr>
        <w:pStyle w:val="BodyText"/>
      </w:pPr>
      <w:r>
        <w:t xml:space="preserve">The appropriateness of applying </w:t>
      </w:r>
      <w:r w:rsidR="009C1E2E">
        <w:t>RIA to local government regulation making is considered to be outside</w:t>
      </w:r>
      <w:r>
        <w:t xml:space="preserve"> the te</w:t>
      </w:r>
      <w:r w:rsidR="009C1E2E">
        <w:t>rms of reference of this study.</w:t>
      </w:r>
      <w:r w:rsidR="000F0093">
        <w:t xml:space="preserve"> However, the costs incurred by local government to implement or enforce state, territory or Commonwealth regulation, are </w:t>
      </w:r>
      <w:r w:rsidR="0022353D">
        <w:t>briefly considered in this study, with</w:t>
      </w:r>
      <w:r w:rsidR="000F0093">
        <w:t xml:space="preserve"> chapter </w:t>
      </w:r>
      <w:r w:rsidR="00145E51">
        <w:t>6</w:t>
      </w:r>
      <w:r w:rsidR="000F0093">
        <w:t xml:space="preserve"> </w:t>
      </w:r>
      <w:r w:rsidR="0022353D">
        <w:t xml:space="preserve">noting their </w:t>
      </w:r>
      <w:r w:rsidR="000F0093">
        <w:t>necessary inclusion in RIS</w:t>
      </w:r>
      <w:r w:rsidR="0022353D">
        <w:t xml:space="preserve"> analysi</w:t>
      </w:r>
      <w:r w:rsidR="000F0093">
        <w:t>s.</w:t>
      </w:r>
    </w:p>
    <w:p w:rsidR="00B74802" w:rsidRDefault="00B74802" w:rsidP="00B74802">
      <w:pPr>
        <w:pStyle w:val="Heading4"/>
      </w:pPr>
      <w:r>
        <w:t>Level of RIS activity</w:t>
      </w:r>
    </w:p>
    <w:p w:rsidR="00D80E78" w:rsidRDefault="00B74802" w:rsidP="006870ED">
      <w:pPr>
        <w:pStyle w:val="BodyText"/>
      </w:pPr>
      <w:r>
        <w:t xml:space="preserve">Notwithstanding the broad coverage of instruments in jurisdictional RIA </w:t>
      </w:r>
      <w:r w:rsidR="00965D32">
        <w:t>processes</w:t>
      </w:r>
      <w:r>
        <w:t xml:space="preserve">, in practice the number of RISs completed is relatively small (figure </w:t>
      </w:r>
      <w:r w:rsidR="00487529">
        <w:t>4.1</w:t>
      </w:r>
      <w:r>
        <w:t xml:space="preserve">). </w:t>
      </w:r>
      <w:r w:rsidR="00965D32">
        <w:t>I</w:t>
      </w:r>
      <w:r>
        <w:t xml:space="preserve">n the most recent two year period, the Commonwealth alone accounted for one-third of all RIS activity, with COAG, Victoria and New South Wales together accounting for a further 50 per cent. </w:t>
      </w:r>
      <w:r w:rsidR="00965D32">
        <w:t>However, even in these</w:t>
      </w:r>
      <w:r>
        <w:t xml:space="preserve"> jurisdictions, RISs were completed for </w:t>
      </w:r>
      <w:r w:rsidR="00965D32">
        <w:t xml:space="preserve">only </w:t>
      </w:r>
      <w:r>
        <w:t xml:space="preserve">1 </w:t>
      </w:r>
      <w:r w:rsidR="00965D32">
        <w:t xml:space="preserve">to </w:t>
      </w:r>
      <w:r>
        <w:t xml:space="preserve">3 per cent of </w:t>
      </w:r>
      <w:r w:rsidR="00965D32">
        <w:t xml:space="preserve">all </w:t>
      </w:r>
      <w:r>
        <w:t xml:space="preserve">regulatory instruments made (table </w:t>
      </w:r>
      <w:r w:rsidR="00F239D1">
        <w:t>4.2</w:t>
      </w:r>
      <w:r>
        <w:t>).</w:t>
      </w:r>
      <w:r w:rsidR="004F7E19">
        <w:rPr>
          <w:rStyle w:val="FootnoteReference"/>
        </w:rPr>
        <w:footnoteReference w:id="1"/>
      </w:r>
    </w:p>
    <w:p w:rsidR="00F24593" w:rsidRDefault="00F24593" w:rsidP="00F24593">
      <w:pPr>
        <w:pStyle w:val="BodyText"/>
      </w:pPr>
      <w:r>
        <w:t xml:space="preserve">Differences in these proportions evident between jurisdictions reflects a range of factors including: differing RIA coverage requirements; level of aggregation of regulations in different jurisdictions; and the devolution of regulatory responsibilities to local governments (which, as noted above, are generally not required to do </w:t>
      </w:r>
      <w:proofErr w:type="spellStart"/>
      <w:r>
        <w:t>RISs</w:t>
      </w:r>
      <w:proofErr w:type="spellEnd"/>
      <w:r>
        <w:t>).</w:t>
      </w:r>
    </w:p>
    <w:p w:rsidR="00487529" w:rsidRPr="006D36F7" w:rsidRDefault="00487529">
      <w:pPr>
        <w:pStyle w:val="FigureTitle"/>
        <w:rPr>
          <w:rStyle w:val="NoteLabel"/>
        </w:rPr>
      </w:pPr>
      <w:r>
        <w:rPr>
          <w:b w:val="0"/>
        </w:rPr>
        <w:lastRenderedPageBreak/>
        <w:t xml:space="preserve">Figure </w:t>
      </w:r>
      <w:bookmarkStart w:id="8" w:name="OLE_LINK11"/>
      <w:r>
        <w:rPr>
          <w:b w:val="0"/>
        </w:rPr>
        <w:t>4.</w:t>
      </w:r>
      <w:r w:rsidR="009445FF">
        <w:rPr>
          <w:b w:val="0"/>
          <w:noProof/>
        </w:rPr>
        <w:t>1</w:t>
      </w:r>
      <w:bookmarkEnd w:id="8"/>
      <w:r>
        <w:tab/>
      </w:r>
      <w:r w:rsidR="006D36F7">
        <w:t>Total number of completed RISs</w:t>
      </w:r>
      <w:r w:rsidR="00070EFA">
        <w:t xml:space="preserve"> (or equivalent)</w:t>
      </w:r>
      <w:r w:rsidR="0069619E" w:rsidRPr="0069619E">
        <w:rPr>
          <w:rStyle w:val="NoteLabel"/>
          <w:b/>
        </w:rPr>
        <w:t>a</w:t>
      </w:r>
    </w:p>
    <w:p w:rsidR="00487529" w:rsidRPr="0069619E" w:rsidRDefault="006D36F7">
      <w:pPr>
        <w:pStyle w:val="Subtitle"/>
        <w:rPr>
          <w:rStyle w:val="NoteLabel"/>
        </w:rPr>
      </w:pPr>
      <w:r>
        <w:t>2010 and 2011</w:t>
      </w:r>
      <w:r w:rsidR="0069619E">
        <w:rPr>
          <w:rStyle w:val="NoteLabel"/>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87529" w:rsidTr="00A124C0">
        <w:tc>
          <w:tcPr>
            <w:tcW w:w="8777" w:type="dxa"/>
          </w:tcPr>
          <w:p w:rsidR="00487529" w:rsidRDefault="001947D0">
            <w:pPr>
              <w:pStyle w:val="Figure"/>
            </w:pPr>
            <w:r>
              <w:rPr>
                <w:noProof/>
              </w:rPr>
              <w:drawing>
                <wp:inline distT="0" distB="0" distL="0" distR="0" wp14:anchorId="7189DCAD" wp14:editId="50E3C917">
                  <wp:extent cx="4750315" cy="2533650"/>
                  <wp:effectExtent l="0" t="0" r="0" b="0"/>
                  <wp:docPr id="2" name="Picture 2" descr="Figure 4.1 Total number of completed RISs (or equivalent). This chart shows the total number of RISs completed for the Commonwealth, COAG and all states and territ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54233" cy="2535740"/>
                          </a:xfrm>
                          <a:prstGeom prst="rect">
                            <a:avLst/>
                          </a:prstGeom>
                          <a:noFill/>
                        </pic:spPr>
                      </pic:pic>
                    </a:graphicData>
                  </a:graphic>
                </wp:inline>
              </w:drawing>
            </w:r>
          </w:p>
        </w:tc>
      </w:tr>
    </w:tbl>
    <w:p w:rsidR="0069619E" w:rsidRDefault="0069619E" w:rsidP="0069619E">
      <w:pPr>
        <w:pStyle w:val="Note"/>
      </w:pPr>
      <w:proofErr w:type="spellStart"/>
      <w:r>
        <w:rPr>
          <w:rStyle w:val="NoteLabel"/>
        </w:rPr>
        <w:t>a</w:t>
      </w:r>
      <w:proofErr w:type="spellEnd"/>
      <w:r>
        <w:t xml:space="preserve"> The reported values are the number of final RISs </w:t>
      </w:r>
      <w:r w:rsidR="00070EFA">
        <w:t xml:space="preserve">or equivalent </w:t>
      </w:r>
      <w:r>
        <w:t>produced. That is, for jurisdictions with a two</w:t>
      </w:r>
      <w:r w:rsidR="00A26C5B">
        <w:t>-</w:t>
      </w:r>
      <w:r>
        <w:t xml:space="preserve">stage process, only the final RIS is reported. For jurisdictions which only produce a consultation RIS (Victoria and Tasmania), the number of these is reported. </w:t>
      </w:r>
      <w:r>
        <w:rPr>
          <w:rStyle w:val="NoteLabel"/>
        </w:rPr>
        <w:t>b</w:t>
      </w:r>
      <w:r>
        <w:t> </w:t>
      </w:r>
      <w:r w:rsidR="00A26C5B">
        <w:t>Data</w:t>
      </w:r>
      <w:r>
        <w:t xml:space="preserve"> for Commonwealth</w:t>
      </w:r>
      <w:r w:rsidR="00F24593">
        <w:t xml:space="preserve"> and</w:t>
      </w:r>
      <w:r>
        <w:t xml:space="preserve"> COAG </w:t>
      </w:r>
      <w:r w:rsidR="00A26C5B">
        <w:t>are for</w:t>
      </w:r>
      <w:r>
        <w:t xml:space="preserve"> July 2009 to June 2011. For the remainder of jurisdictions</w:t>
      </w:r>
      <w:r w:rsidR="00A26C5B">
        <w:t>,</w:t>
      </w:r>
      <w:r>
        <w:t xml:space="preserve"> </w:t>
      </w:r>
      <w:r w:rsidR="00A26C5B">
        <w:t>data</w:t>
      </w:r>
      <w:r>
        <w:t xml:space="preserve"> </w:t>
      </w:r>
      <w:r w:rsidR="00A26C5B">
        <w:t>are for</w:t>
      </w:r>
      <w:r>
        <w:t xml:space="preserve"> January 2010 to December 2011. The Sout</w:t>
      </w:r>
      <w:r w:rsidR="00C457D9">
        <w:t xml:space="preserve">h Australian </w:t>
      </w:r>
      <w:r w:rsidR="00A26C5B">
        <w:t>number</w:t>
      </w:r>
      <w:r w:rsidR="00C457D9">
        <w:t xml:space="preserve"> is from mid-</w:t>
      </w:r>
      <w:r>
        <w:t xml:space="preserve">2011, corresponding with the </w:t>
      </w:r>
      <w:r w:rsidR="00070EFA">
        <w:t xml:space="preserve">implementation of a </w:t>
      </w:r>
      <w:r>
        <w:t xml:space="preserve">new RIA </w:t>
      </w:r>
      <w:r w:rsidR="00070EFA">
        <w:t>process</w:t>
      </w:r>
      <w:r>
        <w:t>.</w:t>
      </w:r>
    </w:p>
    <w:p w:rsidR="00B74802" w:rsidRDefault="0069619E" w:rsidP="005423A7">
      <w:pPr>
        <w:pStyle w:val="Source"/>
        <w:keepLines w:val="0"/>
      </w:pPr>
      <w:r>
        <w:rPr>
          <w:i/>
        </w:rPr>
        <w:t>Data source</w:t>
      </w:r>
      <w:r w:rsidRPr="00167F06">
        <w:t xml:space="preserve">: </w:t>
      </w:r>
      <w:r>
        <w:t>PC information request</w:t>
      </w:r>
      <w:r w:rsidR="00F24593">
        <w:t xml:space="preserve"> (</w:t>
      </w:r>
      <w:r>
        <w:t>March</w:t>
      </w:r>
      <w:r w:rsidR="0035333A">
        <w:t xml:space="preserve"> 2012</w:t>
      </w:r>
      <w:r w:rsidR="00F24593">
        <w:t>)</w:t>
      </w:r>
      <w:r>
        <w:t>.</w:t>
      </w:r>
    </w:p>
    <w:p w:rsidR="00F239D1" w:rsidRPr="00585739" w:rsidRDefault="00F239D1" w:rsidP="00F239D1">
      <w:pPr>
        <w:pStyle w:val="TableTitle"/>
        <w:rPr>
          <w:rStyle w:val="NoteLabel"/>
        </w:rPr>
      </w:pPr>
      <w:r>
        <w:rPr>
          <w:b w:val="0"/>
        </w:rPr>
        <w:t xml:space="preserve">Table </w:t>
      </w:r>
      <w:bookmarkStart w:id="9" w:name="OLE_LINK30"/>
      <w:r>
        <w:rPr>
          <w:b w:val="0"/>
        </w:rPr>
        <w:t>4.</w:t>
      </w:r>
      <w:r w:rsidR="009445FF">
        <w:rPr>
          <w:b w:val="0"/>
          <w:noProof/>
        </w:rPr>
        <w:t>2</w:t>
      </w:r>
      <w:bookmarkEnd w:id="9"/>
      <w:r>
        <w:tab/>
        <w:t>Jurisdictional regulatory and RIS activity</w:t>
      </w:r>
      <w:r w:rsidRPr="00585739">
        <w:rPr>
          <w:rStyle w:val="NoteLabel"/>
          <w:b/>
        </w:rPr>
        <w:t>a</w:t>
      </w:r>
    </w:p>
    <w:p w:rsidR="00F239D1" w:rsidRDefault="00F239D1" w:rsidP="00F239D1">
      <w:pPr>
        <w:pStyle w:val="Subtitle"/>
      </w:pPr>
      <w:r>
        <w:t>2010 and 2011 calendar years</w:t>
      </w:r>
    </w:p>
    <w:tbl>
      <w:tblPr>
        <w:tblW w:w="5000" w:type="pct"/>
        <w:tblCellMar>
          <w:left w:w="0" w:type="dxa"/>
          <w:right w:w="0" w:type="dxa"/>
        </w:tblCellMar>
        <w:tblLook w:val="0000" w:firstRow="0" w:lastRow="0" w:firstColumn="0" w:lastColumn="0" w:noHBand="0" w:noVBand="0"/>
      </w:tblPr>
      <w:tblGrid>
        <w:gridCol w:w="694"/>
        <w:gridCol w:w="3002"/>
        <w:gridCol w:w="631"/>
        <w:gridCol w:w="643"/>
        <w:gridCol w:w="659"/>
        <w:gridCol w:w="543"/>
        <w:gridCol w:w="633"/>
        <w:gridCol w:w="566"/>
        <w:gridCol w:w="531"/>
        <w:gridCol w:w="519"/>
        <w:gridCol w:w="368"/>
      </w:tblGrid>
      <w:tr w:rsidR="00B810C2" w:rsidTr="00B810C2">
        <w:tc>
          <w:tcPr>
            <w:tcW w:w="395" w:type="pct"/>
            <w:tcBorders>
              <w:top w:val="single" w:sz="6" w:space="0" w:color="auto"/>
              <w:bottom w:val="single" w:sz="6" w:space="0" w:color="auto"/>
            </w:tcBorders>
            <w:shd w:val="clear" w:color="auto" w:fill="auto"/>
          </w:tcPr>
          <w:p w:rsidR="00F239D1" w:rsidRDefault="00F239D1" w:rsidP="003142DE">
            <w:pPr>
              <w:pStyle w:val="TableColumnHeading"/>
              <w:jc w:val="left"/>
            </w:pPr>
            <w:r>
              <w:t>Year</w:t>
            </w:r>
          </w:p>
        </w:tc>
        <w:tc>
          <w:tcPr>
            <w:tcW w:w="1708" w:type="pct"/>
            <w:tcBorders>
              <w:top w:val="single" w:sz="6" w:space="0" w:color="auto"/>
              <w:bottom w:val="single" w:sz="6" w:space="0" w:color="auto"/>
            </w:tcBorders>
            <w:shd w:val="clear" w:color="auto" w:fill="auto"/>
          </w:tcPr>
          <w:p w:rsidR="00F239D1" w:rsidRDefault="00F239D1" w:rsidP="003142DE">
            <w:pPr>
              <w:pStyle w:val="TableColumnHeading"/>
              <w:jc w:val="left"/>
            </w:pPr>
            <w:r>
              <w:t>Type of instrument</w:t>
            </w:r>
          </w:p>
        </w:tc>
        <w:tc>
          <w:tcPr>
            <w:tcW w:w="359" w:type="pct"/>
            <w:tcBorders>
              <w:top w:val="single" w:sz="6" w:space="0" w:color="auto"/>
              <w:bottom w:val="single" w:sz="6" w:space="0" w:color="auto"/>
            </w:tcBorders>
            <w:shd w:val="clear" w:color="auto" w:fill="auto"/>
          </w:tcPr>
          <w:p w:rsidR="00F239D1" w:rsidRDefault="00F239D1" w:rsidP="003142DE">
            <w:pPr>
              <w:pStyle w:val="TableColumnHeading"/>
            </w:pPr>
            <w:proofErr w:type="spellStart"/>
            <w:r>
              <w:t>Cwlth</w:t>
            </w:r>
            <w:proofErr w:type="spellEnd"/>
          </w:p>
        </w:tc>
        <w:tc>
          <w:tcPr>
            <w:tcW w:w="366" w:type="pct"/>
            <w:tcBorders>
              <w:top w:val="single" w:sz="6" w:space="0" w:color="auto"/>
              <w:bottom w:val="single" w:sz="6" w:space="0" w:color="auto"/>
            </w:tcBorders>
            <w:shd w:val="clear" w:color="auto" w:fill="auto"/>
          </w:tcPr>
          <w:p w:rsidR="00F239D1" w:rsidRDefault="00F239D1" w:rsidP="003142DE">
            <w:pPr>
              <w:pStyle w:val="TableColumnHeading"/>
            </w:pPr>
            <w:r>
              <w:t>NSW</w:t>
            </w:r>
          </w:p>
        </w:tc>
        <w:tc>
          <w:tcPr>
            <w:tcW w:w="375" w:type="pct"/>
            <w:tcBorders>
              <w:top w:val="single" w:sz="6" w:space="0" w:color="auto"/>
              <w:bottom w:val="single" w:sz="6" w:space="0" w:color="auto"/>
            </w:tcBorders>
            <w:shd w:val="clear" w:color="auto" w:fill="auto"/>
          </w:tcPr>
          <w:p w:rsidR="00F239D1" w:rsidRDefault="00F239D1" w:rsidP="003142DE">
            <w:pPr>
              <w:pStyle w:val="TableColumnHeading"/>
            </w:pPr>
            <w:r>
              <w:t>Vic</w:t>
            </w:r>
          </w:p>
        </w:tc>
        <w:tc>
          <w:tcPr>
            <w:tcW w:w="309" w:type="pct"/>
            <w:tcBorders>
              <w:top w:val="single" w:sz="6" w:space="0" w:color="auto"/>
              <w:bottom w:val="single" w:sz="6" w:space="0" w:color="auto"/>
            </w:tcBorders>
            <w:shd w:val="clear" w:color="auto" w:fill="auto"/>
          </w:tcPr>
          <w:p w:rsidR="00F239D1" w:rsidRDefault="00F239D1" w:rsidP="003142DE">
            <w:pPr>
              <w:pStyle w:val="TableColumnHeading"/>
            </w:pPr>
            <w:r>
              <w:t>Qld</w:t>
            </w:r>
          </w:p>
        </w:tc>
        <w:tc>
          <w:tcPr>
            <w:tcW w:w="360" w:type="pct"/>
            <w:tcBorders>
              <w:top w:val="single" w:sz="6" w:space="0" w:color="auto"/>
              <w:bottom w:val="single" w:sz="6" w:space="0" w:color="auto"/>
            </w:tcBorders>
            <w:shd w:val="clear" w:color="auto" w:fill="auto"/>
          </w:tcPr>
          <w:p w:rsidR="00F239D1" w:rsidRDefault="00F239D1" w:rsidP="003142DE">
            <w:pPr>
              <w:pStyle w:val="TableColumnHeading"/>
            </w:pPr>
            <w:r>
              <w:t>WA</w:t>
            </w:r>
          </w:p>
        </w:tc>
        <w:tc>
          <w:tcPr>
            <w:tcW w:w="322" w:type="pct"/>
            <w:tcBorders>
              <w:top w:val="single" w:sz="6" w:space="0" w:color="auto"/>
              <w:bottom w:val="single" w:sz="6" w:space="0" w:color="auto"/>
            </w:tcBorders>
            <w:shd w:val="clear" w:color="auto" w:fill="auto"/>
          </w:tcPr>
          <w:p w:rsidR="00F239D1" w:rsidRDefault="00F239D1" w:rsidP="003142DE">
            <w:pPr>
              <w:pStyle w:val="TableColumnHeading"/>
            </w:pPr>
            <w:r>
              <w:t>SA</w:t>
            </w:r>
          </w:p>
        </w:tc>
        <w:tc>
          <w:tcPr>
            <w:tcW w:w="302" w:type="pct"/>
            <w:tcBorders>
              <w:top w:val="single" w:sz="6" w:space="0" w:color="auto"/>
              <w:bottom w:val="single" w:sz="6" w:space="0" w:color="auto"/>
            </w:tcBorders>
            <w:shd w:val="clear" w:color="auto" w:fill="auto"/>
          </w:tcPr>
          <w:p w:rsidR="00F239D1" w:rsidRDefault="00F239D1" w:rsidP="003142DE">
            <w:pPr>
              <w:pStyle w:val="TableColumnHeading"/>
            </w:pPr>
            <w:proofErr w:type="spellStart"/>
            <w:r>
              <w:t>Tas</w:t>
            </w:r>
            <w:proofErr w:type="spellEnd"/>
          </w:p>
        </w:tc>
        <w:tc>
          <w:tcPr>
            <w:tcW w:w="295" w:type="pct"/>
            <w:tcBorders>
              <w:top w:val="single" w:sz="6" w:space="0" w:color="auto"/>
              <w:bottom w:val="single" w:sz="6" w:space="0" w:color="auto"/>
            </w:tcBorders>
            <w:shd w:val="clear" w:color="auto" w:fill="auto"/>
          </w:tcPr>
          <w:p w:rsidR="00F239D1" w:rsidRDefault="00F239D1" w:rsidP="003142DE">
            <w:pPr>
              <w:pStyle w:val="TableColumnHeading"/>
            </w:pPr>
            <w:r>
              <w:t>ACT</w:t>
            </w:r>
          </w:p>
        </w:tc>
        <w:tc>
          <w:tcPr>
            <w:tcW w:w="209" w:type="pct"/>
            <w:tcBorders>
              <w:top w:val="single" w:sz="6" w:space="0" w:color="auto"/>
              <w:bottom w:val="single" w:sz="6" w:space="0" w:color="auto"/>
            </w:tcBorders>
            <w:shd w:val="clear" w:color="auto" w:fill="auto"/>
          </w:tcPr>
          <w:p w:rsidR="00F239D1" w:rsidRDefault="00F239D1" w:rsidP="003142DE">
            <w:pPr>
              <w:pStyle w:val="TableColumnHeading"/>
              <w:ind w:right="28"/>
            </w:pPr>
            <w:r>
              <w:t>NT</w:t>
            </w:r>
          </w:p>
        </w:tc>
      </w:tr>
      <w:tr w:rsidR="00B810C2" w:rsidTr="00B810C2">
        <w:tc>
          <w:tcPr>
            <w:tcW w:w="395" w:type="pct"/>
            <w:tcBorders>
              <w:top w:val="single" w:sz="6" w:space="0" w:color="auto"/>
            </w:tcBorders>
          </w:tcPr>
          <w:p w:rsidR="00F239D1" w:rsidRDefault="00F239D1" w:rsidP="00F24593">
            <w:pPr>
              <w:pStyle w:val="TableUnitsRow"/>
              <w:spacing w:after="0"/>
              <w:jc w:val="left"/>
            </w:pPr>
            <w:r>
              <w:t>2010</w:t>
            </w:r>
          </w:p>
        </w:tc>
        <w:tc>
          <w:tcPr>
            <w:tcW w:w="1708" w:type="pct"/>
            <w:tcBorders>
              <w:top w:val="single" w:sz="6" w:space="0" w:color="auto"/>
            </w:tcBorders>
          </w:tcPr>
          <w:p w:rsidR="00F239D1" w:rsidRDefault="00F239D1" w:rsidP="00F24593">
            <w:pPr>
              <w:pStyle w:val="TableUnitsRow"/>
              <w:spacing w:after="0"/>
              <w:jc w:val="left"/>
            </w:pPr>
            <w:r>
              <w:t>Acts</w:t>
            </w:r>
          </w:p>
        </w:tc>
        <w:tc>
          <w:tcPr>
            <w:tcW w:w="359" w:type="pct"/>
            <w:tcBorders>
              <w:top w:val="single" w:sz="6" w:space="0" w:color="auto"/>
            </w:tcBorders>
          </w:tcPr>
          <w:p w:rsidR="00F239D1" w:rsidRDefault="00F239D1" w:rsidP="00F24593">
            <w:pPr>
              <w:pStyle w:val="TableUnitsRow"/>
              <w:spacing w:after="0"/>
            </w:pPr>
            <w:r>
              <w:t>150</w:t>
            </w:r>
          </w:p>
        </w:tc>
        <w:tc>
          <w:tcPr>
            <w:tcW w:w="366" w:type="pct"/>
            <w:tcBorders>
              <w:top w:val="single" w:sz="6" w:space="0" w:color="auto"/>
            </w:tcBorders>
          </w:tcPr>
          <w:p w:rsidR="00F239D1" w:rsidRDefault="00F239D1" w:rsidP="00F24593">
            <w:pPr>
              <w:pStyle w:val="TableUnitsRow"/>
              <w:spacing w:after="0"/>
            </w:pPr>
            <w:r>
              <w:t>137</w:t>
            </w:r>
          </w:p>
        </w:tc>
        <w:tc>
          <w:tcPr>
            <w:tcW w:w="375" w:type="pct"/>
            <w:tcBorders>
              <w:top w:val="single" w:sz="6" w:space="0" w:color="auto"/>
            </w:tcBorders>
          </w:tcPr>
          <w:p w:rsidR="00F239D1" w:rsidRDefault="00F239D1" w:rsidP="00F24593">
            <w:pPr>
              <w:pStyle w:val="TableUnitsRow"/>
              <w:spacing w:after="0"/>
            </w:pPr>
            <w:r>
              <w:t>80</w:t>
            </w:r>
          </w:p>
        </w:tc>
        <w:tc>
          <w:tcPr>
            <w:tcW w:w="309" w:type="pct"/>
            <w:tcBorders>
              <w:top w:val="single" w:sz="6" w:space="0" w:color="auto"/>
            </w:tcBorders>
          </w:tcPr>
          <w:p w:rsidR="00F239D1" w:rsidRDefault="00F239D1" w:rsidP="00F24593">
            <w:pPr>
              <w:pStyle w:val="TableUnitsRow"/>
              <w:spacing w:after="0"/>
            </w:pPr>
            <w:r>
              <w:t>54</w:t>
            </w:r>
          </w:p>
        </w:tc>
        <w:tc>
          <w:tcPr>
            <w:tcW w:w="360" w:type="pct"/>
            <w:tcBorders>
              <w:top w:val="single" w:sz="6" w:space="0" w:color="auto"/>
            </w:tcBorders>
          </w:tcPr>
          <w:p w:rsidR="00F239D1" w:rsidRDefault="00F239D1" w:rsidP="00F24593">
            <w:pPr>
              <w:pStyle w:val="TableUnitsRow"/>
              <w:spacing w:after="0"/>
            </w:pPr>
            <w:r>
              <w:t>61</w:t>
            </w:r>
          </w:p>
        </w:tc>
        <w:tc>
          <w:tcPr>
            <w:tcW w:w="322" w:type="pct"/>
            <w:tcBorders>
              <w:top w:val="single" w:sz="6" w:space="0" w:color="auto"/>
            </w:tcBorders>
          </w:tcPr>
          <w:p w:rsidR="00F239D1" w:rsidRDefault="00F239D1" w:rsidP="00F24593">
            <w:pPr>
              <w:pStyle w:val="TableUnitsRow"/>
              <w:spacing w:after="0"/>
            </w:pPr>
            <w:r>
              <w:t>28</w:t>
            </w:r>
          </w:p>
        </w:tc>
        <w:tc>
          <w:tcPr>
            <w:tcW w:w="302" w:type="pct"/>
            <w:tcBorders>
              <w:top w:val="single" w:sz="6" w:space="0" w:color="auto"/>
            </w:tcBorders>
          </w:tcPr>
          <w:p w:rsidR="00F239D1" w:rsidRDefault="00F239D1" w:rsidP="00F24593">
            <w:pPr>
              <w:pStyle w:val="TableUnitsRow"/>
              <w:spacing w:after="0"/>
            </w:pPr>
            <w:r>
              <w:t>50</w:t>
            </w:r>
          </w:p>
        </w:tc>
        <w:tc>
          <w:tcPr>
            <w:tcW w:w="295" w:type="pct"/>
            <w:tcBorders>
              <w:top w:val="single" w:sz="6" w:space="0" w:color="auto"/>
            </w:tcBorders>
          </w:tcPr>
          <w:p w:rsidR="00F239D1" w:rsidRDefault="00F239D1" w:rsidP="00F24593">
            <w:pPr>
              <w:pStyle w:val="TableUnitsRow"/>
              <w:spacing w:after="0"/>
            </w:pPr>
            <w:r>
              <w:t>56</w:t>
            </w:r>
          </w:p>
        </w:tc>
        <w:tc>
          <w:tcPr>
            <w:tcW w:w="209" w:type="pct"/>
            <w:tcBorders>
              <w:top w:val="single" w:sz="6" w:space="0" w:color="auto"/>
            </w:tcBorders>
          </w:tcPr>
          <w:p w:rsidR="00F239D1" w:rsidRDefault="00F239D1" w:rsidP="00F24593">
            <w:pPr>
              <w:pStyle w:val="TableUnitsRow"/>
              <w:spacing w:after="0"/>
              <w:ind w:right="28"/>
            </w:pPr>
            <w:r>
              <w:t>49</w:t>
            </w:r>
          </w:p>
        </w:tc>
      </w:tr>
      <w:tr w:rsidR="00B810C2" w:rsidTr="00B810C2">
        <w:tc>
          <w:tcPr>
            <w:tcW w:w="395" w:type="pct"/>
          </w:tcPr>
          <w:p w:rsidR="00F239D1" w:rsidRDefault="00F239D1" w:rsidP="00F90391">
            <w:pPr>
              <w:pStyle w:val="TableBodyText"/>
              <w:spacing w:before="20"/>
              <w:jc w:val="left"/>
            </w:pPr>
          </w:p>
        </w:tc>
        <w:tc>
          <w:tcPr>
            <w:tcW w:w="1708" w:type="pct"/>
          </w:tcPr>
          <w:p w:rsidR="00F239D1" w:rsidRPr="006E17D5" w:rsidRDefault="00487F18" w:rsidP="00F90391">
            <w:pPr>
              <w:pStyle w:val="TableBodyText"/>
              <w:spacing w:before="20"/>
              <w:jc w:val="left"/>
              <w:rPr>
                <w:rStyle w:val="NoteLabel"/>
              </w:rPr>
            </w:pPr>
            <w:r>
              <w:t>Subordinate</w:t>
            </w:r>
            <w:r w:rsidR="00F239D1">
              <w:t xml:space="preserve"> instruments</w:t>
            </w:r>
            <w:r w:rsidR="006E17D5">
              <w:rPr>
                <w:rStyle w:val="NoteLabel"/>
              </w:rPr>
              <w:t>b</w:t>
            </w:r>
          </w:p>
        </w:tc>
        <w:tc>
          <w:tcPr>
            <w:tcW w:w="359" w:type="pct"/>
          </w:tcPr>
          <w:p w:rsidR="00F239D1" w:rsidRPr="00B4315B" w:rsidRDefault="00F239D1" w:rsidP="00F90391">
            <w:pPr>
              <w:pStyle w:val="TableBodyText"/>
              <w:spacing w:before="20"/>
              <w:ind w:right="0"/>
              <w:rPr>
                <w:rStyle w:val="NoteLabel"/>
              </w:rPr>
            </w:pPr>
            <w:r>
              <w:t>3396</w:t>
            </w:r>
            <w:r w:rsidR="006E17D5">
              <w:rPr>
                <w:rStyle w:val="NoteLabel"/>
              </w:rPr>
              <w:t>c</w:t>
            </w:r>
          </w:p>
        </w:tc>
        <w:tc>
          <w:tcPr>
            <w:tcW w:w="366" w:type="pct"/>
          </w:tcPr>
          <w:p w:rsidR="00F239D1" w:rsidRPr="00825EEB" w:rsidRDefault="00F239D1" w:rsidP="00F90391">
            <w:pPr>
              <w:pStyle w:val="TableBodyText"/>
              <w:spacing w:before="20"/>
              <w:ind w:right="0"/>
              <w:rPr>
                <w:rStyle w:val="NoteLabel"/>
              </w:rPr>
            </w:pPr>
            <w:r>
              <w:t>780</w:t>
            </w:r>
            <w:r w:rsidR="006E17D5">
              <w:rPr>
                <w:rStyle w:val="NoteLabel"/>
              </w:rPr>
              <w:t>d</w:t>
            </w:r>
          </w:p>
        </w:tc>
        <w:tc>
          <w:tcPr>
            <w:tcW w:w="375" w:type="pct"/>
          </w:tcPr>
          <w:p w:rsidR="00F239D1" w:rsidRPr="008710A1" w:rsidRDefault="00EF6C88" w:rsidP="00BE3215">
            <w:pPr>
              <w:pStyle w:val="TableBodyText"/>
              <w:spacing w:before="60" w:after="100" w:afterAutospacing="1"/>
              <w:rPr>
                <w:rStyle w:val="NoteLabel"/>
              </w:rPr>
            </w:pPr>
            <w:r>
              <w:t>775</w:t>
            </w:r>
          </w:p>
        </w:tc>
        <w:tc>
          <w:tcPr>
            <w:tcW w:w="309" w:type="pct"/>
          </w:tcPr>
          <w:p w:rsidR="00F239D1" w:rsidRDefault="00F239D1" w:rsidP="00BE3215">
            <w:pPr>
              <w:pStyle w:val="TableBodyText"/>
              <w:spacing w:before="60" w:after="100" w:afterAutospacing="1"/>
            </w:pPr>
            <w:r>
              <w:t>391</w:t>
            </w:r>
          </w:p>
        </w:tc>
        <w:tc>
          <w:tcPr>
            <w:tcW w:w="360" w:type="pct"/>
          </w:tcPr>
          <w:p w:rsidR="00F239D1" w:rsidRDefault="00E8527A" w:rsidP="00BE3215">
            <w:pPr>
              <w:pStyle w:val="TableBodyText"/>
              <w:spacing w:before="60" w:after="100" w:afterAutospacing="1"/>
            </w:pPr>
            <w:r>
              <w:t>589</w:t>
            </w:r>
          </w:p>
        </w:tc>
        <w:tc>
          <w:tcPr>
            <w:tcW w:w="322" w:type="pct"/>
          </w:tcPr>
          <w:p w:rsidR="00F239D1" w:rsidRDefault="00F239D1" w:rsidP="006B4D3C">
            <w:pPr>
              <w:pStyle w:val="TableBodyText"/>
              <w:spacing w:before="60"/>
            </w:pPr>
            <w:r>
              <w:t>..</w:t>
            </w:r>
          </w:p>
        </w:tc>
        <w:tc>
          <w:tcPr>
            <w:tcW w:w="302" w:type="pct"/>
          </w:tcPr>
          <w:p w:rsidR="00F239D1" w:rsidRDefault="00F239D1" w:rsidP="006B4D3C">
            <w:pPr>
              <w:pStyle w:val="TableBodyText"/>
              <w:spacing w:before="60"/>
            </w:pPr>
            <w:r>
              <w:t>165</w:t>
            </w:r>
          </w:p>
        </w:tc>
        <w:tc>
          <w:tcPr>
            <w:tcW w:w="295" w:type="pct"/>
          </w:tcPr>
          <w:p w:rsidR="00F239D1" w:rsidRDefault="00F239D1" w:rsidP="006B4D3C">
            <w:pPr>
              <w:pStyle w:val="TableBodyText"/>
              <w:spacing w:before="60"/>
            </w:pPr>
            <w:r>
              <w:t>368</w:t>
            </w:r>
          </w:p>
        </w:tc>
        <w:tc>
          <w:tcPr>
            <w:tcW w:w="209" w:type="pct"/>
          </w:tcPr>
          <w:p w:rsidR="00F239D1" w:rsidRDefault="00F239D1" w:rsidP="006B4D3C">
            <w:pPr>
              <w:pStyle w:val="TableBodyText"/>
              <w:spacing w:before="60"/>
              <w:ind w:right="28"/>
            </w:pPr>
            <w:r>
              <w:t>30</w:t>
            </w:r>
          </w:p>
        </w:tc>
      </w:tr>
      <w:tr w:rsidR="00B810C2" w:rsidTr="00B810C2">
        <w:tc>
          <w:tcPr>
            <w:tcW w:w="395" w:type="pct"/>
            <w:shd w:val="clear" w:color="auto" w:fill="auto"/>
          </w:tcPr>
          <w:p w:rsidR="00F239D1" w:rsidRDefault="00F239D1" w:rsidP="00F90391">
            <w:pPr>
              <w:pStyle w:val="TableBodyText"/>
              <w:spacing w:before="20"/>
              <w:jc w:val="left"/>
            </w:pPr>
          </w:p>
        </w:tc>
        <w:tc>
          <w:tcPr>
            <w:tcW w:w="1708" w:type="pct"/>
            <w:shd w:val="clear" w:color="auto" w:fill="auto"/>
          </w:tcPr>
          <w:p w:rsidR="00F239D1" w:rsidRPr="008A04FB" w:rsidRDefault="00F239D1" w:rsidP="008A04FB">
            <w:pPr>
              <w:pStyle w:val="TableBodyText"/>
              <w:ind w:firstLine="139"/>
              <w:jc w:val="left"/>
            </w:pPr>
            <w:r>
              <w:t>Regulations</w:t>
            </w:r>
          </w:p>
        </w:tc>
        <w:tc>
          <w:tcPr>
            <w:tcW w:w="359" w:type="pct"/>
            <w:shd w:val="clear" w:color="auto" w:fill="auto"/>
          </w:tcPr>
          <w:p w:rsidR="00F239D1" w:rsidRDefault="00F239D1" w:rsidP="00F90391">
            <w:pPr>
              <w:pStyle w:val="TableBodyText"/>
              <w:spacing w:before="20"/>
            </w:pPr>
            <w:r>
              <w:t>334</w:t>
            </w:r>
          </w:p>
        </w:tc>
        <w:tc>
          <w:tcPr>
            <w:tcW w:w="366" w:type="pct"/>
            <w:shd w:val="clear" w:color="auto" w:fill="auto"/>
          </w:tcPr>
          <w:p w:rsidR="00F239D1" w:rsidRDefault="00F239D1" w:rsidP="00F90391">
            <w:pPr>
              <w:pStyle w:val="TableBodyText"/>
              <w:spacing w:before="20"/>
            </w:pPr>
            <w:r>
              <w:t>117</w:t>
            </w:r>
          </w:p>
        </w:tc>
        <w:tc>
          <w:tcPr>
            <w:tcW w:w="375" w:type="pct"/>
            <w:shd w:val="clear" w:color="auto" w:fill="auto"/>
          </w:tcPr>
          <w:p w:rsidR="00F239D1" w:rsidRDefault="00F239D1" w:rsidP="00F90391">
            <w:pPr>
              <w:pStyle w:val="TableBodyText"/>
              <w:spacing w:before="20"/>
            </w:pPr>
            <w:r>
              <w:t>152</w:t>
            </w:r>
          </w:p>
        </w:tc>
        <w:tc>
          <w:tcPr>
            <w:tcW w:w="309" w:type="pct"/>
            <w:shd w:val="clear" w:color="auto" w:fill="auto"/>
          </w:tcPr>
          <w:p w:rsidR="00F239D1" w:rsidRDefault="00F239D1" w:rsidP="00F90391">
            <w:pPr>
              <w:pStyle w:val="TableBodyText"/>
              <w:spacing w:before="20"/>
            </w:pPr>
            <w:r>
              <w:t>378</w:t>
            </w:r>
          </w:p>
        </w:tc>
        <w:tc>
          <w:tcPr>
            <w:tcW w:w="360" w:type="pct"/>
            <w:shd w:val="clear" w:color="auto" w:fill="auto"/>
          </w:tcPr>
          <w:p w:rsidR="00F239D1" w:rsidRDefault="00F239D1" w:rsidP="00F90391">
            <w:pPr>
              <w:pStyle w:val="TableBodyText"/>
              <w:spacing w:before="20"/>
            </w:pPr>
            <w:r>
              <w:t>30</w:t>
            </w:r>
          </w:p>
        </w:tc>
        <w:tc>
          <w:tcPr>
            <w:tcW w:w="322" w:type="pct"/>
            <w:shd w:val="clear" w:color="auto" w:fill="auto"/>
          </w:tcPr>
          <w:p w:rsidR="00F239D1" w:rsidRDefault="00F239D1" w:rsidP="00F90391">
            <w:pPr>
              <w:pStyle w:val="TableBodyText"/>
              <w:spacing w:before="20"/>
            </w:pPr>
            <w:r>
              <w:t>271</w:t>
            </w:r>
          </w:p>
        </w:tc>
        <w:tc>
          <w:tcPr>
            <w:tcW w:w="302" w:type="pct"/>
            <w:shd w:val="clear" w:color="auto" w:fill="auto"/>
          </w:tcPr>
          <w:p w:rsidR="00F239D1" w:rsidRDefault="00F239D1" w:rsidP="00F90391">
            <w:pPr>
              <w:pStyle w:val="TableBodyText"/>
              <w:spacing w:before="20"/>
            </w:pPr>
            <w:r>
              <w:t>159</w:t>
            </w:r>
          </w:p>
        </w:tc>
        <w:tc>
          <w:tcPr>
            <w:tcW w:w="295" w:type="pct"/>
            <w:shd w:val="clear" w:color="auto" w:fill="auto"/>
          </w:tcPr>
          <w:p w:rsidR="00F239D1" w:rsidRDefault="00F239D1" w:rsidP="00F90391">
            <w:pPr>
              <w:pStyle w:val="TableBodyText"/>
              <w:spacing w:before="20"/>
            </w:pPr>
            <w:r>
              <w:t>53</w:t>
            </w:r>
          </w:p>
        </w:tc>
        <w:tc>
          <w:tcPr>
            <w:tcW w:w="209" w:type="pct"/>
            <w:shd w:val="clear" w:color="auto" w:fill="auto"/>
          </w:tcPr>
          <w:p w:rsidR="00F239D1" w:rsidRDefault="00F239D1" w:rsidP="00F90391">
            <w:pPr>
              <w:pStyle w:val="TableBodyText"/>
              <w:spacing w:before="20"/>
              <w:ind w:right="28"/>
            </w:pPr>
            <w:r>
              <w:t>26</w:t>
            </w:r>
          </w:p>
        </w:tc>
      </w:tr>
      <w:tr w:rsidR="00B810C2" w:rsidTr="00B810C2">
        <w:tc>
          <w:tcPr>
            <w:tcW w:w="395" w:type="pct"/>
            <w:shd w:val="clear" w:color="auto" w:fill="auto"/>
          </w:tcPr>
          <w:p w:rsidR="00F239D1" w:rsidRDefault="00F239D1" w:rsidP="00F90391">
            <w:pPr>
              <w:pStyle w:val="TableBodyText"/>
              <w:spacing w:before="20"/>
              <w:jc w:val="left"/>
            </w:pPr>
            <w:r>
              <w:t>2011</w:t>
            </w:r>
          </w:p>
        </w:tc>
        <w:tc>
          <w:tcPr>
            <w:tcW w:w="1708" w:type="pct"/>
            <w:shd w:val="clear" w:color="auto" w:fill="auto"/>
          </w:tcPr>
          <w:p w:rsidR="00F239D1" w:rsidRDefault="00F239D1" w:rsidP="00F90391">
            <w:pPr>
              <w:pStyle w:val="TableBodyText"/>
              <w:spacing w:before="20"/>
              <w:jc w:val="left"/>
            </w:pPr>
            <w:r>
              <w:t>Acts</w:t>
            </w:r>
          </w:p>
        </w:tc>
        <w:tc>
          <w:tcPr>
            <w:tcW w:w="359" w:type="pct"/>
            <w:shd w:val="clear" w:color="auto" w:fill="auto"/>
          </w:tcPr>
          <w:p w:rsidR="00F239D1" w:rsidRDefault="00F239D1" w:rsidP="00F90391">
            <w:pPr>
              <w:pStyle w:val="TableBodyText"/>
              <w:spacing w:before="20"/>
            </w:pPr>
            <w:r>
              <w:t>190</w:t>
            </w:r>
          </w:p>
        </w:tc>
        <w:tc>
          <w:tcPr>
            <w:tcW w:w="366" w:type="pct"/>
            <w:shd w:val="clear" w:color="auto" w:fill="auto"/>
          </w:tcPr>
          <w:p w:rsidR="00F239D1" w:rsidRDefault="00F239D1" w:rsidP="00F90391">
            <w:pPr>
              <w:pStyle w:val="TableBodyText"/>
              <w:spacing w:before="20"/>
            </w:pPr>
            <w:r>
              <w:t>73</w:t>
            </w:r>
          </w:p>
        </w:tc>
        <w:tc>
          <w:tcPr>
            <w:tcW w:w="375" w:type="pct"/>
            <w:shd w:val="clear" w:color="auto" w:fill="auto"/>
          </w:tcPr>
          <w:p w:rsidR="00F239D1" w:rsidRDefault="00F239D1" w:rsidP="00F90391">
            <w:pPr>
              <w:pStyle w:val="TableBodyText"/>
              <w:spacing w:before="20"/>
            </w:pPr>
            <w:r>
              <w:t>83</w:t>
            </w:r>
          </w:p>
        </w:tc>
        <w:tc>
          <w:tcPr>
            <w:tcW w:w="309" w:type="pct"/>
            <w:shd w:val="clear" w:color="auto" w:fill="auto"/>
          </w:tcPr>
          <w:p w:rsidR="00F239D1" w:rsidRDefault="00F239D1" w:rsidP="00F90391">
            <w:pPr>
              <w:pStyle w:val="TableBodyText"/>
              <w:spacing w:before="20"/>
            </w:pPr>
            <w:r>
              <w:t>47</w:t>
            </w:r>
          </w:p>
        </w:tc>
        <w:tc>
          <w:tcPr>
            <w:tcW w:w="360" w:type="pct"/>
            <w:shd w:val="clear" w:color="auto" w:fill="auto"/>
          </w:tcPr>
          <w:p w:rsidR="00F239D1" w:rsidRDefault="00F239D1" w:rsidP="00F90391">
            <w:pPr>
              <w:pStyle w:val="TableBodyText"/>
              <w:spacing w:before="20"/>
            </w:pPr>
            <w:r>
              <w:t>62</w:t>
            </w:r>
          </w:p>
        </w:tc>
        <w:tc>
          <w:tcPr>
            <w:tcW w:w="322" w:type="pct"/>
            <w:shd w:val="clear" w:color="auto" w:fill="auto"/>
          </w:tcPr>
          <w:p w:rsidR="00F239D1" w:rsidRDefault="00F239D1" w:rsidP="00F90391">
            <w:pPr>
              <w:pStyle w:val="TableBodyText"/>
              <w:spacing w:before="20"/>
            </w:pPr>
            <w:r>
              <w:t>50</w:t>
            </w:r>
          </w:p>
        </w:tc>
        <w:tc>
          <w:tcPr>
            <w:tcW w:w="302" w:type="pct"/>
            <w:shd w:val="clear" w:color="auto" w:fill="auto"/>
          </w:tcPr>
          <w:p w:rsidR="00F239D1" w:rsidRDefault="00F239D1" w:rsidP="00F90391">
            <w:pPr>
              <w:pStyle w:val="TableBodyText"/>
              <w:spacing w:before="20"/>
            </w:pPr>
            <w:r>
              <w:t>61</w:t>
            </w:r>
          </w:p>
        </w:tc>
        <w:tc>
          <w:tcPr>
            <w:tcW w:w="295" w:type="pct"/>
            <w:shd w:val="clear" w:color="auto" w:fill="auto"/>
          </w:tcPr>
          <w:p w:rsidR="00F239D1" w:rsidRDefault="00F239D1" w:rsidP="00F90391">
            <w:pPr>
              <w:pStyle w:val="TableBodyText"/>
              <w:spacing w:before="20"/>
            </w:pPr>
            <w:r>
              <w:t>57</w:t>
            </w:r>
          </w:p>
        </w:tc>
        <w:tc>
          <w:tcPr>
            <w:tcW w:w="209" w:type="pct"/>
            <w:shd w:val="clear" w:color="auto" w:fill="auto"/>
          </w:tcPr>
          <w:p w:rsidR="00F239D1" w:rsidRDefault="00F239D1" w:rsidP="00F90391">
            <w:pPr>
              <w:pStyle w:val="TableBodyText"/>
              <w:spacing w:before="20"/>
              <w:ind w:right="28"/>
            </w:pPr>
            <w:r>
              <w:t>46</w:t>
            </w:r>
          </w:p>
        </w:tc>
      </w:tr>
      <w:tr w:rsidR="00B810C2" w:rsidTr="00B810C2">
        <w:tc>
          <w:tcPr>
            <w:tcW w:w="395" w:type="pct"/>
            <w:shd w:val="clear" w:color="auto" w:fill="auto"/>
          </w:tcPr>
          <w:p w:rsidR="00F239D1" w:rsidRDefault="00F239D1" w:rsidP="00F90391">
            <w:pPr>
              <w:pStyle w:val="TableBodyText"/>
              <w:spacing w:before="20"/>
              <w:jc w:val="left"/>
            </w:pPr>
          </w:p>
        </w:tc>
        <w:tc>
          <w:tcPr>
            <w:tcW w:w="1708" w:type="pct"/>
            <w:shd w:val="clear" w:color="auto" w:fill="auto"/>
          </w:tcPr>
          <w:p w:rsidR="00F239D1" w:rsidRDefault="00487F18" w:rsidP="00F90391">
            <w:pPr>
              <w:pStyle w:val="TableBodyText"/>
              <w:spacing w:before="20"/>
              <w:jc w:val="left"/>
            </w:pPr>
            <w:r>
              <w:t>Subordinate</w:t>
            </w:r>
            <w:r w:rsidR="00F239D1">
              <w:t xml:space="preserve"> instruments</w:t>
            </w:r>
          </w:p>
        </w:tc>
        <w:tc>
          <w:tcPr>
            <w:tcW w:w="359" w:type="pct"/>
            <w:shd w:val="clear" w:color="auto" w:fill="auto"/>
          </w:tcPr>
          <w:p w:rsidR="00F239D1" w:rsidRPr="00B4315B" w:rsidRDefault="00F239D1" w:rsidP="00F90391">
            <w:pPr>
              <w:pStyle w:val="TableBodyText"/>
              <w:spacing w:before="20"/>
              <w:ind w:right="0"/>
              <w:rPr>
                <w:rStyle w:val="NoteLabel"/>
              </w:rPr>
            </w:pPr>
            <w:r>
              <w:t>2793</w:t>
            </w:r>
            <w:r w:rsidR="006E17D5">
              <w:rPr>
                <w:rStyle w:val="NoteLabel"/>
              </w:rPr>
              <w:t>c</w:t>
            </w:r>
          </w:p>
        </w:tc>
        <w:tc>
          <w:tcPr>
            <w:tcW w:w="366" w:type="pct"/>
            <w:shd w:val="clear" w:color="auto" w:fill="auto"/>
          </w:tcPr>
          <w:p w:rsidR="00F239D1" w:rsidRPr="00825EEB" w:rsidRDefault="00F239D1" w:rsidP="00F90391">
            <w:pPr>
              <w:pStyle w:val="TableBodyText"/>
              <w:spacing w:before="20"/>
              <w:ind w:right="0"/>
              <w:rPr>
                <w:rStyle w:val="NoteLabel"/>
              </w:rPr>
            </w:pPr>
            <w:r>
              <w:t>708</w:t>
            </w:r>
            <w:r w:rsidR="006E17D5">
              <w:rPr>
                <w:rStyle w:val="NoteLabel"/>
              </w:rPr>
              <w:t>d</w:t>
            </w:r>
          </w:p>
        </w:tc>
        <w:tc>
          <w:tcPr>
            <w:tcW w:w="375" w:type="pct"/>
            <w:shd w:val="clear" w:color="auto" w:fill="auto"/>
          </w:tcPr>
          <w:p w:rsidR="00F239D1" w:rsidRPr="008710A1" w:rsidRDefault="00EF6C88" w:rsidP="00D34EFE">
            <w:pPr>
              <w:pStyle w:val="TableBodyText"/>
              <w:spacing w:before="60"/>
              <w:rPr>
                <w:rStyle w:val="NoteLabel"/>
              </w:rPr>
            </w:pPr>
            <w:r>
              <w:t>7</w:t>
            </w:r>
            <w:r w:rsidR="00F239D1">
              <w:t>1</w:t>
            </w:r>
            <w:r>
              <w:t>2</w:t>
            </w:r>
          </w:p>
        </w:tc>
        <w:tc>
          <w:tcPr>
            <w:tcW w:w="309" w:type="pct"/>
            <w:shd w:val="clear" w:color="auto" w:fill="auto"/>
          </w:tcPr>
          <w:p w:rsidR="00F239D1" w:rsidRDefault="00F239D1" w:rsidP="006B4D3C">
            <w:pPr>
              <w:pStyle w:val="TableBodyText"/>
              <w:spacing w:before="60"/>
            </w:pPr>
            <w:r>
              <w:t>377</w:t>
            </w:r>
          </w:p>
        </w:tc>
        <w:tc>
          <w:tcPr>
            <w:tcW w:w="360" w:type="pct"/>
            <w:shd w:val="clear" w:color="auto" w:fill="auto"/>
          </w:tcPr>
          <w:p w:rsidR="00F239D1" w:rsidRDefault="00E8527A" w:rsidP="006B4D3C">
            <w:pPr>
              <w:pStyle w:val="TableBodyText"/>
              <w:spacing w:before="60"/>
            </w:pPr>
            <w:r>
              <w:t>605</w:t>
            </w:r>
          </w:p>
        </w:tc>
        <w:tc>
          <w:tcPr>
            <w:tcW w:w="322" w:type="pct"/>
            <w:shd w:val="clear" w:color="auto" w:fill="auto"/>
          </w:tcPr>
          <w:p w:rsidR="00F239D1" w:rsidRDefault="00F239D1" w:rsidP="006B4D3C">
            <w:pPr>
              <w:pStyle w:val="TableBodyText"/>
              <w:spacing w:before="60"/>
            </w:pPr>
            <w:r>
              <w:t>..</w:t>
            </w:r>
          </w:p>
        </w:tc>
        <w:tc>
          <w:tcPr>
            <w:tcW w:w="302" w:type="pct"/>
            <w:shd w:val="clear" w:color="auto" w:fill="auto"/>
          </w:tcPr>
          <w:p w:rsidR="00F239D1" w:rsidRDefault="00F239D1" w:rsidP="006B4D3C">
            <w:pPr>
              <w:pStyle w:val="TableBodyText"/>
              <w:spacing w:before="60"/>
            </w:pPr>
            <w:r>
              <w:t>136</w:t>
            </w:r>
          </w:p>
        </w:tc>
        <w:tc>
          <w:tcPr>
            <w:tcW w:w="295" w:type="pct"/>
            <w:shd w:val="clear" w:color="auto" w:fill="auto"/>
          </w:tcPr>
          <w:p w:rsidR="00F239D1" w:rsidRDefault="00F239D1" w:rsidP="006B4D3C">
            <w:pPr>
              <w:pStyle w:val="TableBodyText"/>
              <w:spacing w:before="60"/>
            </w:pPr>
            <w:r>
              <w:t>373</w:t>
            </w:r>
          </w:p>
        </w:tc>
        <w:tc>
          <w:tcPr>
            <w:tcW w:w="209" w:type="pct"/>
            <w:shd w:val="clear" w:color="auto" w:fill="auto"/>
          </w:tcPr>
          <w:p w:rsidR="00F239D1" w:rsidRDefault="00F239D1" w:rsidP="006B4D3C">
            <w:pPr>
              <w:pStyle w:val="TableBodyText"/>
              <w:spacing w:before="60"/>
              <w:ind w:right="28"/>
            </w:pPr>
            <w:r>
              <w:t>61</w:t>
            </w:r>
          </w:p>
        </w:tc>
      </w:tr>
      <w:tr w:rsidR="00B810C2" w:rsidTr="00B810C2">
        <w:tc>
          <w:tcPr>
            <w:tcW w:w="395" w:type="pct"/>
            <w:shd w:val="clear" w:color="auto" w:fill="auto"/>
          </w:tcPr>
          <w:p w:rsidR="00F239D1" w:rsidRDefault="00F239D1" w:rsidP="00F90391">
            <w:pPr>
              <w:pStyle w:val="TableBodyText"/>
              <w:spacing w:before="20"/>
              <w:jc w:val="left"/>
            </w:pPr>
          </w:p>
        </w:tc>
        <w:tc>
          <w:tcPr>
            <w:tcW w:w="1708" w:type="pct"/>
            <w:shd w:val="clear" w:color="auto" w:fill="auto"/>
          </w:tcPr>
          <w:p w:rsidR="00F239D1" w:rsidRDefault="00F239D1" w:rsidP="008A04FB">
            <w:pPr>
              <w:pStyle w:val="TableBodyText"/>
              <w:ind w:firstLine="139"/>
              <w:jc w:val="left"/>
            </w:pPr>
            <w:r w:rsidRPr="008A04FB">
              <w:t>Regulations</w:t>
            </w:r>
          </w:p>
        </w:tc>
        <w:tc>
          <w:tcPr>
            <w:tcW w:w="359" w:type="pct"/>
            <w:shd w:val="clear" w:color="auto" w:fill="auto"/>
          </w:tcPr>
          <w:p w:rsidR="00F239D1" w:rsidRDefault="00F239D1" w:rsidP="00F90391">
            <w:pPr>
              <w:pStyle w:val="TableBodyText"/>
              <w:spacing w:before="20"/>
            </w:pPr>
            <w:r>
              <w:t>277</w:t>
            </w:r>
          </w:p>
        </w:tc>
        <w:tc>
          <w:tcPr>
            <w:tcW w:w="366" w:type="pct"/>
            <w:shd w:val="clear" w:color="auto" w:fill="auto"/>
          </w:tcPr>
          <w:p w:rsidR="00F239D1" w:rsidRDefault="00F239D1" w:rsidP="00F90391">
            <w:pPr>
              <w:pStyle w:val="TableBodyText"/>
              <w:spacing w:before="20"/>
            </w:pPr>
            <w:r>
              <w:t>101</w:t>
            </w:r>
          </w:p>
        </w:tc>
        <w:tc>
          <w:tcPr>
            <w:tcW w:w="375" w:type="pct"/>
            <w:shd w:val="clear" w:color="auto" w:fill="auto"/>
          </w:tcPr>
          <w:p w:rsidR="00F239D1" w:rsidRDefault="00F239D1" w:rsidP="00F90391">
            <w:pPr>
              <w:pStyle w:val="TableBodyText"/>
              <w:spacing w:before="20"/>
            </w:pPr>
            <w:r>
              <w:t>166</w:t>
            </w:r>
          </w:p>
        </w:tc>
        <w:tc>
          <w:tcPr>
            <w:tcW w:w="309" w:type="pct"/>
            <w:shd w:val="clear" w:color="auto" w:fill="auto"/>
          </w:tcPr>
          <w:p w:rsidR="00F239D1" w:rsidRDefault="00F239D1" w:rsidP="00F90391">
            <w:pPr>
              <w:pStyle w:val="TableBodyText"/>
              <w:spacing w:before="20"/>
            </w:pPr>
            <w:r>
              <w:t>310</w:t>
            </w:r>
          </w:p>
        </w:tc>
        <w:tc>
          <w:tcPr>
            <w:tcW w:w="360" w:type="pct"/>
            <w:shd w:val="clear" w:color="auto" w:fill="auto"/>
          </w:tcPr>
          <w:p w:rsidR="00F239D1" w:rsidRDefault="00F239D1" w:rsidP="00F90391">
            <w:pPr>
              <w:pStyle w:val="TableBodyText"/>
              <w:spacing w:before="20"/>
            </w:pPr>
            <w:r>
              <w:t>23</w:t>
            </w:r>
          </w:p>
        </w:tc>
        <w:tc>
          <w:tcPr>
            <w:tcW w:w="322" w:type="pct"/>
            <w:shd w:val="clear" w:color="auto" w:fill="auto"/>
          </w:tcPr>
          <w:p w:rsidR="00F239D1" w:rsidRDefault="00F239D1" w:rsidP="00F90391">
            <w:pPr>
              <w:pStyle w:val="TableBodyText"/>
              <w:spacing w:before="20"/>
            </w:pPr>
            <w:r>
              <w:t>283</w:t>
            </w:r>
          </w:p>
        </w:tc>
        <w:tc>
          <w:tcPr>
            <w:tcW w:w="302" w:type="pct"/>
            <w:shd w:val="clear" w:color="auto" w:fill="auto"/>
          </w:tcPr>
          <w:p w:rsidR="00F239D1" w:rsidRDefault="00F239D1" w:rsidP="00F90391">
            <w:pPr>
              <w:pStyle w:val="TableBodyText"/>
              <w:spacing w:before="20"/>
            </w:pPr>
            <w:r>
              <w:t>130</w:t>
            </w:r>
          </w:p>
        </w:tc>
        <w:tc>
          <w:tcPr>
            <w:tcW w:w="295" w:type="pct"/>
            <w:shd w:val="clear" w:color="auto" w:fill="auto"/>
          </w:tcPr>
          <w:p w:rsidR="00F239D1" w:rsidRDefault="00F239D1" w:rsidP="00F90391">
            <w:pPr>
              <w:pStyle w:val="TableBodyText"/>
              <w:spacing w:before="20"/>
            </w:pPr>
            <w:r>
              <w:t>39</w:t>
            </w:r>
          </w:p>
        </w:tc>
        <w:tc>
          <w:tcPr>
            <w:tcW w:w="209" w:type="pct"/>
            <w:shd w:val="clear" w:color="auto" w:fill="auto"/>
          </w:tcPr>
          <w:p w:rsidR="00F239D1" w:rsidRDefault="00F239D1" w:rsidP="00F90391">
            <w:pPr>
              <w:pStyle w:val="TableBodyText"/>
              <w:spacing w:before="20"/>
              <w:ind w:right="28"/>
            </w:pPr>
            <w:r>
              <w:t>56</w:t>
            </w:r>
          </w:p>
        </w:tc>
      </w:tr>
      <w:tr w:rsidR="00B810C2" w:rsidTr="00B810C2">
        <w:tc>
          <w:tcPr>
            <w:tcW w:w="2103" w:type="pct"/>
            <w:gridSpan w:val="2"/>
            <w:shd w:val="clear" w:color="auto" w:fill="auto"/>
          </w:tcPr>
          <w:p w:rsidR="00F239D1" w:rsidRDefault="00F239D1" w:rsidP="00F90391">
            <w:pPr>
              <w:pStyle w:val="TableBodyText"/>
              <w:spacing w:before="20"/>
              <w:jc w:val="left"/>
            </w:pPr>
            <w:r w:rsidRPr="00BA4290">
              <w:rPr>
                <w:b/>
              </w:rPr>
              <w:t xml:space="preserve">Total </w:t>
            </w:r>
            <w:r>
              <w:rPr>
                <w:b/>
              </w:rPr>
              <w:t>regulatory instruments</w:t>
            </w:r>
          </w:p>
        </w:tc>
        <w:tc>
          <w:tcPr>
            <w:tcW w:w="359" w:type="pct"/>
            <w:shd w:val="clear" w:color="auto" w:fill="auto"/>
          </w:tcPr>
          <w:p w:rsidR="00F239D1" w:rsidRPr="00585739" w:rsidRDefault="00F239D1" w:rsidP="00F90391">
            <w:pPr>
              <w:pStyle w:val="TableBodyText"/>
              <w:spacing w:before="20"/>
              <w:rPr>
                <w:b/>
              </w:rPr>
            </w:pPr>
            <w:r w:rsidRPr="00585739">
              <w:rPr>
                <w:b/>
              </w:rPr>
              <w:t>6529</w:t>
            </w:r>
          </w:p>
        </w:tc>
        <w:tc>
          <w:tcPr>
            <w:tcW w:w="366" w:type="pct"/>
            <w:shd w:val="clear" w:color="auto" w:fill="auto"/>
          </w:tcPr>
          <w:p w:rsidR="00F239D1" w:rsidRPr="00585739" w:rsidRDefault="00F239D1" w:rsidP="00F90391">
            <w:pPr>
              <w:pStyle w:val="TableBodyText"/>
              <w:spacing w:before="20"/>
              <w:rPr>
                <w:b/>
              </w:rPr>
            </w:pPr>
            <w:r w:rsidRPr="00585739">
              <w:rPr>
                <w:b/>
              </w:rPr>
              <w:t>1698</w:t>
            </w:r>
          </w:p>
        </w:tc>
        <w:tc>
          <w:tcPr>
            <w:tcW w:w="375" w:type="pct"/>
            <w:shd w:val="clear" w:color="auto" w:fill="auto"/>
          </w:tcPr>
          <w:p w:rsidR="00F239D1" w:rsidRPr="00585739" w:rsidRDefault="00EF6C88" w:rsidP="00EF6C88">
            <w:pPr>
              <w:pStyle w:val="TableBodyText"/>
              <w:spacing w:before="20"/>
              <w:rPr>
                <w:b/>
              </w:rPr>
            </w:pPr>
            <w:r>
              <w:rPr>
                <w:b/>
              </w:rPr>
              <w:t>1</w:t>
            </w:r>
            <w:r w:rsidR="00F239D1">
              <w:rPr>
                <w:b/>
              </w:rPr>
              <w:t>65</w:t>
            </w:r>
            <w:r>
              <w:rPr>
                <w:b/>
              </w:rPr>
              <w:t>0</w:t>
            </w:r>
          </w:p>
        </w:tc>
        <w:tc>
          <w:tcPr>
            <w:tcW w:w="309" w:type="pct"/>
            <w:shd w:val="clear" w:color="auto" w:fill="auto"/>
          </w:tcPr>
          <w:p w:rsidR="00F239D1" w:rsidRPr="00585739" w:rsidRDefault="00F239D1" w:rsidP="00F90391">
            <w:pPr>
              <w:pStyle w:val="TableBodyText"/>
              <w:spacing w:before="20"/>
              <w:rPr>
                <w:b/>
              </w:rPr>
            </w:pPr>
            <w:r>
              <w:rPr>
                <w:b/>
              </w:rPr>
              <w:t>869</w:t>
            </w:r>
          </w:p>
        </w:tc>
        <w:tc>
          <w:tcPr>
            <w:tcW w:w="360" w:type="pct"/>
            <w:shd w:val="clear" w:color="auto" w:fill="auto"/>
          </w:tcPr>
          <w:p w:rsidR="00F239D1" w:rsidRPr="00585739" w:rsidRDefault="00697E3D" w:rsidP="00F90391">
            <w:pPr>
              <w:pStyle w:val="TableBodyText"/>
              <w:spacing w:before="20"/>
              <w:rPr>
                <w:b/>
              </w:rPr>
            </w:pPr>
            <w:r>
              <w:rPr>
                <w:b/>
              </w:rPr>
              <w:t>1317</w:t>
            </w:r>
          </w:p>
        </w:tc>
        <w:tc>
          <w:tcPr>
            <w:tcW w:w="322" w:type="pct"/>
            <w:shd w:val="clear" w:color="auto" w:fill="auto"/>
          </w:tcPr>
          <w:p w:rsidR="00F239D1" w:rsidRPr="00585739" w:rsidRDefault="00F239D1" w:rsidP="00F90391">
            <w:pPr>
              <w:pStyle w:val="TableBodyText"/>
              <w:spacing w:before="20"/>
              <w:rPr>
                <w:b/>
              </w:rPr>
            </w:pPr>
            <w:r w:rsidRPr="00585739">
              <w:rPr>
                <w:b/>
              </w:rPr>
              <w:t>632</w:t>
            </w:r>
          </w:p>
        </w:tc>
        <w:tc>
          <w:tcPr>
            <w:tcW w:w="302" w:type="pct"/>
            <w:shd w:val="clear" w:color="auto" w:fill="auto"/>
          </w:tcPr>
          <w:p w:rsidR="00F239D1" w:rsidRPr="00585739" w:rsidRDefault="00F239D1" w:rsidP="00F90391">
            <w:pPr>
              <w:pStyle w:val="TableBodyText"/>
              <w:spacing w:before="20"/>
              <w:rPr>
                <w:b/>
              </w:rPr>
            </w:pPr>
            <w:r w:rsidRPr="00585739">
              <w:rPr>
                <w:b/>
              </w:rPr>
              <w:t>412</w:t>
            </w:r>
          </w:p>
        </w:tc>
        <w:tc>
          <w:tcPr>
            <w:tcW w:w="295" w:type="pct"/>
            <w:shd w:val="clear" w:color="auto" w:fill="auto"/>
          </w:tcPr>
          <w:p w:rsidR="00F239D1" w:rsidRPr="00585739" w:rsidRDefault="00F239D1" w:rsidP="00F90391">
            <w:pPr>
              <w:pStyle w:val="TableBodyText"/>
              <w:spacing w:before="20"/>
              <w:rPr>
                <w:b/>
              </w:rPr>
            </w:pPr>
            <w:r w:rsidRPr="00585739">
              <w:rPr>
                <w:b/>
              </w:rPr>
              <w:t>854</w:t>
            </w:r>
          </w:p>
        </w:tc>
        <w:tc>
          <w:tcPr>
            <w:tcW w:w="209" w:type="pct"/>
            <w:shd w:val="clear" w:color="auto" w:fill="auto"/>
          </w:tcPr>
          <w:p w:rsidR="00F239D1" w:rsidRPr="00585739" w:rsidRDefault="00F239D1" w:rsidP="00F90391">
            <w:pPr>
              <w:pStyle w:val="TableBodyText"/>
              <w:spacing w:before="20"/>
              <w:ind w:right="28"/>
              <w:rPr>
                <w:b/>
              </w:rPr>
            </w:pPr>
            <w:r w:rsidRPr="00585739">
              <w:rPr>
                <w:b/>
              </w:rPr>
              <w:t>186</w:t>
            </w:r>
          </w:p>
        </w:tc>
      </w:tr>
      <w:tr w:rsidR="00B810C2" w:rsidTr="00B810C2">
        <w:tc>
          <w:tcPr>
            <w:tcW w:w="2103" w:type="pct"/>
            <w:gridSpan w:val="2"/>
            <w:shd w:val="clear" w:color="auto" w:fill="auto"/>
          </w:tcPr>
          <w:p w:rsidR="00F239D1" w:rsidRDefault="00F239D1" w:rsidP="0047170A">
            <w:pPr>
              <w:pStyle w:val="TableBodyText"/>
              <w:spacing w:beforeLines="20" w:before="48"/>
              <w:jc w:val="left"/>
              <w:rPr>
                <w:szCs w:val="24"/>
              </w:rPr>
            </w:pPr>
            <w:proofErr w:type="spellStart"/>
            <w:r>
              <w:t>RISs</w:t>
            </w:r>
            <w:proofErr w:type="spellEnd"/>
            <w:r>
              <w:t xml:space="preserve"> </w:t>
            </w:r>
            <w:r w:rsidR="00070EFA">
              <w:t xml:space="preserve">(or equivalent) </w:t>
            </w:r>
            <w:r>
              <w:t>completed</w:t>
            </w:r>
            <w:r w:rsidR="00DC46E8">
              <w:t xml:space="preserve"> (number)</w:t>
            </w:r>
          </w:p>
        </w:tc>
        <w:tc>
          <w:tcPr>
            <w:tcW w:w="359" w:type="pct"/>
            <w:shd w:val="clear" w:color="auto" w:fill="auto"/>
          </w:tcPr>
          <w:p w:rsidR="00F239D1" w:rsidRPr="00BA4290" w:rsidRDefault="00F239D1" w:rsidP="0047170A">
            <w:pPr>
              <w:pStyle w:val="TableBodyText"/>
              <w:spacing w:beforeLines="20" w:before="48"/>
              <w:ind w:right="0"/>
              <w:rPr>
                <w:rStyle w:val="NoteLabel"/>
              </w:rPr>
            </w:pPr>
            <w:r>
              <w:t>110</w:t>
            </w:r>
            <w:r w:rsidR="006E17D5">
              <w:rPr>
                <w:rStyle w:val="NoteLabel"/>
              </w:rPr>
              <w:t>e</w:t>
            </w:r>
          </w:p>
        </w:tc>
        <w:tc>
          <w:tcPr>
            <w:tcW w:w="366" w:type="pct"/>
            <w:shd w:val="clear" w:color="auto" w:fill="auto"/>
          </w:tcPr>
          <w:p w:rsidR="00F239D1" w:rsidRDefault="00F239D1" w:rsidP="0047170A">
            <w:pPr>
              <w:pStyle w:val="TableBodyText"/>
              <w:spacing w:beforeLines="20" w:before="48"/>
              <w:ind w:left="-567"/>
              <w:rPr>
                <w:i/>
              </w:rPr>
            </w:pPr>
            <w:r>
              <w:t>41</w:t>
            </w:r>
          </w:p>
        </w:tc>
        <w:tc>
          <w:tcPr>
            <w:tcW w:w="375" w:type="pct"/>
            <w:shd w:val="clear" w:color="auto" w:fill="auto"/>
          </w:tcPr>
          <w:p w:rsidR="00F239D1" w:rsidRPr="00DC46E8" w:rsidRDefault="001947D0" w:rsidP="00DC46E8">
            <w:pPr>
              <w:pStyle w:val="TableBodyText"/>
              <w:spacing w:beforeLines="20" w:before="48"/>
              <w:ind w:left="-567"/>
            </w:pPr>
            <w:r>
              <w:t>34</w:t>
            </w:r>
          </w:p>
        </w:tc>
        <w:tc>
          <w:tcPr>
            <w:tcW w:w="309" w:type="pct"/>
            <w:shd w:val="clear" w:color="auto" w:fill="auto"/>
          </w:tcPr>
          <w:p w:rsidR="00F239D1" w:rsidRDefault="00F239D1" w:rsidP="0047170A">
            <w:pPr>
              <w:pStyle w:val="TableBodyText"/>
              <w:spacing w:beforeLines="20" w:before="48"/>
              <w:ind w:left="-567"/>
              <w:rPr>
                <w:i/>
              </w:rPr>
            </w:pPr>
            <w:r>
              <w:t>14</w:t>
            </w:r>
          </w:p>
        </w:tc>
        <w:tc>
          <w:tcPr>
            <w:tcW w:w="360" w:type="pct"/>
            <w:shd w:val="clear" w:color="auto" w:fill="auto"/>
          </w:tcPr>
          <w:p w:rsidR="00F239D1" w:rsidRDefault="00F239D1" w:rsidP="0047170A">
            <w:pPr>
              <w:pStyle w:val="TableBodyText"/>
              <w:spacing w:beforeLines="20" w:before="48"/>
              <w:ind w:left="-567"/>
              <w:rPr>
                <w:i/>
              </w:rPr>
            </w:pPr>
            <w:r>
              <w:t>6</w:t>
            </w:r>
          </w:p>
        </w:tc>
        <w:tc>
          <w:tcPr>
            <w:tcW w:w="322" w:type="pct"/>
            <w:shd w:val="clear" w:color="auto" w:fill="auto"/>
          </w:tcPr>
          <w:p w:rsidR="00F239D1" w:rsidRPr="00BA4290" w:rsidRDefault="00F239D1" w:rsidP="0047170A">
            <w:pPr>
              <w:pStyle w:val="TableBodyText"/>
              <w:spacing w:beforeLines="20" w:before="48"/>
              <w:ind w:right="28"/>
              <w:rPr>
                <w:rStyle w:val="NoteLabel"/>
              </w:rPr>
            </w:pPr>
            <w:r>
              <w:t>2</w:t>
            </w:r>
            <w:r w:rsidR="006E17D5">
              <w:rPr>
                <w:rStyle w:val="NoteLabel"/>
              </w:rPr>
              <w:t>f</w:t>
            </w:r>
          </w:p>
        </w:tc>
        <w:tc>
          <w:tcPr>
            <w:tcW w:w="302" w:type="pct"/>
            <w:shd w:val="clear" w:color="auto" w:fill="auto"/>
          </w:tcPr>
          <w:p w:rsidR="00F239D1" w:rsidRDefault="00F239D1" w:rsidP="0047170A">
            <w:pPr>
              <w:pStyle w:val="TableBodyText"/>
              <w:spacing w:beforeLines="20" w:before="48"/>
              <w:ind w:left="-567"/>
              <w:rPr>
                <w:i/>
              </w:rPr>
            </w:pPr>
            <w:r>
              <w:t>7</w:t>
            </w:r>
          </w:p>
        </w:tc>
        <w:tc>
          <w:tcPr>
            <w:tcW w:w="295" w:type="pct"/>
            <w:shd w:val="clear" w:color="auto" w:fill="auto"/>
          </w:tcPr>
          <w:p w:rsidR="00F239D1" w:rsidRDefault="00F239D1" w:rsidP="0047170A">
            <w:pPr>
              <w:pStyle w:val="TableBodyText"/>
              <w:spacing w:beforeLines="20" w:before="48"/>
              <w:ind w:left="-567"/>
              <w:rPr>
                <w:i/>
              </w:rPr>
            </w:pPr>
            <w:r>
              <w:t>19</w:t>
            </w:r>
          </w:p>
        </w:tc>
        <w:tc>
          <w:tcPr>
            <w:tcW w:w="209" w:type="pct"/>
            <w:shd w:val="clear" w:color="auto" w:fill="auto"/>
          </w:tcPr>
          <w:p w:rsidR="00F239D1" w:rsidRDefault="00F239D1" w:rsidP="0047170A">
            <w:pPr>
              <w:pStyle w:val="TableBodyText"/>
              <w:spacing w:beforeLines="20" w:before="48"/>
              <w:ind w:left="-567" w:right="28"/>
              <w:rPr>
                <w:i/>
              </w:rPr>
            </w:pPr>
            <w:r>
              <w:t>12</w:t>
            </w:r>
          </w:p>
        </w:tc>
      </w:tr>
      <w:tr w:rsidR="00B810C2" w:rsidTr="00B810C2">
        <w:tc>
          <w:tcPr>
            <w:tcW w:w="2103" w:type="pct"/>
            <w:gridSpan w:val="2"/>
            <w:tcBorders>
              <w:bottom w:val="single" w:sz="6" w:space="0" w:color="auto"/>
            </w:tcBorders>
            <w:shd w:val="clear" w:color="auto" w:fill="auto"/>
          </w:tcPr>
          <w:p w:rsidR="00F239D1" w:rsidRDefault="00F239D1" w:rsidP="0047170A">
            <w:pPr>
              <w:pStyle w:val="TableBodyText"/>
              <w:spacing w:beforeLines="20" w:before="48"/>
              <w:jc w:val="left"/>
              <w:rPr>
                <w:szCs w:val="24"/>
              </w:rPr>
            </w:pPr>
            <w:proofErr w:type="spellStart"/>
            <w:r>
              <w:t>RISs</w:t>
            </w:r>
            <w:proofErr w:type="spellEnd"/>
            <w:r>
              <w:t xml:space="preserve"> as a proportion of total </w:t>
            </w:r>
            <w:r w:rsidR="004514D3">
              <w:br/>
            </w:r>
            <w:r>
              <w:t>regulatory instruments (%)</w:t>
            </w:r>
          </w:p>
        </w:tc>
        <w:tc>
          <w:tcPr>
            <w:tcW w:w="359" w:type="pct"/>
            <w:tcBorders>
              <w:bottom w:val="single" w:sz="6" w:space="0" w:color="auto"/>
            </w:tcBorders>
            <w:shd w:val="clear" w:color="auto" w:fill="auto"/>
            <w:vAlign w:val="center"/>
          </w:tcPr>
          <w:p w:rsidR="00F239D1" w:rsidRDefault="00F239D1" w:rsidP="0047170A">
            <w:pPr>
              <w:pStyle w:val="TableBodyText"/>
              <w:spacing w:beforeLines="20" w:before="48"/>
              <w:rPr>
                <w:i/>
              </w:rPr>
            </w:pPr>
            <w:r>
              <w:t>1.7</w:t>
            </w:r>
          </w:p>
        </w:tc>
        <w:tc>
          <w:tcPr>
            <w:tcW w:w="366" w:type="pct"/>
            <w:tcBorders>
              <w:bottom w:val="single" w:sz="6" w:space="0" w:color="auto"/>
            </w:tcBorders>
            <w:shd w:val="clear" w:color="auto" w:fill="auto"/>
            <w:vAlign w:val="center"/>
          </w:tcPr>
          <w:p w:rsidR="00F239D1" w:rsidRDefault="00F239D1" w:rsidP="0047170A">
            <w:pPr>
              <w:pStyle w:val="TableBodyText"/>
              <w:spacing w:beforeLines="20" w:before="48"/>
              <w:rPr>
                <w:i/>
              </w:rPr>
            </w:pPr>
            <w:r>
              <w:t>2.4</w:t>
            </w:r>
          </w:p>
        </w:tc>
        <w:tc>
          <w:tcPr>
            <w:tcW w:w="375" w:type="pct"/>
            <w:tcBorders>
              <w:bottom w:val="single" w:sz="6" w:space="0" w:color="auto"/>
            </w:tcBorders>
            <w:shd w:val="clear" w:color="auto" w:fill="auto"/>
            <w:vAlign w:val="center"/>
          </w:tcPr>
          <w:p w:rsidR="00F239D1" w:rsidRPr="001947D0" w:rsidRDefault="001947D0" w:rsidP="0047170A">
            <w:pPr>
              <w:pStyle w:val="TableBodyText"/>
              <w:spacing w:beforeLines="20" w:before="48"/>
            </w:pPr>
            <w:r w:rsidRPr="001947D0">
              <w:t>2.1</w:t>
            </w:r>
          </w:p>
        </w:tc>
        <w:tc>
          <w:tcPr>
            <w:tcW w:w="309" w:type="pct"/>
            <w:tcBorders>
              <w:bottom w:val="single" w:sz="6" w:space="0" w:color="auto"/>
            </w:tcBorders>
            <w:shd w:val="clear" w:color="auto" w:fill="auto"/>
            <w:vAlign w:val="center"/>
          </w:tcPr>
          <w:p w:rsidR="00F239D1" w:rsidRDefault="00F239D1" w:rsidP="0047170A">
            <w:pPr>
              <w:pStyle w:val="TableBodyText"/>
              <w:spacing w:beforeLines="20" w:before="48"/>
              <w:rPr>
                <w:i/>
              </w:rPr>
            </w:pPr>
            <w:r>
              <w:t>1.6</w:t>
            </w:r>
          </w:p>
        </w:tc>
        <w:tc>
          <w:tcPr>
            <w:tcW w:w="360" w:type="pct"/>
            <w:tcBorders>
              <w:bottom w:val="single" w:sz="6" w:space="0" w:color="auto"/>
            </w:tcBorders>
            <w:shd w:val="clear" w:color="auto" w:fill="auto"/>
            <w:vAlign w:val="center"/>
          </w:tcPr>
          <w:p w:rsidR="00F239D1" w:rsidRDefault="00E8527A" w:rsidP="0047170A">
            <w:pPr>
              <w:pStyle w:val="TableBodyText"/>
              <w:spacing w:beforeLines="20" w:before="48"/>
              <w:rPr>
                <w:i/>
              </w:rPr>
            </w:pPr>
            <w:r>
              <w:t>0.5</w:t>
            </w:r>
          </w:p>
        </w:tc>
        <w:tc>
          <w:tcPr>
            <w:tcW w:w="322" w:type="pct"/>
            <w:tcBorders>
              <w:bottom w:val="single" w:sz="6" w:space="0" w:color="auto"/>
            </w:tcBorders>
            <w:shd w:val="clear" w:color="auto" w:fill="auto"/>
            <w:vAlign w:val="center"/>
          </w:tcPr>
          <w:p w:rsidR="00F239D1" w:rsidRPr="00F239D1" w:rsidRDefault="00070EFA" w:rsidP="0047170A">
            <w:pPr>
              <w:pStyle w:val="TableBodyText"/>
              <w:spacing w:beforeLines="20" w:before="48"/>
              <w:ind w:right="28"/>
              <w:rPr>
                <w:rStyle w:val="NoteLabel"/>
              </w:rPr>
            </w:pPr>
            <w:r>
              <w:t>..</w:t>
            </w:r>
            <w:r w:rsidR="006E17D5">
              <w:rPr>
                <w:rStyle w:val="NoteLabel"/>
              </w:rPr>
              <w:t>f</w:t>
            </w:r>
          </w:p>
        </w:tc>
        <w:tc>
          <w:tcPr>
            <w:tcW w:w="302" w:type="pct"/>
            <w:tcBorders>
              <w:bottom w:val="single" w:sz="6" w:space="0" w:color="auto"/>
            </w:tcBorders>
            <w:shd w:val="clear" w:color="auto" w:fill="auto"/>
            <w:vAlign w:val="center"/>
          </w:tcPr>
          <w:p w:rsidR="00F239D1" w:rsidRDefault="00F239D1" w:rsidP="0047170A">
            <w:pPr>
              <w:pStyle w:val="TableBodyText"/>
              <w:spacing w:beforeLines="20" w:before="48"/>
              <w:rPr>
                <w:i/>
              </w:rPr>
            </w:pPr>
            <w:r>
              <w:t>1.7</w:t>
            </w:r>
          </w:p>
        </w:tc>
        <w:tc>
          <w:tcPr>
            <w:tcW w:w="295" w:type="pct"/>
            <w:tcBorders>
              <w:bottom w:val="single" w:sz="6" w:space="0" w:color="auto"/>
            </w:tcBorders>
            <w:shd w:val="clear" w:color="auto" w:fill="auto"/>
            <w:vAlign w:val="center"/>
          </w:tcPr>
          <w:p w:rsidR="00F239D1" w:rsidRDefault="00F239D1" w:rsidP="0047170A">
            <w:pPr>
              <w:pStyle w:val="TableBodyText"/>
              <w:spacing w:beforeLines="20" w:before="48"/>
              <w:rPr>
                <w:i/>
              </w:rPr>
            </w:pPr>
            <w:r>
              <w:t>2.2</w:t>
            </w:r>
          </w:p>
        </w:tc>
        <w:tc>
          <w:tcPr>
            <w:tcW w:w="209" w:type="pct"/>
            <w:tcBorders>
              <w:bottom w:val="single" w:sz="6" w:space="0" w:color="auto"/>
            </w:tcBorders>
            <w:shd w:val="clear" w:color="auto" w:fill="auto"/>
            <w:vAlign w:val="center"/>
          </w:tcPr>
          <w:p w:rsidR="00F239D1" w:rsidRDefault="00F239D1" w:rsidP="0047170A">
            <w:pPr>
              <w:pStyle w:val="TableBodyText"/>
              <w:spacing w:beforeLines="20" w:before="48"/>
              <w:ind w:right="28"/>
              <w:rPr>
                <w:i/>
              </w:rPr>
            </w:pPr>
            <w:r>
              <w:t>6.5</w:t>
            </w:r>
          </w:p>
        </w:tc>
      </w:tr>
    </w:tbl>
    <w:p w:rsidR="00F239D1" w:rsidRDefault="00F239D1" w:rsidP="00F239D1">
      <w:pPr>
        <w:pStyle w:val="Note"/>
      </w:pPr>
      <w:r w:rsidRPr="00B4315B">
        <w:rPr>
          <w:rStyle w:val="NoteLabel"/>
        </w:rPr>
        <w:t>a</w:t>
      </w:r>
      <w:r>
        <w:t xml:space="preserve"> By date of assent</w:t>
      </w:r>
      <w:r w:rsidR="006E17D5">
        <w:t xml:space="preserve"> or notification</w:t>
      </w:r>
      <w:r>
        <w:t xml:space="preserve">, which is not necessarily the commencement date.  </w:t>
      </w:r>
      <w:r>
        <w:rPr>
          <w:rStyle w:val="NoteLabel"/>
        </w:rPr>
        <w:t>b</w:t>
      </w:r>
      <w:r>
        <w:t xml:space="preserve"> </w:t>
      </w:r>
      <w:r w:rsidR="006E17D5">
        <w:t xml:space="preserve">The Commission has attempted to capture the range of instruments subject to </w:t>
      </w:r>
      <w:r w:rsidR="00487F18">
        <w:t>gazettal</w:t>
      </w:r>
      <w:r w:rsidR="006E17D5">
        <w:t xml:space="preserve">, while acknowledging that </w:t>
      </w:r>
      <w:r w:rsidR="00487F18">
        <w:t>processes</w:t>
      </w:r>
      <w:r w:rsidR="006E17D5">
        <w:t xml:space="preserve"> vary across jurisdictions.  </w:t>
      </w:r>
      <w:r w:rsidR="006E17D5">
        <w:rPr>
          <w:rStyle w:val="NoteLabel"/>
        </w:rPr>
        <w:t>c</w:t>
      </w:r>
      <w:r w:rsidR="006E17D5">
        <w:t xml:space="preserve"> </w:t>
      </w:r>
      <w:r>
        <w:t xml:space="preserve">Characterised as ‘legislative instruments’ for the purposes of the </w:t>
      </w:r>
      <w:r>
        <w:rPr>
          <w:i/>
        </w:rPr>
        <w:t>Legislative Instruments Act 2003</w:t>
      </w:r>
      <w:r>
        <w:t xml:space="preserve"> (</w:t>
      </w:r>
      <w:proofErr w:type="spellStart"/>
      <w:r>
        <w:t>Cwlth</w:t>
      </w:r>
      <w:proofErr w:type="spellEnd"/>
      <w:r>
        <w:t xml:space="preserve">).  </w:t>
      </w:r>
      <w:r w:rsidR="006E17D5">
        <w:rPr>
          <w:rStyle w:val="NoteLabel"/>
        </w:rPr>
        <w:t>d</w:t>
      </w:r>
      <w:r>
        <w:t xml:space="preserve"> Includes ‘statutory instruments’ comprising regulations, rules, </w:t>
      </w:r>
      <w:r w:rsidR="006E17D5">
        <w:t>by</w:t>
      </w:r>
      <w:r w:rsidR="006E17D5">
        <w:noBreakHyphen/>
      </w:r>
      <w:r>
        <w:t xml:space="preserve">laws, proclamations and environmental planning instruments.  </w:t>
      </w:r>
      <w:r w:rsidR="006E17D5">
        <w:rPr>
          <w:rStyle w:val="NoteLabel"/>
        </w:rPr>
        <w:t>e</w:t>
      </w:r>
      <w:r>
        <w:t> Fiscal year, not calendar year.</w:t>
      </w:r>
      <w:r w:rsidR="00143772">
        <w:t xml:space="preserve"> In calendar year 2011, 2.2 per cent of all regulatory instruments made </w:t>
      </w:r>
      <w:r w:rsidR="00B810C2">
        <w:t>had</w:t>
      </w:r>
      <w:r w:rsidR="00143772">
        <w:t xml:space="preserve"> a RIS.</w:t>
      </w:r>
      <w:r>
        <w:t xml:space="preserve">  </w:t>
      </w:r>
      <w:r w:rsidR="00BE3215">
        <w:rPr>
          <w:rStyle w:val="NoteLabel"/>
        </w:rPr>
        <w:t>f</w:t>
      </w:r>
      <w:r w:rsidR="00143772">
        <w:t> </w:t>
      </w:r>
      <w:r>
        <w:t>From mid-2011 onwards</w:t>
      </w:r>
      <w:r w:rsidR="00A26C5B">
        <w:t>,</w:t>
      </w:r>
      <w:r>
        <w:t xml:space="preserve"> as this was the formal commencement of South Australia’s RIA system.  ..</w:t>
      </w:r>
      <w:r w:rsidRPr="006870ED">
        <w:rPr>
          <w:vertAlign w:val="superscript"/>
        </w:rPr>
        <w:t>.</w:t>
      </w:r>
      <w:r w:rsidR="001A5C2C">
        <w:t>not</w:t>
      </w:r>
      <w:r w:rsidR="003A0D2A">
        <w:t xml:space="preserve"> available</w:t>
      </w:r>
      <w:r w:rsidR="006E17D5">
        <w:t>.</w:t>
      </w:r>
    </w:p>
    <w:p w:rsidR="008A04FB" w:rsidRPr="00EC7054" w:rsidRDefault="00F239D1" w:rsidP="00EC7054">
      <w:pPr>
        <w:pStyle w:val="Source"/>
      </w:pPr>
      <w:r>
        <w:rPr>
          <w:i/>
        </w:rPr>
        <w:t>Sources</w:t>
      </w:r>
      <w:r>
        <w:t xml:space="preserve">: </w:t>
      </w:r>
      <w:r w:rsidR="008A04FB">
        <w:t>Jurisdictional guidance material (appendix B); PC information request</w:t>
      </w:r>
      <w:r w:rsidR="003D1EA5">
        <w:t xml:space="preserve"> (</w:t>
      </w:r>
      <w:r w:rsidR="008A04FB">
        <w:t>March 2012</w:t>
      </w:r>
      <w:r w:rsidR="003D1EA5">
        <w:t>)</w:t>
      </w:r>
      <w:r w:rsidR="008A04FB">
        <w:t xml:space="preserve">; </w:t>
      </w:r>
      <w:proofErr w:type="spellStart"/>
      <w:r w:rsidR="008A04FB">
        <w:t>Austlii</w:t>
      </w:r>
      <w:proofErr w:type="spellEnd"/>
      <w:r w:rsidR="008A04FB">
        <w:t xml:space="preserve"> (</w:t>
      </w:r>
      <w:proofErr w:type="spellStart"/>
      <w:r w:rsidR="008A04FB">
        <w:t>2010a</w:t>
      </w:r>
      <w:proofErr w:type="spellEnd"/>
      <w:r w:rsidR="008A04FB">
        <w:t xml:space="preserve">, </w:t>
      </w:r>
      <w:proofErr w:type="spellStart"/>
      <w:r w:rsidR="008A04FB">
        <w:t>2010b</w:t>
      </w:r>
      <w:proofErr w:type="spellEnd"/>
      <w:r w:rsidR="008A04FB">
        <w:t xml:space="preserve">, </w:t>
      </w:r>
      <w:proofErr w:type="spellStart"/>
      <w:r w:rsidR="008A04FB">
        <w:t>2010c</w:t>
      </w:r>
      <w:proofErr w:type="spellEnd"/>
      <w:r w:rsidR="008A04FB">
        <w:t xml:space="preserve">, </w:t>
      </w:r>
      <w:proofErr w:type="spellStart"/>
      <w:r w:rsidR="008A04FB">
        <w:t>2011a</w:t>
      </w:r>
      <w:proofErr w:type="spellEnd"/>
      <w:r w:rsidR="008A04FB">
        <w:t xml:space="preserve">, </w:t>
      </w:r>
      <w:proofErr w:type="spellStart"/>
      <w:r w:rsidR="008A04FB">
        <w:t>2011b</w:t>
      </w:r>
      <w:proofErr w:type="spellEnd"/>
      <w:r w:rsidR="008A04FB">
        <w:t xml:space="preserve">, </w:t>
      </w:r>
      <w:proofErr w:type="spellStart"/>
      <w:r w:rsidR="008A04FB">
        <w:t>2011c</w:t>
      </w:r>
      <w:proofErr w:type="spellEnd"/>
      <w:r w:rsidR="008A04FB">
        <w:t>, 2012).</w:t>
      </w:r>
    </w:p>
    <w:p w:rsidR="00294605" w:rsidRDefault="00145E51" w:rsidP="00294605">
      <w:pPr>
        <w:pStyle w:val="Heading2"/>
      </w:pPr>
      <w:bookmarkStart w:id="10" w:name="OLE_LINK3"/>
      <w:bookmarkStart w:id="11" w:name="_Toc326139781"/>
      <w:r>
        <w:lastRenderedPageBreak/>
        <w:t>4.</w:t>
      </w:r>
      <w:r w:rsidR="009445FF">
        <w:rPr>
          <w:noProof/>
        </w:rPr>
        <w:t>2</w:t>
      </w:r>
      <w:bookmarkEnd w:id="10"/>
      <w:r w:rsidR="00294605">
        <w:tab/>
      </w:r>
      <w:bookmarkEnd w:id="11"/>
      <w:r w:rsidR="0062004D">
        <w:t xml:space="preserve">Trigger for </w:t>
      </w:r>
      <w:proofErr w:type="spellStart"/>
      <w:r w:rsidR="0062004D">
        <w:t>RIS</w:t>
      </w:r>
      <w:proofErr w:type="spellEnd"/>
      <w:r w:rsidR="0062004D">
        <w:t xml:space="preserve"> requirements</w:t>
      </w:r>
    </w:p>
    <w:p w:rsidR="00FE711F" w:rsidRDefault="003142DE" w:rsidP="00FE711F">
      <w:pPr>
        <w:pStyle w:val="BodyText"/>
      </w:pPr>
      <w:r>
        <w:t xml:space="preserve">Given </w:t>
      </w:r>
      <w:r w:rsidR="0013699F">
        <w:t xml:space="preserve">there </w:t>
      </w:r>
      <w:r w:rsidR="00965D32">
        <w:t xml:space="preserve">can be </w:t>
      </w:r>
      <w:r w:rsidR="0013699F">
        <w:t xml:space="preserve">significant costs </w:t>
      </w:r>
      <w:r w:rsidR="00110414">
        <w:t xml:space="preserve">associated with the preparation of </w:t>
      </w:r>
      <w:r w:rsidR="006D7936">
        <w:t>RISs (chapter </w:t>
      </w:r>
      <w:r w:rsidR="00145E51">
        <w:t>3</w:t>
      </w:r>
      <w:r w:rsidR="006D7936">
        <w:t>), maximum effort and resources should be applied to those regulations where impacts are most significant and where the prospects are greatest for</w:t>
      </w:r>
      <w:r w:rsidR="00FE711F">
        <w:t xml:space="preserve"> improving regulatory outcomes.</w:t>
      </w:r>
    </w:p>
    <w:p w:rsidR="00493325" w:rsidRDefault="00493325" w:rsidP="00493325">
      <w:pPr>
        <w:pStyle w:val="Heading3"/>
      </w:pPr>
      <w:r>
        <w:t>What types of impacts trigger the RIS requirements?</w:t>
      </w:r>
    </w:p>
    <w:p w:rsidR="00A96553" w:rsidRDefault="00A96553" w:rsidP="00A96553">
      <w:pPr>
        <w:pStyle w:val="BodyText"/>
      </w:pPr>
      <w:r>
        <w:t>Australian jurisdictions and COAG have typically adopted a two-part</w:t>
      </w:r>
      <w:r w:rsidR="00965D32">
        <w:t xml:space="preserve"> threshold</w:t>
      </w:r>
      <w:r>
        <w:t xml:space="preserve"> test to establish whether a RIS is required</w:t>
      </w:r>
      <w:r w:rsidR="00B27A44">
        <w:t>;</w:t>
      </w:r>
      <w:r>
        <w:t xml:space="preserve"> however</w:t>
      </w:r>
      <w:r w:rsidR="00B27A44">
        <w:t>,</w:t>
      </w:r>
      <w:r>
        <w:t xml:space="preserve"> the criteria differ. The first </w:t>
      </w:r>
      <w:r w:rsidR="00965D32">
        <w:t>part relates to</w:t>
      </w:r>
      <w:r>
        <w:t xml:space="preserve"> the level or magnitude of impacts, and the second focuses on who or what is affected (table </w:t>
      </w:r>
      <w:r w:rsidR="001410E5">
        <w:t>4.3</w:t>
      </w:r>
      <w:r>
        <w:t>).</w:t>
      </w:r>
    </w:p>
    <w:p w:rsidR="00A96553" w:rsidRDefault="00A96553" w:rsidP="00A96553">
      <w:pPr>
        <w:pStyle w:val="BodyText"/>
      </w:pPr>
      <w:r>
        <w:t xml:space="preserve">There are significant differences across jurisdictions in the initial screening or preliminary analysis required to determine whether </w:t>
      </w:r>
      <w:r w:rsidR="00965D32">
        <w:t xml:space="preserve">RIS </w:t>
      </w:r>
      <w:r>
        <w:t>threshold</w:t>
      </w:r>
      <w:r w:rsidR="00965D32">
        <w:t>s</w:t>
      </w:r>
      <w:r>
        <w:t xml:space="preserve"> are met</w:t>
      </w:r>
      <w:r w:rsidR="00BD12F0">
        <w:t>,</w:t>
      </w:r>
      <w:r>
        <w:t xml:space="preserve"> and also </w:t>
      </w:r>
      <w:r w:rsidR="00965D32">
        <w:t>in who is</w:t>
      </w:r>
      <w:r>
        <w:t xml:space="preserve"> </w:t>
      </w:r>
      <w:r w:rsidR="00965D32">
        <w:t xml:space="preserve">responsible </w:t>
      </w:r>
      <w:r>
        <w:t>for determining whether RIS requirements are triggered.</w:t>
      </w:r>
    </w:p>
    <w:p w:rsidR="003D1EA5" w:rsidRDefault="003D1EA5" w:rsidP="003D1EA5">
      <w:pPr>
        <w:pStyle w:val="Heading4"/>
      </w:pPr>
      <w:r>
        <w:t>The level or magnitude of impacts</w:t>
      </w:r>
    </w:p>
    <w:p w:rsidR="003D1EA5" w:rsidRPr="00AA27CD" w:rsidRDefault="003D1EA5" w:rsidP="003D1EA5">
      <w:pPr>
        <w:pStyle w:val="BodyText"/>
      </w:pPr>
      <w:r>
        <w:t xml:space="preserve">Most jurisdictions </w:t>
      </w:r>
      <w:r w:rsidR="00965D32">
        <w:t>use the</w:t>
      </w:r>
      <w:r>
        <w:t xml:space="preserve"> ‘significance of impacts’ </w:t>
      </w:r>
      <w:r w:rsidR="00136258">
        <w:t>as a trigger for a RIS</w:t>
      </w:r>
      <w:r>
        <w:t xml:space="preserve">; however, the Commonwealth, COAG and South Australia have </w:t>
      </w:r>
      <w:r w:rsidR="008A2853">
        <w:t xml:space="preserve">each </w:t>
      </w:r>
      <w:r>
        <w:t>adopt</w:t>
      </w:r>
      <w:r w:rsidR="003B3568">
        <w:t>ed</w:t>
      </w:r>
      <w:r>
        <w:t xml:space="preserve"> a </w:t>
      </w:r>
      <w:r w:rsidR="00136258">
        <w:t xml:space="preserve">broader </w:t>
      </w:r>
      <w:r>
        <w:t xml:space="preserve">‘non-minor impacts’ threshold. </w:t>
      </w:r>
      <w:r w:rsidR="00CA3179">
        <w:t>For example, the Australian Government guidance material says that RIA should apply unless the ‘impact is of a minor or machinery nature and does not substantially alter existing arrangements’</w:t>
      </w:r>
      <w:r w:rsidR="00FC01D1">
        <w:t xml:space="preserve"> (A</w:t>
      </w:r>
      <w:r w:rsidR="005F13CA">
        <w:t xml:space="preserve">ustralian Government </w:t>
      </w:r>
      <w:proofErr w:type="spellStart"/>
      <w:r w:rsidR="005F13CA">
        <w:t>2010a</w:t>
      </w:r>
      <w:proofErr w:type="spellEnd"/>
      <w:r w:rsidR="005F13CA">
        <w:t>, p. 8</w:t>
      </w:r>
      <w:r w:rsidR="00FC01D1">
        <w:t>)</w:t>
      </w:r>
      <w:r w:rsidR="003B3568">
        <w:t xml:space="preserve">. The </w:t>
      </w:r>
      <w:r w:rsidR="00110414">
        <w:t>terms minor and machinery</w:t>
      </w:r>
      <w:r w:rsidR="00F24593">
        <w:t xml:space="preserve"> are further defined</w:t>
      </w:r>
      <w:r w:rsidR="00CA3179">
        <w:t>:</w:t>
      </w:r>
    </w:p>
    <w:p w:rsidR="003D1EA5" w:rsidRPr="00AA27CD" w:rsidRDefault="003D1EA5" w:rsidP="003D1EA5">
      <w:pPr>
        <w:pStyle w:val="Quote"/>
      </w:pPr>
      <w:r w:rsidRPr="00AA27CD">
        <w:t xml:space="preserve">‘Minor’ changes refer to those changes that do not substantially alter the existing regulatory arrangements for businesses or not-for-profit organisations, such as where there would be a very small initial one-off cost to business and no ongoing costs. ‘Machinery’ changes refer to consequential changes in regulation that are required as a result of a substantive regulatory decision, and for which there is limited discretion available to the decision maker. (Australian Government </w:t>
      </w:r>
      <w:proofErr w:type="spellStart"/>
      <w:r w:rsidRPr="00AA27CD">
        <w:t>2010</w:t>
      </w:r>
      <w:r>
        <w:t>a</w:t>
      </w:r>
      <w:proofErr w:type="spellEnd"/>
      <w:r w:rsidRPr="00AA27CD">
        <w:t>, p. 10)</w:t>
      </w:r>
    </w:p>
    <w:p w:rsidR="00B810C2" w:rsidRPr="00A96553" w:rsidRDefault="00B810C2" w:rsidP="00B810C2">
      <w:pPr>
        <w:pStyle w:val="BodyText"/>
      </w:pPr>
      <w:r>
        <w:t>The Australian Government lowered its RIS threshold from a significance test to the current non</w:t>
      </w:r>
      <w:r>
        <w:noBreakHyphen/>
        <w:t xml:space="preserve">minor impacts test in 2010, when it amalgamated the requirements for use of the Business Cost Calculator (chapter 6) into the requirement to undertake a </w:t>
      </w:r>
      <w:proofErr w:type="spellStart"/>
      <w:r>
        <w:t>RIS</w:t>
      </w:r>
      <w:proofErr w:type="spellEnd"/>
      <w:r>
        <w:t xml:space="preserve"> (Australian Government </w:t>
      </w:r>
      <w:proofErr w:type="spellStart"/>
      <w:r>
        <w:t>2010a</w:t>
      </w:r>
      <w:proofErr w:type="spellEnd"/>
      <w:r>
        <w:t>). Potentially, Australian Government regulatory proposals with anything more than a non-minor impact — but not a significant impact — could now require a RIS. In practice, however, there has not been a substantial rise in the number of RISs undertaken (table 3.5) — either because of the narrowing in the scope of impacts to only business and not f</w:t>
      </w:r>
      <w:r w:rsidR="00F24593">
        <w:t xml:space="preserve">or profit sectors (see </w:t>
      </w:r>
      <w:r w:rsidR="00F24593">
        <w:lastRenderedPageBreak/>
        <w:t xml:space="preserve">below), </w:t>
      </w:r>
      <w:r>
        <w:t>or a lack of proposals with an impact between ‘non</w:t>
      </w:r>
      <w:r>
        <w:noBreakHyphen/>
        <w:t>minor’ and ‘significant’.</w:t>
      </w:r>
    </w:p>
    <w:p w:rsidR="00B810C2" w:rsidRPr="00A96553" w:rsidRDefault="00B810C2" w:rsidP="00B810C2">
      <w:pPr>
        <w:pStyle w:val="BodyText"/>
      </w:pPr>
      <w:r>
        <w:t>In the majority of jurisdictions, no RIS is required for regulatory proposals that impose minor or machinery impacts. However, as a matter of course, in order to determine that impacts are minor or machinery, some minimal regulatory analysis needs to be undertaken. However, in New South Wales and Tasmania, there are further documentary requirements for proposals with minor impacts (discussed later in this section).</w:t>
      </w:r>
    </w:p>
    <w:p w:rsidR="00B810C2" w:rsidRDefault="00B810C2" w:rsidP="00B810C2">
      <w:pPr>
        <w:pStyle w:val="BodyText"/>
      </w:pPr>
      <w:r>
        <w:t>Only t</w:t>
      </w:r>
      <w:r w:rsidRPr="003820D2">
        <w:t>he Australian Governm</w:t>
      </w:r>
      <w:r>
        <w:t xml:space="preserve">ent guidelines </w:t>
      </w:r>
      <w:r w:rsidRPr="00897529">
        <w:rPr>
          <w:i/>
        </w:rPr>
        <w:t>explicitly</w:t>
      </w:r>
      <w:r>
        <w:t xml:space="preserve"> state that significant </w:t>
      </w:r>
      <w:r w:rsidRPr="003820D2">
        <w:t xml:space="preserve">positive </w:t>
      </w:r>
      <w:r>
        <w:t xml:space="preserve">as well as </w:t>
      </w:r>
      <w:r w:rsidRPr="003820D2">
        <w:t xml:space="preserve">negative impacts trigger </w:t>
      </w:r>
      <w:r>
        <w:t xml:space="preserve">the requirement for </w:t>
      </w:r>
      <w:r w:rsidRPr="003820D2">
        <w:t>a RIS.</w:t>
      </w:r>
      <w:r>
        <w:t xml:space="preserve"> In contrast, the RIS trigger is </w:t>
      </w:r>
      <w:r w:rsidRPr="00EF2901">
        <w:rPr>
          <w:i/>
        </w:rPr>
        <w:t>explicitly</w:t>
      </w:r>
      <w:r>
        <w:t xml:space="preserve"> limited to negative impacts in Western Australia and Tasmania, and for subordinate legislation, in New South Wales, Victoria, Queensland, and the ACT (although the Commission was advised of examples in some of these jurisdictions of where </w:t>
      </w:r>
      <w:proofErr w:type="spellStart"/>
      <w:r>
        <w:t>RISs</w:t>
      </w:r>
      <w:proofErr w:type="spellEnd"/>
      <w:r>
        <w:t xml:space="preserve"> have been prepared for proposals which have significant positive impacts). In all other cases, the trigger is not explicit in terms of its coverage of negative or positive impacts and therefore ‘in principle’ positive impacts would also trigger the requirements (table 4.3).</w:t>
      </w:r>
    </w:p>
    <w:p w:rsidR="00B810C2" w:rsidRDefault="00B810C2" w:rsidP="00B810C2">
      <w:pPr>
        <w:pStyle w:val="BodyText"/>
      </w:pPr>
      <w:r>
        <w:t>Some stakeholders considered that deregulatory or clearly beneficial proposals should be exempt from the RIA requirements. For example, the Department of Infrastructure and Transport stated its concern about the application of ‘</w:t>
      </w:r>
      <w:r w:rsidRPr="00E82D6E">
        <w:t>RIA processes to activities that are fundamentally about opening up and removing regulatory burdens</w:t>
      </w:r>
      <w:r>
        <w:t>’ (sub. 21, p. 1). Although some</w:t>
      </w:r>
      <w:r w:rsidRPr="003820D2">
        <w:t xml:space="preserve"> regulation </w:t>
      </w:r>
      <w:r>
        <w:t>provides clear</w:t>
      </w:r>
      <w:r w:rsidRPr="003820D2">
        <w:t xml:space="preserve"> </w:t>
      </w:r>
      <w:r>
        <w:t xml:space="preserve">net </w:t>
      </w:r>
      <w:r w:rsidRPr="003820D2">
        <w:t>benefi</w:t>
      </w:r>
      <w:r>
        <w:t>ts</w:t>
      </w:r>
      <w:r w:rsidRPr="003820D2">
        <w:t xml:space="preserve"> to the community (</w:t>
      </w:r>
      <w:r>
        <w:t>for example,</w:t>
      </w:r>
      <w:r w:rsidRPr="003820D2">
        <w:t xml:space="preserve"> </w:t>
      </w:r>
      <w:r>
        <w:t xml:space="preserve">most </w:t>
      </w:r>
      <w:r w:rsidRPr="003820D2">
        <w:t>health and safety regulation)</w:t>
      </w:r>
      <w:r>
        <w:t>,</w:t>
      </w:r>
      <w:r w:rsidRPr="003820D2">
        <w:t xml:space="preserve"> a rigorous assessment of alternatives (and their relative merits) </w:t>
      </w:r>
      <w:r>
        <w:t xml:space="preserve">through RIA processes can still be highly </w:t>
      </w:r>
      <w:r w:rsidRPr="003820D2">
        <w:t xml:space="preserve">beneficial </w:t>
      </w:r>
      <w:r>
        <w:t>for improving the regulation and its implementation (chapter 6).</w:t>
      </w:r>
    </w:p>
    <w:p w:rsidR="00F24593" w:rsidRPr="00B90181" w:rsidRDefault="00F24593" w:rsidP="00F24593">
      <w:pPr>
        <w:pStyle w:val="Heading4"/>
      </w:pPr>
      <w:r>
        <w:t>Who or what is impacted?</w:t>
      </w:r>
    </w:p>
    <w:p w:rsidR="00F24593" w:rsidRDefault="00F24593" w:rsidP="00F24593">
      <w:pPr>
        <w:pStyle w:val="BodyText"/>
      </w:pPr>
      <w:r>
        <w:t>New South Wales, Queensland, Western Australia, Australian Capital Territory and the Northern Territory all adopt either a community or economy</w:t>
      </w:r>
      <w:r>
        <w:noBreakHyphen/>
        <w:t>wide impact approach (table 4.3). The Commonwealth, adopts a narrower approach, focusing only on business or competition impacts, as do Victoria and Tasmania for all regulation apart from subordinate legislation.</w:t>
      </w:r>
    </w:p>
    <w:p w:rsidR="00F24593" w:rsidRDefault="00F24593" w:rsidP="00B810C2">
      <w:pPr>
        <w:pStyle w:val="BodyText"/>
      </w:pPr>
    </w:p>
    <w:p w:rsidR="00A96553" w:rsidRDefault="00A96553" w:rsidP="00A96553">
      <w:pPr>
        <w:pStyle w:val="TableTitle"/>
      </w:pPr>
      <w:r>
        <w:rPr>
          <w:b w:val="0"/>
        </w:rPr>
        <w:lastRenderedPageBreak/>
        <w:t xml:space="preserve">Table </w:t>
      </w:r>
      <w:bookmarkStart w:id="12" w:name="OLE_LINK8"/>
      <w:r w:rsidR="001410E5">
        <w:rPr>
          <w:b w:val="0"/>
        </w:rPr>
        <w:t>4.</w:t>
      </w:r>
      <w:r w:rsidR="009445FF">
        <w:rPr>
          <w:b w:val="0"/>
          <w:noProof/>
        </w:rPr>
        <w:t>3</w:t>
      </w:r>
      <w:bookmarkEnd w:id="12"/>
      <w:r>
        <w:tab/>
        <w:t>Threshold test to determine if a RIS is required</w:t>
      </w:r>
    </w:p>
    <w:tbl>
      <w:tblPr>
        <w:tblW w:w="5000" w:type="pct"/>
        <w:tblLayout w:type="fixed"/>
        <w:tblCellMar>
          <w:left w:w="0" w:type="dxa"/>
          <w:right w:w="0" w:type="dxa"/>
        </w:tblCellMar>
        <w:tblLook w:val="0000" w:firstRow="0" w:lastRow="0" w:firstColumn="0" w:lastColumn="0" w:noHBand="0" w:noVBand="0"/>
      </w:tblPr>
      <w:tblGrid>
        <w:gridCol w:w="709"/>
        <w:gridCol w:w="1445"/>
        <w:gridCol w:w="4111"/>
        <w:gridCol w:w="2524"/>
      </w:tblGrid>
      <w:tr w:rsidR="00A96553" w:rsidTr="00B810C2">
        <w:tc>
          <w:tcPr>
            <w:tcW w:w="403" w:type="pct"/>
            <w:tcBorders>
              <w:top w:val="single" w:sz="6" w:space="0" w:color="auto"/>
              <w:bottom w:val="single" w:sz="6" w:space="0" w:color="auto"/>
            </w:tcBorders>
            <w:shd w:val="clear" w:color="auto" w:fill="auto"/>
          </w:tcPr>
          <w:p w:rsidR="00A96553" w:rsidRDefault="00A96553" w:rsidP="00A96553">
            <w:pPr>
              <w:pStyle w:val="TableColumnHeading"/>
              <w:jc w:val="left"/>
            </w:pPr>
          </w:p>
        </w:tc>
        <w:tc>
          <w:tcPr>
            <w:tcW w:w="822" w:type="pct"/>
            <w:tcBorders>
              <w:top w:val="single" w:sz="6" w:space="0" w:color="auto"/>
              <w:bottom w:val="single" w:sz="6" w:space="0" w:color="auto"/>
            </w:tcBorders>
            <w:shd w:val="clear" w:color="auto" w:fill="auto"/>
          </w:tcPr>
          <w:p w:rsidR="00A96553" w:rsidRDefault="00A96553" w:rsidP="00CD025A">
            <w:pPr>
              <w:pStyle w:val="TableColumnHeading"/>
              <w:jc w:val="left"/>
            </w:pPr>
            <w:r>
              <w:t xml:space="preserve">Type of </w:t>
            </w:r>
            <w:r w:rsidR="00CD025A">
              <w:t>regulation</w:t>
            </w:r>
          </w:p>
        </w:tc>
        <w:tc>
          <w:tcPr>
            <w:tcW w:w="2339" w:type="pct"/>
            <w:tcBorders>
              <w:top w:val="single" w:sz="6" w:space="0" w:color="auto"/>
              <w:bottom w:val="single" w:sz="6" w:space="0" w:color="auto"/>
            </w:tcBorders>
            <w:shd w:val="clear" w:color="auto" w:fill="auto"/>
          </w:tcPr>
          <w:p w:rsidR="00A96553" w:rsidRDefault="002C011F" w:rsidP="00E3635D">
            <w:pPr>
              <w:pStyle w:val="TableColumnHeading"/>
              <w:jc w:val="left"/>
            </w:pPr>
            <w:r>
              <w:t>Level</w:t>
            </w:r>
            <w:r w:rsidR="00A96553">
              <w:t xml:space="preserve"> of impact</w:t>
            </w:r>
          </w:p>
        </w:tc>
        <w:tc>
          <w:tcPr>
            <w:tcW w:w="1436" w:type="pct"/>
            <w:tcBorders>
              <w:top w:val="single" w:sz="6" w:space="0" w:color="auto"/>
              <w:bottom w:val="single" w:sz="6" w:space="0" w:color="auto"/>
            </w:tcBorders>
            <w:shd w:val="clear" w:color="auto" w:fill="auto"/>
          </w:tcPr>
          <w:p w:rsidR="00A96553" w:rsidRDefault="00A96553" w:rsidP="00E3635D">
            <w:pPr>
              <w:pStyle w:val="TableColumnHeading"/>
              <w:ind w:right="28"/>
              <w:jc w:val="left"/>
            </w:pPr>
            <w:r>
              <w:t>Impact on…</w:t>
            </w:r>
          </w:p>
        </w:tc>
      </w:tr>
      <w:tr w:rsidR="00A96553" w:rsidTr="00B810C2">
        <w:tc>
          <w:tcPr>
            <w:tcW w:w="403" w:type="pct"/>
            <w:tcBorders>
              <w:top w:val="single" w:sz="6" w:space="0" w:color="auto"/>
            </w:tcBorders>
            <w:shd w:val="clear" w:color="auto" w:fill="auto"/>
          </w:tcPr>
          <w:p w:rsidR="00A96553" w:rsidRDefault="00A96553" w:rsidP="00A96553">
            <w:pPr>
              <w:pStyle w:val="TableUnitsRow"/>
              <w:jc w:val="left"/>
            </w:pPr>
            <w:proofErr w:type="spellStart"/>
            <w:r>
              <w:t>Cwlth</w:t>
            </w:r>
            <w:proofErr w:type="spellEnd"/>
          </w:p>
        </w:tc>
        <w:tc>
          <w:tcPr>
            <w:tcW w:w="822" w:type="pct"/>
            <w:tcBorders>
              <w:top w:val="single" w:sz="6" w:space="0" w:color="auto"/>
            </w:tcBorders>
            <w:shd w:val="clear" w:color="auto" w:fill="auto"/>
          </w:tcPr>
          <w:p w:rsidR="00A96553" w:rsidRDefault="00A96553" w:rsidP="00A96553">
            <w:pPr>
              <w:pStyle w:val="TableUnitsRow"/>
              <w:jc w:val="left"/>
            </w:pPr>
            <w:r>
              <w:t>All covered</w:t>
            </w:r>
          </w:p>
        </w:tc>
        <w:tc>
          <w:tcPr>
            <w:tcW w:w="2339" w:type="pct"/>
            <w:tcBorders>
              <w:top w:val="single" w:sz="6" w:space="0" w:color="auto"/>
            </w:tcBorders>
            <w:shd w:val="clear" w:color="auto" w:fill="auto"/>
          </w:tcPr>
          <w:p w:rsidR="00A96553" w:rsidRPr="00BE2D11" w:rsidRDefault="00A96553" w:rsidP="00A96553">
            <w:pPr>
              <w:pStyle w:val="TableUnitsRow"/>
              <w:jc w:val="left"/>
              <w:rPr>
                <w:rStyle w:val="NoteLabel"/>
                <w:b w:val="0"/>
                <w:position w:val="0"/>
                <w:sz w:val="20"/>
              </w:rPr>
            </w:pPr>
            <w:r w:rsidRPr="00BE2D11">
              <w:t>Regulatory, unless that impact is of a minor or machinery nature and does not substantially alter existing arrangement</w:t>
            </w:r>
            <w:r>
              <w:t>s</w:t>
            </w:r>
          </w:p>
        </w:tc>
        <w:tc>
          <w:tcPr>
            <w:tcW w:w="1436" w:type="pct"/>
            <w:tcBorders>
              <w:top w:val="single" w:sz="6" w:space="0" w:color="auto"/>
            </w:tcBorders>
            <w:shd w:val="clear" w:color="auto" w:fill="auto"/>
          </w:tcPr>
          <w:p w:rsidR="00A96553" w:rsidRDefault="00A96553" w:rsidP="00E3635D">
            <w:pPr>
              <w:pStyle w:val="TableUnitsRow"/>
              <w:jc w:val="left"/>
            </w:pPr>
            <w:r w:rsidRPr="00E3635D">
              <w:t>Business</w:t>
            </w:r>
            <w:r w:rsidR="00E3635D">
              <w:t xml:space="preserve"> or not for </w:t>
            </w:r>
            <w:r w:rsidRPr="00E3635D">
              <w:t>profit sector</w:t>
            </w:r>
          </w:p>
        </w:tc>
      </w:tr>
      <w:tr w:rsidR="00A96553" w:rsidTr="00B810C2">
        <w:tc>
          <w:tcPr>
            <w:tcW w:w="403" w:type="pct"/>
            <w:shd w:val="pct15" w:color="auto" w:fill="auto"/>
          </w:tcPr>
          <w:p w:rsidR="00A96553" w:rsidRDefault="00A96553" w:rsidP="00B810C2">
            <w:pPr>
              <w:pStyle w:val="TableBodyText"/>
              <w:spacing w:before="40"/>
              <w:jc w:val="left"/>
              <w:rPr>
                <w:i/>
              </w:rPr>
            </w:pPr>
            <w:r>
              <w:t>COAG</w:t>
            </w:r>
          </w:p>
        </w:tc>
        <w:tc>
          <w:tcPr>
            <w:tcW w:w="822" w:type="pct"/>
            <w:shd w:val="pct15" w:color="auto" w:fill="auto"/>
          </w:tcPr>
          <w:p w:rsidR="00A96553" w:rsidRDefault="00A96553" w:rsidP="00B810C2">
            <w:pPr>
              <w:pStyle w:val="TableBodyText"/>
              <w:spacing w:before="40"/>
              <w:jc w:val="left"/>
              <w:rPr>
                <w:i/>
              </w:rPr>
            </w:pPr>
            <w:r>
              <w:t>All covered</w:t>
            </w:r>
          </w:p>
        </w:tc>
        <w:tc>
          <w:tcPr>
            <w:tcW w:w="2339" w:type="pct"/>
            <w:shd w:val="pct15" w:color="auto" w:fill="auto"/>
          </w:tcPr>
          <w:p w:rsidR="00A96553" w:rsidRDefault="00A96553" w:rsidP="00B810C2">
            <w:pPr>
              <w:pStyle w:val="TableBodyText"/>
              <w:spacing w:before="40"/>
              <w:jc w:val="left"/>
              <w:rPr>
                <w:i/>
              </w:rPr>
            </w:pPr>
            <w:r>
              <w:t>The principles and assessment requirements do not apply to agreements or decisions that result in regulation that is minor or machinery in nature and do not substantia</w:t>
            </w:r>
            <w:r w:rsidR="00816255">
              <w:t>lly alter existing arrangements</w:t>
            </w:r>
          </w:p>
        </w:tc>
        <w:tc>
          <w:tcPr>
            <w:tcW w:w="1436" w:type="pct"/>
            <w:shd w:val="pct15" w:color="auto" w:fill="auto"/>
          </w:tcPr>
          <w:p w:rsidR="00A96553" w:rsidRDefault="00E3635D" w:rsidP="00B810C2">
            <w:pPr>
              <w:pStyle w:val="TableBodyText"/>
              <w:spacing w:before="40"/>
              <w:jc w:val="left"/>
              <w:rPr>
                <w:i/>
              </w:rPr>
            </w:pPr>
            <w:r>
              <w:t>Not applicable</w:t>
            </w:r>
          </w:p>
        </w:tc>
      </w:tr>
      <w:tr w:rsidR="00A96553" w:rsidTr="00B810C2">
        <w:tc>
          <w:tcPr>
            <w:tcW w:w="403" w:type="pct"/>
            <w:shd w:val="clear" w:color="auto" w:fill="auto"/>
          </w:tcPr>
          <w:p w:rsidR="00A96553" w:rsidRPr="00C16955" w:rsidRDefault="00A96553" w:rsidP="00B810C2">
            <w:pPr>
              <w:pStyle w:val="TableBodyText"/>
              <w:spacing w:before="40"/>
              <w:jc w:val="left"/>
              <w:rPr>
                <w:rStyle w:val="NoteLabel"/>
              </w:rPr>
            </w:pPr>
            <w:r>
              <w:t>NSW</w:t>
            </w:r>
            <w:r>
              <w:rPr>
                <w:rStyle w:val="NoteLabel"/>
              </w:rPr>
              <w:t>a</w:t>
            </w:r>
          </w:p>
        </w:tc>
        <w:tc>
          <w:tcPr>
            <w:tcW w:w="822" w:type="pct"/>
            <w:shd w:val="clear" w:color="auto" w:fill="auto"/>
          </w:tcPr>
          <w:p w:rsidR="00A96553" w:rsidRDefault="00A96553" w:rsidP="00B810C2">
            <w:pPr>
              <w:pStyle w:val="TableBodyText"/>
              <w:spacing w:before="40"/>
              <w:jc w:val="left"/>
              <w:rPr>
                <w:i/>
              </w:rPr>
            </w:pPr>
            <w:r>
              <w:t>Subordinate</w:t>
            </w:r>
          </w:p>
        </w:tc>
        <w:tc>
          <w:tcPr>
            <w:tcW w:w="2339" w:type="pct"/>
            <w:shd w:val="clear" w:color="auto" w:fill="auto"/>
          </w:tcPr>
          <w:p w:rsidR="00A96553" w:rsidRPr="00525358" w:rsidRDefault="002C011F" w:rsidP="00B810C2">
            <w:pPr>
              <w:pStyle w:val="TableBodyText"/>
              <w:spacing w:before="40"/>
              <w:jc w:val="left"/>
              <w:rPr>
                <w:rStyle w:val="NoteLabel"/>
                <w:b w:val="0"/>
                <w:position w:val="0"/>
                <w:sz w:val="20"/>
              </w:rPr>
            </w:pPr>
            <w:r>
              <w:rPr>
                <w:rStyle w:val="NoteLabel"/>
                <w:b w:val="0"/>
                <w:position w:val="0"/>
                <w:sz w:val="20"/>
              </w:rPr>
              <w:t>Appreciable burden, cost or disadvantage</w:t>
            </w:r>
          </w:p>
        </w:tc>
        <w:tc>
          <w:tcPr>
            <w:tcW w:w="1436" w:type="pct"/>
            <w:shd w:val="clear" w:color="auto" w:fill="auto"/>
          </w:tcPr>
          <w:p w:rsidR="00A96553" w:rsidRDefault="00A96553" w:rsidP="00B810C2">
            <w:pPr>
              <w:pStyle w:val="TableBodyText"/>
              <w:spacing w:before="40"/>
              <w:jc w:val="left"/>
              <w:rPr>
                <w:i/>
              </w:rPr>
            </w:pPr>
            <w:r>
              <w:t>Any sector of the public</w:t>
            </w:r>
          </w:p>
        </w:tc>
      </w:tr>
      <w:tr w:rsidR="00A96553" w:rsidTr="00B810C2">
        <w:tc>
          <w:tcPr>
            <w:tcW w:w="403" w:type="pct"/>
            <w:shd w:val="clear" w:color="auto" w:fill="auto"/>
          </w:tcPr>
          <w:p w:rsidR="00A96553" w:rsidRPr="00C16955" w:rsidRDefault="00A96553" w:rsidP="00B810C2">
            <w:pPr>
              <w:pStyle w:val="TableBodyText"/>
              <w:spacing w:before="40"/>
              <w:jc w:val="left"/>
              <w:rPr>
                <w:rStyle w:val="NoteLabel"/>
              </w:rPr>
            </w:pPr>
          </w:p>
        </w:tc>
        <w:tc>
          <w:tcPr>
            <w:tcW w:w="822" w:type="pct"/>
            <w:shd w:val="clear" w:color="auto" w:fill="auto"/>
          </w:tcPr>
          <w:p w:rsidR="00A96553" w:rsidRDefault="00A96553" w:rsidP="00B810C2">
            <w:pPr>
              <w:pStyle w:val="TableBodyText"/>
              <w:spacing w:before="40"/>
              <w:jc w:val="left"/>
              <w:rPr>
                <w:i/>
              </w:rPr>
            </w:pPr>
            <w:r>
              <w:t>All others covered</w:t>
            </w:r>
          </w:p>
        </w:tc>
        <w:tc>
          <w:tcPr>
            <w:tcW w:w="2339" w:type="pct"/>
            <w:shd w:val="clear" w:color="auto" w:fill="auto"/>
          </w:tcPr>
          <w:p w:rsidR="00A96553" w:rsidRPr="008330E3" w:rsidRDefault="00A96553" w:rsidP="00B810C2">
            <w:pPr>
              <w:pStyle w:val="TableBodyText"/>
              <w:spacing w:before="40"/>
              <w:jc w:val="left"/>
              <w:rPr>
                <w:rStyle w:val="NoteLabel"/>
                <w:b w:val="0"/>
                <w:position w:val="0"/>
                <w:sz w:val="20"/>
              </w:rPr>
            </w:pPr>
            <w:r>
              <w:t>Significant</w:t>
            </w:r>
          </w:p>
        </w:tc>
        <w:tc>
          <w:tcPr>
            <w:tcW w:w="1436" w:type="pct"/>
            <w:shd w:val="clear" w:color="auto" w:fill="auto"/>
          </w:tcPr>
          <w:p w:rsidR="00A96553" w:rsidRPr="00E3635D" w:rsidRDefault="00A96553" w:rsidP="00B810C2">
            <w:pPr>
              <w:pStyle w:val="TableBodyText"/>
              <w:spacing w:before="40"/>
              <w:jc w:val="left"/>
              <w:rPr>
                <w:i/>
              </w:rPr>
            </w:pPr>
            <w:r w:rsidRPr="00E3635D">
              <w:t>Individuals</w:t>
            </w:r>
            <w:r w:rsidR="00E3635D">
              <w:t>, t</w:t>
            </w:r>
            <w:r w:rsidRPr="00E3635D">
              <w:t>he community</w:t>
            </w:r>
            <w:r w:rsidR="00E3635D">
              <w:t xml:space="preserve"> (or a sector of the community), business, c</w:t>
            </w:r>
            <w:r>
              <w:t>ompetition</w:t>
            </w:r>
            <w:r w:rsidR="00E3635D">
              <w:t>,</w:t>
            </w:r>
            <w:r>
              <w:rPr>
                <w:rStyle w:val="NoteLabel"/>
              </w:rPr>
              <w:t>b</w:t>
            </w:r>
            <w:r w:rsidR="00E3635D">
              <w:t xml:space="preserve"> or t</w:t>
            </w:r>
            <w:r w:rsidRPr="00E3635D">
              <w:t>he administrative cost to government</w:t>
            </w:r>
          </w:p>
        </w:tc>
      </w:tr>
      <w:tr w:rsidR="00A96553" w:rsidTr="00B810C2">
        <w:tc>
          <w:tcPr>
            <w:tcW w:w="403" w:type="pct"/>
            <w:shd w:val="pct15" w:color="auto" w:fill="auto"/>
          </w:tcPr>
          <w:p w:rsidR="00A96553" w:rsidRDefault="00A96553" w:rsidP="00B810C2">
            <w:pPr>
              <w:pStyle w:val="TableBodyText"/>
              <w:spacing w:before="40"/>
              <w:jc w:val="left"/>
              <w:rPr>
                <w:i/>
              </w:rPr>
            </w:pPr>
            <w:r>
              <w:t>Vic</w:t>
            </w:r>
            <w:r>
              <w:rPr>
                <w:rStyle w:val="NoteLabel"/>
              </w:rPr>
              <w:t>a</w:t>
            </w:r>
          </w:p>
        </w:tc>
        <w:tc>
          <w:tcPr>
            <w:tcW w:w="822" w:type="pct"/>
            <w:shd w:val="pct15" w:color="auto" w:fill="auto"/>
          </w:tcPr>
          <w:p w:rsidR="00A96553" w:rsidRDefault="00A96553" w:rsidP="00B810C2">
            <w:pPr>
              <w:pStyle w:val="TableBodyText"/>
              <w:spacing w:before="40"/>
              <w:jc w:val="left"/>
              <w:rPr>
                <w:i/>
              </w:rPr>
            </w:pPr>
            <w:r>
              <w:t>Subordinate</w:t>
            </w:r>
          </w:p>
        </w:tc>
        <w:tc>
          <w:tcPr>
            <w:tcW w:w="2339" w:type="pct"/>
            <w:shd w:val="pct15" w:color="auto" w:fill="auto"/>
          </w:tcPr>
          <w:p w:rsidR="00A96553" w:rsidRPr="00525358" w:rsidRDefault="00A96553" w:rsidP="00B810C2">
            <w:pPr>
              <w:pStyle w:val="TableBodyText"/>
              <w:spacing w:before="40"/>
              <w:jc w:val="left"/>
              <w:rPr>
                <w:i/>
              </w:rPr>
            </w:pPr>
            <w:r>
              <w:t>Significant economic or social burden</w:t>
            </w:r>
          </w:p>
        </w:tc>
        <w:tc>
          <w:tcPr>
            <w:tcW w:w="1436" w:type="pct"/>
            <w:shd w:val="pct15" w:color="auto" w:fill="auto"/>
          </w:tcPr>
          <w:p w:rsidR="00A96553" w:rsidRPr="00525358" w:rsidRDefault="00A96553" w:rsidP="00B810C2">
            <w:pPr>
              <w:pStyle w:val="TableBodyText"/>
              <w:spacing w:before="40"/>
              <w:jc w:val="left"/>
              <w:rPr>
                <w:i/>
              </w:rPr>
            </w:pPr>
            <w:r>
              <w:t>A sector of the public</w:t>
            </w:r>
          </w:p>
        </w:tc>
      </w:tr>
      <w:tr w:rsidR="00A96553" w:rsidTr="00B810C2">
        <w:tc>
          <w:tcPr>
            <w:tcW w:w="403" w:type="pct"/>
            <w:shd w:val="pct15" w:color="auto" w:fill="auto"/>
          </w:tcPr>
          <w:p w:rsidR="00A96553" w:rsidRPr="00C16955" w:rsidRDefault="00A96553" w:rsidP="00B810C2">
            <w:pPr>
              <w:pStyle w:val="TableBodyText"/>
              <w:spacing w:before="40"/>
              <w:jc w:val="left"/>
              <w:rPr>
                <w:rStyle w:val="NoteLabel"/>
              </w:rPr>
            </w:pPr>
          </w:p>
        </w:tc>
        <w:tc>
          <w:tcPr>
            <w:tcW w:w="822" w:type="pct"/>
            <w:shd w:val="pct15" w:color="auto" w:fill="auto"/>
          </w:tcPr>
          <w:p w:rsidR="00A96553" w:rsidRDefault="00A96553" w:rsidP="00B810C2">
            <w:pPr>
              <w:pStyle w:val="TableBodyText"/>
              <w:spacing w:before="40"/>
              <w:jc w:val="left"/>
              <w:rPr>
                <w:i/>
              </w:rPr>
            </w:pPr>
            <w:r>
              <w:t>All others covered</w:t>
            </w:r>
          </w:p>
        </w:tc>
        <w:tc>
          <w:tcPr>
            <w:tcW w:w="2339" w:type="pct"/>
            <w:shd w:val="pct15" w:color="auto" w:fill="auto"/>
          </w:tcPr>
          <w:p w:rsidR="00A96553" w:rsidRPr="00525358" w:rsidRDefault="00A96553" w:rsidP="00B810C2">
            <w:pPr>
              <w:pStyle w:val="TableBodyText"/>
              <w:spacing w:before="40"/>
              <w:jc w:val="left"/>
              <w:rPr>
                <w:rStyle w:val="NoteLabel"/>
                <w:b w:val="0"/>
                <w:position w:val="0"/>
                <w:sz w:val="20"/>
              </w:rPr>
            </w:pPr>
            <w:r w:rsidRPr="00525358">
              <w:t>Significant</w:t>
            </w:r>
          </w:p>
        </w:tc>
        <w:tc>
          <w:tcPr>
            <w:tcW w:w="1436" w:type="pct"/>
            <w:shd w:val="pct15" w:color="auto" w:fill="auto"/>
          </w:tcPr>
          <w:p w:rsidR="00A96553" w:rsidRDefault="00A96553" w:rsidP="00B810C2">
            <w:pPr>
              <w:pStyle w:val="TableBodyText"/>
              <w:spacing w:before="40"/>
              <w:jc w:val="left"/>
              <w:rPr>
                <w:i/>
              </w:rPr>
            </w:pPr>
            <w:r>
              <w:t>Competition and business</w:t>
            </w:r>
          </w:p>
        </w:tc>
      </w:tr>
      <w:tr w:rsidR="00A96553" w:rsidTr="00B810C2">
        <w:tc>
          <w:tcPr>
            <w:tcW w:w="403" w:type="pct"/>
            <w:shd w:val="clear" w:color="auto" w:fill="auto"/>
          </w:tcPr>
          <w:p w:rsidR="00A96553" w:rsidRDefault="00A96553" w:rsidP="00B810C2">
            <w:pPr>
              <w:pStyle w:val="TableBodyText"/>
              <w:spacing w:before="40"/>
              <w:jc w:val="left"/>
              <w:rPr>
                <w:i/>
              </w:rPr>
            </w:pPr>
            <w:r>
              <w:t>Qld</w:t>
            </w:r>
          </w:p>
        </w:tc>
        <w:tc>
          <w:tcPr>
            <w:tcW w:w="822" w:type="pct"/>
            <w:shd w:val="clear" w:color="auto" w:fill="auto"/>
          </w:tcPr>
          <w:p w:rsidR="00A96553" w:rsidRDefault="00A96553" w:rsidP="00B810C2">
            <w:pPr>
              <w:pStyle w:val="TableBodyText"/>
              <w:spacing w:before="40"/>
              <w:jc w:val="left"/>
              <w:rPr>
                <w:i/>
              </w:rPr>
            </w:pPr>
            <w:r>
              <w:t>Subordinate</w:t>
            </w:r>
          </w:p>
        </w:tc>
        <w:tc>
          <w:tcPr>
            <w:tcW w:w="2339" w:type="pct"/>
            <w:shd w:val="clear" w:color="auto" w:fill="auto"/>
          </w:tcPr>
          <w:p w:rsidR="00A96553" w:rsidRPr="00525358" w:rsidRDefault="00A96553" w:rsidP="00B810C2">
            <w:pPr>
              <w:pStyle w:val="TableBodyText"/>
              <w:jc w:val="left"/>
              <w:rPr>
                <w:rStyle w:val="NoteLabel"/>
              </w:rPr>
            </w:pPr>
            <w:r>
              <w:rPr>
                <w:rStyle w:val="NoteLabel"/>
                <w:b w:val="0"/>
                <w:position w:val="0"/>
                <w:sz w:val="20"/>
              </w:rPr>
              <w:t>Appreciable costs</w:t>
            </w:r>
            <w:r w:rsidR="001802FC">
              <w:rPr>
                <w:rStyle w:val="NoteLabel"/>
              </w:rPr>
              <w:t>c</w:t>
            </w:r>
          </w:p>
        </w:tc>
        <w:tc>
          <w:tcPr>
            <w:tcW w:w="1436" w:type="pct"/>
            <w:shd w:val="clear" w:color="auto" w:fill="auto"/>
          </w:tcPr>
          <w:p w:rsidR="00A96553" w:rsidRPr="00525358" w:rsidRDefault="00E3635D" w:rsidP="00B810C2">
            <w:pPr>
              <w:pStyle w:val="TableBodyText"/>
              <w:spacing w:before="40"/>
              <w:jc w:val="left"/>
              <w:rPr>
                <w:i/>
              </w:rPr>
            </w:pPr>
            <w:r>
              <w:t>The community (or a part of the community)</w:t>
            </w:r>
          </w:p>
        </w:tc>
      </w:tr>
      <w:tr w:rsidR="00A96553" w:rsidTr="00B810C2">
        <w:tc>
          <w:tcPr>
            <w:tcW w:w="403" w:type="pct"/>
            <w:shd w:val="clear" w:color="auto" w:fill="auto"/>
          </w:tcPr>
          <w:p w:rsidR="00A96553" w:rsidRPr="00C16955" w:rsidRDefault="00A96553" w:rsidP="00B810C2">
            <w:pPr>
              <w:pStyle w:val="TableBodyText"/>
              <w:spacing w:before="40"/>
              <w:jc w:val="left"/>
              <w:rPr>
                <w:rStyle w:val="NoteLabel"/>
              </w:rPr>
            </w:pPr>
          </w:p>
        </w:tc>
        <w:tc>
          <w:tcPr>
            <w:tcW w:w="822" w:type="pct"/>
            <w:shd w:val="clear" w:color="auto" w:fill="auto"/>
          </w:tcPr>
          <w:p w:rsidR="00A96553" w:rsidRDefault="00A96553" w:rsidP="00B810C2">
            <w:pPr>
              <w:pStyle w:val="TableBodyText"/>
              <w:spacing w:before="40"/>
              <w:jc w:val="left"/>
              <w:rPr>
                <w:i/>
              </w:rPr>
            </w:pPr>
            <w:r>
              <w:t>All others covered</w:t>
            </w:r>
          </w:p>
        </w:tc>
        <w:tc>
          <w:tcPr>
            <w:tcW w:w="2339" w:type="pct"/>
            <w:shd w:val="clear" w:color="auto" w:fill="auto"/>
          </w:tcPr>
          <w:p w:rsidR="00A96553" w:rsidRPr="001802FC" w:rsidRDefault="00A96553" w:rsidP="00B810C2">
            <w:pPr>
              <w:pStyle w:val="TableBodyText"/>
              <w:spacing w:before="40"/>
              <w:jc w:val="left"/>
              <w:rPr>
                <w:rStyle w:val="NoteLabel"/>
                <w:b w:val="0"/>
                <w:position w:val="0"/>
                <w:sz w:val="20"/>
              </w:rPr>
            </w:pPr>
            <w:r>
              <w:t>Significan</w:t>
            </w:r>
            <w:r w:rsidR="001802FC">
              <w:t>t</w:t>
            </w:r>
          </w:p>
        </w:tc>
        <w:tc>
          <w:tcPr>
            <w:tcW w:w="1436" w:type="pct"/>
            <w:shd w:val="clear" w:color="auto" w:fill="auto"/>
          </w:tcPr>
          <w:p w:rsidR="00A96553" w:rsidRPr="00E3635D" w:rsidRDefault="00A96553" w:rsidP="00B810C2">
            <w:pPr>
              <w:pStyle w:val="TableBodyText"/>
              <w:spacing w:before="40"/>
              <w:jc w:val="left"/>
              <w:rPr>
                <w:i/>
              </w:rPr>
            </w:pPr>
            <w:r w:rsidRPr="00E3635D">
              <w:t>Business</w:t>
            </w:r>
            <w:r w:rsidR="00E3635D">
              <w:t>, c</w:t>
            </w:r>
            <w:r w:rsidRPr="00E3635D">
              <w:t>ommunity</w:t>
            </w:r>
            <w:r w:rsidR="00E3635D">
              <w:t xml:space="preserve"> or g</w:t>
            </w:r>
            <w:r w:rsidRPr="00E3635D">
              <w:t>overnment</w:t>
            </w:r>
          </w:p>
        </w:tc>
      </w:tr>
      <w:tr w:rsidR="00A96553" w:rsidTr="00B810C2">
        <w:tc>
          <w:tcPr>
            <w:tcW w:w="403" w:type="pct"/>
            <w:shd w:val="pct15" w:color="auto" w:fill="auto"/>
          </w:tcPr>
          <w:p w:rsidR="00A96553" w:rsidRDefault="00A96553" w:rsidP="00B810C2">
            <w:pPr>
              <w:pStyle w:val="TableBodyText"/>
              <w:spacing w:before="40"/>
              <w:jc w:val="left"/>
              <w:rPr>
                <w:i/>
              </w:rPr>
            </w:pPr>
            <w:r>
              <w:t>WA</w:t>
            </w:r>
          </w:p>
        </w:tc>
        <w:tc>
          <w:tcPr>
            <w:tcW w:w="822" w:type="pct"/>
            <w:shd w:val="pct15" w:color="auto" w:fill="auto"/>
          </w:tcPr>
          <w:p w:rsidR="00A96553" w:rsidRDefault="00A96553" w:rsidP="00B810C2">
            <w:pPr>
              <w:pStyle w:val="TableBodyText"/>
              <w:spacing w:before="40"/>
              <w:jc w:val="left"/>
              <w:rPr>
                <w:i/>
              </w:rPr>
            </w:pPr>
            <w:r>
              <w:t>All covered</w:t>
            </w:r>
          </w:p>
        </w:tc>
        <w:tc>
          <w:tcPr>
            <w:tcW w:w="2339" w:type="pct"/>
            <w:shd w:val="pct15" w:color="auto" w:fill="auto"/>
          </w:tcPr>
          <w:p w:rsidR="00A96553" w:rsidRPr="00DC74DD" w:rsidRDefault="001802FC" w:rsidP="00B810C2">
            <w:pPr>
              <w:pStyle w:val="TableBodyText"/>
              <w:spacing w:before="40"/>
              <w:jc w:val="left"/>
              <w:rPr>
                <w:rStyle w:val="NoteLabel"/>
              </w:rPr>
            </w:pPr>
            <w:r w:rsidRPr="001802FC">
              <w:t>Significant negative</w:t>
            </w:r>
          </w:p>
        </w:tc>
        <w:tc>
          <w:tcPr>
            <w:tcW w:w="1436" w:type="pct"/>
            <w:shd w:val="pct15" w:color="auto" w:fill="auto"/>
          </w:tcPr>
          <w:p w:rsidR="00A96553" w:rsidRPr="00E3635D" w:rsidRDefault="00A96553" w:rsidP="00B810C2">
            <w:pPr>
              <w:pStyle w:val="TableBodyText"/>
              <w:spacing w:before="40"/>
              <w:jc w:val="left"/>
              <w:rPr>
                <w:i/>
              </w:rPr>
            </w:pPr>
            <w:r w:rsidRPr="00E3635D">
              <w:t>Business</w:t>
            </w:r>
            <w:r w:rsidR="00E3635D">
              <w:t>, c</w:t>
            </w:r>
            <w:r w:rsidRPr="00E3635D">
              <w:t>onsumer</w:t>
            </w:r>
            <w:r w:rsidR="00E3635D">
              <w:t>s, or e</w:t>
            </w:r>
            <w:r w:rsidRPr="00E3635D">
              <w:t>conomy</w:t>
            </w:r>
          </w:p>
        </w:tc>
      </w:tr>
      <w:tr w:rsidR="00A96553" w:rsidTr="00B810C2">
        <w:tc>
          <w:tcPr>
            <w:tcW w:w="403" w:type="pct"/>
            <w:shd w:val="clear" w:color="auto" w:fill="auto"/>
          </w:tcPr>
          <w:p w:rsidR="00A96553" w:rsidRDefault="00A96553" w:rsidP="00B810C2">
            <w:pPr>
              <w:pStyle w:val="TableBodyText"/>
              <w:spacing w:before="40"/>
              <w:jc w:val="left"/>
              <w:rPr>
                <w:i/>
              </w:rPr>
            </w:pPr>
            <w:r>
              <w:t>SA</w:t>
            </w:r>
          </w:p>
        </w:tc>
        <w:tc>
          <w:tcPr>
            <w:tcW w:w="822" w:type="pct"/>
            <w:shd w:val="clear" w:color="auto" w:fill="auto"/>
          </w:tcPr>
          <w:p w:rsidR="00A96553" w:rsidRDefault="00A96553" w:rsidP="00B810C2">
            <w:pPr>
              <w:pStyle w:val="TableBodyText"/>
              <w:spacing w:before="40"/>
              <w:jc w:val="left"/>
              <w:rPr>
                <w:i/>
              </w:rPr>
            </w:pPr>
            <w:r>
              <w:t>All covered</w:t>
            </w:r>
          </w:p>
        </w:tc>
        <w:tc>
          <w:tcPr>
            <w:tcW w:w="2339" w:type="pct"/>
            <w:shd w:val="clear" w:color="auto" w:fill="auto"/>
          </w:tcPr>
          <w:p w:rsidR="00A96553" w:rsidRPr="005D7949" w:rsidRDefault="00A96553" w:rsidP="00B810C2">
            <w:pPr>
              <w:pStyle w:val="TableBodyText"/>
              <w:spacing w:before="40"/>
              <w:jc w:val="left"/>
              <w:rPr>
                <w:rStyle w:val="NoteLabel"/>
                <w:b w:val="0"/>
                <w:position w:val="0"/>
                <w:sz w:val="20"/>
              </w:rPr>
            </w:pPr>
            <w:r w:rsidRPr="005D7949">
              <w:t xml:space="preserve">Any proposal to impose or amend regulation, </w:t>
            </w:r>
            <w:r>
              <w:t>u</w:t>
            </w:r>
            <w:r w:rsidRPr="005D7949">
              <w:t>nless the proposal is likely to have nil or minor impacts, subject to an exemption, or required to be urgently implemented</w:t>
            </w:r>
          </w:p>
        </w:tc>
        <w:tc>
          <w:tcPr>
            <w:tcW w:w="1436" w:type="pct"/>
            <w:shd w:val="clear" w:color="auto" w:fill="auto"/>
          </w:tcPr>
          <w:p w:rsidR="00A96553" w:rsidRPr="00E3635D" w:rsidRDefault="00A96553" w:rsidP="00B810C2">
            <w:pPr>
              <w:pStyle w:val="TableBodyText"/>
              <w:spacing w:before="40"/>
              <w:jc w:val="left"/>
              <w:rPr>
                <w:i/>
              </w:rPr>
            </w:pPr>
            <w:r w:rsidRPr="00E3635D">
              <w:t>Business</w:t>
            </w:r>
            <w:r w:rsidR="00E3635D">
              <w:t>, consumers, p</w:t>
            </w:r>
            <w:r w:rsidRPr="00E3635D">
              <w:t>ublic</w:t>
            </w:r>
            <w:r w:rsidR="00E3635D">
              <w:t xml:space="preserve"> or e</w:t>
            </w:r>
            <w:r w:rsidRPr="00E3635D">
              <w:t>nvironment</w:t>
            </w:r>
          </w:p>
        </w:tc>
      </w:tr>
      <w:tr w:rsidR="00A96553" w:rsidTr="00B810C2">
        <w:tc>
          <w:tcPr>
            <w:tcW w:w="403" w:type="pct"/>
            <w:shd w:val="pct15" w:color="auto" w:fill="auto"/>
          </w:tcPr>
          <w:p w:rsidR="00A96553" w:rsidRDefault="00A96553" w:rsidP="00B810C2">
            <w:pPr>
              <w:pStyle w:val="TableBodyText"/>
              <w:spacing w:before="40"/>
              <w:jc w:val="left"/>
              <w:rPr>
                <w:i/>
              </w:rPr>
            </w:pPr>
            <w:proofErr w:type="spellStart"/>
            <w:r>
              <w:t>Tas</w:t>
            </w:r>
            <w:proofErr w:type="spellEnd"/>
          </w:p>
        </w:tc>
        <w:tc>
          <w:tcPr>
            <w:tcW w:w="822" w:type="pct"/>
            <w:shd w:val="pct15" w:color="auto" w:fill="auto"/>
          </w:tcPr>
          <w:p w:rsidR="00A96553" w:rsidRDefault="00A96553" w:rsidP="00B810C2">
            <w:pPr>
              <w:pStyle w:val="TableBodyText"/>
              <w:spacing w:before="40"/>
              <w:jc w:val="left"/>
              <w:rPr>
                <w:i/>
              </w:rPr>
            </w:pPr>
            <w:r>
              <w:t>Subordinate</w:t>
            </w:r>
          </w:p>
        </w:tc>
        <w:tc>
          <w:tcPr>
            <w:tcW w:w="2339" w:type="pct"/>
            <w:shd w:val="pct15" w:color="auto" w:fill="auto"/>
          </w:tcPr>
          <w:p w:rsidR="00A96553" w:rsidRPr="008330E3" w:rsidRDefault="00A96553" w:rsidP="00B810C2">
            <w:pPr>
              <w:pStyle w:val="TableBodyText"/>
              <w:spacing w:before="40"/>
              <w:jc w:val="left"/>
              <w:rPr>
                <w:i/>
              </w:rPr>
            </w:pPr>
            <w:r w:rsidRPr="008330E3">
              <w:t>Significant burden, cost or disadvantage</w:t>
            </w:r>
          </w:p>
        </w:tc>
        <w:tc>
          <w:tcPr>
            <w:tcW w:w="1436" w:type="pct"/>
            <w:shd w:val="pct15" w:color="auto" w:fill="auto"/>
          </w:tcPr>
          <w:p w:rsidR="00A96553" w:rsidRPr="008330E3" w:rsidRDefault="00A96553" w:rsidP="00B810C2">
            <w:pPr>
              <w:pStyle w:val="TableBodyText"/>
              <w:spacing w:before="40"/>
              <w:jc w:val="left"/>
              <w:rPr>
                <w:i/>
              </w:rPr>
            </w:pPr>
            <w:r w:rsidRPr="008330E3">
              <w:t>Any sector of the public</w:t>
            </w:r>
          </w:p>
        </w:tc>
      </w:tr>
      <w:tr w:rsidR="00A96553" w:rsidTr="00B810C2">
        <w:tc>
          <w:tcPr>
            <w:tcW w:w="403" w:type="pct"/>
            <w:shd w:val="pct15" w:color="auto" w:fill="auto"/>
          </w:tcPr>
          <w:p w:rsidR="00A96553" w:rsidRDefault="00A96553" w:rsidP="00B810C2">
            <w:pPr>
              <w:pStyle w:val="TableBodyText"/>
              <w:spacing w:before="40"/>
              <w:jc w:val="left"/>
              <w:rPr>
                <w:szCs w:val="24"/>
              </w:rPr>
            </w:pPr>
          </w:p>
        </w:tc>
        <w:tc>
          <w:tcPr>
            <w:tcW w:w="822" w:type="pct"/>
            <w:shd w:val="pct15" w:color="auto" w:fill="auto"/>
          </w:tcPr>
          <w:p w:rsidR="00A96553" w:rsidRDefault="00A96553" w:rsidP="00B810C2">
            <w:pPr>
              <w:pStyle w:val="TableBodyText"/>
              <w:spacing w:before="40"/>
              <w:jc w:val="left"/>
              <w:rPr>
                <w:i/>
              </w:rPr>
            </w:pPr>
            <w:r>
              <w:t>All others covered</w:t>
            </w:r>
          </w:p>
        </w:tc>
        <w:tc>
          <w:tcPr>
            <w:tcW w:w="2339" w:type="pct"/>
            <w:shd w:val="pct15" w:color="auto" w:fill="auto"/>
          </w:tcPr>
          <w:p w:rsidR="00A96553" w:rsidRPr="002D0C0D" w:rsidRDefault="00A96553" w:rsidP="00B810C2">
            <w:pPr>
              <w:pStyle w:val="TableBodyText"/>
              <w:spacing w:before="40"/>
              <w:jc w:val="left"/>
              <w:rPr>
                <w:i/>
              </w:rPr>
            </w:pPr>
            <w:r w:rsidRPr="008330E3">
              <w:t>Restrict competition</w:t>
            </w:r>
            <w:r w:rsidR="00AB1C88">
              <w:t xml:space="preserve"> in any way</w:t>
            </w:r>
            <w:r w:rsidRPr="008330E3">
              <w:t xml:space="preserve"> or impose significant </w:t>
            </w:r>
            <w:r w:rsidR="00AB1C88">
              <w:t xml:space="preserve">negative </w:t>
            </w:r>
            <w:r w:rsidRPr="008330E3">
              <w:t>impacts</w:t>
            </w:r>
          </w:p>
        </w:tc>
        <w:tc>
          <w:tcPr>
            <w:tcW w:w="1436" w:type="pct"/>
            <w:shd w:val="pct15" w:color="auto" w:fill="auto"/>
          </w:tcPr>
          <w:p w:rsidR="00A96553" w:rsidRDefault="00A96553" w:rsidP="00B810C2">
            <w:pPr>
              <w:pStyle w:val="TableBodyText"/>
              <w:spacing w:before="40"/>
              <w:jc w:val="left"/>
              <w:rPr>
                <w:i/>
              </w:rPr>
            </w:pPr>
            <w:r w:rsidRPr="008330E3">
              <w:t>Business</w:t>
            </w:r>
          </w:p>
        </w:tc>
      </w:tr>
      <w:tr w:rsidR="00A96553" w:rsidTr="00B810C2">
        <w:tc>
          <w:tcPr>
            <w:tcW w:w="403" w:type="pct"/>
            <w:shd w:val="clear" w:color="auto" w:fill="auto"/>
          </w:tcPr>
          <w:p w:rsidR="00A96553" w:rsidRDefault="00A96553" w:rsidP="00B810C2">
            <w:pPr>
              <w:pStyle w:val="TableBodyText"/>
              <w:spacing w:before="40"/>
              <w:jc w:val="left"/>
              <w:rPr>
                <w:i/>
              </w:rPr>
            </w:pPr>
            <w:r>
              <w:t>ACT</w:t>
            </w:r>
          </w:p>
        </w:tc>
        <w:tc>
          <w:tcPr>
            <w:tcW w:w="822" w:type="pct"/>
            <w:shd w:val="clear" w:color="auto" w:fill="auto"/>
          </w:tcPr>
          <w:p w:rsidR="00A96553" w:rsidRDefault="00A96553" w:rsidP="00B810C2">
            <w:pPr>
              <w:pStyle w:val="TableBodyText"/>
              <w:spacing w:before="40"/>
              <w:jc w:val="left"/>
              <w:rPr>
                <w:i/>
              </w:rPr>
            </w:pPr>
            <w:r>
              <w:t>Subordinate</w:t>
            </w:r>
          </w:p>
        </w:tc>
        <w:tc>
          <w:tcPr>
            <w:tcW w:w="2339" w:type="pct"/>
            <w:shd w:val="clear" w:color="auto" w:fill="auto"/>
          </w:tcPr>
          <w:p w:rsidR="00A96553" w:rsidRPr="008330E3" w:rsidRDefault="00A96553" w:rsidP="00B810C2">
            <w:pPr>
              <w:pStyle w:val="TableBodyText"/>
              <w:spacing w:before="40"/>
              <w:jc w:val="left"/>
              <w:rPr>
                <w:rStyle w:val="NoteLabel"/>
                <w:b w:val="0"/>
                <w:position w:val="0"/>
                <w:sz w:val="20"/>
              </w:rPr>
            </w:pPr>
            <w:r>
              <w:rPr>
                <w:rStyle w:val="NoteLabel"/>
                <w:b w:val="0"/>
                <w:position w:val="0"/>
                <w:sz w:val="20"/>
              </w:rPr>
              <w:t>Appreciable costs</w:t>
            </w:r>
          </w:p>
        </w:tc>
        <w:tc>
          <w:tcPr>
            <w:tcW w:w="1436" w:type="pct"/>
            <w:shd w:val="clear" w:color="auto" w:fill="auto"/>
          </w:tcPr>
          <w:p w:rsidR="00A96553" w:rsidRDefault="00A96553" w:rsidP="00B810C2">
            <w:pPr>
              <w:pStyle w:val="TableBodyText"/>
              <w:spacing w:before="40"/>
              <w:jc w:val="left"/>
              <w:rPr>
                <w:i/>
              </w:rPr>
            </w:pPr>
            <w:r>
              <w:t>The community (or a part of the community)</w:t>
            </w:r>
          </w:p>
        </w:tc>
      </w:tr>
      <w:tr w:rsidR="00A96553" w:rsidTr="00B810C2">
        <w:tc>
          <w:tcPr>
            <w:tcW w:w="403" w:type="pct"/>
            <w:shd w:val="clear" w:color="auto" w:fill="auto"/>
          </w:tcPr>
          <w:p w:rsidR="00A96553" w:rsidRDefault="00A96553" w:rsidP="00B810C2">
            <w:pPr>
              <w:pStyle w:val="TableBodyText"/>
              <w:spacing w:before="40"/>
              <w:jc w:val="left"/>
              <w:rPr>
                <w:szCs w:val="24"/>
              </w:rPr>
            </w:pPr>
          </w:p>
        </w:tc>
        <w:tc>
          <w:tcPr>
            <w:tcW w:w="822" w:type="pct"/>
            <w:shd w:val="clear" w:color="auto" w:fill="auto"/>
          </w:tcPr>
          <w:p w:rsidR="00A96553" w:rsidRDefault="00A96553" w:rsidP="00B810C2">
            <w:pPr>
              <w:pStyle w:val="TableBodyText"/>
              <w:spacing w:before="40"/>
              <w:jc w:val="left"/>
              <w:rPr>
                <w:i/>
              </w:rPr>
            </w:pPr>
            <w:r>
              <w:t>All others covered</w:t>
            </w:r>
          </w:p>
        </w:tc>
        <w:tc>
          <w:tcPr>
            <w:tcW w:w="2339" w:type="pct"/>
            <w:shd w:val="clear" w:color="auto" w:fill="auto"/>
          </w:tcPr>
          <w:p w:rsidR="00A96553" w:rsidRPr="008330E3" w:rsidRDefault="004F70CF" w:rsidP="00B810C2">
            <w:pPr>
              <w:pStyle w:val="TableBodyText"/>
              <w:spacing w:before="40"/>
              <w:jc w:val="left"/>
              <w:rPr>
                <w:rStyle w:val="NoteLabel"/>
                <w:b w:val="0"/>
                <w:position w:val="0"/>
                <w:sz w:val="20"/>
              </w:rPr>
            </w:pPr>
            <w:r>
              <w:t>No applicable threshold</w:t>
            </w:r>
          </w:p>
        </w:tc>
        <w:tc>
          <w:tcPr>
            <w:tcW w:w="1436" w:type="pct"/>
            <w:shd w:val="clear" w:color="auto" w:fill="auto"/>
          </w:tcPr>
          <w:p w:rsidR="00A96553" w:rsidRPr="008330E3" w:rsidRDefault="00A96553" w:rsidP="00B810C2">
            <w:pPr>
              <w:pStyle w:val="TableBodyText"/>
              <w:spacing w:before="40"/>
              <w:jc w:val="left"/>
              <w:rPr>
                <w:rStyle w:val="NoteLabel"/>
                <w:b w:val="0"/>
                <w:position w:val="0"/>
                <w:sz w:val="20"/>
              </w:rPr>
            </w:pPr>
            <w:r>
              <w:t>A stakeholder group (</w:t>
            </w:r>
            <w:proofErr w:type="spellStart"/>
            <w:r>
              <w:t>eg</w:t>
            </w:r>
            <w:proofErr w:type="spellEnd"/>
            <w:r>
              <w:t xml:space="preserve"> government, community group, general public, industry or business group)</w:t>
            </w:r>
          </w:p>
        </w:tc>
      </w:tr>
      <w:tr w:rsidR="00A96553" w:rsidTr="00B810C2">
        <w:tc>
          <w:tcPr>
            <w:tcW w:w="403" w:type="pct"/>
            <w:tcBorders>
              <w:bottom w:val="single" w:sz="4" w:space="0" w:color="auto"/>
            </w:tcBorders>
            <w:shd w:val="pct15" w:color="auto" w:fill="auto"/>
          </w:tcPr>
          <w:p w:rsidR="00A96553" w:rsidRDefault="00A96553" w:rsidP="00B810C2">
            <w:pPr>
              <w:pStyle w:val="TableBodyText"/>
              <w:spacing w:before="40"/>
              <w:jc w:val="left"/>
              <w:rPr>
                <w:i/>
              </w:rPr>
            </w:pPr>
            <w:r>
              <w:t>NT</w:t>
            </w:r>
          </w:p>
        </w:tc>
        <w:tc>
          <w:tcPr>
            <w:tcW w:w="822" w:type="pct"/>
            <w:tcBorders>
              <w:bottom w:val="single" w:sz="4" w:space="0" w:color="auto"/>
            </w:tcBorders>
            <w:shd w:val="pct15" w:color="auto" w:fill="auto"/>
          </w:tcPr>
          <w:p w:rsidR="00A96553" w:rsidRDefault="00A96553" w:rsidP="00B810C2">
            <w:pPr>
              <w:pStyle w:val="TableBodyText"/>
              <w:spacing w:before="40"/>
              <w:jc w:val="left"/>
              <w:rPr>
                <w:i/>
              </w:rPr>
            </w:pPr>
            <w:r>
              <w:t>All covered</w:t>
            </w:r>
          </w:p>
        </w:tc>
        <w:tc>
          <w:tcPr>
            <w:tcW w:w="2339" w:type="pct"/>
            <w:tcBorders>
              <w:bottom w:val="single" w:sz="4" w:space="0" w:color="auto"/>
            </w:tcBorders>
            <w:shd w:val="pct15" w:color="auto" w:fill="auto"/>
          </w:tcPr>
          <w:p w:rsidR="00A96553" w:rsidRPr="001802FC" w:rsidRDefault="001802FC" w:rsidP="00B810C2">
            <w:pPr>
              <w:pStyle w:val="TableBodyText"/>
              <w:spacing w:before="40"/>
              <w:jc w:val="left"/>
              <w:rPr>
                <w:rStyle w:val="NoteLabel"/>
                <w:b w:val="0"/>
                <w:position w:val="0"/>
                <w:sz w:val="20"/>
              </w:rPr>
            </w:pPr>
            <w:r w:rsidRPr="001802FC">
              <w:t>Material</w:t>
            </w:r>
          </w:p>
        </w:tc>
        <w:tc>
          <w:tcPr>
            <w:tcW w:w="1436" w:type="pct"/>
            <w:tcBorders>
              <w:bottom w:val="single" w:sz="4" w:space="0" w:color="auto"/>
            </w:tcBorders>
            <w:shd w:val="pct15" w:color="auto" w:fill="auto"/>
          </w:tcPr>
          <w:p w:rsidR="00A96553" w:rsidRDefault="00A96553" w:rsidP="00B810C2">
            <w:pPr>
              <w:pStyle w:val="TableBodyText"/>
              <w:spacing w:before="40"/>
              <w:jc w:val="left"/>
              <w:rPr>
                <w:i/>
              </w:rPr>
            </w:pPr>
            <w:r>
              <w:t>Business, the economy and the community</w:t>
            </w:r>
          </w:p>
        </w:tc>
      </w:tr>
    </w:tbl>
    <w:p w:rsidR="00A96553" w:rsidRDefault="00A96553" w:rsidP="00A96553">
      <w:pPr>
        <w:pStyle w:val="Note"/>
      </w:pPr>
      <w:r w:rsidRPr="008A21D1">
        <w:rPr>
          <w:rStyle w:val="NoteLabel"/>
        </w:rPr>
        <w:t>a</w:t>
      </w:r>
      <w:r>
        <w:t xml:space="preserve"> New and remade </w:t>
      </w:r>
      <w:proofErr w:type="spellStart"/>
      <w:r>
        <w:t>sunsetting</w:t>
      </w:r>
      <w:proofErr w:type="spellEnd"/>
      <w:r>
        <w:t xml:space="preserve"> regulations are automatically subject to a RIS unless it can be shown that the </w:t>
      </w:r>
      <w:r w:rsidR="00F67D66">
        <w:t xml:space="preserve">threshold </w:t>
      </w:r>
      <w:r>
        <w:t xml:space="preserve">is not met.  </w:t>
      </w:r>
      <w:r>
        <w:rPr>
          <w:rStyle w:val="NoteLabel"/>
        </w:rPr>
        <w:t>b</w:t>
      </w:r>
      <w:r>
        <w:t xml:space="preserve"> The threshold </w:t>
      </w:r>
      <w:r w:rsidR="003B3568">
        <w:t>for competition impacts is</w:t>
      </w:r>
      <w:r>
        <w:t xml:space="preserve"> ‘impose a material restriction’ as opposed to a significant impact test.  </w:t>
      </w:r>
      <w:r>
        <w:rPr>
          <w:rStyle w:val="NoteLabel"/>
        </w:rPr>
        <w:t>c</w:t>
      </w:r>
      <w:r>
        <w:t xml:space="preserve"> ‘</w:t>
      </w:r>
      <w:r w:rsidR="00B810C2">
        <w:t>A</w:t>
      </w:r>
      <w:r>
        <w:t xml:space="preserve">ppreciable costs’ </w:t>
      </w:r>
      <w:r w:rsidR="00B810C2">
        <w:t>are</w:t>
      </w:r>
      <w:r>
        <w:t xml:space="preserve"> deemed to be a ‘signifi</w:t>
      </w:r>
      <w:r w:rsidR="00DB2224">
        <w:t>cant’ impact and require a RIS.</w:t>
      </w:r>
    </w:p>
    <w:p w:rsidR="00A96553" w:rsidRDefault="00A96553" w:rsidP="00A96553">
      <w:pPr>
        <w:pStyle w:val="Source"/>
      </w:pPr>
      <w:r>
        <w:rPr>
          <w:i/>
        </w:rPr>
        <w:t>Source</w:t>
      </w:r>
      <w:r>
        <w:t>: J</w:t>
      </w:r>
      <w:r w:rsidR="0029389E">
        <w:t>urisdictional guidance material</w:t>
      </w:r>
      <w:r w:rsidR="003142DE">
        <w:t xml:space="preserve"> (appendix B)</w:t>
      </w:r>
      <w:r>
        <w:t>.</w:t>
      </w:r>
    </w:p>
    <w:p w:rsidR="00F24593" w:rsidRDefault="00F24593" w:rsidP="00F24593">
      <w:pPr>
        <w:pStyle w:val="BodyText"/>
      </w:pPr>
      <w:r w:rsidRPr="004C1BA0">
        <w:lastRenderedPageBreak/>
        <w:t xml:space="preserve">The </w:t>
      </w:r>
      <w:r>
        <w:t xml:space="preserve">current </w:t>
      </w:r>
      <w:r w:rsidRPr="004C1BA0">
        <w:t>Australian Government guidelines state that the non-minor impacts must be on either business or the not</w:t>
      </w:r>
      <w:r>
        <w:t>-</w:t>
      </w:r>
      <w:r w:rsidRPr="004C1BA0">
        <w:t>for</w:t>
      </w:r>
      <w:r>
        <w:t>-</w:t>
      </w:r>
      <w:r w:rsidRPr="004C1BA0">
        <w:t>profit sector</w:t>
      </w:r>
      <w:r>
        <w:t xml:space="preserve">, including ‘any organisation that aims to make a profit and the commercial activities or transactions of not for profit organisations’ (Australian Government </w:t>
      </w:r>
      <w:proofErr w:type="spellStart"/>
      <w:r>
        <w:t>2010a</w:t>
      </w:r>
      <w:proofErr w:type="spellEnd"/>
      <w:r>
        <w:t xml:space="preserve">, p. 9). The previous requirement allowed for a much broader range of impacts, including ‘proposals that are likely to have a </w:t>
      </w:r>
      <w:r w:rsidRPr="00B17FA8">
        <w:rPr>
          <w:iCs/>
        </w:rPr>
        <w:t>significant</w:t>
      </w:r>
      <w:r>
        <w:rPr>
          <w:i/>
          <w:iCs/>
        </w:rPr>
        <w:t xml:space="preserve"> </w:t>
      </w:r>
      <w:r>
        <w:t>impact on business and individuals or the economy (whether in the form of compliance costs or other impacts)’ (Australian Government 2007, p. 15).</w:t>
      </w:r>
    </w:p>
    <w:p w:rsidR="008F6D34" w:rsidRDefault="008F6D34" w:rsidP="008F6D34">
      <w:pPr>
        <w:pStyle w:val="BodyText"/>
      </w:pPr>
      <w:r>
        <w:t>Study participants advocated several alternat</w:t>
      </w:r>
      <w:r w:rsidR="00A265D1">
        <w:t>iv</w:t>
      </w:r>
      <w:r>
        <w:t xml:space="preserve">e potential triggers for requiring a RIS. For example, the Western Australian Local Government Association stated that the RIS requirement should be triggered if </w:t>
      </w:r>
      <w:r w:rsidR="00B27A44">
        <w:t xml:space="preserve">there are impacts on </w:t>
      </w:r>
      <w:r>
        <w:t>local government</w:t>
      </w:r>
      <w:r w:rsidR="00D86670">
        <w:t xml:space="preserve"> </w:t>
      </w:r>
      <w:r w:rsidR="00182C3B">
        <w:t>(sub. 6</w:t>
      </w:r>
      <w:r w:rsidR="00B27A44">
        <w:t>, p. 3)</w:t>
      </w:r>
      <w:r>
        <w:t>. The Australian Food and Grocery Council (sub. 5, p. 16) stated that ‘[a]</w:t>
      </w:r>
      <w:proofErr w:type="spellStart"/>
      <w:r w:rsidRPr="004D1F14">
        <w:t>ll</w:t>
      </w:r>
      <w:proofErr w:type="spellEnd"/>
      <w:r w:rsidRPr="004D1F14">
        <w:t xml:space="preserve"> regulation that may affect business should be subject to a regulation </w:t>
      </w:r>
      <w:r>
        <w:t>impact assessment (RIA) process’</w:t>
      </w:r>
      <w:r w:rsidR="00CE50B0">
        <w:t>.</w:t>
      </w:r>
    </w:p>
    <w:p w:rsidR="00102404" w:rsidRDefault="008F6D34" w:rsidP="00493325">
      <w:pPr>
        <w:pStyle w:val="BodyText"/>
      </w:pPr>
      <w:r w:rsidRPr="005E7720">
        <w:t xml:space="preserve">It is important that </w:t>
      </w:r>
      <w:proofErr w:type="spellStart"/>
      <w:r w:rsidRPr="005E7720">
        <w:t>RIS</w:t>
      </w:r>
      <w:r w:rsidR="006B7C9B">
        <w:t>s</w:t>
      </w:r>
      <w:proofErr w:type="spellEnd"/>
      <w:r w:rsidRPr="005E7720">
        <w:t xml:space="preserve"> assess the economy-wide</w:t>
      </w:r>
      <w:r>
        <w:t xml:space="preserve"> regulatory</w:t>
      </w:r>
      <w:r w:rsidRPr="005E7720">
        <w:t xml:space="preserve"> impacts so as to best estimate the total impacts on the community (chapter </w:t>
      </w:r>
      <w:r w:rsidR="00145E51">
        <w:t>6</w:t>
      </w:r>
      <w:r w:rsidRPr="005E7720">
        <w:t>). Although all</w:t>
      </w:r>
      <w:r w:rsidR="00554D2E">
        <w:t xml:space="preserve"> jurisdictions advocate economy-</w:t>
      </w:r>
      <w:r w:rsidRPr="005E7720">
        <w:t xml:space="preserve">wide impacts be assessed once a RIS is required, there may be instances where the initial impact of the proposal </w:t>
      </w:r>
      <w:r w:rsidR="00CE50B0">
        <w:t>does not affect</w:t>
      </w:r>
      <w:r w:rsidRPr="005E7720">
        <w:t xml:space="preserve"> business or competition and hence bypasses the requirement for a RIS. The C</w:t>
      </w:r>
      <w:r>
        <w:t>ommission acknowledges that broadening the threshold</w:t>
      </w:r>
      <w:r w:rsidRPr="005E7720">
        <w:t xml:space="preserve"> may result in an increase in the volume of proposals to assess but</w:t>
      </w:r>
      <w:r w:rsidR="00A21A62">
        <w:t>,</w:t>
      </w:r>
      <w:r w:rsidRPr="005E7720">
        <w:t xml:space="preserve"> on balance, the increase is justified given the potential to avoid requiring a RIS due to a narrower threshold. Moreover, the Commission has highlighted leading practices in ensuring that only the minimum necessary analysis be undertaken to determine the significance of impacts</w:t>
      </w:r>
      <w:r w:rsidR="00114D13">
        <w:t>.</w:t>
      </w:r>
    </w:p>
    <w:p w:rsidR="00291921" w:rsidRDefault="00291921" w:rsidP="00291921">
      <w:pPr>
        <w:pStyle w:val="Heading3"/>
      </w:pPr>
      <w:r>
        <w:t>Jurisdiction approaches to the significance test</w:t>
      </w:r>
    </w:p>
    <w:p w:rsidR="00390C10" w:rsidRDefault="00390C10" w:rsidP="00732A9F">
      <w:pPr>
        <w:pStyle w:val="BodyText"/>
      </w:pPr>
      <w:r>
        <w:t>The majority of Australian jurisdictions provide guidance on indicative impacts that are likely to be deemed significant and hence require a RIS</w:t>
      </w:r>
      <w:r w:rsidR="00DE6956">
        <w:t xml:space="preserve">. As an example, </w:t>
      </w:r>
      <w:r>
        <w:t>box </w:t>
      </w:r>
      <w:r w:rsidR="00145E51">
        <w:t>4.1</w:t>
      </w:r>
      <w:r w:rsidR="00DE6956">
        <w:t xml:space="preserve"> draws on the Victorian guidance material.</w:t>
      </w:r>
    </w:p>
    <w:p w:rsidR="00F24593" w:rsidRDefault="00F24593" w:rsidP="00F24593">
      <w:pPr>
        <w:pStyle w:val="BodyText"/>
      </w:pPr>
      <w:r>
        <w:t xml:space="preserve">Victoria has also provided guidelines on interpreting significant impacts for the purposes of the </w:t>
      </w:r>
      <w:r>
        <w:rPr>
          <w:i/>
        </w:rPr>
        <w:t>Subordinate Legislation Act 1992</w:t>
      </w:r>
      <w:r>
        <w:t xml:space="preserve"> (Vic):</w:t>
      </w:r>
    </w:p>
    <w:p w:rsidR="00F24593" w:rsidRDefault="00F24593" w:rsidP="00F24593">
      <w:pPr>
        <w:pStyle w:val="Quote"/>
      </w:pPr>
      <w:r>
        <w:t xml:space="preserve">In general, if the preliminary and indicative analysis suggests the measurable social and/or economic costs to any sector of the public (including costs to the Victorian community as a whole) are greater than $500 000 per year, compared with the relevant base case, then there is likely to be a significant burden. (Victorian </w:t>
      </w:r>
      <w:r w:rsidRPr="0020547D">
        <w:t>Department of Treasury and Finance</w:t>
      </w:r>
      <w:r>
        <w:t xml:space="preserve"> </w:t>
      </w:r>
      <w:proofErr w:type="spellStart"/>
      <w:r>
        <w:t>2011b</w:t>
      </w:r>
      <w:proofErr w:type="spellEnd"/>
      <w:r>
        <w:t>, p. 77)</w:t>
      </w:r>
    </w:p>
    <w:p w:rsidR="00501F10" w:rsidRDefault="00501F10" w:rsidP="00501F1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01F10" w:rsidTr="0018294C">
        <w:tc>
          <w:tcPr>
            <w:tcW w:w="8771" w:type="dxa"/>
            <w:tcBorders>
              <w:top w:val="single" w:sz="6" w:space="0" w:color="auto"/>
              <w:bottom w:val="nil"/>
            </w:tcBorders>
          </w:tcPr>
          <w:p w:rsidR="00501F10" w:rsidRDefault="00501F10" w:rsidP="0018294C">
            <w:pPr>
              <w:pStyle w:val="BoxTitle"/>
            </w:pPr>
            <w:r>
              <w:rPr>
                <w:b w:val="0"/>
              </w:rPr>
              <w:t xml:space="preserve">Box </w:t>
            </w:r>
            <w:bookmarkStart w:id="13" w:name="OLE_LINK10"/>
            <w:r w:rsidR="00145E51">
              <w:rPr>
                <w:b w:val="0"/>
              </w:rPr>
              <w:t>4.</w:t>
            </w:r>
            <w:r w:rsidR="009445FF">
              <w:rPr>
                <w:b w:val="0"/>
                <w:noProof/>
              </w:rPr>
              <w:t>1</w:t>
            </w:r>
            <w:bookmarkEnd w:id="13"/>
            <w:r>
              <w:tab/>
              <w:t>What is meant by ‘significance of impacts’?</w:t>
            </w:r>
          </w:p>
        </w:tc>
      </w:tr>
      <w:tr w:rsidR="00501F10" w:rsidTr="0018294C">
        <w:trPr>
          <w:cantSplit/>
        </w:trPr>
        <w:tc>
          <w:tcPr>
            <w:tcW w:w="8771" w:type="dxa"/>
            <w:tcBorders>
              <w:top w:val="nil"/>
              <w:left w:val="single" w:sz="6" w:space="0" w:color="auto"/>
              <w:bottom w:val="nil"/>
              <w:right w:val="single" w:sz="6" w:space="0" w:color="auto"/>
            </w:tcBorders>
          </w:tcPr>
          <w:p w:rsidR="00501F10" w:rsidRDefault="00501F10" w:rsidP="0018294C">
            <w:pPr>
              <w:pStyle w:val="Box"/>
            </w:pPr>
            <w:r>
              <w:t>Significance has two aspects, breadth and depth:</w:t>
            </w:r>
          </w:p>
          <w:p w:rsidR="00501F10" w:rsidRDefault="00501F10" w:rsidP="0018294C">
            <w:pPr>
              <w:pStyle w:val="BoxListBullet"/>
            </w:pPr>
            <w:r>
              <w:t xml:space="preserve">Breadth </w:t>
            </w:r>
            <w:r w:rsidR="002F432A">
              <w:t xml:space="preserve">— </w:t>
            </w:r>
            <w:r>
              <w:t xml:space="preserve">A regulatory proposal may be considered to impose significant impacts if it impacts on a wide range of </w:t>
            </w:r>
            <w:r w:rsidR="00CE50B0">
              <w:t xml:space="preserve">activities in </w:t>
            </w:r>
            <w:r>
              <w:t>the economy</w:t>
            </w:r>
          </w:p>
          <w:p w:rsidR="00501F10" w:rsidRDefault="00501F10" w:rsidP="0018294C">
            <w:pPr>
              <w:pStyle w:val="BoxListBullet"/>
            </w:pPr>
            <w:r>
              <w:t xml:space="preserve">Depth </w:t>
            </w:r>
            <w:r w:rsidR="002F432A">
              <w:t xml:space="preserve">— </w:t>
            </w:r>
            <w:r>
              <w:t>A regulatory proposal may be considered to impose significant impacts even if it affects only one industry (or even one part of the industry), if the impacts are profound.</w:t>
            </w:r>
          </w:p>
          <w:p w:rsidR="00501F10" w:rsidRDefault="00501F10" w:rsidP="0018294C">
            <w:pPr>
              <w:pStyle w:val="Box"/>
            </w:pPr>
            <w:r>
              <w:t>Most Australian jurisdictions provide detailed guidance on determining whether impacts are likely to be significant. For example in Victoria, the types of impacts that are likely to be significant require an element of judgment, however the guidebook states:</w:t>
            </w:r>
          </w:p>
          <w:p w:rsidR="00501F10" w:rsidRDefault="00501F10" w:rsidP="0018294C">
            <w:pPr>
              <w:pStyle w:val="BoxQuote"/>
            </w:pPr>
            <w:r>
              <w:t>If the legislative proposal will alter the way the activities of a business, or group of businesses are undertaken, then a significant impact may exist. Consideration should also be given to the size of the sector affected by the proposed measure, whether the proposal will impose any restrictions on entry into, or exit out of, the affected industry, and the change in regulatory burden that would result if the proposed measure were introduced.</w:t>
            </w:r>
          </w:p>
          <w:p w:rsidR="00501F10" w:rsidRDefault="00501F10" w:rsidP="0018294C">
            <w:pPr>
              <w:pStyle w:val="BoxQuote"/>
            </w:pPr>
            <w:r>
              <w:t>The definition of ‘significant effects’ on business and/or competition includes situations where the legislative proposal is likely to produce one or more of the following effects:</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affect a significant number of businesses;</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have a concentrated effect on a particular group, region or industry;</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have a large aggregate impact on the Victorian economy;</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create a disincentive to private investment;</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add significantly to business costs;</w:t>
            </w:r>
          </w:p>
          <w:p w:rsidR="00501F10" w:rsidRDefault="00501F10" w:rsidP="0018294C">
            <w:pPr>
              <w:pStyle w:val="BoxQuote"/>
            </w:pPr>
            <w:r>
              <w:rPr>
                <w:rFonts w:ascii="SymbolMT" w:hAnsi="SymbolMT" w:cs="SymbolMT"/>
              </w:rPr>
              <w:sym w:font="Wingdings" w:char="F09F"/>
            </w:r>
            <w:r w:rsidR="009D1E3B">
              <w:rPr>
                <w:rFonts w:ascii="SymbolMT" w:hAnsi="SymbolMT" w:cs="SymbolMT"/>
              </w:rPr>
              <w:t xml:space="preserve"> </w:t>
            </w:r>
            <w:r>
              <w:t>place Victorian businesses at a competitive disadvantage with interstate and overseas</w:t>
            </w:r>
            <w:r w:rsidR="00F7368E">
              <w:br/>
              <w:t xml:space="preserve">  </w:t>
            </w:r>
            <w:r>
              <w:t xml:space="preserve"> competitors;</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impact disproportionately on the prospects for small businesses;</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impose restrictions on firms entering or exiting a market;</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introduce controls that reduce the number of participants in a market (e.g. because cost</w:t>
            </w:r>
            <w:r w:rsidR="00F7368E">
              <w:br/>
              <w:t xml:space="preserve">  </w:t>
            </w:r>
            <w:r>
              <w:t xml:space="preserve"> imposts are large enough to result in a significant contraction in the number of</w:t>
            </w:r>
            <w:r w:rsidR="00F7368E">
              <w:br/>
              <w:t xml:space="preserve">  </w:t>
            </w:r>
            <w:r>
              <w:t xml:space="preserve"> businesses);</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affect the ability of businesses to innovate, adopt new technology, or respond to the</w:t>
            </w:r>
            <w:r w:rsidR="00F7368E">
              <w:br/>
              <w:t xml:space="preserve">  </w:t>
            </w:r>
            <w:r>
              <w:t xml:space="preserve"> changing demands of consumers;</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impose higher costs on a particular class of business or type of products or services (e.g.</w:t>
            </w:r>
            <w:r w:rsidR="00F7368E">
              <w:br/>
              <w:t xml:space="preserve"> </w:t>
            </w:r>
            <w:r>
              <w:t xml:space="preserve"> flat rate fees impose a proportionally higher burden on small business);</w:t>
            </w:r>
          </w:p>
          <w:p w:rsidR="00501F10" w:rsidRDefault="00501F10" w:rsidP="0018294C">
            <w:pPr>
              <w:pStyle w:val="BoxQuote"/>
            </w:pPr>
            <w:r>
              <w:rPr>
                <w:rFonts w:ascii="SymbolMT" w:hAnsi="SymbolMT" w:cs="SymbolMT"/>
              </w:rPr>
              <w:sym w:font="Wingdings" w:char="F09F"/>
            </w:r>
            <w:r>
              <w:rPr>
                <w:rFonts w:ascii="SymbolMT" w:hAnsi="SymbolMT" w:cs="SymbolMT"/>
              </w:rPr>
              <w:t xml:space="preserve"> </w:t>
            </w:r>
            <w:r>
              <w:t>lock consumers into particular service providers, or make it more difficult for them to move</w:t>
            </w:r>
            <w:r w:rsidR="00F7368E">
              <w:br/>
              <w:t xml:space="preserve"> </w:t>
            </w:r>
            <w:r>
              <w:t xml:space="preserve"> between service providers; and/or</w:t>
            </w:r>
          </w:p>
          <w:p w:rsidR="00501F10" w:rsidRDefault="00501F10" w:rsidP="005423A7">
            <w:pPr>
              <w:pStyle w:val="BoxQuote"/>
            </w:pPr>
            <w:r>
              <w:rPr>
                <w:rFonts w:ascii="SymbolMT" w:hAnsi="SymbolMT" w:cs="SymbolMT"/>
              </w:rPr>
              <w:sym w:font="Wingdings" w:char="F09F"/>
            </w:r>
            <w:r>
              <w:rPr>
                <w:rFonts w:ascii="SymbolMT" w:hAnsi="SymbolMT" w:cs="SymbolMT"/>
              </w:rPr>
              <w:t xml:space="preserve"> </w:t>
            </w:r>
            <w:r>
              <w:t>impose restrictions that reduce the range or price or service quality options that are</w:t>
            </w:r>
            <w:r w:rsidR="005423A7">
              <w:br/>
            </w:r>
            <w:r w:rsidR="00F7368E">
              <w:t xml:space="preserve"> </w:t>
            </w:r>
            <w:r>
              <w:t xml:space="preserve"> provided in the marketplace. (Victorian </w:t>
            </w:r>
            <w:r w:rsidR="00E23255" w:rsidRPr="0020547D">
              <w:t>Department of Treasury and Finance</w:t>
            </w:r>
            <w:r w:rsidR="005423A7">
              <w:t xml:space="preserve"> </w:t>
            </w:r>
            <w:r w:rsidR="00F7368E">
              <w:br/>
              <w:t xml:space="preserve"> </w:t>
            </w:r>
            <w:r w:rsidR="00E23255">
              <w:t xml:space="preserve"> </w:t>
            </w:r>
            <w:proofErr w:type="spellStart"/>
            <w:r w:rsidR="00E23255">
              <w:t>2011a</w:t>
            </w:r>
            <w:proofErr w:type="spellEnd"/>
            <w:r w:rsidR="00E23255">
              <w:t>, pp. 37</w:t>
            </w:r>
            <w:r w:rsidR="00E23255">
              <w:noBreakHyphen/>
            </w:r>
            <w:r>
              <w:t>8)</w:t>
            </w:r>
          </w:p>
        </w:tc>
      </w:tr>
      <w:tr w:rsidR="00501F10" w:rsidTr="0018294C">
        <w:trPr>
          <w:cantSplit/>
        </w:trPr>
        <w:tc>
          <w:tcPr>
            <w:tcW w:w="8771" w:type="dxa"/>
            <w:tcBorders>
              <w:top w:val="nil"/>
              <w:left w:val="single" w:sz="6" w:space="0" w:color="auto"/>
              <w:bottom w:val="single" w:sz="6" w:space="0" w:color="auto"/>
              <w:right w:val="single" w:sz="6" w:space="0" w:color="auto"/>
            </w:tcBorders>
          </w:tcPr>
          <w:p w:rsidR="00501F10" w:rsidRDefault="00501F10" w:rsidP="0018294C">
            <w:pPr>
              <w:pStyle w:val="Box"/>
              <w:spacing w:before="0" w:line="120" w:lineRule="exact"/>
            </w:pPr>
          </w:p>
        </w:tc>
      </w:tr>
      <w:tr w:rsidR="00501F10" w:rsidTr="0018294C">
        <w:tc>
          <w:tcPr>
            <w:tcW w:w="8771" w:type="dxa"/>
            <w:tcBorders>
              <w:top w:val="nil"/>
              <w:left w:val="nil"/>
              <w:bottom w:val="nil"/>
              <w:right w:val="nil"/>
            </w:tcBorders>
          </w:tcPr>
          <w:p w:rsidR="00501F10" w:rsidRDefault="00501F10" w:rsidP="0018294C">
            <w:pPr>
              <w:pStyle w:val="Box"/>
              <w:keepNext w:val="0"/>
              <w:spacing w:before="60" w:after="60" w:line="80" w:lineRule="exact"/>
              <w:rPr>
                <w:b/>
                <w:color w:val="FF00FF"/>
                <w:sz w:val="14"/>
              </w:rPr>
            </w:pPr>
          </w:p>
        </w:tc>
      </w:tr>
    </w:tbl>
    <w:p w:rsidR="008A173C" w:rsidRDefault="002F432A" w:rsidP="008A173C">
      <w:pPr>
        <w:pStyle w:val="BodyText"/>
      </w:pPr>
      <w:r>
        <w:t>As in Victoria, s</w:t>
      </w:r>
      <w:r w:rsidR="008A173C" w:rsidRPr="009D52B5">
        <w:t xml:space="preserve">everal OECD countries also use monetary thresholds as a rule of thumb for determining significance, usually in conjunction with other criteria. A risk associated with relying on such thresholds is that the proposal proponents may </w:t>
      </w:r>
      <w:r w:rsidR="008A173C" w:rsidRPr="009D52B5">
        <w:lastRenderedPageBreak/>
        <w:t xml:space="preserve">have an incentive to understate impacts so that they </w:t>
      </w:r>
      <w:r w:rsidR="008A173C">
        <w:t>fall below</w:t>
      </w:r>
      <w:r w:rsidR="008A173C" w:rsidRPr="009D52B5">
        <w:t xml:space="preserve"> the threshold or </w:t>
      </w:r>
      <w:r w:rsidR="008A173C">
        <w:t xml:space="preserve">to </w:t>
      </w:r>
      <w:r w:rsidR="008A173C" w:rsidRPr="009D52B5">
        <w:t>separate several related proposals in such a way as to avoid triggering the requirements.</w:t>
      </w:r>
    </w:p>
    <w:p w:rsidR="00350386" w:rsidRDefault="00350386" w:rsidP="00350386">
      <w:pPr>
        <w:pStyle w:val="BodyText"/>
      </w:pPr>
      <w:r>
        <w:t>In practice, data constraints may render such a threshold impractical to implement</w:t>
      </w:r>
      <w:r w:rsidRPr="009D52B5">
        <w:t>.</w:t>
      </w:r>
      <w:r>
        <w:t xml:space="preserve"> Around 60 per cent</w:t>
      </w:r>
      <w:r w:rsidRPr="005207E0">
        <w:t xml:space="preserve"> of respondents to the Commission’s survey of agencies stated that a key challenge of the RIA process is the lack of available quantitative data (PC</w:t>
      </w:r>
      <w:r w:rsidR="007729A7">
        <w:t> </w:t>
      </w:r>
      <w:r>
        <w:t>RIA Survey 2012)</w:t>
      </w:r>
      <w:r w:rsidRPr="005207E0">
        <w:t xml:space="preserve">. </w:t>
      </w:r>
      <w:r w:rsidRPr="009D52B5">
        <w:t>Thus, whil</w:t>
      </w:r>
      <w:r>
        <w:t>e</w:t>
      </w:r>
      <w:r w:rsidRPr="009D52B5">
        <w:t xml:space="preserve"> monetary thresholds may have a use in providing broad orders of magnitude, they are unlikely to be useful as a prescriptive threshold for determining significance.</w:t>
      </w:r>
      <w:r>
        <w:t xml:space="preserve"> </w:t>
      </w:r>
      <w:r w:rsidR="00A34086">
        <w:t>Officers undertaking RIA in the Victorian transport portfolio</w:t>
      </w:r>
      <w:r>
        <w:t xml:space="preserve"> considered that the monetary trigger in Victoria is appropriate, but nevertheless cautioned:</w:t>
      </w:r>
    </w:p>
    <w:p w:rsidR="00350386" w:rsidRPr="006102AA" w:rsidRDefault="00350386" w:rsidP="00350386">
      <w:pPr>
        <w:pStyle w:val="Quote"/>
      </w:pPr>
      <w:r w:rsidRPr="00293CC1">
        <w:t xml:space="preserve">The temptation in the past has been to try and specify triggers that are so matter of fact that it is easy to determine whether a RIA is necessary. However, attempts have tended to result in extreme outcomes </w:t>
      </w:r>
      <w:proofErr w:type="spellStart"/>
      <w:r w:rsidRPr="00293CC1">
        <w:t>ie</w:t>
      </w:r>
      <w:proofErr w:type="spellEnd"/>
      <w:r w:rsidRPr="00293CC1">
        <w:t xml:space="preserve"> either everything requires a RIA or only the most significant changes requires a RIA.</w:t>
      </w:r>
      <w:r>
        <w:t xml:space="preserve"> (sub. 17, p. 7)</w:t>
      </w:r>
    </w:p>
    <w:p w:rsidR="0082663A" w:rsidRDefault="008B46F8" w:rsidP="0082663A">
      <w:pPr>
        <w:pStyle w:val="BodyText"/>
      </w:pPr>
      <w:r>
        <w:t>More generally, s</w:t>
      </w:r>
      <w:r w:rsidR="00A34086">
        <w:t>takeholders</w:t>
      </w:r>
      <w:r w:rsidR="00501F10">
        <w:t xml:space="preserve"> expressed concern regarding the inherent subjectivity of a significance of impacts test</w:t>
      </w:r>
      <w:r w:rsidR="00E97951">
        <w:t>, and called for more guidance to be provided (box </w:t>
      </w:r>
      <w:r w:rsidR="00675510">
        <w:t>4.2</w:t>
      </w:r>
      <w:r w:rsidR="00E97951">
        <w:t>).</w:t>
      </w:r>
      <w:r w:rsidR="0082663A">
        <w:t xml:space="preserve"> As a consequence of the subjectivity in determining the significance of impacts, there have been instances where stakeholders have felt that a RIS was warranted but none was prepared (box 4.3). On the other hand, several agencies advised the Commission that RISs had, on occasion, been required for proposals without significant impacts. Similarly, the Centre for International Economics stated that:</w:t>
      </w:r>
    </w:p>
    <w:p w:rsidR="0082663A" w:rsidRDefault="0082663A" w:rsidP="0082663A">
      <w:pPr>
        <w:pStyle w:val="Quote"/>
      </w:pPr>
      <w:r>
        <w:t>… full RISs are often required for proposed regulatory changes which do not target significant economic problems. (sub. 14, p. 7)</w:t>
      </w:r>
    </w:p>
    <w:p w:rsidR="00F24593" w:rsidRDefault="00F24593" w:rsidP="00F24593">
      <w:pPr>
        <w:pStyle w:val="BodyText"/>
      </w:pPr>
      <w:r>
        <w:t xml:space="preserve">Notwithstanding the concerns surrounding the subjectivity of a significance test, the Commission considers that such tests are broadly appropriate, but could be improved. To reduce subjectivity in assessing proposals, jurisdictions could consider introducing more detailed guidance on likely impacts. Examples of proposals that have both significant and ‘insignificant’ impacts in guidance material would help proponent agencies to determine the impacts of specific proposals and help ensure that </w:t>
      </w:r>
      <w:proofErr w:type="spellStart"/>
      <w:r>
        <w:t>RISs</w:t>
      </w:r>
      <w:proofErr w:type="spellEnd"/>
      <w:r>
        <w:t xml:space="preserve"> are undertaken when appropriate.</w:t>
      </w:r>
    </w:p>
    <w:p w:rsidR="00F24593" w:rsidRDefault="00F24593" w:rsidP="00F24593">
      <w:pPr>
        <w:pStyle w:val="BodyText"/>
      </w:pPr>
      <w:r w:rsidRPr="00595730">
        <w:t>Alternatively, jurisdictions could consider beginning with the presumption that a regulatory proposal is likely to have significant impacts and therefore require</w:t>
      </w:r>
      <w:r>
        <w:t>s</w:t>
      </w:r>
      <w:r w:rsidRPr="00595730">
        <w:t xml:space="preserve"> a RIS. Such an approach has been adopted in New South Wales and Victoria for subordinate legislation and necessitates that the proposing agency demonstrate that no RIS is needed because either an exception applies (chapter 5) or impacts are not significant. This presumption allows for a better integration of the RIA process into </w:t>
      </w:r>
      <w:r w:rsidRPr="00595730">
        <w:lastRenderedPageBreak/>
        <w:t xml:space="preserve">agency culture as agencies are forced to consider the relative level of impacts of </w:t>
      </w:r>
      <w:r w:rsidRPr="00595730">
        <w:rPr>
          <w:i/>
        </w:rPr>
        <w:t>all</w:t>
      </w:r>
      <w:r w:rsidRPr="00595730">
        <w:t xml:space="preserve"> regulatory proposals (chapter 10).</w:t>
      </w:r>
      <w:r w:rsidRPr="0082663A">
        <w:t xml:space="preserve"> </w:t>
      </w:r>
    </w:p>
    <w:p w:rsidR="007508BC" w:rsidRPr="00021B12" w:rsidRDefault="007508BC" w:rsidP="00021B1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508BC">
        <w:tc>
          <w:tcPr>
            <w:tcW w:w="8771" w:type="dxa"/>
            <w:tcBorders>
              <w:top w:val="single" w:sz="6" w:space="0" w:color="auto"/>
              <w:bottom w:val="nil"/>
            </w:tcBorders>
          </w:tcPr>
          <w:p w:rsidR="007508BC" w:rsidRDefault="007508BC" w:rsidP="009D1E3B">
            <w:pPr>
              <w:pStyle w:val="BoxTitle"/>
            </w:pPr>
            <w:r>
              <w:rPr>
                <w:b w:val="0"/>
              </w:rPr>
              <w:t xml:space="preserve">Box </w:t>
            </w:r>
            <w:r w:rsidR="000E56B2">
              <w:rPr>
                <w:b w:val="0"/>
              </w:rPr>
              <w:t>4.</w:t>
            </w:r>
            <w:r w:rsidR="009445FF">
              <w:rPr>
                <w:b w:val="0"/>
                <w:noProof/>
              </w:rPr>
              <w:t>2</w:t>
            </w:r>
            <w:r>
              <w:tab/>
              <w:t xml:space="preserve">Stakeholder views </w:t>
            </w:r>
            <w:r w:rsidR="009D1E3B">
              <w:t>on</w:t>
            </w:r>
            <w:r>
              <w:t xml:space="preserve"> a ‘significance of impacts’ test</w:t>
            </w:r>
            <w:r w:rsidR="009D1E3B">
              <w:t>s</w:t>
            </w:r>
          </w:p>
        </w:tc>
      </w:tr>
      <w:tr w:rsidR="007508BC">
        <w:trPr>
          <w:cantSplit/>
        </w:trPr>
        <w:tc>
          <w:tcPr>
            <w:tcW w:w="8771" w:type="dxa"/>
            <w:tcBorders>
              <w:top w:val="nil"/>
              <w:left w:val="single" w:sz="6" w:space="0" w:color="auto"/>
              <w:bottom w:val="nil"/>
              <w:right w:val="single" w:sz="6" w:space="0" w:color="auto"/>
            </w:tcBorders>
          </w:tcPr>
          <w:p w:rsidR="007508BC" w:rsidRPr="00675510" w:rsidRDefault="007508BC" w:rsidP="007508BC">
            <w:pPr>
              <w:pStyle w:val="Box"/>
            </w:pPr>
            <w:r w:rsidRPr="00675510">
              <w:t>Tasmanian Parliamentary Standing Committee on Subordinate Legislation</w:t>
            </w:r>
            <w:r>
              <w:t>:</w:t>
            </w:r>
            <w:r w:rsidRPr="00675510">
              <w:t xml:space="preserve"> </w:t>
            </w:r>
          </w:p>
          <w:p w:rsidR="007508BC" w:rsidRDefault="007508BC" w:rsidP="007508BC">
            <w:pPr>
              <w:pStyle w:val="BoxQuote"/>
              <w:rPr>
                <w:lang w:val="en-US"/>
              </w:rPr>
            </w:pPr>
            <w:r w:rsidRPr="00837AAD">
              <w:rPr>
                <w:lang w:val="en-US"/>
              </w:rPr>
              <w:t>It is not clear what tests are applied to determine the significance of any impact, but it does seem that the assessments made are subjective.</w:t>
            </w:r>
            <w:r w:rsidRPr="00675510">
              <w:t xml:space="preserve"> </w:t>
            </w:r>
            <w:r>
              <w:t>(</w:t>
            </w:r>
            <w:r w:rsidRPr="00675510">
              <w:t>sub. 3, p.</w:t>
            </w:r>
            <w:r>
              <w:t> </w:t>
            </w:r>
            <w:r w:rsidRPr="00675510">
              <w:t>2</w:t>
            </w:r>
            <w:r>
              <w:t>)</w:t>
            </w:r>
          </w:p>
          <w:p w:rsidR="007508BC" w:rsidRPr="00675510" w:rsidRDefault="007508BC" w:rsidP="007508BC">
            <w:pPr>
              <w:pStyle w:val="Box"/>
              <w:rPr>
                <w:lang w:val="en-US"/>
              </w:rPr>
            </w:pPr>
            <w:r>
              <w:t>Australian Logistics Council:</w:t>
            </w:r>
          </w:p>
          <w:p w:rsidR="007508BC" w:rsidRDefault="007508BC" w:rsidP="007508BC">
            <w:pPr>
              <w:pStyle w:val="BoxQuote"/>
            </w:pPr>
            <w:r>
              <w:t>…</w:t>
            </w:r>
            <w:r w:rsidR="00363F70">
              <w:t xml:space="preserve"> </w:t>
            </w:r>
            <w:r>
              <w:t>what constitutes a ‘minor’ or ‘machinery’ amendment to regulation is a question of fact and degree. In many circumstances, what is regarded as a ‘minor’ change can have significant effect on business and flow-on effects on the supply chain. (sub. 10, p. 1)</w:t>
            </w:r>
          </w:p>
          <w:p w:rsidR="007508BC" w:rsidRDefault="007508BC" w:rsidP="007508BC">
            <w:pPr>
              <w:pStyle w:val="Box"/>
            </w:pPr>
            <w:r>
              <w:t>Department of Environment and Conservation (WA):</w:t>
            </w:r>
          </w:p>
          <w:p w:rsidR="007508BC" w:rsidRDefault="007508BC" w:rsidP="007508BC">
            <w:pPr>
              <w:pStyle w:val="BoxQuote"/>
            </w:pPr>
            <w:r>
              <w:t>There is insufficient guidance as to the level of impact at which higher level RIA processes (such as the requirement for a RIS) are triggered</w:t>
            </w:r>
            <w:r w:rsidR="00363F70">
              <w:t xml:space="preserve"> </w:t>
            </w:r>
            <w:r>
              <w:t>… As a result, there are concerns that any negative impact will require a RIS, rather than this being limited to significant impacts … the process would benefit from clear guidelines on the types of impacts that would trigger the requirement for a RIS (for example, indications of the proportion of impacted businesses in a given region, and the financial scale of the impact on businesses or consumers). (WA State Government, sub. 24, attachment 3, p. 2)</w:t>
            </w:r>
          </w:p>
        </w:tc>
      </w:tr>
      <w:tr w:rsidR="007508BC">
        <w:trPr>
          <w:cantSplit/>
        </w:trPr>
        <w:tc>
          <w:tcPr>
            <w:tcW w:w="8771" w:type="dxa"/>
            <w:tcBorders>
              <w:top w:val="nil"/>
              <w:left w:val="single" w:sz="6" w:space="0" w:color="auto"/>
              <w:bottom w:val="single" w:sz="6" w:space="0" w:color="auto"/>
              <w:right w:val="single" w:sz="6" w:space="0" w:color="auto"/>
            </w:tcBorders>
          </w:tcPr>
          <w:p w:rsidR="007508BC" w:rsidRDefault="007508BC">
            <w:pPr>
              <w:pStyle w:val="Box"/>
              <w:spacing w:before="0" w:line="120" w:lineRule="exact"/>
            </w:pPr>
          </w:p>
        </w:tc>
      </w:tr>
      <w:tr w:rsidR="007508BC">
        <w:tc>
          <w:tcPr>
            <w:tcW w:w="8771" w:type="dxa"/>
            <w:tcBorders>
              <w:top w:val="nil"/>
              <w:left w:val="nil"/>
              <w:bottom w:val="nil"/>
              <w:right w:val="nil"/>
            </w:tcBorders>
          </w:tcPr>
          <w:p w:rsidR="007508BC" w:rsidRDefault="007508BC" w:rsidP="002F432A">
            <w:pPr>
              <w:pStyle w:val="Box"/>
              <w:keepNext w:val="0"/>
              <w:spacing w:before="0" w:after="60" w:line="40" w:lineRule="exact"/>
              <w:rPr>
                <w:b/>
                <w:color w:val="FF00FF"/>
                <w:sz w:val="14"/>
              </w:rPr>
            </w:pPr>
          </w:p>
        </w:tc>
      </w:tr>
    </w:tbl>
    <w:p w:rsidR="0082663A" w:rsidRDefault="0082663A" w:rsidP="0082663A">
      <w:pPr>
        <w:pStyle w:val="BodyText"/>
      </w:pPr>
      <w:r w:rsidRPr="00595730">
        <w:t xml:space="preserve">Nevertheless, moving to such an approach is not costless for agencies. If resources required to analyse a regulatory proposal were higher </w:t>
      </w:r>
      <w:r>
        <w:t>than</w:t>
      </w:r>
      <w:r w:rsidRPr="00595730">
        <w:t xml:space="preserve"> that proposal’s impacts, then this would create an unnecessary regulatory burden for agencies and negate the overall net benefit of the proposal to the community. Thus, the Commission has advocated the use of a streamlined preliminary impact assessment process (see discussion below) to assess the likely impacts of regulatory proposals, to help avoid an increase in unnecessary regulatory burdens.</w:t>
      </w:r>
    </w:p>
    <w:p w:rsidR="00F24593" w:rsidRDefault="00F24593" w:rsidP="00F24593">
      <w:pPr>
        <w:pStyle w:val="FindingTitle"/>
        <w:framePr w:wrap="auto"/>
      </w:pPr>
      <w:r>
        <w:t>leading practice 4.</w:t>
      </w:r>
      <w:r w:rsidR="009445FF">
        <w:rPr>
          <w:noProof/>
        </w:rPr>
        <w:t>2</w:t>
      </w:r>
    </w:p>
    <w:p w:rsidR="00F24593" w:rsidRPr="002F432A" w:rsidRDefault="00F24593" w:rsidP="00F24593">
      <w:pPr>
        <w:pStyle w:val="Finding"/>
        <w:rPr>
          <w:b/>
        </w:rPr>
      </w:pPr>
      <w:r w:rsidRPr="002F432A">
        <w:rPr>
          <w:b/>
        </w:rPr>
        <w:t>To ensure regulations are subject to appropriate scrutiny, the threshold significance test for determining whether a RIS is required should be specified broadly and consider impacts — both positive and negative — on the community or part of the community. To implement this:</w:t>
      </w:r>
    </w:p>
    <w:p w:rsidR="00F24593" w:rsidRPr="002F432A" w:rsidRDefault="00F24593" w:rsidP="00F24593">
      <w:pPr>
        <w:pStyle w:val="FindingBullet"/>
        <w:rPr>
          <w:b/>
        </w:rPr>
      </w:pPr>
      <w:r w:rsidRPr="002F432A">
        <w:rPr>
          <w:b/>
        </w:rPr>
        <w:t>jurisdictions should provide clear guidance to agencies, including a range of specific examples, to assist in determining whether impacts are likely to be significant</w:t>
      </w:r>
    </w:p>
    <w:p w:rsidR="00F24593" w:rsidRPr="002F432A" w:rsidRDefault="00F24593" w:rsidP="00F24593">
      <w:pPr>
        <w:pStyle w:val="FindingBullet"/>
        <w:rPr>
          <w:b/>
        </w:rPr>
      </w:pPr>
      <w:r w:rsidRPr="002F432A">
        <w:rPr>
          <w:b/>
        </w:rPr>
        <w:t>where RIA applies, it should be presumed that a RIS is required (as is currently the case for subordinate legislation in Victoria and New South Wales), unless it can be demonstrated that impacts are likely to be not significant.</w:t>
      </w:r>
    </w:p>
    <w:p w:rsidR="00055C8E" w:rsidRDefault="00055C8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55C8E">
        <w:tc>
          <w:tcPr>
            <w:tcW w:w="8771" w:type="dxa"/>
            <w:tcBorders>
              <w:top w:val="single" w:sz="6" w:space="0" w:color="auto"/>
              <w:bottom w:val="nil"/>
            </w:tcBorders>
          </w:tcPr>
          <w:p w:rsidR="00055C8E" w:rsidRDefault="00055C8E" w:rsidP="00343814">
            <w:pPr>
              <w:pStyle w:val="BoxTitle"/>
            </w:pPr>
            <w:r>
              <w:rPr>
                <w:b w:val="0"/>
              </w:rPr>
              <w:t xml:space="preserve">Box </w:t>
            </w:r>
            <w:bookmarkStart w:id="14" w:name="OLE_LINK4"/>
            <w:r w:rsidR="00675510">
              <w:rPr>
                <w:b w:val="0"/>
              </w:rPr>
              <w:t>4.</w:t>
            </w:r>
            <w:r w:rsidR="009445FF">
              <w:rPr>
                <w:b w:val="0"/>
                <w:noProof/>
              </w:rPr>
              <w:t>3</w:t>
            </w:r>
            <w:bookmarkEnd w:id="14"/>
            <w:r>
              <w:tab/>
            </w:r>
            <w:r w:rsidR="00A34086">
              <w:t xml:space="preserve">Stakeholder </w:t>
            </w:r>
            <w:r>
              <w:t xml:space="preserve">views on proposals </w:t>
            </w:r>
            <w:r w:rsidR="00343814">
              <w:t>introduced</w:t>
            </w:r>
            <w:r>
              <w:t xml:space="preserve"> without RIA or assessed as having minor impacts</w:t>
            </w:r>
          </w:p>
        </w:tc>
      </w:tr>
      <w:tr w:rsidR="00055C8E">
        <w:trPr>
          <w:cantSplit/>
        </w:trPr>
        <w:tc>
          <w:tcPr>
            <w:tcW w:w="8771" w:type="dxa"/>
            <w:tcBorders>
              <w:top w:val="nil"/>
              <w:left w:val="single" w:sz="6" w:space="0" w:color="auto"/>
              <w:bottom w:val="nil"/>
              <w:right w:val="single" w:sz="6" w:space="0" w:color="auto"/>
            </w:tcBorders>
          </w:tcPr>
          <w:p w:rsidR="00055C8E" w:rsidRDefault="00055C8E">
            <w:pPr>
              <w:pStyle w:val="Box"/>
            </w:pPr>
            <w:r>
              <w:t>Austr</w:t>
            </w:r>
            <w:r w:rsidR="00363F70">
              <w:t>alian Food and Grocery Council:</w:t>
            </w:r>
          </w:p>
          <w:p w:rsidR="00055C8E" w:rsidRDefault="00055C8E" w:rsidP="00055C8E">
            <w:pPr>
              <w:pStyle w:val="BoxQuote"/>
            </w:pPr>
            <w:r w:rsidRPr="0068532D">
              <w:t>Menu board labelling in Quick Service Restaurant…The NSW [Food Amendment] Bill was gazetted with unseemly haste at the end of 2010 with very limited stakeholder consultation and with no formal RIA being conducted with stakeholders. Indeed, many businesses only found out about the new regulatory requirement when called to an industry consultation after the Bill was gazetted.</w:t>
            </w:r>
            <w:r w:rsidR="00363F70">
              <w:t xml:space="preserve"> (sub. 5, p. 9)</w:t>
            </w:r>
          </w:p>
          <w:p w:rsidR="00055C8E" w:rsidRDefault="001D2DF4">
            <w:pPr>
              <w:pStyle w:val="Box"/>
            </w:pPr>
            <w:r>
              <w:t>Australian Trucking Asso</w:t>
            </w:r>
            <w:r w:rsidR="00055C8E">
              <w:t>c</w:t>
            </w:r>
            <w:r>
              <w:t>i</w:t>
            </w:r>
            <w:r w:rsidR="00055C8E">
              <w:t>atio</w:t>
            </w:r>
            <w:r w:rsidR="00363F70">
              <w:t>n</w:t>
            </w:r>
            <w:r w:rsidR="00055C8E">
              <w:t>:</w:t>
            </w:r>
          </w:p>
          <w:p w:rsidR="00055C8E" w:rsidRDefault="009D1E3B" w:rsidP="00055C8E">
            <w:pPr>
              <w:pStyle w:val="BoxQuote"/>
            </w:pPr>
            <w:r>
              <w:t>…</w:t>
            </w:r>
            <w:r w:rsidR="00055C8E" w:rsidRPr="00AB2581">
              <w:t xml:space="preserve"> a RIS was not undertaken due to the apparent nature of the changes to the charging system involving only minor and machinery changes. The changes are not minor, as they will have huge impact on operators. </w:t>
            </w:r>
            <w:r w:rsidR="00363F70">
              <w:t>(sub. 23, p. 9)</w:t>
            </w:r>
          </w:p>
          <w:p w:rsidR="001D2DF4" w:rsidRDefault="00363F70" w:rsidP="001D2DF4">
            <w:pPr>
              <w:pStyle w:val="Box"/>
            </w:pPr>
            <w:r>
              <w:t>Accord Australasia</w:t>
            </w:r>
            <w:r w:rsidR="001D2DF4">
              <w:t>:</w:t>
            </w:r>
          </w:p>
          <w:p w:rsidR="00055C8E" w:rsidRDefault="001D2DF4" w:rsidP="001D2DF4">
            <w:pPr>
              <w:pStyle w:val="BoxQuote"/>
            </w:pPr>
            <w:r>
              <w:t xml:space="preserve">Exemptions can be obtained if the matter is a minor administrative or technical matter. It has been Accord’s experience that regulatory agencies are able to successfully argue that matters are minor because of the technical nature within which the legislation is based. Accord has had to raise this issue with OBPR </w:t>
            </w:r>
            <w:r w:rsidR="00997AB0">
              <w:t xml:space="preserve">[Office of Best Practice Regulation] </w:t>
            </w:r>
            <w:r>
              <w:t>on a number of occasions to demonstrate that the changes while appearing to be minor would have had a significant detrimental effect upon industry and as such required a RIS. In some cases we have been successful as the insistence of a RIS has dampened the enthusiasm of the regulator for any such reform at that particular time.</w:t>
            </w:r>
            <w:r w:rsidR="00363F70">
              <w:t xml:space="preserve"> (sub. 26, p. 8)</w:t>
            </w:r>
          </w:p>
        </w:tc>
      </w:tr>
      <w:tr w:rsidR="00055C8E">
        <w:trPr>
          <w:cantSplit/>
        </w:trPr>
        <w:tc>
          <w:tcPr>
            <w:tcW w:w="8771" w:type="dxa"/>
            <w:tcBorders>
              <w:top w:val="nil"/>
              <w:left w:val="single" w:sz="6" w:space="0" w:color="auto"/>
              <w:bottom w:val="nil"/>
              <w:right w:val="single" w:sz="6" w:space="0" w:color="auto"/>
            </w:tcBorders>
          </w:tcPr>
          <w:p w:rsidR="00055C8E" w:rsidRDefault="00055C8E" w:rsidP="006D136A">
            <w:pPr>
              <w:pStyle w:val="BoxSource"/>
              <w:spacing w:before="0" w:line="20" w:lineRule="exact"/>
            </w:pPr>
          </w:p>
        </w:tc>
      </w:tr>
      <w:tr w:rsidR="00055C8E" w:rsidTr="006D136A">
        <w:trPr>
          <w:cantSplit/>
          <w:trHeight w:val="80"/>
        </w:trPr>
        <w:tc>
          <w:tcPr>
            <w:tcW w:w="8771" w:type="dxa"/>
            <w:tcBorders>
              <w:top w:val="nil"/>
              <w:left w:val="single" w:sz="6" w:space="0" w:color="auto"/>
              <w:bottom w:val="single" w:sz="6" w:space="0" w:color="auto"/>
              <w:right w:val="single" w:sz="6" w:space="0" w:color="auto"/>
            </w:tcBorders>
          </w:tcPr>
          <w:p w:rsidR="00055C8E" w:rsidRDefault="00055C8E" w:rsidP="006D136A">
            <w:pPr>
              <w:pStyle w:val="Box"/>
              <w:spacing w:before="0" w:line="120" w:lineRule="exact"/>
            </w:pPr>
          </w:p>
        </w:tc>
      </w:tr>
      <w:tr w:rsidR="00055C8E">
        <w:tc>
          <w:tcPr>
            <w:tcW w:w="8771" w:type="dxa"/>
            <w:tcBorders>
              <w:top w:val="nil"/>
              <w:left w:val="nil"/>
              <w:bottom w:val="nil"/>
              <w:right w:val="nil"/>
            </w:tcBorders>
          </w:tcPr>
          <w:p w:rsidR="00055C8E" w:rsidRDefault="00055C8E" w:rsidP="002F432A">
            <w:pPr>
              <w:pStyle w:val="Box"/>
              <w:keepNext w:val="0"/>
              <w:spacing w:before="60" w:after="60" w:line="40" w:lineRule="exact"/>
              <w:rPr>
                <w:b/>
                <w:color w:val="FF00FF"/>
                <w:sz w:val="14"/>
              </w:rPr>
            </w:pPr>
          </w:p>
        </w:tc>
      </w:tr>
    </w:tbl>
    <w:p w:rsidR="00720092" w:rsidRDefault="00E95AF7" w:rsidP="00720092">
      <w:pPr>
        <w:pStyle w:val="Heading3"/>
      </w:pPr>
      <w:r>
        <w:t>Documentary or other requirements to establish significance</w:t>
      </w:r>
    </w:p>
    <w:p w:rsidR="00FD6642" w:rsidRDefault="00FD6642" w:rsidP="005A6EEA">
      <w:pPr>
        <w:pStyle w:val="BodyText"/>
      </w:pPr>
      <w:r>
        <w:t>A</w:t>
      </w:r>
      <w:r w:rsidR="005724C5">
        <w:t xml:space="preserve"> range of approaches </w:t>
      </w:r>
      <w:r w:rsidR="008F2AE7">
        <w:t>is</w:t>
      </w:r>
      <w:r>
        <w:t xml:space="preserve"> employed for</w:t>
      </w:r>
      <w:r w:rsidR="005724C5">
        <w:t xml:space="preserve"> initial screening of regulatory proposals. In Queensland, Western Australia and the Northern Territory</w:t>
      </w:r>
      <w:r w:rsidR="006D1684">
        <w:t>,</w:t>
      </w:r>
      <w:r w:rsidR="005724C5">
        <w:t xml:space="preserve"> the preliminary screening</w:t>
      </w:r>
      <w:r w:rsidR="00AC7BF0">
        <w:t xml:space="preserve"> of proposals</w:t>
      </w:r>
      <w:r w:rsidR="005724C5">
        <w:t xml:space="preserve"> is undertaken through a formalised preliminary impact assessment (</w:t>
      </w:r>
      <w:proofErr w:type="spellStart"/>
      <w:r w:rsidR="005724C5">
        <w:t>PIA</w:t>
      </w:r>
      <w:proofErr w:type="spellEnd"/>
      <w:r w:rsidR="005724C5">
        <w:t xml:space="preserve">) process. The </w:t>
      </w:r>
      <w:proofErr w:type="spellStart"/>
      <w:r w:rsidR="005724C5">
        <w:t>PIA</w:t>
      </w:r>
      <w:proofErr w:type="spellEnd"/>
      <w:r w:rsidR="005724C5">
        <w:t xml:space="preserve"> process involves</w:t>
      </w:r>
      <w:r w:rsidR="006D1684">
        <w:t>, to varying extent,</w:t>
      </w:r>
      <w:r w:rsidR="008D2BF4">
        <w:t xml:space="preserve"> </w:t>
      </w:r>
      <w:r w:rsidR="005724C5">
        <w:t>documentation of impacts to assess whether</w:t>
      </w:r>
      <w:r w:rsidR="00AC7BF0">
        <w:t xml:space="preserve"> </w:t>
      </w:r>
      <w:r w:rsidR="00A00DA4">
        <w:t>they</w:t>
      </w:r>
      <w:r w:rsidR="005724C5">
        <w:t xml:space="preserve"> are likely to be significant. The </w:t>
      </w:r>
      <w:r w:rsidR="00497792">
        <w:t xml:space="preserve">processes in </w:t>
      </w:r>
      <w:r w:rsidR="005724C5">
        <w:t xml:space="preserve">other jurisdictions </w:t>
      </w:r>
      <w:r w:rsidR="00C455F1">
        <w:t>are</w:t>
      </w:r>
      <w:r w:rsidR="005724C5">
        <w:t xml:space="preserve"> </w:t>
      </w:r>
      <w:r>
        <w:t xml:space="preserve">less formal </w:t>
      </w:r>
      <w:r w:rsidR="00A00DA4">
        <w:t>but often still involve agency provision of information on proposals to the regulatory oversight body</w:t>
      </w:r>
      <w:r>
        <w:t>.</w:t>
      </w:r>
    </w:p>
    <w:p w:rsidR="000E56B2" w:rsidRDefault="000E56B2" w:rsidP="005A6EEA">
      <w:pPr>
        <w:pStyle w:val="BodyText"/>
      </w:pPr>
      <w:r>
        <w:t>In addition to being an aid to establishing whether impacts are likely to be significant</w:t>
      </w:r>
      <w:r w:rsidR="00CC588D">
        <w:t>,</w:t>
      </w:r>
      <w:r>
        <w:t xml:space="preserve"> the </w:t>
      </w:r>
      <w:proofErr w:type="spellStart"/>
      <w:r>
        <w:t>PIA</w:t>
      </w:r>
      <w:proofErr w:type="spellEnd"/>
      <w:r>
        <w:t xml:space="preserve"> may also assist agencies </w:t>
      </w:r>
      <w:r w:rsidR="009D1E3B">
        <w:t>in establishing the need for regulation</w:t>
      </w:r>
      <w:r w:rsidR="009E399D">
        <w:t>.</w:t>
      </w:r>
    </w:p>
    <w:p w:rsidR="00C52129" w:rsidRDefault="00720092" w:rsidP="00400A12">
      <w:pPr>
        <w:pStyle w:val="BodyText"/>
      </w:pPr>
      <w:r>
        <w:t xml:space="preserve">In Western Australia and the Northern Territory, the </w:t>
      </w:r>
      <w:proofErr w:type="spellStart"/>
      <w:r>
        <w:t>PIA</w:t>
      </w:r>
      <w:proofErr w:type="spellEnd"/>
      <w:r>
        <w:t xml:space="preserve"> is submitted to the relevant oversight body which then determines whether impacts are likely to be significant.</w:t>
      </w:r>
      <w:r w:rsidR="00597E3F">
        <w:t xml:space="preserve"> </w:t>
      </w:r>
      <w:r>
        <w:t xml:space="preserve">In Queensland, agencies self-assess </w:t>
      </w:r>
      <w:r w:rsidR="00021B12">
        <w:t>the</w:t>
      </w:r>
      <w:r>
        <w:t xml:space="preserve"> likely </w:t>
      </w:r>
      <w:r w:rsidR="00021B12">
        <w:t>significance of impacts</w:t>
      </w:r>
      <w:r w:rsidR="00D32B42">
        <w:t>, in consultation with the oversight body. I</w:t>
      </w:r>
      <w:r w:rsidR="001C6567">
        <w:t xml:space="preserve">f the oversight body does not agree with the agencies’ </w:t>
      </w:r>
      <w:r w:rsidR="00D32B42">
        <w:t xml:space="preserve">final decision on </w:t>
      </w:r>
      <w:r w:rsidR="001C6567">
        <w:t>self-assessment, it may notify the Treasurer to challen</w:t>
      </w:r>
      <w:r w:rsidR="00400A12">
        <w:t>ge the assessment</w:t>
      </w:r>
      <w:r w:rsidR="00C52129">
        <w:t>.</w:t>
      </w:r>
    </w:p>
    <w:p w:rsidR="00D173A8" w:rsidRDefault="00523602" w:rsidP="00400A12">
      <w:pPr>
        <w:pStyle w:val="BodyText"/>
      </w:pPr>
      <w:r>
        <w:lastRenderedPageBreak/>
        <w:t xml:space="preserve">The extent of documentary evidence required in the </w:t>
      </w:r>
      <w:proofErr w:type="spellStart"/>
      <w:r>
        <w:t>PIA</w:t>
      </w:r>
      <w:proofErr w:type="spellEnd"/>
      <w:r>
        <w:t xml:space="preserve"> differs between the jurisdictions, with processes in Queensland and Northern Territory appearing to be </w:t>
      </w:r>
      <w:r w:rsidRPr="00867F9B">
        <w:t>the most streamlined</w:t>
      </w:r>
      <w:r w:rsidR="00D173A8">
        <w:t xml:space="preserve"> (box 4.4).</w:t>
      </w:r>
    </w:p>
    <w:p w:rsidR="00B919DB" w:rsidRPr="00867F9B" w:rsidRDefault="00B919DB" w:rsidP="00B919D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23602" w:rsidTr="00523602">
        <w:tc>
          <w:tcPr>
            <w:tcW w:w="8771" w:type="dxa"/>
            <w:tcBorders>
              <w:top w:val="single" w:sz="6" w:space="0" w:color="auto"/>
              <w:bottom w:val="nil"/>
            </w:tcBorders>
          </w:tcPr>
          <w:p w:rsidR="00523602" w:rsidRDefault="00523602" w:rsidP="00523602">
            <w:pPr>
              <w:pStyle w:val="BoxTitle"/>
            </w:pPr>
            <w:r>
              <w:rPr>
                <w:b w:val="0"/>
              </w:rPr>
              <w:t xml:space="preserve">Box </w:t>
            </w:r>
            <w:bookmarkStart w:id="15" w:name="OLE_LINK14"/>
            <w:r>
              <w:rPr>
                <w:b w:val="0"/>
              </w:rPr>
              <w:t>4.</w:t>
            </w:r>
            <w:r w:rsidR="009445FF">
              <w:rPr>
                <w:b w:val="0"/>
                <w:noProof/>
              </w:rPr>
              <w:t>4</w:t>
            </w:r>
            <w:bookmarkEnd w:id="15"/>
            <w:r>
              <w:tab/>
              <w:t xml:space="preserve">Elements of the formal </w:t>
            </w:r>
            <w:proofErr w:type="spellStart"/>
            <w:r>
              <w:t>PIA</w:t>
            </w:r>
            <w:proofErr w:type="spellEnd"/>
            <w:r>
              <w:t xml:space="preserve"> processes</w:t>
            </w:r>
          </w:p>
        </w:tc>
      </w:tr>
      <w:tr w:rsidR="00523602" w:rsidTr="00523602">
        <w:trPr>
          <w:cantSplit/>
        </w:trPr>
        <w:tc>
          <w:tcPr>
            <w:tcW w:w="8771" w:type="dxa"/>
            <w:tcBorders>
              <w:top w:val="nil"/>
              <w:left w:val="single" w:sz="6" w:space="0" w:color="auto"/>
              <w:bottom w:val="nil"/>
              <w:right w:val="single" w:sz="6" w:space="0" w:color="auto"/>
            </w:tcBorders>
          </w:tcPr>
          <w:p w:rsidR="00523602" w:rsidRPr="00021B12" w:rsidRDefault="00523602" w:rsidP="00523602">
            <w:pPr>
              <w:pStyle w:val="Box"/>
              <w:rPr>
                <w:b/>
              </w:rPr>
            </w:pPr>
            <w:r w:rsidRPr="00021B12">
              <w:rPr>
                <w:b/>
              </w:rPr>
              <w:t>Queensland</w:t>
            </w:r>
          </w:p>
          <w:p w:rsidR="00523602" w:rsidRDefault="00523602" w:rsidP="00523602">
            <w:pPr>
              <w:pStyle w:val="Box"/>
            </w:pPr>
            <w:r>
              <w:t xml:space="preserve">The </w:t>
            </w:r>
            <w:proofErr w:type="spellStart"/>
            <w:r>
              <w:t>PIA</w:t>
            </w:r>
            <w:proofErr w:type="spellEnd"/>
            <w:r>
              <w:t xml:space="preserve"> is an initial assessment </w:t>
            </w:r>
            <w:r w:rsidR="00010FBB">
              <w:t>requiring</w:t>
            </w:r>
            <w:r>
              <w:t>:</w:t>
            </w:r>
          </w:p>
          <w:p w:rsidR="00523602" w:rsidRDefault="00010FBB" w:rsidP="00523602">
            <w:pPr>
              <w:pStyle w:val="BoxQuote"/>
            </w:pPr>
            <w:r>
              <w:t xml:space="preserve">… </w:t>
            </w:r>
            <w:r w:rsidR="00523602">
              <w:t xml:space="preserve">a brief assessment of the potential economic (including competition), social, environmental and compliance impacts on business, community and government. These impacts should be quantified where possible. The </w:t>
            </w:r>
            <w:proofErr w:type="spellStart"/>
            <w:r w:rsidR="00523602">
              <w:t>PIA</w:t>
            </w:r>
            <w:proofErr w:type="spellEnd"/>
            <w:r w:rsidR="00523602">
              <w:t xml:space="preserve"> must include an estimate of compliance costs unless they are considered to be negligible or trivial. (Queensland Treasury 2010, p. 25)</w:t>
            </w:r>
          </w:p>
          <w:p w:rsidR="00523602" w:rsidRPr="000B7232" w:rsidRDefault="00523602" w:rsidP="00523602">
            <w:pPr>
              <w:pStyle w:val="Box"/>
            </w:pPr>
            <w:r>
              <w:t>The four-page pro</w:t>
            </w:r>
            <w:r w:rsidR="00021B12">
              <w:t xml:space="preserve"> </w:t>
            </w:r>
            <w:r>
              <w:t xml:space="preserve">forma for the </w:t>
            </w:r>
            <w:proofErr w:type="spellStart"/>
            <w:r>
              <w:t>PIA</w:t>
            </w:r>
            <w:proofErr w:type="spellEnd"/>
            <w:r>
              <w:t xml:space="preserve"> requires an outline of: the case for action; the proposal’s objective; options analysis; impact assessment of policy options; the preferred proposal; key stakeholders and consultation; and an overall assessment on whether the impacts are likely to be significant.</w:t>
            </w:r>
          </w:p>
          <w:p w:rsidR="00523602" w:rsidRPr="00021B12" w:rsidRDefault="00523602" w:rsidP="00523602">
            <w:pPr>
              <w:pStyle w:val="Box"/>
              <w:rPr>
                <w:b/>
              </w:rPr>
            </w:pPr>
            <w:r w:rsidRPr="00021B12">
              <w:rPr>
                <w:b/>
              </w:rPr>
              <w:t>Western Australia</w:t>
            </w:r>
          </w:p>
          <w:p w:rsidR="00523602" w:rsidRDefault="00523602" w:rsidP="00523602">
            <w:pPr>
              <w:pStyle w:val="Box"/>
            </w:pPr>
            <w:r>
              <w:t xml:space="preserve">The </w:t>
            </w:r>
            <w:proofErr w:type="spellStart"/>
            <w:r>
              <w:t>PIA</w:t>
            </w:r>
            <w:proofErr w:type="spellEnd"/>
            <w:r>
              <w:t xml:space="preserve"> seeks an early assessment of the costs and other likely impacts to enable determination of a proposal’s likely impacts. The seven page template requires a short description of the proposal and responses to a series of questions on specific elements such as: consideration of small business impacts; whether the proposal relates to a COAG or other intergovernmental agreement; problem identification, objectives and options; consultation; market and competition impacts; and compliance and ‘other’ costs on business, consumers or the Government. Additionally, a </w:t>
            </w:r>
            <w:proofErr w:type="spellStart"/>
            <w:r>
              <w:t>PIA</w:t>
            </w:r>
            <w:proofErr w:type="spellEnd"/>
            <w:r>
              <w:t xml:space="preserve"> is required for an agency to apply for an exception from RIA (chapter 5).</w:t>
            </w:r>
          </w:p>
          <w:p w:rsidR="00523602" w:rsidRPr="00021B12" w:rsidRDefault="00523602" w:rsidP="00523602">
            <w:pPr>
              <w:pStyle w:val="Box"/>
              <w:rPr>
                <w:b/>
              </w:rPr>
            </w:pPr>
            <w:r w:rsidRPr="00021B12">
              <w:rPr>
                <w:b/>
              </w:rPr>
              <w:t>Northern Territory</w:t>
            </w:r>
          </w:p>
          <w:p w:rsidR="00523602" w:rsidRDefault="00523602" w:rsidP="00846F88">
            <w:pPr>
              <w:pStyle w:val="Box"/>
            </w:pPr>
            <w:r>
              <w:t xml:space="preserve">The </w:t>
            </w:r>
            <w:proofErr w:type="spellStart"/>
            <w:r>
              <w:t>PIA</w:t>
            </w:r>
            <w:proofErr w:type="spellEnd"/>
            <w:r>
              <w:t xml:space="preserve"> is used to establish whether the proposal is likely to impact significantly on the community, and </w:t>
            </w:r>
            <w:r w:rsidR="00846F88">
              <w:t xml:space="preserve">therefore whether a full RIS </w:t>
            </w:r>
            <w:r>
              <w:t xml:space="preserve">is warranted. </w:t>
            </w:r>
            <w:r w:rsidR="00846F88">
              <w:t>‘[A] secondary function of the [</w:t>
            </w:r>
            <w:proofErr w:type="spellStart"/>
            <w:r w:rsidR="00846F88">
              <w:t>PIA</w:t>
            </w:r>
            <w:proofErr w:type="spellEnd"/>
            <w:r w:rsidR="00846F88">
              <w:t xml:space="preserve">] process is for early policy consideration to take place’ (Northern Territory Department of Treasury and Finance, sub. </w:t>
            </w:r>
            <w:proofErr w:type="spellStart"/>
            <w:r w:rsidR="00846F88">
              <w:t>DR30</w:t>
            </w:r>
            <w:proofErr w:type="spellEnd"/>
            <w:r w:rsidR="00846F88">
              <w:t xml:space="preserve">, p. 5). </w:t>
            </w:r>
            <w:r>
              <w:t xml:space="preserve">The </w:t>
            </w:r>
            <w:proofErr w:type="spellStart"/>
            <w:r>
              <w:t>PIA</w:t>
            </w:r>
            <w:proofErr w:type="spellEnd"/>
            <w:r>
              <w:t xml:space="preserve"> requires analysis of the problem, likely impacts (a one-page ‘yes/no’ competition and business compliance cost checklist), whether the proposal satisfies the ‘clear and obvious public interest’ test, and to outline the proposed consultation processes.</w:t>
            </w:r>
          </w:p>
        </w:tc>
      </w:tr>
      <w:tr w:rsidR="00523602" w:rsidTr="00523602">
        <w:trPr>
          <w:cantSplit/>
        </w:trPr>
        <w:tc>
          <w:tcPr>
            <w:tcW w:w="8771" w:type="dxa"/>
            <w:tcBorders>
              <w:top w:val="nil"/>
              <w:left w:val="single" w:sz="6" w:space="0" w:color="auto"/>
              <w:bottom w:val="nil"/>
              <w:right w:val="single" w:sz="6" w:space="0" w:color="auto"/>
            </w:tcBorders>
          </w:tcPr>
          <w:p w:rsidR="00523602" w:rsidRDefault="00523602" w:rsidP="00523602">
            <w:pPr>
              <w:pStyle w:val="BoxSource"/>
            </w:pPr>
            <w:r>
              <w:rPr>
                <w:i/>
              </w:rPr>
              <w:t>Sources</w:t>
            </w:r>
            <w:r w:rsidRPr="00167F06">
              <w:t xml:space="preserve">: </w:t>
            </w:r>
            <w:r>
              <w:t>Queensland Treasury (2010); Western Australian Treasury (</w:t>
            </w:r>
            <w:proofErr w:type="spellStart"/>
            <w:r>
              <w:t>2010a</w:t>
            </w:r>
            <w:proofErr w:type="spellEnd"/>
            <w:r>
              <w:t xml:space="preserve">, </w:t>
            </w:r>
            <w:proofErr w:type="spellStart"/>
            <w:r>
              <w:t>2010b</w:t>
            </w:r>
            <w:proofErr w:type="spellEnd"/>
            <w:r>
              <w:t>); Northern Territory Treasury (</w:t>
            </w:r>
            <w:proofErr w:type="spellStart"/>
            <w:r>
              <w:t>2007</w:t>
            </w:r>
            <w:r w:rsidR="00D651E4">
              <w:t>a</w:t>
            </w:r>
            <w:proofErr w:type="spellEnd"/>
            <w:r>
              <w:t>).</w:t>
            </w:r>
          </w:p>
        </w:tc>
      </w:tr>
      <w:tr w:rsidR="00523602" w:rsidTr="00523602">
        <w:trPr>
          <w:cantSplit/>
        </w:trPr>
        <w:tc>
          <w:tcPr>
            <w:tcW w:w="8771" w:type="dxa"/>
            <w:tcBorders>
              <w:top w:val="nil"/>
              <w:left w:val="single" w:sz="6" w:space="0" w:color="auto"/>
              <w:bottom w:val="single" w:sz="6" w:space="0" w:color="auto"/>
              <w:right w:val="single" w:sz="6" w:space="0" w:color="auto"/>
            </w:tcBorders>
          </w:tcPr>
          <w:p w:rsidR="00523602" w:rsidRDefault="00523602" w:rsidP="00523602">
            <w:pPr>
              <w:pStyle w:val="Box"/>
              <w:spacing w:before="0" w:line="120" w:lineRule="exact"/>
            </w:pPr>
          </w:p>
        </w:tc>
      </w:tr>
      <w:tr w:rsidR="00523602" w:rsidTr="00523602">
        <w:tc>
          <w:tcPr>
            <w:tcW w:w="8771" w:type="dxa"/>
            <w:tcBorders>
              <w:top w:val="nil"/>
              <w:left w:val="nil"/>
              <w:bottom w:val="nil"/>
              <w:right w:val="nil"/>
            </w:tcBorders>
          </w:tcPr>
          <w:p w:rsidR="00523602" w:rsidRDefault="00523602" w:rsidP="00523602">
            <w:pPr>
              <w:pStyle w:val="Box"/>
              <w:keepNext w:val="0"/>
              <w:spacing w:before="60" w:after="60" w:line="80" w:lineRule="exact"/>
              <w:rPr>
                <w:b/>
                <w:color w:val="FF00FF"/>
                <w:sz w:val="14"/>
              </w:rPr>
            </w:pPr>
          </w:p>
        </w:tc>
      </w:tr>
    </w:tbl>
    <w:p w:rsidR="00F24593" w:rsidRPr="00E57B61" w:rsidRDefault="00F24593" w:rsidP="00F24593">
      <w:pPr>
        <w:pStyle w:val="BodyText"/>
      </w:pPr>
      <w:r>
        <w:t xml:space="preserve">Provided that the </w:t>
      </w:r>
      <w:proofErr w:type="spellStart"/>
      <w:r>
        <w:t>PIA</w:t>
      </w:r>
      <w:proofErr w:type="spellEnd"/>
      <w:r>
        <w:t xml:space="preserve"> process is streamlined and the minimum necessary to establish that a proposal is unlikely to have significant impacts, the </w:t>
      </w:r>
      <w:proofErr w:type="spellStart"/>
      <w:r>
        <w:t>PIA</w:t>
      </w:r>
      <w:proofErr w:type="spellEnd"/>
      <w:r>
        <w:t xml:space="preserve"> process can be an effective early screening mechanism. However, if the </w:t>
      </w:r>
      <w:proofErr w:type="spellStart"/>
      <w:r>
        <w:t>PIA</w:t>
      </w:r>
      <w:proofErr w:type="spellEnd"/>
      <w:r>
        <w:t xml:space="preserve"> process requires extensive impact assessment — then the cost of this assessment for the vast majority of proposals is likely to outweigh the benefit. The Commission </w:t>
      </w:r>
      <w:r>
        <w:lastRenderedPageBreak/>
        <w:t>understands that in some jurisdictions, most evidently in Western Australia, a substantial amount of departmental and oversight body resources are being devoted to assessing what turn out to be regulatory proposals with ‘insignificant’ impacts.</w:t>
      </w:r>
    </w:p>
    <w:p w:rsidR="00F24593" w:rsidRDefault="00F24593" w:rsidP="00F24593">
      <w:pPr>
        <w:pStyle w:val="BodyText"/>
      </w:pPr>
      <w:r>
        <w:t>Some regulatory proposals (for example, the banning of a widespread activity) would, by their very nature, impose significant impacts on the community. These proposals should not require a preliminary assessment, but instead proceed immediately to a RIS. As noted by the Western Australian Department of Transport:</w:t>
      </w:r>
    </w:p>
    <w:p w:rsidR="00F24593" w:rsidRDefault="00F24593" w:rsidP="00F24593">
      <w:pPr>
        <w:pStyle w:val="Quote"/>
      </w:pPr>
      <w:r>
        <w:t xml:space="preserve">A cost saving could be possible where prior to completing the </w:t>
      </w:r>
      <w:proofErr w:type="spellStart"/>
      <w:r>
        <w:t>PIA</w:t>
      </w:r>
      <w:proofErr w:type="spellEnd"/>
      <w:r>
        <w:t xml:space="preserve"> the agency has identified that the proposal will have a [significant] negative impact on business, consumers and/or the economy. The agency could then elect to develop an RIS rather than initially completing a </w:t>
      </w:r>
      <w:proofErr w:type="spellStart"/>
      <w:r>
        <w:t>PIA</w:t>
      </w:r>
      <w:proofErr w:type="spellEnd"/>
      <w:r>
        <w:t xml:space="preserve">. Currently in this circumstance, the agency is still required to complete a </w:t>
      </w:r>
      <w:proofErr w:type="spellStart"/>
      <w:r>
        <w:t>PIA</w:t>
      </w:r>
      <w:proofErr w:type="spellEnd"/>
      <w:r>
        <w:t xml:space="preserve"> which often requires significant effort and numerous iterations … Significant resource and time savings could be achieved by agencies electing to proceed to a full RIS process. (sub. 12, p. 3)</w:t>
      </w:r>
    </w:p>
    <w:p w:rsidR="00775A21" w:rsidRDefault="00021B12" w:rsidP="00775A21">
      <w:pPr>
        <w:pStyle w:val="BodyText"/>
      </w:pPr>
      <w:r>
        <w:t xml:space="preserve">In those three jurisdictions with formal </w:t>
      </w:r>
      <w:proofErr w:type="spellStart"/>
      <w:r>
        <w:t>PIA</w:t>
      </w:r>
      <w:proofErr w:type="spellEnd"/>
      <w:r>
        <w:t xml:space="preserve"> requirements, only 32 out of nearly 1400 proposals formally assessed under </w:t>
      </w:r>
      <w:proofErr w:type="spellStart"/>
      <w:r>
        <w:t>PIA</w:t>
      </w:r>
      <w:proofErr w:type="spellEnd"/>
      <w:r>
        <w:t xml:space="preserve"> in 2010 and 2011, resulted in a </w:t>
      </w:r>
      <w:r w:rsidR="00775A21">
        <w:t>RIS being required (table 4.4).</w:t>
      </w:r>
    </w:p>
    <w:p w:rsidR="00775A21" w:rsidRDefault="00775A21" w:rsidP="00775A21">
      <w:pPr>
        <w:pStyle w:val="TableTitle"/>
      </w:pPr>
      <w:r>
        <w:rPr>
          <w:b w:val="0"/>
        </w:rPr>
        <w:t xml:space="preserve">Table </w:t>
      </w:r>
      <w:bookmarkStart w:id="16" w:name="OLE_LINK12"/>
      <w:r>
        <w:rPr>
          <w:b w:val="0"/>
        </w:rPr>
        <w:t>4.</w:t>
      </w:r>
      <w:r w:rsidR="009445FF">
        <w:rPr>
          <w:b w:val="0"/>
          <w:noProof/>
        </w:rPr>
        <w:t>4</w:t>
      </w:r>
      <w:bookmarkEnd w:id="16"/>
      <w:r>
        <w:tab/>
        <w:t>Preliminary impact assessment by relevant jurisdiction</w:t>
      </w:r>
    </w:p>
    <w:p w:rsidR="00775A21" w:rsidRDefault="00775A21" w:rsidP="00775A21">
      <w:pPr>
        <w:pStyle w:val="Subtitle"/>
      </w:pPr>
      <w:r>
        <w:t>January 2010 to December 2011</w:t>
      </w:r>
    </w:p>
    <w:tbl>
      <w:tblPr>
        <w:tblW w:w="5000" w:type="pct"/>
        <w:tblCellMar>
          <w:left w:w="0" w:type="dxa"/>
          <w:right w:w="0" w:type="dxa"/>
        </w:tblCellMar>
        <w:tblLook w:val="0000" w:firstRow="0" w:lastRow="0" w:firstColumn="0" w:lastColumn="0" w:noHBand="0" w:noVBand="0"/>
      </w:tblPr>
      <w:tblGrid>
        <w:gridCol w:w="2931"/>
        <w:gridCol w:w="2930"/>
        <w:gridCol w:w="2928"/>
      </w:tblGrid>
      <w:tr w:rsidR="00775A21" w:rsidTr="00D201DB">
        <w:tc>
          <w:tcPr>
            <w:tcW w:w="1667" w:type="pct"/>
            <w:tcBorders>
              <w:top w:val="single" w:sz="6" w:space="0" w:color="auto"/>
              <w:bottom w:val="single" w:sz="6" w:space="0" w:color="auto"/>
            </w:tcBorders>
            <w:shd w:val="clear" w:color="auto" w:fill="auto"/>
          </w:tcPr>
          <w:p w:rsidR="00775A21" w:rsidRDefault="00775A21" w:rsidP="00D201DB">
            <w:pPr>
              <w:pStyle w:val="TableColumnHeading"/>
              <w:jc w:val="left"/>
            </w:pPr>
            <w:r>
              <w:t>Jurisdiction</w:t>
            </w:r>
          </w:p>
        </w:tc>
        <w:tc>
          <w:tcPr>
            <w:tcW w:w="1667" w:type="pct"/>
            <w:tcBorders>
              <w:top w:val="single" w:sz="6" w:space="0" w:color="auto"/>
              <w:bottom w:val="single" w:sz="6" w:space="0" w:color="auto"/>
            </w:tcBorders>
            <w:shd w:val="clear" w:color="auto" w:fill="auto"/>
          </w:tcPr>
          <w:p w:rsidR="00775A21" w:rsidRDefault="00775A21" w:rsidP="00D201DB">
            <w:pPr>
              <w:pStyle w:val="TableColumnHeading"/>
            </w:pPr>
            <w:r>
              <w:t xml:space="preserve">Number of </w:t>
            </w:r>
            <w:proofErr w:type="spellStart"/>
            <w:r>
              <w:t>PIAs</w:t>
            </w:r>
            <w:proofErr w:type="spellEnd"/>
          </w:p>
        </w:tc>
        <w:tc>
          <w:tcPr>
            <w:tcW w:w="1666" w:type="pct"/>
            <w:tcBorders>
              <w:top w:val="single" w:sz="6" w:space="0" w:color="auto"/>
              <w:bottom w:val="single" w:sz="6" w:space="0" w:color="auto"/>
            </w:tcBorders>
            <w:shd w:val="clear" w:color="auto" w:fill="auto"/>
          </w:tcPr>
          <w:p w:rsidR="00775A21" w:rsidRDefault="00775A21" w:rsidP="00D201DB">
            <w:pPr>
              <w:pStyle w:val="TableColumnHeading"/>
              <w:ind w:right="28"/>
            </w:pPr>
            <w:r>
              <w:t>Number of RISs</w:t>
            </w:r>
          </w:p>
        </w:tc>
      </w:tr>
      <w:tr w:rsidR="00775A21" w:rsidTr="00D201DB">
        <w:tc>
          <w:tcPr>
            <w:tcW w:w="1667" w:type="pct"/>
            <w:tcBorders>
              <w:top w:val="single" w:sz="6" w:space="0" w:color="auto"/>
            </w:tcBorders>
          </w:tcPr>
          <w:p w:rsidR="00775A21" w:rsidRDefault="00775A21" w:rsidP="00D201DB">
            <w:pPr>
              <w:pStyle w:val="TableUnitsRow"/>
              <w:spacing w:after="40"/>
              <w:jc w:val="left"/>
            </w:pPr>
            <w:r>
              <w:t>Queensland</w:t>
            </w:r>
          </w:p>
        </w:tc>
        <w:tc>
          <w:tcPr>
            <w:tcW w:w="1667" w:type="pct"/>
            <w:tcBorders>
              <w:top w:val="single" w:sz="6" w:space="0" w:color="auto"/>
            </w:tcBorders>
          </w:tcPr>
          <w:p w:rsidR="00775A21" w:rsidRDefault="00775A21" w:rsidP="00D201DB">
            <w:pPr>
              <w:pStyle w:val="TableUnitsRow"/>
              <w:spacing w:after="40"/>
              <w:ind w:right="108"/>
            </w:pPr>
            <w:r>
              <w:t>437</w:t>
            </w:r>
          </w:p>
        </w:tc>
        <w:tc>
          <w:tcPr>
            <w:tcW w:w="1666" w:type="pct"/>
            <w:tcBorders>
              <w:top w:val="single" w:sz="6" w:space="0" w:color="auto"/>
            </w:tcBorders>
          </w:tcPr>
          <w:p w:rsidR="00775A21" w:rsidRDefault="00775A21" w:rsidP="00D201DB">
            <w:pPr>
              <w:pStyle w:val="TableUnitsRow"/>
              <w:spacing w:after="40"/>
              <w:ind w:right="28"/>
            </w:pPr>
            <w:r>
              <w:t>14</w:t>
            </w:r>
          </w:p>
        </w:tc>
      </w:tr>
      <w:tr w:rsidR="00775A21" w:rsidTr="00D201DB">
        <w:tc>
          <w:tcPr>
            <w:tcW w:w="1667" w:type="pct"/>
          </w:tcPr>
          <w:p w:rsidR="00775A21" w:rsidRDefault="00775A21" w:rsidP="00D201DB">
            <w:pPr>
              <w:pStyle w:val="TableBodyText"/>
              <w:spacing w:before="20"/>
              <w:jc w:val="left"/>
            </w:pPr>
            <w:r>
              <w:t>Western Australia</w:t>
            </w:r>
          </w:p>
        </w:tc>
        <w:tc>
          <w:tcPr>
            <w:tcW w:w="1667" w:type="pct"/>
          </w:tcPr>
          <w:p w:rsidR="00775A21" w:rsidRDefault="00775A21" w:rsidP="00D201DB">
            <w:pPr>
              <w:pStyle w:val="TableBodyText"/>
              <w:spacing w:before="20"/>
              <w:ind w:right="108"/>
            </w:pPr>
            <w:r>
              <w:t>778</w:t>
            </w:r>
          </w:p>
        </w:tc>
        <w:tc>
          <w:tcPr>
            <w:tcW w:w="1666" w:type="pct"/>
          </w:tcPr>
          <w:p w:rsidR="00775A21" w:rsidRDefault="00775A21" w:rsidP="00D201DB">
            <w:pPr>
              <w:pStyle w:val="TableBodyText"/>
              <w:spacing w:before="20"/>
              <w:ind w:right="28"/>
            </w:pPr>
            <w:r>
              <w:t>6</w:t>
            </w:r>
          </w:p>
        </w:tc>
      </w:tr>
      <w:tr w:rsidR="00775A21" w:rsidTr="00D201DB">
        <w:tc>
          <w:tcPr>
            <w:tcW w:w="1667" w:type="pct"/>
            <w:tcBorders>
              <w:bottom w:val="single" w:sz="4" w:space="0" w:color="auto"/>
            </w:tcBorders>
            <w:shd w:val="clear" w:color="auto" w:fill="auto"/>
          </w:tcPr>
          <w:p w:rsidR="00775A21" w:rsidRDefault="00775A21" w:rsidP="00D201DB">
            <w:pPr>
              <w:pStyle w:val="TableBodyText"/>
              <w:spacing w:before="20"/>
              <w:jc w:val="left"/>
            </w:pPr>
            <w:r>
              <w:t>Northern Territory</w:t>
            </w:r>
          </w:p>
        </w:tc>
        <w:tc>
          <w:tcPr>
            <w:tcW w:w="1667" w:type="pct"/>
            <w:tcBorders>
              <w:bottom w:val="single" w:sz="4" w:space="0" w:color="auto"/>
            </w:tcBorders>
            <w:shd w:val="clear" w:color="auto" w:fill="auto"/>
          </w:tcPr>
          <w:p w:rsidR="00775A21" w:rsidRDefault="00775A21" w:rsidP="00D201DB">
            <w:pPr>
              <w:pStyle w:val="TableBodyText"/>
              <w:spacing w:before="20"/>
              <w:ind w:right="108"/>
            </w:pPr>
            <w:r>
              <w:t>173</w:t>
            </w:r>
          </w:p>
        </w:tc>
        <w:tc>
          <w:tcPr>
            <w:tcW w:w="1666" w:type="pct"/>
            <w:tcBorders>
              <w:bottom w:val="single" w:sz="4" w:space="0" w:color="auto"/>
            </w:tcBorders>
            <w:shd w:val="clear" w:color="auto" w:fill="auto"/>
          </w:tcPr>
          <w:p w:rsidR="00775A21" w:rsidRDefault="00775A21" w:rsidP="00D201DB">
            <w:pPr>
              <w:pStyle w:val="TableBodyText"/>
              <w:spacing w:before="20"/>
              <w:ind w:right="28"/>
            </w:pPr>
            <w:r>
              <w:t>12</w:t>
            </w:r>
          </w:p>
        </w:tc>
      </w:tr>
    </w:tbl>
    <w:p w:rsidR="00775A21" w:rsidRPr="00A30C71" w:rsidRDefault="00775A21" w:rsidP="00775A21">
      <w:pPr>
        <w:pStyle w:val="Source"/>
      </w:pPr>
      <w:r>
        <w:rPr>
          <w:i/>
        </w:rPr>
        <w:t>Source</w:t>
      </w:r>
      <w:r>
        <w:t>: PC information request (March 2012).</w:t>
      </w:r>
    </w:p>
    <w:p w:rsidR="00021B12" w:rsidRDefault="00021B12" w:rsidP="00021B12">
      <w:pPr>
        <w:pStyle w:val="BodyText"/>
        <w:keepNext/>
      </w:pPr>
      <w:r>
        <w:t xml:space="preserve">There are a number of reasons why, after being subjected to </w:t>
      </w:r>
      <w:proofErr w:type="spellStart"/>
      <w:r>
        <w:t>PIA</w:t>
      </w:r>
      <w:proofErr w:type="spellEnd"/>
      <w:r>
        <w:t>, regulatory proposals usually do not result in a RIS:</w:t>
      </w:r>
    </w:p>
    <w:p w:rsidR="00021B12" w:rsidRDefault="00021B12" w:rsidP="00021B12">
      <w:pPr>
        <w:pStyle w:val="ListBullet"/>
      </w:pPr>
      <w:r>
        <w:t>the best solution may be a non-regulatory option, hence further RIA (or a RIS) would not be required — only 6 per cent of agencies in Queensland, Western Australia and the Northern Territory reported instances of a regulatory proposal for which either the status quo or a non</w:t>
      </w:r>
      <w:r>
        <w:noBreakHyphen/>
        <w:t>regulatory option was preferred</w:t>
      </w:r>
    </w:p>
    <w:p w:rsidR="00021B12" w:rsidRDefault="00021B12" w:rsidP="00021B12">
      <w:pPr>
        <w:pStyle w:val="ListBullet"/>
      </w:pPr>
      <w:r>
        <w:t>the agency may amend or remove a proposal so that a RIS would not be required — 95 per cent of agencies in Queensland, Western Australia and the Northern Territory reported that in less than 10 per cent of instances were ‘proposals modified in a significant way or withdrawn’ (PC RIA Survey 2012)</w:t>
      </w:r>
    </w:p>
    <w:p w:rsidR="00021B12" w:rsidRDefault="00021B12" w:rsidP="00021B12">
      <w:pPr>
        <w:pStyle w:val="ListBullet"/>
      </w:pPr>
      <w:r>
        <w:t>impacts may not be significant and hence no RIS would be required</w:t>
      </w:r>
    </w:p>
    <w:p w:rsidR="00021B12" w:rsidRDefault="00021B12" w:rsidP="00021B12">
      <w:pPr>
        <w:pStyle w:val="ListBullet"/>
      </w:pPr>
      <w:r>
        <w:t xml:space="preserve">the proposal may relate to a RIA exception or have been granted an </w:t>
      </w:r>
      <w:r w:rsidR="00686BF6">
        <w:t>exemption from preparing a RIS.</w:t>
      </w:r>
    </w:p>
    <w:p w:rsidR="00523602" w:rsidRDefault="00523602" w:rsidP="00523602">
      <w:pPr>
        <w:pStyle w:val="BodyText"/>
      </w:pPr>
      <w:r>
        <w:lastRenderedPageBreak/>
        <w:t xml:space="preserve">Given that not many preliminary assessments related to a preferred non-regulatory option, or were amended or removed once the proposal triggered the RIS requirement </w:t>
      </w:r>
      <w:r w:rsidR="005964F9">
        <w:t xml:space="preserve">(the first two reasons listed above) </w:t>
      </w:r>
      <w:r>
        <w:t>— it appears that the majority of proposals were assessed as having not significant impacts or related to either an exception or exemption</w:t>
      </w:r>
      <w:r w:rsidR="005964F9">
        <w:t xml:space="preserve"> (the latter two reasons listed above)</w:t>
      </w:r>
      <w:r>
        <w:t>.</w:t>
      </w:r>
    </w:p>
    <w:p w:rsidR="00CA393A" w:rsidRDefault="00CA393A" w:rsidP="00CA393A">
      <w:pPr>
        <w:pStyle w:val="BodyText"/>
      </w:pPr>
      <w:r>
        <w:t xml:space="preserve">This outcome is consistent with the evidence from when the Australian Government RIA process included formal preliminary </w:t>
      </w:r>
      <w:r w:rsidR="001C162F">
        <w:t>self-</w:t>
      </w:r>
      <w:r>
        <w:t>assessment. Specifically, it appears that the vast majority of regulatory proposals were assessed as having ‘no or low impacts’ and required no further RIA (table 4.5).</w:t>
      </w:r>
    </w:p>
    <w:p w:rsidR="00BD577E" w:rsidRDefault="00BD577E" w:rsidP="00BA12AE">
      <w:pPr>
        <w:pStyle w:val="BodyText"/>
      </w:pPr>
      <w:r>
        <w:t>As part of the 2010 Australian Government RIA system changes, the Office of Best Practice Regulation (OBPR) became responsible for determining whether a RIS was required. This change resulted in no marked increase in the number of RISs prepared, despite the fact that more preliminary assessments were undertaken (</w:t>
      </w:r>
      <w:proofErr w:type="spellStart"/>
      <w:r>
        <w:t>Borthwick</w:t>
      </w:r>
      <w:proofErr w:type="spellEnd"/>
      <w:r>
        <w:t xml:space="preserve"> and Milliner 2012).</w:t>
      </w:r>
    </w:p>
    <w:p w:rsidR="00CD7D93" w:rsidRDefault="00CD7D93" w:rsidP="00BA12AE">
      <w:pPr>
        <w:pStyle w:val="TableTitle"/>
      </w:pPr>
      <w:r>
        <w:rPr>
          <w:b w:val="0"/>
        </w:rPr>
        <w:t>Table 4.</w:t>
      </w:r>
      <w:r w:rsidR="009445FF">
        <w:rPr>
          <w:b w:val="0"/>
          <w:noProof/>
        </w:rPr>
        <w:t>5</w:t>
      </w:r>
      <w:r>
        <w:tab/>
        <w:t>Australian Government preliminary assessment activity</w:t>
      </w:r>
      <w:r w:rsidRPr="007A48B9">
        <w:rPr>
          <w:rStyle w:val="NoteLabel"/>
          <w:b/>
        </w:rPr>
        <w:t>a</w:t>
      </w:r>
    </w:p>
    <w:p w:rsidR="00CD7D93" w:rsidRDefault="00CD7D93" w:rsidP="00BA12AE">
      <w:pPr>
        <w:pStyle w:val="Subtitle"/>
      </w:pPr>
      <w:r>
        <w:t>20 November 2006 to 30 June 2011</w:t>
      </w:r>
    </w:p>
    <w:tbl>
      <w:tblPr>
        <w:tblW w:w="5000" w:type="pct"/>
        <w:tblCellMar>
          <w:left w:w="0" w:type="dxa"/>
          <w:right w:w="0" w:type="dxa"/>
        </w:tblCellMar>
        <w:tblLook w:val="0000" w:firstRow="0" w:lastRow="0" w:firstColumn="0" w:lastColumn="0" w:noHBand="0" w:noVBand="0"/>
      </w:tblPr>
      <w:tblGrid>
        <w:gridCol w:w="3119"/>
        <w:gridCol w:w="1134"/>
        <w:gridCol w:w="1134"/>
        <w:gridCol w:w="1134"/>
        <w:gridCol w:w="1136"/>
        <w:gridCol w:w="1132"/>
      </w:tblGrid>
      <w:tr w:rsidR="00A57171" w:rsidTr="00A57171">
        <w:tc>
          <w:tcPr>
            <w:tcW w:w="1774" w:type="pct"/>
            <w:tcBorders>
              <w:top w:val="single" w:sz="6" w:space="0" w:color="auto"/>
              <w:bottom w:val="single" w:sz="6" w:space="0" w:color="auto"/>
            </w:tcBorders>
            <w:shd w:val="clear" w:color="auto" w:fill="auto"/>
          </w:tcPr>
          <w:p w:rsidR="00CD7D93" w:rsidRDefault="00CD7D93" w:rsidP="00BA12AE">
            <w:pPr>
              <w:pStyle w:val="TableColumnHeading"/>
              <w:jc w:val="left"/>
            </w:pPr>
          </w:p>
        </w:tc>
        <w:tc>
          <w:tcPr>
            <w:tcW w:w="645" w:type="pct"/>
            <w:tcBorders>
              <w:top w:val="single" w:sz="6" w:space="0" w:color="auto"/>
              <w:bottom w:val="single" w:sz="6" w:space="0" w:color="auto"/>
            </w:tcBorders>
            <w:shd w:val="clear" w:color="auto" w:fill="auto"/>
          </w:tcPr>
          <w:p w:rsidR="00CD7D93" w:rsidRPr="007714F2" w:rsidRDefault="00CD7D93" w:rsidP="00BA12AE">
            <w:pPr>
              <w:pStyle w:val="TableColumnHeading"/>
              <w:spacing w:before="40"/>
              <w:ind w:right="11"/>
              <w:rPr>
                <w:rStyle w:val="NoteLabel"/>
              </w:rPr>
            </w:pPr>
            <w:r>
              <w:t>2006-07</w:t>
            </w:r>
            <w:r w:rsidRPr="007714F2">
              <w:rPr>
                <w:rStyle w:val="NoteLabel"/>
                <w:i w:val="0"/>
              </w:rPr>
              <w:t>b</w:t>
            </w:r>
          </w:p>
        </w:tc>
        <w:tc>
          <w:tcPr>
            <w:tcW w:w="645" w:type="pct"/>
            <w:tcBorders>
              <w:top w:val="single" w:sz="6" w:space="0" w:color="auto"/>
              <w:bottom w:val="single" w:sz="6" w:space="0" w:color="auto"/>
            </w:tcBorders>
            <w:shd w:val="clear" w:color="auto" w:fill="auto"/>
          </w:tcPr>
          <w:p w:rsidR="00CD7D93" w:rsidRPr="006B65C6" w:rsidRDefault="00CD7D93" w:rsidP="00BA12AE">
            <w:pPr>
              <w:pStyle w:val="TableColumnHeading"/>
            </w:pPr>
            <w:r w:rsidRPr="006B65C6">
              <w:t>2007-08</w:t>
            </w:r>
          </w:p>
        </w:tc>
        <w:tc>
          <w:tcPr>
            <w:tcW w:w="645" w:type="pct"/>
            <w:tcBorders>
              <w:top w:val="single" w:sz="6" w:space="0" w:color="auto"/>
              <w:bottom w:val="single" w:sz="6" w:space="0" w:color="auto"/>
            </w:tcBorders>
            <w:shd w:val="clear" w:color="auto" w:fill="auto"/>
          </w:tcPr>
          <w:p w:rsidR="00CD7D93" w:rsidRPr="006B65C6" w:rsidRDefault="00CD7D93" w:rsidP="00BA12AE">
            <w:pPr>
              <w:pStyle w:val="TableColumnHeading"/>
            </w:pPr>
            <w:r w:rsidRPr="006B65C6">
              <w:t>2008-09</w:t>
            </w:r>
          </w:p>
        </w:tc>
        <w:tc>
          <w:tcPr>
            <w:tcW w:w="646" w:type="pct"/>
            <w:tcBorders>
              <w:top w:val="single" w:sz="6" w:space="0" w:color="auto"/>
              <w:bottom w:val="single" w:sz="6" w:space="0" w:color="auto"/>
            </w:tcBorders>
            <w:shd w:val="clear" w:color="auto" w:fill="auto"/>
          </w:tcPr>
          <w:p w:rsidR="00CD7D93" w:rsidRPr="006B65C6" w:rsidRDefault="00CD7D93" w:rsidP="00BA12AE">
            <w:pPr>
              <w:pStyle w:val="TableColumnHeading"/>
              <w:ind w:right="28"/>
            </w:pPr>
            <w:r w:rsidRPr="006B65C6">
              <w:t>2009-10</w:t>
            </w:r>
          </w:p>
        </w:tc>
        <w:tc>
          <w:tcPr>
            <w:tcW w:w="644" w:type="pct"/>
            <w:tcBorders>
              <w:top w:val="single" w:sz="6" w:space="0" w:color="auto"/>
              <w:bottom w:val="single" w:sz="6" w:space="0" w:color="auto"/>
            </w:tcBorders>
            <w:shd w:val="clear" w:color="auto" w:fill="auto"/>
          </w:tcPr>
          <w:p w:rsidR="00CD7D93" w:rsidRPr="002205D6" w:rsidRDefault="00CD7D93" w:rsidP="00BA12AE">
            <w:pPr>
              <w:pStyle w:val="TableColumnHeading"/>
              <w:spacing w:before="40"/>
              <w:ind w:right="28"/>
              <w:rPr>
                <w:rStyle w:val="NoteLabel"/>
              </w:rPr>
            </w:pPr>
            <w:r>
              <w:t>2010-11</w:t>
            </w:r>
            <w:r w:rsidR="002205D6" w:rsidRPr="002205D6">
              <w:rPr>
                <w:rStyle w:val="NoteLabel"/>
                <w:i w:val="0"/>
              </w:rPr>
              <w:t>c</w:t>
            </w:r>
          </w:p>
        </w:tc>
      </w:tr>
      <w:tr w:rsidR="00A57171" w:rsidTr="00A57171">
        <w:tc>
          <w:tcPr>
            <w:tcW w:w="1774" w:type="pct"/>
            <w:tcBorders>
              <w:top w:val="single" w:sz="6" w:space="0" w:color="auto"/>
            </w:tcBorders>
          </w:tcPr>
          <w:p w:rsidR="00CD7D93" w:rsidRDefault="00CD7D93" w:rsidP="00BA12AE">
            <w:pPr>
              <w:pStyle w:val="TableUnitsRow"/>
              <w:spacing w:after="40"/>
              <w:jc w:val="left"/>
            </w:pPr>
            <w:r>
              <w:t>Preliminary self-assessments</w:t>
            </w:r>
          </w:p>
        </w:tc>
        <w:tc>
          <w:tcPr>
            <w:tcW w:w="645" w:type="pct"/>
            <w:tcBorders>
              <w:top w:val="single" w:sz="6" w:space="0" w:color="auto"/>
            </w:tcBorders>
          </w:tcPr>
          <w:p w:rsidR="00CD7D93" w:rsidRDefault="00CD7D93" w:rsidP="00BA12AE">
            <w:pPr>
              <w:pStyle w:val="TableBodyText"/>
              <w:spacing w:before="80"/>
            </w:pPr>
            <w:r>
              <w:t>342</w:t>
            </w:r>
          </w:p>
        </w:tc>
        <w:tc>
          <w:tcPr>
            <w:tcW w:w="645" w:type="pct"/>
            <w:tcBorders>
              <w:top w:val="single" w:sz="6" w:space="0" w:color="auto"/>
            </w:tcBorders>
          </w:tcPr>
          <w:p w:rsidR="00CD7D93" w:rsidRDefault="00CD7D93" w:rsidP="00BA12AE">
            <w:pPr>
              <w:pStyle w:val="TableUnitsRow"/>
              <w:spacing w:after="40"/>
            </w:pPr>
            <w:r>
              <w:t>753</w:t>
            </w:r>
          </w:p>
        </w:tc>
        <w:tc>
          <w:tcPr>
            <w:tcW w:w="645" w:type="pct"/>
            <w:tcBorders>
              <w:top w:val="single" w:sz="6" w:space="0" w:color="auto"/>
            </w:tcBorders>
          </w:tcPr>
          <w:p w:rsidR="00CD7D93" w:rsidRDefault="00CD7D93" w:rsidP="00BA12AE">
            <w:pPr>
              <w:pStyle w:val="TableUnitsRow"/>
              <w:spacing w:after="40"/>
            </w:pPr>
            <w:r>
              <w:t>662</w:t>
            </w:r>
          </w:p>
        </w:tc>
        <w:tc>
          <w:tcPr>
            <w:tcW w:w="646" w:type="pct"/>
            <w:tcBorders>
              <w:top w:val="single" w:sz="6" w:space="0" w:color="auto"/>
            </w:tcBorders>
          </w:tcPr>
          <w:p w:rsidR="00CD7D93" w:rsidRDefault="00CD7D93" w:rsidP="00BA12AE">
            <w:pPr>
              <w:pStyle w:val="TableUnitsRow"/>
              <w:spacing w:after="40"/>
              <w:ind w:right="28"/>
            </w:pPr>
            <w:r>
              <w:t>823</w:t>
            </w:r>
          </w:p>
        </w:tc>
        <w:tc>
          <w:tcPr>
            <w:tcW w:w="644" w:type="pct"/>
            <w:tcBorders>
              <w:top w:val="single" w:sz="6" w:space="0" w:color="auto"/>
            </w:tcBorders>
          </w:tcPr>
          <w:p w:rsidR="00CD7D93" w:rsidRDefault="009308C9" w:rsidP="00BA12AE">
            <w:pPr>
              <w:pStyle w:val="TableUnitsRow"/>
            </w:pPr>
            <w:r>
              <w:t>1060</w:t>
            </w:r>
          </w:p>
        </w:tc>
      </w:tr>
      <w:tr w:rsidR="00A57171" w:rsidTr="00A57171">
        <w:tc>
          <w:tcPr>
            <w:tcW w:w="1774" w:type="pct"/>
          </w:tcPr>
          <w:p w:rsidR="00CD7D93" w:rsidRDefault="00CD7D93" w:rsidP="00BA12AE">
            <w:pPr>
              <w:pStyle w:val="TableBodyText"/>
              <w:spacing w:before="20"/>
              <w:jc w:val="left"/>
            </w:pPr>
            <w:r>
              <w:t>RISs required</w:t>
            </w:r>
          </w:p>
        </w:tc>
        <w:tc>
          <w:tcPr>
            <w:tcW w:w="645" w:type="pct"/>
          </w:tcPr>
          <w:p w:rsidR="00CD7D93" w:rsidRDefault="00CD7D93" w:rsidP="00BA12AE">
            <w:pPr>
              <w:pStyle w:val="TableBodyText"/>
              <w:spacing w:before="20"/>
            </w:pPr>
            <w:r>
              <w:t>18</w:t>
            </w:r>
          </w:p>
        </w:tc>
        <w:tc>
          <w:tcPr>
            <w:tcW w:w="645" w:type="pct"/>
          </w:tcPr>
          <w:p w:rsidR="00CD7D93" w:rsidRDefault="00CD7D93" w:rsidP="00BA12AE">
            <w:pPr>
              <w:pStyle w:val="TableBodyText"/>
              <w:spacing w:before="20"/>
            </w:pPr>
            <w:r>
              <w:t>51</w:t>
            </w:r>
          </w:p>
        </w:tc>
        <w:tc>
          <w:tcPr>
            <w:tcW w:w="645" w:type="pct"/>
          </w:tcPr>
          <w:p w:rsidR="00CD7D93" w:rsidRDefault="00CD7D93" w:rsidP="00BA12AE">
            <w:pPr>
              <w:pStyle w:val="TableBodyText"/>
              <w:spacing w:before="20"/>
            </w:pPr>
            <w:r>
              <w:t>59</w:t>
            </w:r>
          </w:p>
        </w:tc>
        <w:tc>
          <w:tcPr>
            <w:tcW w:w="646" w:type="pct"/>
          </w:tcPr>
          <w:p w:rsidR="00CD7D93" w:rsidRDefault="00CD7D93" w:rsidP="00BA12AE">
            <w:pPr>
              <w:pStyle w:val="TableBodyText"/>
              <w:spacing w:before="20"/>
              <w:ind w:right="28"/>
            </w:pPr>
            <w:r>
              <w:t>75</w:t>
            </w:r>
          </w:p>
        </w:tc>
        <w:tc>
          <w:tcPr>
            <w:tcW w:w="644" w:type="pct"/>
          </w:tcPr>
          <w:p w:rsidR="00CD7D93" w:rsidRDefault="002B177D" w:rsidP="00BA12AE">
            <w:pPr>
              <w:pStyle w:val="TableBodyText"/>
            </w:pPr>
            <w:r>
              <w:t>63</w:t>
            </w:r>
          </w:p>
        </w:tc>
      </w:tr>
      <w:tr w:rsidR="00A57171" w:rsidTr="00A57171">
        <w:tc>
          <w:tcPr>
            <w:tcW w:w="1774" w:type="pct"/>
            <w:tcBorders>
              <w:bottom w:val="single" w:sz="6" w:space="0" w:color="auto"/>
            </w:tcBorders>
            <w:shd w:val="clear" w:color="auto" w:fill="auto"/>
          </w:tcPr>
          <w:p w:rsidR="00CD7D93" w:rsidRDefault="00CD7D93" w:rsidP="00BA12AE">
            <w:pPr>
              <w:pStyle w:val="TableBodyText"/>
              <w:spacing w:before="20"/>
              <w:jc w:val="left"/>
            </w:pPr>
            <w:r>
              <w:t>BCC reports required</w:t>
            </w:r>
          </w:p>
        </w:tc>
        <w:tc>
          <w:tcPr>
            <w:tcW w:w="645" w:type="pct"/>
            <w:tcBorders>
              <w:bottom w:val="single" w:sz="6" w:space="0" w:color="auto"/>
            </w:tcBorders>
            <w:shd w:val="clear" w:color="auto" w:fill="auto"/>
          </w:tcPr>
          <w:p w:rsidR="00CD7D93" w:rsidRDefault="00CD7D93" w:rsidP="00BA12AE">
            <w:pPr>
              <w:pStyle w:val="TableBodyText"/>
              <w:spacing w:before="20"/>
            </w:pPr>
            <w:r>
              <w:t>2</w:t>
            </w:r>
          </w:p>
        </w:tc>
        <w:tc>
          <w:tcPr>
            <w:tcW w:w="645" w:type="pct"/>
            <w:tcBorders>
              <w:bottom w:val="single" w:sz="6" w:space="0" w:color="auto"/>
            </w:tcBorders>
            <w:shd w:val="clear" w:color="auto" w:fill="auto"/>
          </w:tcPr>
          <w:p w:rsidR="00CD7D93" w:rsidRDefault="00CD7D93" w:rsidP="00BA12AE">
            <w:pPr>
              <w:pStyle w:val="TableBodyText"/>
              <w:spacing w:before="20"/>
            </w:pPr>
            <w:r>
              <w:t>7</w:t>
            </w:r>
          </w:p>
        </w:tc>
        <w:tc>
          <w:tcPr>
            <w:tcW w:w="645" w:type="pct"/>
            <w:tcBorders>
              <w:bottom w:val="single" w:sz="6" w:space="0" w:color="auto"/>
            </w:tcBorders>
            <w:shd w:val="clear" w:color="auto" w:fill="auto"/>
          </w:tcPr>
          <w:p w:rsidR="00CD7D93" w:rsidRDefault="00CD7D93" w:rsidP="00BA12AE">
            <w:pPr>
              <w:pStyle w:val="TableBodyText"/>
              <w:spacing w:before="20"/>
            </w:pPr>
            <w:r>
              <w:t>4</w:t>
            </w:r>
          </w:p>
        </w:tc>
        <w:tc>
          <w:tcPr>
            <w:tcW w:w="646" w:type="pct"/>
            <w:tcBorders>
              <w:bottom w:val="single" w:sz="6" w:space="0" w:color="auto"/>
            </w:tcBorders>
            <w:shd w:val="clear" w:color="auto" w:fill="auto"/>
          </w:tcPr>
          <w:p w:rsidR="00CD7D93" w:rsidRDefault="00CD7D93" w:rsidP="00BA12AE">
            <w:pPr>
              <w:pStyle w:val="TableBodyText"/>
              <w:spacing w:before="20"/>
              <w:ind w:right="28"/>
            </w:pPr>
            <w:r>
              <w:t>2</w:t>
            </w:r>
          </w:p>
        </w:tc>
        <w:tc>
          <w:tcPr>
            <w:tcW w:w="644" w:type="pct"/>
            <w:tcBorders>
              <w:bottom w:val="single" w:sz="6" w:space="0" w:color="auto"/>
            </w:tcBorders>
            <w:shd w:val="clear" w:color="auto" w:fill="auto"/>
          </w:tcPr>
          <w:p w:rsidR="00CD7D93" w:rsidRPr="002B177D" w:rsidRDefault="002B177D" w:rsidP="00BA12AE">
            <w:pPr>
              <w:pStyle w:val="TableBodyText"/>
              <w:ind w:right="0"/>
              <w:rPr>
                <w:rStyle w:val="NoteLabel"/>
              </w:rPr>
            </w:pPr>
            <w:r>
              <w:t>n/a</w:t>
            </w:r>
            <w:r w:rsidR="002205D6">
              <w:rPr>
                <w:rStyle w:val="NoteLabel"/>
              </w:rPr>
              <w:t>d</w:t>
            </w:r>
          </w:p>
        </w:tc>
      </w:tr>
    </w:tbl>
    <w:p w:rsidR="00CD7D93" w:rsidRDefault="00CD7D93" w:rsidP="00BA12AE">
      <w:pPr>
        <w:pStyle w:val="Note"/>
      </w:pPr>
      <w:r w:rsidRPr="00B31F04">
        <w:rPr>
          <w:rStyle w:val="NoteLabel"/>
        </w:rPr>
        <w:t>a</w:t>
      </w:r>
      <w:r>
        <w:t xml:space="preserve"> </w:t>
      </w:r>
      <w:r w:rsidR="00D42F59">
        <w:t>As these values relate to compliance reporting, t</w:t>
      </w:r>
      <w:r>
        <w:t>he</w:t>
      </w:r>
      <w:r w:rsidR="00D42F59">
        <w:t>y</w:t>
      </w:r>
      <w:r>
        <w:t xml:space="preserve"> </w:t>
      </w:r>
      <w:r w:rsidR="00D42F59">
        <w:t>are not directly comparable</w:t>
      </w:r>
      <w:r>
        <w:t xml:space="preserve">, but rather provide broad orders of magnitude.  </w:t>
      </w:r>
      <w:r>
        <w:rPr>
          <w:rStyle w:val="NoteLabel"/>
        </w:rPr>
        <w:t>b</w:t>
      </w:r>
      <w:r>
        <w:t xml:space="preserve"> 20 November 2006 to 30 June 2007.</w:t>
      </w:r>
      <w:r w:rsidR="002B177D">
        <w:t xml:space="preserve">  </w:t>
      </w:r>
      <w:r w:rsidR="002B177D">
        <w:rPr>
          <w:rStyle w:val="NoteLabel"/>
        </w:rPr>
        <w:t>c</w:t>
      </w:r>
      <w:r w:rsidR="002B177D">
        <w:t xml:space="preserve"> </w:t>
      </w:r>
      <w:r w:rsidR="002205D6">
        <w:t xml:space="preserve">As of 1 July 2010, preliminary assessments were conducted by the OBPR.  </w:t>
      </w:r>
      <w:r w:rsidR="002205D6">
        <w:rPr>
          <w:rStyle w:val="NoteLabel"/>
        </w:rPr>
        <w:t>d</w:t>
      </w:r>
      <w:r w:rsidR="002205D6">
        <w:t xml:space="preserve"> </w:t>
      </w:r>
      <w:r w:rsidR="002B177D">
        <w:t>As of 1 July 2010, a RIS was required in place of a BCC report.</w:t>
      </w:r>
    </w:p>
    <w:p w:rsidR="00D201DB" w:rsidRDefault="00CD7D93" w:rsidP="00BA12AE">
      <w:pPr>
        <w:pStyle w:val="Source"/>
      </w:pPr>
      <w:r>
        <w:rPr>
          <w:i/>
        </w:rPr>
        <w:t>Sources</w:t>
      </w:r>
      <w:r>
        <w:t xml:space="preserve">: </w:t>
      </w:r>
      <w:proofErr w:type="spellStart"/>
      <w:r w:rsidR="00BD577E">
        <w:t>Borthwick</w:t>
      </w:r>
      <w:proofErr w:type="spellEnd"/>
      <w:r w:rsidR="00BD577E">
        <w:t xml:space="preserve"> and Milliner (2012), </w:t>
      </w:r>
      <w:proofErr w:type="spellStart"/>
      <w:r>
        <w:t>OBPR</w:t>
      </w:r>
      <w:proofErr w:type="spellEnd"/>
      <w:r>
        <w:t xml:space="preserve"> (2007, </w:t>
      </w:r>
      <w:proofErr w:type="spellStart"/>
      <w:r>
        <w:t>2008a</w:t>
      </w:r>
      <w:proofErr w:type="spellEnd"/>
      <w:r>
        <w:t>, 2009, 2010</w:t>
      </w:r>
      <w:r w:rsidR="009308C9">
        <w:t xml:space="preserve">, </w:t>
      </w:r>
      <w:proofErr w:type="spellStart"/>
      <w:r w:rsidR="009308C9">
        <w:t>2011a</w:t>
      </w:r>
      <w:proofErr w:type="spellEnd"/>
      <w:r>
        <w:t>).</w:t>
      </w:r>
    </w:p>
    <w:p w:rsidR="0005667A" w:rsidRDefault="0005667A" w:rsidP="00D201DB">
      <w:pPr>
        <w:pStyle w:val="Heading3"/>
      </w:pPr>
      <w:r>
        <w:t>Analysis required for proposals</w:t>
      </w:r>
      <w:r w:rsidR="001A6A79">
        <w:t xml:space="preserve"> with no significant impacts</w:t>
      </w:r>
    </w:p>
    <w:p w:rsidR="00D201DB" w:rsidRDefault="0005667A" w:rsidP="00D201DB">
      <w:pPr>
        <w:pStyle w:val="BodyText"/>
      </w:pPr>
      <w:r>
        <w:t xml:space="preserve">New South Wales and Tasmania have additional documentary and analytical </w:t>
      </w:r>
      <w:r w:rsidR="001A6A79">
        <w:t xml:space="preserve">requirements for proposals without </w:t>
      </w:r>
      <w:r w:rsidR="00897529">
        <w:t>significant</w:t>
      </w:r>
      <w:r>
        <w:t xml:space="preserve"> impacts. New South Wales requires that the Better Regulation Statement principles be demonstrably adhered to in every proposal that is submitted to Cabinet or the </w:t>
      </w:r>
      <w:r w:rsidR="00533F33">
        <w:t>Executive Council for approval</w:t>
      </w:r>
      <w:r w:rsidR="00D201DB">
        <w:t xml:space="preserve"> (NSW Department of Premier and Cabinet 2009).</w:t>
      </w:r>
    </w:p>
    <w:p w:rsidR="00A34EBB" w:rsidRDefault="00615FC6" w:rsidP="00D201DB">
      <w:pPr>
        <w:pStyle w:val="BodyText"/>
      </w:pPr>
      <w:r>
        <w:t>I</w:t>
      </w:r>
      <w:r w:rsidR="0005667A">
        <w:t>n Tasmania</w:t>
      </w:r>
      <w:r>
        <w:t>,</w:t>
      </w:r>
      <w:r w:rsidR="0005667A">
        <w:t xml:space="preserve"> </w:t>
      </w:r>
      <w:r w:rsidR="00F812EE">
        <w:t xml:space="preserve">a RIS is required </w:t>
      </w:r>
      <w:r>
        <w:t xml:space="preserve">for primary legislation </w:t>
      </w:r>
      <w:r w:rsidR="0005667A">
        <w:t xml:space="preserve">with a </w:t>
      </w:r>
      <w:r w:rsidR="00F812EE">
        <w:t>‘</w:t>
      </w:r>
      <w:r w:rsidR="0005667A">
        <w:t>major</w:t>
      </w:r>
      <w:r w:rsidR="00F812EE">
        <w:t>’</w:t>
      </w:r>
      <w:r w:rsidR="001A6A79">
        <w:t xml:space="preserve"> impact and</w:t>
      </w:r>
      <w:r w:rsidR="00A21A62">
        <w:t>,</w:t>
      </w:r>
      <w:r w:rsidR="001A6A79">
        <w:t xml:space="preserve"> f</w:t>
      </w:r>
      <w:r w:rsidR="0005667A">
        <w:t xml:space="preserve">or proposals with a </w:t>
      </w:r>
      <w:r w:rsidR="009D1E3B">
        <w:t>‘</w:t>
      </w:r>
      <w:r w:rsidR="0005667A">
        <w:t>minor</w:t>
      </w:r>
      <w:r w:rsidR="009D1E3B">
        <w:t>’</w:t>
      </w:r>
      <w:r w:rsidR="0005667A">
        <w:t xml:space="preserve"> impact, a </w:t>
      </w:r>
      <w:r w:rsidR="00F812EE">
        <w:t>M</w:t>
      </w:r>
      <w:r>
        <w:t xml:space="preserve">inor </w:t>
      </w:r>
      <w:r w:rsidR="00F812EE">
        <w:t>A</w:t>
      </w:r>
      <w:r>
        <w:t xml:space="preserve">ssessment </w:t>
      </w:r>
      <w:r w:rsidR="00F812EE">
        <w:t>S</w:t>
      </w:r>
      <w:r>
        <w:t>tatement (</w:t>
      </w:r>
      <w:r w:rsidR="0005667A">
        <w:t>MAS</w:t>
      </w:r>
      <w:r>
        <w:t>)</w:t>
      </w:r>
      <w:r w:rsidR="00533F33">
        <w:t xml:space="preserve"> is required.</w:t>
      </w:r>
      <w:r w:rsidR="00D201DB">
        <w:t xml:space="preserve"> </w:t>
      </w:r>
      <w:r w:rsidR="00A34EBB">
        <w:t xml:space="preserve">As stated </w:t>
      </w:r>
      <w:r w:rsidR="009E399D">
        <w:t>in</w:t>
      </w:r>
      <w:r w:rsidR="00A34EBB">
        <w:t xml:space="preserve"> the Tasmanian guidance material, the MAS needs to outline:</w:t>
      </w:r>
    </w:p>
    <w:p w:rsidR="00A34EBB" w:rsidRDefault="00A34EBB" w:rsidP="00A34EBB">
      <w:pPr>
        <w:pStyle w:val="QuoteBullet"/>
      </w:pPr>
      <w:r>
        <w:t>the costs and benefits of the restriction on competition;</w:t>
      </w:r>
    </w:p>
    <w:p w:rsidR="00A34EBB" w:rsidRDefault="00A34EBB" w:rsidP="00A34EBB">
      <w:pPr>
        <w:pStyle w:val="QuoteBullet"/>
      </w:pPr>
      <w:r>
        <w:t>the impact of the legislation on business; and</w:t>
      </w:r>
    </w:p>
    <w:p w:rsidR="00A34EBB" w:rsidRDefault="00A34EBB" w:rsidP="00A34EBB">
      <w:pPr>
        <w:pStyle w:val="QuoteBullet"/>
      </w:pPr>
      <w:r>
        <w:lastRenderedPageBreak/>
        <w:t>whether the restriction(s) on competition or the impact on business is w</w:t>
      </w:r>
      <w:r w:rsidR="00D201DB">
        <w:t>arranted in the public benefit.</w:t>
      </w:r>
    </w:p>
    <w:p w:rsidR="00A34EBB" w:rsidRDefault="00A34EBB" w:rsidP="00D201DB">
      <w:pPr>
        <w:pStyle w:val="Quote"/>
      </w:pPr>
      <w:r>
        <w:t xml:space="preserve">Public consultation is encouraged, although not mandatory, on the MAS. Once completed, the MAS must be submitted to the </w:t>
      </w:r>
      <w:proofErr w:type="spellStart"/>
      <w:r>
        <w:t>ERU</w:t>
      </w:r>
      <w:proofErr w:type="spellEnd"/>
      <w:r>
        <w:t xml:space="preserve"> [Economic Reform Unit] for endorsement. (</w:t>
      </w:r>
      <w:r w:rsidRPr="00580093">
        <w:rPr>
          <w:color w:val="000000" w:themeColor="text1"/>
          <w:szCs w:val="24"/>
        </w:rPr>
        <w:t>Tasmanian Department of Treasury and Finance</w:t>
      </w:r>
      <w:r>
        <w:rPr>
          <w:color w:val="000000" w:themeColor="text1"/>
          <w:szCs w:val="24"/>
        </w:rPr>
        <w:t xml:space="preserve"> </w:t>
      </w:r>
      <w:r>
        <w:t>2011, p. 7)</w:t>
      </w:r>
    </w:p>
    <w:p w:rsidR="0005667A" w:rsidRDefault="0005667A" w:rsidP="0005667A">
      <w:pPr>
        <w:pStyle w:val="BodyText"/>
      </w:pPr>
      <w:r>
        <w:t xml:space="preserve">For regulatory proposals </w:t>
      </w:r>
      <w:r w:rsidR="00D71412">
        <w:t>which have no significant impacts,</w:t>
      </w:r>
      <w:r>
        <w:t xml:space="preserve"> it is unclear what additional benefit there </w:t>
      </w:r>
      <w:r w:rsidR="00AA3AF5">
        <w:t>could be from</w:t>
      </w:r>
      <w:r>
        <w:t xml:space="preserve"> </w:t>
      </w:r>
      <w:r w:rsidR="00AA3AF5">
        <w:t xml:space="preserve">documentation of </w:t>
      </w:r>
      <w:r>
        <w:t>t</w:t>
      </w:r>
      <w:r w:rsidR="00D71412">
        <w:t xml:space="preserve">he analysis undertaken. </w:t>
      </w:r>
      <w:r w:rsidR="00D90AD4">
        <w:t>However, t</w:t>
      </w:r>
      <w:r>
        <w:t xml:space="preserve">here may </w:t>
      </w:r>
      <w:r w:rsidR="00D71412">
        <w:t xml:space="preserve">be some </w:t>
      </w:r>
      <w:r w:rsidR="00FF33AC">
        <w:t xml:space="preserve">transparency and accountability </w:t>
      </w:r>
      <w:r w:rsidR="00D71412">
        <w:t>benefit</w:t>
      </w:r>
      <w:r w:rsidR="00FF33AC">
        <w:t>s</w:t>
      </w:r>
      <w:r w:rsidR="00D71412">
        <w:t xml:space="preserve"> </w:t>
      </w:r>
      <w:r w:rsidR="00FF33AC">
        <w:t xml:space="preserve">for stakeholders from publication of </w:t>
      </w:r>
      <w:r w:rsidR="009E399D">
        <w:t xml:space="preserve">preliminary </w:t>
      </w:r>
      <w:r>
        <w:t xml:space="preserve">assessments </w:t>
      </w:r>
      <w:r w:rsidR="00D71412">
        <w:t xml:space="preserve">which determined </w:t>
      </w:r>
      <w:r>
        <w:t>proposals to h</w:t>
      </w:r>
      <w:r w:rsidR="004341A1">
        <w:t>ave minor or machinery impacts.</w:t>
      </w:r>
    </w:p>
    <w:p w:rsidR="00D201DB" w:rsidRDefault="00D201DB" w:rsidP="00D201DB">
      <w:pPr>
        <w:pStyle w:val="Heading2"/>
      </w:pPr>
      <w:r>
        <w:t>4.</w:t>
      </w:r>
      <w:r w:rsidR="009445FF">
        <w:rPr>
          <w:noProof/>
        </w:rPr>
        <w:t>3</w:t>
      </w:r>
      <w:r>
        <w:tab/>
        <w:t>Who assesses whether a RIS is required?</w:t>
      </w:r>
    </w:p>
    <w:p w:rsidR="00D201DB" w:rsidRDefault="00D201DB" w:rsidP="00D201DB">
      <w:pPr>
        <w:pStyle w:val="BodyText"/>
      </w:pPr>
      <w:r>
        <w:t xml:space="preserve">The decision on whether a RIS is required is made by the oversight body in four jurisdictions, and by the relevant agency (or proposing Minister) in five jurisdictions (chapter 3). In Tasmania, </w:t>
      </w:r>
      <w:r w:rsidR="00AA3AF5">
        <w:t xml:space="preserve">who has </w:t>
      </w:r>
      <w:r>
        <w:t xml:space="preserve">responsibility </w:t>
      </w:r>
      <w:r w:rsidR="00AA3AF5">
        <w:t xml:space="preserve">for determining the need for a RIS </w:t>
      </w:r>
      <w:r>
        <w:t>depend</w:t>
      </w:r>
      <w:r w:rsidR="009E399D">
        <w:t>s</w:t>
      </w:r>
      <w:r>
        <w:t xml:space="preserve"> on the type of regulatory instrument proposed (figure 4.2).</w:t>
      </w:r>
    </w:p>
    <w:p w:rsidR="009304AF" w:rsidRDefault="009304AF" w:rsidP="009304AF">
      <w:pPr>
        <w:pStyle w:val="Heading3"/>
      </w:pPr>
      <w:r>
        <w:t>Oversight body assessment</w:t>
      </w:r>
    </w:p>
    <w:p w:rsidR="009304AF" w:rsidRDefault="009304AF" w:rsidP="009304AF">
      <w:pPr>
        <w:pStyle w:val="BodyText"/>
      </w:pPr>
      <w:r>
        <w:t xml:space="preserve">The OBPR is responsible for determining whether impacts are ‘not minor or machinery’ for both Commonwealth and COAG proposals. As noted earlier, the Australian Government had a model of preliminary assessment until 2009-10 at which point it was replaced with the current system whereby significance is determined by the </w:t>
      </w:r>
      <w:proofErr w:type="spellStart"/>
      <w:r>
        <w:t>OBPR</w:t>
      </w:r>
      <w:proofErr w:type="spellEnd"/>
      <w:r>
        <w:t xml:space="preserve"> (Australian Government </w:t>
      </w:r>
      <w:proofErr w:type="spellStart"/>
      <w:r>
        <w:t>2010a</w:t>
      </w:r>
      <w:proofErr w:type="spellEnd"/>
      <w:r>
        <w:t>).</w:t>
      </w:r>
    </w:p>
    <w:p w:rsidR="009304AF" w:rsidRDefault="009304AF" w:rsidP="009304AF">
      <w:pPr>
        <w:pStyle w:val="BodyText"/>
        <w:keepNext/>
      </w:pPr>
      <w:r>
        <w:t>The COAG guidelines state that the first step in the RIA process is to contact the OBPR and to seek advice about whether a RIS should be prepared. There is no further guidance about what factors may be taken into account. In contrast, the Australian Government guidelines state:</w:t>
      </w:r>
    </w:p>
    <w:p w:rsidR="009304AF" w:rsidRDefault="009304AF" w:rsidP="009304AF">
      <w:pPr>
        <w:pStyle w:val="Quote"/>
      </w:pPr>
      <w:r>
        <w:t>The OBPR is required to assess whether the proposal requires a RIS or whether it is minor or machinery in nature and does not require one. In order to make this assessment, the OBPR will require information in writing from the agency on what the proposed regulation entails and the likely impacts of the proposal. In general terms, the more the proposed regulation impacts on business operations, and the greater the number of businesses or not-for-profit organisations that will be affected, the more likely it is that a RIS will be required. (Australian Government 2010, p. 11)</w:t>
      </w:r>
    </w:p>
    <w:p w:rsidR="009304AF" w:rsidRDefault="009304AF" w:rsidP="00D201DB">
      <w:pPr>
        <w:pStyle w:val="BodyText"/>
      </w:pPr>
    </w:p>
    <w:p w:rsidR="00533F33" w:rsidRDefault="00533F33" w:rsidP="00533F33">
      <w:pPr>
        <w:pStyle w:val="FigureTitle"/>
      </w:pPr>
      <w:r>
        <w:rPr>
          <w:b w:val="0"/>
        </w:rPr>
        <w:lastRenderedPageBreak/>
        <w:t>Figure 4.</w:t>
      </w:r>
      <w:r w:rsidR="009445FF">
        <w:rPr>
          <w:b w:val="0"/>
          <w:noProof/>
        </w:rPr>
        <w:t>2</w:t>
      </w:r>
      <w:r>
        <w:tab/>
        <w:t>Responsibility and steps for assessing whether a RIS is required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33F33" w:rsidTr="00D201DB">
        <w:trPr>
          <w:trHeight w:val="6488"/>
        </w:trPr>
        <w:tc>
          <w:tcPr>
            <w:tcW w:w="8777" w:type="dxa"/>
          </w:tcPr>
          <w:p w:rsidR="00533F33" w:rsidRDefault="009445FF" w:rsidP="00D201DB">
            <w:pPr>
              <w:pStyle w:val="Figure"/>
            </w:pPr>
            <w:r>
              <w:rPr>
                <w:noProof/>
              </w:rPr>
              <w:drawing>
                <wp:inline distT="0" distB="0" distL="0" distR="0" wp14:anchorId="4DA654F1" wp14:editId="01157660">
                  <wp:extent cx="5572125" cy="4533900"/>
                  <wp:effectExtent l="0" t="0" r="9525" b="0"/>
                  <wp:docPr id="3" name="Picture 3" descr="Figure 4.2 Responsibility and steps for assessing whether a RIS is required. This flowchart compares the assessment processes across the jurisdictions of the Commonwealth, COAG and all states and territ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2125" cy="4533900"/>
                          </a:xfrm>
                          <a:prstGeom prst="rect">
                            <a:avLst/>
                          </a:prstGeom>
                          <a:noFill/>
                          <a:ln>
                            <a:noFill/>
                          </a:ln>
                        </pic:spPr>
                      </pic:pic>
                    </a:graphicData>
                  </a:graphic>
                </wp:inline>
              </w:drawing>
            </w:r>
          </w:p>
        </w:tc>
      </w:tr>
    </w:tbl>
    <w:p w:rsidR="00D32B42" w:rsidRPr="00D32B42" w:rsidRDefault="00D32B42" w:rsidP="00533F33">
      <w:pPr>
        <w:pStyle w:val="Note"/>
      </w:pPr>
      <w:r w:rsidRPr="00D32B42">
        <w:rPr>
          <w:rStyle w:val="NoteLabel"/>
        </w:rPr>
        <w:t>a</w:t>
      </w:r>
      <w:r>
        <w:rPr>
          <w:i/>
        </w:rPr>
        <w:t xml:space="preserve"> </w:t>
      </w:r>
      <w:r w:rsidRPr="00D32B42">
        <w:t>From late 2012, responsibility for assessing whether a RIS is required is to move from agencies to the Queensland Office of Best Practice Regulation.</w:t>
      </w:r>
    </w:p>
    <w:p w:rsidR="00533F33" w:rsidRDefault="00533F33" w:rsidP="00533F33">
      <w:pPr>
        <w:pStyle w:val="Note"/>
      </w:pPr>
      <w:r>
        <w:rPr>
          <w:i/>
        </w:rPr>
        <w:t>Data source</w:t>
      </w:r>
      <w:r w:rsidR="00045572">
        <w:rPr>
          <w:i/>
        </w:rPr>
        <w:t>s</w:t>
      </w:r>
      <w:r w:rsidRPr="00167F06">
        <w:t xml:space="preserve">: </w:t>
      </w:r>
      <w:r>
        <w:t>Jurisdictional guidance material (appendix B).</w:t>
      </w:r>
    </w:p>
    <w:p w:rsidR="009D1E3B" w:rsidRDefault="009D1E3B" w:rsidP="00004741">
      <w:pPr>
        <w:pStyle w:val="BodyText"/>
      </w:pPr>
      <w:r>
        <w:t>The oversight bodies in Western Austr</w:t>
      </w:r>
      <w:r w:rsidR="005423A7">
        <w:t>alia and the Northern Territory</w:t>
      </w:r>
      <w:r>
        <w:t xml:space="preserve"> are responsible for assessing significance, however this is on the basis of the formal </w:t>
      </w:r>
      <w:proofErr w:type="spellStart"/>
      <w:r>
        <w:t>PIA</w:t>
      </w:r>
      <w:proofErr w:type="spellEnd"/>
      <w:r>
        <w:t xml:space="preserve"> processes previously discussed.</w:t>
      </w:r>
    </w:p>
    <w:p w:rsidR="00004741" w:rsidRPr="00004741" w:rsidRDefault="00004741" w:rsidP="00004741">
      <w:pPr>
        <w:pStyle w:val="BodyText"/>
      </w:pPr>
      <w:r>
        <w:t>For primary legislation in Tasmania, the agency determines whether the proposal imposes any competition or business impacts and submits a ‘statement of intent’ to the oversight body. Where such impacts are identified, the oversight body then determines whether they are minor or major. If the competition or business impacts are likely to be major, a RIS is required. If the impacts are likely to be minor then a MAS is required (discussed above).</w:t>
      </w:r>
    </w:p>
    <w:p w:rsidR="0045526D" w:rsidRDefault="004D2DF7" w:rsidP="0018294C">
      <w:pPr>
        <w:pStyle w:val="Heading3"/>
      </w:pPr>
      <w:bookmarkStart w:id="17" w:name="_Toc326139790"/>
      <w:r>
        <w:lastRenderedPageBreak/>
        <w:t>Agency or m</w:t>
      </w:r>
      <w:r w:rsidR="00F7411B">
        <w:t xml:space="preserve">inisterial </w:t>
      </w:r>
      <w:r w:rsidR="0045526D">
        <w:t>assessment</w:t>
      </w:r>
      <w:bookmarkEnd w:id="17"/>
    </w:p>
    <w:p w:rsidR="001C6567" w:rsidRDefault="0045526D" w:rsidP="0045526D">
      <w:pPr>
        <w:pStyle w:val="BodyText"/>
      </w:pPr>
      <w:r>
        <w:t xml:space="preserve">Self-assessment is undertaken </w:t>
      </w:r>
      <w:r w:rsidR="0009605D">
        <w:t xml:space="preserve">by proponent agencies </w:t>
      </w:r>
      <w:r>
        <w:t xml:space="preserve">in </w:t>
      </w:r>
      <w:r w:rsidR="00862AAF">
        <w:t>all other jurisdictions</w:t>
      </w:r>
      <w:r>
        <w:t xml:space="preserve">. Queensland’s process of self-assessment is undertaken via a </w:t>
      </w:r>
      <w:proofErr w:type="spellStart"/>
      <w:r>
        <w:t>PIA</w:t>
      </w:r>
      <w:proofErr w:type="spellEnd"/>
      <w:r>
        <w:t xml:space="preserve"> approach and was discussed previously</w:t>
      </w:r>
      <w:r w:rsidR="001C6567">
        <w:t>.</w:t>
      </w:r>
    </w:p>
    <w:p w:rsidR="0045526D" w:rsidRDefault="0045526D" w:rsidP="0045526D">
      <w:pPr>
        <w:pStyle w:val="BodyText"/>
      </w:pPr>
      <w:r>
        <w:t>New South Wales, Victoria, Tasmania and the ACT all have subordinate legislation</w:t>
      </w:r>
      <w:r w:rsidR="00086011">
        <w:t xml:space="preserve"> Acts</w:t>
      </w:r>
      <w:r>
        <w:t xml:space="preserve"> which govern the different processes of assessing whether a RIS is required for regulations. </w:t>
      </w:r>
      <w:r w:rsidR="00C94EF8">
        <w:t>Additionally, these jurisdictions have adopted differing approaches in a</w:t>
      </w:r>
      <w:r w:rsidR="00737C36">
        <w:t>ssessing primary legislation</w:t>
      </w:r>
      <w:r w:rsidR="00C94EF8">
        <w:t>. South Australia assesses all regulation through the same method.</w:t>
      </w:r>
    </w:p>
    <w:p w:rsidR="006B68AE" w:rsidRDefault="00737C36" w:rsidP="0045526D">
      <w:pPr>
        <w:pStyle w:val="BodyText"/>
      </w:pPr>
      <w:r>
        <w:t>For subordinate legislation i</w:t>
      </w:r>
      <w:r w:rsidR="00556939">
        <w:t>n N</w:t>
      </w:r>
      <w:r w:rsidR="00862AAF">
        <w:t xml:space="preserve">ew </w:t>
      </w:r>
      <w:r w:rsidR="00556939">
        <w:t>S</w:t>
      </w:r>
      <w:r w:rsidR="00862AAF">
        <w:t xml:space="preserve">outh </w:t>
      </w:r>
      <w:r w:rsidR="00556939">
        <w:t>W</w:t>
      </w:r>
      <w:r w:rsidR="00862AAF">
        <w:t>ales</w:t>
      </w:r>
      <w:r w:rsidR="00556939">
        <w:t xml:space="preserve">, </w:t>
      </w:r>
      <w:r w:rsidR="0045526D">
        <w:t>Victoria</w:t>
      </w:r>
      <w:r w:rsidR="00556939">
        <w:t xml:space="preserve"> and the ACT, t</w:t>
      </w:r>
      <w:r w:rsidR="0045526D">
        <w:t xml:space="preserve">he process of assessing whether a proposal </w:t>
      </w:r>
      <w:r w:rsidR="000747FA">
        <w:t>has</w:t>
      </w:r>
      <w:r w:rsidR="0045526D">
        <w:t xml:space="preserve"> appreciable costs is at the discretion of the proposing Minister. In </w:t>
      </w:r>
      <w:r w:rsidR="00862AAF">
        <w:t>New South Wales</w:t>
      </w:r>
      <w:r w:rsidR="0094336E">
        <w:t>,</w:t>
      </w:r>
      <w:r w:rsidR="0045526D">
        <w:t xml:space="preserve"> this is done with the advice of the Attorney General or the Parliamentary Counsel, whereas in Victoria</w:t>
      </w:r>
      <w:r w:rsidR="00556939">
        <w:t xml:space="preserve"> and the ACT</w:t>
      </w:r>
      <w:r w:rsidR="0045526D">
        <w:t xml:space="preserve"> the decision </w:t>
      </w:r>
      <w:r w:rsidR="006B68AE">
        <w:t>is solely that of the Minister.</w:t>
      </w:r>
    </w:p>
    <w:p w:rsidR="0045526D" w:rsidRDefault="00D115B1" w:rsidP="0045526D">
      <w:pPr>
        <w:pStyle w:val="BodyText"/>
      </w:pPr>
      <w:r>
        <w:t>For primary legislation in New South Wales, the relevant portfolio Minister is responsible for determining whether a RIS is required. The decision of the Minister is however subject to the views of the Premier and Cabinet (NSW Department of Premier and Cabinet 2009). In Victoria, agency self-assessment is not subject to external scrutiny, however, the oversight body is able to provide comments to inform Cabinet decisions if necessary. In South Australia, the proposing agency is responsible for determining whether a RIS is required. Where the agency assesses that the proposal does not trigger the RIS requirements, a statement to that effect is required in the Cabinet submission for the proposal.</w:t>
      </w:r>
      <w:r w:rsidR="00064316">
        <w:t xml:space="preserve"> </w:t>
      </w:r>
      <w:r w:rsidR="0045526D">
        <w:t>The Cabinet Office has an oversight role in determining whether a RIS is required:</w:t>
      </w:r>
    </w:p>
    <w:p w:rsidR="0045526D" w:rsidRDefault="0045526D" w:rsidP="0045526D">
      <w:pPr>
        <w:pStyle w:val="Quote"/>
      </w:pPr>
      <w:r>
        <w:t xml:space="preserve">Where agencies make decisions based on </w:t>
      </w:r>
      <w:proofErr w:type="spellStart"/>
      <w:r>
        <w:t>self assessment</w:t>
      </w:r>
      <w:proofErr w:type="spellEnd"/>
      <w:r>
        <w:t xml:space="preserve"> they need to consider the risk that Cabinet Office will make a finding contrary to that of the agency. This may result in delayed implementation/amendment of regulation while a RIS is prepared, or the agency may have their red-tape reduction target adjusted if the regulation would impose additional burden on business. (</w:t>
      </w:r>
      <w:r w:rsidR="005D198D">
        <w:t xml:space="preserve">SA </w:t>
      </w:r>
      <w:r w:rsidR="005D198D" w:rsidRPr="00A558D3">
        <w:t>Department of the Premier and Cabinet and Department of Treasury and Finance</w:t>
      </w:r>
      <w:r>
        <w:t xml:space="preserve"> 2011, p. 7)</w:t>
      </w:r>
    </w:p>
    <w:p w:rsidR="00A84B88" w:rsidRPr="00A84B88" w:rsidRDefault="00A84B88" w:rsidP="00A84B88">
      <w:pPr>
        <w:pStyle w:val="BodyText"/>
      </w:pPr>
      <w:r>
        <w:t xml:space="preserve">The South Australian RIA system has been in operation for </w:t>
      </w:r>
      <w:r w:rsidR="00045572">
        <w:t xml:space="preserve">only </w:t>
      </w:r>
      <w:r>
        <w:t xml:space="preserve">a short period of time. It remains to be seen whether the design of the self-assessment model will in practice see agencies relying heavily on up-front advice from the oversight body in order to avoid the </w:t>
      </w:r>
      <w:r w:rsidR="00E67276">
        <w:t>consequences</w:t>
      </w:r>
      <w:r>
        <w:t xml:space="preserve"> </w:t>
      </w:r>
      <w:r w:rsidR="00394E54">
        <w:t xml:space="preserve">of </w:t>
      </w:r>
      <w:r>
        <w:t>making an incorrect decision.</w:t>
      </w:r>
    </w:p>
    <w:p w:rsidR="00014077" w:rsidRDefault="00EF1D6F" w:rsidP="0045526D">
      <w:pPr>
        <w:pStyle w:val="BodyText"/>
      </w:pPr>
      <w:r>
        <w:t xml:space="preserve">According to the </w:t>
      </w:r>
      <w:r w:rsidR="00EC5705" w:rsidRPr="000747FA">
        <w:t>ACT</w:t>
      </w:r>
      <w:r>
        <w:t xml:space="preserve"> guidance material</w:t>
      </w:r>
      <w:r w:rsidR="00EC5705" w:rsidRPr="000747FA">
        <w:t xml:space="preserve">, </w:t>
      </w:r>
      <w:r w:rsidR="00EC5705" w:rsidRPr="00897529">
        <w:rPr>
          <w:i/>
        </w:rPr>
        <w:t>all</w:t>
      </w:r>
      <w:r w:rsidR="00EC5705" w:rsidRPr="000747FA">
        <w:t xml:space="preserve"> primary legislation requires</w:t>
      </w:r>
      <w:r w:rsidR="0045526D" w:rsidRPr="000747FA">
        <w:t xml:space="preserve"> </w:t>
      </w:r>
      <w:r w:rsidR="00EC5705" w:rsidRPr="000747FA">
        <w:t>a RIS, regardless of the significance of impacts</w:t>
      </w:r>
      <w:r w:rsidR="00DE308C">
        <w:t>. H</w:t>
      </w:r>
      <w:r>
        <w:t>owever</w:t>
      </w:r>
      <w:r w:rsidR="00DE308C">
        <w:t>,</w:t>
      </w:r>
      <w:r>
        <w:t xml:space="preserve"> in practice</w:t>
      </w:r>
      <w:r w:rsidR="00DE308C">
        <w:t>,</w:t>
      </w:r>
      <w:r>
        <w:t xml:space="preserve"> </w:t>
      </w:r>
      <w:r w:rsidR="00227D26">
        <w:t xml:space="preserve">some primary legislation has been introduced without a </w:t>
      </w:r>
      <w:r>
        <w:t>RIS</w:t>
      </w:r>
      <w:r w:rsidR="00227D26">
        <w:t>.</w:t>
      </w:r>
    </w:p>
    <w:p w:rsidR="00F7411B" w:rsidRDefault="00A95282" w:rsidP="0018294C">
      <w:pPr>
        <w:pStyle w:val="Heading3"/>
      </w:pPr>
      <w:r>
        <w:lastRenderedPageBreak/>
        <w:t>The merits of alternative assessment approaches</w:t>
      </w:r>
    </w:p>
    <w:p w:rsidR="00772400" w:rsidRDefault="00772400" w:rsidP="005F4216">
      <w:pPr>
        <w:pStyle w:val="BodyText"/>
      </w:pPr>
      <w:r>
        <w:t xml:space="preserve">As the </w:t>
      </w:r>
      <w:r w:rsidR="00EC4124">
        <w:t>proponent</w:t>
      </w:r>
      <w:r w:rsidR="00E67276">
        <w:t xml:space="preserve"> </w:t>
      </w:r>
      <w:r>
        <w:t xml:space="preserve">agency is ultimately responsible for compliance with the RIA requirements, it </w:t>
      </w:r>
      <w:r w:rsidR="00322958">
        <w:t xml:space="preserve">can be argued that </w:t>
      </w:r>
      <w:r w:rsidR="009D7489">
        <w:t xml:space="preserve">the </w:t>
      </w:r>
      <w:r>
        <w:t xml:space="preserve">agency </w:t>
      </w:r>
      <w:r w:rsidR="009D7489">
        <w:t xml:space="preserve">should </w:t>
      </w:r>
      <w:r>
        <w:t xml:space="preserve">be responsible for determining </w:t>
      </w:r>
      <w:r w:rsidR="00AA2321">
        <w:t>whether a RIS is required</w:t>
      </w:r>
      <w:r>
        <w:t xml:space="preserve">. </w:t>
      </w:r>
      <w:r w:rsidR="00737C36">
        <w:t xml:space="preserve">If determining the significance of a proposal’s impacts requires technical knowledge or skills that are embodied in the proponent agency (and not the oversight body), then </w:t>
      </w:r>
      <w:r w:rsidR="005F4216">
        <w:t xml:space="preserve">self-assessment </w:t>
      </w:r>
      <w:r w:rsidR="00322958">
        <w:t>can potentially</w:t>
      </w:r>
      <w:r w:rsidR="005F4216">
        <w:t xml:space="preserve"> </w:t>
      </w:r>
      <w:r>
        <w:t>reduce the costs for both the agency and the oversight body</w:t>
      </w:r>
      <w:r w:rsidR="005F4216">
        <w:t xml:space="preserve">. </w:t>
      </w:r>
      <w:r w:rsidR="00737C36">
        <w:t>When</w:t>
      </w:r>
      <w:r>
        <w:t xml:space="preserve"> the vast majority of regulatory proposals </w:t>
      </w:r>
      <w:r w:rsidR="00897529">
        <w:t>do not impose significant</w:t>
      </w:r>
      <w:r w:rsidR="00737C36">
        <w:t xml:space="preserve"> impacts, having less</w:t>
      </w:r>
      <w:r>
        <w:t xml:space="preserve"> resources devoted to </w:t>
      </w:r>
      <w:r w:rsidR="00737C36">
        <w:t>preliminary assessments</w:t>
      </w:r>
      <w:r>
        <w:t xml:space="preserve"> may be appropriate. A self-assessment model is also consistent with a risk-management approach to compliance, adopted in many other areas </w:t>
      </w:r>
      <w:r w:rsidR="00E67276">
        <w:t>of regulation</w:t>
      </w:r>
      <w:r w:rsidR="00737C36">
        <w:t>,</w:t>
      </w:r>
      <w:r w:rsidR="00E67276">
        <w:t xml:space="preserve"> </w:t>
      </w:r>
      <w:r w:rsidR="0018294C">
        <w:t>such as taxation and customs.</w:t>
      </w:r>
    </w:p>
    <w:p w:rsidR="007F6516" w:rsidRDefault="00E67276" w:rsidP="00F7411B">
      <w:pPr>
        <w:pStyle w:val="BodyText"/>
      </w:pPr>
      <w:r>
        <w:t xml:space="preserve">On the other hand, </w:t>
      </w:r>
      <w:r w:rsidR="00862AAF">
        <w:t>an advantage</w:t>
      </w:r>
      <w:r w:rsidR="00F7411B">
        <w:t xml:space="preserve"> of having the jurisdictional oversight body determ</w:t>
      </w:r>
      <w:r w:rsidR="00862AAF">
        <w:t>ine the significance of impacts</w:t>
      </w:r>
      <w:r w:rsidR="00F7411B">
        <w:t xml:space="preserve"> is that it is done at arm’s length from the agency introducing the regulatory proposal. </w:t>
      </w:r>
      <w:r w:rsidR="00862AAF">
        <w:t xml:space="preserve">The skills and expertise of the oversight body may be able to produce more consistent decisions, both within and across agencies. </w:t>
      </w:r>
      <w:r w:rsidR="00772400">
        <w:t>Under a self</w:t>
      </w:r>
      <w:r w:rsidR="00772400">
        <w:noBreakHyphen/>
        <w:t xml:space="preserve">assessment approach, agencies </w:t>
      </w:r>
      <w:r w:rsidR="00862AAF">
        <w:t>may have an incentive</w:t>
      </w:r>
      <w:r w:rsidR="00772400">
        <w:t xml:space="preserve"> to decide that a </w:t>
      </w:r>
      <w:r w:rsidR="007F6516">
        <w:t xml:space="preserve">particular regulatory proposal </w:t>
      </w:r>
      <w:r w:rsidR="00862AAF">
        <w:t>with</w:t>
      </w:r>
      <w:r w:rsidR="00772400">
        <w:t xml:space="preserve"> </w:t>
      </w:r>
      <w:r w:rsidR="00897529">
        <w:t>significant</w:t>
      </w:r>
      <w:r w:rsidR="007F6516">
        <w:t xml:space="preserve"> impacts </w:t>
      </w:r>
      <w:r w:rsidR="00862AAF">
        <w:t xml:space="preserve">does not require a RIS </w:t>
      </w:r>
      <w:r w:rsidR="007F6516">
        <w:t xml:space="preserve">(in order to minimise further </w:t>
      </w:r>
      <w:r w:rsidR="00862AAF">
        <w:t>use of agency resource</w:t>
      </w:r>
      <w:r w:rsidR="00157649">
        <w:t>s</w:t>
      </w:r>
      <w:r w:rsidR="00862AAF">
        <w:t xml:space="preserve"> or to delay stakeholder engagement</w:t>
      </w:r>
      <w:r w:rsidR="007F6516">
        <w:t>)</w:t>
      </w:r>
      <w:r w:rsidR="00772400">
        <w:t xml:space="preserve">. </w:t>
      </w:r>
      <w:r w:rsidR="007F6516">
        <w:t>Alternatively, if the consequences of a wrong decision are substantial, agencies may heavily consult with the oversight body, reducing the relative cost</w:t>
      </w:r>
      <w:r w:rsidR="007F6516">
        <w:noBreakHyphen/>
        <w:t>effectivenes</w:t>
      </w:r>
      <w:r w:rsidR="00862AAF">
        <w:t>s of the self</w:t>
      </w:r>
      <w:r w:rsidR="00862AAF">
        <w:noBreakHyphen/>
        <w:t>assessment model.</w:t>
      </w:r>
    </w:p>
    <w:p w:rsidR="002505A1" w:rsidRDefault="002F7EB4" w:rsidP="00F7411B">
      <w:pPr>
        <w:pStyle w:val="BodyText"/>
      </w:pPr>
      <w:r>
        <w:t xml:space="preserve">Where </w:t>
      </w:r>
      <w:r w:rsidR="002505A1">
        <w:t xml:space="preserve">self-assessment </w:t>
      </w:r>
      <w:r>
        <w:t>is employed</w:t>
      </w:r>
      <w:r w:rsidR="002505A1">
        <w:t>, some additional</w:t>
      </w:r>
      <w:r>
        <w:t xml:space="preserve"> system design features may be necessary.</w:t>
      </w:r>
      <w:r w:rsidR="007F6516">
        <w:t xml:space="preserve"> For example, the option of an agency</w:t>
      </w:r>
      <w:r w:rsidR="002505A1">
        <w:t xml:space="preserve"> </w:t>
      </w:r>
      <w:r w:rsidR="00F63988">
        <w:t>refer</w:t>
      </w:r>
      <w:r w:rsidR="007F6516">
        <w:t>ring a</w:t>
      </w:r>
      <w:r w:rsidR="00F63988">
        <w:t xml:space="preserve"> proposal to the relevant oversight body </w:t>
      </w:r>
      <w:r w:rsidR="007F6516">
        <w:t>to</w:t>
      </w:r>
      <w:r w:rsidR="00F63988">
        <w:t xml:space="preserve"> make the final decision</w:t>
      </w:r>
      <w:r w:rsidR="007F6516">
        <w:t xml:space="preserve"> should be retained, to enable agencies to draw on the skills and expertise of their oversight body</w:t>
      </w:r>
      <w:r w:rsidR="00F63988">
        <w:t xml:space="preserve">. To </w:t>
      </w:r>
      <w:r w:rsidR="00A95282">
        <w:t>en</w:t>
      </w:r>
      <w:r w:rsidR="00F63988">
        <w:t xml:space="preserve">courage </w:t>
      </w:r>
      <w:r w:rsidR="00A95282">
        <w:t>agencies to appropriately judge the need for a RIS</w:t>
      </w:r>
      <w:r w:rsidR="00F63988">
        <w:t xml:space="preserve">, the </w:t>
      </w:r>
      <w:r>
        <w:t xml:space="preserve">oversight body </w:t>
      </w:r>
      <w:r w:rsidR="00862AAF">
        <w:t>may</w:t>
      </w:r>
      <w:r w:rsidR="00F63988">
        <w:t xml:space="preserve"> conduct a periodic audit of</w:t>
      </w:r>
      <w:r w:rsidR="00AA2321">
        <w:t xml:space="preserve"> the agencies</w:t>
      </w:r>
      <w:r w:rsidR="000E3303">
        <w:t>’</w:t>
      </w:r>
      <w:r w:rsidR="00AA2321">
        <w:t xml:space="preserve"> judg</w:t>
      </w:r>
      <w:r w:rsidR="00F63988">
        <w:t xml:space="preserve">ments where no RIS was required. If the audit finds </w:t>
      </w:r>
      <w:r w:rsidR="00A95282">
        <w:t>that</w:t>
      </w:r>
      <w:r w:rsidR="00F63988">
        <w:t xml:space="preserve"> </w:t>
      </w:r>
      <w:r w:rsidR="003969AE">
        <w:t xml:space="preserve">an </w:t>
      </w:r>
      <w:r w:rsidR="00F63988">
        <w:t>agency</w:t>
      </w:r>
      <w:r w:rsidR="00A95282">
        <w:t xml:space="preserve"> has repeatedly misjudge</w:t>
      </w:r>
      <w:r w:rsidR="00FC01D1">
        <w:t>d</w:t>
      </w:r>
      <w:r w:rsidR="00A95282">
        <w:t xml:space="preserve"> the need for a RIS</w:t>
      </w:r>
      <w:r w:rsidR="00F63988">
        <w:t>,</w:t>
      </w:r>
      <w:r>
        <w:t xml:space="preserve"> a sanction could be applied</w:t>
      </w:r>
      <w:r w:rsidR="003969AE">
        <w:t>,</w:t>
      </w:r>
      <w:r>
        <w:t xml:space="preserve"> such as </w:t>
      </w:r>
      <w:r w:rsidR="00AA2321">
        <w:t>withdrawing th</w:t>
      </w:r>
      <w:r w:rsidR="000E3303">
        <w:t>at</w:t>
      </w:r>
      <w:r w:rsidR="00AA2321">
        <w:t xml:space="preserve"> agenc</w:t>
      </w:r>
      <w:r w:rsidR="000E3303">
        <w:t>y’s</w:t>
      </w:r>
      <w:r w:rsidR="00AA2321">
        <w:t xml:space="preserve"> right</w:t>
      </w:r>
      <w:r w:rsidR="007F6516">
        <w:t xml:space="preserve"> to self-assess —</w:t>
      </w:r>
      <w:r w:rsidR="005406C0">
        <w:t xml:space="preserve"> that is,</w:t>
      </w:r>
      <w:r w:rsidR="007F6516">
        <w:t xml:space="preserve"> the agency would be required to refer future</w:t>
      </w:r>
      <w:r w:rsidR="00F63988">
        <w:t xml:space="preserve"> </w:t>
      </w:r>
      <w:r w:rsidR="005406C0">
        <w:t>proposals to the oversight body for determination</w:t>
      </w:r>
      <w:r w:rsidR="00F63988">
        <w:t>.</w:t>
      </w:r>
    </w:p>
    <w:p w:rsidR="007B1B41" w:rsidRDefault="006B07FD" w:rsidP="007B1B41">
      <w:pPr>
        <w:pStyle w:val="BodyText"/>
      </w:pPr>
      <w:r>
        <w:t xml:space="preserve">In general, the Commission considers that agency assessment is likely to be a leading practice but recognises that it might not be immediately feasible in all agencies/jurisdictions. </w:t>
      </w:r>
      <w:r w:rsidR="00322958">
        <w:t>W</w:t>
      </w:r>
      <w:r w:rsidR="009326E2">
        <w:t>hichever method</w:t>
      </w:r>
      <w:r w:rsidR="007F6516">
        <w:t xml:space="preserve"> of assessment</w:t>
      </w:r>
      <w:r w:rsidR="009326E2">
        <w:t xml:space="preserve"> is selected</w:t>
      </w:r>
      <w:r w:rsidR="007F6516">
        <w:t>,</w:t>
      </w:r>
      <w:r w:rsidR="009326E2">
        <w:t xml:space="preserve"> the Commission considers that </w:t>
      </w:r>
      <w:r w:rsidR="007F6516">
        <w:t>key features should include</w:t>
      </w:r>
      <w:r w:rsidR="009326E2">
        <w:t>:</w:t>
      </w:r>
    </w:p>
    <w:p w:rsidR="002505A1" w:rsidRDefault="007F6516" w:rsidP="007B1B41">
      <w:pPr>
        <w:pStyle w:val="ListBullet"/>
      </w:pPr>
      <w:r>
        <w:t>reducing</w:t>
      </w:r>
      <w:r w:rsidR="002505A1">
        <w:t xml:space="preserve"> </w:t>
      </w:r>
      <w:r w:rsidR="005406C0">
        <w:t>any</w:t>
      </w:r>
      <w:r w:rsidR="002505A1">
        <w:t xml:space="preserve"> documentary and analytical requirements to the minimum necessary through </w:t>
      </w:r>
      <w:r w:rsidR="005406C0">
        <w:t xml:space="preserve">the use (for most proposals) of </w:t>
      </w:r>
      <w:r w:rsidR="002505A1">
        <w:t>a pro forma or checklist-based preliminary assessment system</w:t>
      </w:r>
    </w:p>
    <w:p w:rsidR="006D136A" w:rsidRDefault="007F6516" w:rsidP="007B1B41">
      <w:pPr>
        <w:pStyle w:val="ListBullet"/>
      </w:pPr>
      <w:r>
        <w:lastRenderedPageBreak/>
        <w:t xml:space="preserve">agencies </w:t>
      </w:r>
      <w:r w:rsidR="00157649">
        <w:t>undertaking and publishing</w:t>
      </w:r>
      <w:r w:rsidR="00DE23C1">
        <w:t xml:space="preserve"> annual regulatory plans to highlight forthcoming regulatory proposals</w:t>
      </w:r>
      <w:r w:rsidR="00E22564">
        <w:t xml:space="preserve"> (chapter </w:t>
      </w:r>
      <w:r w:rsidR="003969AE">
        <w:t>7</w:t>
      </w:r>
      <w:r w:rsidR="00E22564">
        <w:t>)</w:t>
      </w:r>
    </w:p>
    <w:p w:rsidR="009326E2" w:rsidRDefault="002505A1" w:rsidP="007B1B41">
      <w:pPr>
        <w:pStyle w:val="ListBullet"/>
      </w:pPr>
      <w:r>
        <w:t>where impacts can be assessed as prima facie significant, the RIS process should immediately commence</w:t>
      </w:r>
    </w:p>
    <w:p w:rsidR="00373B30" w:rsidRPr="008C5594" w:rsidRDefault="00FF0F16" w:rsidP="008C5594">
      <w:pPr>
        <w:pStyle w:val="ListBullet"/>
      </w:pPr>
      <w:r>
        <w:t>where</w:t>
      </w:r>
      <w:r w:rsidR="002505A1">
        <w:t xml:space="preserve"> impacts are assessed as </w:t>
      </w:r>
      <w:r w:rsidR="00897529">
        <w:t>not significant</w:t>
      </w:r>
      <w:r w:rsidR="002505A1">
        <w:t>, the decision with accompanyin</w:t>
      </w:r>
      <w:r w:rsidR="00AA43B1">
        <w:t xml:space="preserve">g reasons should be made public with </w:t>
      </w:r>
      <w:r w:rsidR="007F6516">
        <w:t>a periodic audit of</w:t>
      </w:r>
      <w:r w:rsidR="002505A1">
        <w:t xml:space="preserve"> decision</w:t>
      </w:r>
      <w:r w:rsidR="007F6516">
        <w:t>s</w:t>
      </w:r>
      <w:r w:rsidR="002505A1">
        <w:t xml:space="preserve"> to no</w:t>
      </w:r>
      <w:r w:rsidR="007F6516">
        <w:t>t undertake a RIS.</w:t>
      </w:r>
    </w:p>
    <w:p w:rsidR="00373B30" w:rsidRDefault="00373B30" w:rsidP="00D201DB">
      <w:pPr>
        <w:pStyle w:val="FindingTitle"/>
        <w:framePr w:wrap="auto"/>
      </w:pPr>
      <w:r>
        <w:t>leading practice 4.</w:t>
      </w:r>
      <w:r w:rsidR="009445FF">
        <w:rPr>
          <w:noProof/>
        </w:rPr>
        <w:t>3</w:t>
      </w:r>
    </w:p>
    <w:p w:rsidR="00373B30" w:rsidRPr="00AA3AF5" w:rsidRDefault="00373B30" w:rsidP="00373B30">
      <w:pPr>
        <w:pStyle w:val="Finding"/>
        <w:keepNext/>
        <w:rPr>
          <w:b/>
        </w:rPr>
      </w:pPr>
      <w:r w:rsidRPr="00AA3AF5">
        <w:rPr>
          <w:b/>
        </w:rPr>
        <w:t>The efficiency and effectiveness of processes for determining whether RIS requirements are triggered are likely to be enhanced where jurisdictions have adopted the following practices:</w:t>
      </w:r>
    </w:p>
    <w:p w:rsidR="00373B30" w:rsidRPr="00AA3AF5" w:rsidRDefault="00373B30" w:rsidP="00373B30">
      <w:pPr>
        <w:pStyle w:val="FindingBullet"/>
        <w:rPr>
          <w:b/>
        </w:rPr>
      </w:pPr>
      <w:r w:rsidRPr="00AA3AF5">
        <w:rPr>
          <w:b/>
        </w:rPr>
        <w:t>agency self-assessment of the need for a RIS (in consultation with the oversight body when necessary)</w:t>
      </w:r>
    </w:p>
    <w:p w:rsidR="00373B30" w:rsidRPr="00AA3AF5" w:rsidRDefault="00373B30" w:rsidP="00373B30">
      <w:pPr>
        <w:pStyle w:val="FindingBullet"/>
        <w:rPr>
          <w:b/>
        </w:rPr>
      </w:pPr>
      <w:r w:rsidRPr="00AA3AF5">
        <w:rPr>
          <w:b/>
        </w:rPr>
        <w:t>a preliminary assessment process that ensures only the minimum necessary analysis is undertaken — for proposals that will clearly impose significant impacts no preliminary assessment should be required</w:t>
      </w:r>
    </w:p>
    <w:p w:rsidR="00373B30" w:rsidRPr="00AA3AF5" w:rsidRDefault="00373B30" w:rsidP="00373B30">
      <w:pPr>
        <w:pStyle w:val="FindingBullet"/>
        <w:rPr>
          <w:b/>
        </w:rPr>
      </w:pPr>
      <w:r w:rsidRPr="00AA3AF5">
        <w:rPr>
          <w:b/>
        </w:rPr>
        <w:t>where impacts are assessed as not significant (hence no RIS is required), reasons for the determination are made public</w:t>
      </w:r>
    </w:p>
    <w:p w:rsidR="00373B30" w:rsidRPr="00AA3AF5" w:rsidRDefault="00373B30" w:rsidP="00373B30">
      <w:pPr>
        <w:pStyle w:val="FindingBullet"/>
        <w:rPr>
          <w:b/>
        </w:rPr>
      </w:pPr>
      <w:r w:rsidRPr="00AA3AF5">
        <w:rPr>
          <w:b/>
        </w:rPr>
        <w:t>in the case of agency self-assessment of the need for a RIS, the periodic independent auditing of these determinations by the oversight body and in the event of performance failure, the removal of the agency’s responsibility for determinations for a period of time.</w:t>
      </w:r>
      <w:bookmarkEnd w:id="1"/>
    </w:p>
    <w:sectPr w:rsidR="00373B30" w:rsidRPr="00AA3AF5" w:rsidSect="006E2C12">
      <w:headerReference w:type="even" r:id="rId11"/>
      <w:headerReference w:type="default" r:id="rId12"/>
      <w:footerReference w:type="even" r:id="rId13"/>
      <w:footerReference w:type="default" r:id="rId14"/>
      <w:pgSz w:w="11907" w:h="16840" w:code="9"/>
      <w:pgMar w:top="1985" w:right="1304" w:bottom="1418" w:left="1814" w:header="1701" w:footer="567" w:gutter="0"/>
      <w:pgNumType w:start="10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5FF" w:rsidRDefault="009445FF">
      <w:r>
        <w:separator/>
      </w:r>
    </w:p>
  </w:endnote>
  <w:endnote w:type="continuationSeparator" w:id="0">
    <w:p w:rsidR="009445FF" w:rsidRDefault="0094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445FF">
      <w:trPr>
        <w:trHeight w:hRule="exact" w:val="740"/>
      </w:trPr>
      <w:tc>
        <w:tcPr>
          <w:tcW w:w="510" w:type="dxa"/>
          <w:tcBorders>
            <w:top w:val="single" w:sz="6" w:space="0" w:color="auto"/>
          </w:tcBorders>
        </w:tcPr>
        <w:p w:rsidR="009445FF" w:rsidRDefault="009445F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317A2">
            <w:rPr>
              <w:rStyle w:val="PageNumber"/>
              <w:noProof/>
            </w:rPr>
            <w:t>126</w:t>
          </w:r>
          <w:r>
            <w:rPr>
              <w:rStyle w:val="PageNumber"/>
            </w:rPr>
            <w:fldChar w:fldCharType="end"/>
          </w:r>
        </w:p>
      </w:tc>
      <w:tc>
        <w:tcPr>
          <w:tcW w:w="1644" w:type="dxa"/>
          <w:tcBorders>
            <w:top w:val="single" w:sz="6" w:space="0" w:color="auto"/>
          </w:tcBorders>
        </w:tcPr>
        <w:p w:rsidR="009445FF" w:rsidRDefault="009445FF" w:rsidP="0019293B">
          <w:pPr>
            <w:pStyle w:val="Footer"/>
          </w:pPr>
          <w:r>
            <w:t>ria benchmarking</w:t>
          </w:r>
        </w:p>
      </w:tc>
      <w:tc>
        <w:tcPr>
          <w:tcW w:w="6634" w:type="dxa"/>
        </w:tcPr>
        <w:p w:rsidR="009445FF" w:rsidRDefault="009445FF" w:rsidP="0019293B">
          <w:pPr>
            <w:pStyle w:val="Footer"/>
          </w:pPr>
        </w:p>
      </w:tc>
    </w:tr>
  </w:tbl>
  <w:p w:rsidR="009445FF" w:rsidRDefault="009445F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445FF">
      <w:trPr>
        <w:trHeight w:hRule="exact" w:val="740"/>
      </w:trPr>
      <w:tc>
        <w:tcPr>
          <w:tcW w:w="6634" w:type="dxa"/>
        </w:tcPr>
        <w:p w:rsidR="009445FF" w:rsidRDefault="009445FF">
          <w:pPr>
            <w:pStyle w:val="Footer"/>
            <w:ind w:right="360" w:firstLine="360"/>
          </w:pPr>
        </w:p>
      </w:tc>
      <w:tc>
        <w:tcPr>
          <w:tcW w:w="1644" w:type="dxa"/>
          <w:tcBorders>
            <w:top w:val="single" w:sz="6" w:space="0" w:color="auto"/>
          </w:tcBorders>
        </w:tcPr>
        <w:p w:rsidR="009445FF" w:rsidRDefault="009445FF" w:rsidP="00A02DF0">
          <w:pPr>
            <w:pStyle w:val="Footer"/>
          </w:pPr>
          <w:r>
            <w:t>scope of ria</w:t>
          </w:r>
        </w:p>
      </w:tc>
      <w:tc>
        <w:tcPr>
          <w:tcW w:w="510" w:type="dxa"/>
          <w:tcBorders>
            <w:top w:val="single" w:sz="6" w:space="0" w:color="auto"/>
          </w:tcBorders>
        </w:tcPr>
        <w:p w:rsidR="009445FF" w:rsidRDefault="009445FF">
          <w:pPr>
            <w:pStyle w:val="Footer"/>
            <w:jc w:val="right"/>
          </w:pPr>
          <w:r>
            <w:rPr>
              <w:rStyle w:val="PageNumber"/>
            </w:rPr>
            <w:fldChar w:fldCharType="begin"/>
          </w:r>
          <w:r>
            <w:rPr>
              <w:rStyle w:val="PageNumber"/>
            </w:rPr>
            <w:instrText xml:space="preserve">PAGE  </w:instrText>
          </w:r>
          <w:r>
            <w:rPr>
              <w:rStyle w:val="PageNumber"/>
            </w:rPr>
            <w:fldChar w:fldCharType="separate"/>
          </w:r>
          <w:r w:rsidR="003317A2">
            <w:rPr>
              <w:rStyle w:val="PageNumber"/>
              <w:noProof/>
            </w:rPr>
            <w:t>123</w:t>
          </w:r>
          <w:r>
            <w:rPr>
              <w:rStyle w:val="PageNumber"/>
            </w:rPr>
            <w:fldChar w:fldCharType="end"/>
          </w:r>
        </w:p>
      </w:tc>
    </w:tr>
  </w:tbl>
  <w:p w:rsidR="009445FF" w:rsidRDefault="009445F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5FF" w:rsidRDefault="009445FF">
      <w:r>
        <w:separator/>
      </w:r>
    </w:p>
  </w:footnote>
  <w:footnote w:type="continuationSeparator" w:id="0">
    <w:p w:rsidR="009445FF" w:rsidRDefault="009445FF">
      <w:r>
        <w:continuationSeparator/>
      </w:r>
    </w:p>
  </w:footnote>
  <w:footnote w:id="1">
    <w:p w:rsidR="009445FF" w:rsidRDefault="009445FF">
      <w:pPr>
        <w:pStyle w:val="FootnoteText"/>
      </w:pPr>
      <w:r>
        <w:rPr>
          <w:rStyle w:val="FootnoteReference"/>
        </w:rPr>
        <w:footnoteRef/>
      </w:r>
      <w:r>
        <w:tab/>
        <w:t xml:space="preserve">For the Commonwealth, this is consistent with an estimate for 2007-08 that around 2 per cent of regulatory proposals tabled required a </w:t>
      </w:r>
      <w:proofErr w:type="spellStart"/>
      <w:r>
        <w:t>RIS</w:t>
      </w:r>
      <w:proofErr w:type="spellEnd"/>
      <w:r>
        <w:t xml:space="preserve"> (</w:t>
      </w:r>
      <w:proofErr w:type="spellStart"/>
      <w:r>
        <w:t>OBPR</w:t>
      </w:r>
      <w:proofErr w:type="spellEnd"/>
      <w:r w:rsidRPr="00837AAD">
        <w:t xml:space="preserve"> </w:t>
      </w:r>
      <w:proofErr w:type="spellStart"/>
      <w:r w:rsidRPr="00837AAD">
        <w:t>2008</w:t>
      </w:r>
      <w:r>
        <w:t>a</w:t>
      </w:r>
      <w:proofErr w:type="spellEnd"/>
      <w:r w:rsidRPr="00837AAD">
        <w:t>, p.</w:t>
      </w:r>
      <w:r>
        <w:t xml:space="preserve"> </w:t>
      </w:r>
      <w:r w:rsidRPr="00837AAD">
        <w:t>15</w:t>
      </w:r>
      <w:r>
        <w:t>)</w:t>
      </w:r>
      <w:r w:rsidRPr="00837AA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445FF">
      <w:tc>
        <w:tcPr>
          <w:tcW w:w="2155" w:type="dxa"/>
          <w:tcBorders>
            <w:top w:val="single" w:sz="24" w:space="0" w:color="auto"/>
          </w:tcBorders>
        </w:tcPr>
        <w:p w:rsidR="009445FF" w:rsidRDefault="009445FF" w:rsidP="0019293B">
          <w:pPr>
            <w:pStyle w:val="HeaderEven"/>
          </w:pPr>
        </w:p>
      </w:tc>
      <w:tc>
        <w:tcPr>
          <w:tcW w:w="6634" w:type="dxa"/>
          <w:tcBorders>
            <w:top w:val="single" w:sz="6" w:space="0" w:color="auto"/>
          </w:tcBorders>
        </w:tcPr>
        <w:p w:rsidR="009445FF" w:rsidRDefault="009445FF" w:rsidP="0019293B">
          <w:pPr>
            <w:pStyle w:val="HeaderEven"/>
          </w:pPr>
        </w:p>
      </w:tc>
    </w:tr>
  </w:tbl>
  <w:p w:rsidR="009445FF" w:rsidRDefault="009445F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445FF">
      <w:tc>
        <w:tcPr>
          <w:tcW w:w="6634" w:type="dxa"/>
          <w:tcBorders>
            <w:top w:val="single" w:sz="6" w:space="0" w:color="auto"/>
          </w:tcBorders>
        </w:tcPr>
        <w:p w:rsidR="009445FF" w:rsidRDefault="009445FF" w:rsidP="00E669E2">
          <w:pPr>
            <w:pStyle w:val="HeaderOdd"/>
          </w:pPr>
        </w:p>
      </w:tc>
      <w:tc>
        <w:tcPr>
          <w:tcW w:w="2155" w:type="dxa"/>
          <w:tcBorders>
            <w:top w:val="single" w:sz="24" w:space="0" w:color="auto"/>
          </w:tcBorders>
        </w:tcPr>
        <w:p w:rsidR="009445FF" w:rsidRDefault="009445FF" w:rsidP="00E669E2">
          <w:pPr>
            <w:pStyle w:val="HeaderOdd"/>
          </w:pPr>
        </w:p>
      </w:tc>
    </w:tr>
  </w:tbl>
  <w:p w:rsidR="009445FF" w:rsidRDefault="009445F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0FD4E76"/>
    <w:multiLevelType w:val="hybridMultilevel"/>
    <w:tmpl w:val="BAAE5FEE"/>
    <w:lvl w:ilvl="0" w:tplc="ECCAB27C">
      <w:start w:val="14"/>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40DE49C3"/>
    <w:multiLevelType w:val="hybridMultilevel"/>
    <w:tmpl w:val="C1BE0E4E"/>
    <w:lvl w:ilvl="0" w:tplc="C052AF8A">
      <w:start w:val="6"/>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60C52EDC"/>
    <w:multiLevelType w:val="hybridMultilevel"/>
    <w:tmpl w:val="1B2E035E"/>
    <w:lvl w:ilvl="0" w:tplc="5CC2D760">
      <w:start w:val="1"/>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65E55B25"/>
    <w:multiLevelType w:val="hybridMultilevel"/>
    <w:tmpl w:val="0CEE735E"/>
    <w:lvl w:ilvl="0" w:tplc="74182872">
      <w:start w:val="6"/>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3"/>
  </w:num>
  <w:num w:numId="3">
    <w:abstractNumId w:val="19"/>
  </w:num>
  <w:num w:numId="4">
    <w:abstractNumId w:val="1"/>
  </w:num>
  <w:num w:numId="5">
    <w:abstractNumId w:val="2"/>
  </w:num>
  <w:num w:numId="6">
    <w:abstractNumId w:val="17"/>
  </w:num>
  <w:num w:numId="7">
    <w:abstractNumId w:val="15"/>
  </w:num>
  <w:num w:numId="8">
    <w:abstractNumId w:val="20"/>
  </w:num>
  <w:num w:numId="9">
    <w:abstractNumId w:val="6"/>
  </w:num>
  <w:num w:numId="10">
    <w:abstractNumId w:val="14"/>
  </w:num>
  <w:num w:numId="11">
    <w:abstractNumId w:val="5"/>
  </w:num>
  <w:num w:numId="12">
    <w:abstractNumId w:val="4"/>
  </w:num>
  <w:num w:numId="13">
    <w:abstractNumId w:val="8"/>
  </w:num>
  <w:num w:numId="14">
    <w:abstractNumId w:val="9"/>
  </w:num>
  <w:num w:numId="15">
    <w:abstractNumId w:val="12"/>
  </w:num>
  <w:num w:numId="16">
    <w:abstractNumId w:val="7"/>
  </w:num>
  <w:num w:numId="17">
    <w:abstractNumId w:val="10"/>
  </w:num>
  <w:num w:numId="18">
    <w:abstractNumId w:val="13"/>
  </w:num>
  <w:num w:numId="19">
    <w:abstractNumId w:val="10"/>
  </w:num>
  <w:num w:numId="20">
    <w:abstractNumId w:val="10"/>
  </w:num>
  <w:num w:numId="21">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2">
    <w:abstractNumId w:val="16"/>
  </w:num>
  <w:num w:numId="23">
    <w:abstractNumId w:val="11"/>
  </w:num>
  <w:num w:numId="24">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D70B04"/>
    <w:rsid w:val="00001B16"/>
    <w:rsid w:val="00002843"/>
    <w:rsid w:val="00003345"/>
    <w:rsid w:val="00004741"/>
    <w:rsid w:val="00005B0D"/>
    <w:rsid w:val="00006483"/>
    <w:rsid w:val="00007E9E"/>
    <w:rsid w:val="00010FBB"/>
    <w:rsid w:val="00011004"/>
    <w:rsid w:val="00011540"/>
    <w:rsid w:val="00014077"/>
    <w:rsid w:val="00014B39"/>
    <w:rsid w:val="0001636E"/>
    <w:rsid w:val="00021B12"/>
    <w:rsid w:val="000236CD"/>
    <w:rsid w:val="000245AA"/>
    <w:rsid w:val="000302D6"/>
    <w:rsid w:val="00032E85"/>
    <w:rsid w:val="0003664B"/>
    <w:rsid w:val="0004111F"/>
    <w:rsid w:val="00045572"/>
    <w:rsid w:val="0004614D"/>
    <w:rsid w:val="0005126C"/>
    <w:rsid w:val="00051D11"/>
    <w:rsid w:val="0005526C"/>
    <w:rsid w:val="00055C8E"/>
    <w:rsid w:val="000565B3"/>
    <w:rsid w:val="0005667A"/>
    <w:rsid w:val="00057593"/>
    <w:rsid w:val="00063371"/>
    <w:rsid w:val="00064316"/>
    <w:rsid w:val="00070EFA"/>
    <w:rsid w:val="0007150B"/>
    <w:rsid w:val="00073BA3"/>
    <w:rsid w:val="000747FA"/>
    <w:rsid w:val="00081AB2"/>
    <w:rsid w:val="00081C34"/>
    <w:rsid w:val="000831E2"/>
    <w:rsid w:val="000843B9"/>
    <w:rsid w:val="00084CE0"/>
    <w:rsid w:val="00086011"/>
    <w:rsid w:val="00087D0A"/>
    <w:rsid w:val="000938F5"/>
    <w:rsid w:val="00094BDE"/>
    <w:rsid w:val="0009605D"/>
    <w:rsid w:val="00097B79"/>
    <w:rsid w:val="000A62E6"/>
    <w:rsid w:val="000A6520"/>
    <w:rsid w:val="000B1181"/>
    <w:rsid w:val="000B24C7"/>
    <w:rsid w:val="000B43AD"/>
    <w:rsid w:val="000B601B"/>
    <w:rsid w:val="000B7232"/>
    <w:rsid w:val="000B79DB"/>
    <w:rsid w:val="000C0A33"/>
    <w:rsid w:val="000C207E"/>
    <w:rsid w:val="000C5AFA"/>
    <w:rsid w:val="000C7B5D"/>
    <w:rsid w:val="000E3303"/>
    <w:rsid w:val="000E56B2"/>
    <w:rsid w:val="000F0093"/>
    <w:rsid w:val="000F0586"/>
    <w:rsid w:val="000F2948"/>
    <w:rsid w:val="000F420B"/>
    <w:rsid w:val="00102404"/>
    <w:rsid w:val="00104504"/>
    <w:rsid w:val="00110116"/>
    <w:rsid w:val="001102E1"/>
    <w:rsid w:val="00110414"/>
    <w:rsid w:val="001137CD"/>
    <w:rsid w:val="00114D13"/>
    <w:rsid w:val="00117AE7"/>
    <w:rsid w:val="00120072"/>
    <w:rsid w:val="001209D2"/>
    <w:rsid w:val="00126EB8"/>
    <w:rsid w:val="001274D4"/>
    <w:rsid w:val="00133966"/>
    <w:rsid w:val="00134A17"/>
    <w:rsid w:val="00136258"/>
    <w:rsid w:val="001363AA"/>
    <w:rsid w:val="0013699F"/>
    <w:rsid w:val="001410E5"/>
    <w:rsid w:val="00141DDE"/>
    <w:rsid w:val="00143772"/>
    <w:rsid w:val="00145E51"/>
    <w:rsid w:val="001541A7"/>
    <w:rsid w:val="00154567"/>
    <w:rsid w:val="00156ED2"/>
    <w:rsid w:val="00157649"/>
    <w:rsid w:val="00162432"/>
    <w:rsid w:val="001668AB"/>
    <w:rsid w:val="00171E9E"/>
    <w:rsid w:val="00172D91"/>
    <w:rsid w:val="00177B23"/>
    <w:rsid w:val="001802FC"/>
    <w:rsid w:val="0018294C"/>
    <w:rsid w:val="00182C3B"/>
    <w:rsid w:val="00183E82"/>
    <w:rsid w:val="0018471C"/>
    <w:rsid w:val="001878BB"/>
    <w:rsid w:val="001905AD"/>
    <w:rsid w:val="00191251"/>
    <w:rsid w:val="00191AE0"/>
    <w:rsid w:val="001926C7"/>
    <w:rsid w:val="0019293B"/>
    <w:rsid w:val="001947D0"/>
    <w:rsid w:val="00194B8A"/>
    <w:rsid w:val="001A0A20"/>
    <w:rsid w:val="001A3634"/>
    <w:rsid w:val="001A5C2C"/>
    <w:rsid w:val="001A5F1A"/>
    <w:rsid w:val="001A6A79"/>
    <w:rsid w:val="001B1153"/>
    <w:rsid w:val="001B145D"/>
    <w:rsid w:val="001B1E28"/>
    <w:rsid w:val="001B2AFB"/>
    <w:rsid w:val="001B3379"/>
    <w:rsid w:val="001C0865"/>
    <w:rsid w:val="001C162F"/>
    <w:rsid w:val="001C26D8"/>
    <w:rsid w:val="001C3ABA"/>
    <w:rsid w:val="001C411D"/>
    <w:rsid w:val="001C415F"/>
    <w:rsid w:val="001C44B7"/>
    <w:rsid w:val="001C4A75"/>
    <w:rsid w:val="001C6567"/>
    <w:rsid w:val="001D2DF4"/>
    <w:rsid w:val="001D4621"/>
    <w:rsid w:val="001D4E03"/>
    <w:rsid w:val="001E01EE"/>
    <w:rsid w:val="001E6451"/>
    <w:rsid w:val="001E7BE8"/>
    <w:rsid w:val="001F0248"/>
    <w:rsid w:val="001F2EBE"/>
    <w:rsid w:val="001F3261"/>
    <w:rsid w:val="001F3807"/>
    <w:rsid w:val="001F3E9E"/>
    <w:rsid w:val="001F3EB3"/>
    <w:rsid w:val="0020017D"/>
    <w:rsid w:val="00202C2C"/>
    <w:rsid w:val="00204D32"/>
    <w:rsid w:val="00210A4A"/>
    <w:rsid w:val="00212B99"/>
    <w:rsid w:val="00213397"/>
    <w:rsid w:val="00216144"/>
    <w:rsid w:val="002205D6"/>
    <w:rsid w:val="0022353D"/>
    <w:rsid w:val="00224086"/>
    <w:rsid w:val="00225C3F"/>
    <w:rsid w:val="00227D26"/>
    <w:rsid w:val="00227E9D"/>
    <w:rsid w:val="002324AE"/>
    <w:rsid w:val="002407A2"/>
    <w:rsid w:val="00242279"/>
    <w:rsid w:val="00242873"/>
    <w:rsid w:val="00245C82"/>
    <w:rsid w:val="002505A1"/>
    <w:rsid w:val="00254BB6"/>
    <w:rsid w:val="0027452E"/>
    <w:rsid w:val="002768FB"/>
    <w:rsid w:val="00283F07"/>
    <w:rsid w:val="00287125"/>
    <w:rsid w:val="00287EA6"/>
    <w:rsid w:val="00290B48"/>
    <w:rsid w:val="00290DF7"/>
    <w:rsid w:val="00291921"/>
    <w:rsid w:val="00291B40"/>
    <w:rsid w:val="002932A9"/>
    <w:rsid w:val="0029389E"/>
    <w:rsid w:val="00293CC1"/>
    <w:rsid w:val="00294605"/>
    <w:rsid w:val="00294876"/>
    <w:rsid w:val="002A077F"/>
    <w:rsid w:val="002A44C2"/>
    <w:rsid w:val="002A5414"/>
    <w:rsid w:val="002A62ED"/>
    <w:rsid w:val="002B0C59"/>
    <w:rsid w:val="002B177D"/>
    <w:rsid w:val="002B4008"/>
    <w:rsid w:val="002B4E2F"/>
    <w:rsid w:val="002B55E0"/>
    <w:rsid w:val="002C011F"/>
    <w:rsid w:val="002C3090"/>
    <w:rsid w:val="002C4E77"/>
    <w:rsid w:val="002D0E8E"/>
    <w:rsid w:val="002D1952"/>
    <w:rsid w:val="002D389F"/>
    <w:rsid w:val="002D62C3"/>
    <w:rsid w:val="002E3DE6"/>
    <w:rsid w:val="002E4B0B"/>
    <w:rsid w:val="002F25AA"/>
    <w:rsid w:val="002F3021"/>
    <w:rsid w:val="002F432A"/>
    <w:rsid w:val="002F4F25"/>
    <w:rsid w:val="002F7EB4"/>
    <w:rsid w:val="00301189"/>
    <w:rsid w:val="003017DB"/>
    <w:rsid w:val="00303987"/>
    <w:rsid w:val="00307362"/>
    <w:rsid w:val="003105D7"/>
    <w:rsid w:val="00313B48"/>
    <w:rsid w:val="003142DE"/>
    <w:rsid w:val="00322112"/>
    <w:rsid w:val="0032285C"/>
    <w:rsid w:val="00322958"/>
    <w:rsid w:val="00323E09"/>
    <w:rsid w:val="003253E3"/>
    <w:rsid w:val="00326C83"/>
    <w:rsid w:val="00330AA7"/>
    <w:rsid w:val="003317A2"/>
    <w:rsid w:val="00331B33"/>
    <w:rsid w:val="00332A9C"/>
    <w:rsid w:val="00333088"/>
    <w:rsid w:val="00333932"/>
    <w:rsid w:val="003405F2"/>
    <w:rsid w:val="003408F0"/>
    <w:rsid w:val="00342A24"/>
    <w:rsid w:val="00343814"/>
    <w:rsid w:val="003468AF"/>
    <w:rsid w:val="00350386"/>
    <w:rsid w:val="003518AA"/>
    <w:rsid w:val="00352165"/>
    <w:rsid w:val="00353182"/>
    <w:rsid w:val="0035333A"/>
    <w:rsid w:val="00356021"/>
    <w:rsid w:val="003565D9"/>
    <w:rsid w:val="003573F8"/>
    <w:rsid w:val="00357645"/>
    <w:rsid w:val="00357D26"/>
    <w:rsid w:val="003602E1"/>
    <w:rsid w:val="00362396"/>
    <w:rsid w:val="00363F70"/>
    <w:rsid w:val="00366A9F"/>
    <w:rsid w:val="00366D4A"/>
    <w:rsid w:val="0037026F"/>
    <w:rsid w:val="00371240"/>
    <w:rsid w:val="00373B30"/>
    <w:rsid w:val="00374731"/>
    <w:rsid w:val="00377D6B"/>
    <w:rsid w:val="003811FE"/>
    <w:rsid w:val="003820D2"/>
    <w:rsid w:val="00382F2E"/>
    <w:rsid w:val="00386257"/>
    <w:rsid w:val="003865E6"/>
    <w:rsid w:val="00390C10"/>
    <w:rsid w:val="003919F9"/>
    <w:rsid w:val="003945FA"/>
    <w:rsid w:val="00394E54"/>
    <w:rsid w:val="003956F7"/>
    <w:rsid w:val="003969AE"/>
    <w:rsid w:val="00397A67"/>
    <w:rsid w:val="003A0D2A"/>
    <w:rsid w:val="003A2CE4"/>
    <w:rsid w:val="003A42C2"/>
    <w:rsid w:val="003A620C"/>
    <w:rsid w:val="003B3568"/>
    <w:rsid w:val="003B3EBC"/>
    <w:rsid w:val="003B6498"/>
    <w:rsid w:val="003B7A57"/>
    <w:rsid w:val="003B7E2D"/>
    <w:rsid w:val="003C250F"/>
    <w:rsid w:val="003C38B5"/>
    <w:rsid w:val="003C5D21"/>
    <w:rsid w:val="003C5D99"/>
    <w:rsid w:val="003D093D"/>
    <w:rsid w:val="003D1EA5"/>
    <w:rsid w:val="003D6414"/>
    <w:rsid w:val="003E2F59"/>
    <w:rsid w:val="003E4AD7"/>
    <w:rsid w:val="003E6672"/>
    <w:rsid w:val="003E67C4"/>
    <w:rsid w:val="003F0789"/>
    <w:rsid w:val="003F16CD"/>
    <w:rsid w:val="003F1CC6"/>
    <w:rsid w:val="003F58FF"/>
    <w:rsid w:val="003F5998"/>
    <w:rsid w:val="003F77FE"/>
    <w:rsid w:val="00400A12"/>
    <w:rsid w:val="00401882"/>
    <w:rsid w:val="00404DB0"/>
    <w:rsid w:val="00406038"/>
    <w:rsid w:val="0040638D"/>
    <w:rsid w:val="00406BFE"/>
    <w:rsid w:val="00406D44"/>
    <w:rsid w:val="00407E62"/>
    <w:rsid w:val="004100C8"/>
    <w:rsid w:val="004107BA"/>
    <w:rsid w:val="00411DBD"/>
    <w:rsid w:val="00412ACE"/>
    <w:rsid w:val="00412BDE"/>
    <w:rsid w:val="00412DF0"/>
    <w:rsid w:val="0041433E"/>
    <w:rsid w:val="00415040"/>
    <w:rsid w:val="004161E1"/>
    <w:rsid w:val="004162B9"/>
    <w:rsid w:val="004224FC"/>
    <w:rsid w:val="0042613C"/>
    <w:rsid w:val="004309AF"/>
    <w:rsid w:val="00431249"/>
    <w:rsid w:val="004341A1"/>
    <w:rsid w:val="00434C19"/>
    <w:rsid w:val="00435513"/>
    <w:rsid w:val="00437311"/>
    <w:rsid w:val="004405D1"/>
    <w:rsid w:val="004413BC"/>
    <w:rsid w:val="00443A26"/>
    <w:rsid w:val="00450810"/>
    <w:rsid w:val="004514D3"/>
    <w:rsid w:val="0045526D"/>
    <w:rsid w:val="00456E91"/>
    <w:rsid w:val="00457BCB"/>
    <w:rsid w:val="00462A40"/>
    <w:rsid w:val="00464AFA"/>
    <w:rsid w:val="0046695E"/>
    <w:rsid w:val="0047170A"/>
    <w:rsid w:val="00473387"/>
    <w:rsid w:val="00475E26"/>
    <w:rsid w:val="004768B0"/>
    <w:rsid w:val="00477144"/>
    <w:rsid w:val="00487529"/>
    <w:rsid w:val="004878B6"/>
    <w:rsid w:val="00487F18"/>
    <w:rsid w:val="00490856"/>
    <w:rsid w:val="004929C3"/>
    <w:rsid w:val="00493325"/>
    <w:rsid w:val="0049459F"/>
    <w:rsid w:val="00497792"/>
    <w:rsid w:val="004A06BA"/>
    <w:rsid w:val="004A2492"/>
    <w:rsid w:val="004A3446"/>
    <w:rsid w:val="004A38DD"/>
    <w:rsid w:val="004A436D"/>
    <w:rsid w:val="004B0C65"/>
    <w:rsid w:val="004B1ACE"/>
    <w:rsid w:val="004B4377"/>
    <w:rsid w:val="004B43AE"/>
    <w:rsid w:val="004B674E"/>
    <w:rsid w:val="004B6822"/>
    <w:rsid w:val="004C0287"/>
    <w:rsid w:val="004C2F02"/>
    <w:rsid w:val="004C30ED"/>
    <w:rsid w:val="004C4F21"/>
    <w:rsid w:val="004C5FEF"/>
    <w:rsid w:val="004C7595"/>
    <w:rsid w:val="004D0FAD"/>
    <w:rsid w:val="004D1B47"/>
    <w:rsid w:val="004D2DF7"/>
    <w:rsid w:val="004D419F"/>
    <w:rsid w:val="004D5675"/>
    <w:rsid w:val="004D571F"/>
    <w:rsid w:val="004E1F30"/>
    <w:rsid w:val="004E293D"/>
    <w:rsid w:val="004E2DA3"/>
    <w:rsid w:val="004E31B7"/>
    <w:rsid w:val="004E7CF4"/>
    <w:rsid w:val="004F29EC"/>
    <w:rsid w:val="004F70CF"/>
    <w:rsid w:val="004F7E19"/>
    <w:rsid w:val="00501F10"/>
    <w:rsid w:val="00504D1A"/>
    <w:rsid w:val="00504E05"/>
    <w:rsid w:val="00506B27"/>
    <w:rsid w:val="0051098F"/>
    <w:rsid w:val="005120F2"/>
    <w:rsid w:val="00514813"/>
    <w:rsid w:val="005207E0"/>
    <w:rsid w:val="005224E5"/>
    <w:rsid w:val="00523602"/>
    <w:rsid w:val="00523639"/>
    <w:rsid w:val="005265ED"/>
    <w:rsid w:val="00527496"/>
    <w:rsid w:val="00531FE5"/>
    <w:rsid w:val="00532FCA"/>
    <w:rsid w:val="00533A09"/>
    <w:rsid w:val="00533C2F"/>
    <w:rsid w:val="00533F33"/>
    <w:rsid w:val="005406C0"/>
    <w:rsid w:val="005423A7"/>
    <w:rsid w:val="0055201D"/>
    <w:rsid w:val="00554D2E"/>
    <w:rsid w:val="00556939"/>
    <w:rsid w:val="00556D10"/>
    <w:rsid w:val="005645B7"/>
    <w:rsid w:val="00565615"/>
    <w:rsid w:val="005661E8"/>
    <w:rsid w:val="005661F1"/>
    <w:rsid w:val="00571A15"/>
    <w:rsid w:val="005724C5"/>
    <w:rsid w:val="005778D4"/>
    <w:rsid w:val="0058357A"/>
    <w:rsid w:val="00583C39"/>
    <w:rsid w:val="005909CF"/>
    <w:rsid w:val="00591047"/>
    <w:rsid w:val="00591E71"/>
    <w:rsid w:val="00595730"/>
    <w:rsid w:val="005964F9"/>
    <w:rsid w:val="00596A4B"/>
    <w:rsid w:val="00597E3F"/>
    <w:rsid w:val="005A0D41"/>
    <w:rsid w:val="005A5097"/>
    <w:rsid w:val="005A6EEA"/>
    <w:rsid w:val="005A7F0D"/>
    <w:rsid w:val="005B3CBD"/>
    <w:rsid w:val="005B415C"/>
    <w:rsid w:val="005B6163"/>
    <w:rsid w:val="005C1918"/>
    <w:rsid w:val="005C2654"/>
    <w:rsid w:val="005C4358"/>
    <w:rsid w:val="005C66D1"/>
    <w:rsid w:val="005C6F42"/>
    <w:rsid w:val="005D198D"/>
    <w:rsid w:val="005D500D"/>
    <w:rsid w:val="005E1609"/>
    <w:rsid w:val="005E3C77"/>
    <w:rsid w:val="005E40DF"/>
    <w:rsid w:val="005E4746"/>
    <w:rsid w:val="005E6564"/>
    <w:rsid w:val="005E73C7"/>
    <w:rsid w:val="005E7720"/>
    <w:rsid w:val="005F13CA"/>
    <w:rsid w:val="005F1C0E"/>
    <w:rsid w:val="005F2829"/>
    <w:rsid w:val="005F4216"/>
    <w:rsid w:val="005F4CB6"/>
    <w:rsid w:val="005F7EBF"/>
    <w:rsid w:val="006001A0"/>
    <w:rsid w:val="00601F50"/>
    <w:rsid w:val="0060341E"/>
    <w:rsid w:val="00604C9B"/>
    <w:rsid w:val="00605D82"/>
    <w:rsid w:val="00607BF1"/>
    <w:rsid w:val="006102AA"/>
    <w:rsid w:val="006123AA"/>
    <w:rsid w:val="00613AEA"/>
    <w:rsid w:val="00614A50"/>
    <w:rsid w:val="00615FC6"/>
    <w:rsid w:val="00616C68"/>
    <w:rsid w:val="0062004D"/>
    <w:rsid w:val="00620F39"/>
    <w:rsid w:val="00625697"/>
    <w:rsid w:val="00630D4D"/>
    <w:rsid w:val="00632A74"/>
    <w:rsid w:val="00634D2E"/>
    <w:rsid w:val="00635E87"/>
    <w:rsid w:val="00643E38"/>
    <w:rsid w:val="00645824"/>
    <w:rsid w:val="00645B7C"/>
    <w:rsid w:val="00652A3F"/>
    <w:rsid w:val="0065513C"/>
    <w:rsid w:val="00656A2A"/>
    <w:rsid w:val="006614DF"/>
    <w:rsid w:val="006636FF"/>
    <w:rsid w:val="00670756"/>
    <w:rsid w:val="00675510"/>
    <w:rsid w:val="006815FD"/>
    <w:rsid w:val="006836FA"/>
    <w:rsid w:val="0068532D"/>
    <w:rsid w:val="00686BF6"/>
    <w:rsid w:val="00686D29"/>
    <w:rsid w:val="006870ED"/>
    <w:rsid w:val="00690025"/>
    <w:rsid w:val="006902D7"/>
    <w:rsid w:val="006933B7"/>
    <w:rsid w:val="00695365"/>
    <w:rsid w:val="0069619E"/>
    <w:rsid w:val="00697E3D"/>
    <w:rsid w:val="006A0201"/>
    <w:rsid w:val="006A4655"/>
    <w:rsid w:val="006B07FD"/>
    <w:rsid w:val="006B2B3C"/>
    <w:rsid w:val="006B3135"/>
    <w:rsid w:val="006B4D3C"/>
    <w:rsid w:val="006B524F"/>
    <w:rsid w:val="006B6195"/>
    <w:rsid w:val="006B65C6"/>
    <w:rsid w:val="006B68AE"/>
    <w:rsid w:val="006B71F9"/>
    <w:rsid w:val="006B7C9B"/>
    <w:rsid w:val="006C1D81"/>
    <w:rsid w:val="006C2760"/>
    <w:rsid w:val="006C7038"/>
    <w:rsid w:val="006D136A"/>
    <w:rsid w:val="006D1684"/>
    <w:rsid w:val="006D36F7"/>
    <w:rsid w:val="006D5BD0"/>
    <w:rsid w:val="006D7936"/>
    <w:rsid w:val="006E17D5"/>
    <w:rsid w:val="006E2C12"/>
    <w:rsid w:val="006E5662"/>
    <w:rsid w:val="006E73EF"/>
    <w:rsid w:val="006F1A54"/>
    <w:rsid w:val="006F2542"/>
    <w:rsid w:val="006F301B"/>
    <w:rsid w:val="006F4D5B"/>
    <w:rsid w:val="0070280F"/>
    <w:rsid w:val="00703607"/>
    <w:rsid w:val="00713C23"/>
    <w:rsid w:val="00714D4D"/>
    <w:rsid w:val="00720092"/>
    <w:rsid w:val="007211A7"/>
    <w:rsid w:val="00722F23"/>
    <w:rsid w:val="007307C2"/>
    <w:rsid w:val="0073261B"/>
    <w:rsid w:val="00732899"/>
    <w:rsid w:val="00732A9F"/>
    <w:rsid w:val="007346C1"/>
    <w:rsid w:val="00736899"/>
    <w:rsid w:val="0073713E"/>
    <w:rsid w:val="00737C36"/>
    <w:rsid w:val="00742C7E"/>
    <w:rsid w:val="00747BE5"/>
    <w:rsid w:val="007508BC"/>
    <w:rsid w:val="0075258F"/>
    <w:rsid w:val="00753910"/>
    <w:rsid w:val="007562CB"/>
    <w:rsid w:val="007604BB"/>
    <w:rsid w:val="007618CA"/>
    <w:rsid w:val="00761F43"/>
    <w:rsid w:val="007638CB"/>
    <w:rsid w:val="00764B07"/>
    <w:rsid w:val="007709C0"/>
    <w:rsid w:val="00771034"/>
    <w:rsid w:val="007714F2"/>
    <w:rsid w:val="00772400"/>
    <w:rsid w:val="007729A7"/>
    <w:rsid w:val="00774E83"/>
    <w:rsid w:val="00775A21"/>
    <w:rsid w:val="00777179"/>
    <w:rsid w:val="00783B9F"/>
    <w:rsid w:val="00785232"/>
    <w:rsid w:val="007861AE"/>
    <w:rsid w:val="00790D01"/>
    <w:rsid w:val="007A21EB"/>
    <w:rsid w:val="007A48B9"/>
    <w:rsid w:val="007B032D"/>
    <w:rsid w:val="007B13E2"/>
    <w:rsid w:val="007B1A93"/>
    <w:rsid w:val="007B1B41"/>
    <w:rsid w:val="007B1EF3"/>
    <w:rsid w:val="007B285A"/>
    <w:rsid w:val="007C36C9"/>
    <w:rsid w:val="007C3AAC"/>
    <w:rsid w:val="007C4F43"/>
    <w:rsid w:val="007C5149"/>
    <w:rsid w:val="007C6989"/>
    <w:rsid w:val="007D26C1"/>
    <w:rsid w:val="007D4B3D"/>
    <w:rsid w:val="007D6401"/>
    <w:rsid w:val="007E01E4"/>
    <w:rsid w:val="007E11D1"/>
    <w:rsid w:val="007E3D2D"/>
    <w:rsid w:val="007F1CBE"/>
    <w:rsid w:val="007F4EC9"/>
    <w:rsid w:val="007F6516"/>
    <w:rsid w:val="007F7107"/>
    <w:rsid w:val="00802A03"/>
    <w:rsid w:val="00802B5E"/>
    <w:rsid w:val="0081012C"/>
    <w:rsid w:val="0081030F"/>
    <w:rsid w:val="00815A23"/>
    <w:rsid w:val="00816255"/>
    <w:rsid w:val="0082087D"/>
    <w:rsid w:val="00822CC0"/>
    <w:rsid w:val="0082663A"/>
    <w:rsid w:val="00827B60"/>
    <w:rsid w:val="00832A1D"/>
    <w:rsid w:val="00833216"/>
    <w:rsid w:val="008345E1"/>
    <w:rsid w:val="00842933"/>
    <w:rsid w:val="00846F88"/>
    <w:rsid w:val="0086082C"/>
    <w:rsid w:val="00862AAF"/>
    <w:rsid w:val="008631BD"/>
    <w:rsid w:val="00864ADC"/>
    <w:rsid w:val="00867F9B"/>
    <w:rsid w:val="00870FC3"/>
    <w:rsid w:val="00880153"/>
    <w:rsid w:val="00880F97"/>
    <w:rsid w:val="0088133A"/>
    <w:rsid w:val="0088171B"/>
    <w:rsid w:val="00887239"/>
    <w:rsid w:val="00890CB1"/>
    <w:rsid w:val="00890FA0"/>
    <w:rsid w:val="00892030"/>
    <w:rsid w:val="0089285E"/>
    <w:rsid w:val="00892877"/>
    <w:rsid w:val="00892C64"/>
    <w:rsid w:val="0089436C"/>
    <w:rsid w:val="00897470"/>
    <w:rsid w:val="00897529"/>
    <w:rsid w:val="008A04FB"/>
    <w:rsid w:val="008A14FE"/>
    <w:rsid w:val="008A173C"/>
    <w:rsid w:val="008A2853"/>
    <w:rsid w:val="008A5BE9"/>
    <w:rsid w:val="008A6609"/>
    <w:rsid w:val="008A7AC9"/>
    <w:rsid w:val="008B1C17"/>
    <w:rsid w:val="008B32CA"/>
    <w:rsid w:val="008B46F8"/>
    <w:rsid w:val="008C02DA"/>
    <w:rsid w:val="008C5594"/>
    <w:rsid w:val="008C5DB8"/>
    <w:rsid w:val="008D00B1"/>
    <w:rsid w:val="008D19E8"/>
    <w:rsid w:val="008D2BF4"/>
    <w:rsid w:val="008D365C"/>
    <w:rsid w:val="008D4316"/>
    <w:rsid w:val="008D483F"/>
    <w:rsid w:val="008D54C0"/>
    <w:rsid w:val="008D687D"/>
    <w:rsid w:val="008E00DF"/>
    <w:rsid w:val="008E0399"/>
    <w:rsid w:val="008E5F3A"/>
    <w:rsid w:val="008E66CC"/>
    <w:rsid w:val="008F2AE7"/>
    <w:rsid w:val="008F31F9"/>
    <w:rsid w:val="008F4CF3"/>
    <w:rsid w:val="008F6D34"/>
    <w:rsid w:val="00900959"/>
    <w:rsid w:val="009030BF"/>
    <w:rsid w:val="00903F92"/>
    <w:rsid w:val="0091032F"/>
    <w:rsid w:val="00914368"/>
    <w:rsid w:val="00914B0D"/>
    <w:rsid w:val="0091635B"/>
    <w:rsid w:val="009215B9"/>
    <w:rsid w:val="00926E1F"/>
    <w:rsid w:val="009304AF"/>
    <w:rsid w:val="009308C9"/>
    <w:rsid w:val="00931076"/>
    <w:rsid w:val="009326E2"/>
    <w:rsid w:val="009345D9"/>
    <w:rsid w:val="00934B15"/>
    <w:rsid w:val="00940D73"/>
    <w:rsid w:val="009424F3"/>
    <w:rsid w:val="00942B62"/>
    <w:rsid w:val="0094336E"/>
    <w:rsid w:val="009445FF"/>
    <w:rsid w:val="00945F97"/>
    <w:rsid w:val="00947245"/>
    <w:rsid w:val="00950FCF"/>
    <w:rsid w:val="00956A0C"/>
    <w:rsid w:val="00956BD9"/>
    <w:rsid w:val="00962489"/>
    <w:rsid w:val="00964154"/>
    <w:rsid w:val="00965D32"/>
    <w:rsid w:val="00965D76"/>
    <w:rsid w:val="00972B82"/>
    <w:rsid w:val="009835DC"/>
    <w:rsid w:val="00985AA4"/>
    <w:rsid w:val="00986034"/>
    <w:rsid w:val="00986C50"/>
    <w:rsid w:val="0098751E"/>
    <w:rsid w:val="00990C2C"/>
    <w:rsid w:val="00991A63"/>
    <w:rsid w:val="00992EC1"/>
    <w:rsid w:val="009936AF"/>
    <w:rsid w:val="00994FD2"/>
    <w:rsid w:val="00997AB0"/>
    <w:rsid w:val="009A2939"/>
    <w:rsid w:val="009A51E1"/>
    <w:rsid w:val="009A6EAC"/>
    <w:rsid w:val="009B0869"/>
    <w:rsid w:val="009B6F38"/>
    <w:rsid w:val="009C1B0F"/>
    <w:rsid w:val="009C1E2E"/>
    <w:rsid w:val="009C6A93"/>
    <w:rsid w:val="009C7353"/>
    <w:rsid w:val="009D0639"/>
    <w:rsid w:val="009D1E3B"/>
    <w:rsid w:val="009D4AFF"/>
    <w:rsid w:val="009D52B5"/>
    <w:rsid w:val="009D7489"/>
    <w:rsid w:val="009E399D"/>
    <w:rsid w:val="009E4568"/>
    <w:rsid w:val="009E54B2"/>
    <w:rsid w:val="009F04CF"/>
    <w:rsid w:val="009F1F2D"/>
    <w:rsid w:val="009F341F"/>
    <w:rsid w:val="009F4693"/>
    <w:rsid w:val="009F696D"/>
    <w:rsid w:val="009F6BC6"/>
    <w:rsid w:val="009F6BD1"/>
    <w:rsid w:val="00A0015A"/>
    <w:rsid w:val="00A00DA4"/>
    <w:rsid w:val="00A02945"/>
    <w:rsid w:val="00A02DF0"/>
    <w:rsid w:val="00A05BA1"/>
    <w:rsid w:val="00A05F06"/>
    <w:rsid w:val="00A07E57"/>
    <w:rsid w:val="00A12148"/>
    <w:rsid w:val="00A124C0"/>
    <w:rsid w:val="00A1585B"/>
    <w:rsid w:val="00A161B2"/>
    <w:rsid w:val="00A17328"/>
    <w:rsid w:val="00A21A62"/>
    <w:rsid w:val="00A2365F"/>
    <w:rsid w:val="00A23A20"/>
    <w:rsid w:val="00A25124"/>
    <w:rsid w:val="00A265D1"/>
    <w:rsid w:val="00A268B9"/>
    <w:rsid w:val="00A26C5B"/>
    <w:rsid w:val="00A2703A"/>
    <w:rsid w:val="00A33DFF"/>
    <w:rsid w:val="00A33F1C"/>
    <w:rsid w:val="00A34086"/>
    <w:rsid w:val="00A34A9A"/>
    <w:rsid w:val="00A34EBB"/>
    <w:rsid w:val="00A35115"/>
    <w:rsid w:val="00A3674A"/>
    <w:rsid w:val="00A36D9A"/>
    <w:rsid w:val="00A42D2C"/>
    <w:rsid w:val="00A554AB"/>
    <w:rsid w:val="00A57171"/>
    <w:rsid w:val="00A604EA"/>
    <w:rsid w:val="00A66A31"/>
    <w:rsid w:val="00A6771B"/>
    <w:rsid w:val="00A75272"/>
    <w:rsid w:val="00A841AB"/>
    <w:rsid w:val="00A84B88"/>
    <w:rsid w:val="00A86687"/>
    <w:rsid w:val="00A92647"/>
    <w:rsid w:val="00A92B53"/>
    <w:rsid w:val="00A92D06"/>
    <w:rsid w:val="00A945C2"/>
    <w:rsid w:val="00A94FA6"/>
    <w:rsid w:val="00A95282"/>
    <w:rsid w:val="00A96553"/>
    <w:rsid w:val="00A96B60"/>
    <w:rsid w:val="00AA0BEE"/>
    <w:rsid w:val="00AA2321"/>
    <w:rsid w:val="00AA3AF5"/>
    <w:rsid w:val="00AA43B1"/>
    <w:rsid w:val="00AA49A0"/>
    <w:rsid w:val="00AA6710"/>
    <w:rsid w:val="00AB0681"/>
    <w:rsid w:val="00AB1C86"/>
    <w:rsid w:val="00AB1C88"/>
    <w:rsid w:val="00AB4E20"/>
    <w:rsid w:val="00AB56AD"/>
    <w:rsid w:val="00AC221F"/>
    <w:rsid w:val="00AC305D"/>
    <w:rsid w:val="00AC670B"/>
    <w:rsid w:val="00AC711F"/>
    <w:rsid w:val="00AC7BF0"/>
    <w:rsid w:val="00AD354C"/>
    <w:rsid w:val="00AD4C28"/>
    <w:rsid w:val="00AD520B"/>
    <w:rsid w:val="00AD5D26"/>
    <w:rsid w:val="00AD688B"/>
    <w:rsid w:val="00AD6AD1"/>
    <w:rsid w:val="00AF2714"/>
    <w:rsid w:val="00AF5B4A"/>
    <w:rsid w:val="00AF5F34"/>
    <w:rsid w:val="00AF71C4"/>
    <w:rsid w:val="00B00404"/>
    <w:rsid w:val="00B007F5"/>
    <w:rsid w:val="00B032D2"/>
    <w:rsid w:val="00B05210"/>
    <w:rsid w:val="00B0616D"/>
    <w:rsid w:val="00B06D90"/>
    <w:rsid w:val="00B10427"/>
    <w:rsid w:val="00B17FA8"/>
    <w:rsid w:val="00B20425"/>
    <w:rsid w:val="00B22F64"/>
    <w:rsid w:val="00B27A44"/>
    <w:rsid w:val="00B31F04"/>
    <w:rsid w:val="00B3348D"/>
    <w:rsid w:val="00B3369E"/>
    <w:rsid w:val="00B42C11"/>
    <w:rsid w:val="00B440AD"/>
    <w:rsid w:val="00B455D4"/>
    <w:rsid w:val="00B52157"/>
    <w:rsid w:val="00B53CCA"/>
    <w:rsid w:val="00B53E7E"/>
    <w:rsid w:val="00B54FDD"/>
    <w:rsid w:val="00B552EA"/>
    <w:rsid w:val="00B61091"/>
    <w:rsid w:val="00B6342E"/>
    <w:rsid w:val="00B67570"/>
    <w:rsid w:val="00B7113F"/>
    <w:rsid w:val="00B724B9"/>
    <w:rsid w:val="00B74802"/>
    <w:rsid w:val="00B76C1B"/>
    <w:rsid w:val="00B77341"/>
    <w:rsid w:val="00B7786E"/>
    <w:rsid w:val="00B810C2"/>
    <w:rsid w:val="00B82443"/>
    <w:rsid w:val="00B82C1B"/>
    <w:rsid w:val="00B86A32"/>
    <w:rsid w:val="00B875C5"/>
    <w:rsid w:val="00B90181"/>
    <w:rsid w:val="00B90546"/>
    <w:rsid w:val="00B919DB"/>
    <w:rsid w:val="00B956EF"/>
    <w:rsid w:val="00B96613"/>
    <w:rsid w:val="00B96C7A"/>
    <w:rsid w:val="00BA12AE"/>
    <w:rsid w:val="00BA2D73"/>
    <w:rsid w:val="00BA73B6"/>
    <w:rsid w:val="00BA7E27"/>
    <w:rsid w:val="00BB080C"/>
    <w:rsid w:val="00BB2603"/>
    <w:rsid w:val="00BB4FCD"/>
    <w:rsid w:val="00BB52FF"/>
    <w:rsid w:val="00BC0B65"/>
    <w:rsid w:val="00BC0BC4"/>
    <w:rsid w:val="00BC13F1"/>
    <w:rsid w:val="00BC5D16"/>
    <w:rsid w:val="00BC6F64"/>
    <w:rsid w:val="00BC78F3"/>
    <w:rsid w:val="00BD11A0"/>
    <w:rsid w:val="00BD12F0"/>
    <w:rsid w:val="00BD13EA"/>
    <w:rsid w:val="00BD2566"/>
    <w:rsid w:val="00BD2D48"/>
    <w:rsid w:val="00BD4E0E"/>
    <w:rsid w:val="00BD577E"/>
    <w:rsid w:val="00BD5942"/>
    <w:rsid w:val="00BD7A1A"/>
    <w:rsid w:val="00BE0F0D"/>
    <w:rsid w:val="00BE3215"/>
    <w:rsid w:val="00BE3808"/>
    <w:rsid w:val="00BF0972"/>
    <w:rsid w:val="00BF3AB6"/>
    <w:rsid w:val="00BF567A"/>
    <w:rsid w:val="00C00D6D"/>
    <w:rsid w:val="00C00E53"/>
    <w:rsid w:val="00C01CA5"/>
    <w:rsid w:val="00C01D97"/>
    <w:rsid w:val="00C021EB"/>
    <w:rsid w:val="00C03328"/>
    <w:rsid w:val="00C04C64"/>
    <w:rsid w:val="00C062E9"/>
    <w:rsid w:val="00C07B64"/>
    <w:rsid w:val="00C07FB7"/>
    <w:rsid w:val="00C13721"/>
    <w:rsid w:val="00C13BE0"/>
    <w:rsid w:val="00C1500F"/>
    <w:rsid w:val="00C238C0"/>
    <w:rsid w:val="00C3066D"/>
    <w:rsid w:val="00C31933"/>
    <w:rsid w:val="00C31D44"/>
    <w:rsid w:val="00C44CF1"/>
    <w:rsid w:val="00C455F1"/>
    <w:rsid w:val="00C457D9"/>
    <w:rsid w:val="00C52129"/>
    <w:rsid w:val="00C543F4"/>
    <w:rsid w:val="00C62161"/>
    <w:rsid w:val="00C6291C"/>
    <w:rsid w:val="00C633CB"/>
    <w:rsid w:val="00C66125"/>
    <w:rsid w:val="00C67CC6"/>
    <w:rsid w:val="00C73973"/>
    <w:rsid w:val="00C75F88"/>
    <w:rsid w:val="00C77338"/>
    <w:rsid w:val="00C80050"/>
    <w:rsid w:val="00C80331"/>
    <w:rsid w:val="00C804D5"/>
    <w:rsid w:val="00C81D4A"/>
    <w:rsid w:val="00C833D7"/>
    <w:rsid w:val="00C85A60"/>
    <w:rsid w:val="00C870A9"/>
    <w:rsid w:val="00C8762C"/>
    <w:rsid w:val="00C90116"/>
    <w:rsid w:val="00C94EF8"/>
    <w:rsid w:val="00CA00F9"/>
    <w:rsid w:val="00CA0221"/>
    <w:rsid w:val="00CA2961"/>
    <w:rsid w:val="00CA3179"/>
    <w:rsid w:val="00CA393A"/>
    <w:rsid w:val="00CA4D4F"/>
    <w:rsid w:val="00CA65A0"/>
    <w:rsid w:val="00CB08A5"/>
    <w:rsid w:val="00CB3028"/>
    <w:rsid w:val="00CB50D7"/>
    <w:rsid w:val="00CB7016"/>
    <w:rsid w:val="00CB7177"/>
    <w:rsid w:val="00CC1998"/>
    <w:rsid w:val="00CC3A3C"/>
    <w:rsid w:val="00CC4946"/>
    <w:rsid w:val="00CC588D"/>
    <w:rsid w:val="00CC6D32"/>
    <w:rsid w:val="00CC7C57"/>
    <w:rsid w:val="00CD025A"/>
    <w:rsid w:val="00CD1576"/>
    <w:rsid w:val="00CD3C1D"/>
    <w:rsid w:val="00CD5C98"/>
    <w:rsid w:val="00CD5FB0"/>
    <w:rsid w:val="00CD7D93"/>
    <w:rsid w:val="00CE329B"/>
    <w:rsid w:val="00CE50B0"/>
    <w:rsid w:val="00CE5EF4"/>
    <w:rsid w:val="00CF0FDD"/>
    <w:rsid w:val="00CF1C57"/>
    <w:rsid w:val="00CF4187"/>
    <w:rsid w:val="00CF5B12"/>
    <w:rsid w:val="00D02A98"/>
    <w:rsid w:val="00D05C3F"/>
    <w:rsid w:val="00D115B1"/>
    <w:rsid w:val="00D173A8"/>
    <w:rsid w:val="00D201DB"/>
    <w:rsid w:val="00D225E1"/>
    <w:rsid w:val="00D26F9C"/>
    <w:rsid w:val="00D270A4"/>
    <w:rsid w:val="00D31FE9"/>
    <w:rsid w:val="00D32B42"/>
    <w:rsid w:val="00D34E1B"/>
    <w:rsid w:val="00D34EFE"/>
    <w:rsid w:val="00D35140"/>
    <w:rsid w:val="00D357E9"/>
    <w:rsid w:val="00D376BA"/>
    <w:rsid w:val="00D42F59"/>
    <w:rsid w:val="00D51190"/>
    <w:rsid w:val="00D51F68"/>
    <w:rsid w:val="00D5568A"/>
    <w:rsid w:val="00D5721B"/>
    <w:rsid w:val="00D63761"/>
    <w:rsid w:val="00D63D73"/>
    <w:rsid w:val="00D64452"/>
    <w:rsid w:val="00D648FF"/>
    <w:rsid w:val="00D651E4"/>
    <w:rsid w:val="00D65DEC"/>
    <w:rsid w:val="00D66E1E"/>
    <w:rsid w:val="00D67F46"/>
    <w:rsid w:val="00D70B04"/>
    <w:rsid w:val="00D71412"/>
    <w:rsid w:val="00D75722"/>
    <w:rsid w:val="00D77959"/>
    <w:rsid w:val="00D80CF5"/>
    <w:rsid w:val="00D80E78"/>
    <w:rsid w:val="00D81854"/>
    <w:rsid w:val="00D86670"/>
    <w:rsid w:val="00D867FA"/>
    <w:rsid w:val="00D90AD4"/>
    <w:rsid w:val="00D925CF"/>
    <w:rsid w:val="00D92F3A"/>
    <w:rsid w:val="00DA3B8B"/>
    <w:rsid w:val="00DA5BBA"/>
    <w:rsid w:val="00DA685B"/>
    <w:rsid w:val="00DA7D56"/>
    <w:rsid w:val="00DB2224"/>
    <w:rsid w:val="00DB5D88"/>
    <w:rsid w:val="00DB67C9"/>
    <w:rsid w:val="00DB7E02"/>
    <w:rsid w:val="00DC0428"/>
    <w:rsid w:val="00DC0C95"/>
    <w:rsid w:val="00DC2DC5"/>
    <w:rsid w:val="00DC46E8"/>
    <w:rsid w:val="00DC74DD"/>
    <w:rsid w:val="00DD4039"/>
    <w:rsid w:val="00DD429E"/>
    <w:rsid w:val="00DD4BC9"/>
    <w:rsid w:val="00DD51B8"/>
    <w:rsid w:val="00DD6580"/>
    <w:rsid w:val="00DD6D95"/>
    <w:rsid w:val="00DD77F8"/>
    <w:rsid w:val="00DE23C1"/>
    <w:rsid w:val="00DE308C"/>
    <w:rsid w:val="00DE3804"/>
    <w:rsid w:val="00DE68E8"/>
    <w:rsid w:val="00DE6956"/>
    <w:rsid w:val="00DF63E7"/>
    <w:rsid w:val="00E0027B"/>
    <w:rsid w:val="00E00D58"/>
    <w:rsid w:val="00E03692"/>
    <w:rsid w:val="00E073BD"/>
    <w:rsid w:val="00E1242E"/>
    <w:rsid w:val="00E1431D"/>
    <w:rsid w:val="00E17855"/>
    <w:rsid w:val="00E17C72"/>
    <w:rsid w:val="00E17FA7"/>
    <w:rsid w:val="00E21FC6"/>
    <w:rsid w:val="00E22161"/>
    <w:rsid w:val="00E22564"/>
    <w:rsid w:val="00E23255"/>
    <w:rsid w:val="00E26AAE"/>
    <w:rsid w:val="00E304C2"/>
    <w:rsid w:val="00E32117"/>
    <w:rsid w:val="00E349B3"/>
    <w:rsid w:val="00E354DA"/>
    <w:rsid w:val="00E35E06"/>
    <w:rsid w:val="00E3635D"/>
    <w:rsid w:val="00E37D95"/>
    <w:rsid w:val="00E431A9"/>
    <w:rsid w:val="00E437CE"/>
    <w:rsid w:val="00E50C68"/>
    <w:rsid w:val="00E571E5"/>
    <w:rsid w:val="00E57B61"/>
    <w:rsid w:val="00E669E2"/>
    <w:rsid w:val="00E67276"/>
    <w:rsid w:val="00E70712"/>
    <w:rsid w:val="00E71579"/>
    <w:rsid w:val="00E73A9D"/>
    <w:rsid w:val="00E73D69"/>
    <w:rsid w:val="00E76135"/>
    <w:rsid w:val="00E76DAE"/>
    <w:rsid w:val="00E82F4F"/>
    <w:rsid w:val="00E8527A"/>
    <w:rsid w:val="00E95AA1"/>
    <w:rsid w:val="00E95AF7"/>
    <w:rsid w:val="00E97951"/>
    <w:rsid w:val="00EA08E3"/>
    <w:rsid w:val="00EA3051"/>
    <w:rsid w:val="00EA35B0"/>
    <w:rsid w:val="00EA6E19"/>
    <w:rsid w:val="00EA7194"/>
    <w:rsid w:val="00EB0383"/>
    <w:rsid w:val="00EB158D"/>
    <w:rsid w:val="00EB4C3F"/>
    <w:rsid w:val="00EB7370"/>
    <w:rsid w:val="00EC2844"/>
    <w:rsid w:val="00EC28F5"/>
    <w:rsid w:val="00EC3840"/>
    <w:rsid w:val="00EC4124"/>
    <w:rsid w:val="00EC5705"/>
    <w:rsid w:val="00EC7054"/>
    <w:rsid w:val="00EF0133"/>
    <w:rsid w:val="00EF1D6F"/>
    <w:rsid w:val="00EF6C6C"/>
    <w:rsid w:val="00EF6C88"/>
    <w:rsid w:val="00EF7B48"/>
    <w:rsid w:val="00EF7E79"/>
    <w:rsid w:val="00F01E9D"/>
    <w:rsid w:val="00F055D8"/>
    <w:rsid w:val="00F056FC"/>
    <w:rsid w:val="00F07401"/>
    <w:rsid w:val="00F10476"/>
    <w:rsid w:val="00F135D8"/>
    <w:rsid w:val="00F16208"/>
    <w:rsid w:val="00F239D1"/>
    <w:rsid w:val="00F24593"/>
    <w:rsid w:val="00F24A91"/>
    <w:rsid w:val="00F261D1"/>
    <w:rsid w:val="00F31299"/>
    <w:rsid w:val="00F31618"/>
    <w:rsid w:val="00F31AB8"/>
    <w:rsid w:val="00F33B3E"/>
    <w:rsid w:val="00F33ECE"/>
    <w:rsid w:val="00F3534A"/>
    <w:rsid w:val="00F35781"/>
    <w:rsid w:val="00F40692"/>
    <w:rsid w:val="00F4253F"/>
    <w:rsid w:val="00F42770"/>
    <w:rsid w:val="00F44097"/>
    <w:rsid w:val="00F44787"/>
    <w:rsid w:val="00F5077D"/>
    <w:rsid w:val="00F50790"/>
    <w:rsid w:val="00F5261F"/>
    <w:rsid w:val="00F52817"/>
    <w:rsid w:val="00F52ECF"/>
    <w:rsid w:val="00F609E4"/>
    <w:rsid w:val="00F614C7"/>
    <w:rsid w:val="00F626D6"/>
    <w:rsid w:val="00F63988"/>
    <w:rsid w:val="00F6469F"/>
    <w:rsid w:val="00F65683"/>
    <w:rsid w:val="00F67465"/>
    <w:rsid w:val="00F67D66"/>
    <w:rsid w:val="00F7368E"/>
    <w:rsid w:val="00F7411B"/>
    <w:rsid w:val="00F804A4"/>
    <w:rsid w:val="00F805C8"/>
    <w:rsid w:val="00F812EE"/>
    <w:rsid w:val="00F82FB1"/>
    <w:rsid w:val="00F85325"/>
    <w:rsid w:val="00F85DF5"/>
    <w:rsid w:val="00F85E1A"/>
    <w:rsid w:val="00F86A62"/>
    <w:rsid w:val="00F86D03"/>
    <w:rsid w:val="00F90391"/>
    <w:rsid w:val="00F94ABE"/>
    <w:rsid w:val="00F97E2B"/>
    <w:rsid w:val="00FA71FB"/>
    <w:rsid w:val="00FB02E4"/>
    <w:rsid w:val="00FB03CC"/>
    <w:rsid w:val="00FB3757"/>
    <w:rsid w:val="00FB5925"/>
    <w:rsid w:val="00FB7435"/>
    <w:rsid w:val="00FC01D1"/>
    <w:rsid w:val="00FD1EE3"/>
    <w:rsid w:val="00FD22B1"/>
    <w:rsid w:val="00FD3F44"/>
    <w:rsid w:val="00FD487E"/>
    <w:rsid w:val="00FD6642"/>
    <w:rsid w:val="00FE309C"/>
    <w:rsid w:val="00FE30BB"/>
    <w:rsid w:val="00FE4991"/>
    <w:rsid w:val="00FE711F"/>
    <w:rsid w:val="00FE7D26"/>
    <w:rsid w:val="00FF0F16"/>
    <w:rsid w:val="00FF33AC"/>
    <w:rsid w:val="00FF5146"/>
    <w:rsid w:val="00FF7A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i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239D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2"/>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7B1B41"/>
    <w:pPr>
      <w:numPr>
        <w:numId w:val="18"/>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customStyle="1" w:styleId="CommentTextChar">
    <w:name w:val="Comment Text Char"/>
    <w:basedOn w:val="DefaultParagraphFont"/>
    <w:link w:val="CommentText"/>
    <w:semiHidden/>
    <w:rsid w:val="00A0015A"/>
    <w:rPr>
      <w:szCs w:val="24"/>
    </w:rPr>
  </w:style>
  <w:style w:type="character" w:customStyle="1" w:styleId="BodyTextChar">
    <w:name w:val="Body Text Char"/>
    <w:basedOn w:val="DefaultParagraphFont"/>
    <w:link w:val="BodyText"/>
    <w:rsid w:val="00A0015A"/>
    <w:rPr>
      <w:sz w:val="26"/>
    </w:rPr>
  </w:style>
  <w:style w:type="character" w:customStyle="1" w:styleId="Heading2Char">
    <w:name w:val="Heading 2 Char"/>
    <w:basedOn w:val="DefaultParagraphFont"/>
    <w:link w:val="Heading2"/>
    <w:rsid w:val="00A0015A"/>
    <w:rPr>
      <w:rFonts w:ascii="Arial" w:hAnsi="Arial"/>
      <w:b/>
      <w:sz w:val="32"/>
    </w:rPr>
  </w:style>
  <w:style w:type="character" w:customStyle="1" w:styleId="Heading3Char">
    <w:name w:val="Heading 3 Char"/>
    <w:basedOn w:val="DefaultParagraphFont"/>
    <w:link w:val="Heading3"/>
    <w:rsid w:val="00A0015A"/>
    <w:rPr>
      <w:rFonts w:ascii="Arial" w:hAnsi="Arial"/>
      <w:b/>
      <w:sz w:val="26"/>
    </w:rPr>
  </w:style>
  <w:style w:type="character" w:customStyle="1" w:styleId="Heading4Char">
    <w:name w:val="Heading 4 Char"/>
    <w:basedOn w:val="DefaultParagraphFont"/>
    <w:link w:val="Heading4"/>
    <w:rsid w:val="00A0015A"/>
    <w:rPr>
      <w:rFonts w:ascii="Arial" w:hAnsi="Arial"/>
      <w:i/>
      <w:sz w:val="24"/>
    </w:rPr>
  </w:style>
  <w:style w:type="character" w:customStyle="1" w:styleId="QuoteChar">
    <w:name w:val="Quote Char"/>
    <w:basedOn w:val="DefaultParagraphFont"/>
    <w:link w:val="Quote"/>
    <w:rsid w:val="00A0015A"/>
    <w:rPr>
      <w:sz w:val="24"/>
    </w:rPr>
  </w:style>
  <w:style w:type="character" w:customStyle="1" w:styleId="FootnoteTextChar">
    <w:name w:val="Footnote Text Char"/>
    <w:basedOn w:val="DefaultParagraphFont"/>
    <w:link w:val="FootnoteText"/>
    <w:rsid w:val="00720092"/>
    <w:rPr>
      <w:sz w:val="22"/>
    </w:rPr>
  </w:style>
  <w:style w:type="character" w:customStyle="1" w:styleId="Heading5Char">
    <w:name w:val="Heading 5 Char"/>
    <w:basedOn w:val="DefaultParagraphFont"/>
    <w:link w:val="Heading5"/>
    <w:rsid w:val="0045526D"/>
    <w:rPr>
      <w:i/>
      <w:sz w:val="26"/>
    </w:rPr>
  </w:style>
  <w:style w:type="character" w:styleId="Hyperlink">
    <w:name w:val="Hyperlink"/>
    <w:basedOn w:val="DefaultParagraphFont"/>
    <w:uiPriority w:val="99"/>
    <w:rsid w:val="000F0586"/>
    <w:rPr>
      <w:color w:val="0000FF" w:themeColor="hyperlink"/>
      <w:u w:val="single"/>
    </w:rPr>
  </w:style>
  <w:style w:type="character" w:customStyle="1" w:styleId="ListBulletChar">
    <w:name w:val="List Bullet Char"/>
    <w:link w:val="ListBullet"/>
    <w:rsid w:val="00014077"/>
    <w:rPr>
      <w:sz w:val="26"/>
    </w:rPr>
  </w:style>
  <w:style w:type="paragraph" w:styleId="CommentSubject">
    <w:name w:val="annotation subject"/>
    <w:basedOn w:val="CommentText"/>
    <w:next w:val="CommentText"/>
    <w:link w:val="CommentSubjectChar"/>
    <w:rsid w:val="00597E3F"/>
    <w:pPr>
      <w:spacing w:before="0" w:line="240" w:lineRule="auto"/>
      <w:ind w:left="0" w:firstLine="0"/>
    </w:pPr>
    <w:rPr>
      <w:b/>
      <w:bCs/>
      <w:szCs w:val="20"/>
    </w:rPr>
  </w:style>
  <w:style w:type="character" w:customStyle="1" w:styleId="CommentSubjectChar">
    <w:name w:val="Comment Subject Char"/>
    <w:basedOn w:val="CommentTextChar"/>
    <w:link w:val="CommentSubject"/>
    <w:rsid w:val="00597E3F"/>
    <w:rPr>
      <w:b/>
      <w:bCs/>
      <w:szCs w:val="24"/>
    </w:rPr>
  </w:style>
  <w:style w:type="paragraph" w:styleId="Revision">
    <w:name w:val="Revision"/>
    <w:hidden/>
    <w:uiPriority w:val="99"/>
    <w:semiHidden/>
    <w:rsid w:val="00597E3F"/>
    <w:rPr>
      <w:sz w:val="26"/>
      <w:szCs w:val="24"/>
    </w:rPr>
  </w:style>
  <w:style w:type="paragraph" w:styleId="PlainText">
    <w:name w:val="Plain Text"/>
    <w:basedOn w:val="Normal"/>
    <w:link w:val="PlainTextChar"/>
    <w:uiPriority w:val="99"/>
    <w:unhideWhenUsed/>
    <w:rsid w:val="007C6989"/>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7C6989"/>
    <w:rPr>
      <w:rFonts w:ascii="Calibri" w:eastAsiaTheme="minorHAnsi" w:hAnsi="Calibri" w:cstheme="minorBidi"/>
      <w:sz w:val="22"/>
      <w:szCs w:val="21"/>
      <w:lang w:eastAsia="en-US"/>
    </w:rPr>
  </w:style>
  <w:style w:type="paragraph" w:customStyle="1" w:styleId="Default">
    <w:name w:val="Default"/>
    <w:rsid w:val="00F44787"/>
    <w:pPr>
      <w:autoSpaceDE w:val="0"/>
      <w:autoSpaceDN w:val="0"/>
      <w:adjustRightInd w:val="0"/>
    </w:pPr>
    <w:rPr>
      <w:rFonts w:ascii="Arial" w:hAnsi="Arial" w:cs="Arial"/>
      <w:color w:val="000000"/>
      <w:sz w:val="24"/>
      <w:szCs w:val="24"/>
    </w:rPr>
  </w:style>
  <w:style w:type="paragraph" w:customStyle="1" w:styleId="justify">
    <w:name w:val="justify"/>
    <w:basedOn w:val="Normal"/>
    <w:rsid w:val="00F5077D"/>
    <w:pPr>
      <w:spacing w:after="150" w:line="360" w:lineRule="auto"/>
    </w:pPr>
    <w:rPr>
      <w:sz w:val="24"/>
    </w:rPr>
  </w:style>
  <w:style w:type="table" w:styleId="TableGrid">
    <w:name w:val="Table Grid"/>
    <w:basedOn w:val="TableNormal"/>
    <w:rsid w:val="004875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teChar">
    <w:name w:val="Note Char"/>
    <w:link w:val="Note"/>
    <w:rsid w:val="0069619E"/>
    <w:rPr>
      <w:rFonts w:ascii="Arial" w:hAnsi="Arial"/>
      <w:sz w:val="18"/>
    </w:rPr>
  </w:style>
  <w:style w:type="paragraph" w:customStyle="1" w:styleId="Dn">
    <w:name w:val="Dn"/>
    <w:basedOn w:val="Source"/>
    <w:rsid w:val="00B610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i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239D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2"/>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7B1B41"/>
    <w:pPr>
      <w:numPr>
        <w:numId w:val="18"/>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customStyle="1" w:styleId="CommentTextChar">
    <w:name w:val="Comment Text Char"/>
    <w:basedOn w:val="DefaultParagraphFont"/>
    <w:link w:val="CommentText"/>
    <w:semiHidden/>
    <w:rsid w:val="00A0015A"/>
    <w:rPr>
      <w:szCs w:val="24"/>
    </w:rPr>
  </w:style>
  <w:style w:type="character" w:customStyle="1" w:styleId="BodyTextChar">
    <w:name w:val="Body Text Char"/>
    <w:basedOn w:val="DefaultParagraphFont"/>
    <w:link w:val="BodyText"/>
    <w:rsid w:val="00A0015A"/>
    <w:rPr>
      <w:sz w:val="26"/>
    </w:rPr>
  </w:style>
  <w:style w:type="character" w:customStyle="1" w:styleId="Heading2Char">
    <w:name w:val="Heading 2 Char"/>
    <w:basedOn w:val="DefaultParagraphFont"/>
    <w:link w:val="Heading2"/>
    <w:rsid w:val="00A0015A"/>
    <w:rPr>
      <w:rFonts w:ascii="Arial" w:hAnsi="Arial"/>
      <w:b/>
      <w:sz w:val="32"/>
    </w:rPr>
  </w:style>
  <w:style w:type="character" w:customStyle="1" w:styleId="Heading3Char">
    <w:name w:val="Heading 3 Char"/>
    <w:basedOn w:val="DefaultParagraphFont"/>
    <w:link w:val="Heading3"/>
    <w:rsid w:val="00A0015A"/>
    <w:rPr>
      <w:rFonts w:ascii="Arial" w:hAnsi="Arial"/>
      <w:b/>
      <w:sz w:val="26"/>
    </w:rPr>
  </w:style>
  <w:style w:type="character" w:customStyle="1" w:styleId="Heading4Char">
    <w:name w:val="Heading 4 Char"/>
    <w:basedOn w:val="DefaultParagraphFont"/>
    <w:link w:val="Heading4"/>
    <w:rsid w:val="00A0015A"/>
    <w:rPr>
      <w:rFonts w:ascii="Arial" w:hAnsi="Arial"/>
      <w:i/>
      <w:sz w:val="24"/>
    </w:rPr>
  </w:style>
  <w:style w:type="character" w:customStyle="1" w:styleId="QuoteChar">
    <w:name w:val="Quote Char"/>
    <w:basedOn w:val="DefaultParagraphFont"/>
    <w:link w:val="Quote"/>
    <w:rsid w:val="00A0015A"/>
    <w:rPr>
      <w:sz w:val="24"/>
    </w:rPr>
  </w:style>
  <w:style w:type="character" w:customStyle="1" w:styleId="FootnoteTextChar">
    <w:name w:val="Footnote Text Char"/>
    <w:basedOn w:val="DefaultParagraphFont"/>
    <w:link w:val="FootnoteText"/>
    <w:rsid w:val="00720092"/>
    <w:rPr>
      <w:sz w:val="22"/>
    </w:rPr>
  </w:style>
  <w:style w:type="character" w:customStyle="1" w:styleId="Heading5Char">
    <w:name w:val="Heading 5 Char"/>
    <w:basedOn w:val="DefaultParagraphFont"/>
    <w:link w:val="Heading5"/>
    <w:rsid w:val="0045526D"/>
    <w:rPr>
      <w:i/>
      <w:sz w:val="26"/>
    </w:rPr>
  </w:style>
  <w:style w:type="character" w:styleId="Hyperlink">
    <w:name w:val="Hyperlink"/>
    <w:basedOn w:val="DefaultParagraphFont"/>
    <w:uiPriority w:val="99"/>
    <w:rsid w:val="000F0586"/>
    <w:rPr>
      <w:color w:val="0000FF" w:themeColor="hyperlink"/>
      <w:u w:val="single"/>
    </w:rPr>
  </w:style>
  <w:style w:type="character" w:customStyle="1" w:styleId="ListBulletChar">
    <w:name w:val="List Bullet Char"/>
    <w:link w:val="ListBullet"/>
    <w:rsid w:val="00014077"/>
    <w:rPr>
      <w:sz w:val="26"/>
    </w:rPr>
  </w:style>
  <w:style w:type="paragraph" w:styleId="CommentSubject">
    <w:name w:val="annotation subject"/>
    <w:basedOn w:val="CommentText"/>
    <w:next w:val="CommentText"/>
    <w:link w:val="CommentSubjectChar"/>
    <w:rsid w:val="00597E3F"/>
    <w:pPr>
      <w:spacing w:before="0" w:line="240" w:lineRule="auto"/>
      <w:ind w:left="0" w:firstLine="0"/>
    </w:pPr>
    <w:rPr>
      <w:b/>
      <w:bCs/>
      <w:szCs w:val="20"/>
    </w:rPr>
  </w:style>
  <w:style w:type="character" w:customStyle="1" w:styleId="CommentSubjectChar">
    <w:name w:val="Comment Subject Char"/>
    <w:basedOn w:val="CommentTextChar"/>
    <w:link w:val="CommentSubject"/>
    <w:rsid w:val="00597E3F"/>
    <w:rPr>
      <w:b/>
      <w:bCs/>
      <w:szCs w:val="24"/>
    </w:rPr>
  </w:style>
  <w:style w:type="paragraph" w:styleId="Revision">
    <w:name w:val="Revision"/>
    <w:hidden/>
    <w:uiPriority w:val="99"/>
    <w:semiHidden/>
    <w:rsid w:val="00597E3F"/>
    <w:rPr>
      <w:sz w:val="26"/>
      <w:szCs w:val="24"/>
    </w:rPr>
  </w:style>
  <w:style w:type="paragraph" w:styleId="PlainText">
    <w:name w:val="Plain Text"/>
    <w:basedOn w:val="Normal"/>
    <w:link w:val="PlainTextChar"/>
    <w:uiPriority w:val="99"/>
    <w:unhideWhenUsed/>
    <w:rsid w:val="007C6989"/>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7C6989"/>
    <w:rPr>
      <w:rFonts w:ascii="Calibri" w:eastAsiaTheme="minorHAnsi" w:hAnsi="Calibri" w:cstheme="minorBidi"/>
      <w:sz w:val="22"/>
      <w:szCs w:val="21"/>
      <w:lang w:eastAsia="en-US"/>
    </w:rPr>
  </w:style>
  <w:style w:type="paragraph" w:customStyle="1" w:styleId="Default">
    <w:name w:val="Default"/>
    <w:rsid w:val="00F44787"/>
    <w:pPr>
      <w:autoSpaceDE w:val="0"/>
      <w:autoSpaceDN w:val="0"/>
      <w:adjustRightInd w:val="0"/>
    </w:pPr>
    <w:rPr>
      <w:rFonts w:ascii="Arial" w:hAnsi="Arial" w:cs="Arial"/>
      <w:color w:val="000000"/>
      <w:sz w:val="24"/>
      <w:szCs w:val="24"/>
    </w:rPr>
  </w:style>
  <w:style w:type="paragraph" w:customStyle="1" w:styleId="justify">
    <w:name w:val="justify"/>
    <w:basedOn w:val="Normal"/>
    <w:rsid w:val="00F5077D"/>
    <w:pPr>
      <w:spacing w:after="150" w:line="360" w:lineRule="auto"/>
    </w:pPr>
    <w:rPr>
      <w:sz w:val="24"/>
    </w:rPr>
  </w:style>
  <w:style w:type="table" w:styleId="TableGrid">
    <w:name w:val="Table Grid"/>
    <w:basedOn w:val="TableNormal"/>
    <w:rsid w:val="004875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teChar">
    <w:name w:val="Note Char"/>
    <w:link w:val="Note"/>
    <w:rsid w:val="0069619E"/>
    <w:rPr>
      <w:rFonts w:ascii="Arial" w:hAnsi="Arial"/>
      <w:sz w:val="18"/>
    </w:rPr>
  </w:style>
  <w:style w:type="paragraph" w:customStyle="1" w:styleId="Dn">
    <w:name w:val="Dn"/>
    <w:basedOn w:val="Source"/>
    <w:rsid w:val="00B61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323451">
      <w:bodyDiv w:val="1"/>
      <w:marLeft w:val="0"/>
      <w:marRight w:val="0"/>
      <w:marTop w:val="0"/>
      <w:marBottom w:val="0"/>
      <w:divBdr>
        <w:top w:val="none" w:sz="0" w:space="0" w:color="auto"/>
        <w:left w:val="none" w:sz="0" w:space="0" w:color="auto"/>
        <w:bottom w:val="none" w:sz="0" w:space="0" w:color="auto"/>
        <w:right w:val="none" w:sz="0" w:space="0" w:color="auto"/>
      </w:divBdr>
    </w:div>
    <w:div w:id="1362973084">
      <w:bodyDiv w:val="1"/>
      <w:marLeft w:val="0"/>
      <w:marRight w:val="0"/>
      <w:marTop w:val="0"/>
      <w:marBottom w:val="15"/>
      <w:divBdr>
        <w:top w:val="none" w:sz="0" w:space="0" w:color="auto"/>
        <w:left w:val="none" w:sz="0" w:space="0" w:color="auto"/>
        <w:bottom w:val="none" w:sz="0" w:space="0" w:color="auto"/>
        <w:right w:val="none" w:sz="0" w:space="0" w:color="auto"/>
      </w:divBdr>
      <w:divsChild>
        <w:div w:id="966398599">
          <w:marLeft w:val="0"/>
          <w:marRight w:val="0"/>
          <w:marTop w:val="0"/>
          <w:marBottom w:val="0"/>
          <w:divBdr>
            <w:top w:val="none" w:sz="0" w:space="0" w:color="auto"/>
            <w:left w:val="none" w:sz="0" w:space="0" w:color="auto"/>
            <w:bottom w:val="none" w:sz="0" w:space="0" w:color="auto"/>
            <w:right w:val="none" w:sz="0" w:space="0" w:color="auto"/>
          </w:divBdr>
          <w:divsChild>
            <w:div w:id="718014973">
              <w:marLeft w:val="0"/>
              <w:marRight w:val="0"/>
              <w:marTop w:val="0"/>
              <w:marBottom w:val="0"/>
              <w:divBdr>
                <w:top w:val="none" w:sz="0" w:space="0" w:color="auto"/>
                <w:left w:val="none" w:sz="0" w:space="0" w:color="auto"/>
                <w:bottom w:val="none" w:sz="0" w:space="0" w:color="auto"/>
                <w:right w:val="none" w:sz="0" w:space="0" w:color="auto"/>
              </w:divBdr>
              <w:divsChild>
                <w:div w:id="1273900860">
                  <w:marLeft w:val="0"/>
                  <w:marRight w:val="0"/>
                  <w:marTop w:val="0"/>
                  <w:marBottom w:val="0"/>
                  <w:divBdr>
                    <w:top w:val="none" w:sz="0" w:space="0" w:color="auto"/>
                    <w:left w:val="none" w:sz="0" w:space="0" w:color="auto"/>
                    <w:bottom w:val="none" w:sz="0" w:space="0" w:color="auto"/>
                    <w:right w:val="none" w:sz="0" w:space="0" w:color="auto"/>
                  </w:divBdr>
                  <w:divsChild>
                    <w:div w:id="1809544666">
                      <w:marLeft w:val="0"/>
                      <w:marRight w:val="0"/>
                      <w:marTop w:val="0"/>
                      <w:marBottom w:val="0"/>
                      <w:divBdr>
                        <w:top w:val="none" w:sz="0" w:space="0" w:color="auto"/>
                        <w:left w:val="none" w:sz="0" w:space="0" w:color="auto"/>
                        <w:bottom w:val="none" w:sz="0" w:space="0" w:color="auto"/>
                        <w:right w:val="none" w:sz="0" w:space="0" w:color="auto"/>
                      </w:divBdr>
                      <w:divsChild>
                        <w:div w:id="929696054">
                          <w:marLeft w:val="0"/>
                          <w:marRight w:val="0"/>
                          <w:marTop w:val="0"/>
                          <w:marBottom w:val="0"/>
                          <w:divBdr>
                            <w:top w:val="none" w:sz="0" w:space="0" w:color="auto"/>
                            <w:left w:val="none" w:sz="0" w:space="0" w:color="auto"/>
                            <w:bottom w:val="none" w:sz="0" w:space="0" w:color="auto"/>
                            <w:right w:val="none" w:sz="0" w:space="0" w:color="auto"/>
                          </w:divBdr>
                          <w:divsChild>
                            <w:div w:id="82825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14444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964A9-7F0F-478B-B7E0-9FF35FE5A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3435</TotalTime>
  <Pages>22</Pages>
  <Words>8018</Words>
  <Characters>44324</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52238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Productivity Commission</dc:creator>
  <cp:keywords/>
  <dc:description>4.</dc:description>
  <cp:lastModifiedBy>Melissa Edwards</cp:lastModifiedBy>
  <cp:revision>371</cp:revision>
  <cp:lastPrinted>2012-11-26T06:27:00Z</cp:lastPrinted>
  <dcterms:created xsi:type="dcterms:W3CDTF">2012-07-15T22:55:00Z</dcterms:created>
  <dcterms:modified xsi:type="dcterms:W3CDTF">2012-11-26T23:46:00Z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-887394574</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