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E31" w:rsidRDefault="00282D45" w:rsidP="006C31BF">
      <w:pPr>
        <w:pStyle w:val="Chapter"/>
        <w:spacing w:after="1200"/>
        <w:ind w:left="907" w:hanging="907"/>
      </w:pPr>
      <w:bookmarkStart w:id="0" w:name="ChapterNumber"/>
      <w:bookmarkStart w:id="1" w:name="_GoBack"/>
      <w:r>
        <w:t>5</w:t>
      </w:r>
      <w:bookmarkEnd w:id="0"/>
      <w:r>
        <w:tab/>
      </w:r>
      <w:bookmarkStart w:id="2" w:name="ChapterTitle"/>
      <w:r>
        <w:t>Exceptions and exemptions</w:t>
      </w:r>
      <w:bookmarkEnd w:id="2"/>
    </w:p>
    <w:p w:rsidR="00583E31" w:rsidRDefault="00583E31" w:rsidP="005549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83E31" w:rsidTr="006A6A36">
        <w:tc>
          <w:tcPr>
            <w:tcW w:w="8771" w:type="dxa"/>
            <w:tcBorders>
              <w:top w:val="single" w:sz="6" w:space="0" w:color="auto"/>
              <w:bottom w:val="nil"/>
            </w:tcBorders>
          </w:tcPr>
          <w:p w:rsidR="00583E31" w:rsidRDefault="00583E31" w:rsidP="006A6A36">
            <w:pPr>
              <w:pStyle w:val="BoxTitle"/>
            </w:pPr>
            <w:r>
              <w:t>Key points</w:t>
            </w:r>
          </w:p>
        </w:tc>
      </w:tr>
      <w:tr w:rsidR="00583E31" w:rsidTr="006A6A36">
        <w:trPr>
          <w:cantSplit/>
        </w:trPr>
        <w:tc>
          <w:tcPr>
            <w:tcW w:w="8771" w:type="dxa"/>
            <w:tcBorders>
              <w:top w:val="nil"/>
              <w:bottom w:val="nil"/>
            </w:tcBorders>
          </w:tcPr>
          <w:p w:rsidR="00583E31" w:rsidRDefault="00583E31" w:rsidP="006A6A36">
            <w:pPr>
              <w:pStyle w:val="BoxListBullet"/>
            </w:pPr>
            <w:r>
              <w:t xml:space="preserve">All jurisdictions exclude certain types of regulatory proposals, or proposals in certain circumstances, either </w:t>
            </w:r>
            <w:r w:rsidR="00C67A4D">
              <w:t xml:space="preserve">as </w:t>
            </w:r>
            <w:r w:rsidR="00C67A4D" w:rsidRPr="00C67A4D">
              <w:rPr>
                <w:i/>
              </w:rPr>
              <w:t>exceptions</w:t>
            </w:r>
            <w:r w:rsidR="00C67A4D">
              <w:t xml:space="preserve"> </w:t>
            </w:r>
            <w:r>
              <w:t xml:space="preserve">from </w:t>
            </w:r>
            <w:r w:rsidR="00C67A4D">
              <w:t>regulatory impact analysis (</w:t>
            </w:r>
            <w:r>
              <w:t>RIA</w:t>
            </w:r>
            <w:r w:rsidR="00C67A4D">
              <w:t>)</w:t>
            </w:r>
            <w:r>
              <w:t xml:space="preserve"> </w:t>
            </w:r>
            <w:r w:rsidR="00282D45">
              <w:t xml:space="preserve">requirements </w:t>
            </w:r>
            <w:r>
              <w:t xml:space="preserve">or </w:t>
            </w:r>
            <w:r w:rsidR="00C67A4D">
              <w:t xml:space="preserve">as </w:t>
            </w:r>
            <w:r w:rsidR="00C67A4D" w:rsidRPr="00C67A4D">
              <w:rPr>
                <w:i/>
              </w:rPr>
              <w:t>exemptions</w:t>
            </w:r>
            <w:r w:rsidR="00C67A4D">
              <w:t xml:space="preserve"> </w:t>
            </w:r>
            <w:r>
              <w:t>from th</w:t>
            </w:r>
            <w:r w:rsidR="00C67A4D">
              <w:t>e requirement to prepare a regulation impact statement (RIS</w:t>
            </w:r>
            <w:r>
              <w:t>).</w:t>
            </w:r>
          </w:p>
          <w:p w:rsidR="001862EE" w:rsidRDefault="00583E31" w:rsidP="00FE3068">
            <w:pPr>
              <w:pStyle w:val="BoxListBullet"/>
            </w:pPr>
            <w:r>
              <w:t>There is scope to improve the transparency of exceptions in particular jurisdictions, and/or to reduce the degree of d</w:t>
            </w:r>
            <w:r w:rsidR="001862EE">
              <w:t>iscretion in their application.</w:t>
            </w:r>
          </w:p>
          <w:p w:rsidR="00815390" w:rsidRDefault="00750C0B" w:rsidP="00FE3068">
            <w:pPr>
              <w:pStyle w:val="BoxListBullet"/>
            </w:pPr>
            <w:r>
              <w:t>W</w:t>
            </w:r>
            <w:r w:rsidR="00583E31">
              <w:t>here exceptions clearly apply it should not be necessary to conduct any p</w:t>
            </w:r>
            <w:r w:rsidR="00815390">
              <w:t>reliminary impact assessment.</w:t>
            </w:r>
          </w:p>
          <w:p w:rsidR="00583E31" w:rsidRDefault="00815390" w:rsidP="00815390">
            <w:pPr>
              <w:pStyle w:val="BoxListBullet2"/>
            </w:pPr>
            <w:r>
              <w:t>I</w:t>
            </w:r>
            <w:r w:rsidR="00583E31">
              <w:t>n some jurisdictions excepted proposals are not being filtered out early enough in the process and as a consequence RIA resources are being used inefficiently.</w:t>
            </w:r>
          </w:p>
          <w:p w:rsidR="00B40307" w:rsidRDefault="00B40307" w:rsidP="00B40307">
            <w:pPr>
              <w:pStyle w:val="BoxListBullet"/>
            </w:pPr>
            <w:r>
              <w:t xml:space="preserve">Subjecting election commitments to RIA requirements enhances the integrity of the process. Where the requirement for a RIS is triggered, the impact analysis should </w:t>
            </w:r>
            <w:r w:rsidR="009641B6">
              <w:t xml:space="preserve">ideally </w:t>
            </w:r>
            <w:r>
              <w:t>reflect the full RIS requirements</w:t>
            </w:r>
            <w:r w:rsidR="009641B6">
              <w:t>,</w:t>
            </w:r>
            <w:r w:rsidR="00471941">
              <w:t xml:space="preserve"> but at a minimum</w:t>
            </w:r>
            <w:r>
              <w:t xml:space="preserve"> include analysis of the </w:t>
            </w:r>
            <w:r w:rsidR="009641B6">
              <w:t>costs and benefits of implementing</w:t>
            </w:r>
            <w:r>
              <w:t xml:space="preserve"> the announced regulatory option.</w:t>
            </w:r>
          </w:p>
          <w:p w:rsidR="00583E31" w:rsidRDefault="00583E31" w:rsidP="006A6A36">
            <w:pPr>
              <w:pStyle w:val="BoxListBullet"/>
            </w:pPr>
            <w:r>
              <w:t xml:space="preserve">In all Australian jurisdictions, significant proposals that would otherwise trigger the requirement to prepare a RIS can, in </w:t>
            </w:r>
            <w:r w:rsidR="00282D45">
              <w:t xml:space="preserve">certain </w:t>
            </w:r>
            <w:r>
              <w:t xml:space="preserve">circumstances, be granted an </w:t>
            </w:r>
            <w:r w:rsidRPr="00C67A4D">
              <w:t>exemption</w:t>
            </w:r>
            <w:r w:rsidRPr="00473F5B">
              <w:rPr>
                <w:i/>
              </w:rPr>
              <w:t>.</w:t>
            </w:r>
          </w:p>
          <w:p w:rsidR="001862EE" w:rsidRDefault="002D48BC" w:rsidP="006A6A36">
            <w:pPr>
              <w:pStyle w:val="BoxListBullet"/>
            </w:pPr>
            <w:r>
              <w:t>E</w:t>
            </w:r>
            <w:r w:rsidR="001862EE">
              <w:t>xemptions should be limited to genuinely exceptional circumstances, such as emergency situations, where a clear public interest can be demonstrated</w:t>
            </w:r>
            <w:r w:rsidR="00192107">
              <w:t xml:space="preserve"> and be granted </w:t>
            </w:r>
            <w:r w:rsidR="00230F0B">
              <w:t xml:space="preserve"> as soon as possible after the requirement for a RIS has been triggered</w:t>
            </w:r>
            <w:r w:rsidR="001862EE">
              <w:t>.</w:t>
            </w:r>
          </w:p>
          <w:p w:rsidR="00583E31" w:rsidRDefault="00583E31" w:rsidP="001862EE">
            <w:pPr>
              <w:pStyle w:val="BoxListBullet2"/>
            </w:pPr>
            <w:r>
              <w:t>Participants raised concerns about the number of exemptions being granted (particularly at the Commonwealth level); the propensity for more sensitive or highly significant proposals to be exempted; and the lack of t</w:t>
            </w:r>
            <w:r w:rsidR="001862EE">
              <w:t>ransparency around the process.</w:t>
            </w:r>
          </w:p>
          <w:p w:rsidR="00B40307" w:rsidRDefault="00B40307" w:rsidP="001862EE">
            <w:pPr>
              <w:pStyle w:val="BoxListBullet2"/>
            </w:pPr>
            <w:r>
              <w:t>To ensure independence of the process and improve accountability, the responsibility for granting exemptions should reside with the Prime Minister, Premier or Chief Minister and not the Minister proposing the regulation.</w:t>
            </w:r>
          </w:p>
          <w:p w:rsidR="00583E31" w:rsidRDefault="00583E31" w:rsidP="00D54AAE">
            <w:pPr>
              <w:pStyle w:val="BoxListBullet"/>
            </w:pPr>
            <w:r>
              <w:t xml:space="preserve">To discourage excessive use of exemptions, particularly where a government’s motivation may principally be to avoid the scrutiny that </w:t>
            </w:r>
            <w:r w:rsidR="00D54AAE">
              <w:t>impact analysis</w:t>
            </w:r>
            <w:r>
              <w:t xml:space="preserve"> provides, all exemptions granted and the justification should be made public and a post</w:t>
            </w:r>
            <w:r w:rsidR="00DD3A5E">
              <w:t xml:space="preserve"> </w:t>
            </w:r>
            <w:r>
              <w:t>implementation review conducted</w:t>
            </w:r>
            <w:r w:rsidR="00750C0B">
              <w:t>.</w:t>
            </w:r>
          </w:p>
        </w:tc>
      </w:tr>
      <w:tr w:rsidR="00583E31" w:rsidTr="006A6A36">
        <w:trPr>
          <w:cantSplit/>
        </w:trPr>
        <w:tc>
          <w:tcPr>
            <w:tcW w:w="8771" w:type="dxa"/>
            <w:tcBorders>
              <w:top w:val="nil"/>
              <w:bottom w:val="single" w:sz="6" w:space="0" w:color="auto"/>
            </w:tcBorders>
          </w:tcPr>
          <w:p w:rsidR="00583E31" w:rsidRPr="00C10204" w:rsidRDefault="00583E31" w:rsidP="006A6A36">
            <w:pPr>
              <w:pStyle w:val="Box"/>
              <w:spacing w:before="0" w:line="120" w:lineRule="exact"/>
            </w:pPr>
          </w:p>
        </w:tc>
      </w:tr>
      <w:tr w:rsidR="00583E31" w:rsidTr="006A6A36">
        <w:tc>
          <w:tcPr>
            <w:tcW w:w="8771" w:type="dxa"/>
            <w:tcBorders>
              <w:top w:val="nil"/>
              <w:left w:val="nil"/>
              <w:bottom w:val="nil"/>
              <w:right w:val="nil"/>
            </w:tcBorders>
          </w:tcPr>
          <w:p w:rsidR="00583E31" w:rsidRPr="00C10204" w:rsidRDefault="00583E31" w:rsidP="006A6A36">
            <w:pPr>
              <w:pStyle w:val="Box"/>
              <w:keepNext w:val="0"/>
              <w:spacing w:before="60" w:after="60" w:line="80" w:lineRule="exact"/>
              <w:rPr>
                <w:b/>
                <w:color w:val="FF00FF"/>
                <w:sz w:val="14"/>
              </w:rPr>
            </w:pPr>
          </w:p>
        </w:tc>
      </w:tr>
    </w:tbl>
    <w:p w:rsidR="00583E31" w:rsidRDefault="00282D45" w:rsidP="009926AE">
      <w:pPr>
        <w:pStyle w:val="Heading2"/>
      </w:pPr>
      <w:r>
        <w:lastRenderedPageBreak/>
        <w:t>5.</w:t>
      </w:r>
      <w:r w:rsidR="00DE3A5F">
        <w:rPr>
          <w:noProof/>
        </w:rPr>
        <w:t>1</w:t>
      </w:r>
      <w:r w:rsidR="00583E31">
        <w:tab/>
        <w:t>Introduction</w:t>
      </w:r>
    </w:p>
    <w:p w:rsidR="00C71120" w:rsidRDefault="009717F0" w:rsidP="00F0337E">
      <w:pPr>
        <w:pStyle w:val="BodyText"/>
      </w:pPr>
      <w:r w:rsidRPr="009717F0">
        <w:t xml:space="preserve">All jurisdictions exclude certain types of regulatory proposals, or proposals in certain circumstances, either from the requirement to conduct any RIA or from the requirement to prepare a RIS. Generally, these exclusions fall within various categories of exceptions or exemptions, but these terms are not used consistently across jurisdictions. For ease of discussion, in this chapter, the Commission will use the term ‘exceptions’ to cover those categories which </w:t>
      </w:r>
      <w:r>
        <w:t>exclude proposals from</w:t>
      </w:r>
      <w:r w:rsidRPr="009717F0">
        <w:t xml:space="preserve"> RIA requirements. The term ‘exemption’, on the other hand, is used here to cover exclusions or waivers from the requirement to prepare a RIS. Exemptions are typically sought on a case-by-case basis once impacts have been assessed as significant (and the requirement to pre</w:t>
      </w:r>
      <w:r w:rsidR="00E15A6C">
        <w:t>pare a RIS has been triggered).</w:t>
      </w:r>
      <w:r w:rsidR="00230F0B">
        <w:t xml:space="preserve"> </w:t>
      </w:r>
      <w:r w:rsidR="00230F0B" w:rsidRPr="009717F0">
        <w:t>A diagrammatic representation of the process of excluding and filtering regulatory proposals is shown in figure 5.1.</w:t>
      </w:r>
    </w:p>
    <w:p w:rsidR="00C71120" w:rsidRDefault="00C71120" w:rsidP="00C71120">
      <w:pPr>
        <w:pStyle w:val="FigureTitle"/>
      </w:pPr>
      <w:r>
        <w:rPr>
          <w:b w:val="0"/>
        </w:rPr>
        <w:t>Figure 5.</w:t>
      </w:r>
      <w:r w:rsidR="00DE3A5F">
        <w:rPr>
          <w:b w:val="0"/>
          <w:noProof/>
        </w:rPr>
        <w:t>1</w:t>
      </w:r>
      <w:r>
        <w:tab/>
        <w:t>A regulatory proposal’s progression through the ‘RIA filter’</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Description w:val="Figure 5.1 A regulatory proposal’s progression through the ‘RIA filter’. This figure shows the use of RIA processes to exclude and filter regulatory proposals."/>
      </w:tblPr>
      <w:tblGrid>
        <w:gridCol w:w="8777"/>
      </w:tblGrid>
      <w:tr w:rsidR="00C71120">
        <w:tc>
          <w:tcPr>
            <w:tcW w:w="8777" w:type="dxa"/>
          </w:tcPr>
          <w:p w:rsidR="00C71120" w:rsidRDefault="00B1618B">
            <w:pPr>
              <w:pStyle w:val="Figur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51.15pt;height:257.45pt">
                  <v:imagedata r:id="rId9" o:title=""/>
                </v:shape>
              </w:pict>
            </w:r>
          </w:p>
        </w:tc>
      </w:tr>
    </w:tbl>
    <w:p w:rsidR="00F0337E" w:rsidRDefault="00F0337E" w:rsidP="00F0337E">
      <w:pPr>
        <w:pStyle w:val="BodyText"/>
      </w:pPr>
      <w:r w:rsidRPr="009717F0">
        <w:t xml:space="preserve">In addition to exceptions and exemptions, proposals assessed as having not significant impacts are excluded from requiring further analysis (chapter 4). </w:t>
      </w:r>
      <w:r>
        <w:t>Ultimately, only the small proportion of regulatory proposals which have significant impacts, do not fall into an exception category and are not granted an exemption, require a RIS.</w:t>
      </w:r>
    </w:p>
    <w:p w:rsidR="00583E31" w:rsidRDefault="00583E31" w:rsidP="00557AFD">
      <w:pPr>
        <w:pStyle w:val="BodyText"/>
      </w:pPr>
      <w:r>
        <w:t xml:space="preserve">It is generally accepted that certain exclusions, or exclusions in particular circumstances, are necessary and appropriate. However, the large number of </w:t>
      </w:r>
      <w:r>
        <w:lastRenderedPageBreak/>
        <w:t>proposals bypassing RIA, particularly those that business</w:t>
      </w:r>
      <w:r w:rsidR="001C2C5D">
        <w:t xml:space="preserve"> </w:t>
      </w:r>
      <w:r>
        <w:t>consider to have more significant impacts, is one of the principal complaints about RIA processes in</w:t>
      </w:r>
      <w:r w:rsidR="00DC5198">
        <w:t xml:space="preserve"> some jurisdictions</w:t>
      </w:r>
      <w:r w:rsidR="0041480A">
        <w:t xml:space="preserve"> (box 5.1)</w:t>
      </w:r>
      <w:r w:rsidR="001F4DD7">
        <w:t>.</w:t>
      </w:r>
    </w:p>
    <w:p w:rsidR="004D5EB1" w:rsidRDefault="004D5EB1" w:rsidP="00557AFD">
      <w:pPr>
        <w:pStyle w:val="BodyText"/>
      </w:pPr>
      <w:r>
        <w:t>This chapter examines the various exceptions, exemptions and other agreed exclusions in jurisdictions’ RIA systems. It identifies a number of leading practices that could help ensure exclusions are justified and transparent and, in particular, that major or politically sensitive regulatory proposals are subjected to timely RIA. However, there are other explanations for significant proposals not being subjected to appropriate analysis, including a failure to prepare RISs (or RISs of an adequate standard) where required. These non-compliance issues are discussed in chapter 8.</w:t>
      </w:r>
    </w:p>
    <w:p w:rsidR="007801D2" w:rsidRPr="00E15A6C" w:rsidRDefault="007801D2" w:rsidP="003938BC">
      <w:pPr>
        <w:pStyle w:val="BoxSpac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801D2" w:rsidTr="007801D2">
        <w:tc>
          <w:tcPr>
            <w:tcW w:w="8771" w:type="dxa"/>
            <w:tcBorders>
              <w:top w:val="single" w:sz="6" w:space="0" w:color="auto"/>
              <w:bottom w:val="nil"/>
            </w:tcBorders>
          </w:tcPr>
          <w:p w:rsidR="007801D2" w:rsidRDefault="007801D2" w:rsidP="00FF456A">
            <w:pPr>
              <w:pStyle w:val="BoxTitle"/>
            </w:pPr>
            <w:r>
              <w:rPr>
                <w:b w:val="0"/>
              </w:rPr>
              <w:t xml:space="preserve">Box </w:t>
            </w:r>
            <w:bookmarkStart w:id="3" w:name="OLE_LINK2"/>
            <w:r w:rsidRPr="00DC5198">
              <w:rPr>
                <w:b w:val="0"/>
              </w:rPr>
              <w:t>5.</w:t>
            </w:r>
            <w:r w:rsidR="00DE3A5F">
              <w:rPr>
                <w:b w:val="0"/>
                <w:noProof/>
              </w:rPr>
              <w:t>1</w:t>
            </w:r>
            <w:bookmarkEnd w:id="3"/>
            <w:r>
              <w:tab/>
              <w:t>Exceptions and exemptions: views of stakeholders</w:t>
            </w:r>
          </w:p>
        </w:tc>
      </w:tr>
      <w:tr w:rsidR="007801D2" w:rsidTr="007801D2">
        <w:trPr>
          <w:cantSplit/>
        </w:trPr>
        <w:tc>
          <w:tcPr>
            <w:tcW w:w="8771" w:type="dxa"/>
            <w:tcBorders>
              <w:top w:val="nil"/>
              <w:bottom w:val="nil"/>
            </w:tcBorders>
          </w:tcPr>
          <w:p w:rsidR="007801D2" w:rsidRDefault="007801D2" w:rsidP="007801D2">
            <w:pPr>
              <w:pStyle w:val="Box"/>
            </w:pPr>
            <w:r w:rsidRPr="00C10204">
              <w:t xml:space="preserve">The following are illustrative of the </w:t>
            </w:r>
            <w:r w:rsidR="000018A2">
              <w:t>concerns raised by participants:</w:t>
            </w:r>
          </w:p>
          <w:p w:rsidR="004D5EB1" w:rsidRPr="00471941" w:rsidRDefault="000018A2" w:rsidP="007801D2">
            <w:pPr>
              <w:pStyle w:val="Box"/>
              <w:rPr>
                <w:i/>
              </w:rPr>
            </w:pPr>
            <w:r>
              <w:rPr>
                <w:i/>
              </w:rPr>
              <w:t>Master Builders Australia</w:t>
            </w:r>
          </w:p>
          <w:p w:rsidR="0041480A" w:rsidRDefault="0041480A" w:rsidP="0041480A">
            <w:pPr>
              <w:pStyle w:val="BoxQuote"/>
            </w:pPr>
            <w:r w:rsidRPr="0041480A">
              <w:t>Master Builders has a particular concern with the level of exceptions and exemptions under RIA processes. (sub. 19, p. 3)</w:t>
            </w:r>
          </w:p>
          <w:p w:rsidR="004D5EB1" w:rsidRPr="00471941" w:rsidRDefault="004D5EB1" w:rsidP="004D5EB1">
            <w:pPr>
              <w:pStyle w:val="Box"/>
              <w:rPr>
                <w:i/>
              </w:rPr>
            </w:pPr>
            <w:r w:rsidRPr="00471941">
              <w:rPr>
                <w:i/>
              </w:rPr>
              <w:t>Small B</w:t>
            </w:r>
            <w:r w:rsidR="000018A2">
              <w:rPr>
                <w:i/>
              </w:rPr>
              <w:t>usiness Development Corporation</w:t>
            </w:r>
            <w:r w:rsidR="00230F0B">
              <w:rPr>
                <w:i/>
              </w:rPr>
              <w:t xml:space="preserve"> (Western Australia)</w:t>
            </w:r>
          </w:p>
          <w:p w:rsidR="0041480A" w:rsidRDefault="0041480A" w:rsidP="0041480A">
            <w:pPr>
              <w:pStyle w:val="BoxQuote"/>
            </w:pPr>
            <w:r w:rsidRPr="0041480A">
              <w:t xml:space="preserve">Anecdotally, the </w:t>
            </w:r>
            <w:proofErr w:type="spellStart"/>
            <w:r w:rsidRPr="0041480A">
              <w:t>SBDC</w:t>
            </w:r>
            <w:proofErr w:type="spellEnd"/>
            <w:r w:rsidRPr="0041480A">
              <w:t xml:space="preserve"> believes there has been a substantial, and disproportionate (which is contrary to its intent), number of Treasurer’s Exempti</w:t>
            </w:r>
            <w:r w:rsidR="004D5EB1">
              <w:t>ons granted to agencies. (sub. 25, p. </w:t>
            </w:r>
            <w:r w:rsidRPr="0041480A">
              <w:t>10)</w:t>
            </w:r>
          </w:p>
          <w:p w:rsidR="004D5EB1" w:rsidRPr="00471941" w:rsidRDefault="004D5EB1" w:rsidP="004D5EB1">
            <w:pPr>
              <w:pStyle w:val="Box"/>
              <w:rPr>
                <w:i/>
              </w:rPr>
            </w:pPr>
            <w:r w:rsidRPr="00471941">
              <w:rPr>
                <w:i/>
              </w:rPr>
              <w:t>The Cen</w:t>
            </w:r>
            <w:r w:rsidR="000018A2">
              <w:rPr>
                <w:i/>
              </w:rPr>
              <w:t>tre for International Economics</w:t>
            </w:r>
          </w:p>
          <w:p w:rsidR="0041480A" w:rsidRDefault="0041480A" w:rsidP="0041480A">
            <w:pPr>
              <w:pStyle w:val="BoxQuote"/>
            </w:pPr>
            <w:r w:rsidRPr="0041480A">
              <w:t>Presently, some important regulatory changes ar</w:t>
            </w:r>
            <w:r w:rsidR="004D5EB1">
              <w:t xml:space="preserve">e escaping the review process </w:t>
            </w:r>
            <w:r w:rsidRPr="0041480A">
              <w:t>(</w:t>
            </w:r>
            <w:r w:rsidR="004D5EB1">
              <w:t>sub. 14, p. </w:t>
            </w:r>
            <w:r w:rsidRPr="0041480A">
              <w:t>7)</w:t>
            </w:r>
          </w:p>
          <w:p w:rsidR="004D5EB1" w:rsidRPr="00471941" w:rsidRDefault="004D5EB1" w:rsidP="004D5EB1">
            <w:pPr>
              <w:pStyle w:val="Box"/>
              <w:rPr>
                <w:i/>
              </w:rPr>
            </w:pPr>
            <w:r w:rsidRPr="00471941">
              <w:rPr>
                <w:i/>
              </w:rPr>
              <w:t>Australian Chamber of Commerc</w:t>
            </w:r>
            <w:r w:rsidR="000018A2">
              <w:rPr>
                <w:i/>
              </w:rPr>
              <w:t>e and Industry</w:t>
            </w:r>
          </w:p>
          <w:p w:rsidR="007801D2" w:rsidRPr="002937BF" w:rsidRDefault="0041480A" w:rsidP="0041480A">
            <w:pPr>
              <w:pStyle w:val="BoxQuote"/>
            </w:pPr>
            <w:r w:rsidRPr="0041480A">
              <w:t>Businesses are concerned that most of the proposed regulations that proceeded without undergoing the RIA processes often imposed the greatest cost and compliance bur</w:t>
            </w:r>
            <w:r w:rsidR="004D5EB1">
              <w:t>den on their businesses. (</w:t>
            </w:r>
            <w:r w:rsidRPr="0041480A">
              <w:t>sub. 2, p. 2)</w:t>
            </w:r>
          </w:p>
        </w:tc>
      </w:tr>
      <w:tr w:rsidR="007801D2" w:rsidTr="007801D2">
        <w:trPr>
          <w:cantSplit/>
        </w:trPr>
        <w:tc>
          <w:tcPr>
            <w:tcW w:w="8771" w:type="dxa"/>
            <w:tcBorders>
              <w:top w:val="nil"/>
              <w:bottom w:val="single" w:sz="6" w:space="0" w:color="auto"/>
            </w:tcBorders>
          </w:tcPr>
          <w:p w:rsidR="007801D2" w:rsidRPr="00C10204" w:rsidRDefault="007801D2" w:rsidP="007801D2">
            <w:pPr>
              <w:pStyle w:val="Box"/>
              <w:spacing w:before="0" w:line="120" w:lineRule="exact"/>
            </w:pPr>
          </w:p>
        </w:tc>
      </w:tr>
      <w:tr w:rsidR="007801D2" w:rsidTr="007801D2">
        <w:tc>
          <w:tcPr>
            <w:tcW w:w="8771" w:type="dxa"/>
            <w:tcBorders>
              <w:top w:val="nil"/>
              <w:left w:val="nil"/>
              <w:bottom w:val="nil"/>
              <w:right w:val="nil"/>
            </w:tcBorders>
          </w:tcPr>
          <w:p w:rsidR="007801D2" w:rsidRPr="00C10204" w:rsidRDefault="007801D2" w:rsidP="007801D2">
            <w:pPr>
              <w:pStyle w:val="Box"/>
              <w:keepNext w:val="0"/>
              <w:spacing w:before="60" w:after="60" w:line="80" w:lineRule="exact"/>
              <w:rPr>
                <w:b/>
                <w:color w:val="FF00FF"/>
                <w:sz w:val="14"/>
              </w:rPr>
            </w:pPr>
          </w:p>
        </w:tc>
      </w:tr>
    </w:tbl>
    <w:p w:rsidR="00583E31" w:rsidRDefault="00282D45" w:rsidP="003938BC">
      <w:pPr>
        <w:pStyle w:val="Heading2"/>
        <w:spacing w:before="360"/>
      </w:pPr>
      <w:bookmarkStart w:id="4" w:name="OLE_LINK1"/>
      <w:bookmarkStart w:id="5" w:name="_Toc326139780"/>
      <w:r>
        <w:t>5.</w:t>
      </w:r>
      <w:r w:rsidR="00DE3A5F">
        <w:rPr>
          <w:noProof/>
        </w:rPr>
        <w:t>2</w:t>
      </w:r>
      <w:bookmarkEnd w:id="4"/>
      <w:r w:rsidR="00583E31">
        <w:tab/>
        <w:t xml:space="preserve">Exceptions to </w:t>
      </w:r>
      <w:proofErr w:type="spellStart"/>
      <w:r w:rsidR="00583E31">
        <w:t>RIA</w:t>
      </w:r>
      <w:bookmarkEnd w:id="5"/>
      <w:proofErr w:type="spellEnd"/>
    </w:p>
    <w:p w:rsidR="00583E31" w:rsidRDefault="00F70EF4" w:rsidP="009F6F10">
      <w:pPr>
        <w:pStyle w:val="BodyText"/>
      </w:pPr>
      <w:r>
        <w:t xml:space="preserve">In all Australian jurisdictions, some specific types of regulatory proposals are excepted from the RIA process. Typically, these exceptions are based on either the specific subject matter of the proposal, or agreed on a case-by-case basis between the oversight body and the relevant agency. </w:t>
      </w:r>
      <w:r w:rsidR="00583E31">
        <w:t xml:space="preserve">These exceptions (in some cases referred to </w:t>
      </w:r>
      <w:r w:rsidR="00750C0B">
        <w:t xml:space="preserve">in </w:t>
      </w:r>
      <w:r w:rsidR="005719B7">
        <w:t xml:space="preserve">jurisdictional </w:t>
      </w:r>
      <w:r w:rsidR="00750C0B">
        <w:t xml:space="preserve">guidance material </w:t>
      </w:r>
      <w:r w:rsidR="00583E31">
        <w:t>as exemptions) typically exclude the relevant regulatory proposals from any requirement to conduct formal impact analysis, not just from the requirement to prepare a RIS document.</w:t>
      </w:r>
      <w:r w:rsidR="00E4529A">
        <w:t xml:space="preserve"> The Commission recognises that exceptions form part of a well-functioning RIA system, however improvements can be made to their transparency and applicability.</w:t>
      </w:r>
    </w:p>
    <w:p w:rsidR="00AE3934" w:rsidRDefault="00AE3934" w:rsidP="009F6F10">
      <w:pPr>
        <w:pStyle w:val="Heading3"/>
      </w:pPr>
      <w:r>
        <w:lastRenderedPageBreak/>
        <w:t>Commonwealth and COAG exceptions</w:t>
      </w:r>
    </w:p>
    <w:p w:rsidR="00583E31" w:rsidRDefault="00750C0B" w:rsidP="009F6F10">
      <w:pPr>
        <w:pStyle w:val="BodyText"/>
      </w:pPr>
      <w:r>
        <w:t>In the Commonwealth and COAG</w:t>
      </w:r>
      <w:r w:rsidR="00583E31">
        <w:t xml:space="preserve"> systems</w:t>
      </w:r>
      <w:r>
        <w:t>,</w:t>
      </w:r>
      <w:r w:rsidR="00583E31">
        <w:t xml:space="preserve"> regulation subject to R</w:t>
      </w:r>
      <w:r w:rsidR="00DC5198">
        <w:t>IA is defined broadly (chapter 4</w:t>
      </w:r>
      <w:r w:rsidR="00583E31">
        <w:t>)</w:t>
      </w:r>
      <w:r w:rsidR="00D251BD">
        <w:t>,</w:t>
      </w:r>
      <w:r w:rsidR="00583E31">
        <w:t xml:space="preserve"> </w:t>
      </w:r>
      <w:r w:rsidR="00D251BD">
        <w:t>h</w:t>
      </w:r>
      <w:r w:rsidR="00373C06">
        <w:t>owever, certain types of proposals are deemed to be outside the scope of RIA:</w:t>
      </w:r>
    </w:p>
    <w:p w:rsidR="00583E31" w:rsidRPr="00704B03" w:rsidRDefault="00583E31" w:rsidP="009F6F10">
      <w:pPr>
        <w:pStyle w:val="ListBullet"/>
      </w:pPr>
      <w:r w:rsidRPr="00141C09">
        <w:t>Australian Government</w:t>
      </w:r>
      <w:r w:rsidRPr="00AE2F47">
        <w:t xml:space="preserve"> — </w:t>
      </w:r>
      <w:r w:rsidRPr="00704B03">
        <w:t>the definition of ‘regulation’ does not include grant programs; government procurement of specific goods or services; or government agreements, unless more general regulatory requirements are imposed on the organisations receiving funding or providing goods and/or services.</w:t>
      </w:r>
    </w:p>
    <w:p w:rsidR="00583E31" w:rsidRDefault="00583E31" w:rsidP="00141C09">
      <w:pPr>
        <w:pStyle w:val="ListBullet"/>
      </w:pPr>
      <w:r w:rsidRPr="00141C09">
        <w:t>COAG</w:t>
      </w:r>
      <w:r w:rsidRPr="00AE2F47">
        <w:t xml:space="preserve"> — </w:t>
      </w:r>
      <w:r w:rsidRPr="00704B03">
        <w:t xml:space="preserve">regulation </w:t>
      </w:r>
      <w:r w:rsidR="00750C0B">
        <w:t xml:space="preserve">subject to RIA </w:t>
      </w:r>
      <w:r w:rsidRPr="00704B03">
        <w:t>does not include purchasing policies or industry assistance schemes.</w:t>
      </w:r>
    </w:p>
    <w:p w:rsidR="00E04614" w:rsidRDefault="00E04614" w:rsidP="00AE3934">
      <w:pPr>
        <w:pStyle w:val="Heading4"/>
      </w:pPr>
      <w:r>
        <w:t>Commonwealth ‘</w:t>
      </w:r>
      <w:r w:rsidR="003938BC">
        <w:t>c</w:t>
      </w:r>
      <w:r>
        <w:t>arve outs’</w:t>
      </w:r>
    </w:p>
    <w:p w:rsidR="00E04614" w:rsidRDefault="00A91B2D" w:rsidP="00BB0AC3">
      <w:pPr>
        <w:pStyle w:val="BodyText"/>
      </w:pPr>
      <w:r>
        <w:t>T</w:t>
      </w:r>
      <w:r w:rsidR="00E04614">
        <w:t xml:space="preserve">he Office of Best Practice Regulation (OBPR) has reached agreements with individual agencies on a number of specific regulatory proposals for which RIA is not required. </w:t>
      </w:r>
      <w:r>
        <w:t>From October 2012, there has been an</w:t>
      </w:r>
      <w:r w:rsidR="00E04614">
        <w:t xml:space="preserve"> external guidance note setting out the criteria for the use of RIA carve outs together with a </w:t>
      </w:r>
      <w:r>
        <w:t xml:space="preserve">list of the existing carve outs (sub. </w:t>
      </w:r>
      <w:proofErr w:type="spellStart"/>
      <w:r>
        <w:t>DR35</w:t>
      </w:r>
      <w:proofErr w:type="spellEnd"/>
      <w:r w:rsidR="00E04614">
        <w:t>)</w:t>
      </w:r>
      <w:r>
        <w:t>.</w:t>
      </w:r>
    </w:p>
    <w:p w:rsidR="00E04614" w:rsidRDefault="00E04614" w:rsidP="00BB0AC3">
      <w:pPr>
        <w:pStyle w:val="BodyText"/>
      </w:pPr>
      <w:r>
        <w:t xml:space="preserve">There are currently 49 approved ‘carve outs’ on the OBPR </w:t>
      </w:r>
      <w:r w:rsidR="006C587F">
        <w:t>list</w:t>
      </w:r>
      <w:r>
        <w:t xml:space="preserve">. The carve out removes the need for the relevant agency to produce </w:t>
      </w:r>
      <w:r w:rsidR="000D2708">
        <w:t>an</w:t>
      </w:r>
      <w:r>
        <w:t xml:space="preserve"> </w:t>
      </w:r>
      <w:r w:rsidR="00911ABC">
        <w:t xml:space="preserve">assessment of </w:t>
      </w:r>
      <w:r w:rsidR="00820618">
        <w:t>a proposal’s</w:t>
      </w:r>
      <w:r w:rsidR="00911ABC">
        <w:t xml:space="preserve"> likely impacts.</w:t>
      </w:r>
      <w:r w:rsidR="00B94C4C">
        <w:t xml:space="preserve"> </w:t>
      </w:r>
      <w:r w:rsidR="00820618">
        <w:t xml:space="preserve">Potential carve outs need to </w:t>
      </w:r>
      <w:r w:rsidR="00BB0AC3">
        <w:t>be</w:t>
      </w:r>
      <w:r>
        <w:t xml:space="preserve"> regulatory changes </w:t>
      </w:r>
      <w:r w:rsidR="00BB0AC3">
        <w:t>that</w:t>
      </w:r>
      <w:r>
        <w:t xml:space="preserve"> occur on a regular basis and be either minor or machinery in nature. Possible categories of carve outs include:</w:t>
      </w:r>
    </w:p>
    <w:p w:rsidR="00E04614" w:rsidRDefault="00E04614" w:rsidP="00BB0AC3">
      <w:pPr>
        <w:pStyle w:val="ListBullet"/>
      </w:pPr>
      <w:r>
        <w:t>routine indexation changes that use an established formula such as the Consumer Price Index</w:t>
      </w:r>
    </w:p>
    <w:p w:rsidR="00E04614" w:rsidRDefault="00E04614" w:rsidP="00BB0AC3">
      <w:pPr>
        <w:pStyle w:val="ListBullet"/>
      </w:pPr>
      <w:r>
        <w:t>regular changes consistently assessed as minor or machinery in nature</w:t>
      </w:r>
    </w:p>
    <w:p w:rsidR="00E04614" w:rsidRDefault="00E04614" w:rsidP="00BB0AC3">
      <w:pPr>
        <w:pStyle w:val="ListBullet"/>
      </w:pPr>
      <w:r>
        <w:t>routine administrative changes identified as minor or machinery and will continue to not require a RIS for future changes</w:t>
      </w:r>
    </w:p>
    <w:p w:rsidR="00E04614" w:rsidRDefault="00E04614" w:rsidP="00BB0AC3">
      <w:pPr>
        <w:pStyle w:val="ListBullet"/>
      </w:pPr>
      <w:r>
        <w:t xml:space="preserve">machinery changes. (Australian Government </w:t>
      </w:r>
      <w:proofErr w:type="spellStart"/>
      <w:r>
        <w:t>2012c</w:t>
      </w:r>
      <w:proofErr w:type="spellEnd"/>
      <w:r>
        <w:t>)</w:t>
      </w:r>
    </w:p>
    <w:p w:rsidR="00E04614" w:rsidRDefault="003938BC" w:rsidP="00BB0AC3">
      <w:pPr>
        <w:pStyle w:val="BodyText"/>
      </w:pPr>
      <w:r>
        <w:t>Either</w:t>
      </w:r>
      <w:r w:rsidR="00E04614">
        <w:t xml:space="preserve"> OBPR officers </w:t>
      </w:r>
      <w:r>
        <w:t>or</w:t>
      </w:r>
      <w:r w:rsidR="00E04614">
        <w:t xml:space="preserve"> relevant agencies can suggest potential regulatory proposals that would benefit from being carved out from the RIA process.</w:t>
      </w:r>
    </w:p>
    <w:p w:rsidR="00230F0B" w:rsidRDefault="00E04614" w:rsidP="00BB0AC3">
      <w:pPr>
        <w:pStyle w:val="BodyText"/>
      </w:pPr>
      <w:r>
        <w:t xml:space="preserve">In principle, such exclusions may enhance the efficiency of RIA systems and help to ensure that efforts are targeted where they have the greatest potential to contribute to improved regulatory outcomes. However, before such arrangements are negotiated with agencies, stakeholders affected should be given an opportunity </w:t>
      </w:r>
      <w:r>
        <w:lastRenderedPageBreak/>
        <w:t>to comment on whether there would be value in subjecting the relevant regulations to RIA.</w:t>
      </w:r>
    </w:p>
    <w:p w:rsidR="00E04614" w:rsidRDefault="002E395D" w:rsidP="00BB0AC3">
      <w:pPr>
        <w:pStyle w:val="BodyText"/>
      </w:pPr>
      <w:r>
        <w:t>M</w:t>
      </w:r>
      <w:r w:rsidR="00230F0B">
        <w:t>ore generally,</w:t>
      </w:r>
      <w:r>
        <w:t xml:space="preserve"> </w:t>
      </w:r>
      <w:r w:rsidR="00230F0B">
        <w:t>t</w:t>
      </w:r>
      <w:r w:rsidR="00E04614">
        <w:t xml:space="preserve">he criteria used </w:t>
      </w:r>
      <w:r>
        <w:t xml:space="preserve">for carve outs </w:t>
      </w:r>
      <w:r w:rsidR="00E04614">
        <w:t>should be consistently applied and made public</w:t>
      </w:r>
      <w:r w:rsidR="00C45D65">
        <w:t>,</w:t>
      </w:r>
      <w:r w:rsidR="00E04614">
        <w:t xml:space="preserve"> together with an up-to-date listing of all such exclusions. The exclusions should also be reviewed periodically to ensure that they continue to be justified.</w:t>
      </w:r>
    </w:p>
    <w:p w:rsidR="00D251BD" w:rsidRDefault="00D251BD" w:rsidP="00D251BD">
      <w:pPr>
        <w:pStyle w:val="Heading3"/>
      </w:pPr>
      <w:r>
        <w:t>State and territory exceptions</w:t>
      </w:r>
    </w:p>
    <w:p w:rsidR="00606A54" w:rsidRDefault="00606A54" w:rsidP="00DA7BEB">
      <w:pPr>
        <w:pStyle w:val="BodyText"/>
      </w:pPr>
      <w:r>
        <w:t>State and territory RIA systems (apart from the Northern Territory) identify a much wider range of specific exception categories than do the Commonwealth and COAG systems, and there is a fair degree of commonality across jurisdictions. For example, common exceptions relate to correcting drafting errors, standard fee increases, police powers and rules of court and for the implementation of national reforms (where a suitable national RIS has been prepared).</w:t>
      </w:r>
    </w:p>
    <w:p w:rsidR="00DA7BEB" w:rsidRDefault="00DA7BEB" w:rsidP="00DA7BEB">
      <w:pPr>
        <w:pStyle w:val="BodyText"/>
      </w:pPr>
      <w:r>
        <w:t>In all the states there are exceptions for both primary and subordinate legislation, while in the ACT exceptions only apply for subordinate legislation (table 5.1).</w:t>
      </w:r>
      <w:r w:rsidRPr="00F4439C">
        <w:t xml:space="preserve"> </w:t>
      </w:r>
      <w:r>
        <w:t>In the Northern Territory, specific exception</w:t>
      </w:r>
      <w:r w:rsidR="00230F0B">
        <w:t>s are limited to</w:t>
      </w:r>
      <w:r>
        <w:t xml:space="preserve"> taxation and budgetary proposals.</w:t>
      </w:r>
    </w:p>
    <w:p w:rsidR="009717F0" w:rsidRDefault="009717F0" w:rsidP="004237DD">
      <w:pPr>
        <w:pStyle w:val="BodyText"/>
      </w:pPr>
      <w:r>
        <w:t>In those jurisdiction</w:t>
      </w:r>
      <w:r w:rsidR="00527FF4">
        <w:t>s with subordinate legislation A</w:t>
      </w:r>
      <w:r>
        <w:t>cts, general exceptions apply for machinery or transitional regulations.</w:t>
      </w:r>
      <w:r>
        <w:rPr>
          <w:rStyle w:val="FootnoteReference"/>
        </w:rPr>
        <w:footnoteReference w:id="1"/>
      </w:r>
      <w:r>
        <w:t xml:space="preserve"> Some additional exceptions are set out in the specific subordinate legislation acts of part</w:t>
      </w:r>
      <w:r w:rsidR="00E705CC">
        <w:t>icular jurisdictions (box 5.2).</w:t>
      </w:r>
    </w:p>
    <w:p w:rsidR="004F1247" w:rsidRDefault="004F1247" w:rsidP="004F1247">
      <w:pPr>
        <w:pStyle w:val="TableTitle"/>
      </w:pPr>
      <w:r>
        <w:rPr>
          <w:b w:val="0"/>
        </w:rPr>
        <w:lastRenderedPageBreak/>
        <w:t xml:space="preserve">Table </w:t>
      </w:r>
      <w:bookmarkStart w:id="6" w:name="OLE_LINK3"/>
      <w:r w:rsidRPr="00DC5198">
        <w:rPr>
          <w:b w:val="0"/>
        </w:rPr>
        <w:t>5.</w:t>
      </w:r>
      <w:r w:rsidR="00DE3A5F">
        <w:rPr>
          <w:b w:val="0"/>
          <w:noProof/>
        </w:rPr>
        <w:t>1</w:t>
      </w:r>
      <w:bookmarkEnd w:id="6"/>
      <w:r>
        <w:tab/>
        <w:t>Exceptions to state and territory RIA</w:t>
      </w:r>
    </w:p>
    <w:tbl>
      <w:tblPr>
        <w:tblW w:w="5000" w:type="pct"/>
        <w:tblCellMar>
          <w:left w:w="0" w:type="dxa"/>
          <w:right w:w="0" w:type="dxa"/>
        </w:tblCellMar>
        <w:tblLook w:val="0000" w:firstRow="0" w:lastRow="0" w:firstColumn="0" w:lastColumn="0" w:noHBand="0" w:noVBand="0"/>
      </w:tblPr>
      <w:tblGrid>
        <w:gridCol w:w="2434"/>
        <w:gridCol w:w="541"/>
        <w:gridCol w:w="548"/>
        <w:gridCol w:w="444"/>
        <w:gridCol w:w="484"/>
        <w:gridCol w:w="534"/>
        <w:gridCol w:w="494"/>
        <w:gridCol w:w="502"/>
        <w:gridCol w:w="502"/>
        <w:gridCol w:w="458"/>
        <w:gridCol w:w="488"/>
        <w:gridCol w:w="458"/>
        <w:gridCol w:w="488"/>
        <w:gridCol w:w="414"/>
      </w:tblGrid>
      <w:tr w:rsidR="00950C97" w:rsidTr="00903070">
        <w:trPr>
          <w:trHeight w:val="380"/>
        </w:trPr>
        <w:tc>
          <w:tcPr>
            <w:tcW w:w="1386" w:type="pct"/>
            <w:tcBorders>
              <w:top w:val="single" w:sz="4" w:space="0" w:color="auto"/>
            </w:tcBorders>
          </w:tcPr>
          <w:p w:rsidR="004F1247" w:rsidRDefault="004F1247" w:rsidP="006C31BF">
            <w:pPr>
              <w:pStyle w:val="TableColumnHeading"/>
              <w:jc w:val="left"/>
            </w:pPr>
          </w:p>
        </w:tc>
        <w:tc>
          <w:tcPr>
            <w:tcW w:w="622" w:type="pct"/>
            <w:gridSpan w:val="2"/>
            <w:tcBorders>
              <w:top w:val="single" w:sz="4" w:space="0" w:color="auto"/>
            </w:tcBorders>
          </w:tcPr>
          <w:p w:rsidR="004F1247" w:rsidRPr="00D65EA7" w:rsidRDefault="004F1247" w:rsidP="006C31BF">
            <w:pPr>
              <w:pStyle w:val="TableColumnHeading"/>
              <w:spacing w:line="240" w:lineRule="exact"/>
              <w:jc w:val="center"/>
            </w:pPr>
            <w:r w:rsidRPr="00D65EA7">
              <w:t>NSW</w:t>
            </w:r>
          </w:p>
        </w:tc>
        <w:tc>
          <w:tcPr>
            <w:tcW w:w="521" w:type="pct"/>
            <w:gridSpan w:val="2"/>
            <w:tcBorders>
              <w:top w:val="single" w:sz="4" w:space="0" w:color="auto"/>
            </w:tcBorders>
          </w:tcPr>
          <w:p w:rsidR="004F1247" w:rsidRPr="00D65EA7" w:rsidRDefault="004F1247" w:rsidP="006C31BF">
            <w:pPr>
              <w:pStyle w:val="TableColumnHeading"/>
              <w:spacing w:line="240" w:lineRule="exact"/>
              <w:jc w:val="center"/>
              <w:rPr>
                <w:rStyle w:val="NoteLabel"/>
                <w:i w:val="0"/>
                <w:position w:val="0"/>
              </w:rPr>
            </w:pPr>
            <w:r w:rsidRPr="00D65EA7">
              <w:t>Vic</w:t>
            </w:r>
            <w:r w:rsidRPr="00B7428C">
              <w:rPr>
                <w:rStyle w:val="NoteLabel"/>
                <w:i w:val="0"/>
              </w:rPr>
              <w:t>a</w:t>
            </w:r>
          </w:p>
        </w:tc>
        <w:tc>
          <w:tcPr>
            <w:tcW w:w="583" w:type="pct"/>
            <w:gridSpan w:val="2"/>
            <w:tcBorders>
              <w:top w:val="single" w:sz="4" w:space="0" w:color="auto"/>
            </w:tcBorders>
          </w:tcPr>
          <w:p w:rsidR="004F1247" w:rsidRPr="00D65EA7" w:rsidRDefault="004F1247" w:rsidP="006C31BF">
            <w:pPr>
              <w:pStyle w:val="TableColumnHeading"/>
              <w:spacing w:line="240" w:lineRule="exact"/>
              <w:jc w:val="center"/>
              <w:rPr>
                <w:rStyle w:val="NoteLabel"/>
                <w:b w:val="0"/>
                <w:position w:val="0"/>
              </w:rPr>
            </w:pPr>
            <w:r w:rsidRPr="00D65EA7">
              <w:t>Qld</w:t>
            </w:r>
          </w:p>
        </w:tc>
        <w:tc>
          <w:tcPr>
            <w:tcW w:w="287" w:type="pct"/>
            <w:tcBorders>
              <w:top w:val="single" w:sz="4" w:space="0" w:color="auto"/>
            </w:tcBorders>
          </w:tcPr>
          <w:p w:rsidR="004F1247" w:rsidRPr="00D65EA7" w:rsidRDefault="004F1247" w:rsidP="006C31BF">
            <w:pPr>
              <w:pStyle w:val="TableColumnHeading"/>
              <w:spacing w:line="240" w:lineRule="exact"/>
              <w:jc w:val="center"/>
            </w:pPr>
            <w:r w:rsidRPr="00D65EA7">
              <w:t>WA</w:t>
            </w:r>
          </w:p>
        </w:tc>
        <w:tc>
          <w:tcPr>
            <w:tcW w:w="287" w:type="pct"/>
            <w:tcBorders>
              <w:top w:val="single" w:sz="4" w:space="0" w:color="auto"/>
            </w:tcBorders>
          </w:tcPr>
          <w:p w:rsidR="004F1247" w:rsidRPr="00D65EA7" w:rsidRDefault="004F1247" w:rsidP="006C31BF">
            <w:pPr>
              <w:pStyle w:val="TableColumnHeading"/>
              <w:spacing w:line="240" w:lineRule="exact"/>
              <w:jc w:val="center"/>
            </w:pPr>
            <w:r w:rsidRPr="00D65EA7">
              <w:t>SA</w:t>
            </w:r>
          </w:p>
        </w:tc>
        <w:tc>
          <w:tcPr>
            <w:tcW w:w="539" w:type="pct"/>
            <w:gridSpan w:val="2"/>
            <w:tcBorders>
              <w:top w:val="single" w:sz="4" w:space="0" w:color="auto"/>
            </w:tcBorders>
          </w:tcPr>
          <w:p w:rsidR="004F1247" w:rsidRPr="00D65EA7" w:rsidRDefault="004F1247" w:rsidP="006C31BF">
            <w:pPr>
              <w:pStyle w:val="TableColumnHeading"/>
              <w:spacing w:line="240" w:lineRule="exact"/>
              <w:jc w:val="center"/>
              <w:rPr>
                <w:rStyle w:val="NoteLabel"/>
                <w:b w:val="0"/>
                <w:position w:val="0"/>
              </w:rPr>
            </w:pPr>
            <w:proofErr w:type="spellStart"/>
            <w:r w:rsidRPr="00D65EA7">
              <w:t>Tas</w:t>
            </w:r>
            <w:proofErr w:type="spellEnd"/>
          </w:p>
        </w:tc>
        <w:tc>
          <w:tcPr>
            <w:tcW w:w="539" w:type="pct"/>
            <w:gridSpan w:val="2"/>
            <w:tcBorders>
              <w:top w:val="single" w:sz="4" w:space="0" w:color="auto"/>
            </w:tcBorders>
          </w:tcPr>
          <w:p w:rsidR="004F1247" w:rsidRPr="00D65EA7" w:rsidRDefault="004F1247" w:rsidP="006C31BF">
            <w:pPr>
              <w:pStyle w:val="TableColumnHeading"/>
              <w:spacing w:line="240" w:lineRule="exact"/>
              <w:jc w:val="center"/>
            </w:pPr>
            <w:r w:rsidRPr="00D65EA7">
              <w:t>ACT</w:t>
            </w:r>
          </w:p>
        </w:tc>
        <w:tc>
          <w:tcPr>
            <w:tcW w:w="237" w:type="pct"/>
            <w:tcBorders>
              <w:top w:val="single" w:sz="4" w:space="0" w:color="auto"/>
            </w:tcBorders>
          </w:tcPr>
          <w:p w:rsidR="004F1247" w:rsidRPr="00D65EA7" w:rsidRDefault="004F1247" w:rsidP="00B72416">
            <w:pPr>
              <w:pStyle w:val="TableColumnHeading"/>
              <w:spacing w:line="240" w:lineRule="exact"/>
              <w:ind w:right="28"/>
              <w:rPr>
                <w:rStyle w:val="NoteLabel"/>
                <w:position w:val="0"/>
              </w:rPr>
            </w:pPr>
            <w:r w:rsidRPr="00D65EA7">
              <w:t>NT</w:t>
            </w:r>
          </w:p>
        </w:tc>
      </w:tr>
      <w:tr w:rsidR="00950C97" w:rsidTr="00903070">
        <w:trPr>
          <w:cantSplit/>
          <w:trHeight w:val="282"/>
        </w:trPr>
        <w:tc>
          <w:tcPr>
            <w:tcW w:w="1386" w:type="pct"/>
            <w:vMerge w:val="restart"/>
            <w:vAlign w:val="center"/>
          </w:tcPr>
          <w:p w:rsidR="004F1247" w:rsidRPr="00DB009D" w:rsidRDefault="009E16DF" w:rsidP="009E5F86">
            <w:pPr>
              <w:pStyle w:val="TableBodyText"/>
              <w:spacing w:before="280"/>
              <w:jc w:val="left"/>
              <w:rPr>
                <w:i/>
              </w:rPr>
            </w:pPr>
            <w:r>
              <w:rPr>
                <w:i/>
              </w:rPr>
              <w:t>RIA process</w:t>
            </w:r>
          </w:p>
        </w:tc>
        <w:tc>
          <w:tcPr>
            <w:tcW w:w="309" w:type="pct"/>
          </w:tcPr>
          <w:p w:rsidR="004F1247" w:rsidRPr="00DB009D" w:rsidRDefault="004F1247" w:rsidP="006C31BF">
            <w:pPr>
              <w:pStyle w:val="TableUnitsRow"/>
              <w:spacing w:before="0" w:after="0" w:line="240" w:lineRule="atLeast"/>
              <w:ind w:left="0" w:right="0"/>
              <w:jc w:val="center"/>
              <w:rPr>
                <w:i/>
              </w:rPr>
            </w:pPr>
          </w:p>
        </w:tc>
        <w:tc>
          <w:tcPr>
            <w:tcW w:w="312" w:type="pct"/>
          </w:tcPr>
          <w:p w:rsidR="004F1247" w:rsidRPr="00DB009D" w:rsidRDefault="004F1247" w:rsidP="006C31BF">
            <w:pPr>
              <w:pStyle w:val="TableUnitsRow"/>
              <w:spacing w:before="0" w:after="0" w:line="240" w:lineRule="atLeast"/>
              <w:ind w:left="0" w:right="0"/>
              <w:jc w:val="center"/>
              <w:rPr>
                <w:i/>
              </w:rPr>
            </w:pPr>
          </w:p>
        </w:tc>
        <w:tc>
          <w:tcPr>
            <w:tcW w:w="254" w:type="pct"/>
          </w:tcPr>
          <w:p w:rsidR="004F1247" w:rsidRPr="00C04C77" w:rsidRDefault="004F1247" w:rsidP="006C31BF">
            <w:pPr>
              <w:pStyle w:val="TableUnitsRow"/>
              <w:spacing w:before="0" w:after="0" w:line="240" w:lineRule="atLeast"/>
              <w:ind w:left="0" w:right="0"/>
              <w:jc w:val="center"/>
              <w:rPr>
                <w:rStyle w:val="NoteLabel"/>
                <w:b w:val="0"/>
                <w:i/>
                <w:sz w:val="20"/>
              </w:rPr>
            </w:pPr>
          </w:p>
        </w:tc>
        <w:tc>
          <w:tcPr>
            <w:tcW w:w="267" w:type="pct"/>
          </w:tcPr>
          <w:p w:rsidR="004F1247" w:rsidRPr="00C04C77" w:rsidRDefault="004F1247" w:rsidP="006C31BF">
            <w:pPr>
              <w:pStyle w:val="TableUnitsRow"/>
              <w:spacing w:before="0" w:after="0" w:line="240" w:lineRule="atLeast"/>
              <w:ind w:left="0" w:right="0"/>
              <w:jc w:val="center"/>
              <w:rPr>
                <w:rStyle w:val="NoteLabel"/>
                <w:b w:val="0"/>
                <w:i/>
                <w:sz w:val="20"/>
              </w:rPr>
            </w:pPr>
          </w:p>
        </w:tc>
        <w:tc>
          <w:tcPr>
            <w:tcW w:w="305" w:type="pct"/>
          </w:tcPr>
          <w:p w:rsidR="004F1247" w:rsidRPr="00DB009D" w:rsidRDefault="004F1247" w:rsidP="006C31BF">
            <w:pPr>
              <w:pStyle w:val="TableUnitsRow"/>
              <w:spacing w:before="0" w:after="0" w:line="240" w:lineRule="atLeast"/>
              <w:ind w:left="0" w:right="0"/>
              <w:jc w:val="center"/>
              <w:rPr>
                <w:i/>
              </w:rPr>
            </w:pPr>
          </w:p>
        </w:tc>
        <w:tc>
          <w:tcPr>
            <w:tcW w:w="278" w:type="pct"/>
          </w:tcPr>
          <w:p w:rsidR="004F1247" w:rsidRPr="00DB009D" w:rsidRDefault="004F1247" w:rsidP="006C31BF">
            <w:pPr>
              <w:pStyle w:val="TableUnitsRow"/>
              <w:spacing w:before="0" w:after="0" w:line="240" w:lineRule="atLeast"/>
              <w:ind w:left="0" w:right="0"/>
              <w:jc w:val="center"/>
              <w:rPr>
                <w:i/>
              </w:rPr>
            </w:pPr>
          </w:p>
        </w:tc>
        <w:tc>
          <w:tcPr>
            <w:tcW w:w="287" w:type="pct"/>
          </w:tcPr>
          <w:p w:rsidR="004F1247" w:rsidRPr="00DB009D" w:rsidRDefault="004F1247" w:rsidP="006C31BF">
            <w:pPr>
              <w:pStyle w:val="TableUnitsRow"/>
              <w:spacing w:before="0" w:after="0" w:line="240" w:lineRule="atLeast"/>
              <w:ind w:left="0"/>
              <w:jc w:val="center"/>
              <w:rPr>
                <w:i/>
              </w:rPr>
            </w:pPr>
          </w:p>
        </w:tc>
        <w:tc>
          <w:tcPr>
            <w:tcW w:w="287" w:type="pct"/>
          </w:tcPr>
          <w:p w:rsidR="004F1247" w:rsidRPr="00DB009D" w:rsidRDefault="004F1247" w:rsidP="006C31BF">
            <w:pPr>
              <w:pStyle w:val="TableUnitsRow"/>
              <w:spacing w:before="0" w:after="0" w:line="240" w:lineRule="atLeast"/>
              <w:ind w:left="0"/>
              <w:jc w:val="center"/>
              <w:rPr>
                <w:i/>
              </w:rPr>
            </w:pPr>
          </w:p>
        </w:tc>
        <w:tc>
          <w:tcPr>
            <w:tcW w:w="261" w:type="pct"/>
          </w:tcPr>
          <w:p w:rsidR="004F1247" w:rsidRPr="00C04C77" w:rsidRDefault="004F1247" w:rsidP="006C31BF">
            <w:pPr>
              <w:pStyle w:val="TableUnitsRow"/>
              <w:spacing w:before="0" w:after="0" w:line="240" w:lineRule="atLeast"/>
              <w:ind w:left="0" w:right="0"/>
              <w:jc w:val="center"/>
              <w:rPr>
                <w:rStyle w:val="NoteLabel"/>
                <w:b w:val="0"/>
                <w:i/>
                <w:sz w:val="20"/>
              </w:rPr>
            </w:pPr>
            <w:proofErr w:type="spellStart"/>
            <w:r w:rsidRPr="00C04C77">
              <w:rPr>
                <w:rStyle w:val="NoteLabel"/>
                <w:b w:val="0"/>
                <w:i/>
                <w:sz w:val="20"/>
              </w:rPr>
              <w:t>Pri</w:t>
            </w:r>
            <w:proofErr w:type="spellEnd"/>
            <w:r w:rsidRPr="00C04C77">
              <w:rPr>
                <w:rStyle w:val="NoteLabel"/>
                <w:b w:val="0"/>
                <w:i/>
                <w:sz w:val="20"/>
              </w:rPr>
              <w:t>.</w:t>
            </w:r>
          </w:p>
        </w:tc>
        <w:tc>
          <w:tcPr>
            <w:tcW w:w="278" w:type="pct"/>
          </w:tcPr>
          <w:p w:rsidR="004F1247" w:rsidRPr="00C04C77" w:rsidRDefault="004F1247" w:rsidP="006C31BF">
            <w:pPr>
              <w:pStyle w:val="TableUnitsRow"/>
              <w:spacing w:before="0" w:after="0" w:line="240" w:lineRule="atLeast"/>
              <w:ind w:left="0" w:right="0"/>
              <w:jc w:val="center"/>
              <w:rPr>
                <w:rStyle w:val="NoteLabel"/>
                <w:b w:val="0"/>
                <w:i/>
                <w:sz w:val="20"/>
              </w:rPr>
            </w:pPr>
            <w:r w:rsidRPr="00C04C77">
              <w:rPr>
                <w:rStyle w:val="NoteLabel"/>
                <w:b w:val="0"/>
                <w:i/>
                <w:sz w:val="20"/>
              </w:rPr>
              <w:t>Sub.</w:t>
            </w:r>
          </w:p>
        </w:tc>
        <w:tc>
          <w:tcPr>
            <w:tcW w:w="261" w:type="pct"/>
          </w:tcPr>
          <w:p w:rsidR="004F1247" w:rsidRPr="00C04C77" w:rsidRDefault="004F1247" w:rsidP="006C31BF">
            <w:pPr>
              <w:pStyle w:val="TableUnitsRow"/>
              <w:spacing w:before="0" w:after="0" w:line="240" w:lineRule="atLeast"/>
              <w:ind w:left="0" w:right="0"/>
              <w:jc w:val="center"/>
              <w:rPr>
                <w:rStyle w:val="NoteLabel"/>
                <w:b w:val="0"/>
                <w:i/>
                <w:sz w:val="20"/>
              </w:rPr>
            </w:pPr>
            <w:proofErr w:type="spellStart"/>
            <w:r w:rsidRPr="00C04C77">
              <w:rPr>
                <w:rStyle w:val="NoteLabel"/>
                <w:b w:val="0"/>
                <w:i/>
                <w:sz w:val="20"/>
              </w:rPr>
              <w:t>Pri</w:t>
            </w:r>
            <w:proofErr w:type="spellEnd"/>
            <w:r w:rsidRPr="00C04C77">
              <w:rPr>
                <w:rStyle w:val="NoteLabel"/>
                <w:b w:val="0"/>
                <w:i/>
                <w:sz w:val="20"/>
              </w:rPr>
              <w:t>.</w:t>
            </w:r>
          </w:p>
        </w:tc>
        <w:tc>
          <w:tcPr>
            <w:tcW w:w="278" w:type="pct"/>
          </w:tcPr>
          <w:p w:rsidR="004F1247" w:rsidRPr="00C04C77" w:rsidRDefault="004F1247" w:rsidP="006C31BF">
            <w:pPr>
              <w:pStyle w:val="TableUnitsRow"/>
              <w:spacing w:before="0" w:after="0" w:line="240" w:lineRule="atLeast"/>
              <w:ind w:left="0" w:right="0"/>
              <w:jc w:val="center"/>
              <w:rPr>
                <w:rStyle w:val="NoteLabel"/>
                <w:b w:val="0"/>
                <w:i/>
                <w:sz w:val="20"/>
              </w:rPr>
            </w:pPr>
            <w:r w:rsidRPr="00C04C77">
              <w:rPr>
                <w:rStyle w:val="NoteLabel"/>
                <w:b w:val="0"/>
                <w:i/>
                <w:sz w:val="20"/>
              </w:rPr>
              <w:t>Sub.</w:t>
            </w:r>
          </w:p>
        </w:tc>
        <w:tc>
          <w:tcPr>
            <w:tcW w:w="237" w:type="pct"/>
          </w:tcPr>
          <w:p w:rsidR="004F1247" w:rsidRPr="00DB009D" w:rsidRDefault="004F1247" w:rsidP="006C31BF">
            <w:pPr>
              <w:pStyle w:val="TableUnitsRow"/>
              <w:spacing w:before="0" w:after="0" w:line="240" w:lineRule="atLeast"/>
              <w:ind w:left="0" w:right="28"/>
              <w:jc w:val="center"/>
              <w:rPr>
                <w:i/>
              </w:rPr>
            </w:pPr>
          </w:p>
        </w:tc>
      </w:tr>
      <w:tr w:rsidR="00950C97" w:rsidTr="00903070">
        <w:tc>
          <w:tcPr>
            <w:tcW w:w="1386" w:type="pct"/>
            <w:vMerge/>
            <w:tcBorders>
              <w:bottom w:val="single" w:sz="6" w:space="0" w:color="auto"/>
            </w:tcBorders>
          </w:tcPr>
          <w:p w:rsidR="004F1247" w:rsidRPr="00DB009D" w:rsidRDefault="004F1247" w:rsidP="006C31BF">
            <w:pPr>
              <w:pStyle w:val="TableBodyText"/>
              <w:jc w:val="left"/>
              <w:rPr>
                <w:i/>
              </w:rPr>
            </w:pPr>
          </w:p>
        </w:tc>
        <w:tc>
          <w:tcPr>
            <w:tcW w:w="309" w:type="pct"/>
            <w:tcBorders>
              <w:bottom w:val="single" w:sz="4" w:space="0" w:color="auto"/>
            </w:tcBorders>
          </w:tcPr>
          <w:p w:rsidR="004F1247" w:rsidRPr="00C04C77" w:rsidRDefault="004F1247" w:rsidP="006C31BF">
            <w:pPr>
              <w:pStyle w:val="TableUnitsRow"/>
              <w:spacing w:before="0" w:after="0" w:line="240" w:lineRule="atLeast"/>
              <w:ind w:left="0" w:right="0"/>
              <w:jc w:val="center"/>
              <w:rPr>
                <w:i/>
              </w:rPr>
            </w:pPr>
            <w:proofErr w:type="spellStart"/>
            <w:r w:rsidRPr="00C04C77">
              <w:rPr>
                <w:i/>
              </w:rPr>
              <w:t>BRS</w:t>
            </w:r>
            <w:proofErr w:type="spellEnd"/>
          </w:p>
        </w:tc>
        <w:tc>
          <w:tcPr>
            <w:tcW w:w="312" w:type="pct"/>
            <w:tcBorders>
              <w:bottom w:val="single" w:sz="4" w:space="0" w:color="auto"/>
            </w:tcBorders>
          </w:tcPr>
          <w:p w:rsidR="004F1247" w:rsidRPr="00C04C77" w:rsidRDefault="004F1247" w:rsidP="006C31BF">
            <w:pPr>
              <w:pStyle w:val="TableUnitsRow"/>
              <w:spacing w:before="0" w:after="0" w:line="240" w:lineRule="atLeast"/>
              <w:ind w:left="0" w:right="0"/>
              <w:jc w:val="center"/>
              <w:rPr>
                <w:i/>
              </w:rPr>
            </w:pPr>
            <w:r w:rsidRPr="00C04C77">
              <w:rPr>
                <w:i/>
              </w:rPr>
              <w:t>RIS</w:t>
            </w:r>
          </w:p>
        </w:tc>
        <w:tc>
          <w:tcPr>
            <w:tcW w:w="254" w:type="pct"/>
            <w:tcBorders>
              <w:bottom w:val="single" w:sz="4" w:space="0" w:color="auto"/>
            </w:tcBorders>
          </w:tcPr>
          <w:p w:rsidR="004F1247" w:rsidRPr="00C04C77" w:rsidRDefault="004F1247" w:rsidP="006C31BF">
            <w:pPr>
              <w:pStyle w:val="TableUnitsRow"/>
              <w:spacing w:before="0" w:after="0" w:line="240" w:lineRule="atLeast"/>
              <w:ind w:left="0" w:right="0"/>
              <w:jc w:val="center"/>
              <w:rPr>
                <w:i/>
              </w:rPr>
            </w:pPr>
            <w:r w:rsidRPr="00C04C77">
              <w:rPr>
                <w:i/>
              </w:rPr>
              <w:t>BIA</w:t>
            </w:r>
          </w:p>
        </w:tc>
        <w:tc>
          <w:tcPr>
            <w:tcW w:w="267" w:type="pct"/>
            <w:tcBorders>
              <w:bottom w:val="single" w:sz="4" w:space="0" w:color="auto"/>
            </w:tcBorders>
          </w:tcPr>
          <w:p w:rsidR="004F1247" w:rsidRPr="00C04C77" w:rsidRDefault="004F1247" w:rsidP="006C31BF">
            <w:pPr>
              <w:pStyle w:val="TableUnitsRow"/>
              <w:spacing w:before="0" w:after="0" w:line="240" w:lineRule="atLeast"/>
              <w:ind w:left="0" w:right="0"/>
              <w:jc w:val="center"/>
              <w:rPr>
                <w:i/>
              </w:rPr>
            </w:pPr>
            <w:r w:rsidRPr="00C04C77">
              <w:rPr>
                <w:i/>
              </w:rPr>
              <w:t>RIS</w:t>
            </w:r>
          </w:p>
        </w:tc>
        <w:tc>
          <w:tcPr>
            <w:tcW w:w="305" w:type="pct"/>
            <w:tcBorders>
              <w:bottom w:val="single" w:sz="4" w:space="0" w:color="auto"/>
            </w:tcBorders>
          </w:tcPr>
          <w:p w:rsidR="004F1247" w:rsidRPr="00C04C77" w:rsidRDefault="004F1247" w:rsidP="006C31BF">
            <w:pPr>
              <w:pStyle w:val="TableUnitsRow"/>
              <w:spacing w:before="0" w:after="0" w:line="240" w:lineRule="atLeast"/>
              <w:ind w:left="0" w:right="0"/>
              <w:jc w:val="center"/>
              <w:rPr>
                <w:i/>
              </w:rPr>
            </w:pPr>
            <w:r w:rsidRPr="00C04C77">
              <w:rPr>
                <w:i/>
              </w:rPr>
              <w:t>RAS</w:t>
            </w:r>
          </w:p>
        </w:tc>
        <w:tc>
          <w:tcPr>
            <w:tcW w:w="278" w:type="pct"/>
            <w:tcBorders>
              <w:bottom w:val="single" w:sz="4" w:space="0" w:color="auto"/>
            </w:tcBorders>
          </w:tcPr>
          <w:p w:rsidR="004F1247" w:rsidRPr="00C04C77" w:rsidRDefault="004F1247" w:rsidP="006C31BF">
            <w:pPr>
              <w:pStyle w:val="TableUnitsRow"/>
              <w:spacing w:before="0" w:after="0" w:line="240" w:lineRule="atLeast"/>
              <w:ind w:left="0" w:right="0"/>
              <w:jc w:val="center"/>
              <w:rPr>
                <w:i/>
              </w:rPr>
            </w:pPr>
            <w:r w:rsidRPr="00C04C77">
              <w:rPr>
                <w:i/>
              </w:rPr>
              <w:t>RIS</w:t>
            </w:r>
          </w:p>
        </w:tc>
        <w:tc>
          <w:tcPr>
            <w:tcW w:w="287" w:type="pct"/>
            <w:tcBorders>
              <w:bottom w:val="single" w:sz="4" w:space="0" w:color="auto"/>
            </w:tcBorders>
          </w:tcPr>
          <w:p w:rsidR="004F1247" w:rsidRPr="00C04C77" w:rsidRDefault="004F1247" w:rsidP="006C31BF">
            <w:pPr>
              <w:pStyle w:val="TableUnitsRow"/>
              <w:spacing w:before="0" w:after="0" w:line="240" w:lineRule="atLeast"/>
              <w:ind w:left="0" w:right="0"/>
              <w:jc w:val="center"/>
              <w:rPr>
                <w:i/>
              </w:rPr>
            </w:pPr>
            <w:r w:rsidRPr="00C04C77">
              <w:rPr>
                <w:i/>
              </w:rPr>
              <w:t>RIS</w:t>
            </w:r>
          </w:p>
        </w:tc>
        <w:tc>
          <w:tcPr>
            <w:tcW w:w="287" w:type="pct"/>
            <w:tcBorders>
              <w:bottom w:val="single" w:sz="4" w:space="0" w:color="auto"/>
            </w:tcBorders>
          </w:tcPr>
          <w:p w:rsidR="004F1247" w:rsidRPr="00C04C77" w:rsidRDefault="004F1247" w:rsidP="006C31BF">
            <w:pPr>
              <w:pStyle w:val="TableUnitsRow"/>
              <w:spacing w:before="0" w:after="0" w:line="240" w:lineRule="atLeast"/>
              <w:ind w:left="0" w:right="0"/>
              <w:jc w:val="center"/>
              <w:rPr>
                <w:i/>
              </w:rPr>
            </w:pPr>
            <w:r w:rsidRPr="00C04C77">
              <w:rPr>
                <w:i/>
              </w:rPr>
              <w:t>RIS</w:t>
            </w:r>
          </w:p>
        </w:tc>
        <w:tc>
          <w:tcPr>
            <w:tcW w:w="261" w:type="pct"/>
            <w:tcBorders>
              <w:bottom w:val="single" w:sz="4" w:space="0" w:color="auto"/>
            </w:tcBorders>
          </w:tcPr>
          <w:p w:rsidR="004F1247" w:rsidRPr="00C04C77" w:rsidRDefault="004F1247" w:rsidP="006C31BF">
            <w:pPr>
              <w:pStyle w:val="TableUnitsRow"/>
              <w:spacing w:before="0" w:after="0" w:line="240" w:lineRule="atLeast"/>
              <w:ind w:left="0" w:right="0"/>
              <w:jc w:val="center"/>
              <w:rPr>
                <w:i/>
              </w:rPr>
            </w:pPr>
            <w:r w:rsidRPr="00C04C77">
              <w:rPr>
                <w:i/>
              </w:rPr>
              <w:t>RIS</w:t>
            </w:r>
          </w:p>
        </w:tc>
        <w:tc>
          <w:tcPr>
            <w:tcW w:w="278" w:type="pct"/>
            <w:tcBorders>
              <w:bottom w:val="single" w:sz="4" w:space="0" w:color="auto"/>
            </w:tcBorders>
          </w:tcPr>
          <w:p w:rsidR="004F1247" w:rsidRPr="00C04C77" w:rsidRDefault="004F1247" w:rsidP="006C31BF">
            <w:pPr>
              <w:pStyle w:val="TableUnitsRow"/>
              <w:spacing w:before="0" w:after="0" w:line="240" w:lineRule="atLeast"/>
              <w:ind w:left="0" w:right="0"/>
              <w:jc w:val="center"/>
              <w:rPr>
                <w:i/>
              </w:rPr>
            </w:pPr>
            <w:r w:rsidRPr="00C04C77">
              <w:rPr>
                <w:i/>
              </w:rPr>
              <w:t>RIS</w:t>
            </w:r>
          </w:p>
        </w:tc>
        <w:tc>
          <w:tcPr>
            <w:tcW w:w="261" w:type="pct"/>
            <w:tcBorders>
              <w:bottom w:val="single" w:sz="4" w:space="0" w:color="auto"/>
            </w:tcBorders>
          </w:tcPr>
          <w:p w:rsidR="004F1247" w:rsidRPr="00C04C77" w:rsidRDefault="004F1247" w:rsidP="006C31BF">
            <w:pPr>
              <w:pStyle w:val="TableUnitsRow"/>
              <w:spacing w:before="0" w:after="0" w:line="240" w:lineRule="atLeast"/>
              <w:ind w:left="0" w:right="0"/>
              <w:jc w:val="center"/>
              <w:rPr>
                <w:i/>
              </w:rPr>
            </w:pPr>
            <w:r w:rsidRPr="00C04C77">
              <w:rPr>
                <w:i/>
              </w:rPr>
              <w:t>RIS</w:t>
            </w:r>
          </w:p>
        </w:tc>
        <w:tc>
          <w:tcPr>
            <w:tcW w:w="278" w:type="pct"/>
            <w:tcBorders>
              <w:bottom w:val="single" w:sz="4" w:space="0" w:color="auto"/>
            </w:tcBorders>
          </w:tcPr>
          <w:p w:rsidR="004F1247" w:rsidRPr="00C04C77" w:rsidRDefault="004F1247" w:rsidP="006C31BF">
            <w:pPr>
              <w:pStyle w:val="TableUnitsRow"/>
              <w:spacing w:before="0" w:after="0" w:line="240" w:lineRule="atLeast"/>
              <w:ind w:left="0" w:right="0"/>
              <w:jc w:val="center"/>
              <w:rPr>
                <w:i/>
              </w:rPr>
            </w:pPr>
            <w:r w:rsidRPr="00C04C77">
              <w:rPr>
                <w:i/>
              </w:rPr>
              <w:t>RIS</w:t>
            </w:r>
          </w:p>
        </w:tc>
        <w:tc>
          <w:tcPr>
            <w:tcW w:w="237" w:type="pct"/>
            <w:tcBorders>
              <w:bottom w:val="single" w:sz="4" w:space="0" w:color="auto"/>
            </w:tcBorders>
          </w:tcPr>
          <w:p w:rsidR="004F1247" w:rsidRPr="00C04C77" w:rsidRDefault="004F1247" w:rsidP="006C31BF">
            <w:pPr>
              <w:pStyle w:val="TableUnitsRow"/>
              <w:spacing w:before="0" w:after="0" w:line="240" w:lineRule="atLeast"/>
              <w:ind w:left="0" w:right="0"/>
              <w:jc w:val="center"/>
              <w:rPr>
                <w:i/>
              </w:rPr>
            </w:pPr>
            <w:r w:rsidRPr="00C04C77">
              <w:rPr>
                <w:i/>
              </w:rPr>
              <w:t>RIS</w:t>
            </w:r>
          </w:p>
        </w:tc>
      </w:tr>
      <w:tr w:rsidR="00950C97" w:rsidTr="00903070">
        <w:tc>
          <w:tcPr>
            <w:tcW w:w="1386" w:type="pct"/>
            <w:tcBorders>
              <w:top w:val="single" w:sz="6" w:space="0" w:color="auto"/>
            </w:tcBorders>
            <w:shd w:val="clear" w:color="auto" w:fill="auto"/>
          </w:tcPr>
          <w:p w:rsidR="004F1247" w:rsidRDefault="004F1247" w:rsidP="006C31BF">
            <w:pPr>
              <w:pStyle w:val="TableBodyText"/>
              <w:spacing w:before="80"/>
              <w:jc w:val="left"/>
            </w:pPr>
            <w:r>
              <w:t>Taxation</w:t>
            </w:r>
          </w:p>
        </w:tc>
        <w:tc>
          <w:tcPr>
            <w:tcW w:w="309" w:type="pct"/>
            <w:tcBorders>
              <w:top w:val="single" w:sz="4" w:space="0" w:color="auto"/>
            </w:tcBorders>
            <w:shd w:val="clear" w:color="auto" w:fill="auto"/>
            <w:vAlign w:val="center"/>
          </w:tcPr>
          <w:p w:rsidR="004F1247" w:rsidRPr="0089084B" w:rsidRDefault="004F1247" w:rsidP="0025487D">
            <w:pPr>
              <w:pStyle w:val="TableBodyText"/>
              <w:spacing w:before="80" w:line="240" w:lineRule="exact"/>
              <w:ind w:left="113"/>
              <w:jc w:val="center"/>
              <w:rPr>
                <w:rStyle w:val="NoteLabel"/>
                <w:b w:val="0"/>
                <w:position w:val="0"/>
                <w:sz w:val="20"/>
              </w:rPr>
            </w:pPr>
            <w:r w:rsidRPr="0089084B">
              <w:rPr>
                <w:rStyle w:val="NoteLabel"/>
                <w:b w:val="0"/>
                <w:position w:val="0"/>
                <w:sz w:val="20"/>
              </w:rPr>
              <w:sym w:font="Wingdings" w:char="F0FB"/>
            </w:r>
            <w:r w:rsidR="00950C97">
              <w:rPr>
                <w:rStyle w:val="NoteLabel"/>
                <w:b w:val="0"/>
                <w:position w:val="0"/>
                <w:sz w:val="20"/>
              </w:rPr>
              <w:t> </w:t>
            </w:r>
          </w:p>
        </w:tc>
        <w:tc>
          <w:tcPr>
            <w:tcW w:w="312" w:type="pct"/>
            <w:tcBorders>
              <w:top w:val="single" w:sz="4" w:space="0" w:color="auto"/>
            </w:tcBorders>
            <w:shd w:val="clear" w:color="auto" w:fill="auto"/>
            <w:vAlign w:val="center"/>
          </w:tcPr>
          <w:p w:rsidR="004F1247" w:rsidRPr="0089084B" w:rsidRDefault="004F1247" w:rsidP="0025487D">
            <w:pPr>
              <w:pStyle w:val="TableBodyText"/>
              <w:spacing w:before="80" w:line="240" w:lineRule="exact"/>
              <w:ind w:left="113"/>
              <w:jc w:val="center"/>
            </w:pPr>
            <w:r w:rsidRPr="0089084B">
              <w:sym w:font="Wingdings" w:char="F0FB"/>
            </w:r>
            <w:r w:rsidR="00950C97">
              <w:rPr>
                <w:rStyle w:val="NoteLabel"/>
                <w:b w:val="0"/>
                <w:position w:val="0"/>
                <w:sz w:val="20"/>
              </w:rPr>
              <w:t> </w:t>
            </w:r>
          </w:p>
        </w:tc>
        <w:tc>
          <w:tcPr>
            <w:tcW w:w="254" w:type="pct"/>
            <w:tcBorders>
              <w:top w:val="single" w:sz="4" w:space="0" w:color="auto"/>
            </w:tcBorders>
            <w:shd w:val="clear" w:color="auto" w:fill="auto"/>
            <w:vAlign w:val="center"/>
          </w:tcPr>
          <w:p w:rsidR="004F1247" w:rsidRPr="0089084B" w:rsidRDefault="004F1247" w:rsidP="0025487D">
            <w:pPr>
              <w:pStyle w:val="TableBodyText"/>
              <w:spacing w:before="80" w:line="240" w:lineRule="exact"/>
              <w:ind w:left="113"/>
              <w:jc w:val="center"/>
              <w:rPr>
                <w:rStyle w:val="NoteLabel"/>
                <w:b w:val="0"/>
                <w:position w:val="0"/>
                <w:sz w:val="20"/>
              </w:rPr>
            </w:pPr>
            <w:r w:rsidRPr="0089084B">
              <w:rPr>
                <w:rStyle w:val="NoteLabel"/>
                <w:b w:val="0"/>
                <w:position w:val="0"/>
                <w:sz w:val="20"/>
              </w:rPr>
              <w:sym w:font="Wingdings" w:char="F0FB"/>
            </w:r>
          </w:p>
        </w:tc>
        <w:tc>
          <w:tcPr>
            <w:tcW w:w="267" w:type="pct"/>
            <w:tcBorders>
              <w:top w:val="single" w:sz="4" w:space="0" w:color="auto"/>
            </w:tcBorders>
            <w:shd w:val="clear" w:color="auto" w:fill="auto"/>
            <w:vAlign w:val="center"/>
          </w:tcPr>
          <w:p w:rsidR="004F1247" w:rsidRPr="0089084B" w:rsidRDefault="004F1247" w:rsidP="0025487D">
            <w:pPr>
              <w:pStyle w:val="TableBodyText"/>
              <w:spacing w:before="80" w:line="240" w:lineRule="exact"/>
              <w:ind w:left="113"/>
              <w:jc w:val="center"/>
            </w:pPr>
            <w:r w:rsidRPr="0089084B">
              <w:sym w:font="Wingdings" w:char="F0FB"/>
            </w:r>
            <w:r w:rsidR="00950C97">
              <w:rPr>
                <w:rStyle w:val="NoteLabel"/>
                <w:b w:val="0"/>
                <w:position w:val="0"/>
                <w:sz w:val="20"/>
              </w:rPr>
              <w:t> </w:t>
            </w:r>
          </w:p>
        </w:tc>
        <w:tc>
          <w:tcPr>
            <w:tcW w:w="305" w:type="pct"/>
            <w:tcBorders>
              <w:top w:val="single" w:sz="4" w:space="0" w:color="auto"/>
            </w:tcBorders>
            <w:shd w:val="clear" w:color="auto" w:fill="auto"/>
            <w:vAlign w:val="center"/>
          </w:tcPr>
          <w:p w:rsidR="004F1247" w:rsidRPr="008B3E21" w:rsidRDefault="004F1247" w:rsidP="0025487D">
            <w:pPr>
              <w:pStyle w:val="TableBodyText"/>
              <w:spacing w:before="80" w:line="240" w:lineRule="exact"/>
              <w:ind w:left="113"/>
              <w:jc w:val="center"/>
              <w:rPr>
                <w:rStyle w:val="NoteLabel"/>
              </w:rPr>
            </w:pPr>
            <w:r>
              <w:sym w:font="Wingdings" w:char="F0FC"/>
            </w:r>
            <w:r w:rsidR="00B72416">
              <w:rPr>
                <w:rStyle w:val="NoteLabel"/>
              </w:rPr>
              <w:t>b</w:t>
            </w:r>
          </w:p>
        </w:tc>
        <w:tc>
          <w:tcPr>
            <w:tcW w:w="278" w:type="pct"/>
            <w:tcBorders>
              <w:top w:val="single" w:sz="4" w:space="0" w:color="auto"/>
            </w:tcBorders>
            <w:shd w:val="clear" w:color="auto" w:fill="auto"/>
            <w:vAlign w:val="center"/>
          </w:tcPr>
          <w:p w:rsidR="004F1247" w:rsidRPr="008B3E21" w:rsidRDefault="004F1247" w:rsidP="0025487D">
            <w:pPr>
              <w:pStyle w:val="TableBodyText"/>
              <w:spacing w:before="80" w:line="240" w:lineRule="exact"/>
              <w:ind w:left="113"/>
              <w:jc w:val="center"/>
              <w:rPr>
                <w:rStyle w:val="NoteLabel"/>
              </w:rPr>
            </w:pPr>
            <w:r>
              <w:sym w:font="Wingdings" w:char="F0FC"/>
            </w:r>
            <w:r w:rsidR="00B72416">
              <w:rPr>
                <w:rStyle w:val="NoteLabel"/>
              </w:rPr>
              <w:t>b</w:t>
            </w:r>
          </w:p>
        </w:tc>
        <w:tc>
          <w:tcPr>
            <w:tcW w:w="287" w:type="pct"/>
            <w:tcBorders>
              <w:top w:val="single" w:sz="4" w:space="0" w:color="auto"/>
            </w:tcBorders>
            <w:shd w:val="clear" w:color="auto" w:fill="auto"/>
            <w:vAlign w:val="center"/>
          </w:tcPr>
          <w:p w:rsidR="004F1247" w:rsidRPr="00CE7A88" w:rsidRDefault="004F1247" w:rsidP="0025487D">
            <w:pPr>
              <w:pStyle w:val="TableBodyText"/>
              <w:spacing w:before="80" w:line="240" w:lineRule="exact"/>
              <w:ind w:left="113"/>
              <w:jc w:val="center"/>
              <w:rPr>
                <w:rStyle w:val="NoteLabel"/>
              </w:rPr>
            </w:pPr>
            <w:r>
              <w:sym w:font="Wingdings" w:char="F0FC"/>
            </w:r>
            <w:r w:rsidR="00B72416">
              <w:rPr>
                <w:rStyle w:val="NoteLabel"/>
              </w:rPr>
              <w:t>c</w:t>
            </w:r>
          </w:p>
        </w:tc>
        <w:tc>
          <w:tcPr>
            <w:tcW w:w="287" w:type="pct"/>
            <w:tcBorders>
              <w:top w:val="single" w:sz="4" w:space="0" w:color="auto"/>
            </w:tcBorders>
            <w:shd w:val="clear" w:color="auto" w:fill="auto"/>
            <w:vAlign w:val="center"/>
          </w:tcPr>
          <w:p w:rsidR="004F1247" w:rsidRPr="00D733C1" w:rsidRDefault="004F1247" w:rsidP="0025487D">
            <w:pPr>
              <w:pStyle w:val="TableBodyText"/>
              <w:spacing w:before="80" w:line="240" w:lineRule="exact"/>
              <w:ind w:left="113"/>
              <w:jc w:val="center"/>
              <w:rPr>
                <w:rStyle w:val="NoteLabel"/>
              </w:rPr>
            </w:pPr>
            <w:r>
              <w:sym w:font="Wingdings" w:char="F0FC"/>
            </w:r>
            <w:r w:rsidR="00B72416">
              <w:rPr>
                <w:rStyle w:val="NoteLabel"/>
              </w:rPr>
              <w:t>d</w:t>
            </w:r>
          </w:p>
        </w:tc>
        <w:tc>
          <w:tcPr>
            <w:tcW w:w="261" w:type="pct"/>
            <w:tcBorders>
              <w:top w:val="single" w:sz="4" w:space="0" w:color="auto"/>
            </w:tcBorders>
            <w:shd w:val="clear" w:color="auto" w:fill="auto"/>
            <w:vAlign w:val="center"/>
          </w:tcPr>
          <w:p w:rsidR="004F1247" w:rsidRPr="0052333C" w:rsidRDefault="004F1247" w:rsidP="0025487D">
            <w:pPr>
              <w:pStyle w:val="TableBodyText"/>
              <w:spacing w:before="80" w:line="240" w:lineRule="exact"/>
              <w:ind w:left="113"/>
              <w:jc w:val="center"/>
            </w:pPr>
            <w:r w:rsidRPr="0052333C">
              <w:sym w:font="Wingdings" w:char="F0FC"/>
            </w:r>
          </w:p>
        </w:tc>
        <w:tc>
          <w:tcPr>
            <w:tcW w:w="278" w:type="pct"/>
            <w:tcBorders>
              <w:top w:val="single" w:sz="4" w:space="0" w:color="auto"/>
            </w:tcBorders>
            <w:shd w:val="clear" w:color="auto" w:fill="auto"/>
            <w:vAlign w:val="center"/>
          </w:tcPr>
          <w:p w:rsidR="004F1247" w:rsidRPr="0052333C" w:rsidRDefault="004F1247" w:rsidP="0025487D">
            <w:pPr>
              <w:pStyle w:val="TableBodyText"/>
              <w:spacing w:before="80" w:line="240" w:lineRule="exact"/>
              <w:ind w:left="113"/>
              <w:jc w:val="center"/>
            </w:pPr>
            <w:r w:rsidRPr="0052333C">
              <w:sym w:font="Wingdings" w:char="F0FB"/>
            </w:r>
            <w:r w:rsidR="00950C97">
              <w:t> </w:t>
            </w:r>
          </w:p>
        </w:tc>
        <w:tc>
          <w:tcPr>
            <w:tcW w:w="261" w:type="pct"/>
            <w:tcBorders>
              <w:top w:val="single" w:sz="4" w:space="0" w:color="auto"/>
            </w:tcBorders>
            <w:shd w:val="clear" w:color="auto" w:fill="auto"/>
            <w:vAlign w:val="center"/>
          </w:tcPr>
          <w:p w:rsidR="004F1247" w:rsidRPr="0052333C" w:rsidRDefault="004F1247" w:rsidP="0025487D">
            <w:pPr>
              <w:pStyle w:val="TableBodyText"/>
              <w:spacing w:before="80" w:line="240" w:lineRule="exact"/>
              <w:ind w:left="113"/>
              <w:jc w:val="center"/>
            </w:pPr>
            <w:r w:rsidRPr="0052333C">
              <w:sym w:font="Wingdings" w:char="F0FB"/>
            </w:r>
          </w:p>
        </w:tc>
        <w:tc>
          <w:tcPr>
            <w:tcW w:w="278" w:type="pct"/>
            <w:tcBorders>
              <w:top w:val="single" w:sz="4" w:space="0" w:color="auto"/>
            </w:tcBorders>
            <w:shd w:val="clear" w:color="auto" w:fill="auto"/>
            <w:vAlign w:val="center"/>
          </w:tcPr>
          <w:p w:rsidR="004F1247" w:rsidRPr="0052333C" w:rsidRDefault="004F1247" w:rsidP="0025487D">
            <w:pPr>
              <w:pStyle w:val="TableBodyText"/>
              <w:spacing w:before="80" w:line="240" w:lineRule="exact"/>
              <w:ind w:left="113"/>
              <w:jc w:val="center"/>
            </w:pPr>
            <w:r w:rsidRPr="0052333C">
              <w:sym w:font="Wingdings" w:char="F0FB"/>
            </w:r>
            <w:r w:rsidR="00950C97">
              <w:t> </w:t>
            </w:r>
          </w:p>
        </w:tc>
        <w:tc>
          <w:tcPr>
            <w:tcW w:w="237" w:type="pct"/>
            <w:tcBorders>
              <w:top w:val="single" w:sz="4" w:space="0" w:color="auto"/>
            </w:tcBorders>
            <w:shd w:val="clear" w:color="auto" w:fill="auto"/>
            <w:vAlign w:val="center"/>
          </w:tcPr>
          <w:p w:rsidR="004F1247" w:rsidRDefault="005174AD" w:rsidP="0025487D">
            <w:pPr>
              <w:pStyle w:val="TableBodyText"/>
              <w:spacing w:before="80" w:after="0"/>
              <w:ind w:right="170"/>
              <w:jc w:val="center"/>
            </w:pPr>
            <w:r>
              <w:sym w:font="Wingdings" w:char="F0FC"/>
            </w:r>
            <w:r w:rsidR="00950C97">
              <w:rPr>
                <w:rStyle w:val="NoteLabel"/>
                <w:b w:val="0"/>
                <w:position w:val="0"/>
                <w:sz w:val="20"/>
              </w:rPr>
              <w:t> </w:t>
            </w:r>
          </w:p>
        </w:tc>
      </w:tr>
      <w:tr w:rsidR="00950C97" w:rsidTr="002848B6">
        <w:tc>
          <w:tcPr>
            <w:tcW w:w="1386" w:type="pct"/>
            <w:shd w:val="pct15" w:color="auto" w:fill="auto"/>
          </w:tcPr>
          <w:p w:rsidR="004F1247" w:rsidRDefault="004F1247" w:rsidP="007668DA">
            <w:pPr>
              <w:pStyle w:val="TableBodyText"/>
              <w:spacing w:before="20"/>
              <w:jc w:val="left"/>
            </w:pPr>
            <w:r>
              <w:t>Management of the public sector</w:t>
            </w:r>
          </w:p>
        </w:tc>
        <w:tc>
          <w:tcPr>
            <w:tcW w:w="309" w:type="pct"/>
            <w:shd w:val="pct15" w:color="auto" w:fill="auto"/>
            <w:vAlign w:val="center"/>
          </w:tcPr>
          <w:p w:rsidR="004F1247" w:rsidRPr="0086672C" w:rsidRDefault="004F1247" w:rsidP="0025487D">
            <w:pPr>
              <w:pStyle w:val="TableBodyText"/>
              <w:spacing w:before="20" w:line="240" w:lineRule="exact"/>
              <w:ind w:left="113"/>
              <w:jc w:val="center"/>
            </w:pPr>
            <w:r>
              <w:sym w:font="Wingdings" w:char="F0FC"/>
            </w:r>
            <w:r w:rsidR="00950C97">
              <w:rPr>
                <w:rStyle w:val="NoteLabel"/>
                <w:b w:val="0"/>
                <w:position w:val="0"/>
                <w:sz w:val="20"/>
              </w:rPr>
              <w:t> </w:t>
            </w:r>
          </w:p>
        </w:tc>
        <w:tc>
          <w:tcPr>
            <w:tcW w:w="312" w:type="pct"/>
            <w:shd w:val="pct15" w:color="auto" w:fill="auto"/>
            <w:vAlign w:val="center"/>
          </w:tcPr>
          <w:p w:rsidR="004F1247" w:rsidRPr="0086672C" w:rsidRDefault="004F1247" w:rsidP="0025487D">
            <w:pPr>
              <w:pStyle w:val="TableBodyText"/>
              <w:spacing w:before="20" w:line="240" w:lineRule="exact"/>
              <w:ind w:left="113"/>
              <w:jc w:val="center"/>
            </w:pPr>
            <w:r>
              <w:sym w:font="Wingdings" w:char="F0FC"/>
            </w:r>
            <w:r w:rsidR="00950C97">
              <w:rPr>
                <w:rStyle w:val="NoteLabel"/>
                <w:b w:val="0"/>
                <w:position w:val="0"/>
                <w:sz w:val="20"/>
              </w:rPr>
              <w:t> </w:t>
            </w:r>
          </w:p>
        </w:tc>
        <w:tc>
          <w:tcPr>
            <w:tcW w:w="254" w:type="pct"/>
            <w:shd w:val="pct15" w:color="auto" w:fill="auto"/>
            <w:vAlign w:val="center"/>
          </w:tcPr>
          <w:p w:rsidR="004F1247" w:rsidRPr="0089084B" w:rsidRDefault="004F1247" w:rsidP="0025487D">
            <w:pPr>
              <w:pStyle w:val="TableBodyText"/>
              <w:spacing w:before="20" w:line="240" w:lineRule="exact"/>
              <w:ind w:left="113"/>
              <w:jc w:val="center"/>
            </w:pPr>
            <w:r w:rsidRPr="0089084B">
              <w:rPr>
                <w:rStyle w:val="NoteLabel"/>
                <w:b w:val="0"/>
                <w:position w:val="0"/>
                <w:sz w:val="20"/>
              </w:rPr>
              <w:sym w:font="Wingdings" w:char="F0FB"/>
            </w:r>
          </w:p>
        </w:tc>
        <w:tc>
          <w:tcPr>
            <w:tcW w:w="267" w:type="pct"/>
            <w:shd w:val="pct15" w:color="auto" w:fill="auto"/>
            <w:vAlign w:val="center"/>
          </w:tcPr>
          <w:p w:rsidR="004F1247" w:rsidRPr="002E3386" w:rsidRDefault="004F1247" w:rsidP="0025487D">
            <w:pPr>
              <w:pStyle w:val="TableBodyText"/>
              <w:spacing w:before="20" w:line="240" w:lineRule="exact"/>
              <w:ind w:left="113"/>
              <w:jc w:val="center"/>
            </w:pPr>
            <w:r w:rsidRPr="002E3386">
              <w:sym w:font="Wingdings" w:char="F0FB"/>
            </w:r>
            <w:r w:rsidR="00950C97">
              <w:rPr>
                <w:rStyle w:val="NoteLabel"/>
                <w:b w:val="0"/>
                <w:position w:val="0"/>
                <w:sz w:val="20"/>
              </w:rPr>
              <w:t> </w:t>
            </w:r>
          </w:p>
        </w:tc>
        <w:tc>
          <w:tcPr>
            <w:tcW w:w="305" w:type="pct"/>
            <w:shd w:val="pct15" w:color="auto" w:fill="auto"/>
            <w:vAlign w:val="center"/>
          </w:tcPr>
          <w:p w:rsidR="004F1247" w:rsidRPr="007757D5" w:rsidRDefault="004F1247" w:rsidP="0025487D">
            <w:pPr>
              <w:pStyle w:val="TableBodyText"/>
              <w:spacing w:before="20" w:line="240" w:lineRule="exact"/>
              <w:ind w:left="113"/>
              <w:jc w:val="center"/>
              <w:rPr>
                <w:rStyle w:val="NoteLabel"/>
              </w:rPr>
            </w:pPr>
            <w:r>
              <w:sym w:font="Wingdings" w:char="F0FC"/>
            </w:r>
            <w:r w:rsidR="00B72416">
              <w:rPr>
                <w:rStyle w:val="NoteLabel"/>
              </w:rPr>
              <w:t>e</w:t>
            </w:r>
          </w:p>
        </w:tc>
        <w:tc>
          <w:tcPr>
            <w:tcW w:w="278" w:type="pct"/>
            <w:shd w:val="pct15" w:color="auto" w:fill="auto"/>
            <w:vAlign w:val="center"/>
          </w:tcPr>
          <w:p w:rsidR="004F1247" w:rsidRPr="007757D5" w:rsidRDefault="004F1247" w:rsidP="0025487D">
            <w:pPr>
              <w:pStyle w:val="TableBodyText"/>
              <w:spacing w:before="20" w:line="240" w:lineRule="exact"/>
              <w:ind w:left="113"/>
              <w:jc w:val="center"/>
              <w:rPr>
                <w:rStyle w:val="NoteLabel"/>
              </w:rPr>
            </w:pPr>
            <w:r>
              <w:sym w:font="Wingdings" w:char="F0FC"/>
            </w:r>
            <w:r w:rsidR="00B72416">
              <w:rPr>
                <w:rStyle w:val="NoteLabel"/>
              </w:rPr>
              <w:t>e</w:t>
            </w:r>
          </w:p>
        </w:tc>
        <w:tc>
          <w:tcPr>
            <w:tcW w:w="287" w:type="pct"/>
            <w:shd w:val="pct15" w:color="auto" w:fill="auto"/>
            <w:vAlign w:val="center"/>
          </w:tcPr>
          <w:p w:rsidR="004F1247" w:rsidRPr="0052333C" w:rsidRDefault="004F1247" w:rsidP="0025487D">
            <w:pPr>
              <w:pStyle w:val="TableBodyText"/>
              <w:spacing w:before="20" w:line="240" w:lineRule="exact"/>
              <w:ind w:left="113"/>
              <w:jc w:val="center"/>
            </w:pPr>
            <w:r w:rsidRPr="0052333C">
              <w:sym w:font="Wingdings" w:char="F0FC"/>
            </w:r>
            <w:r w:rsidR="00950C97">
              <w:t> </w:t>
            </w:r>
          </w:p>
        </w:tc>
        <w:tc>
          <w:tcPr>
            <w:tcW w:w="287" w:type="pct"/>
            <w:shd w:val="pct15" w:color="auto" w:fill="auto"/>
            <w:vAlign w:val="center"/>
          </w:tcPr>
          <w:p w:rsidR="004F1247" w:rsidRPr="004A532E" w:rsidRDefault="004F1247" w:rsidP="0025487D">
            <w:pPr>
              <w:pStyle w:val="TableBodyText"/>
              <w:spacing w:before="20" w:line="240" w:lineRule="exact"/>
              <w:ind w:left="113"/>
              <w:jc w:val="center"/>
            </w:pPr>
            <w:r w:rsidRPr="004A532E">
              <w:sym w:font="Wingdings" w:char="F0FB"/>
            </w:r>
            <w:r w:rsidR="00950C97">
              <w:t> </w:t>
            </w:r>
          </w:p>
        </w:tc>
        <w:tc>
          <w:tcPr>
            <w:tcW w:w="261" w:type="pct"/>
            <w:shd w:val="pct15" w:color="auto" w:fill="auto"/>
            <w:vAlign w:val="center"/>
          </w:tcPr>
          <w:p w:rsidR="004F1247" w:rsidRPr="004A532E" w:rsidRDefault="004F1247" w:rsidP="0025487D">
            <w:pPr>
              <w:pStyle w:val="TableBodyText"/>
              <w:spacing w:before="20" w:line="240" w:lineRule="exact"/>
              <w:ind w:left="113"/>
              <w:jc w:val="center"/>
            </w:pPr>
            <w:r w:rsidRPr="004A532E">
              <w:sym w:font="Wingdings" w:char="F0FB"/>
            </w:r>
          </w:p>
        </w:tc>
        <w:tc>
          <w:tcPr>
            <w:tcW w:w="278" w:type="pct"/>
            <w:shd w:val="pct15" w:color="auto" w:fill="auto"/>
            <w:vAlign w:val="center"/>
          </w:tcPr>
          <w:p w:rsidR="004F1247" w:rsidRPr="004A532E" w:rsidRDefault="004F1247" w:rsidP="0025487D">
            <w:pPr>
              <w:pStyle w:val="TableBodyText"/>
              <w:spacing w:before="20" w:line="240" w:lineRule="exact"/>
              <w:ind w:left="113"/>
              <w:jc w:val="center"/>
              <w:rPr>
                <w:rStyle w:val="NoteLabel"/>
                <w:b w:val="0"/>
                <w:position w:val="0"/>
                <w:sz w:val="20"/>
              </w:rPr>
            </w:pPr>
            <w:r w:rsidRPr="004A532E">
              <w:rPr>
                <w:rStyle w:val="NoteLabel"/>
                <w:b w:val="0"/>
                <w:position w:val="0"/>
                <w:sz w:val="20"/>
              </w:rPr>
              <w:sym w:font="Wingdings" w:char="F0FB"/>
            </w:r>
            <w:r w:rsidR="00950C97">
              <w:t> </w:t>
            </w:r>
          </w:p>
        </w:tc>
        <w:tc>
          <w:tcPr>
            <w:tcW w:w="261" w:type="pct"/>
            <w:shd w:val="pct15" w:color="auto" w:fill="auto"/>
            <w:vAlign w:val="center"/>
          </w:tcPr>
          <w:p w:rsidR="004F1247" w:rsidRPr="004A532E" w:rsidRDefault="004F1247" w:rsidP="0025487D">
            <w:pPr>
              <w:pStyle w:val="TableBodyText"/>
              <w:spacing w:before="20" w:line="240" w:lineRule="exact"/>
              <w:ind w:left="113"/>
              <w:jc w:val="center"/>
            </w:pPr>
            <w:r w:rsidRPr="004A532E">
              <w:sym w:font="Wingdings" w:char="F0FB"/>
            </w:r>
          </w:p>
        </w:tc>
        <w:tc>
          <w:tcPr>
            <w:tcW w:w="278" w:type="pct"/>
            <w:shd w:val="pct15" w:color="auto" w:fill="auto"/>
            <w:vAlign w:val="center"/>
          </w:tcPr>
          <w:p w:rsidR="004F1247" w:rsidRPr="004A532E" w:rsidRDefault="004F1247" w:rsidP="0025487D">
            <w:pPr>
              <w:pStyle w:val="TableBodyText"/>
              <w:spacing w:before="20" w:line="240" w:lineRule="exact"/>
              <w:ind w:left="113"/>
              <w:jc w:val="center"/>
            </w:pPr>
            <w:r w:rsidRPr="004A532E">
              <w:sym w:font="Wingdings" w:char="F0FB"/>
            </w:r>
            <w:r w:rsidR="00950C97">
              <w:t> </w:t>
            </w:r>
          </w:p>
        </w:tc>
        <w:tc>
          <w:tcPr>
            <w:tcW w:w="237" w:type="pct"/>
            <w:shd w:val="pct15" w:color="auto" w:fill="auto"/>
            <w:vAlign w:val="center"/>
          </w:tcPr>
          <w:p w:rsidR="004F1247" w:rsidRDefault="0016127E" w:rsidP="0025487D">
            <w:pPr>
              <w:pStyle w:val="TableBodyText"/>
              <w:spacing w:before="20"/>
              <w:ind w:right="170"/>
              <w:jc w:val="center"/>
            </w:pPr>
            <w:r w:rsidRPr="004A532E">
              <w:sym w:font="Wingdings" w:char="F0FB"/>
            </w:r>
            <w:r w:rsidR="00950C97">
              <w:rPr>
                <w:rStyle w:val="NoteLabel"/>
                <w:b w:val="0"/>
                <w:position w:val="0"/>
                <w:sz w:val="20"/>
              </w:rPr>
              <w:t> </w:t>
            </w:r>
          </w:p>
        </w:tc>
      </w:tr>
      <w:tr w:rsidR="00950C97" w:rsidTr="00903070">
        <w:tc>
          <w:tcPr>
            <w:tcW w:w="1386" w:type="pct"/>
            <w:shd w:val="clear" w:color="auto" w:fill="auto"/>
          </w:tcPr>
          <w:p w:rsidR="004F1247" w:rsidRDefault="004F1247" w:rsidP="007668DA">
            <w:pPr>
              <w:pStyle w:val="TableBodyText"/>
              <w:spacing w:before="20"/>
              <w:jc w:val="left"/>
            </w:pPr>
            <w:r>
              <w:t>Corrects drafting errors, makes consequential amendments or is of a machinery nature</w:t>
            </w:r>
          </w:p>
        </w:tc>
        <w:tc>
          <w:tcPr>
            <w:tcW w:w="309" w:type="pct"/>
            <w:shd w:val="clear" w:color="auto" w:fill="auto"/>
            <w:vAlign w:val="center"/>
          </w:tcPr>
          <w:p w:rsidR="004F1247" w:rsidRPr="0086672C" w:rsidRDefault="004F1247" w:rsidP="0025487D">
            <w:pPr>
              <w:pStyle w:val="TableBodyText"/>
              <w:spacing w:before="20" w:line="240" w:lineRule="exact"/>
              <w:ind w:left="113"/>
              <w:jc w:val="center"/>
              <w:rPr>
                <w:rStyle w:val="NoteLabel"/>
                <w:b w:val="0"/>
              </w:rPr>
            </w:pPr>
            <w:r>
              <w:sym w:font="Wingdings" w:char="F0FC"/>
            </w:r>
            <w:r w:rsidR="00950C97">
              <w:rPr>
                <w:rStyle w:val="NoteLabel"/>
                <w:b w:val="0"/>
                <w:position w:val="0"/>
                <w:sz w:val="20"/>
              </w:rPr>
              <w:t> </w:t>
            </w:r>
          </w:p>
        </w:tc>
        <w:tc>
          <w:tcPr>
            <w:tcW w:w="312" w:type="pct"/>
            <w:shd w:val="clear" w:color="auto" w:fill="auto"/>
            <w:vAlign w:val="center"/>
          </w:tcPr>
          <w:p w:rsidR="004F1247" w:rsidRPr="00291FEF" w:rsidRDefault="004F1247" w:rsidP="0025487D">
            <w:pPr>
              <w:pStyle w:val="TableBodyText"/>
              <w:spacing w:before="20" w:line="240" w:lineRule="exact"/>
              <w:ind w:left="113"/>
              <w:jc w:val="center"/>
              <w:rPr>
                <w:rStyle w:val="NoteLabel"/>
              </w:rPr>
            </w:pPr>
            <w:r>
              <w:sym w:font="Wingdings" w:char="F0FC"/>
            </w:r>
            <w:r>
              <w:rPr>
                <w:rStyle w:val="NoteLabel"/>
              </w:rPr>
              <w:t>a</w:t>
            </w:r>
          </w:p>
        </w:tc>
        <w:tc>
          <w:tcPr>
            <w:tcW w:w="254" w:type="pct"/>
            <w:shd w:val="clear" w:color="auto" w:fill="auto"/>
            <w:vAlign w:val="center"/>
          </w:tcPr>
          <w:p w:rsidR="004F1247" w:rsidRPr="0089084B" w:rsidRDefault="004F1247" w:rsidP="0025487D">
            <w:pPr>
              <w:pStyle w:val="TableBodyText"/>
              <w:spacing w:before="20" w:line="240" w:lineRule="exact"/>
              <w:ind w:left="113"/>
              <w:jc w:val="center"/>
            </w:pPr>
            <w:r w:rsidRPr="0089084B">
              <w:rPr>
                <w:rStyle w:val="NoteLabel"/>
                <w:b w:val="0"/>
                <w:position w:val="0"/>
                <w:sz w:val="20"/>
              </w:rPr>
              <w:sym w:font="Wingdings" w:char="F0FB"/>
            </w:r>
          </w:p>
        </w:tc>
        <w:tc>
          <w:tcPr>
            <w:tcW w:w="267" w:type="pct"/>
            <w:shd w:val="clear" w:color="auto" w:fill="auto"/>
            <w:vAlign w:val="center"/>
          </w:tcPr>
          <w:p w:rsidR="004F1247" w:rsidRPr="002E3386" w:rsidRDefault="004F1247" w:rsidP="0025487D">
            <w:pPr>
              <w:pStyle w:val="TableBodyText"/>
              <w:spacing w:before="20" w:line="240" w:lineRule="exact"/>
              <w:ind w:left="113"/>
              <w:jc w:val="center"/>
              <w:rPr>
                <w:rStyle w:val="NoteLabel"/>
                <w:b w:val="0"/>
              </w:rPr>
            </w:pPr>
            <w:r w:rsidRPr="002E3386">
              <w:sym w:font="Wingdings" w:char="F0FC"/>
            </w:r>
            <w:r w:rsidR="00950C97">
              <w:rPr>
                <w:rStyle w:val="NoteLabel"/>
                <w:b w:val="0"/>
                <w:position w:val="0"/>
                <w:sz w:val="20"/>
              </w:rPr>
              <w:t> </w:t>
            </w:r>
          </w:p>
        </w:tc>
        <w:tc>
          <w:tcPr>
            <w:tcW w:w="305" w:type="pct"/>
            <w:shd w:val="clear" w:color="auto" w:fill="auto"/>
            <w:vAlign w:val="center"/>
          </w:tcPr>
          <w:p w:rsidR="004F1247" w:rsidRDefault="004F1247" w:rsidP="00950C97">
            <w:pPr>
              <w:pStyle w:val="TableBodyText"/>
              <w:spacing w:before="20" w:line="240" w:lineRule="exact"/>
              <w:ind w:left="113"/>
              <w:jc w:val="center"/>
            </w:pPr>
            <w:r>
              <w:sym w:font="Wingdings" w:char="F0FC"/>
            </w:r>
            <w:r w:rsidR="00950C97">
              <w:t> </w:t>
            </w:r>
          </w:p>
        </w:tc>
        <w:tc>
          <w:tcPr>
            <w:tcW w:w="278" w:type="pct"/>
            <w:shd w:val="clear" w:color="auto" w:fill="auto"/>
            <w:vAlign w:val="center"/>
          </w:tcPr>
          <w:p w:rsidR="004F1247" w:rsidRDefault="004F1247" w:rsidP="0025487D">
            <w:pPr>
              <w:pStyle w:val="TableBodyText"/>
              <w:spacing w:before="20" w:line="240" w:lineRule="exact"/>
              <w:ind w:left="113"/>
              <w:jc w:val="center"/>
            </w:pPr>
            <w:r>
              <w:sym w:font="Wingdings" w:char="F0FC"/>
            </w:r>
            <w:r w:rsidR="00950C97">
              <w:t> </w:t>
            </w:r>
          </w:p>
        </w:tc>
        <w:tc>
          <w:tcPr>
            <w:tcW w:w="287" w:type="pct"/>
            <w:shd w:val="clear" w:color="auto" w:fill="auto"/>
            <w:vAlign w:val="center"/>
          </w:tcPr>
          <w:p w:rsidR="004F1247" w:rsidRPr="00EF2DC0" w:rsidRDefault="004F1247" w:rsidP="0025487D">
            <w:pPr>
              <w:pStyle w:val="TableBodyText"/>
              <w:spacing w:before="20" w:line="240" w:lineRule="exact"/>
              <w:ind w:left="113"/>
              <w:jc w:val="center"/>
              <w:rPr>
                <w:rStyle w:val="NoteLabel"/>
              </w:rPr>
            </w:pPr>
            <w:r>
              <w:sym w:font="Wingdings" w:char="F0FC"/>
            </w:r>
            <w:r w:rsidR="00B72416">
              <w:rPr>
                <w:rStyle w:val="NoteLabel"/>
              </w:rPr>
              <w:t>f</w:t>
            </w:r>
          </w:p>
        </w:tc>
        <w:tc>
          <w:tcPr>
            <w:tcW w:w="287" w:type="pct"/>
            <w:shd w:val="clear" w:color="auto" w:fill="auto"/>
            <w:vAlign w:val="center"/>
          </w:tcPr>
          <w:p w:rsidR="004F1247" w:rsidRPr="008A3FB0" w:rsidRDefault="004F1247" w:rsidP="0025487D">
            <w:pPr>
              <w:pStyle w:val="TableBodyText"/>
              <w:spacing w:before="20" w:line="240" w:lineRule="exact"/>
              <w:ind w:left="113"/>
              <w:jc w:val="center"/>
              <w:rPr>
                <w:rStyle w:val="NoteLabel"/>
              </w:rPr>
            </w:pPr>
            <w:r>
              <w:sym w:font="Wingdings" w:char="F0FC"/>
            </w:r>
            <w:r w:rsidR="00B72416">
              <w:rPr>
                <w:rStyle w:val="NoteLabel"/>
              </w:rPr>
              <w:t>g</w:t>
            </w:r>
          </w:p>
        </w:tc>
        <w:tc>
          <w:tcPr>
            <w:tcW w:w="261" w:type="pct"/>
            <w:shd w:val="clear" w:color="auto" w:fill="auto"/>
            <w:vAlign w:val="center"/>
          </w:tcPr>
          <w:p w:rsidR="004F1247" w:rsidRPr="0052333C" w:rsidRDefault="004F1247" w:rsidP="0025487D">
            <w:pPr>
              <w:pStyle w:val="TableBodyText"/>
              <w:spacing w:before="20" w:line="240" w:lineRule="exact"/>
              <w:ind w:left="113"/>
              <w:jc w:val="center"/>
            </w:pPr>
            <w:r w:rsidRPr="0052333C">
              <w:sym w:font="Wingdings" w:char="F0FB"/>
            </w:r>
          </w:p>
        </w:tc>
        <w:tc>
          <w:tcPr>
            <w:tcW w:w="278" w:type="pct"/>
            <w:shd w:val="clear" w:color="auto" w:fill="auto"/>
            <w:vAlign w:val="center"/>
          </w:tcPr>
          <w:p w:rsidR="004F1247" w:rsidRPr="00F76954" w:rsidRDefault="004F1247" w:rsidP="0025487D">
            <w:pPr>
              <w:pStyle w:val="TableBodyText"/>
              <w:spacing w:before="20" w:line="240" w:lineRule="exact"/>
              <w:ind w:left="113"/>
              <w:jc w:val="center"/>
              <w:rPr>
                <w:rStyle w:val="NoteLabel"/>
                <w:b w:val="0"/>
                <w:position w:val="0"/>
                <w:sz w:val="20"/>
              </w:rPr>
            </w:pPr>
            <w:r w:rsidRPr="00F76954">
              <w:sym w:font="Wingdings" w:char="F0FC"/>
            </w:r>
            <w:r w:rsidR="00950C97">
              <w:t> </w:t>
            </w:r>
          </w:p>
        </w:tc>
        <w:tc>
          <w:tcPr>
            <w:tcW w:w="261" w:type="pct"/>
            <w:shd w:val="clear" w:color="auto" w:fill="auto"/>
            <w:vAlign w:val="center"/>
          </w:tcPr>
          <w:p w:rsidR="004F1247" w:rsidRPr="00F76954" w:rsidRDefault="004F1247" w:rsidP="0025487D">
            <w:pPr>
              <w:pStyle w:val="TableBodyText"/>
              <w:spacing w:before="20" w:line="240" w:lineRule="exact"/>
              <w:ind w:left="113"/>
              <w:jc w:val="center"/>
            </w:pPr>
            <w:r w:rsidRPr="00F76954">
              <w:sym w:font="Wingdings" w:char="F0FB"/>
            </w:r>
          </w:p>
        </w:tc>
        <w:tc>
          <w:tcPr>
            <w:tcW w:w="278" w:type="pct"/>
            <w:shd w:val="clear" w:color="auto" w:fill="auto"/>
            <w:vAlign w:val="center"/>
          </w:tcPr>
          <w:p w:rsidR="004F1247" w:rsidRPr="00F76954" w:rsidRDefault="004F1247" w:rsidP="0025487D">
            <w:pPr>
              <w:pStyle w:val="TableBodyText"/>
              <w:spacing w:before="20" w:line="240" w:lineRule="exact"/>
              <w:ind w:left="113"/>
              <w:jc w:val="center"/>
              <w:rPr>
                <w:rStyle w:val="NoteLabel"/>
                <w:b w:val="0"/>
                <w:position w:val="0"/>
                <w:sz w:val="20"/>
              </w:rPr>
            </w:pPr>
            <w:r w:rsidRPr="00F76954">
              <w:sym w:font="Wingdings" w:char="F0FC"/>
            </w:r>
            <w:r w:rsidR="00950C97">
              <w:t> </w:t>
            </w:r>
          </w:p>
        </w:tc>
        <w:tc>
          <w:tcPr>
            <w:tcW w:w="237" w:type="pct"/>
            <w:shd w:val="clear" w:color="auto" w:fill="auto"/>
            <w:vAlign w:val="center"/>
          </w:tcPr>
          <w:p w:rsidR="004F1247" w:rsidRDefault="0016127E" w:rsidP="0025487D">
            <w:pPr>
              <w:pStyle w:val="TableBodyText"/>
              <w:spacing w:before="20"/>
              <w:ind w:right="170"/>
              <w:jc w:val="center"/>
            </w:pPr>
            <w:r w:rsidRPr="004A532E">
              <w:sym w:font="Wingdings" w:char="F0FB"/>
            </w:r>
            <w:r w:rsidR="00950C97">
              <w:rPr>
                <w:rStyle w:val="NoteLabel"/>
                <w:b w:val="0"/>
                <w:position w:val="0"/>
                <w:sz w:val="20"/>
              </w:rPr>
              <w:t> </w:t>
            </w:r>
          </w:p>
        </w:tc>
      </w:tr>
      <w:tr w:rsidR="00950C97" w:rsidTr="002848B6">
        <w:tc>
          <w:tcPr>
            <w:tcW w:w="1386" w:type="pct"/>
            <w:shd w:val="pct15" w:color="auto" w:fill="auto"/>
          </w:tcPr>
          <w:p w:rsidR="004F1247" w:rsidRPr="00F602FC" w:rsidRDefault="004F1247" w:rsidP="007668DA">
            <w:pPr>
              <w:pStyle w:val="TableBodyText"/>
              <w:spacing w:before="20"/>
              <w:jc w:val="left"/>
              <w:rPr>
                <w:rStyle w:val="NoteLabel"/>
              </w:rPr>
            </w:pPr>
            <w:r>
              <w:t>Standard fee increases</w:t>
            </w:r>
            <w:r w:rsidR="00B72416">
              <w:rPr>
                <w:rStyle w:val="NoteLabel"/>
              </w:rPr>
              <w:t>h</w:t>
            </w:r>
          </w:p>
        </w:tc>
        <w:tc>
          <w:tcPr>
            <w:tcW w:w="309" w:type="pct"/>
            <w:shd w:val="pct15" w:color="auto" w:fill="auto"/>
            <w:vAlign w:val="center"/>
          </w:tcPr>
          <w:p w:rsidR="004F1247" w:rsidRPr="001F13F1" w:rsidRDefault="004F1247" w:rsidP="0025487D">
            <w:pPr>
              <w:pStyle w:val="TableBodyText"/>
              <w:spacing w:before="20" w:line="240" w:lineRule="exact"/>
              <w:ind w:left="113"/>
              <w:jc w:val="center"/>
            </w:pPr>
            <w:r w:rsidRPr="001F13F1">
              <w:sym w:font="Wingdings" w:char="F0FC"/>
            </w:r>
            <w:r w:rsidR="00950C97">
              <w:rPr>
                <w:rStyle w:val="NoteLabel"/>
                <w:b w:val="0"/>
                <w:position w:val="0"/>
                <w:sz w:val="20"/>
              </w:rPr>
              <w:t> </w:t>
            </w:r>
          </w:p>
        </w:tc>
        <w:tc>
          <w:tcPr>
            <w:tcW w:w="312" w:type="pct"/>
            <w:shd w:val="pct15" w:color="auto" w:fill="auto"/>
            <w:vAlign w:val="center"/>
          </w:tcPr>
          <w:p w:rsidR="004F1247" w:rsidRPr="001F13F1" w:rsidRDefault="004F1247" w:rsidP="0025487D">
            <w:pPr>
              <w:pStyle w:val="TableBodyText"/>
              <w:spacing w:before="20" w:line="240" w:lineRule="exact"/>
              <w:ind w:left="113"/>
              <w:jc w:val="center"/>
              <w:rPr>
                <w:rStyle w:val="NoteLabel"/>
                <w:b w:val="0"/>
                <w:position w:val="0"/>
                <w:sz w:val="20"/>
              </w:rPr>
            </w:pPr>
            <w:r w:rsidRPr="001F13F1">
              <w:sym w:font="Wingdings" w:char="F0FC"/>
            </w:r>
            <w:r w:rsidR="00950C97">
              <w:rPr>
                <w:rStyle w:val="NoteLabel"/>
                <w:b w:val="0"/>
                <w:position w:val="0"/>
                <w:sz w:val="20"/>
              </w:rPr>
              <w:t> </w:t>
            </w:r>
          </w:p>
        </w:tc>
        <w:tc>
          <w:tcPr>
            <w:tcW w:w="254" w:type="pct"/>
            <w:shd w:val="pct15" w:color="auto" w:fill="auto"/>
            <w:vAlign w:val="center"/>
          </w:tcPr>
          <w:p w:rsidR="004F1247" w:rsidRPr="001F13F1" w:rsidRDefault="004F1247" w:rsidP="0025487D">
            <w:pPr>
              <w:pStyle w:val="TableBodyText"/>
              <w:spacing w:before="20" w:line="240" w:lineRule="exact"/>
              <w:ind w:left="113"/>
              <w:jc w:val="center"/>
            </w:pPr>
            <w:r w:rsidRPr="001F13F1">
              <w:rPr>
                <w:rStyle w:val="NoteLabel"/>
                <w:b w:val="0"/>
                <w:position w:val="0"/>
                <w:sz w:val="20"/>
              </w:rPr>
              <w:sym w:font="Wingdings" w:char="F0FB"/>
            </w:r>
          </w:p>
        </w:tc>
        <w:tc>
          <w:tcPr>
            <w:tcW w:w="267" w:type="pct"/>
            <w:shd w:val="pct15" w:color="auto" w:fill="auto"/>
            <w:vAlign w:val="center"/>
          </w:tcPr>
          <w:p w:rsidR="004F1247" w:rsidRPr="001F13F1" w:rsidRDefault="004F1247" w:rsidP="0025487D">
            <w:pPr>
              <w:pStyle w:val="TableBodyText"/>
              <w:spacing w:before="20" w:line="240" w:lineRule="exact"/>
              <w:ind w:left="113"/>
              <w:jc w:val="center"/>
            </w:pPr>
            <w:r w:rsidRPr="001F13F1">
              <w:sym w:font="Wingdings" w:char="F0FC"/>
            </w:r>
            <w:r w:rsidR="00950C97">
              <w:rPr>
                <w:rStyle w:val="NoteLabel"/>
                <w:b w:val="0"/>
                <w:position w:val="0"/>
                <w:sz w:val="20"/>
              </w:rPr>
              <w:t> </w:t>
            </w:r>
          </w:p>
        </w:tc>
        <w:tc>
          <w:tcPr>
            <w:tcW w:w="305" w:type="pct"/>
            <w:shd w:val="pct15" w:color="auto" w:fill="auto"/>
            <w:vAlign w:val="center"/>
          </w:tcPr>
          <w:p w:rsidR="004F1247" w:rsidRPr="001F13F1" w:rsidRDefault="004F1247" w:rsidP="0025487D">
            <w:pPr>
              <w:pStyle w:val="TableBodyText"/>
              <w:spacing w:before="20" w:line="240" w:lineRule="exact"/>
              <w:ind w:left="113"/>
              <w:jc w:val="center"/>
            </w:pPr>
            <w:r w:rsidRPr="001F13F1">
              <w:sym w:font="Wingdings" w:char="F0FC"/>
            </w:r>
            <w:r w:rsidR="00950C97">
              <w:t> </w:t>
            </w:r>
          </w:p>
        </w:tc>
        <w:tc>
          <w:tcPr>
            <w:tcW w:w="278" w:type="pct"/>
            <w:shd w:val="pct15" w:color="auto" w:fill="auto"/>
            <w:vAlign w:val="center"/>
          </w:tcPr>
          <w:p w:rsidR="004F1247" w:rsidRPr="001F13F1" w:rsidRDefault="004F1247" w:rsidP="0025487D">
            <w:pPr>
              <w:pStyle w:val="TableBodyText"/>
              <w:spacing w:before="20" w:line="240" w:lineRule="exact"/>
              <w:ind w:left="113"/>
              <w:jc w:val="center"/>
            </w:pPr>
            <w:r w:rsidRPr="001F13F1">
              <w:sym w:font="Wingdings" w:char="F0FC"/>
            </w:r>
            <w:r w:rsidR="00950C97">
              <w:t> </w:t>
            </w:r>
          </w:p>
        </w:tc>
        <w:tc>
          <w:tcPr>
            <w:tcW w:w="287" w:type="pct"/>
            <w:shd w:val="pct15" w:color="auto" w:fill="auto"/>
            <w:vAlign w:val="center"/>
          </w:tcPr>
          <w:p w:rsidR="004F1247" w:rsidRPr="001F13F1" w:rsidRDefault="004F1247" w:rsidP="0025487D">
            <w:pPr>
              <w:pStyle w:val="TableBodyText"/>
              <w:spacing w:before="20" w:line="240" w:lineRule="exact"/>
              <w:ind w:left="113"/>
              <w:jc w:val="center"/>
            </w:pPr>
            <w:r w:rsidRPr="001F13F1">
              <w:sym w:font="Wingdings" w:char="F0FC"/>
            </w:r>
            <w:r w:rsidR="00950C97">
              <w:t> </w:t>
            </w:r>
          </w:p>
        </w:tc>
        <w:tc>
          <w:tcPr>
            <w:tcW w:w="287" w:type="pct"/>
            <w:shd w:val="pct15" w:color="auto" w:fill="auto"/>
            <w:vAlign w:val="center"/>
          </w:tcPr>
          <w:p w:rsidR="004F1247" w:rsidRPr="001F13F1" w:rsidRDefault="004F1247" w:rsidP="0025487D">
            <w:pPr>
              <w:pStyle w:val="TableBodyText"/>
              <w:spacing w:before="20" w:line="240" w:lineRule="exact"/>
              <w:ind w:left="113"/>
              <w:jc w:val="center"/>
            </w:pPr>
            <w:r w:rsidRPr="001F13F1">
              <w:sym w:font="Wingdings" w:char="F0FC"/>
            </w:r>
            <w:r w:rsidR="00950C97">
              <w:t> </w:t>
            </w:r>
          </w:p>
        </w:tc>
        <w:tc>
          <w:tcPr>
            <w:tcW w:w="261" w:type="pct"/>
            <w:shd w:val="pct15" w:color="auto" w:fill="auto"/>
            <w:vAlign w:val="center"/>
          </w:tcPr>
          <w:p w:rsidR="004F1247" w:rsidRPr="001F13F1" w:rsidRDefault="004F1247" w:rsidP="0025487D">
            <w:pPr>
              <w:pStyle w:val="TableBodyText"/>
              <w:spacing w:before="20" w:line="240" w:lineRule="exact"/>
              <w:ind w:left="113"/>
              <w:jc w:val="center"/>
              <w:rPr>
                <w:rStyle w:val="NoteLabel"/>
                <w:b w:val="0"/>
                <w:position w:val="0"/>
                <w:sz w:val="20"/>
              </w:rPr>
            </w:pPr>
            <w:r w:rsidRPr="001F13F1">
              <w:sym w:font="Wingdings" w:char="F0FB"/>
            </w:r>
          </w:p>
        </w:tc>
        <w:tc>
          <w:tcPr>
            <w:tcW w:w="278" w:type="pct"/>
            <w:shd w:val="pct15" w:color="auto" w:fill="auto"/>
            <w:vAlign w:val="center"/>
          </w:tcPr>
          <w:p w:rsidR="004F1247" w:rsidRPr="001F13F1" w:rsidRDefault="004F1247" w:rsidP="0025487D">
            <w:pPr>
              <w:pStyle w:val="TableBodyText"/>
              <w:spacing w:before="20" w:line="240" w:lineRule="exact"/>
              <w:ind w:left="113"/>
              <w:jc w:val="center"/>
              <w:rPr>
                <w:rStyle w:val="NoteLabel"/>
                <w:b w:val="0"/>
                <w:position w:val="0"/>
                <w:sz w:val="20"/>
              </w:rPr>
            </w:pPr>
            <w:r w:rsidRPr="001F13F1">
              <w:sym w:font="Wingdings" w:char="F0FC"/>
            </w:r>
            <w:r w:rsidR="00950C97">
              <w:t> </w:t>
            </w:r>
          </w:p>
        </w:tc>
        <w:tc>
          <w:tcPr>
            <w:tcW w:w="261" w:type="pct"/>
            <w:shd w:val="pct15" w:color="auto" w:fill="auto"/>
            <w:vAlign w:val="center"/>
          </w:tcPr>
          <w:p w:rsidR="004F1247" w:rsidRPr="001F13F1" w:rsidRDefault="004F1247" w:rsidP="0025487D">
            <w:pPr>
              <w:pStyle w:val="TableBodyText"/>
              <w:spacing w:before="20" w:line="240" w:lineRule="exact"/>
              <w:ind w:left="113"/>
              <w:jc w:val="center"/>
            </w:pPr>
            <w:r w:rsidRPr="001F13F1">
              <w:sym w:font="Wingdings" w:char="F0FB"/>
            </w:r>
          </w:p>
        </w:tc>
        <w:tc>
          <w:tcPr>
            <w:tcW w:w="278" w:type="pct"/>
            <w:shd w:val="pct15" w:color="auto" w:fill="auto"/>
            <w:vAlign w:val="center"/>
          </w:tcPr>
          <w:p w:rsidR="004F1247" w:rsidRPr="001F13F1" w:rsidRDefault="004F1247" w:rsidP="0025487D">
            <w:pPr>
              <w:pStyle w:val="TableBodyText"/>
              <w:spacing w:before="20" w:line="240" w:lineRule="exact"/>
              <w:ind w:left="113"/>
              <w:jc w:val="center"/>
            </w:pPr>
            <w:r w:rsidRPr="001F13F1">
              <w:sym w:font="Wingdings" w:char="F0FC"/>
            </w:r>
            <w:r w:rsidR="00950C97">
              <w:t> </w:t>
            </w:r>
          </w:p>
        </w:tc>
        <w:tc>
          <w:tcPr>
            <w:tcW w:w="237" w:type="pct"/>
            <w:shd w:val="pct15" w:color="auto" w:fill="auto"/>
            <w:vAlign w:val="center"/>
          </w:tcPr>
          <w:p w:rsidR="004F1247" w:rsidRPr="001F13F1" w:rsidRDefault="0016127E" w:rsidP="0025487D">
            <w:pPr>
              <w:pStyle w:val="TableBodyText"/>
              <w:spacing w:before="20"/>
              <w:ind w:right="170"/>
              <w:jc w:val="center"/>
            </w:pPr>
            <w:r w:rsidRPr="004A532E">
              <w:sym w:font="Wingdings" w:char="F0FB"/>
            </w:r>
            <w:r w:rsidR="00950C97">
              <w:rPr>
                <w:rStyle w:val="NoteLabel"/>
                <w:b w:val="0"/>
                <w:position w:val="0"/>
                <w:sz w:val="20"/>
              </w:rPr>
              <w:t> </w:t>
            </w:r>
          </w:p>
        </w:tc>
      </w:tr>
      <w:tr w:rsidR="00950C97" w:rsidTr="00903070">
        <w:tc>
          <w:tcPr>
            <w:tcW w:w="1386" w:type="pct"/>
            <w:shd w:val="clear" w:color="auto" w:fill="auto"/>
          </w:tcPr>
          <w:p w:rsidR="004F1247" w:rsidRDefault="004F1247" w:rsidP="007668DA">
            <w:pPr>
              <w:pStyle w:val="TableBodyText"/>
              <w:spacing w:before="20"/>
              <w:jc w:val="left"/>
            </w:pPr>
            <w:r>
              <w:t>Police powers, general criminal laws, and administration of courts</w:t>
            </w:r>
          </w:p>
        </w:tc>
        <w:tc>
          <w:tcPr>
            <w:tcW w:w="309" w:type="pct"/>
            <w:shd w:val="clear" w:color="auto" w:fill="auto"/>
            <w:vAlign w:val="center"/>
          </w:tcPr>
          <w:p w:rsidR="004F1247" w:rsidRPr="004A532E" w:rsidRDefault="004F1247" w:rsidP="0025487D">
            <w:pPr>
              <w:pStyle w:val="TableBodyText"/>
              <w:spacing w:before="20" w:line="240" w:lineRule="exact"/>
              <w:ind w:left="113"/>
              <w:jc w:val="center"/>
            </w:pPr>
            <w:r w:rsidRPr="004A532E">
              <w:sym w:font="Wingdings" w:char="F0FC"/>
            </w:r>
            <w:r w:rsidR="00950C97">
              <w:rPr>
                <w:rStyle w:val="NoteLabel"/>
                <w:b w:val="0"/>
                <w:position w:val="0"/>
                <w:sz w:val="20"/>
              </w:rPr>
              <w:t> </w:t>
            </w:r>
          </w:p>
        </w:tc>
        <w:tc>
          <w:tcPr>
            <w:tcW w:w="312" w:type="pct"/>
            <w:shd w:val="clear" w:color="auto" w:fill="auto"/>
            <w:vAlign w:val="center"/>
          </w:tcPr>
          <w:p w:rsidR="004F1247" w:rsidRPr="004A532E" w:rsidRDefault="004F1247" w:rsidP="0025487D">
            <w:pPr>
              <w:pStyle w:val="TableBodyText"/>
              <w:spacing w:before="20" w:line="240" w:lineRule="exact"/>
              <w:ind w:left="113"/>
              <w:jc w:val="center"/>
              <w:rPr>
                <w:rStyle w:val="NoteLabel"/>
                <w:b w:val="0"/>
                <w:position w:val="0"/>
                <w:sz w:val="20"/>
              </w:rPr>
            </w:pPr>
            <w:r w:rsidRPr="004A532E">
              <w:sym w:font="Wingdings" w:char="F0FC"/>
            </w:r>
            <w:r w:rsidR="00950C97">
              <w:rPr>
                <w:rStyle w:val="NoteLabel"/>
                <w:b w:val="0"/>
                <w:position w:val="0"/>
                <w:sz w:val="20"/>
              </w:rPr>
              <w:t> </w:t>
            </w:r>
          </w:p>
        </w:tc>
        <w:tc>
          <w:tcPr>
            <w:tcW w:w="254" w:type="pct"/>
            <w:shd w:val="clear" w:color="auto" w:fill="auto"/>
            <w:vAlign w:val="center"/>
          </w:tcPr>
          <w:p w:rsidR="004F1247" w:rsidRPr="0089084B" w:rsidRDefault="004F1247" w:rsidP="0025487D">
            <w:pPr>
              <w:pStyle w:val="TableBodyText"/>
              <w:spacing w:before="20" w:line="240" w:lineRule="exact"/>
              <w:ind w:left="113"/>
              <w:jc w:val="center"/>
            </w:pPr>
            <w:r w:rsidRPr="0089084B">
              <w:rPr>
                <w:rStyle w:val="NoteLabel"/>
                <w:b w:val="0"/>
                <w:position w:val="0"/>
                <w:sz w:val="20"/>
              </w:rPr>
              <w:sym w:font="Wingdings" w:char="F0FB"/>
            </w:r>
          </w:p>
        </w:tc>
        <w:tc>
          <w:tcPr>
            <w:tcW w:w="267" w:type="pct"/>
            <w:shd w:val="clear" w:color="auto" w:fill="auto"/>
            <w:vAlign w:val="center"/>
          </w:tcPr>
          <w:p w:rsidR="004F1247" w:rsidRPr="002E3386" w:rsidRDefault="004F1247" w:rsidP="0025487D">
            <w:pPr>
              <w:pStyle w:val="TableBodyText"/>
              <w:spacing w:before="20" w:line="240" w:lineRule="exact"/>
              <w:ind w:left="113"/>
              <w:jc w:val="center"/>
            </w:pPr>
            <w:r w:rsidRPr="002E3386">
              <w:sym w:font="Wingdings" w:char="F0FC"/>
            </w:r>
            <w:r w:rsidR="00950C97">
              <w:rPr>
                <w:rStyle w:val="NoteLabel"/>
                <w:b w:val="0"/>
                <w:position w:val="0"/>
                <w:sz w:val="20"/>
              </w:rPr>
              <w:t> </w:t>
            </w:r>
          </w:p>
        </w:tc>
        <w:tc>
          <w:tcPr>
            <w:tcW w:w="305" w:type="pct"/>
            <w:shd w:val="clear" w:color="auto" w:fill="auto"/>
            <w:vAlign w:val="center"/>
          </w:tcPr>
          <w:p w:rsidR="004F1247" w:rsidRDefault="004F1247" w:rsidP="0025487D">
            <w:pPr>
              <w:pStyle w:val="TableBodyText"/>
              <w:spacing w:before="20" w:line="240" w:lineRule="exact"/>
              <w:ind w:left="113"/>
              <w:jc w:val="center"/>
            </w:pPr>
            <w:r>
              <w:sym w:font="Wingdings" w:char="F0FC"/>
            </w:r>
            <w:r w:rsidR="00950C97">
              <w:t> </w:t>
            </w:r>
          </w:p>
        </w:tc>
        <w:tc>
          <w:tcPr>
            <w:tcW w:w="278" w:type="pct"/>
            <w:shd w:val="clear" w:color="auto" w:fill="auto"/>
            <w:vAlign w:val="center"/>
          </w:tcPr>
          <w:p w:rsidR="004F1247" w:rsidRDefault="004F1247" w:rsidP="0025487D">
            <w:pPr>
              <w:pStyle w:val="TableBodyText"/>
              <w:spacing w:before="20" w:line="240" w:lineRule="exact"/>
              <w:ind w:left="113"/>
              <w:jc w:val="center"/>
            </w:pPr>
            <w:r>
              <w:sym w:font="Wingdings" w:char="F0FC"/>
            </w:r>
            <w:r w:rsidR="00950C97">
              <w:t> </w:t>
            </w:r>
          </w:p>
        </w:tc>
        <w:tc>
          <w:tcPr>
            <w:tcW w:w="287" w:type="pct"/>
            <w:shd w:val="clear" w:color="auto" w:fill="auto"/>
            <w:vAlign w:val="center"/>
          </w:tcPr>
          <w:p w:rsidR="004F1247" w:rsidRDefault="004F1247" w:rsidP="0025487D">
            <w:pPr>
              <w:pStyle w:val="TableBodyText"/>
              <w:spacing w:before="20" w:line="240" w:lineRule="exact"/>
              <w:ind w:left="113"/>
              <w:jc w:val="center"/>
            </w:pPr>
            <w:r>
              <w:sym w:font="Wingdings" w:char="F0FC"/>
            </w:r>
            <w:r w:rsidR="00950C97">
              <w:t> </w:t>
            </w:r>
          </w:p>
        </w:tc>
        <w:tc>
          <w:tcPr>
            <w:tcW w:w="287" w:type="pct"/>
            <w:shd w:val="clear" w:color="auto" w:fill="auto"/>
            <w:vAlign w:val="center"/>
          </w:tcPr>
          <w:p w:rsidR="004F1247" w:rsidRPr="004229D5" w:rsidRDefault="004F1247" w:rsidP="0025487D">
            <w:pPr>
              <w:pStyle w:val="TableBodyText"/>
              <w:spacing w:before="20" w:line="240" w:lineRule="exact"/>
              <w:ind w:left="113"/>
              <w:jc w:val="center"/>
              <w:rPr>
                <w:rStyle w:val="NoteLabel"/>
              </w:rPr>
            </w:pPr>
            <w:r>
              <w:sym w:font="Wingdings" w:char="F0FC"/>
            </w:r>
            <w:proofErr w:type="spellStart"/>
            <w:r w:rsidR="00B72416">
              <w:rPr>
                <w:rStyle w:val="NoteLabel"/>
              </w:rPr>
              <w:t>i</w:t>
            </w:r>
            <w:proofErr w:type="spellEnd"/>
          </w:p>
        </w:tc>
        <w:tc>
          <w:tcPr>
            <w:tcW w:w="261" w:type="pct"/>
            <w:shd w:val="clear" w:color="auto" w:fill="auto"/>
            <w:vAlign w:val="center"/>
          </w:tcPr>
          <w:p w:rsidR="004F1247" w:rsidRPr="0086672C" w:rsidRDefault="004F1247" w:rsidP="0025487D">
            <w:pPr>
              <w:pStyle w:val="TableBodyText"/>
              <w:spacing w:before="20" w:line="240" w:lineRule="exact"/>
              <w:ind w:left="113"/>
              <w:jc w:val="center"/>
            </w:pPr>
            <w:r>
              <w:sym w:font="Wingdings" w:char="F0FB"/>
            </w:r>
          </w:p>
        </w:tc>
        <w:tc>
          <w:tcPr>
            <w:tcW w:w="278" w:type="pct"/>
            <w:shd w:val="clear" w:color="auto" w:fill="auto"/>
            <w:vAlign w:val="center"/>
          </w:tcPr>
          <w:p w:rsidR="004F1247" w:rsidRPr="00A262D6" w:rsidRDefault="004F1247" w:rsidP="0025487D">
            <w:pPr>
              <w:pStyle w:val="TableBodyText"/>
              <w:spacing w:before="20" w:line="240" w:lineRule="exact"/>
              <w:ind w:left="113"/>
              <w:jc w:val="center"/>
              <w:rPr>
                <w:rStyle w:val="NoteLabel"/>
              </w:rPr>
            </w:pPr>
            <w:r>
              <w:sym w:font="Wingdings" w:char="F0FC"/>
            </w:r>
            <w:r w:rsidR="00B72416">
              <w:rPr>
                <w:rStyle w:val="NoteLabel"/>
              </w:rPr>
              <w:t>j</w:t>
            </w:r>
          </w:p>
        </w:tc>
        <w:tc>
          <w:tcPr>
            <w:tcW w:w="261" w:type="pct"/>
            <w:shd w:val="clear" w:color="auto" w:fill="auto"/>
            <w:vAlign w:val="center"/>
          </w:tcPr>
          <w:p w:rsidR="004F1247" w:rsidRPr="00E214FF" w:rsidRDefault="004F1247" w:rsidP="0025487D">
            <w:pPr>
              <w:pStyle w:val="TableBodyText"/>
              <w:spacing w:before="20" w:line="240" w:lineRule="exact"/>
              <w:ind w:left="113"/>
              <w:jc w:val="center"/>
            </w:pPr>
            <w:r>
              <w:sym w:font="Wingdings" w:char="F0FB"/>
            </w:r>
          </w:p>
        </w:tc>
        <w:tc>
          <w:tcPr>
            <w:tcW w:w="278" w:type="pct"/>
            <w:shd w:val="clear" w:color="auto" w:fill="auto"/>
            <w:vAlign w:val="center"/>
          </w:tcPr>
          <w:p w:rsidR="004F1247" w:rsidRPr="00A26220" w:rsidRDefault="004F1247" w:rsidP="0025487D">
            <w:pPr>
              <w:pStyle w:val="TableBodyText"/>
              <w:spacing w:before="20" w:line="240" w:lineRule="exact"/>
              <w:ind w:left="113"/>
              <w:jc w:val="center"/>
              <w:rPr>
                <w:rStyle w:val="NoteLabel"/>
              </w:rPr>
            </w:pPr>
            <w:r>
              <w:sym w:font="Wingdings" w:char="F0FC"/>
            </w:r>
            <w:r w:rsidR="00B72416">
              <w:rPr>
                <w:rStyle w:val="NoteLabel"/>
              </w:rPr>
              <w:t>j</w:t>
            </w:r>
          </w:p>
        </w:tc>
        <w:tc>
          <w:tcPr>
            <w:tcW w:w="237" w:type="pct"/>
            <w:shd w:val="clear" w:color="auto" w:fill="auto"/>
            <w:vAlign w:val="center"/>
          </w:tcPr>
          <w:p w:rsidR="004F1247" w:rsidRDefault="0016127E" w:rsidP="0025487D">
            <w:pPr>
              <w:pStyle w:val="TableBodyText"/>
              <w:spacing w:before="20"/>
              <w:ind w:right="170"/>
              <w:jc w:val="center"/>
            </w:pPr>
            <w:r w:rsidRPr="004A532E">
              <w:sym w:font="Wingdings" w:char="F0FB"/>
            </w:r>
            <w:r w:rsidR="00950C97">
              <w:rPr>
                <w:rStyle w:val="NoteLabel"/>
                <w:b w:val="0"/>
                <w:position w:val="0"/>
                <w:sz w:val="20"/>
              </w:rPr>
              <w:t> </w:t>
            </w:r>
          </w:p>
        </w:tc>
      </w:tr>
      <w:tr w:rsidR="00950C97" w:rsidTr="002848B6">
        <w:tc>
          <w:tcPr>
            <w:tcW w:w="1386" w:type="pct"/>
            <w:shd w:val="pct15" w:color="auto" w:fill="auto"/>
          </w:tcPr>
          <w:p w:rsidR="004F1247" w:rsidRDefault="004F1247" w:rsidP="007668DA">
            <w:pPr>
              <w:pStyle w:val="TableBodyText"/>
              <w:spacing w:before="20"/>
              <w:jc w:val="left"/>
            </w:pPr>
            <w:r>
              <w:t>Electoral rules</w:t>
            </w:r>
          </w:p>
        </w:tc>
        <w:tc>
          <w:tcPr>
            <w:tcW w:w="309" w:type="pct"/>
            <w:shd w:val="pct15" w:color="auto" w:fill="auto"/>
            <w:vAlign w:val="center"/>
          </w:tcPr>
          <w:p w:rsidR="004F1247" w:rsidRDefault="004F1247" w:rsidP="0025487D">
            <w:pPr>
              <w:pStyle w:val="TableBodyText"/>
              <w:spacing w:before="20" w:line="240" w:lineRule="exact"/>
              <w:ind w:left="113"/>
              <w:jc w:val="center"/>
            </w:pPr>
            <w:r>
              <w:sym w:font="Wingdings" w:char="F0FC"/>
            </w:r>
            <w:r w:rsidR="00950C97">
              <w:rPr>
                <w:rStyle w:val="NoteLabel"/>
                <w:b w:val="0"/>
                <w:position w:val="0"/>
                <w:sz w:val="20"/>
              </w:rPr>
              <w:t> </w:t>
            </w:r>
          </w:p>
        </w:tc>
        <w:tc>
          <w:tcPr>
            <w:tcW w:w="312" w:type="pct"/>
            <w:shd w:val="pct15" w:color="auto" w:fill="auto"/>
            <w:vAlign w:val="center"/>
          </w:tcPr>
          <w:p w:rsidR="004F1247" w:rsidRDefault="004F1247" w:rsidP="0025487D">
            <w:pPr>
              <w:pStyle w:val="TableBodyText"/>
              <w:spacing w:before="20" w:line="240" w:lineRule="exact"/>
              <w:ind w:left="113"/>
              <w:jc w:val="center"/>
            </w:pPr>
            <w:r>
              <w:sym w:font="Wingdings" w:char="F0FC"/>
            </w:r>
            <w:r w:rsidR="00950C97">
              <w:rPr>
                <w:rStyle w:val="NoteLabel"/>
                <w:b w:val="0"/>
                <w:position w:val="0"/>
                <w:sz w:val="20"/>
              </w:rPr>
              <w:t> </w:t>
            </w:r>
          </w:p>
        </w:tc>
        <w:tc>
          <w:tcPr>
            <w:tcW w:w="254" w:type="pct"/>
            <w:shd w:val="pct15" w:color="auto" w:fill="auto"/>
            <w:vAlign w:val="center"/>
          </w:tcPr>
          <w:p w:rsidR="004F1247" w:rsidRPr="0089084B" w:rsidRDefault="004F1247" w:rsidP="0025487D">
            <w:pPr>
              <w:pStyle w:val="TableBodyText"/>
              <w:spacing w:before="20" w:line="240" w:lineRule="exact"/>
              <w:ind w:left="113"/>
              <w:jc w:val="center"/>
            </w:pPr>
            <w:r w:rsidRPr="0089084B">
              <w:rPr>
                <w:rStyle w:val="NoteLabel"/>
                <w:b w:val="0"/>
                <w:position w:val="0"/>
                <w:sz w:val="20"/>
              </w:rPr>
              <w:sym w:font="Wingdings" w:char="F0FB"/>
            </w:r>
          </w:p>
        </w:tc>
        <w:tc>
          <w:tcPr>
            <w:tcW w:w="267" w:type="pct"/>
            <w:shd w:val="pct15" w:color="auto" w:fill="auto"/>
            <w:vAlign w:val="center"/>
          </w:tcPr>
          <w:p w:rsidR="004F1247" w:rsidRPr="002E3386" w:rsidRDefault="004F1247" w:rsidP="0025487D">
            <w:pPr>
              <w:pStyle w:val="TableBodyText"/>
              <w:spacing w:before="20" w:line="240" w:lineRule="exact"/>
              <w:ind w:left="113"/>
              <w:jc w:val="center"/>
            </w:pPr>
            <w:r w:rsidRPr="002E3386">
              <w:sym w:font="Wingdings" w:char="F0FB"/>
            </w:r>
            <w:r w:rsidR="00950C97">
              <w:rPr>
                <w:rStyle w:val="NoteLabel"/>
                <w:b w:val="0"/>
                <w:position w:val="0"/>
                <w:sz w:val="20"/>
              </w:rPr>
              <w:t> </w:t>
            </w:r>
          </w:p>
        </w:tc>
        <w:tc>
          <w:tcPr>
            <w:tcW w:w="305" w:type="pct"/>
            <w:shd w:val="pct15" w:color="auto" w:fill="auto"/>
            <w:vAlign w:val="center"/>
          </w:tcPr>
          <w:p w:rsidR="004F1247" w:rsidRDefault="004F1247" w:rsidP="0025487D">
            <w:pPr>
              <w:pStyle w:val="TableBodyText"/>
              <w:spacing w:before="20" w:line="240" w:lineRule="exact"/>
              <w:ind w:left="113"/>
              <w:jc w:val="center"/>
            </w:pPr>
            <w:r>
              <w:sym w:font="Wingdings" w:char="F0FB"/>
            </w:r>
            <w:r w:rsidR="00950C97">
              <w:t> </w:t>
            </w:r>
          </w:p>
        </w:tc>
        <w:tc>
          <w:tcPr>
            <w:tcW w:w="278" w:type="pct"/>
            <w:shd w:val="pct15" w:color="auto" w:fill="auto"/>
            <w:vAlign w:val="center"/>
          </w:tcPr>
          <w:p w:rsidR="004F1247" w:rsidRDefault="004F1247" w:rsidP="0025487D">
            <w:pPr>
              <w:pStyle w:val="TableBodyText"/>
              <w:spacing w:before="20" w:line="240" w:lineRule="exact"/>
              <w:ind w:left="113"/>
              <w:jc w:val="center"/>
            </w:pPr>
            <w:r>
              <w:sym w:font="Wingdings" w:char="F0FB"/>
            </w:r>
            <w:r w:rsidR="00950C97">
              <w:t> </w:t>
            </w:r>
          </w:p>
        </w:tc>
        <w:tc>
          <w:tcPr>
            <w:tcW w:w="287" w:type="pct"/>
            <w:shd w:val="pct15" w:color="auto" w:fill="auto"/>
            <w:vAlign w:val="center"/>
          </w:tcPr>
          <w:p w:rsidR="004F1247" w:rsidRDefault="004F1247" w:rsidP="0025487D">
            <w:pPr>
              <w:pStyle w:val="TableBodyText"/>
              <w:spacing w:before="20" w:line="240" w:lineRule="exact"/>
              <w:ind w:left="113"/>
              <w:jc w:val="center"/>
            </w:pPr>
            <w:r>
              <w:sym w:font="Wingdings" w:char="F0FC"/>
            </w:r>
            <w:r w:rsidR="00950C97">
              <w:t> </w:t>
            </w:r>
          </w:p>
        </w:tc>
        <w:tc>
          <w:tcPr>
            <w:tcW w:w="287" w:type="pct"/>
            <w:shd w:val="pct15" w:color="auto" w:fill="auto"/>
            <w:vAlign w:val="center"/>
          </w:tcPr>
          <w:p w:rsidR="004F1247" w:rsidRDefault="004F1247" w:rsidP="0025487D">
            <w:pPr>
              <w:pStyle w:val="TableBodyText"/>
              <w:spacing w:before="20" w:line="240" w:lineRule="exact"/>
              <w:ind w:left="113"/>
              <w:jc w:val="center"/>
            </w:pPr>
            <w:r>
              <w:sym w:font="Wingdings" w:char="F0FC"/>
            </w:r>
            <w:r w:rsidR="00950C97">
              <w:t> </w:t>
            </w:r>
          </w:p>
        </w:tc>
        <w:tc>
          <w:tcPr>
            <w:tcW w:w="261" w:type="pct"/>
            <w:shd w:val="pct15" w:color="auto" w:fill="auto"/>
            <w:vAlign w:val="center"/>
          </w:tcPr>
          <w:p w:rsidR="004F1247" w:rsidRPr="0086672C" w:rsidRDefault="004F1247" w:rsidP="0025487D">
            <w:pPr>
              <w:pStyle w:val="TableBodyText"/>
              <w:spacing w:before="20" w:line="240" w:lineRule="exact"/>
              <w:ind w:left="113"/>
              <w:jc w:val="center"/>
            </w:pPr>
            <w:r>
              <w:sym w:font="Wingdings" w:char="F0FB"/>
            </w:r>
          </w:p>
        </w:tc>
        <w:tc>
          <w:tcPr>
            <w:tcW w:w="278" w:type="pct"/>
            <w:shd w:val="pct15" w:color="auto" w:fill="auto"/>
            <w:vAlign w:val="center"/>
          </w:tcPr>
          <w:p w:rsidR="004F1247" w:rsidRDefault="004F1247" w:rsidP="0025487D">
            <w:pPr>
              <w:pStyle w:val="TableBodyText"/>
              <w:spacing w:before="20" w:line="240" w:lineRule="exact"/>
              <w:ind w:left="113"/>
              <w:jc w:val="center"/>
            </w:pPr>
            <w:r>
              <w:sym w:font="Wingdings" w:char="F0FB"/>
            </w:r>
            <w:r w:rsidR="00950C97">
              <w:t> </w:t>
            </w:r>
          </w:p>
        </w:tc>
        <w:tc>
          <w:tcPr>
            <w:tcW w:w="261" w:type="pct"/>
            <w:shd w:val="pct15" w:color="auto" w:fill="auto"/>
            <w:vAlign w:val="center"/>
          </w:tcPr>
          <w:p w:rsidR="004F1247" w:rsidRDefault="004F1247" w:rsidP="0025487D">
            <w:pPr>
              <w:pStyle w:val="TableBodyText"/>
              <w:spacing w:before="20" w:line="240" w:lineRule="exact"/>
              <w:ind w:left="113"/>
              <w:jc w:val="center"/>
            </w:pPr>
            <w:r>
              <w:sym w:font="Wingdings" w:char="F0FB"/>
            </w:r>
          </w:p>
        </w:tc>
        <w:tc>
          <w:tcPr>
            <w:tcW w:w="278" w:type="pct"/>
            <w:shd w:val="pct15" w:color="auto" w:fill="auto"/>
            <w:vAlign w:val="center"/>
          </w:tcPr>
          <w:p w:rsidR="004F1247" w:rsidRDefault="004F1247" w:rsidP="0025487D">
            <w:pPr>
              <w:pStyle w:val="TableBodyText"/>
              <w:spacing w:before="20" w:line="240" w:lineRule="exact"/>
              <w:ind w:left="113"/>
              <w:jc w:val="center"/>
            </w:pPr>
            <w:r>
              <w:sym w:font="Wingdings" w:char="F0FB"/>
            </w:r>
            <w:r w:rsidR="00950C97">
              <w:t> </w:t>
            </w:r>
          </w:p>
        </w:tc>
        <w:tc>
          <w:tcPr>
            <w:tcW w:w="237" w:type="pct"/>
            <w:shd w:val="pct15" w:color="auto" w:fill="auto"/>
            <w:vAlign w:val="center"/>
          </w:tcPr>
          <w:p w:rsidR="004F1247" w:rsidRDefault="0016127E" w:rsidP="0025487D">
            <w:pPr>
              <w:pStyle w:val="TableBodyText"/>
              <w:spacing w:before="20"/>
              <w:ind w:right="170"/>
              <w:jc w:val="center"/>
            </w:pPr>
            <w:r w:rsidRPr="004A532E">
              <w:sym w:font="Wingdings" w:char="F0FB"/>
            </w:r>
            <w:r w:rsidR="00950C97">
              <w:rPr>
                <w:rStyle w:val="NoteLabel"/>
                <w:b w:val="0"/>
                <w:position w:val="0"/>
                <w:sz w:val="20"/>
              </w:rPr>
              <w:t> </w:t>
            </w:r>
          </w:p>
        </w:tc>
      </w:tr>
      <w:tr w:rsidR="00950C97" w:rsidTr="002848B6">
        <w:tc>
          <w:tcPr>
            <w:tcW w:w="1386" w:type="pct"/>
            <w:shd w:val="clear" w:color="auto" w:fill="auto"/>
          </w:tcPr>
          <w:p w:rsidR="004F1247" w:rsidRDefault="004F1247" w:rsidP="007668DA">
            <w:pPr>
              <w:pStyle w:val="TableBodyText"/>
              <w:spacing w:before="20"/>
              <w:jc w:val="left"/>
            </w:pPr>
            <w:r>
              <w:t>Regulatory proposals previously assessed</w:t>
            </w:r>
          </w:p>
        </w:tc>
        <w:tc>
          <w:tcPr>
            <w:tcW w:w="309" w:type="pct"/>
            <w:shd w:val="clear" w:color="auto" w:fill="auto"/>
            <w:vAlign w:val="center"/>
          </w:tcPr>
          <w:p w:rsidR="004F1247" w:rsidRDefault="004F1247" w:rsidP="0025487D">
            <w:pPr>
              <w:pStyle w:val="TableBodyText"/>
              <w:spacing w:before="20" w:line="240" w:lineRule="exact"/>
              <w:ind w:left="113"/>
              <w:jc w:val="center"/>
            </w:pPr>
            <w:r>
              <w:sym w:font="Wingdings" w:char="F0FC"/>
            </w:r>
            <w:r w:rsidR="00950C97">
              <w:rPr>
                <w:rStyle w:val="NoteLabel"/>
                <w:b w:val="0"/>
                <w:position w:val="0"/>
                <w:sz w:val="20"/>
              </w:rPr>
              <w:t> </w:t>
            </w:r>
          </w:p>
        </w:tc>
        <w:tc>
          <w:tcPr>
            <w:tcW w:w="312" w:type="pct"/>
            <w:shd w:val="clear" w:color="auto" w:fill="auto"/>
            <w:vAlign w:val="center"/>
          </w:tcPr>
          <w:p w:rsidR="004F1247" w:rsidRPr="002E3386" w:rsidRDefault="004F1247" w:rsidP="0025487D">
            <w:pPr>
              <w:pStyle w:val="TableBodyText"/>
              <w:spacing w:before="20" w:line="240" w:lineRule="exact"/>
              <w:ind w:left="113"/>
              <w:jc w:val="center"/>
            </w:pPr>
            <w:r w:rsidRPr="002E3386">
              <w:sym w:font="Wingdings" w:char="F0FC"/>
            </w:r>
            <w:r w:rsidR="00950C97">
              <w:rPr>
                <w:rStyle w:val="NoteLabel"/>
                <w:b w:val="0"/>
                <w:position w:val="0"/>
                <w:sz w:val="20"/>
              </w:rPr>
              <w:t> </w:t>
            </w:r>
          </w:p>
        </w:tc>
        <w:tc>
          <w:tcPr>
            <w:tcW w:w="254" w:type="pct"/>
            <w:shd w:val="clear" w:color="auto" w:fill="auto"/>
            <w:vAlign w:val="center"/>
          </w:tcPr>
          <w:p w:rsidR="004F1247" w:rsidRPr="0089084B" w:rsidRDefault="004F1247" w:rsidP="0025487D">
            <w:pPr>
              <w:pStyle w:val="TableBodyText"/>
              <w:spacing w:before="20" w:line="240" w:lineRule="exact"/>
              <w:ind w:left="113"/>
              <w:jc w:val="center"/>
            </w:pPr>
            <w:r w:rsidRPr="0089084B">
              <w:rPr>
                <w:rStyle w:val="NoteLabel"/>
                <w:b w:val="0"/>
                <w:position w:val="0"/>
                <w:sz w:val="20"/>
              </w:rPr>
              <w:sym w:font="Wingdings" w:char="F0FB"/>
            </w:r>
          </w:p>
        </w:tc>
        <w:tc>
          <w:tcPr>
            <w:tcW w:w="267" w:type="pct"/>
            <w:shd w:val="clear" w:color="auto" w:fill="auto"/>
            <w:vAlign w:val="center"/>
          </w:tcPr>
          <w:p w:rsidR="004F1247" w:rsidRPr="00A83CD6" w:rsidRDefault="004F1247" w:rsidP="0025487D">
            <w:pPr>
              <w:pStyle w:val="TableBodyText"/>
              <w:spacing w:before="20" w:line="240" w:lineRule="exact"/>
              <w:ind w:left="113"/>
              <w:jc w:val="center"/>
              <w:rPr>
                <w:rStyle w:val="NoteLabel"/>
              </w:rPr>
            </w:pPr>
            <w:r>
              <w:sym w:font="Wingdings" w:char="F0FC"/>
            </w:r>
            <w:r w:rsidR="00B72416">
              <w:rPr>
                <w:rStyle w:val="NoteLabel"/>
              </w:rPr>
              <w:t>k</w:t>
            </w:r>
          </w:p>
        </w:tc>
        <w:tc>
          <w:tcPr>
            <w:tcW w:w="305" w:type="pct"/>
            <w:shd w:val="clear" w:color="auto" w:fill="auto"/>
            <w:vAlign w:val="center"/>
          </w:tcPr>
          <w:p w:rsidR="004F1247" w:rsidRDefault="004F1247" w:rsidP="0025487D">
            <w:pPr>
              <w:pStyle w:val="TableBodyText"/>
              <w:spacing w:before="20" w:line="240" w:lineRule="exact"/>
              <w:ind w:left="113"/>
              <w:jc w:val="center"/>
            </w:pPr>
            <w:r>
              <w:sym w:font="Wingdings" w:char="F0FC"/>
            </w:r>
            <w:r w:rsidR="00950C97">
              <w:t> </w:t>
            </w:r>
          </w:p>
        </w:tc>
        <w:tc>
          <w:tcPr>
            <w:tcW w:w="278" w:type="pct"/>
            <w:shd w:val="clear" w:color="auto" w:fill="auto"/>
            <w:vAlign w:val="center"/>
          </w:tcPr>
          <w:p w:rsidR="004F1247" w:rsidRDefault="004F1247" w:rsidP="0025487D">
            <w:pPr>
              <w:pStyle w:val="TableBodyText"/>
              <w:spacing w:before="20" w:line="240" w:lineRule="exact"/>
              <w:ind w:left="113"/>
              <w:jc w:val="center"/>
            </w:pPr>
            <w:r>
              <w:sym w:font="Wingdings" w:char="F0FC"/>
            </w:r>
            <w:r w:rsidR="00950C97">
              <w:t> </w:t>
            </w:r>
          </w:p>
        </w:tc>
        <w:tc>
          <w:tcPr>
            <w:tcW w:w="287" w:type="pct"/>
            <w:shd w:val="clear" w:color="auto" w:fill="auto"/>
            <w:vAlign w:val="center"/>
          </w:tcPr>
          <w:p w:rsidR="004F1247" w:rsidRDefault="004F1247" w:rsidP="0025487D">
            <w:pPr>
              <w:pStyle w:val="TableBodyText"/>
              <w:spacing w:before="20" w:line="240" w:lineRule="exact"/>
              <w:ind w:left="113"/>
              <w:jc w:val="center"/>
            </w:pPr>
            <w:r>
              <w:sym w:font="Wingdings" w:char="F0FC"/>
            </w:r>
            <w:r w:rsidR="00950C97">
              <w:t> </w:t>
            </w:r>
          </w:p>
        </w:tc>
        <w:tc>
          <w:tcPr>
            <w:tcW w:w="287" w:type="pct"/>
            <w:shd w:val="clear" w:color="auto" w:fill="auto"/>
            <w:vAlign w:val="center"/>
          </w:tcPr>
          <w:p w:rsidR="004F1247" w:rsidRDefault="004F1247" w:rsidP="0025487D">
            <w:pPr>
              <w:pStyle w:val="TableBodyText"/>
              <w:spacing w:before="20" w:line="240" w:lineRule="exact"/>
              <w:ind w:left="113"/>
              <w:jc w:val="center"/>
            </w:pPr>
            <w:r>
              <w:sym w:font="Wingdings" w:char="F0FB"/>
            </w:r>
            <w:r w:rsidR="00950C97">
              <w:t> </w:t>
            </w:r>
          </w:p>
        </w:tc>
        <w:tc>
          <w:tcPr>
            <w:tcW w:w="261" w:type="pct"/>
            <w:shd w:val="clear" w:color="auto" w:fill="auto"/>
            <w:vAlign w:val="center"/>
          </w:tcPr>
          <w:p w:rsidR="004F1247" w:rsidRDefault="004F1247" w:rsidP="0025487D">
            <w:pPr>
              <w:pStyle w:val="TableBodyText"/>
              <w:spacing w:before="20" w:line="240" w:lineRule="exact"/>
              <w:ind w:left="113"/>
              <w:jc w:val="center"/>
            </w:pPr>
            <w:r>
              <w:sym w:font="Wingdings" w:char="F0FB"/>
            </w:r>
          </w:p>
        </w:tc>
        <w:tc>
          <w:tcPr>
            <w:tcW w:w="278" w:type="pct"/>
            <w:shd w:val="clear" w:color="auto" w:fill="auto"/>
            <w:vAlign w:val="center"/>
          </w:tcPr>
          <w:p w:rsidR="004F1247" w:rsidRDefault="004F1247" w:rsidP="0025487D">
            <w:pPr>
              <w:pStyle w:val="TableBodyText"/>
              <w:spacing w:before="20" w:line="240" w:lineRule="exact"/>
              <w:ind w:left="113"/>
              <w:jc w:val="center"/>
            </w:pPr>
            <w:r>
              <w:sym w:font="Wingdings" w:char="F0FB"/>
            </w:r>
            <w:r w:rsidR="00950C97">
              <w:t> </w:t>
            </w:r>
          </w:p>
        </w:tc>
        <w:tc>
          <w:tcPr>
            <w:tcW w:w="261" w:type="pct"/>
            <w:shd w:val="clear" w:color="auto" w:fill="auto"/>
            <w:vAlign w:val="center"/>
          </w:tcPr>
          <w:p w:rsidR="004F1247" w:rsidRDefault="004F1247" w:rsidP="0025487D">
            <w:pPr>
              <w:pStyle w:val="TableBodyText"/>
              <w:spacing w:before="20" w:line="240" w:lineRule="exact"/>
              <w:ind w:left="113"/>
              <w:jc w:val="center"/>
            </w:pPr>
            <w:r>
              <w:sym w:font="Wingdings" w:char="F0FB"/>
            </w:r>
          </w:p>
        </w:tc>
        <w:tc>
          <w:tcPr>
            <w:tcW w:w="278" w:type="pct"/>
            <w:shd w:val="clear" w:color="auto" w:fill="auto"/>
            <w:vAlign w:val="center"/>
          </w:tcPr>
          <w:p w:rsidR="004F1247" w:rsidRDefault="004F1247" w:rsidP="0025487D">
            <w:pPr>
              <w:pStyle w:val="TableBodyText"/>
              <w:spacing w:before="20" w:line="240" w:lineRule="exact"/>
              <w:ind w:left="113"/>
              <w:jc w:val="center"/>
            </w:pPr>
            <w:r>
              <w:sym w:font="Wingdings" w:char="F0FB"/>
            </w:r>
            <w:r w:rsidR="00950C97">
              <w:t> </w:t>
            </w:r>
          </w:p>
        </w:tc>
        <w:tc>
          <w:tcPr>
            <w:tcW w:w="237" w:type="pct"/>
            <w:shd w:val="clear" w:color="auto" w:fill="auto"/>
            <w:vAlign w:val="center"/>
          </w:tcPr>
          <w:p w:rsidR="004F1247" w:rsidRDefault="009E26AA" w:rsidP="0025487D">
            <w:pPr>
              <w:pStyle w:val="TableBodyText"/>
              <w:spacing w:before="20"/>
              <w:ind w:right="170"/>
              <w:jc w:val="center"/>
            </w:pPr>
            <w:r w:rsidRPr="004A532E">
              <w:sym w:font="Wingdings" w:char="F0FB"/>
            </w:r>
            <w:r w:rsidR="00950C97">
              <w:rPr>
                <w:rStyle w:val="NoteLabel"/>
                <w:b w:val="0"/>
                <w:position w:val="0"/>
                <w:sz w:val="20"/>
              </w:rPr>
              <w:t> </w:t>
            </w:r>
          </w:p>
        </w:tc>
      </w:tr>
      <w:tr w:rsidR="00950C97" w:rsidTr="002848B6">
        <w:tc>
          <w:tcPr>
            <w:tcW w:w="1386" w:type="pct"/>
            <w:shd w:val="pct15" w:color="auto" w:fill="auto"/>
          </w:tcPr>
          <w:p w:rsidR="004F1247" w:rsidRDefault="004F1247" w:rsidP="007668DA">
            <w:pPr>
              <w:pStyle w:val="TableBodyText"/>
              <w:spacing w:before="20"/>
              <w:jc w:val="left"/>
            </w:pPr>
            <w:r>
              <w:t>National reforms with a COAG RIS</w:t>
            </w:r>
          </w:p>
        </w:tc>
        <w:tc>
          <w:tcPr>
            <w:tcW w:w="309" w:type="pct"/>
            <w:shd w:val="pct15" w:color="auto" w:fill="auto"/>
            <w:vAlign w:val="center"/>
          </w:tcPr>
          <w:p w:rsidR="004F1247" w:rsidRPr="004D3407" w:rsidRDefault="004F1247" w:rsidP="0025487D">
            <w:pPr>
              <w:pStyle w:val="TableBodyText"/>
              <w:spacing w:before="20" w:line="240" w:lineRule="exact"/>
              <w:ind w:left="113"/>
              <w:jc w:val="center"/>
              <w:rPr>
                <w:rStyle w:val="NoteLabel"/>
              </w:rPr>
            </w:pPr>
            <w:r>
              <w:sym w:font="Wingdings" w:char="F0FC"/>
            </w:r>
            <w:r w:rsidR="00B72416">
              <w:rPr>
                <w:rStyle w:val="NoteLabel"/>
              </w:rPr>
              <w:t>l</w:t>
            </w:r>
          </w:p>
        </w:tc>
        <w:tc>
          <w:tcPr>
            <w:tcW w:w="312" w:type="pct"/>
            <w:shd w:val="pct15" w:color="auto" w:fill="auto"/>
            <w:vAlign w:val="center"/>
          </w:tcPr>
          <w:p w:rsidR="004F1247" w:rsidRPr="004D3407" w:rsidRDefault="004F1247" w:rsidP="0025487D">
            <w:pPr>
              <w:pStyle w:val="TableBodyText"/>
              <w:spacing w:before="20" w:line="240" w:lineRule="exact"/>
              <w:ind w:left="113"/>
              <w:jc w:val="center"/>
              <w:rPr>
                <w:rStyle w:val="NoteLabel"/>
              </w:rPr>
            </w:pPr>
            <w:r>
              <w:sym w:font="Wingdings" w:char="F0FC"/>
            </w:r>
            <w:r w:rsidR="00B72416">
              <w:rPr>
                <w:rStyle w:val="NoteLabel"/>
              </w:rPr>
              <w:t>l</w:t>
            </w:r>
          </w:p>
        </w:tc>
        <w:tc>
          <w:tcPr>
            <w:tcW w:w="254" w:type="pct"/>
            <w:shd w:val="pct15" w:color="auto" w:fill="auto"/>
            <w:vAlign w:val="center"/>
          </w:tcPr>
          <w:p w:rsidR="004F1247" w:rsidRPr="0089084B" w:rsidRDefault="004F1247" w:rsidP="0025487D">
            <w:pPr>
              <w:pStyle w:val="TableBodyText"/>
              <w:spacing w:before="20" w:line="240" w:lineRule="exact"/>
              <w:ind w:left="113"/>
              <w:jc w:val="center"/>
              <w:rPr>
                <w:rStyle w:val="NoteLabel"/>
                <w:b w:val="0"/>
                <w:position w:val="0"/>
                <w:sz w:val="20"/>
              </w:rPr>
            </w:pPr>
            <w:r w:rsidRPr="0089084B">
              <w:rPr>
                <w:rStyle w:val="NoteLabel"/>
                <w:b w:val="0"/>
                <w:position w:val="0"/>
                <w:sz w:val="20"/>
              </w:rPr>
              <w:sym w:font="Wingdings" w:char="F0FC"/>
            </w:r>
          </w:p>
        </w:tc>
        <w:tc>
          <w:tcPr>
            <w:tcW w:w="267" w:type="pct"/>
            <w:shd w:val="pct15" w:color="auto" w:fill="auto"/>
            <w:vAlign w:val="center"/>
          </w:tcPr>
          <w:p w:rsidR="004F1247" w:rsidRPr="002E3386" w:rsidRDefault="004F1247" w:rsidP="0025487D">
            <w:pPr>
              <w:pStyle w:val="TableBodyText"/>
              <w:spacing w:before="20" w:line="240" w:lineRule="exact"/>
              <w:ind w:left="113"/>
              <w:jc w:val="center"/>
            </w:pPr>
            <w:r w:rsidRPr="002E3386">
              <w:sym w:font="Wingdings" w:char="F0FC"/>
            </w:r>
            <w:r w:rsidR="00950C97">
              <w:rPr>
                <w:rStyle w:val="NoteLabel"/>
                <w:b w:val="0"/>
                <w:position w:val="0"/>
                <w:sz w:val="20"/>
              </w:rPr>
              <w:t> </w:t>
            </w:r>
          </w:p>
        </w:tc>
        <w:tc>
          <w:tcPr>
            <w:tcW w:w="305" w:type="pct"/>
            <w:shd w:val="pct15" w:color="auto" w:fill="auto"/>
            <w:vAlign w:val="center"/>
          </w:tcPr>
          <w:p w:rsidR="004F1247" w:rsidRDefault="004F1247" w:rsidP="0025487D">
            <w:pPr>
              <w:pStyle w:val="TableBodyText"/>
              <w:spacing w:before="20" w:line="240" w:lineRule="exact"/>
              <w:ind w:left="113"/>
              <w:jc w:val="center"/>
            </w:pPr>
            <w:r>
              <w:sym w:font="Wingdings" w:char="F0FC"/>
            </w:r>
            <w:r w:rsidR="00950C97">
              <w:t> </w:t>
            </w:r>
          </w:p>
        </w:tc>
        <w:tc>
          <w:tcPr>
            <w:tcW w:w="278" w:type="pct"/>
            <w:shd w:val="pct15" w:color="auto" w:fill="auto"/>
            <w:vAlign w:val="center"/>
          </w:tcPr>
          <w:p w:rsidR="004F1247" w:rsidRDefault="004F1247" w:rsidP="0025487D">
            <w:pPr>
              <w:pStyle w:val="TableBodyText"/>
              <w:spacing w:before="20" w:line="240" w:lineRule="exact"/>
              <w:ind w:left="113"/>
              <w:jc w:val="center"/>
            </w:pPr>
            <w:r>
              <w:sym w:font="Wingdings" w:char="F0FC"/>
            </w:r>
            <w:r w:rsidR="00950C97">
              <w:t> </w:t>
            </w:r>
          </w:p>
        </w:tc>
        <w:tc>
          <w:tcPr>
            <w:tcW w:w="287" w:type="pct"/>
            <w:shd w:val="pct15" w:color="auto" w:fill="auto"/>
            <w:vAlign w:val="center"/>
          </w:tcPr>
          <w:p w:rsidR="004F1247" w:rsidRDefault="004F1247" w:rsidP="0025487D">
            <w:pPr>
              <w:pStyle w:val="TableBodyText"/>
              <w:spacing w:before="20" w:line="240" w:lineRule="exact"/>
              <w:ind w:left="113"/>
              <w:jc w:val="center"/>
            </w:pPr>
            <w:r>
              <w:sym w:font="Wingdings" w:char="F0FB"/>
            </w:r>
            <w:r w:rsidR="00950C97">
              <w:t> </w:t>
            </w:r>
          </w:p>
        </w:tc>
        <w:tc>
          <w:tcPr>
            <w:tcW w:w="287" w:type="pct"/>
            <w:shd w:val="pct15" w:color="auto" w:fill="auto"/>
            <w:vAlign w:val="center"/>
          </w:tcPr>
          <w:p w:rsidR="004F1247" w:rsidRDefault="004F1247" w:rsidP="0025487D">
            <w:pPr>
              <w:pStyle w:val="TableBodyText"/>
              <w:spacing w:before="20" w:line="240" w:lineRule="exact"/>
              <w:ind w:left="113"/>
              <w:jc w:val="center"/>
            </w:pPr>
            <w:r>
              <w:sym w:font="Wingdings" w:char="F0FC"/>
            </w:r>
            <w:r w:rsidR="00950C97">
              <w:t> </w:t>
            </w:r>
          </w:p>
        </w:tc>
        <w:tc>
          <w:tcPr>
            <w:tcW w:w="261" w:type="pct"/>
            <w:shd w:val="pct15" w:color="auto" w:fill="auto"/>
            <w:vAlign w:val="center"/>
          </w:tcPr>
          <w:p w:rsidR="004F1247" w:rsidRDefault="004F1247" w:rsidP="0025487D">
            <w:pPr>
              <w:pStyle w:val="TableBodyText"/>
              <w:spacing w:before="20" w:line="240" w:lineRule="exact"/>
              <w:ind w:left="113"/>
              <w:jc w:val="center"/>
            </w:pPr>
            <w:r>
              <w:sym w:font="Wingdings" w:char="F0FC"/>
            </w:r>
          </w:p>
        </w:tc>
        <w:tc>
          <w:tcPr>
            <w:tcW w:w="278" w:type="pct"/>
            <w:shd w:val="pct15" w:color="auto" w:fill="auto"/>
            <w:vAlign w:val="center"/>
          </w:tcPr>
          <w:p w:rsidR="004F1247" w:rsidRDefault="004F1247" w:rsidP="0025487D">
            <w:pPr>
              <w:pStyle w:val="TableBodyText"/>
              <w:spacing w:before="20" w:line="240" w:lineRule="exact"/>
              <w:ind w:left="113"/>
              <w:jc w:val="center"/>
            </w:pPr>
            <w:r>
              <w:sym w:font="Wingdings" w:char="F0FC"/>
            </w:r>
            <w:r w:rsidR="00950C97">
              <w:t> </w:t>
            </w:r>
          </w:p>
        </w:tc>
        <w:tc>
          <w:tcPr>
            <w:tcW w:w="261" w:type="pct"/>
            <w:shd w:val="pct15" w:color="auto" w:fill="auto"/>
            <w:vAlign w:val="center"/>
          </w:tcPr>
          <w:p w:rsidR="004F1247" w:rsidRDefault="004F1247" w:rsidP="0025487D">
            <w:pPr>
              <w:pStyle w:val="TableBodyText"/>
              <w:spacing w:before="20" w:line="240" w:lineRule="exact"/>
              <w:ind w:left="113"/>
              <w:jc w:val="center"/>
            </w:pPr>
            <w:r>
              <w:sym w:font="Wingdings" w:char="F0FB"/>
            </w:r>
          </w:p>
        </w:tc>
        <w:tc>
          <w:tcPr>
            <w:tcW w:w="278" w:type="pct"/>
            <w:shd w:val="pct15" w:color="auto" w:fill="auto"/>
            <w:vAlign w:val="center"/>
          </w:tcPr>
          <w:p w:rsidR="004F1247" w:rsidRDefault="00950C97" w:rsidP="0025487D">
            <w:pPr>
              <w:pStyle w:val="TableBodyText"/>
              <w:spacing w:before="20" w:line="240" w:lineRule="exact"/>
              <w:ind w:left="113"/>
              <w:jc w:val="center"/>
            </w:pPr>
            <w:r w:rsidRPr="001F13F1">
              <w:sym w:font="Wingdings" w:char="F0FC"/>
            </w:r>
            <w:r>
              <w:t> </w:t>
            </w:r>
          </w:p>
        </w:tc>
        <w:tc>
          <w:tcPr>
            <w:tcW w:w="237" w:type="pct"/>
            <w:shd w:val="pct15" w:color="auto" w:fill="auto"/>
            <w:vAlign w:val="center"/>
          </w:tcPr>
          <w:p w:rsidR="004F1247" w:rsidRPr="009E26AA" w:rsidRDefault="009E26AA" w:rsidP="0025487D">
            <w:pPr>
              <w:pStyle w:val="TableBodyText"/>
              <w:spacing w:before="20"/>
              <w:ind w:right="28"/>
              <w:jc w:val="center"/>
              <w:rPr>
                <w:rStyle w:val="NoteLabel"/>
              </w:rPr>
            </w:pPr>
            <w:r w:rsidRPr="004A532E">
              <w:sym w:font="Wingdings" w:char="F0FB"/>
            </w:r>
            <w:r>
              <w:rPr>
                <w:rStyle w:val="NoteLabel"/>
              </w:rPr>
              <w:t>m</w:t>
            </w:r>
          </w:p>
        </w:tc>
      </w:tr>
      <w:tr w:rsidR="00950C97" w:rsidTr="002848B6">
        <w:tc>
          <w:tcPr>
            <w:tcW w:w="1386" w:type="pct"/>
            <w:shd w:val="clear" w:color="auto" w:fill="auto"/>
          </w:tcPr>
          <w:p w:rsidR="004F1247" w:rsidRPr="00CF68A8" w:rsidRDefault="004F1247" w:rsidP="007668DA">
            <w:pPr>
              <w:pStyle w:val="TableBodyText"/>
              <w:spacing w:before="20"/>
              <w:jc w:val="left"/>
              <w:rPr>
                <w:rStyle w:val="NoteLabel"/>
                <w:b w:val="0"/>
              </w:rPr>
            </w:pPr>
            <w:r w:rsidRPr="00147CD2">
              <w:t>Substantially uniform or complementary matters of another Australian jurisdictio</w:t>
            </w:r>
            <w:r>
              <w:t>n</w:t>
            </w:r>
          </w:p>
        </w:tc>
        <w:tc>
          <w:tcPr>
            <w:tcW w:w="309" w:type="pct"/>
            <w:shd w:val="clear" w:color="auto" w:fill="auto"/>
            <w:vAlign w:val="center"/>
          </w:tcPr>
          <w:p w:rsidR="004F1247" w:rsidRPr="0052333C" w:rsidRDefault="004F1247" w:rsidP="0025487D">
            <w:pPr>
              <w:pStyle w:val="TableBodyText"/>
              <w:spacing w:before="20" w:line="240" w:lineRule="exact"/>
              <w:ind w:left="113"/>
              <w:jc w:val="center"/>
            </w:pPr>
            <w:r w:rsidRPr="0052333C">
              <w:sym w:font="Wingdings" w:char="F0FB"/>
            </w:r>
            <w:r w:rsidR="00950C97">
              <w:rPr>
                <w:rStyle w:val="NoteLabel"/>
                <w:b w:val="0"/>
                <w:position w:val="0"/>
                <w:sz w:val="20"/>
              </w:rPr>
              <w:t> </w:t>
            </w:r>
          </w:p>
        </w:tc>
        <w:tc>
          <w:tcPr>
            <w:tcW w:w="312" w:type="pct"/>
            <w:shd w:val="clear" w:color="auto" w:fill="auto"/>
            <w:vAlign w:val="center"/>
          </w:tcPr>
          <w:p w:rsidR="004F1247" w:rsidRPr="0052333C" w:rsidRDefault="004F1247" w:rsidP="0025487D">
            <w:pPr>
              <w:pStyle w:val="TableBodyText"/>
              <w:spacing w:before="20" w:line="240" w:lineRule="exact"/>
              <w:ind w:left="113"/>
              <w:jc w:val="center"/>
            </w:pPr>
            <w:r w:rsidRPr="0052333C">
              <w:sym w:font="Wingdings" w:char="F0FC"/>
            </w:r>
            <w:r w:rsidR="00950C97">
              <w:rPr>
                <w:rStyle w:val="NoteLabel"/>
                <w:b w:val="0"/>
                <w:position w:val="0"/>
                <w:sz w:val="20"/>
              </w:rPr>
              <w:t> </w:t>
            </w:r>
          </w:p>
        </w:tc>
        <w:tc>
          <w:tcPr>
            <w:tcW w:w="254" w:type="pct"/>
            <w:shd w:val="clear" w:color="auto" w:fill="auto"/>
            <w:vAlign w:val="center"/>
          </w:tcPr>
          <w:p w:rsidR="004F1247" w:rsidRPr="0089084B" w:rsidRDefault="004F1247" w:rsidP="0025487D">
            <w:pPr>
              <w:pStyle w:val="TableBodyText"/>
              <w:spacing w:before="20" w:line="240" w:lineRule="exact"/>
              <w:ind w:left="113"/>
              <w:jc w:val="center"/>
              <w:rPr>
                <w:rStyle w:val="NoteLabel"/>
                <w:b w:val="0"/>
                <w:position w:val="0"/>
                <w:sz w:val="20"/>
              </w:rPr>
            </w:pPr>
            <w:r w:rsidRPr="0089084B">
              <w:rPr>
                <w:rStyle w:val="NoteLabel"/>
                <w:b w:val="0"/>
                <w:position w:val="0"/>
                <w:sz w:val="20"/>
              </w:rPr>
              <w:sym w:font="Wingdings" w:char="F0FB"/>
            </w:r>
          </w:p>
        </w:tc>
        <w:tc>
          <w:tcPr>
            <w:tcW w:w="267" w:type="pct"/>
            <w:shd w:val="clear" w:color="auto" w:fill="auto"/>
            <w:vAlign w:val="center"/>
          </w:tcPr>
          <w:p w:rsidR="004F1247" w:rsidRPr="00147CD2" w:rsidRDefault="004F1247" w:rsidP="0025487D">
            <w:pPr>
              <w:pStyle w:val="TableBodyText"/>
              <w:spacing w:before="20" w:line="240" w:lineRule="exact"/>
              <w:ind w:left="113"/>
              <w:jc w:val="center"/>
              <w:rPr>
                <w:rStyle w:val="NoteLabel"/>
              </w:rPr>
            </w:pPr>
            <w:r>
              <w:sym w:font="Wingdings" w:char="F0FB"/>
            </w:r>
            <w:r w:rsidR="003B579D">
              <w:rPr>
                <w:rStyle w:val="NoteLabel"/>
              </w:rPr>
              <w:t>n</w:t>
            </w:r>
          </w:p>
        </w:tc>
        <w:tc>
          <w:tcPr>
            <w:tcW w:w="305" w:type="pct"/>
            <w:shd w:val="clear" w:color="auto" w:fill="auto"/>
            <w:vAlign w:val="center"/>
          </w:tcPr>
          <w:p w:rsidR="004F1247" w:rsidRPr="0052333C" w:rsidRDefault="004F1247" w:rsidP="0025487D">
            <w:pPr>
              <w:pStyle w:val="TableBodyText"/>
              <w:spacing w:before="20" w:line="240" w:lineRule="exact"/>
              <w:ind w:left="113"/>
              <w:jc w:val="center"/>
            </w:pPr>
            <w:r w:rsidRPr="0052333C">
              <w:sym w:font="Wingdings" w:char="F0FB"/>
            </w:r>
            <w:r w:rsidR="00950C97">
              <w:t> </w:t>
            </w:r>
          </w:p>
        </w:tc>
        <w:tc>
          <w:tcPr>
            <w:tcW w:w="278" w:type="pct"/>
            <w:shd w:val="clear" w:color="auto" w:fill="auto"/>
            <w:vAlign w:val="center"/>
          </w:tcPr>
          <w:p w:rsidR="004F1247" w:rsidRPr="0052333C" w:rsidRDefault="004F1247" w:rsidP="0025487D">
            <w:pPr>
              <w:pStyle w:val="TableBodyText"/>
              <w:spacing w:before="20" w:line="240" w:lineRule="exact"/>
              <w:ind w:left="113"/>
              <w:jc w:val="center"/>
            </w:pPr>
            <w:r w:rsidRPr="0052333C">
              <w:sym w:font="Wingdings" w:char="F0FC"/>
            </w:r>
            <w:r w:rsidR="00950C97">
              <w:t> </w:t>
            </w:r>
          </w:p>
        </w:tc>
        <w:tc>
          <w:tcPr>
            <w:tcW w:w="287" w:type="pct"/>
            <w:shd w:val="clear" w:color="auto" w:fill="auto"/>
            <w:vAlign w:val="center"/>
          </w:tcPr>
          <w:p w:rsidR="004F1247" w:rsidRPr="0052333C" w:rsidRDefault="004F1247" w:rsidP="0025487D">
            <w:pPr>
              <w:pStyle w:val="TableBodyText"/>
              <w:spacing w:before="20" w:line="240" w:lineRule="exact"/>
              <w:ind w:left="113"/>
              <w:jc w:val="center"/>
            </w:pPr>
            <w:r w:rsidRPr="0052333C">
              <w:sym w:font="Wingdings" w:char="F0FB"/>
            </w:r>
            <w:r w:rsidR="00950C97">
              <w:t> </w:t>
            </w:r>
          </w:p>
        </w:tc>
        <w:tc>
          <w:tcPr>
            <w:tcW w:w="287" w:type="pct"/>
            <w:shd w:val="clear" w:color="auto" w:fill="auto"/>
            <w:vAlign w:val="center"/>
          </w:tcPr>
          <w:p w:rsidR="004F1247" w:rsidRPr="0052333C" w:rsidRDefault="004F1247" w:rsidP="0025487D">
            <w:pPr>
              <w:pStyle w:val="TableBodyText"/>
              <w:spacing w:before="20" w:line="240" w:lineRule="exact"/>
              <w:ind w:left="113"/>
              <w:jc w:val="center"/>
            </w:pPr>
            <w:r w:rsidRPr="0052333C">
              <w:sym w:font="Wingdings" w:char="F0FB"/>
            </w:r>
            <w:r w:rsidR="00950C97">
              <w:t> </w:t>
            </w:r>
          </w:p>
        </w:tc>
        <w:tc>
          <w:tcPr>
            <w:tcW w:w="261" w:type="pct"/>
            <w:shd w:val="clear" w:color="auto" w:fill="auto"/>
            <w:vAlign w:val="center"/>
          </w:tcPr>
          <w:p w:rsidR="004F1247" w:rsidRPr="0052333C" w:rsidRDefault="004F1247" w:rsidP="0025487D">
            <w:pPr>
              <w:pStyle w:val="TableBodyText"/>
              <w:spacing w:before="20" w:line="240" w:lineRule="exact"/>
              <w:ind w:left="113"/>
              <w:jc w:val="center"/>
            </w:pPr>
            <w:r w:rsidRPr="0052333C">
              <w:sym w:font="Wingdings" w:char="F0FB"/>
            </w:r>
          </w:p>
        </w:tc>
        <w:tc>
          <w:tcPr>
            <w:tcW w:w="278" w:type="pct"/>
            <w:shd w:val="clear" w:color="auto" w:fill="auto"/>
            <w:vAlign w:val="center"/>
          </w:tcPr>
          <w:p w:rsidR="004F1247" w:rsidRPr="0052333C" w:rsidRDefault="004F1247" w:rsidP="0025487D">
            <w:pPr>
              <w:pStyle w:val="TableBodyText"/>
              <w:spacing w:before="20" w:line="240" w:lineRule="exact"/>
              <w:ind w:left="113"/>
              <w:jc w:val="center"/>
            </w:pPr>
            <w:r w:rsidRPr="0052333C">
              <w:sym w:font="Wingdings" w:char="F0FC"/>
            </w:r>
            <w:r w:rsidR="00950C97">
              <w:t> </w:t>
            </w:r>
          </w:p>
        </w:tc>
        <w:tc>
          <w:tcPr>
            <w:tcW w:w="261" w:type="pct"/>
            <w:shd w:val="clear" w:color="auto" w:fill="auto"/>
            <w:vAlign w:val="center"/>
          </w:tcPr>
          <w:p w:rsidR="004F1247" w:rsidRPr="0052333C" w:rsidRDefault="004F1247" w:rsidP="0025487D">
            <w:pPr>
              <w:pStyle w:val="TableBodyText"/>
              <w:spacing w:before="20" w:line="240" w:lineRule="exact"/>
              <w:ind w:left="113"/>
              <w:jc w:val="center"/>
            </w:pPr>
            <w:r w:rsidRPr="0052333C">
              <w:sym w:font="Wingdings" w:char="F0FB"/>
            </w:r>
          </w:p>
        </w:tc>
        <w:tc>
          <w:tcPr>
            <w:tcW w:w="278" w:type="pct"/>
            <w:shd w:val="clear" w:color="auto" w:fill="auto"/>
            <w:vAlign w:val="center"/>
          </w:tcPr>
          <w:p w:rsidR="004F1247" w:rsidRPr="0052333C" w:rsidRDefault="00950C97" w:rsidP="0025487D">
            <w:pPr>
              <w:pStyle w:val="TableBodyText"/>
              <w:spacing w:before="20" w:line="240" w:lineRule="exact"/>
              <w:ind w:left="113"/>
              <w:jc w:val="center"/>
            </w:pPr>
            <w:r>
              <w:t> </w:t>
            </w:r>
          </w:p>
        </w:tc>
        <w:tc>
          <w:tcPr>
            <w:tcW w:w="237" w:type="pct"/>
            <w:shd w:val="clear" w:color="auto" w:fill="auto"/>
            <w:vAlign w:val="center"/>
          </w:tcPr>
          <w:p w:rsidR="004F1247" w:rsidRDefault="0016127E" w:rsidP="0025487D">
            <w:pPr>
              <w:pStyle w:val="TableBodyText"/>
              <w:spacing w:before="20"/>
              <w:ind w:right="170"/>
              <w:jc w:val="center"/>
            </w:pPr>
            <w:r w:rsidRPr="004A532E">
              <w:sym w:font="Wingdings" w:char="F0FB"/>
            </w:r>
            <w:r w:rsidR="00950C97">
              <w:rPr>
                <w:rStyle w:val="NoteLabel"/>
                <w:b w:val="0"/>
                <w:position w:val="0"/>
                <w:sz w:val="20"/>
              </w:rPr>
              <w:t> </w:t>
            </w:r>
          </w:p>
        </w:tc>
      </w:tr>
      <w:tr w:rsidR="00950C97" w:rsidTr="00903070">
        <w:tc>
          <w:tcPr>
            <w:tcW w:w="1386" w:type="pct"/>
            <w:shd w:val="pct15" w:color="auto" w:fill="auto"/>
          </w:tcPr>
          <w:p w:rsidR="004F1247" w:rsidRDefault="004F1247" w:rsidP="007668DA">
            <w:pPr>
              <w:pStyle w:val="TableBodyText"/>
              <w:spacing w:before="20"/>
              <w:jc w:val="left"/>
            </w:pPr>
            <w:r>
              <w:t xml:space="preserve">Adoption of international or Australian standards </w:t>
            </w:r>
            <w:r w:rsidR="00950C97">
              <w:br/>
            </w:r>
            <w:r>
              <w:t>or codes of practice, where an assessment of the costs and benefits has already been made</w:t>
            </w:r>
          </w:p>
        </w:tc>
        <w:tc>
          <w:tcPr>
            <w:tcW w:w="309" w:type="pct"/>
            <w:shd w:val="pct15" w:color="auto" w:fill="auto"/>
            <w:vAlign w:val="center"/>
          </w:tcPr>
          <w:p w:rsidR="004F1247" w:rsidRPr="004A66D6" w:rsidRDefault="004F1247" w:rsidP="0025487D">
            <w:pPr>
              <w:pStyle w:val="TableBodyText"/>
              <w:spacing w:before="20" w:line="240" w:lineRule="exact"/>
              <w:ind w:left="113"/>
              <w:jc w:val="center"/>
            </w:pPr>
            <w:r w:rsidRPr="004A66D6">
              <w:sym w:font="Wingdings" w:char="F0FB"/>
            </w:r>
            <w:r w:rsidR="00950C97">
              <w:rPr>
                <w:rStyle w:val="NoteLabel"/>
                <w:b w:val="0"/>
                <w:position w:val="0"/>
                <w:sz w:val="20"/>
              </w:rPr>
              <w:t> </w:t>
            </w:r>
          </w:p>
        </w:tc>
        <w:tc>
          <w:tcPr>
            <w:tcW w:w="312" w:type="pct"/>
            <w:shd w:val="pct15" w:color="auto" w:fill="auto"/>
            <w:vAlign w:val="center"/>
          </w:tcPr>
          <w:p w:rsidR="004F1247" w:rsidRPr="004A66D6" w:rsidRDefault="004F1247" w:rsidP="0025487D">
            <w:pPr>
              <w:pStyle w:val="TableBodyText"/>
              <w:spacing w:before="20" w:line="240" w:lineRule="exact"/>
              <w:ind w:left="113"/>
              <w:jc w:val="center"/>
              <w:rPr>
                <w:rStyle w:val="NoteLabel"/>
                <w:b w:val="0"/>
                <w:position w:val="0"/>
                <w:sz w:val="20"/>
              </w:rPr>
            </w:pPr>
            <w:r w:rsidRPr="004A66D6">
              <w:rPr>
                <w:rStyle w:val="NoteLabel"/>
                <w:b w:val="0"/>
                <w:position w:val="0"/>
                <w:sz w:val="20"/>
              </w:rPr>
              <w:sym w:font="Wingdings" w:char="F0FC"/>
            </w:r>
            <w:r w:rsidR="00950C97">
              <w:rPr>
                <w:rStyle w:val="NoteLabel"/>
                <w:b w:val="0"/>
                <w:position w:val="0"/>
                <w:sz w:val="20"/>
              </w:rPr>
              <w:t> </w:t>
            </w:r>
          </w:p>
        </w:tc>
        <w:tc>
          <w:tcPr>
            <w:tcW w:w="254" w:type="pct"/>
            <w:shd w:val="pct15" w:color="auto" w:fill="auto"/>
            <w:vAlign w:val="center"/>
          </w:tcPr>
          <w:p w:rsidR="004F1247" w:rsidRPr="004A66D6" w:rsidRDefault="004F1247" w:rsidP="0025487D">
            <w:pPr>
              <w:pStyle w:val="TableBodyText"/>
              <w:spacing w:before="20" w:line="240" w:lineRule="exact"/>
              <w:ind w:left="113"/>
              <w:jc w:val="center"/>
              <w:rPr>
                <w:rStyle w:val="NoteLabel"/>
                <w:b w:val="0"/>
                <w:position w:val="0"/>
                <w:sz w:val="20"/>
              </w:rPr>
            </w:pPr>
            <w:r w:rsidRPr="004A66D6">
              <w:rPr>
                <w:rStyle w:val="NoteLabel"/>
                <w:b w:val="0"/>
                <w:position w:val="0"/>
                <w:sz w:val="20"/>
              </w:rPr>
              <w:sym w:font="Wingdings" w:char="F0FB"/>
            </w:r>
          </w:p>
        </w:tc>
        <w:tc>
          <w:tcPr>
            <w:tcW w:w="267" w:type="pct"/>
            <w:shd w:val="pct15" w:color="auto" w:fill="auto"/>
            <w:vAlign w:val="center"/>
          </w:tcPr>
          <w:p w:rsidR="004F1247" w:rsidRPr="004A66D6" w:rsidRDefault="004F1247" w:rsidP="0025487D">
            <w:pPr>
              <w:pStyle w:val="TableBodyText"/>
              <w:spacing w:before="20" w:line="240" w:lineRule="exact"/>
              <w:ind w:left="113"/>
              <w:jc w:val="center"/>
            </w:pPr>
            <w:r w:rsidRPr="004A66D6">
              <w:sym w:font="Wingdings" w:char="F0FB"/>
            </w:r>
            <w:r w:rsidR="00950C97">
              <w:rPr>
                <w:rStyle w:val="NoteLabel"/>
                <w:b w:val="0"/>
                <w:position w:val="0"/>
                <w:sz w:val="20"/>
              </w:rPr>
              <w:t> </w:t>
            </w:r>
          </w:p>
        </w:tc>
        <w:tc>
          <w:tcPr>
            <w:tcW w:w="305" w:type="pct"/>
            <w:shd w:val="pct15" w:color="auto" w:fill="auto"/>
            <w:vAlign w:val="center"/>
          </w:tcPr>
          <w:p w:rsidR="004F1247" w:rsidRPr="004A66D6" w:rsidRDefault="004F1247" w:rsidP="0025487D">
            <w:pPr>
              <w:pStyle w:val="TableBodyText"/>
              <w:spacing w:before="20" w:line="240" w:lineRule="exact"/>
              <w:ind w:left="113"/>
              <w:jc w:val="center"/>
            </w:pPr>
            <w:r w:rsidRPr="004A66D6">
              <w:rPr>
                <w:rStyle w:val="NoteLabel"/>
                <w:b w:val="0"/>
                <w:position w:val="0"/>
                <w:sz w:val="20"/>
              </w:rPr>
              <w:sym w:font="Wingdings" w:char="F0FC"/>
            </w:r>
            <w:r w:rsidR="00950C97">
              <w:rPr>
                <w:rStyle w:val="NoteLabel"/>
                <w:b w:val="0"/>
                <w:position w:val="0"/>
                <w:sz w:val="20"/>
              </w:rPr>
              <w:t> </w:t>
            </w:r>
          </w:p>
        </w:tc>
        <w:tc>
          <w:tcPr>
            <w:tcW w:w="278" w:type="pct"/>
            <w:shd w:val="pct15" w:color="auto" w:fill="auto"/>
            <w:vAlign w:val="center"/>
          </w:tcPr>
          <w:p w:rsidR="004F1247" w:rsidRPr="004A66D6" w:rsidRDefault="004F1247" w:rsidP="0025487D">
            <w:pPr>
              <w:pStyle w:val="TableBodyText"/>
              <w:spacing w:before="20" w:line="240" w:lineRule="exact"/>
              <w:ind w:left="113"/>
              <w:jc w:val="center"/>
            </w:pPr>
            <w:r w:rsidRPr="004A66D6">
              <w:rPr>
                <w:rStyle w:val="NoteLabel"/>
                <w:b w:val="0"/>
                <w:position w:val="0"/>
                <w:sz w:val="20"/>
              </w:rPr>
              <w:sym w:font="Wingdings" w:char="F0FC"/>
            </w:r>
            <w:r w:rsidR="00950C97">
              <w:rPr>
                <w:rStyle w:val="NoteLabel"/>
                <w:b w:val="0"/>
                <w:position w:val="0"/>
                <w:sz w:val="20"/>
              </w:rPr>
              <w:t> </w:t>
            </w:r>
          </w:p>
        </w:tc>
        <w:tc>
          <w:tcPr>
            <w:tcW w:w="287" w:type="pct"/>
            <w:shd w:val="pct15" w:color="auto" w:fill="auto"/>
            <w:vAlign w:val="center"/>
          </w:tcPr>
          <w:p w:rsidR="004F1247" w:rsidRPr="004A66D6" w:rsidRDefault="004F1247" w:rsidP="0025487D">
            <w:pPr>
              <w:pStyle w:val="TableBodyText"/>
              <w:spacing w:before="20" w:line="240" w:lineRule="exact"/>
              <w:ind w:left="113"/>
              <w:jc w:val="center"/>
            </w:pPr>
            <w:r w:rsidRPr="004A66D6">
              <w:rPr>
                <w:rStyle w:val="NoteLabel"/>
                <w:b w:val="0"/>
                <w:position w:val="0"/>
                <w:sz w:val="20"/>
              </w:rPr>
              <w:sym w:font="Wingdings" w:char="F0FC"/>
            </w:r>
            <w:r w:rsidR="00950C97">
              <w:t> </w:t>
            </w:r>
          </w:p>
        </w:tc>
        <w:tc>
          <w:tcPr>
            <w:tcW w:w="287" w:type="pct"/>
            <w:shd w:val="pct15" w:color="auto" w:fill="auto"/>
            <w:vAlign w:val="center"/>
          </w:tcPr>
          <w:p w:rsidR="004F1247" w:rsidRPr="004A66D6" w:rsidRDefault="004F1247" w:rsidP="0025487D">
            <w:pPr>
              <w:pStyle w:val="TableBodyText"/>
              <w:spacing w:before="20" w:line="240" w:lineRule="exact"/>
              <w:ind w:left="113"/>
              <w:jc w:val="center"/>
            </w:pPr>
            <w:r w:rsidRPr="004A66D6">
              <w:sym w:font="Wingdings" w:char="F0FB"/>
            </w:r>
            <w:r w:rsidR="00950C97">
              <w:t> </w:t>
            </w:r>
          </w:p>
        </w:tc>
        <w:tc>
          <w:tcPr>
            <w:tcW w:w="261" w:type="pct"/>
            <w:shd w:val="pct15" w:color="auto" w:fill="auto"/>
            <w:vAlign w:val="center"/>
          </w:tcPr>
          <w:p w:rsidR="004F1247" w:rsidRPr="004A66D6" w:rsidRDefault="004F1247" w:rsidP="0025487D">
            <w:pPr>
              <w:pStyle w:val="TableBodyText"/>
              <w:spacing w:before="20" w:line="240" w:lineRule="exact"/>
              <w:ind w:left="113"/>
              <w:jc w:val="center"/>
            </w:pPr>
            <w:r w:rsidRPr="004A66D6">
              <w:sym w:font="Wingdings" w:char="F0FB"/>
            </w:r>
          </w:p>
        </w:tc>
        <w:tc>
          <w:tcPr>
            <w:tcW w:w="278" w:type="pct"/>
            <w:shd w:val="pct15" w:color="auto" w:fill="auto"/>
            <w:vAlign w:val="center"/>
          </w:tcPr>
          <w:p w:rsidR="004F1247" w:rsidRPr="004A66D6" w:rsidRDefault="004F1247" w:rsidP="0025487D">
            <w:pPr>
              <w:pStyle w:val="TableBodyText"/>
              <w:spacing w:before="20" w:line="240" w:lineRule="exact"/>
              <w:ind w:left="113"/>
              <w:jc w:val="center"/>
            </w:pPr>
            <w:r w:rsidRPr="004A66D6">
              <w:rPr>
                <w:rStyle w:val="NoteLabel"/>
                <w:b w:val="0"/>
                <w:position w:val="0"/>
                <w:sz w:val="20"/>
              </w:rPr>
              <w:sym w:font="Wingdings" w:char="F0FC"/>
            </w:r>
            <w:r w:rsidR="00950C97">
              <w:t> </w:t>
            </w:r>
          </w:p>
        </w:tc>
        <w:tc>
          <w:tcPr>
            <w:tcW w:w="261" w:type="pct"/>
            <w:shd w:val="pct15" w:color="auto" w:fill="auto"/>
            <w:vAlign w:val="center"/>
          </w:tcPr>
          <w:p w:rsidR="004F1247" w:rsidRPr="004A66D6" w:rsidRDefault="004F1247" w:rsidP="0025487D">
            <w:pPr>
              <w:pStyle w:val="TableBodyText"/>
              <w:spacing w:before="20" w:line="240" w:lineRule="exact"/>
              <w:ind w:left="113"/>
              <w:jc w:val="center"/>
            </w:pPr>
            <w:r w:rsidRPr="004A66D6">
              <w:sym w:font="Wingdings" w:char="F0FB"/>
            </w:r>
          </w:p>
        </w:tc>
        <w:tc>
          <w:tcPr>
            <w:tcW w:w="278" w:type="pct"/>
            <w:shd w:val="pct15" w:color="auto" w:fill="auto"/>
            <w:vAlign w:val="center"/>
          </w:tcPr>
          <w:p w:rsidR="004F1247" w:rsidRPr="004A66D6" w:rsidRDefault="004F1247" w:rsidP="0025487D">
            <w:pPr>
              <w:pStyle w:val="TableBodyText"/>
              <w:spacing w:before="20" w:line="240" w:lineRule="exact"/>
              <w:ind w:left="113"/>
              <w:jc w:val="center"/>
            </w:pPr>
            <w:r w:rsidRPr="004A66D6">
              <w:rPr>
                <w:rStyle w:val="NoteLabel"/>
                <w:b w:val="0"/>
                <w:position w:val="0"/>
                <w:sz w:val="20"/>
              </w:rPr>
              <w:sym w:font="Wingdings" w:char="F0FC"/>
            </w:r>
            <w:r w:rsidR="00950C97">
              <w:rPr>
                <w:rStyle w:val="NoteLabel"/>
                <w:b w:val="0"/>
                <w:position w:val="0"/>
                <w:sz w:val="20"/>
              </w:rPr>
              <w:t> </w:t>
            </w:r>
          </w:p>
        </w:tc>
        <w:tc>
          <w:tcPr>
            <w:tcW w:w="237" w:type="pct"/>
            <w:shd w:val="pct15" w:color="auto" w:fill="auto"/>
            <w:vAlign w:val="center"/>
          </w:tcPr>
          <w:p w:rsidR="004F1247" w:rsidRDefault="0016127E" w:rsidP="0025487D">
            <w:pPr>
              <w:pStyle w:val="TableBodyText"/>
              <w:spacing w:before="20"/>
              <w:ind w:right="170"/>
              <w:jc w:val="center"/>
            </w:pPr>
            <w:r w:rsidRPr="004A532E">
              <w:sym w:font="Wingdings" w:char="F0FB"/>
            </w:r>
            <w:r w:rsidR="00950C97">
              <w:rPr>
                <w:rStyle w:val="NoteLabel"/>
                <w:b w:val="0"/>
                <w:position w:val="0"/>
                <w:sz w:val="20"/>
              </w:rPr>
              <w:t> </w:t>
            </w:r>
          </w:p>
        </w:tc>
      </w:tr>
      <w:tr w:rsidR="00950C97" w:rsidTr="00903070">
        <w:tc>
          <w:tcPr>
            <w:tcW w:w="1386" w:type="pct"/>
            <w:tcBorders>
              <w:bottom w:val="single" w:sz="4" w:space="0" w:color="auto"/>
            </w:tcBorders>
            <w:shd w:val="clear" w:color="auto" w:fill="auto"/>
          </w:tcPr>
          <w:p w:rsidR="004F1247" w:rsidRPr="005A4BD7" w:rsidRDefault="004F1247" w:rsidP="007668DA">
            <w:pPr>
              <w:pStyle w:val="TableBodyText"/>
              <w:spacing w:before="20"/>
              <w:jc w:val="left"/>
            </w:pPr>
            <w:r w:rsidRPr="005A4BD7">
              <w:t xml:space="preserve">Notice of the proposed regulation would render </w:t>
            </w:r>
            <w:r w:rsidR="00950C97">
              <w:br/>
            </w:r>
            <w:r>
              <w:t>it</w:t>
            </w:r>
            <w:r w:rsidRPr="005A4BD7">
              <w:t xml:space="preserve"> ineffective or </w:t>
            </w:r>
            <w:r>
              <w:t>provide unfair advantage/</w:t>
            </w:r>
            <w:r w:rsidR="00904E5E">
              <w:t xml:space="preserve"> </w:t>
            </w:r>
            <w:r>
              <w:t>disadvantage</w:t>
            </w:r>
          </w:p>
        </w:tc>
        <w:tc>
          <w:tcPr>
            <w:tcW w:w="309" w:type="pct"/>
            <w:tcBorders>
              <w:bottom w:val="single" w:sz="4" w:space="0" w:color="auto"/>
            </w:tcBorders>
            <w:shd w:val="clear" w:color="auto" w:fill="auto"/>
            <w:vAlign w:val="center"/>
          </w:tcPr>
          <w:p w:rsidR="004F1247" w:rsidRPr="004A66D6" w:rsidRDefault="004F1247" w:rsidP="0025487D">
            <w:pPr>
              <w:pStyle w:val="TableBodyText"/>
              <w:spacing w:before="20" w:line="240" w:lineRule="exact"/>
              <w:ind w:left="113"/>
              <w:jc w:val="center"/>
              <w:rPr>
                <w:rStyle w:val="NoteLabel"/>
                <w:b w:val="0"/>
                <w:position w:val="0"/>
                <w:sz w:val="20"/>
              </w:rPr>
            </w:pPr>
            <w:r w:rsidRPr="004A66D6">
              <w:rPr>
                <w:rStyle w:val="NoteLabel"/>
                <w:b w:val="0"/>
                <w:position w:val="0"/>
                <w:sz w:val="20"/>
              </w:rPr>
              <w:sym w:font="Wingdings" w:char="F0FB"/>
            </w:r>
            <w:r w:rsidR="00950C97">
              <w:rPr>
                <w:rStyle w:val="NoteLabel"/>
                <w:b w:val="0"/>
                <w:position w:val="0"/>
                <w:sz w:val="20"/>
              </w:rPr>
              <w:t> </w:t>
            </w:r>
          </w:p>
        </w:tc>
        <w:tc>
          <w:tcPr>
            <w:tcW w:w="312" w:type="pct"/>
            <w:tcBorders>
              <w:bottom w:val="single" w:sz="4" w:space="0" w:color="auto"/>
            </w:tcBorders>
            <w:shd w:val="clear" w:color="auto" w:fill="auto"/>
            <w:vAlign w:val="center"/>
          </w:tcPr>
          <w:p w:rsidR="004F1247" w:rsidRPr="004A66D6" w:rsidRDefault="004F1247" w:rsidP="0025487D">
            <w:pPr>
              <w:pStyle w:val="TableBodyText"/>
              <w:spacing w:before="20" w:line="240" w:lineRule="exact"/>
              <w:ind w:left="113"/>
              <w:jc w:val="center"/>
              <w:rPr>
                <w:rStyle w:val="NoteLabel"/>
                <w:b w:val="0"/>
                <w:position w:val="0"/>
                <w:sz w:val="20"/>
              </w:rPr>
            </w:pPr>
            <w:r w:rsidRPr="004A66D6">
              <w:rPr>
                <w:rStyle w:val="NoteLabel"/>
                <w:b w:val="0"/>
                <w:position w:val="0"/>
                <w:sz w:val="20"/>
              </w:rPr>
              <w:sym w:font="Wingdings" w:char="F0FB"/>
            </w:r>
            <w:r w:rsidR="00950C97">
              <w:rPr>
                <w:rStyle w:val="NoteLabel"/>
                <w:b w:val="0"/>
                <w:position w:val="0"/>
                <w:sz w:val="20"/>
              </w:rPr>
              <w:t> </w:t>
            </w:r>
          </w:p>
        </w:tc>
        <w:tc>
          <w:tcPr>
            <w:tcW w:w="254" w:type="pct"/>
            <w:tcBorders>
              <w:bottom w:val="single" w:sz="4" w:space="0" w:color="auto"/>
            </w:tcBorders>
            <w:shd w:val="clear" w:color="auto" w:fill="auto"/>
            <w:vAlign w:val="center"/>
          </w:tcPr>
          <w:p w:rsidR="004F1247" w:rsidRPr="004A66D6" w:rsidRDefault="004F1247" w:rsidP="0025487D">
            <w:pPr>
              <w:pStyle w:val="TableBodyText"/>
              <w:spacing w:before="20" w:line="240" w:lineRule="exact"/>
              <w:ind w:left="113"/>
              <w:jc w:val="center"/>
              <w:rPr>
                <w:rStyle w:val="NoteLabel"/>
                <w:b w:val="0"/>
                <w:position w:val="0"/>
                <w:sz w:val="20"/>
              </w:rPr>
            </w:pPr>
            <w:r w:rsidRPr="004A66D6">
              <w:rPr>
                <w:rStyle w:val="NoteLabel"/>
                <w:b w:val="0"/>
                <w:position w:val="0"/>
                <w:sz w:val="20"/>
              </w:rPr>
              <w:sym w:font="Wingdings" w:char="F0FB"/>
            </w:r>
          </w:p>
        </w:tc>
        <w:tc>
          <w:tcPr>
            <w:tcW w:w="267" w:type="pct"/>
            <w:tcBorders>
              <w:bottom w:val="single" w:sz="4" w:space="0" w:color="auto"/>
            </w:tcBorders>
            <w:shd w:val="clear" w:color="auto" w:fill="auto"/>
            <w:vAlign w:val="center"/>
          </w:tcPr>
          <w:p w:rsidR="004F1247" w:rsidRPr="004A66D6" w:rsidRDefault="004F1247" w:rsidP="0025487D">
            <w:pPr>
              <w:pStyle w:val="TableBodyText"/>
              <w:spacing w:before="20" w:line="240" w:lineRule="exact"/>
              <w:ind w:left="113"/>
              <w:jc w:val="center"/>
            </w:pPr>
            <w:r w:rsidRPr="004A66D6">
              <w:sym w:font="Wingdings" w:char="F0FC"/>
            </w:r>
            <w:r w:rsidR="00950C97">
              <w:rPr>
                <w:rStyle w:val="NoteLabel"/>
                <w:b w:val="0"/>
                <w:position w:val="0"/>
                <w:sz w:val="20"/>
              </w:rPr>
              <w:t> </w:t>
            </w:r>
          </w:p>
        </w:tc>
        <w:tc>
          <w:tcPr>
            <w:tcW w:w="305" w:type="pct"/>
            <w:tcBorders>
              <w:bottom w:val="single" w:sz="4" w:space="0" w:color="auto"/>
            </w:tcBorders>
            <w:shd w:val="clear" w:color="auto" w:fill="auto"/>
            <w:vAlign w:val="center"/>
          </w:tcPr>
          <w:p w:rsidR="004F1247" w:rsidRPr="004A66D6" w:rsidRDefault="004F1247" w:rsidP="0025487D">
            <w:pPr>
              <w:pStyle w:val="TableBodyText"/>
              <w:spacing w:before="20" w:line="240" w:lineRule="exact"/>
              <w:ind w:left="113"/>
              <w:jc w:val="center"/>
              <w:rPr>
                <w:rStyle w:val="NoteLabel"/>
              </w:rPr>
            </w:pPr>
            <w:r w:rsidRPr="004A66D6">
              <w:rPr>
                <w:rStyle w:val="NoteLabel"/>
                <w:b w:val="0"/>
                <w:position w:val="0"/>
                <w:sz w:val="20"/>
              </w:rPr>
              <w:sym w:font="Wingdings" w:char="F0FB"/>
            </w:r>
            <w:r w:rsidR="003B579D">
              <w:rPr>
                <w:rStyle w:val="NoteLabel"/>
              </w:rPr>
              <w:t>o</w:t>
            </w:r>
          </w:p>
        </w:tc>
        <w:tc>
          <w:tcPr>
            <w:tcW w:w="278" w:type="pct"/>
            <w:tcBorders>
              <w:bottom w:val="single" w:sz="4" w:space="0" w:color="auto"/>
            </w:tcBorders>
            <w:shd w:val="clear" w:color="auto" w:fill="auto"/>
            <w:vAlign w:val="center"/>
          </w:tcPr>
          <w:p w:rsidR="004F1247" w:rsidRPr="004A66D6" w:rsidRDefault="004F1247" w:rsidP="0025487D">
            <w:pPr>
              <w:pStyle w:val="TableBodyText"/>
              <w:spacing w:before="20" w:line="240" w:lineRule="exact"/>
              <w:ind w:left="113"/>
              <w:jc w:val="center"/>
              <w:rPr>
                <w:rStyle w:val="NoteLabel"/>
                <w:b w:val="0"/>
                <w:position w:val="0"/>
                <w:sz w:val="20"/>
              </w:rPr>
            </w:pPr>
            <w:r w:rsidRPr="004A66D6">
              <w:rPr>
                <w:rStyle w:val="NoteLabel"/>
                <w:b w:val="0"/>
                <w:position w:val="0"/>
                <w:sz w:val="20"/>
              </w:rPr>
              <w:sym w:font="Wingdings" w:char="F0FC"/>
            </w:r>
            <w:r w:rsidR="00950C97">
              <w:rPr>
                <w:rStyle w:val="NoteLabel"/>
                <w:b w:val="0"/>
                <w:position w:val="0"/>
                <w:sz w:val="20"/>
              </w:rPr>
              <w:t> </w:t>
            </w:r>
          </w:p>
        </w:tc>
        <w:tc>
          <w:tcPr>
            <w:tcW w:w="287" w:type="pct"/>
            <w:tcBorders>
              <w:bottom w:val="single" w:sz="4" w:space="0" w:color="auto"/>
            </w:tcBorders>
            <w:shd w:val="clear" w:color="auto" w:fill="auto"/>
            <w:vAlign w:val="center"/>
          </w:tcPr>
          <w:p w:rsidR="004F1247" w:rsidRPr="004A66D6" w:rsidRDefault="004F1247" w:rsidP="0025487D">
            <w:pPr>
              <w:pStyle w:val="TableBodyText"/>
              <w:spacing w:before="20" w:line="240" w:lineRule="exact"/>
              <w:ind w:left="113"/>
              <w:jc w:val="center"/>
              <w:rPr>
                <w:rStyle w:val="NoteLabel"/>
                <w:b w:val="0"/>
                <w:position w:val="0"/>
                <w:sz w:val="20"/>
              </w:rPr>
            </w:pPr>
            <w:r w:rsidRPr="004A66D6">
              <w:rPr>
                <w:rStyle w:val="NoteLabel"/>
                <w:b w:val="0"/>
                <w:position w:val="0"/>
                <w:sz w:val="20"/>
              </w:rPr>
              <w:sym w:font="Wingdings" w:char="F0FB"/>
            </w:r>
            <w:r w:rsidR="00950C97">
              <w:t> </w:t>
            </w:r>
          </w:p>
        </w:tc>
        <w:tc>
          <w:tcPr>
            <w:tcW w:w="287" w:type="pct"/>
            <w:tcBorders>
              <w:bottom w:val="single" w:sz="4" w:space="0" w:color="auto"/>
            </w:tcBorders>
            <w:shd w:val="clear" w:color="auto" w:fill="auto"/>
            <w:vAlign w:val="center"/>
          </w:tcPr>
          <w:p w:rsidR="004F1247" w:rsidRPr="004A66D6" w:rsidRDefault="004F1247" w:rsidP="0025487D">
            <w:pPr>
              <w:pStyle w:val="TableBodyText"/>
              <w:spacing w:before="20" w:line="240" w:lineRule="exact"/>
              <w:ind w:left="113"/>
              <w:jc w:val="center"/>
            </w:pPr>
            <w:r w:rsidRPr="004A66D6">
              <w:sym w:font="Wingdings" w:char="F0FB"/>
            </w:r>
            <w:r w:rsidR="00950C97">
              <w:t> </w:t>
            </w:r>
          </w:p>
        </w:tc>
        <w:tc>
          <w:tcPr>
            <w:tcW w:w="261" w:type="pct"/>
            <w:tcBorders>
              <w:bottom w:val="single" w:sz="4" w:space="0" w:color="auto"/>
            </w:tcBorders>
            <w:shd w:val="clear" w:color="auto" w:fill="auto"/>
            <w:vAlign w:val="center"/>
          </w:tcPr>
          <w:p w:rsidR="004F1247" w:rsidRPr="004A66D6" w:rsidRDefault="004F1247" w:rsidP="0025487D">
            <w:pPr>
              <w:pStyle w:val="TableBodyText"/>
              <w:spacing w:before="20" w:line="240" w:lineRule="exact"/>
              <w:ind w:left="113"/>
              <w:jc w:val="center"/>
            </w:pPr>
            <w:r w:rsidRPr="004A66D6">
              <w:sym w:font="Wingdings" w:char="F0FB"/>
            </w:r>
          </w:p>
        </w:tc>
        <w:tc>
          <w:tcPr>
            <w:tcW w:w="278" w:type="pct"/>
            <w:tcBorders>
              <w:bottom w:val="single" w:sz="4" w:space="0" w:color="auto"/>
            </w:tcBorders>
            <w:shd w:val="clear" w:color="auto" w:fill="auto"/>
            <w:vAlign w:val="center"/>
          </w:tcPr>
          <w:p w:rsidR="004F1247" w:rsidRPr="004A66D6" w:rsidRDefault="004F1247" w:rsidP="0025487D">
            <w:pPr>
              <w:pStyle w:val="TableBodyText"/>
              <w:spacing w:before="20" w:line="240" w:lineRule="exact"/>
              <w:ind w:left="113"/>
              <w:jc w:val="center"/>
              <w:rPr>
                <w:rStyle w:val="NoteLabel"/>
                <w:b w:val="0"/>
                <w:position w:val="0"/>
                <w:sz w:val="20"/>
              </w:rPr>
            </w:pPr>
            <w:r w:rsidRPr="004A66D6">
              <w:rPr>
                <w:rStyle w:val="NoteLabel"/>
                <w:b w:val="0"/>
                <w:position w:val="0"/>
                <w:sz w:val="20"/>
              </w:rPr>
              <w:sym w:font="Wingdings" w:char="F0FB"/>
            </w:r>
            <w:r w:rsidR="00950C97">
              <w:t> </w:t>
            </w:r>
          </w:p>
        </w:tc>
        <w:tc>
          <w:tcPr>
            <w:tcW w:w="261" w:type="pct"/>
            <w:tcBorders>
              <w:bottom w:val="single" w:sz="4" w:space="0" w:color="auto"/>
            </w:tcBorders>
            <w:shd w:val="clear" w:color="auto" w:fill="auto"/>
            <w:vAlign w:val="center"/>
          </w:tcPr>
          <w:p w:rsidR="004F1247" w:rsidRPr="004A66D6" w:rsidRDefault="004F1247" w:rsidP="0025487D">
            <w:pPr>
              <w:pStyle w:val="TableBodyText"/>
              <w:spacing w:before="20" w:line="240" w:lineRule="exact"/>
              <w:ind w:left="113"/>
              <w:jc w:val="center"/>
            </w:pPr>
            <w:r w:rsidRPr="004A66D6">
              <w:sym w:font="Wingdings" w:char="F0FB"/>
            </w:r>
          </w:p>
        </w:tc>
        <w:tc>
          <w:tcPr>
            <w:tcW w:w="278" w:type="pct"/>
            <w:tcBorders>
              <w:bottom w:val="single" w:sz="4" w:space="0" w:color="auto"/>
            </w:tcBorders>
            <w:shd w:val="clear" w:color="auto" w:fill="auto"/>
            <w:vAlign w:val="center"/>
          </w:tcPr>
          <w:p w:rsidR="004F1247" w:rsidRPr="004A66D6" w:rsidRDefault="004F1247" w:rsidP="0025487D">
            <w:pPr>
              <w:pStyle w:val="TableBodyText"/>
              <w:spacing w:before="20" w:line="240" w:lineRule="exact"/>
              <w:ind w:left="113"/>
              <w:jc w:val="center"/>
              <w:rPr>
                <w:rStyle w:val="NoteLabel"/>
                <w:b w:val="0"/>
                <w:position w:val="0"/>
                <w:sz w:val="20"/>
              </w:rPr>
            </w:pPr>
            <w:r w:rsidRPr="004A66D6">
              <w:rPr>
                <w:rStyle w:val="NoteLabel"/>
                <w:b w:val="0"/>
                <w:position w:val="0"/>
                <w:sz w:val="20"/>
              </w:rPr>
              <w:sym w:font="Wingdings" w:char="F0FC"/>
            </w:r>
            <w:r w:rsidR="00950C97">
              <w:rPr>
                <w:rStyle w:val="NoteLabel"/>
                <w:b w:val="0"/>
                <w:position w:val="0"/>
                <w:sz w:val="20"/>
              </w:rPr>
              <w:t> </w:t>
            </w:r>
          </w:p>
        </w:tc>
        <w:tc>
          <w:tcPr>
            <w:tcW w:w="237" w:type="pct"/>
            <w:tcBorders>
              <w:bottom w:val="single" w:sz="4" w:space="0" w:color="auto"/>
            </w:tcBorders>
            <w:shd w:val="clear" w:color="auto" w:fill="auto"/>
            <w:vAlign w:val="center"/>
          </w:tcPr>
          <w:p w:rsidR="004F1247" w:rsidRDefault="0016127E" w:rsidP="0025487D">
            <w:pPr>
              <w:pStyle w:val="TableBodyText"/>
              <w:spacing w:before="20"/>
              <w:ind w:right="170"/>
              <w:jc w:val="center"/>
            </w:pPr>
            <w:r w:rsidRPr="004A532E">
              <w:sym w:font="Wingdings" w:char="F0FB"/>
            </w:r>
            <w:r w:rsidR="00950C97">
              <w:rPr>
                <w:rStyle w:val="NoteLabel"/>
                <w:b w:val="0"/>
                <w:position w:val="0"/>
                <w:sz w:val="20"/>
              </w:rPr>
              <w:t> </w:t>
            </w:r>
          </w:p>
        </w:tc>
      </w:tr>
    </w:tbl>
    <w:p w:rsidR="004F1247" w:rsidRDefault="004F1247" w:rsidP="004D5EB1">
      <w:pPr>
        <w:pStyle w:val="Note"/>
      </w:pPr>
      <w:proofErr w:type="spellStart"/>
      <w:r w:rsidRPr="00CF5BBA">
        <w:rPr>
          <w:rStyle w:val="NoteLabel"/>
        </w:rPr>
        <w:t>a</w:t>
      </w:r>
      <w:proofErr w:type="spellEnd"/>
      <w:r>
        <w:t xml:space="preserve"> For subordinate legislation, these are </w:t>
      </w:r>
      <w:r w:rsidR="002E0DF5">
        <w:t xml:space="preserve">defined </w:t>
      </w:r>
      <w:r>
        <w:t xml:space="preserve">as an exemption from requiring a RIS rather than an exception to RIA.  </w:t>
      </w:r>
      <w:r>
        <w:rPr>
          <w:rStyle w:val="NoteLabel"/>
        </w:rPr>
        <w:t>b</w:t>
      </w:r>
      <w:r w:rsidR="00B72416">
        <w:t xml:space="preserve"> </w:t>
      </w:r>
      <w:r>
        <w:t xml:space="preserve">Excluding the administration of taxation.  </w:t>
      </w:r>
      <w:r w:rsidR="00B72416">
        <w:rPr>
          <w:rStyle w:val="NoteLabel"/>
        </w:rPr>
        <w:t>c</w:t>
      </w:r>
      <w:r>
        <w:t> Unless the oversight body requests further RIA assessment</w:t>
      </w:r>
      <w:r w:rsidR="00230F0B">
        <w:t>.</w:t>
      </w:r>
      <w:r>
        <w:t xml:space="preserve"> </w:t>
      </w:r>
      <w:r w:rsidR="00B72416">
        <w:rPr>
          <w:rStyle w:val="NoteLabel"/>
        </w:rPr>
        <w:t>d</w:t>
      </w:r>
      <w:r>
        <w:rPr>
          <w:rStyle w:val="NoteLabel"/>
        </w:rPr>
        <w:t xml:space="preserve"> </w:t>
      </w:r>
      <w:r>
        <w:t xml:space="preserve">Or other revenue raising policy measures which are purely budgetary in nature.  </w:t>
      </w:r>
      <w:r w:rsidR="00B72416">
        <w:rPr>
          <w:rStyle w:val="NoteLabel"/>
        </w:rPr>
        <w:t>e </w:t>
      </w:r>
      <w:r>
        <w:t xml:space="preserve">Or for the internal management of a statutory body.  </w:t>
      </w:r>
      <w:r w:rsidR="00B72416">
        <w:rPr>
          <w:rStyle w:val="NoteLabel"/>
        </w:rPr>
        <w:t>f</w:t>
      </w:r>
      <w:r>
        <w:t xml:space="preserve"> Also includes minor legislative amendments.  </w:t>
      </w:r>
      <w:r w:rsidR="00B72416">
        <w:rPr>
          <w:rStyle w:val="NoteLabel"/>
        </w:rPr>
        <w:t>g</w:t>
      </w:r>
      <w:r>
        <w:t xml:space="preserve"> Only for regulation which provides solely for commencement of all or part of enabling legislation and a RIS has already been completed.  </w:t>
      </w:r>
      <w:r w:rsidR="00B72416">
        <w:rPr>
          <w:rStyle w:val="NoteLabel"/>
        </w:rPr>
        <w:t>h</w:t>
      </w:r>
      <w:r>
        <w:t xml:space="preserve"> In accordance with actuarially determined assessments or an accepted indexation factor such as the Consumer Price Index.  </w:t>
      </w:r>
      <w:proofErr w:type="spellStart"/>
      <w:r w:rsidR="00B72416">
        <w:rPr>
          <w:rStyle w:val="NoteLabel"/>
        </w:rPr>
        <w:t>i</w:t>
      </w:r>
      <w:proofErr w:type="spellEnd"/>
      <w:r>
        <w:t xml:space="preserve"> Unless the proposal impacts on third parties.  </w:t>
      </w:r>
      <w:r w:rsidR="00B72416">
        <w:rPr>
          <w:rStyle w:val="NoteLabel"/>
        </w:rPr>
        <w:t>j</w:t>
      </w:r>
      <w:r>
        <w:t xml:space="preserve"> Only for rules of court.  </w:t>
      </w:r>
      <w:r w:rsidR="00B72416">
        <w:rPr>
          <w:rStyle w:val="NoteLabel"/>
        </w:rPr>
        <w:t>k</w:t>
      </w:r>
      <w:r>
        <w:t xml:space="preserve"> For legislative instruments only.  </w:t>
      </w:r>
      <w:r w:rsidR="00B72416">
        <w:rPr>
          <w:rStyle w:val="NoteLabel"/>
        </w:rPr>
        <w:t>l</w:t>
      </w:r>
      <w:r>
        <w:t xml:space="preserve"> This may include Ministerial Council and COAG processes or other processes undertaken on behalf of government by independent bodies such as the Independent Pricing and Regulatory Tribunal or the Productivity Commission.  </w:t>
      </w:r>
      <w:r w:rsidR="00B72416">
        <w:rPr>
          <w:rStyle w:val="NoteLabel"/>
        </w:rPr>
        <w:t>m</w:t>
      </w:r>
      <w:r w:rsidR="00082A82" w:rsidRPr="00082A82">
        <w:t xml:space="preserve"> </w:t>
      </w:r>
      <w:r w:rsidR="00082A82">
        <w:t>A preliminary impact assessment is still required that includes, where necessary, supplementary analysis at the Northern Territory level.</w:t>
      </w:r>
      <w:r w:rsidR="003B579D">
        <w:t xml:space="preserve">  </w:t>
      </w:r>
      <w:r w:rsidR="003B579D">
        <w:rPr>
          <w:rStyle w:val="NoteLabel"/>
        </w:rPr>
        <w:t>n</w:t>
      </w:r>
      <w:r w:rsidR="003B579D">
        <w:t xml:space="preserve"> </w:t>
      </w:r>
      <w:r>
        <w:t xml:space="preserve">An assessment of the costs and benefits needs to be undertaken as part of the scheme.  </w:t>
      </w:r>
      <w:r w:rsidR="003B579D">
        <w:rPr>
          <w:rStyle w:val="NoteLabel"/>
        </w:rPr>
        <w:t>o</w:t>
      </w:r>
      <w:r>
        <w:t> In Queensland, this is a Treasurer’s Exemption rather than a RIA exception. Therefore, both the Regulatory Principles Checklist and preliminary impact assessment must be undertaken for the proposal, p</w:t>
      </w:r>
      <w:r w:rsidR="009E16DF">
        <w:t>rior to granting an exemption.</w:t>
      </w:r>
      <w:r w:rsidR="004D5EB1">
        <w:t xml:space="preserve">  </w:t>
      </w:r>
      <w:r>
        <w:t>‘</w:t>
      </w:r>
      <w:proofErr w:type="spellStart"/>
      <w:r>
        <w:t>Pri</w:t>
      </w:r>
      <w:proofErr w:type="spellEnd"/>
      <w:r>
        <w:t xml:space="preserve">.’ </w:t>
      </w:r>
      <w:r w:rsidR="009E16DF">
        <w:t>P</w:t>
      </w:r>
      <w:r>
        <w:t>rimary</w:t>
      </w:r>
      <w:r w:rsidR="009E16DF">
        <w:t xml:space="preserve"> legislation</w:t>
      </w:r>
      <w:r>
        <w:t xml:space="preserve">. </w:t>
      </w:r>
      <w:r w:rsidR="009E16DF">
        <w:t xml:space="preserve"> </w:t>
      </w:r>
      <w:r>
        <w:t>‘Sub.</w:t>
      </w:r>
      <w:r w:rsidR="009E16DF">
        <w:t>’</w:t>
      </w:r>
      <w:r w:rsidR="00777FE7">
        <w:t xml:space="preserve"> S</w:t>
      </w:r>
      <w:r>
        <w:t>ubordinate</w:t>
      </w:r>
      <w:r w:rsidR="009E16DF">
        <w:t xml:space="preserve"> legislation</w:t>
      </w:r>
      <w:r>
        <w:t>.</w:t>
      </w:r>
    </w:p>
    <w:p w:rsidR="004F1247" w:rsidRDefault="004F1247" w:rsidP="004F1247">
      <w:pPr>
        <w:pStyle w:val="Source"/>
      </w:pPr>
      <w:r>
        <w:rPr>
          <w:i/>
        </w:rPr>
        <w:t>Source</w:t>
      </w:r>
      <w:r>
        <w:t>: Jurisdictional guidance material</w:t>
      </w:r>
      <w:r w:rsidR="00106CD7">
        <w:t xml:space="preserve"> (a</w:t>
      </w:r>
      <w:r w:rsidR="005831CA">
        <w:t>ppendix B)</w:t>
      </w:r>
      <w:r>
        <w:t>.</w:t>
      </w:r>
    </w:p>
    <w:p w:rsidR="00583E31" w:rsidRDefault="00583E31" w:rsidP="002B6C3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83E31" w:rsidTr="00CD3576">
        <w:tc>
          <w:tcPr>
            <w:tcW w:w="8771" w:type="dxa"/>
            <w:tcBorders>
              <w:top w:val="single" w:sz="6" w:space="0" w:color="auto"/>
              <w:bottom w:val="nil"/>
            </w:tcBorders>
          </w:tcPr>
          <w:p w:rsidR="00583E31" w:rsidRPr="00C27CA9" w:rsidRDefault="00583E31" w:rsidP="0014278B">
            <w:pPr>
              <w:pStyle w:val="BoxTitle"/>
            </w:pPr>
            <w:r>
              <w:rPr>
                <w:b w:val="0"/>
              </w:rPr>
              <w:t xml:space="preserve">Box </w:t>
            </w:r>
            <w:bookmarkStart w:id="7" w:name="OLE_LINK20"/>
            <w:r w:rsidR="00282D45">
              <w:rPr>
                <w:b w:val="0"/>
              </w:rPr>
              <w:t>5.</w:t>
            </w:r>
            <w:r w:rsidR="00DE3A5F">
              <w:rPr>
                <w:b w:val="0"/>
                <w:noProof/>
              </w:rPr>
              <w:t>2</w:t>
            </w:r>
            <w:bookmarkEnd w:id="7"/>
            <w:r>
              <w:tab/>
            </w:r>
            <w:r w:rsidR="0014278B">
              <w:t>Exceptions specified in</w:t>
            </w:r>
            <w:r>
              <w:t xml:space="preserve"> subordinate legislation </w:t>
            </w:r>
            <w:r w:rsidR="0014278B">
              <w:t>acts</w:t>
            </w:r>
          </w:p>
        </w:tc>
      </w:tr>
      <w:tr w:rsidR="00583E31" w:rsidTr="00CD3576">
        <w:trPr>
          <w:cantSplit/>
        </w:trPr>
        <w:tc>
          <w:tcPr>
            <w:tcW w:w="8771" w:type="dxa"/>
            <w:tcBorders>
              <w:top w:val="nil"/>
              <w:bottom w:val="nil"/>
            </w:tcBorders>
          </w:tcPr>
          <w:p w:rsidR="00583E31" w:rsidRPr="006A7B7F" w:rsidRDefault="00583E31" w:rsidP="00CD3576">
            <w:pPr>
              <w:pStyle w:val="Box"/>
              <w:rPr>
                <w:b/>
              </w:rPr>
            </w:pPr>
            <w:r w:rsidRPr="006A7B7F">
              <w:rPr>
                <w:b/>
              </w:rPr>
              <w:t>New South Wales</w:t>
            </w:r>
          </w:p>
          <w:p w:rsidR="00583E31" w:rsidRDefault="00583E31" w:rsidP="00CD3576">
            <w:pPr>
              <w:pStyle w:val="BoxListBullet"/>
            </w:pPr>
            <w:r>
              <w:t xml:space="preserve">A management plan for a share management fishery or a supporting plan made under the </w:t>
            </w:r>
            <w:r>
              <w:rPr>
                <w:i/>
              </w:rPr>
              <w:t>Fisheries Management Act 1994</w:t>
            </w:r>
            <w:r w:rsidR="00716040">
              <w:rPr>
                <w:i/>
              </w:rPr>
              <w:t>.</w:t>
            </w:r>
          </w:p>
          <w:p w:rsidR="00583E31" w:rsidRDefault="00583E31" w:rsidP="00CD3576">
            <w:pPr>
              <w:pStyle w:val="BoxListBullet"/>
            </w:pPr>
            <w:r>
              <w:t xml:space="preserve">A zoning plan for a marine park under the </w:t>
            </w:r>
            <w:r>
              <w:rPr>
                <w:i/>
              </w:rPr>
              <w:t>Marine Parks Act 1997</w:t>
            </w:r>
            <w:r w:rsidR="00716040">
              <w:rPr>
                <w:i/>
              </w:rPr>
              <w:t>.</w:t>
            </w:r>
          </w:p>
          <w:p w:rsidR="00583E31" w:rsidRDefault="00583E31" w:rsidP="00CD3576">
            <w:pPr>
              <w:pStyle w:val="BoxListBullet"/>
            </w:pPr>
            <w:r>
              <w:t xml:space="preserve">A regulation under the </w:t>
            </w:r>
            <w:r>
              <w:rPr>
                <w:i/>
              </w:rPr>
              <w:t>Homebush Motor Racing (Sydney 400) Act 2008</w:t>
            </w:r>
            <w:r w:rsidR="00716040">
              <w:rPr>
                <w:i/>
              </w:rPr>
              <w:t>.</w:t>
            </w:r>
          </w:p>
          <w:p w:rsidR="00583E31" w:rsidRPr="006A7B7F" w:rsidRDefault="00583E31" w:rsidP="00CD3576">
            <w:pPr>
              <w:pStyle w:val="Box"/>
              <w:rPr>
                <w:b/>
              </w:rPr>
            </w:pPr>
            <w:r w:rsidRPr="006A7B7F">
              <w:rPr>
                <w:b/>
              </w:rPr>
              <w:t>Victoria</w:t>
            </w:r>
          </w:p>
          <w:p w:rsidR="00583E31" w:rsidRDefault="00583E31" w:rsidP="00CD3576">
            <w:pPr>
              <w:pStyle w:val="BoxListBullet"/>
            </w:pPr>
            <w:r>
              <w:t>A proposed legislative instrument is required to undergo, or has undergone, an analytical and consultation process which, in the opinion of the responsible Minister, is equivalent to the process for a RIS.</w:t>
            </w:r>
          </w:p>
          <w:p w:rsidR="00583E31" w:rsidRPr="006A7B7F" w:rsidRDefault="00583E31" w:rsidP="00CD3576">
            <w:pPr>
              <w:pStyle w:val="Box"/>
              <w:rPr>
                <w:b/>
              </w:rPr>
            </w:pPr>
            <w:r w:rsidRPr="006A7B7F">
              <w:rPr>
                <w:b/>
              </w:rPr>
              <w:t>Queensland</w:t>
            </w:r>
          </w:p>
          <w:p w:rsidR="00583E31" w:rsidRDefault="00583E31" w:rsidP="00CD3576">
            <w:pPr>
              <w:pStyle w:val="BoxListBullet"/>
            </w:pPr>
            <w:r>
              <w:t xml:space="preserve">Codes of practice made under the </w:t>
            </w:r>
            <w:r>
              <w:rPr>
                <w:i/>
              </w:rPr>
              <w:t>Work Health and Safety Act 2011</w:t>
            </w:r>
            <w:r>
              <w:t xml:space="preserve"> s 274; </w:t>
            </w:r>
            <w:r>
              <w:rPr>
                <w:i/>
              </w:rPr>
              <w:t>Electricity Safety Act 2002</w:t>
            </w:r>
            <w:r>
              <w:t xml:space="preserve"> s 44; </w:t>
            </w:r>
            <w:r>
              <w:rPr>
                <w:i/>
              </w:rPr>
              <w:t>Workers’ Compensation and Rehabilitation Act 2003</w:t>
            </w:r>
            <w:r>
              <w:t xml:space="preserve"> s </w:t>
            </w:r>
            <w:proofErr w:type="spellStart"/>
            <w:r>
              <w:t>486A</w:t>
            </w:r>
            <w:proofErr w:type="spellEnd"/>
            <w:r w:rsidR="00716040">
              <w:t>.</w:t>
            </w:r>
          </w:p>
          <w:p w:rsidR="00583E31" w:rsidRPr="006A7B7F" w:rsidRDefault="00583E31" w:rsidP="00CD3576">
            <w:pPr>
              <w:pStyle w:val="Box"/>
              <w:rPr>
                <w:b/>
              </w:rPr>
            </w:pPr>
            <w:r w:rsidRPr="006A7B7F">
              <w:rPr>
                <w:b/>
              </w:rPr>
              <w:t>Tasmania</w:t>
            </w:r>
          </w:p>
          <w:p w:rsidR="00583E31" w:rsidRDefault="00531711" w:rsidP="00CD3576">
            <w:pPr>
              <w:pStyle w:val="BoxListBullet"/>
            </w:pPr>
            <w:r>
              <w:t>T</w:t>
            </w:r>
            <w:r w:rsidR="00583E31">
              <w:t>he body is a Government Business Enterprise (</w:t>
            </w:r>
            <w:proofErr w:type="spellStart"/>
            <w:r w:rsidR="00583E31">
              <w:t>GBE</w:t>
            </w:r>
            <w:proofErr w:type="spellEnd"/>
            <w:r w:rsidR="00583E31">
              <w:t>) and the Department Secretary certifies that the:</w:t>
            </w:r>
          </w:p>
          <w:p w:rsidR="00583E31" w:rsidRDefault="00583E31" w:rsidP="00CD3576">
            <w:pPr>
              <w:pStyle w:val="BoxListBullet2"/>
            </w:pPr>
            <w:r>
              <w:t>proposal relates to its fees, charges, tariffs or other commercial operations</w:t>
            </w:r>
          </w:p>
          <w:p w:rsidR="00583E31" w:rsidRDefault="00583E31" w:rsidP="00CD3576">
            <w:pPr>
              <w:pStyle w:val="BoxListBullet2"/>
            </w:pPr>
            <w:r>
              <w:t>proposal does not concern its public regulatory functions, powers or administration</w:t>
            </w:r>
          </w:p>
          <w:p w:rsidR="00583E31" w:rsidRPr="00B667C9" w:rsidRDefault="00583E31" w:rsidP="00CD3576">
            <w:pPr>
              <w:pStyle w:val="BoxListBullet2"/>
            </w:pPr>
            <w:r>
              <w:t xml:space="preserve">commercial operations of the </w:t>
            </w:r>
            <w:proofErr w:type="spellStart"/>
            <w:r>
              <w:t>GBE</w:t>
            </w:r>
            <w:proofErr w:type="spellEnd"/>
            <w:r>
              <w:t xml:space="preserve"> would be impeded if a RIS was required.</w:t>
            </w:r>
          </w:p>
        </w:tc>
      </w:tr>
      <w:tr w:rsidR="00583E31" w:rsidTr="00CD3576">
        <w:trPr>
          <w:cantSplit/>
        </w:trPr>
        <w:tc>
          <w:tcPr>
            <w:tcW w:w="8771" w:type="dxa"/>
            <w:tcBorders>
              <w:top w:val="nil"/>
              <w:bottom w:val="nil"/>
            </w:tcBorders>
          </w:tcPr>
          <w:p w:rsidR="00583E31" w:rsidRDefault="00583E31" w:rsidP="00CD3576">
            <w:pPr>
              <w:pStyle w:val="BoxSource"/>
            </w:pPr>
            <w:r>
              <w:rPr>
                <w:i/>
              </w:rPr>
              <w:t>Sources</w:t>
            </w:r>
            <w:r w:rsidRPr="00167F06">
              <w:t xml:space="preserve">: </w:t>
            </w:r>
            <w:r>
              <w:rPr>
                <w:i/>
              </w:rPr>
              <w:t>Subordinate Legislation Act 1989</w:t>
            </w:r>
            <w:r w:rsidR="00531711">
              <w:t xml:space="preserve"> (NSW);</w:t>
            </w:r>
            <w:r>
              <w:t xml:space="preserve"> </w:t>
            </w:r>
            <w:r>
              <w:rPr>
                <w:i/>
              </w:rPr>
              <w:t>Subordinate Legislation Act 1994</w:t>
            </w:r>
            <w:r w:rsidR="00531711">
              <w:t xml:space="preserve"> (Vic);</w:t>
            </w:r>
            <w:r>
              <w:t xml:space="preserve"> </w:t>
            </w:r>
            <w:r>
              <w:rPr>
                <w:i/>
              </w:rPr>
              <w:t>Statutory Instruments Act 1992</w:t>
            </w:r>
            <w:r w:rsidR="00531711">
              <w:t xml:space="preserve"> (Qld);</w:t>
            </w:r>
            <w:r>
              <w:t xml:space="preserve"> </w:t>
            </w:r>
            <w:r>
              <w:rPr>
                <w:i/>
              </w:rPr>
              <w:t>Subordinate Legislation Act 1992</w:t>
            </w:r>
            <w:r>
              <w:t xml:space="preserve"> (</w:t>
            </w:r>
            <w:proofErr w:type="spellStart"/>
            <w:r>
              <w:t>Tas</w:t>
            </w:r>
            <w:proofErr w:type="spellEnd"/>
            <w:r>
              <w:t>).</w:t>
            </w:r>
          </w:p>
        </w:tc>
      </w:tr>
      <w:tr w:rsidR="00583E31" w:rsidTr="00CD3576">
        <w:trPr>
          <w:cantSplit/>
        </w:trPr>
        <w:tc>
          <w:tcPr>
            <w:tcW w:w="8771" w:type="dxa"/>
            <w:tcBorders>
              <w:top w:val="nil"/>
              <w:bottom w:val="single" w:sz="6" w:space="0" w:color="auto"/>
            </w:tcBorders>
          </w:tcPr>
          <w:p w:rsidR="00583E31" w:rsidRPr="00C10204" w:rsidRDefault="00583E31" w:rsidP="00CD3576">
            <w:pPr>
              <w:pStyle w:val="Box"/>
              <w:spacing w:before="0" w:line="120" w:lineRule="exact"/>
            </w:pPr>
          </w:p>
        </w:tc>
      </w:tr>
      <w:tr w:rsidR="00583E31" w:rsidTr="00CD3576">
        <w:tc>
          <w:tcPr>
            <w:tcW w:w="8771" w:type="dxa"/>
            <w:tcBorders>
              <w:top w:val="nil"/>
              <w:left w:val="nil"/>
              <w:bottom w:val="nil"/>
              <w:right w:val="nil"/>
            </w:tcBorders>
          </w:tcPr>
          <w:p w:rsidR="00583E31" w:rsidRPr="00C10204" w:rsidRDefault="00583E31" w:rsidP="00CD3576">
            <w:pPr>
              <w:pStyle w:val="Box"/>
              <w:keepNext w:val="0"/>
              <w:spacing w:before="60" w:after="60" w:line="80" w:lineRule="exact"/>
              <w:rPr>
                <w:b/>
                <w:color w:val="FF00FF"/>
                <w:sz w:val="14"/>
              </w:rPr>
            </w:pPr>
          </w:p>
        </w:tc>
      </w:tr>
    </w:tbl>
    <w:p w:rsidR="00AA4E27" w:rsidRDefault="001C2C5D" w:rsidP="003938BC">
      <w:pPr>
        <w:pStyle w:val="Heading4"/>
        <w:spacing w:before="360"/>
      </w:pPr>
      <w:r>
        <w:t>Determining the applicability of exceptions</w:t>
      </w:r>
    </w:p>
    <w:p w:rsidR="004008AA" w:rsidRDefault="004008AA" w:rsidP="004008AA">
      <w:pPr>
        <w:pStyle w:val="BodyText"/>
      </w:pPr>
      <w:r>
        <w:t>In some jurisdictions, proposals covered by exceptions are not excluded from the requirement to undertake preliminary impact analysis (</w:t>
      </w:r>
      <w:proofErr w:type="spellStart"/>
      <w:r>
        <w:t>PIA</w:t>
      </w:r>
      <w:proofErr w:type="spellEnd"/>
      <w:r>
        <w:t xml:space="preserve">). For example, while the Western Australian </w:t>
      </w:r>
      <w:proofErr w:type="spellStart"/>
      <w:r>
        <w:t>PIA</w:t>
      </w:r>
      <w:proofErr w:type="spellEnd"/>
      <w:r>
        <w:t xml:space="preserve"> template does provide for the completion of a shortened registration process when agencies are making a ‘request for an exception’, this still requires provision of information on the need for government action, objectives of the proposal, options to resolve the issue, consultation undertaken and reasons for the exception. In Queensland, however, agencies self-assess whether a regulatory proposal is covered by an exception to the Regulatory Assessment Statement (RAS) System. Where it is determined that an exception applies, the agency is only required to fill out the section of the Regulatory Principles Checklist (RPC) relating to establishing the case for government action, and the reasons that the regulatory </w:t>
      </w:r>
      <w:r>
        <w:lastRenderedPageBreak/>
        <w:t xml:space="preserve">proposal is excluded from the RAS system, rather than undertake a formal </w:t>
      </w:r>
      <w:proofErr w:type="spellStart"/>
      <w:r>
        <w:t>PIA</w:t>
      </w:r>
      <w:proofErr w:type="spellEnd"/>
      <w:r>
        <w:t xml:space="preserve"> (Queensland Treasury 2010).</w:t>
      </w:r>
    </w:p>
    <w:p w:rsidR="00EB4A85" w:rsidRDefault="004008AA" w:rsidP="004008AA">
      <w:pPr>
        <w:pStyle w:val="BodyText"/>
      </w:pPr>
      <w:r>
        <w:t xml:space="preserve">The Commission considers the requirement to conduct </w:t>
      </w:r>
      <w:proofErr w:type="spellStart"/>
      <w:r>
        <w:t>PIA</w:t>
      </w:r>
      <w:proofErr w:type="spellEnd"/>
      <w:r>
        <w:t xml:space="preserve"> in relation to proposals covered by exception categories to add no real value</w:t>
      </w:r>
      <w:r w:rsidR="00B8060F">
        <w:t xml:space="preserve"> and may reflect</w:t>
      </w:r>
      <w:r>
        <w:t xml:space="preserve"> a lack of clarity or certainty in the</w:t>
      </w:r>
      <w:r w:rsidR="00B8060F">
        <w:t xml:space="preserve"> definition of exceptions</w:t>
      </w:r>
      <w:r>
        <w:t xml:space="preserve">. </w:t>
      </w:r>
    </w:p>
    <w:p w:rsidR="004008AA" w:rsidRDefault="004008AA" w:rsidP="004008AA">
      <w:pPr>
        <w:pStyle w:val="BodyText"/>
      </w:pPr>
      <w:r>
        <w:t>While states and territories generally have an ‘approved list’ of exceptions to RIA, in many cases the scope and application of specific exceptions is uncertain or open to interpretation. As an example, in determining whether the common exception for ‘regulatory proposals previously assessed’ applies in relation to a specific proposal, agencies might be unclear as to how recent the previous assessment needs to be and what criteria the previous assessment needs to meet (see next section).</w:t>
      </w:r>
    </w:p>
    <w:p w:rsidR="00583E31" w:rsidRDefault="00583E31" w:rsidP="0061242F">
      <w:pPr>
        <w:pStyle w:val="BodyText"/>
      </w:pPr>
      <w:r>
        <w:t>There wil</w:t>
      </w:r>
      <w:r w:rsidR="00752D14">
        <w:t>l always be some degree of judg</w:t>
      </w:r>
      <w:r>
        <w:t>ment involved in determining the applicability of particular exceptions to individual proposals. A very high level of specificity or prescription is unlikely to be appropriate or feasible</w:t>
      </w:r>
      <w:r w:rsidRPr="00733580">
        <w:t xml:space="preserve"> </w:t>
      </w:r>
      <w:r>
        <w:t xml:space="preserve">and inevitably some ‘grey areas’ will exist. </w:t>
      </w:r>
      <w:r w:rsidR="00FA1575">
        <w:t>However, t</w:t>
      </w:r>
      <w:r>
        <w:t>here is scope for jurisdictions to provide further information and examples in guidance material so as to minimise uncertainty and ambiguity.</w:t>
      </w:r>
    </w:p>
    <w:p w:rsidR="00583E31" w:rsidRDefault="00583E31" w:rsidP="00AB348A">
      <w:pPr>
        <w:pStyle w:val="BodyText"/>
      </w:pPr>
      <w:r>
        <w:t>Greater clarity around exceptions will contribute to improved compliance with R</w:t>
      </w:r>
      <w:r w:rsidR="001A64E4">
        <w:t>IA requirements and also reduce</w:t>
      </w:r>
      <w:r>
        <w:t xml:space="preserve"> the scope for agencies to abuse any discretion they have in their determinations. </w:t>
      </w:r>
      <w:r w:rsidR="004D3E78">
        <w:t>Where little or no guidance is provided on the types of circumstances that justify an exception, there is an increased risk of subjectivity and inconsistency in determinations. Moreover, there is not a clear and objective basis for challenging determinations.</w:t>
      </w:r>
    </w:p>
    <w:p w:rsidR="007B24B4" w:rsidRPr="001E00B2" w:rsidRDefault="007B24B4" w:rsidP="007B24B4">
      <w:pPr>
        <w:pStyle w:val="BodyText"/>
      </w:pPr>
      <w:r>
        <w:t>In Victoria, at least in principle, there is a particularly high level of transparency around exceptions (termed exemptions in that jurisdiction) with certificates, including reasons for their granting by the proposing Minister or Premier, made public (discussed further in relation to exemptions, below). Whereas in Tasmania, t</w:t>
      </w:r>
      <w:r w:rsidRPr="001E00B2">
        <w:t>he Tasmanian Parliamentary Standing Committee on Subordinate Legislation (</w:t>
      </w:r>
      <w:proofErr w:type="spellStart"/>
      <w:r w:rsidRPr="001E00B2">
        <w:t>TPSCSL</w:t>
      </w:r>
      <w:proofErr w:type="spellEnd"/>
      <w:r w:rsidRPr="001E00B2">
        <w:t>) identified the need for additional information to be provided on the reasons for ex</w:t>
      </w:r>
      <w:r w:rsidR="005B7500">
        <w:t>ce</w:t>
      </w:r>
      <w:r w:rsidRPr="001E00B2">
        <w:t>ptions:</w:t>
      </w:r>
    </w:p>
    <w:p w:rsidR="007B24B4" w:rsidRDefault="007B24B4" w:rsidP="007B24B4">
      <w:pPr>
        <w:pStyle w:val="Quote"/>
      </w:pPr>
      <w:r w:rsidRPr="001E00B2">
        <w:t xml:space="preserve">… it would be useful for the Committee to receive more detail when </w:t>
      </w:r>
      <w:r>
        <w:t>[exceptions]</w:t>
      </w:r>
      <w:r w:rsidRPr="001E00B2">
        <w:t xml:space="preserve"> from the RIA process are granted by the Secretary of the Department of Treasury and Finance. … It would be benefic</w:t>
      </w:r>
      <w:r>
        <w:t>ial to the Committee for the [exce</w:t>
      </w:r>
      <w:r w:rsidRPr="001E00B2">
        <w:t>ption] certificate to indicate the particular section(s) [of Part 2 of the Subordinate Legislation Act] that have been determined to apply that remove the requirement for a RIS to be provided. (</w:t>
      </w:r>
      <w:proofErr w:type="spellStart"/>
      <w:r w:rsidRPr="001E00B2">
        <w:t>TPSCSL</w:t>
      </w:r>
      <w:proofErr w:type="spellEnd"/>
      <w:r w:rsidRPr="001E00B2">
        <w:t>, sub. 3, p. 3)</w:t>
      </w:r>
    </w:p>
    <w:p w:rsidR="00F70EF4" w:rsidRDefault="00B273BF" w:rsidP="006F527D">
      <w:pPr>
        <w:pStyle w:val="Heading3"/>
      </w:pPr>
      <w:r>
        <w:lastRenderedPageBreak/>
        <w:t>Proposals that have been subjected to prior analysis</w:t>
      </w:r>
    </w:p>
    <w:p w:rsidR="00583E31" w:rsidRDefault="00583E31" w:rsidP="00AA52A8">
      <w:pPr>
        <w:pStyle w:val="BodyText"/>
      </w:pPr>
      <w:r w:rsidRPr="00D42485">
        <w:t xml:space="preserve">In certain cases, the RIA process </w:t>
      </w:r>
      <w:r>
        <w:t>may</w:t>
      </w:r>
      <w:r w:rsidRPr="00D42485">
        <w:t xml:space="preserve"> have effectively been satisfied through earlier policy development processes</w:t>
      </w:r>
      <w:r>
        <w:t>, but as discussed above there is often a lack of clarity in guidance material around the type of assessment that would be deemed sufficient in order for a re</w:t>
      </w:r>
      <w:r w:rsidR="00A9110B">
        <w:t xml:space="preserve">gulatory proposal to avoid RIA. </w:t>
      </w:r>
      <w:r>
        <w:t>The guidance material in New South Wales provides useful additional information:</w:t>
      </w:r>
    </w:p>
    <w:p w:rsidR="00583E31" w:rsidRDefault="00583E31" w:rsidP="00AA52A8">
      <w:pPr>
        <w:pStyle w:val="Quote"/>
      </w:pPr>
      <w:r>
        <w:t xml:space="preserve">… proposals </w:t>
      </w:r>
      <w:r w:rsidR="007C4006">
        <w:t xml:space="preserve">which </w:t>
      </w:r>
      <w:r>
        <w:t>have already been subject to a detailed assessment against the better regulation principles as part of an earlier Cabinet Minute or Executive Council Minute</w:t>
      </w:r>
      <w:r w:rsidR="007C4006">
        <w:t xml:space="preserve"> [may be excepted from RIA]</w:t>
      </w:r>
      <w:r>
        <w:t xml:space="preserve">. In such cases, this should be identified and no further demonstration of meeting the principles is required. This </w:t>
      </w:r>
      <w:r w:rsidR="00CD2AEB">
        <w:t xml:space="preserve">… </w:t>
      </w:r>
      <w:r>
        <w:t>is contingent on adequate and prior assessment of the specific regulatory proposal.</w:t>
      </w:r>
    </w:p>
    <w:p w:rsidR="00583E31" w:rsidRDefault="00911B0A" w:rsidP="00AA52A8">
      <w:pPr>
        <w:pStyle w:val="Quote"/>
      </w:pPr>
      <w:r>
        <w:t>R</w:t>
      </w:r>
      <w:r w:rsidR="00583E31">
        <w:t>egulatory proposals developed and assessed through external processes … may include Ministerial Council and COAG processes or other processes undertaken on behalf of government by independent bodies such as the Independent Pricing and Regulatory Tribunal (</w:t>
      </w:r>
      <w:proofErr w:type="spellStart"/>
      <w:r w:rsidR="00583E31">
        <w:t>IPART</w:t>
      </w:r>
      <w:proofErr w:type="spellEnd"/>
      <w:r w:rsidR="00583E31">
        <w:t>) or the Productivity Commission. Where these processes demonstrate the elements of good quality regulatory development, which at a minimum includes detailed regulatory impact assessment and public consultation, it is not necessary to duplicate this work when seeking approval at a NSW level. However, a short description of the process undertaken and a web link to relevant supporting information should be provided. (</w:t>
      </w:r>
      <w:r w:rsidR="009D6E06">
        <w:t>NSW Department of Premier and Cabinet 2009, </w:t>
      </w:r>
      <w:r w:rsidR="00583E31">
        <w:t>p.</w:t>
      </w:r>
      <w:r w:rsidR="009D6E06">
        <w:t> </w:t>
      </w:r>
      <w:r w:rsidR="00583E31">
        <w:t>10)</w:t>
      </w:r>
    </w:p>
    <w:p w:rsidR="000D51E7" w:rsidRDefault="005B7500" w:rsidP="000D51E7">
      <w:pPr>
        <w:pStyle w:val="BodyText"/>
        <w:keepNext/>
      </w:pPr>
      <w:r>
        <w:t>Other j</w:t>
      </w:r>
      <w:r w:rsidR="000D51E7">
        <w:t>urisdictions have permitted exclusions to the RIA process to avoid unnecessary duplication of previous impact analysis. These include exceptions covering:</w:t>
      </w:r>
    </w:p>
    <w:p w:rsidR="000D51E7" w:rsidRDefault="000D51E7" w:rsidP="000D51E7">
      <w:pPr>
        <w:pStyle w:val="ListBullet"/>
      </w:pPr>
      <w:r>
        <w:t xml:space="preserve">regulatory proposals previously </w:t>
      </w:r>
      <w:r w:rsidR="0014278B">
        <w:t>assessed or reviewed</w:t>
      </w:r>
    </w:p>
    <w:p w:rsidR="000D51E7" w:rsidRDefault="000D51E7" w:rsidP="000D51E7">
      <w:pPr>
        <w:pStyle w:val="ListBullet"/>
      </w:pPr>
      <w:r>
        <w:t>national reforms for which a suitable national or COAG RIS has been prepared</w:t>
      </w:r>
    </w:p>
    <w:p w:rsidR="000D51E7" w:rsidRDefault="000D51E7" w:rsidP="000D51E7">
      <w:pPr>
        <w:pStyle w:val="ListBullet"/>
      </w:pPr>
      <w:r>
        <w:t>adoption of Australian or international standards, where an assessment of the costs and benefits has already been made.</w:t>
      </w:r>
    </w:p>
    <w:p w:rsidR="00C24E09" w:rsidRDefault="00C24E09" w:rsidP="00C24E09">
      <w:pPr>
        <w:pStyle w:val="Heading4"/>
      </w:pPr>
      <w:r>
        <w:t>Previous reviews</w:t>
      </w:r>
    </w:p>
    <w:p w:rsidR="00583E31" w:rsidRDefault="00583E31" w:rsidP="00C135A6">
      <w:pPr>
        <w:pStyle w:val="BodyText"/>
        <w:keepNext/>
      </w:pPr>
      <w:r>
        <w:t>The Commission considers that w</w:t>
      </w:r>
      <w:r w:rsidRPr="00D42485">
        <w:t>here</w:t>
      </w:r>
      <w:r>
        <w:t xml:space="preserve"> comprehensive and rigorous </w:t>
      </w:r>
      <w:r w:rsidRPr="00D42485">
        <w:t>reviews have been cond</w:t>
      </w:r>
      <w:r>
        <w:t>ucted that have established the case for a regulatory proposal, it could be appropriate to</w:t>
      </w:r>
      <w:r w:rsidRPr="00D42485">
        <w:t xml:space="preserve"> </w:t>
      </w:r>
      <w:r>
        <w:t>waive</w:t>
      </w:r>
      <w:r w:rsidRPr="00D42485">
        <w:t xml:space="preserve"> the requirement to undertake any </w:t>
      </w:r>
      <w:r>
        <w:t xml:space="preserve">further </w:t>
      </w:r>
      <w:r w:rsidRPr="00D42485">
        <w:t xml:space="preserve">RIA. </w:t>
      </w:r>
      <w:r>
        <w:t xml:space="preserve">However, </w:t>
      </w:r>
      <w:r w:rsidR="00C45D65">
        <w:t xml:space="preserve">judgments need to be made on a case-by-case basis and </w:t>
      </w:r>
      <w:r>
        <w:t xml:space="preserve">should be </w:t>
      </w:r>
      <w:r w:rsidRPr="00D42485">
        <w:t xml:space="preserve">limited to those instances where the review </w:t>
      </w:r>
      <w:r>
        <w:t>and the regulatory proposal meet certain criteria, including</w:t>
      </w:r>
      <w:r w:rsidR="00F877E3">
        <w:t xml:space="preserve"> that the</w:t>
      </w:r>
      <w:r>
        <w:t>:</w:t>
      </w:r>
    </w:p>
    <w:p w:rsidR="00583E31" w:rsidRDefault="00583E31" w:rsidP="00213EA0">
      <w:pPr>
        <w:pStyle w:val="ListBullet"/>
      </w:pPr>
      <w:r>
        <w:t>review is recent, say within the last two to three years (the Commission notes that Victoria uses three to five years as a rough guide</w:t>
      </w:r>
      <w:r w:rsidR="00E17439">
        <w:t xml:space="preserve"> (Victorian </w:t>
      </w:r>
      <w:r w:rsidR="00AE475C" w:rsidRPr="0020547D">
        <w:t xml:space="preserve">Department of </w:t>
      </w:r>
      <w:r w:rsidR="00AE475C" w:rsidRPr="0020547D">
        <w:lastRenderedPageBreak/>
        <w:t>Treasury and Finance</w:t>
      </w:r>
      <w:r w:rsidR="00E17439">
        <w:t xml:space="preserve"> </w:t>
      </w:r>
      <w:proofErr w:type="spellStart"/>
      <w:r w:rsidR="00E17439">
        <w:t>2011a</w:t>
      </w:r>
      <w:proofErr w:type="spellEnd"/>
      <w:r w:rsidR="00E17439">
        <w:t>)</w:t>
      </w:r>
      <w:r>
        <w:t xml:space="preserve">) — </w:t>
      </w:r>
      <w:r w:rsidR="00EE13BE">
        <w:t>with older reviews, there is a risk that</w:t>
      </w:r>
      <w:r w:rsidR="004D3E78">
        <w:t xml:space="preserve"> the analysis </w:t>
      </w:r>
      <w:r w:rsidR="00EE13BE">
        <w:t xml:space="preserve">has </w:t>
      </w:r>
      <w:r w:rsidR="004D3E78">
        <w:t>becom</w:t>
      </w:r>
      <w:r w:rsidR="00EE13BE">
        <w:t xml:space="preserve">e irrelevant </w:t>
      </w:r>
      <w:r w:rsidR="004D3E78">
        <w:t>or misleading</w:t>
      </w:r>
      <w:r w:rsidR="00F877E3">
        <w:t xml:space="preserve">, </w:t>
      </w:r>
      <w:r>
        <w:t xml:space="preserve">but </w:t>
      </w:r>
      <w:r w:rsidR="00EE13BE">
        <w:t>to</w:t>
      </w:r>
      <w:r>
        <w:t xml:space="preserve"> </w:t>
      </w:r>
      <w:r w:rsidR="00EE13BE">
        <w:t>ignore</w:t>
      </w:r>
      <w:r w:rsidR="00F877E3">
        <w:t xml:space="preserve"> or </w:t>
      </w:r>
      <w:r w:rsidR="00EE13BE">
        <w:t xml:space="preserve">repeat </w:t>
      </w:r>
      <w:r w:rsidR="008F4E3B">
        <w:t xml:space="preserve">earlier </w:t>
      </w:r>
      <w:r>
        <w:t xml:space="preserve">analysis </w:t>
      </w:r>
      <w:r w:rsidR="00B30436">
        <w:t xml:space="preserve">could be </w:t>
      </w:r>
      <w:r w:rsidR="008F4E3B">
        <w:t xml:space="preserve">costly and </w:t>
      </w:r>
      <w:r w:rsidR="00B30436">
        <w:t>inefficient</w:t>
      </w:r>
      <w:r w:rsidR="008F4E3B">
        <w:t xml:space="preserve"> </w:t>
      </w:r>
    </w:p>
    <w:p w:rsidR="00583E31" w:rsidRDefault="00583E31" w:rsidP="00213EA0">
      <w:pPr>
        <w:pStyle w:val="ListBullet"/>
      </w:pPr>
      <w:r>
        <w:t>conduct of the review and the analysis in the review report are consistent with all the essential elements of the RIA framework, including with respect</w:t>
      </w:r>
      <w:r w:rsidR="00350E3A">
        <w:t xml:space="preserve"> to adequate consultation</w:t>
      </w:r>
    </w:p>
    <w:p w:rsidR="00583E31" w:rsidRDefault="00583E31" w:rsidP="00213EA0">
      <w:pPr>
        <w:pStyle w:val="ListBullet"/>
      </w:pPr>
      <w:r>
        <w:t>review contains sufficiently detailed analysis relevant to the specific regulatory proposal</w:t>
      </w:r>
    </w:p>
    <w:p w:rsidR="00583E31" w:rsidRDefault="00583E31" w:rsidP="00213EA0">
      <w:pPr>
        <w:pStyle w:val="ListBullet"/>
      </w:pPr>
      <w:r>
        <w:t>proposal is largely consistent with the recommendations of the review.</w:t>
      </w:r>
    </w:p>
    <w:p w:rsidR="00FB087A" w:rsidRDefault="00583E31" w:rsidP="00A37D90">
      <w:pPr>
        <w:pStyle w:val="BodyText"/>
      </w:pPr>
      <w:r>
        <w:t xml:space="preserve">Ideally, the review </w:t>
      </w:r>
      <w:r w:rsidR="00FF456A">
        <w:t>w</w:t>
      </w:r>
      <w:r>
        <w:t>ould</w:t>
      </w:r>
      <w:r w:rsidR="00C53161">
        <w:t xml:space="preserve"> also </w:t>
      </w:r>
      <w:r w:rsidR="00FF456A">
        <w:t>have been</w:t>
      </w:r>
      <w:r w:rsidR="00C53161">
        <w:t xml:space="preserve"> public and independent —</w:t>
      </w:r>
      <w:r>
        <w:t xml:space="preserve"> that is</w:t>
      </w:r>
      <w:r w:rsidR="00C53161">
        <w:t>,</w:t>
      </w:r>
      <w:r>
        <w:t xml:space="preserve"> it </w:t>
      </w:r>
      <w:r w:rsidR="00FF456A">
        <w:t>w</w:t>
      </w:r>
      <w:r>
        <w:t xml:space="preserve">ould </w:t>
      </w:r>
      <w:r w:rsidR="00FF456A">
        <w:t>have been</w:t>
      </w:r>
      <w:r>
        <w:t xml:space="preserve"> conducted at arm</w:t>
      </w:r>
      <w:r w:rsidR="00B30436">
        <w:t>’</w:t>
      </w:r>
      <w:r>
        <w:t>s length from the agency pro</w:t>
      </w:r>
      <w:r w:rsidR="002D293B">
        <w:t>posing the relevant regulation.</w:t>
      </w:r>
    </w:p>
    <w:p w:rsidR="00D602A3" w:rsidRDefault="00D602A3" w:rsidP="00D602A3">
      <w:pPr>
        <w:pStyle w:val="BodyText"/>
      </w:pPr>
      <w:r>
        <w:t xml:space="preserve">Where previous reviews have been conducted, consideration could be given to </w:t>
      </w:r>
      <w:r w:rsidR="00C45D65">
        <w:t xml:space="preserve">parts of these reviews </w:t>
      </w:r>
      <w:r>
        <w:t>substituting for specific aspects of the RIS requirements. This would include, for example, public discussion papers or exposure drafts which address the same problem as that conducted in the RIS, and potential options for resolving it. Nevertheless, at a minimum, the RIS should summarise what was presented in the review, as well as feedback from stakeholders. If there was no, or only limited opportunity for affected parties to provide input into the review, then consultation with stakeholders would still be necessary to meet the RIS requirements.</w:t>
      </w:r>
    </w:p>
    <w:p w:rsidR="00C45D65" w:rsidRDefault="00C45D65" w:rsidP="00C45D65">
      <w:pPr>
        <w:pStyle w:val="BodyText"/>
      </w:pPr>
      <w:r>
        <w:t>The Commission understands that previous reviews have been accepted by the Western Australian oversight body on occasion as a substitute to the requirement to undertake a consultation RIS. The Western Australian Department of Treasury noted that ‘prior analysis is a ground for exception from full RIA examination’ (sub. </w:t>
      </w:r>
      <w:proofErr w:type="spellStart"/>
      <w:r>
        <w:t>DR37</w:t>
      </w:r>
      <w:proofErr w:type="spellEnd"/>
      <w:r>
        <w:t xml:space="preserve">, p. 3). Accordingly, it reported that of the concerns expressed over the number and frequency of Treasurer’s </w:t>
      </w:r>
      <w:r w:rsidR="003938BC">
        <w:t>e</w:t>
      </w:r>
      <w:r>
        <w:t xml:space="preserve">xemptions granted in Western Australia, the majority related to proposals which had been subject to previous policy development. </w:t>
      </w:r>
    </w:p>
    <w:p w:rsidR="001A64E4" w:rsidRDefault="001A64E4" w:rsidP="001A64E4">
      <w:pPr>
        <w:pStyle w:val="Heading4"/>
      </w:pPr>
      <w:r>
        <w:t>Agreed national reforms</w:t>
      </w:r>
    </w:p>
    <w:p w:rsidR="005313FA" w:rsidRDefault="002A4622" w:rsidP="002A4622">
      <w:pPr>
        <w:pStyle w:val="BodyText"/>
      </w:pPr>
      <w:r>
        <w:t>All states and the ACT have a specific exception for regulatory proposals that have been assessed as part of national reform (COAG) processes.</w:t>
      </w:r>
    </w:p>
    <w:p w:rsidR="00583E31" w:rsidRDefault="002A4622" w:rsidP="00EC74D9">
      <w:pPr>
        <w:pStyle w:val="BodyText"/>
      </w:pPr>
      <w:r>
        <w:t>As noted above, the Northern Territory permits exceptions where ‘a sufficient level of analysis’ has been undertaken in other national reform processes.</w:t>
      </w:r>
      <w:r w:rsidR="00C45D65">
        <w:t xml:space="preserve"> </w:t>
      </w:r>
      <w:r w:rsidR="00583E31">
        <w:t>In Queensland, Western Australia, South Australia and the ACT</w:t>
      </w:r>
      <w:r w:rsidR="00C53161">
        <w:t>,</w:t>
      </w:r>
      <w:r w:rsidR="00583E31" w:rsidRPr="007856C1">
        <w:t xml:space="preserve"> </w:t>
      </w:r>
      <w:r w:rsidR="00583E31">
        <w:t>jurisdictional</w:t>
      </w:r>
      <w:r w:rsidR="00C45D65">
        <w:t>–</w:t>
      </w:r>
      <w:r w:rsidR="00583E31">
        <w:t xml:space="preserve">specific impacts </w:t>
      </w:r>
      <w:r w:rsidR="00583E31">
        <w:lastRenderedPageBreak/>
        <w:t>need to have been identified and assessed in a national RIS for the exception to apply. In addition to assessing jurisdictional impacts, Victoria and New South Wales explicitly require that the national RIS satisfy their respective state RIS requirements. Further issues in relation to the content of COAG RISs and, in particular, the extent to which they consider jurisdiction-specific imp</w:t>
      </w:r>
      <w:r w:rsidR="00DC5198">
        <w:t xml:space="preserve">acts, are discussed </w:t>
      </w:r>
      <w:r w:rsidR="005313FA">
        <w:t xml:space="preserve">further </w:t>
      </w:r>
      <w:r w:rsidR="00DC5198">
        <w:t>in chapter 6</w:t>
      </w:r>
      <w:r w:rsidR="00583E31">
        <w:t>.</w:t>
      </w:r>
    </w:p>
    <w:p w:rsidR="006B43C6" w:rsidRDefault="00965E1A" w:rsidP="002A4622">
      <w:pPr>
        <w:pStyle w:val="BodyText"/>
      </w:pPr>
      <w:r>
        <w:t>In most jurisdictions, there are examples of primary legislation containing clauses that expressly exclude the application of RIA to regulations that are subsequently made under the relevant Act. In some cases these exclusions relate to the implementation or subsequent amendment of national framework laws and have the objective of preserving uniformity and avoiding duplication of national RIA processes.</w:t>
      </w:r>
      <w:r w:rsidR="006B43C6">
        <w:t xml:space="preserve"> </w:t>
      </w:r>
      <w:r>
        <w:t>A recent example of such an exclusion surrounded the introduction of the National Energy Retail Law (</w:t>
      </w:r>
      <w:proofErr w:type="spellStart"/>
      <w:r>
        <w:t>NERL</w:t>
      </w:r>
      <w:proofErr w:type="spellEnd"/>
      <w:r>
        <w:t>) in the ACT</w:t>
      </w:r>
      <w:r w:rsidR="00947FB3">
        <w:t xml:space="preserve"> (Standing Committee on Justice and Community Safety (</w:t>
      </w:r>
      <w:proofErr w:type="spellStart"/>
      <w:r w:rsidR="00947FB3">
        <w:t>SCJCS</w:t>
      </w:r>
      <w:proofErr w:type="spellEnd"/>
      <w:r w:rsidR="00947FB3">
        <w:t xml:space="preserve">) </w:t>
      </w:r>
      <w:proofErr w:type="spellStart"/>
      <w:r w:rsidR="00947FB3">
        <w:t>2012a</w:t>
      </w:r>
      <w:proofErr w:type="spellEnd"/>
      <w:r w:rsidR="00947FB3">
        <w:t>)</w:t>
      </w:r>
      <w:r w:rsidR="000D2708">
        <w:t>.</w:t>
      </w:r>
    </w:p>
    <w:p w:rsidR="006B43C6" w:rsidRDefault="006B43C6" w:rsidP="002A4622">
      <w:pPr>
        <w:pStyle w:val="BodyText"/>
      </w:pPr>
      <w:r>
        <w:t xml:space="preserve">While production of an ACT RIS was considered ‘unnecessarily duplicative’, the Commission notes that when the </w:t>
      </w:r>
      <w:proofErr w:type="spellStart"/>
      <w:r>
        <w:t>NERL</w:t>
      </w:r>
      <w:proofErr w:type="spellEnd"/>
      <w:r>
        <w:t xml:space="preserve"> was adopted in NSW, the adoption Act included provision for </w:t>
      </w:r>
      <w:r w:rsidR="000D2708">
        <w:t xml:space="preserve">further analysis to meet </w:t>
      </w:r>
      <w:r>
        <w:t xml:space="preserve">NSW </w:t>
      </w:r>
      <w:proofErr w:type="spellStart"/>
      <w:r>
        <w:t>RIS</w:t>
      </w:r>
      <w:proofErr w:type="spellEnd"/>
      <w:r>
        <w:t xml:space="preserve"> requirements</w:t>
      </w:r>
      <w:r w:rsidR="00947FB3">
        <w:t xml:space="preserve"> (</w:t>
      </w:r>
      <w:proofErr w:type="spellStart"/>
      <w:r w:rsidR="00947FB3">
        <w:t>SCJCS</w:t>
      </w:r>
      <w:proofErr w:type="spellEnd"/>
      <w:r w:rsidR="00D126B6">
        <w:t> </w:t>
      </w:r>
      <w:proofErr w:type="spellStart"/>
      <w:r w:rsidR="00947FB3">
        <w:t>2012b</w:t>
      </w:r>
      <w:proofErr w:type="spellEnd"/>
      <w:r w:rsidR="00947FB3">
        <w:t>)</w:t>
      </w:r>
      <w:r>
        <w:t>.</w:t>
      </w:r>
    </w:p>
    <w:p w:rsidR="00965E1A" w:rsidRDefault="00965E1A" w:rsidP="002A4622">
      <w:pPr>
        <w:pStyle w:val="BodyText"/>
      </w:pPr>
      <w:r>
        <w:t xml:space="preserve">Where national reforms are adopted by individual jurisdictions, it is important that the RIS give adequate consideration to jurisdictional impacts. </w:t>
      </w:r>
      <w:r w:rsidR="00D126B6">
        <w:t>Individual j</w:t>
      </w:r>
      <w:r>
        <w:t xml:space="preserve">urisdictions would need compelling reasons for pre-emptively excluding the application of </w:t>
      </w:r>
      <w:r w:rsidR="00D126B6">
        <w:t xml:space="preserve">their own </w:t>
      </w:r>
      <w:r>
        <w:t xml:space="preserve">RIA </w:t>
      </w:r>
      <w:r w:rsidR="00D126B6">
        <w:t xml:space="preserve">processes to </w:t>
      </w:r>
      <w:r w:rsidR="00C45D65">
        <w:t xml:space="preserve">their jurisdiction adoption of </w:t>
      </w:r>
      <w:r w:rsidR="00D126B6">
        <w:t>such national reforms.</w:t>
      </w:r>
      <w:r>
        <w:t xml:space="preserve"> The </w:t>
      </w:r>
      <w:r w:rsidR="009E2C49">
        <w:t>RIA requirements</w:t>
      </w:r>
      <w:r>
        <w:t xml:space="preserve"> of RISs </w:t>
      </w:r>
      <w:r w:rsidR="00932A75">
        <w:t xml:space="preserve">for national reforms </w:t>
      </w:r>
      <w:r>
        <w:t>are discussed in chapter 6.</w:t>
      </w:r>
    </w:p>
    <w:p w:rsidR="001A64E4" w:rsidRDefault="001A64E4" w:rsidP="001A64E4">
      <w:pPr>
        <w:pStyle w:val="Heading4"/>
      </w:pPr>
      <w:r>
        <w:t xml:space="preserve">Adoption of </w:t>
      </w:r>
      <w:r w:rsidR="00EE13BE">
        <w:t xml:space="preserve">an </w:t>
      </w:r>
      <w:r>
        <w:t>international or Australian standard</w:t>
      </w:r>
    </w:p>
    <w:p w:rsidR="00583E31" w:rsidRDefault="00583E31" w:rsidP="0068317B">
      <w:pPr>
        <w:pStyle w:val="BodyText"/>
      </w:pPr>
      <w:r>
        <w:t xml:space="preserve">Another common exception relates to proposals adopting international or Australian standards or codes of practice, where an assessment of the costs and benefits has already been made. </w:t>
      </w:r>
      <w:r w:rsidR="005313FA">
        <w:t>For example, i</w:t>
      </w:r>
      <w:r>
        <w:t>n Western Australia and the ACT</w:t>
      </w:r>
      <w:r w:rsidR="00C53161">
        <w:t>,</w:t>
      </w:r>
      <w:r>
        <w:t xml:space="preserve"> no national RIS is required </w:t>
      </w:r>
      <w:r w:rsidR="00DD18ED">
        <w:t>in order to</w:t>
      </w:r>
      <w:r>
        <w:t xml:space="preserve"> adopt an international or Australi</w:t>
      </w:r>
      <w:r w:rsidR="00C53161">
        <w:t>an standard or code of conduct.</w:t>
      </w:r>
    </w:p>
    <w:p w:rsidR="00583E31" w:rsidRDefault="00583E31" w:rsidP="0068317B">
      <w:pPr>
        <w:pStyle w:val="BodyText"/>
      </w:pPr>
      <w:r>
        <w:t xml:space="preserve">Some stakeholders are of the view that RIA should generally not be required if a proposal is merely adopting an international standard. </w:t>
      </w:r>
      <w:r w:rsidR="00790489">
        <w:t>For example, t</w:t>
      </w:r>
      <w:r>
        <w:t>he Australian Accounting Standards Board (</w:t>
      </w:r>
      <w:proofErr w:type="spellStart"/>
      <w:r>
        <w:t>AASB</w:t>
      </w:r>
      <w:proofErr w:type="spellEnd"/>
      <w:r>
        <w:t>) considers that:</w:t>
      </w:r>
    </w:p>
    <w:p w:rsidR="00583E31" w:rsidRDefault="00583E31" w:rsidP="00714C60">
      <w:pPr>
        <w:pStyle w:val="Quote"/>
      </w:pPr>
      <w:r w:rsidRPr="009642B0">
        <w:t xml:space="preserve">if </w:t>
      </w:r>
      <w:r>
        <w:t>…</w:t>
      </w:r>
      <w:r w:rsidRPr="009642B0">
        <w:t xml:space="preserve"> adopting an </w:t>
      </w:r>
      <w:proofErr w:type="spellStart"/>
      <w:r w:rsidRPr="009642B0">
        <w:t>IFRS</w:t>
      </w:r>
      <w:proofErr w:type="spellEnd"/>
      <w:r>
        <w:t xml:space="preserve"> </w:t>
      </w:r>
      <w:r w:rsidRPr="0068317B">
        <w:t>[</w:t>
      </w:r>
      <w:r w:rsidR="00B30436">
        <w:t>International Financial Reporting Standard</w:t>
      </w:r>
      <w:r w:rsidRPr="0068317B">
        <w:t>]</w:t>
      </w:r>
      <w:r w:rsidRPr="009642B0">
        <w:t xml:space="preserve">, there could be a presumption that RIA processes are not required because of the established benefits of remaining </w:t>
      </w:r>
      <w:proofErr w:type="spellStart"/>
      <w:r w:rsidRPr="009642B0">
        <w:t>IFRS</w:t>
      </w:r>
      <w:proofErr w:type="spellEnd"/>
      <w:r w:rsidRPr="009642B0">
        <w:t xml:space="preserve">-compliant (and therefore remaining consistent with our international </w:t>
      </w:r>
      <w:r w:rsidRPr="009642B0">
        <w:lastRenderedPageBreak/>
        <w:t xml:space="preserve">peers). Alternatively, if the </w:t>
      </w:r>
      <w:proofErr w:type="spellStart"/>
      <w:r w:rsidRPr="009642B0">
        <w:t>AASB</w:t>
      </w:r>
      <w:proofErr w:type="spellEnd"/>
      <w:r w:rsidRPr="009642B0">
        <w:t xml:space="preserve"> is contemplating not adopting an </w:t>
      </w:r>
      <w:proofErr w:type="spellStart"/>
      <w:r w:rsidRPr="009642B0">
        <w:t>IFRS</w:t>
      </w:r>
      <w:proofErr w:type="spellEnd"/>
      <w:r w:rsidRPr="009642B0">
        <w:t>, there could be a presumption that a rigorous RIA process would be needed.</w:t>
      </w:r>
      <w:r>
        <w:t xml:space="preserve"> (</w:t>
      </w:r>
      <w:proofErr w:type="spellStart"/>
      <w:r>
        <w:t>AASB</w:t>
      </w:r>
      <w:proofErr w:type="spellEnd"/>
      <w:r>
        <w:t>, sub. 15, p. 2)</w:t>
      </w:r>
    </w:p>
    <w:p w:rsidR="00583E31" w:rsidRDefault="00583E31" w:rsidP="00886F4D">
      <w:pPr>
        <w:pStyle w:val="BodyText"/>
      </w:pPr>
      <w:r>
        <w:t xml:space="preserve">While the Commission has previously stated (see for example, PC </w:t>
      </w:r>
      <w:proofErr w:type="spellStart"/>
      <w:r>
        <w:t>2006</w:t>
      </w:r>
      <w:r w:rsidR="00336AF0">
        <w:t>a</w:t>
      </w:r>
      <w:proofErr w:type="spellEnd"/>
      <w:r>
        <w:t xml:space="preserve">) that there should be a </w:t>
      </w:r>
      <w:r w:rsidR="000958AA">
        <w:t>presumption in favour of</w:t>
      </w:r>
      <w:r>
        <w:t xml:space="preserve"> adopting international standards because they facilitate trade, promote competition and potentially provide consumers with greater choice, they will not always be </w:t>
      </w:r>
      <w:r w:rsidR="005313FA">
        <w:t xml:space="preserve">the best option </w:t>
      </w:r>
      <w:r>
        <w:t>for adoption in Australia.</w:t>
      </w:r>
      <w:r w:rsidR="003C33C5">
        <w:t xml:space="preserve"> A</w:t>
      </w:r>
      <w:r>
        <w:t>ny decision to reference an Australian Standard in regulation or to align with an international standard must be based on a case-by-case assessment of whether there are net benefits to the Australian community as a whole. It is therefore appropriate that RIA be conducted before any such decisions are taken, unless suitable previous assessments have demonstrated the case for such adoption in Australia.</w:t>
      </w:r>
      <w:r w:rsidR="00FA2958">
        <w:t xml:space="preserve"> </w:t>
      </w:r>
      <w:r w:rsidR="00085A92">
        <w:t xml:space="preserve">There may </w:t>
      </w:r>
      <w:r w:rsidR="00DC42FE">
        <w:t xml:space="preserve">additionally </w:t>
      </w:r>
      <w:r w:rsidR="00085A92">
        <w:t xml:space="preserve">be merit in a memorandum of understanding between the oversight body and the proposing agency specifying the criteria that would need to be satisfied </w:t>
      </w:r>
      <w:r w:rsidR="00DC42FE">
        <w:t>before adopting</w:t>
      </w:r>
      <w:r w:rsidR="00085A92">
        <w:t xml:space="preserve"> international standards (chapter 10).</w:t>
      </w:r>
    </w:p>
    <w:p w:rsidR="00965E1A" w:rsidRDefault="00965E1A" w:rsidP="00C45D65">
      <w:pPr>
        <w:pStyle w:val="Heading3"/>
      </w:pPr>
      <w:r>
        <w:t>International treaties</w:t>
      </w:r>
    </w:p>
    <w:p w:rsidR="004956BC" w:rsidRDefault="00DC7352" w:rsidP="00886F4D">
      <w:pPr>
        <w:pStyle w:val="BodyText"/>
      </w:pPr>
      <w:r>
        <w:t>Australia’s participation in i</w:t>
      </w:r>
      <w:r w:rsidR="00096F8E">
        <w:t>nternational</w:t>
      </w:r>
      <w:r w:rsidR="00CF0B37">
        <w:t xml:space="preserve"> </w:t>
      </w:r>
      <w:r w:rsidR="00085A92">
        <w:t xml:space="preserve">treaties </w:t>
      </w:r>
      <w:r>
        <w:t>is</w:t>
      </w:r>
      <w:r w:rsidR="00CF0B37">
        <w:t xml:space="preserve"> </w:t>
      </w:r>
      <w:r w:rsidR="00096F8E">
        <w:t xml:space="preserve">currently </w:t>
      </w:r>
      <w:r w:rsidR="00CF0B37">
        <w:t>subject to</w:t>
      </w:r>
      <w:r w:rsidR="00096F8E">
        <w:t xml:space="preserve"> the</w:t>
      </w:r>
      <w:r w:rsidR="00CF0B37">
        <w:t xml:space="preserve"> </w:t>
      </w:r>
      <w:r w:rsidR="00886F4D">
        <w:t xml:space="preserve">Commonwealth </w:t>
      </w:r>
      <w:r w:rsidR="00CF0B37">
        <w:t xml:space="preserve">RIA </w:t>
      </w:r>
      <w:r w:rsidR="00085A92">
        <w:t>requirements</w:t>
      </w:r>
      <w:r w:rsidR="00CF0B37">
        <w:t xml:space="preserve">. </w:t>
      </w:r>
      <w:r w:rsidR="004956BC">
        <w:t>The Australian Government Handbook states that:</w:t>
      </w:r>
    </w:p>
    <w:p w:rsidR="004956BC" w:rsidRDefault="004956BC" w:rsidP="00886F4D">
      <w:pPr>
        <w:pStyle w:val="Quote"/>
      </w:pPr>
      <w:r>
        <w:t xml:space="preserve">At [the </w:t>
      </w:r>
      <w:r w:rsidR="00CB7360">
        <w:t>negotiation</w:t>
      </w:r>
      <w:r>
        <w:t>] stage, the RIS should focus on the nature of the problem being addressed, the objectives of the proposed treaty and a preliminary discussion of options and their respective costs,</w:t>
      </w:r>
      <w:r w:rsidR="00CB7360">
        <w:t xml:space="preserve"> benefits and levels of risk</w:t>
      </w:r>
      <w:r>
        <w:t xml:space="preserve"> </w:t>
      </w:r>
      <w:r w:rsidR="00CB7360">
        <w:t xml:space="preserve">… When endorsement is sought to sign the final text of a treaty, the RIS would need to include a more detailed analysis that assesses the likely impacts … A further RIS is not required for domestic legislative changes that are required to implement a treaty if the terms of the treaty determine the action required to implement it. However, a RIS may be required for the domestic legislation if there is any discretion about the nature of the action to be taken to implement the treaty. </w:t>
      </w:r>
      <w:r>
        <w:t xml:space="preserve">(Australian Government </w:t>
      </w:r>
      <w:proofErr w:type="spellStart"/>
      <w:r>
        <w:t>2010a</w:t>
      </w:r>
      <w:proofErr w:type="spellEnd"/>
      <w:r>
        <w:t>, p. 22)</w:t>
      </w:r>
    </w:p>
    <w:p w:rsidR="008237C8" w:rsidRDefault="00CF0B37" w:rsidP="00886F4D">
      <w:pPr>
        <w:pStyle w:val="BodyText"/>
      </w:pPr>
      <w:r>
        <w:t>Some stakeholders suggested that international treaties should not be subject to RIA requirements, or should be subject to only one RIS. For example, the Department of Infrastructure and Transport submitted that:</w:t>
      </w:r>
    </w:p>
    <w:p w:rsidR="00CF0B37" w:rsidRDefault="00CF0B37" w:rsidP="00886F4D">
      <w:pPr>
        <w:pStyle w:val="Quote"/>
      </w:pPr>
      <w:r>
        <w:t>[t]</w:t>
      </w:r>
      <w:r w:rsidRPr="00CF0B37">
        <w:t>he treaty itself does not impose any rules on any parties other than the state parties. In such a circumstance, current RIA requirements (in theory) subject both the treaty and the subsequent implementing “regulation” (e.g. legislation, regulation, quasi-regulation) to RIA requirements, creating a situation where multiple RIA processes may be required.</w:t>
      </w:r>
      <w:r w:rsidR="00FD155A">
        <w:t xml:space="preserve"> (sub. </w:t>
      </w:r>
      <w:proofErr w:type="spellStart"/>
      <w:r w:rsidR="00FD155A">
        <w:t>DR36</w:t>
      </w:r>
      <w:proofErr w:type="spellEnd"/>
      <w:r w:rsidR="00FD155A">
        <w:t>, p. 1)</w:t>
      </w:r>
    </w:p>
    <w:p w:rsidR="008979EA" w:rsidRDefault="008979EA" w:rsidP="00886F4D">
      <w:pPr>
        <w:pStyle w:val="BodyText"/>
      </w:pPr>
      <w:r>
        <w:t xml:space="preserve">In principle, the approach to treaties as outlined in the Handbook is broadly appropriate. The decision maker ought to be informed — prior to making a decision — </w:t>
      </w:r>
      <w:r w:rsidR="002568A5">
        <w:t>that there is in fact a</w:t>
      </w:r>
      <w:r>
        <w:t xml:space="preserve"> problem</w:t>
      </w:r>
      <w:r w:rsidR="002568A5">
        <w:t>,</w:t>
      </w:r>
      <w:r>
        <w:t xml:space="preserve"> and the potential avenues to resolve it. </w:t>
      </w:r>
      <w:r>
        <w:lastRenderedPageBreak/>
        <w:t xml:space="preserve">Nevertheless, it </w:t>
      </w:r>
      <w:r w:rsidR="00362A74">
        <w:t>is foreseeable</w:t>
      </w:r>
      <w:r>
        <w:t xml:space="preserve"> that in certain circumstances </w:t>
      </w:r>
      <w:r w:rsidR="00362A74">
        <w:t>this</w:t>
      </w:r>
      <w:r>
        <w:t xml:space="preserve"> would be difficult to operationalize. For example, it would be difficult to adequately </w:t>
      </w:r>
      <w:r w:rsidR="00886F4D">
        <w:t>describe the range of feasible options to address a problem</w:t>
      </w:r>
      <w:r>
        <w:t xml:space="preserve"> if negotiations are yet to take place, and there is no </w:t>
      </w:r>
      <w:r w:rsidR="00362A74">
        <w:t xml:space="preserve">available </w:t>
      </w:r>
      <w:r>
        <w:t>information as to what may be negotiated.</w:t>
      </w:r>
      <w:r w:rsidR="005313FA">
        <w:t xml:space="preserve"> Moreover,</w:t>
      </w:r>
      <w:r w:rsidR="00C45D65">
        <w:t xml:space="preserve"> </w:t>
      </w:r>
      <w:r>
        <w:t xml:space="preserve">assessing the benefits, costs and risks of the various options prior to negotiations taking place is likely to prove unworkable. Therefore, at the negotiation stage, the RIS should be required to outline the problem, objectives and </w:t>
      </w:r>
      <w:r w:rsidR="00362A74">
        <w:t xml:space="preserve">alternative </w:t>
      </w:r>
      <w:r>
        <w:t xml:space="preserve">options — and any information on impacts if available. Once negotiations have been </w:t>
      </w:r>
      <w:r w:rsidR="00362A74">
        <w:t>finalised</w:t>
      </w:r>
      <w:r>
        <w:t xml:space="preserve">, the remaining RIS elements should then be </w:t>
      </w:r>
      <w:r w:rsidR="00362A74">
        <w:t>completed</w:t>
      </w:r>
      <w:r>
        <w:t>.</w:t>
      </w:r>
    </w:p>
    <w:p w:rsidR="00965E1A" w:rsidRDefault="00965E1A" w:rsidP="00965E1A">
      <w:pPr>
        <w:pStyle w:val="Heading3"/>
      </w:pPr>
      <w:r>
        <w:t>Election commitments</w:t>
      </w:r>
    </w:p>
    <w:p w:rsidR="00965E1A" w:rsidRDefault="00965E1A" w:rsidP="00965E1A">
      <w:pPr>
        <w:pStyle w:val="BodyText"/>
      </w:pPr>
      <w:r>
        <w:t>Some stakeholders raised particular concerns about election commitments avoiding RIA (see, for example, Centre for International Economics, sub. 14).</w:t>
      </w:r>
    </w:p>
    <w:p w:rsidR="00965E1A" w:rsidRDefault="00965E1A" w:rsidP="00965E1A">
      <w:pPr>
        <w:pStyle w:val="BodyText"/>
      </w:pPr>
      <w:r>
        <w:t xml:space="preserve">There appears to be a widely held misconception that RIA requirements generally do not apply to election commitments. However, an exception applies only in Western Australia ‘[w]here options for the implementation of the commitment would not benefit from a RIA style options analysis’ (WA Treasury </w:t>
      </w:r>
      <w:proofErr w:type="spellStart"/>
      <w:r>
        <w:t>2010a</w:t>
      </w:r>
      <w:proofErr w:type="spellEnd"/>
      <w:r>
        <w:t>, p. 6).</w:t>
      </w:r>
    </w:p>
    <w:p w:rsidR="00965E1A" w:rsidRDefault="00965E1A" w:rsidP="00965E1A">
      <w:pPr>
        <w:pStyle w:val="BodyText"/>
      </w:pPr>
      <w:r>
        <w:t xml:space="preserve">Since 2010, the Commonwealth has required a modified RIS for election commitments — ‘the RIS should focus on the commitment and the manner in which the commitment should be implemented, not on the initial regulatory decision’ (Australian Government </w:t>
      </w:r>
      <w:proofErr w:type="spellStart"/>
      <w:r>
        <w:t>2010a</w:t>
      </w:r>
      <w:proofErr w:type="spellEnd"/>
      <w:r>
        <w:t>, p. 15).</w:t>
      </w:r>
    </w:p>
    <w:p w:rsidR="00965E1A" w:rsidRDefault="00965E1A" w:rsidP="00965E1A">
      <w:pPr>
        <w:pStyle w:val="BodyText"/>
      </w:pPr>
      <w:r>
        <w:t>Although there is often little prospect of RIA conducted for an election commitment influencing policy outcomes in the short-term, there can be an important transparency benefit from a full disclosure in a RIS of the impacts of the announced policy relative to alternative options that may or may not have been considered. The Commission recognises that there may be a strong disincentive for agencies to show the Government’s preferred option in a bad light. However, with appropriate oversight, transparency and accountability measures in place, a requirement for a full RIS for election commitments could actually work to force agencies to release rigorous assessments and in turn to discourage ill-considered commitments being made during election campaigns or implemented thereafter.</w:t>
      </w:r>
    </w:p>
    <w:p w:rsidR="00965E1A" w:rsidRDefault="00965E1A" w:rsidP="00965E1A">
      <w:pPr>
        <w:pStyle w:val="FindingTitle"/>
        <w:framePr w:wrap="auto"/>
      </w:pPr>
      <w:r>
        <w:t>leading practice 5.</w:t>
      </w:r>
      <w:r w:rsidR="00DE3A5F">
        <w:rPr>
          <w:noProof/>
        </w:rPr>
        <w:t>1</w:t>
      </w:r>
    </w:p>
    <w:p w:rsidR="00965E1A" w:rsidRPr="00C45D65" w:rsidRDefault="00965E1A" w:rsidP="00965E1A">
      <w:pPr>
        <w:pStyle w:val="Finding"/>
        <w:rPr>
          <w:b/>
        </w:rPr>
      </w:pPr>
      <w:r w:rsidRPr="00C45D65">
        <w:rPr>
          <w:b/>
        </w:rPr>
        <w:t>Subjecting election commitments to RIA requirements enhances the integrity of the process. Where the requirement for a RIS is triggered, analysis would ideally reflect the full RIS requirements, but at a minimum include analysis of the implementation of the announced regulatory option.</w:t>
      </w:r>
    </w:p>
    <w:p w:rsidR="00583E31" w:rsidRDefault="00583E31" w:rsidP="006F527D">
      <w:pPr>
        <w:pStyle w:val="Heading3"/>
      </w:pPr>
      <w:r>
        <w:lastRenderedPageBreak/>
        <w:t>Taxation and other commercially sensitive proposals</w:t>
      </w:r>
    </w:p>
    <w:p w:rsidR="00583E31" w:rsidRDefault="00583E31" w:rsidP="00CB5779">
      <w:pPr>
        <w:pStyle w:val="BodyText"/>
      </w:pPr>
      <w:r>
        <w:t>In Queensland, South Australia, Western Australia</w:t>
      </w:r>
      <w:r w:rsidR="00E17B17">
        <w:t>,</w:t>
      </w:r>
      <w:r>
        <w:t xml:space="preserve"> Tasmania</w:t>
      </w:r>
      <w:r w:rsidR="00E17B17">
        <w:t xml:space="preserve"> and the Northern Territory</w:t>
      </w:r>
      <w:r>
        <w:t>, r</w:t>
      </w:r>
      <w:r w:rsidR="00E17B17">
        <w:t xml:space="preserve">egulatory proposals relating to </w:t>
      </w:r>
      <w:r w:rsidR="00811352">
        <w:t xml:space="preserve">budgetary matters </w:t>
      </w:r>
      <w:r>
        <w:t>are not subject to RIA. In the other jurisdictions the normal RIA requirements</w:t>
      </w:r>
      <w:r w:rsidR="00C21A84" w:rsidRPr="00C21A84">
        <w:t xml:space="preserve"> </w:t>
      </w:r>
      <w:r w:rsidR="00C21A84">
        <w:t>apply,</w:t>
      </w:r>
      <w:r>
        <w:t xml:space="preserve"> including the preparation of a RIS document</w:t>
      </w:r>
      <w:r w:rsidR="00FF456A">
        <w:t>. T</w:t>
      </w:r>
      <w:r>
        <w:t>he Commission notes</w:t>
      </w:r>
      <w:r w:rsidR="00FF456A">
        <w:t xml:space="preserve"> though</w:t>
      </w:r>
      <w:r>
        <w:t xml:space="preserve"> that Commonwealth taxation proposals have, under previous RIA arrangements, been subject to separate </w:t>
      </w:r>
      <w:r w:rsidR="00192107">
        <w:t>‘</w:t>
      </w:r>
      <w:r>
        <w:t>Taxation RIS</w:t>
      </w:r>
      <w:r w:rsidR="00192107">
        <w:t>’</w:t>
      </w:r>
      <w:r>
        <w:t xml:space="preserve"> requirements (that focus primarily on implementation aspects and compliance costs, rather than policy alternatives).</w:t>
      </w:r>
    </w:p>
    <w:p w:rsidR="00583E31" w:rsidRDefault="00583E31" w:rsidP="00CB5779">
      <w:pPr>
        <w:pStyle w:val="BodyText"/>
      </w:pPr>
      <w:r>
        <w:t>Given taxation proposals typically have significant impacts on businesses or individuals and indirectly on consumers and other groups in the community</w:t>
      </w:r>
      <w:r w:rsidR="004B3740">
        <w:t>,</w:t>
      </w:r>
      <w:r>
        <w:t xml:space="preserve"> it is important that they are subjected to rigorous RIA</w:t>
      </w:r>
      <w:r w:rsidR="0032208B">
        <w:t xml:space="preserve">. </w:t>
      </w:r>
      <w:r w:rsidR="00192107">
        <w:t xml:space="preserve">Unrestricted consultation and wide dissemination of information to stakeholders are important principles of effective policy making processes. </w:t>
      </w:r>
      <w:r>
        <w:t>That said, because of the sensitive nature of taxation proposals and the scope to induce speculative or avoidance behaviour</w:t>
      </w:r>
      <w:r w:rsidR="00435348">
        <w:t>,</w:t>
      </w:r>
      <w:r>
        <w:t xml:space="preserve"> it may not always be appropriate to widely publicise draft proposals</w:t>
      </w:r>
      <w:r w:rsidR="00FF456A">
        <w:t>.</w:t>
      </w:r>
      <w:r>
        <w:t xml:space="preserve"> </w:t>
      </w:r>
      <w:r w:rsidR="00FF456A">
        <w:t>Hence,</w:t>
      </w:r>
      <w:r>
        <w:t xml:space="preserve"> special considerations may need to be taken into account in designing consultation processes (such as the need for confidentiality agreements with stakehold</w:t>
      </w:r>
      <w:r w:rsidR="003A11C5">
        <w:t>ers). Similar considerations may</w:t>
      </w:r>
      <w:r>
        <w:t xml:space="preserve"> apply more generally to financial measures or other sensitive proposals, where advance notice of intended changes can lead to responses in markets that can undermine their effectiveness an</w:t>
      </w:r>
      <w:r w:rsidR="00DC5198">
        <w:t>d/or increase associated costs.</w:t>
      </w:r>
    </w:p>
    <w:p w:rsidR="00583E31" w:rsidRDefault="00583E31" w:rsidP="00CB5779">
      <w:pPr>
        <w:pStyle w:val="BodyText"/>
      </w:pPr>
      <w:r>
        <w:t xml:space="preserve">However, </w:t>
      </w:r>
      <w:r w:rsidR="00192107">
        <w:t xml:space="preserve">it </w:t>
      </w:r>
      <w:r>
        <w:t xml:space="preserve">is important that any exception processes that might allow agencies to adopt more restrictive practices are applied only in very limited circumstances </w:t>
      </w:r>
      <w:r w:rsidR="00042215">
        <w:t>to proposals that are</w:t>
      </w:r>
      <w:r>
        <w:t xml:space="preserve"> clearly in the public interest, rather than being applied in a blanket way to broad categories of proposals.</w:t>
      </w:r>
    </w:p>
    <w:p w:rsidR="00583E31" w:rsidRDefault="00C27625" w:rsidP="003A11C5">
      <w:pPr>
        <w:pStyle w:val="BodyText"/>
      </w:pPr>
      <w:r>
        <w:t>It has also been argued that changes in rates of taxation (as opposed to more substantive policy changes) should be excluded from the requirement to undertake RIA</w:t>
      </w:r>
      <w:r w:rsidR="009A3B8C">
        <w:t>, i</w:t>
      </w:r>
      <w:r>
        <w:t>n the same way that standard fee increases are excepted</w:t>
      </w:r>
      <w:r w:rsidR="001500A8">
        <w:t xml:space="preserve"> (</w:t>
      </w:r>
      <w:proofErr w:type="spellStart"/>
      <w:r w:rsidR="001500A8">
        <w:t>Borthwick</w:t>
      </w:r>
      <w:proofErr w:type="spellEnd"/>
      <w:r w:rsidR="001500A8">
        <w:t xml:space="preserve"> and Milliner 2012)</w:t>
      </w:r>
      <w:r>
        <w:t>.</w:t>
      </w:r>
      <w:r w:rsidR="006D50E8">
        <w:t xml:space="preserve"> </w:t>
      </w:r>
      <w:r w:rsidR="00583E31">
        <w:t xml:space="preserve">The Commission considers that </w:t>
      </w:r>
      <w:r w:rsidR="006D50E8">
        <w:t>generally the</w:t>
      </w:r>
      <w:r w:rsidR="00583E31">
        <w:t xml:space="preserve"> case for special treatment </w:t>
      </w:r>
      <w:r>
        <w:t xml:space="preserve">for any taxation proposals </w:t>
      </w:r>
      <w:r w:rsidR="00194E06">
        <w:t>should be considered on a case-by-</w:t>
      </w:r>
      <w:r w:rsidR="00583E31">
        <w:t>case basis as an exemption to RIS requirements (see below) instead of an exception to RIA.</w:t>
      </w:r>
    </w:p>
    <w:p w:rsidR="0046415B" w:rsidRPr="0046415B" w:rsidRDefault="0046415B" w:rsidP="0046415B">
      <w:pPr>
        <w:rPr>
          <w:szCs w:val="20"/>
        </w:rPr>
      </w:pPr>
      <w:r>
        <w:br w:type="page"/>
      </w:r>
    </w:p>
    <w:p w:rsidR="00ED28E5" w:rsidRDefault="00ED28E5" w:rsidP="00ED28E5">
      <w:pPr>
        <w:pStyle w:val="FindingTitle"/>
        <w:framePr w:wrap="notBeside"/>
      </w:pPr>
      <w:r>
        <w:lastRenderedPageBreak/>
        <w:t xml:space="preserve">leading practice </w:t>
      </w:r>
      <w:r w:rsidR="00083908">
        <w:t>5.</w:t>
      </w:r>
      <w:r w:rsidR="00DE3A5F">
        <w:rPr>
          <w:noProof/>
        </w:rPr>
        <w:t>2</w:t>
      </w:r>
    </w:p>
    <w:p w:rsidR="008002E1" w:rsidRPr="00C45D65" w:rsidRDefault="00B47D82" w:rsidP="008002E1">
      <w:pPr>
        <w:pStyle w:val="Finding"/>
        <w:rPr>
          <w:b/>
        </w:rPr>
      </w:pPr>
      <w:r w:rsidRPr="00C45D65">
        <w:rPr>
          <w:b/>
        </w:rPr>
        <w:t xml:space="preserve">Exceptions to RIA are a necessary part of a well-functioning RIA system. </w:t>
      </w:r>
      <w:r w:rsidR="008002E1" w:rsidRPr="00C45D65">
        <w:rPr>
          <w:b/>
        </w:rPr>
        <w:t>Determining as early as possible in the policy</w:t>
      </w:r>
      <w:r w:rsidR="004D526E">
        <w:rPr>
          <w:b/>
        </w:rPr>
        <w:t xml:space="preserve"> </w:t>
      </w:r>
      <w:r w:rsidR="008002E1" w:rsidRPr="00C45D65">
        <w:rPr>
          <w:b/>
        </w:rPr>
        <w:t>development process whether a regulation falls within an exception category, helps ensure that RIA</w:t>
      </w:r>
      <w:r w:rsidR="00051DA9" w:rsidRPr="00C45D65">
        <w:rPr>
          <w:b/>
        </w:rPr>
        <w:t xml:space="preserve"> resources are better targeted.</w:t>
      </w:r>
    </w:p>
    <w:p w:rsidR="008002E1" w:rsidRPr="00C45D65" w:rsidRDefault="008002E1" w:rsidP="008002E1">
      <w:pPr>
        <w:pStyle w:val="BodyText"/>
        <w:numPr>
          <w:ilvl w:val="0"/>
          <w:numId w:val="9"/>
        </w:numPr>
        <w:rPr>
          <w:b/>
        </w:rPr>
      </w:pPr>
      <w:r w:rsidRPr="00C45D65">
        <w:rPr>
          <w:b/>
          <w:i/>
        </w:rPr>
        <w:t>All categories of exceptions should be set out in RIA guidance material, together with sufficient information and illustrative examples to assist agencies in determining the applicability of particular exceptions.</w:t>
      </w:r>
    </w:p>
    <w:p w:rsidR="00ED28E5" w:rsidRPr="00C45D65" w:rsidRDefault="008002E1" w:rsidP="008002E1">
      <w:pPr>
        <w:pStyle w:val="FindingBullet"/>
        <w:rPr>
          <w:b/>
        </w:rPr>
      </w:pPr>
      <w:r w:rsidRPr="00C45D65">
        <w:rPr>
          <w:b/>
        </w:rPr>
        <w:t>Where exceptions clearly apply it should not be necessary to conduct any preliminary impact assessment.</w:t>
      </w:r>
    </w:p>
    <w:p w:rsidR="00583E31" w:rsidRDefault="00282D45" w:rsidP="00D74839">
      <w:pPr>
        <w:pStyle w:val="Heading2"/>
      </w:pPr>
      <w:r>
        <w:t>5.</w:t>
      </w:r>
      <w:r w:rsidR="00DE3A5F">
        <w:rPr>
          <w:noProof/>
        </w:rPr>
        <w:t>3</w:t>
      </w:r>
      <w:r w:rsidR="00583E31">
        <w:tab/>
        <w:t>Exemptions</w:t>
      </w:r>
      <w:r w:rsidR="0099182D">
        <w:t xml:space="preserve"> from </w:t>
      </w:r>
      <w:proofErr w:type="spellStart"/>
      <w:r w:rsidR="0099182D">
        <w:t>RIS</w:t>
      </w:r>
      <w:proofErr w:type="spellEnd"/>
      <w:r w:rsidR="0099182D">
        <w:t xml:space="preserve"> requirements</w:t>
      </w:r>
    </w:p>
    <w:p w:rsidR="00583E31" w:rsidRDefault="00583E31" w:rsidP="00567F98">
      <w:pPr>
        <w:pStyle w:val="BodyText"/>
      </w:pPr>
      <w:r>
        <w:t xml:space="preserve">In all jurisdictions, </w:t>
      </w:r>
      <w:r w:rsidR="00192107">
        <w:t xml:space="preserve">regulatory </w:t>
      </w:r>
      <w:r>
        <w:t>proposals assessed as significant that would otherwise trigger the requirement to prepare a RIS can, in exceptional circumstances, be granted an exemption</w:t>
      </w:r>
      <w:r w:rsidR="0013534D">
        <w:t xml:space="preserve">. </w:t>
      </w:r>
      <w:r w:rsidR="001605D6">
        <w:t xml:space="preserve">However, </w:t>
      </w:r>
      <w:r>
        <w:t>Tasmania and the ACT do not permit exemptions for ‘exceptional circumstances’ for</w:t>
      </w:r>
      <w:r w:rsidR="00DC5198">
        <w:t xml:space="preserve"> primary legislation</w:t>
      </w:r>
      <w:r w:rsidR="0013534D">
        <w:t>. New South Wales has no process for exemptions for either primary legislation or for amending regulations</w:t>
      </w:r>
      <w:r>
        <w:t>.</w:t>
      </w:r>
      <w:r w:rsidR="00B11ECD">
        <w:t xml:space="preserve"> In Western Australia, the Treasurer can grant an exemption in a range of specific circumstances (WA Department of Treasury, sub. </w:t>
      </w:r>
      <w:proofErr w:type="spellStart"/>
      <w:r w:rsidR="00B11ECD">
        <w:t>DR37</w:t>
      </w:r>
      <w:proofErr w:type="spellEnd"/>
      <w:r w:rsidR="00B11ECD">
        <w:t>).</w:t>
      </w:r>
    </w:p>
    <w:p w:rsidR="00192107" w:rsidRDefault="005C23C9" w:rsidP="00567F98">
      <w:pPr>
        <w:pStyle w:val="BodyText"/>
      </w:pPr>
      <w:r>
        <w:t xml:space="preserve">The Australian Government guidance material has no definition of what constitutes exceptional circumstances. </w:t>
      </w:r>
      <w:r w:rsidR="00192107">
        <w:t xml:space="preserve">In practice, exemptions have been granted for a wide range of situations — occasionally natural disasters but more commonly for what would appear to be non-time critical proposals that are politically </w:t>
      </w:r>
      <w:r w:rsidR="001605D6">
        <w:t>sensitive</w:t>
      </w:r>
      <w:r w:rsidR="00192107">
        <w:t xml:space="preserve"> in nature (</w:t>
      </w:r>
      <w:r w:rsidR="00912A7E">
        <w:t>see later discussion</w:t>
      </w:r>
      <w:r w:rsidR="00192107">
        <w:t>).</w:t>
      </w:r>
    </w:p>
    <w:p w:rsidR="00192107" w:rsidRDefault="00567F98" w:rsidP="00192107">
      <w:pPr>
        <w:pStyle w:val="BodyText"/>
      </w:pPr>
      <w:r>
        <w:t>G</w:t>
      </w:r>
      <w:r w:rsidR="00192107">
        <w:t xml:space="preserve">uidance material in other jurisdictions </w:t>
      </w:r>
      <w:r>
        <w:t xml:space="preserve">typically </w:t>
      </w:r>
      <w:r w:rsidR="00192107">
        <w:t>limits the granting of exemptions to circumstances where an urgent response (for example to an emergency situation) is required and/or where an exemption is in the public interest.</w:t>
      </w:r>
    </w:p>
    <w:p w:rsidR="0003191E" w:rsidRDefault="00583E31" w:rsidP="00784F0C">
      <w:pPr>
        <w:pStyle w:val="BodyText"/>
      </w:pPr>
      <w:r>
        <w:t>In South Australia, for example, exemption</w:t>
      </w:r>
      <w:r w:rsidR="000C15E2">
        <w:t>s</w:t>
      </w:r>
      <w:r>
        <w:t xml:space="preserve"> </w:t>
      </w:r>
      <w:r w:rsidR="000C15E2">
        <w:t xml:space="preserve">relate </w:t>
      </w:r>
      <w:r>
        <w:t>only to</w:t>
      </w:r>
      <w:r w:rsidR="0003191E">
        <w:t>:</w:t>
      </w:r>
    </w:p>
    <w:p w:rsidR="0003191E" w:rsidRDefault="0003191E" w:rsidP="0003191E">
      <w:pPr>
        <w:pStyle w:val="Quote"/>
      </w:pPr>
      <w:r>
        <w:t xml:space="preserve">… </w:t>
      </w:r>
      <w:r w:rsidR="00583E31">
        <w:t>exceptional emergency matters relating to the administration of justice or the protection of perso</w:t>
      </w:r>
      <w:r w:rsidR="00C53161">
        <w:t>nal and public safety</w:t>
      </w:r>
      <w:r>
        <w:t>, where the impact of the regulatory proposal on business costs (either one-off or ongoing) is not significant.</w:t>
      </w:r>
      <w:r w:rsidR="00583E31">
        <w:t xml:space="preserve"> </w:t>
      </w:r>
      <w:r w:rsidR="005313FA">
        <w:t>(SA </w:t>
      </w:r>
      <w:proofErr w:type="spellStart"/>
      <w:r w:rsidR="004B791E">
        <w:t>DPC</w:t>
      </w:r>
      <w:proofErr w:type="spellEnd"/>
      <w:r w:rsidR="004B791E">
        <w:t xml:space="preserve"> and </w:t>
      </w:r>
      <w:proofErr w:type="spellStart"/>
      <w:r w:rsidR="004B791E">
        <w:t>DTF</w:t>
      </w:r>
      <w:proofErr w:type="spellEnd"/>
      <w:r w:rsidR="004B791E">
        <w:t xml:space="preserve"> </w:t>
      </w:r>
      <w:r w:rsidR="005313FA">
        <w:t>2011,</w:t>
      </w:r>
      <w:r>
        <w:t> </w:t>
      </w:r>
      <w:r w:rsidR="005313FA">
        <w:t xml:space="preserve">p. 6). </w:t>
      </w:r>
    </w:p>
    <w:p w:rsidR="00583E31" w:rsidRDefault="00583E31" w:rsidP="0003191E">
      <w:pPr>
        <w:pStyle w:val="BodyText"/>
      </w:pPr>
      <w:r>
        <w:t>Given that the South Australian RIA system was only fully implemented in 2011, it remains to be seen how the exemption will be interpreted in practice.</w:t>
      </w:r>
    </w:p>
    <w:p w:rsidR="00583E31" w:rsidRDefault="00583E31" w:rsidP="00784F0C">
      <w:pPr>
        <w:pStyle w:val="BodyText"/>
      </w:pPr>
      <w:r>
        <w:lastRenderedPageBreak/>
        <w:t>The criteria for the granting of an exemption from a Regulation Assessment Statement in Queensland incorporate a broader unfair advantage/disadvantage test in addition to an emergency element</w:t>
      </w:r>
      <w:r w:rsidR="00C53161">
        <w:t xml:space="preserve"> whereby</w:t>
      </w:r>
      <w:r>
        <w:t>:</w:t>
      </w:r>
    </w:p>
    <w:p w:rsidR="00583E31" w:rsidRDefault="00583E31" w:rsidP="00784F0C">
      <w:pPr>
        <w:pStyle w:val="QuoteBullet"/>
      </w:pPr>
      <w:r>
        <w:t>an immediate regulatory response is required</w:t>
      </w:r>
    </w:p>
    <w:p w:rsidR="00583E31" w:rsidRDefault="00583E31" w:rsidP="00784F0C">
      <w:pPr>
        <w:pStyle w:val="QuoteBullet"/>
      </w:pPr>
      <w:r>
        <w:t xml:space="preserve">notice of the proposal may render the rule ineffective or unfairly advantage or disadvantage any person likely to be affected by the regulation (Queensland </w:t>
      </w:r>
      <w:r w:rsidR="006E2C28">
        <w:t>Treasury</w:t>
      </w:r>
      <w:r>
        <w:t xml:space="preserve"> 2010, p. 28).</w:t>
      </w:r>
    </w:p>
    <w:p w:rsidR="00583E31" w:rsidRDefault="00583E31" w:rsidP="001E38A5">
      <w:pPr>
        <w:pStyle w:val="BodyText"/>
      </w:pPr>
      <w:r>
        <w:t xml:space="preserve">In jurisdictions with subordinate legislation Acts which embody RIA requirements — New South Wales, Victoria, Queensland, Tasmania and the ACT — the </w:t>
      </w:r>
      <w:r w:rsidR="006B5DD1">
        <w:t>‘</w:t>
      </w:r>
      <w:r>
        <w:t>public interest exemption</w:t>
      </w:r>
      <w:r w:rsidR="006B5DD1">
        <w:t>’</w:t>
      </w:r>
      <w:r>
        <w:t xml:space="preserve"> is available where ‘[</w:t>
      </w:r>
      <w:proofErr w:type="spellStart"/>
      <w:r>
        <w:t>i</w:t>
      </w:r>
      <w:proofErr w:type="spellEnd"/>
      <w:r>
        <w:t>]n the special circumstances of the case, the public interest requires that the regulation be made without a RIS’.</w:t>
      </w:r>
      <w:r w:rsidR="004E3F04">
        <w:t xml:space="preserve"> In Victoria, for legislative instruments only, an additional exemption may be granted </w:t>
      </w:r>
      <w:r w:rsidR="00A00D71">
        <w:t xml:space="preserve">(but the instrument must expire within 12 months — see below) </w:t>
      </w:r>
      <w:r w:rsidR="004E3F04">
        <w:t>where it is necessary to respond to:</w:t>
      </w:r>
    </w:p>
    <w:p w:rsidR="004E3F04" w:rsidRDefault="004E3F04" w:rsidP="00576369">
      <w:pPr>
        <w:pStyle w:val="Quote"/>
        <w:numPr>
          <w:ilvl w:val="0"/>
          <w:numId w:val="24"/>
        </w:numPr>
      </w:pPr>
      <w:r>
        <w:t>a public emergency; or</w:t>
      </w:r>
    </w:p>
    <w:p w:rsidR="004E3F04" w:rsidRDefault="004E3F04" w:rsidP="00576369">
      <w:pPr>
        <w:pStyle w:val="Quote"/>
        <w:numPr>
          <w:ilvl w:val="0"/>
          <w:numId w:val="24"/>
        </w:numPr>
      </w:pPr>
      <w:r>
        <w:t>an urgent public health issue or an urgent public safety issue; or</w:t>
      </w:r>
    </w:p>
    <w:p w:rsidR="004E3F04" w:rsidRDefault="004E3F04" w:rsidP="00576369">
      <w:pPr>
        <w:pStyle w:val="Quote"/>
        <w:numPr>
          <w:ilvl w:val="0"/>
          <w:numId w:val="24"/>
        </w:numPr>
      </w:pPr>
      <w:r>
        <w:t>likely or actual significant damage to the environment, resource sustainability or the economy … (</w:t>
      </w:r>
      <w:r>
        <w:rPr>
          <w:i/>
        </w:rPr>
        <w:t xml:space="preserve">Subordinate Legislation Act 1994 </w:t>
      </w:r>
      <w:r>
        <w:t xml:space="preserve">(Vic), s. </w:t>
      </w:r>
      <w:proofErr w:type="spellStart"/>
      <w:r>
        <w:t>12F</w:t>
      </w:r>
      <w:proofErr w:type="spellEnd"/>
      <w:r>
        <w:t xml:space="preserve"> (h))</w:t>
      </w:r>
    </w:p>
    <w:p w:rsidR="006B5DD1" w:rsidRDefault="00583E31" w:rsidP="001E38A5">
      <w:pPr>
        <w:pStyle w:val="BodyText"/>
      </w:pPr>
      <w:r>
        <w:t>It is appropriate that the types of circumstances that would justify an exemption are limited so as to constrain the degree of discretion in granting such exemptions</w:t>
      </w:r>
      <w:r w:rsidR="005313FA">
        <w:t xml:space="preserve">. As the </w:t>
      </w:r>
      <w:proofErr w:type="spellStart"/>
      <w:r w:rsidR="005313FA">
        <w:t>SBDC</w:t>
      </w:r>
      <w:proofErr w:type="spellEnd"/>
      <w:r w:rsidR="005313FA">
        <w:t xml:space="preserve"> have stated</w:t>
      </w:r>
      <w:r w:rsidR="00484B17">
        <w:t>,</w:t>
      </w:r>
      <w:r w:rsidR="005313FA">
        <w:t xml:space="preserve"> this </w:t>
      </w:r>
      <w:r w:rsidR="00484B17">
        <w:t xml:space="preserve">would </w:t>
      </w:r>
      <w:r w:rsidR="005313FA">
        <w:t xml:space="preserve">prevent </w:t>
      </w:r>
      <w:r w:rsidR="00484B17">
        <w:t xml:space="preserve">exemptions </w:t>
      </w:r>
      <w:r w:rsidR="005313FA">
        <w:t>being used</w:t>
      </w:r>
      <w:r>
        <w:t xml:space="preserve"> ‘to circumvent due process when the situation does not warrant it’ (</w:t>
      </w:r>
      <w:proofErr w:type="spellStart"/>
      <w:r>
        <w:t>SBDC</w:t>
      </w:r>
      <w:proofErr w:type="spellEnd"/>
      <w:r>
        <w:t>, sub. 25, p. 13).</w:t>
      </w:r>
    </w:p>
    <w:p w:rsidR="00583E31" w:rsidRDefault="00583E31" w:rsidP="00D30E76">
      <w:pPr>
        <w:pStyle w:val="Heading3"/>
      </w:pPr>
      <w:bookmarkStart w:id="8" w:name="_Toc326139795"/>
      <w:r>
        <w:t>How is an exemption sought and granted?</w:t>
      </w:r>
    </w:p>
    <w:p w:rsidR="002E6464" w:rsidRDefault="00567F98" w:rsidP="00D30E76">
      <w:pPr>
        <w:pStyle w:val="BodyText"/>
      </w:pPr>
      <w:r>
        <w:t>As noted earlier</w:t>
      </w:r>
      <w:r w:rsidR="003102A1">
        <w:t xml:space="preserve">, exemptions are typically sought on a case-by-case basis. </w:t>
      </w:r>
      <w:r w:rsidR="00583E31">
        <w:t xml:space="preserve">In most jurisdictions it is a requirement that </w:t>
      </w:r>
      <w:r w:rsidR="00947E86">
        <w:t xml:space="preserve">the request </w:t>
      </w:r>
      <w:r w:rsidR="003102A1">
        <w:t xml:space="preserve">for an exemption be made in writing. </w:t>
      </w:r>
      <w:r w:rsidR="00583E31">
        <w:t>The decision maker with responsibility for granting a RIS exemption varies acro</w:t>
      </w:r>
      <w:r w:rsidR="00947E86">
        <w:t>ss jurisdictions (table </w:t>
      </w:r>
      <w:r w:rsidR="00A3242B">
        <w:t>5.2</w:t>
      </w:r>
      <w:r w:rsidR="00583E31">
        <w:t>).</w:t>
      </w:r>
    </w:p>
    <w:p w:rsidR="003938BC" w:rsidRDefault="003938BC" w:rsidP="003938BC">
      <w:pPr>
        <w:pStyle w:val="BodyText"/>
      </w:pPr>
      <w:r>
        <w:t>For subordinate legislation in New South Wales, Victoria, Tasmania and the ACT, the proposing Minister is generally responsible for granting a RIS exemption. Although in the case of public interest exemptions, the Premier is responsible for granting exemptions in Victoria and the Treasurer in Tasmania. Under the Australian Government and COAG RIA requirements, the Prime Minister is responsible for granting a RIS exemption. In Queensland and Western Australia, the Treasurer is responsible for granting all RIS exemptions.</w:t>
      </w:r>
    </w:p>
    <w:p w:rsidR="003938BC" w:rsidRDefault="003938BC" w:rsidP="003938BC">
      <w:pPr>
        <w:pStyle w:val="BodyText"/>
      </w:pPr>
      <w:r>
        <w:lastRenderedPageBreak/>
        <w:t>Consistent with the need for independent oversight of RIA processes more generally and principles of good governance, the proposing Minister should not have the responsibility for determining whether their own regulatory proposal should be granted an exemption. This ensures the necessary clear separation of decision</w:t>
      </w:r>
      <w:r w:rsidR="001E65FD">
        <w:t xml:space="preserve"> </w:t>
      </w:r>
      <w:r>
        <w:t>making responsibilities in such circumstances to avoid conflicts of interest as the Minister would generally have a strong vested interest in the adoption of the proposal.</w:t>
      </w:r>
    </w:p>
    <w:p w:rsidR="002E6464" w:rsidRDefault="002E6464" w:rsidP="002E6464">
      <w:pPr>
        <w:pStyle w:val="TableTitle"/>
      </w:pPr>
      <w:r>
        <w:rPr>
          <w:b w:val="0"/>
        </w:rPr>
        <w:t xml:space="preserve">Table </w:t>
      </w:r>
      <w:bookmarkStart w:id="9" w:name="OLE_LINK9"/>
      <w:r w:rsidR="00F740E0" w:rsidRPr="00F740E0">
        <w:rPr>
          <w:b w:val="0"/>
        </w:rPr>
        <w:t>5.</w:t>
      </w:r>
      <w:r w:rsidR="00DE3A5F">
        <w:rPr>
          <w:b w:val="0"/>
          <w:noProof/>
        </w:rPr>
        <w:t>2</w:t>
      </w:r>
      <w:bookmarkEnd w:id="9"/>
      <w:r>
        <w:tab/>
        <w:t xml:space="preserve">Responsibility for granting a RIS </w:t>
      </w:r>
      <w:r w:rsidRPr="00F04CB7">
        <w:t>exemption</w:t>
      </w:r>
    </w:p>
    <w:tbl>
      <w:tblPr>
        <w:tblW w:w="5000" w:type="pct"/>
        <w:tblCellMar>
          <w:left w:w="0" w:type="dxa"/>
          <w:right w:w="0" w:type="dxa"/>
        </w:tblCellMar>
        <w:tblLook w:val="0000" w:firstRow="0" w:lastRow="0" w:firstColumn="0" w:lastColumn="0" w:noHBand="0" w:noVBand="0"/>
      </w:tblPr>
      <w:tblGrid>
        <w:gridCol w:w="1939"/>
        <w:gridCol w:w="675"/>
        <w:gridCol w:w="772"/>
        <w:gridCol w:w="448"/>
        <w:gridCol w:w="387"/>
        <w:gridCol w:w="357"/>
        <w:gridCol w:w="378"/>
        <w:gridCol w:w="454"/>
        <w:gridCol w:w="367"/>
        <w:gridCol w:w="492"/>
        <w:gridCol w:w="431"/>
        <w:gridCol w:w="367"/>
        <w:gridCol w:w="454"/>
        <w:gridCol w:w="367"/>
        <w:gridCol w:w="455"/>
        <w:gridCol w:w="446"/>
      </w:tblGrid>
      <w:tr w:rsidR="002E6464" w:rsidTr="00416A66">
        <w:trPr>
          <w:trHeight w:val="380"/>
        </w:trPr>
        <w:tc>
          <w:tcPr>
            <w:tcW w:w="1103" w:type="pct"/>
            <w:tcBorders>
              <w:top w:val="single" w:sz="4" w:space="0" w:color="auto"/>
            </w:tcBorders>
          </w:tcPr>
          <w:p w:rsidR="002E6464" w:rsidRDefault="002E6464" w:rsidP="006C31BF">
            <w:pPr>
              <w:pStyle w:val="TableColumnHeading"/>
              <w:jc w:val="left"/>
            </w:pPr>
          </w:p>
        </w:tc>
        <w:tc>
          <w:tcPr>
            <w:tcW w:w="384" w:type="pct"/>
            <w:tcBorders>
              <w:top w:val="single" w:sz="4" w:space="0" w:color="auto"/>
            </w:tcBorders>
          </w:tcPr>
          <w:p w:rsidR="002E6464" w:rsidRDefault="002E6464" w:rsidP="006C31BF">
            <w:pPr>
              <w:pStyle w:val="TableColumnHeading"/>
            </w:pPr>
            <w:proofErr w:type="spellStart"/>
            <w:r>
              <w:t>Cwlth</w:t>
            </w:r>
            <w:proofErr w:type="spellEnd"/>
          </w:p>
        </w:tc>
        <w:tc>
          <w:tcPr>
            <w:tcW w:w="439" w:type="pct"/>
            <w:tcBorders>
              <w:top w:val="single" w:sz="4" w:space="0" w:color="auto"/>
            </w:tcBorders>
          </w:tcPr>
          <w:p w:rsidR="002E6464" w:rsidRDefault="002E6464" w:rsidP="006C31BF">
            <w:pPr>
              <w:pStyle w:val="TableColumnHeading"/>
            </w:pPr>
            <w:r>
              <w:t>COAG</w:t>
            </w:r>
          </w:p>
        </w:tc>
        <w:tc>
          <w:tcPr>
            <w:tcW w:w="475" w:type="pct"/>
            <w:gridSpan w:val="2"/>
            <w:tcBorders>
              <w:top w:val="single" w:sz="4" w:space="0" w:color="auto"/>
            </w:tcBorders>
          </w:tcPr>
          <w:p w:rsidR="002E6464" w:rsidRPr="00D65EA7" w:rsidRDefault="002E6464" w:rsidP="006C31BF">
            <w:pPr>
              <w:pStyle w:val="TableColumnHeading"/>
              <w:spacing w:line="240" w:lineRule="exact"/>
              <w:jc w:val="center"/>
            </w:pPr>
            <w:r w:rsidRPr="00D65EA7">
              <w:t>NSW</w:t>
            </w:r>
          </w:p>
        </w:tc>
        <w:tc>
          <w:tcPr>
            <w:tcW w:w="418" w:type="pct"/>
            <w:gridSpan w:val="2"/>
            <w:tcBorders>
              <w:top w:val="single" w:sz="4" w:space="0" w:color="auto"/>
            </w:tcBorders>
          </w:tcPr>
          <w:p w:rsidR="002E6464" w:rsidRPr="00D65EA7" w:rsidRDefault="002E6464" w:rsidP="006C31BF">
            <w:pPr>
              <w:pStyle w:val="TableColumnHeading"/>
              <w:spacing w:line="240" w:lineRule="exact"/>
              <w:jc w:val="center"/>
              <w:rPr>
                <w:rStyle w:val="NoteLabel"/>
                <w:i w:val="0"/>
                <w:position w:val="0"/>
              </w:rPr>
            </w:pPr>
            <w:r w:rsidRPr="00D65EA7">
              <w:t>Vic</w:t>
            </w:r>
          </w:p>
        </w:tc>
        <w:tc>
          <w:tcPr>
            <w:tcW w:w="467" w:type="pct"/>
            <w:gridSpan w:val="2"/>
            <w:tcBorders>
              <w:top w:val="single" w:sz="4" w:space="0" w:color="auto"/>
            </w:tcBorders>
          </w:tcPr>
          <w:p w:rsidR="002E6464" w:rsidRPr="00D65EA7" w:rsidRDefault="002E6464" w:rsidP="006C31BF">
            <w:pPr>
              <w:pStyle w:val="TableColumnHeading"/>
              <w:spacing w:line="240" w:lineRule="exact"/>
              <w:jc w:val="center"/>
              <w:rPr>
                <w:rStyle w:val="NoteLabel"/>
                <w:b w:val="0"/>
                <w:position w:val="0"/>
              </w:rPr>
            </w:pPr>
            <w:r w:rsidRPr="00D65EA7">
              <w:t>Qld</w:t>
            </w:r>
          </w:p>
        </w:tc>
        <w:tc>
          <w:tcPr>
            <w:tcW w:w="280" w:type="pct"/>
            <w:tcBorders>
              <w:top w:val="single" w:sz="4" w:space="0" w:color="auto"/>
            </w:tcBorders>
          </w:tcPr>
          <w:p w:rsidR="002E6464" w:rsidRPr="00D65EA7" w:rsidRDefault="002E6464" w:rsidP="006C31BF">
            <w:pPr>
              <w:pStyle w:val="TableColumnHeading"/>
              <w:spacing w:line="240" w:lineRule="exact"/>
              <w:jc w:val="center"/>
            </w:pPr>
            <w:r w:rsidRPr="00D65EA7">
              <w:t>WA</w:t>
            </w:r>
          </w:p>
        </w:tc>
        <w:tc>
          <w:tcPr>
            <w:tcW w:w="245" w:type="pct"/>
            <w:tcBorders>
              <w:top w:val="single" w:sz="4" w:space="0" w:color="auto"/>
            </w:tcBorders>
          </w:tcPr>
          <w:p w:rsidR="002E6464" w:rsidRPr="00D65EA7" w:rsidRDefault="002E6464" w:rsidP="006C31BF">
            <w:pPr>
              <w:pStyle w:val="TableColumnHeading"/>
              <w:spacing w:line="240" w:lineRule="exact"/>
              <w:jc w:val="center"/>
            </w:pPr>
            <w:r w:rsidRPr="00D65EA7">
              <w:t>SA</w:t>
            </w:r>
          </w:p>
        </w:tc>
        <w:tc>
          <w:tcPr>
            <w:tcW w:w="467" w:type="pct"/>
            <w:gridSpan w:val="2"/>
            <w:tcBorders>
              <w:top w:val="single" w:sz="4" w:space="0" w:color="auto"/>
            </w:tcBorders>
          </w:tcPr>
          <w:p w:rsidR="002E6464" w:rsidRPr="00D65EA7" w:rsidRDefault="002E6464" w:rsidP="006C31BF">
            <w:pPr>
              <w:pStyle w:val="TableColumnHeading"/>
              <w:spacing w:line="240" w:lineRule="exact"/>
              <w:jc w:val="center"/>
              <w:rPr>
                <w:rStyle w:val="NoteLabel"/>
                <w:b w:val="0"/>
                <w:position w:val="0"/>
              </w:rPr>
            </w:pPr>
            <w:proofErr w:type="spellStart"/>
            <w:r w:rsidRPr="00D65EA7">
              <w:t>Tas</w:t>
            </w:r>
            <w:proofErr w:type="spellEnd"/>
          </w:p>
        </w:tc>
        <w:tc>
          <w:tcPr>
            <w:tcW w:w="468" w:type="pct"/>
            <w:gridSpan w:val="2"/>
            <w:tcBorders>
              <w:top w:val="single" w:sz="4" w:space="0" w:color="auto"/>
            </w:tcBorders>
          </w:tcPr>
          <w:p w:rsidR="002E6464" w:rsidRPr="00D65EA7" w:rsidRDefault="002E6464" w:rsidP="006C31BF">
            <w:pPr>
              <w:pStyle w:val="TableColumnHeading"/>
              <w:spacing w:line="240" w:lineRule="exact"/>
              <w:jc w:val="center"/>
            </w:pPr>
            <w:r w:rsidRPr="00D65EA7">
              <w:t>ACT</w:t>
            </w:r>
          </w:p>
        </w:tc>
        <w:tc>
          <w:tcPr>
            <w:tcW w:w="254" w:type="pct"/>
            <w:tcBorders>
              <w:top w:val="single" w:sz="4" w:space="0" w:color="auto"/>
            </w:tcBorders>
          </w:tcPr>
          <w:p w:rsidR="002E6464" w:rsidRPr="00D65EA7" w:rsidRDefault="002E6464" w:rsidP="006C31BF">
            <w:pPr>
              <w:pStyle w:val="TableColumnHeading"/>
              <w:spacing w:line="240" w:lineRule="exact"/>
              <w:ind w:right="28"/>
              <w:rPr>
                <w:rStyle w:val="NoteLabel"/>
                <w:position w:val="0"/>
              </w:rPr>
            </w:pPr>
            <w:r w:rsidRPr="00D65EA7">
              <w:t>NT</w:t>
            </w:r>
          </w:p>
        </w:tc>
      </w:tr>
      <w:tr w:rsidR="002E6464" w:rsidTr="00416A66">
        <w:trPr>
          <w:cantSplit/>
          <w:trHeight w:val="282"/>
        </w:trPr>
        <w:tc>
          <w:tcPr>
            <w:tcW w:w="1103" w:type="pct"/>
            <w:vMerge w:val="restart"/>
            <w:tcBorders>
              <w:bottom w:val="single" w:sz="4" w:space="0" w:color="auto"/>
            </w:tcBorders>
            <w:vAlign w:val="center"/>
          </w:tcPr>
          <w:p w:rsidR="002E6464" w:rsidRPr="00DB009D" w:rsidRDefault="002E6464" w:rsidP="00FD0822">
            <w:pPr>
              <w:pStyle w:val="TableBodyText"/>
              <w:spacing w:before="240"/>
              <w:jc w:val="left"/>
              <w:rPr>
                <w:i/>
              </w:rPr>
            </w:pPr>
          </w:p>
        </w:tc>
        <w:tc>
          <w:tcPr>
            <w:tcW w:w="384" w:type="pct"/>
            <w:vMerge w:val="restart"/>
            <w:tcBorders>
              <w:bottom w:val="single" w:sz="4" w:space="0" w:color="auto"/>
            </w:tcBorders>
            <w:vAlign w:val="center"/>
          </w:tcPr>
          <w:p w:rsidR="002E6464" w:rsidRPr="00DB009D" w:rsidRDefault="006C31BF" w:rsidP="006C31BF">
            <w:pPr>
              <w:pStyle w:val="TableBodyText"/>
              <w:rPr>
                <w:i/>
              </w:rPr>
            </w:pPr>
            <w:r>
              <w:rPr>
                <w:i/>
              </w:rPr>
              <w:br/>
            </w:r>
            <w:r w:rsidR="002E6464">
              <w:rPr>
                <w:i/>
              </w:rPr>
              <w:t>RIS</w:t>
            </w:r>
          </w:p>
        </w:tc>
        <w:tc>
          <w:tcPr>
            <w:tcW w:w="439" w:type="pct"/>
            <w:vMerge w:val="restart"/>
            <w:tcBorders>
              <w:bottom w:val="single" w:sz="4" w:space="0" w:color="auto"/>
            </w:tcBorders>
            <w:vAlign w:val="center"/>
          </w:tcPr>
          <w:p w:rsidR="002E6464" w:rsidRPr="00DB009D" w:rsidRDefault="006C31BF" w:rsidP="006C31BF">
            <w:pPr>
              <w:pStyle w:val="TableBodyText"/>
              <w:rPr>
                <w:i/>
              </w:rPr>
            </w:pPr>
            <w:r>
              <w:rPr>
                <w:i/>
              </w:rPr>
              <w:br/>
            </w:r>
            <w:r w:rsidR="002E6464">
              <w:rPr>
                <w:i/>
              </w:rPr>
              <w:t>RIS</w:t>
            </w:r>
          </w:p>
        </w:tc>
        <w:tc>
          <w:tcPr>
            <w:tcW w:w="255" w:type="pct"/>
          </w:tcPr>
          <w:p w:rsidR="002E6464" w:rsidRPr="00DB009D" w:rsidRDefault="002E6464" w:rsidP="006C31BF">
            <w:pPr>
              <w:pStyle w:val="TableUnitsRow"/>
              <w:spacing w:before="0" w:after="0" w:line="240" w:lineRule="atLeast"/>
              <w:ind w:left="0" w:right="0"/>
              <w:jc w:val="center"/>
              <w:rPr>
                <w:i/>
              </w:rPr>
            </w:pPr>
          </w:p>
        </w:tc>
        <w:tc>
          <w:tcPr>
            <w:tcW w:w="220" w:type="pct"/>
          </w:tcPr>
          <w:p w:rsidR="002E6464" w:rsidRPr="00DB009D" w:rsidRDefault="002E6464" w:rsidP="006C31BF">
            <w:pPr>
              <w:pStyle w:val="TableUnitsRow"/>
              <w:spacing w:before="0" w:after="0" w:line="240" w:lineRule="atLeast"/>
              <w:ind w:left="0" w:right="0"/>
              <w:jc w:val="center"/>
              <w:rPr>
                <w:i/>
              </w:rPr>
            </w:pPr>
          </w:p>
        </w:tc>
        <w:tc>
          <w:tcPr>
            <w:tcW w:w="203" w:type="pct"/>
          </w:tcPr>
          <w:p w:rsidR="002E6464" w:rsidRPr="00C04C77" w:rsidRDefault="002E6464" w:rsidP="006C31BF">
            <w:pPr>
              <w:pStyle w:val="TableUnitsRow"/>
              <w:spacing w:before="0" w:after="0" w:line="240" w:lineRule="atLeast"/>
              <w:ind w:left="0" w:right="0"/>
              <w:jc w:val="center"/>
              <w:rPr>
                <w:rStyle w:val="NoteLabel"/>
                <w:b w:val="0"/>
                <w:i/>
                <w:sz w:val="20"/>
              </w:rPr>
            </w:pPr>
          </w:p>
        </w:tc>
        <w:tc>
          <w:tcPr>
            <w:tcW w:w="215" w:type="pct"/>
          </w:tcPr>
          <w:p w:rsidR="002E6464" w:rsidRPr="00C04C77" w:rsidRDefault="002E6464" w:rsidP="006C31BF">
            <w:pPr>
              <w:pStyle w:val="TableUnitsRow"/>
              <w:spacing w:before="0" w:after="0" w:line="240" w:lineRule="atLeast"/>
              <w:ind w:left="0" w:right="0"/>
              <w:jc w:val="center"/>
              <w:rPr>
                <w:rStyle w:val="NoteLabel"/>
                <w:b w:val="0"/>
                <w:i/>
                <w:sz w:val="20"/>
              </w:rPr>
            </w:pPr>
          </w:p>
        </w:tc>
        <w:tc>
          <w:tcPr>
            <w:tcW w:w="258" w:type="pct"/>
          </w:tcPr>
          <w:p w:rsidR="002E6464" w:rsidRPr="00DB009D" w:rsidRDefault="002E6464" w:rsidP="006C31BF">
            <w:pPr>
              <w:pStyle w:val="TableUnitsRow"/>
              <w:spacing w:before="0" w:after="0" w:line="240" w:lineRule="atLeast"/>
              <w:ind w:left="0" w:right="0"/>
              <w:jc w:val="center"/>
              <w:rPr>
                <w:i/>
              </w:rPr>
            </w:pPr>
          </w:p>
        </w:tc>
        <w:tc>
          <w:tcPr>
            <w:tcW w:w="209" w:type="pct"/>
          </w:tcPr>
          <w:p w:rsidR="002E6464" w:rsidRPr="00DB009D" w:rsidRDefault="002E6464" w:rsidP="006C31BF">
            <w:pPr>
              <w:pStyle w:val="TableUnitsRow"/>
              <w:spacing w:before="0" w:after="0" w:line="240" w:lineRule="atLeast"/>
              <w:ind w:left="0" w:right="0"/>
              <w:jc w:val="center"/>
              <w:rPr>
                <w:i/>
              </w:rPr>
            </w:pPr>
          </w:p>
        </w:tc>
        <w:tc>
          <w:tcPr>
            <w:tcW w:w="280" w:type="pct"/>
          </w:tcPr>
          <w:p w:rsidR="002E6464" w:rsidRPr="00DB009D" w:rsidRDefault="002E6464" w:rsidP="006C31BF">
            <w:pPr>
              <w:pStyle w:val="TableUnitsRow"/>
              <w:spacing w:before="0" w:after="0" w:line="240" w:lineRule="atLeast"/>
              <w:ind w:left="0"/>
              <w:jc w:val="center"/>
              <w:rPr>
                <w:i/>
              </w:rPr>
            </w:pPr>
          </w:p>
        </w:tc>
        <w:tc>
          <w:tcPr>
            <w:tcW w:w="245" w:type="pct"/>
          </w:tcPr>
          <w:p w:rsidR="002E6464" w:rsidRPr="00DB009D" w:rsidRDefault="002E6464" w:rsidP="006C31BF">
            <w:pPr>
              <w:pStyle w:val="TableUnitsRow"/>
              <w:spacing w:before="0" w:after="0" w:line="240" w:lineRule="atLeast"/>
              <w:ind w:left="0"/>
              <w:jc w:val="center"/>
              <w:rPr>
                <w:i/>
              </w:rPr>
            </w:pPr>
          </w:p>
        </w:tc>
        <w:tc>
          <w:tcPr>
            <w:tcW w:w="209" w:type="pct"/>
          </w:tcPr>
          <w:p w:rsidR="002E6464" w:rsidRPr="00C04C77" w:rsidRDefault="002E6464" w:rsidP="006C31BF">
            <w:pPr>
              <w:pStyle w:val="TableUnitsRow"/>
              <w:spacing w:before="0" w:after="0" w:line="240" w:lineRule="atLeast"/>
              <w:ind w:left="0" w:right="0"/>
              <w:jc w:val="center"/>
              <w:rPr>
                <w:rStyle w:val="NoteLabel"/>
                <w:b w:val="0"/>
                <w:i/>
                <w:sz w:val="20"/>
              </w:rPr>
            </w:pPr>
            <w:proofErr w:type="spellStart"/>
            <w:r w:rsidRPr="00C04C77">
              <w:rPr>
                <w:rStyle w:val="NoteLabel"/>
                <w:b w:val="0"/>
                <w:i/>
                <w:sz w:val="20"/>
              </w:rPr>
              <w:t>Pri</w:t>
            </w:r>
            <w:proofErr w:type="spellEnd"/>
            <w:r w:rsidRPr="00C04C77">
              <w:rPr>
                <w:rStyle w:val="NoteLabel"/>
                <w:b w:val="0"/>
                <w:i/>
                <w:sz w:val="20"/>
              </w:rPr>
              <w:t>.</w:t>
            </w:r>
          </w:p>
        </w:tc>
        <w:tc>
          <w:tcPr>
            <w:tcW w:w="258" w:type="pct"/>
          </w:tcPr>
          <w:p w:rsidR="002E6464" w:rsidRPr="00C04C77" w:rsidRDefault="002E6464" w:rsidP="006C31BF">
            <w:pPr>
              <w:pStyle w:val="TableUnitsRow"/>
              <w:spacing w:before="0" w:after="0" w:line="240" w:lineRule="atLeast"/>
              <w:ind w:left="0" w:right="0"/>
              <w:jc w:val="center"/>
              <w:rPr>
                <w:rStyle w:val="NoteLabel"/>
                <w:b w:val="0"/>
                <w:i/>
                <w:sz w:val="20"/>
              </w:rPr>
            </w:pPr>
            <w:r w:rsidRPr="00C04C77">
              <w:rPr>
                <w:rStyle w:val="NoteLabel"/>
                <w:b w:val="0"/>
                <w:i/>
                <w:sz w:val="20"/>
              </w:rPr>
              <w:t>Sub.</w:t>
            </w:r>
          </w:p>
        </w:tc>
        <w:tc>
          <w:tcPr>
            <w:tcW w:w="209" w:type="pct"/>
          </w:tcPr>
          <w:p w:rsidR="002E6464" w:rsidRPr="00C04C77" w:rsidRDefault="002E6464" w:rsidP="006C31BF">
            <w:pPr>
              <w:pStyle w:val="TableUnitsRow"/>
              <w:spacing w:before="0" w:after="0" w:line="240" w:lineRule="atLeast"/>
              <w:ind w:left="0" w:right="0"/>
              <w:jc w:val="center"/>
              <w:rPr>
                <w:rStyle w:val="NoteLabel"/>
                <w:b w:val="0"/>
                <w:i/>
                <w:sz w:val="20"/>
              </w:rPr>
            </w:pPr>
            <w:proofErr w:type="spellStart"/>
            <w:r w:rsidRPr="00C04C77">
              <w:rPr>
                <w:rStyle w:val="NoteLabel"/>
                <w:b w:val="0"/>
                <w:i/>
                <w:sz w:val="20"/>
              </w:rPr>
              <w:t>Pri</w:t>
            </w:r>
            <w:proofErr w:type="spellEnd"/>
            <w:r w:rsidRPr="00C04C77">
              <w:rPr>
                <w:rStyle w:val="NoteLabel"/>
                <w:b w:val="0"/>
                <w:i/>
                <w:sz w:val="20"/>
              </w:rPr>
              <w:t>.</w:t>
            </w:r>
          </w:p>
        </w:tc>
        <w:tc>
          <w:tcPr>
            <w:tcW w:w="259" w:type="pct"/>
          </w:tcPr>
          <w:p w:rsidR="002E6464" w:rsidRPr="00C04C77" w:rsidRDefault="002E6464" w:rsidP="006C31BF">
            <w:pPr>
              <w:pStyle w:val="TableUnitsRow"/>
              <w:spacing w:before="0" w:after="0" w:line="240" w:lineRule="atLeast"/>
              <w:ind w:left="0" w:right="0"/>
              <w:jc w:val="center"/>
              <w:rPr>
                <w:rStyle w:val="NoteLabel"/>
                <w:b w:val="0"/>
                <w:i/>
                <w:sz w:val="20"/>
              </w:rPr>
            </w:pPr>
            <w:r w:rsidRPr="00C04C77">
              <w:rPr>
                <w:rStyle w:val="NoteLabel"/>
                <w:b w:val="0"/>
                <w:i/>
                <w:sz w:val="20"/>
              </w:rPr>
              <w:t>Sub.</w:t>
            </w:r>
          </w:p>
        </w:tc>
        <w:tc>
          <w:tcPr>
            <w:tcW w:w="254" w:type="pct"/>
          </w:tcPr>
          <w:p w:rsidR="002E6464" w:rsidRPr="00DB009D" w:rsidRDefault="002E6464" w:rsidP="006C31BF">
            <w:pPr>
              <w:pStyle w:val="TableUnitsRow"/>
              <w:spacing w:before="0" w:after="0" w:line="240" w:lineRule="atLeast"/>
              <w:ind w:left="0" w:right="28"/>
              <w:jc w:val="center"/>
              <w:rPr>
                <w:i/>
              </w:rPr>
            </w:pPr>
          </w:p>
        </w:tc>
      </w:tr>
      <w:tr w:rsidR="002E6464" w:rsidTr="00416A66">
        <w:trPr>
          <w:trHeight w:val="361"/>
        </w:trPr>
        <w:tc>
          <w:tcPr>
            <w:tcW w:w="1103" w:type="pct"/>
            <w:vMerge/>
            <w:tcBorders>
              <w:bottom w:val="single" w:sz="4" w:space="0" w:color="auto"/>
            </w:tcBorders>
          </w:tcPr>
          <w:p w:rsidR="002E6464" w:rsidRPr="00DB009D" w:rsidRDefault="002E6464" w:rsidP="006C31BF">
            <w:pPr>
              <w:pStyle w:val="TableBodyText"/>
              <w:jc w:val="left"/>
              <w:rPr>
                <w:i/>
              </w:rPr>
            </w:pPr>
          </w:p>
        </w:tc>
        <w:tc>
          <w:tcPr>
            <w:tcW w:w="384" w:type="pct"/>
            <w:vMerge/>
            <w:tcBorders>
              <w:bottom w:val="single" w:sz="4" w:space="0" w:color="auto"/>
            </w:tcBorders>
          </w:tcPr>
          <w:p w:rsidR="002E6464" w:rsidRPr="00DB009D" w:rsidRDefault="002E6464" w:rsidP="006C31BF">
            <w:pPr>
              <w:pStyle w:val="TableBodyText"/>
              <w:jc w:val="left"/>
              <w:rPr>
                <w:i/>
              </w:rPr>
            </w:pPr>
          </w:p>
        </w:tc>
        <w:tc>
          <w:tcPr>
            <w:tcW w:w="439" w:type="pct"/>
            <w:vMerge/>
            <w:tcBorders>
              <w:bottom w:val="single" w:sz="4" w:space="0" w:color="auto"/>
            </w:tcBorders>
          </w:tcPr>
          <w:p w:rsidR="002E6464" w:rsidRPr="00DB009D" w:rsidRDefault="002E6464" w:rsidP="006C31BF">
            <w:pPr>
              <w:pStyle w:val="TableBodyText"/>
              <w:jc w:val="left"/>
              <w:rPr>
                <w:i/>
              </w:rPr>
            </w:pPr>
          </w:p>
        </w:tc>
        <w:tc>
          <w:tcPr>
            <w:tcW w:w="255" w:type="pct"/>
            <w:tcBorders>
              <w:bottom w:val="single" w:sz="4" w:space="0" w:color="auto"/>
            </w:tcBorders>
          </w:tcPr>
          <w:p w:rsidR="002E6464" w:rsidRPr="00C04C77" w:rsidRDefault="002E6464" w:rsidP="006C31BF">
            <w:pPr>
              <w:pStyle w:val="TableUnitsRow"/>
              <w:spacing w:before="0" w:after="0" w:line="240" w:lineRule="atLeast"/>
              <w:ind w:left="0" w:right="0"/>
              <w:jc w:val="center"/>
              <w:rPr>
                <w:i/>
              </w:rPr>
            </w:pPr>
            <w:proofErr w:type="spellStart"/>
            <w:r w:rsidRPr="00C04C77">
              <w:rPr>
                <w:i/>
              </w:rPr>
              <w:t>BRS</w:t>
            </w:r>
            <w:proofErr w:type="spellEnd"/>
          </w:p>
        </w:tc>
        <w:tc>
          <w:tcPr>
            <w:tcW w:w="220" w:type="pct"/>
            <w:tcBorders>
              <w:bottom w:val="single" w:sz="4" w:space="0" w:color="auto"/>
            </w:tcBorders>
          </w:tcPr>
          <w:p w:rsidR="002E6464" w:rsidRPr="00C04C77" w:rsidRDefault="002E6464" w:rsidP="006C31BF">
            <w:pPr>
              <w:pStyle w:val="TableUnitsRow"/>
              <w:spacing w:before="0" w:after="0" w:line="240" w:lineRule="atLeast"/>
              <w:ind w:left="0" w:right="0"/>
              <w:jc w:val="center"/>
              <w:rPr>
                <w:i/>
              </w:rPr>
            </w:pPr>
            <w:r w:rsidRPr="00C04C77">
              <w:rPr>
                <w:i/>
              </w:rPr>
              <w:t>RIS</w:t>
            </w:r>
          </w:p>
        </w:tc>
        <w:tc>
          <w:tcPr>
            <w:tcW w:w="203" w:type="pct"/>
            <w:tcBorders>
              <w:bottom w:val="single" w:sz="4" w:space="0" w:color="auto"/>
            </w:tcBorders>
          </w:tcPr>
          <w:p w:rsidR="002E6464" w:rsidRPr="00C04C77" w:rsidRDefault="002E6464" w:rsidP="006C31BF">
            <w:pPr>
              <w:pStyle w:val="TableUnitsRow"/>
              <w:spacing w:before="0" w:after="0" w:line="240" w:lineRule="atLeast"/>
              <w:ind w:left="0" w:right="0"/>
              <w:jc w:val="center"/>
              <w:rPr>
                <w:i/>
              </w:rPr>
            </w:pPr>
            <w:r w:rsidRPr="00C04C77">
              <w:rPr>
                <w:i/>
              </w:rPr>
              <w:t>BIA</w:t>
            </w:r>
          </w:p>
        </w:tc>
        <w:tc>
          <w:tcPr>
            <w:tcW w:w="215" w:type="pct"/>
            <w:tcBorders>
              <w:bottom w:val="single" w:sz="4" w:space="0" w:color="auto"/>
            </w:tcBorders>
          </w:tcPr>
          <w:p w:rsidR="002E6464" w:rsidRPr="00C04C77" w:rsidRDefault="002E6464" w:rsidP="006C31BF">
            <w:pPr>
              <w:pStyle w:val="TableUnitsRow"/>
              <w:spacing w:before="0" w:after="0" w:line="240" w:lineRule="atLeast"/>
              <w:ind w:left="0" w:right="0"/>
              <w:jc w:val="center"/>
              <w:rPr>
                <w:i/>
              </w:rPr>
            </w:pPr>
            <w:r w:rsidRPr="00C04C77">
              <w:rPr>
                <w:i/>
              </w:rPr>
              <w:t>RIS</w:t>
            </w:r>
          </w:p>
        </w:tc>
        <w:tc>
          <w:tcPr>
            <w:tcW w:w="258" w:type="pct"/>
            <w:tcBorders>
              <w:bottom w:val="single" w:sz="4" w:space="0" w:color="auto"/>
            </w:tcBorders>
          </w:tcPr>
          <w:p w:rsidR="002E6464" w:rsidRPr="00C04C77" w:rsidRDefault="002E6464" w:rsidP="006C31BF">
            <w:pPr>
              <w:pStyle w:val="TableUnitsRow"/>
              <w:spacing w:before="0" w:after="0" w:line="240" w:lineRule="atLeast"/>
              <w:ind w:left="0" w:right="0"/>
              <w:jc w:val="center"/>
              <w:rPr>
                <w:i/>
              </w:rPr>
            </w:pPr>
            <w:r w:rsidRPr="00C04C77">
              <w:rPr>
                <w:i/>
              </w:rPr>
              <w:t>RAS</w:t>
            </w:r>
          </w:p>
        </w:tc>
        <w:tc>
          <w:tcPr>
            <w:tcW w:w="209" w:type="pct"/>
            <w:tcBorders>
              <w:bottom w:val="single" w:sz="4" w:space="0" w:color="auto"/>
            </w:tcBorders>
          </w:tcPr>
          <w:p w:rsidR="002E6464" w:rsidRPr="00C04C77" w:rsidRDefault="002E6464" w:rsidP="006C31BF">
            <w:pPr>
              <w:pStyle w:val="TableUnitsRow"/>
              <w:spacing w:before="0" w:after="0" w:line="240" w:lineRule="atLeast"/>
              <w:ind w:left="0" w:right="0"/>
              <w:jc w:val="center"/>
              <w:rPr>
                <w:i/>
              </w:rPr>
            </w:pPr>
            <w:r w:rsidRPr="00C04C77">
              <w:rPr>
                <w:i/>
              </w:rPr>
              <w:t>RIS</w:t>
            </w:r>
          </w:p>
        </w:tc>
        <w:tc>
          <w:tcPr>
            <w:tcW w:w="280" w:type="pct"/>
            <w:tcBorders>
              <w:bottom w:val="single" w:sz="4" w:space="0" w:color="auto"/>
            </w:tcBorders>
          </w:tcPr>
          <w:p w:rsidR="002E6464" w:rsidRPr="00C04C77" w:rsidRDefault="002E6464" w:rsidP="006C31BF">
            <w:pPr>
              <w:pStyle w:val="TableUnitsRow"/>
              <w:spacing w:before="0" w:after="0" w:line="240" w:lineRule="atLeast"/>
              <w:ind w:left="0" w:right="0"/>
              <w:jc w:val="center"/>
              <w:rPr>
                <w:i/>
              </w:rPr>
            </w:pPr>
            <w:r w:rsidRPr="00C04C77">
              <w:rPr>
                <w:i/>
              </w:rPr>
              <w:t>RIS</w:t>
            </w:r>
          </w:p>
        </w:tc>
        <w:tc>
          <w:tcPr>
            <w:tcW w:w="245" w:type="pct"/>
            <w:tcBorders>
              <w:bottom w:val="single" w:sz="4" w:space="0" w:color="auto"/>
            </w:tcBorders>
          </w:tcPr>
          <w:p w:rsidR="002E6464" w:rsidRPr="00C04C77" w:rsidRDefault="002E6464" w:rsidP="006C31BF">
            <w:pPr>
              <w:pStyle w:val="TableUnitsRow"/>
              <w:spacing w:before="0" w:after="0" w:line="240" w:lineRule="atLeast"/>
              <w:ind w:left="0" w:right="0"/>
              <w:jc w:val="center"/>
              <w:rPr>
                <w:i/>
              </w:rPr>
            </w:pPr>
            <w:r w:rsidRPr="00C04C77">
              <w:rPr>
                <w:i/>
              </w:rPr>
              <w:t>RIS</w:t>
            </w:r>
          </w:p>
        </w:tc>
        <w:tc>
          <w:tcPr>
            <w:tcW w:w="209" w:type="pct"/>
            <w:tcBorders>
              <w:bottom w:val="single" w:sz="4" w:space="0" w:color="auto"/>
            </w:tcBorders>
          </w:tcPr>
          <w:p w:rsidR="002E6464" w:rsidRPr="00C04C77" w:rsidRDefault="002E6464" w:rsidP="006C31BF">
            <w:pPr>
              <w:pStyle w:val="TableUnitsRow"/>
              <w:spacing w:before="0" w:after="0" w:line="240" w:lineRule="atLeast"/>
              <w:ind w:left="0" w:right="0"/>
              <w:jc w:val="center"/>
              <w:rPr>
                <w:i/>
              </w:rPr>
            </w:pPr>
            <w:r w:rsidRPr="00C04C77">
              <w:rPr>
                <w:i/>
              </w:rPr>
              <w:t>RIS</w:t>
            </w:r>
          </w:p>
        </w:tc>
        <w:tc>
          <w:tcPr>
            <w:tcW w:w="258" w:type="pct"/>
            <w:tcBorders>
              <w:bottom w:val="single" w:sz="4" w:space="0" w:color="auto"/>
            </w:tcBorders>
          </w:tcPr>
          <w:p w:rsidR="002E6464" w:rsidRPr="00C04C77" w:rsidRDefault="002E6464" w:rsidP="006C31BF">
            <w:pPr>
              <w:pStyle w:val="TableUnitsRow"/>
              <w:spacing w:before="0" w:after="0" w:line="240" w:lineRule="atLeast"/>
              <w:ind w:left="0" w:right="0"/>
              <w:jc w:val="center"/>
              <w:rPr>
                <w:i/>
              </w:rPr>
            </w:pPr>
            <w:r w:rsidRPr="00C04C77">
              <w:rPr>
                <w:i/>
              </w:rPr>
              <w:t>RIS</w:t>
            </w:r>
          </w:p>
        </w:tc>
        <w:tc>
          <w:tcPr>
            <w:tcW w:w="209" w:type="pct"/>
            <w:tcBorders>
              <w:bottom w:val="single" w:sz="4" w:space="0" w:color="auto"/>
            </w:tcBorders>
          </w:tcPr>
          <w:p w:rsidR="002E6464" w:rsidRPr="00C04C77" w:rsidRDefault="002E6464" w:rsidP="006C31BF">
            <w:pPr>
              <w:pStyle w:val="TableUnitsRow"/>
              <w:spacing w:before="0" w:after="0" w:line="240" w:lineRule="atLeast"/>
              <w:ind w:left="0" w:right="0"/>
              <w:jc w:val="center"/>
              <w:rPr>
                <w:i/>
              </w:rPr>
            </w:pPr>
            <w:r w:rsidRPr="00C04C77">
              <w:rPr>
                <w:i/>
              </w:rPr>
              <w:t>RIS</w:t>
            </w:r>
          </w:p>
        </w:tc>
        <w:tc>
          <w:tcPr>
            <w:tcW w:w="259" w:type="pct"/>
            <w:tcBorders>
              <w:bottom w:val="single" w:sz="4" w:space="0" w:color="auto"/>
            </w:tcBorders>
          </w:tcPr>
          <w:p w:rsidR="002E6464" w:rsidRPr="00C04C77" w:rsidRDefault="002E6464" w:rsidP="006C31BF">
            <w:pPr>
              <w:pStyle w:val="TableUnitsRow"/>
              <w:spacing w:before="0" w:after="0" w:line="240" w:lineRule="atLeast"/>
              <w:ind w:left="0" w:right="0"/>
              <w:jc w:val="center"/>
              <w:rPr>
                <w:i/>
              </w:rPr>
            </w:pPr>
            <w:r w:rsidRPr="00C04C77">
              <w:rPr>
                <w:i/>
              </w:rPr>
              <w:t>RIS</w:t>
            </w:r>
          </w:p>
        </w:tc>
        <w:tc>
          <w:tcPr>
            <w:tcW w:w="254" w:type="pct"/>
            <w:tcBorders>
              <w:bottom w:val="single" w:sz="4" w:space="0" w:color="auto"/>
            </w:tcBorders>
          </w:tcPr>
          <w:p w:rsidR="002E6464" w:rsidRPr="00C04C77" w:rsidRDefault="002E6464" w:rsidP="006C31BF">
            <w:pPr>
              <w:pStyle w:val="TableUnitsRow"/>
              <w:spacing w:before="0" w:after="0" w:line="240" w:lineRule="atLeast"/>
              <w:ind w:left="0" w:right="0"/>
              <w:jc w:val="center"/>
              <w:rPr>
                <w:i/>
              </w:rPr>
            </w:pPr>
            <w:r w:rsidRPr="00C04C77">
              <w:rPr>
                <w:i/>
              </w:rPr>
              <w:t>RIS</w:t>
            </w:r>
          </w:p>
        </w:tc>
      </w:tr>
      <w:tr w:rsidR="00087BC7" w:rsidTr="00416A66">
        <w:tc>
          <w:tcPr>
            <w:tcW w:w="1103" w:type="pct"/>
            <w:tcBorders>
              <w:top w:val="single" w:sz="4" w:space="0" w:color="auto"/>
            </w:tcBorders>
            <w:shd w:val="clear" w:color="auto" w:fill="FFFFFF" w:themeFill="background1"/>
          </w:tcPr>
          <w:p w:rsidR="002E6464" w:rsidRPr="0086672C" w:rsidRDefault="002E6464" w:rsidP="00087BC7">
            <w:pPr>
              <w:pStyle w:val="TableBodyText"/>
              <w:spacing w:before="80"/>
              <w:jc w:val="left"/>
            </w:pPr>
            <w:r>
              <w:t>Prime Minister</w:t>
            </w:r>
          </w:p>
        </w:tc>
        <w:tc>
          <w:tcPr>
            <w:tcW w:w="384" w:type="pct"/>
            <w:tcBorders>
              <w:top w:val="single" w:sz="4" w:space="0" w:color="auto"/>
            </w:tcBorders>
            <w:shd w:val="clear" w:color="auto" w:fill="FFFFFF" w:themeFill="background1"/>
          </w:tcPr>
          <w:p w:rsidR="002E6464" w:rsidRPr="0086672C" w:rsidRDefault="002E6464" w:rsidP="00087BC7">
            <w:pPr>
              <w:pStyle w:val="TableBodyText"/>
              <w:spacing w:before="80"/>
              <w:jc w:val="center"/>
            </w:pPr>
            <w:r>
              <w:sym w:font="Wingdings" w:char="F0FC"/>
            </w:r>
          </w:p>
        </w:tc>
        <w:tc>
          <w:tcPr>
            <w:tcW w:w="439" w:type="pct"/>
            <w:tcBorders>
              <w:top w:val="single" w:sz="4" w:space="0" w:color="auto"/>
            </w:tcBorders>
            <w:shd w:val="clear" w:color="auto" w:fill="FFFFFF" w:themeFill="background1"/>
          </w:tcPr>
          <w:p w:rsidR="002E6464" w:rsidRPr="0086672C" w:rsidRDefault="002E6464" w:rsidP="003938BC">
            <w:pPr>
              <w:pStyle w:val="TableBodyText"/>
              <w:spacing w:before="80"/>
              <w:ind w:right="-16"/>
              <w:jc w:val="center"/>
              <w:rPr>
                <w:rStyle w:val="NoteLabel"/>
                <w:b w:val="0"/>
                <w:position w:val="0"/>
                <w:sz w:val="20"/>
              </w:rPr>
            </w:pPr>
            <w:r>
              <w:sym w:font="Wingdings" w:char="F0FC"/>
            </w:r>
          </w:p>
        </w:tc>
        <w:tc>
          <w:tcPr>
            <w:tcW w:w="255" w:type="pct"/>
            <w:tcBorders>
              <w:top w:val="single" w:sz="4" w:space="0" w:color="auto"/>
            </w:tcBorders>
            <w:shd w:val="clear" w:color="auto" w:fill="FFFFFF" w:themeFill="background1"/>
          </w:tcPr>
          <w:p w:rsidR="002E6464" w:rsidRPr="0086672C" w:rsidRDefault="002E6464" w:rsidP="00087BC7">
            <w:pPr>
              <w:pStyle w:val="TableBodyText"/>
              <w:spacing w:before="80"/>
              <w:jc w:val="center"/>
              <w:rPr>
                <w:rStyle w:val="NoteLabel"/>
                <w:b w:val="0"/>
                <w:position w:val="0"/>
                <w:sz w:val="20"/>
              </w:rPr>
            </w:pPr>
            <w:r>
              <w:rPr>
                <w:rStyle w:val="NoteLabel"/>
                <w:b w:val="0"/>
                <w:position w:val="0"/>
                <w:sz w:val="20"/>
              </w:rPr>
              <w:t>..</w:t>
            </w:r>
          </w:p>
        </w:tc>
        <w:tc>
          <w:tcPr>
            <w:tcW w:w="220" w:type="pct"/>
            <w:tcBorders>
              <w:top w:val="single" w:sz="4" w:space="0" w:color="auto"/>
            </w:tcBorders>
            <w:shd w:val="clear" w:color="auto" w:fill="FFFFFF" w:themeFill="background1"/>
          </w:tcPr>
          <w:p w:rsidR="002E6464" w:rsidRPr="0086672C" w:rsidRDefault="002E6464" w:rsidP="00087BC7">
            <w:pPr>
              <w:pStyle w:val="TableBodyText"/>
              <w:spacing w:before="80"/>
              <w:jc w:val="center"/>
            </w:pPr>
            <w:r>
              <w:t>..</w:t>
            </w:r>
          </w:p>
        </w:tc>
        <w:tc>
          <w:tcPr>
            <w:tcW w:w="203" w:type="pct"/>
            <w:tcBorders>
              <w:top w:val="single" w:sz="4" w:space="0" w:color="auto"/>
            </w:tcBorders>
            <w:shd w:val="clear" w:color="auto" w:fill="FFFFFF" w:themeFill="background1"/>
          </w:tcPr>
          <w:p w:rsidR="002E6464" w:rsidRPr="0086672C" w:rsidRDefault="002E6464" w:rsidP="00087BC7">
            <w:pPr>
              <w:pStyle w:val="TableBodyText"/>
              <w:spacing w:before="80"/>
              <w:jc w:val="center"/>
              <w:rPr>
                <w:rStyle w:val="NoteLabel"/>
                <w:b w:val="0"/>
                <w:position w:val="0"/>
                <w:sz w:val="20"/>
              </w:rPr>
            </w:pPr>
            <w:r>
              <w:rPr>
                <w:rStyle w:val="NoteLabel"/>
                <w:b w:val="0"/>
                <w:position w:val="0"/>
                <w:sz w:val="20"/>
              </w:rPr>
              <w:t>..</w:t>
            </w:r>
          </w:p>
        </w:tc>
        <w:tc>
          <w:tcPr>
            <w:tcW w:w="215" w:type="pct"/>
            <w:tcBorders>
              <w:top w:val="single" w:sz="4" w:space="0" w:color="auto"/>
            </w:tcBorders>
            <w:shd w:val="clear" w:color="auto" w:fill="FFFFFF" w:themeFill="background1"/>
          </w:tcPr>
          <w:p w:rsidR="002E6464" w:rsidRPr="0086672C" w:rsidRDefault="002E6464" w:rsidP="00087BC7">
            <w:pPr>
              <w:pStyle w:val="TableBodyText"/>
              <w:spacing w:before="80"/>
              <w:jc w:val="center"/>
            </w:pPr>
            <w:r>
              <w:t>..</w:t>
            </w:r>
          </w:p>
        </w:tc>
        <w:tc>
          <w:tcPr>
            <w:tcW w:w="258" w:type="pct"/>
            <w:tcBorders>
              <w:top w:val="single" w:sz="4" w:space="0" w:color="auto"/>
            </w:tcBorders>
            <w:shd w:val="clear" w:color="auto" w:fill="FFFFFF" w:themeFill="background1"/>
          </w:tcPr>
          <w:p w:rsidR="002E6464" w:rsidRPr="0086672C" w:rsidRDefault="002E6464" w:rsidP="00087BC7">
            <w:pPr>
              <w:pStyle w:val="TableBodyText"/>
              <w:spacing w:before="80"/>
              <w:jc w:val="center"/>
            </w:pPr>
            <w:r>
              <w:t>..</w:t>
            </w:r>
          </w:p>
        </w:tc>
        <w:tc>
          <w:tcPr>
            <w:tcW w:w="209" w:type="pct"/>
            <w:tcBorders>
              <w:top w:val="single" w:sz="4" w:space="0" w:color="auto"/>
            </w:tcBorders>
            <w:shd w:val="clear" w:color="auto" w:fill="FFFFFF" w:themeFill="background1"/>
          </w:tcPr>
          <w:p w:rsidR="002E6464" w:rsidRPr="0086672C" w:rsidRDefault="002E6464" w:rsidP="00087BC7">
            <w:pPr>
              <w:pStyle w:val="TableBodyText"/>
              <w:spacing w:before="80"/>
              <w:jc w:val="center"/>
            </w:pPr>
            <w:r>
              <w:t>..</w:t>
            </w:r>
          </w:p>
        </w:tc>
        <w:tc>
          <w:tcPr>
            <w:tcW w:w="280" w:type="pct"/>
            <w:tcBorders>
              <w:top w:val="single" w:sz="4" w:space="0" w:color="auto"/>
            </w:tcBorders>
            <w:shd w:val="clear" w:color="auto" w:fill="FFFFFF" w:themeFill="background1"/>
          </w:tcPr>
          <w:p w:rsidR="002E6464" w:rsidRPr="0086672C" w:rsidRDefault="002E6464" w:rsidP="00087BC7">
            <w:pPr>
              <w:pStyle w:val="TableBodyText"/>
              <w:spacing w:before="80"/>
              <w:jc w:val="center"/>
              <w:rPr>
                <w:rStyle w:val="NoteLabel"/>
                <w:b w:val="0"/>
                <w:position w:val="0"/>
                <w:sz w:val="20"/>
              </w:rPr>
            </w:pPr>
            <w:r>
              <w:rPr>
                <w:rStyle w:val="NoteLabel"/>
                <w:b w:val="0"/>
                <w:position w:val="0"/>
                <w:sz w:val="20"/>
              </w:rPr>
              <w:t>..</w:t>
            </w:r>
          </w:p>
        </w:tc>
        <w:tc>
          <w:tcPr>
            <w:tcW w:w="245" w:type="pct"/>
            <w:tcBorders>
              <w:top w:val="single" w:sz="4" w:space="0" w:color="auto"/>
            </w:tcBorders>
            <w:shd w:val="clear" w:color="auto" w:fill="FFFFFF" w:themeFill="background1"/>
          </w:tcPr>
          <w:p w:rsidR="002E6464" w:rsidRPr="0086672C" w:rsidRDefault="002E6464" w:rsidP="00087BC7">
            <w:pPr>
              <w:pStyle w:val="TableBodyText"/>
              <w:spacing w:before="80"/>
              <w:jc w:val="center"/>
            </w:pPr>
            <w:r>
              <w:t>..</w:t>
            </w:r>
          </w:p>
        </w:tc>
        <w:tc>
          <w:tcPr>
            <w:tcW w:w="209" w:type="pct"/>
            <w:tcBorders>
              <w:top w:val="single" w:sz="4" w:space="0" w:color="auto"/>
            </w:tcBorders>
            <w:shd w:val="clear" w:color="auto" w:fill="FFFFFF" w:themeFill="background1"/>
          </w:tcPr>
          <w:p w:rsidR="002E6464" w:rsidRPr="00872579" w:rsidRDefault="002E6464" w:rsidP="00087BC7">
            <w:pPr>
              <w:pStyle w:val="TableBodyText"/>
              <w:spacing w:before="80"/>
              <w:jc w:val="center"/>
            </w:pPr>
            <w:r>
              <w:t>..</w:t>
            </w:r>
          </w:p>
        </w:tc>
        <w:tc>
          <w:tcPr>
            <w:tcW w:w="258" w:type="pct"/>
            <w:tcBorders>
              <w:top w:val="single" w:sz="4" w:space="0" w:color="auto"/>
            </w:tcBorders>
            <w:shd w:val="clear" w:color="auto" w:fill="FFFFFF" w:themeFill="background1"/>
          </w:tcPr>
          <w:p w:rsidR="002E6464" w:rsidRPr="00872579" w:rsidRDefault="002E6464" w:rsidP="00087BC7">
            <w:pPr>
              <w:pStyle w:val="TableBodyText"/>
              <w:spacing w:before="80"/>
              <w:jc w:val="center"/>
            </w:pPr>
            <w:r>
              <w:t>..</w:t>
            </w:r>
          </w:p>
        </w:tc>
        <w:tc>
          <w:tcPr>
            <w:tcW w:w="209" w:type="pct"/>
            <w:tcBorders>
              <w:top w:val="single" w:sz="4" w:space="0" w:color="auto"/>
            </w:tcBorders>
            <w:shd w:val="clear" w:color="auto" w:fill="FFFFFF" w:themeFill="background1"/>
          </w:tcPr>
          <w:p w:rsidR="002E6464" w:rsidRPr="00872579" w:rsidRDefault="002E6464" w:rsidP="00087BC7">
            <w:pPr>
              <w:pStyle w:val="TableBodyText"/>
              <w:spacing w:before="80"/>
              <w:jc w:val="center"/>
            </w:pPr>
            <w:r>
              <w:t>..</w:t>
            </w:r>
          </w:p>
        </w:tc>
        <w:tc>
          <w:tcPr>
            <w:tcW w:w="259" w:type="pct"/>
            <w:tcBorders>
              <w:top w:val="single" w:sz="4" w:space="0" w:color="auto"/>
            </w:tcBorders>
            <w:shd w:val="clear" w:color="auto" w:fill="FFFFFF" w:themeFill="background1"/>
          </w:tcPr>
          <w:p w:rsidR="002E6464" w:rsidRPr="00872579" w:rsidRDefault="002E6464" w:rsidP="00087BC7">
            <w:pPr>
              <w:pStyle w:val="TableBodyText"/>
              <w:spacing w:before="80"/>
              <w:jc w:val="center"/>
            </w:pPr>
            <w:r>
              <w:t>..</w:t>
            </w:r>
          </w:p>
        </w:tc>
        <w:tc>
          <w:tcPr>
            <w:tcW w:w="254" w:type="pct"/>
            <w:tcBorders>
              <w:top w:val="single" w:sz="4" w:space="0" w:color="auto"/>
            </w:tcBorders>
            <w:shd w:val="clear" w:color="auto" w:fill="FFFFFF" w:themeFill="background1"/>
          </w:tcPr>
          <w:p w:rsidR="002E6464" w:rsidRDefault="002E6464" w:rsidP="00087BC7">
            <w:pPr>
              <w:pStyle w:val="TableBodyText"/>
              <w:spacing w:before="80"/>
              <w:jc w:val="center"/>
            </w:pPr>
            <w:r>
              <w:t>..</w:t>
            </w:r>
          </w:p>
        </w:tc>
      </w:tr>
      <w:tr w:rsidR="00087BC7" w:rsidTr="00416A66">
        <w:tc>
          <w:tcPr>
            <w:tcW w:w="1103" w:type="pct"/>
            <w:shd w:val="pct15" w:color="auto" w:fill="FFFFFF" w:themeFill="background1"/>
          </w:tcPr>
          <w:p w:rsidR="002E6464" w:rsidRPr="0086672C" w:rsidRDefault="002E6464" w:rsidP="007668DA">
            <w:pPr>
              <w:pStyle w:val="TableBodyText"/>
              <w:spacing w:before="20"/>
              <w:jc w:val="left"/>
            </w:pPr>
            <w:r>
              <w:t>Premier</w:t>
            </w:r>
          </w:p>
        </w:tc>
        <w:tc>
          <w:tcPr>
            <w:tcW w:w="384" w:type="pct"/>
            <w:shd w:val="pct15" w:color="auto" w:fill="FFFFFF" w:themeFill="background1"/>
          </w:tcPr>
          <w:p w:rsidR="002E6464" w:rsidRPr="0086672C" w:rsidRDefault="002E6464" w:rsidP="00087BC7">
            <w:pPr>
              <w:pStyle w:val="TableBodyText"/>
              <w:spacing w:before="20"/>
              <w:jc w:val="center"/>
              <w:rPr>
                <w:rStyle w:val="NoteLabel"/>
                <w:b w:val="0"/>
                <w:position w:val="0"/>
                <w:sz w:val="20"/>
              </w:rPr>
            </w:pPr>
            <w:r>
              <w:rPr>
                <w:rStyle w:val="NoteLabel"/>
                <w:b w:val="0"/>
                <w:position w:val="0"/>
                <w:sz w:val="20"/>
              </w:rPr>
              <w:t>..</w:t>
            </w:r>
          </w:p>
        </w:tc>
        <w:tc>
          <w:tcPr>
            <w:tcW w:w="439" w:type="pct"/>
            <w:shd w:val="pct15" w:color="auto" w:fill="FFFFFF" w:themeFill="background1"/>
          </w:tcPr>
          <w:p w:rsidR="002E6464" w:rsidRPr="0086672C" w:rsidRDefault="002E6464" w:rsidP="003938BC">
            <w:pPr>
              <w:pStyle w:val="TableBodyText"/>
              <w:spacing w:before="20"/>
              <w:ind w:right="-16"/>
              <w:jc w:val="center"/>
            </w:pPr>
            <w:r>
              <w:t>..</w:t>
            </w:r>
          </w:p>
        </w:tc>
        <w:tc>
          <w:tcPr>
            <w:tcW w:w="255" w:type="pct"/>
            <w:shd w:val="pct15" w:color="auto" w:fill="FFFFFF" w:themeFill="background1"/>
          </w:tcPr>
          <w:p w:rsidR="002E6464" w:rsidRPr="0086672C" w:rsidRDefault="002E6464" w:rsidP="00087BC7">
            <w:pPr>
              <w:pStyle w:val="TableBodyText"/>
              <w:spacing w:before="20"/>
              <w:jc w:val="center"/>
            </w:pPr>
            <w:r>
              <w:t>..</w:t>
            </w:r>
          </w:p>
        </w:tc>
        <w:tc>
          <w:tcPr>
            <w:tcW w:w="220" w:type="pct"/>
            <w:shd w:val="pct15" w:color="auto" w:fill="FFFFFF" w:themeFill="background1"/>
          </w:tcPr>
          <w:p w:rsidR="002E6464" w:rsidRPr="0086672C" w:rsidRDefault="002E6464" w:rsidP="00087BC7">
            <w:pPr>
              <w:pStyle w:val="TableBodyText"/>
              <w:spacing w:before="20"/>
              <w:jc w:val="center"/>
            </w:pPr>
            <w:r>
              <w:t>..</w:t>
            </w:r>
          </w:p>
        </w:tc>
        <w:tc>
          <w:tcPr>
            <w:tcW w:w="203" w:type="pct"/>
            <w:shd w:val="pct15" w:color="auto" w:fill="FFFFFF" w:themeFill="background1"/>
          </w:tcPr>
          <w:p w:rsidR="002E6464" w:rsidRPr="0086672C" w:rsidRDefault="002E6464" w:rsidP="00087BC7">
            <w:pPr>
              <w:pStyle w:val="TableBodyText"/>
              <w:spacing w:before="60"/>
              <w:jc w:val="center"/>
            </w:pPr>
            <w:r>
              <w:sym w:font="Wingdings" w:char="F0FC"/>
            </w:r>
          </w:p>
        </w:tc>
        <w:tc>
          <w:tcPr>
            <w:tcW w:w="215" w:type="pct"/>
            <w:shd w:val="pct15" w:color="auto" w:fill="FFFFFF" w:themeFill="background1"/>
          </w:tcPr>
          <w:p w:rsidR="002E6464" w:rsidRPr="009D27C7" w:rsidRDefault="002E6464" w:rsidP="00087BC7">
            <w:pPr>
              <w:pStyle w:val="TableBodyText"/>
              <w:spacing w:before="20"/>
              <w:ind w:right="0"/>
              <w:jc w:val="center"/>
              <w:rPr>
                <w:rStyle w:val="NoteLabel"/>
              </w:rPr>
            </w:pPr>
            <w:r>
              <w:sym w:font="Wingdings" w:char="F0FC"/>
            </w:r>
            <w:r>
              <w:rPr>
                <w:rStyle w:val="NoteLabel"/>
              </w:rPr>
              <w:t>a</w:t>
            </w:r>
          </w:p>
        </w:tc>
        <w:tc>
          <w:tcPr>
            <w:tcW w:w="258" w:type="pct"/>
            <w:shd w:val="pct15" w:color="auto" w:fill="FFFFFF" w:themeFill="background1"/>
          </w:tcPr>
          <w:p w:rsidR="002E6464" w:rsidRPr="0086672C" w:rsidRDefault="002E6464" w:rsidP="00087BC7">
            <w:pPr>
              <w:pStyle w:val="TableBodyText"/>
              <w:spacing w:before="20"/>
              <w:jc w:val="center"/>
              <w:rPr>
                <w:rStyle w:val="NoteLabel"/>
                <w:b w:val="0"/>
                <w:position w:val="0"/>
                <w:sz w:val="20"/>
              </w:rPr>
            </w:pPr>
            <w:r>
              <w:t>..</w:t>
            </w:r>
          </w:p>
        </w:tc>
        <w:tc>
          <w:tcPr>
            <w:tcW w:w="209" w:type="pct"/>
            <w:shd w:val="pct15" w:color="auto" w:fill="FFFFFF" w:themeFill="background1"/>
          </w:tcPr>
          <w:p w:rsidR="002E6464" w:rsidRPr="0086672C" w:rsidRDefault="002E6464" w:rsidP="00087BC7">
            <w:pPr>
              <w:pStyle w:val="TableBodyText"/>
              <w:spacing w:before="20"/>
              <w:jc w:val="center"/>
              <w:rPr>
                <w:rStyle w:val="NoteLabel"/>
                <w:b w:val="0"/>
                <w:position w:val="0"/>
                <w:sz w:val="20"/>
              </w:rPr>
            </w:pPr>
            <w:r>
              <w:t>..</w:t>
            </w:r>
          </w:p>
        </w:tc>
        <w:tc>
          <w:tcPr>
            <w:tcW w:w="280" w:type="pct"/>
            <w:shd w:val="pct15" w:color="auto" w:fill="FFFFFF" w:themeFill="background1"/>
          </w:tcPr>
          <w:p w:rsidR="002E6464" w:rsidRPr="0086672C" w:rsidRDefault="002E6464" w:rsidP="00087BC7">
            <w:pPr>
              <w:pStyle w:val="TableBodyText"/>
              <w:spacing w:before="20"/>
              <w:jc w:val="center"/>
            </w:pPr>
            <w:r>
              <w:t>..</w:t>
            </w:r>
          </w:p>
        </w:tc>
        <w:tc>
          <w:tcPr>
            <w:tcW w:w="245" w:type="pct"/>
            <w:shd w:val="pct15" w:color="auto" w:fill="FFFFFF" w:themeFill="background1"/>
          </w:tcPr>
          <w:p w:rsidR="002E6464" w:rsidRPr="0086672C" w:rsidRDefault="002E6464" w:rsidP="00087BC7">
            <w:pPr>
              <w:pStyle w:val="TableBodyText"/>
              <w:spacing w:before="20"/>
              <w:jc w:val="center"/>
            </w:pPr>
            <w:r>
              <w:t>..</w:t>
            </w:r>
          </w:p>
        </w:tc>
        <w:tc>
          <w:tcPr>
            <w:tcW w:w="209" w:type="pct"/>
            <w:shd w:val="pct15" w:color="auto" w:fill="FFFFFF" w:themeFill="background1"/>
          </w:tcPr>
          <w:p w:rsidR="002E6464" w:rsidRDefault="002E6464" w:rsidP="00087BC7">
            <w:pPr>
              <w:pStyle w:val="TableBodyText"/>
              <w:spacing w:before="20"/>
              <w:jc w:val="center"/>
            </w:pPr>
            <w:r>
              <w:t>..</w:t>
            </w:r>
          </w:p>
        </w:tc>
        <w:tc>
          <w:tcPr>
            <w:tcW w:w="258" w:type="pct"/>
            <w:shd w:val="pct15" w:color="auto" w:fill="FFFFFF" w:themeFill="background1"/>
          </w:tcPr>
          <w:p w:rsidR="002E6464" w:rsidRDefault="002E6464" w:rsidP="00087BC7">
            <w:pPr>
              <w:pStyle w:val="TableBodyText"/>
              <w:spacing w:before="20"/>
              <w:jc w:val="center"/>
            </w:pPr>
            <w:r>
              <w:t>..</w:t>
            </w:r>
          </w:p>
        </w:tc>
        <w:tc>
          <w:tcPr>
            <w:tcW w:w="209" w:type="pct"/>
            <w:shd w:val="pct15" w:color="auto" w:fill="FFFFFF" w:themeFill="background1"/>
          </w:tcPr>
          <w:p w:rsidR="002E6464" w:rsidRDefault="002E6464" w:rsidP="00087BC7">
            <w:pPr>
              <w:pStyle w:val="TableBodyText"/>
              <w:spacing w:before="20"/>
              <w:jc w:val="center"/>
            </w:pPr>
            <w:r>
              <w:t>..</w:t>
            </w:r>
          </w:p>
        </w:tc>
        <w:tc>
          <w:tcPr>
            <w:tcW w:w="259" w:type="pct"/>
            <w:shd w:val="pct15" w:color="auto" w:fill="FFFFFF" w:themeFill="background1"/>
          </w:tcPr>
          <w:p w:rsidR="002E6464" w:rsidRDefault="002E6464" w:rsidP="00087BC7">
            <w:pPr>
              <w:pStyle w:val="TableBodyText"/>
              <w:spacing w:before="20"/>
              <w:jc w:val="center"/>
            </w:pPr>
            <w:r>
              <w:t>..</w:t>
            </w:r>
          </w:p>
        </w:tc>
        <w:tc>
          <w:tcPr>
            <w:tcW w:w="254" w:type="pct"/>
            <w:shd w:val="pct15" w:color="auto" w:fill="FFFFFF" w:themeFill="background1"/>
          </w:tcPr>
          <w:p w:rsidR="002E6464" w:rsidRDefault="002E6464" w:rsidP="00087BC7">
            <w:pPr>
              <w:pStyle w:val="TableBodyText"/>
              <w:spacing w:before="20"/>
              <w:jc w:val="center"/>
            </w:pPr>
            <w:r>
              <w:t>..</w:t>
            </w:r>
          </w:p>
        </w:tc>
      </w:tr>
      <w:tr w:rsidR="00087BC7" w:rsidTr="00416A66">
        <w:tc>
          <w:tcPr>
            <w:tcW w:w="1103" w:type="pct"/>
            <w:shd w:val="clear" w:color="auto" w:fill="FFFFFF" w:themeFill="background1"/>
          </w:tcPr>
          <w:p w:rsidR="002E6464" w:rsidRPr="0086672C" w:rsidRDefault="002E6464" w:rsidP="007668DA">
            <w:pPr>
              <w:pStyle w:val="TableBodyText"/>
              <w:spacing w:before="20"/>
              <w:jc w:val="left"/>
            </w:pPr>
            <w:r>
              <w:t>Treasurer</w:t>
            </w:r>
          </w:p>
        </w:tc>
        <w:tc>
          <w:tcPr>
            <w:tcW w:w="384" w:type="pct"/>
            <w:shd w:val="clear" w:color="auto" w:fill="FFFFFF" w:themeFill="background1"/>
          </w:tcPr>
          <w:p w:rsidR="002E6464" w:rsidRPr="0086672C" w:rsidRDefault="002E6464" w:rsidP="00087BC7">
            <w:pPr>
              <w:pStyle w:val="TableBodyText"/>
              <w:spacing w:before="20"/>
              <w:jc w:val="center"/>
            </w:pPr>
            <w:r>
              <w:t>..</w:t>
            </w:r>
          </w:p>
        </w:tc>
        <w:tc>
          <w:tcPr>
            <w:tcW w:w="439" w:type="pct"/>
            <w:shd w:val="clear" w:color="auto" w:fill="FFFFFF" w:themeFill="background1"/>
          </w:tcPr>
          <w:p w:rsidR="002E6464" w:rsidRPr="0086672C" w:rsidRDefault="002E6464" w:rsidP="003938BC">
            <w:pPr>
              <w:pStyle w:val="TableBodyText"/>
              <w:spacing w:before="20"/>
              <w:ind w:right="-16"/>
              <w:jc w:val="center"/>
            </w:pPr>
            <w:r>
              <w:t>..</w:t>
            </w:r>
          </w:p>
        </w:tc>
        <w:tc>
          <w:tcPr>
            <w:tcW w:w="255" w:type="pct"/>
            <w:shd w:val="clear" w:color="auto" w:fill="FFFFFF" w:themeFill="background1"/>
          </w:tcPr>
          <w:p w:rsidR="002E6464" w:rsidRPr="00E214FF" w:rsidRDefault="002E6464" w:rsidP="00087BC7">
            <w:pPr>
              <w:pStyle w:val="TableBodyText"/>
              <w:spacing w:before="20"/>
              <w:jc w:val="center"/>
            </w:pPr>
            <w:r>
              <w:t>..</w:t>
            </w:r>
          </w:p>
        </w:tc>
        <w:tc>
          <w:tcPr>
            <w:tcW w:w="220" w:type="pct"/>
            <w:shd w:val="clear" w:color="auto" w:fill="FFFFFF" w:themeFill="background1"/>
          </w:tcPr>
          <w:p w:rsidR="002E6464" w:rsidRPr="00E214FF" w:rsidRDefault="002E6464" w:rsidP="00087BC7">
            <w:pPr>
              <w:pStyle w:val="TableBodyText"/>
              <w:spacing w:before="20"/>
              <w:jc w:val="center"/>
              <w:rPr>
                <w:rStyle w:val="NoteLabel"/>
                <w:b w:val="0"/>
                <w:position w:val="0"/>
                <w:sz w:val="20"/>
              </w:rPr>
            </w:pPr>
            <w:r>
              <w:t>..</w:t>
            </w:r>
          </w:p>
        </w:tc>
        <w:tc>
          <w:tcPr>
            <w:tcW w:w="203" w:type="pct"/>
            <w:shd w:val="clear" w:color="auto" w:fill="FFFFFF" w:themeFill="background1"/>
          </w:tcPr>
          <w:p w:rsidR="002E6464" w:rsidRPr="00E214FF" w:rsidRDefault="002E6464" w:rsidP="00087BC7">
            <w:pPr>
              <w:pStyle w:val="TableBodyText"/>
              <w:spacing w:before="20"/>
              <w:jc w:val="center"/>
            </w:pPr>
            <w:r>
              <w:t>..</w:t>
            </w:r>
          </w:p>
        </w:tc>
        <w:tc>
          <w:tcPr>
            <w:tcW w:w="215" w:type="pct"/>
            <w:shd w:val="clear" w:color="auto" w:fill="FFFFFF" w:themeFill="background1"/>
          </w:tcPr>
          <w:p w:rsidR="002E6464" w:rsidRDefault="002E6464" w:rsidP="00087BC7">
            <w:pPr>
              <w:pStyle w:val="TableBodyText"/>
              <w:spacing w:before="20"/>
              <w:jc w:val="center"/>
            </w:pPr>
            <w:r>
              <w:t>..</w:t>
            </w:r>
          </w:p>
        </w:tc>
        <w:tc>
          <w:tcPr>
            <w:tcW w:w="258" w:type="pct"/>
            <w:shd w:val="clear" w:color="auto" w:fill="FFFFFF" w:themeFill="background1"/>
          </w:tcPr>
          <w:p w:rsidR="002E6464" w:rsidRPr="0086672C" w:rsidRDefault="002E6464" w:rsidP="00087BC7">
            <w:pPr>
              <w:pStyle w:val="TableBodyText"/>
              <w:spacing w:before="40"/>
              <w:jc w:val="center"/>
            </w:pPr>
            <w:r>
              <w:sym w:font="Wingdings" w:char="F0FC"/>
            </w:r>
          </w:p>
        </w:tc>
        <w:tc>
          <w:tcPr>
            <w:tcW w:w="209" w:type="pct"/>
            <w:shd w:val="clear" w:color="auto" w:fill="FFFFFF" w:themeFill="background1"/>
          </w:tcPr>
          <w:p w:rsidR="002E6464" w:rsidRPr="0086672C" w:rsidRDefault="002E6464" w:rsidP="00087BC7">
            <w:pPr>
              <w:pStyle w:val="TableBodyText"/>
              <w:spacing w:before="40"/>
              <w:jc w:val="center"/>
            </w:pPr>
            <w:r>
              <w:sym w:font="Wingdings" w:char="F0FC"/>
            </w:r>
          </w:p>
        </w:tc>
        <w:tc>
          <w:tcPr>
            <w:tcW w:w="280" w:type="pct"/>
            <w:shd w:val="clear" w:color="auto" w:fill="FFFFFF" w:themeFill="background1"/>
          </w:tcPr>
          <w:p w:rsidR="002E6464" w:rsidRPr="0086672C" w:rsidRDefault="002E6464" w:rsidP="00087BC7">
            <w:pPr>
              <w:pStyle w:val="TableBodyText"/>
              <w:spacing w:before="40"/>
              <w:jc w:val="center"/>
            </w:pPr>
            <w:r>
              <w:sym w:font="Wingdings" w:char="F0FC"/>
            </w:r>
          </w:p>
        </w:tc>
        <w:tc>
          <w:tcPr>
            <w:tcW w:w="245" w:type="pct"/>
            <w:shd w:val="clear" w:color="auto" w:fill="FFFFFF" w:themeFill="background1"/>
          </w:tcPr>
          <w:p w:rsidR="002E6464" w:rsidRPr="0086672C" w:rsidRDefault="002E6464" w:rsidP="00087BC7">
            <w:pPr>
              <w:pStyle w:val="TableBodyText"/>
              <w:spacing w:before="20"/>
              <w:jc w:val="center"/>
            </w:pPr>
            <w:r>
              <w:t>..</w:t>
            </w:r>
          </w:p>
        </w:tc>
        <w:tc>
          <w:tcPr>
            <w:tcW w:w="209" w:type="pct"/>
            <w:shd w:val="clear" w:color="auto" w:fill="FFFFFF" w:themeFill="background1"/>
          </w:tcPr>
          <w:p w:rsidR="002E6464" w:rsidRPr="0086672C" w:rsidRDefault="002E6464" w:rsidP="00087BC7">
            <w:pPr>
              <w:pStyle w:val="TableBodyText"/>
              <w:spacing w:before="20"/>
              <w:jc w:val="center"/>
              <w:rPr>
                <w:rStyle w:val="NoteLabel"/>
                <w:b w:val="0"/>
                <w:position w:val="0"/>
                <w:sz w:val="20"/>
              </w:rPr>
            </w:pPr>
            <w:r>
              <w:rPr>
                <w:rStyle w:val="NoteLabel"/>
                <w:b w:val="0"/>
                <w:position w:val="0"/>
                <w:sz w:val="20"/>
              </w:rPr>
              <w:t>..</w:t>
            </w:r>
          </w:p>
        </w:tc>
        <w:tc>
          <w:tcPr>
            <w:tcW w:w="258" w:type="pct"/>
            <w:shd w:val="clear" w:color="auto" w:fill="FFFFFF" w:themeFill="background1"/>
          </w:tcPr>
          <w:p w:rsidR="002E6464" w:rsidRPr="00A444EA" w:rsidRDefault="002E6464" w:rsidP="00087BC7">
            <w:pPr>
              <w:pStyle w:val="TableBodyText"/>
              <w:spacing w:before="20"/>
              <w:ind w:right="0"/>
              <w:jc w:val="center"/>
              <w:rPr>
                <w:rStyle w:val="NoteLabel"/>
              </w:rPr>
            </w:pPr>
            <w:r>
              <w:sym w:font="Wingdings" w:char="F0FC"/>
            </w:r>
            <w:r>
              <w:rPr>
                <w:rStyle w:val="NoteLabel"/>
              </w:rPr>
              <w:t>a</w:t>
            </w:r>
          </w:p>
        </w:tc>
        <w:tc>
          <w:tcPr>
            <w:tcW w:w="209" w:type="pct"/>
            <w:shd w:val="clear" w:color="auto" w:fill="FFFFFF" w:themeFill="background1"/>
          </w:tcPr>
          <w:p w:rsidR="002E6464" w:rsidRPr="00E214FF" w:rsidRDefault="002E6464" w:rsidP="00087BC7">
            <w:pPr>
              <w:pStyle w:val="TableBodyText"/>
              <w:spacing w:before="20"/>
              <w:jc w:val="center"/>
            </w:pPr>
            <w:r>
              <w:t>..</w:t>
            </w:r>
          </w:p>
        </w:tc>
        <w:tc>
          <w:tcPr>
            <w:tcW w:w="259" w:type="pct"/>
            <w:shd w:val="clear" w:color="auto" w:fill="FFFFFF" w:themeFill="background1"/>
          </w:tcPr>
          <w:p w:rsidR="002E6464" w:rsidRPr="00E214FF" w:rsidRDefault="002E6464" w:rsidP="00087BC7">
            <w:pPr>
              <w:pStyle w:val="TableBodyText"/>
              <w:spacing w:before="20"/>
              <w:jc w:val="center"/>
            </w:pPr>
            <w:r>
              <w:t>..</w:t>
            </w:r>
          </w:p>
        </w:tc>
        <w:tc>
          <w:tcPr>
            <w:tcW w:w="254" w:type="pct"/>
            <w:shd w:val="clear" w:color="auto" w:fill="FFFFFF" w:themeFill="background1"/>
          </w:tcPr>
          <w:p w:rsidR="002E6464" w:rsidRPr="0086672C" w:rsidRDefault="002E6464" w:rsidP="00087BC7">
            <w:pPr>
              <w:pStyle w:val="TableBodyText"/>
              <w:spacing w:before="20"/>
              <w:jc w:val="center"/>
            </w:pPr>
            <w:r>
              <w:t>..</w:t>
            </w:r>
          </w:p>
        </w:tc>
      </w:tr>
      <w:tr w:rsidR="00087BC7" w:rsidTr="00416A66">
        <w:tc>
          <w:tcPr>
            <w:tcW w:w="1103" w:type="pct"/>
            <w:shd w:val="pct15" w:color="auto" w:fill="FFFFFF" w:themeFill="background1"/>
          </w:tcPr>
          <w:p w:rsidR="002E6464" w:rsidRPr="0086672C" w:rsidRDefault="002E6464" w:rsidP="007668DA">
            <w:pPr>
              <w:pStyle w:val="TableBodyText"/>
              <w:spacing w:before="20"/>
              <w:jc w:val="left"/>
              <w:rPr>
                <w:rStyle w:val="NoteLabel"/>
                <w:b w:val="0"/>
                <w:position w:val="0"/>
                <w:sz w:val="20"/>
              </w:rPr>
            </w:pPr>
            <w:r>
              <w:rPr>
                <w:rStyle w:val="NoteLabel"/>
                <w:b w:val="0"/>
                <w:position w:val="0"/>
                <w:sz w:val="20"/>
              </w:rPr>
              <w:t>Proposing Minister</w:t>
            </w:r>
          </w:p>
        </w:tc>
        <w:tc>
          <w:tcPr>
            <w:tcW w:w="384" w:type="pct"/>
            <w:shd w:val="pct15" w:color="auto" w:fill="FFFFFF" w:themeFill="background1"/>
          </w:tcPr>
          <w:p w:rsidR="002E6464" w:rsidRPr="0086672C" w:rsidRDefault="002E6464" w:rsidP="00087BC7">
            <w:pPr>
              <w:pStyle w:val="TableBodyText"/>
              <w:spacing w:before="20"/>
              <w:jc w:val="center"/>
            </w:pPr>
            <w:r>
              <w:t>..</w:t>
            </w:r>
          </w:p>
        </w:tc>
        <w:tc>
          <w:tcPr>
            <w:tcW w:w="439" w:type="pct"/>
            <w:shd w:val="pct15" w:color="auto" w:fill="FFFFFF" w:themeFill="background1"/>
          </w:tcPr>
          <w:p w:rsidR="002E6464" w:rsidRPr="0086672C" w:rsidRDefault="002E6464" w:rsidP="003938BC">
            <w:pPr>
              <w:pStyle w:val="TableBodyText"/>
              <w:spacing w:before="20"/>
              <w:ind w:right="-16"/>
              <w:jc w:val="center"/>
            </w:pPr>
            <w:r>
              <w:t>..</w:t>
            </w:r>
          </w:p>
        </w:tc>
        <w:tc>
          <w:tcPr>
            <w:tcW w:w="255" w:type="pct"/>
            <w:shd w:val="pct15" w:color="auto" w:fill="FFFFFF" w:themeFill="background1"/>
          </w:tcPr>
          <w:p w:rsidR="002E6464" w:rsidRPr="00E214FF" w:rsidRDefault="002E6464" w:rsidP="00087BC7">
            <w:pPr>
              <w:pStyle w:val="TableBodyText"/>
              <w:spacing w:before="20"/>
              <w:jc w:val="center"/>
            </w:pPr>
            <w:r>
              <w:t>..</w:t>
            </w:r>
          </w:p>
        </w:tc>
        <w:tc>
          <w:tcPr>
            <w:tcW w:w="220" w:type="pct"/>
            <w:shd w:val="pct15" w:color="auto" w:fill="FFFFFF" w:themeFill="background1"/>
          </w:tcPr>
          <w:p w:rsidR="002E6464" w:rsidRPr="00035FAE" w:rsidRDefault="002E6464" w:rsidP="00087BC7">
            <w:pPr>
              <w:pStyle w:val="TableBodyText"/>
              <w:spacing w:before="20"/>
              <w:ind w:right="0"/>
              <w:jc w:val="center"/>
              <w:rPr>
                <w:rStyle w:val="NoteLabel"/>
              </w:rPr>
            </w:pPr>
            <w:r>
              <w:sym w:font="Wingdings" w:char="F0FC"/>
            </w:r>
            <w:r>
              <w:rPr>
                <w:rStyle w:val="NoteLabel"/>
              </w:rPr>
              <w:t>b</w:t>
            </w:r>
          </w:p>
        </w:tc>
        <w:tc>
          <w:tcPr>
            <w:tcW w:w="203" w:type="pct"/>
            <w:shd w:val="pct15" w:color="auto" w:fill="FFFFFF" w:themeFill="background1"/>
          </w:tcPr>
          <w:p w:rsidR="002E6464" w:rsidRPr="00E214FF" w:rsidRDefault="002E6464" w:rsidP="00087BC7">
            <w:pPr>
              <w:pStyle w:val="TableBodyText"/>
              <w:spacing w:before="20"/>
              <w:jc w:val="center"/>
            </w:pPr>
            <w:r>
              <w:t>..</w:t>
            </w:r>
          </w:p>
        </w:tc>
        <w:tc>
          <w:tcPr>
            <w:tcW w:w="215" w:type="pct"/>
            <w:shd w:val="pct15" w:color="auto" w:fill="FFFFFF" w:themeFill="background1"/>
          </w:tcPr>
          <w:p w:rsidR="002E6464" w:rsidRPr="00E214FF" w:rsidRDefault="002E6464" w:rsidP="00087BC7">
            <w:pPr>
              <w:pStyle w:val="TableBodyText"/>
              <w:spacing w:before="60"/>
              <w:jc w:val="center"/>
            </w:pPr>
            <w:r>
              <w:sym w:font="Wingdings" w:char="F0FC"/>
            </w:r>
          </w:p>
        </w:tc>
        <w:tc>
          <w:tcPr>
            <w:tcW w:w="258" w:type="pct"/>
            <w:shd w:val="pct15" w:color="auto" w:fill="FFFFFF" w:themeFill="background1"/>
          </w:tcPr>
          <w:p w:rsidR="002E6464" w:rsidRPr="0086672C" w:rsidRDefault="002E6464" w:rsidP="00087BC7">
            <w:pPr>
              <w:pStyle w:val="TableBodyText"/>
              <w:spacing w:before="20"/>
              <w:jc w:val="center"/>
            </w:pPr>
            <w:r>
              <w:t>..</w:t>
            </w:r>
          </w:p>
        </w:tc>
        <w:tc>
          <w:tcPr>
            <w:tcW w:w="209" w:type="pct"/>
            <w:shd w:val="pct15" w:color="auto" w:fill="FFFFFF" w:themeFill="background1"/>
          </w:tcPr>
          <w:p w:rsidR="002E6464" w:rsidRPr="0086672C" w:rsidRDefault="002E6464" w:rsidP="00087BC7">
            <w:pPr>
              <w:pStyle w:val="TableBodyText"/>
              <w:spacing w:before="20"/>
              <w:jc w:val="center"/>
            </w:pPr>
            <w:r>
              <w:t>..</w:t>
            </w:r>
          </w:p>
        </w:tc>
        <w:tc>
          <w:tcPr>
            <w:tcW w:w="280" w:type="pct"/>
            <w:shd w:val="pct15" w:color="auto" w:fill="FFFFFF" w:themeFill="background1"/>
          </w:tcPr>
          <w:p w:rsidR="002E6464" w:rsidRPr="0086672C" w:rsidRDefault="002E6464" w:rsidP="00087BC7">
            <w:pPr>
              <w:pStyle w:val="TableBodyText"/>
              <w:spacing w:before="20"/>
              <w:jc w:val="center"/>
            </w:pPr>
            <w:r>
              <w:t>..</w:t>
            </w:r>
          </w:p>
        </w:tc>
        <w:tc>
          <w:tcPr>
            <w:tcW w:w="245" w:type="pct"/>
            <w:shd w:val="pct15" w:color="auto" w:fill="FFFFFF" w:themeFill="background1"/>
          </w:tcPr>
          <w:p w:rsidR="002E6464" w:rsidRPr="0086672C" w:rsidRDefault="002E6464" w:rsidP="00087BC7">
            <w:pPr>
              <w:pStyle w:val="TableBodyText"/>
              <w:spacing w:before="20"/>
              <w:jc w:val="center"/>
            </w:pPr>
            <w:r>
              <w:t>..</w:t>
            </w:r>
          </w:p>
        </w:tc>
        <w:tc>
          <w:tcPr>
            <w:tcW w:w="209" w:type="pct"/>
            <w:shd w:val="pct15" w:color="auto" w:fill="FFFFFF" w:themeFill="background1"/>
          </w:tcPr>
          <w:p w:rsidR="002E6464" w:rsidRPr="0086672C" w:rsidRDefault="002E6464" w:rsidP="00087BC7">
            <w:pPr>
              <w:pStyle w:val="TableBodyText"/>
              <w:spacing w:before="20"/>
              <w:jc w:val="center"/>
            </w:pPr>
            <w:r>
              <w:t>..</w:t>
            </w:r>
          </w:p>
        </w:tc>
        <w:tc>
          <w:tcPr>
            <w:tcW w:w="258" w:type="pct"/>
            <w:shd w:val="pct15" w:color="auto" w:fill="FFFFFF" w:themeFill="background1"/>
          </w:tcPr>
          <w:p w:rsidR="002E6464" w:rsidRPr="0086672C" w:rsidRDefault="002E6464" w:rsidP="00087BC7">
            <w:pPr>
              <w:pStyle w:val="TableBodyText"/>
              <w:spacing w:before="60"/>
              <w:jc w:val="center"/>
              <w:rPr>
                <w:rStyle w:val="NoteLabel"/>
                <w:b w:val="0"/>
                <w:position w:val="0"/>
                <w:sz w:val="20"/>
              </w:rPr>
            </w:pPr>
            <w:r>
              <w:sym w:font="Wingdings" w:char="F0FC"/>
            </w:r>
          </w:p>
        </w:tc>
        <w:tc>
          <w:tcPr>
            <w:tcW w:w="209" w:type="pct"/>
            <w:shd w:val="pct15" w:color="auto" w:fill="FFFFFF" w:themeFill="background1"/>
          </w:tcPr>
          <w:p w:rsidR="002E6464" w:rsidRPr="00E214FF" w:rsidRDefault="002E6464" w:rsidP="00087BC7">
            <w:pPr>
              <w:pStyle w:val="TableBodyText"/>
              <w:spacing w:before="20"/>
              <w:jc w:val="center"/>
            </w:pPr>
            <w:r>
              <w:t>..</w:t>
            </w:r>
          </w:p>
        </w:tc>
        <w:tc>
          <w:tcPr>
            <w:tcW w:w="259" w:type="pct"/>
            <w:shd w:val="pct15" w:color="auto" w:fill="FFFFFF" w:themeFill="background1"/>
          </w:tcPr>
          <w:p w:rsidR="002E6464" w:rsidRDefault="002E6464" w:rsidP="00087BC7">
            <w:pPr>
              <w:pStyle w:val="TableBodyText"/>
              <w:spacing w:before="60"/>
              <w:jc w:val="center"/>
            </w:pPr>
            <w:r>
              <w:sym w:font="Wingdings" w:char="F0FC"/>
            </w:r>
          </w:p>
        </w:tc>
        <w:tc>
          <w:tcPr>
            <w:tcW w:w="254" w:type="pct"/>
            <w:shd w:val="pct15" w:color="auto" w:fill="FFFFFF" w:themeFill="background1"/>
          </w:tcPr>
          <w:p w:rsidR="002E6464" w:rsidRDefault="002E6464" w:rsidP="00087BC7">
            <w:pPr>
              <w:pStyle w:val="TableBodyText"/>
              <w:spacing w:before="20"/>
              <w:jc w:val="center"/>
            </w:pPr>
            <w:r>
              <w:t>..</w:t>
            </w:r>
          </w:p>
        </w:tc>
      </w:tr>
      <w:tr w:rsidR="00087BC7" w:rsidTr="00416A66">
        <w:tc>
          <w:tcPr>
            <w:tcW w:w="1103" w:type="pct"/>
            <w:shd w:val="clear" w:color="auto" w:fill="FFFFFF" w:themeFill="background1"/>
          </w:tcPr>
          <w:p w:rsidR="002E6464" w:rsidRPr="0086672C" w:rsidRDefault="002E6464" w:rsidP="007668DA">
            <w:pPr>
              <w:pStyle w:val="TableBodyText"/>
              <w:spacing w:before="20"/>
              <w:jc w:val="left"/>
            </w:pPr>
            <w:r>
              <w:t>Cabinet Office</w:t>
            </w:r>
          </w:p>
        </w:tc>
        <w:tc>
          <w:tcPr>
            <w:tcW w:w="384" w:type="pct"/>
            <w:shd w:val="clear" w:color="auto" w:fill="FFFFFF" w:themeFill="background1"/>
          </w:tcPr>
          <w:p w:rsidR="002E6464" w:rsidRPr="0086672C" w:rsidRDefault="002E6464" w:rsidP="00087BC7">
            <w:pPr>
              <w:pStyle w:val="TableBodyText"/>
              <w:spacing w:before="20"/>
              <w:jc w:val="center"/>
              <w:rPr>
                <w:rStyle w:val="NoteLabel"/>
                <w:b w:val="0"/>
                <w:position w:val="0"/>
                <w:sz w:val="20"/>
              </w:rPr>
            </w:pPr>
            <w:r>
              <w:t>..</w:t>
            </w:r>
          </w:p>
        </w:tc>
        <w:tc>
          <w:tcPr>
            <w:tcW w:w="439" w:type="pct"/>
            <w:shd w:val="clear" w:color="auto" w:fill="FFFFFF" w:themeFill="background1"/>
          </w:tcPr>
          <w:p w:rsidR="002E6464" w:rsidRPr="0086672C" w:rsidRDefault="002E6464" w:rsidP="003938BC">
            <w:pPr>
              <w:pStyle w:val="TableBodyText"/>
              <w:spacing w:before="20"/>
              <w:ind w:right="-16"/>
              <w:jc w:val="center"/>
            </w:pPr>
            <w:r>
              <w:t>..</w:t>
            </w:r>
          </w:p>
        </w:tc>
        <w:tc>
          <w:tcPr>
            <w:tcW w:w="255" w:type="pct"/>
            <w:shd w:val="clear" w:color="auto" w:fill="FFFFFF" w:themeFill="background1"/>
          </w:tcPr>
          <w:p w:rsidR="002E6464" w:rsidRDefault="002E6464" w:rsidP="00087BC7">
            <w:pPr>
              <w:pStyle w:val="TableBodyText"/>
              <w:spacing w:before="20"/>
              <w:jc w:val="center"/>
            </w:pPr>
            <w:r>
              <w:t>..</w:t>
            </w:r>
          </w:p>
        </w:tc>
        <w:tc>
          <w:tcPr>
            <w:tcW w:w="220" w:type="pct"/>
            <w:shd w:val="clear" w:color="auto" w:fill="FFFFFF" w:themeFill="background1"/>
          </w:tcPr>
          <w:p w:rsidR="002E6464" w:rsidRDefault="002E6464" w:rsidP="00087BC7">
            <w:pPr>
              <w:pStyle w:val="TableBodyText"/>
              <w:spacing w:before="20"/>
              <w:jc w:val="center"/>
            </w:pPr>
            <w:r>
              <w:t>..</w:t>
            </w:r>
          </w:p>
        </w:tc>
        <w:tc>
          <w:tcPr>
            <w:tcW w:w="203" w:type="pct"/>
            <w:shd w:val="clear" w:color="auto" w:fill="FFFFFF" w:themeFill="background1"/>
          </w:tcPr>
          <w:p w:rsidR="002E6464" w:rsidRDefault="002E6464" w:rsidP="00087BC7">
            <w:pPr>
              <w:pStyle w:val="TableBodyText"/>
              <w:spacing w:before="20"/>
              <w:jc w:val="center"/>
            </w:pPr>
            <w:r>
              <w:t>..</w:t>
            </w:r>
          </w:p>
        </w:tc>
        <w:tc>
          <w:tcPr>
            <w:tcW w:w="215" w:type="pct"/>
            <w:shd w:val="clear" w:color="auto" w:fill="FFFFFF" w:themeFill="background1"/>
          </w:tcPr>
          <w:p w:rsidR="002E6464" w:rsidRDefault="002E6464" w:rsidP="00087BC7">
            <w:pPr>
              <w:pStyle w:val="TableBodyText"/>
              <w:spacing w:before="20"/>
              <w:jc w:val="center"/>
            </w:pPr>
            <w:r>
              <w:t>..</w:t>
            </w:r>
          </w:p>
        </w:tc>
        <w:tc>
          <w:tcPr>
            <w:tcW w:w="258" w:type="pct"/>
            <w:shd w:val="clear" w:color="auto" w:fill="FFFFFF" w:themeFill="background1"/>
          </w:tcPr>
          <w:p w:rsidR="002E6464" w:rsidRPr="0086672C" w:rsidRDefault="002E6464" w:rsidP="00087BC7">
            <w:pPr>
              <w:pStyle w:val="TableBodyText"/>
              <w:spacing w:before="20"/>
              <w:jc w:val="center"/>
            </w:pPr>
            <w:r>
              <w:t>..</w:t>
            </w:r>
          </w:p>
        </w:tc>
        <w:tc>
          <w:tcPr>
            <w:tcW w:w="209" w:type="pct"/>
            <w:shd w:val="clear" w:color="auto" w:fill="FFFFFF" w:themeFill="background1"/>
          </w:tcPr>
          <w:p w:rsidR="002E6464" w:rsidRPr="0086672C" w:rsidRDefault="002E6464" w:rsidP="00087BC7">
            <w:pPr>
              <w:pStyle w:val="TableBodyText"/>
              <w:spacing w:before="20"/>
              <w:jc w:val="center"/>
            </w:pPr>
            <w:r>
              <w:t>..</w:t>
            </w:r>
          </w:p>
        </w:tc>
        <w:tc>
          <w:tcPr>
            <w:tcW w:w="280" w:type="pct"/>
            <w:shd w:val="clear" w:color="auto" w:fill="FFFFFF" w:themeFill="background1"/>
          </w:tcPr>
          <w:p w:rsidR="002E6464" w:rsidRPr="0086672C" w:rsidRDefault="002E6464" w:rsidP="00087BC7">
            <w:pPr>
              <w:pStyle w:val="TableBodyText"/>
              <w:spacing w:before="20"/>
              <w:jc w:val="center"/>
              <w:rPr>
                <w:rStyle w:val="NoteLabel"/>
                <w:b w:val="0"/>
                <w:position w:val="0"/>
                <w:sz w:val="20"/>
              </w:rPr>
            </w:pPr>
            <w:r>
              <w:t>..</w:t>
            </w:r>
          </w:p>
        </w:tc>
        <w:tc>
          <w:tcPr>
            <w:tcW w:w="245" w:type="pct"/>
            <w:shd w:val="clear" w:color="auto" w:fill="FFFFFF" w:themeFill="background1"/>
          </w:tcPr>
          <w:p w:rsidR="002E6464" w:rsidRPr="0086672C" w:rsidRDefault="002E6464" w:rsidP="00087BC7">
            <w:pPr>
              <w:pStyle w:val="TableBodyText"/>
              <w:spacing w:before="60"/>
              <w:jc w:val="center"/>
            </w:pPr>
            <w:r>
              <w:sym w:font="Wingdings" w:char="F0FC"/>
            </w:r>
          </w:p>
        </w:tc>
        <w:tc>
          <w:tcPr>
            <w:tcW w:w="209" w:type="pct"/>
            <w:shd w:val="clear" w:color="auto" w:fill="FFFFFF" w:themeFill="background1"/>
          </w:tcPr>
          <w:p w:rsidR="002E6464" w:rsidRPr="0086672C" w:rsidRDefault="002E6464" w:rsidP="00087BC7">
            <w:pPr>
              <w:pStyle w:val="TableBodyText"/>
              <w:spacing w:before="20"/>
              <w:jc w:val="center"/>
            </w:pPr>
            <w:r>
              <w:t>..</w:t>
            </w:r>
          </w:p>
        </w:tc>
        <w:tc>
          <w:tcPr>
            <w:tcW w:w="258" w:type="pct"/>
            <w:shd w:val="clear" w:color="auto" w:fill="FFFFFF" w:themeFill="background1"/>
          </w:tcPr>
          <w:p w:rsidR="002E6464" w:rsidRPr="0086672C" w:rsidRDefault="002E6464" w:rsidP="00087BC7">
            <w:pPr>
              <w:pStyle w:val="TableBodyText"/>
              <w:spacing w:before="20"/>
              <w:jc w:val="center"/>
            </w:pPr>
            <w:r>
              <w:t>..</w:t>
            </w:r>
          </w:p>
        </w:tc>
        <w:tc>
          <w:tcPr>
            <w:tcW w:w="209" w:type="pct"/>
            <w:shd w:val="clear" w:color="auto" w:fill="FFFFFF" w:themeFill="background1"/>
          </w:tcPr>
          <w:p w:rsidR="002E6464" w:rsidRDefault="002E6464" w:rsidP="00087BC7">
            <w:pPr>
              <w:pStyle w:val="TableBodyText"/>
              <w:spacing w:before="20"/>
              <w:jc w:val="center"/>
            </w:pPr>
            <w:r>
              <w:t>..</w:t>
            </w:r>
          </w:p>
        </w:tc>
        <w:tc>
          <w:tcPr>
            <w:tcW w:w="259" w:type="pct"/>
            <w:shd w:val="clear" w:color="auto" w:fill="FFFFFF" w:themeFill="background1"/>
          </w:tcPr>
          <w:p w:rsidR="002E6464" w:rsidRDefault="002E6464" w:rsidP="00087BC7">
            <w:pPr>
              <w:pStyle w:val="TableBodyText"/>
              <w:spacing w:before="20"/>
              <w:jc w:val="center"/>
            </w:pPr>
            <w:r>
              <w:t>..</w:t>
            </w:r>
          </w:p>
        </w:tc>
        <w:tc>
          <w:tcPr>
            <w:tcW w:w="254" w:type="pct"/>
            <w:shd w:val="clear" w:color="auto" w:fill="FFFFFF" w:themeFill="background1"/>
          </w:tcPr>
          <w:p w:rsidR="002E6464" w:rsidRDefault="002E6464" w:rsidP="00087BC7">
            <w:pPr>
              <w:pStyle w:val="TableBodyText"/>
              <w:spacing w:before="20"/>
              <w:jc w:val="center"/>
            </w:pPr>
            <w:r>
              <w:t>..</w:t>
            </w:r>
          </w:p>
        </w:tc>
      </w:tr>
      <w:tr w:rsidR="00087BC7" w:rsidTr="00416A66">
        <w:tc>
          <w:tcPr>
            <w:tcW w:w="1103" w:type="pct"/>
            <w:tcBorders>
              <w:bottom w:val="single" w:sz="4" w:space="0" w:color="auto"/>
            </w:tcBorders>
            <w:shd w:val="pct15" w:color="auto" w:fill="auto"/>
          </w:tcPr>
          <w:p w:rsidR="002E6464" w:rsidRPr="004D6A8A" w:rsidRDefault="002E6464" w:rsidP="007668DA">
            <w:pPr>
              <w:pStyle w:val="TableBodyText"/>
              <w:spacing w:before="20"/>
              <w:jc w:val="left"/>
            </w:pPr>
            <w:r>
              <w:t>Oversight Body</w:t>
            </w:r>
          </w:p>
        </w:tc>
        <w:tc>
          <w:tcPr>
            <w:tcW w:w="384" w:type="pct"/>
            <w:tcBorders>
              <w:bottom w:val="single" w:sz="4" w:space="0" w:color="auto"/>
            </w:tcBorders>
            <w:shd w:val="pct15" w:color="auto" w:fill="auto"/>
          </w:tcPr>
          <w:p w:rsidR="002E6464" w:rsidRPr="004D6A8A" w:rsidRDefault="002E6464" w:rsidP="00087BC7">
            <w:pPr>
              <w:pStyle w:val="TableBodyText"/>
              <w:spacing w:before="20"/>
              <w:jc w:val="center"/>
              <w:rPr>
                <w:rStyle w:val="NoteLabel"/>
                <w:b w:val="0"/>
                <w:position w:val="0"/>
                <w:sz w:val="20"/>
              </w:rPr>
            </w:pPr>
            <w:r>
              <w:rPr>
                <w:rStyle w:val="NoteLabel"/>
                <w:b w:val="0"/>
                <w:position w:val="0"/>
                <w:sz w:val="20"/>
              </w:rPr>
              <w:t>..</w:t>
            </w:r>
          </w:p>
        </w:tc>
        <w:tc>
          <w:tcPr>
            <w:tcW w:w="439" w:type="pct"/>
            <w:tcBorders>
              <w:bottom w:val="single" w:sz="4" w:space="0" w:color="auto"/>
            </w:tcBorders>
            <w:shd w:val="pct15" w:color="auto" w:fill="auto"/>
          </w:tcPr>
          <w:p w:rsidR="002E6464" w:rsidRPr="004D6A8A" w:rsidRDefault="002E6464" w:rsidP="003938BC">
            <w:pPr>
              <w:pStyle w:val="TableBodyText"/>
              <w:spacing w:before="20"/>
              <w:ind w:right="-16"/>
              <w:jc w:val="center"/>
            </w:pPr>
            <w:r>
              <w:t>..</w:t>
            </w:r>
          </w:p>
        </w:tc>
        <w:tc>
          <w:tcPr>
            <w:tcW w:w="255" w:type="pct"/>
            <w:tcBorders>
              <w:bottom w:val="single" w:sz="4" w:space="0" w:color="auto"/>
            </w:tcBorders>
            <w:shd w:val="pct15" w:color="auto" w:fill="auto"/>
          </w:tcPr>
          <w:p w:rsidR="002E6464" w:rsidRDefault="002E6464" w:rsidP="00087BC7">
            <w:pPr>
              <w:pStyle w:val="TableBodyText"/>
              <w:spacing w:before="20"/>
              <w:jc w:val="center"/>
            </w:pPr>
            <w:r>
              <w:t>..</w:t>
            </w:r>
          </w:p>
        </w:tc>
        <w:tc>
          <w:tcPr>
            <w:tcW w:w="220" w:type="pct"/>
            <w:tcBorders>
              <w:bottom w:val="single" w:sz="4" w:space="0" w:color="auto"/>
            </w:tcBorders>
            <w:shd w:val="pct15" w:color="auto" w:fill="auto"/>
          </w:tcPr>
          <w:p w:rsidR="002E6464" w:rsidRDefault="002E6464" w:rsidP="00087BC7">
            <w:pPr>
              <w:pStyle w:val="TableBodyText"/>
              <w:spacing w:before="20"/>
              <w:jc w:val="center"/>
            </w:pPr>
            <w:r>
              <w:t>..</w:t>
            </w:r>
          </w:p>
        </w:tc>
        <w:tc>
          <w:tcPr>
            <w:tcW w:w="203" w:type="pct"/>
            <w:tcBorders>
              <w:bottom w:val="single" w:sz="4" w:space="0" w:color="auto"/>
            </w:tcBorders>
            <w:shd w:val="pct15" w:color="auto" w:fill="auto"/>
          </w:tcPr>
          <w:p w:rsidR="002E6464" w:rsidRDefault="002E6464" w:rsidP="00087BC7">
            <w:pPr>
              <w:pStyle w:val="TableBodyText"/>
              <w:spacing w:before="20"/>
              <w:jc w:val="center"/>
            </w:pPr>
            <w:r>
              <w:t>..</w:t>
            </w:r>
          </w:p>
        </w:tc>
        <w:tc>
          <w:tcPr>
            <w:tcW w:w="215" w:type="pct"/>
            <w:tcBorders>
              <w:bottom w:val="single" w:sz="4" w:space="0" w:color="auto"/>
            </w:tcBorders>
            <w:shd w:val="pct15" w:color="auto" w:fill="auto"/>
          </w:tcPr>
          <w:p w:rsidR="002E6464" w:rsidRDefault="002E6464" w:rsidP="00087BC7">
            <w:pPr>
              <w:pStyle w:val="TableBodyText"/>
              <w:spacing w:before="20"/>
              <w:jc w:val="center"/>
            </w:pPr>
            <w:r>
              <w:t>..</w:t>
            </w:r>
          </w:p>
        </w:tc>
        <w:tc>
          <w:tcPr>
            <w:tcW w:w="258" w:type="pct"/>
            <w:tcBorders>
              <w:bottom w:val="single" w:sz="4" w:space="0" w:color="auto"/>
            </w:tcBorders>
            <w:shd w:val="pct15" w:color="auto" w:fill="auto"/>
          </w:tcPr>
          <w:p w:rsidR="002E6464" w:rsidRDefault="00416A66" w:rsidP="00087BC7">
            <w:pPr>
              <w:pStyle w:val="TableBodyText"/>
              <w:spacing w:before="20"/>
              <w:jc w:val="center"/>
            </w:pPr>
            <w:r>
              <w:t>..</w:t>
            </w:r>
          </w:p>
        </w:tc>
        <w:tc>
          <w:tcPr>
            <w:tcW w:w="209" w:type="pct"/>
            <w:tcBorders>
              <w:bottom w:val="single" w:sz="4" w:space="0" w:color="auto"/>
            </w:tcBorders>
            <w:shd w:val="pct15" w:color="auto" w:fill="auto"/>
          </w:tcPr>
          <w:p w:rsidR="002E6464" w:rsidRDefault="002E6464" w:rsidP="00087BC7">
            <w:pPr>
              <w:pStyle w:val="TableBodyText"/>
              <w:spacing w:before="20"/>
              <w:jc w:val="center"/>
            </w:pPr>
            <w:r>
              <w:t>..</w:t>
            </w:r>
          </w:p>
        </w:tc>
        <w:tc>
          <w:tcPr>
            <w:tcW w:w="280" w:type="pct"/>
            <w:tcBorders>
              <w:bottom w:val="single" w:sz="4" w:space="0" w:color="auto"/>
            </w:tcBorders>
            <w:shd w:val="pct15" w:color="auto" w:fill="auto"/>
          </w:tcPr>
          <w:p w:rsidR="002E6464" w:rsidRDefault="002E6464" w:rsidP="00087BC7">
            <w:pPr>
              <w:pStyle w:val="TableBodyText"/>
              <w:spacing w:before="20"/>
              <w:jc w:val="center"/>
            </w:pPr>
            <w:r>
              <w:t>..</w:t>
            </w:r>
          </w:p>
        </w:tc>
        <w:tc>
          <w:tcPr>
            <w:tcW w:w="245" w:type="pct"/>
            <w:tcBorders>
              <w:bottom w:val="single" w:sz="4" w:space="0" w:color="auto"/>
            </w:tcBorders>
            <w:shd w:val="pct15" w:color="auto" w:fill="auto"/>
          </w:tcPr>
          <w:p w:rsidR="002E6464" w:rsidRDefault="002E6464" w:rsidP="00087BC7">
            <w:pPr>
              <w:pStyle w:val="TableBodyText"/>
              <w:spacing w:before="20"/>
              <w:jc w:val="center"/>
            </w:pPr>
            <w:r>
              <w:t>..</w:t>
            </w:r>
          </w:p>
        </w:tc>
        <w:tc>
          <w:tcPr>
            <w:tcW w:w="209" w:type="pct"/>
            <w:tcBorders>
              <w:bottom w:val="single" w:sz="4" w:space="0" w:color="auto"/>
            </w:tcBorders>
            <w:shd w:val="pct15" w:color="auto" w:fill="auto"/>
          </w:tcPr>
          <w:p w:rsidR="002E6464" w:rsidRDefault="002E6464" w:rsidP="00087BC7">
            <w:pPr>
              <w:pStyle w:val="TableBodyText"/>
              <w:spacing w:before="20"/>
              <w:jc w:val="center"/>
            </w:pPr>
            <w:r>
              <w:t>..</w:t>
            </w:r>
          </w:p>
        </w:tc>
        <w:tc>
          <w:tcPr>
            <w:tcW w:w="258" w:type="pct"/>
            <w:tcBorders>
              <w:bottom w:val="single" w:sz="4" w:space="0" w:color="auto"/>
            </w:tcBorders>
            <w:shd w:val="pct15" w:color="auto" w:fill="auto"/>
          </w:tcPr>
          <w:p w:rsidR="002E6464" w:rsidRDefault="002E6464" w:rsidP="00087BC7">
            <w:pPr>
              <w:pStyle w:val="TableBodyText"/>
              <w:spacing w:before="20"/>
              <w:jc w:val="center"/>
            </w:pPr>
            <w:r>
              <w:t>..</w:t>
            </w:r>
          </w:p>
        </w:tc>
        <w:tc>
          <w:tcPr>
            <w:tcW w:w="209" w:type="pct"/>
            <w:tcBorders>
              <w:bottom w:val="single" w:sz="4" w:space="0" w:color="auto"/>
            </w:tcBorders>
            <w:shd w:val="pct15" w:color="auto" w:fill="auto"/>
          </w:tcPr>
          <w:p w:rsidR="002E6464" w:rsidRDefault="002E6464" w:rsidP="00087BC7">
            <w:pPr>
              <w:pStyle w:val="TableBodyText"/>
              <w:spacing w:before="20"/>
              <w:jc w:val="center"/>
            </w:pPr>
            <w:r>
              <w:t>..</w:t>
            </w:r>
          </w:p>
        </w:tc>
        <w:tc>
          <w:tcPr>
            <w:tcW w:w="259" w:type="pct"/>
            <w:tcBorders>
              <w:bottom w:val="single" w:sz="4" w:space="0" w:color="auto"/>
            </w:tcBorders>
            <w:shd w:val="pct15" w:color="auto" w:fill="auto"/>
          </w:tcPr>
          <w:p w:rsidR="002E6464" w:rsidRDefault="002E6464" w:rsidP="00087BC7">
            <w:pPr>
              <w:pStyle w:val="TableBodyText"/>
              <w:spacing w:before="20"/>
              <w:jc w:val="center"/>
            </w:pPr>
            <w:r>
              <w:t>..</w:t>
            </w:r>
          </w:p>
        </w:tc>
        <w:tc>
          <w:tcPr>
            <w:tcW w:w="254" w:type="pct"/>
            <w:tcBorders>
              <w:bottom w:val="single" w:sz="4" w:space="0" w:color="auto"/>
            </w:tcBorders>
            <w:shd w:val="pct15" w:color="auto" w:fill="auto"/>
          </w:tcPr>
          <w:p w:rsidR="002E6464" w:rsidRDefault="002E6464" w:rsidP="00087BC7">
            <w:pPr>
              <w:pStyle w:val="TableBodyText"/>
              <w:spacing w:before="60"/>
              <w:jc w:val="center"/>
            </w:pPr>
            <w:r>
              <w:sym w:font="Wingdings" w:char="F0FC"/>
            </w:r>
          </w:p>
        </w:tc>
      </w:tr>
    </w:tbl>
    <w:p w:rsidR="002E6464" w:rsidRDefault="002E6464" w:rsidP="002E6464">
      <w:pPr>
        <w:pStyle w:val="Note"/>
      </w:pPr>
      <w:proofErr w:type="spellStart"/>
      <w:r w:rsidRPr="00CF5BBA">
        <w:rPr>
          <w:rStyle w:val="NoteLabel"/>
        </w:rPr>
        <w:t>a</w:t>
      </w:r>
      <w:proofErr w:type="spellEnd"/>
      <w:r>
        <w:t xml:space="preserve"> Only for granting the public interest exemption for subordinate legislation. All other exemptions are granted by the proposing Minister.  </w:t>
      </w:r>
      <w:r>
        <w:rPr>
          <w:rStyle w:val="NoteLabel"/>
        </w:rPr>
        <w:t>b</w:t>
      </w:r>
      <w:r>
        <w:t xml:space="preserve"> Includes instances where </w:t>
      </w:r>
      <w:r w:rsidR="005313FA">
        <w:t xml:space="preserve">no RIS is required based </w:t>
      </w:r>
      <w:r>
        <w:t>on the advice of the Attorney General or the Parliamentary Cou</w:t>
      </w:r>
      <w:r w:rsidR="00B717EB">
        <w:t>nsel.</w:t>
      </w:r>
      <w:r>
        <w:t xml:space="preserve">  </w:t>
      </w:r>
      <w:r w:rsidR="00416A66">
        <w:t>..</w:t>
      </w:r>
      <w:r>
        <w:t> not applicable</w:t>
      </w:r>
      <w:r w:rsidR="009E16DF">
        <w:t>.  ‘</w:t>
      </w:r>
      <w:proofErr w:type="spellStart"/>
      <w:r w:rsidR="009E16DF">
        <w:t>Pri</w:t>
      </w:r>
      <w:proofErr w:type="spellEnd"/>
      <w:r w:rsidR="009E16DF">
        <w:t>.’ Primary legislation.  ‘Sub.’</w:t>
      </w:r>
      <w:r w:rsidR="00777FE7">
        <w:t xml:space="preserve"> S</w:t>
      </w:r>
      <w:r w:rsidR="009E16DF">
        <w:t>ubordinate legislation.</w:t>
      </w:r>
    </w:p>
    <w:p w:rsidR="002E6464" w:rsidRDefault="002E6464" w:rsidP="002E6464">
      <w:pPr>
        <w:pStyle w:val="Source"/>
      </w:pPr>
      <w:r>
        <w:rPr>
          <w:i/>
        </w:rPr>
        <w:t>Source</w:t>
      </w:r>
      <w:r>
        <w:t>: Jurisdictional guidance material</w:t>
      </w:r>
      <w:r w:rsidR="00984EE9">
        <w:t xml:space="preserve"> (appendix B)</w:t>
      </w:r>
      <w:r>
        <w:t>.</w:t>
      </w:r>
    </w:p>
    <w:p w:rsidR="00951E86" w:rsidRDefault="00951E86" w:rsidP="00951E86">
      <w:pPr>
        <w:pStyle w:val="Heading4"/>
      </w:pPr>
      <w:r>
        <w:t>Timing of exemptions</w:t>
      </w:r>
    </w:p>
    <w:p w:rsidR="00001A16" w:rsidRPr="003A687A" w:rsidRDefault="000C15E2" w:rsidP="00951E86">
      <w:pPr>
        <w:pStyle w:val="BodyText"/>
      </w:pPr>
      <w:r w:rsidRPr="003A687A">
        <w:t>The</w:t>
      </w:r>
      <w:r w:rsidR="00001A16" w:rsidRPr="003A687A">
        <w:t xml:space="preserve"> timing of applications for exemptions during the RIA process</w:t>
      </w:r>
      <w:r w:rsidRPr="003A687A">
        <w:t xml:space="preserve"> is not restricted in any jurisdiction</w:t>
      </w:r>
      <w:r w:rsidR="00001A16" w:rsidRPr="003A687A">
        <w:t>. The guidelines in Western Austra</w:t>
      </w:r>
      <w:r w:rsidR="00CB3D09">
        <w:t>lia explicitly state that the ‘treasurer’s e</w:t>
      </w:r>
      <w:r w:rsidR="00001A16" w:rsidRPr="003A687A">
        <w:t>xemption from the RIA process may be sought at any stage during policy or regulatory development’ (WA Treasury 2010, p. 2).</w:t>
      </w:r>
    </w:p>
    <w:p w:rsidR="00951E86" w:rsidRPr="003A687A" w:rsidRDefault="00951E86" w:rsidP="00951E86">
      <w:pPr>
        <w:pStyle w:val="BodyText"/>
      </w:pPr>
      <w:r w:rsidRPr="003A687A">
        <w:t xml:space="preserve">During discussions with </w:t>
      </w:r>
      <w:r w:rsidR="000C15E2" w:rsidRPr="003A687A">
        <w:t>stakeholders</w:t>
      </w:r>
      <w:r w:rsidRPr="003A687A">
        <w:t xml:space="preserve">, the Commission was </w:t>
      </w:r>
      <w:r w:rsidR="00001A16" w:rsidRPr="003A687A">
        <w:t>informed</w:t>
      </w:r>
      <w:r w:rsidRPr="003A687A">
        <w:t xml:space="preserve"> of instances </w:t>
      </w:r>
      <w:r w:rsidR="00CB3D09">
        <w:t xml:space="preserve">in some jurisdictions </w:t>
      </w:r>
      <w:r w:rsidRPr="003A687A">
        <w:t xml:space="preserve">where proposals had been granted exemptions </w:t>
      </w:r>
      <w:r w:rsidR="000C15E2" w:rsidRPr="003A687A">
        <w:t>after</w:t>
      </w:r>
      <w:r w:rsidR="00001A16" w:rsidRPr="003A687A">
        <w:t xml:space="preserve"> a</w:t>
      </w:r>
      <w:r w:rsidRPr="003A687A">
        <w:t xml:space="preserve"> RIS</w:t>
      </w:r>
      <w:r w:rsidR="000C15E2" w:rsidRPr="003A687A">
        <w:t xml:space="preserve"> had commenced</w:t>
      </w:r>
      <w:r w:rsidRPr="003A687A">
        <w:t>. This tended to occur because of pressure on decision makers to act on the proposal before the RIS was completed</w:t>
      </w:r>
      <w:r w:rsidR="000C15E2" w:rsidRPr="003A687A">
        <w:t xml:space="preserve"> or an inability to complete the RIS in a manner that would satisfy the jurisdiction’s RIA requirements</w:t>
      </w:r>
      <w:r w:rsidRPr="003A687A">
        <w:t xml:space="preserve">. Exemptions granted at a late stage of the RIA process discourage integration of RIA into agency culture </w:t>
      </w:r>
      <w:r w:rsidR="000C15E2" w:rsidRPr="003A687A">
        <w:t>and subvert the integrity of the RIA process</w:t>
      </w:r>
      <w:r w:rsidRPr="003A687A">
        <w:t>.</w:t>
      </w:r>
    </w:p>
    <w:p w:rsidR="00951E86" w:rsidRPr="003A687A" w:rsidRDefault="00951E86" w:rsidP="00D30E76">
      <w:pPr>
        <w:pStyle w:val="BodyText"/>
      </w:pPr>
      <w:r w:rsidRPr="003A687A">
        <w:t xml:space="preserve">There is scope to minimise potential abuse of exemptions by allowing applications </w:t>
      </w:r>
      <w:r w:rsidR="007E1A53" w:rsidRPr="003A687A">
        <w:t xml:space="preserve">only </w:t>
      </w:r>
      <w:r w:rsidRPr="003A687A">
        <w:t xml:space="preserve">immediately after the </w:t>
      </w:r>
      <w:r w:rsidR="000C15E2" w:rsidRPr="003A687A">
        <w:t xml:space="preserve">requirement for a </w:t>
      </w:r>
      <w:r w:rsidRPr="003A687A">
        <w:t>RIS ha</w:t>
      </w:r>
      <w:r w:rsidR="000C15E2" w:rsidRPr="003A687A">
        <w:t>s</w:t>
      </w:r>
      <w:r w:rsidRPr="003A687A">
        <w:t xml:space="preserve"> been triggered. At this stage, the responsible minister should decide between proceeding with the RIS or seeking </w:t>
      </w:r>
      <w:r w:rsidRPr="003A687A">
        <w:lastRenderedPageBreak/>
        <w:t>an exemption — any genuine emergency circumstance should already be evident. If the minister decides to proceed with the RIS, there should be no further opportunity to seek an exemption and, if the proposal proceeds to decision makers with an inadequate RIS or no RIS, it should be deemed non-compliant with the RIA process, rather than being able to disguise this non-co</w:t>
      </w:r>
      <w:r w:rsidR="009B5F03" w:rsidRPr="003A687A">
        <w:t>mpliance with a late exemption.</w:t>
      </w:r>
    </w:p>
    <w:p w:rsidR="00583E31" w:rsidRDefault="00583E31" w:rsidP="00283BE8">
      <w:pPr>
        <w:pStyle w:val="Heading4"/>
      </w:pPr>
      <w:r>
        <w:t>Consequences of an exemption</w:t>
      </w:r>
    </w:p>
    <w:p w:rsidR="00583E31" w:rsidRDefault="00E17B17" w:rsidP="00283BE8">
      <w:pPr>
        <w:pStyle w:val="BodyText"/>
      </w:pPr>
      <w:r>
        <w:t xml:space="preserve">A post </w:t>
      </w:r>
      <w:r w:rsidR="00583E31">
        <w:t xml:space="preserve">implementation review is required within two years for </w:t>
      </w:r>
      <w:r w:rsidR="00D925B2">
        <w:t xml:space="preserve">regulatory </w:t>
      </w:r>
      <w:r w:rsidR="00583E31">
        <w:t>proposals exempted in the Commonwealth, Queensland and Western Australia and a late RIS, within 12 months of implementation for COAG</w:t>
      </w:r>
      <w:r>
        <w:t>,</w:t>
      </w:r>
      <w:r w:rsidR="00583E31">
        <w:t xml:space="preserve"> South Australia, and New South Wales (</w:t>
      </w:r>
      <w:r w:rsidR="00D50B90">
        <w:t>subordinate legislation only</w:t>
      </w:r>
      <w:r w:rsidR="00583E31">
        <w:t>).</w:t>
      </w:r>
    </w:p>
    <w:p w:rsidR="00790489" w:rsidRDefault="00790489" w:rsidP="00283BE8">
      <w:pPr>
        <w:pStyle w:val="BodyText"/>
      </w:pPr>
      <w:r>
        <w:t xml:space="preserve">There are no specific consequences following the granting of an exemption in Tasmania and the ACT </w:t>
      </w:r>
      <w:r w:rsidR="000C15E2">
        <w:t xml:space="preserve">or </w:t>
      </w:r>
      <w:r>
        <w:t>for primary legislation in Victoria.</w:t>
      </w:r>
      <w:r w:rsidR="00E17B17">
        <w:t xml:space="preserve"> There are also no consequences in the Northern Territory if </w:t>
      </w:r>
      <w:r w:rsidR="00BC09F0">
        <w:t xml:space="preserve">it is determined that </w:t>
      </w:r>
      <w:r w:rsidR="00E17B17">
        <w:t>a regulatory proposal has a ‘clear and obvious net public benefit’.</w:t>
      </w:r>
    </w:p>
    <w:p w:rsidR="00583E31" w:rsidRDefault="00583E31" w:rsidP="00283BE8">
      <w:pPr>
        <w:pStyle w:val="BodyText"/>
      </w:pPr>
      <w:r>
        <w:t>The consequences following the granting of an exemption</w:t>
      </w:r>
      <w:r w:rsidRPr="00FD70FB">
        <w:t xml:space="preserve"> </w:t>
      </w:r>
      <w:r>
        <w:t xml:space="preserve">for subordinate legislation in Victoria arguably create the strongest disincentive for such exemptions. In addition to the requirement that the exemption certificate with reasons be made public, </w:t>
      </w:r>
      <w:r w:rsidRPr="00CF7F23">
        <w:t xml:space="preserve">for a Premier’s exemption to be granted, the proposed </w:t>
      </w:r>
      <w:r w:rsidR="00046C03">
        <w:t>instrument</w:t>
      </w:r>
      <w:r w:rsidRPr="00CF7F23">
        <w:t xml:space="preserve"> must be scheduled to expire on or before 12 months after its commencement date</w:t>
      </w:r>
      <w:r>
        <w:t>:</w:t>
      </w:r>
    </w:p>
    <w:p w:rsidR="007C7284" w:rsidRDefault="00583E31" w:rsidP="00E43383">
      <w:pPr>
        <w:pStyle w:val="Quote"/>
      </w:pPr>
      <w:r>
        <w:t xml:space="preserve">If a Premier’s certificate is granted, the RIS process will still need to be commenced and completed within the lifetime of the certificate. Only in exceptional circumstances will more than one certificate be granted. Moreover, the duration of the certificate will be the shortest possible period to enable the RIS process to be undertaken (unless exceptional circumstances are involved). In practice, a six-month period is often the maximum period granted. (Victorian </w:t>
      </w:r>
      <w:r w:rsidR="00834C19" w:rsidRPr="0020547D">
        <w:t>Department of Treasury and Finance</w:t>
      </w:r>
      <w:r w:rsidR="00834C19">
        <w:t xml:space="preserve"> </w:t>
      </w:r>
      <w:proofErr w:type="spellStart"/>
      <w:r w:rsidR="00834C19">
        <w:t>2011a</w:t>
      </w:r>
      <w:proofErr w:type="spellEnd"/>
      <w:r w:rsidR="00834C19">
        <w:t>, p. </w:t>
      </w:r>
      <w:r>
        <w:t>51)</w:t>
      </w:r>
    </w:p>
    <w:p w:rsidR="00EF4B83" w:rsidRDefault="00151514" w:rsidP="008A54B4">
      <w:pPr>
        <w:pStyle w:val="BodyText"/>
      </w:pPr>
      <w:r>
        <w:t xml:space="preserve">The Commission considers that </w:t>
      </w:r>
      <w:r w:rsidR="00EF4B83">
        <w:t xml:space="preserve">consequences for exemptions </w:t>
      </w:r>
      <w:r>
        <w:t>should be</w:t>
      </w:r>
      <w:r w:rsidR="00EF4B83">
        <w:t xml:space="preserve"> sufficient to discourage unwarranted exemption requests and ensure some transparency of the likely impacts of regulatory proposals. </w:t>
      </w:r>
      <w:r>
        <w:t>One</w:t>
      </w:r>
      <w:r w:rsidR="00EF4B83">
        <w:t xml:space="preserve"> consequence should be the requirement for a post-implementation review</w:t>
      </w:r>
      <w:r w:rsidR="004A285F">
        <w:t xml:space="preserve"> (chapter 9)</w:t>
      </w:r>
      <w:r w:rsidR="001C21A3">
        <w:t>.</w:t>
      </w:r>
    </w:p>
    <w:p w:rsidR="00583E31" w:rsidRDefault="00583E31" w:rsidP="00295EED">
      <w:pPr>
        <w:pStyle w:val="Heading3"/>
      </w:pPr>
      <w:r>
        <w:t>Information on exemptions granted</w:t>
      </w:r>
    </w:p>
    <w:p w:rsidR="00583E31" w:rsidRDefault="00583E31" w:rsidP="005478F0">
      <w:pPr>
        <w:pStyle w:val="BodyText"/>
      </w:pPr>
      <w:r>
        <w:t>According to jurisdictional guidance material, exemptions are made public in around half of Austr</w:t>
      </w:r>
      <w:r w:rsidR="00DF1230">
        <w:t xml:space="preserve">alia’s jurisdictions (table </w:t>
      </w:r>
      <w:r w:rsidR="007E1A53">
        <w:t>5.3</w:t>
      </w:r>
      <w:r>
        <w:t xml:space="preserve">). However, in practice the </w:t>
      </w:r>
      <w:r>
        <w:lastRenderedPageBreak/>
        <w:t xml:space="preserve">Commission has been able to locate public information on exemptions granted only </w:t>
      </w:r>
      <w:r w:rsidR="007C7284">
        <w:t>in</w:t>
      </w:r>
      <w:r w:rsidR="00556D82">
        <w:t xml:space="preserve"> the Commonwealth and Victoria.</w:t>
      </w:r>
    </w:p>
    <w:p w:rsidR="00556D82" w:rsidRDefault="00556D82" w:rsidP="00556D82">
      <w:pPr>
        <w:pStyle w:val="TableTitle"/>
      </w:pPr>
      <w:r>
        <w:rPr>
          <w:b w:val="0"/>
        </w:rPr>
        <w:t xml:space="preserve">Table </w:t>
      </w:r>
      <w:bookmarkStart w:id="10" w:name="OLE_LINK10"/>
      <w:r w:rsidR="007E1A53" w:rsidRPr="007E1A53">
        <w:rPr>
          <w:b w:val="0"/>
        </w:rPr>
        <w:t>5.</w:t>
      </w:r>
      <w:r w:rsidR="00DE3A5F">
        <w:rPr>
          <w:b w:val="0"/>
          <w:noProof/>
        </w:rPr>
        <w:t>3</w:t>
      </w:r>
      <w:bookmarkEnd w:id="10"/>
      <w:r>
        <w:tab/>
      </w:r>
      <w:r w:rsidR="00FF5812">
        <w:t>Public information on granting exemptions</w:t>
      </w:r>
    </w:p>
    <w:tbl>
      <w:tblPr>
        <w:tblW w:w="5000" w:type="pct"/>
        <w:tblLayout w:type="fixed"/>
        <w:tblCellMar>
          <w:left w:w="0" w:type="dxa"/>
          <w:right w:w="0" w:type="dxa"/>
        </w:tblCellMar>
        <w:tblLook w:val="0000" w:firstRow="0" w:lastRow="0" w:firstColumn="0" w:lastColumn="0" w:noHBand="0" w:noVBand="0"/>
      </w:tblPr>
      <w:tblGrid>
        <w:gridCol w:w="1277"/>
        <w:gridCol w:w="709"/>
        <w:gridCol w:w="709"/>
        <w:gridCol w:w="570"/>
        <w:gridCol w:w="568"/>
        <w:gridCol w:w="425"/>
        <w:gridCol w:w="422"/>
        <w:gridCol w:w="425"/>
        <w:gridCol w:w="425"/>
        <w:gridCol w:w="568"/>
        <w:gridCol w:w="425"/>
        <w:gridCol w:w="425"/>
        <w:gridCol w:w="425"/>
        <w:gridCol w:w="434"/>
        <w:gridCol w:w="548"/>
        <w:gridCol w:w="434"/>
      </w:tblGrid>
      <w:tr w:rsidR="00051DA9" w:rsidTr="00D925B2">
        <w:trPr>
          <w:trHeight w:val="380"/>
        </w:trPr>
        <w:tc>
          <w:tcPr>
            <w:tcW w:w="726" w:type="pct"/>
            <w:tcBorders>
              <w:top w:val="single" w:sz="4" w:space="0" w:color="auto"/>
            </w:tcBorders>
          </w:tcPr>
          <w:p w:rsidR="00556D82" w:rsidRDefault="00556D82" w:rsidP="006C31BF">
            <w:pPr>
              <w:pStyle w:val="TableColumnHeading"/>
              <w:jc w:val="left"/>
            </w:pPr>
          </w:p>
        </w:tc>
        <w:tc>
          <w:tcPr>
            <w:tcW w:w="403" w:type="pct"/>
            <w:tcBorders>
              <w:top w:val="single" w:sz="4" w:space="0" w:color="auto"/>
            </w:tcBorders>
          </w:tcPr>
          <w:p w:rsidR="00556D82" w:rsidRDefault="00556D82" w:rsidP="006C31BF">
            <w:pPr>
              <w:pStyle w:val="TableColumnHeading"/>
              <w:jc w:val="left"/>
            </w:pPr>
            <w:proofErr w:type="spellStart"/>
            <w:r>
              <w:t>Cwlth</w:t>
            </w:r>
            <w:proofErr w:type="spellEnd"/>
          </w:p>
        </w:tc>
        <w:tc>
          <w:tcPr>
            <w:tcW w:w="403" w:type="pct"/>
            <w:tcBorders>
              <w:top w:val="single" w:sz="4" w:space="0" w:color="auto"/>
            </w:tcBorders>
          </w:tcPr>
          <w:p w:rsidR="00556D82" w:rsidRDefault="00556D82" w:rsidP="006C31BF">
            <w:pPr>
              <w:pStyle w:val="TableColumnHeading"/>
              <w:jc w:val="left"/>
            </w:pPr>
            <w:r>
              <w:t>COAG</w:t>
            </w:r>
          </w:p>
        </w:tc>
        <w:tc>
          <w:tcPr>
            <w:tcW w:w="647" w:type="pct"/>
            <w:gridSpan w:val="2"/>
            <w:tcBorders>
              <w:top w:val="single" w:sz="4" w:space="0" w:color="auto"/>
            </w:tcBorders>
          </w:tcPr>
          <w:p w:rsidR="00556D82" w:rsidRPr="00D65EA7" w:rsidRDefault="00556D82" w:rsidP="006C31BF">
            <w:pPr>
              <w:pStyle w:val="TableColumnHeading"/>
              <w:spacing w:line="240" w:lineRule="exact"/>
              <w:jc w:val="center"/>
            </w:pPr>
            <w:r w:rsidRPr="00D65EA7">
              <w:t>NSW</w:t>
            </w:r>
          </w:p>
        </w:tc>
        <w:tc>
          <w:tcPr>
            <w:tcW w:w="481" w:type="pct"/>
            <w:gridSpan w:val="2"/>
            <w:tcBorders>
              <w:top w:val="single" w:sz="4" w:space="0" w:color="auto"/>
            </w:tcBorders>
          </w:tcPr>
          <w:p w:rsidR="00556D82" w:rsidRPr="00D65EA7" w:rsidRDefault="00556D82" w:rsidP="006C31BF">
            <w:pPr>
              <w:pStyle w:val="TableColumnHeading"/>
              <w:spacing w:line="240" w:lineRule="exact"/>
              <w:jc w:val="center"/>
              <w:rPr>
                <w:rStyle w:val="NoteLabel"/>
                <w:i w:val="0"/>
                <w:position w:val="0"/>
              </w:rPr>
            </w:pPr>
            <w:r w:rsidRPr="00D65EA7">
              <w:t>Vic</w:t>
            </w:r>
          </w:p>
        </w:tc>
        <w:tc>
          <w:tcPr>
            <w:tcW w:w="484" w:type="pct"/>
            <w:gridSpan w:val="2"/>
            <w:tcBorders>
              <w:top w:val="single" w:sz="4" w:space="0" w:color="auto"/>
            </w:tcBorders>
          </w:tcPr>
          <w:p w:rsidR="00556D82" w:rsidRPr="00D65EA7" w:rsidRDefault="00556D82" w:rsidP="006C31BF">
            <w:pPr>
              <w:pStyle w:val="TableColumnHeading"/>
              <w:spacing w:line="240" w:lineRule="exact"/>
              <w:jc w:val="center"/>
              <w:rPr>
                <w:rStyle w:val="NoteLabel"/>
                <w:b w:val="0"/>
                <w:position w:val="0"/>
              </w:rPr>
            </w:pPr>
            <w:r w:rsidRPr="00D65EA7">
              <w:t>Qld</w:t>
            </w:r>
          </w:p>
        </w:tc>
        <w:tc>
          <w:tcPr>
            <w:tcW w:w="323" w:type="pct"/>
            <w:tcBorders>
              <w:top w:val="single" w:sz="4" w:space="0" w:color="auto"/>
            </w:tcBorders>
          </w:tcPr>
          <w:p w:rsidR="00556D82" w:rsidRPr="00D65EA7" w:rsidRDefault="00556D82" w:rsidP="006C31BF">
            <w:pPr>
              <w:pStyle w:val="TableColumnHeading"/>
              <w:spacing w:line="240" w:lineRule="exact"/>
              <w:jc w:val="center"/>
            </w:pPr>
            <w:r w:rsidRPr="00D65EA7">
              <w:t>WA</w:t>
            </w:r>
          </w:p>
        </w:tc>
        <w:tc>
          <w:tcPr>
            <w:tcW w:w="242" w:type="pct"/>
            <w:tcBorders>
              <w:top w:val="single" w:sz="4" w:space="0" w:color="auto"/>
            </w:tcBorders>
          </w:tcPr>
          <w:p w:rsidR="00556D82" w:rsidRPr="00D65EA7" w:rsidRDefault="00556D82" w:rsidP="006C31BF">
            <w:pPr>
              <w:pStyle w:val="TableColumnHeading"/>
              <w:spacing w:line="240" w:lineRule="exact"/>
              <w:jc w:val="center"/>
            </w:pPr>
            <w:r w:rsidRPr="00D65EA7">
              <w:t>SA</w:t>
            </w:r>
          </w:p>
        </w:tc>
        <w:tc>
          <w:tcPr>
            <w:tcW w:w="484" w:type="pct"/>
            <w:gridSpan w:val="2"/>
            <w:tcBorders>
              <w:top w:val="single" w:sz="4" w:space="0" w:color="auto"/>
            </w:tcBorders>
          </w:tcPr>
          <w:p w:rsidR="00556D82" w:rsidRPr="00D65EA7" w:rsidRDefault="00556D82" w:rsidP="006C31BF">
            <w:pPr>
              <w:pStyle w:val="TableColumnHeading"/>
              <w:spacing w:line="240" w:lineRule="exact"/>
              <w:jc w:val="center"/>
              <w:rPr>
                <w:rStyle w:val="NoteLabel"/>
                <w:b w:val="0"/>
                <w:position w:val="0"/>
              </w:rPr>
            </w:pPr>
            <w:proofErr w:type="spellStart"/>
            <w:r w:rsidRPr="00D65EA7">
              <w:t>Tas</w:t>
            </w:r>
            <w:proofErr w:type="spellEnd"/>
          </w:p>
        </w:tc>
        <w:tc>
          <w:tcPr>
            <w:tcW w:w="559" w:type="pct"/>
            <w:gridSpan w:val="2"/>
            <w:tcBorders>
              <w:top w:val="single" w:sz="4" w:space="0" w:color="auto"/>
            </w:tcBorders>
          </w:tcPr>
          <w:p w:rsidR="00556D82" w:rsidRPr="00D65EA7" w:rsidRDefault="00556D82" w:rsidP="006C31BF">
            <w:pPr>
              <w:pStyle w:val="TableColumnHeading"/>
              <w:spacing w:line="240" w:lineRule="exact"/>
              <w:jc w:val="center"/>
            </w:pPr>
            <w:r w:rsidRPr="00D65EA7">
              <w:t>ACT</w:t>
            </w:r>
          </w:p>
        </w:tc>
        <w:tc>
          <w:tcPr>
            <w:tcW w:w="248" w:type="pct"/>
            <w:tcBorders>
              <w:top w:val="single" w:sz="4" w:space="0" w:color="auto"/>
            </w:tcBorders>
          </w:tcPr>
          <w:p w:rsidR="00556D82" w:rsidRPr="00D65EA7" w:rsidRDefault="00556D82" w:rsidP="00EF2F0C">
            <w:pPr>
              <w:pStyle w:val="TableColumnHeading"/>
              <w:spacing w:line="240" w:lineRule="exact"/>
              <w:ind w:right="28"/>
              <w:rPr>
                <w:rStyle w:val="NoteLabel"/>
                <w:position w:val="0"/>
              </w:rPr>
            </w:pPr>
            <w:r w:rsidRPr="00D65EA7">
              <w:t>NT</w:t>
            </w:r>
          </w:p>
        </w:tc>
      </w:tr>
      <w:tr w:rsidR="00051DA9" w:rsidTr="00D925B2">
        <w:trPr>
          <w:cantSplit/>
          <w:trHeight w:val="282"/>
        </w:trPr>
        <w:tc>
          <w:tcPr>
            <w:tcW w:w="726" w:type="pct"/>
            <w:vMerge w:val="restart"/>
            <w:tcBorders>
              <w:bottom w:val="single" w:sz="4" w:space="0" w:color="auto"/>
            </w:tcBorders>
            <w:vAlign w:val="center"/>
          </w:tcPr>
          <w:p w:rsidR="00556D82" w:rsidRPr="00DB009D" w:rsidRDefault="00556D82" w:rsidP="00F552F4">
            <w:pPr>
              <w:pStyle w:val="TableBodyText"/>
              <w:spacing w:before="240"/>
              <w:jc w:val="left"/>
              <w:rPr>
                <w:i/>
              </w:rPr>
            </w:pPr>
          </w:p>
        </w:tc>
        <w:tc>
          <w:tcPr>
            <w:tcW w:w="403" w:type="pct"/>
            <w:vMerge w:val="restart"/>
            <w:tcBorders>
              <w:bottom w:val="single" w:sz="4" w:space="0" w:color="auto"/>
            </w:tcBorders>
            <w:vAlign w:val="center"/>
          </w:tcPr>
          <w:p w:rsidR="00556D82" w:rsidRPr="00DB009D" w:rsidRDefault="00556D82" w:rsidP="00FF5812">
            <w:pPr>
              <w:pStyle w:val="TableBodyText"/>
              <w:spacing w:before="240"/>
              <w:rPr>
                <w:i/>
              </w:rPr>
            </w:pPr>
            <w:r>
              <w:rPr>
                <w:i/>
              </w:rPr>
              <w:t>RIS</w:t>
            </w:r>
          </w:p>
        </w:tc>
        <w:tc>
          <w:tcPr>
            <w:tcW w:w="403" w:type="pct"/>
            <w:vMerge w:val="restart"/>
            <w:tcBorders>
              <w:bottom w:val="single" w:sz="4" w:space="0" w:color="auto"/>
            </w:tcBorders>
            <w:vAlign w:val="center"/>
          </w:tcPr>
          <w:p w:rsidR="00556D82" w:rsidRPr="00DB009D" w:rsidRDefault="00556D82" w:rsidP="00FF5812">
            <w:pPr>
              <w:pStyle w:val="TableBodyText"/>
              <w:spacing w:before="240"/>
              <w:rPr>
                <w:i/>
              </w:rPr>
            </w:pPr>
            <w:r>
              <w:rPr>
                <w:i/>
              </w:rPr>
              <w:t>RIS</w:t>
            </w:r>
          </w:p>
        </w:tc>
        <w:tc>
          <w:tcPr>
            <w:tcW w:w="324" w:type="pct"/>
          </w:tcPr>
          <w:p w:rsidR="00556D82" w:rsidRPr="00DB009D" w:rsidRDefault="00556D82" w:rsidP="006C31BF">
            <w:pPr>
              <w:pStyle w:val="TableUnitsRow"/>
              <w:spacing w:before="0" w:after="0" w:line="240" w:lineRule="atLeast"/>
              <w:ind w:left="0" w:right="0"/>
              <w:jc w:val="center"/>
              <w:rPr>
                <w:i/>
              </w:rPr>
            </w:pPr>
          </w:p>
        </w:tc>
        <w:tc>
          <w:tcPr>
            <w:tcW w:w="323" w:type="pct"/>
          </w:tcPr>
          <w:p w:rsidR="00556D82" w:rsidRPr="00DB009D" w:rsidRDefault="00556D82" w:rsidP="006C31BF">
            <w:pPr>
              <w:pStyle w:val="TableUnitsRow"/>
              <w:spacing w:before="0" w:after="0" w:line="240" w:lineRule="atLeast"/>
              <w:ind w:left="0" w:right="0"/>
              <w:jc w:val="center"/>
              <w:rPr>
                <w:i/>
              </w:rPr>
            </w:pPr>
          </w:p>
        </w:tc>
        <w:tc>
          <w:tcPr>
            <w:tcW w:w="242" w:type="pct"/>
          </w:tcPr>
          <w:p w:rsidR="00556D82" w:rsidRPr="00C04C77" w:rsidRDefault="00556D82" w:rsidP="006C31BF">
            <w:pPr>
              <w:pStyle w:val="TableUnitsRow"/>
              <w:spacing w:before="0" w:after="0" w:line="240" w:lineRule="atLeast"/>
              <w:ind w:left="0" w:right="0"/>
              <w:jc w:val="center"/>
              <w:rPr>
                <w:rStyle w:val="NoteLabel"/>
                <w:b w:val="0"/>
                <w:i/>
                <w:sz w:val="20"/>
              </w:rPr>
            </w:pPr>
          </w:p>
        </w:tc>
        <w:tc>
          <w:tcPr>
            <w:tcW w:w="240" w:type="pct"/>
          </w:tcPr>
          <w:p w:rsidR="00556D82" w:rsidRPr="00C04C77" w:rsidRDefault="00556D82" w:rsidP="006C31BF">
            <w:pPr>
              <w:pStyle w:val="TableUnitsRow"/>
              <w:spacing w:before="0" w:after="0" w:line="240" w:lineRule="atLeast"/>
              <w:ind w:left="0" w:right="0"/>
              <w:jc w:val="center"/>
              <w:rPr>
                <w:rStyle w:val="NoteLabel"/>
                <w:b w:val="0"/>
                <w:i/>
                <w:sz w:val="20"/>
              </w:rPr>
            </w:pPr>
          </w:p>
        </w:tc>
        <w:tc>
          <w:tcPr>
            <w:tcW w:w="242" w:type="pct"/>
          </w:tcPr>
          <w:p w:rsidR="00556D82" w:rsidRPr="00DB009D" w:rsidRDefault="00556D82" w:rsidP="006C31BF">
            <w:pPr>
              <w:pStyle w:val="TableUnitsRow"/>
              <w:spacing w:before="0" w:after="0" w:line="240" w:lineRule="atLeast"/>
              <w:ind w:left="0" w:right="0"/>
              <w:jc w:val="center"/>
              <w:rPr>
                <w:i/>
              </w:rPr>
            </w:pPr>
          </w:p>
        </w:tc>
        <w:tc>
          <w:tcPr>
            <w:tcW w:w="242" w:type="pct"/>
          </w:tcPr>
          <w:p w:rsidR="00556D82" w:rsidRPr="00DB009D" w:rsidRDefault="00556D82" w:rsidP="006C31BF">
            <w:pPr>
              <w:pStyle w:val="TableUnitsRow"/>
              <w:spacing w:before="0" w:after="0" w:line="240" w:lineRule="atLeast"/>
              <w:ind w:left="0" w:right="0"/>
              <w:jc w:val="center"/>
              <w:rPr>
                <w:i/>
              </w:rPr>
            </w:pPr>
          </w:p>
        </w:tc>
        <w:tc>
          <w:tcPr>
            <w:tcW w:w="323" w:type="pct"/>
          </w:tcPr>
          <w:p w:rsidR="00556D82" w:rsidRPr="00DB009D" w:rsidRDefault="00556D82" w:rsidP="006C31BF">
            <w:pPr>
              <w:pStyle w:val="TableUnitsRow"/>
              <w:spacing w:before="0" w:after="0" w:line="240" w:lineRule="atLeast"/>
              <w:ind w:left="0"/>
              <w:jc w:val="center"/>
              <w:rPr>
                <w:i/>
              </w:rPr>
            </w:pPr>
          </w:p>
        </w:tc>
        <w:tc>
          <w:tcPr>
            <w:tcW w:w="242" w:type="pct"/>
          </w:tcPr>
          <w:p w:rsidR="00556D82" w:rsidRPr="00DB009D" w:rsidRDefault="00556D82" w:rsidP="006C31BF">
            <w:pPr>
              <w:pStyle w:val="TableUnitsRow"/>
              <w:spacing w:before="0" w:after="0" w:line="240" w:lineRule="atLeast"/>
              <w:ind w:left="0"/>
              <w:jc w:val="center"/>
              <w:rPr>
                <w:i/>
              </w:rPr>
            </w:pPr>
          </w:p>
        </w:tc>
        <w:tc>
          <w:tcPr>
            <w:tcW w:w="242" w:type="pct"/>
          </w:tcPr>
          <w:p w:rsidR="00556D82" w:rsidRPr="00C04C77" w:rsidRDefault="00556D82" w:rsidP="006C31BF">
            <w:pPr>
              <w:pStyle w:val="TableUnitsRow"/>
              <w:spacing w:before="0" w:after="0" w:line="240" w:lineRule="atLeast"/>
              <w:ind w:left="0" w:right="0"/>
              <w:jc w:val="center"/>
              <w:rPr>
                <w:rStyle w:val="NoteLabel"/>
                <w:b w:val="0"/>
                <w:i/>
                <w:sz w:val="20"/>
              </w:rPr>
            </w:pPr>
            <w:proofErr w:type="spellStart"/>
            <w:r w:rsidRPr="00C04C77">
              <w:rPr>
                <w:rStyle w:val="NoteLabel"/>
                <w:b w:val="0"/>
                <w:i/>
                <w:sz w:val="20"/>
              </w:rPr>
              <w:t>Pri</w:t>
            </w:r>
            <w:proofErr w:type="spellEnd"/>
            <w:r w:rsidRPr="00C04C77">
              <w:rPr>
                <w:rStyle w:val="NoteLabel"/>
                <w:b w:val="0"/>
                <w:i/>
                <w:sz w:val="20"/>
              </w:rPr>
              <w:t>.</w:t>
            </w:r>
          </w:p>
        </w:tc>
        <w:tc>
          <w:tcPr>
            <w:tcW w:w="242" w:type="pct"/>
          </w:tcPr>
          <w:p w:rsidR="00556D82" w:rsidRPr="00C04C77" w:rsidRDefault="00556D82" w:rsidP="006C31BF">
            <w:pPr>
              <w:pStyle w:val="TableUnitsRow"/>
              <w:spacing w:before="0" w:after="0" w:line="240" w:lineRule="atLeast"/>
              <w:ind w:left="0" w:right="0"/>
              <w:jc w:val="center"/>
              <w:rPr>
                <w:rStyle w:val="NoteLabel"/>
                <w:b w:val="0"/>
                <w:i/>
                <w:sz w:val="20"/>
              </w:rPr>
            </w:pPr>
            <w:r w:rsidRPr="00C04C77">
              <w:rPr>
                <w:rStyle w:val="NoteLabel"/>
                <w:b w:val="0"/>
                <w:i/>
                <w:sz w:val="20"/>
              </w:rPr>
              <w:t>Sub.</w:t>
            </w:r>
          </w:p>
        </w:tc>
        <w:tc>
          <w:tcPr>
            <w:tcW w:w="247" w:type="pct"/>
          </w:tcPr>
          <w:p w:rsidR="00556D82" w:rsidRPr="00C04C77" w:rsidRDefault="00556D82" w:rsidP="006C31BF">
            <w:pPr>
              <w:pStyle w:val="TableUnitsRow"/>
              <w:spacing w:before="0" w:after="0" w:line="240" w:lineRule="atLeast"/>
              <w:ind w:left="0" w:right="0"/>
              <w:jc w:val="center"/>
              <w:rPr>
                <w:rStyle w:val="NoteLabel"/>
                <w:b w:val="0"/>
                <w:i/>
                <w:sz w:val="20"/>
              </w:rPr>
            </w:pPr>
            <w:proofErr w:type="spellStart"/>
            <w:r w:rsidRPr="00C04C77">
              <w:rPr>
                <w:rStyle w:val="NoteLabel"/>
                <w:b w:val="0"/>
                <w:i/>
                <w:sz w:val="20"/>
              </w:rPr>
              <w:t>Pri</w:t>
            </w:r>
            <w:proofErr w:type="spellEnd"/>
            <w:r w:rsidRPr="00C04C77">
              <w:rPr>
                <w:rStyle w:val="NoteLabel"/>
                <w:b w:val="0"/>
                <w:i/>
                <w:sz w:val="20"/>
              </w:rPr>
              <w:t>.</w:t>
            </w:r>
          </w:p>
        </w:tc>
        <w:tc>
          <w:tcPr>
            <w:tcW w:w="312" w:type="pct"/>
          </w:tcPr>
          <w:p w:rsidR="00556D82" w:rsidRPr="00C04C77" w:rsidRDefault="00556D82" w:rsidP="006C31BF">
            <w:pPr>
              <w:pStyle w:val="TableUnitsRow"/>
              <w:spacing w:before="0" w:after="0" w:line="240" w:lineRule="atLeast"/>
              <w:ind w:left="0" w:right="0"/>
              <w:jc w:val="center"/>
              <w:rPr>
                <w:rStyle w:val="NoteLabel"/>
                <w:b w:val="0"/>
                <w:i/>
                <w:sz w:val="20"/>
              </w:rPr>
            </w:pPr>
            <w:r w:rsidRPr="00C04C77">
              <w:rPr>
                <w:rStyle w:val="NoteLabel"/>
                <w:b w:val="0"/>
                <w:i/>
                <w:sz w:val="20"/>
              </w:rPr>
              <w:t>Sub.</w:t>
            </w:r>
          </w:p>
        </w:tc>
        <w:tc>
          <w:tcPr>
            <w:tcW w:w="248" w:type="pct"/>
          </w:tcPr>
          <w:p w:rsidR="00556D82" w:rsidRPr="00DB009D" w:rsidRDefault="00556D82" w:rsidP="006C31BF">
            <w:pPr>
              <w:pStyle w:val="TableUnitsRow"/>
              <w:spacing w:before="0" w:after="0" w:line="240" w:lineRule="atLeast"/>
              <w:ind w:left="0" w:right="28"/>
              <w:jc w:val="center"/>
              <w:rPr>
                <w:i/>
              </w:rPr>
            </w:pPr>
          </w:p>
        </w:tc>
      </w:tr>
      <w:tr w:rsidR="00051DA9" w:rsidTr="00D925B2">
        <w:trPr>
          <w:trHeight w:val="361"/>
        </w:trPr>
        <w:tc>
          <w:tcPr>
            <w:tcW w:w="726" w:type="pct"/>
            <w:vMerge/>
            <w:tcBorders>
              <w:bottom w:val="single" w:sz="4" w:space="0" w:color="auto"/>
            </w:tcBorders>
          </w:tcPr>
          <w:p w:rsidR="00556D82" w:rsidRPr="00DB009D" w:rsidRDefault="00556D82" w:rsidP="006C31BF">
            <w:pPr>
              <w:pStyle w:val="TableBodyText"/>
              <w:jc w:val="left"/>
              <w:rPr>
                <w:i/>
              </w:rPr>
            </w:pPr>
          </w:p>
        </w:tc>
        <w:tc>
          <w:tcPr>
            <w:tcW w:w="403" w:type="pct"/>
            <w:vMerge/>
            <w:tcBorders>
              <w:bottom w:val="single" w:sz="4" w:space="0" w:color="auto"/>
            </w:tcBorders>
          </w:tcPr>
          <w:p w:rsidR="00556D82" w:rsidRPr="00DB009D" w:rsidRDefault="00556D82" w:rsidP="006C31BF">
            <w:pPr>
              <w:pStyle w:val="TableBodyText"/>
              <w:jc w:val="left"/>
              <w:rPr>
                <w:i/>
              </w:rPr>
            </w:pPr>
          </w:p>
        </w:tc>
        <w:tc>
          <w:tcPr>
            <w:tcW w:w="403" w:type="pct"/>
            <w:vMerge/>
            <w:tcBorders>
              <w:bottom w:val="single" w:sz="4" w:space="0" w:color="auto"/>
            </w:tcBorders>
          </w:tcPr>
          <w:p w:rsidR="00556D82" w:rsidRPr="00DB009D" w:rsidRDefault="00556D82" w:rsidP="006C31BF">
            <w:pPr>
              <w:pStyle w:val="TableBodyText"/>
              <w:jc w:val="left"/>
              <w:rPr>
                <w:i/>
              </w:rPr>
            </w:pPr>
          </w:p>
        </w:tc>
        <w:tc>
          <w:tcPr>
            <w:tcW w:w="324" w:type="pct"/>
            <w:tcBorders>
              <w:bottom w:val="single" w:sz="4" w:space="0" w:color="auto"/>
            </w:tcBorders>
          </w:tcPr>
          <w:p w:rsidR="00556D82" w:rsidRPr="00C04C77" w:rsidRDefault="00556D82" w:rsidP="006C31BF">
            <w:pPr>
              <w:pStyle w:val="TableUnitsRow"/>
              <w:spacing w:before="0" w:after="0" w:line="240" w:lineRule="atLeast"/>
              <w:ind w:left="0" w:right="0"/>
              <w:jc w:val="center"/>
              <w:rPr>
                <w:i/>
              </w:rPr>
            </w:pPr>
            <w:proofErr w:type="spellStart"/>
            <w:r w:rsidRPr="00C04C77">
              <w:rPr>
                <w:i/>
              </w:rPr>
              <w:t>BRS</w:t>
            </w:r>
            <w:proofErr w:type="spellEnd"/>
          </w:p>
        </w:tc>
        <w:tc>
          <w:tcPr>
            <w:tcW w:w="323" w:type="pct"/>
            <w:tcBorders>
              <w:bottom w:val="single" w:sz="4" w:space="0" w:color="auto"/>
            </w:tcBorders>
          </w:tcPr>
          <w:p w:rsidR="00556D82" w:rsidRPr="00C04C77" w:rsidRDefault="00556D82" w:rsidP="006C31BF">
            <w:pPr>
              <w:pStyle w:val="TableUnitsRow"/>
              <w:spacing w:before="0" w:after="0" w:line="240" w:lineRule="atLeast"/>
              <w:ind w:left="0" w:right="0"/>
              <w:jc w:val="center"/>
              <w:rPr>
                <w:i/>
              </w:rPr>
            </w:pPr>
            <w:r w:rsidRPr="00C04C77">
              <w:rPr>
                <w:i/>
              </w:rPr>
              <w:t>RIS</w:t>
            </w:r>
          </w:p>
        </w:tc>
        <w:tc>
          <w:tcPr>
            <w:tcW w:w="242" w:type="pct"/>
            <w:tcBorders>
              <w:bottom w:val="single" w:sz="4" w:space="0" w:color="auto"/>
            </w:tcBorders>
          </w:tcPr>
          <w:p w:rsidR="00556D82" w:rsidRPr="00C04C77" w:rsidRDefault="00556D82" w:rsidP="006C31BF">
            <w:pPr>
              <w:pStyle w:val="TableUnitsRow"/>
              <w:spacing w:before="0" w:after="0" w:line="240" w:lineRule="atLeast"/>
              <w:ind w:left="0" w:right="0"/>
              <w:jc w:val="center"/>
              <w:rPr>
                <w:i/>
              </w:rPr>
            </w:pPr>
            <w:r w:rsidRPr="00C04C77">
              <w:rPr>
                <w:i/>
              </w:rPr>
              <w:t>BIA</w:t>
            </w:r>
          </w:p>
        </w:tc>
        <w:tc>
          <w:tcPr>
            <w:tcW w:w="240" w:type="pct"/>
            <w:tcBorders>
              <w:bottom w:val="single" w:sz="4" w:space="0" w:color="auto"/>
            </w:tcBorders>
          </w:tcPr>
          <w:p w:rsidR="00556D82" w:rsidRPr="00C04C77" w:rsidRDefault="00556D82" w:rsidP="006C31BF">
            <w:pPr>
              <w:pStyle w:val="TableUnitsRow"/>
              <w:spacing w:before="0" w:after="0" w:line="240" w:lineRule="atLeast"/>
              <w:ind w:left="0" w:right="0"/>
              <w:jc w:val="center"/>
              <w:rPr>
                <w:i/>
              </w:rPr>
            </w:pPr>
            <w:r w:rsidRPr="00C04C77">
              <w:rPr>
                <w:i/>
              </w:rPr>
              <w:t>RIS</w:t>
            </w:r>
          </w:p>
        </w:tc>
        <w:tc>
          <w:tcPr>
            <w:tcW w:w="242" w:type="pct"/>
            <w:tcBorders>
              <w:bottom w:val="single" w:sz="4" w:space="0" w:color="auto"/>
            </w:tcBorders>
          </w:tcPr>
          <w:p w:rsidR="00556D82" w:rsidRPr="00C04C77" w:rsidRDefault="00556D82" w:rsidP="006C31BF">
            <w:pPr>
              <w:pStyle w:val="TableUnitsRow"/>
              <w:spacing w:before="0" w:after="0" w:line="240" w:lineRule="atLeast"/>
              <w:ind w:left="0" w:right="0"/>
              <w:jc w:val="center"/>
              <w:rPr>
                <w:i/>
              </w:rPr>
            </w:pPr>
            <w:r w:rsidRPr="00C04C77">
              <w:rPr>
                <w:i/>
              </w:rPr>
              <w:t>RAS</w:t>
            </w:r>
          </w:p>
        </w:tc>
        <w:tc>
          <w:tcPr>
            <w:tcW w:w="242" w:type="pct"/>
            <w:tcBorders>
              <w:bottom w:val="single" w:sz="4" w:space="0" w:color="auto"/>
            </w:tcBorders>
          </w:tcPr>
          <w:p w:rsidR="00556D82" w:rsidRPr="00C04C77" w:rsidRDefault="00556D82" w:rsidP="006C31BF">
            <w:pPr>
              <w:pStyle w:val="TableUnitsRow"/>
              <w:spacing w:before="0" w:after="0" w:line="240" w:lineRule="atLeast"/>
              <w:ind w:left="0" w:right="0"/>
              <w:jc w:val="center"/>
              <w:rPr>
                <w:i/>
              </w:rPr>
            </w:pPr>
            <w:r w:rsidRPr="00C04C77">
              <w:rPr>
                <w:i/>
              </w:rPr>
              <w:t>RIS</w:t>
            </w:r>
          </w:p>
        </w:tc>
        <w:tc>
          <w:tcPr>
            <w:tcW w:w="323" w:type="pct"/>
            <w:tcBorders>
              <w:bottom w:val="single" w:sz="4" w:space="0" w:color="auto"/>
            </w:tcBorders>
          </w:tcPr>
          <w:p w:rsidR="00556D82" w:rsidRPr="00C04C77" w:rsidRDefault="00556D82" w:rsidP="006C31BF">
            <w:pPr>
              <w:pStyle w:val="TableUnitsRow"/>
              <w:spacing w:before="0" w:after="0" w:line="240" w:lineRule="atLeast"/>
              <w:ind w:left="0" w:right="0"/>
              <w:jc w:val="center"/>
              <w:rPr>
                <w:i/>
              </w:rPr>
            </w:pPr>
            <w:r w:rsidRPr="00C04C77">
              <w:rPr>
                <w:i/>
              </w:rPr>
              <w:t>RIS</w:t>
            </w:r>
          </w:p>
        </w:tc>
        <w:tc>
          <w:tcPr>
            <w:tcW w:w="242" w:type="pct"/>
            <w:tcBorders>
              <w:bottom w:val="single" w:sz="4" w:space="0" w:color="auto"/>
            </w:tcBorders>
          </w:tcPr>
          <w:p w:rsidR="00556D82" w:rsidRPr="00C04C77" w:rsidRDefault="00556D82" w:rsidP="006C31BF">
            <w:pPr>
              <w:pStyle w:val="TableUnitsRow"/>
              <w:spacing w:before="0" w:after="0" w:line="240" w:lineRule="atLeast"/>
              <w:ind w:left="0" w:right="0"/>
              <w:jc w:val="center"/>
              <w:rPr>
                <w:i/>
              </w:rPr>
            </w:pPr>
            <w:r w:rsidRPr="00C04C77">
              <w:rPr>
                <w:i/>
              </w:rPr>
              <w:t>RIS</w:t>
            </w:r>
          </w:p>
        </w:tc>
        <w:tc>
          <w:tcPr>
            <w:tcW w:w="242" w:type="pct"/>
            <w:tcBorders>
              <w:bottom w:val="single" w:sz="4" w:space="0" w:color="auto"/>
            </w:tcBorders>
          </w:tcPr>
          <w:p w:rsidR="00556D82" w:rsidRPr="00C04C77" w:rsidRDefault="00556D82" w:rsidP="006C31BF">
            <w:pPr>
              <w:pStyle w:val="TableUnitsRow"/>
              <w:spacing w:before="0" w:after="0" w:line="240" w:lineRule="atLeast"/>
              <w:ind w:left="0" w:right="0"/>
              <w:jc w:val="center"/>
              <w:rPr>
                <w:i/>
              </w:rPr>
            </w:pPr>
            <w:r w:rsidRPr="00C04C77">
              <w:rPr>
                <w:i/>
              </w:rPr>
              <w:t>RIS</w:t>
            </w:r>
          </w:p>
        </w:tc>
        <w:tc>
          <w:tcPr>
            <w:tcW w:w="242" w:type="pct"/>
            <w:tcBorders>
              <w:bottom w:val="single" w:sz="4" w:space="0" w:color="auto"/>
            </w:tcBorders>
          </w:tcPr>
          <w:p w:rsidR="00556D82" w:rsidRPr="00C04C77" w:rsidRDefault="00556D82" w:rsidP="006C31BF">
            <w:pPr>
              <w:pStyle w:val="TableUnitsRow"/>
              <w:spacing w:before="0" w:after="0" w:line="240" w:lineRule="atLeast"/>
              <w:ind w:left="0" w:right="0"/>
              <w:jc w:val="center"/>
              <w:rPr>
                <w:i/>
              </w:rPr>
            </w:pPr>
            <w:r w:rsidRPr="00C04C77">
              <w:rPr>
                <w:i/>
              </w:rPr>
              <w:t>RIS</w:t>
            </w:r>
          </w:p>
        </w:tc>
        <w:tc>
          <w:tcPr>
            <w:tcW w:w="247" w:type="pct"/>
            <w:tcBorders>
              <w:bottom w:val="single" w:sz="4" w:space="0" w:color="auto"/>
            </w:tcBorders>
          </w:tcPr>
          <w:p w:rsidR="00556D82" w:rsidRPr="00C04C77" w:rsidRDefault="00556D82" w:rsidP="006C31BF">
            <w:pPr>
              <w:pStyle w:val="TableUnitsRow"/>
              <w:spacing w:before="0" w:after="0" w:line="240" w:lineRule="atLeast"/>
              <w:ind w:left="0" w:right="0"/>
              <w:jc w:val="center"/>
              <w:rPr>
                <w:i/>
              </w:rPr>
            </w:pPr>
            <w:r w:rsidRPr="00C04C77">
              <w:rPr>
                <w:i/>
              </w:rPr>
              <w:t>RIS</w:t>
            </w:r>
          </w:p>
        </w:tc>
        <w:tc>
          <w:tcPr>
            <w:tcW w:w="312" w:type="pct"/>
            <w:tcBorders>
              <w:bottom w:val="single" w:sz="4" w:space="0" w:color="auto"/>
            </w:tcBorders>
          </w:tcPr>
          <w:p w:rsidR="00556D82" w:rsidRPr="00C04C77" w:rsidRDefault="00556D82" w:rsidP="006C31BF">
            <w:pPr>
              <w:pStyle w:val="TableUnitsRow"/>
              <w:spacing w:before="0" w:after="0" w:line="240" w:lineRule="atLeast"/>
              <w:ind w:left="0" w:right="0"/>
              <w:jc w:val="center"/>
              <w:rPr>
                <w:i/>
              </w:rPr>
            </w:pPr>
            <w:r w:rsidRPr="00C04C77">
              <w:rPr>
                <w:i/>
              </w:rPr>
              <w:t>RIS</w:t>
            </w:r>
          </w:p>
        </w:tc>
        <w:tc>
          <w:tcPr>
            <w:tcW w:w="248" w:type="pct"/>
            <w:tcBorders>
              <w:bottom w:val="single" w:sz="4" w:space="0" w:color="auto"/>
            </w:tcBorders>
          </w:tcPr>
          <w:p w:rsidR="00556D82" w:rsidRPr="00C04C77" w:rsidRDefault="00556D82" w:rsidP="006C31BF">
            <w:pPr>
              <w:pStyle w:val="TableUnitsRow"/>
              <w:spacing w:before="0" w:after="0" w:line="240" w:lineRule="atLeast"/>
              <w:ind w:left="0" w:right="0"/>
              <w:jc w:val="center"/>
              <w:rPr>
                <w:i/>
              </w:rPr>
            </w:pPr>
            <w:r w:rsidRPr="00C04C77">
              <w:rPr>
                <w:i/>
              </w:rPr>
              <w:t>RIS</w:t>
            </w:r>
          </w:p>
        </w:tc>
      </w:tr>
      <w:tr w:rsidR="00051DA9" w:rsidTr="00D925B2">
        <w:tc>
          <w:tcPr>
            <w:tcW w:w="726" w:type="pct"/>
            <w:tcBorders>
              <w:top w:val="single" w:sz="4" w:space="0" w:color="auto"/>
            </w:tcBorders>
            <w:shd w:val="clear" w:color="auto" w:fill="auto"/>
          </w:tcPr>
          <w:p w:rsidR="00556D82" w:rsidRDefault="00556D82" w:rsidP="00087BC7">
            <w:pPr>
              <w:pStyle w:val="TableBodyText"/>
              <w:spacing w:before="80"/>
              <w:jc w:val="left"/>
            </w:pPr>
            <w:r>
              <w:t>Publication</w:t>
            </w:r>
          </w:p>
        </w:tc>
        <w:tc>
          <w:tcPr>
            <w:tcW w:w="403" w:type="pct"/>
            <w:tcBorders>
              <w:top w:val="single" w:sz="4" w:space="0" w:color="auto"/>
            </w:tcBorders>
            <w:shd w:val="clear" w:color="auto" w:fill="auto"/>
          </w:tcPr>
          <w:p w:rsidR="00556D82" w:rsidRPr="008752AB" w:rsidRDefault="00556D82" w:rsidP="00C1668D">
            <w:pPr>
              <w:pStyle w:val="TableBodyText"/>
              <w:spacing w:before="40" w:after="60"/>
              <w:ind w:right="0"/>
              <w:jc w:val="center"/>
              <w:rPr>
                <w:rStyle w:val="NoteLabel"/>
              </w:rPr>
            </w:pPr>
            <w:r>
              <w:sym w:font="Wingdings" w:char="F0FC"/>
            </w:r>
            <w:r>
              <w:rPr>
                <w:rStyle w:val="NoteLabel"/>
              </w:rPr>
              <w:t>a</w:t>
            </w:r>
          </w:p>
        </w:tc>
        <w:tc>
          <w:tcPr>
            <w:tcW w:w="403" w:type="pct"/>
            <w:tcBorders>
              <w:top w:val="single" w:sz="4" w:space="0" w:color="auto"/>
            </w:tcBorders>
            <w:shd w:val="clear" w:color="auto" w:fill="auto"/>
          </w:tcPr>
          <w:p w:rsidR="00556D82" w:rsidRPr="00E62CBC" w:rsidRDefault="00556D82" w:rsidP="00C1668D">
            <w:pPr>
              <w:pStyle w:val="TableBodyText"/>
              <w:spacing w:before="40" w:after="60"/>
              <w:ind w:right="0"/>
              <w:jc w:val="center"/>
              <w:rPr>
                <w:rStyle w:val="NoteLabel"/>
              </w:rPr>
            </w:pPr>
            <w:r>
              <w:sym w:font="Wingdings" w:char="F0FC"/>
            </w:r>
            <w:r>
              <w:rPr>
                <w:rStyle w:val="NoteLabel"/>
              </w:rPr>
              <w:t>a</w:t>
            </w:r>
          </w:p>
        </w:tc>
        <w:tc>
          <w:tcPr>
            <w:tcW w:w="324" w:type="pct"/>
            <w:tcBorders>
              <w:top w:val="single" w:sz="4" w:space="0" w:color="auto"/>
            </w:tcBorders>
            <w:shd w:val="clear" w:color="auto" w:fill="auto"/>
          </w:tcPr>
          <w:p w:rsidR="00556D82" w:rsidRPr="00DF1230" w:rsidRDefault="00556D82" w:rsidP="00087BC7">
            <w:pPr>
              <w:pStyle w:val="TableBodyText"/>
              <w:spacing w:before="80"/>
              <w:jc w:val="center"/>
              <w:rPr>
                <w:rStyle w:val="NoteLabel"/>
                <w:b w:val="0"/>
                <w:position w:val="0"/>
                <w:sz w:val="20"/>
              </w:rPr>
            </w:pPr>
            <w:r w:rsidRPr="00DF1230">
              <w:rPr>
                <w:rStyle w:val="NoteLabel"/>
                <w:b w:val="0"/>
                <w:position w:val="0"/>
                <w:sz w:val="20"/>
              </w:rPr>
              <w:t>..</w:t>
            </w:r>
          </w:p>
        </w:tc>
        <w:tc>
          <w:tcPr>
            <w:tcW w:w="323" w:type="pct"/>
            <w:tcBorders>
              <w:top w:val="single" w:sz="4" w:space="0" w:color="auto"/>
            </w:tcBorders>
            <w:shd w:val="clear" w:color="auto" w:fill="auto"/>
          </w:tcPr>
          <w:p w:rsidR="00556D82" w:rsidRPr="00982B90" w:rsidRDefault="00FF5812" w:rsidP="00C1668D">
            <w:pPr>
              <w:pStyle w:val="TableBodyText"/>
              <w:spacing w:before="40" w:after="60"/>
              <w:ind w:right="0"/>
              <w:jc w:val="center"/>
              <w:rPr>
                <w:rStyle w:val="NoteLabel"/>
              </w:rPr>
            </w:pPr>
            <w:r>
              <w:sym w:font="Wingdings" w:char="F0FB"/>
            </w:r>
            <w:r w:rsidR="00556D82">
              <w:rPr>
                <w:rStyle w:val="NoteLabel"/>
              </w:rPr>
              <w:t>b</w:t>
            </w:r>
          </w:p>
        </w:tc>
        <w:tc>
          <w:tcPr>
            <w:tcW w:w="242" w:type="pct"/>
            <w:tcBorders>
              <w:top w:val="single" w:sz="4" w:space="0" w:color="auto"/>
            </w:tcBorders>
            <w:shd w:val="clear" w:color="auto" w:fill="auto"/>
          </w:tcPr>
          <w:p w:rsidR="00556D82" w:rsidRPr="00E1290F" w:rsidRDefault="00556D82" w:rsidP="00087BC7">
            <w:pPr>
              <w:pStyle w:val="TableBodyText"/>
              <w:spacing w:before="80"/>
              <w:jc w:val="center"/>
              <w:rPr>
                <w:rStyle w:val="NoteLabel"/>
                <w:b w:val="0"/>
                <w:position w:val="0"/>
                <w:sz w:val="20"/>
              </w:rPr>
            </w:pPr>
            <w:r w:rsidRPr="00E1290F">
              <w:rPr>
                <w:rStyle w:val="NoteLabel"/>
                <w:b w:val="0"/>
                <w:position w:val="0"/>
                <w:sz w:val="20"/>
              </w:rPr>
              <w:sym w:font="Wingdings" w:char="F0FB"/>
            </w:r>
          </w:p>
        </w:tc>
        <w:tc>
          <w:tcPr>
            <w:tcW w:w="240" w:type="pct"/>
            <w:tcBorders>
              <w:top w:val="single" w:sz="4" w:space="0" w:color="auto"/>
            </w:tcBorders>
            <w:shd w:val="clear" w:color="auto" w:fill="auto"/>
          </w:tcPr>
          <w:p w:rsidR="00556D82" w:rsidRPr="008752AB" w:rsidRDefault="00556D82" w:rsidP="00C1668D">
            <w:pPr>
              <w:pStyle w:val="TableBodyText"/>
              <w:spacing w:before="40" w:after="60"/>
              <w:ind w:right="0"/>
              <w:jc w:val="center"/>
              <w:rPr>
                <w:rStyle w:val="NoteLabel"/>
              </w:rPr>
            </w:pPr>
            <w:r>
              <w:sym w:font="Wingdings" w:char="F0FC"/>
            </w:r>
            <w:r>
              <w:rPr>
                <w:rStyle w:val="NoteLabel"/>
              </w:rPr>
              <w:t>c</w:t>
            </w:r>
          </w:p>
        </w:tc>
        <w:tc>
          <w:tcPr>
            <w:tcW w:w="242" w:type="pct"/>
            <w:tcBorders>
              <w:top w:val="single" w:sz="4" w:space="0" w:color="auto"/>
            </w:tcBorders>
            <w:shd w:val="clear" w:color="auto" w:fill="auto"/>
          </w:tcPr>
          <w:p w:rsidR="00556D82" w:rsidRPr="00211310" w:rsidRDefault="00556D82" w:rsidP="00087BC7">
            <w:pPr>
              <w:pStyle w:val="TableBodyText"/>
              <w:spacing w:before="80"/>
              <w:jc w:val="center"/>
            </w:pPr>
            <w:r>
              <w:sym w:font="Wingdings" w:char="F0FB"/>
            </w:r>
          </w:p>
        </w:tc>
        <w:tc>
          <w:tcPr>
            <w:tcW w:w="242" w:type="pct"/>
            <w:tcBorders>
              <w:top w:val="single" w:sz="4" w:space="0" w:color="auto"/>
            </w:tcBorders>
            <w:shd w:val="clear" w:color="auto" w:fill="auto"/>
          </w:tcPr>
          <w:p w:rsidR="00556D82" w:rsidRPr="00872579" w:rsidRDefault="00556D82" w:rsidP="00087BC7">
            <w:pPr>
              <w:pStyle w:val="TableBodyText"/>
              <w:spacing w:before="80"/>
              <w:jc w:val="center"/>
            </w:pPr>
            <w:r>
              <w:sym w:font="Wingdings" w:char="F0FB"/>
            </w:r>
          </w:p>
        </w:tc>
        <w:tc>
          <w:tcPr>
            <w:tcW w:w="323" w:type="pct"/>
            <w:tcBorders>
              <w:top w:val="single" w:sz="4" w:space="0" w:color="auto"/>
            </w:tcBorders>
            <w:shd w:val="clear" w:color="auto" w:fill="auto"/>
          </w:tcPr>
          <w:p w:rsidR="00556D82" w:rsidRPr="000E26A8" w:rsidRDefault="00FF5812" w:rsidP="00C1668D">
            <w:pPr>
              <w:pStyle w:val="TableBodyText"/>
              <w:spacing w:before="40" w:after="60"/>
              <w:ind w:right="0"/>
              <w:jc w:val="center"/>
              <w:rPr>
                <w:rStyle w:val="NoteLabel"/>
              </w:rPr>
            </w:pPr>
            <w:r>
              <w:sym w:font="Wingdings" w:char="F0FB"/>
            </w:r>
            <w:r w:rsidR="00556D82">
              <w:rPr>
                <w:rStyle w:val="NoteLabel"/>
              </w:rPr>
              <w:t>d</w:t>
            </w:r>
          </w:p>
        </w:tc>
        <w:tc>
          <w:tcPr>
            <w:tcW w:w="242" w:type="pct"/>
            <w:tcBorders>
              <w:top w:val="single" w:sz="4" w:space="0" w:color="auto"/>
            </w:tcBorders>
            <w:shd w:val="clear" w:color="auto" w:fill="auto"/>
          </w:tcPr>
          <w:p w:rsidR="00556D82" w:rsidRPr="00264067" w:rsidRDefault="00556D82" w:rsidP="00087BC7">
            <w:pPr>
              <w:pStyle w:val="TableBodyText"/>
              <w:spacing w:before="80"/>
              <w:jc w:val="center"/>
            </w:pPr>
            <w:r>
              <w:sym w:font="Wingdings" w:char="F0FB"/>
            </w:r>
          </w:p>
        </w:tc>
        <w:tc>
          <w:tcPr>
            <w:tcW w:w="242" w:type="pct"/>
            <w:tcBorders>
              <w:top w:val="single" w:sz="4" w:space="0" w:color="auto"/>
            </w:tcBorders>
            <w:shd w:val="clear" w:color="auto" w:fill="auto"/>
          </w:tcPr>
          <w:p w:rsidR="00556D82" w:rsidRPr="00872579" w:rsidRDefault="00556D82" w:rsidP="00087BC7">
            <w:pPr>
              <w:pStyle w:val="TableBodyText"/>
              <w:spacing w:before="80"/>
              <w:jc w:val="center"/>
            </w:pPr>
            <w:r>
              <w:t>..</w:t>
            </w:r>
          </w:p>
        </w:tc>
        <w:tc>
          <w:tcPr>
            <w:tcW w:w="242" w:type="pct"/>
            <w:tcBorders>
              <w:top w:val="single" w:sz="4" w:space="0" w:color="auto"/>
            </w:tcBorders>
            <w:shd w:val="clear" w:color="auto" w:fill="auto"/>
          </w:tcPr>
          <w:p w:rsidR="00556D82" w:rsidRPr="00982B90" w:rsidRDefault="00FF5812" w:rsidP="00C1668D">
            <w:pPr>
              <w:pStyle w:val="TableBodyText"/>
              <w:spacing w:before="40" w:after="60"/>
              <w:ind w:right="0"/>
              <w:jc w:val="center"/>
              <w:rPr>
                <w:rStyle w:val="NoteLabel"/>
              </w:rPr>
            </w:pPr>
            <w:r>
              <w:sym w:font="Wingdings" w:char="F0FB"/>
            </w:r>
            <w:r w:rsidR="00556D82">
              <w:rPr>
                <w:rStyle w:val="NoteLabel"/>
              </w:rPr>
              <w:t>e</w:t>
            </w:r>
          </w:p>
        </w:tc>
        <w:tc>
          <w:tcPr>
            <w:tcW w:w="247" w:type="pct"/>
            <w:tcBorders>
              <w:top w:val="single" w:sz="4" w:space="0" w:color="auto"/>
            </w:tcBorders>
            <w:shd w:val="clear" w:color="auto" w:fill="auto"/>
          </w:tcPr>
          <w:p w:rsidR="00556D82" w:rsidRPr="00872579" w:rsidRDefault="00556D82" w:rsidP="00087BC7">
            <w:pPr>
              <w:pStyle w:val="TableBodyText"/>
              <w:spacing w:before="80"/>
              <w:jc w:val="center"/>
            </w:pPr>
            <w:r>
              <w:t>..</w:t>
            </w:r>
          </w:p>
        </w:tc>
        <w:tc>
          <w:tcPr>
            <w:tcW w:w="312" w:type="pct"/>
            <w:tcBorders>
              <w:top w:val="single" w:sz="4" w:space="0" w:color="auto"/>
            </w:tcBorders>
            <w:shd w:val="clear" w:color="auto" w:fill="auto"/>
          </w:tcPr>
          <w:p w:rsidR="00556D82" w:rsidRPr="008752AB" w:rsidRDefault="00FF5812" w:rsidP="00C1668D">
            <w:pPr>
              <w:pStyle w:val="TableBodyText"/>
              <w:spacing w:before="40" w:after="60"/>
              <w:ind w:right="57"/>
              <w:jc w:val="center"/>
              <w:rPr>
                <w:rStyle w:val="NoteLabel"/>
              </w:rPr>
            </w:pPr>
            <w:r>
              <w:sym w:font="Wingdings" w:char="F0FB"/>
            </w:r>
            <w:r w:rsidR="00556D82">
              <w:rPr>
                <w:rStyle w:val="NoteLabel"/>
              </w:rPr>
              <w:t>f</w:t>
            </w:r>
          </w:p>
        </w:tc>
        <w:tc>
          <w:tcPr>
            <w:tcW w:w="248" w:type="pct"/>
            <w:tcBorders>
              <w:top w:val="single" w:sz="4" w:space="0" w:color="auto"/>
            </w:tcBorders>
            <w:shd w:val="clear" w:color="auto" w:fill="auto"/>
          </w:tcPr>
          <w:p w:rsidR="00556D82" w:rsidRDefault="00556D82" w:rsidP="00087BC7">
            <w:pPr>
              <w:pStyle w:val="TableBodyText"/>
              <w:spacing w:before="80"/>
              <w:jc w:val="center"/>
            </w:pPr>
            <w:r>
              <w:sym w:font="Wingdings" w:char="F0FB"/>
            </w:r>
          </w:p>
        </w:tc>
      </w:tr>
      <w:tr w:rsidR="00051DA9" w:rsidTr="00D925B2">
        <w:tc>
          <w:tcPr>
            <w:tcW w:w="726" w:type="pct"/>
            <w:tcBorders>
              <w:bottom w:val="single" w:sz="4" w:space="0" w:color="auto"/>
            </w:tcBorders>
            <w:shd w:val="clear" w:color="auto" w:fill="auto"/>
          </w:tcPr>
          <w:p w:rsidR="00556D82" w:rsidRDefault="00556D82" w:rsidP="007668DA">
            <w:pPr>
              <w:pStyle w:val="TableBodyText"/>
              <w:spacing w:before="20"/>
              <w:jc w:val="left"/>
            </w:pPr>
            <w:r>
              <w:t>Reasons are provided</w:t>
            </w:r>
          </w:p>
        </w:tc>
        <w:tc>
          <w:tcPr>
            <w:tcW w:w="403" w:type="pct"/>
            <w:tcBorders>
              <w:bottom w:val="single" w:sz="4" w:space="0" w:color="auto"/>
            </w:tcBorders>
            <w:shd w:val="clear" w:color="auto" w:fill="auto"/>
            <w:vAlign w:val="center"/>
          </w:tcPr>
          <w:p w:rsidR="00556D82" w:rsidRPr="00613D9F" w:rsidRDefault="00556D82" w:rsidP="00087BC7">
            <w:pPr>
              <w:pStyle w:val="TableBodyText"/>
              <w:spacing w:before="20"/>
              <w:jc w:val="center"/>
            </w:pPr>
            <w:r w:rsidRPr="00613D9F">
              <w:sym w:font="Wingdings" w:char="F0FB"/>
            </w:r>
          </w:p>
        </w:tc>
        <w:tc>
          <w:tcPr>
            <w:tcW w:w="403" w:type="pct"/>
            <w:tcBorders>
              <w:bottom w:val="single" w:sz="4" w:space="0" w:color="auto"/>
            </w:tcBorders>
            <w:shd w:val="clear" w:color="auto" w:fill="auto"/>
            <w:vAlign w:val="center"/>
          </w:tcPr>
          <w:p w:rsidR="00556D82" w:rsidRPr="00057690" w:rsidRDefault="00556D82" w:rsidP="00087BC7">
            <w:pPr>
              <w:pStyle w:val="TableBodyText"/>
              <w:spacing w:before="20"/>
              <w:jc w:val="center"/>
            </w:pPr>
            <w:r>
              <w:sym w:font="Wingdings" w:char="F0FB"/>
            </w:r>
          </w:p>
        </w:tc>
        <w:tc>
          <w:tcPr>
            <w:tcW w:w="324" w:type="pct"/>
            <w:tcBorders>
              <w:bottom w:val="single" w:sz="4" w:space="0" w:color="auto"/>
            </w:tcBorders>
            <w:shd w:val="clear" w:color="auto" w:fill="auto"/>
            <w:vAlign w:val="center"/>
          </w:tcPr>
          <w:p w:rsidR="00556D82" w:rsidRDefault="00556D82" w:rsidP="00087BC7">
            <w:pPr>
              <w:pStyle w:val="TableBodyText"/>
              <w:spacing w:before="20"/>
              <w:jc w:val="center"/>
            </w:pPr>
            <w:r>
              <w:t>..</w:t>
            </w:r>
          </w:p>
        </w:tc>
        <w:tc>
          <w:tcPr>
            <w:tcW w:w="323" w:type="pct"/>
            <w:tcBorders>
              <w:bottom w:val="single" w:sz="4" w:space="0" w:color="auto"/>
            </w:tcBorders>
            <w:shd w:val="clear" w:color="auto" w:fill="auto"/>
            <w:vAlign w:val="center"/>
          </w:tcPr>
          <w:p w:rsidR="00556D82" w:rsidRDefault="00556D82" w:rsidP="00087BC7">
            <w:pPr>
              <w:pStyle w:val="TableBodyText"/>
              <w:spacing w:before="20"/>
              <w:jc w:val="center"/>
            </w:pPr>
            <w:r>
              <w:sym w:font="Wingdings" w:char="F0FB"/>
            </w:r>
          </w:p>
        </w:tc>
        <w:tc>
          <w:tcPr>
            <w:tcW w:w="242" w:type="pct"/>
            <w:tcBorders>
              <w:bottom w:val="single" w:sz="4" w:space="0" w:color="auto"/>
            </w:tcBorders>
            <w:shd w:val="clear" w:color="auto" w:fill="auto"/>
            <w:vAlign w:val="center"/>
          </w:tcPr>
          <w:p w:rsidR="00556D82" w:rsidRDefault="00556D82" w:rsidP="00087BC7">
            <w:pPr>
              <w:pStyle w:val="TableBodyText"/>
              <w:spacing w:before="20"/>
              <w:jc w:val="center"/>
            </w:pPr>
            <w:r>
              <w:sym w:font="Wingdings" w:char="F0FB"/>
            </w:r>
          </w:p>
        </w:tc>
        <w:tc>
          <w:tcPr>
            <w:tcW w:w="240" w:type="pct"/>
            <w:tcBorders>
              <w:bottom w:val="single" w:sz="4" w:space="0" w:color="auto"/>
            </w:tcBorders>
            <w:shd w:val="clear" w:color="auto" w:fill="auto"/>
            <w:vAlign w:val="center"/>
          </w:tcPr>
          <w:p w:rsidR="00556D82" w:rsidRPr="003C24F6" w:rsidRDefault="00556D82" w:rsidP="00087BC7">
            <w:pPr>
              <w:pStyle w:val="TableBodyText"/>
              <w:spacing w:before="20"/>
              <w:jc w:val="center"/>
              <w:rPr>
                <w:rStyle w:val="NoteLabel"/>
                <w:b w:val="0"/>
              </w:rPr>
            </w:pPr>
            <w:r w:rsidRPr="003C24F6">
              <w:sym w:font="Wingdings" w:char="F0FC"/>
            </w:r>
          </w:p>
        </w:tc>
        <w:tc>
          <w:tcPr>
            <w:tcW w:w="242" w:type="pct"/>
            <w:tcBorders>
              <w:bottom w:val="single" w:sz="4" w:space="0" w:color="auto"/>
            </w:tcBorders>
            <w:shd w:val="clear" w:color="auto" w:fill="auto"/>
            <w:vAlign w:val="center"/>
          </w:tcPr>
          <w:p w:rsidR="00556D82" w:rsidRPr="00613D9F" w:rsidRDefault="00556D82" w:rsidP="00087BC7">
            <w:pPr>
              <w:pStyle w:val="TableBodyText"/>
              <w:spacing w:before="20"/>
              <w:jc w:val="center"/>
            </w:pPr>
            <w:r w:rsidRPr="00613D9F">
              <w:sym w:font="Wingdings" w:char="F0FB"/>
            </w:r>
          </w:p>
        </w:tc>
        <w:tc>
          <w:tcPr>
            <w:tcW w:w="242" w:type="pct"/>
            <w:tcBorders>
              <w:bottom w:val="single" w:sz="4" w:space="0" w:color="auto"/>
            </w:tcBorders>
            <w:shd w:val="clear" w:color="auto" w:fill="auto"/>
            <w:vAlign w:val="center"/>
          </w:tcPr>
          <w:p w:rsidR="00556D82" w:rsidRPr="00613D9F" w:rsidRDefault="00556D82" w:rsidP="00087BC7">
            <w:pPr>
              <w:pStyle w:val="TableBodyText"/>
              <w:spacing w:before="20"/>
              <w:jc w:val="center"/>
            </w:pPr>
            <w:r w:rsidRPr="00613D9F">
              <w:sym w:font="Wingdings" w:char="F0FB"/>
            </w:r>
          </w:p>
        </w:tc>
        <w:tc>
          <w:tcPr>
            <w:tcW w:w="323" w:type="pct"/>
            <w:tcBorders>
              <w:bottom w:val="single" w:sz="4" w:space="0" w:color="auto"/>
            </w:tcBorders>
            <w:shd w:val="clear" w:color="auto" w:fill="auto"/>
            <w:vAlign w:val="center"/>
          </w:tcPr>
          <w:p w:rsidR="00556D82" w:rsidRDefault="00556D82" w:rsidP="00087BC7">
            <w:pPr>
              <w:pStyle w:val="TableBodyText"/>
              <w:spacing w:before="20"/>
              <w:jc w:val="center"/>
            </w:pPr>
            <w:r>
              <w:sym w:font="Wingdings" w:char="F0FB"/>
            </w:r>
          </w:p>
        </w:tc>
        <w:tc>
          <w:tcPr>
            <w:tcW w:w="242" w:type="pct"/>
            <w:tcBorders>
              <w:bottom w:val="single" w:sz="4" w:space="0" w:color="auto"/>
            </w:tcBorders>
            <w:shd w:val="clear" w:color="auto" w:fill="auto"/>
            <w:vAlign w:val="center"/>
          </w:tcPr>
          <w:p w:rsidR="00556D82" w:rsidRDefault="00556D82" w:rsidP="00087BC7">
            <w:pPr>
              <w:pStyle w:val="TableBodyText"/>
              <w:spacing w:before="20"/>
              <w:jc w:val="center"/>
            </w:pPr>
            <w:r>
              <w:sym w:font="Wingdings" w:char="F0FB"/>
            </w:r>
          </w:p>
        </w:tc>
        <w:tc>
          <w:tcPr>
            <w:tcW w:w="242" w:type="pct"/>
            <w:tcBorders>
              <w:bottom w:val="single" w:sz="4" w:space="0" w:color="auto"/>
            </w:tcBorders>
            <w:shd w:val="clear" w:color="auto" w:fill="auto"/>
            <w:vAlign w:val="center"/>
          </w:tcPr>
          <w:p w:rsidR="00556D82" w:rsidRDefault="00556D82" w:rsidP="00087BC7">
            <w:pPr>
              <w:pStyle w:val="TableBodyText"/>
              <w:spacing w:before="20"/>
              <w:jc w:val="center"/>
            </w:pPr>
            <w:r>
              <w:t>..</w:t>
            </w:r>
          </w:p>
        </w:tc>
        <w:tc>
          <w:tcPr>
            <w:tcW w:w="242" w:type="pct"/>
            <w:tcBorders>
              <w:bottom w:val="single" w:sz="4" w:space="0" w:color="auto"/>
            </w:tcBorders>
            <w:shd w:val="clear" w:color="auto" w:fill="auto"/>
            <w:vAlign w:val="center"/>
          </w:tcPr>
          <w:p w:rsidR="00556D82" w:rsidRDefault="00556D82" w:rsidP="00087BC7">
            <w:pPr>
              <w:pStyle w:val="TableBodyText"/>
              <w:spacing w:before="20"/>
              <w:jc w:val="center"/>
            </w:pPr>
            <w:r>
              <w:sym w:font="Wingdings" w:char="F0FB"/>
            </w:r>
          </w:p>
        </w:tc>
        <w:tc>
          <w:tcPr>
            <w:tcW w:w="247" w:type="pct"/>
            <w:tcBorders>
              <w:bottom w:val="single" w:sz="4" w:space="0" w:color="auto"/>
            </w:tcBorders>
            <w:shd w:val="clear" w:color="auto" w:fill="auto"/>
            <w:vAlign w:val="center"/>
          </w:tcPr>
          <w:p w:rsidR="00556D82" w:rsidRDefault="00556D82" w:rsidP="00087BC7">
            <w:pPr>
              <w:pStyle w:val="TableBodyText"/>
              <w:spacing w:before="20"/>
              <w:jc w:val="center"/>
            </w:pPr>
            <w:r>
              <w:t>..</w:t>
            </w:r>
          </w:p>
        </w:tc>
        <w:tc>
          <w:tcPr>
            <w:tcW w:w="312" w:type="pct"/>
            <w:tcBorders>
              <w:bottom w:val="single" w:sz="4" w:space="0" w:color="auto"/>
            </w:tcBorders>
            <w:shd w:val="clear" w:color="auto" w:fill="auto"/>
            <w:vAlign w:val="center"/>
          </w:tcPr>
          <w:p w:rsidR="00556D82" w:rsidRDefault="00556D82" w:rsidP="00087BC7">
            <w:pPr>
              <w:pStyle w:val="TableBodyText"/>
              <w:spacing w:before="20"/>
              <w:jc w:val="center"/>
            </w:pPr>
            <w:r>
              <w:sym w:font="Wingdings" w:char="F0FB"/>
            </w:r>
          </w:p>
        </w:tc>
        <w:tc>
          <w:tcPr>
            <w:tcW w:w="248" w:type="pct"/>
            <w:tcBorders>
              <w:bottom w:val="single" w:sz="4" w:space="0" w:color="auto"/>
            </w:tcBorders>
            <w:shd w:val="clear" w:color="auto" w:fill="auto"/>
            <w:vAlign w:val="center"/>
          </w:tcPr>
          <w:p w:rsidR="00556D82" w:rsidRDefault="00556D82" w:rsidP="00087BC7">
            <w:pPr>
              <w:pStyle w:val="TableBodyText"/>
              <w:spacing w:before="20"/>
              <w:jc w:val="center"/>
            </w:pPr>
            <w:r>
              <w:sym w:font="Wingdings" w:char="F0FB"/>
            </w:r>
          </w:p>
        </w:tc>
      </w:tr>
    </w:tbl>
    <w:p w:rsidR="00556D82" w:rsidRDefault="00556D82" w:rsidP="00556D82">
      <w:pPr>
        <w:pStyle w:val="Note"/>
      </w:pPr>
      <w:r w:rsidRPr="00CF5BBA">
        <w:rPr>
          <w:rStyle w:val="NoteLabel"/>
        </w:rPr>
        <w:t>a</w:t>
      </w:r>
      <w:r>
        <w:t xml:space="preserve"> Published in real-time online by the OBPR.  </w:t>
      </w:r>
      <w:r>
        <w:rPr>
          <w:rStyle w:val="NoteLabel"/>
        </w:rPr>
        <w:t>b</w:t>
      </w:r>
      <w:r>
        <w:t xml:space="preserve"> Exemption certificates are forwarded to the Legislative Review Committee, but are not made public.  </w:t>
      </w:r>
      <w:r>
        <w:rPr>
          <w:rStyle w:val="NoteLabel"/>
        </w:rPr>
        <w:t>c</w:t>
      </w:r>
      <w:r>
        <w:t xml:space="preserve"> The exemption is presented to both Houses of Parliament.  </w:t>
      </w:r>
      <w:r>
        <w:rPr>
          <w:rStyle w:val="NoteLabel"/>
        </w:rPr>
        <w:t>d</w:t>
      </w:r>
      <w:r>
        <w:t xml:space="preserve"> The </w:t>
      </w:r>
      <w:r w:rsidR="00DD3A5E">
        <w:t>Regulatory Gatekeeping Unit</w:t>
      </w:r>
      <w:r>
        <w:t xml:space="preserve"> monitors, assesses and will report on the granting of Treasurer’s Exemptions and subs</w:t>
      </w:r>
      <w:r w:rsidR="00DD3A5E">
        <w:t>equent compliance with the post implementation review</w:t>
      </w:r>
      <w:r w:rsidR="00FF0642">
        <w:t xml:space="preserve"> requirements, however the reports have not been made public.</w:t>
      </w:r>
      <w:r>
        <w:t xml:space="preserve">  </w:t>
      </w:r>
      <w:r>
        <w:rPr>
          <w:rStyle w:val="NoteLabel"/>
        </w:rPr>
        <w:t>e</w:t>
      </w:r>
      <w:r>
        <w:t xml:space="preserve"> Exemptions are forwarded to the Subordinate Legislation Committee, but are not made public.  </w:t>
      </w:r>
      <w:r>
        <w:rPr>
          <w:rStyle w:val="NoteLabel"/>
        </w:rPr>
        <w:t>f</w:t>
      </w:r>
      <w:r>
        <w:t xml:space="preserve"> A RIS exemption is presented to t</w:t>
      </w:r>
      <w:r w:rsidR="00702CC8">
        <w:t>he Legislative Assembly, but is</w:t>
      </w:r>
      <w:r>
        <w:t xml:space="preserve"> not made public.  </w:t>
      </w:r>
      <w:r w:rsidR="00FF5812">
        <w:t xml:space="preserve">.. </w:t>
      </w:r>
      <w:r>
        <w:t>not applicable</w:t>
      </w:r>
      <w:r w:rsidR="00CB2D0C">
        <w:t>.  ‘</w:t>
      </w:r>
      <w:proofErr w:type="spellStart"/>
      <w:r w:rsidR="00CB2D0C">
        <w:t>Pri</w:t>
      </w:r>
      <w:proofErr w:type="spellEnd"/>
      <w:r w:rsidR="00CB2D0C">
        <w:t>.’ Primary legislation.  ‘Sub.’</w:t>
      </w:r>
      <w:r w:rsidR="00777FE7">
        <w:t xml:space="preserve"> S</w:t>
      </w:r>
      <w:r w:rsidR="00CB2D0C">
        <w:t>ubordinate legislation.</w:t>
      </w:r>
    </w:p>
    <w:p w:rsidR="00556D82" w:rsidRDefault="00556D82" w:rsidP="00556D82">
      <w:pPr>
        <w:pStyle w:val="Note"/>
      </w:pPr>
      <w:r>
        <w:rPr>
          <w:i/>
        </w:rPr>
        <w:t>Source</w:t>
      </w:r>
      <w:r>
        <w:t>: Jurisdictional guidance material</w:t>
      </w:r>
      <w:r w:rsidR="00F552F4">
        <w:t xml:space="preserve"> (Appendix B)</w:t>
      </w:r>
      <w:r>
        <w:t>.</w:t>
      </w:r>
    </w:p>
    <w:p w:rsidR="00583E31" w:rsidRDefault="00583E31" w:rsidP="00715CD4">
      <w:pPr>
        <w:pStyle w:val="BodyText"/>
      </w:pPr>
      <w:r>
        <w:t xml:space="preserve">In Victoria, although there is some public reporting, actual practice also falls short of what is </w:t>
      </w:r>
      <w:r w:rsidR="00A05EE8">
        <w:t xml:space="preserve">stated to be </w:t>
      </w:r>
      <w:r>
        <w:t>required in that jurisdiction. The guidance material states that a RIS exemption certificate must be published with accompanying reasons and presented to the Scrutiny of Acts and Regulation Committee (</w:t>
      </w:r>
      <w:proofErr w:type="spellStart"/>
      <w:r>
        <w:t>SARC</w:t>
      </w:r>
      <w:proofErr w:type="spellEnd"/>
      <w:r>
        <w:t xml:space="preserve">) and to both Houses of Parliament (Victorian </w:t>
      </w:r>
      <w:r w:rsidR="003526AE" w:rsidRPr="0020547D">
        <w:t>Department of Treasury and Finance</w:t>
      </w:r>
      <w:r>
        <w:t xml:space="preserve"> </w:t>
      </w:r>
      <w:proofErr w:type="spellStart"/>
      <w:r>
        <w:t>2011a</w:t>
      </w:r>
      <w:proofErr w:type="spellEnd"/>
      <w:r>
        <w:t xml:space="preserve">). The Commission found references to exemptions granted in the </w:t>
      </w:r>
      <w:proofErr w:type="spellStart"/>
      <w:r>
        <w:t>SARC</w:t>
      </w:r>
      <w:proofErr w:type="spellEnd"/>
      <w:r>
        <w:t xml:space="preserve"> Annual Review and in statements from the Clerk of the House in relation to specific statutory rules — but in both cases no information on the reasons for exemptions were provided.</w:t>
      </w:r>
    </w:p>
    <w:p w:rsidR="00583E31" w:rsidRDefault="00583E31" w:rsidP="00F61B9F">
      <w:pPr>
        <w:pStyle w:val="BodyText"/>
      </w:pPr>
      <w:r>
        <w:t xml:space="preserve">In Western Australia, guidance material notes that the oversight body will monitor, assess and report on the granting of exemptions, but none of the reports are publicly available. </w:t>
      </w:r>
      <w:r w:rsidR="00B36A0C">
        <w:t>A</w:t>
      </w:r>
      <w:r w:rsidR="007801D2">
        <w:t>s noted above, the S</w:t>
      </w:r>
      <w:r w:rsidR="00B40787">
        <w:t xml:space="preserve">mall </w:t>
      </w:r>
      <w:r w:rsidR="007801D2">
        <w:t>B</w:t>
      </w:r>
      <w:r w:rsidR="00B40787">
        <w:t xml:space="preserve">usiness </w:t>
      </w:r>
      <w:r w:rsidR="007801D2">
        <w:t>D</w:t>
      </w:r>
      <w:r w:rsidR="00B40787">
        <w:t xml:space="preserve">evelopment </w:t>
      </w:r>
      <w:r w:rsidR="007801D2">
        <w:t>C</w:t>
      </w:r>
      <w:r w:rsidR="00B40787">
        <w:t>orporation</w:t>
      </w:r>
      <w:r w:rsidR="007801D2">
        <w:t xml:space="preserve"> </w:t>
      </w:r>
      <w:r w:rsidR="00B36A0C">
        <w:t>(</w:t>
      </w:r>
      <w:proofErr w:type="spellStart"/>
      <w:r w:rsidR="00B36A0C">
        <w:t>SBDC</w:t>
      </w:r>
      <w:proofErr w:type="spellEnd"/>
      <w:r w:rsidR="00B36A0C">
        <w:t xml:space="preserve">) </w:t>
      </w:r>
      <w:r w:rsidR="007801D2">
        <w:t>has concerns about the number of Treasurer’s exemptions it perceives are being granted in Western Australia</w:t>
      </w:r>
      <w:r w:rsidR="00B36A0C">
        <w:t xml:space="preserve">. The </w:t>
      </w:r>
      <w:proofErr w:type="spellStart"/>
      <w:r w:rsidR="00B36A0C">
        <w:t>SBDC</w:t>
      </w:r>
      <w:proofErr w:type="spellEnd"/>
      <w:r w:rsidR="00B36A0C">
        <w:t xml:space="preserve"> has also noted the</w:t>
      </w:r>
      <w:r w:rsidR="007801D2">
        <w:t xml:space="preserve"> </w:t>
      </w:r>
      <w:r>
        <w:t xml:space="preserve">lack of transparency surrounding the granting of </w:t>
      </w:r>
      <w:r w:rsidR="007801D2">
        <w:t xml:space="preserve">such </w:t>
      </w:r>
      <w:r>
        <w:t>exemptions:</w:t>
      </w:r>
    </w:p>
    <w:p w:rsidR="00583E31" w:rsidRDefault="00583E31" w:rsidP="00715CD4">
      <w:pPr>
        <w:pStyle w:val="Quote"/>
      </w:pPr>
      <w:r>
        <w:t xml:space="preserve">Of course without Biannual Agency Regulatory Reports or the annual report from the </w:t>
      </w:r>
      <w:proofErr w:type="spellStart"/>
      <w:r>
        <w:t>RGU</w:t>
      </w:r>
      <w:proofErr w:type="spellEnd"/>
      <w:r>
        <w:t xml:space="preserve"> </w:t>
      </w:r>
      <w:r w:rsidR="00B40787">
        <w:t xml:space="preserve">[Regulatory Gatekeeping Unit] </w:t>
      </w:r>
      <w:r>
        <w:t>being made available to the public there is no way of knowing how many Treasurer’s Exemptions have been granted since the introduction of the RIA regime. (</w:t>
      </w:r>
      <w:proofErr w:type="spellStart"/>
      <w:r>
        <w:t>SBDC</w:t>
      </w:r>
      <w:proofErr w:type="spellEnd"/>
      <w:r>
        <w:t>, sub. 25, p. 10)</w:t>
      </w:r>
    </w:p>
    <w:p w:rsidR="00905102" w:rsidRPr="00905102" w:rsidRDefault="00905102" w:rsidP="00905102">
      <w:pPr>
        <w:pStyle w:val="BodyText"/>
      </w:pPr>
      <w:r>
        <w:t xml:space="preserve">The recent review of the Commonwealth </w:t>
      </w:r>
      <w:proofErr w:type="spellStart"/>
      <w:r>
        <w:t>RIA</w:t>
      </w:r>
      <w:proofErr w:type="spellEnd"/>
      <w:r>
        <w:t xml:space="preserve"> system </w:t>
      </w:r>
      <w:r w:rsidR="004A03E2">
        <w:t>(</w:t>
      </w:r>
      <w:proofErr w:type="spellStart"/>
      <w:r w:rsidR="004A03E2">
        <w:t>Borthwick</w:t>
      </w:r>
      <w:proofErr w:type="spellEnd"/>
      <w:r w:rsidR="004A03E2">
        <w:t xml:space="preserve"> and Milliner </w:t>
      </w:r>
      <w:r>
        <w:t xml:space="preserve">2012) recommended that </w:t>
      </w:r>
      <w:r w:rsidR="00AA4FED">
        <w:t xml:space="preserve">when exemptions are granted, the proponent minister’s </w:t>
      </w:r>
      <w:r>
        <w:t xml:space="preserve">reasons be </w:t>
      </w:r>
      <w:r w:rsidR="00AA4FED">
        <w:t>made public.</w:t>
      </w:r>
      <w:r>
        <w:t xml:space="preserve"> </w:t>
      </w:r>
      <w:r w:rsidR="00AA4FED">
        <w:t>T</w:t>
      </w:r>
      <w:r>
        <w:t xml:space="preserve">his </w:t>
      </w:r>
      <w:r w:rsidR="00AA4FED">
        <w:t xml:space="preserve">recommendation </w:t>
      </w:r>
      <w:r>
        <w:t xml:space="preserve">is under consideration </w:t>
      </w:r>
      <w:r w:rsidR="004A03E2">
        <w:t xml:space="preserve">by the Government </w:t>
      </w:r>
      <w:r w:rsidR="007A7D04">
        <w:t xml:space="preserve">(Australian Government </w:t>
      </w:r>
      <w:proofErr w:type="spellStart"/>
      <w:r w:rsidR="007A7D04">
        <w:t>2012b</w:t>
      </w:r>
      <w:proofErr w:type="spellEnd"/>
      <w:r w:rsidR="007A7D04">
        <w:t>).</w:t>
      </w:r>
    </w:p>
    <w:p w:rsidR="00583E31" w:rsidRDefault="00583E31" w:rsidP="001C2EFF">
      <w:pPr>
        <w:pStyle w:val="Heading4"/>
      </w:pPr>
      <w:r>
        <w:lastRenderedPageBreak/>
        <w:t>Evidence from the Commonwealth and Victoria</w:t>
      </w:r>
    </w:p>
    <w:p w:rsidR="00583E31" w:rsidRDefault="00583E31" w:rsidP="005478F0">
      <w:pPr>
        <w:pStyle w:val="BodyText"/>
      </w:pPr>
      <w:r>
        <w:t xml:space="preserve">In the Commonwealth, the number of exemptions granted by the Prime Minister </w:t>
      </w:r>
      <w:r w:rsidR="00B96508">
        <w:t xml:space="preserve">has </w:t>
      </w:r>
      <w:r>
        <w:t xml:space="preserve">ranged between </w:t>
      </w:r>
      <w:r w:rsidR="00B96508">
        <w:t>three</w:t>
      </w:r>
      <w:r>
        <w:t xml:space="preserve"> and </w:t>
      </w:r>
      <w:r w:rsidR="00B96508">
        <w:t>six per year</w:t>
      </w:r>
      <w:r>
        <w:t xml:space="preserve"> in </w:t>
      </w:r>
      <w:r w:rsidR="00B96508">
        <w:t>recent</w:t>
      </w:r>
      <w:r>
        <w:t xml:space="preserve"> years, with the exception of 2010-11</w:t>
      </w:r>
      <w:r w:rsidR="00B96508">
        <w:t xml:space="preserve"> (figure </w:t>
      </w:r>
      <w:r w:rsidR="00950F6F">
        <w:t>5.2</w:t>
      </w:r>
      <w:r w:rsidR="00B96508">
        <w:t>)</w:t>
      </w:r>
      <w:r w:rsidR="00CC340D">
        <w:t>.</w:t>
      </w:r>
      <w:r>
        <w:t xml:space="preserve"> </w:t>
      </w:r>
      <w:r w:rsidR="00CC340D">
        <w:t>In that year,</w:t>
      </w:r>
      <w:r>
        <w:t xml:space="preserve"> the number of exemptions rose </w:t>
      </w:r>
      <w:r w:rsidR="00B96508">
        <w:t xml:space="preserve">substantially with seven exemptions </w:t>
      </w:r>
      <w:r w:rsidR="00B36A0C">
        <w:t xml:space="preserve">granted </w:t>
      </w:r>
      <w:r w:rsidR="00B96508">
        <w:t xml:space="preserve">for separate taxation proposals related to the implementation of the Government’s response to the Henry Tax Review </w:t>
      </w:r>
      <w:r>
        <w:t>(</w:t>
      </w:r>
      <w:proofErr w:type="spellStart"/>
      <w:r w:rsidR="00336AF0">
        <w:t>OBPR</w:t>
      </w:r>
      <w:proofErr w:type="spellEnd"/>
      <w:r w:rsidR="00286E39">
        <w:t> </w:t>
      </w:r>
      <w:proofErr w:type="spellStart"/>
      <w:r w:rsidR="00336AF0">
        <w:t>2011a</w:t>
      </w:r>
      <w:proofErr w:type="spellEnd"/>
      <w:r>
        <w:t>).</w:t>
      </w:r>
    </w:p>
    <w:p w:rsidR="00B96508" w:rsidRPr="00FF456A" w:rsidRDefault="00B96508" w:rsidP="00FF456A">
      <w:pPr>
        <w:pStyle w:val="FigureTitle"/>
        <w:rPr>
          <w:b w:val="0"/>
          <w:position w:val="6"/>
          <w:sz w:val="18"/>
        </w:rPr>
      </w:pPr>
      <w:r>
        <w:rPr>
          <w:b w:val="0"/>
        </w:rPr>
        <w:t xml:space="preserve">Figure </w:t>
      </w:r>
      <w:bookmarkStart w:id="11" w:name="OLE_LINK8"/>
      <w:r w:rsidR="00950F6F">
        <w:rPr>
          <w:b w:val="0"/>
        </w:rPr>
        <w:t>5.</w:t>
      </w:r>
      <w:r w:rsidR="00DE3A5F">
        <w:rPr>
          <w:b w:val="0"/>
          <w:noProof/>
        </w:rPr>
        <w:t>2</w:t>
      </w:r>
      <w:bookmarkEnd w:id="11"/>
      <w:r>
        <w:tab/>
      </w:r>
      <w:r w:rsidR="000C15E2">
        <w:t>Public reporting of e</w:t>
      </w:r>
      <w:r>
        <w:t>xemptions granted in Australia</w:t>
      </w:r>
      <w:r w:rsidRPr="0098375A">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B96508" w:rsidTr="000115E4">
        <w:tc>
          <w:tcPr>
            <w:tcW w:w="8777" w:type="dxa"/>
          </w:tcPr>
          <w:p w:rsidR="00B96508" w:rsidRDefault="001C5E87" w:rsidP="00DD18ED">
            <w:pPr>
              <w:pStyle w:val="Figure"/>
            </w:pPr>
            <w:r>
              <w:rPr>
                <w:noProof/>
              </w:rPr>
              <w:drawing>
                <wp:inline distT="0" distB="0" distL="0" distR="0" wp14:anchorId="7B000C74" wp14:editId="4BEAB26E">
                  <wp:extent cx="5181600" cy="2743200"/>
                  <wp:effectExtent l="0" t="0" r="0" b="0"/>
                  <wp:docPr id="3" name="Picture 3" descr="Figure 5.2 Public reporting of exemptions granted in Australia. This chart compares the number of exemptions granted in the Commonwealth and Victoria over the period from 2007-08 to 20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81600" cy="2743200"/>
                          </a:xfrm>
                          <a:prstGeom prst="rect">
                            <a:avLst/>
                          </a:prstGeom>
                          <a:noFill/>
                          <a:ln>
                            <a:noFill/>
                          </a:ln>
                        </pic:spPr>
                      </pic:pic>
                    </a:graphicData>
                  </a:graphic>
                </wp:inline>
              </w:drawing>
            </w:r>
          </w:p>
        </w:tc>
      </w:tr>
    </w:tbl>
    <w:p w:rsidR="00B96508" w:rsidRDefault="00B96508" w:rsidP="00B96508">
      <w:pPr>
        <w:pStyle w:val="Note"/>
      </w:pPr>
      <w:proofErr w:type="spellStart"/>
      <w:r>
        <w:rPr>
          <w:rStyle w:val="NoteLabel"/>
        </w:rPr>
        <w:t>a</w:t>
      </w:r>
      <w:proofErr w:type="spellEnd"/>
      <w:r>
        <w:t xml:space="preserve"> The Australian and Victorian Governments are the only jurisdictions that </w:t>
      </w:r>
      <w:r w:rsidR="00FF456A">
        <w:t xml:space="preserve">have </w:t>
      </w:r>
      <w:r>
        <w:t>publicly report</w:t>
      </w:r>
      <w:r w:rsidR="00FF456A">
        <w:t>ed</w:t>
      </w:r>
      <w:r>
        <w:t xml:space="preserve"> exemptions granted.</w:t>
      </w:r>
    </w:p>
    <w:p w:rsidR="00B96508" w:rsidRDefault="00B96508" w:rsidP="00B96508">
      <w:pPr>
        <w:pStyle w:val="Source"/>
      </w:pPr>
      <w:r>
        <w:rPr>
          <w:i/>
        </w:rPr>
        <w:t>Data source</w:t>
      </w:r>
      <w:r w:rsidR="00B36A0C">
        <w:rPr>
          <w:i/>
        </w:rPr>
        <w:t>s</w:t>
      </w:r>
      <w:r w:rsidRPr="00167F06">
        <w:t xml:space="preserve">: </w:t>
      </w:r>
      <w:r>
        <w:t xml:space="preserve">OBPR (2008, 2009, 2010, </w:t>
      </w:r>
      <w:proofErr w:type="spellStart"/>
      <w:r>
        <w:t>2011</w:t>
      </w:r>
      <w:r w:rsidR="00336AF0">
        <w:t>a</w:t>
      </w:r>
      <w:proofErr w:type="spellEnd"/>
      <w:r>
        <w:t xml:space="preserve">, </w:t>
      </w:r>
      <w:proofErr w:type="spellStart"/>
      <w:r>
        <w:t>2012</w:t>
      </w:r>
      <w:r w:rsidR="00336AF0">
        <w:t>a</w:t>
      </w:r>
      <w:proofErr w:type="spellEnd"/>
      <w:r>
        <w:t xml:space="preserve">); </w:t>
      </w:r>
      <w:proofErr w:type="spellStart"/>
      <w:r>
        <w:t>SARC</w:t>
      </w:r>
      <w:proofErr w:type="spellEnd"/>
      <w:r>
        <w:t xml:space="preserve"> (2008, 2009, 2010, 2011, 2012).</w:t>
      </w:r>
    </w:p>
    <w:p w:rsidR="00B96508" w:rsidRDefault="00B96508" w:rsidP="00B96508">
      <w:pPr>
        <w:pStyle w:val="BodyText"/>
      </w:pPr>
      <w:r>
        <w:t xml:space="preserve">In Victoria, there have been up to seven Premier’s exemptions, per year, in recent years. </w:t>
      </w:r>
      <w:r w:rsidR="00FF4228">
        <w:t>The</w:t>
      </w:r>
      <w:r>
        <w:t xml:space="preserve"> number of exemptions </w:t>
      </w:r>
      <w:r w:rsidR="00C018BE">
        <w:t xml:space="preserve">granted in </w:t>
      </w:r>
      <w:r w:rsidR="00FF4228">
        <w:t>2007 and 2009</w:t>
      </w:r>
      <w:r w:rsidR="00C018BE">
        <w:t xml:space="preserve"> were</w:t>
      </w:r>
      <w:r>
        <w:t xml:space="preserve"> </w:t>
      </w:r>
      <w:r w:rsidR="00FF4228">
        <w:t>higher, compared with other years, in both absolute terms and relative to the number of regulatory proposals requiring a RIS.</w:t>
      </w:r>
    </w:p>
    <w:p w:rsidR="002C48E2" w:rsidRDefault="00B96508" w:rsidP="002C48E2">
      <w:pPr>
        <w:pStyle w:val="BodyText"/>
      </w:pPr>
      <w:r>
        <w:t>As previously noted, a common concern raised by stakeholders is that the proposals that have been granted exemptions have tended to be those with more major impacts or those</w:t>
      </w:r>
      <w:r w:rsidR="00CC340D">
        <w:t xml:space="preserve"> that are politically sensitive</w:t>
      </w:r>
      <w:r>
        <w:t xml:space="preserve"> (box 5.3).</w:t>
      </w:r>
      <w:r w:rsidR="007634B0">
        <w:t xml:space="preserve"> For example, </w:t>
      </w:r>
      <w:r w:rsidR="002C48E2">
        <w:t>the Australian Chamber of Commerce and Industry (</w:t>
      </w:r>
      <w:proofErr w:type="spellStart"/>
      <w:r w:rsidR="002C48E2">
        <w:t>ACCI</w:t>
      </w:r>
      <w:proofErr w:type="spellEnd"/>
      <w:r w:rsidR="002C48E2">
        <w:t>) noted:</w:t>
      </w:r>
    </w:p>
    <w:p w:rsidR="003B6263" w:rsidRDefault="002C48E2" w:rsidP="003B6263">
      <w:pPr>
        <w:pStyle w:val="Quote"/>
      </w:pPr>
      <w:r>
        <w:t>Politically sensitive regulations that have a significant impact on [the] business community are more likely not to have their RIA adequ</w:t>
      </w:r>
      <w:r w:rsidR="00D36A0E">
        <w:t>ately completed. (</w:t>
      </w:r>
      <w:proofErr w:type="spellStart"/>
      <w:r w:rsidR="00D36A0E">
        <w:t>ACCI</w:t>
      </w:r>
      <w:proofErr w:type="spellEnd"/>
      <w:r w:rsidR="00D36A0E">
        <w:t>, sub. 2, </w:t>
      </w:r>
      <w:r>
        <w:t>p. 1)</w:t>
      </w:r>
    </w:p>
    <w:p w:rsidR="0098375A" w:rsidRDefault="0098375A" w:rsidP="0098375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375A" w:rsidTr="006C31BF">
        <w:tc>
          <w:tcPr>
            <w:tcW w:w="8771" w:type="dxa"/>
            <w:tcBorders>
              <w:top w:val="single" w:sz="6" w:space="0" w:color="auto"/>
              <w:bottom w:val="nil"/>
            </w:tcBorders>
          </w:tcPr>
          <w:p w:rsidR="0098375A" w:rsidRDefault="0098375A" w:rsidP="00FF456A">
            <w:pPr>
              <w:pStyle w:val="BoxTitle"/>
            </w:pPr>
            <w:r>
              <w:rPr>
                <w:b w:val="0"/>
              </w:rPr>
              <w:t xml:space="preserve">Box </w:t>
            </w:r>
            <w:bookmarkStart w:id="12" w:name="OLE_LINK7"/>
            <w:r>
              <w:rPr>
                <w:b w:val="0"/>
              </w:rPr>
              <w:t>5.</w:t>
            </w:r>
            <w:r w:rsidR="00DE3A5F">
              <w:rPr>
                <w:b w:val="0"/>
                <w:noProof/>
              </w:rPr>
              <w:t>3</w:t>
            </w:r>
            <w:bookmarkEnd w:id="12"/>
            <w:r>
              <w:tab/>
            </w:r>
            <w:r w:rsidR="00FF456A">
              <w:t>Stakeholder c</w:t>
            </w:r>
            <w:r>
              <w:t>oncerns about exemptions</w:t>
            </w:r>
          </w:p>
        </w:tc>
      </w:tr>
      <w:tr w:rsidR="0098375A" w:rsidTr="006C31BF">
        <w:trPr>
          <w:cantSplit/>
        </w:trPr>
        <w:tc>
          <w:tcPr>
            <w:tcW w:w="8771" w:type="dxa"/>
            <w:tcBorders>
              <w:top w:val="nil"/>
              <w:left w:val="single" w:sz="6" w:space="0" w:color="auto"/>
              <w:bottom w:val="nil"/>
              <w:right w:val="single" w:sz="6" w:space="0" w:color="auto"/>
            </w:tcBorders>
          </w:tcPr>
          <w:p w:rsidR="00B103B2" w:rsidRDefault="00B103B2" w:rsidP="006C31BF">
            <w:pPr>
              <w:pStyle w:val="Box"/>
            </w:pPr>
            <w:r>
              <w:t>Industrial relations:</w:t>
            </w:r>
          </w:p>
          <w:p w:rsidR="00B25E6C" w:rsidRDefault="00B25E6C" w:rsidP="00B25E6C">
            <w:pPr>
              <w:pStyle w:val="BoxQuote"/>
            </w:pPr>
            <w:r>
              <w:t>… it is concerning that a number of major pieces of legislation and regulations have not been subject to regulation impact statements in recent years, including those that affect all businesses, such as industrial relations legislation. (</w:t>
            </w:r>
            <w:r w:rsidR="00DB5115">
              <w:t xml:space="preserve">Business SA, </w:t>
            </w:r>
            <w:r>
              <w:t>sub. 18, p. 3)</w:t>
            </w:r>
          </w:p>
          <w:p w:rsidR="00B103B2" w:rsidRDefault="00B103B2" w:rsidP="006C31BF">
            <w:pPr>
              <w:pStyle w:val="Box"/>
            </w:pPr>
            <w:r>
              <w:t>National Broadband Network:</w:t>
            </w:r>
          </w:p>
          <w:p w:rsidR="00DB5115" w:rsidRPr="00DB5115" w:rsidRDefault="00DB5115" w:rsidP="00DB5115">
            <w:pPr>
              <w:pStyle w:val="BoxQuote"/>
            </w:pPr>
            <w:r>
              <w:t xml:space="preserve">The first </w:t>
            </w:r>
            <w:proofErr w:type="spellStart"/>
            <w:r>
              <w:t>NBN</w:t>
            </w:r>
            <w:proofErr w:type="spellEnd"/>
            <w:r>
              <w:t xml:space="preserve"> [National Broadband Network], the </w:t>
            </w:r>
            <w:proofErr w:type="spellStart"/>
            <w:r>
              <w:t>FTTN</w:t>
            </w:r>
            <w:proofErr w:type="spellEnd"/>
            <w:r>
              <w:t xml:space="preserve"> [fibre to the node] version, was proposed to be essentially a commercial undertaking supplemented with a public equity contribution … [G]</w:t>
            </w:r>
            <w:proofErr w:type="spellStart"/>
            <w:r>
              <w:t>iven</w:t>
            </w:r>
            <w:proofErr w:type="spellEnd"/>
            <w:r>
              <w:t xml:space="preserve"> the Government proposed to contribute up to </w:t>
            </w:r>
            <w:proofErr w:type="spellStart"/>
            <w:r>
              <w:t>A$4.7bn</w:t>
            </w:r>
            <w:proofErr w:type="spellEnd"/>
            <w:r>
              <w:t xml:space="preserve"> it was careful to conduct its own evaluation to assure it received value for money. As well, if there were to be any concessions on regulation or in some other form, it would be worth assessing if these delivered benefits greater than any costs of such concessions</w:t>
            </w:r>
            <w:r w:rsidR="00B36A0C">
              <w:t xml:space="preserve"> </w:t>
            </w:r>
            <w:r>
              <w:t>...</w:t>
            </w:r>
          </w:p>
          <w:p w:rsidR="0098375A" w:rsidRDefault="00DB5115" w:rsidP="00CC340D">
            <w:pPr>
              <w:pStyle w:val="BoxQuote"/>
            </w:pPr>
            <w:r>
              <w:t xml:space="preserve">However, the second iteration of </w:t>
            </w:r>
            <w:proofErr w:type="spellStart"/>
            <w:r>
              <w:t>NBN</w:t>
            </w:r>
            <w:proofErr w:type="spellEnd"/>
            <w:r>
              <w:t xml:space="preserve">, the </w:t>
            </w:r>
            <w:proofErr w:type="spellStart"/>
            <w:r>
              <w:t>FTTP</w:t>
            </w:r>
            <w:proofErr w:type="spellEnd"/>
            <w:r>
              <w:t xml:space="preserve"> [fibre to the premises] version, was not subject to even this level of evaluation – that is, an assessment of whether if offered value for money. Surely, this would be a more important evaluation than that for the </w:t>
            </w:r>
            <w:proofErr w:type="spellStart"/>
            <w:r>
              <w:t>FTTN</w:t>
            </w:r>
            <w:proofErr w:type="spellEnd"/>
            <w:r>
              <w:t xml:space="preserve"> version of </w:t>
            </w:r>
            <w:proofErr w:type="spellStart"/>
            <w:r>
              <w:t>NBN</w:t>
            </w:r>
            <w:proofErr w:type="spellEnd"/>
            <w:r>
              <w:t>, given the 10-fold increase in potential government spending; that the Government now proposed to be the lead investor; that there may need to be a Government guarantee to get any private investment; and that a radical restructuring of the industry and associated regulation would be required. (</w:t>
            </w:r>
            <w:r w:rsidR="00CC340D">
              <w:t xml:space="preserve">Martin 2010, </w:t>
            </w:r>
            <w:r>
              <w:t>p. 30.4)</w:t>
            </w:r>
          </w:p>
        </w:tc>
      </w:tr>
      <w:tr w:rsidR="0098375A" w:rsidTr="006C31BF">
        <w:trPr>
          <w:cantSplit/>
        </w:trPr>
        <w:tc>
          <w:tcPr>
            <w:tcW w:w="8771" w:type="dxa"/>
            <w:tcBorders>
              <w:top w:val="nil"/>
              <w:left w:val="single" w:sz="6" w:space="0" w:color="auto"/>
              <w:bottom w:val="single" w:sz="6" w:space="0" w:color="auto"/>
              <w:right w:val="single" w:sz="6" w:space="0" w:color="auto"/>
            </w:tcBorders>
          </w:tcPr>
          <w:p w:rsidR="0098375A" w:rsidRDefault="0098375A" w:rsidP="006C31BF">
            <w:pPr>
              <w:pStyle w:val="Box"/>
              <w:spacing w:before="0" w:line="120" w:lineRule="exact"/>
            </w:pPr>
          </w:p>
        </w:tc>
      </w:tr>
      <w:tr w:rsidR="0098375A" w:rsidTr="006C31BF">
        <w:tc>
          <w:tcPr>
            <w:tcW w:w="8771" w:type="dxa"/>
            <w:tcBorders>
              <w:top w:val="nil"/>
              <w:left w:val="nil"/>
              <w:bottom w:val="nil"/>
              <w:right w:val="nil"/>
            </w:tcBorders>
          </w:tcPr>
          <w:p w:rsidR="0098375A" w:rsidRDefault="0098375A" w:rsidP="006C31BF">
            <w:pPr>
              <w:pStyle w:val="Box"/>
              <w:keepNext w:val="0"/>
              <w:spacing w:before="60" w:after="60" w:line="80" w:lineRule="exact"/>
              <w:rPr>
                <w:b/>
                <w:color w:val="FF00FF"/>
                <w:sz w:val="14"/>
              </w:rPr>
            </w:pPr>
          </w:p>
        </w:tc>
      </w:tr>
    </w:tbl>
    <w:p w:rsidR="00B96508" w:rsidRDefault="00B96508" w:rsidP="00B96508">
      <w:pPr>
        <w:pStyle w:val="BodyText"/>
      </w:pPr>
      <w:r>
        <w:t xml:space="preserve">The limited recent public reporting on exemptions does not allow the Commission to provide any definitive breakdown of exemptions by significance. The OBPR’s reporting did, until 2009-10, identify which of the exempt proposals were more significant (they used the terms ‘highly significant’ or ‘major regulatory initiatives’). </w:t>
      </w:r>
      <w:r w:rsidR="00FF456A">
        <w:t>Some of t</w:t>
      </w:r>
      <w:r>
        <w:t xml:space="preserve">hese more significant proposals identified by the OBPR are </w:t>
      </w:r>
      <w:r w:rsidR="00FF456A">
        <w:t>listed</w:t>
      </w:r>
      <w:r>
        <w:t xml:space="preserve"> in box 5.4.</w:t>
      </w:r>
    </w:p>
    <w:p w:rsidR="00C97E71" w:rsidRDefault="00B96508" w:rsidP="00C97E71">
      <w:pPr>
        <w:pStyle w:val="BodyText"/>
      </w:pPr>
      <w:r>
        <w:t>The Commission notes that two of the exemptions were highly significant</w:t>
      </w:r>
      <w:r>
        <w:rPr>
          <w:rStyle w:val="FootnoteReference"/>
        </w:rPr>
        <w:footnoteReference w:id="2"/>
      </w:r>
      <w:r>
        <w:t xml:space="preserve"> or related to ‘major regulatory initiatives’ in each year from 2007-08 to 2009-10, at which point OBPR stopped separately reporting this information. For the years where reporting by significance was not undertaken by the OBPR, and for Victoria, the Commission has also included in box 5.4 examples of regulatory proposals that the Commission judges may </w:t>
      </w:r>
      <w:r w:rsidR="002756EB">
        <w:t xml:space="preserve">possibly </w:t>
      </w:r>
      <w:r>
        <w:t xml:space="preserve">have been </w:t>
      </w:r>
      <w:r w:rsidR="00D32E3B">
        <w:t xml:space="preserve">highly </w:t>
      </w:r>
      <w:r>
        <w:t>significant.</w:t>
      </w:r>
    </w:p>
    <w:p w:rsidR="00C97E71" w:rsidRDefault="00C97E71" w:rsidP="00C97E7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7E71" w:rsidTr="005174AD">
        <w:tc>
          <w:tcPr>
            <w:tcW w:w="8771" w:type="dxa"/>
            <w:tcBorders>
              <w:top w:val="single" w:sz="6" w:space="0" w:color="auto"/>
              <w:bottom w:val="nil"/>
            </w:tcBorders>
          </w:tcPr>
          <w:p w:rsidR="00C97E71" w:rsidRPr="00C27CA9" w:rsidRDefault="00C97E71" w:rsidP="005174AD">
            <w:pPr>
              <w:pStyle w:val="BoxTitle"/>
            </w:pPr>
            <w:r>
              <w:rPr>
                <w:b w:val="0"/>
              </w:rPr>
              <w:t xml:space="preserve">Box </w:t>
            </w:r>
            <w:bookmarkStart w:id="13" w:name="OLE_LINK6"/>
            <w:r w:rsidRPr="00914725">
              <w:rPr>
                <w:b w:val="0"/>
              </w:rPr>
              <w:t>5.</w:t>
            </w:r>
            <w:r w:rsidR="00DE3A5F">
              <w:rPr>
                <w:b w:val="0"/>
                <w:noProof/>
              </w:rPr>
              <w:t>4</w:t>
            </w:r>
            <w:bookmarkEnd w:id="13"/>
            <w:r>
              <w:tab/>
              <w:t>Examples of highly significant exempted regulatory proposals: Commonwealth and Victoria</w:t>
            </w:r>
          </w:p>
        </w:tc>
      </w:tr>
      <w:tr w:rsidR="00C97E71" w:rsidTr="005174AD">
        <w:trPr>
          <w:cantSplit/>
        </w:trPr>
        <w:tc>
          <w:tcPr>
            <w:tcW w:w="8771" w:type="dxa"/>
            <w:tcBorders>
              <w:top w:val="nil"/>
              <w:bottom w:val="nil"/>
            </w:tcBorders>
          </w:tcPr>
          <w:p w:rsidR="00C97E71" w:rsidRPr="000A1513" w:rsidRDefault="00C97E71" w:rsidP="005174AD">
            <w:pPr>
              <w:pStyle w:val="BoxHeading2"/>
              <w:rPr>
                <w:b/>
                <w:i w:val="0"/>
              </w:rPr>
            </w:pPr>
            <w:r w:rsidRPr="000A1513">
              <w:rPr>
                <w:b/>
                <w:i w:val="0"/>
              </w:rPr>
              <w:t>Commonwealth</w:t>
            </w:r>
          </w:p>
          <w:p w:rsidR="00C97E71" w:rsidRPr="00DE3A5F" w:rsidRDefault="00C97E71" w:rsidP="00DE3A5F">
            <w:pPr>
              <w:pStyle w:val="BoxListBullet"/>
              <w:spacing w:line="240" w:lineRule="atLeast"/>
              <w:rPr>
                <w:sz w:val="21"/>
                <w:szCs w:val="21"/>
              </w:rPr>
            </w:pPr>
            <w:r w:rsidRPr="00DE3A5F">
              <w:rPr>
                <w:sz w:val="21"/>
                <w:szCs w:val="21"/>
              </w:rPr>
              <w:t>Northern Territory National Emergency Response (2007-08)</w:t>
            </w:r>
          </w:p>
          <w:p w:rsidR="00C97E71" w:rsidRPr="00DE3A5F" w:rsidRDefault="00C97E71" w:rsidP="00DE3A5F">
            <w:pPr>
              <w:pStyle w:val="BoxListBullet"/>
              <w:spacing w:line="240" w:lineRule="atLeast"/>
              <w:rPr>
                <w:sz w:val="21"/>
                <w:szCs w:val="21"/>
              </w:rPr>
            </w:pPr>
            <w:r w:rsidRPr="00DE3A5F">
              <w:rPr>
                <w:sz w:val="21"/>
                <w:szCs w:val="21"/>
              </w:rPr>
              <w:t>Workplace Relations Amendment (Transition to Forward with Fairness) Bill 2008 (2007</w:t>
            </w:r>
            <w:r w:rsidR="00DE3A5F">
              <w:rPr>
                <w:sz w:val="21"/>
                <w:szCs w:val="21"/>
              </w:rPr>
              <w:noBreakHyphen/>
            </w:r>
            <w:r w:rsidRPr="00DE3A5F">
              <w:rPr>
                <w:sz w:val="21"/>
                <w:szCs w:val="21"/>
              </w:rPr>
              <w:t>08)</w:t>
            </w:r>
          </w:p>
          <w:p w:rsidR="00C97E71" w:rsidRPr="00DE3A5F" w:rsidRDefault="00C97E71" w:rsidP="00DE3A5F">
            <w:pPr>
              <w:pStyle w:val="BoxListBullet"/>
              <w:spacing w:line="240" w:lineRule="atLeast"/>
              <w:rPr>
                <w:sz w:val="21"/>
                <w:szCs w:val="21"/>
              </w:rPr>
            </w:pPr>
            <w:r w:rsidRPr="00DE3A5F">
              <w:rPr>
                <w:sz w:val="21"/>
                <w:szCs w:val="21"/>
              </w:rPr>
              <w:t>Fair Work Bill 2008 (2008-09)</w:t>
            </w:r>
          </w:p>
          <w:p w:rsidR="00C97E71" w:rsidRPr="00DE3A5F" w:rsidRDefault="00C97E71" w:rsidP="00DE3A5F">
            <w:pPr>
              <w:pStyle w:val="BoxListBullet"/>
              <w:spacing w:line="240" w:lineRule="atLeast"/>
              <w:rPr>
                <w:sz w:val="21"/>
                <w:szCs w:val="21"/>
              </w:rPr>
            </w:pPr>
            <w:r w:rsidRPr="00DE3A5F">
              <w:rPr>
                <w:sz w:val="21"/>
                <w:szCs w:val="21"/>
              </w:rPr>
              <w:t>Carbon Pollution Reduction Scheme Bill 2009 (2008-09)</w:t>
            </w:r>
          </w:p>
          <w:p w:rsidR="00C97E71" w:rsidRPr="00DE3A5F" w:rsidRDefault="00C97E71" w:rsidP="00DE3A5F">
            <w:pPr>
              <w:pStyle w:val="BoxListBullet"/>
              <w:spacing w:line="240" w:lineRule="atLeast"/>
              <w:rPr>
                <w:sz w:val="21"/>
                <w:szCs w:val="21"/>
              </w:rPr>
            </w:pPr>
            <w:r w:rsidRPr="00DE3A5F">
              <w:rPr>
                <w:sz w:val="21"/>
                <w:szCs w:val="21"/>
              </w:rPr>
              <w:t>Structural separation arrangements for Telstra (2009-10)</w:t>
            </w:r>
          </w:p>
          <w:p w:rsidR="00C97E71" w:rsidRPr="00DE3A5F" w:rsidRDefault="00C97E71" w:rsidP="00DE3A5F">
            <w:pPr>
              <w:pStyle w:val="BoxListBullet"/>
              <w:spacing w:line="240" w:lineRule="atLeast"/>
              <w:rPr>
                <w:sz w:val="21"/>
                <w:szCs w:val="21"/>
              </w:rPr>
            </w:pPr>
            <w:r w:rsidRPr="00DE3A5F">
              <w:rPr>
                <w:sz w:val="21"/>
                <w:szCs w:val="21"/>
              </w:rPr>
              <w:t>National Broadband Network implementation plan (2010-11)</w:t>
            </w:r>
          </w:p>
          <w:p w:rsidR="00C97E71" w:rsidRPr="00DE3A5F" w:rsidRDefault="00C97E71" w:rsidP="00DE3A5F">
            <w:pPr>
              <w:pStyle w:val="BoxListBullet"/>
              <w:spacing w:line="240" w:lineRule="atLeast"/>
              <w:rPr>
                <w:sz w:val="21"/>
                <w:szCs w:val="21"/>
              </w:rPr>
            </w:pPr>
            <w:r w:rsidRPr="00DE3A5F">
              <w:rPr>
                <w:sz w:val="21"/>
                <w:szCs w:val="21"/>
              </w:rPr>
              <w:t>Changes to Anti-siphoning Scheme (2010-11)</w:t>
            </w:r>
          </w:p>
          <w:p w:rsidR="00C97E71" w:rsidRPr="00DE3A5F" w:rsidRDefault="00C97E71" w:rsidP="00DE3A5F">
            <w:pPr>
              <w:pStyle w:val="BoxListBullet"/>
              <w:spacing w:line="240" w:lineRule="atLeast"/>
              <w:rPr>
                <w:sz w:val="21"/>
                <w:szCs w:val="21"/>
              </w:rPr>
            </w:pPr>
            <w:r w:rsidRPr="00DE3A5F">
              <w:rPr>
                <w:sz w:val="21"/>
                <w:szCs w:val="21"/>
              </w:rPr>
              <w:t>Banning home loan exit fees (2010-11)</w:t>
            </w:r>
          </w:p>
          <w:p w:rsidR="00C97E71" w:rsidRPr="00DE3A5F" w:rsidRDefault="00C97E71" w:rsidP="00DE3A5F">
            <w:pPr>
              <w:pStyle w:val="BoxListBullet"/>
              <w:spacing w:line="240" w:lineRule="atLeast"/>
              <w:rPr>
                <w:sz w:val="21"/>
                <w:szCs w:val="21"/>
              </w:rPr>
            </w:pPr>
            <w:r w:rsidRPr="00DE3A5F">
              <w:rPr>
                <w:sz w:val="21"/>
                <w:szCs w:val="21"/>
              </w:rPr>
              <w:t xml:space="preserve">Australia’s future tax system review </w:t>
            </w:r>
            <w:r w:rsidR="00B36A0C" w:rsidRPr="00DE3A5F">
              <w:rPr>
                <w:sz w:val="21"/>
                <w:szCs w:val="21"/>
              </w:rPr>
              <w:t>—</w:t>
            </w:r>
            <w:r w:rsidRPr="00DE3A5F">
              <w:rPr>
                <w:sz w:val="21"/>
                <w:szCs w:val="21"/>
              </w:rPr>
              <w:t xml:space="preserve"> Minerals Resource Rent Tax (2010-11)</w:t>
            </w:r>
          </w:p>
          <w:p w:rsidR="00C97E71" w:rsidRPr="00DE3A5F" w:rsidRDefault="00C97E71" w:rsidP="00DE3A5F">
            <w:pPr>
              <w:pStyle w:val="BoxListBullet"/>
              <w:spacing w:line="240" w:lineRule="atLeast"/>
              <w:rPr>
                <w:sz w:val="21"/>
                <w:szCs w:val="21"/>
              </w:rPr>
            </w:pPr>
            <w:r w:rsidRPr="00DE3A5F">
              <w:rPr>
                <w:sz w:val="21"/>
                <w:szCs w:val="21"/>
              </w:rPr>
              <w:t>Response to Super System (Cooper) Review (2010-11)</w:t>
            </w:r>
          </w:p>
          <w:p w:rsidR="00C97E71" w:rsidRPr="00DE3A5F" w:rsidRDefault="00C97E71" w:rsidP="00DE3A5F">
            <w:pPr>
              <w:pStyle w:val="BoxListBullet"/>
              <w:spacing w:line="240" w:lineRule="atLeast"/>
              <w:rPr>
                <w:sz w:val="21"/>
                <w:szCs w:val="21"/>
              </w:rPr>
            </w:pPr>
            <w:r w:rsidRPr="00DE3A5F">
              <w:rPr>
                <w:sz w:val="21"/>
                <w:szCs w:val="21"/>
              </w:rPr>
              <w:t xml:space="preserve">Creation of a default superannuation product called </w:t>
            </w:r>
            <w:proofErr w:type="spellStart"/>
            <w:r w:rsidRPr="00DE3A5F">
              <w:rPr>
                <w:sz w:val="21"/>
                <w:szCs w:val="21"/>
              </w:rPr>
              <w:t>MySuper</w:t>
            </w:r>
            <w:proofErr w:type="spellEnd"/>
            <w:r w:rsidRPr="00DE3A5F">
              <w:rPr>
                <w:sz w:val="21"/>
                <w:szCs w:val="21"/>
              </w:rPr>
              <w:t xml:space="preserve"> (2011-12)</w:t>
            </w:r>
          </w:p>
          <w:p w:rsidR="00C97E71" w:rsidRPr="000A1513" w:rsidRDefault="00C97E71" w:rsidP="005174AD">
            <w:pPr>
              <w:pStyle w:val="BoxHeading2"/>
              <w:rPr>
                <w:b/>
                <w:i w:val="0"/>
              </w:rPr>
            </w:pPr>
            <w:r w:rsidRPr="000A1513">
              <w:rPr>
                <w:b/>
                <w:i w:val="0"/>
              </w:rPr>
              <w:t>Victoria</w:t>
            </w:r>
          </w:p>
          <w:p w:rsidR="00C97E71" w:rsidRPr="00DE3A5F" w:rsidRDefault="00C97E71" w:rsidP="00DE3A5F">
            <w:pPr>
              <w:pStyle w:val="BoxListBullet"/>
              <w:spacing w:line="220" w:lineRule="atLeast"/>
              <w:rPr>
                <w:sz w:val="21"/>
                <w:szCs w:val="21"/>
              </w:rPr>
            </w:pPr>
            <w:r w:rsidRPr="00DE3A5F">
              <w:rPr>
                <w:sz w:val="21"/>
                <w:szCs w:val="21"/>
              </w:rPr>
              <w:t>Radiation (Tanning Units Amendment) Interim Regulations 2007</w:t>
            </w:r>
          </w:p>
          <w:p w:rsidR="00C97E71" w:rsidRPr="00DE3A5F" w:rsidRDefault="00C97E71" w:rsidP="00DE3A5F">
            <w:pPr>
              <w:pStyle w:val="BoxListBullet"/>
              <w:spacing w:line="220" w:lineRule="atLeast"/>
              <w:rPr>
                <w:sz w:val="21"/>
                <w:szCs w:val="21"/>
              </w:rPr>
            </w:pPr>
            <w:r w:rsidRPr="00DE3A5F">
              <w:rPr>
                <w:sz w:val="21"/>
                <w:szCs w:val="21"/>
              </w:rPr>
              <w:t>Road Safety (Drivers) (Peer Passenger Restriction) Interim Regulations 2008</w:t>
            </w:r>
          </w:p>
          <w:p w:rsidR="00C97E71" w:rsidRPr="00DE3A5F" w:rsidRDefault="00C97E71" w:rsidP="00DE3A5F">
            <w:pPr>
              <w:pStyle w:val="BoxListBullet"/>
              <w:spacing w:line="220" w:lineRule="atLeast"/>
              <w:rPr>
                <w:sz w:val="21"/>
                <w:szCs w:val="21"/>
              </w:rPr>
            </w:pPr>
            <w:r w:rsidRPr="00DE3A5F">
              <w:rPr>
                <w:sz w:val="21"/>
                <w:szCs w:val="21"/>
              </w:rPr>
              <w:t>Building Amendment (Bushfire Construction) Interim Regulations 2009</w:t>
            </w:r>
          </w:p>
          <w:p w:rsidR="00C97E71" w:rsidRPr="00B667C9" w:rsidRDefault="00C97E71" w:rsidP="00DE3A5F">
            <w:pPr>
              <w:pStyle w:val="BoxListBullet"/>
              <w:spacing w:line="220" w:lineRule="atLeast"/>
            </w:pPr>
            <w:r w:rsidRPr="00DE3A5F">
              <w:rPr>
                <w:sz w:val="21"/>
                <w:szCs w:val="21"/>
              </w:rPr>
              <w:t>Gambling Regulation (Pre-Commitment) Interim Regulations 2010</w:t>
            </w:r>
          </w:p>
        </w:tc>
      </w:tr>
      <w:tr w:rsidR="00C97E71" w:rsidTr="005174AD">
        <w:trPr>
          <w:cantSplit/>
        </w:trPr>
        <w:tc>
          <w:tcPr>
            <w:tcW w:w="8771" w:type="dxa"/>
            <w:tcBorders>
              <w:top w:val="nil"/>
              <w:bottom w:val="nil"/>
            </w:tcBorders>
          </w:tcPr>
          <w:p w:rsidR="00C97E71" w:rsidRDefault="00C97E71" w:rsidP="005174AD">
            <w:pPr>
              <w:pStyle w:val="BoxSource"/>
            </w:pPr>
            <w:r>
              <w:rPr>
                <w:i/>
              </w:rPr>
              <w:t>Sources</w:t>
            </w:r>
            <w:r w:rsidRPr="00167F06">
              <w:t xml:space="preserve">: </w:t>
            </w:r>
            <w:r>
              <w:t xml:space="preserve">OBPR (2008, 2009, 2010, </w:t>
            </w:r>
            <w:proofErr w:type="spellStart"/>
            <w:r>
              <w:t>2011a</w:t>
            </w:r>
            <w:proofErr w:type="spellEnd"/>
            <w:r>
              <w:t xml:space="preserve">, </w:t>
            </w:r>
            <w:proofErr w:type="spellStart"/>
            <w:r>
              <w:t>2012a</w:t>
            </w:r>
            <w:proofErr w:type="spellEnd"/>
            <w:r>
              <w:t>); Scrutiny of Acts and Regulations Committee (2008, 2009, 2010, 2012).</w:t>
            </w:r>
          </w:p>
        </w:tc>
      </w:tr>
      <w:tr w:rsidR="00C97E71" w:rsidTr="005174AD">
        <w:trPr>
          <w:cantSplit/>
        </w:trPr>
        <w:tc>
          <w:tcPr>
            <w:tcW w:w="8771" w:type="dxa"/>
            <w:tcBorders>
              <w:top w:val="nil"/>
              <w:bottom w:val="single" w:sz="6" w:space="0" w:color="auto"/>
            </w:tcBorders>
          </w:tcPr>
          <w:p w:rsidR="00C97E71" w:rsidRPr="00C10204" w:rsidRDefault="00C97E71" w:rsidP="005174AD">
            <w:pPr>
              <w:pStyle w:val="Box"/>
              <w:spacing w:before="0" w:line="120" w:lineRule="exact"/>
            </w:pPr>
          </w:p>
        </w:tc>
      </w:tr>
      <w:tr w:rsidR="00C97E71" w:rsidTr="005174AD">
        <w:tc>
          <w:tcPr>
            <w:tcW w:w="8771" w:type="dxa"/>
            <w:tcBorders>
              <w:top w:val="nil"/>
              <w:left w:val="nil"/>
              <w:bottom w:val="nil"/>
              <w:right w:val="nil"/>
            </w:tcBorders>
          </w:tcPr>
          <w:p w:rsidR="00C97E71" w:rsidRPr="00C10204" w:rsidRDefault="00C97E71" w:rsidP="005174AD">
            <w:pPr>
              <w:pStyle w:val="Box"/>
              <w:keepNext w:val="0"/>
              <w:spacing w:before="60" w:after="60" w:line="80" w:lineRule="exact"/>
              <w:rPr>
                <w:b/>
                <w:color w:val="FF00FF"/>
                <w:sz w:val="14"/>
              </w:rPr>
            </w:pPr>
          </w:p>
        </w:tc>
      </w:tr>
    </w:tbl>
    <w:bookmarkEnd w:id="8"/>
    <w:p w:rsidR="00331224" w:rsidRDefault="00331224" w:rsidP="00331224">
      <w:pPr>
        <w:pStyle w:val="FindingTitle"/>
        <w:framePr w:wrap="auto"/>
      </w:pPr>
      <w:r>
        <w:t>leading practice 5.</w:t>
      </w:r>
      <w:r w:rsidR="00DE3A5F">
        <w:rPr>
          <w:noProof/>
        </w:rPr>
        <w:t>3</w:t>
      </w:r>
    </w:p>
    <w:p w:rsidR="00DC191C" w:rsidRPr="0097761F" w:rsidRDefault="00DC191C" w:rsidP="00DC191C">
      <w:pPr>
        <w:pStyle w:val="Finding"/>
        <w:rPr>
          <w:b/>
        </w:rPr>
      </w:pPr>
      <w:r w:rsidRPr="0097761F">
        <w:rPr>
          <w:b/>
        </w:rPr>
        <w:t>For exemptions from the requirement to prepare a RIS:</w:t>
      </w:r>
    </w:p>
    <w:p w:rsidR="00DC191C" w:rsidRPr="0097761F" w:rsidRDefault="00DC191C" w:rsidP="00DC191C">
      <w:pPr>
        <w:pStyle w:val="FindingBullet"/>
        <w:rPr>
          <w:b/>
        </w:rPr>
      </w:pPr>
      <w:r w:rsidRPr="0097761F">
        <w:rPr>
          <w:b/>
        </w:rPr>
        <w:t>limiting the granting of exemptions to exceptional circumstances (such as emergency situations) where a clear public interest can be demonstrated</w:t>
      </w:r>
      <w:r w:rsidR="00EB4A85">
        <w:rPr>
          <w:b/>
        </w:rPr>
        <w:t>,</w:t>
      </w:r>
      <w:r w:rsidRPr="0097761F">
        <w:rPr>
          <w:b/>
        </w:rPr>
        <w:t xml:space="preserve"> is necessary to maintain the integrity of RIA processes</w:t>
      </w:r>
    </w:p>
    <w:p w:rsidR="009E033D" w:rsidRPr="0097761F" w:rsidRDefault="009E033D" w:rsidP="009E033D">
      <w:pPr>
        <w:pStyle w:val="FindingBullet"/>
        <w:rPr>
          <w:b/>
        </w:rPr>
      </w:pPr>
      <w:r w:rsidRPr="0097761F">
        <w:rPr>
          <w:b/>
        </w:rPr>
        <w:t>the exemption should not be granted after a RIS has commenced</w:t>
      </w:r>
    </w:p>
    <w:p w:rsidR="00DC191C" w:rsidRPr="0097761F" w:rsidRDefault="00DC191C" w:rsidP="00DC191C">
      <w:pPr>
        <w:pStyle w:val="FindingBullet"/>
        <w:rPr>
          <w:b/>
        </w:rPr>
      </w:pPr>
      <w:r w:rsidRPr="0097761F">
        <w:rPr>
          <w:b/>
        </w:rPr>
        <w:t>independence of the process and accountability requires that responsibility for the granting of exemptions resides with the Prime Minister or Premier/Chief Minister and not the Minister proposing the regulation</w:t>
      </w:r>
    </w:p>
    <w:p w:rsidR="00583E31" w:rsidRPr="0097761F" w:rsidRDefault="00DC191C" w:rsidP="00DC191C">
      <w:pPr>
        <w:pStyle w:val="FindingBullet"/>
        <w:rPr>
          <w:b/>
        </w:rPr>
      </w:pPr>
      <w:r w:rsidRPr="0097761F">
        <w:rPr>
          <w:b/>
        </w:rPr>
        <w:t>publishing all exemptions granted and the reasons on a central register maintained by the oversight body, and requiring the responsible minister to provide a statement to parliament justifying the exemption</w:t>
      </w:r>
      <w:r w:rsidR="005C23C9" w:rsidRPr="0097761F">
        <w:rPr>
          <w:b/>
        </w:rPr>
        <w:t>,</w:t>
      </w:r>
      <w:r w:rsidRPr="0097761F">
        <w:rPr>
          <w:b/>
        </w:rPr>
        <w:t xml:space="preserve"> improves RIA transparency and accountability.</w:t>
      </w:r>
      <w:bookmarkEnd w:id="1"/>
    </w:p>
    <w:sectPr w:rsidR="00583E31" w:rsidRPr="0097761F" w:rsidSect="003938BC">
      <w:headerReference w:type="even" r:id="rId11"/>
      <w:headerReference w:type="default" r:id="rId12"/>
      <w:footerReference w:type="even" r:id="rId13"/>
      <w:footerReference w:type="default" r:id="rId14"/>
      <w:pgSz w:w="11907" w:h="16840" w:code="9"/>
      <w:pgMar w:top="1985" w:right="1304" w:bottom="1418" w:left="1814" w:header="1701" w:footer="567" w:gutter="0"/>
      <w:pgNumType w:start="12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352" w:rsidRDefault="00DC7352">
      <w:r>
        <w:separator/>
      </w:r>
    </w:p>
  </w:endnote>
  <w:endnote w:type="continuationSeparator" w:id="0">
    <w:p w:rsidR="00DC7352" w:rsidRDefault="00DC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C7352">
      <w:trPr>
        <w:trHeight w:hRule="exact" w:val="740"/>
      </w:trPr>
      <w:tc>
        <w:tcPr>
          <w:tcW w:w="510" w:type="dxa"/>
          <w:tcBorders>
            <w:top w:val="single" w:sz="6" w:space="0" w:color="auto"/>
          </w:tcBorders>
        </w:tcPr>
        <w:p w:rsidR="00DC7352" w:rsidRPr="004B3740" w:rsidRDefault="00DC7352" w:rsidP="004B3740">
          <w:pPr>
            <w:pStyle w:val="Footer"/>
            <w:tabs>
              <w:tab w:val="left" w:pos="0"/>
            </w:tabs>
            <w:ind w:right="0"/>
            <w:rPr>
              <w:rStyle w:val="PageNumber"/>
            </w:rPr>
          </w:pPr>
          <w:r w:rsidRPr="004B3740">
            <w:rPr>
              <w:rStyle w:val="PageNumber"/>
            </w:rPr>
            <w:fldChar w:fldCharType="begin"/>
          </w:r>
          <w:r w:rsidRPr="004B3740">
            <w:rPr>
              <w:rStyle w:val="PageNumber"/>
            </w:rPr>
            <w:instrText xml:space="preserve"> PAGE  \* MERGEFORMAT </w:instrText>
          </w:r>
          <w:r w:rsidRPr="004B3740">
            <w:rPr>
              <w:rStyle w:val="PageNumber"/>
            </w:rPr>
            <w:fldChar w:fldCharType="separate"/>
          </w:r>
          <w:r w:rsidR="00B1618B">
            <w:rPr>
              <w:rStyle w:val="PageNumber"/>
              <w:noProof/>
            </w:rPr>
            <w:t>148</w:t>
          </w:r>
          <w:r w:rsidRPr="004B3740">
            <w:rPr>
              <w:rStyle w:val="PageNumber"/>
            </w:rPr>
            <w:fldChar w:fldCharType="end"/>
          </w:r>
        </w:p>
      </w:tc>
      <w:tc>
        <w:tcPr>
          <w:tcW w:w="1644" w:type="dxa"/>
          <w:tcBorders>
            <w:top w:val="single" w:sz="6" w:space="0" w:color="auto"/>
          </w:tcBorders>
        </w:tcPr>
        <w:p w:rsidR="00DC7352" w:rsidRDefault="00DC7352" w:rsidP="0019293B">
          <w:pPr>
            <w:pStyle w:val="Footer"/>
          </w:pPr>
          <w:r>
            <w:t>ria benchmarking</w:t>
          </w:r>
        </w:p>
      </w:tc>
      <w:tc>
        <w:tcPr>
          <w:tcW w:w="6634" w:type="dxa"/>
        </w:tcPr>
        <w:p w:rsidR="00DC7352" w:rsidRDefault="00DC7352" w:rsidP="0019293B">
          <w:pPr>
            <w:pStyle w:val="Footer"/>
          </w:pPr>
        </w:p>
      </w:tc>
    </w:tr>
  </w:tbl>
  <w:p w:rsidR="00DC7352" w:rsidRDefault="00DC735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C7352">
      <w:trPr>
        <w:trHeight w:hRule="exact" w:val="740"/>
      </w:trPr>
      <w:tc>
        <w:tcPr>
          <w:tcW w:w="6634" w:type="dxa"/>
        </w:tcPr>
        <w:p w:rsidR="00DC7352" w:rsidRDefault="00DC7352">
          <w:pPr>
            <w:pStyle w:val="Footer"/>
            <w:ind w:right="360" w:firstLine="360"/>
          </w:pPr>
        </w:p>
      </w:tc>
      <w:tc>
        <w:tcPr>
          <w:tcW w:w="1644" w:type="dxa"/>
          <w:tcBorders>
            <w:top w:val="single" w:sz="6" w:space="0" w:color="auto"/>
          </w:tcBorders>
        </w:tcPr>
        <w:p w:rsidR="00DC7352" w:rsidRDefault="00DC7352" w:rsidP="00C53161">
          <w:pPr>
            <w:pStyle w:val="Footer"/>
          </w:pPr>
          <w:r>
            <w:t>Exceptions and exemptions</w:t>
          </w:r>
        </w:p>
      </w:tc>
      <w:tc>
        <w:tcPr>
          <w:tcW w:w="510" w:type="dxa"/>
          <w:tcBorders>
            <w:top w:val="single" w:sz="6" w:space="0" w:color="auto"/>
          </w:tcBorders>
        </w:tcPr>
        <w:p w:rsidR="00DC7352" w:rsidRDefault="00DC7352">
          <w:pPr>
            <w:pStyle w:val="Footer"/>
            <w:jc w:val="right"/>
          </w:pPr>
          <w:r>
            <w:rPr>
              <w:rStyle w:val="PageNumber"/>
            </w:rPr>
            <w:fldChar w:fldCharType="begin"/>
          </w:r>
          <w:r>
            <w:rPr>
              <w:rStyle w:val="PageNumber"/>
            </w:rPr>
            <w:instrText xml:space="preserve">PAGE  </w:instrText>
          </w:r>
          <w:r>
            <w:rPr>
              <w:rStyle w:val="PageNumber"/>
            </w:rPr>
            <w:fldChar w:fldCharType="separate"/>
          </w:r>
          <w:r w:rsidR="00B1618B">
            <w:rPr>
              <w:rStyle w:val="PageNumber"/>
              <w:noProof/>
            </w:rPr>
            <w:t>147</w:t>
          </w:r>
          <w:r>
            <w:rPr>
              <w:rStyle w:val="PageNumber"/>
            </w:rPr>
            <w:fldChar w:fldCharType="end"/>
          </w:r>
        </w:p>
      </w:tc>
    </w:tr>
  </w:tbl>
  <w:p w:rsidR="00DC7352" w:rsidRDefault="00DC735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352" w:rsidRDefault="00DC7352">
      <w:r>
        <w:separator/>
      </w:r>
    </w:p>
  </w:footnote>
  <w:footnote w:type="continuationSeparator" w:id="0">
    <w:p w:rsidR="00DC7352" w:rsidRDefault="00DC7352">
      <w:r>
        <w:continuationSeparator/>
      </w:r>
    </w:p>
  </w:footnote>
  <w:footnote w:id="1">
    <w:p w:rsidR="00DC7352" w:rsidRDefault="00DC7352" w:rsidP="009717F0">
      <w:pPr>
        <w:pStyle w:val="FootnoteText"/>
      </w:pPr>
      <w:r>
        <w:rPr>
          <w:rStyle w:val="FootnoteReference"/>
        </w:rPr>
        <w:footnoteRef/>
      </w:r>
      <w:r>
        <w:t xml:space="preserve"> </w:t>
      </w:r>
      <w:r>
        <w:tab/>
        <w:t>That is, in New South Wales, Victoria, Queensland, Tasmania and the ACT, where the legislation contains requirements to conduct RIA.</w:t>
      </w:r>
    </w:p>
  </w:footnote>
  <w:footnote w:id="2">
    <w:p w:rsidR="00DC7352" w:rsidRDefault="00DC7352" w:rsidP="00B96508">
      <w:pPr>
        <w:pStyle w:val="FootnoteText"/>
      </w:pPr>
      <w:r>
        <w:rPr>
          <w:rStyle w:val="FootnoteReference"/>
        </w:rPr>
        <w:footnoteRef/>
      </w:r>
      <w:r>
        <w:t xml:space="preserve"> </w:t>
      </w:r>
      <w:r>
        <w:tab/>
        <w:t>The Australian Government Best Practice Regulation Handbook provided the following guidance on significance. ‘</w:t>
      </w:r>
      <w:r w:rsidRPr="00FB4C4E">
        <w:t>In terms of the nature of proposals, a ban on popular or widespread activities would generally be regarded as highly significant. Placing conditions on activities, such as requiring licences or specific standards, would be regarded as a significant intervention. An example of low significance might be a change in the format of reporting requirements for businesses</w:t>
      </w:r>
      <w:r>
        <w:t>’</w:t>
      </w:r>
      <w:r w:rsidRPr="00FB4C4E">
        <w:t xml:space="preserve"> (Australian Government 2007, p. 23)</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C7352">
      <w:tc>
        <w:tcPr>
          <w:tcW w:w="2155" w:type="dxa"/>
          <w:tcBorders>
            <w:top w:val="single" w:sz="24" w:space="0" w:color="auto"/>
          </w:tcBorders>
        </w:tcPr>
        <w:p w:rsidR="00DC7352" w:rsidRDefault="00DC7352" w:rsidP="0019293B">
          <w:pPr>
            <w:pStyle w:val="HeaderEven"/>
          </w:pPr>
        </w:p>
      </w:tc>
      <w:tc>
        <w:tcPr>
          <w:tcW w:w="6634" w:type="dxa"/>
          <w:tcBorders>
            <w:top w:val="single" w:sz="6" w:space="0" w:color="auto"/>
          </w:tcBorders>
        </w:tcPr>
        <w:p w:rsidR="00DC7352" w:rsidRDefault="00DC7352" w:rsidP="0019293B">
          <w:pPr>
            <w:pStyle w:val="HeaderEven"/>
          </w:pPr>
        </w:p>
      </w:tc>
    </w:tr>
  </w:tbl>
  <w:p w:rsidR="00DC7352" w:rsidRDefault="00DC735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C7352">
      <w:tc>
        <w:tcPr>
          <w:tcW w:w="6634" w:type="dxa"/>
          <w:tcBorders>
            <w:top w:val="single" w:sz="6" w:space="0" w:color="auto"/>
          </w:tcBorders>
        </w:tcPr>
        <w:p w:rsidR="00DC7352" w:rsidRDefault="00DC7352" w:rsidP="00E669E2">
          <w:pPr>
            <w:pStyle w:val="HeaderOdd"/>
          </w:pPr>
        </w:p>
      </w:tc>
      <w:tc>
        <w:tcPr>
          <w:tcW w:w="2155" w:type="dxa"/>
          <w:tcBorders>
            <w:top w:val="single" w:sz="24" w:space="0" w:color="auto"/>
          </w:tcBorders>
        </w:tcPr>
        <w:p w:rsidR="00DC7352" w:rsidRDefault="00DC7352" w:rsidP="00E669E2">
          <w:pPr>
            <w:pStyle w:val="HeaderOdd"/>
          </w:pPr>
        </w:p>
      </w:tc>
    </w:tr>
  </w:tbl>
  <w:p w:rsidR="00DC7352" w:rsidRDefault="00DC735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3E1C3092"/>
    <w:lvl w:ilvl="0">
      <w:start w:val="1"/>
      <w:numFmt w:val="decimal"/>
      <w:lvlText w:val="%1."/>
      <w:lvlJc w:val="left"/>
      <w:pPr>
        <w:tabs>
          <w:tab w:val="num" w:pos="926"/>
        </w:tabs>
        <w:ind w:left="926" w:hanging="360"/>
      </w:pPr>
    </w:lvl>
  </w:abstractNum>
  <w:abstractNum w:abstractNumId="1">
    <w:nsid w:val="FFFFFF7F"/>
    <w:multiLevelType w:val="singleLevel"/>
    <w:tmpl w:val="CBA2C050"/>
    <w:lvl w:ilvl="0">
      <w:start w:val="1"/>
      <w:numFmt w:val="decimal"/>
      <w:lvlText w:val="%1."/>
      <w:lvlJc w:val="left"/>
      <w:pPr>
        <w:tabs>
          <w:tab w:val="num" w:pos="643"/>
        </w:tabs>
        <w:ind w:left="643" w:hanging="360"/>
      </w:pPr>
    </w:lvl>
  </w:abstractNum>
  <w:abstractNum w:abstractNumId="2">
    <w:nsid w:val="FFFFFF82"/>
    <w:multiLevelType w:val="singleLevel"/>
    <w:tmpl w:val="9612B38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B0C27A2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07247494"/>
    <w:lvl w:ilvl="0">
      <w:start w:val="1"/>
      <w:numFmt w:val="decimal"/>
      <w:lvlText w:val="%1."/>
      <w:lvlJc w:val="left"/>
      <w:pPr>
        <w:tabs>
          <w:tab w:val="num" w:pos="360"/>
        </w:tabs>
        <w:ind w:left="360" w:hanging="360"/>
      </w:pPr>
    </w:lvl>
  </w:abstractNum>
  <w:abstractNum w:abstractNumId="5">
    <w:nsid w:val="FFFFFF89"/>
    <w:multiLevelType w:val="singleLevel"/>
    <w:tmpl w:val="A886C420"/>
    <w:lvl w:ilvl="0">
      <w:start w:val="1"/>
      <w:numFmt w:val="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cs="Times New Roman" w:hint="default"/>
      </w:rPr>
    </w:lvl>
    <w:lvl w:ilvl="1">
      <w:start w:val="1"/>
      <w:numFmt w:val="lowerLetter"/>
      <w:pStyle w:val="BoxListNumber2"/>
      <w:lvlText w:val="(%2)"/>
      <w:lvlJc w:val="left"/>
      <w:pPr>
        <w:tabs>
          <w:tab w:val="num" w:pos="680"/>
        </w:tabs>
        <w:ind w:left="680" w:hanging="396"/>
      </w:pPr>
      <w:rPr>
        <w:rFonts w:cs="Times New Roman" w:hint="default"/>
      </w:rPr>
    </w:lvl>
    <w:lvl w:ilvl="2">
      <w:start w:val="1"/>
      <w:numFmt w:val="lowerRoman"/>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cs="Times New Roman" w:hint="default"/>
      </w:rPr>
    </w:lvl>
    <w:lvl w:ilvl="1">
      <w:start w:val="1"/>
      <w:numFmt w:val="lowerLetter"/>
      <w:pStyle w:val="ListNumber2"/>
      <w:lvlText w:val="(%2)"/>
      <w:lvlJc w:val="left"/>
      <w:pPr>
        <w:tabs>
          <w:tab w:val="num" w:pos="794"/>
        </w:tabs>
        <w:ind w:left="794" w:hanging="454"/>
      </w:pPr>
      <w:rPr>
        <w:rFonts w:cs="Times New Roman" w:hint="default"/>
      </w:rPr>
    </w:lvl>
    <w:lvl w:ilvl="2">
      <w:start w:val="1"/>
      <w:numFmt w:val="lowerRoman"/>
      <w:pStyle w:val="ListNumber3"/>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60A72390"/>
    <w:multiLevelType w:val="hybridMultilevel"/>
    <w:tmpl w:val="129A0148"/>
    <w:lvl w:ilvl="0" w:tplc="A5BCA540">
      <w:numFmt w:val="bullet"/>
      <w:lvlText w:val=""/>
      <w:lvlJc w:val="left"/>
      <w:pPr>
        <w:ind w:left="720" w:hanging="360"/>
      </w:pPr>
      <w:rPr>
        <w:rFonts w:ascii="Wingdings" w:eastAsia="Times New Roman" w:hAnsi="Wingdings" w:cs="Times New Roman" w:hint="default"/>
        <w:i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5913A1E"/>
    <w:multiLevelType w:val="hybridMultilevel"/>
    <w:tmpl w:val="8D5C82EA"/>
    <w:lvl w:ilvl="0" w:tplc="1B04F004">
      <w:start w:val="1"/>
      <w:numFmt w:val="lowerRoman"/>
      <w:lvlText w:val="(%1)"/>
      <w:lvlJc w:val="left"/>
      <w:pPr>
        <w:ind w:left="1060" w:hanging="72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2">
    <w:nsid w:val="67D52D27"/>
    <w:multiLevelType w:val="hybridMultilevel"/>
    <w:tmpl w:val="68AAB2FE"/>
    <w:lvl w:ilvl="0" w:tplc="C716542A">
      <w:start w:val="5"/>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ADA4E3B"/>
    <w:multiLevelType w:val="hybridMultilevel"/>
    <w:tmpl w:val="B15A3A58"/>
    <w:lvl w:ilvl="0" w:tplc="D444DFD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14"/>
  </w:num>
  <w:num w:numId="8">
    <w:abstractNumId w:val="8"/>
  </w:num>
  <w:num w:numId="9">
    <w:abstractNumId w:val="23"/>
  </w:num>
  <w:num w:numId="10">
    <w:abstractNumId w:val="6"/>
  </w:num>
  <w:num w:numId="11">
    <w:abstractNumId w:val="16"/>
  </w:num>
  <w:num w:numId="12">
    <w:abstractNumId w:val="7"/>
  </w:num>
  <w:num w:numId="13">
    <w:abstractNumId w:val="20"/>
  </w:num>
  <w:num w:numId="14">
    <w:abstractNumId w:val="18"/>
  </w:num>
  <w:num w:numId="15">
    <w:abstractNumId w:val="25"/>
  </w:num>
  <w:num w:numId="16">
    <w:abstractNumId w:val="11"/>
  </w:num>
  <w:num w:numId="17">
    <w:abstractNumId w:val="17"/>
  </w:num>
  <w:num w:numId="18">
    <w:abstractNumId w:val="10"/>
  </w:num>
  <w:num w:numId="19">
    <w:abstractNumId w:val="9"/>
  </w:num>
  <w:num w:numId="20">
    <w:abstractNumId w:val="12"/>
  </w:num>
  <w:num w:numId="21">
    <w:abstractNumId w:val="13"/>
  </w:num>
  <w:num w:numId="22">
    <w:abstractNumId w:val="15"/>
  </w:num>
  <w:num w:numId="23">
    <w:abstractNumId w:val="24"/>
  </w:num>
  <w:num w:numId="24">
    <w:abstractNumId w:val="21"/>
  </w:num>
  <w:num w:numId="25">
    <w:abstractNumId w:val="19"/>
  </w:num>
  <w:num w:numId="26">
    <w:abstractNumId w:val="23"/>
  </w:num>
  <w:num w:numId="27">
    <w:abstractNumId w:val="10"/>
  </w:num>
  <w:num w:numId="28">
    <w:abstractNumId w:val="10"/>
  </w:num>
  <w:num w:numId="29">
    <w:abstractNumId w:val="22"/>
  </w:num>
  <w:num w:numId="30">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Exceptions and exemptions"/>
    <w:docVar w:name="ShortReportTitle" w:val="Report"/>
  </w:docVars>
  <w:rsids>
    <w:rsidRoot w:val="0094547B"/>
    <w:rsid w:val="00000482"/>
    <w:rsid w:val="000018A2"/>
    <w:rsid w:val="00001A16"/>
    <w:rsid w:val="00003076"/>
    <w:rsid w:val="00007BDB"/>
    <w:rsid w:val="00007C2C"/>
    <w:rsid w:val="00010C57"/>
    <w:rsid w:val="000115E4"/>
    <w:rsid w:val="000245AA"/>
    <w:rsid w:val="00025D1B"/>
    <w:rsid w:val="0003191E"/>
    <w:rsid w:val="0003392A"/>
    <w:rsid w:val="00033DA8"/>
    <w:rsid w:val="00035FAE"/>
    <w:rsid w:val="0003664B"/>
    <w:rsid w:val="00040D13"/>
    <w:rsid w:val="0004111F"/>
    <w:rsid w:val="00041816"/>
    <w:rsid w:val="00042215"/>
    <w:rsid w:val="000448E3"/>
    <w:rsid w:val="00046C03"/>
    <w:rsid w:val="00051DA9"/>
    <w:rsid w:val="000529DD"/>
    <w:rsid w:val="00053850"/>
    <w:rsid w:val="0005508A"/>
    <w:rsid w:val="000555EA"/>
    <w:rsid w:val="000565B3"/>
    <w:rsid w:val="00057303"/>
    <w:rsid w:val="00057690"/>
    <w:rsid w:val="00057E23"/>
    <w:rsid w:val="0006313F"/>
    <w:rsid w:val="00066C09"/>
    <w:rsid w:val="0006743B"/>
    <w:rsid w:val="00067FEA"/>
    <w:rsid w:val="00070380"/>
    <w:rsid w:val="0007043A"/>
    <w:rsid w:val="0007150B"/>
    <w:rsid w:val="0007339A"/>
    <w:rsid w:val="00074996"/>
    <w:rsid w:val="0007514F"/>
    <w:rsid w:val="0008114F"/>
    <w:rsid w:val="00082A82"/>
    <w:rsid w:val="00083908"/>
    <w:rsid w:val="0008396F"/>
    <w:rsid w:val="00085A92"/>
    <w:rsid w:val="00086BAE"/>
    <w:rsid w:val="00087BC7"/>
    <w:rsid w:val="00090DD3"/>
    <w:rsid w:val="00091981"/>
    <w:rsid w:val="000938F5"/>
    <w:rsid w:val="000958AA"/>
    <w:rsid w:val="00096F8E"/>
    <w:rsid w:val="00097815"/>
    <w:rsid w:val="000A08C0"/>
    <w:rsid w:val="000A1513"/>
    <w:rsid w:val="000A4C3B"/>
    <w:rsid w:val="000A558F"/>
    <w:rsid w:val="000A7BEB"/>
    <w:rsid w:val="000A7FB1"/>
    <w:rsid w:val="000B0387"/>
    <w:rsid w:val="000B0B60"/>
    <w:rsid w:val="000B25B0"/>
    <w:rsid w:val="000B3DB6"/>
    <w:rsid w:val="000B594D"/>
    <w:rsid w:val="000B601B"/>
    <w:rsid w:val="000B755E"/>
    <w:rsid w:val="000C15E2"/>
    <w:rsid w:val="000C207E"/>
    <w:rsid w:val="000C3311"/>
    <w:rsid w:val="000C3688"/>
    <w:rsid w:val="000C403A"/>
    <w:rsid w:val="000C5097"/>
    <w:rsid w:val="000C6640"/>
    <w:rsid w:val="000C7440"/>
    <w:rsid w:val="000D0946"/>
    <w:rsid w:val="000D2708"/>
    <w:rsid w:val="000D51E7"/>
    <w:rsid w:val="000D5B56"/>
    <w:rsid w:val="000D63BB"/>
    <w:rsid w:val="000D6D05"/>
    <w:rsid w:val="000D7386"/>
    <w:rsid w:val="000D7A13"/>
    <w:rsid w:val="000E1838"/>
    <w:rsid w:val="000E26A8"/>
    <w:rsid w:val="000E26D6"/>
    <w:rsid w:val="000E2C24"/>
    <w:rsid w:val="000E44F0"/>
    <w:rsid w:val="000E592A"/>
    <w:rsid w:val="000E75EE"/>
    <w:rsid w:val="000F0299"/>
    <w:rsid w:val="000F06FA"/>
    <w:rsid w:val="000F420B"/>
    <w:rsid w:val="000F4521"/>
    <w:rsid w:val="000F6036"/>
    <w:rsid w:val="000F6EAC"/>
    <w:rsid w:val="00101B10"/>
    <w:rsid w:val="00102363"/>
    <w:rsid w:val="00102FB6"/>
    <w:rsid w:val="001043D3"/>
    <w:rsid w:val="001045B7"/>
    <w:rsid w:val="00106CD7"/>
    <w:rsid w:val="001073D2"/>
    <w:rsid w:val="00110116"/>
    <w:rsid w:val="00117BF6"/>
    <w:rsid w:val="00120072"/>
    <w:rsid w:val="001208BA"/>
    <w:rsid w:val="00121258"/>
    <w:rsid w:val="0012443A"/>
    <w:rsid w:val="00125227"/>
    <w:rsid w:val="00125F2C"/>
    <w:rsid w:val="00126EB8"/>
    <w:rsid w:val="001274D4"/>
    <w:rsid w:val="00130081"/>
    <w:rsid w:val="00131753"/>
    <w:rsid w:val="0013534D"/>
    <w:rsid w:val="001363AA"/>
    <w:rsid w:val="00140E04"/>
    <w:rsid w:val="00141C09"/>
    <w:rsid w:val="0014278B"/>
    <w:rsid w:val="00143643"/>
    <w:rsid w:val="00144D59"/>
    <w:rsid w:val="0014573B"/>
    <w:rsid w:val="00147CD2"/>
    <w:rsid w:val="001500A8"/>
    <w:rsid w:val="00150F4E"/>
    <w:rsid w:val="00151514"/>
    <w:rsid w:val="0015183D"/>
    <w:rsid w:val="00152E4D"/>
    <w:rsid w:val="0015396C"/>
    <w:rsid w:val="001539CE"/>
    <w:rsid w:val="00154168"/>
    <w:rsid w:val="001567B3"/>
    <w:rsid w:val="001605D6"/>
    <w:rsid w:val="0016127E"/>
    <w:rsid w:val="00161DC6"/>
    <w:rsid w:val="00166783"/>
    <w:rsid w:val="00167F06"/>
    <w:rsid w:val="001745C9"/>
    <w:rsid w:val="001766F9"/>
    <w:rsid w:val="00181C40"/>
    <w:rsid w:val="00183E82"/>
    <w:rsid w:val="00185836"/>
    <w:rsid w:val="001862EE"/>
    <w:rsid w:val="00187856"/>
    <w:rsid w:val="001878BB"/>
    <w:rsid w:val="00191AE0"/>
    <w:rsid w:val="00192107"/>
    <w:rsid w:val="0019293B"/>
    <w:rsid w:val="00194E06"/>
    <w:rsid w:val="001A285C"/>
    <w:rsid w:val="001A30B6"/>
    <w:rsid w:val="001A513B"/>
    <w:rsid w:val="001A59CC"/>
    <w:rsid w:val="001A64E4"/>
    <w:rsid w:val="001B1468"/>
    <w:rsid w:val="001B2757"/>
    <w:rsid w:val="001B3BCE"/>
    <w:rsid w:val="001C0865"/>
    <w:rsid w:val="001C1ADD"/>
    <w:rsid w:val="001C21A3"/>
    <w:rsid w:val="001C2C23"/>
    <w:rsid w:val="001C2C5D"/>
    <w:rsid w:val="001C2EFF"/>
    <w:rsid w:val="001C3ABA"/>
    <w:rsid w:val="001C412A"/>
    <w:rsid w:val="001C5254"/>
    <w:rsid w:val="001C5E87"/>
    <w:rsid w:val="001C6A33"/>
    <w:rsid w:val="001C6A77"/>
    <w:rsid w:val="001C7BA6"/>
    <w:rsid w:val="001C7F7A"/>
    <w:rsid w:val="001D0EBC"/>
    <w:rsid w:val="001D47CD"/>
    <w:rsid w:val="001E00B2"/>
    <w:rsid w:val="001E1188"/>
    <w:rsid w:val="001E357F"/>
    <w:rsid w:val="001E38A5"/>
    <w:rsid w:val="001E598A"/>
    <w:rsid w:val="001E65FD"/>
    <w:rsid w:val="001E7BE8"/>
    <w:rsid w:val="001F0248"/>
    <w:rsid w:val="001F1D0A"/>
    <w:rsid w:val="001F320B"/>
    <w:rsid w:val="001F3EB3"/>
    <w:rsid w:val="001F4DD7"/>
    <w:rsid w:val="00200822"/>
    <w:rsid w:val="00202440"/>
    <w:rsid w:val="00202C2C"/>
    <w:rsid w:val="0020473A"/>
    <w:rsid w:val="00204745"/>
    <w:rsid w:val="00207A28"/>
    <w:rsid w:val="00211310"/>
    <w:rsid w:val="00213EA0"/>
    <w:rsid w:val="00220C35"/>
    <w:rsid w:val="00221BBB"/>
    <w:rsid w:val="0022245B"/>
    <w:rsid w:val="00222756"/>
    <w:rsid w:val="0022360A"/>
    <w:rsid w:val="00230F0B"/>
    <w:rsid w:val="0023447E"/>
    <w:rsid w:val="00237103"/>
    <w:rsid w:val="00240696"/>
    <w:rsid w:val="00242279"/>
    <w:rsid w:val="00242F9D"/>
    <w:rsid w:val="00245C82"/>
    <w:rsid w:val="0025376B"/>
    <w:rsid w:val="0025487D"/>
    <w:rsid w:val="002568A5"/>
    <w:rsid w:val="00256F49"/>
    <w:rsid w:val="00264067"/>
    <w:rsid w:val="00265F8E"/>
    <w:rsid w:val="00271205"/>
    <w:rsid w:val="00272F15"/>
    <w:rsid w:val="0027451F"/>
    <w:rsid w:val="002756EB"/>
    <w:rsid w:val="00282015"/>
    <w:rsid w:val="00282D45"/>
    <w:rsid w:val="00282ECB"/>
    <w:rsid w:val="00283BE8"/>
    <w:rsid w:val="00284820"/>
    <w:rsid w:val="002848B6"/>
    <w:rsid w:val="00284E3A"/>
    <w:rsid w:val="00286E39"/>
    <w:rsid w:val="00291B40"/>
    <w:rsid w:val="00291FEF"/>
    <w:rsid w:val="002937BF"/>
    <w:rsid w:val="00295EED"/>
    <w:rsid w:val="002A4622"/>
    <w:rsid w:val="002A722D"/>
    <w:rsid w:val="002B0F0C"/>
    <w:rsid w:val="002B0F2A"/>
    <w:rsid w:val="002B1425"/>
    <w:rsid w:val="002B4008"/>
    <w:rsid w:val="002B5814"/>
    <w:rsid w:val="002B6C31"/>
    <w:rsid w:val="002B75CE"/>
    <w:rsid w:val="002C106F"/>
    <w:rsid w:val="002C2377"/>
    <w:rsid w:val="002C48E2"/>
    <w:rsid w:val="002C65C9"/>
    <w:rsid w:val="002D0E8E"/>
    <w:rsid w:val="002D2567"/>
    <w:rsid w:val="002D293B"/>
    <w:rsid w:val="002D2DF4"/>
    <w:rsid w:val="002D35D7"/>
    <w:rsid w:val="002D48BC"/>
    <w:rsid w:val="002D5831"/>
    <w:rsid w:val="002D6662"/>
    <w:rsid w:val="002D6A55"/>
    <w:rsid w:val="002E0DF5"/>
    <w:rsid w:val="002E3386"/>
    <w:rsid w:val="002E395D"/>
    <w:rsid w:val="002E6464"/>
    <w:rsid w:val="002E7AD5"/>
    <w:rsid w:val="002E7E23"/>
    <w:rsid w:val="002F1FB3"/>
    <w:rsid w:val="002F4666"/>
    <w:rsid w:val="002F6BB2"/>
    <w:rsid w:val="00301189"/>
    <w:rsid w:val="00306D77"/>
    <w:rsid w:val="003102A1"/>
    <w:rsid w:val="00313F1A"/>
    <w:rsid w:val="00316082"/>
    <w:rsid w:val="0032208B"/>
    <w:rsid w:val="00323E09"/>
    <w:rsid w:val="00324D6D"/>
    <w:rsid w:val="00324F47"/>
    <w:rsid w:val="00325912"/>
    <w:rsid w:val="003269EC"/>
    <w:rsid w:val="00327C9A"/>
    <w:rsid w:val="00331224"/>
    <w:rsid w:val="00331C0A"/>
    <w:rsid w:val="00333932"/>
    <w:rsid w:val="00336AF0"/>
    <w:rsid w:val="00337751"/>
    <w:rsid w:val="003440D8"/>
    <w:rsid w:val="00350E3A"/>
    <w:rsid w:val="003518AA"/>
    <w:rsid w:val="003519F9"/>
    <w:rsid w:val="00352165"/>
    <w:rsid w:val="003526AE"/>
    <w:rsid w:val="00353182"/>
    <w:rsid w:val="00354FA0"/>
    <w:rsid w:val="00356392"/>
    <w:rsid w:val="003565D9"/>
    <w:rsid w:val="003602E1"/>
    <w:rsid w:val="00360932"/>
    <w:rsid w:val="00362A74"/>
    <w:rsid w:val="00364066"/>
    <w:rsid w:val="003669E4"/>
    <w:rsid w:val="00366F6B"/>
    <w:rsid w:val="0037026F"/>
    <w:rsid w:val="00371240"/>
    <w:rsid w:val="00373C06"/>
    <w:rsid w:val="00374731"/>
    <w:rsid w:val="0037578C"/>
    <w:rsid w:val="003762F7"/>
    <w:rsid w:val="003769D8"/>
    <w:rsid w:val="00377EA8"/>
    <w:rsid w:val="003810BB"/>
    <w:rsid w:val="003824E1"/>
    <w:rsid w:val="0038488C"/>
    <w:rsid w:val="00385F02"/>
    <w:rsid w:val="003863B4"/>
    <w:rsid w:val="00390AA3"/>
    <w:rsid w:val="003919F9"/>
    <w:rsid w:val="0039249C"/>
    <w:rsid w:val="003938BC"/>
    <w:rsid w:val="003A11C5"/>
    <w:rsid w:val="003A1334"/>
    <w:rsid w:val="003A4259"/>
    <w:rsid w:val="003A45E2"/>
    <w:rsid w:val="003A4A21"/>
    <w:rsid w:val="003A687A"/>
    <w:rsid w:val="003B175E"/>
    <w:rsid w:val="003B1994"/>
    <w:rsid w:val="003B341E"/>
    <w:rsid w:val="003B5731"/>
    <w:rsid w:val="003B579D"/>
    <w:rsid w:val="003B6263"/>
    <w:rsid w:val="003C01E1"/>
    <w:rsid w:val="003C1BB8"/>
    <w:rsid w:val="003C24F6"/>
    <w:rsid w:val="003C33C5"/>
    <w:rsid w:val="003C38B5"/>
    <w:rsid w:val="003C3FEC"/>
    <w:rsid w:val="003C5D99"/>
    <w:rsid w:val="003D3672"/>
    <w:rsid w:val="003D4660"/>
    <w:rsid w:val="003D62CC"/>
    <w:rsid w:val="003E2F59"/>
    <w:rsid w:val="003F0789"/>
    <w:rsid w:val="003F09F7"/>
    <w:rsid w:val="003F310A"/>
    <w:rsid w:val="004008AA"/>
    <w:rsid w:val="00401882"/>
    <w:rsid w:val="00403A2D"/>
    <w:rsid w:val="00404292"/>
    <w:rsid w:val="00404606"/>
    <w:rsid w:val="00404F58"/>
    <w:rsid w:val="0040612A"/>
    <w:rsid w:val="004100C8"/>
    <w:rsid w:val="00411DBD"/>
    <w:rsid w:val="00412ACE"/>
    <w:rsid w:val="0041480A"/>
    <w:rsid w:val="00416A66"/>
    <w:rsid w:val="00417D14"/>
    <w:rsid w:val="004217FC"/>
    <w:rsid w:val="004229D5"/>
    <w:rsid w:val="004237DD"/>
    <w:rsid w:val="00424007"/>
    <w:rsid w:val="00427EAA"/>
    <w:rsid w:val="0043004E"/>
    <w:rsid w:val="00430392"/>
    <w:rsid w:val="00431249"/>
    <w:rsid w:val="00432E9E"/>
    <w:rsid w:val="00434554"/>
    <w:rsid w:val="0043493C"/>
    <w:rsid w:val="00434C19"/>
    <w:rsid w:val="00435348"/>
    <w:rsid w:val="004377C0"/>
    <w:rsid w:val="0044052A"/>
    <w:rsid w:val="00440B62"/>
    <w:rsid w:val="00440BFB"/>
    <w:rsid w:val="00442E92"/>
    <w:rsid w:val="004503C0"/>
    <w:rsid w:val="00450810"/>
    <w:rsid w:val="0045128B"/>
    <w:rsid w:val="00452621"/>
    <w:rsid w:val="004537A4"/>
    <w:rsid w:val="00460B1D"/>
    <w:rsid w:val="00463AB5"/>
    <w:rsid w:val="0046415B"/>
    <w:rsid w:val="00471941"/>
    <w:rsid w:val="00473F5B"/>
    <w:rsid w:val="00474BC5"/>
    <w:rsid w:val="00477144"/>
    <w:rsid w:val="00482DFB"/>
    <w:rsid w:val="00483C41"/>
    <w:rsid w:val="00484B17"/>
    <w:rsid w:val="0049459F"/>
    <w:rsid w:val="004956BC"/>
    <w:rsid w:val="004A03E2"/>
    <w:rsid w:val="004A1F5B"/>
    <w:rsid w:val="004A285F"/>
    <w:rsid w:val="004A34CF"/>
    <w:rsid w:val="004A38DD"/>
    <w:rsid w:val="004A532E"/>
    <w:rsid w:val="004A66D6"/>
    <w:rsid w:val="004B2FE7"/>
    <w:rsid w:val="004B3740"/>
    <w:rsid w:val="004B43AE"/>
    <w:rsid w:val="004B791E"/>
    <w:rsid w:val="004C2909"/>
    <w:rsid w:val="004C30ED"/>
    <w:rsid w:val="004C5B85"/>
    <w:rsid w:val="004C5CB9"/>
    <w:rsid w:val="004C7E2A"/>
    <w:rsid w:val="004D1856"/>
    <w:rsid w:val="004D1F14"/>
    <w:rsid w:val="004D2989"/>
    <w:rsid w:val="004D3407"/>
    <w:rsid w:val="004D3E78"/>
    <w:rsid w:val="004D526E"/>
    <w:rsid w:val="004D5675"/>
    <w:rsid w:val="004D5EB1"/>
    <w:rsid w:val="004D6A8A"/>
    <w:rsid w:val="004E2AF0"/>
    <w:rsid w:val="004E2EF2"/>
    <w:rsid w:val="004E3F04"/>
    <w:rsid w:val="004E5D00"/>
    <w:rsid w:val="004E6962"/>
    <w:rsid w:val="004F1247"/>
    <w:rsid w:val="004F204C"/>
    <w:rsid w:val="004F395B"/>
    <w:rsid w:val="004F5013"/>
    <w:rsid w:val="004F7287"/>
    <w:rsid w:val="00501BD6"/>
    <w:rsid w:val="005044C7"/>
    <w:rsid w:val="005075B8"/>
    <w:rsid w:val="00510E5A"/>
    <w:rsid w:val="00512056"/>
    <w:rsid w:val="005153AC"/>
    <w:rsid w:val="005174AD"/>
    <w:rsid w:val="0052333C"/>
    <w:rsid w:val="00523639"/>
    <w:rsid w:val="00526BEE"/>
    <w:rsid w:val="00527CC1"/>
    <w:rsid w:val="00527FF4"/>
    <w:rsid w:val="00530275"/>
    <w:rsid w:val="005313FA"/>
    <w:rsid w:val="00531711"/>
    <w:rsid w:val="00531FE5"/>
    <w:rsid w:val="00533338"/>
    <w:rsid w:val="005379B6"/>
    <w:rsid w:val="00542D53"/>
    <w:rsid w:val="005474BB"/>
    <w:rsid w:val="005478F0"/>
    <w:rsid w:val="00550C33"/>
    <w:rsid w:val="0055374A"/>
    <w:rsid w:val="00554412"/>
    <w:rsid w:val="00554982"/>
    <w:rsid w:val="00556D82"/>
    <w:rsid w:val="00557AFD"/>
    <w:rsid w:val="00563830"/>
    <w:rsid w:val="00564512"/>
    <w:rsid w:val="00567F98"/>
    <w:rsid w:val="005719B7"/>
    <w:rsid w:val="005743F5"/>
    <w:rsid w:val="00575842"/>
    <w:rsid w:val="00575CFC"/>
    <w:rsid w:val="00576369"/>
    <w:rsid w:val="00580860"/>
    <w:rsid w:val="005831CA"/>
    <w:rsid w:val="00583C39"/>
    <w:rsid w:val="00583E31"/>
    <w:rsid w:val="00584A32"/>
    <w:rsid w:val="005867E3"/>
    <w:rsid w:val="005869D1"/>
    <w:rsid w:val="00586DEC"/>
    <w:rsid w:val="005909CF"/>
    <w:rsid w:val="00591E71"/>
    <w:rsid w:val="005939AB"/>
    <w:rsid w:val="0059764F"/>
    <w:rsid w:val="005A0D41"/>
    <w:rsid w:val="005A4BD7"/>
    <w:rsid w:val="005B1219"/>
    <w:rsid w:val="005B2E16"/>
    <w:rsid w:val="005B7500"/>
    <w:rsid w:val="005C061D"/>
    <w:rsid w:val="005C23C9"/>
    <w:rsid w:val="005C4B08"/>
    <w:rsid w:val="005C5123"/>
    <w:rsid w:val="005C6173"/>
    <w:rsid w:val="005D27BE"/>
    <w:rsid w:val="005D4526"/>
    <w:rsid w:val="005D5E02"/>
    <w:rsid w:val="005E44FD"/>
    <w:rsid w:val="0060174A"/>
    <w:rsid w:val="006057BE"/>
    <w:rsid w:val="00606A54"/>
    <w:rsid w:val="00607BF1"/>
    <w:rsid w:val="0061063D"/>
    <w:rsid w:val="0061242F"/>
    <w:rsid w:val="00613D9F"/>
    <w:rsid w:val="00615D0A"/>
    <w:rsid w:val="006202E4"/>
    <w:rsid w:val="00620461"/>
    <w:rsid w:val="00620716"/>
    <w:rsid w:val="00620D0E"/>
    <w:rsid w:val="0062249D"/>
    <w:rsid w:val="006256F6"/>
    <w:rsid w:val="00627FF8"/>
    <w:rsid w:val="006309F5"/>
    <w:rsid w:val="00630D4D"/>
    <w:rsid w:val="00632A74"/>
    <w:rsid w:val="00634D61"/>
    <w:rsid w:val="00635146"/>
    <w:rsid w:val="00635F4E"/>
    <w:rsid w:val="006372BF"/>
    <w:rsid w:val="00640642"/>
    <w:rsid w:val="006422BD"/>
    <w:rsid w:val="00642947"/>
    <w:rsid w:val="00643440"/>
    <w:rsid w:val="00651D9E"/>
    <w:rsid w:val="00652EC5"/>
    <w:rsid w:val="006557F8"/>
    <w:rsid w:val="00665D6A"/>
    <w:rsid w:val="006704CE"/>
    <w:rsid w:val="00671D71"/>
    <w:rsid w:val="00674BCB"/>
    <w:rsid w:val="00676C77"/>
    <w:rsid w:val="0067708C"/>
    <w:rsid w:val="00677946"/>
    <w:rsid w:val="00680B32"/>
    <w:rsid w:val="00681E87"/>
    <w:rsid w:val="0068317B"/>
    <w:rsid w:val="006832C4"/>
    <w:rsid w:val="00686D29"/>
    <w:rsid w:val="006904A8"/>
    <w:rsid w:val="006943EA"/>
    <w:rsid w:val="006A2922"/>
    <w:rsid w:val="006A4655"/>
    <w:rsid w:val="006A48DE"/>
    <w:rsid w:val="006A6285"/>
    <w:rsid w:val="006A65C9"/>
    <w:rsid w:val="006A6A36"/>
    <w:rsid w:val="006A7B7F"/>
    <w:rsid w:val="006B2B3C"/>
    <w:rsid w:val="006B3194"/>
    <w:rsid w:val="006B43C6"/>
    <w:rsid w:val="006B44C2"/>
    <w:rsid w:val="006B5DD1"/>
    <w:rsid w:val="006C07E2"/>
    <w:rsid w:val="006C0B31"/>
    <w:rsid w:val="006C1D81"/>
    <w:rsid w:val="006C2EE3"/>
    <w:rsid w:val="006C31BF"/>
    <w:rsid w:val="006C587F"/>
    <w:rsid w:val="006C7038"/>
    <w:rsid w:val="006C7612"/>
    <w:rsid w:val="006C7B79"/>
    <w:rsid w:val="006D00BB"/>
    <w:rsid w:val="006D3ACD"/>
    <w:rsid w:val="006D3C07"/>
    <w:rsid w:val="006D3F46"/>
    <w:rsid w:val="006D50E8"/>
    <w:rsid w:val="006D5857"/>
    <w:rsid w:val="006D6474"/>
    <w:rsid w:val="006E1517"/>
    <w:rsid w:val="006E2C28"/>
    <w:rsid w:val="006E45C1"/>
    <w:rsid w:val="006E73EF"/>
    <w:rsid w:val="006F527D"/>
    <w:rsid w:val="006F641D"/>
    <w:rsid w:val="00700726"/>
    <w:rsid w:val="00702962"/>
    <w:rsid w:val="00702CC8"/>
    <w:rsid w:val="00704B03"/>
    <w:rsid w:val="0070583F"/>
    <w:rsid w:val="00706C01"/>
    <w:rsid w:val="0071104D"/>
    <w:rsid w:val="00712728"/>
    <w:rsid w:val="00713AE6"/>
    <w:rsid w:val="00714C60"/>
    <w:rsid w:val="00714D4D"/>
    <w:rsid w:val="00715CD4"/>
    <w:rsid w:val="00716040"/>
    <w:rsid w:val="00720ABC"/>
    <w:rsid w:val="00720C75"/>
    <w:rsid w:val="00720D15"/>
    <w:rsid w:val="00721026"/>
    <w:rsid w:val="007210AA"/>
    <w:rsid w:val="00721287"/>
    <w:rsid w:val="00733580"/>
    <w:rsid w:val="00740F5F"/>
    <w:rsid w:val="007441CB"/>
    <w:rsid w:val="00745510"/>
    <w:rsid w:val="00746C00"/>
    <w:rsid w:val="00750C0B"/>
    <w:rsid w:val="00751926"/>
    <w:rsid w:val="00752D14"/>
    <w:rsid w:val="007604BB"/>
    <w:rsid w:val="007607DA"/>
    <w:rsid w:val="007634B0"/>
    <w:rsid w:val="00765921"/>
    <w:rsid w:val="007668DA"/>
    <w:rsid w:val="00767FA6"/>
    <w:rsid w:val="00770AAC"/>
    <w:rsid w:val="007757D5"/>
    <w:rsid w:val="00777C57"/>
    <w:rsid w:val="00777FE7"/>
    <w:rsid w:val="007801D2"/>
    <w:rsid w:val="00782ECD"/>
    <w:rsid w:val="0078454D"/>
    <w:rsid w:val="00784F0C"/>
    <w:rsid w:val="00785232"/>
    <w:rsid w:val="007856C1"/>
    <w:rsid w:val="00786FC1"/>
    <w:rsid w:val="00787BE2"/>
    <w:rsid w:val="00790489"/>
    <w:rsid w:val="007943EB"/>
    <w:rsid w:val="007961E5"/>
    <w:rsid w:val="007A21EB"/>
    <w:rsid w:val="007A2638"/>
    <w:rsid w:val="007A60FD"/>
    <w:rsid w:val="007A66C5"/>
    <w:rsid w:val="007A7D04"/>
    <w:rsid w:val="007B1A93"/>
    <w:rsid w:val="007B1CA5"/>
    <w:rsid w:val="007B24B4"/>
    <w:rsid w:val="007B3B35"/>
    <w:rsid w:val="007B481C"/>
    <w:rsid w:val="007B56E7"/>
    <w:rsid w:val="007B7742"/>
    <w:rsid w:val="007B7F2C"/>
    <w:rsid w:val="007C076A"/>
    <w:rsid w:val="007C2B9F"/>
    <w:rsid w:val="007C36C9"/>
    <w:rsid w:val="007C4006"/>
    <w:rsid w:val="007C7284"/>
    <w:rsid w:val="007D4DD9"/>
    <w:rsid w:val="007D6401"/>
    <w:rsid w:val="007E01E4"/>
    <w:rsid w:val="007E1A53"/>
    <w:rsid w:val="007E7ED1"/>
    <w:rsid w:val="007F4FA4"/>
    <w:rsid w:val="007F5065"/>
    <w:rsid w:val="007F6974"/>
    <w:rsid w:val="007F7107"/>
    <w:rsid w:val="008002E1"/>
    <w:rsid w:val="00801589"/>
    <w:rsid w:val="00801C21"/>
    <w:rsid w:val="0081030F"/>
    <w:rsid w:val="00811352"/>
    <w:rsid w:val="00811AD9"/>
    <w:rsid w:val="00815390"/>
    <w:rsid w:val="00815620"/>
    <w:rsid w:val="00815700"/>
    <w:rsid w:val="0081732B"/>
    <w:rsid w:val="00817FA7"/>
    <w:rsid w:val="00820618"/>
    <w:rsid w:val="0082087D"/>
    <w:rsid w:val="00820C9C"/>
    <w:rsid w:val="00820DDC"/>
    <w:rsid w:val="008221B1"/>
    <w:rsid w:val="008237C8"/>
    <w:rsid w:val="00833E2C"/>
    <w:rsid w:val="00833FC8"/>
    <w:rsid w:val="00834C19"/>
    <w:rsid w:val="00836F77"/>
    <w:rsid w:val="00837AAD"/>
    <w:rsid w:val="00842933"/>
    <w:rsid w:val="00844A74"/>
    <w:rsid w:val="0086082C"/>
    <w:rsid w:val="00864ADC"/>
    <w:rsid w:val="00865982"/>
    <w:rsid w:val="0086605D"/>
    <w:rsid w:val="0086672C"/>
    <w:rsid w:val="00867267"/>
    <w:rsid w:val="00872579"/>
    <w:rsid w:val="00873D9A"/>
    <w:rsid w:val="00874DD6"/>
    <w:rsid w:val="008752AB"/>
    <w:rsid w:val="0087750A"/>
    <w:rsid w:val="00880153"/>
    <w:rsid w:val="0088097D"/>
    <w:rsid w:val="00880F97"/>
    <w:rsid w:val="00881176"/>
    <w:rsid w:val="0088133A"/>
    <w:rsid w:val="008837F2"/>
    <w:rsid w:val="00883D91"/>
    <w:rsid w:val="00884AEA"/>
    <w:rsid w:val="00886F4D"/>
    <w:rsid w:val="0089084B"/>
    <w:rsid w:val="00890D8A"/>
    <w:rsid w:val="008920AC"/>
    <w:rsid w:val="0089285E"/>
    <w:rsid w:val="00892EA9"/>
    <w:rsid w:val="0089436C"/>
    <w:rsid w:val="00896DB5"/>
    <w:rsid w:val="008978E3"/>
    <w:rsid w:val="008979EA"/>
    <w:rsid w:val="008A090B"/>
    <w:rsid w:val="008A1F51"/>
    <w:rsid w:val="008A362B"/>
    <w:rsid w:val="008A3FB0"/>
    <w:rsid w:val="008A54B4"/>
    <w:rsid w:val="008B19E4"/>
    <w:rsid w:val="008B340B"/>
    <w:rsid w:val="008B3E21"/>
    <w:rsid w:val="008C0177"/>
    <w:rsid w:val="008C177A"/>
    <w:rsid w:val="008C674D"/>
    <w:rsid w:val="008D28AE"/>
    <w:rsid w:val="008D365C"/>
    <w:rsid w:val="008D66A6"/>
    <w:rsid w:val="008E222D"/>
    <w:rsid w:val="008E3D11"/>
    <w:rsid w:val="008E7F56"/>
    <w:rsid w:val="008F2BE2"/>
    <w:rsid w:val="008F3A6F"/>
    <w:rsid w:val="008F4E3B"/>
    <w:rsid w:val="0090195A"/>
    <w:rsid w:val="0090208A"/>
    <w:rsid w:val="00903070"/>
    <w:rsid w:val="009030BF"/>
    <w:rsid w:val="009044C8"/>
    <w:rsid w:val="00904E5E"/>
    <w:rsid w:val="00905102"/>
    <w:rsid w:val="009076A9"/>
    <w:rsid w:val="0091032F"/>
    <w:rsid w:val="009118F3"/>
    <w:rsid w:val="00911ABC"/>
    <w:rsid w:val="00911B0A"/>
    <w:rsid w:val="00912A7E"/>
    <w:rsid w:val="009131B3"/>
    <w:rsid w:val="00914368"/>
    <w:rsid w:val="00914725"/>
    <w:rsid w:val="00923211"/>
    <w:rsid w:val="009245C1"/>
    <w:rsid w:val="009249A5"/>
    <w:rsid w:val="0092716A"/>
    <w:rsid w:val="00927621"/>
    <w:rsid w:val="00931076"/>
    <w:rsid w:val="00932A75"/>
    <w:rsid w:val="009345D9"/>
    <w:rsid w:val="00934811"/>
    <w:rsid w:val="00934B15"/>
    <w:rsid w:val="0094170F"/>
    <w:rsid w:val="0094275B"/>
    <w:rsid w:val="0094286D"/>
    <w:rsid w:val="00942B62"/>
    <w:rsid w:val="0094547B"/>
    <w:rsid w:val="00945CA6"/>
    <w:rsid w:val="00947D45"/>
    <w:rsid w:val="00947D8A"/>
    <w:rsid w:val="00947E86"/>
    <w:rsid w:val="00947FB3"/>
    <w:rsid w:val="00950C97"/>
    <w:rsid w:val="00950F6F"/>
    <w:rsid w:val="00951930"/>
    <w:rsid w:val="00951E86"/>
    <w:rsid w:val="009550AB"/>
    <w:rsid w:val="00956A0C"/>
    <w:rsid w:val="00956BD9"/>
    <w:rsid w:val="009573B6"/>
    <w:rsid w:val="00960C61"/>
    <w:rsid w:val="00961893"/>
    <w:rsid w:val="00962489"/>
    <w:rsid w:val="009641B6"/>
    <w:rsid w:val="009642B0"/>
    <w:rsid w:val="00965E1A"/>
    <w:rsid w:val="00966C44"/>
    <w:rsid w:val="009675B0"/>
    <w:rsid w:val="009717F0"/>
    <w:rsid w:val="00972711"/>
    <w:rsid w:val="0097286B"/>
    <w:rsid w:val="00972E0A"/>
    <w:rsid w:val="009775A3"/>
    <w:rsid w:val="0097761F"/>
    <w:rsid w:val="00982B90"/>
    <w:rsid w:val="0098375A"/>
    <w:rsid w:val="00984507"/>
    <w:rsid w:val="00984EE9"/>
    <w:rsid w:val="00987953"/>
    <w:rsid w:val="00987D7E"/>
    <w:rsid w:val="00990C2C"/>
    <w:rsid w:val="0099182D"/>
    <w:rsid w:val="0099194A"/>
    <w:rsid w:val="009926AE"/>
    <w:rsid w:val="00996D57"/>
    <w:rsid w:val="009A2A96"/>
    <w:rsid w:val="009A3B8C"/>
    <w:rsid w:val="009A46C0"/>
    <w:rsid w:val="009A627E"/>
    <w:rsid w:val="009A740A"/>
    <w:rsid w:val="009B5F03"/>
    <w:rsid w:val="009B7CD1"/>
    <w:rsid w:val="009B7F59"/>
    <w:rsid w:val="009C00B6"/>
    <w:rsid w:val="009C0E75"/>
    <w:rsid w:val="009C2FC3"/>
    <w:rsid w:val="009C4538"/>
    <w:rsid w:val="009D1F98"/>
    <w:rsid w:val="009D27C7"/>
    <w:rsid w:val="009D2DCC"/>
    <w:rsid w:val="009D60A2"/>
    <w:rsid w:val="009D6BDC"/>
    <w:rsid w:val="009D6E06"/>
    <w:rsid w:val="009D7530"/>
    <w:rsid w:val="009D78DF"/>
    <w:rsid w:val="009D7F04"/>
    <w:rsid w:val="009E033D"/>
    <w:rsid w:val="009E16DF"/>
    <w:rsid w:val="009E26AA"/>
    <w:rsid w:val="009E2C49"/>
    <w:rsid w:val="009E554C"/>
    <w:rsid w:val="009E5F86"/>
    <w:rsid w:val="009F0D3F"/>
    <w:rsid w:val="009F14D4"/>
    <w:rsid w:val="009F696D"/>
    <w:rsid w:val="009F6BC6"/>
    <w:rsid w:val="009F6F10"/>
    <w:rsid w:val="00A001DB"/>
    <w:rsid w:val="00A00C20"/>
    <w:rsid w:val="00A00D71"/>
    <w:rsid w:val="00A010F7"/>
    <w:rsid w:val="00A03E3D"/>
    <w:rsid w:val="00A05EE8"/>
    <w:rsid w:val="00A06A7D"/>
    <w:rsid w:val="00A11019"/>
    <w:rsid w:val="00A14C6B"/>
    <w:rsid w:val="00A17328"/>
    <w:rsid w:val="00A23A20"/>
    <w:rsid w:val="00A23C55"/>
    <w:rsid w:val="00A26220"/>
    <w:rsid w:val="00A262D6"/>
    <w:rsid w:val="00A268B9"/>
    <w:rsid w:val="00A2703A"/>
    <w:rsid w:val="00A271CC"/>
    <w:rsid w:val="00A30763"/>
    <w:rsid w:val="00A3242B"/>
    <w:rsid w:val="00A33DFF"/>
    <w:rsid w:val="00A342B0"/>
    <w:rsid w:val="00A35115"/>
    <w:rsid w:val="00A35CDB"/>
    <w:rsid w:val="00A36D9A"/>
    <w:rsid w:val="00A37D90"/>
    <w:rsid w:val="00A444EA"/>
    <w:rsid w:val="00A50A40"/>
    <w:rsid w:val="00A52E31"/>
    <w:rsid w:val="00A554AB"/>
    <w:rsid w:val="00A55564"/>
    <w:rsid w:val="00A57332"/>
    <w:rsid w:val="00A64E2C"/>
    <w:rsid w:val="00A67372"/>
    <w:rsid w:val="00A737E3"/>
    <w:rsid w:val="00A748B0"/>
    <w:rsid w:val="00A7552E"/>
    <w:rsid w:val="00A75877"/>
    <w:rsid w:val="00A75948"/>
    <w:rsid w:val="00A7657F"/>
    <w:rsid w:val="00A77FE4"/>
    <w:rsid w:val="00A83CD6"/>
    <w:rsid w:val="00A9110B"/>
    <w:rsid w:val="00A9128C"/>
    <w:rsid w:val="00A91B2D"/>
    <w:rsid w:val="00A921F1"/>
    <w:rsid w:val="00A92860"/>
    <w:rsid w:val="00A92B53"/>
    <w:rsid w:val="00A93BE1"/>
    <w:rsid w:val="00A94FA6"/>
    <w:rsid w:val="00AA49A0"/>
    <w:rsid w:val="00AA4E27"/>
    <w:rsid w:val="00AA4FED"/>
    <w:rsid w:val="00AA52A8"/>
    <w:rsid w:val="00AA6710"/>
    <w:rsid w:val="00AB03D1"/>
    <w:rsid w:val="00AB0681"/>
    <w:rsid w:val="00AB348A"/>
    <w:rsid w:val="00AB34B8"/>
    <w:rsid w:val="00AB7C3D"/>
    <w:rsid w:val="00AC14C7"/>
    <w:rsid w:val="00AC460E"/>
    <w:rsid w:val="00AC612D"/>
    <w:rsid w:val="00AC7397"/>
    <w:rsid w:val="00AD1435"/>
    <w:rsid w:val="00AD440A"/>
    <w:rsid w:val="00AD520B"/>
    <w:rsid w:val="00AD69B8"/>
    <w:rsid w:val="00AD6E75"/>
    <w:rsid w:val="00AD78AB"/>
    <w:rsid w:val="00AD7EBA"/>
    <w:rsid w:val="00AE0C10"/>
    <w:rsid w:val="00AE2F47"/>
    <w:rsid w:val="00AE3038"/>
    <w:rsid w:val="00AE3934"/>
    <w:rsid w:val="00AE3E6A"/>
    <w:rsid w:val="00AE475C"/>
    <w:rsid w:val="00AE4CC3"/>
    <w:rsid w:val="00AE5ED7"/>
    <w:rsid w:val="00AE5F8C"/>
    <w:rsid w:val="00AF1A6E"/>
    <w:rsid w:val="00AF2B80"/>
    <w:rsid w:val="00AF3D3F"/>
    <w:rsid w:val="00B0152E"/>
    <w:rsid w:val="00B03676"/>
    <w:rsid w:val="00B0388C"/>
    <w:rsid w:val="00B044B7"/>
    <w:rsid w:val="00B04BDE"/>
    <w:rsid w:val="00B07B3C"/>
    <w:rsid w:val="00B07CBC"/>
    <w:rsid w:val="00B103B2"/>
    <w:rsid w:val="00B11090"/>
    <w:rsid w:val="00B11ECD"/>
    <w:rsid w:val="00B1618B"/>
    <w:rsid w:val="00B161D8"/>
    <w:rsid w:val="00B1767A"/>
    <w:rsid w:val="00B21670"/>
    <w:rsid w:val="00B24987"/>
    <w:rsid w:val="00B2544F"/>
    <w:rsid w:val="00B25E6C"/>
    <w:rsid w:val="00B25F97"/>
    <w:rsid w:val="00B260E9"/>
    <w:rsid w:val="00B26D19"/>
    <w:rsid w:val="00B273BF"/>
    <w:rsid w:val="00B30436"/>
    <w:rsid w:val="00B32A3A"/>
    <w:rsid w:val="00B337FA"/>
    <w:rsid w:val="00B34A33"/>
    <w:rsid w:val="00B36A0C"/>
    <w:rsid w:val="00B40307"/>
    <w:rsid w:val="00B40787"/>
    <w:rsid w:val="00B43CAC"/>
    <w:rsid w:val="00B440AD"/>
    <w:rsid w:val="00B455C0"/>
    <w:rsid w:val="00B45F1A"/>
    <w:rsid w:val="00B47D82"/>
    <w:rsid w:val="00B52A19"/>
    <w:rsid w:val="00B53E7E"/>
    <w:rsid w:val="00B55E8F"/>
    <w:rsid w:val="00B5620B"/>
    <w:rsid w:val="00B56F85"/>
    <w:rsid w:val="00B61A0A"/>
    <w:rsid w:val="00B62027"/>
    <w:rsid w:val="00B6342E"/>
    <w:rsid w:val="00B658B5"/>
    <w:rsid w:val="00B65E6A"/>
    <w:rsid w:val="00B667C9"/>
    <w:rsid w:val="00B701BE"/>
    <w:rsid w:val="00B701C0"/>
    <w:rsid w:val="00B7100F"/>
    <w:rsid w:val="00B7113F"/>
    <w:rsid w:val="00B717EB"/>
    <w:rsid w:val="00B72416"/>
    <w:rsid w:val="00B735C5"/>
    <w:rsid w:val="00B7428C"/>
    <w:rsid w:val="00B749BA"/>
    <w:rsid w:val="00B763F1"/>
    <w:rsid w:val="00B77C64"/>
    <w:rsid w:val="00B8060F"/>
    <w:rsid w:val="00B816F5"/>
    <w:rsid w:val="00B819A8"/>
    <w:rsid w:val="00B874E7"/>
    <w:rsid w:val="00B9240A"/>
    <w:rsid w:val="00B92A71"/>
    <w:rsid w:val="00B94C4C"/>
    <w:rsid w:val="00B96508"/>
    <w:rsid w:val="00BA61B7"/>
    <w:rsid w:val="00BA66CD"/>
    <w:rsid w:val="00BA73B6"/>
    <w:rsid w:val="00BA7E27"/>
    <w:rsid w:val="00BB0AC3"/>
    <w:rsid w:val="00BB1B5B"/>
    <w:rsid w:val="00BB2603"/>
    <w:rsid w:val="00BB2F51"/>
    <w:rsid w:val="00BB4951"/>
    <w:rsid w:val="00BB4EA5"/>
    <w:rsid w:val="00BB4FCD"/>
    <w:rsid w:val="00BB54BF"/>
    <w:rsid w:val="00BB5C48"/>
    <w:rsid w:val="00BB76AB"/>
    <w:rsid w:val="00BC09F0"/>
    <w:rsid w:val="00BC14DB"/>
    <w:rsid w:val="00BC1B22"/>
    <w:rsid w:val="00BC2663"/>
    <w:rsid w:val="00BC2AE7"/>
    <w:rsid w:val="00BC31B6"/>
    <w:rsid w:val="00BD13EA"/>
    <w:rsid w:val="00BD50F6"/>
    <w:rsid w:val="00BE1DD1"/>
    <w:rsid w:val="00BE2B05"/>
    <w:rsid w:val="00BE3808"/>
    <w:rsid w:val="00BE546B"/>
    <w:rsid w:val="00BE7570"/>
    <w:rsid w:val="00BE7A29"/>
    <w:rsid w:val="00BF625C"/>
    <w:rsid w:val="00BF7296"/>
    <w:rsid w:val="00BF785A"/>
    <w:rsid w:val="00BF7931"/>
    <w:rsid w:val="00C018BE"/>
    <w:rsid w:val="00C039F5"/>
    <w:rsid w:val="00C04B56"/>
    <w:rsid w:val="00C04C30"/>
    <w:rsid w:val="00C062E9"/>
    <w:rsid w:val="00C07B64"/>
    <w:rsid w:val="00C10204"/>
    <w:rsid w:val="00C10C18"/>
    <w:rsid w:val="00C1200E"/>
    <w:rsid w:val="00C13545"/>
    <w:rsid w:val="00C135A6"/>
    <w:rsid w:val="00C13721"/>
    <w:rsid w:val="00C1668D"/>
    <w:rsid w:val="00C17AFA"/>
    <w:rsid w:val="00C218ED"/>
    <w:rsid w:val="00C21A84"/>
    <w:rsid w:val="00C237CC"/>
    <w:rsid w:val="00C24E09"/>
    <w:rsid w:val="00C26019"/>
    <w:rsid w:val="00C27625"/>
    <w:rsid w:val="00C27CA9"/>
    <w:rsid w:val="00C3066D"/>
    <w:rsid w:val="00C31104"/>
    <w:rsid w:val="00C31420"/>
    <w:rsid w:val="00C33503"/>
    <w:rsid w:val="00C346DC"/>
    <w:rsid w:val="00C36934"/>
    <w:rsid w:val="00C375A2"/>
    <w:rsid w:val="00C40723"/>
    <w:rsid w:val="00C40D8F"/>
    <w:rsid w:val="00C4280C"/>
    <w:rsid w:val="00C45D65"/>
    <w:rsid w:val="00C46428"/>
    <w:rsid w:val="00C46B5A"/>
    <w:rsid w:val="00C46E1E"/>
    <w:rsid w:val="00C52270"/>
    <w:rsid w:val="00C53161"/>
    <w:rsid w:val="00C543F4"/>
    <w:rsid w:val="00C568D4"/>
    <w:rsid w:val="00C56E66"/>
    <w:rsid w:val="00C60ECE"/>
    <w:rsid w:val="00C614C6"/>
    <w:rsid w:val="00C6291C"/>
    <w:rsid w:val="00C633CB"/>
    <w:rsid w:val="00C66164"/>
    <w:rsid w:val="00C67A4D"/>
    <w:rsid w:val="00C7105D"/>
    <w:rsid w:val="00C71120"/>
    <w:rsid w:val="00C75139"/>
    <w:rsid w:val="00C76A74"/>
    <w:rsid w:val="00C80774"/>
    <w:rsid w:val="00C819DB"/>
    <w:rsid w:val="00C81D4A"/>
    <w:rsid w:val="00C82285"/>
    <w:rsid w:val="00C822DC"/>
    <w:rsid w:val="00C835D2"/>
    <w:rsid w:val="00C872DE"/>
    <w:rsid w:val="00C8762C"/>
    <w:rsid w:val="00C90DE8"/>
    <w:rsid w:val="00C92C4E"/>
    <w:rsid w:val="00C954BD"/>
    <w:rsid w:val="00C95795"/>
    <w:rsid w:val="00C9602E"/>
    <w:rsid w:val="00C97E71"/>
    <w:rsid w:val="00CA00F9"/>
    <w:rsid w:val="00CA0499"/>
    <w:rsid w:val="00CA0BB9"/>
    <w:rsid w:val="00CA2961"/>
    <w:rsid w:val="00CB2286"/>
    <w:rsid w:val="00CB2D0C"/>
    <w:rsid w:val="00CB3D09"/>
    <w:rsid w:val="00CB50D7"/>
    <w:rsid w:val="00CB5779"/>
    <w:rsid w:val="00CB7177"/>
    <w:rsid w:val="00CB7360"/>
    <w:rsid w:val="00CC1998"/>
    <w:rsid w:val="00CC199E"/>
    <w:rsid w:val="00CC340D"/>
    <w:rsid w:val="00CC4946"/>
    <w:rsid w:val="00CD299B"/>
    <w:rsid w:val="00CD2AEB"/>
    <w:rsid w:val="00CD3576"/>
    <w:rsid w:val="00CD47A0"/>
    <w:rsid w:val="00CD66D1"/>
    <w:rsid w:val="00CE10B4"/>
    <w:rsid w:val="00CE2552"/>
    <w:rsid w:val="00CE6331"/>
    <w:rsid w:val="00CE7A88"/>
    <w:rsid w:val="00CF0B37"/>
    <w:rsid w:val="00CF391D"/>
    <w:rsid w:val="00CF5BBA"/>
    <w:rsid w:val="00CF68A8"/>
    <w:rsid w:val="00CF7128"/>
    <w:rsid w:val="00CF7F23"/>
    <w:rsid w:val="00D020D9"/>
    <w:rsid w:val="00D0322F"/>
    <w:rsid w:val="00D0358E"/>
    <w:rsid w:val="00D05285"/>
    <w:rsid w:val="00D0791A"/>
    <w:rsid w:val="00D126B6"/>
    <w:rsid w:val="00D141C6"/>
    <w:rsid w:val="00D178A2"/>
    <w:rsid w:val="00D20CF1"/>
    <w:rsid w:val="00D236C8"/>
    <w:rsid w:val="00D23802"/>
    <w:rsid w:val="00D251BD"/>
    <w:rsid w:val="00D270A4"/>
    <w:rsid w:val="00D30657"/>
    <w:rsid w:val="00D30E76"/>
    <w:rsid w:val="00D31FE9"/>
    <w:rsid w:val="00D32E3B"/>
    <w:rsid w:val="00D334D6"/>
    <w:rsid w:val="00D34D35"/>
    <w:rsid w:val="00D34E1B"/>
    <w:rsid w:val="00D36170"/>
    <w:rsid w:val="00D364F4"/>
    <w:rsid w:val="00D36A0E"/>
    <w:rsid w:val="00D37664"/>
    <w:rsid w:val="00D376BA"/>
    <w:rsid w:val="00D42485"/>
    <w:rsid w:val="00D4281F"/>
    <w:rsid w:val="00D46287"/>
    <w:rsid w:val="00D500ED"/>
    <w:rsid w:val="00D50B90"/>
    <w:rsid w:val="00D53772"/>
    <w:rsid w:val="00D54AAE"/>
    <w:rsid w:val="00D5568A"/>
    <w:rsid w:val="00D56CB0"/>
    <w:rsid w:val="00D602A3"/>
    <w:rsid w:val="00D63D73"/>
    <w:rsid w:val="00D64452"/>
    <w:rsid w:val="00D64852"/>
    <w:rsid w:val="00D65EA7"/>
    <w:rsid w:val="00D66E1E"/>
    <w:rsid w:val="00D671F4"/>
    <w:rsid w:val="00D7089D"/>
    <w:rsid w:val="00D7152D"/>
    <w:rsid w:val="00D71EBB"/>
    <w:rsid w:val="00D720DA"/>
    <w:rsid w:val="00D733C1"/>
    <w:rsid w:val="00D73A43"/>
    <w:rsid w:val="00D74839"/>
    <w:rsid w:val="00D75722"/>
    <w:rsid w:val="00D76737"/>
    <w:rsid w:val="00D80CF5"/>
    <w:rsid w:val="00D83441"/>
    <w:rsid w:val="00D925B2"/>
    <w:rsid w:val="00D92F18"/>
    <w:rsid w:val="00D965D2"/>
    <w:rsid w:val="00DA09D4"/>
    <w:rsid w:val="00DA171B"/>
    <w:rsid w:val="00DA1E08"/>
    <w:rsid w:val="00DA5299"/>
    <w:rsid w:val="00DA5BBA"/>
    <w:rsid w:val="00DA68E4"/>
    <w:rsid w:val="00DA75C9"/>
    <w:rsid w:val="00DA7BEB"/>
    <w:rsid w:val="00DB3FB6"/>
    <w:rsid w:val="00DB5115"/>
    <w:rsid w:val="00DB5DBA"/>
    <w:rsid w:val="00DB67C9"/>
    <w:rsid w:val="00DB74C4"/>
    <w:rsid w:val="00DC0C95"/>
    <w:rsid w:val="00DC191C"/>
    <w:rsid w:val="00DC27CF"/>
    <w:rsid w:val="00DC29C8"/>
    <w:rsid w:val="00DC42FE"/>
    <w:rsid w:val="00DC5198"/>
    <w:rsid w:val="00DC5B60"/>
    <w:rsid w:val="00DC7352"/>
    <w:rsid w:val="00DC7643"/>
    <w:rsid w:val="00DD18ED"/>
    <w:rsid w:val="00DD3A5E"/>
    <w:rsid w:val="00DD6580"/>
    <w:rsid w:val="00DD7F37"/>
    <w:rsid w:val="00DE1E83"/>
    <w:rsid w:val="00DE3A5F"/>
    <w:rsid w:val="00DE6317"/>
    <w:rsid w:val="00DF0738"/>
    <w:rsid w:val="00DF1230"/>
    <w:rsid w:val="00E04614"/>
    <w:rsid w:val="00E11E0B"/>
    <w:rsid w:val="00E1290F"/>
    <w:rsid w:val="00E135CA"/>
    <w:rsid w:val="00E1369C"/>
    <w:rsid w:val="00E1519A"/>
    <w:rsid w:val="00E15A6C"/>
    <w:rsid w:val="00E17439"/>
    <w:rsid w:val="00E17B17"/>
    <w:rsid w:val="00E17C72"/>
    <w:rsid w:val="00E214FF"/>
    <w:rsid w:val="00E21FC6"/>
    <w:rsid w:val="00E222B7"/>
    <w:rsid w:val="00E26070"/>
    <w:rsid w:val="00E431A9"/>
    <w:rsid w:val="00E43383"/>
    <w:rsid w:val="00E4529A"/>
    <w:rsid w:val="00E54E91"/>
    <w:rsid w:val="00E57520"/>
    <w:rsid w:val="00E60A23"/>
    <w:rsid w:val="00E62CBC"/>
    <w:rsid w:val="00E632B2"/>
    <w:rsid w:val="00E6468C"/>
    <w:rsid w:val="00E65A50"/>
    <w:rsid w:val="00E669E2"/>
    <w:rsid w:val="00E7000A"/>
    <w:rsid w:val="00E70562"/>
    <w:rsid w:val="00E705CC"/>
    <w:rsid w:val="00E71762"/>
    <w:rsid w:val="00E733B5"/>
    <w:rsid w:val="00E76135"/>
    <w:rsid w:val="00E76D67"/>
    <w:rsid w:val="00E819FA"/>
    <w:rsid w:val="00E82F4F"/>
    <w:rsid w:val="00E83C8A"/>
    <w:rsid w:val="00E93565"/>
    <w:rsid w:val="00EA0F76"/>
    <w:rsid w:val="00EA5BF3"/>
    <w:rsid w:val="00EA775E"/>
    <w:rsid w:val="00EB017E"/>
    <w:rsid w:val="00EB14A7"/>
    <w:rsid w:val="00EB4432"/>
    <w:rsid w:val="00EB4A85"/>
    <w:rsid w:val="00EB6AA1"/>
    <w:rsid w:val="00EB76A3"/>
    <w:rsid w:val="00EC2844"/>
    <w:rsid w:val="00EC4EE7"/>
    <w:rsid w:val="00EC5A56"/>
    <w:rsid w:val="00EC74D9"/>
    <w:rsid w:val="00EC7830"/>
    <w:rsid w:val="00ED05BB"/>
    <w:rsid w:val="00ED0D52"/>
    <w:rsid w:val="00ED1539"/>
    <w:rsid w:val="00ED28E5"/>
    <w:rsid w:val="00ED5E45"/>
    <w:rsid w:val="00ED5F5E"/>
    <w:rsid w:val="00EE13BE"/>
    <w:rsid w:val="00EE202B"/>
    <w:rsid w:val="00EE7DB2"/>
    <w:rsid w:val="00EF2DC0"/>
    <w:rsid w:val="00EF2F0C"/>
    <w:rsid w:val="00EF3C38"/>
    <w:rsid w:val="00EF4B83"/>
    <w:rsid w:val="00EF58CC"/>
    <w:rsid w:val="00EF6C6C"/>
    <w:rsid w:val="00F0059F"/>
    <w:rsid w:val="00F00AC3"/>
    <w:rsid w:val="00F0337E"/>
    <w:rsid w:val="00F035B3"/>
    <w:rsid w:val="00F04CB7"/>
    <w:rsid w:val="00F056FC"/>
    <w:rsid w:val="00F05C29"/>
    <w:rsid w:val="00F076F6"/>
    <w:rsid w:val="00F10476"/>
    <w:rsid w:val="00F135D8"/>
    <w:rsid w:val="00F1510A"/>
    <w:rsid w:val="00F157A7"/>
    <w:rsid w:val="00F17091"/>
    <w:rsid w:val="00F174FB"/>
    <w:rsid w:val="00F2266A"/>
    <w:rsid w:val="00F22B4C"/>
    <w:rsid w:val="00F22D2B"/>
    <w:rsid w:val="00F266A4"/>
    <w:rsid w:val="00F30BCD"/>
    <w:rsid w:val="00F31299"/>
    <w:rsid w:val="00F3534A"/>
    <w:rsid w:val="00F35906"/>
    <w:rsid w:val="00F366B3"/>
    <w:rsid w:val="00F40EA6"/>
    <w:rsid w:val="00F43ADF"/>
    <w:rsid w:val="00F43C07"/>
    <w:rsid w:val="00F4439C"/>
    <w:rsid w:val="00F44B34"/>
    <w:rsid w:val="00F44E24"/>
    <w:rsid w:val="00F463C8"/>
    <w:rsid w:val="00F464BE"/>
    <w:rsid w:val="00F50F90"/>
    <w:rsid w:val="00F53BD9"/>
    <w:rsid w:val="00F54ACE"/>
    <w:rsid w:val="00F552F4"/>
    <w:rsid w:val="00F56BE4"/>
    <w:rsid w:val="00F6028E"/>
    <w:rsid w:val="00F602FC"/>
    <w:rsid w:val="00F61B9F"/>
    <w:rsid w:val="00F64DE1"/>
    <w:rsid w:val="00F67A91"/>
    <w:rsid w:val="00F70EF4"/>
    <w:rsid w:val="00F740E0"/>
    <w:rsid w:val="00F75006"/>
    <w:rsid w:val="00F760A3"/>
    <w:rsid w:val="00F76954"/>
    <w:rsid w:val="00F77F27"/>
    <w:rsid w:val="00F82D84"/>
    <w:rsid w:val="00F834DE"/>
    <w:rsid w:val="00F85325"/>
    <w:rsid w:val="00F877E3"/>
    <w:rsid w:val="00F908F6"/>
    <w:rsid w:val="00F93AE4"/>
    <w:rsid w:val="00FA1575"/>
    <w:rsid w:val="00FA2958"/>
    <w:rsid w:val="00FA6874"/>
    <w:rsid w:val="00FB087A"/>
    <w:rsid w:val="00FB0EF8"/>
    <w:rsid w:val="00FB2F25"/>
    <w:rsid w:val="00FB4C4E"/>
    <w:rsid w:val="00FB60A0"/>
    <w:rsid w:val="00FB617B"/>
    <w:rsid w:val="00FB6DB0"/>
    <w:rsid w:val="00FC115F"/>
    <w:rsid w:val="00FC1652"/>
    <w:rsid w:val="00FC3061"/>
    <w:rsid w:val="00FC7B5B"/>
    <w:rsid w:val="00FC7C51"/>
    <w:rsid w:val="00FD0822"/>
    <w:rsid w:val="00FD12B1"/>
    <w:rsid w:val="00FD155A"/>
    <w:rsid w:val="00FD22B1"/>
    <w:rsid w:val="00FD24F5"/>
    <w:rsid w:val="00FD25F4"/>
    <w:rsid w:val="00FD691C"/>
    <w:rsid w:val="00FD70FB"/>
    <w:rsid w:val="00FE3068"/>
    <w:rsid w:val="00FF0642"/>
    <w:rsid w:val="00FF1095"/>
    <w:rsid w:val="00FF1B32"/>
    <w:rsid w:val="00FF4228"/>
    <w:rsid w:val="00FF456A"/>
    <w:rsid w:val="00FF58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20461"/>
    <w:rPr>
      <w:sz w:val="26"/>
      <w:szCs w:val="24"/>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uiPriority w:val="99"/>
    <w:qFormat/>
    <w:rsid w:val="00A17328"/>
    <w:pPr>
      <w:outlineLvl w:val="4"/>
    </w:pPr>
    <w:rPr>
      <w:rFonts w:ascii="Times New Roman" w:hAnsi="Times New Roman"/>
      <w:sz w:val="26"/>
    </w:rPr>
  </w:style>
  <w:style w:type="paragraph" w:styleId="Heading6">
    <w:name w:val="heading 6"/>
    <w:basedOn w:val="BodyText"/>
    <w:next w:val="BodyText"/>
    <w:link w:val="Heading6Char"/>
    <w:uiPriority w:val="99"/>
    <w:qFormat/>
    <w:rsid w:val="00A17328"/>
    <w:pPr>
      <w:spacing w:after="60"/>
      <w:jc w:val="left"/>
      <w:outlineLvl w:val="5"/>
    </w:pPr>
    <w:rPr>
      <w:i/>
      <w:sz w:val="22"/>
    </w:rPr>
  </w:style>
  <w:style w:type="paragraph" w:styleId="Heading7">
    <w:name w:val="heading 7"/>
    <w:basedOn w:val="BodyText"/>
    <w:next w:val="BodyText"/>
    <w:link w:val="Heading7Char"/>
    <w:uiPriority w:val="99"/>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uiPriority w:val="99"/>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uiPriority w:val="99"/>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65A50"/>
    <w:rPr>
      <w:rFonts w:ascii="Cambria" w:hAnsi="Cambria" w:cs="Times New Roman"/>
      <w:b/>
      <w:bCs/>
      <w:kern w:val="32"/>
      <w:sz w:val="32"/>
      <w:szCs w:val="32"/>
    </w:rPr>
  </w:style>
  <w:style w:type="character" w:customStyle="1" w:styleId="Heading2Char">
    <w:name w:val="Heading 2 Char"/>
    <w:link w:val="Heading2"/>
    <w:uiPriority w:val="99"/>
    <w:locked/>
    <w:rsid w:val="00BE1DD1"/>
    <w:rPr>
      <w:rFonts w:ascii="Arial" w:hAnsi="Arial" w:cs="Times New Roman"/>
      <w:b/>
      <w:sz w:val="32"/>
    </w:rPr>
  </w:style>
  <w:style w:type="character" w:customStyle="1" w:styleId="Heading3Char">
    <w:name w:val="Heading 3 Char"/>
    <w:link w:val="Heading3"/>
    <w:uiPriority w:val="99"/>
    <w:locked/>
    <w:rsid w:val="00066C09"/>
    <w:rPr>
      <w:rFonts w:ascii="Arial" w:hAnsi="Arial" w:cs="Times New Roman"/>
      <w:b/>
      <w:sz w:val="26"/>
    </w:rPr>
  </w:style>
  <w:style w:type="character" w:customStyle="1" w:styleId="Heading4Char">
    <w:name w:val="Heading 4 Char"/>
    <w:link w:val="Heading4"/>
    <w:uiPriority w:val="99"/>
    <w:locked/>
    <w:rsid w:val="000D63BB"/>
    <w:rPr>
      <w:rFonts w:ascii="Arial" w:hAnsi="Arial" w:cs="Times New Roman"/>
      <w:i/>
      <w:sz w:val="24"/>
    </w:rPr>
  </w:style>
  <w:style w:type="character" w:customStyle="1" w:styleId="Heading5Char">
    <w:name w:val="Heading 5 Char"/>
    <w:link w:val="Heading5"/>
    <w:uiPriority w:val="99"/>
    <w:semiHidden/>
    <w:locked/>
    <w:rsid w:val="00E65A50"/>
    <w:rPr>
      <w:rFonts w:ascii="Calibri" w:hAnsi="Calibri" w:cs="Times New Roman"/>
      <w:b/>
      <w:bCs/>
      <w:i/>
      <w:iCs/>
      <w:sz w:val="26"/>
      <w:szCs w:val="26"/>
    </w:rPr>
  </w:style>
  <w:style w:type="character" w:customStyle="1" w:styleId="Heading6Char">
    <w:name w:val="Heading 6 Char"/>
    <w:link w:val="Heading6"/>
    <w:uiPriority w:val="99"/>
    <w:semiHidden/>
    <w:locked/>
    <w:rsid w:val="00E65A50"/>
    <w:rPr>
      <w:rFonts w:ascii="Calibri" w:hAnsi="Calibri" w:cs="Times New Roman"/>
      <w:b/>
      <w:bCs/>
    </w:rPr>
  </w:style>
  <w:style w:type="character" w:customStyle="1" w:styleId="Heading7Char">
    <w:name w:val="Heading 7 Char"/>
    <w:link w:val="Heading7"/>
    <w:uiPriority w:val="99"/>
    <w:semiHidden/>
    <w:locked/>
    <w:rsid w:val="00E65A50"/>
    <w:rPr>
      <w:rFonts w:ascii="Calibri" w:hAnsi="Calibri" w:cs="Times New Roman"/>
      <w:sz w:val="24"/>
      <w:szCs w:val="24"/>
    </w:rPr>
  </w:style>
  <w:style w:type="character" w:customStyle="1" w:styleId="Heading8Char">
    <w:name w:val="Heading 8 Char"/>
    <w:link w:val="Heading8"/>
    <w:uiPriority w:val="99"/>
    <w:semiHidden/>
    <w:locked/>
    <w:rsid w:val="00E65A50"/>
    <w:rPr>
      <w:rFonts w:ascii="Calibri" w:hAnsi="Calibri" w:cs="Times New Roman"/>
      <w:i/>
      <w:iCs/>
      <w:sz w:val="24"/>
      <w:szCs w:val="24"/>
    </w:rPr>
  </w:style>
  <w:style w:type="character" w:customStyle="1" w:styleId="Heading9Char">
    <w:name w:val="Heading 9 Char"/>
    <w:link w:val="Heading9"/>
    <w:uiPriority w:val="99"/>
    <w:semiHidden/>
    <w:locked/>
    <w:rsid w:val="00E65A50"/>
    <w:rPr>
      <w:rFonts w:ascii="Cambria" w:hAnsi="Cambria" w:cs="Times New Roman"/>
    </w:rPr>
  </w:style>
  <w:style w:type="paragraph" w:styleId="BodyText">
    <w:name w:val="Body Text"/>
    <w:basedOn w:val="Normal"/>
    <w:link w:val="BodyTextChar"/>
    <w:qFormat/>
    <w:rsid w:val="009345D9"/>
    <w:pPr>
      <w:spacing w:before="240" w:line="320" w:lineRule="atLeast"/>
      <w:jc w:val="both"/>
    </w:pPr>
    <w:rPr>
      <w:szCs w:val="20"/>
    </w:rPr>
  </w:style>
  <w:style w:type="character" w:customStyle="1" w:styleId="BodyTextChar">
    <w:name w:val="Body Text Char"/>
    <w:link w:val="BodyText"/>
    <w:locked/>
    <w:rsid w:val="00066C09"/>
    <w:rPr>
      <w:rFonts w:cs="Times New Roman"/>
      <w:sz w:val="26"/>
      <w:lang w:val="en-AU" w:eastAsia="en-AU" w:bidi="ar-SA"/>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character" w:customStyle="1" w:styleId="FooterChar">
    <w:name w:val="Footer Char"/>
    <w:link w:val="Footer"/>
    <w:uiPriority w:val="99"/>
    <w:semiHidden/>
    <w:locked/>
    <w:rsid w:val="00E65A50"/>
    <w:rPr>
      <w:rFonts w:cs="Times New Roman"/>
      <w:sz w:val="24"/>
      <w:szCs w:val="24"/>
    </w:rPr>
  </w:style>
  <w:style w:type="paragraph" w:customStyle="1" w:styleId="FooterEnd">
    <w:name w:val="Footer End"/>
    <w:basedOn w:val="Footer"/>
    <w:uiPriority w:val="99"/>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link w:val="Header"/>
    <w:uiPriority w:val="99"/>
    <w:semiHidden/>
    <w:locked/>
    <w:rsid w:val="00E65A50"/>
    <w:rPr>
      <w:rFonts w:cs="Times New Roman"/>
      <w:sz w:val="24"/>
      <w:szCs w:val="24"/>
    </w:rPr>
  </w:style>
  <w:style w:type="paragraph" w:customStyle="1" w:styleId="HeaderEnd">
    <w:name w:val="Header End"/>
    <w:basedOn w:val="Header"/>
    <w:autoRedefine/>
    <w:uiPriority w:val="99"/>
    <w:rsid w:val="00914368"/>
    <w:pPr>
      <w:spacing w:line="20" w:lineRule="exact"/>
    </w:pPr>
    <w:rPr>
      <w:sz w:val="16"/>
    </w:rPr>
  </w:style>
  <w:style w:type="paragraph" w:customStyle="1" w:styleId="HeaderEven">
    <w:name w:val="Header Even"/>
    <w:basedOn w:val="Header"/>
    <w:uiPriority w:val="99"/>
    <w:semiHidden/>
    <w:rsid w:val="00C543F4"/>
  </w:style>
  <w:style w:type="paragraph" w:customStyle="1" w:styleId="HeaderOdd">
    <w:name w:val="Header Odd"/>
    <w:basedOn w:val="Header"/>
    <w:uiPriority w:val="99"/>
    <w:semiHidden/>
    <w:rsid w:val="00C543F4"/>
  </w:style>
  <w:style w:type="character" w:styleId="PageNumber">
    <w:name w:val="page number"/>
    <w:uiPriority w:val="99"/>
    <w:rsid w:val="00A17328"/>
    <w:rPr>
      <w:rFonts w:ascii="Arial" w:hAnsi="Arial" w:cs="Times New Roman"/>
      <w:b/>
      <w:sz w:val="16"/>
    </w:rPr>
  </w:style>
  <w:style w:type="paragraph" w:customStyle="1" w:styleId="Abbreviation">
    <w:name w:val="Abbreviation"/>
    <w:basedOn w:val="BodyText"/>
    <w:uiPriority w:val="99"/>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uiPriority w:val="99"/>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uiPriority w:val="99"/>
    <w:rsid w:val="00DB67C9"/>
    <w:pPr>
      <w:keepNext/>
      <w:numPr>
        <w:numId w:val="7"/>
      </w:numPr>
      <w:spacing w:before="120" w:line="280" w:lineRule="atLeast"/>
    </w:pPr>
    <w:rPr>
      <w:rFonts w:ascii="Arial" w:hAnsi="Arial"/>
      <w:sz w:val="22"/>
    </w:rPr>
  </w:style>
  <w:style w:type="paragraph" w:customStyle="1" w:styleId="BoxListBullet2">
    <w:name w:val="Box List Bullet 2"/>
    <w:basedOn w:val="BodyText"/>
    <w:uiPriority w:val="99"/>
    <w:rsid w:val="00DB67C9"/>
    <w:pPr>
      <w:keepNext/>
      <w:numPr>
        <w:numId w:val="8"/>
      </w:numPr>
      <w:tabs>
        <w:tab w:val="left" w:pos="284"/>
      </w:tabs>
      <w:spacing w:before="60" w:line="280" w:lineRule="atLeast"/>
    </w:pPr>
    <w:rPr>
      <w:rFonts w:ascii="Arial" w:hAnsi="Arial"/>
      <w:sz w:val="22"/>
    </w:rPr>
  </w:style>
  <w:style w:type="paragraph" w:customStyle="1" w:styleId="BoxListNumber">
    <w:name w:val="Box List Number"/>
    <w:basedOn w:val="BodyText"/>
    <w:uiPriority w:val="99"/>
    <w:rsid w:val="00864ADC"/>
    <w:pPr>
      <w:keepNext/>
      <w:numPr>
        <w:numId w:val="19"/>
      </w:numPr>
      <w:spacing w:before="120" w:line="280" w:lineRule="atLeast"/>
    </w:pPr>
    <w:rPr>
      <w:rFonts w:ascii="Arial" w:hAnsi="Arial"/>
      <w:sz w:val="22"/>
    </w:rPr>
  </w:style>
  <w:style w:type="paragraph" w:customStyle="1" w:styleId="BoxListNumber2">
    <w:name w:val="Box List Number 2"/>
    <w:basedOn w:val="BoxListNumber"/>
    <w:uiPriority w:val="99"/>
    <w:rsid w:val="00864ADC"/>
    <w:pPr>
      <w:numPr>
        <w:ilvl w:val="1"/>
      </w:numPr>
      <w:tabs>
        <w:tab w:val="num" w:pos="1021"/>
      </w:tabs>
      <w:spacing w:before="60"/>
    </w:pPr>
  </w:style>
  <w:style w:type="paragraph" w:customStyle="1" w:styleId="BoxQuote">
    <w:name w:val="Box Quote"/>
    <w:basedOn w:val="BodyText"/>
    <w:next w:val="Box"/>
    <w:uiPriority w:val="99"/>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uiPriority w:val="99"/>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uiPriority w:val="99"/>
    <w:rsid w:val="00A17328"/>
    <w:pPr>
      <w:spacing w:after="80" w:line="200" w:lineRule="exact"/>
      <w:ind w:firstLine="0"/>
    </w:pPr>
    <w:rPr>
      <w:b w:val="0"/>
      <w:sz w:val="20"/>
    </w:rPr>
  </w:style>
  <w:style w:type="paragraph" w:customStyle="1" w:styleId="Chapter">
    <w:name w:val="Chapter"/>
    <w:basedOn w:val="Heading1"/>
    <w:next w:val="BodyText"/>
    <w:uiPriority w:val="99"/>
    <w:semiHidden/>
    <w:rsid w:val="00A17328"/>
    <w:pPr>
      <w:ind w:left="0" w:firstLine="0"/>
      <w:outlineLvl w:val="9"/>
    </w:pPr>
  </w:style>
  <w:style w:type="paragraph" w:customStyle="1" w:styleId="ChapterSummary">
    <w:name w:val="Chapter Summary"/>
    <w:basedOn w:val="BodyText"/>
    <w:uiPriority w:val="99"/>
    <w:rsid w:val="00A17328"/>
    <w:pPr>
      <w:ind w:left="907"/>
    </w:pPr>
    <w:rPr>
      <w:rFonts w:ascii="Arial" w:hAnsi="Arial"/>
      <w:b/>
      <w:sz w:val="22"/>
    </w:rPr>
  </w:style>
  <w:style w:type="character" w:styleId="CommentReference">
    <w:name w:val="annotation reference"/>
    <w:uiPriority w:val="99"/>
    <w:semiHidden/>
    <w:rsid w:val="00A17328"/>
    <w:rPr>
      <w:rFonts w:cs="Times New Roman"/>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character" w:customStyle="1" w:styleId="CommentTextChar">
    <w:name w:val="Comment Text Char"/>
    <w:link w:val="CommentText"/>
    <w:uiPriority w:val="99"/>
    <w:semiHidden/>
    <w:locked/>
    <w:rsid w:val="00066C09"/>
    <w:rPr>
      <w:rFonts w:cs="Times New Roman"/>
      <w:sz w:val="24"/>
      <w:szCs w:val="24"/>
    </w:rPr>
  </w:style>
  <w:style w:type="paragraph" w:customStyle="1" w:styleId="Continued">
    <w:name w:val="Continued"/>
    <w:basedOn w:val="BoxContinued"/>
    <w:next w:val="BodyText"/>
    <w:uiPriority w:val="99"/>
    <w:rsid w:val="00A17328"/>
  </w:style>
  <w:style w:type="character" w:customStyle="1" w:styleId="DocumentInfo">
    <w:name w:val="Document Info"/>
    <w:uiPriority w:val="99"/>
    <w:semiHidden/>
    <w:rsid w:val="00A17328"/>
    <w:rPr>
      <w:rFonts w:ascii="Arial" w:hAnsi="Arial" w:cs="Times New Roman"/>
      <w:sz w:val="14"/>
    </w:rPr>
  </w:style>
  <w:style w:type="character" w:customStyle="1" w:styleId="DraftingNote">
    <w:name w:val="Drafting Note"/>
    <w:uiPriority w:val="99"/>
    <w:rsid w:val="00A17328"/>
    <w:rPr>
      <w:rFonts w:cs="Times New Roman"/>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link w:val="Subtitle"/>
    <w:locked/>
    <w:rsid w:val="00F10476"/>
    <w:rPr>
      <w:rFonts w:ascii="Arial" w:hAnsi="Arial" w:cs="Times New Roman"/>
      <w:sz w:val="24"/>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9"/>
      </w:numPr>
      <w:spacing w:before="80"/>
    </w:pPr>
  </w:style>
  <w:style w:type="paragraph" w:customStyle="1" w:styleId="FindingNoTitle">
    <w:name w:val="Finding NoTitle"/>
    <w:basedOn w:val="Finding"/>
    <w:uiPriority w:val="99"/>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uiPriority w:val="99"/>
    <w:semiHidden/>
    <w:rsid w:val="00A17328"/>
    <w:rPr>
      <w:rFonts w:ascii="Times New Roman" w:hAnsi="Times New Roman" w:cs="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character" w:customStyle="1" w:styleId="FootnoteTextChar">
    <w:name w:val="Footnote Text Char"/>
    <w:link w:val="FootnoteText"/>
    <w:uiPriority w:val="99"/>
    <w:semiHidden/>
    <w:locked/>
    <w:rsid w:val="00E65A50"/>
    <w:rPr>
      <w:rFonts w:cs="Times New Roman"/>
      <w:sz w:val="20"/>
      <w:szCs w:val="20"/>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uiPriority w:val="99"/>
    <w:rsid w:val="00A17328"/>
    <w:pPr>
      <w:spacing w:after="140"/>
      <w:jc w:val="both"/>
    </w:pPr>
    <w:rPr>
      <w:rFonts w:ascii="Arial" w:hAnsi="Arial"/>
      <w:sz w:val="24"/>
      <w:lang w:eastAsia="en-US"/>
    </w:rPr>
  </w:style>
  <w:style w:type="paragraph" w:customStyle="1" w:styleId="Jurisdictioncommentsheading">
    <w:name w:val="Jurisdiction comments heading"/>
    <w:uiPriority w:val="99"/>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uiPriority w:val="99"/>
    <w:rsid w:val="00A17328"/>
    <w:pPr>
      <w:numPr>
        <w:numId w:val="10"/>
      </w:numPr>
      <w:spacing w:after="140"/>
      <w:jc w:val="both"/>
    </w:pPr>
    <w:rPr>
      <w:rFonts w:ascii="Arial" w:hAnsi="Arial"/>
      <w:sz w:val="24"/>
      <w:lang w:eastAsia="en-US"/>
    </w:rPr>
  </w:style>
  <w:style w:type="paragraph" w:styleId="ListBullet">
    <w:name w:val="List Bullet"/>
    <w:basedOn w:val="BodyText"/>
    <w:link w:val="ListBulletChar"/>
    <w:uiPriority w:val="99"/>
    <w:rsid w:val="00DB67C9"/>
    <w:pPr>
      <w:numPr>
        <w:numId w:val="11"/>
      </w:numPr>
      <w:spacing w:before="120"/>
    </w:pPr>
  </w:style>
  <w:style w:type="paragraph" w:styleId="ListBullet2">
    <w:name w:val="List Bullet 2"/>
    <w:basedOn w:val="BodyText"/>
    <w:uiPriority w:val="99"/>
    <w:rsid w:val="00DB67C9"/>
    <w:pPr>
      <w:numPr>
        <w:numId w:val="12"/>
      </w:numPr>
      <w:spacing w:before="120"/>
    </w:pPr>
  </w:style>
  <w:style w:type="paragraph" w:styleId="ListBullet3">
    <w:name w:val="List Bullet 3"/>
    <w:basedOn w:val="BodyText"/>
    <w:uiPriority w:val="99"/>
    <w:rsid w:val="00DB67C9"/>
    <w:pPr>
      <w:numPr>
        <w:numId w:val="13"/>
      </w:numPr>
      <w:spacing w:before="120"/>
    </w:pPr>
  </w:style>
  <w:style w:type="paragraph" w:styleId="ListNumber">
    <w:name w:val="List Number"/>
    <w:basedOn w:val="BodyText"/>
    <w:uiPriority w:val="99"/>
    <w:rsid w:val="00864ADC"/>
    <w:pPr>
      <w:numPr>
        <w:numId w:val="18"/>
      </w:numPr>
      <w:spacing w:before="120"/>
    </w:pPr>
  </w:style>
  <w:style w:type="paragraph" w:styleId="ListNumber2">
    <w:name w:val="List Number 2"/>
    <w:basedOn w:val="ListNumber"/>
    <w:uiPriority w:val="99"/>
    <w:rsid w:val="00864ADC"/>
    <w:pPr>
      <w:numPr>
        <w:ilvl w:val="1"/>
      </w:numPr>
    </w:pPr>
  </w:style>
  <w:style w:type="paragraph" w:styleId="ListNumber3">
    <w:name w:val="List Number 3"/>
    <w:basedOn w:val="ListNumber2"/>
    <w:uiPriority w:val="99"/>
    <w:rsid w:val="00864ADC"/>
    <w:pPr>
      <w:numPr>
        <w:ilvl w:val="2"/>
      </w:numPr>
      <w:tabs>
        <w:tab w:val="num" w:pos="680"/>
        <w:tab w:val="num" w:pos="794"/>
      </w:tabs>
    </w:pPr>
  </w:style>
  <w:style w:type="character" w:customStyle="1" w:styleId="NoteLabel">
    <w:name w:val="Note Label"/>
    <w:rsid w:val="00A17328"/>
    <w:rPr>
      <w:rFonts w:ascii="Arial" w:hAnsi="Arial" w:cs="Times New Roman"/>
      <w:b/>
      <w:position w:val="6"/>
      <w:sz w:val="18"/>
    </w:rPr>
  </w:style>
  <w:style w:type="paragraph" w:customStyle="1" w:styleId="PartDivider">
    <w:name w:val="Part Divider"/>
    <w:basedOn w:val="BodyText"/>
    <w:next w:val="BodyText"/>
    <w:uiPriority w:val="99"/>
    <w:semiHidden/>
    <w:rsid w:val="00A17328"/>
    <w:pPr>
      <w:spacing w:before="0" w:line="40" w:lineRule="exact"/>
      <w:jc w:val="right"/>
    </w:pPr>
    <w:rPr>
      <w:smallCaps/>
      <w:sz w:val="16"/>
    </w:rPr>
  </w:style>
  <w:style w:type="paragraph" w:customStyle="1" w:styleId="PartNumber">
    <w:name w:val="Part Number"/>
    <w:basedOn w:val="BodyText"/>
    <w:next w:val="BodyText"/>
    <w:uiPriority w:val="99"/>
    <w:semiHidden/>
    <w:rsid w:val="00A17328"/>
    <w:pPr>
      <w:spacing w:before="4000" w:line="320" w:lineRule="exact"/>
      <w:ind w:left="6634"/>
      <w:jc w:val="right"/>
    </w:pPr>
    <w:rPr>
      <w:smallCaps/>
      <w:spacing w:val="60"/>
      <w:sz w:val="32"/>
    </w:rPr>
  </w:style>
  <w:style w:type="paragraph" w:customStyle="1" w:styleId="PartTitle">
    <w:name w:val="Part Title"/>
    <w:basedOn w:val="BodyText"/>
    <w:uiPriority w:val="99"/>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character" w:customStyle="1" w:styleId="QuoteChar">
    <w:name w:val="Quote Char"/>
    <w:link w:val="Quote"/>
    <w:uiPriority w:val="99"/>
    <w:locked/>
    <w:rsid w:val="00066C09"/>
    <w:rPr>
      <w:rFonts w:cs="Times New Roman"/>
      <w:sz w:val="24"/>
    </w:rPr>
  </w:style>
  <w:style w:type="paragraph" w:customStyle="1" w:styleId="QuoteBullet">
    <w:name w:val="Quote Bullet"/>
    <w:basedOn w:val="Quote"/>
    <w:uiPriority w:val="99"/>
    <w:rsid w:val="00323E09"/>
    <w:pPr>
      <w:numPr>
        <w:numId w:val="14"/>
      </w:numPr>
    </w:pPr>
  </w:style>
  <w:style w:type="paragraph" w:customStyle="1" w:styleId="Rec">
    <w:name w:val="Rec"/>
    <w:basedOn w:val="BodyText"/>
    <w:uiPriority w:val="99"/>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uiPriority w:val="99"/>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uiPriority w:val="99"/>
    <w:semiHidden/>
    <w:rsid w:val="00F85325"/>
    <w:pPr>
      <w:numPr>
        <w:numId w:val="20"/>
      </w:numPr>
      <w:spacing w:before="80"/>
    </w:pPr>
  </w:style>
  <w:style w:type="paragraph" w:customStyle="1" w:styleId="RecBNoTitle">
    <w:name w:val="RecB NoTitle"/>
    <w:basedOn w:val="RecB"/>
    <w:uiPriority w:val="99"/>
    <w:semiHidden/>
    <w:rsid w:val="00F85325"/>
    <w:pPr>
      <w:spacing w:before="240"/>
    </w:pPr>
  </w:style>
  <w:style w:type="paragraph" w:customStyle="1" w:styleId="Reference">
    <w:name w:val="Reference"/>
    <w:basedOn w:val="BodyText"/>
    <w:uiPriority w:val="99"/>
    <w:rsid w:val="00A17328"/>
    <w:pPr>
      <w:spacing w:before="120"/>
      <w:ind w:left="340" w:hanging="340"/>
    </w:pPr>
  </w:style>
  <w:style w:type="paragraph" w:customStyle="1" w:styleId="SequenceInfo">
    <w:name w:val="Sequence Info"/>
    <w:basedOn w:val="BodyText"/>
    <w:uiPriority w:val="99"/>
    <w:semiHidden/>
    <w:rsid w:val="00A17328"/>
    <w:rPr>
      <w:vanish/>
      <w:sz w:val="16"/>
    </w:rPr>
  </w:style>
  <w:style w:type="paragraph" w:customStyle="1" w:styleId="SideNote">
    <w:name w:val="Side Note"/>
    <w:basedOn w:val="BodyText"/>
    <w:next w:val="BodyText"/>
    <w:uiPriority w:val="99"/>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uiPriority w:val="99"/>
    <w:semiHidden/>
    <w:rsid w:val="00A17328"/>
    <w:pPr>
      <w:framePr w:wrap="around"/>
      <w:numPr>
        <w:numId w:val="16"/>
      </w:numPr>
      <w:tabs>
        <w:tab w:val="left" w:pos="227"/>
      </w:tabs>
    </w:pPr>
  </w:style>
  <w:style w:type="paragraph" w:customStyle="1" w:styleId="SideNoteGraphic">
    <w:name w:val="Side Note Graphic"/>
    <w:basedOn w:val="SideNote"/>
    <w:next w:val="BodyText"/>
    <w:uiPriority w:val="99"/>
    <w:semiHidden/>
    <w:rsid w:val="00A17328"/>
    <w:pPr>
      <w:framePr w:wrap="around"/>
    </w:pPr>
  </w:style>
  <w:style w:type="paragraph" w:customStyle="1" w:styleId="TableBodyText">
    <w:name w:val="Table Body Text"/>
    <w:basedOn w:val="BodyText"/>
    <w:uiPriority w:val="99"/>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uiPriority w:val="99"/>
    <w:rsid w:val="00323E09"/>
    <w:pPr>
      <w:numPr>
        <w:numId w:val="17"/>
      </w:numPr>
      <w:jc w:val="left"/>
    </w:pPr>
  </w:style>
  <w:style w:type="paragraph" w:customStyle="1" w:styleId="TableColumnHeading">
    <w:name w:val="Table Column Heading"/>
    <w:basedOn w:val="TableBodyText"/>
    <w:uiPriority w:val="99"/>
    <w:rsid w:val="00A17328"/>
    <w:pPr>
      <w:spacing w:before="80" w:after="80"/>
    </w:pPr>
    <w:rPr>
      <w:i/>
    </w:rPr>
  </w:style>
  <w:style w:type="paragraph" w:styleId="TOC2">
    <w:name w:val="toc 2"/>
    <w:basedOn w:val="BodyText"/>
    <w:uiPriority w:val="99"/>
    <w:semiHidden/>
    <w:rsid w:val="00A17328"/>
    <w:pPr>
      <w:tabs>
        <w:tab w:val="right" w:pos="8789"/>
      </w:tabs>
      <w:ind w:left="510" w:right="851" w:hanging="510"/>
      <w:jc w:val="left"/>
    </w:pPr>
    <w:rPr>
      <w:b/>
    </w:rPr>
  </w:style>
  <w:style w:type="paragraph" w:styleId="TOC3">
    <w:name w:val="toc 3"/>
    <w:basedOn w:val="TOC2"/>
    <w:uiPriority w:val="99"/>
    <w:semiHidden/>
    <w:rsid w:val="00A17328"/>
    <w:pPr>
      <w:spacing w:before="60"/>
      <w:ind w:left="1190" w:hanging="680"/>
    </w:pPr>
    <w:rPr>
      <w:b w:val="0"/>
    </w:rPr>
  </w:style>
  <w:style w:type="paragraph" w:styleId="TableofFigures">
    <w:name w:val="table of figures"/>
    <w:basedOn w:val="TOC3"/>
    <w:next w:val="BodyText"/>
    <w:uiPriority w:val="99"/>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uiPriority w:val="99"/>
    <w:rsid w:val="00A17328"/>
    <w:pPr>
      <w:spacing w:before="80" w:after="80"/>
    </w:pPr>
  </w:style>
  <w:style w:type="paragraph" w:styleId="TOC1">
    <w:name w:val="toc 1"/>
    <w:basedOn w:val="Normal"/>
    <w:next w:val="TOC2"/>
    <w:uiPriority w:val="99"/>
    <w:semiHidden/>
    <w:rsid w:val="00A17328"/>
    <w:pPr>
      <w:tabs>
        <w:tab w:val="right" w:pos="8789"/>
      </w:tabs>
      <w:spacing w:before="480" w:after="60" w:line="320" w:lineRule="exact"/>
      <w:ind w:left="1191" w:right="851" w:hanging="1191"/>
    </w:pPr>
    <w:rPr>
      <w:b/>
      <w:caps/>
    </w:rPr>
  </w:style>
  <w:style w:type="paragraph" w:styleId="TOC4">
    <w:name w:val="toc 4"/>
    <w:basedOn w:val="TOC3"/>
    <w:uiPriority w:val="99"/>
    <w:semiHidden/>
    <w:rsid w:val="00A17328"/>
    <w:pPr>
      <w:ind w:left="1191" w:firstLine="0"/>
    </w:pPr>
  </w:style>
  <w:style w:type="paragraph" w:customStyle="1" w:styleId="RecBBullet2">
    <w:name w:val="RecB Bullet 2"/>
    <w:basedOn w:val="ListBullet2"/>
    <w:uiPriority w:val="99"/>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link w:val="BalloonText"/>
    <w:uiPriority w:val="99"/>
    <w:locked/>
    <w:rsid w:val="006B2B3C"/>
    <w:rPr>
      <w:rFonts w:ascii="Tahoma" w:hAnsi="Tahoma" w:cs="Tahoma"/>
      <w:sz w:val="16"/>
      <w:szCs w:val="16"/>
    </w:rPr>
  </w:style>
  <w:style w:type="paragraph" w:customStyle="1" w:styleId="BoxListBullet3">
    <w:name w:val="Box List Bullet 3"/>
    <w:basedOn w:val="ListBullet3"/>
    <w:uiPriority w:val="99"/>
    <w:rsid w:val="003565D9"/>
    <w:pPr>
      <w:spacing w:before="60" w:line="280" w:lineRule="atLeast"/>
      <w:ind w:left="907" w:hanging="340"/>
    </w:pPr>
    <w:rPr>
      <w:rFonts w:ascii="Arial" w:hAnsi="Arial"/>
      <w:sz w:val="22"/>
    </w:rPr>
  </w:style>
  <w:style w:type="character" w:styleId="Emphasis">
    <w:name w:val="Emphasis"/>
    <w:uiPriority w:val="99"/>
    <w:qFormat/>
    <w:rsid w:val="00DA5BBA"/>
    <w:rPr>
      <w:rFonts w:cs="Times New Roman"/>
      <w:i/>
      <w:iCs/>
    </w:rPr>
  </w:style>
  <w:style w:type="paragraph" w:customStyle="1" w:styleId="BoxQuoteBullet">
    <w:name w:val="Box Quote Bullet"/>
    <w:basedOn w:val="BoxQuote"/>
    <w:next w:val="Box"/>
    <w:uiPriority w:val="99"/>
    <w:rsid w:val="00C81D4A"/>
    <w:pPr>
      <w:numPr>
        <w:numId w:val="21"/>
      </w:numPr>
      <w:ind w:left="568" w:hanging="284"/>
    </w:pPr>
  </w:style>
  <w:style w:type="paragraph" w:customStyle="1" w:styleId="InformationRequestBullet">
    <w:name w:val="Information Request Bullet"/>
    <w:basedOn w:val="ListBullet"/>
    <w:next w:val="BodyText"/>
    <w:uiPriority w:val="99"/>
    <w:rsid w:val="00BA7E27"/>
    <w:pPr>
      <w:numPr>
        <w:numId w:val="22"/>
      </w:numPr>
      <w:ind w:left="227" w:hanging="227"/>
    </w:pPr>
    <w:rPr>
      <w:rFonts w:ascii="Arial" w:hAnsi="Arial"/>
      <w:i/>
      <w:sz w:val="24"/>
    </w:rPr>
  </w:style>
  <w:style w:type="character" w:styleId="Hyperlink">
    <w:name w:val="Hyperlink"/>
    <w:uiPriority w:val="99"/>
    <w:rsid w:val="00007BDB"/>
    <w:rPr>
      <w:rFonts w:cs="Times New Roman"/>
      <w:color w:val="0000FF"/>
      <w:u w:val="single"/>
    </w:rPr>
  </w:style>
  <w:style w:type="character" w:customStyle="1" w:styleId="BodyTextChar2">
    <w:name w:val="Body Text Char2"/>
    <w:aliases w:val="Body Text Char Char Char1,Body Text Char1 Char Char Char1,Body Text Char Char Char Char Char1,Body Text Char1 Char Char Char Char Char1,Body Text Char Char Char Char Char Char Char1,Body Text Char1 Char Char Char Char Char Char Char"/>
    <w:uiPriority w:val="99"/>
    <w:rsid w:val="00BA66CD"/>
    <w:rPr>
      <w:sz w:val="26"/>
    </w:rPr>
  </w:style>
  <w:style w:type="character" w:customStyle="1" w:styleId="ListBulletChar">
    <w:name w:val="List Bullet Char"/>
    <w:link w:val="ListBullet"/>
    <w:uiPriority w:val="99"/>
    <w:locked/>
    <w:rsid w:val="008978E3"/>
    <w:rPr>
      <w:sz w:val="26"/>
      <w:szCs w:val="20"/>
    </w:rPr>
  </w:style>
  <w:style w:type="character" w:customStyle="1" w:styleId="BoxChar">
    <w:name w:val="Box Char"/>
    <w:link w:val="Box"/>
    <w:locked/>
    <w:rsid w:val="00C66164"/>
    <w:rPr>
      <w:rFonts w:ascii="Arial" w:hAnsi="Arial"/>
      <w:sz w:val="22"/>
    </w:rPr>
  </w:style>
  <w:style w:type="paragraph" w:customStyle="1" w:styleId="Findng">
    <w:name w:val="Findng"/>
    <w:basedOn w:val="BodyText"/>
    <w:uiPriority w:val="99"/>
    <w:rsid w:val="00D334D6"/>
  </w:style>
  <w:style w:type="paragraph" w:customStyle="1" w:styleId="Default">
    <w:name w:val="Default"/>
    <w:rsid w:val="00BC31B6"/>
    <w:pPr>
      <w:autoSpaceDE w:val="0"/>
      <w:autoSpaceDN w:val="0"/>
      <w:adjustRightInd w:val="0"/>
    </w:pPr>
    <w:rPr>
      <w:rFonts w:ascii="Calibri" w:hAnsi="Calibri" w:cs="Calibri"/>
      <w:color w:val="000000"/>
      <w:sz w:val="24"/>
      <w:szCs w:val="24"/>
    </w:rPr>
  </w:style>
  <w:style w:type="paragraph" w:styleId="ListParagraph">
    <w:name w:val="List Paragraph"/>
    <w:basedOn w:val="Default"/>
    <w:next w:val="Default"/>
    <w:uiPriority w:val="99"/>
    <w:qFormat/>
    <w:rsid w:val="00BC31B6"/>
    <w:rPr>
      <w:rFonts w:cs="Times New Roman"/>
      <w:color w:val="auto"/>
    </w:rPr>
  </w:style>
  <w:style w:type="table" w:styleId="TableGrid">
    <w:name w:val="Table Grid"/>
    <w:basedOn w:val="TableNormal"/>
    <w:uiPriority w:val="59"/>
    <w:locked/>
    <w:rsid w:val="00702C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locked/>
    <w:rsid w:val="00207A28"/>
    <w:pPr>
      <w:spacing w:before="0" w:line="240" w:lineRule="auto"/>
      <w:ind w:left="0" w:firstLine="0"/>
    </w:pPr>
    <w:rPr>
      <w:b/>
      <w:bCs/>
      <w:szCs w:val="20"/>
    </w:rPr>
  </w:style>
  <w:style w:type="character" w:customStyle="1" w:styleId="CommentSubjectChar">
    <w:name w:val="Comment Subject Char"/>
    <w:basedOn w:val="CommentTextChar"/>
    <w:link w:val="CommentSubject"/>
    <w:uiPriority w:val="99"/>
    <w:semiHidden/>
    <w:rsid w:val="00207A28"/>
    <w:rPr>
      <w:rFonts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20461"/>
    <w:rPr>
      <w:sz w:val="26"/>
      <w:szCs w:val="24"/>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uiPriority w:val="99"/>
    <w:qFormat/>
    <w:rsid w:val="00A17328"/>
    <w:pPr>
      <w:outlineLvl w:val="4"/>
    </w:pPr>
    <w:rPr>
      <w:rFonts w:ascii="Times New Roman" w:hAnsi="Times New Roman"/>
      <w:sz w:val="26"/>
    </w:rPr>
  </w:style>
  <w:style w:type="paragraph" w:styleId="Heading6">
    <w:name w:val="heading 6"/>
    <w:basedOn w:val="BodyText"/>
    <w:next w:val="BodyText"/>
    <w:link w:val="Heading6Char"/>
    <w:uiPriority w:val="99"/>
    <w:qFormat/>
    <w:rsid w:val="00A17328"/>
    <w:pPr>
      <w:spacing w:after="60"/>
      <w:jc w:val="left"/>
      <w:outlineLvl w:val="5"/>
    </w:pPr>
    <w:rPr>
      <w:i/>
      <w:sz w:val="22"/>
    </w:rPr>
  </w:style>
  <w:style w:type="paragraph" w:styleId="Heading7">
    <w:name w:val="heading 7"/>
    <w:basedOn w:val="BodyText"/>
    <w:next w:val="BodyText"/>
    <w:link w:val="Heading7Char"/>
    <w:uiPriority w:val="99"/>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uiPriority w:val="99"/>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uiPriority w:val="99"/>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65A50"/>
    <w:rPr>
      <w:rFonts w:ascii="Cambria" w:hAnsi="Cambria" w:cs="Times New Roman"/>
      <w:b/>
      <w:bCs/>
      <w:kern w:val="32"/>
      <w:sz w:val="32"/>
      <w:szCs w:val="32"/>
    </w:rPr>
  </w:style>
  <w:style w:type="character" w:customStyle="1" w:styleId="Heading2Char">
    <w:name w:val="Heading 2 Char"/>
    <w:link w:val="Heading2"/>
    <w:uiPriority w:val="99"/>
    <w:locked/>
    <w:rsid w:val="00BE1DD1"/>
    <w:rPr>
      <w:rFonts w:ascii="Arial" w:hAnsi="Arial" w:cs="Times New Roman"/>
      <w:b/>
      <w:sz w:val="32"/>
    </w:rPr>
  </w:style>
  <w:style w:type="character" w:customStyle="1" w:styleId="Heading3Char">
    <w:name w:val="Heading 3 Char"/>
    <w:link w:val="Heading3"/>
    <w:uiPriority w:val="99"/>
    <w:locked/>
    <w:rsid w:val="00066C09"/>
    <w:rPr>
      <w:rFonts w:ascii="Arial" w:hAnsi="Arial" w:cs="Times New Roman"/>
      <w:b/>
      <w:sz w:val="26"/>
    </w:rPr>
  </w:style>
  <w:style w:type="character" w:customStyle="1" w:styleId="Heading4Char">
    <w:name w:val="Heading 4 Char"/>
    <w:link w:val="Heading4"/>
    <w:uiPriority w:val="99"/>
    <w:locked/>
    <w:rsid w:val="000D63BB"/>
    <w:rPr>
      <w:rFonts w:ascii="Arial" w:hAnsi="Arial" w:cs="Times New Roman"/>
      <w:i/>
      <w:sz w:val="24"/>
    </w:rPr>
  </w:style>
  <w:style w:type="character" w:customStyle="1" w:styleId="Heading5Char">
    <w:name w:val="Heading 5 Char"/>
    <w:link w:val="Heading5"/>
    <w:uiPriority w:val="99"/>
    <w:semiHidden/>
    <w:locked/>
    <w:rsid w:val="00E65A50"/>
    <w:rPr>
      <w:rFonts w:ascii="Calibri" w:hAnsi="Calibri" w:cs="Times New Roman"/>
      <w:b/>
      <w:bCs/>
      <w:i/>
      <w:iCs/>
      <w:sz w:val="26"/>
      <w:szCs w:val="26"/>
    </w:rPr>
  </w:style>
  <w:style w:type="character" w:customStyle="1" w:styleId="Heading6Char">
    <w:name w:val="Heading 6 Char"/>
    <w:link w:val="Heading6"/>
    <w:uiPriority w:val="99"/>
    <w:semiHidden/>
    <w:locked/>
    <w:rsid w:val="00E65A50"/>
    <w:rPr>
      <w:rFonts w:ascii="Calibri" w:hAnsi="Calibri" w:cs="Times New Roman"/>
      <w:b/>
      <w:bCs/>
    </w:rPr>
  </w:style>
  <w:style w:type="character" w:customStyle="1" w:styleId="Heading7Char">
    <w:name w:val="Heading 7 Char"/>
    <w:link w:val="Heading7"/>
    <w:uiPriority w:val="99"/>
    <w:semiHidden/>
    <w:locked/>
    <w:rsid w:val="00E65A50"/>
    <w:rPr>
      <w:rFonts w:ascii="Calibri" w:hAnsi="Calibri" w:cs="Times New Roman"/>
      <w:sz w:val="24"/>
      <w:szCs w:val="24"/>
    </w:rPr>
  </w:style>
  <w:style w:type="character" w:customStyle="1" w:styleId="Heading8Char">
    <w:name w:val="Heading 8 Char"/>
    <w:link w:val="Heading8"/>
    <w:uiPriority w:val="99"/>
    <w:semiHidden/>
    <w:locked/>
    <w:rsid w:val="00E65A50"/>
    <w:rPr>
      <w:rFonts w:ascii="Calibri" w:hAnsi="Calibri" w:cs="Times New Roman"/>
      <w:i/>
      <w:iCs/>
      <w:sz w:val="24"/>
      <w:szCs w:val="24"/>
    </w:rPr>
  </w:style>
  <w:style w:type="character" w:customStyle="1" w:styleId="Heading9Char">
    <w:name w:val="Heading 9 Char"/>
    <w:link w:val="Heading9"/>
    <w:uiPriority w:val="99"/>
    <w:semiHidden/>
    <w:locked/>
    <w:rsid w:val="00E65A50"/>
    <w:rPr>
      <w:rFonts w:ascii="Cambria" w:hAnsi="Cambria" w:cs="Times New Roman"/>
    </w:rPr>
  </w:style>
  <w:style w:type="paragraph" w:styleId="BodyText">
    <w:name w:val="Body Text"/>
    <w:basedOn w:val="Normal"/>
    <w:link w:val="BodyTextChar"/>
    <w:qFormat/>
    <w:rsid w:val="009345D9"/>
    <w:pPr>
      <w:spacing w:before="240" w:line="320" w:lineRule="atLeast"/>
      <w:jc w:val="both"/>
    </w:pPr>
    <w:rPr>
      <w:szCs w:val="20"/>
    </w:rPr>
  </w:style>
  <w:style w:type="character" w:customStyle="1" w:styleId="BodyTextChar">
    <w:name w:val="Body Text Char"/>
    <w:link w:val="BodyText"/>
    <w:locked/>
    <w:rsid w:val="00066C09"/>
    <w:rPr>
      <w:rFonts w:cs="Times New Roman"/>
      <w:sz w:val="26"/>
      <w:lang w:val="en-AU" w:eastAsia="en-AU" w:bidi="ar-SA"/>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character" w:customStyle="1" w:styleId="FooterChar">
    <w:name w:val="Footer Char"/>
    <w:link w:val="Footer"/>
    <w:uiPriority w:val="99"/>
    <w:semiHidden/>
    <w:locked/>
    <w:rsid w:val="00E65A50"/>
    <w:rPr>
      <w:rFonts w:cs="Times New Roman"/>
      <w:sz w:val="24"/>
      <w:szCs w:val="24"/>
    </w:rPr>
  </w:style>
  <w:style w:type="paragraph" w:customStyle="1" w:styleId="FooterEnd">
    <w:name w:val="Footer End"/>
    <w:basedOn w:val="Footer"/>
    <w:uiPriority w:val="99"/>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link w:val="Header"/>
    <w:uiPriority w:val="99"/>
    <w:semiHidden/>
    <w:locked/>
    <w:rsid w:val="00E65A50"/>
    <w:rPr>
      <w:rFonts w:cs="Times New Roman"/>
      <w:sz w:val="24"/>
      <w:szCs w:val="24"/>
    </w:rPr>
  </w:style>
  <w:style w:type="paragraph" w:customStyle="1" w:styleId="HeaderEnd">
    <w:name w:val="Header End"/>
    <w:basedOn w:val="Header"/>
    <w:autoRedefine/>
    <w:uiPriority w:val="99"/>
    <w:rsid w:val="00914368"/>
    <w:pPr>
      <w:spacing w:line="20" w:lineRule="exact"/>
    </w:pPr>
    <w:rPr>
      <w:sz w:val="16"/>
    </w:rPr>
  </w:style>
  <w:style w:type="paragraph" w:customStyle="1" w:styleId="HeaderEven">
    <w:name w:val="Header Even"/>
    <w:basedOn w:val="Header"/>
    <w:uiPriority w:val="99"/>
    <w:semiHidden/>
    <w:rsid w:val="00C543F4"/>
  </w:style>
  <w:style w:type="paragraph" w:customStyle="1" w:styleId="HeaderOdd">
    <w:name w:val="Header Odd"/>
    <w:basedOn w:val="Header"/>
    <w:uiPriority w:val="99"/>
    <w:semiHidden/>
    <w:rsid w:val="00C543F4"/>
  </w:style>
  <w:style w:type="character" w:styleId="PageNumber">
    <w:name w:val="page number"/>
    <w:uiPriority w:val="99"/>
    <w:rsid w:val="00A17328"/>
    <w:rPr>
      <w:rFonts w:ascii="Arial" w:hAnsi="Arial" w:cs="Times New Roman"/>
      <w:b/>
      <w:sz w:val="16"/>
    </w:rPr>
  </w:style>
  <w:style w:type="paragraph" w:customStyle="1" w:styleId="Abbreviation">
    <w:name w:val="Abbreviation"/>
    <w:basedOn w:val="BodyText"/>
    <w:uiPriority w:val="99"/>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uiPriority w:val="99"/>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uiPriority w:val="99"/>
    <w:rsid w:val="00DB67C9"/>
    <w:pPr>
      <w:keepNext/>
      <w:numPr>
        <w:numId w:val="7"/>
      </w:numPr>
      <w:spacing w:before="120" w:line="280" w:lineRule="atLeast"/>
    </w:pPr>
    <w:rPr>
      <w:rFonts w:ascii="Arial" w:hAnsi="Arial"/>
      <w:sz w:val="22"/>
    </w:rPr>
  </w:style>
  <w:style w:type="paragraph" w:customStyle="1" w:styleId="BoxListBullet2">
    <w:name w:val="Box List Bullet 2"/>
    <w:basedOn w:val="BodyText"/>
    <w:uiPriority w:val="99"/>
    <w:rsid w:val="00DB67C9"/>
    <w:pPr>
      <w:keepNext/>
      <w:numPr>
        <w:numId w:val="8"/>
      </w:numPr>
      <w:tabs>
        <w:tab w:val="left" w:pos="284"/>
      </w:tabs>
      <w:spacing w:before="60" w:line="280" w:lineRule="atLeast"/>
    </w:pPr>
    <w:rPr>
      <w:rFonts w:ascii="Arial" w:hAnsi="Arial"/>
      <w:sz w:val="22"/>
    </w:rPr>
  </w:style>
  <w:style w:type="paragraph" w:customStyle="1" w:styleId="BoxListNumber">
    <w:name w:val="Box List Number"/>
    <w:basedOn w:val="BodyText"/>
    <w:uiPriority w:val="99"/>
    <w:rsid w:val="00864ADC"/>
    <w:pPr>
      <w:keepNext/>
      <w:numPr>
        <w:numId w:val="19"/>
      </w:numPr>
      <w:spacing w:before="120" w:line="280" w:lineRule="atLeast"/>
    </w:pPr>
    <w:rPr>
      <w:rFonts w:ascii="Arial" w:hAnsi="Arial"/>
      <w:sz w:val="22"/>
    </w:rPr>
  </w:style>
  <w:style w:type="paragraph" w:customStyle="1" w:styleId="BoxListNumber2">
    <w:name w:val="Box List Number 2"/>
    <w:basedOn w:val="BoxListNumber"/>
    <w:uiPriority w:val="99"/>
    <w:rsid w:val="00864ADC"/>
    <w:pPr>
      <w:numPr>
        <w:ilvl w:val="1"/>
      </w:numPr>
      <w:tabs>
        <w:tab w:val="num" w:pos="1021"/>
      </w:tabs>
      <w:spacing w:before="60"/>
    </w:pPr>
  </w:style>
  <w:style w:type="paragraph" w:customStyle="1" w:styleId="BoxQuote">
    <w:name w:val="Box Quote"/>
    <w:basedOn w:val="BodyText"/>
    <w:next w:val="Box"/>
    <w:uiPriority w:val="99"/>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uiPriority w:val="99"/>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uiPriority w:val="99"/>
    <w:rsid w:val="00A17328"/>
    <w:pPr>
      <w:spacing w:after="80" w:line="200" w:lineRule="exact"/>
      <w:ind w:firstLine="0"/>
    </w:pPr>
    <w:rPr>
      <w:b w:val="0"/>
      <w:sz w:val="20"/>
    </w:rPr>
  </w:style>
  <w:style w:type="paragraph" w:customStyle="1" w:styleId="Chapter">
    <w:name w:val="Chapter"/>
    <w:basedOn w:val="Heading1"/>
    <w:next w:val="BodyText"/>
    <w:uiPriority w:val="99"/>
    <w:semiHidden/>
    <w:rsid w:val="00A17328"/>
    <w:pPr>
      <w:ind w:left="0" w:firstLine="0"/>
      <w:outlineLvl w:val="9"/>
    </w:pPr>
  </w:style>
  <w:style w:type="paragraph" w:customStyle="1" w:styleId="ChapterSummary">
    <w:name w:val="Chapter Summary"/>
    <w:basedOn w:val="BodyText"/>
    <w:uiPriority w:val="99"/>
    <w:rsid w:val="00A17328"/>
    <w:pPr>
      <w:ind w:left="907"/>
    </w:pPr>
    <w:rPr>
      <w:rFonts w:ascii="Arial" w:hAnsi="Arial"/>
      <w:b/>
      <w:sz w:val="22"/>
    </w:rPr>
  </w:style>
  <w:style w:type="character" w:styleId="CommentReference">
    <w:name w:val="annotation reference"/>
    <w:uiPriority w:val="99"/>
    <w:semiHidden/>
    <w:rsid w:val="00A17328"/>
    <w:rPr>
      <w:rFonts w:cs="Times New Roman"/>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character" w:customStyle="1" w:styleId="CommentTextChar">
    <w:name w:val="Comment Text Char"/>
    <w:link w:val="CommentText"/>
    <w:uiPriority w:val="99"/>
    <w:semiHidden/>
    <w:locked/>
    <w:rsid w:val="00066C09"/>
    <w:rPr>
      <w:rFonts w:cs="Times New Roman"/>
      <w:sz w:val="24"/>
      <w:szCs w:val="24"/>
    </w:rPr>
  </w:style>
  <w:style w:type="paragraph" w:customStyle="1" w:styleId="Continued">
    <w:name w:val="Continued"/>
    <w:basedOn w:val="BoxContinued"/>
    <w:next w:val="BodyText"/>
    <w:uiPriority w:val="99"/>
    <w:rsid w:val="00A17328"/>
  </w:style>
  <w:style w:type="character" w:customStyle="1" w:styleId="DocumentInfo">
    <w:name w:val="Document Info"/>
    <w:uiPriority w:val="99"/>
    <w:semiHidden/>
    <w:rsid w:val="00A17328"/>
    <w:rPr>
      <w:rFonts w:ascii="Arial" w:hAnsi="Arial" w:cs="Times New Roman"/>
      <w:sz w:val="14"/>
    </w:rPr>
  </w:style>
  <w:style w:type="character" w:customStyle="1" w:styleId="DraftingNote">
    <w:name w:val="Drafting Note"/>
    <w:uiPriority w:val="99"/>
    <w:rsid w:val="00A17328"/>
    <w:rPr>
      <w:rFonts w:cs="Times New Roman"/>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link w:val="Subtitle"/>
    <w:locked/>
    <w:rsid w:val="00F10476"/>
    <w:rPr>
      <w:rFonts w:ascii="Arial" w:hAnsi="Arial" w:cs="Times New Roman"/>
      <w:sz w:val="24"/>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9"/>
      </w:numPr>
      <w:spacing w:before="80"/>
    </w:pPr>
  </w:style>
  <w:style w:type="paragraph" w:customStyle="1" w:styleId="FindingNoTitle">
    <w:name w:val="Finding NoTitle"/>
    <w:basedOn w:val="Finding"/>
    <w:uiPriority w:val="99"/>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uiPriority w:val="99"/>
    <w:semiHidden/>
    <w:rsid w:val="00A17328"/>
    <w:rPr>
      <w:rFonts w:ascii="Times New Roman" w:hAnsi="Times New Roman" w:cs="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character" w:customStyle="1" w:styleId="FootnoteTextChar">
    <w:name w:val="Footnote Text Char"/>
    <w:link w:val="FootnoteText"/>
    <w:uiPriority w:val="99"/>
    <w:semiHidden/>
    <w:locked/>
    <w:rsid w:val="00E65A50"/>
    <w:rPr>
      <w:rFonts w:cs="Times New Roman"/>
      <w:sz w:val="20"/>
      <w:szCs w:val="20"/>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uiPriority w:val="99"/>
    <w:rsid w:val="00A17328"/>
    <w:pPr>
      <w:spacing w:after="140"/>
      <w:jc w:val="both"/>
    </w:pPr>
    <w:rPr>
      <w:rFonts w:ascii="Arial" w:hAnsi="Arial"/>
      <w:sz w:val="24"/>
      <w:lang w:eastAsia="en-US"/>
    </w:rPr>
  </w:style>
  <w:style w:type="paragraph" w:customStyle="1" w:styleId="Jurisdictioncommentsheading">
    <w:name w:val="Jurisdiction comments heading"/>
    <w:uiPriority w:val="99"/>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uiPriority w:val="99"/>
    <w:rsid w:val="00A17328"/>
    <w:pPr>
      <w:numPr>
        <w:numId w:val="10"/>
      </w:numPr>
      <w:spacing w:after="140"/>
      <w:jc w:val="both"/>
    </w:pPr>
    <w:rPr>
      <w:rFonts w:ascii="Arial" w:hAnsi="Arial"/>
      <w:sz w:val="24"/>
      <w:lang w:eastAsia="en-US"/>
    </w:rPr>
  </w:style>
  <w:style w:type="paragraph" w:styleId="ListBullet">
    <w:name w:val="List Bullet"/>
    <w:basedOn w:val="BodyText"/>
    <w:link w:val="ListBulletChar"/>
    <w:uiPriority w:val="99"/>
    <w:rsid w:val="00DB67C9"/>
    <w:pPr>
      <w:numPr>
        <w:numId w:val="11"/>
      </w:numPr>
      <w:spacing w:before="120"/>
    </w:pPr>
  </w:style>
  <w:style w:type="paragraph" w:styleId="ListBullet2">
    <w:name w:val="List Bullet 2"/>
    <w:basedOn w:val="BodyText"/>
    <w:uiPriority w:val="99"/>
    <w:rsid w:val="00DB67C9"/>
    <w:pPr>
      <w:numPr>
        <w:numId w:val="12"/>
      </w:numPr>
      <w:spacing w:before="120"/>
    </w:pPr>
  </w:style>
  <w:style w:type="paragraph" w:styleId="ListBullet3">
    <w:name w:val="List Bullet 3"/>
    <w:basedOn w:val="BodyText"/>
    <w:uiPriority w:val="99"/>
    <w:rsid w:val="00DB67C9"/>
    <w:pPr>
      <w:numPr>
        <w:numId w:val="13"/>
      </w:numPr>
      <w:spacing w:before="120"/>
    </w:pPr>
  </w:style>
  <w:style w:type="paragraph" w:styleId="ListNumber">
    <w:name w:val="List Number"/>
    <w:basedOn w:val="BodyText"/>
    <w:uiPriority w:val="99"/>
    <w:rsid w:val="00864ADC"/>
    <w:pPr>
      <w:numPr>
        <w:numId w:val="18"/>
      </w:numPr>
      <w:spacing w:before="120"/>
    </w:pPr>
  </w:style>
  <w:style w:type="paragraph" w:styleId="ListNumber2">
    <w:name w:val="List Number 2"/>
    <w:basedOn w:val="ListNumber"/>
    <w:uiPriority w:val="99"/>
    <w:rsid w:val="00864ADC"/>
    <w:pPr>
      <w:numPr>
        <w:ilvl w:val="1"/>
      </w:numPr>
    </w:pPr>
  </w:style>
  <w:style w:type="paragraph" w:styleId="ListNumber3">
    <w:name w:val="List Number 3"/>
    <w:basedOn w:val="ListNumber2"/>
    <w:uiPriority w:val="99"/>
    <w:rsid w:val="00864ADC"/>
    <w:pPr>
      <w:numPr>
        <w:ilvl w:val="2"/>
      </w:numPr>
      <w:tabs>
        <w:tab w:val="num" w:pos="680"/>
        <w:tab w:val="num" w:pos="794"/>
      </w:tabs>
    </w:pPr>
  </w:style>
  <w:style w:type="character" w:customStyle="1" w:styleId="NoteLabel">
    <w:name w:val="Note Label"/>
    <w:rsid w:val="00A17328"/>
    <w:rPr>
      <w:rFonts w:ascii="Arial" w:hAnsi="Arial" w:cs="Times New Roman"/>
      <w:b/>
      <w:position w:val="6"/>
      <w:sz w:val="18"/>
    </w:rPr>
  </w:style>
  <w:style w:type="paragraph" w:customStyle="1" w:styleId="PartDivider">
    <w:name w:val="Part Divider"/>
    <w:basedOn w:val="BodyText"/>
    <w:next w:val="BodyText"/>
    <w:uiPriority w:val="99"/>
    <w:semiHidden/>
    <w:rsid w:val="00A17328"/>
    <w:pPr>
      <w:spacing w:before="0" w:line="40" w:lineRule="exact"/>
      <w:jc w:val="right"/>
    </w:pPr>
    <w:rPr>
      <w:smallCaps/>
      <w:sz w:val="16"/>
    </w:rPr>
  </w:style>
  <w:style w:type="paragraph" w:customStyle="1" w:styleId="PartNumber">
    <w:name w:val="Part Number"/>
    <w:basedOn w:val="BodyText"/>
    <w:next w:val="BodyText"/>
    <w:uiPriority w:val="99"/>
    <w:semiHidden/>
    <w:rsid w:val="00A17328"/>
    <w:pPr>
      <w:spacing w:before="4000" w:line="320" w:lineRule="exact"/>
      <w:ind w:left="6634"/>
      <w:jc w:val="right"/>
    </w:pPr>
    <w:rPr>
      <w:smallCaps/>
      <w:spacing w:val="60"/>
      <w:sz w:val="32"/>
    </w:rPr>
  </w:style>
  <w:style w:type="paragraph" w:customStyle="1" w:styleId="PartTitle">
    <w:name w:val="Part Title"/>
    <w:basedOn w:val="BodyText"/>
    <w:uiPriority w:val="99"/>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character" w:customStyle="1" w:styleId="QuoteChar">
    <w:name w:val="Quote Char"/>
    <w:link w:val="Quote"/>
    <w:uiPriority w:val="99"/>
    <w:locked/>
    <w:rsid w:val="00066C09"/>
    <w:rPr>
      <w:rFonts w:cs="Times New Roman"/>
      <w:sz w:val="24"/>
    </w:rPr>
  </w:style>
  <w:style w:type="paragraph" w:customStyle="1" w:styleId="QuoteBullet">
    <w:name w:val="Quote Bullet"/>
    <w:basedOn w:val="Quote"/>
    <w:uiPriority w:val="99"/>
    <w:rsid w:val="00323E09"/>
    <w:pPr>
      <w:numPr>
        <w:numId w:val="14"/>
      </w:numPr>
    </w:pPr>
  </w:style>
  <w:style w:type="paragraph" w:customStyle="1" w:styleId="Rec">
    <w:name w:val="Rec"/>
    <w:basedOn w:val="BodyText"/>
    <w:uiPriority w:val="99"/>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uiPriority w:val="99"/>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uiPriority w:val="99"/>
    <w:semiHidden/>
    <w:rsid w:val="00F85325"/>
    <w:pPr>
      <w:numPr>
        <w:numId w:val="20"/>
      </w:numPr>
      <w:spacing w:before="80"/>
    </w:pPr>
  </w:style>
  <w:style w:type="paragraph" w:customStyle="1" w:styleId="RecBNoTitle">
    <w:name w:val="RecB NoTitle"/>
    <w:basedOn w:val="RecB"/>
    <w:uiPriority w:val="99"/>
    <w:semiHidden/>
    <w:rsid w:val="00F85325"/>
    <w:pPr>
      <w:spacing w:before="240"/>
    </w:pPr>
  </w:style>
  <w:style w:type="paragraph" w:customStyle="1" w:styleId="Reference">
    <w:name w:val="Reference"/>
    <w:basedOn w:val="BodyText"/>
    <w:uiPriority w:val="99"/>
    <w:rsid w:val="00A17328"/>
    <w:pPr>
      <w:spacing w:before="120"/>
      <w:ind w:left="340" w:hanging="340"/>
    </w:pPr>
  </w:style>
  <w:style w:type="paragraph" w:customStyle="1" w:styleId="SequenceInfo">
    <w:name w:val="Sequence Info"/>
    <w:basedOn w:val="BodyText"/>
    <w:uiPriority w:val="99"/>
    <w:semiHidden/>
    <w:rsid w:val="00A17328"/>
    <w:rPr>
      <w:vanish/>
      <w:sz w:val="16"/>
    </w:rPr>
  </w:style>
  <w:style w:type="paragraph" w:customStyle="1" w:styleId="SideNote">
    <w:name w:val="Side Note"/>
    <w:basedOn w:val="BodyText"/>
    <w:next w:val="BodyText"/>
    <w:uiPriority w:val="99"/>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uiPriority w:val="99"/>
    <w:semiHidden/>
    <w:rsid w:val="00A17328"/>
    <w:pPr>
      <w:framePr w:wrap="around"/>
      <w:numPr>
        <w:numId w:val="16"/>
      </w:numPr>
      <w:tabs>
        <w:tab w:val="left" w:pos="227"/>
      </w:tabs>
    </w:pPr>
  </w:style>
  <w:style w:type="paragraph" w:customStyle="1" w:styleId="SideNoteGraphic">
    <w:name w:val="Side Note Graphic"/>
    <w:basedOn w:val="SideNote"/>
    <w:next w:val="BodyText"/>
    <w:uiPriority w:val="99"/>
    <w:semiHidden/>
    <w:rsid w:val="00A17328"/>
    <w:pPr>
      <w:framePr w:wrap="around"/>
    </w:pPr>
  </w:style>
  <w:style w:type="paragraph" w:customStyle="1" w:styleId="TableBodyText">
    <w:name w:val="Table Body Text"/>
    <w:basedOn w:val="BodyText"/>
    <w:uiPriority w:val="99"/>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uiPriority w:val="99"/>
    <w:rsid w:val="00323E09"/>
    <w:pPr>
      <w:numPr>
        <w:numId w:val="17"/>
      </w:numPr>
      <w:jc w:val="left"/>
    </w:pPr>
  </w:style>
  <w:style w:type="paragraph" w:customStyle="1" w:styleId="TableColumnHeading">
    <w:name w:val="Table Column Heading"/>
    <w:basedOn w:val="TableBodyText"/>
    <w:uiPriority w:val="99"/>
    <w:rsid w:val="00A17328"/>
    <w:pPr>
      <w:spacing w:before="80" w:after="80"/>
    </w:pPr>
    <w:rPr>
      <w:i/>
    </w:rPr>
  </w:style>
  <w:style w:type="paragraph" w:styleId="TOC2">
    <w:name w:val="toc 2"/>
    <w:basedOn w:val="BodyText"/>
    <w:uiPriority w:val="99"/>
    <w:semiHidden/>
    <w:rsid w:val="00A17328"/>
    <w:pPr>
      <w:tabs>
        <w:tab w:val="right" w:pos="8789"/>
      </w:tabs>
      <w:ind w:left="510" w:right="851" w:hanging="510"/>
      <w:jc w:val="left"/>
    </w:pPr>
    <w:rPr>
      <w:b/>
    </w:rPr>
  </w:style>
  <w:style w:type="paragraph" w:styleId="TOC3">
    <w:name w:val="toc 3"/>
    <w:basedOn w:val="TOC2"/>
    <w:uiPriority w:val="99"/>
    <w:semiHidden/>
    <w:rsid w:val="00A17328"/>
    <w:pPr>
      <w:spacing w:before="60"/>
      <w:ind w:left="1190" w:hanging="680"/>
    </w:pPr>
    <w:rPr>
      <w:b w:val="0"/>
    </w:rPr>
  </w:style>
  <w:style w:type="paragraph" w:styleId="TableofFigures">
    <w:name w:val="table of figures"/>
    <w:basedOn w:val="TOC3"/>
    <w:next w:val="BodyText"/>
    <w:uiPriority w:val="99"/>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uiPriority w:val="99"/>
    <w:rsid w:val="00A17328"/>
    <w:pPr>
      <w:spacing w:before="80" w:after="80"/>
    </w:pPr>
  </w:style>
  <w:style w:type="paragraph" w:styleId="TOC1">
    <w:name w:val="toc 1"/>
    <w:basedOn w:val="Normal"/>
    <w:next w:val="TOC2"/>
    <w:uiPriority w:val="99"/>
    <w:semiHidden/>
    <w:rsid w:val="00A17328"/>
    <w:pPr>
      <w:tabs>
        <w:tab w:val="right" w:pos="8789"/>
      </w:tabs>
      <w:spacing w:before="480" w:after="60" w:line="320" w:lineRule="exact"/>
      <w:ind w:left="1191" w:right="851" w:hanging="1191"/>
    </w:pPr>
    <w:rPr>
      <w:b/>
      <w:caps/>
    </w:rPr>
  </w:style>
  <w:style w:type="paragraph" w:styleId="TOC4">
    <w:name w:val="toc 4"/>
    <w:basedOn w:val="TOC3"/>
    <w:uiPriority w:val="99"/>
    <w:semiHidden/>
    <w:rsid w:val="00A17328"/>
    <w:pPr>
      <w:ind w:left="1191" w:firstLine="0"/>
    </w:pPr>
  </w:style>
  <w:style w:type="paragraph" w:customStyle="1" w:styleId="RecBBullet2">
    <w:name w:val="RecB Bullet 2"/>
    <w:basedOn w:val="ListBullet2"/>
    <w:uiPriority w:val="99"/>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link w:val="BalloonText"/>
    <w:uiPriority w:val="99"/>
    <w:locked/>
    <w:rsid w:val="006B2B3C"/>
    <w:rPr>
      <w:rFonts w:ascii="Tahoma" w:hAnsi="Tahoma" w:cs="Tahoma"/>
      <w:sz w:val="16"/>
      <w:szCs w:val="16"/>
    </w:rPr>
  </w:style>
  <w:style w:type="paragraph" w:customStyle="1" w:styleId="BoxListBullet3">
    <w:name w:val="Box List Bullet 3"/>
    <w:basedOn w:val="ListBullet3"/>
    <w:uiPriority w:val="99"/>
    <w:rsid w:val="003565D9"/>
    <w:pPr>
      <w:spacing w:before="60" w:line="280" w:lineRule="atLeast"/>
      <w:ind w:left="907" w:hanging="340"/>
    </w:pPr>
    <w:rPr>
      <w:rFonts w:ascii="Arial" w:hAnsi="Arial"/>
      <w:sz w:val="22"/>
    </w:rPr>
  </w:style>
  <w:style w:type="character" w:styleId="Emphasis">
    <w:name w:val="Emphasis"/>
    <w:uiPriority w:val="99"/>
    <w:qFormat/>
    <w:rsid w:val="00DA5BBA"/>
    <w:rPr>
      <w:rFonts w:cs="Times New Roman"/>
      <w:i/>
      <w:iCs/>
    </w:rPr>
  </w:style>
  <w:style w:type="paragraph" w:customStyle="1" w:styleId="BoxQuoteBullet">
    <w:name w:val="Box Quote Bullet"/>
    <w:basedOn w:val="BoxQuote"/>
    <w:next w:val="Box"/>
    <w:uiPriority w:val="99"/>
    <w:rsid w:val="00C81D4A"/>
    <w:pPr>
      <w:numPr>
        <w:numId w:val="21"/>
      </w:numPr>
      <w:ind w:left="568" w:hanging="284"/>
    </w:pPr>
  </w:style>
  <w:style w:type="paragraph" w:customStyle="1" w:styleId="InformationRequestBullet">
    <w:name w:val="Information Request Bullet"/>
    <w:basedOn w:val="ListBullet"/>
    <w:next w:val="BodyText"/>
    <w:uiPriority w:val="99"/>
    <w:rsid w:val="00BA7E27"/>
    <w:pPr>
      <w:numPr>
        <w:numId w:val="22"/>
      </w:numPr>
      <w:ind w:left="227" w:hanging="227"/>
    </w:pPr>
    <w:rPr>
      <w:rFonts w:ascii="Arial" w:hAnsi="Arial"/>
      <w:i/>
      <w:sz w:val="24"/>
    </w:rPr>
  </w:style>
  <w:style w:type="character" w:styleId="Hyperlink">
    <w:name w:val="Hyperlink"/>
    <w:uiPriority w:val="99"/>
    <w:rsid w:val="00007BDB"/>
    <w:rPr>
      <w:rFonts w:cs="Times New Roman"/>
      <w:color w:val="0000FF"/>
      <w:u w:val="single"/>
    </w:rPr>
  </w:style>
  <w:style w:type="character" w:customStyle="1" w:styleId="BodyTextChar2">
    <w:name w:val="Body Text Char2"/>
    <w:aliases w:val="Body Text Char Char Char1,Body Text Char1 Char Char Char1,Body Text Char Char Char Char Char1,Body Text Char1 Char Char Char Char Char1,Body Text Char Char Char Char Char Char Char1,Body Text Char1 Char Char Char Char Char Char Char"/>
    <w:uiPriority w:val="99"/>
    <w:rsid w:val="00BA66CD"/>
    <w:rPr>
      <w:sz w:val="26"/>
    </w:rPr>
  </w:style>
  <w:style w:type="character" w:customStyle="1" w:styleId="ListBulletChar">
    <w:name w:val="List Bullet Char"/>
    <w:link w:val="ListBullet"/>
    <w:uiPriority w:val="99"/>
    <w:locked/>
    <w:rsid w:val="008978E3"/>
    <w:rPr>
      <w:sz w:val="26"/>
      <w:szCs w:val="20"/>
    </w:rPr>
  </w:style>
  <w:style w:type="character" w:customStyle="1" w:styleId="BoxChar">
    <w:name w:val="Box Char"/>
    <w:link w:val="Box"/>
    <w:locked/>
    <w:rsid w:val="00C66164"/>
    <w:rPr>
      <w:rFonts w:ascii="Arial" w:hAnsi="Arial"/>
      <w:sz w:val="22"/>
    </w:rPr>
  </w:style>
  <w:style w:type="paragraph" w:customStyle="1" w:styleId="Findng">
    <w:name w:val="Findng"/>
    <w:basedOn w:val="BodyText"/>
    <w:uiPriority w:val="99"/>
    <w:rsid w:val="00D334D6"/>
  </w:style>
  <w:style w:type="paragraph" w:customStyle="1" w:styleId="Default">
    <w:name w:val="Default"/>
    <w:rsid w:val="00BC31B6"/>
    <w:pPr>
      <w:autoSpaceDE w:val="0"/>
      <w:autoSpaceDN w:val="0"/>
      <w:adjustRightInd w:val="0"/>
    </w:pPr>
    <w:rPr>
      <w:rFonts w:ascii="Calibri" w:hAnsi="Calibri" w:cs="Calibri"/>
      <w:color w:val="000000"/>
      <w:sz w:val="24"/>
      <w:szCs w:val="24"/>
    </w:rPr>
  </w:style>
  <w:style w:type="paragraph" w:styleId="ListParagraph">
    <w:name w:val="List Paragraph"/>
    <w:basedOn w:val="Default"/>
    <w:next w:val="Default"/>
    <w:uiPriority w:val="99"/>
    <w:qFormat/>
    <w:rsid w:val="00BC31B6"/>
    <w:rPr>
      <w:rFonts w:cs="Times New Roman"/>
      <w:color w:val="auto"/>
    </w:rPr>
  </w:style>
  <w:style w:type="table" w:styleId="TableGrid">
    <w:name w:val="Table Grid"/>
    <w:basedOn w:val="TableNormal"/>
    <w:uiPriority w:val="59"/>
    <w:locked/>
    <w:rsid w:val="00702C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locked/>
    <w:rsid w:val="00207A28"/>
    <w:pPr>
      <w:spacing w:before="0" w:line="240" w:lineRule="auto"/>
      <w:ind w:left="0" w:firstLine="0"/>
    </w:pPr>
    <w:rPr>
      <w:b/>
      <w:bCs/>
      <w:szCs w:val="20"/>
    </w:rPr>
  </w:style>
  <w:style w:type="character" w:customStyle="1" w:styleId="CommentSubjectChar">
    <w:name w:val="Comment Subject Char"/>
    <w:basedOn w:val="CommentTextChar"/>
    <w:link w:val="CommentSubject"/>
    <w:uiPriority w:val="99"/>
    <w:semiHidden/>
    <w:rsid w:val="00207A28"/>
    <w:rPr>
      <w:rFonts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1681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1D186-A80A-4484-AB25-976B5FB02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3523</TotalTime>
  <Pages>22</Pages>
  <Words>7685</Words>
  <Characters>42799</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Exceptions and exemptions</vt:lpstr>
    </vt:vector>
  </TitlesOfParts>
  <Company>Productivity Commission</Company>
  <LinksUpToDate>false</LinksUpToDate>
  <CharactersWithSpaces>50384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Exceptions and exemptions</dc:title>
  <dc:subject>Report</dc:subject>
  <dc:creator>Productivity Commission</dc:creator>
  <cp:keywords/>
  <dc:description>5.</dc:description>
  <cp:lastModifiedBy>Melissa Edwards</cp:lastModifiedBy>
  <cp:revision>375</cp:revision>
  <cp:lastPrinted>2012-11-26T06:33:00Z</cp:lastPrinted>
  <dcterms:created xsi:type="dcterms:W3CDTF">2012-07-24T04:04:00Z</dcterms:created>
  <dcterms:modified xsi:type="dcterms:W3CDTF">2012-11-26T23:46:00Z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433352235</vt:i4>
  </property>
  <property fmtid="{D5CDD505-2E9C-101B-9397-08002B2CF9AE}" pid="3" name="_NewReviewCycle">
    <vt:lpwstr/>
  </property>
  <property fmtid="{D5CDD505-2E9C-101B-9397-08002B2CF9AE}" pid="4" name="_EmailSubject">
    <vt:lpwstr>Web files - RIA - final research report</vt:lpwstr>
  </property>
  <property fmtid="{D5CDD505-2E9C-101B-9397-08002B2CF9AE}" pid="5" name="_AuthorEmail">
    <vt:lpwstr>Louise.Jordan@pc.gov.au</vt:lpwstr>
  </property>
  <property fmtid="{D5CDD505-2E9C-101B-9397-08002B2CF9AE}" pid="6" name="_AuthorEmailDisplayName">
    <vt:lpwstr>Jordan, Louise</vt:lpwstr>
  </property>
</Properties>
</file>