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endnotes.xml" ContentType="application/vnd.openxmlformats-officedocument.wordprocessingml.endnotes+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theme/themeOverride3.xml" ContentType="application/vnd.openxmlformats-officedocument.themeOverride+xml"/>
  <Override PartName="/word/charts/chart3.xml" ContentType="application/vnd.openxmlformats-officedocument.drawingml.chart+xml"/>
  <Override PartName="/word/theme/themeOverride4.xml" ContentType="application/vnd.openxmlformats-officedocument.themeOverride+xml"/>
  <Override PartName="/word/charts/chart4.xml" ContentType="application/vnd.openxmlformats-officedocument.drawingml.chart+xml"/>
  <Override PartName="/word/charts/chart2.xml" ContentType="application/vnd.openxmlformats-officedocument.drawingml.chart+xml"/>
  <Override PartName="/word/theme/theme1.xml" ContentType="application/vnd.openxmlformats-officedocument.theme+xml"/>
  <Override PartName="/word/charts/chart1.xml" ContentType="application/vnd.openxmlformats-officedocument.drawingml.chart+xml"/>
  <Override PartName="/word/theme/themeOverride1.xml" ContentType="application/vnd.openxmlformats-officedocument.themeOverride+xml"/>
  <Override PartName="/word/theme/themeOverride2.xml" ContentType="application/vnd.openxmlformats-officedocument.themeOverrid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stylesWithEffects.xml" ContentType="application/vnd.ms-word.stylesWithEffect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2535" w:rsidRDefault="00FC4C5E" w:rsidP="00FC4C5E">
      <w:pPr>
        <w:pStyle w:val="Heading1"/>
        <w:spacing w:before="0" w:after="600"/>
      </w:pPr>
      <w:bookmarkStart w:id="0" w:name="ChapterNumber"/>
      <w:r>
        <w:t>8</w:t>
      </w:r>
      <w:bookmarkEnd w:id="0"/>
      <w:r>
        <w:tab/>
      </w:r>
      <w:bookmarkStart w:id="1" w:name="ChapterTitle"/>
      <w:r>
        <w:t>Accountability</w:t>
      </w:r>
      <w:bookmarkEnd w:id="1"/>
      <w:r>
        <w:t xml:space="preserve"> </w:t>
      </w:r>
      <w:r w:rsidR="00792535">
        <w:t>and quality control</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92535" w:rsidTr="007625C6">
        <w:tc>
          <w:tcPr>
            <w:tcW w:w="8771" w:type="dxa"/>
            <w:tcBorders>
              <w:top w:val="single" w:sz="6" w:space="0" w:color="auto"/>
              <w:bottom w:val="nil"/>
            </w:tcBorders>
          </w:tcPr>
          <w:p w:rsidR="00792535" w:rsidRDefault="00792535" w:rsidP="007625C6">
            <w:pPr>
              <w:pStyle w:val="BoxTitle"/>
            </w:pPr>
            <w:r>
              <w:t>Key points</w:t>
            </w:r>
          </w:p>
        </w:tc>
      </w:tr>
      <w:tr w:rsidR="00792535" w:rsidTr="007625C6">
        <w:trPr>
          <w:cantSplit/>
        </w:trPr>
        <w:tc>
          <w:tcPr>
            <w:tcW w:w="8771" w:type="dxa"/>
            <w:tcBorders>
              <w:top w:val="nil"/>
              <w:bottom w:val="nil"/>
            </w:tcBorders>
          </w:tcPr>
          <w:p w:rsidR="00792535" w:rsidRDefault="00792535" w:rsidP="00A763D1">
            <w:pPr>
              <w:pStyle w:val="BoxListBullet"/>
            </w:pPr>
            <w:r>
              <w:t xml:space="preserve">Accountability mechanisms in </w:t>
            </w:r>
            <w:r w:rsidR="007F59EC">
              <w:t>regulatory impact analysis (</w:t>
            </w:r>
            <w:r>
              <w:t>RIA</w:t>
            </w:r>
            <w:r w:rsidR="007F59EC">
              <w:t>)</w:t>
            </w:r>
            <w:r>
              <w:t xml:space="preserve"> processes for government agencies, regulatory oversight bodies and governments do not appear to be functioning effectively</w:t>
            </w:r>
            <w:r w:rsidR="0091348F">
              <w:t xml:space="preserve"> </w:t>
            </w:r>
            <w:r>
              <w:t>or</w:t>
            </w:r>
            <w:r w:rsidR="0091348F">
              <w:t>,</w:t>
            </w:r>
            <w:r>
              <w:t xml:space="preserve"> in some cases, they do not exist.</w:t>
            </w:r>
          </w:p>
          <w:p w:rsidR="00792535" w:rsidRDefault="00792535" w:rsidP="00A763D1">
            <w:pPr>
              <w:pStyle w:val="BoxListBullet"/>
            </w:pPr>
            <w:r>
              <w:t xml:space="preserve">Accountability </w:t>
            </w:r>
            <w:r w:rsidR="00C20CEC">
              <w:t>requires</w:t>
            </w:r>
            <w:r>
              <w:t xml:space="preserve"> effective consequences or sanctions. The </w:t>
            </w:r>
            <w:r w:rsidR="00591B86">
              <w:t xml:space="preserve">sanctions </w:t>
            </w:r>
            <w:r>
              <w:t xml:space="preserve">for government agencies of not complying with RIA processes are </w:t>
            </w:r>
            <w:r w:rsidR="006F5097">
              <w:t>non-existent</w:t>
            </w:r>
            <w:r w:rsidR="00D57339">
              <w:t>, weak or ineffective</w:t>
            </w:r>
            <w:r>
              <w:t>:</w:t>
            </w:r>
          </w:p>
          <w:p w:rsidR="00792535" w:rsidRDefault="00792535" w:rsidP="00C561A9">
            <w:pPr>
              <w:pStyle w:val="BoxListBullet2"/>
            </w:pPr>
            <w:r>
              <w:t xml:space="preserve">where post implementation reviews </w:t>
            </w:r>
            <w:r w:rsidR="00B12C7F">
              <w:t>(</w:t>
            </w:r>
            <w:proofErr w:type="spellStart"/>
            <w:r w:rsidR="00B12C7F">
              <w:t>PIRs</w:t>
            </w:r>
            <w:proofErr w:type="spellEnd"/>
            <w:r w:rsidR="00B12C7F">
              <w:t xml:space="preserve">) </w:t>
            </w:r>
            <w:r>
              <w:t xml:space="preserve">exist </w:t>
            </w:r>
            <w:r w:rsidR="00C03E75">
              <w:t xml:space="preserve">in </w:t>
            </w:r>
            <w:r w:rsidR="00D80DAD">
              <w:t xml:space="preserve">the </w:t>
            </w:r>
            <w:r w:rsidR="00490743">
              <w:t>Commonwealth</w:t>
            </w:r>
            <w:r w:rsidR="004813C6">
              <w:t xml:space="preserve"> and</w:t>
            </w:r>
            <w:r w:rsidR="004A0B82">
              <w:t xml:space="preserve"> </w:t>
            </w:r>
            <w:r w:rsidR="00601F31">
              <w:t>Queensland</w:t>
            </w:r>
            <w:r>
              <w:t>, in their current design they are a weak sanction for RIA non-compliance</w:t>
            </w:r>
          </w:p>
          <w:p w:rsidR="00792535" w:rsidRPr="002D46CB" w:rsidRDefault="00792535" w:rsidP="002D46CB">
            <w:pPr>
              <w:pStyle w:val="BoxListBullet2"/>
            </w:pPr>
            <w:r>
              <w:t xml:space="preserve">where parliamentary scrutiny committees are tasked with ensuring RIA requirements for subordinate legislation have been met, </w:t>
            </w:r>
            <w:r w:rsidRPr="002D46CB">
              <w:t xml:space="preserve">they appear </w:t>
            </w:r>
            <w:r>
              <w:t xml:space="preserve">to be </w:t>
            </w:r>
            <w:r w:rsidR="005E0453">
              <w:t>unsuccessful</w:t>
            </w:r>
            <w:r w:rsidRPr="002D46CB">
              <w:t xml:space="preserve"> in changing </w:t>
            </w:r>
            <w:r w:rsidR="004929D2">
              <w:t>regulation</w:t>
            </w:r>
            <w:r w:rsidRPr="002D46CB">
              <w:t>.</w:t>
            </w:r>
          </w:p>
          <w:p w:rsidR="00D75F55" w:rsidRDefault="004A0B82" w:rsidP="00253A73">
            <w:pPr>
              <w:pStyle w:val="BoxListBullet"/>
            </w:pPr>
            <w:r>
              <w:t>Accountability for RIA processes would be improved if Cabinet offices were focused on</w:t>
            </w:r>
            <w:r w:rsidR="00567F0B">
              <w:t xml:space="preserve"> the provision of</w:t>
            </w:r>
            <w:r w:rsidR="00253A73" w:rsidRPr="00253A73">
              <w:t xml:space="preserve"> RIA information to Cabinet</w:t>
            </w:r>
            <w:r w:rsidR="00253A73">
              <w:t>s</w:t>
            </w:r>
            <w:r w:rsidR="00253A73" w:rsidRPr="00253A73">
              <w:t xml:space="preserve"> irrespective of whether RIA requirements have been met for regulatory proposals</w:t>
            </w:r>
            <w:r w:rsidR="00C20CEC">
              <w:t>, as in Vic</w:t>
            </w:r>
            <w:r w:rsidR="00601F31">
              <w:t>toria</w:t>
            </w:r>
            <w:r w:rsidR="00C20CEC">
              <w:t xml:space="preserve">, </w:t>
            </w:r>
            <w:r w:rsidR="00601F31">
              <w:t>Queensland</w:t>
            </w:r>
            <w:r w:rsidR="00C20CEC">
              <w:t>, Tas</w:t>
            </w:r>
            <w:r w:rsidR="00601F31">
              <w:t>mania</w:t>
            </w:r>
            <w:r w:rsidR="00C20CEC">
              <w:t xml:space="preserve"> and </w:t>
            </w:r>
            <w:r w:rsidR="00601F31">
              <w:t xml:space="preserve">the </w:t>
            </w:r>
            <w:r w:rsidR="00C20CEC">
              <w:t>ACT</w:t>
            </w:r>
            <w:r w:rsidR="00297050" w:rsidRPr="00297050">
              <w:t>.</w:t>
            </w:r>
            <w:r w:rsidR="00423F73">
              <w:t xml:space="preserve"> </w:t>
            </w:r>
          </w:p>
          <w:p w:rsidR="00792535" w:rsidRDefault="004A0B82" w:rsidP="00A763D1">
            <w:pPr>
              <w:pStyle w:val="BoxListBullet"/>
            </w:pPr>
            <w:r>
              <w:t xml:space="preserve">Implementation of </w:t>
            </w:r>
            <w:proofErr w:type="spellStart"/>
            <w:r>
              <w:t>PIRs</w:t>
            </w:r>
            <w:proofErr w:type="spellEnd"/>
            <w:r w:rsidR="00F44CDE">
              <w:t xml:space="preserve"> as a more powerful sanction would e</w:t>
            </w:r>
            <w:r w:rsidR="00D3179D">
              <w:t>ncourage</w:t>
            </w:r>
            <w:r w:rsidR="00792535">
              <w:t xml:space="preserve"> agencies to comply with RIA processes</w:t>
            </w:r>
            <w:r w:rsidR="00F44CDE">
              <w:t xml:space="preserve">. </w:t>
            </w:r>
            <w:r w:rsidR="00792535">
              <w:t xml:space="preserve">This </w:t>
            </w:r>
            <w:r w:rsidR="00C03E75">
              <w:t>could</w:t>
            </w:r>
            <w:r w:rsidR="00792535">
              <w:t xml:space="preserve"> be achieved by removing the responsibility (but not the financial obligation) for undertaking the </w:t>
            </w:r>
            <w:proofErr w:type="spellStart"/>
            <w:r w:rsidR="00792535">
              <w:t>PIR</w:t>
            </w:r>
            <w:proofErr w:type="spellEnd"/>
            <w:r w:rsidR="00792535">
              <w:t xml:space="preserve"> from the agency and placing it </w:t>
            </w:r>
            <w:r w:rsidR="00C20CEC">
              <w:t>with</w:t>
            </w:r>
            <w:r w:rsidR="00792535">
              <w:t xml:space="preserve"> an independent third party. </w:t>
            </w:r>
          </w:p>
          <w:p w:rsidR="00601F31" w:rsidRDefault="006408A4" w:rsidP="00601F31">
            <w:pPr>
              <w:pStyle w:val="BoxListBullet"/>
            </w:pPr>
            <w:r>
              <w:t xml:space="preserve">Concerns have been raised that at times oversight bodies have made incorrect adequacy assessments. </w:t>
            </w:r>
            <w:r w:rsidR="00601F31">
              <w:t xml:space="preserve">Regulatory oversight bodies should be made more accountable for their </w:t>
            </w:r>
            <w:r w:rsidR="007F59EC">
              <w:t>regulation impact statement (</w:t>
            </w:r>
            <w:r w:rsidR="00601F31">
              <w:t>RIS</w:t>
            </w:r>
            <w:r w:rsidR="007F59EC">
              <w:t xml:space="preserve">) </w:t>
            </w:r>
            <w:r w:rsidR="00601F31">
              <w:t xml:space="preserve">and </w:t>
            </w:r>
            <w:proofErr w:type="spellStart"/>
            <w:r w:rsidR="00601F31">
              <w:t>PIR</w:t>
            </w:r>
            <w:proofErr w:type="spellEnd"/>
            <w:r w:rsidR="00601F31">
              <w:t xml:space="preserve"> adequacy assessments. While the publication of oversight body adequacy assessments (and their reasons/qualifications) would help, greater accountability is required.</w:t>
            </w:r>
          </w:p>
          <w:p w:rsidR="00601F31" w:rsidRDefault="00D100F2" w:rsidP="00601F31">
            <w:pPr>
              <w:pStyle w:val="BoxListBullet2"/>
            </w:pPr>
            <w:r>
              <w:t>A valuable</w:t>
            </w:r>
            <w:r w:rsidR="00601F31">
              <w:t xml:space="preserve"> accountability mechanism for regulatory oversight bodies</w:t>
            </w:r>
            <w:r>
              <w:t xml:space="preserve"> is </w:t>
            </w:r>
            <w:r w:rsidR="000C7185">
              <w:t>the</w:t>
            </w:r>
            <w:r w:rsidR="00601F31">
              <w:t xml:space="preserve"> periodic evaluation of their performance by an independent third party such as an audit office, </w:t>
            </w:r>
            <w:r>
              <w:t xml:space="preserve">as </w:t>
            </w:r>
            <w:r w:rsidR="00DB317A">
              <w:t>has been recommended by the OECD</w:t>
            </w:r>
            <w:r>
              <w:t>.</w:t>
            </w:r>
          </w:p>
          <w:p w:rsidR="00253A73" w:rsidRDefault="00253A73" w:rsidP="00253A73">
            <w:pPr>
              <w:pStyle w:val="BoxListBullet"/>
            </w:pPr>
            <w:r>
              <w:t xml:space="preserve">Regulatory oversight bodies that are more independent are likely to </w:t>
            </w:r>
            <w:r w:rsidR="007849BE">
              <w:t xml:space="preserve">operate with </w:t>
            </w:r>
            <w:r w:rsidR="00591B86">
              <w:t xml:space="preserve">greater </w:t>
            </w:r>
            <w:r w:rsidR="007849BE">
              <w:t>objectivity and transparency in implementing RIA requirements</w:t>
            </w:r>
            <w:r>
              <w:t xml:space="preserve">. If oversight bodies </w:t>
            </w:r>
            <w:r w:rsidR="009C20AD">
              <w:t xml:space="preserve">continue to </w:t>
            </w:r>
            <w:r>
              <w:t>report to executive government</w:t>
            </w:r>
            <w:r w:rsidR="00DE4D00">
              <w:t>,</w:t>
            </w:r>
            <w:r w:rsidR="009C20AD">
              <w:t xml:space="preserve"> i</w:t>
            </w:r>
            <w:r>
              <w:t>deally they should be located within an independent statutory agency</w:t>
            </w:r>
            <w:r w:rsidR="009C20AD">
              <w:t>. W</w:t>
            </w:r>
            <w:r>
              <w:t>here they continue to be located in a central department their autonomy should be strengthened.</w:t>
            </w:r>
          </w:p>
          <w:p w:rsidR="00C20CEC" w:rsidRDefault="00C20CEC" w:rsidP="009210F4">
            <w:pPr>
              <w:pStyle w:val="BoxListBullet"/>
            </w:pPr>
            <w:r>
              <w:t xml:space="preserve">To increase the accountability of government in the medium term, consideration </w:t>
            </w:r>
            <w:r w:rsidR="002E0AD1">
              <w:t xml:space="preserve">should </w:t>
            </w:r>
            <w:r>
              <w:t>be given to making regulatory oversight bodies report directly to parliament rather than to the executive branch of government.</w:t>
            </w:r>
          </w:p>
        </w:tc>
      </w:tr>
      <w:tr w:rsidR="00792535" w:rsidTr="007625C6">
        <w:trPr>
          <w:cantSplit/>
        </w:trPr>
        <w:tc>
          <w:tcPr>
            <w:tcW w:w="8771" w:type="dxa"/>
            <w:tcBorders>
              <w:top w:val="nil"/>
              <w:bottom w:val="single" w:sz="6" w:space="0" w:color="auto"/>
            </w:tcBorders>
          </w:tcPr>
          <w:p w:rsidR="00792535" w:rsidRDefault="00792535" w:rsidP="007625C6">
            <w:pPr>
              <w:pStyle w:val="Box"/>
              <w:spacing w:before="0" w:line="120" w:lineRule="exact"/>
            </w:pPr>
          </w:p>
        </w:tc>
      </w:tr>
      <w:tr w:rsidR="00792535" w:rsidTr="007625C6">
        <w:tc>
          <w:tcPr>
            <w:tcW w:w="8771" w:type="dxa"/>
            <w:tcBorders>
              <w:top w:val="nil"/>
              <w:left w:val="nil"/>
              <w:bottom w:val="nil"/>
              <w:right w:val="nil"/>
            </w:tcBorders>
          </w:tcPr>
          <w:p w:rsidR="00792535" w:rsidRDefault="00792535" w:rsidP="00601F31">
            <w:pPr>
              <w:pStyle w:val="Box"/>
              <w:keepNext w:val="0"/>
              <w:spacing w:before="0" w:after="60" w:line="40" w:lineRule="exact"/>
              <w:rPr>
                <w:b/>
                <w:color w:val="FF00FF"/>
                <w:sz w:val="14"/>
              </w:rPr>
            </w:pPr>
          </w:p>
        </w:tc>
      </w:tr>
    </w:tbl>
    <w:p w:rsidR="00792535" w:rsidRDefault="00FC4C5E" w:rsidP="00E834AD">
      <w:pPr>
        <w:pStyle w:val="Heading2"/>
      </w:pPr>
      <w:r>
        <w:lastRenderedPageBreak/>
        <w:t>8.</w:t>
      </w:r>
      <w:r>
        <w:rPr>
          <w:noProof/>
        </w:rPr>
        <w:t>1</w:t>
      </w:r>
      <w:r w:rsidR="00792535">
        <w:tab/>
        <w:t>What is accountability?</w:t>
      </w:r>
    </w:p>
    <w:p w:rsidR="00F7431C" w:rsidRDefault="00C03E75" w:rsidP="00F7431C">
      <w:pPr>
        <w:pStyle w:val="BodyText"/>
      </w:pPr>
      <w:r>
        <w:t>A</w:t>
      </w:r>
      <w:r w:rsidR="00792535">
        <w:t xml:space="preserve">ccountability is the obligation to </w:t>
      </w:r>
      <w:r>
        <w:t xml:space="preserve">inform, </w:t>
      </w:r>
      <w:r w:rsidR="00792535">
        <w:t>explain and justify conduct</w:t>
      </w:r>
      <w:r w:rsidR="00CA2C18">
        <w:t xml:space="preserve"> and to face consequences associated with that conduct</w:t>
      </w:r>
      <w:r w:rsidR="00792535">
        <w:t>.</w:t>
      </w:r>
      <w:r w:rsidR="00CA2C18">
        <w:t xml:space="preserve"> </w:t>
      </w:r>
      <w:r w:rsidR="00F7431C">
        <w:t xml:space="preserve">Accountability is very important </w:t>
      </w:r>
      <w:r w:rsidR="002253AD">
        <w:t>to</w:t>
      </w:r>
      <w:r w:rsidR="00F7431C">
        <w:t xml:space="preserve"> developing an effective RIA process</w:t>
      </w:r>
      <w:r>
        <w:t>. A</w:t>
      </w:r>
      <w:r w:rsidR="00F7431C">
        <w:t xml:space="preserve">ll parties involved </w:t>
      </w:r>
      <w:r>
        <w:t xml:space="preserve">in the process </w:t>
      </w:r>
      <w:r w:rsidR="00F7431C">
        <w:t>need to be held accountable for their respective role</w:t>
      </w:r>
      <w:r w:rsidR="005B0643">
        <w:t>s</w:t>
      </w:r>
      <w:r w:rsidR="00F7431C">
        <w:t xml:space="preserve">. That is: </w:t>
      </w:r>
    </w:p>
    <w:p w:rsidR="00F7431C" w:rsidRDefault="00F7431C" w:rsidP="00F7431C">
      <w:pPr>
        <w:pStyle w:val="ListBullet"/>
      </w:pPr>
      <w:r>
        <w:t xml:space="preserve">government agencies should be held accountable for the </w:t>
      </w:r>
      <w:r w:rsidR="00AD2AD0">
        <w:t xml:space="preserve">quality of their policy development processes and the </w:t>
      </w:r>
      <w:r>
        <w:t>RIS documents they produce</w:t>
      </w:r>
    </w:p>
    <w:p w:rsidR="00F7431C" w:rsidRDefault="00F7431C" w:rsidP="00F7431C">
      <w:pPr>
        <w:pStyle w:val="ListBullet"/>
      </w:pPr>
      <w:r>
        <w:t>regulatory oversight bodies should be held accountable for the quality of the RIS adequacy assessments they deliver</w:t>
      </w:r>
      <w:r w:rsidR="00F25562">
        <w:t xml:space="preserve"> and the other functions they perform</w:t>
      </w:r>
    </w:p>
    <w:p w:rsidR="00F7431C" w:rsidRDefault="00F7431C" w:rsidP="00F7431C">
      <w:pPr>
        <w:pStyle w:val="ListBullet"/>
      </w:pPr>
      <w:r>
        <w:t>government ministers should be held accountable for the quality of the regulatory decisions they make.</w:t>
      </w:r>
    </w:p>
    <w:p w:rsidR="00792535" w:rsidRDefault="00792535" w:rsidP="00E834AD">
      <w:pPr>
        <w:pStyle w:val="BodyText"/>
      </w:pPr>
      <w:r>
        <w:t xml:space="preserve">There are three </w:t>
      </w:r>
      <w:r w:rsidR="005B0643">
        <w:t>main</w:t>
      </w:r>
      <w:r>
        <w:t xml:space="preserve"> reasons for requiring accountability</w:t>
      </w:r>
      <w:r w:rsidR="00745077">
        <w:t xml:space="preserve"> in government</w:t>
      </w:r>
      <w:r>
        <w:t xml:space="preserve">: to provide </w:t>
      </w:r>
      <w:r w:rsidR="005B0643">
        <w:t>communities with the</w:t>
      </w:r>
      <w:r>
        <w:t xml:space="preserve"> means to monitor and control government conduct</w:t>
      </w:r>
      <w:r w:rsidR="00B55E09">
        <w:t xml:space="preserve"> and policy development</w:t>
      </w:r>
      <w:r>
        <w:t xml:space="preserve">; </w:t>
      </w:r>
      <w:r w:rsidR="005B0643">
        <w:t xml:space="preserve">to </w:t>
      </w:r>
      <w:r>
        <w:t>prevent the development of concentrations of power</w:t>
      </w:r>
      <w:r w:rsidR="00B55E09">
        <w:t xml:space="preserve"> and influence</w:t>
      </w:r>
      <w:r>
        <w:t>; and</w:t>
      </w:r>
      <w:r w:rsidR="003B0C07">
        <w:t>,</w:t>
      </w:r>
      <w:r>
        <w:t xml:space="preserve"> importantly for the RIA process, to enhance the learning capacity and effectiveness of public administration (</w:t>
      </w:r>
      <w:proofErr w:type="spellStart"/>
      <w:r>
        <w:t>Aucoin</w:t>
      </w:r>
      <w:proofErr w:type="spellEnd"/>
      <w:r>
        <w:t xml:space="preserve"> and </w:t>
      </w:r>
      <w:proofErr w:type="spellStart"/>
      <w:r>
        <w:t>Heintzman</w:t>
      </w:r>
      <w:proofErr w:type="spellEnd"/>
      <w:r>
        <w:t xml:space="preserve"> 2000). </w:t>
      </w:r>
    </w:p>
    <w:p w:rsidR="00E40F70" w:rsidRDefault="005B0643" w:rsidP="00E834AD">
      <w:pPr>
        <w:pStyle w:val="BodyText"/>
      </w:pPr>
      <w:r>
        <w:t>W</w:t>
      </w:r>
      <w:r w:rsidR="005962B8" w:rsidRPr="005962B8">
        <w:t>hile elections are a key accountability mechanism in representative democracies and should not be underestimated</w:t>
      </w:r>
      <w:r w:rsidR="00550808">
        <w:t>,</w:t>
      </w:r>
      <w:r w:rsidR="005962B8" w:rsidRPr="005962B8">
        <w:t xml:space="preserve"> only a small minority of voters base their decisions on carefully informed judgements about either the future or the past performance </w:t>
      </w:r>
      <w:r w:rsidR="00550808">
        <w:t xml:space="preserve">of governments and politicians </w:t>
      </w:r>
      <w:r w:rsidR="005962B8" w:rsidRPr="005962B8">
        <w:t>(</w:t>
      </w:r>
      <w:proofErr w:type="spellStart"/>
      <w:r w:rsidR="005962B8" w:rsidRPr="005962B8">
        <w:t>Mulgan</w:t>
      </w:r>
      <w:proofErr w:type="spellEnd"/>
      <w:r w:rsidR="005962B8" w:rsidRPr="005962B8">
        <w:t xml:space="preserve"> 2003)</w:t>
      </w:r>
      <w:r w:rsidR="00550808">
        <w:t>.</w:t>
      </w:r>
      <w:r w:rsidR="00BF057E">
        <w:t xml:space="preserve"> </w:t>
      </w:r>
      <w:r w:rsidR="00550808">
        <w:t>Hence, e</w:t>
      </w:r>
      <w:r w:rsidR="005962B8" w:rsidRPr="005962B8">
        <w:t xml:space="preserve">lections on their own are </w:t>
      </w:r>
      <w:r w:rsidR="00E40F70">
        <w:t xml:space="preserve">generally </w:t>
      </w:r>
      <w:r w:rsidR="005962B8" w:rsidRPr="005962B8">
        <w:t xml:space="preserve">not sufficient to meet the needs of public accountability. They need to be supported by other </w:t>
      </w:r>
      <w:r w:rsidR="00B55E09">
        <w:t xml:space="preserve">‘checks and balances’ or </w:t>
      </w:r>
      <w:r w:rsidR="005962B8" w:rsidRPr="005962B8">
        <w:t xml:space="preserve">more direct accountability </w:t>
      </w:r>
      <w:r w:rsidR="00EB3490">
        <w:t>measures</w:t>
      </w:r>
      <w:r w:rsidR="005962B8" w:rsidRPr="005962B8">
        <w:t xml:space="preserve"> capable of extracting reliable government information and separately identifying individual policy issues and decisions</w:t>
      </w:r>
      <w:r w:rsidR="005962B8">
        <w:t>.</w:t>
      </w:r>
      <w:r>
        <w:t xml:space="preserve"> </w:t>
      </w:r>
      <w:r w:rsidR="00792535">
        <w:t xml:space="preserve">For example, public institutions, such as the </w:t>
      </w:r>
      <w:r w:rsidR="00197CA5">
        <w:t xml:space="preserve">Australian </w:t>
      </w:r>
      <w:r w:rsidR="00792535">
        <w:t>National Audit Office</w:t>
      </w:r>
      <w:r w:rsidR="00EB3490">
        <w:t xml:space="preserve"> (</w:t>
      </w:r>
      <w:proofErr w:type="spellStart"/>
      <w:r w:rsidR="00EB3490">
        <w:t>ANAO</w:t>
      </w:r>
      <w:proofErr w:type="spellEnd"/>
      <w:r w:rsidR="00EB3490">
        <w:t>)</w:t>
      </w:r>
      <w:r w:rsidR="00792535">
        <w:t xml:space="preserve">, act as a complement to the scrutiny of </w:t>
      </w:r>
      <w:r w:rsidR="00695901">
        <w:t>government</w:t>
      </w:r>
      <w:r w:rsidR="00792535">
        <w:t xml:space="preserve"> behaviour by voters and parliaments. </w:t>
      </w:r>
    </w:p>
    <w:p w:rsidR="00792535" w:rsidRDefault="005B0643" w:rsidP="00E834AD">
      <w:pPr>
        <w:pStyle w:val="BodyText"/>
      </w:pPr>
      <w:r>
        <w:t xml:space="preserve">Such </w:t>
      </w:r>
      <w:r w:rsidR="00AD721E">
        <w:t xml:space="preserve">accountability </w:t>
      </w:r>
      <w:r>
        <w:t xml:space="preserve">measures can </w:t>
      </w:r>
      <w:r w:rsidR="003B0C07">
        <w:t xml:space="preserve">also </w:t>
      </w:r>
      <w:r>
        <w:t xml:space="preserve">stimulate public sector </w:t>
      </w:r>
      <w:r w:rsidR="003B0C07">
        <w:t>agencies</w:t>
      </w:r>
      <w:r w:rsidR="002253AD">
        <w:t xml:space="preserve"> to focus consistently on achieving desirable social outcomes and delivering on their obligations and responsibilities:</w:t>
      </w:r>
    </w:p>
    <w:p w:rsidR="00792535" w:rsidRDefault="00792535" w:rsidP="005C2634">
      <w:pPr>
        <w:pStyle w:val="Quote"/>
      </w:pPr>
      <w:r>
        <w:t xml:space="preserve">The possibility of sanctions </w:t>
      </w:r>
      <w:r w:rsidR="00EB3490">
        <w:t>…</w:t>
      </w:r>
      <w:r>
        <w:t xml:space="preserve"> motivates them to search for more intelligent ways of organizing their business. Moreover, the public nature of the accountability process teaches others in similar positions what is expected of them, what works, and what doesn’t. Public performance reviews, for example, can induce many more administrators than those under scrutiny to rethink and adjust their policies. Accountability mechanisms might induce openness and reflexivity in political and administrative systems that might otherwise be primarily inward-looking. (</w:t>
      </w:r>
      <w:proofErr w:type="spellStart"/>
      <w:r>
        <w:t>Bovens</w:t>
      </w:r>
      <w:proofErr w:type="spellEnd"/>
      <w:r>
        <w:t xml:space="preserve"> et</w:t>
      </w:r>
      <w:r w:rsidR="000A485E">
        <w:t> </w:t>
      </w:r>
      <w:r>
        <w:t>al. 2008, p. 232)</w:t>
      </w:r>
    </w:p>
    <w:p w:rsidR="002253AD" w:rsidRDefault="002253AD" w:rsidP="002253AD">
      <w:pPr>
        <w:pStyle w:val="BodyText"/>
      </w:pPr>
      <w:r>
        <w:lastRenderedPageBreak/>
        <w:t>The processes put in place to hold governments and officials accountable are not without their shortcomings. The recent Hawke Review of the ACT Public Sector noted the following drawbacks with accountability processes:</w:t>
      </w:r>
    </w:p>
    <w:p w:rsidR="002253AD" w:rsidRDefault="002253AD" w:rsidP="002253AD">
      <w:pPr>
        <w:pStyle w:val="Quote"/>
      </w:pPr>
      <w:r>
        <w:t>… cost and complexity, reduced incentives and scope for independent action or innovation in response to new challenges, creation of delays to decision making, and the fact that while greater transparency can help to prevent foreseeable and preventable errors … it can also encourage risk avoidance and conservative decision making. (ACT Government 2011, p. 225)</w:t>
      </w:r>
    </w:p>
    <w:p w:rsidR="002253AD" w:rsidRPr="002253AD" w:rsidRDefault="002253AD" w:rsidP="002253AD">
      <w:pPr>
        <w:pStyle w:val="BodyText"/>
      </w:pPr>
      <w:r>
        <w:t xml:space="preserve">The challenge for governments is to develop a system of holding government agencies, regulatory oversight bodies and ministers accountable for their performance in RIA processes that meets the needs of the community to scrutinise government action in a cost effective manner, but which also encourages innovation and improvements to policy design, implementation and review. A balance needs to be struck between external accountability and trust in voluntary compliance when designing accountability mechanisms. </w:t>
      </w:r>
      <w:r w:rsidR="00EB3490">
        <w:t>I</w:t>
      </w:r>
      <w:r w:rsidR="00033F80">
        <w:t>n situations where weak</w:t>
      </w:r>
      <w:r w:rsidR="00E432B7">
        <w:t>, ineffective</w:t>
      </w:r>
      <w:r w:rsidR="00033F80">
        <w:t xml:space="preserve"> (or </w:t>
      </w:r>
      <w:r>
        <w:t>no) accountability mechanisms exist</w:t>
      </w:r>
      <w:r w:rsidR="00EB3490">
        <w:t>,</w:t>
      </w:r>
      <w:r>
        <w:t xml:space="preserve"> the RIA process must rely heavily (or solely) on individuals </w:t>
      </w:r>
      <w:r w:rsidR="00F25562">
        <w:t xml:space="preserve">being motivated </w:t>
      </w:r>
      <w:r>
        <w:t xml:space="preserve">to ‘do the right thing’. </w:t>
      </w:r>
    </w:p>
    <w:p w:rsidR="00792535" w:rsidRDefault="00FC4C5E" w:rsidP="00151B78">
      <w:pPr>
        <w:pStyle w:val="Heading2"/>
      </w:pPr>
      <w:bookmarkStart w:id="2" w:name="begin"/>
      <w:bookmarkEnd w:id="2"/>
      <w:r>
        <w:t>8.</w:t>
      </w:r>
      <w:r>
        <w:rPr>
          <w:noProof/>
        </w:rPr>
        <w:t>2</w:t>
      </w:r>
      <w:r w:rsidR="00792535">
        <w:tab/>
        <w:t xml:space="preserve">Are government agencies accountable for the quality of </w:t>
      </w:r>
      <w:r w:rsidR="00E40F70">
        <w:t xml:space="preserve">their </w:t>
      </w:r>
      <w:r w:rsidR="00792535">
        <w:t>regulatory impact analysis?</w:t>
      </w:r>
    </w:p>
    <w:p w:rsidR="00792535" w:rsidRDefault="00B72FBF" w:rsidP="00151B78">
      <w:pPr>
        <w:pStyle w:val="BodyText"/>
      </w:pPr>
      <w:r>
        <w:t>R</w:t>
      </w:r>
      <w:r w:rsidR="00792535">
        <w:t>egulatory oversight bodies have a variety of functions, but perhaps their most important function is challenging the quality of RIS documents put forward by government agencies in their respective jurisdictions</w:t>
      </w:r>
      <w:r>
        <w:t xml:space="preserve"> (chapter </w:t>
      </w:r>
      <w:r w:rsidR="00516E72">
        <w:t>3</w:t>
      </w:r>
      <w:r>
        <w:t>)</w:t>
      </w:r>
      <w:r w:rsidR="00792535">
        <w:t>. These scrutinising functions of seeking information, explanation and justification when assessing RIS adequacy</w:t>
      </w:r>
      <w:r w:rsidR="00B55E09">
        <w:t>,</w:t>
      </w:r>
      <w:r w:rsidR="00792535">
        <w:t xml:space="preserve"> help to make </w:t>
      </w:r>
      <w:r w:rsidR="00B55E09">
        <w:t xml:space="preserve">agencies </w:t>
      </w:r>
      <w:r w:rsidR="00837B60">
        <w:t>accountable</w:t>
      </w:r>
      <w:r w:rsidR="00792535">
        <w:t xml:space="preserve"> — but only where the regulatory oversight body actually publishes its adequacy assessments</w:t>
      </w:r>
      <w:r w:rsidR="002914BB">
        <w:t xml:space="preserve"> of individual proposals </w:t>
      </w:r>
      <w:r w:rsidR="00F50404">
        <w:t>and/</w:t>
      </w:r>
      <w:r w:rsidR="002914BB">
        <w:t>or annual compliance reports</w:t>
      </w:r>
      <w:r w:rsidR="00792535">
        <w:t>.</w:t>
      </w:r>
    </w:p>
    <w:p w:rsidR="00125FC1" w:rsidRDefault="00792535" w:rsidP="00151B78">
      <w:pPr>
        <w:pStyle w:val="BodyText"/>
      </w:pPr>
      <w:r>
        <w:t>However, as discussed in section 8.1, accountability implies more than the pursuit of transparency. Government</w:t>
      </w:r>
      <w:r w:rsidR="00516E72">
        <w:t xml:space="preserve"> agencies </w:t>
      </w:r>
      <w:r>
        <w:t>must not only be ‘called’ to account; they must also be ‘held’ to account. Accountability is incomplete without effective consequences or sanctions.</w:t>
      </w:r>
      <w:r w:rsidR="00C36DFE">
        <w:t xml:space="preserve"> And they are necessary</w:t>
      </w:r>
      <w:r w:rsidR="00154E19">
        <w:t>;</w:t>
      </w:r>
      <w:r w:rsidR="0092762C">
        <w:t xml:space="preserve"> a</w:t>
      </w:r>
      <w:r w:rsidR="00C36DFE">
        <w:t>ccording to survey responses from regulatory oversight bodies</w:t>
      </w:r>
      <w:r w:rsidR="00154E19">
        <w:t>,</w:t>
      </w:r>
      <w:r w:rsidR="00695A43">
        <w:t xml:space="preserve"> in the majority of jurisdictions</w:t>
      </w:r>
      <w:r w:rsidR="00C36DFE">
        <w:t xml:space="preserve"> </w:t>
      </w:r>
      <w:r w:rsidR="00695A43">
        <w:t xml:space="preserve">some </w:t>
      </w:r>
      <w:r w:rsidR="00C36DFE">
        <w:t xml:space="preserve">regulatory proposals </w:t>
      </w:r>
      <w:r w:rsidR="00695A43">
        <w:t xml:space="preserve">are </w:t>
      </w:r>
      <w:r w:rsidR="00AE1186">
        <w:t>not meeting RIA requirements</w:t>
      </w:r>
      <w:r w:rsidR="00C36DFE">
        <w:t xml:space="preserve"> </w:t>
      </w:r>
      <w:r w:rsidR="00695A43">
        <w:t xml:space="preserve">and </w:t>
      </w:r>
      <w:r w:rsidR="00154E19">
        <w:t xml:space="preserve">are </w:t>
      </w:r>
      <w:r w:rsidR="00E15796">
        <w:t xml:space="preserve">still </w:t>
      </w:r>
      <w:r w:rsidR="00C36DFE">
        <w:t>proceeding to decision makers (figure 8.1).</w:t>
      </w:r>
      <w:r w:rsidR="00AE1186">
        <w:t xml:space="preserve"> </w:t>
      </w:r>
      <w:r w:rsidR="00DB317A">
        <w:t xml:space="preserve">This has led to calls for increased sanctions for non-compliance with RIA processes from some interested stakeholders (Plastics and Chemicals Industries Association, sub. 8; </w:t>
      </w:r>
      <w:r w:rsidR="000C7185">
        <w:t xml:space="preserve">and </w:t>
      </w:r>
      <w:r w:rsidR="00DB317A">
        <w:t>Small Business Development Corporation, sub.</w:t>
      </w:r>
      <w:r w:rsidR="00576D60">
        <w:t> </w:t>
      </w:r>
      <w:r w:rsidR="00DB317A">
        <w:t xml:space="preserve">25). </w:t>
      </w:r>
      <w:r w:rsidR="007A3888">
        <w:t xml:space="preserve">Where </w:t>
      </w:r>
      <w:r w:rsidR="00287B99">
        <w:t>decision makers</w:t>
      </w:r>
      <w:r w:rsidR="007A3888">
        <w:t xml:space="preserve"> then </w:t>
      </w:r>
      <w:r w:rsidR="00BF057E">
        <w:t>introduce regulation</w:t>
      </w:r>
      <w:r w:rsidR="007A3888">
        <w:t xml:space="preserve"> that </w:t>
      </w:r>
      <w:r w:rsidR="00BF057E">
        <w:t>is</w:t>
      </w:r>
      <w:r w:rsidR="007A3888">
        <w:t xml:space="preserve"> inconsistent with </w:t>
      </w:r>
      <w:r w:rsidR="007A3888">
        <w:lastRenderedPageBreak/>
        <w:t xml:space="preserve">their </w:t>
      </w:r>
      <w:r w:rsidR="00287B99">
        <w:t xml:space="preserve">own government’s </w:t>
      </w:r>
      <w:r w:rsidR="007A3888">
        <w:t xml:space="preserve">RIA </w:t>
      </w:r>
      <w:r w:rsidR="00BF057E">
        <w:t>requirements,</w:t>
      </w:r>
      <w:r w:rsidR="00516E72">
        <w:t xml:space="preserve"> </w:t>
      </w:r>
      <w:r w:rsidR="00287B99">
        <w:t>they</w:t>
      </w:r>
      <w:r w:rsidR="002B7E90">
        <w:t xml:space="preserve"> (</w:t>
      </w:r>
      <w:r w:rsidR="00DB317A">
        <w:t xml:space="preserve">either directly or </w:t>
      </w:r>
      <w:r w:rsidR="00287B99">
        <w:t>through their portfolio</w:t>
      </w:r>
      <w:r w:rsidR="002B7E90">
        <w:t xml:space="preserve"> agencies) </w:t>
      </w:r>
      <w:r w:rsidR="007A3888">
        <w:t>should be held accountable</w:t>
      </w:r>
      <w:r w:rsidR="00516E72">
        <w:t>.</w:t>
      </w:r>
      <w:r w:rsidR="00125FC1">
        <w:t xml:space="preserve"> </w:t>
      </w:r>
    </w:p>
    <w:p w:rsidR="008C2E9D" w:rsidRDefault="00125FC1" w:rsidP="00151B78">
      <w:pPr>
        <w:pStyle w:val="BodyText"/>
      </w:pPr>
      <w:r>
        <w:t xml:space="preserve">As discussed in chapter 3, some jurisdictions make ministers or senior public servants personally </w:t>
      </w:r>
      <w:r w:rsidR="005A03F5">
        <w:t>responsible</w:t>
      </w:r>
      <w:r>
        <w:t xml:space="preserve"> for the quality of RIS documents in their agencies. </w:t>
      </w:r>
      <w:r w:rsidR="00DB317A">
        <w:t xml:space="preserve">The OECD was supportive of this approach in its recent review of regulatory reform in Australia (OECD </w:t>
      </w:r>
      <w:proofErr w:type="spellStart"/>
      <w:r w:rsidR="00DB317A">
        <w:t>2010</w:t>
      </w:r>
      <w:r w:rsidR="00E36FBD">
        <w:t>b</w:t>
      </w:r>
      <w:proofErr w:type="spellEnd"/>
      <w:r w:rsidR="00DB317A">
        <w:t xml:space="preserve">). </w:t>
      </w:r>
      <w:r>
        <w:t xml:space="preserve">The underlying motivation for this </w:t>
      </w:r>
      <w:r w:rsidR="00F6248F">
        <w:t xml:space="preserve">accountability mechanism </w:t>
      </w:r>
      <w:r>
        <w:t xml:space="preserve">is </w:t>
      </w:r>
      <w:r w:rsidR="00F6248F">
        <w:t xml:space="preserve">that </w:t>
      </w:r>
      <w:r>
        <w:t>if the minister</w:t>
      </w:r>
      <w:r w:rsidR="005A03F5">
        <w:t>/public servant</w:t>
      </w:r>
      <w:r>
        <w:t xml:space="preserve"> is personally </w:t>
      </w:r>
      <w:r w:rsidR="005A03F5">
        <w:t>responsible</w:t>
      </w:r>
      <w:r>
        <w:t xml:space="preserve">, </w:t>
      </w:r>
      <w:r w:rsidR="00601F31">
        <w:t>they</w:t>
      </w:r>
      <w:r>
        <w:t xml:space="preserve"> would </w:t>
      </w:r>
      <w:r w:rsidR="00F6248F">
        <w:t xml:space="preserve">ensure </w:t>
      </w:r>
      <w:r w:rsidR="00601F31">
        <w:t xml:space="preserve">the quality of </w:t>
      </w:r>
      <w:r w:rsidR="00924CC1">
        <w:t xml:space="preserve">a </w:t>
      </w:r>
      <w:r w:rsidR="00601F31">
        <w:t xml:space="preserve">RIS </w:t>
      </w:r>
      <w:r>
        <w:t xml:space="preserve">before </w:t>
      </w:r>
      <w:r w:rsidR="00601F31">
        <w:t xml:space="preserve">it is </w:t>
      </w:r>
      <w:r>
        <w:t xml:space="preserve">assessed by the oversight body. </w:t>
      </w:r>
      <w:r w:rsidR="0069733F">
        <w:t>On its own,</w:t>
      </w:r>
      <w:r w:rsidR="00F6248F">
        <w:t xml:space="preserve"> </w:t>
      </w:r>
      <w:r w:rsidR="00E11EA5">
        <w:t xml:space="preserve">this mechanism </w:t>
      </w:r>
      <w:r w:rsidR="00F6248F">
        <w:t xml:space="preserve">is </w:t>
      </w:r>
      <w:r w:rsidR="0069733F">
        <w:t xml:space="preserve">likely to be </w:t>
      </w:r>
      <w:r w:rsidR="00F6248F">
        <w:t xml:space="preserve">little more than a </w:t>
      </w:r>
      <w:r w:rsidR="005A03F5">
        <w:t xml:space="preserve">bureaucratic </w:t>
      </w:r>
      <w:r w:rsidR="00F6248F">
        <w:t>red tap</w:t>
      </w:r>
      <w:r w:rsidR="00E11EA5">
        <w:t>e exercise</w:t>
      </w:r>
      <w:r w:rsidR="0069733F">
        <w:t xml:space="preserve">. However, as part of a suite of </w:t>
      </w:r>
      <w:r w:rsidR="00C70361">
        <w:t xml:space="preserve">transparency and </w:t>
      </w:r>
      <w:r w:rsidR="0069733F">
        <w:t>accountability measures, it may have some value.</w:t>
      </w:r>
    </w:p>
    <w:p w:rsidR="00A40E11" w:rsidRDefault="00A40E11" w:rsidP="00A40E11">
      <w:pPr>
        <w:pStyle w:val="FigureTitle"/>
      </w:pPr>
      <w:r>
        <w:rPr>
          <w:b w:val="0"/>
        </w:rPr>
        <w:t xml:space="preserve">Figure </w:t>
      </w:r>
      <w:r w:rsidR="00FC4C5E">
        <w:rPr>
          <w:b w:val="0"/>
        </w:rPr>
        <w:t>8.</w:t>
      </w:r>
      <w:r w:rsidR="00FC4C5E">
        <w:rPr>
          <w:b w:val="0"/>
          <w:noProof/>
        </w:rPr>
        <w:t>1</w:t>
      </w:r>
      <w:r>
        <w:tab/>
        <w:t xml:space="preserve">How often do non-compliant </w:t>
      </w:r>
      <w:r w:rsidR="003C6C25">
        <w:t xml:space="preserve">regulatory </w:t>
      </w:r>
      <w:r>
        <w:t>proposals proceed to decision makers?</w:t>
      </w:r>
    </w:p>
    <w:p w:rsidR="00A40E11" w:rsidRPr="008D442D" w:rsidRDefault="00A40E11" w:rsidP="00A40E11">
      <w:pPr>
        <w:pStyle w:val="Subtitle"/>
      </w:pPr>
      <w:r>
        <w:t>Responses by regulatory oversight bodies</w:t>
      </w:r>
      <w:r w:rsidRPr="00E04D7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A40E11" w:rsidTr="00AF35EB">
        <w:tc>
          <w:tcPr>
            <w:tcW w:w="8777" w:type="dxa"/>
          </w:tcPr>
          <w:p w:rsidR="00A40E11" w:rsidRDefault="00FB4AA2" w:rsidP="00AF35EB">
            <w:pPr>
              <w:pStyle w:val="TableUnitsRow"/>
              <w:jc w:val="center"/>
            </w:pPr>
            <w:r>
              <w:rPr>
                <w:noProof/>
              </w:rPr>
              <w:drawing>
                <wp:inline distT="0" distB="0" distL="0" distR="0" wp14:anchorId="56A76880" wp14:editId="6F60E3AB">
                  <wp:extent cx="5401310" cy="1640205"/>
                  <wp:effectExtent l="0" t="0" r="8890" b="0"/>
                  <wp:docPr id="13" name="Picture 13" descr="Figure 8.1 How often do non-compliant regulatory proposals proceed to decision makers? This chart shows the number of non-compliant regulatory proposals that often, sometimes, rarely or never proceed to decision makers in regulatory oversight 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1640205"/>
                          </a:xfrm>
                          <a:prstGeom prst="rect">
                            <a:avLst/>
                          </a:prstGeom>
                          <a:noFill/>
                        </pic:spPr>
                      </pic:pic>
                    </a:graphicData>
                  </a:graphic>
                </wp:inline>
              </w:drawing>
            </w:r>
          </w:p>
        </w:tc>
      </w:tr>
    </w:tbl>
    <w:p w:rsidR="00EC49C4" w:rsidRDefault="00A40E11" w:rsidP="00EC49C4">
      <w:pPr>
        <w:pStyle w:val="Note"/>
      </w:pPr>
      <w:r>
        <w:rPr>
          <w:rStyle w:val="NoteLabel"/>
        </w:rPr>
        <w:t>a</w:t>
      </w:r>
      <w:r>
        <w:t xml:space="preserve"> </w:t>
      </w:r>
      <w:r w:rsidR="00EC49C4">
        <w:t xml:space="preserve">Responses were received </w:t>
      </w:r>
      <w:r w:rsidR="00E64878">
        <w:t>from</w:t>
      </w:r>
      <w:r w:rsidR="00EC49C4">
        <w:t xml:space="preserve"> 9 regulatory oversight bodies</w:t>
      </w:r>
      <w:r w:rsidR="00831734">
        <w:t xml:space="preserve">. One </w:t>
      </w:r>
      <w:r w:rsidR="00591745">
        <w:t>oversight body</w:t>
      </w:r>
      <w:r w:rsidR="00831734">
        <w:t xml:space="preserve"> (NSW</w:t>
      </w:r>
      <w:r w:rsidR="00591745">
        <w:t xml:space="preserve"> </w:t>
      </w:r>
      <w:r w:rsidR="007F59EC">
        <w:t>Better Regulation Office</w:t>
      </w:r>
      <w:r w:rsidR="00831734">
        <w:t>) did not respond to this question</w:t>
      </w:r>
      <w:r w:rsidR="00EC49C4">
        <w:t>.</w:t>
      </w:r>
    </w:p>
    <w:p w:rsidR="00A40E11" w:rsidRDefault="00EC49C4" w:rsidP="00EC49C4">
      <w:pPr>
        <w:pStyle w:val="Note"/>
      </w:pPr>
      <w:r>
        <w:rPr>
          <w:i/>
        </w:rPr>
        <w:t>Data source</w:t>
      </w:r>
      <w:r w:rsidRPr="00167F06">
        <w:t xml:space="preserve">: </w:t>
      </w:r>
      <w:r>
        <w:t>PC</w:t>
      </w:r>
      <w:r w:rsidR="00E64878">
        <w:t xml:space="preserve"> RIA Survey </w:t>
      </w:r>
      <w:r w:rsidR="006934AE">
        <w:t>(</w:t>
      </w:r>
      <w:r w:rsidR="00E64878">
        <w:t>2012</w:t>
      </w:r>
      <w:r w:rsidR="006934AE">
        <w:t>)</w:t>
      </w:r>
      <w:r w:rsidR="00C12EF2">
        <w:t>.</w:t>
      </w:r>
    </w:p>
    <w:p w:rsidR="00792535" w:rsidRDefault="00792535" w:rsidP="00075B3D">
      <w:pPr>
        <w:pStyle w:val="Heading3"/>
      </w:pPr>
      <w:r>
        <w:t>What are the consequences for agencies of non-compliance with RIA processes?</w:t>
      </w:r>
    </w:p>
    <w:p w:rsidR="007E75FC" w:rsidRDefault="00DB317A" w:rsidP="00067AB9">
      <w:pPr>
        <w:pStyle w:val="BodyText"/>
      </w:pPr>
      <w:r>
        <w:t xml:space="preserve">Current consequences or sanctions </w:t>
      </w:r>
      <w:r w:rsidR="00EF466F">
        <w:t xml:space="preserve">for non-compliance with RIA processes </w:t>
      </w:r>
      <w:r>
        <w:t xml:space="preserve">are weak, ineffective or non-existent in Australia. </w:t>
      </w:r>
      <w:r w:rsidR="00E55167">
        <w:t>O</w:t>
      </w:r>
      <w:r w:rsidR="00792535">
        <w:t>nly four jurisdictions publish their regulatory oversight body’s RIS adequacy assessments</w:t>
      </w:r>
      <w:r w:rsidR="000C7185">
        <w:t xml:space="preserve"> </w:t>
      </w:r>
      <w:r w:rsidR="0047217A">
        <w:t xml:space="preserve">— </w:t>
      </w:r>
      <w:r w:rsidR="00CA2C18">
        <w:t>Commonwealth, COAG, Victoria and Western Australia</w:t>
      </w:r>
      <w:r w:rsidR="000C7185">
        <w:t xml:space="preserve"> —</w:t>
      </w:r>
      <w:r w:rsidR="00150B80">
        <w:t xml:space="preserve"> although Queensland is expected to do so in the future </w:t>
      </w:r>
      <w:r w:rsidR="00BA1BB2">
        <w:t>(</w:t>
      </w:r>
      <w:r w:rsidR="009F5181">
        <w:t xml:space="preserve">at least </w:t>
      </w:r>
      <w:r w:rsidR="00BA1BB2">
        <w:t xml:space="preserve">for </w:t>
      </w:r>
      <w:r w:rsidR="009F5181">
        <w:t xml:space="preserve">some regulatory proposals) </w:t>
      </w:r>
      <w:r w:rsidR="00150B80">
        <w:t xml:space="preserve">following the establishment of </w:t>
      </w:r>
      <w:r w:rsidR="007C5C11">
        <w:t xml:space="preserve">the </w:t>
      </w:r>
      <w:r w:rsidR="00150B80" w:rsidRPr="007C5C11">
        <w:t>Q</w:t>
      </w:r>
      <w:r w:rsidR="007C5C11">
        <w:t xml:space="preserve">ueensland </w:t>
      </w:r>
      <w:r w:rsidR="00150B80" w:rsidRPr="007C5C11">
        <w:t>O</w:t>
      </w:r>
      <w:r w:rsidR="007C5C11">
        <w:t xml:space="preserve">ffice of </w:t>
      </w:r>
      <w:r w:rsidR="00150B80" w:rsidRPr="007C5C11">
        <w:t>B</w:t>
      </w:r>
      <w:r w:rsidR="007C5C11">
        <w:t xml:space="preserve">est </w:t>
      </w:r>
      <w:r w:rsidR="00150B80" w:rsidRPr="007C5C11">
        <w:t>P</w:t>
      </w:r>
      <w:r w:rsidR="007C5C11">
        <w:t xml:space="preserve">ractice </w:t>
      </w:r>
      <w:r w:rsidR="00150B80" w:rsidRPr="007C5C11">
        <w:t>R</w:t>
      </w:r>
      <w:r w:rsidR="007C5C11">
        <w:t xml:space="preserve">egulation </w:t>
      </w:r>
      <w:r w:rsidR="003B263A">
        <w:t>(</w:t>
      </w:r>
      <w:proofErr w:type="spellStart"/>
      <w:r w:rsidR="003B263A">
        <w:t>QOBPR</w:t>
      </w:r>
      <w:proofErr w:type="spellEnd"/>
      <w:r w:rsidR="003B263A">
        <w:t xml:space="preserve">) </w:t>
      </w:r>
      <w:r w:rsidR="007C5C11">
        <w:t>in July 2012</w:t>
      </w:r>
      <w:r w:rsidR="000C7185">
        <w:t xml:space="preserve"> (section 7.3).</w:t>
      </w:r>
      <w:r w:rsidR="000C7185" w:rsidRPr="000C7185">
        <w:t xml:space="preserve"> </w:t>
      </w:r>
      <w:r w:rsidR="009C73BE">
        <w:t xml:space="preserve">Hence, </w:t>
      </w:r>
      <w:r w:rsidR="00792535">
        <w:t>most government agencies in Australia are not ‘called’ to account for RIA non-compliance</w:t>
      </w:r>
      <w:r w:rsidR="006F60C7">
        <w:t xml:space="preserve"> — nor </w:t>
      </w:r>
      <w:r w:rsidR="00792535">
        <w:t xml:space="preserve">do </w:t>
      </w:r>
      <w:r w:rsidR="00603F64">
        <w:t xml:space="preserve">many </w:t>
      </w:r>
      <w:r w:rsidR="00792535">
        <w:t>jurisdictions ‘hold’ their agencies to account for non-compliance</w:t>
      </w:r>
      <w:r w:rsidR="006F60C7">
        <w:t>.</w:t>
      </w:r>
    </w:p>
    <w:p w:rsidR="004F129E" w:rsidRDefault="004F129E" w:rsidP="004F129E">
      <w:pPr>
        <w:pStyle w:val="BodyText"/>
      </w:pPr>
      <w:r>
        <w:lastRenderedPageBreak/>
        <w:t xml:space="preserve">Table 8.1 shows the jurisdictions that have </w:t>
      </w:r>
      <w:r w:rsidR="00603F64">
        <w:t xml:space="preserve">some </w:t>
      </w:r>
      <w:r>
        <w:t xml:space="preserve">consequences or sanctions for non-compliance with RIA processes — the Commonwealth, New South Wales, Victoria (partial), Queensland (partial), South Australia and Tasmania (partial). Where there are sanctions, they mostly relate to RIA processes associated with subordinate legislation rather than primary legislation (Bills of Parliament) — a curious focus, given primary legislation is generally perceived to have more significant impacts on consumers, business and the community. This focus for sanctions possibly reflects the history of the development of RIA processes in many jurisdictions, where they were initially implemented for subordinate legislation. The Commission was advised in several jurisdictions that the scrutiny process associated with primary legislation was considered (at the time) to be more open and rigorous (than that of subordinate legislation) and therefore did not need sanction mechanisms for non-compliance with these RIA processes. </w:t>
      </w:r>
    </w:p>
    <w:p w:rsidR="004F129E" w:rsidRDefault="004F129E" w:rsidP="004F129E">
      <w:pPr>
        <w:pStyle w:val="BodyText"/>
      </w:pPr>
      <w:r>
        <w:t>But irrespective of the type of legislative instrument that the sanctions for non-compliance currently apply to, some sanctions can be bypassed and others appear to be rarely used in practice. Nevertheless, agency respondents to the Commission’s RIA survey indicated that the current sanctions for non-compliance with RIA requirements are strong enough to encourage compliance. Oversight bodies were less supportive of this view (figure</w:t>
      </w:r>
      <w:r w:rsidR="00BA1BB2">
        <w:t xml:space="preserve"> </w:t>
      </w:r>
      <w:r>
        <w:t>8.2).</w:t>
      </w:r>
    </w:p>
    <w:p w:rsidR="00DD03BD" w:rsidRDefault="00DD03BD" w:rsidP="00DD03BD">
      <w:pPr>
        <w:pStyle w:val="FigureTitle"/>
      </w:pPr>
      <w:r>
        <w:rPr>
          <w:b w:val="0"/>
        </w:rPr>
        <w:t xml:space="preserve">Figure </w:t>
      </w:r>
      <w:r w:rsidR="00FC4C5E">
        <w:rPr>
          <w:b w:val="0"/>
        </w:rPr>
        <w:t>8.</w:t>
      </w:r>
      <w:r w:rsidR="00FC4C5E">
        <w:rPr>
          <w:b w:val="0"/>
          <w:noProof/>
        </w:rPr>
        <w:t>2</w:t>
      </w:r>
      <w:r>
        <w:tab/>
        <w:t>Are sanctions for non-compliance with RIA requirements strong enough to encourage compliance?</w:t>
      </w:r>
    </w:p>
    <w:p w:rsidR="00DD03BD" w:rsidRPr="008D442D" w:rsidRDefault="00DD03BD" w:rsidP="00DD03BD">
      <w:pPr>
        <w:pStyle w:val="Subtitle"/>
      </w:pPr>
      <w:r>
        <w:t>Number of responses</w:t>
      </w:r>
      <w:r w:rsidRPr="00E04D7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Description w:val="Figure 8.2 Are sanctions for non-compliance with RIA requirements strong enough to encourage compliance? This chart shows how many agencies, departments and regulatory oversight bodies agreed, disagreed or responded neutrally to the question posed in the figure title."/>
      </w:tblPr>
      <w:tblGrid>
        <w:gridCol w:w="4388"/>
        <w:gridCol w:w="4389"/>
      </w:tblGrid>
      <w:tr w:rsidR="00DD03BD" w:rsidRPr="008D442D" w:rsidTr="00570789">
        <w:tc>
          <w:tcPr>
            <w:tcW w:w="4388" w:type="dxa"/>
          </w:tcPr>
          <w:p w:rsidR="00DD03BD" w:rsidRPr="008D442D" w:rsidRDefault="00DD03BD" w:rsidP="00570789">
            <w:pPr>
              <w:pStyle w:val="TableColumnHeading"/>
              <w:jc w:val="center"/>
            </w:pPr>
            <w:r w:rsidRPr="008D442D">
              <w:t>Agencies and departments</w:t>
            </w:r>
          </w:p>
        </w:tc>
        <w:tc>
          <w:tcPr>
            <w:tcW w:w="4389" w:type="dxa"/>
          </w:tcPr>
          <w:p w:rsidR="00DD03BD" w:rsidRPr="008D442D" w:rsidRDefault="00DD03BD" w:rsidP="00570789">
            <w:pPr>
              <w:pStyle w:val="TableColumnHeading"/>
              <w:jc w:val="center"/>
            </w:pPr>
            <w:r w:rsidRPr="008D442D">
              <w:t>Regulatory oversight bodies</w:t>
            </w:r>
          </w:p>
        </w:tc>
      </w:tr>
      <w:tr w:rsidR="00DD03BD" w:rsidTr="00570789">
        <w:tc>
          <w:tcPr>
            <w:tcW w:w="4388" w:type="dxa"/>
          </w:tcPr>
          <w:p w:rsidR="00DD03BD" w:rsidRDefault="00DD03BD" w:rsidP="00570789">
            <w:pPr>
              <w:pStyle w:val="TableUnitsRow"/>
              <w:jc w:val="center"/>
            </w:pPr>
            <w:r>
              <w:rPr>
                <w:noProof/>
              </w:rPr>
              <w:drawing>
                <wp:inline distT="0" distB="0" distL="0" distR="0" wp14:anchorId="730B09E9" wp14:editId="098813FA">
                  <wp:extent cx="2767965" cy="2139950"/>
                  <wp:effectExtent l="0" t="0" r="0" b="0"/>
                  <wp:docPr id="11" name="Picture 11" descr="Figure 8.2 Are sanctions for non-compliance with RIA requirements strong enough to encourage compliance? This chart shows how many agencies, departments and regulatory oversight bodies agreed, disagreed or responded neutrally to the question posed in the figure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67965" cy="2139950"/>
                          </a:xfrm>
                          <a:prstGeom prst="rect">
                            <a:avLst/>
                          </a:prstGeom>
                          <a:noFill/>
                        </pic:spPr>
                      </pic:pic>
                    </a:graphicData>
                  </a:graphic>
                </wp:inline>
              </w:drawing>
            </w:r>
          </w:p>
        </w:tc>
        <w:tc>
          <w:tcPr>
            <w:tcW w:w="4389" w:type="dxa"/>
          </w:tcPr>
          <w:p w:rsidR="00DD03BD" w:rsidRDefault="00DD03BD" w:rsidP="00570789">
            <w:pPr>
              <w:pStyle w:val="TableUnitsRow"/>
              <w:jc w:val="center"/>
            </w:pPr>
            <w:r>
              <w:rPr>
                <w:noProof/>
              </w:rPr>
              <w:drawing>
                <wp:inline distT="0" distB="0" distL="0" distR="0" wp14:anchorId="447319B0" wp14:editId="0EAD53CD">
                  <wp:extent cx="2773680" cy="2164080"/>
                  <wp:effectExtent l="0" t="0" r="762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73680" cy="2164080"/>
                          </a:xfrm>
                          <a:prstGeom prst="rect">
                            <a:avLst/>
                          </a:prstGeom>
                          <a:noFill/>
                        </pic:spPr>
                      </pic:pic>
                    </a:graphicData>
                  </a:graphic>
                </wp:inline>
              </w:drawing>
            </w:r>
          </w:p>
        </w:tc>
      </w:tr>
    </w:tbl>
    <w:p w:rsidR="00DD03BD" w:rsidRDefault="00DD03BD" w:rsidP="00DD03BD">
      <w:pPr>
        <w:pStyle w:val="Note"/>
      </w:pPr>
      <w:r>
        <w:rPr>
          <w:rStyle w:val="NoteLabel"/>
        </w:rPr>
        <w:t>a</w:t>
      </w:r>
      <w:r>
        <w:t xml:space="preserve"> Based on 60 survey responses by agencies and departments, including 4 respondents who chose ‘do not know’. Responses to the survey of regulatory oversight bodies were received for 7 of the 10 jurisdictions. The OBPR, representing the Commonwealth and COAG jurisdictions, and </w:t>
      </w:r>
      <w:proofErr w:type="spellStart"/>
      <w:r>
        <w:t>VCEC</w:t>
      </w:r>
      <w:proofErr w:type="spellEnd"/>
      <w:r>
        <w:t xml:space="preserve"> (Victoria) did not provide responses to this question. ‘Agree’ comprises both ‘strongly agree’ and ‘agree’. Disagree comprises both ‘strongly disagree’ and ‘disagree’.</w:t>
      </w:r>
    </w:p>
    <w:p w:rsidR="00DD03BD" w:rsidRDefault="00DD03BD" w:rsidP="00DD03BD">
      <w:pPr>
        <w:pStyle w:val="Note"/>
      </w:pPr>
      <w:r>
        <w:rPr>
          <w:i/>
        </w:rPr>
        <w:t>Data source</w:t>
      </w:r>
      <w:r w:rsidRPr="00167F06">
        <w:t xml:space="preserve">: </w:t>
      </w:r>
      <w:r>
        <w:t>PC RIA Survey (2012).</w:t>
      </w:r>
    </w:p>
    <w:p w:rsidR="00E8106A" w:rsidRDefault="00E8106A" w:rsidP="00E8106A">
      <w:pPr>
        <w:pStyle w:val="TableTitle"/>
      </w:pPr>
      <w:r>
        <w:rPr>
          <w:b w:val="0"/>
        </w:rPr>
        <w:lastRenderedPageBreak/>
        <w:t xml:space="preserve">Table </w:t>
      </w:r>
      <w:r w:rsidR="00FC4C5E" w:rsidRPr="00FC4C5E">
        <w:rPr>
          <w:b w:val="0"/>
        </w:rPr>
        <w:t>8.</w:t>
      </w:r>
      <w:r w:rsidR="00FC4C5E">
        <w:rPr>
          <w:b w:val="0"/>
          <w:noProof/>
        </w:rPr>
        <w:t>1</w:t>
      </w:r>
      <w:r>
        <w:tab/>
        <w:t>How do jurisdictions hold their agencies to account for non</w:t>
      </w:r>
      <w:r w:rsidR="000D6040">
        <w:noBreakHyphen/>
      </w:r>
      <w:r>
        <w:t>compliance with RIA processes?</w:t>
      </w:r>
    </w:p>
    <w:p w:rsidR="00E8106A" w:rsidRDefault="000C7185" w:rsidP="00E8106A">
      <w:pPr>
        <w:pStyle w:val="Subtitle"/>
      </w:pPr>
      <w:r>
        <w:t>A</w:t>
      </w:r>
      <w:r w:rsidR="00606434">
        <w:t>s at January 2012</w:t>
      </w:r>
    </w:p>
    <w:tbl>
      <w:tblPr>
        <w:tblW w:w="5000" w:type="pct"/>
        <w:tblCellMar>
          <w:left w:w="0" w:type="dxa"/>
          <w:right w:w="0" w:type="dxa"/>
        </w:tblCellMar>
        <w:tblLook w:val="0000" w:firstRow="0" w:lastRow="0" w:firstColumn="0" w:lastColumn="0" w:noHBand="0" w:noVBand="0"/>
      </w:tblPr>
      <w:tblGrid>
        <w:gridCol w:w="851"/>
        <w:gridCol w:w="7938"/>
      </w:tblGrid>
      <w:tr w:rsidR="00E8106A" w:rsidTr="002312CC">
        <w:tc>
          <w:tcPr>
            <w:tcW w:w="484" w:type="pct"/>
            <w:tcBorders>
              <w:top w:val="single" w:sz="6" w:space="0" w:color="auto"/>
              <w:bottom w:val="single" w:sz="6" w:space="0" w:color="auto"/>
            </w:tcBorders>
          </w:tcPr>
          <w:p w:rsidR="00E8106A" w:rsidRPr="00C017F5" w:rsidRDefault="00E8106A" w:rsidP="004D2089">
            <w:pPr>
              <w:pStyle w:val="TableColumnHeading"/>
              <w:jc w:val="left"/>
              <w:rPr>
                <w:sz w:val="18"/>
                <w:szCs w:val="18"/>
              </w:rPr>
            </w:pPr>
          </w:p>
        </w:tc>
        <w:tc>
          <w:tcPr>
            <w:tcW w:w="4516" w:type="pct"/>
            <w:tcBorders>
              <w:top w:val="single" w:sz="6" w:space="0" w:color="auto"/>
              <w:bottom w:val="single" w:sz="6" w:space="0" w:color="auto"/>
            </w:tcBorders>
          </w:tcPr>
          <w:p w:rsidR="00E8106A" w:rsidRPr="002312CC" w:rsidRDefault="00AC46E7" w:rsidP="00AC46E7">
            <w:pPr>
              <w:pStyle w:val="TableColumnHeading"/>
              <w:ind w:right="28"/>
              <w:jc w:val="left"/>
            </w:pPr>
            <w:r w:rsidRPr="002312CC">
              <w:t>S</w:t>
            </w:r>
            <w:r w:rsidR="00E8106A" w:rsidRPr="002312CC">
              <w:t>anctions (or lack of) for non-compliance</w:t>
            </w:r>
          </w:p>
        </w:tc>
      </w:tr>
      <w:tr w:rsidR="00E8106A" w:rsidTr="002312CC">
        <w:tc>
          <w:tcPr>
            <w:tcW w:w="484" w:type="pct"/>
            <w:tcBorders>
              <w:top w:val="single" w:sz="6" w:space="0" w:color="auto"/>
            </w:tcBorders>
          </w:tcPr>
          <w:p w:rsidR="002312CC" w:rsidRPr="002312CC" w:rsidRDefault="00E8106A" w:rsidP="004D2089">
            <w:pPr>
              <w:pStyle w:val="TableUnitsRow"/>
              <w:jc w:val="left"/>
              <w:rPr>
                <w:szCs w:val="19"/>
              </w:rPr>
            </w:pPr>
            <w:proofErr w:type="spellStart"/>
            <w:r w:rsidRPr="002312CC">
              <w:rPr>
                <w:szCs w:val="19"/>
              </w:rPr>
              <w:t>Cwlth</w:t>
            </w:r>
            <w:proofErr w:type="spellEnd"/>
          </w:p>
          <w:p w:rsidR="00E8106A" w:rsidRPr="002312CC" w:rsidRDefault="00E8106A" w:rsidP="002312CC">
            <w:pPr>
              <w:pStyle w:val="BodyText"/>
              <w:rPr>
                <w:sz w:val="20"/>
              </w:rPr>
            </w:pPr>
          </w:p>
        </w:tc>
        <w:tc>
          <w:tcPr>
            <w:tcW w:w="4516" w:type="pct"/>
            <w:tcBorders>
              <w:top w:val="single" w:sz="6" w:space="0" w:color="auto"/>
            </w:tcBorders>
          </w:tcPr>
          <w:p w:rsidR="00E8106A" w:rsidRPr="002312CC" w:rsidRDefault="00E8106A" w:rsidP="002312CC">
            <w:pPr>
              <w:pStyle w:val="TableUnitsRow"/>
              <w:ind w:right="28"/>
              <w:jc w:val="left"/>
              <w:rPr>
                <w:sz w:val="19"/>
                <w:szCs w:val="19"/>
              </w:rPr>
            </w:pPr>
            <w:r w:rsidRPr="002312CC">
              <w:rPr>
                <w:sz w:val="19"/>
                <w:szCs w:val="19"/>
              </w:rPr>
              <w:t xml:space="preserve">The Cabinet Secretariat will not circulate final Cabinet submissions without adequate </w:t>
            </w:r>
            <w:proofErr w:type="spellStart"/>
            <w:r w:rsidRPr="002312CC">
              <w:rPr>
                <w:sz w:val="19"/>
                <w:szCs w:val="19"/>
              </w:rPr>
              <w:t>RISs</w:t>
            </w:r>
            <w:proofErr w:type="spellEnd"/>
            <w:r w:rsidRPr="002312CC">
              <w:rPr>
                <w:sz w:val="19"/>
                <w:szCs w:val="19"/>
              </w:rPr>
              <w:t xml:space="preserve"> unless the Prime Minister has deemed that exceptional circumstances apply. However, where a proposal proceeds (either through Cabinet or another decision maker) without an adequate RIS, the resulting regulation must be the subject of </w:t>
            </w:r>
            <w:r w:rsidR="000C7185" w:rsidRPr="002312CC">
              <w:rPr>
                <w:sz w:val="19"/>
                <w:szCs w:val="19"/>
              </w:rPr>
              <w:t xml:space="preserve">a post implementation review. </w:t>
            </w:r>
          </w:p>
        </w:tc>
      </w:tr>
      <w:tr w:rsidR="00E8106A" w:rsidTr="002312CC">
        <w:tc>
          <w:tcPr>
            <w:tcW w:w="484" w:type="pct"/>
            <w:shd w:val="pct15" w:color="auto" w:fill="auto"/>
          </w:tcPr>
          <w:p w:rsidR="00E8106A" w:rsidRPr="002312CC" w:rsidRDefault="00E8106A" w:rsidP="000A485E">
            <w:pPr>
              <w:pStyle w:val="TableBodyText"/>
              <w:spacing w:before="20"/>
              <w:jc w:val="left"/>
              <w:rPr>
                <w:szCs w:val="19"/>
              </w:rPr>
            </w:pPr>
            <w:r w:rsidRPr="002312CC">
              <w:rPr>
                <w:szCs w:val="19"/>
              </w:rPr>
              <w:t>COAG</w:t>
            </w:r>
          </w:p>
        </w:tc>
        <w:tc>
          <w:tcPr>
            <w:tcW w:w="4516" w:type="pct"/>
            <w:shd w:val="pct15" w:color="auto" w:fill="auto"/>
          </w:tcPr>
          <w:p w:rsidR="00E8106A" w:rsidRPr="002312CC" w:rsidRDefault="00E8106A" w:rsidP="000A485E">
            <w:pPr>
              <w:pStyle w:val="TableBodyText"/>
              <w:spacing w:before="20"/>
              <w:ind w:right="28"/>
              <w:jc w:val="left"/>
              <w:rPr>
                <w:sz w:val="19"/>
                <w:szCs w:val="19"/>
              </w:rPr>
            </w:pPr>
            <w:r w:rsidRPr="002312CC">
              <w:rPr>
                <w:b/>
                <w:sz w:val="19"/>
                <w:szCs w:val="19"/>
              </w:rPr>
              <w:t>No sanctions</w:t>
            </w:r>
            <w:r w:rsidRPr="002312CC">
              <w:rPr>
                <w:sz w:val="19"/>
                <w:szCs w:val="19"/>
              </w:rPr>
              <w:t>.</w:t>
            </w:r>
          </w:p>
        </w:tc>
      </w:tr>
      <w:tr w:rsidR="00E8106A" w:rsidTr="002312CC">
        <w:tc>
          <w:tcPr>
            <w:tcW w:w="484" w:type="pct"/>
          </w:tcPr>
          <w:p w:rsidR="00E8106A" w:rsidRPr="002312CC" w:rsidRDefault="00E8106A" w:rsidP="000A485E">
            <w:pPr>
              <w:pStyle w:val="TableBodyText"/>
              <w:spacing w:before="20"/>
              <w:jc w:val="left"/>
              <w:rPr>
                <w:szCs w:val="19"/>
              </w:rPr>
            </w:pPr>
            <w:r w:rsidRPr="002312CC">
              <w:rPr>
                <w:szCs w:val="19"/>
              </w:rPr>
              <w:t>NSW</w:t>
            </w:r>
          </w:p>
        </w:tc>
        <w:tc>
          <w:tcPr>
            <w:tcW w:w="4516" w:type="pct"/>
          </w:tcPr>
          <w:p w:rsidR="00E8106A" w:rsidRPr="002312CC" w:rsidRDefault="00E8106A" w:rsidP="000A485E">
            <w:pPr>
              <w:pStyle w:val="TableBodyText"/>
              <w:spacing w:before="20"/>
              <w:ind w:right="28"/>
              <w:jc w:val="left"/>
              <w:rPr>
                <w:sz w:val="19"/>
                <w:szCs w:val="19"/>
              </w:rPr>
            </w:pPr>
            <w:r w:rsidRPr="002312CC">
              <w:rPr>
                <w:sz w:val="19"/>
                <w:szCs w:val="19"/>
              </w:rPr>
              <w:t>Where regulations have not conformed with the processes for regulation</w:t>
            </w:r>
            <w:r w:rsidR="00530952" w:rsidRPr="002312CC">
              <w:rPr>
                <w:sz w:val="19"/>
                <w:szCs w:val="19"/>
              </w:rPr>
              <w:t xml:space="preserve"> </w:t>
            </w:r>
            <w:r w:rsidRPr="002312CC">
              <w:rPr>
                <w:sz w:val="19"/>
                <w:szCs w:val="19"/>
              </w:rPr>
              <w:t xml:space="preserve">making specified in the Subordinate Legislation Act (including RIS process), the Legislation Review Committee may make recommendations to Parliament, including disallowance of the regulation — but power to recommend disallowance </w:t>
            </w:r>
            <w:r w:rsidR="00AB4D5A" w:rsidRPr="002312CC">
              <w:rPr>
                <w:sz w:val="19"/>
                <w:szCs w:val="19"/>
              </w:rPr>
              <w:t xml:space="preserve">is </w:t>
            </w:r>
            <w:r w:rsidRPr="002312CC">
              <w:rPr>
                <w:sz w:val="19"/>
                <w:szCs w:val="19"/>
              </w:rPr>
              <w:t>rarely used in practice.</w:t>
            </w:r>
          </w:p>
          <w:p w:rsidR="00E8106A" w:rsidRPr="002312CC" w:rsidRDefault="00E8106A" w:rsidP="000A485E">
            <w:pPr>
              <w:pStyle w:val="TableBodyText"/>
              <w:spacing w:before="20"/>
              <w:ind w:right="28"/>
              <w:jc w:val="left"/>
              <w:rPr>
                <w:sz w:val="19"/>
                <w:szCs w:val="19"/>
              </w:rPr>
            </w:pPr>
            <w:r w:rsidRPr="002312CC">
              <w:rPr>
                <w:sz w:val="19"/>
                <w:szCs w:val="19"/>
              </w:rPr>
              <w:t xml:space="preserve">For regulatory proposals that require a </w:t>
            </w:r>
            <w:proofErr w:type="spellStart"/>
            <w:r w:rsidRPr="002312CC">
              <w:rPr>
                <w:sz w:val="19"/>
                <w:szCs w:val="19"/>
              </w:rPr>
              <w:t>BRS</w:t>
            </w:r>
            <w:proofErr w:type="spellEnd"/>
            <w:r w:rsidRPr="002312CC">
              <w:rPr>
                <w:sz w:val="19"/>
                <w:szCs w:val="19"/>
              </w:rPr>
              <w:t xml:space="preserve">, the Better Regulation Office provides advice to the Premier on Cabinet and Executive Council Minutes after submission to the Cabinet Secretariat and prior to approval. Unless the Premier approves otherwise, a Minute is not listed for consideration until issues raised by the Better Regulation Office have been addressed. </w:t>
            </w:r>
          </w:p>
        </w:tc>
      </w:tr>
      <w:tr w:rsidR="00E8106A" w:rsidTr="002312CC">
        <w:tc>
          <w:tcPr>
            <w:tcW w:w="484" w:type="pct"/>
            <w:shd w:val="pct15" w:color="auto" w:fill="auto"/>
          </w:tcPr>
          <w:p w:rsidR="00E8106A" w:rsidRPr="002312CC" w:rsidRDefault="00E8106A" w:rsidP="000A485E">
            <w:pPr>
              <w:pStyle w:val="TableBodyText"/>
              <w:spacing w:before="20"/>
              <w:jc w:val="left"/>
              <w:rPr>
                <w:szCs w:val="19"/>
              </w:rPr>
            </w:pPr>
            <w:r w:rsidRPr="002312CC">
              <w:rPr>
                <w:szCs w:val="19"/>
              </w:rPr>
              <w:t>Vic</w:t>
            </w:r>
          </w:p>
        </w:tc>
        <w:tc>
          <w:tcPr>
            <w:tcW w:w="4516" w:type="pct"/>
            <w:shd w:val="pct15" w:color="auto" w:fill="auto"/>
          </w:tcPr>
          <w:p w:rsidR="00E8106A" w:rsidRPr="002312CC" w:rsidRDefault="00E8106A" w:rsidP="000A485E">
            <w:pPr>
              <w:pStyle w:val="TableBodyText"/>
              <w:spacing w:before="20"/>
              <w:ind w:right="28"/>
              <w:jc w:val="left"/>
              <w:rPr>
                <w:sz w:val="19"/>
                <w:szCs w:val="19"/>
              </w:rPr>
            </w:pPr>
            <w:r w:rsidRPr="002312CC">
              <w:rPr>
                <w:sz w:val="19"/>
                <w:szCs w:val="19"/>
              </w:rPr>
              <w:t>Where regulations have not conformed with the processes for regulation</w:t>
            </w:r>
            <w:r w:rsidR="00530952" w:rsidRPr="002312CC">
              <w:rPr>
                <w:sz w:val="19"/>
                <w:szCs w:val="19"/>
              </w:rPr>
              <w:t xml:space="preserve"> </w:t>
            </w:r>
            <w:r w:rsidRPr="002312CC">
              <w:rPr>
                <w:sz w:val="19"/>
                <w:szCs w:val="19"/>
              </w:rPr>
              <w:t xml:space="preserve">making specified in the Subordinate Legislation Act (including RIS process), the Scrutiny of Acts and Regulations Committee may make recommendations to Parliament, including the disallowance of the regulation — but power to recommend disallowance </w:t>
            </w:r>
            <w:r w:rsidR="00446F43" w:rsidRPr="002312CC">
              <w:rPr>
                <w:sz w:val="19"/>
                <w:szCs w:val="19"/>
              </w:rPr>
              <w:t xml:space="preserve">is </w:t>
            </w:r>
            <w:r w:rsidRPr="002312CC">
              <w:rPr>
                <w:sz w:val="19"/>
                <w:szCs w:val="19"/>
              </w:rPr>
              <w:t>rarely used in practice.</w:t>
            </w:r>
          </w:p>
          <w:p w:rsidR="00E8106A" w:rsidRPr="002312CC" w:rsidRDefault="00F458C5" w:rsidP="002312CC">
            <w:pPr>
              <w:pStyle w:val="TableBodyText"/>
              <w:spacing w:before="20"/>
              <w:ind w:right="28"/>
              <w:jc w:val="left"/>
              <w:rPr>
                <w:sz w:val="19"/>
                <w:szCs w:val="19"/>
              </w:rPr>
            </w:pPr>
            <w:r w:rsidRPr="002312CC">
              <w:rPr>
                <w:b/>
                <w:sz w:val="19"/>
                <w:szCs w:val="19"/>
              </w:rPr>
              <w:t>No sanctions</w:t>
            </w:r>
            <w:r w:rsidR="00123652" w:rsidRPr="002312CC">
              <w:rPr>
                <w:b/>
                <w:sz w:val="19"/>
                <w:szCs w:val="19"/>
              </w:rPr>
              <w:t xml:space="preserve"> </w:t>
            </w:r>
            <w:r w:rsidR="00123652" w:rsidRPr="002312CC">
              <w:rPr>
                <w:sz w:val="19"/>
                <w:szCs w:val="19"/>
              </w:rPr>
              <w:t>f</w:t>
            </w:r>
            <w:r w:rsidR="00E8106A" w:rsidRPr="002312CC">
              <w:rPr>
                <w:sz w:val="19"/>
                <w:szCs w:val="19"/>
              </w:rPr>
              <w:t xml:space="preserve">or regulatory proposals that require a BIA, where the Victorian Competition and Efficiency Commission is not satisfied with the adequacy of the BIA, the responsible minister can still submit the proposal to Cabinet.   </w:t>
            </w:r>
          </w:p>
        </w:tc>
      </w:tr>
      <w:tr w:rsidR="00E8106A" w:rsidTr="002312CC">
        <w:tc>
          <w:tcPr>
            <w:tcW w:w="484" w:type="pct"/>
          </w:tcPr>
          <w:p w:rsidR="00E8106A" w:rsidRPr="002312CC" w:rsidRDefault="00E8106A" w:rsidP="000A485E">
            <w:pPr>
              <w:pStyle w:val="TableBodyText"/>
              <w:spacing w:before="20"/>
              <w:jc w:val="left"/>
              <w:rPr>
                <w:szCs w:val="19"/>
              </w:rPr>
            </w:pPr>
            <w:r w:rsidRPr="002312CC">
              <w:rPr>
                <w:szCs w:val="19"/>
              </w:rPr>
              <w:t>Qld</w:t>
            </w:r>
          </w:p>
        </w:tc>
        <w:tc>
          <w:tcPr>
            <w:tcW w:w="4516" w:type="pct"/>
          </w:tcPr>
          <w:p w:rsidR="00E8106A" w:rsidRPr="002312CC" w:rsidRDefault="00E8106A" w:rsidP="002312CC">
            <w:pPr>
              <w:pStyle w:val="TableBodyText"/>
              <w:spacing w:before="20"/>
              <w:ind w:right="28"/>
              <w:jc w:val="left"/>
              <w:rPr>
                <w:sz w:val="19"/>
                <w:szCs w:val="19"/>
              </w:rPr>
            </w:pPr>
            <w:r w:rsidRPr="002312CC">
              <w:rPr>
                <w:sz w:val="19"/>
                <w:szCs w:val="19"/>
              </w:rPr>
              <w:t xml:space="preserve">If a proposal with likely significant impacts progresses to the decision maker </w:t>
            </w:r>
            <w:r w:rsidRPr="002312CC">
              <w:rPr>
                <w:i/>
                <w:sz w:val="19"/>
                <w:szCs w:val="19"/>
              </w:rPr>
              <w:t>without a RAS</w:t>
            </w:r>
            <w:r w:rsidRPr="002312CC">
              <w:rPr>
                <w:sz w:val="19"/>
                <w:szCs w:val="19"/>
              </w:rPr>
              <w:t xml:space="preserve"> and is subsequently implemented then a post implementation review is required. There </w:t>
            </w:r>
            <w:r w:rsidR="00F458C5" w:rsidRPr="002312CC">
              <w:rPr>
                <w:sz w:val="19"/>
                <w:szCs w:val="19"/>
              </w:rPr>
              <w:t>are</w:t>
            </w:r>
            <w:r w:rsidRPr="002312CC">
              <w:rPr>
                <w:sz w:val="19"/>
                <w:szCs w:val="19"/>
              </w:rPr>
              <w:t xml:space="preserve"> </w:t>
            </w:r>
            <w:r w:rsidRPr="002312CC">
              <w:rPr>
                <w:b/>
                <w:sz w:val="19"/>
                <w:szCs w:val="19"/>
              </w:rPr>
              <w:t xml:space="preserve">no </w:t>
            </w:r>
            <w:r w:rsidR="00F458C5" w:rsidRPr="002312CC">
              <w:rPr>
                <w:b/>
                <w:sz w:val="19"/>
                <w:szCs w:val="19"/>
              </w:rPr>
              <w:t>sanctions</w:t>
            </w:r>
            <w:r w:rsidRPr="002312CC">
              <w:rPr>
                <w:sz w:val="19"/>
                <w:szCs w:val="19"/>
              </w:rPr>
              <w:t xml:space="preserve"> for preventing proposals </w:t>
            </w:r>
            <w:r w:rsidRPr="002312CC">
              <w:rPr>
                <w:i/>
                <w:sz w:val="19"/>
                <w:szCs w:val="19"/>
              </w:rPr>
              <w:t>with a</w:t>
            </w:r>
            <w:r w:rsidR="0033253E" w:rsidRPr="002312CC">
              <w:rPr>
                <w:i/>
                <w:sz w:val="19"/>
                <w:szCs w:val="19"/>
              </w:rPr>
              <w:t xml:space="preserve"> </w:t>
            </w:r>
            <w:r w:rsidRPr="002312CC">
              <w:rPr>
                <w:i/>
                <w:sz w:val="19"/>
                <w:szCs w:val="19"/>
              </w:rPr>
              <w:t>RAS</w:t>
            </w:r>
            <w:r w:rsidR="0033253E" w:rsidRPr="002312CC">
              <w:rPr>
                <w:i/>
                <w:sz w:val="19"/>
                <w:szCs w:val="19"/>
              </w:rPr>
              <w:t xml:space="preserve"> that is not adequate</w:t>
            </w:r>
            <w:r w:rsidRPr="002312CC">
              <w:rPr>
                <w:sz w:val="19"/>
                <w:szCs w:val="19"/>
              </w:rPr>
              <w:t xml:space="preserve"> from progressing to the decision maker and there is no requirement to undertake a </w:t>
            </w:r>
            <w:proofErr w:type="spellStart"/>
            <w:r w:rsidRPr="002312CC">
              <w:rPr>
                <w:sz w:val="19"/>
                <w:szCs w:val="19"/>
              </w:rPr>
              <w:t>PIR</w:t>
            </w:r>
            <w:proofErr w:type="spellEnd"/>
            <w:r w:rsidRPr="002312CC">
              <w:rPr>
                <w:sz w:val="19"/>
                <w:szCs w:val="19"/>
              </w:rPr>
              <w:t xml:space="preserve">.  </w:t>
            </w:r>
          </w:p>
        </w:tc>
      </w:tr>
      <w:tr w:rsidR="00E8106A" w:rsidTr="002312CC">
        <w:tc>
          <w:tcPr>
            <w:tcW w:w="484" w:type="pct"/>
            <w:shd w:val="pct15" w:color="auto" w:fill="auto"/>
          </w:tcPr>
          <w:p w:rsidR="00E8106A" w:rsidRPr="002312CC" w:rsidRDefault="00E8106A" w:rsidP="000A485E">
            <w:pPr>
              <w:pStyle w:val="TableBodyText"/>
              <w:spacing w:before="20"/>
              <w:jc w:val="left"/>
              <w:rPr>
                <w:szCs w:val="19"/>
              </w:rPr>
            </w:pPr>
            <w:r w:rsidRPr="002312CC">
              <w:rPr>
                <w:szCs w:val="19"/>
              </w:rPr>
              <w:t>WA</w:t>
            </w:r>
          </w:p>
        </w:tc>
        <w:tc>
          <w:tcPr>
            <w:tcW w:w="4516" w:type="pct"/>
            <w:shd w:val="pct15" w:color="auto" w:fill="auto"/>
          </w:tcPr>
          <w:p w:rsidR="00E8106A" w:rsidRPr="002312CC" w:rsidRDefault="00E8106A" w:rsidP="000A485E">
            <w:pPr>
              <w:pStyle w:val="TableBodyText"/>
              <w:spacing w:before="20"/>
              <w:ind w:right="28"/>
              <w:jc w:val="left"/>
              <w:rPr>
                <w:sz w:val="19"/>
                <w:szCs w:val="19"/>
              </w:rPr>
            </w:pPr>
            <w:r w:rsidRPr="002312CC">
              <w:rPr>
                <w:sz w:val="19"/>
                <w:szCs w:val="19"/>
              </w:rPr>
              <w:t xml:space="preserve">For proposals seeking Cabinet consideration there are </w:t>
            </w:r>
            <w:r w:rsidRPr="002312CC">
              <w:rPr>
                <w:b/>
                <w:sz w:val="19"/>
                <w:szCs w:val="19"/>
              </w:rPr>
              <w:t>no sanctions</w:t>
            </w:r>
            <w:r w:rsidRPr="002312CC">
              <w:rPr>
                <w:sz w:val="19"/>
                <w:szCs w:val="19"/>
              </w:rPr>
              <w:t xml:space="preserve"> on agencies where a proposal proceeds to Cabinet without an adequate RIS.</w:t>
            </w:r>
          </w:p>
        </w:tc>
      </w:tr>
      <w:tr w:rsidR="00E8106A" w:rsidTr="002312CC">
        <w:tc>
          <w:tcPr>
            <w:tcW w:w="484" w:type="pct"/>
          </w:tcPr>
          <w:p w:rsidR="00E8106A" w:rsidRPr="002312CC" w:rsidRDefault="00E8106A" w:rsidP="000A485E">
            <w:pPr>
              <w:pStyle w:val="TableBodyText"/>
              <w:spacing w:before="20"/>
              <w:jc w:val="left"/>
              <w:rPr>
                <w:szCs w:val="19"/>
              </w:rPr>
            </w:pPr>
            <w:r w:rsidRPr="002312CC">
              <w:rPr>
                <w:szCs w:val="19"/>
              </w:rPr>
              <w:t>SA</w:t>
            </w:r>
          </w:p>
        </w:tc>
        <w:tc>
          <w:tcPr>
            <w:tcW w:w="4516" w:type="pct"/>
          </w:tcPr>
          <w:p w:rsidR="00E8106A" w:rsidRPr="002312CC" w:rsidRDefault="00E8106A" w:rsidP="002312CC">
            <w:pPr>
              <w:pStyle w:val="TableBodyText"/>
              <w:spacing w:before="20"/>
              <w:ind w:right="28"/>
              <w:jc w:val="left"/>
              <w:rPr>
                <w:sz w:val="19"/>
                <w:szCs w:val="19"/>
              </w:rPr>
            </w:pPr>
            <w:r w:rsidRPr="002312CC">
              <w:rPr>
                <w:sz w:val="19"/>
                <w:szCs w:val="19"/>
              </w:rPr>
              <w:t xml:space="preserve">Where an agency does not get Cabinet Office’s sign-off on a RIS, but seeks and obtains the approval of Cabinet for their proposal, the Office of the Economic Development Board will assess any business costs imposed by the submission as an increase in costs under the agency’s red tape reduction assessment, requiring the agency to find offsetting savings to meet its red tape reduction target (unless Cabinet makes an explicit decision to the contrary). </w:t>
            </w:r>
          </w:p>
        </w:tc>
      </w:tr>
      <w:tr w:rsidR="00E8106A" w:rsidTr="002312CC">
        <w:tc>
          <w:tcPr>
            <w:tcW w:w="484" w:type="pct"/>
            <w:shd w:val="pct15" w:color="auto" w:fill="auto"/>
          </w:tcPr>
          <w:p w:rsidR="00E8106A" w:rsidRPr="002312CC" w:rsidRDefault="00E8106A" w:rsidP="000A485E">
            <w:pPr>
              <w:pStyle w:val="TableBodyText"/>
              <w:spacing w:before="20"/>
              <w:jc w:val="left"/>
              <w:rPr>
                <w:szCs w:val="19"/>
              </w:rPr>
            </w:pPr>
            <w:proofErr w:type="spellStart"/>
            <w:r w:rsidRPr="002312CC">
              <w:rPr>
                <w:szCs w:val="19"/>
              </w:rPr>
              <w:t>Tas</w:t>
            </w:r>
            <w:proofErr w:type="spellEnd"/>
          </w:p>
        </w:tc>
        <w:tc>
          <w:tcPr>
            <w:tcW w:w="4516" w:type="pct"/>
            <w:shd w:val="pct15" w:color="auto" w:fill="auto"/>
          </w:tcPr>
          <w:p w:rsidR="00E8106A" w:rsidRPr="002312CC" w:rsidRDefault="00E8106A" w:rsidP="000A485E">
            <w:pPr>
              <w:pStyle w:val="TableBodyText"/>
              <w:spacing w:before="20"/>
              <w:ind w:right="28"/>
              <w:jc w:val="left"/>
              <w:rPr>
                <w:sz w:val="19"/>
                <w:szCs w:val="19"/>
              </w:rPr>
            </w:pPr>
            <w:r w:rsidRPr="002312CC">
              <w:rPr>
                <w:sz w:val="19"/>
                <w:szCs w:val="19"/>
              </w:rPr>
              <w:t>If the Economic Reform Unit considers that a RIS does not meet the requirements of the Legislation Review Program or Subordinate Legislation Act the</w:t>
            </w:r>
            <w:r w:rsidR="00123652" w:rsidRPr="002312CC">
              <w:rPr>
                <w:sz w:val="19"/>
                <w:szCs w:val="19"/>
              </w:rPr>
              <w:t xml:space="preserve">re are </w:t>
            </w:r>
            <w:r w:rsidR="00123652" w:rsidRPr="002312CC">
              <w:rPr>
                <w:b/>
                <w:sz w:val="19"/>
                <w:szCs w:val="19"/>
              </w:rPr>
              <w:t>no sanctions</w:t>
            </w:r>
            <w:r w:rsidR="00123652" w:rsidRPr="002312CC">
              <w:rPr>
                <w:sz w:val="19"/>
                <w:szCs w:val="19"/>
              </w:rPr>
              <w:t xml:space="preserve"> — </w:t>
            </w:r>
            <w:r w:rsidR="00446F43" w:rsidRPr="002312CC">
              <w:rPr>
                <w:sz w:val="19"/>
                <w:szCs w:val="19"/>
              </w:rPr>
              <w:t xml:space="preserve">the </w:t>
            </w:r>
            <w:r w:rsidRPr="002312CC">
              <w:rPr>
                <w:sz w:val="19"/>
                <w:szCs w:val="19"/>
              </w:rPr>
              <w:t>agency can still release its RIS for public consultation.</w:t>
            </w:r>
          </w:p>
          <w:p w:rsidR="00E8106A" w:rsidRPr="002312CC" w:rsidRDefault="00E8106A" w:rsidP="000A485E">
            <w:pPr>
              <w:pStyle w:val="TableBodyText"/>
              <w:spacing w:before="20"/>
              <w:ind w:right="28"/>
              <w:jc w:val="left"/>
              <w:rPr>
                <w:sz w:val="19"/>
                <w:szCs w:val="19"/>
              </w:rPr>
            </w:pPr>
            <w:r w:rsidRPr="002312CC">
              <w:rPr>
                <w:sz w:val="19"/>
                <w:szCs w:val="19"/>
              </w:rPr>
              <w:t xml:space="preserve">In relation to subordinate legislation, the Secretary will not issue a certificate, which allows the regulations to be made by the Governor, until such time as the Secretary is satisfied that the RIS requirements have been complied with — in practice a certificate has never been withheld.  </w:t>
            </w:r>
          </w:p>
        </w:tc>
      </w:tr>
      <w:tr w:rsidR="00E8106A" w:rsidTr="002312CC">
        <w:tc>
          <w:tcPr>
            <w:tcW w:w="484" w:type="pct"/>
          </w:tcPr>
          <w:p w:rsidR="00E8106A" w:rsidRPr="002312CC" w:rsidRDefault="00E8106A" w:rsidP="000A485E">
            <w:pPr>
              <w:pStyle w:val="TableBodyText"/>
              <w:spacing w:before="20"/>
              <w:jc w:val="left"/>
              <w:rPr>
                <w:szCs w:val="19"/>
              </w:rPr>
            </w:pPr>
            <w:r w:rsidRPr="002312CC">
              <w:rPr>
                <w:szCs w:val="19"/>
              </w:rPr>
              <w:t>ACT</w:t>
            </w:r>
          </w:p>
        </w:tc>
        <w:tc>
          <w:tcPr>
            <w:tcW w:w="4516" w:type="pct"/>
          </w:tcPr>
          <w:p w:rsidR="00E8106A" w:rsidRPr="002312CC" w:rsidRDefault="00F458C5" w:rsidP="000A485E">
            <w:pPr>
              <w:pStyle w:val="TableBodyText"/>
              <w:spacing w:before="20"/>
              <w:ind w:right="28"/>
              <w:jc w:val="left"/>
              <w:rPr>
                <w:sz w:val="19"/>
                <w:szCs w:val="19"/>
              </w:rPr>
            </w:pPr>
            <w:r w:rsidRPr="002312CC">
              <w:rPr>
                <w:b/>
                <w:sz w:val="19"/>
                <w:szCs w:val="19"/>
              </w:rPr>
              <w:t>No sanctions</w:t>
            </w:r>
            <w:r w:rsidRPr="002312CC">
              <w:rPr>
                <w:sz w:val="19"/>
                <w:szCs w:val="19"/>
              </w:rPr>
              <w:t xml:space="preserve">. </w:t>
            </w:r>
            <w:r w:rsidR="00E8106A" w:rsidRPr="002312CC">
              <w:rPr>
                <w:sz w:val="19"/>
                <w:szCs w:val="19"/>
              </w:rPr>
              <w:t>Failure to comply with the Legislation Act RIS requirements for subordinate law or a disallowable instrument does not affect the law’s validity or create rights or impose legally enforceable obligations on the Territory, a minister or anyone else.</w:t>
            </w:r>
          </w:p>
          <w:p w:rsidR="00E8106A" w:rsidRPr="002312CC" w:rsidRDefault="00E8106A" w:rsidP="000A485E">
            <w:pPr>
              <w:pStyle w:val="TableBodyText"/>
              <w:spacing w:before="20"/>
              <w:ind w:right="28"/>
              <w:jc w:val="left"/>
              <w:rPr>
                <w:sz w:val="19"/>
                <w:szCs w:val="19"/>
              </w:rPr>
            </w:pPr>
            <w:r w:rsidRPr="002312CC">
              <w:rPr>
                <w:sz w:val="19"/>
                <w:szCs w:val="19"/>
              </w:rPr>
              <w:t xml:space="preserve">For regulatory proposals seeking Cabinet consideration there are </w:t>
            </w:r>
            <w:r w:rsidRPr="002312CC">
              <w:rPr>
                <w:b/>
                <w:sz w:val="19"/>
                <w:szCs w:val="19"/>
              </w:rPr>
              <w:t>no sanctions</w:t>
            </w:r>
            <w:r w:rsidRPr="002312CC">
              <w:rPr>
                <w:sz w:val="19"/>
                <w:szCs w:val="19"/>
              </w:rPr>
              <w:t xml:space="preserve"> on agencies where a proposal proceeds to Cabinet without an adequate RIS.  </w:t>
            </w:r>
          </w:p>
        </w:tc>
      </w:tr>
      <w:tr w:rsidR="00E8106A" w:rsidTr="002312CC">
        <w:tc>
          <w:tcPr>
            <w:tcW w:w="484" w:type="pct"/>
            <w:tcBorders>
              <w:bottom w:val="single" w:sz="6" w:space="0" w:color="auto"/>
            </w:tcBorders>
            <w:shd w:val="pct15" w:color="auto" w:fill="auto"/>
          </w:tcPr>
          <w:p w:rsidR="00E8106A" w:rsidRPr="002312CC" w:rsidRDefault="00E8106A" w:rsidP="000A485E">
            <w:pPr>
              <w:pStyle w:val="TableBodyText"/>
              <w:spacing w:before="20"/>
              <w:jc w:val="left"/>
              <w:rPr>
                <w:szCs w:val="19"/>
              </w:rPr>
            </w:pPr>
            <w:r w:rsidRPr="002312CC">
              <w:rPr>
                <w:szCs w:val="19"/>
              </w:rPr>
              <w:t>NT</w:t>
            </w:r>
          </w:p>
        </w:tc>
        <w:tc>
          <w:tcPr>
            <w:tcW w:w="4516" w:type="pct"/>
            <w:tcBorders>
              <w:bottom w:val="single" w:sz="6" w:space="0" w:color="auto"/>
            </w:tcBorders>
            <w:shd w:val="pct15" w:color="auto" w:fill="auto"/>
          </w:tcPr>
          <w:p w:rsidR="00E8106A" w:rsidRPr="002312CC" w:rsidRDefault="00E8106A" w:rsidP="002312CC">
            <w:pPr>
              <w:pStyle w:val="TableBodyText"/>
              <w:spacing w:before="20"/>
              <w:ind w:right="28"/>
              <w:jc w:val="left"/>
              <w:rPr>
                <w:sz w:val="19"/>
                <w:szCs w:val="19"/>
              </w:rPr>
            </w:pPr>
            <w:r w:rsidRPr="002312CC">
              <w:rPr>
                <w:b/>
                <w:sz w:val="19"/>
                <w:szCs w:val="19"/>
              </w:rPr>
              <w:t>No sanctions</w:t>
            </w:r>
            <w:r w:rsidRPr="002312CC">
              <w:rPr>
                <w:sz w:val="19"/>
                <w:szCs w:val="19"/>
              </w:rPr>
              <w:t>. The Cabinet Office will not proceed with regulatory proposals in the absence</w:t>
            </w:r>
            <w:r w:rsidR="002312CC">
              <w:rPr>
                <w:sz w:val="19"/>
                <w:szCs w:val="19"/>
              </w:rPr>
              <w:t xml:space="preserve"> </w:t>
            </w:r>
            <w:r w:rsidRPr="002312CC">
              <w:rPr>
                <w:sz w:val="19"/>
                <w:szCs w:val="19"/>
              </w:rPr>
              <w:t xml:space="preserve">of certification from the Regulatory Impact Committee. However, with </w:t>
            </w:r>
            <w:r w:rsidR="004B1975" w:rsidRPr="002312CC">
              <w:rPr>
                <w:sz w:val="19"/>
                <w:szCs w:val="19"/>
              </w:rPr>
              <w:t>the Chief Minister’s</w:t>
            </w:r>
            <w:r w:rsidRPr="002312CC">
              <w:rPr>
                <w:sz w:val="19"/>
                <w:szCs w:val="19"/>
              </w:rPr>
              <w:t xml:space="preserve"> approval a regulatory proposal can still proceed to Cabinet or Executive Council in the absence of RIS certification or with certification indicating that the regulation does not comply with regulation-making principles.</w:t>
            </w:r>
          </w:p>
        </w:tc>
      </w:tr>
    </w:tbl>
    <w:p w:rsidR="00E8106A" w:rsidRPr="00651F5C" w:rsidRDefault="00E8106A" w:rsidP="00E8106A">
      <w:pPr>
        <w:pStyle w:val="Source"/>
      </w:pPr>
      <w:r>
        <w:rPr>
          <w:i/>
        </w:rPr>
        <w:t>Source</w:t>
      </w:r>
      <w:r w:rsidR="0049280F">
        <w:rPr>
          <w:i/>
        </w:rPr>
        <w:t>s</w:t>
      </w:r>
      <w:r>
        <w:t>: Ju</w:t>
      </w:r>
      <w:r w:rsidR="00F728BD">
        <w:t>risdictional guidance material (</w:t>
      </w:r>
      <w:r>
        <w:t xml:space="preserve">appendix </w:t>
      </w:r>
      <w:r w:rsidR="0078033B">
        <w:t>B</w:t>
      </w:r>
      <w:r w:rsidR="00F728BD">
        <w:t>)</w:t>
      </w:r>
      <w:r w:rsidR="00664A8F">
        <w:t xml:space="preserve"> and sub. </w:t>
      </w:r>
      <w:proofErr w:type="spellStart"/>
      <w:r w:rsidR="00664A8F">
        <w:t>DR30</w:t>
      </w:r>
      <w:proofErr w:type="spellEnd"/>
      <w:r>
        <w:t>.</w:t>
      </w:r>
      <w:bookmarkStart w:id="3" w:name="_GoBack"/>
      <w:bookmarkEnd w:id="3"/>
    </w:p>
    <w:p w:rsidR="00DD03BD" w:rsidRDefault="00DD03BD" w:rsidP="00DD03BD">
      <w:pPr>
        <w:pStyle w:val="Heading4"/>
      </w:pPr>
      <w:r>
        <w:lastRenderedPageBreak/>
        <w:t>How effective are Cabinet offices where they act as RIA gatekeepers?</w:t>
      </w:r>
    </w:p>
    <w:p w:rsidR="007F70B3" w:rsidRDefault="00F1752E" w:rsidP="00F1752E">
      <w:pPr>
        <w:pStyle w:val="BodyText"/>
      </w:pPr>
      <w:r>
        <w:t xml:space="preserve">Cabinet </w:t>
      </w:r>
      <w:r w:rsidR="003B5E2E">
        <w:t>o</w:t>
      </w:r>
      <w:r>
        <w:t xml:space="preserve">ffices </w:t>
      </w:r>
      <w:r w:rsidR="008C1A95">
        <w:t xml:space="preserve">in five jurisdictions </w:t>
      </w:r>
      <w:r>
        <w:t xml:space="preserve">have a gatekeeping role as part of the RIA process — Commonwealth, New South Wales, Western Australia, South Australia and the Northern Territory (chapter </w:t>
      </w:r>
      <w:r w:rsidR="00B65723">
        <w:t>3</w:t>
      </w:r>
      <w:r>
        <w:t xml:space="preserve">). </w:t>
      </w:r>
    </w:p>
    <w:p w:rsidR="00F1752E" w:rsidRDefault="00F1752E" w:rsidP="00F1752E">
      <w:pPr>
        <w:pStyle w:val="BodyText"/>
      </w:pPr>
      <w:r>
        <w:t xml:space="preserve">For example, </w:t>
      </w:r>
      <w:r w:rsidR="00AF6D26">
        <w:t>under</w:t>
      </w:r>
      <w:r>
        <w:t xml:space="preserve"> the Northern Territory RIA process, the Regulation Impact Committee (RIC) assesses the adequacy of a RIS against formal best practice regulation principles, and advises Cabinet through the issuing of relevant certificates. The </w:t>
      </w:r>
      <w:r w:rsidR="003B5E2E">
        <w:t xml:space="preserve">Northern Territory </w:t>
      </w:r>
      <w:r>
        <w:t>Cabinet Office will not proceed with regulatory proposals in the absence of certification from the RIC</w:t>
      </w:r>
      <w:r w:rsidR="00ED2F9E">
        <w:t>,</w:t>
      </w:r>
      <w:r>
        <w:t xml:space="preserve"> but it does not have a ‘veto power’. With </w:t>
      </w:r>
      <w:r w:rsidR="00AF6D26">
        <w:t>the Chief Minister’s</w:t>
      </w:r>
      <w:r>
        <w:t xml:space="preserve"> approval a regulatory proposal can still proceed to Cabinet or Executive Council in the absence of RIS certification or with certification indicating that the proposal does not comply with regulation making principles</w:t>
      </w:r>
      <w:r w:rsidR="00A10139">
        <w:t xml:space="preserve"> </w:t>
      </w:r>
      <w:r w:rsidR="00AF6D26">
        <w:t>(NT Department of Treasury and Finance</w:t>
      </w:r>
      <w:r w:rsidR="00A10139">
        <w:t xml:space="preserve">, sub. </w:t>
      </w:r>
      <w:proofErr w:type="spellStart"/>
      <w:r w:rsidR="00A10139">
        <w:t>DR30</w:t>
      </w:r>
      <w:proofErr w:type="spellEnd"/>
      <w:r>
        <w:t xml:space="preserve">). </w:t>
      </w:r>
    </w:p>
    <w:p w:rsidR="00F1752E" w:rsidRDefault="00F1752E" w:rsidP="00067AB9">
      <w:pPr>
        <w:pStyle w:val="BodyText"/>
      </w:pPr>
      <w:r>
        <w:t xml:space="preserve">Where a regulatory proposal proceeds to the Cabinet without an adequate RIS, the Northern Territory Cabinet may provide approval subject to completion of </w:t>
      </w:r>
      <w:r w:rsidR="00AF6D26">
        <w:t>a RIS</w:t>
      </w:r>
      <w:r>
        <w:t xml:space="preserve"> — either before or after the introduction of the regulation (Northern Territory Government, pers. comm., 4 April 2012).</w:t>
      </w:r>
    </w:p>
    <w:p w:rsidR="006F6F0F" w:rsidRDefault="008F147C" w:rsidP="006F6F0F">
      <w:pPr>
        <w:pStyle w:val="BodyText"/>
      </w:pPr>
      <w:r>
        <w:t>I</w:t>
      </w:r>
      <w:r w:rsidR="006F6F0F">
        <w:t xml:space="preserve">n the Australian Government RIA process the Cabinet Secretariat </w:t>
      </w:r>
      <w:r w:rsidR="001A7836">
        <w:t xml:space="preserve">is tasked to serve </w:t>
      </w:r>
      <w:r w:rsidR="006F6F0F">
        <w:t xml:space="preserve">as the </w:t>
      </w:r>
      <w:r w:rsidR="00D76223">
        <w:t xml:space="preserve">RIA </w:t>
      </w:r>
      <w:r w:rsidR="001A7836">
        <w:t>‘</w:t>
      </w:r>
      <w:r w:rsidR="006F6F0F">
        <w:t>gatekeeper</w:t>
      </w:r>
      <w:r w:rsidR="001A7836">
        <w:t>’</w:t>
      </w:r>
      <w:r w:rsidR="006F6F0F">
        <w:t>:</w:t>
      </w:r>
    </w:p>
    <w:p w:rsidR="006F6F0F" w:rsidRDefault="006F6F0F" w:rsidP="006F6F0F">
      <w:pPr>
        <w:pStyle w:val="Quote"/>
      </w:pPr>
      <w:r>
        <w:t xml:space="preserve">The Cabinet Secretariat provides a gate-keeping role to ensure that regulatory proposals coming to the Cabinet and sub-committees of Cabinet meet the RIS requirements. The Cabinet Secretariat will not circulate final Cabinet Submissions or memoranda, or other Cabinet Papers, without adequate </w:t>
      </w:r>
      <w:proofErr w:type="spellStart"/>
      <w:r>
        <w:t>RISs</w:t>
      </w:r>
      <w:proofErr w:type="spellEnd"/>
      <w:r>
        <w:t xml:space="preserve"> unless the Prime Minister has deemed that exceptional circumstances apply. (Australian Government </w:t>
      </w:r>
      <w:proofErr w:type="spellStart"/>
      <w:r>
        <w:t>2010</w:t>
      </w:r>
      <w:r w:rsidR="006934AE">
        <w:t>a</w:t>
      </w:r>
      <w:proofErr w:type="spellEnd"/>
      <w:r>
        <w:t>, p. 19)</w:t>
      </w:r>
    </w:p>
    <w:p w:rsidR="00DB317A" w:rsidRDefault="00DB317A" w:rsidP="00DB317A">
      <w:pPr>
        <w:pStyle w:val="BodyText"/>
      </w:pPr>
      <w:r>
        <w:t>This RIA gatekeeping role was one of a number of regulatory reforms introduced by the Australian Government in 2006 following recommendations made by the Regulation Taskforce. The Taskforce had high expectations that this proposed reform would improve compliance with the requirements:</w:t>
      </w:r>
    </w:p>
    <w:p w:rsidR="00DB317A" w:rsidRDefault="00DB317A" w:rsidP="00DB317A">
      <w:pPr>
        <w:pStyle w:val="Quote"/>
      </w:pPr>
      <w:r>
        <w:t>In the Taskforce’s view, the single most important way of strengthening compliance with the principles of good process would be for the government to adhere to a rule that regulatory proposals that fail to meet the RIS requirements will not be permitted to proceed for consideration by Cabinet or other decision-maker, except in specially defined circumstances. (Regulation Taskforce 2006, p. 156)</w:t>
      </w:r>
    </w:p>
    <w:p w:rsidR="004B4546" w:rsidRDefault="00DC43BB" w:rsidP="004B4546">
      <w:pPr>
        <w:pStyle w:val="BodyText"/>
      </w:pPr>
      <w:r>
        <w:t>If</w:t>
      </w:r>
      <w:r w:rsidR="007D7361">
        <w:t xml:space="preserve"> this </w:t>
      </w:r>
      <w:r w:rsidR="00D76223">
        <w:t xml:space="preserve">RIA </w:t>
      </w:r>
      <w:r w:rsidR="007D7361">
        <w:t xml:space="preserve">gatekeeping </w:t>
      </w:r>
      <w:r>
        <w:t>role</w:t>
      </w:r>
      <w:r w:rsidR="007D7361">
        <w:t xml:space="preserve"> </w:t>
      </w:r>
      <w:r w:rsidR="007635B9">
        <w:t>worked</w:t>
      </w:r>
      <w:r w:rsidR="007D7361">
        <w:t xml:space="preserve"> as intended, then the </w:t>
      </w:r>
      <w:r w:rsidR="00EF560E">
        <w:t>OBPR</w:t>
      </w:r>
      <w:r w:rsidR="00F90C57">
        <w:t xml:space="preserve"> </w:t>
      </w:r>
      <w:r w:rsidR="00443DDF">
        <w:t xml:space="preserve">— through the Cabinet Secretariat — </w:t>
      </w:r>
      <w:r w:rsidR="007635B9">
        <w:t>would have</w:t>
      </w:r>
      <w:r w:rsidR="00F90C57">
        <w:t xml:space="preserve"> </w:t>
      </w:r>
      <w:r w:rsidR="002E3231">
        <w:t xml:space="preserve">an </w:t>
      </w:r>
      <w:r w:rsidR="00DB317A">
        <w:t xml:space="preserve">indirect </w:t>
      </w:r>
      <w:r w:rsidR="00F90C57">
        <w:t>veto power over proposals</w:t>
      </w:r>
      <w:r w:rsidR="00D71509">
        <w:t xml:space="preserve"> without an adequate RIS attached to the relevant cabinet submission (or decision document)</w:t>
      </w:r>
      <w:r w:rsidR="00443DDF">
        <w:t>.</w:t>
      </w:r>
      <w:r>
        <w:t xml:space="preserve"> In other words, </w:t>
      </w:r>
      <w:r w:rsidR="004B4546">
        <w:t>where</w:t>
      </w:r>
      <w:r>
        <w:t xml:space="preserve"> the </w:t>
      </w:r>
      <w:r w:rsidR="00EF560E">
        <w:t>OBPR</w:t>
      </w:r>
      <w:r>
        <w:t xml:space="preserve"> </w:t>
      </w:r>
      <w:r w:rsidR="007635B9">
        <w:t>found</w:t>
      </w:r>
      <w:r>
        <w:t xml:space="preserve"> that a regulatory proposal </w:t>
      </w:r>
      <w:r w:rsidR="007635B9">
        <w:t>did</w:t>
      </w:r>
      <w:r>
        <w:t xml:space="preserve"> not meet the RI</w:t>
      </w:r>
      <w:r w:rsidR="00EF063C">
        <w:t>A</w:t>
      </w:r>
      <w:r>
        <w:t xml:space="preserve"> </w:t>
      </w:r>
      <w:r>
        <w:lastRenderedPageBreak/>
        <w:t xml:space="preserve">requirements then </w:t>
      </w:r>
      <w:r w:rsidR="00DB317A">
        <w:t xml:space="preserve">Cabinet Secretariat would stop </w:t>
      </w:r>
      <w:r w:rsidR="004F5A83">
        <w:t>the proposal</w:t>
      </w:r>
      <w:r>
        <w:t xml:space="preserve"> </w:t>
      </w:r>
      <w:r w:rsidR="00DB317A">
        <w:t>from</w:t>
      </w:r>
      <w:r>
        <w:t xml:space="preserve"> proceed</w:t>
      </w:r>
      <w:r w:rsidR="00DB317A">
        <w:t>ing</w:t>
      </w:r>
      <w:r>
        <w:t xml:space="preserve"> to the decision maker.</w:t>
      </w:r>
      <w:r w:rsidR="007F70B3">
        <w:t xml:space="preserve"> </w:t>
      </w:r>
    </w:p>
    <w:p w:rsidR="002C0CFF" w:rsidRDefault="00435409" w:rsidP="004B4546">
      <w:pPr>
        <w:pStyle w:val="BodyText"/>
      </w:pPr>
      <w:r>
        <w:t xml:space="preserve">However, </w:t>
      </w:r>
      <w:r w:rsidR="00512692">
        <w:t xml:space="preserve">in practice </w:t>
      </w:r>
      <w:r w:rsidR="00195453">
        <w:t xml:space="preserve">the Cabinet Secretariat has </w:t>
      </w:r>
      <w:r w:rsidR="00DB317A">
        <w:t>not</w:t>
      </w:r>
      <w:r w:rsidR="00A41C60">
        <w:t xml:space="preserve"> stop</w:t>
      </w:r>
      <w:r w:rsidR="00DB317A">
        <w:t>ped all</w:t>
      </w:r>
      <w:r w:rsidR="00A41C60">
        <w:t xml:space="preserve"> proposals that do not meet RIA requirements from proceeding to Cabinet.</w:t>
      </w:r>
      <w:r w:rsidR="00792535">
        <w:t xml:space="preserve"> </w:t>
      </w:r>
      <w:r w:rsidR="00EF69D3">
        <w:t xml:space="preserve">Cases </w:t>
      </w:r>
      <w:r w:rsidR="00792535">
        <w:t xml:space="preserve">can be found </w:t>
      </w:r>
      <w:r w:rsidR="00C26B00">
        <w:t>of</w:t>
      </w:r>
      <w:r w:rsidR="00792535">
        <w:t xml:space="preserve"> proposals</w:t>
      </w:r>
      <w:r w:rsidR="00D71509">
        <w:t xml:space="preserve"> not meeting RIA requirements</w:t>
      </w:r>
      <w:r w:rsidR="00792535">
        <w:t xml:space="preserve">, as assessed </w:t>
      </w:r>
      <w:r w:rsidR="00C26B00">
        <w:t xml:space="preserve">and reported </w:t>
      </w:r>
      <w:r w:rsidR="00792535">
        <w:t>by the OBPR</w:t>
      </w:r>
      <w:r w:rsidR="00C26B00">
        <w:t xml:space="preserve"> (OBPR </w:t>
      </w:r>
      <w:proofErr w:type="spellStart"/>
      <w:r w:rsidR="00C26B00">
        <w:t>2011a</w:t>
      </w:r>
      <w:proofErr w:type="spellEnd"/>
      <w:r w:rsidR="00C26B00">
        <w:t>)</w:t>
      </w:r>
      <w:r w:rsidR="00171697">
        <w:t>,</w:t>
      </w:r>
      <w:r w:rsidR="00792535">
        <w:t xml:space="preserve"> </w:t>
      </w:r>
      <w:r w:rsidR="00EF69D3">
        <w:t xml:space="preserve">that </w:t>
      </w:r>
      <w:r w:rsidR="00792535">
        <w:t xml:space="preserve">have still proceeded to </w:t>
      </w:r>
      <w:r w:rsidR="0066717B">
        <w:t xml:space="preserve">Cabinet (or other </w:t>
      </w:r>
      <w:r w:rsidR="00792535">
        <w:t xml:space="preserve">decision </w:t>
      </w:r>
      <w:r w:rsidR="00F2104D">
        <w:t>makers</w:t>
      </w:r>
      <w:r w:rsidR="0066717B">
        <w:t>)</w:t>
      </w:r>
      <w:r w:rsidR="00F2104D">
        <w:t xml:space="preserve"> </w:t>
      </w:r>
      <w:r w:rsidR="00792535">
        <w:t xml:space="preserve">without a Prime Minister’s exemption. </w:t>
      </w:r>
      <w:r w:rsidR="00B757EF">
        <w:t xml:space="preserve">There is no public record identifying how each non-compliant submission has proceeded </w:t>
      </w:r>
      <w:r w:rsidR="00996903">
        <w:t xml:space="preserve">for decision </w:t>
      </w:r>
      <w:r w:rsidR="00B757EF">
        <w:t xml:space="preserve">but there is evidence that such a practice is occurring. </w:t>
      </w:r>
      <w:r w:rsidR="00EF69D3">
        <w:t>For example, t</w:t>
      </w:r>
      <w:r w:rsidR="0066717B">
        <w:t xml:space="preserve">he Commission was informed </w:t>
      </w:r>
      <w:r w:rsidR="00D02CB3">
        <w:t>that</w:t>
      </w:r>
      <w:r w:rsidR="00EF69D3">
        <w:t xml:space="preserve"> </w:t>
      </w:r>
      <w:r w:rsidR="00F2104D">
        <w:t xml:space="preserve">five </w:t>
      </w:r>
      <w:r w:rsidR="00EF69D3">
        <w:t xml:space="preserve">Future of Financial Advice reforms </w:t>
      </w:r>
      <w:r w:rsidR="00F2104D">
        <w:t>were not assessed as adequate by the OBPR but nevertheless proceeded to Cabinet</w:t>
      </w:r>
      <w:r w:rsidR="00D02CB3" w:rsidRPr="00D02CB3">
        <w:t xml:space="preserve"> </w:t>
      </w:r>
      <w:r w:rsidR="00D02CB3">
        <w:t>in 2010-11</w:t>
      </w:r>
      <w:r w:rsidR="00CA30E9">
        <w:t>.</w:t>
      </w:r>
      <w:r w:rsidR="00F2104D">
        <w:t xml:space="preserve"> </w:t>
      </w:r>
    </w:p>
    <w:p w:rsidR="00792535" w:rsidRDefault="00792535" w:rsidP="00F31030">
      <w:pPr>
        <w:pStyle w:val="BodyText"/>
      </w:pPr>
      <w:r>
        <w:t>For Better Regulation Statements in New South Wales</w:t>
      </w:r>
      <w:r w:rsidR="007F70B3">
        <w:t>,</w:t>
      </w:r>
      <w:r>
        <w:t xml:space="preserve"> the Cabinet </w:t>
      </w:r>
      <w:r w:rsidR="00673EA2">
        <w:t>Secretariat</w:t>
      </w:r>
      <w:r w:rsidR="00484863">
        <w:t xml:space="preserve"> </w:t>
      </w:r>
      <w:r>
        <w:t>ha</w:t>
      </w:r>
      <w:r w:rsidR="00673EA2">
        <w:t>s</w:t>
      </w:r>
      <w:r>
        <w:t xml:space="preserve"> a </w:t>
      </w:r>
      <w:r w:rsidR="00D76223">
        <w:t xml:space="preserve">RIA </w:t>
      </w:r>
      <w:r>
        <w:t>‘gatekeeping role’ for regulatory proposals intended for Cabinet. However, this role can be overridden at the behest of the Premier</w:t>
      </w:r>
      <w:r w:rsidR="00FC1C95">
        <w:t xml:space="preserve"> (table 8.1)</w:t>
      </w:r>
      <w:r w:rsidR="00673EA2">
        <w:t xml:space="preserve">. </w:t>
      </w:r>
      <w:r w:rsidR="00FC1C95">
        <w:t xml:space="preserve">The Cabinet Services Branch in Western Australia also has a </w:t>
      </w:r>
      <w:r w:rsidR="00DC5BDD">
        <w:t xml:space="preserve">RIA </w:t>
      </w:r>
      <w:r w:rsidR="00FC1C95">
        <w:t>gatekeeping role since it ‘may’ return the Cabinet submission to the responsible Minister if the RIA requirements have not been satisfied</w:t>
      </w:r>
      <w:r w:rsidR="00672958">
        <w:t xml:space="preserve"> (WA </w:t>
      </w:r>
      <w:r w:rsidR="00782596">
        <w:t>Treasury</w:t>
      </w:r>
      <w:r w:rsidR="00672958">
        <w:t xml:space="preserve"> </w:t>
      </w:r>
      <w:proofErr w:type="spellStart"/>
      <w:r w:rsidR="00672958">
        <w:t>2010</w:t>
      </w:r>
      <w:r w:rsidR="00FC249C">
        <w:t>a</w:t>
      </w:r>
      <w:proofErr w:type="spellEnd"/>
      <w:r w:rsidR="00672958">
        <w:t>). It</w:t>
      </w:r>
      <w:r w:rsidR="00FC1C95">
        <w:t xml:space="preserve"> is unclear </w:t>
      </w:r>
      <w:r w:rsidR="00672958">
        <w:t xml:space="preserve">the extent to which </w:t>
      </w:r>
      <w:r w:rsidR="00FC1C95">
        <w:t>this practice</w:t>
      </w:r>
      <w:r w:rsidR="00672958">
        <w:t xml:space="preserve"> occurs in Western Australia</w:t>
      </w:r>
      <w:r w:rsidR="00FC1C95">
        <w:t xml:space="preserve">. </w:t>
      </w:r>
      <w:r w:rsidR="00673EA2">
        <w:t>South Australia</w:t>
      </w:r>
      <w:r w:rsidR="00AF519E">
        <w:t>’s</w:t>
      </w:r>
      <w:r w:rsidR="00673EA2">
        <w:t xml:space="preserve"> Cabinet Office </w:t>
      </w:r>
      <w:r w:rsidR="00AF519E">
        <w:t xml:space="preserve">also can </w:t>
      </w:r>
      <w:r w:rsidR="00673EA2">
        <w:t>prevent proposals</w:t>
      </w:r>
      <w:r w:rsidR="00D71509">
        <w:t xml:space="preserve"> that do not meet RIA requirements from </w:t>
      </w:r>
      <w:r w:rsidR="00673EA2">
        <w:t xml:space="preserve">proceeding, unless the Cabinet Office assessment is overridden on appeal to the Minister for Industry and Trade </w:t>
      </w:r>
      <w:r w:rsidR="00DE7FCA">
        <w:t>from</w:t>
      </w:r>
      <w:r w:rsidR="00673EA2">
        <w:t xml:space="preserve"> the proponent Minister</w:t>
      </w:r>
      <w:r w:rsidR="00FC1C95">
        <w:t xml:space="preserve"> (SA </w:t>
      </w:r>
      <w:r w:rsidR="002C5816" w:rsidRPr="00915891">
        <w:t>Department of the Premier and Cabinet and Department of Treasury and Finance</w:t>
      </w:r>
      <w:r w:rsidR="00FC1C95">
        <w:t xml:space="preserve"> 2011)</w:t>
      </w:r>
      <w:r>
        <w:t>.</w:t>
      </w:r>
      <w:r w:rsidR="00672958">
        <w:t xml:space="preserve"> However, the South Australian </w:t>
      </w:r>
      <w:r w:rsidR="00DC5BDD">
        <w:t xml:space="preserve">RIA </w:t>
      </w:r>
      <w:r w:rsidR="00672958">
        <w:t>gatekeeping process is relatively new</w:t>
      </w:r>
      <w:r w:rsidR="0069733F">
        <w:t xml:space="preserve"> and t</w:t>
      </w:r>
      <w:r w:rsidR="00792310">
        <w:t>here ha</w:t>
      </w:r>
      <w:r w:rsidR="0008300D">
        <w:t>ve</w:t>
      </w:r>
      <w:r w:rsidR="00792310">
        <w:t xml:space="preserve"> not </w:t>
      </w:r>
      <w:r w:rsidR="0069733F">
        <w:t xml:space="preserve">yet </w:t>
      </w:r>
      <w:r w:rsidR="00792310">
        <w:t xml:space="preserve">been </w:t>
      </w:r>
      <w:r w:rsidR="0008300D">
        <w:t xml:space="preserve">any </w:t>
      </w:r>
      <w:r w:rsidR="00792310">
        <w:t>appeals of Cabinet Office decisions (SA Cabinet Office, pers. comm., 1</w:t>
      </w:r>
      <w:r w:rsidR="00442F8F">
        <w:t> </w:t>
      </w:r>
      <w:r w:rsidR="00792310">
        <w:t>August</w:t>
      </w:r>
      <w:r w:rsidR="00442F8F">
        <w:t> </w:t>
      </w:r>
      <w:r w:rsidR="00792310">
        <w:t>2012).</w:t>
      </w:r>
    </w:p>
    <w:p w:rsidR="00530FAC" w:rsidRDefault="007F70B3" w:rsidP="00F31030">
      <w:pPr>
        <w:pStyle w:val="BodyText"/>
      </w:pPr>
      <w:r>
        <w:t xml:space="preserve">In consultations with the Commission, some jurisdictions indicated that RIA gatekeeping has been circumvented where Cabinet offices have been unable to ‘pull’ submissions </w:t>
      </w:r>
      <w:r w:rsidR="006F60C7">
        <w:t>that do not have</w:t>
      </w:r>
      <w:r>
        <w:t xml:space="preserve"> adequate RIS documents attached, or where Ministers have ‘walked in’ submissions directly to Cabinet, without formally lodging them with the Cabinet office. Given these circumstances, </w:t>
      </w:r>
      <w:r w:rsidR="00937334">
        <w:t>c</w:t>
      </w:r>
      <w:r w:rsidR="00792535">
        <w:t xml:space="preserve">alling </w:t>
      </w:r>
      <w:r w:rsidR="005D6708">
        <w:t xml:space="preserve">some </w:t>
      </w:r>
      <w:r w:rsidR="00792535">
        <w:t xml:space="preserve">Cabinet </w:t>
      </w:r>
      <w:r w:rsidR="003B5E2E">
        <w:t>o</w:t>
      </w:r>
      <w:r w:rsidR="00484863">
        <w:t>ffices</w:t>
      </w:r>
      <w:r w:rsidR="00792535">
        <w:t xml:space="preserve"> in Australia </w:t>
      </w:r>
      <w:r w:rsidR="00D76223">
        <w:t xml:space="preserve">RIA </w:t>
      </w:r>
      <w:r w:rsidR="00792535">
        <w:t>‘gatekeepers’ seems somewhat of a misnomer</w:t>
      </w:r>
      <w:r w:rsidR="002F074F">
        <w:t xml:space="preserve"> — it is difficult to envisage how Cabinet offices would (ever) be able to fulfil a genuine RIA gatekeeper role</w:t>
      </w:r>
      <w:r w:rsidR="00792535">
        <w:t xml:space="preserve">. </w:t>
      </w:r>
    </w:p>
    <w:p w:rsidR="00894858" w:rsidRDefault="00AF519E" w:rsidP="00F31030">
      <w:pPr>
        <w:pStyle w:val="BodyText"/>
      </w:pPr>
      <w:r>
        <w:t xml:space="preserve">While there may be a perception of </w:t>
      </w:r>
      <w:r w:rsidR="002E3231">
        <w:t xml:space="preserve">a </w:t>
      </w:r>
      <w:r>
        <w:t>power</w:t>
      </w:r>
      <w:r w:rsidR="002E3231">
        <w:t xml:space="preserve"> of veto</w:t>
      </w:r>
      <w:r>
        <w:t xml:space="preserve">, in reality </w:t>
      </w:r>
      <w:r w:rsidR="00FD60B5">
        <w:t>no</w:t>
      </w:r>
      <w:r w:rsidR="00792535">
        <w:t xml:space="preserve"> Cabinet </w:t>
      </w:r>
      <w:r w:rsidR="003B5E2E">
        <w:t>o</w:t>
      </w:r>
      <w:r w:rsidR="009D154B">
        <w:t>ffice</w:t>
      </w:r>
      <w:r w:rsidR="00792535">
        <w:t xml:space="preserve"> h</w:t>
      </w:r>
      <w:r w:rsidR="002E6550">
        <w:t>as</w:t>
      </w:r>
      <w:r w:rsidR="00792535">
        <w:t xml:space="preserve"> the </w:t>
      </w:r>
      <w:r w:rsidR="004C0789">
        <w:t>power</w:t>
      </w:r>
      <w:r w:rsidR="00792535">
        <w:t xml:space="preserve"> to consistently prevent proposals </w:t>
      </w:r>
      <w:r w:rsidR="00D71509">
        <w:t xml:space="preserve">that do not meet RIA requirements </w:t>
      </w:r>
      <w:r w:rsidR="00867159">
        <w:t xml:space="preserve">from </w:t>
      </w:r>
      <w:r w:rsidR="00792535">
        <w:t>proceeding to decision makers</w:t>
      </w:r>
      <w:r w:rsidR="009D154B">
        <w:t xml:space="preserve">. </w:t>
      </w:r>
      <w:r w:rsidR="00894858">
        <w:t xml:space="preserve">Where Cabinet offices notionally have a RIA ‘gatekeeping’ role, they are creating a perception of rigour and stringency in RIA processes which does not necessarily exist in practice. This breeds cynicism </w:t>
      </w:r>
      <w:r w:rsidR="00894858">
        <w:lastRenderedPageBreak/>
        <w:t xml:space="preserve">amongst stakeholders about the integrity of RIA processes and over time weakens engagement with the process by agencies, oversight bodies and governments. </w:t>
      </w:r>
    </w:p>
    <w:p w:rsidR="000A5CC6" w:rsidRDefault="00894858" w:rsidP="000A5CC6">
      <w:pPr>
        <w:pStyle w:val="BodyText"/>
      </w:pPr>
      <w:r>
        <w:t>Th</w:t>
      </w:r>
      <w:r w:rsidR="006F60C7">
        <w:t>is</w:t>
      </w:r>
      <w:r>
        <w:t xml:space="preserve"> lack of </w:t>
      </w:r>
      <w:r w:rsidR="00AF7622">
        <w:t xml:space="preserve">a </w:t>
      </w:r>
      <w:r>
        <w:t xml:space="preserve">veto power </w:t>
      </w:r>
      <w:r w:rsidR="00792535">
        <w:t xml:space="preserve">accords with </w:t>
      </w:r>
      <w:r w:rsidR="009D154B">
        <w:t xml:space="preserve">leading </w:t>
      </w:r>
      <w:r w:rsidR="00792535">
        <w:t xml:space="preserve">international RIA processes, </w:t>
      </w:r>
      <w:r w:rsidR="00AF519E">
        <w:t xml:space="preserve">in that </w:t>
      </w:r>
      <w:r w:rsidR="00792535">
        <w:t>unelected officials generally do not have the powe</w:t>
      </w:r>
      <w:r w:rsidR="0062179B">
        <w:t xml:space="preserve">r to block regulatory proposals </w:t>
      </w:r>
      <w:r w:rsidR="00C425C3">
        <w:t xml:space="preserve">from proceeding </w:t>
      </w:r>
      <w:r w:rsidR="00792535">
        <w:t>(box 8.1).</w:t>
      </w:r>
      <w:r w:rsidR="00AF519E">
        <w:t xml:space="preserve"> </w:t>
      </w:r>
      <w:r w:rsidR="000A5CC6">
        <w:t>According to a recent OECD working paper on public sector governance:</w:t>
      </w:r>
    </w:p>
    <w:p w:rsidR="000A5CC6" w:rsidRDefault="000A5CC6" w:rsidP="000A5CC6">
      <w:pPr>
        <w:pStyle w:val="Quote"/>
      </w:pPr>
      <w:r>
        <w:t>… most long-lasting oversight bodies have avoided trying to control the flow of information to the Cabinet and, thus, appearing to exert a real ‘veto’. Such power would be beyond oversight and transform the body into the final substantive regulator, with the risk of significant backlash. (Cordova-</w:t>
      </w:r>
      <w:proofErr w:type="spellStart"/>
      <w:r>
        <w:t>Novion</w:t>
      </w:r>
      <w:proofErr w:type="spellEnd"/>
      <w:r>
        <w:t xml:space="preserve"> and </w:t>
      </w:r>
      <w:proofErr w:type="spellStart"/>
      <w:r>
        <w:t>Jacobzone</w:t>
      </w:r>
      <w:proofErr w:type="spellEnd"/>
      <w:r>
        <w:t xml:space="preserve"> 2011, p. 31)</w:t>
      </w:r>
    </w:p>
    <w:p w:rsidR="00DD03BD" w:rsidRDefault="00DD03BD" w:rsidP="00DD03BD">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DD03BD" w:rsidTr="00570789">
        <w:tc>
          <w:tcPr>
            <w:tcW w:w="8771" w:type="dxa"/>
            <w:tcBorders>
              <w:top w:val="single" w:sz="6" w:space="0" w:color="auto"/>
              <w:bottom w:val="nil"/>
            </w:tcBorders>
          </w:tcPr>
          <w:p w:rsidR="00DD03BD" w:rsidRDefault="00DD03BD" w:rsidP="00570789">
            <w:pPr>
              <w:pStyle w:val="BoxTitle"/>
            </w:pPr>
            <w:r>
              <w:rPr>
                <w:b w:val="0"/>
              </w:rPr>
              <w:t xml:space="preserve">Box </w:t>
            </w:r>
            <w:r w:rsidR="00FC4C5E" w:rsidRPr="00FC4C5E">
              <w:rPr>
                <w:b w:val="0"/>
              </w:rPr>
              <w:t>8.</w:t>
            </w:r>
            <w:r w:rsidR="00FC4C5E">
              <w:rPr>
                <w:b w:val="0"/>
                <w:noProof/>
              </w:rPr>
              <w:t>1</w:t>
            </w:r>
            <w:r>
              <w:tab/>
              <w:t>Veto powers are not prevalent in leading international RIA processes</w:t>
            </w:r>
          </w:p>
        </w:tc>
      </w:tr>
      <w:tr w:rsidR="00DD03BD" w:rsidTr="00570789">
        <w:trPr>
          <w:cantSplit/>
        </w:trPr>
        <w:tc>
          <w:tcPr>
            <w:tcW w:w="8771" w:type="dxa"/>
            <w:tcBorders>
              <w:top w:val="nil"/>
              <w:bottom w:val="nil"/>
            </w:tcBorders>
          </w:tcPr>
          <w:p w:rsidR="00DD03BD" w:rsidRDefault="00DD03BD" w:rsidP="00570789">
            <w:pPr>
              <w:pStyle w:val="Box"/>
            </w:pPr>
            <w:r>
              <w:t>The United Kingdom’s Regulatory Policy Committee (UK RPC) provides independent advice on the quality of evidence and analysis supporting the regulatory proposal but does not have the power to block or approve a regulatory proposal. The Cabinet sub-Committee on Reducing Regulation vets all proposals from government departments and makes a final decision, having seen the UK RPC’s advice.</w:t>
            </w:r>
          </w:p>
          <w:p w:rsidR="00DD03BD" w:rsidRDefault="00DD03BD" w:rsidP="00570789">
            <w:pPr>
              <w:pStyle w:val="Box"/>
            </w:pPr>
            <w:r>
              <w:t>The European Union’s Impact Assessment Board (</w:t>
            </w:r>
            <w:proofErr w:type="spellStart"/>
            <w:r>
              <w:t>IAB</w:t>
            </w:r>
            <w:proofErr w:type="spellEnd"/>
            <w:r>
              <w:t xml:space="preserve">) examines and issues non-binding opinions on the quality of individual draft impact assessments prepared by European Commission departments. The opinion accompanies the draft initiative together with the impact assessment report throughout the Commission’s political decision making process. The Commission’s impact assessment is an aid — not a substitute — for political judgement. Ultimately, it is the Commission which decides whether or not to adopt an initiative, taking into account the impact assessment </w:t>
            </w:r>
            <w:r w:rsidR="00530FAC">
              <w:t xml:space="preserve">provided by the relevant Commission department </w:t>
            </w:r>
            <w:r>
              <w:t>and the Board’s issued opinion.</w:t>
            </w:r>
          </w:p>
          <w:p w:rsidR="00DD03BD" w:rsidRDefault="00DD03BD" w:rsidP="008B06FB">
            <w:pPr>
              <w:pStyle w:val="Box"/>
            </w:pPr>
            <w:r>
              <w:t>In the United States, the Office of Information and Regulatory Affairs (</w:t>
            </w:r>
            <w:proofErr w:type="spellStart"/>
            <w:r>
              <w:t>OIRA</w:t>
            </w:r>
            <w:proofErr w:type="spellEnd"/>
            <w:r>
              <w:t xml:space="preserve">) reviews draft proposed and final regulations under Executive Order 12866. The </w:t>
            </w:r>
            <w:proofErr w:type="spellStart"/>
            <w:r>
              <w:t>OIRA</w:t>
            </w:r>
            <w:proofErr w:type="spellEnd"/>
            <w:r>
              <w:t xml:space="preserve"> review process seeks to ensure that agencies comply with the regulatory principles stated in the Executive Order. The </w:t>
            </w:r>
            <w:proofErr w:type="spellStart"/>
            <w:r>
              <w:t>OIRA</w:t>
            </w:r>
            <w:proofErr w:type="spellEnd"/>
            <w:r>
              <w:t xml:space="preserve"> either offers suggestions for improving the regulatory proposal or accepts the proposal as is — but even here there is no veto power. As discussed in chapter 7, </w:t>
            </w:r>
            <w:proofErr w:type="spellStart"/>
            <w:r>
              <w:t>OIRA</w:t>
            </w:r>
            <w:proofErr w:type="spellEnd"/>
            <w:r>
              <w:t xml:space="preserve"> has sought to inhibit the adoption of </w:t>
            </w:r>
            <w:r w:rsidR="00530FAC">
              <w:t xml:space="preserve">poorly justified </w:t>
            </w:r>
            <w:r>
              <w:t xml:space="preserve">policies using ‘return letters’ to federal agencies. But under the Executive Order, the agency can appeal to a more senior administration official (the President’s Chief of Staff). </w:t>
            </w:r>
          </w:p>
        </w:tc>
      </w:tr>
      <w:tr w:rsidR="00DD03BD" w:rsidTr="00570789">
        <w:trPr>
          <w:cantSplit/>
        </w:trPr>
        <w:tc>
          <w:tcPr>
            <w:tcW w:w="8771" w:type="dxa"/>
            <w:tcBorders>
              <w:top w:val="nil"/>
              <w:bottom w:val="nil"/>
            </w:tcBorders>
          </w:tcPr>
          <w:p w:rsidR="00DD03BD" w:rsidRDefault="00DD03BD" w:rsidP="00570789">
            <w:pPr>
              <w:pStyle w:val="BoxSource"/>
            </w:pPr>
            <w:r>
              <w:rPr>
                <w:i/>
              </w:rPr>
              <w:t>Source</w:t>
            </w:r>
            <w:r w:rsidR="0049280F">
              <w:rPr>
                <w:i/>
              </w:rPr>
              <w:t>s</w:t>
            </w:r>
            <w:r w:rsidRPr="00167F06">
              <w:t xml:space="preserve">: </w:t>
            </w:r>
            <w:r>
              <w:t xml:space="preserve">UK RPC (2012); EC </w:t>
            </w:r>
            <w:proofErr w:type="spellStart"/>
            <w:r>
              <w:t>IAB</w:t>
            </w:r>
            <w:proofErr w:type="spellEnd"/>
            <w:r>
              <w:t xml:space="preserve"> (2012); US </w:t>
            </w:r>
            <w:proofErr w:type="spellStart"/>
            <w:r>
              <w:t>Reginfo.gov</w:t>
            </w:r>
            <w:proofErr w:type="spellEnd"/>
            <w:r w:rsidR="008C1A95">
              <w:t xml:space="preserve"> website</w:t>
            </w:r>
            <w:r>
              <w:t>.</w:t>
            </w:r>
          </w:p>
        </w:tc>
      </w:tr>
      <w:tr w:rsidR="00DD03BD" w:rsidTr="00570789">
        <w:trPr>
          <w:cantSplit/>
        </w:trPr>
        <w:tc>
          <w:tcPr>
            <w:tcW w:w="8771" w:type="dxa"/>
            <w:tcBorders>
              <w:top w:val="nil"/>
              <w:bottom w:val="single" w:sz="6" w:space="0" w:color="auto"/>
            </w:tcBorders>
          </w:tcPr>
          <w:p w:rsidR="00DD03BD" w:rsidRDefault="00DD03BD" w:rsidP="00570789">
            <w:pPr>
              <w:pStyle w:val="Box"/>
              <w:spacing w:before="0" w:line="120" w:lineRule="exact"/>
            </w:pPr>
          </w:p>
        </w:tc>
      </w:tr>
      <w:tr w:rsidR="00DD03BD" w:rsidTr="00570789">
        <w:tc>
          <w:tcPr>
            <w:tcW w:w="8771" w:type="dxa"/>
            <w:tcBorders>
              <w:top w:val="nil"/>
              <w:left w:val="nil"/>
              <w:bottom w:val="nil"/>
              <w:right w:val="nil"/>
            </w:tcBorders>
          </w:tcPr>
          <w:p w:rsidR="00DD03BD" w:rsidRDefault="00DD03BD" w:rsidP="00570789">
            <w:pPr>
              <w:pStyle w:val="Box"/>
              <w:keepNext w:val="0"/>
              <w:spacing w:before="60" w:after="60" w:line="80" w:lineRule="exact"/>
              <w:rPr>
                <w:b/>
                <w:color w:val="FF00FF"/>
                <w:sz w:val="14"/>
              </w:rPr>
            </w:pPr>
          </w:p>
        </w:tc>
      </w:tr>
    </w:tbl>
    <w:p w:rsidR="000A5CC6" w:rsidRDefault="000A5CC6" w:rsidP="000A5CC6">
      <w:pPr>
        <w:pStyle w:val="BodyText"/>
      </w:pPr>
      <w:r>
        <w:t>The RIA process should be an aid</w:t>
      </w:r>
      <w:r w:rsidR="006137FB">
        <w:t xml:space="preserve"> to</w:t>
      </w:r>
      <w:r>
        <w:t>, not a substitute for</w:t>
      </w:r>
      <w:r w:rsidR="00E22532">
        <w:t>,</w:t>
      </w:r>
      <w:r>
        <w:t xml:space="preserve"> the political judgement of what is in the community’s interest. But where governments make regulatory decisions that are inconsistent with their own RIA principles, these decisions should </w:t>
      </w:r>
      <w:r>
        <w:lastRenderedPageBreak/>
        <w:t>be made transparent to the community so governments can be held accountable (chapter 7).</w:t>
      </w:r>
    </w:p>
    <w:p w:rsidR="000A5CC6" w:rsidRDefault="000A5CC6" w:rsidP="000A5CC6">
      <w:pPr>
        <w:pStyle w:val="BodyText"/>
      </w:pPr>
      <w:r>
        <w:t>A number of submissions supported this view (</w:t>
      </w:r>
      <w:r w:rsidR="000E3CB9">
        <w:t xml:space="preserve">Australian Government </w:t>
      </w:r>
      <w:r>
        <w:t>Attorney-General’s Department</w:t>
      </w:r>
      <w:r w:rsidR="008C1A95">
        <w:t>,</w:t>
      </w:r>
      <w:r>
        <w:t xml:space="preserve"> sub.</w:t>
      </w:r>
      <w:r w:rsidR="00D54932">
        <w:t xml:space="preserve"> </w:t>
      </w:r>
      <w:r>
        <w:t>4</w:t>
      </w:r>
      <w:r w:rsidR="008C1A95">
        <w:t>;</w:t>
      </w:r>
      <w:r>
        <w:t xml:space="preserve"> </w:t>
      </w:r>
      <w:r w:rsidR="006C446A">
        <w:t>Australian Financial Markets Association (</w:t>
      </w:r>
      <w:proofErr w:type="spellStart"/>
      <w:r>
        <w:t>AFMA</w:t>
      </w:r>
      <w:proofErr w:type="spellEnd"/>
      <w:r w:rsidR="006C446A">
        <w:t>)</w:t>
      </w:r>
      <w:r w:rsidR="008C1A95">
        <w:t>,</w:t>
      </w:r>
      <w:r>
        <w:t xml:space="preserve"> sub. 11</w:t>
      </w:r>
      <w:r w:rsidR="008C1A95">
        <w:t>;</w:t>
      </w:r>
      <w:r>
        <w:t xml:space="preserve"> </w:t>
      </w:r>
      <w:r w:rsidR="00611A1D">
        <w:t>Officers undertaking RIA in the Victorian transport portfolio</w:t>
      </w:r>
      <w:r w:rsidR="008C1A95">
        <w:t>,</w:t>
      </w:r>
      <w:r>
        <w:t xml:space="preserve"> sub. 17). For example, </w:t>
      </w:r>
      <w:r w:rsidR="00611A1D">
        <w:t>Officers undertaking RIA in the Victorian transport portfolio</w:t>
      </w:r>
      <w:r>
        <w:t xml:space="preserve"> commented:</w:t>
      </w:r>
    </w:p>
    <w:p w:rsidR="000A5CC6" w:rsidRDefault="000A5CC6" w:rsidP="000A5CC6">
      <w:pPr>
        <w:pStyle w:val="Quote"/>
      </w:pPr>
      <w:r>
        <w:t>Australia has a democratic system of government and those appointed by the people must have the capacity to make judgements about what should be done irrespective of whether these judgements are informed by [adequate] RIA or otherwise. The critical issue is transparency. The question is whether an option for change being proposed is based on a thorough examination of the problem and options or is it being proposed because the popular view is that the option will provide a solution. (sub. 17, p. 13)</w:t>
      </w:r>
    </w:p>
    <w:p w:rsidR="00347CDD" w:rsidRDefault="00CD210D" w:rsidP="00CD210D">
      <w:pPr>
        <w:pStyle w:val="BodyText"/>
      </w:pPr>
      <w:r>
        <w:t>If there was greater transparency in jurisdictional RIA processes — via the publi</w:t>
      </w:r>
      <w:r w:rsidR="003E260F">
        <w:t>shing</w:t>
      </w:r>
      <w:r>
        <w:t xml:space="preserve"> of RIS documents and oversight body adequacy assessments in a timely manner (as </w:t>
      </w:r>
      <w:r w:rsidR="00E0611B">
        <w:t>suggested</w:t>
      </w:r>
      <w:r>
        <w:t xml:space="preserve"> in </w:t>
      </w:r>
      <w:r w:rsidR="00FD072D">
        <w:t>section</w:t>
      </w:r>
      <w:r>
        <w:t xml:space="preserve"> 7</w:t>
      </w:r>
      <w:r w:rsidR="00FD072D">
        <w:t>.</w:t>
      </w:r>
      <w:r w:rsidR="00DE7FCA">
        <w:t>3</w:t>
      </w:r>
      <w:r>
        <w:t>)</w:t>
      </w:r>
      <w:r w:rsidRPr="00B741A1">
        <w:t xml:space="preserve"> </w:t>
      </w:r>
      <w:r>
        <w:t xml:space="preserve">— then the </w:t>
      </w:r>
      <w:r w:rsidR="00A05827">
        <w:t xml:space="preserve">success of the </w:t>
      </w:r>
      <w:r w:rsidR="00E614B7">
        <w:t xml:space="preserve">RIA </w:t>
      </w:r>
      <w:r>
        <w:t xml:space="preserve">gatekeeper role </w:t>
      </w:r>
      <w:r w:rsidR="00D100F2">
        <w:t>becomes less important</w:t>
      </w:r>
      <w:r w:rsidR="00E0583B">
        <w:t>. T</w:t>
      </w:r>
      <w:r w:rsidR="003E260F">
        <w:t xml:space="preserve">imely publication can be a powerful incentive for governments to undertake robust regulatory impact analysis. </w:t>
      </w:r>
      <w:r w:rsidR="00347CDD">
        <w:t xml:space="preserve">Cabinet </w:t>
      </w:r>
      <w:r w:rsidR="003B5E2E">
        <w:t>o</w:t>
      </w:r>
      <w:r w:rsidR="00347CDD">
        <w:t xml:space="preserve">ffices </w:t>
      </w:r>
      <w:r w:rsidR="004C6670">
        <w:t xml:space="preserve">can </w:t>
      </w:r>
      <w:r w:rsidR="00347CDD">
        <w:t xml:space="preserve">facilitate the provision of RIA information to </w:t>
      </w:r>
      <w:r w:rsidR="000A5CC6">
        <w:t>C</w:t>
      </w:r>
      <w:r w:rsidR="00347CDD">
        <w:t>abinet</w:t>
      </w:r>
      <w:r w:rsidR="00D71509">
        <w:t>s</w:t>
      </w:r>
      <w:r w:rsidR="00347CDD">
        <w:t xml:space="preserve"> irrespective of whether RIA requirements have been met for regulatory proposals </w:t>
      </w:r>
      <w:r w:rsidR="007757A2">
        <w:t xml:space="preserve">— </w:t>
      </w:r>
      <w:r w:rsidR="00347CDD">
        <w:t xml:space="preserve">as </w:t>
      </w:r>
      <w:r w:rsidR="007757A2">
        <w:t xml:space="preserve">currently </w:t>
      </w:r>
      <w:r w:rsidR="00347CDD">
        <w:t xml:space="preserve">occurs in Victoria, Queensland, Tasmania and the </w:t>
      </w:r>
      <w:r w:rsidR="006F121E">
        <w:t>ACT</w:t>
      </w:r>
      <w:r w:rsidR="00347CDD">
        <w:t>.</w:t>
      </w:r>
    </w:p>
    <w:p w:rsidR="0019359B" w:rsidRDefault="00CC3FEF" w:rsidP="0025184C">
      <w:pPr>
        <w:pStyle w:val="BodyText"/>
      </w:pPr>
      <w:proofErr w:type="spellStart"/>
      <w:r>
        <w:t>Borthwick</w:t>
      </w:r>
      <w:proofErr w:type="spellEnd"/>
      <w:r>
        <w:t xml:space="preserve"> and Mill</w:t>
      </w:r>
      <w:r w:rsidR="003B5E5D">
        <w:t>in</w:t>
      </w:r>
      <w:r>
        <w:t>er (2012)</w:t>
      </w:r>
      <w:r w:rsidR="00DC5995">
        <w:t>,</w:t>
      </w:r>
      <w:r>
        <w:t xml:space="preserve"> </w:t>
      </w:r>
      <w:r w:rsidR="00D25A69">
        <w:t>when reviewing the Australian Government</w:t>
      </w:r>
      <w:r w:rsidR="003B3DBC">
        <w:t>’s</w:t>
      </w:r>
      <w:r w:rsidR="00D25A69">
        <w:t xml:space="preserve"> RIA process, </w:t>
      </w:r>
      <w:r>
        <w:t xml:space="preserve">came to the view that the RIA gatekeeper role </w:t>
      </w:r>
      <w:r w:rsidR="00D25A69">
        <w:t xml:space="preserve">was </w:t>
      </w:r>
      <w:r w:rsidR="00F34BAE">
        <w:t xml:space="preserve">unhelpful and </w:t>
      </w:r>
      <w:r w:rsidR="00D25A69">
        <w:t>un</w:t>
      </w:r>
      <w:r w:rsidR="009C28C2">
        <w:t>necessary</w:t>
      </w:r>
      <w:r w:rsidR="00D25A69">
        <w:t xml:space="preserve"> and that the OBPR should </w:t>
      </w:r>
      <w:r w:rsidR="0019359B">
        <w:t xml:space="preserve">simply </w:t>
      </w:r>
      <w:r w:rsidR="00D25A69">
        <w:t>be</w:t>
      </w:r>
      <w:r w:rsidR="0019359B">
        <w:t>come</w:t>
      </w:r>
      <w:r w:rsidR="00D25A69">
        <w:t xml:space="preserve"> a ‘watch-dog’ rather than </w:t>
      </w:r>
      <w:r w:rsidR="0019359B">
        <w:t>being party to a</w:t>
      </w:r>
      <w:r w:rsidR="00AF7622">
        <w:t xml:space="preserve"> ‘</w:t>
      </w:r>
      <w:r w:rsidR="00D25A69">
        <w:t>gatekeep</w:t>
      </w:r>
      <w:r w:rsidR="0019359B">
        <w:t>ing</w:t>
      </w:r>
      <w:r w:rsidR="00AF7622">
        <w:t>’</w:t>
      </w:r>
      <w:r w:rsidR="0019359B">
        <w:t xml:space="preserve"> process:</w:t>
      </w:r>
    </w:p>
    <w:p w:rsidR="00DC5995" w:rsidRDefault="005239AA" w:rsidP="0019359B">
      <w:pPr>
        <w:pStyle w:val="Quote"/>
      </w:pPr>
      <w:r>
        <w:t xml:space="preserve">In the Review’s opinion, it is not a proper role for OBPR to in effect — through the Cabinet Secretariat — prevent a submission going forward. Rather, </w:t>
      </w:r>
      <w:r w:rsidR="00DC5995">
        <w:t>their role should be to inform Cabinet (or other decision makers) and the public of their assessment of the veracity of the RIA Process. In this way, the integrity of the process can be better guarded</w:t>
      </w:r>
      <w:r w:rsidR="00074866">
        <w:t xml:space="preserve"> with the OBPR in effect being able to act as a counterbalance when the occasion demands it. (p. 67)</w:t>
      </w:r>
    </w:p>
    <w:p w:rsidR="005239AA" w:rsidRDefault="004B6930" w:rsidP="00CD210D">
      <w:pPr>
        <w:pStyle w:val="BodyText"/>
      </w:pPr>
      <w:r>
        <w:t>In</w:t>
      </w:r>
      <w:r w:rsidR="00CD210D">
        <w:t xml:space="preserve"> the absence of </w:t>
      </w:r>
      <w:r>
        <w:t>the ability for</w:t>
      </w:r>
      <w:r w:rsidR="00CD210D">
        <w:t xml:space="preserve"> </w:t>
      </w:r>
      <w:r w:rsidR="00EF063C">
        <w:t xml:space="preserve">Cabinet </w:t>
      </w:r>
      <w:r w:rsidR="003B5E2E">
        <w:t>o</w:t>
      </w:r>
      <w:r w:rsidR="00EF063C">
        <w:t>ffice</w:t>
      </w:r>
      <w:r>
        <w:t>s</w:t>
      </w:r>
      <w:r w:rsidR="00EF063C">
        <w:t xml:space="preserve"> </w:t>
      </w:r>
      <w:r>
        <w:t xml:space="preserve">to have a genuine </w:t>
      </w:r>
      <w:r w:rsidR="00D76223">
        <w:t xml:space="preserve">RIA </w:t>
      </w:r>
      <w:r w:rsidR="00633BE3">
        <w:t>gatekeeper</w:t>
      </w:r>
      <w:r w:rsidR="00274E04">
        <w:t xml:space="preserve"> role</w:t>
      </w:r>
      <w:r w:rsidR="00CD210D">
        <w:t xml:space="preserve">, </w:t>
      </w:r>
      <w:r>
        <w:t xml:space="preserve">where </w:t>
      </w:r>
      <w:r w:rsidR="00CD210D">
        <w:t xml:space="preserve">proposals </w:t>
      </w:r>
      <w:r w:rsidR="00EF063C">
        <w:t>that do not meet</w:t>
      </w:r>
      <w:r w:rsidR="00D71509">
        <w:t xml:space="preserve"> RIA requirements </w:t>
      </w:r>
      <w:r w:rsidR="00CD210D">
        <w:t xml:space="preserve">continue to go to decision makers, the public scrutiny that results from a more transparent </w:t>
      </w:r>
      <w:r w:rsidR="00FA31BC">
        <w:t xml:space="preserve">and timely </w:t>
      </w:r>
      <w:r w:rsidR="00CD210D">
        <w:t xml:space="preserve">RIA process should help ensure that such proposals are the exception rather than the rule. </w:t>
      </w:r>
      <w:r w:rsidR="00274E04">
        <w:t>I</w:t>
      </w:r>
      <w:r w:rsidR="00C425C3">
        <w:t>n these circumstances, it</w:t>
      </w:r>
      <w:r w:rsidR="00274E04">
        <w:t xml:space="preserve"> would be </w:t>
      </w:r>
      <w:r w:rsidR="00DD03BD">
        <w:t xml:space="preserve">clear </w:t>
      </w:r>
      <w:r w:rsidR="00274E04">
        <w:t xml:space="preserve">that </w:t>
      </w:r>
      <w:r w:rsidR="00DD03BD">
        <w:t xml:space="preserve">the </w:t>
      </w:r>
      <w:r w:rsidR="00274E04">
        <w:t xml:space="preserve">oversight </w:t>
      </w:r>
      <w:r w:rsidR="00DD03BD">
        <w:t xml:space="preserve">body role is </w:t>
      </w:r>
      <w:r w:rsidR="00274E04">
        <w:t xml:space="preserve">purely advisory (that is, part of an oversighting process) and that only </w:t>
      </w:r>
      <w:r w:rsidR="003261FA">
        <w:t xml:space="preserve">Cabinet (or other </w:t>
      </w:r>
      <w:r w:rsidR="00274E04">
        <w:t>decision makers</w:t>
      </w:r>
      <w:r w:rsidR="003261FA">
        <w:t>)</w:t>
      </w:r>
      <w:r w:rsidR="00274E04">
        <w:t xml:space="preserve"> ha</w:t>
      </w:r>
      <w:r w:rsidR="00F603B8">
        <w:t>s</w:t>
      </w:r>
      <w:r w:rsidR="00274E04">
        <w:t xml:space="preserve"> the power to block proposals from proceeding fur</w:t>
      </w:r>
      <w:r w:rsidR="00E22532">
        <w:t>ther in the regulatory process.</w:t>
      </w:r>
    </w:p>
    <w:p w:rsidR="00C22FF3" w:rsidRDefault="00C22FF3" w:rsidP="00C22FF3">
      <w:pPr>
        <w:pStyle w:val="FindingTitle"/>
        <w:framePr w:wrap="notBeside"/>
      </w:pPr>
      <w:r>
        <w:lastRenderedPageBreak/>
        <w:t xml:space="preserve">leading practice </w:t>
      </w:r>
      <w:r w:rsidR="00FC4C5E">
        <w:t>8.</w:t>
      </w:r>
      <w:r w:rsidR="00FC4C5E">
        <w:rPr>
          <w:noProof/>
        </w:rPr>
        <w:t>1</w:t>
      </w:r>
    </w:p>
    <w:p w:rsidR="00061200" w:rsidRPr="00D135D4" w:rsidRDefault="006B363A" w:rsidP="00C22FF3">
      <w:pPr>
        <w:pStyle w:val="Finding"/>
        <w:rPr>
          <w:b/>
        </w:rPr>
      </w:pPr>
      <w:r w:rsidRPr="00D135D4">
        <w:rPr>
          <w:b/>
        </w:rPr>
        <w:t>The accountability of RIA processes is enhanced where</w:t>
      </w:r>
      <w:r w:rsidR="000A316B" w:rsidRPr="00D135D4">
        <w:rPr>
          <w:b/>
        </w:rPr>
        <w:t xml:space="preserve">, </w:t>
      </w:r>
      <w:r w:rsidRPr="00D135D4">
        <w:rPr>
          <w:b/>
        </w:rPr>
        <w:t>irrespective of whether RIA requirements have been met, Cabinet offices facilitate the provision of the following RIA information to Cabinets</w:t>
      </w:r>
      <w:r w:rsidR="00061200" w:rsidRPr="00D135D4">
        <w:rPr>
          <w:b/>
        </w:rPr>
        <w:t>:</w:t>
      </w:r>
    </w:p>
    <w:p w:rsidR="00061200" w:rsidRPr="00D135D4" w:rsidRDefault="006B363A" w:rsidP="00061200">
      <w:pPr>
        <w:pStyle w:val="FindingBullet"/>
        <w:rPr>
          <w:b/>
        </w:rPr>
      </w:pPr>
      <w:r w:rsidRPr="00D135D4">
        <w:rPr>
          <w:b/>
        </w:rPr>
        <w:t>the</w:t>
      </w:r>
      <w:r w:rsidR="00C22FF3" w:rsidRPr="00D135D4">
        <w:rPr>
          <w:b/>
        </w:rPr>
        <w:t xml:space="preserve"> RIS for </w:t>
      </w:r>
      <w:r w:rsidRPr="00D135D4">
        <w:rPr>
          <w:b/>
        </w:rPr>
        <w:t>the</w:t>
      </w:r>
      <w:r w:rsidR="00C22FF3" w:rsidRPr="00D135D4">
        <w:rPr>
          <w:b/>
        </w:rPr>
        <w:t xml:space="preserve"> regulatory proposal (where </w:t>
      </w:r>
      <w:r w:rsidRPr="00D135D4">
        <w:rPr>
          <w:b/>
        </w:rPr>
        <w:t>one was required and was submitted by the agency)</w:t>
      </w:r>
    </w:p>
    <w:p w:rsidR="00C22FF3" w:rsidRPr="00D135D4" w:rsidRDefault="00C22FF3" w:rsidP="00061200">
      <w:pPr>
        <w:pStyle w:val="FindingBullet"/>
        <w:rPr>
          <w:b/>
        </w:rPr>
      </w:pPr>
      <w:r w:rsidRPr="00D135D4">
        <w:rPr>
          <w:b/>
        </w:rPr>
        <w:t xml:space="preserve">the regulatory oversight body’s adequacy assessment of the </w:t>
      </w:r>
      <w:r w:rsidR="007F348A" w:rsidRPr="00D135D4">
        <w:rPr>
          <w:b/>
        </w:rPr>
        <w:t xml:space="preserve">submitted </w:t>
      </w:r>
      <w:r w:rsidR="005D3E29" w:rsidRPr="00D135D4">
        <w:rPr>
          <w:b/>
        </w:rPr>
        <w:t>RIS</w:t>
      </w:r>
      <w:r w:rsidR="00251C72" w:rsidRPr="00D135D4">
        <w:rPr>
          <w:b/>
        </w:rPr>
        <w:t xml:space="preserve"> </w:t>
      </w:r>
      <w:r w:rsidR="005D3E29" w:rsidRPr="00D135D4">
        <w:rPr>
          <w:b/>
        </w:rPr>
        <w:t>(or its advice that the RIS was not completed)</w:t>
      </w:r>
      <w:r w:rsidRPr="00D135D4">
        <w:rPr>
          <w:b/>
        </w:rPr>
        <w:t>.</w:t>
      </w:r>
    </w:p>
    <w:p w:rsidR="00792535" w:rsidRDefault="00792535" w:rsidP="00F31030">
      <w:pPr>
        <w:pStyle w:val="Heading4"/>
      </w:pPr>
      <w:r>
        <w:t>How often do scrutiny committees recommend disallowance?</w:t>
      </w:r>
    </w:p>
    <w:p w:rsidR="00792535" w:rsidRDefault="003F6CC5" w:rsidP="00E85D91">
      <w:pPr>
        <w:pStyle w:val="BodyText"/>
      </w:pPr>
      <w:r>
        <w:t>S</w:t>
      </w:r>
      <w:r w:rsidR="00792535">
        <w:t xml:space="preserve">crutiny committees </w:t>
      </w:r>
      <w:r w:rsidR="00D74AB1">
        <w:t xml:space="preserve">of parliament </w:t>
      </w:r>
      <w:r w:rsidR="00792535">
        <w:t xml:space="preserve">exist in all Australian jurisdictions (except COAG) and examine </w:t>
      </w:r>
      <w:r w:rsidR="005234EE">
        <w:t xml:space="preserve">proposed </w:t>
      </w:r>
      <w:r w:rsidR="00AF35EB">
        <w:t xml:space="preserve">primary legislation and/or </w:t>
      </w:r>
      <w:r w:rsidR="00792535">
        <w:t>regulations made by the executive branch of government</w:t>
      </w:r>
      <w:r w:rsidR="000560F0">
        <w:t xml:space="preserve"> (chapter </w:t>
      </w:r>
      <w:r w:rsidR="008752C7">
        <w:t>3</w:t>
      </w:r>
      <w:r w:rsidR="000560F0">
        <w:t>)</w:t>
      </w:r>
      <w:r w:rsidR="00792535">
        <w:t xml:space="preserve">. As part of their role, scrutiny committees in </w:t>
      </w:r>
      <w:r w:rsidR="00A756CE">
        <w:t>five</w:t>
      </w:r>
      <w:r w:rsidR="00792535">
        <w:t xml:space="preserve"> jurisdictions </w:t>
      </w:r>
      <w:r w:rsidR="00A756CE">
        <w:t>can</w:t>
      </w:r>
      <w:r w:rsidR="00792535">
        <w:t xml:space="preserve"> examine whether regulations that have recently been made comply with RIA requirements</w:t>
      </w:r>
      <w:r w:rsidR="00A756CE">
        <w:t xml:space="preserve"> — New South Wales, Victoria, Queensland, Tasmania and the </w:t>
      </w:r>
      <w:r w:rsidR="006F121E">
        <w:t>ACT</w:t>
      </w:r>
      <w:r w:rsidR="00792535">
        <w:t xml:space="preserve">. This assessment by </w:t>
      </w:r>
      <w:r w:rsidR="00D74AB1">
        <w:t xml:space="preserve">parliamentary </w:t>
      </w:r>
      <w:r w:rsidR="00792535">
        <w:t>scrutiny committee</w:t>
      </w:r>
      <w:r w:rsidR="00A756CE">
        <w:t>s</w:t>
      </w:r>
      <w:r w:rsidR="00792535">
        <w:t xml:space="preserve"> </w:t>
      </w:r>
      <w:r w:rsidR="00A75272">
        <w:t xml:space="preserve">typically occurs very late in the process and </w:t>
      </w:r>
      <w:r w:rsidR="00792535">
        <w:t>follows the adequacy assessment of the RIS by the oversight body</w:t>
      </w:r>
      <w:r w:rsidR="00FF221B">
        <w:t xml:space="preserve"> </w:t>
      </w:r>
      <w:r w:rsidR="00570B09">
        <w:t>(</w:t>
      </w:r>
      <w:r w:rsidR="00FF221B">
        <w:t>where this is formally undertaken</w:t>
      </w:r>
      <w:r w:rsidR="00570B09">
        <w:t>)</w:t>
      </w:r>
      <w:r w:rsidR="00792535">
        <w:t>.</w:t>
      </w:r>
    </w:p>
    <w:p w:rsidR="00792535" w:rsidRDefault="00792535" w:rsidP="008263C9">
      <w:pPr>
        <w:pStyle w:val="BodyText"/>
      </w:pPr>
      <w:r>
        <w:t xml:space="preserve">In Victoria, after statutory rules or </w:t>
      </w:r>
      <w:r w:rsidR="0019761F">
        <w:t xml:space="preserve">subordinate </w:t>
      </w:r>
      <w:r>
        <w:t>legislative instruments are made, the Scrutiny of Acts and Regulations Committee (</w:t>
      </w:r>
      <w:proofErr w:type="spellStart"/>
      <w:r>
        <w:t>SARC</w:t>
      </w:r>
      <w:proofErr w:type="spellEnd"/>
      <w:r>
        <w:t xml:space="preserve">) must be supplied with copies of the RIS, the Victorian Competition and Efficiency Commission’s </w:t>
      </w:r>
      <w:r w:rsidR="00A40084">
        <w:t>(</w:t>
      </w:r>
      <w:proofErr w:type="spellStart"/>
      <w:r w:rsidR="00A40084">
        <w:t>VCEC’s</w:t>
      </w:r>
      <w:proofErr w:type="spellEnd"/>
      <w:r w:rsidR="00A40084">
        <w:t xml:space="preserve">) </w:t>
      </w:r>
      <w:r>
        <w:t xml:space="preserve">assessment letter for the RIS, the regulations, all public comments received during the consultation period, and the relevant agency’s response to the main issues raised in the public comments. The </w:t>
      </w:r>
      <w:r w:rsidRPr="00FA31BC">
        <w:rPr>
          <w:i/>
        </w:rPr>
        <w:t xml:space="preserve">Subordinate Legislation Act </w:t>
      </w:r>
      <w:r w:rsidR="00FB4AA2" w:rsidRPr="00FA31BC">
        <w:rPr>
          <w:i/>
        </w:rPr>
        <w:t>1994</w:t>
      </w:r>
      <w:r w:rsidR="00FB4AA2">
        <w:t xml:space="preserve"> (Vic) </w:t>
      </w:r>
      <w:r>
        <w:t xml:space="preserve">provides that, if the </w:t>
      </w:r>
      <w:proofErr w:type="spellStart"/>
      <w:r>
        <w:t>SARC</w:t>
      </w:r>
      <w:proofErr w:type="spellEnd"/>
      <w:r>
        <w:t xml:space="preserve"> </w:t>
      </w:r>
      <w:r w:rsidR="00FB4AA2">
        <w:t xml:space="preserve">believes </w:t>
      </w:r>
      <w:r>
        <w:t xml:space="preserve">that RIA processes have not been met, it may make recommendations to Parliament, including the disallowance </w:t>
      </w:r>
      <w:r w:rsidR="00FB4AA2">
        <w:t xml:space="preserve">or suspension </w:t>
      </w:r>
      <w:r>
        <w:t xml:space="preserve">of </w:t>
      </w:r>
      <w:r w:rsidR="00FB4AA2">
        <w:t xml:space="preserve">the </w:t>
      </w:r>
      <w:r>
        <w:t xml:space="preserve">regulation. As a regulation has already commenced operation by the time it comes before the </w:t>
      </w:r>
      <w:proofErr w:type="spellStart"/>
      <w:r>
        <w:t>SARC</w:t>
      </w:r>
      <w:proofErr w:type="spellEnd"/>
      <w:r>
        <w:t>, the power to recommend disallowance is only used in exceptional circumstances (</w:t>
      </w:r>
      <w:proofErr w:type="spellStart"/>
      <w:r>
        <w:t>SARC</w:t>
      </w:r>
      <w:proofErr w:type="spellEnd"/>
      <w:r>
        <w:t xml:space="preserve"> 2011</w:t>
      </w:r>
      <w:r w:rsidRPr="000C7006">
        <w:t>).</w:t>
      </w:r>
      <w:r>
        <w:t xml:space="preserve"> </w:t>
      </w:r>
    </w:p>
    <w:p w:rsidR="00FA31BC" w:rsidRDefault="00792535" w:rsidP="00D26C71">
      <w:pPr>
        <w:pStyle w:val="BodyText"/>
      </w:pPr>
      <w:r w:rsidRPr="000C7006">
        <w:t>In</w:t>
      </w:r>
      <w:r>
        <w:t xml:space="preserve"> practice, the </w:t>
      </w:r>
      <w:proofErr w:type="spellStart"/>
      <w:r>
        <w:t>SARC</w:t>
      </w:r>
      <w:proofErr w:type="spellEnd"/>
      <w:r>
        <w:t xml:space="preserve"> has indicated that, where it is considered that a </w:t>
      </w:r>
      <w:r w:rsidR="00DC7811">
        <w:t>regulation</w:t>
      </w:r>
      <w:r>
        <w:t xml:space="preserve"> can be rectified by amendment, it will usually approach the Minister privately to seek amendment rather than report to Parliament.</w:t>
      </w:r>
      <w:r w:rsidRPr="008263C9">
        <w:rPr>
          <w:rFonts w:ascii="Calibri" w:hAnsi="Calibri"/>
          <w:sz w:val="22"/>
          <w:szCs w:val="21"/>
          <w:lang w:eastAsia="en-US"/>
        </w:rPr>
        <w:t xml:space="preserve"> </w:t>
      </w:r>
      <w:r w:rsidRPr="008263C9">
        <w:t xml:space="preserve">The last </w:t>
      </w:r>
      <w:r>
        <w:t>information paper</w:t>
      </w:r>
      <w:r w:rsidRPr="008263C9">
        <w:t xml:space="preserve"> </w:t>
      </w:r>
      <w:r>
        <w:t xml:space="preserve">(which is not a formal report to Parliament) </w:t>
      </w:r>
      <w:r w:rsidRPr="008263C9">
        <w:t xml:space="preserve">to </w:t>
      </w:r>
      <w:r>
        <w:t xml:space="preserve">Members of </w:t>
      </w:r>
      <w:r w:rsidRPr="008263C9">
        <w:t xml:space="preserve">Parliament </w:t>
      </w:r>
      <w:r>
        <w:t xml:space="preserve">and to the public </w:t>
      </w:r>
      <w:r w:rsidRPr="008263C9">
        <w:t xml:space="preserve">from </w:t>
      </w:r>
      <w:r w:rsidR="008A1872">
        <w:t xml:space="preserve">the </w:t>
      </w:r>
      <w:proofErr w:type="spellStart"/>
      <w:r w:rsidRPr="008263C9">
        <w:t>SARC</w:t>
      </w:r>
      <w:proofErr w:type="spellEnd"/>
      <w:r>
        <w:t xml:space="preserve"> on a RIA issue </w:t>
      </w:r>
      <w:r w:rsidR="00A73D03">
        <w:t xml:space="preserve">was </w:t>
      </w:r>
      <w:r>
        <w:t>in 1996 — in relation</w:t>
      </w:r>
      <w:r w:rsidRPr="008263C9">
        <w:t xml:space="preserve"> to </w:t>
      </w:r>
      <w:r>
        <w:t>Fisheries (Abalone) Regulations</w:t>
      </w:r>
      <w:r w:rsidRPr="008263C9">
        <w:t xml:space="preserve">. </w:t>
      </w:r>
      <w:r>
        <w:t xml:space="preserve">While </w:t>
      </w:r>
      <w:r w:rsidR="008A1872">
        <w:t xml:space="preserve">the </w:t>
      </w:r>
      <w:proofErr w:type="spellStart"/>
      <w:r w:rsidRPr="008263C9">
        <w:t>SARC</w:t>
      </w:r>
      <w:proofErr w:type="spellEnd"/>
      <w:r w:rsidRPr="008263C9">
        <w:t xml:space="preserve"> </w:t>
      </w:r>
      <w:r>
        <w:t>did not move a motion of</w:t>
      </w:r>
      <w:r w:rsidRPr="008263C9">
        <w:t xml:space="preserve"> disallowance</w:t>
      </w:r>
      <w:r>
        <w:t xml:space="preserve"> in </w:t>
      </w:r>
      <w:r w:rsidR="00A73D03">
        <w:t xml:space="preserve">that </w:t>
      </w:r>
      <w:r>
        <w:t xml:space="preserve">case, it was critical of some aspects of the </w:t>
      </w:r>
      <w:r w:rsidR="00A73D03">
        <w:t xml:space="preserve">RIS </w:t>
      </w:r>
      <w:r>
        <w:t>analysis (</w:t>
      </w:r>
      <w:proofErr w:type="spellStart"/>
      <w:r>
        <w:t>SARC</w:t>
      </w:r>
      <w:proofErr w:type="spellEnd"/>
      <w:r>
        <w:t xml:space="preserve"> 1996). </w:t>
      </w:r>
    </w:p>
    <w:p w:rsidR="00792535" w:rsidRDefault="00792535" w:rsidP="00D26C71">
      <w:pPr>
        <w:pStyle w:val="BodyText"/>
      </w:pPr>
      <w:r>
        <w:lastRenderedPageBreak/>
        <w:t>Box 8.</w:t>
      </w:r>
      <w:r w:rsidR="00191F48">
        <w:t>2</w:t>
      </w:r>
      <w:r>
        <w:t xml:space="preserve"> provides some further examples of how </w:t>
      </w:r>
      <w:r w:rsidR="00A73D03">
        <w:t xml:space="preserve">the </w:t>
      </w:r>
      <w:proofErr w:type="spellStart"/>
      <w:r w:rsidR="00A73D03">
        <w:t>SARC</w:t>
      </w:r>
      <w:proofErr w:type="spellEnd"/>
      <w:r w:rsidR="00A73D03">
        <w:t xml:space="preserve"> </w:t>
      </w:r>
      <w:r>
        <w:t xml:space="preserve">has carried out its </w:t>
      </w:r>
      <w:r w:rsidR="00A73D03">
        <w:t xml:space="preserve">RIA </w:t>
      </w:r>
      <w:r>
        <w:t xml:space="preserve">scrutiny role and the outcomes that resulted from its interventions. </w:t>
      </w:r>
      <w:r w:rsidR="008A1872">
        <w:t>D</w:t>
      </w:r>
      <w:r w:rsidR="008972CF">
        <w:t xml:space="preserve">espite its efforts in </w:t>
      </w:r>
      <w:r w:rsidR="008A1872">
        <w:t xml:space="preserve">identifying and </w:t>
      </w:r>
      <w:r w:rsidR="008972CF">
        <w:t xml:space="preserve">exposing problems with RIA compliance, </w:t>
      </w:r>
      <w:r w:rsidR="008A1872">
        <w:t xml:space="preserve">the </w:t>
      </w:r>
      <w:proofErr w:type="spellStart"/>
      <w:r w:rsidR="008A1872">
        <w:t>SARC</w:t>
      </w:r>
      <w:proofErr w:type="spellEnd"/>
      <w:r>
        <w:t xml:space="preserve"> has </w:t>
      </w:r>
      <w:r w:rsidR="008972CF">
        <w:t>had little impact on the form of the final regulations</w:t>
      </w:r>
      <w:r>
        <w:t xml:space="preserve">. </w:t>
      </w:r>
    </w:p>
    <w:p w:rsidR="00A4391A" w:rsidRDefault="00A4391A" w:rsidP="00A4391A">
      <w:pPr>
        <w:pStyle w:val="BodyText"/>
      </w:pPr>
      <w:r>
        <w:t xml:space="preserve">In a similar fashion to the Victorian Parliament’s </w:t>
      </w:r>
      <w:proofErr w:type="spellStart"/>
      <w:r>
        <w:t>SARC</w:t>
      </w:r>
      <w:proofErr w:type="spellEnd"/>
      <w:r>
        <w:t xml:space="preserve">, the New South </w:t>
      </w:r>
      <w:r w:rsidR="009336B7">
        <w:t xml:space="preserve">Wales </w:t>
      </w:r>
      <w:r>
        <w:t xml:space="preserve">Legislation Review Committee examines and reports on compliance with </w:t>
      </w:r>
      <w:r w:rsidRPr="00FA31BC">
        <w:rPr>
          <w:i/>
        </w:rPr>
        <w:t xml:space="preserve">Subordinate Legislation Act </w:t>
      </w:r>
      <w:r w:rsidR="00A73D03" w:rsidRPr="00FA31BC">
        <w:rPr>
          <w:i/>
        </w:rPr>
        <w:t>1989</w:t>
      </w:r>
      <w:r w:rsidR="00A73D03">
        <w:t xml:space="preserve"> (NSW) </w:t>
      </w:r>
      <w:r>
        <w:t xml:space="preserve">requirements. </w:t>
      </w:r>
      <w:r w:rsidR="00A73D03">
        <w:t>As in Victoria</w:t>
      </w:r>
      <w:r>
        <w:t>, the power to recommend disallowance is rarely used in practice in New South Wales:</w:t>
      </w:r>
    </w:p>
    <w:p w:rsidR="00A4391A" w:rsidRDefault="00A4391A" w:rsidP="00A4391A">
      <w:pPr>
        <w:pStyle w:val="Quote"/>
      </w:pPr>
      <w:r>
        <w:t>The Committee is constrained in its ability to consider regulatory impacts due to its size and expertise and does not assess compliance with … RIS requirements in any detail. The Committee provides advice to Parliament on these matters infrequently and Parliament has not disallowed a Regulation on these grounds in recent years. (</w:t>
      </w:r>
      <w:r w:rsidR="006C446A">
        <w:t>Better Regulation Office (</w:t>
      </w:r>
      <w:r>
        <w:t>BRO</w:t>
      </w:r>
      <w:r w:rsidR="006C446A">
        <w:t>)</w:t>
      </w:r>
      <w:r>
        <w:t xml:space="preserve"> 2011, p. 33)</w:t>
      </w:r>
    </w:p>
    <w:p w:rsidR="00A4391A" w:rsidRDefault="00A4391A" w:rsidP="00D26C71">
      <w:pPr>
        <w:pStyle w:val="BodyText"/>
      </w:pPr>
      <w:r>
        <w:t xml:space="preserve">In Tasmania, the </w:t>
      </w:r>
      <w:r w:rsidRPr="00284945">
        <w:rPr>
          <w:i/>
        </w:rPr>
        <w:t xml:space="preserve">Subordinate Legislation Act </w:t>
      </w:r>
      <w:r w:rsidR="00FA31BC" w:rsidRPr="00284945">
        <w:rPr>
          <w:i/>
        </w:rPr>
        <w:t>1992</w:t>
      </w:r>
      <w:r w:rsidR="00FA31BC">
        <w:t xml:space="preserve"> (</w:t>
      </w:r>
      <w:proofErr w:type="spellStart"/>
      <w:r w:rsidR="00FA31BC">
        <w:t>Tas</w:t>
      </w:r>
      <w:proofErr w:type="spellEnd"/>
      <w:r w:rsidR="00FA31BC">
        <w:t xml:space="preserve">) </w:t>
      </w:r>
      <w:r>
        <w:t>requires that where a RIS is required for new regulation</w:t>
      </w:r>
      <w:r w:rsidR="00A73D03">
        <w:t>,</w:t>
      </w:r>
      <w:r>
        <w:t xml:space="preserve"> a copy is sent to the Subordinate Legislation Committee. However, the Subordinate Legislation Committee indicated that it ‘is not able to assess whether agencies meet all the [RIA] requirements under the template’ (sub.  3, p. 4). The Committee usually accepts the view of the Tasmanian oversight body (Economic Reform Unit) in relation to RIS adequacy unless particular issues have arisen through the public consultation process. In any event, the Committee has not recommended disallowance for a failure to comply with RIA requirements, at least since 2007 (Subordinate Legislation Committee, pers. comm., 21 May 2012).</w:t>
      </w:r>
    </w:p>
    <w:p w:rsidR="00E22532" w:rsidRDefault="00E22532" w:rsidP="00E22532">
      <w:pPr>
        <w:pStyle w:val="BodyText"/>
      </w:pPr>
      <w:r>
        <w:t xml:space="preserve">In Queensland, the former Scrutiny of Legislation Committee appears to have never recommended disallowance where there were RIS compliance issues or where it considered that a RIS should have been prepared for a regulation (but was not). However, the Committee regularly commented in its annual reports on the small number of </w:t>
      </w:r>
      <w:proofErr w:type="spellStart"/>
      <w:r>
        <w:t>RISs</w:t>
      </w:r>
      <w:proofErr w:type="spellEnd"/>
      <w:r>
        <w:t xml:space="preserve"> prepared in Queensland and the narrow interpretation of the threshold requirement for conducting a RIS. In addition, the Committee completed a number of individual reports on subordinate legislation where compliance with RIS requirements had been raised by other parliamentarians (not members of the Committee). As outlined in chapter 3, the Committee ceased on 30 June 2011, as part of reforms to Queensland’s Parliamentary committee system.</w:t>
      </w:r>
    </w:p>
    <w:p w:rsidR="00E22532" w:rsidRDefault="00E22532" w:rsidP="00D26C71">
      <w:pPr>
        <w:pStyle w:val="BodyText"/>
      </w:pPr>
      <w:r>
        <w:t>It appears that where parliamentary scrutiny committees have been tasked with ensuring RIA requirements for legislation have been met, they may play a useful information role in identifying and exposing RIA problems, but are largely unsuccessful in changing regulation.</w:t>
      </w:r>
    </w:p>
    <w:p w:rsidR="00792535" w:rsidRDefault="0079253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92535">
        <w:tc>
          <w:tcPr>
            <w:tcW w:w="8771" w:type="dxa"/>
            <w:tcBorders>
              <w:top w:val="single" w:sz="6" w:space="0" w:color="auto"/>
              <w:bottom w:val="nil"/>
            </w:tcBorders>
          </w:tcPr>
          <w:p w:rsidR="00792535" w:rsidRDefault="00792535" w:rsidP="00FB4AA2">
            <w:pPr>
              <w:pStyle w:val="BoxTitle"/>
            </w:pPr>
            <w:r>
              <w:rPr>
                <w:b w:val="0"/>
              </w:rPr>
              <w:t xml:space="preserve">Box </w:t>
            </w:r>
            <w:r w:rsidR="00FC4C5E" w:rsidRPr="00FC4C5E">
              <w:rPr>
                <w:b w:val="0"/>
              </w:rPr>
              <w:t>8.</w:t>
            </w:r>
            <w:r w:rsidR="00FC4C5E">
              <w:rPr>
                <w:b w:val="0"/>
                <w:noProof/>
              </w:rPr>
              <w:t>2</w:t>
            </w:r>
            <w:r>
              <w:tab/>
              <w:t>Victoria’s Scrutiny of Acts and Regulations Committee</w:t>
            </w:r>
            <w:r w:rsidR="00FB4AA2">
              <w:t>:</w:t>
            </w:r>
            <w:r w:rsidR="00FB4AA2">
              <w:br/>
            </w:r>
            <w:r>
              <w:t>Case Studies</w:t>
            </w:r>
          </w:p>
        </w:tc>
      </w:tr>
      <w:tr w:rsidR="00792535">
        <w:trPr>
          <w:cantSplit/>
        </w:trPr>
        <w:tc>
          <w:tcPr>
            <w:tcW w:w="8771" w:type="dxa"/>
            <w:tcBorders>
              <w:top w:val="nil"/>
              <w:bottom w:val="nil"/>
            </w:tcBorders>
          </w:tcPr>
          <w:p w:rsidR="00792535" w:rsidRPr="00284945" w:rsidRDefault="00792535" w:rsidP="0062182F">
            <w:pPr>
              <w:pStyle w:val="BoxHeading1"/>
              <w:rPr>
                <w:b w:val="0"/>
                <w:i/>
              </w:rPr>
            </w:pPr>
            <w:r w:rsidRPr="00284945">
              <w:rPr>
                <w:b w:val="0"/>
                <w:i/>
              </w:rPr>
              <w:t>Country Fire Authority Regulations 2004</w:t>
            </w:r>
          </w:p>
          <w:p w:rsidR="00792535" w:rsidRDefault="00792535" w:rsidP="005E0EDF">
            <w:pPr>
              <w:pStyle w:val="Box"/>
            </w:pPr>
            <w:r>
              <w:t xml:space="preserve">The Regulation Review Subcommittee (which is a subcommittee of the </w:t>
            </w:r>
            <w:proofErr w:type="spellStart"/>
            <w:r>
              <w:t>SARC</w:t>
            </w:r>
            <w:proofErr w:type="spellEnd"/>
            <w:r>
              <w:t>) were critical that the RIS failed to address alternatives and wrote to the Minister for Police and Emergency Services seeking rectification. The Minister agreed to prepare a further document to be incorporated in the RIS which considered alternatives. Following receipt of this document the Subcommittee approved the regulations.</w:t>
            </w:r>
          </w:p>
          <w:p w:rsidR="00792535" w:rsidRPr="000777A0" w:rsidRDefault="00792535" w:rsidP="00976F73">
            <w:pPr>
              <w:pStyle w:val="BoxHeading1"/>
              <w:rPr>
                <w:b w:val="0"/>
                <w:i/>
              </w:rPr>
            </w:pPr>
            <w:r w:rsidRPr="000777A0">
              <w:rPr>
                <w:b w:val="0"/>
                <w:i/>
              </w:rPr>
              <w:t>Firearms (Search Powers) Regulations 2003</w:t>
            </w:r>
          </w:p>
          <w:p w:rsidR="00792535" w:rsidRDefault="00792535" w:rsidP="008158AE">
            <w:pPr>
              <w:pStyle w:val="Box"/>
            </w:pPr>
            <w:r>
              <w:t>The Regulation Review Subcommittee voiced concerns that the RIS contained no cost–benefit analysis and no statement of alternative means of achieving the objectives of the regulations and wrote to the Minister for Police and Emergency Services seeking rectification. The Minister advised that because the objectives of the regulation and the manner in which they were to be achieved had already been determined by Parliament through primary legislation it was not considered appropriate to perform a cost</w:t>
            </w:r>
            <w:r w:rsidR="00D74AB1">
              <w:t>-</w:t>
            </w:r>
            <w:r>
              <w:t>benefit analysis or examine alternatives in the RIS. The Subcommittee was satisfied with the Minister’s response.</w:t>
            </w:r>
          </w:p>
          <w:p w:rsidR="00792535" w:rsidRPr="000777A0" w:rsidRDefault="00792535" w:rsidP="008158AE">
            <w:pPr>
              <w:pStyle w:val="BoxHeading1"/>
              <w:rPr>
                <w:b w:val="0"/>
                <w:i/>
              </w:rPr>
            </w:pPr>
            <w:r w:rsidRPr="000777A0">
              <w:rPr>
                <w:b w:val="0"/>
                <w:i/>
              </w:rPr>
              <w:t>Water (Groundwater) Regulations 2002</w:t>
            </w:r>
          </w:p>
          <w:p w:rsidR="00792535" w:rsidRDefault="00792535" w:rsidP="008158AE">
            <w:pPr>
              <w:pStyle w:val="Box"/>
            </w:pPr>
            <w:r>
              <w:t>The RIS did not contain any discussion of regulatory or non-regulatory options for achieving the objectives. The Regulation Review Subcommittee wrote to the Minister indicating its concerns and highlighting examples of possible alternatives which could have been considered. It also sought advice as to whether there had been any consultation with the Victorian Farmers Federation.</w:t>
            </w:r>
          </w:p>
          <w:p w:rsidR="00792535" w:rsidRDefault="00792535" w:rsidP="008158AE">
            <w:pPr>
              <w:pStyle w:val="Box"/>
            </w:pPr>
            <w:r>
              <w:t>The Minister indicated that the Subcommittee’s comments concerning the discussion of regulatory and non-regulatory alternatives had been noted. The Minister also confirmed that consultation had taken place with the Victorian Farmers Federation and that it had agreed that the impact</w:t>
            </w:r>
            <w:r w:rsidR="002B0A13">
              <w:t>s</w:t>
            </w:r>
            <w:r>
              <w:t xml:space="preserve"> of the regulations on farmers were minimal. The Subcommittee was satisfied with the Minister’s response.</w:t>
            </w:r>
          </w:p>
          <w:p w:rsidR="00792535" w:rsidRPr="000777A0" w:rsidRDefault="00792535" w:rsidP="00D8052B">
            <w:pPr>
              <w:pStyle w:val="BoxHeading1"/>
              <w:rPr>
                <w:b w:val="0"/>
                <w:i/>
              </w:rPr>
            </w:pPr>
            <w:r w:rsidRPr="000777A0">
              <w:rPr>
                <w:b w:val="0"/>
                <w:i/>
              </w:rPr>
              <w:t>Minerals Resource Development Regulations 2002</w:t>
            </w:r>
          </w:p>
          <w:p w:rsidR="00792535" w:rsidRDefault="00792535" w:rsidP="00D8052B">
            <w:pPr>
              <w:pStyle w:val="Box"/>
            </w:pPr>
            <w:r>
              <w:t>The Regulation Review Subcommittee found the RIS which accompanied these regulations was unnecessarily complex and confusing</w:t>
            </w:r>
            <w:r w:rsidR="002B0A13">
              <w:t>,</w:t>
            </w:r>
            <w:r>
              <w:t xml:space="preserve"> making it difficult to understand the changes introduced and the impact of those changes. The Subcommittee wrote to the Minister highlighting its concerns.</w:t>
            </w:r>
          </w:p>
          <w:p w:rsidR="00792535" w:rsidRPr="00976F73" w:rsidRDefault="00792535" w:rsidP="004B687B">
            <w:pPr>
              <w:pStyle w:val="Box"/>
            </w:pPr>
            <w:r>
              <w:t xml:space="preserve">The Minister indicated that all issues raised by </w:t>
            </w:r>
            <w:r w:rsidR="00A73D03">
              <w:t xml:space="preserve">the </w:t>
            </w:r>
            <w:r>
              <w:t xml:space="preserve">Subcommittee had been drawn to the attention of appropriate officers within the </w:t>
            </w:r>
            <w:r w:rsidR="004B687B">
              <w:t xml:space="preserve">Department </w:t>
            </w:r>
            <w:r>
              <w:t xml:space="preserve">and assured the Subcommittee that future </w:t>
            </w:r>
            <w:proofErr w:type="spellStart"/>
            <w:r>
              <w:t>RIS</w:t>
            </w:r>
            <w:r w:rsidR="009336B7">
              <w:t>s</w:t>
            </w:r>
            <w:proofErr w:type="spellEnd"/>
            <w:r>
              <w:t xml:space="preserve"> prepared by his </w:t>
            </w:r>
            <w:r w:rsidR="00A75272">
              <w:t>D</w:t>
            </w:r>
            <w:r>
              <w:t xml:space="preserve">epartment </w:t>
            </w:r>
            <w:r w:rsidR="001937B2">
              <w:t>would</w:t>
            </w:r>
            <w:r>
              <w:t xml:space="preserve"> be clear and easy to understand so that members of the public can ‘understand and comment on regulatory proposals’. The Subcommittee was satisfied with the Minister’s response.</w:t>
            </w:r>
          </w:p>
        </w:tc>
      </w:tr>
      <w:tr w:rsidR="00792535">
        <w:trPr>
          <w:cantSplit/>
        </w:trPr>
        <w:tc>
          <w:tcPr>
            <w:tcW w:w="8771" w:type="dxa"/>
            <w:tcBorders>
              <w:top w:val="nil"/>
              <w:bottom w:val="nil"/>
            </w:tcBorders>
          </w:tcPr>
          <w:p w:rsidR="00792535" w:rsidRDefault="00792535" w:rsidP="00B37D60">
            <w:pPr>
              <w:pStyle w:val="BoxSource"/>
            </w:pPr>
            <w:r>
              <w:rPr>
                <w:i/>
              </w:rPr>
              <w:t>Source</w:t>
            </w:r>
            <w:r w:rsidR="004B687B">
              <w:rPr>
                <w:i/>
              </w:rPr>
              <w:t>s</w:t>
            </w:r>
            <w:r w:rsidRPr="00167F06">
              <w:t xml:space="preserve">: </w:t>
            </w:r>
            <w:proofErr w:type="spellStart"/>
            <w:r>
              <w:t>SARC</w:t>
            </w:r>
            <w:proofErr w:type="spellEnd"/>
            <w:r>
              <w:t xml:space="preserve"> (2003</w:t>
            </w:r>
            <w:r w:rsidR="00680076">
              <w:t>,</w:t>
            </w:r>
            <w:r>
              <w:t xml:space="preserve"> 2004</w:t>
            </w:r>
            <w:r w:rsidR="00680076">
              <w:t>,</w:t>
            </w:r>
            <w:r>
              <w:t xml:space="preserve"> 2005).</w:t>
            </w:r>
          </w:p>
        </w:tc>
      </w:tr>
      <w:tr w:rsidR="00792535">
        <w:trPr>
          <w:cantSplit/>
        </w:trPr>
        <w:tc>
          <w:tcPr>
            <w:tcW w:w="8771" w:type="dxa"/>
            <w:tcBorders>
              <w:top w:val="nil"/>
              <w:bottom w:val="single" w:sz="6" w:space="0" w:color="auto"/>
            </w:tcBorders>
          </w:tcPr>
          <w:p w:rsidR="00792535" w:rsidRDefault="00792535">
            <w:pPr>
              <w:pStyle w:val="Box"/>
              <w:spacing w:before="0" w:line="120" w:lineRule="exact"/>
            </w:pPr>
          </w:p>
        </w:tc>
      </w:tr>
      <w:tr w:rsidR="00792535">
        <w:tc>
          <w:tcPr>
            <w:tcW w:w="8771" w:type="dxa"/>
            <w:tcBorders>
              <w:top w:val="nil"/>
              <w:left w:val="nil"/>
              <w:bottom w:val="nil"/>
              <w:right w:val="nil"/>
            </w:tcBorders>
          </w:tcPr>
          <w:p w:rsidR="00792535" w:rsidRDefault="00792535">
            <w:pPr>
              <w:pStyle w:val="Box"/>
              <w:keepNext w:val="0"/>
              <w:spacing w:before="60" w:after="60" w:line="80" w:lineRule="exact"/>
              <w:rPr>
                <w:b/>
                <w:color w:val="FF00FF"/>
                <w:sz w:val="14"/>
              </w:rPr>
            </w:pPr>
          </w:p>
        </w:tc>
      </w:tr>
    </w:tbl>
    <w:p w:rsidR="00F21CE1" w:rsidRDefault="00F21CE1" w:rsidP="00F21CE1">
      <w:pPr>
        <w:pStyle w:val="Heading3"/>
      </w:pPr>
      <w:r>
        <w:lastRenderedPageBreak/>
        <w:t>Effectiveness of post</w:t>
      </w:r>
      <w:r w:rsidR="00B14630">
        <w:t xml:space="preserve"> </w:t>
      </w:r>
      <w:r>
        <w:t xml:space="preserve">implementation reviews as a </w:t>
      </w:r>
      <w:r w:rsidR="009336B7">
        <w:t xml:space="preserve">consequence </w:t>
      </w:r>
      <w:r w:rsidR="007635B9">
        <w:t>for</w:t>
      </w:r>
      <w:r w:rsidR="009336B7">
        <w:t xml:space="preserve"> non-compliance</w:t>
      </w:r>
    </w:p>
    <w:p w:rsidR="00F21CE1" w:rsidRDefault="00F21CE1" w:rsidP="00F21CE1">
      <w:pPr>
        <w:pStyle w:val="BodyText"/>
      </w:pPr>
      <w:r>
        <w:t xml:space="preserve">A number of jurisdictions have a further </w:t>
      </w:r>
      <w:r w:rsidR="009336B7">
        <w:t>consequence</w:t>
      </w:r>
      <w:r>
        <w:t xml:space="preserve"> in place, in the form of a post implementation review (</w:t>
      </w:r>
      <w:proofErr w:type="spellStart"/>
      <w:r>
        <w:t>PIR</w:t>
      </w:r>
      <w:proofErr w:type="spellEnd"/>
      <w:r>
        <w:t xml:space="preserve">) in the case of the Commonwealth, Queensland and Western Australia and a ‘late’ RIS, in the case of COAG, </w:t>
      </w:r>
      <w:r w:rsidR="00446F43">
        <w:t xml:space="preserve">New South Wales, </w:t>
      </w:r>
      <w:r>
        <w:t>Victoria</w:t>
      </w:r>
      <w:r w:rsidR="00C843AD">
        <w:t xml:space="preserve"> and</w:t>
      </w:r>
      <w:r>
        <w:t xml:space="preserve"> South Australia. </w:t>
      </w:r>
      <w:r w:rsidR="00621CC1">
        <w:t>T</w:t>
      </w:r>
      <w:r>
        <w:t xml:space="preserve">he circumstances for triggering </w:t>
      </w:r>
      <w:proofErr w:type="spellStart"/>
      <w:r>
        <w:t>PIRs</w:t>
      </w:r>
      <w:proofErr w:type="spellEnd"/>
      <w:r>
        <w:t xml:space="preserve">/late </w:t>
      </w:r>
      <w:proofErr w:type="spellStart"/>
      <w:r>
        <w:t>RISs</w:t>
      </w:r>
      <w:proofErr w:type="spellEnd"/>
      <w:r>
        <w:t xml:space="preserve"> differ </w:t>
      </w:r>
      <w:r w:rsidR="00621CC1">
        <w:t>between</w:t>
      </w:r>
      <w:r>
        <w:t xml:space="preserve"> jurisdictions</w:t>
      </w:r>
      <w:r w:rsidR="00B5097B">
        <w:t xml:space="preserve"> and are discussed in chapter 9.</w:t>
      </w:r>
    </w:p>
    <w:p w:rsidR="00FA3E84" w:rsidRDefault="00C7632A" w:rsidP="00E2202E">
      <w:pPr>
        <w:pStyle w:val="BodyText"/>
      </w:pPr>
      <w:r>
        <w:t>A</w:t>
      </w:r>
      <w:r w:rsidR="009C5F0F">
        <w:t>n Australian Government</w:t>
      </w:r>
      <w:r w:rsidR="00C62BF8">
        <w:t xml:space="preserve"> </w:t>
      </w:r>
      <w:proofErr w:type="spellStart"/>
      <w:r w:rsidR="00792535">
        <w:t>PIR</w:t>
      </w:r>
      <w:proofErr w:type="spellEnd"/>
      <w:r w:rsidR="00792535">
        <w:t xml:space="preserve"> is a consequence of not </w:t>
      </w:r>
      <w:r w:rsidR="00790DB4">
        <w:t>completing</w:t>
      </w:r>
      <w:r w:rsidR="00792535">
        <w:t xml:space="preserve"> a</w:t>
      </w:r>
      <w:r w:rsidR="00790DB4">
        <w:t>n adequate</w:t>
      </w:r>
      <w:r w:rsidR="00792535">
        <w:t xml:space="preserve"> RIS irrespective of whether a proposal is non-compliant or compliant </w:t>
      </w:r>
      <w:r w:rsidR="00AB775F">
        <w:t>(</w:t>
      </w:r>
      <w:r w:rsidR="000B3AED">
        <w:t xml:space="preserve">that is, </w:t>
      </w:r>
      <w:r w:rsidR="00AB775F">
        <w:t xml:space="preserve">where a Prime Minister’s exemption </w:t>
      </w:r>
      <w:r w:rsidR="00557231">
        <w:t xml:space="preserve">is </w:t>
      </w:r>
      <w:r w:rsidR="00AB775F">
        <w:t xml:space="preserve">granted) </w:t>
      </w:r>
      <w:r w:rsidR="00792535">
        <w:t xml:space="preserve">with the Australian Government’s best practice regulation framework. </w:t>
      </w:r>
      <w:r w:rsidR="00621CC1">
        <w:t>Similarly</w:t>
      </w:r>
      <w:r w:rsidR="00792535">
        <w:t xml:space="preserve">, </w:t>
      </w:r>
      <w:r w:rsidR="00FA3E84">
        <w:t xml:space="preserve">Queensland </w:t>
      </w:r>
      <w:proofErr w:type="spellStart"/>
      <w:r w:rsidR="00FA3E84">
        <w:t>PIRs</w:t>
      </w:r>
      <w:proofErr w:type="spellEnd"/>
      <w:r w:rsidR="00792535">
        <w:t xml:space="preserve"> relate to both non-compliant (no </w:t>
      </w:r>
      <w:r w:rsidR="006C446A">
        <w:t>regulatory assessment statement (RAS)</w:t>
      </w:r>
      <w:r w:rsidR="00792535">
        <w:t xml:space="preserve">) and compliant proposals (where a Treasurer’s exemption was granted) (Queensland </w:t>
      </w:r>
      <w:r w:rsidR="008B4F95">
        <w:t>Treasury</w:t>
      </w:r>
      <w:r w:rsidR="00792535">
        <w:t xml:space="preserve"> 2010). However, there is no requirement that a </w:t>
      </w:r>
      <w:proofErr w:type="spellStart"/>
      <w:r w:rsidR="00792535">
        <w:t>PIR</w:t>
      </w:r>
      <w:proofErr w:type="spellEnd"/>
      <w:r w:rsidR="00792535">
        <w:t xml:space="preserve"> be conducted where a RAS is assessed as </w:t>
      </w:r>
      <w:r w:rsidR="0033253E">
        <w:t xml:space="preserve">not </w:t>
      </w:r>
      <w:r w:rsidR="00792535">
        <w:t xml:space="preserve">adequate (another type of non-compliant proposal). </w:t>
      </w:r>
      <w:proofErr w:type="spellStart"/>
      <w:r w:rsidR="007B4921">
        <w:t>PIRs</w:t>
      </w:r>
      <w:proofErr w:type="spellEnd"/>
      <w:r w:rsidR="004D4234">
        <w:t xml:space="preserve"> i</w:t>
      </w:r>
      <w:r w:rsidR="00FA3E84">
        <w:t xml:space="preserve">n Western Australia are required for Treasurer’s Exemptions </w:t>
      </w:r>
      <w:r w:rsidR="004D4234">
        <w:t xml:space="preserve">(chapter </w:t>
      </w:r>
      <w:r w:rsidR="0023350A">
        <w:t>9</w:t>
      </w:r>
      <w:r w:rsidR="004D4234">
        <w:t>)</w:t>
      </w:r>
      <w:r w:rsidR="009311F7">
        <w:t>,</w:t>
      </w:r>
      <w:r w:rsidR="004D4234">
        <w:t xml:space="preserve"> </w:t>
      </w:r>
      <w:r w:rsidR="00FA3E84">
        <w:t xml:space="preserve">but not for </w:t>
      </w:r>
      <w:r w:rsidR="00170A08">
        <w:t xml:space="preserve">those </w:t>
      </w:r>
      <w:r w:rsidR="00FA3E84">
        <w:t>proposals that do not comply with RIA requirements</w:t>
      </w:r>
      <w:r w:rsidR="004D4234">
        <w:t xml:space="preserve"> (WA </w:t>
      </w:r>
      <w:r w:rsidR="00E5351D">
        <w:t>Treasury</w:t>
      </w:r>
      <w:r w:rsidR="004D4234">
        <w:t xml:space="preserve"> </w:t>
      </w:r>
      <w:proofErr w:type="spellStart"/>
      <w:r w:rsidR="004D4234">
        <w:t>2010</w:t>
      </w:r>
      <w:r w:rsidR="001341AB">
        <w:t>a</w:t>
      </w:r>
      <w:proofErr w:type="spellEnd"/>
      <w:r w:rsidR="004D4234">
        <w:t>)</w:t>
      </w:r>
      <w:r w:rsidR="0086409A">
        <w:t>.</w:t>
      </w:r>
    </w:p>
    <w:p w:rsidR="004D4234" w:rsidRDefault="00DE52E4" w:rsidP="00E2202E">
      <w:pPr>
        <w:pStyle w:val="BodyText"/>
      </w:pPr>
      <w:r>
        <w:t xml:space="preserve">For COAG, a late RIS may occur in emergency situations where there is no time to prepare </w:t>
      </w:r>
      <w:r w:rsidR="00154E59">
        <w:t>a</w:t>
      </w:r>
      <w:r>
        <w:t xml:space="preserve"> RIS </w:t>
      </w:r>
      <w:r w:rsidR="00154E59">
        <w:t>before the regulation comes into effect</w:t>
      </w:r>
      <w:r>
        <w:t xml:space="preserve">. </w:t>
      </w:r>
      <w:r w:rsidR="00154E59">
        <w:t>The Chair of the Ministerial Council must write to the Prime Minister to obtain agreement to waive the need for a RIS</w:t>
      </w:r>
      <w:r w:rsidR="00154E59" w:rsidRPr="00154E59">
        <w:t xml:space="preserve"> </w:t>
      </w:r>
      <w:r w:rsidR="00154E59">
        <w:t xml:space="preserve">before making the regulation. </w:t>
      </w:r>
      <w:r w:rsidR="00D06E56">
        <w:t>In Victoria</w:t>
      </w:r>
      <w:r w:rsidR="00621CC1">
        <w:t>,</w:t>
      </w:r>
      <w:r w:rsidR="00D06E56">
        <w:t xml:space="preserve"> a late RIS is required for Premier’s exemptions in relation to subordinate legislation. However, a late </w:t>
      </w:r>
      <w:r w:rsidR="006C446A">
        <w:t>business impact assessment (</w:t>
      </w:r>
      <w:r w:rsidR="00D06E56">
        <w:t>BIA</w:t>
      </w:r>
      <w:r w:rsidR="006C446A">
        <w:t>)</w:t>
      </w:r>
      <w:r w:rsidR="00D06E56">
        <w:t xml:space="preserve"> is not required for a Premier’s exemption in relation to primary legislation (Victorian </w:t>
      </w:r>
      <w:r w:rsidR="00823415" w:rsidRPr="0020547D">
        <w:t>Department of Treasury and Finance</w:t>
      </w:r>
      <w:r w:rsidR="00D06E56">
        <w:t xml:space="preserve"> </w:t>
      </w:r>
      <w:proofErr w:type="spellStart"/>
      <w:r w:rsidR="00D06E56">
        <w:t>2011a</w:t>
      </w:r>
      <w:proofErr w:type="spellEnd"/>
      <w:r w:rsidR="002E490E">
        <w:t>,</w:t>
      </w:r>
      <w:r w:rsidR="00D06E56">
        <w:t xml:space="preserve"> </w:t>
      </w:r>
      <w:proofErr w:type="spellStart"/>
      <w:r w:rsidR="00D06E56">
        <w:t>2011b</w:t>
      </w:r>
      <w:proofErr w:type="spellEnd"/>
      <w:r w:rsidR="00D06E56">
        <w:t>).</w:t>
      </w:r>
      <w:r w:rsidR="00621CC1">
        <w:t xml:space="preserve"> </w:t>
      </w:r>
      <w:r w:rsidR="004D4234">
        <w:t>In South Australia</w:t>
      </w:r>
      <w:r w:rsidR="00621CC1">
        <w:t>,</w:t>
      </w:r>
      <w:r w:rsidR="004D4234">
        <w:t xml:space="preserve"> the requirement to prepare a RIS in advance of Cabinet approval may be waived for proposals which require urgent implementation.</w:t>
      </w:r>
      <w:r w:rsidR="00B20949">
        <w:t xml:space="preserve"> In these cases a </w:t>
      </w:r>
      <w:r w:rsidR="00EE2F8A">
        <w:t>late RIS is prepared:</w:t>
      </w:r>
    </w:p>
    <w:p w:rsidR="00EE2F8A" w:rsidRDefault="00EE2F8A" w:rsidP="00EE2F8A">
      <w:pPr>
        <w:pStyle w:val="Quote"/>
      </w:pPr>
      <w:r>
        <w:t xml:space="preserve">… agencies must prepare a RIS within 12 months of making the regulation and Cabinet should be asked to formally note the emergency nature of the proposal and the timeframe for the preparation of </w:t>
      </w:r>
      <w:r w:rsidR="007B4921">
        <w:t>a</w:t>
      </w:r>
      <w:r>
        <w:t xml:space="preserve"> RIS. (SA </w:t>
      </w:r>
      <w:r w:rsidR="00F131AA" w:rsidRPr="00915891">
        <w:t>Department of the Premier and Cabinet and Department of Treasury and Finance</w:t>
      </w:r>
      <w:r>
        <w:t xml:space="preserve"> 2011, p. 7)</w:t>
      </w:r>
    </w:p>
    <w:p w:rsidR="00C62BF8" w:rsidRDefault="00C62BF8" w:rsidP="00E2202E">
      <w:pPr>
        <w:pStyle w:val="BodyText"/>
      </w:pPr>
      <w:r>
        <w:t xml:space="preserve">New Zealand also has a </w:t>
      </w:r>
      <w:proofErr w:type="spellStart"/>
      <w:r>
        <w:t>PIR</w:t>
      </w:r>
      <w:proofErr w:type="spellEnd"/>
      <w:r>
        <w:t xml:space="preserve"> in its RIA process for non-compliant proposals. If a regulatory proposal </w:t>
      </w:r>
      <w:r w:rsidR="00621CC1">
        <w:t xml:space="preserve">with significant impacts </w:t>
      </w:r>
      <w:r>
        <w:t xml:space="preserve">does not meet RIA requirements </w:t>
      </w:r>
      <w:r w:rsidR="003A05C6">
        <w:t xml:space="preserve">but </w:t>
      </w:r>
      <w:r>
        <w:t xml:space="preserve">is ultimately agreed to by Cabinet, then it will be subject to a </w:t>
      </w:r>
      <w:proofErr w:type="spellStart"/>
      <w:r>
        <w:t>PIR</w:t>
      </w:r>
      <w:proofErr w:type="spellEnd"/>
      <w:r>
        <w:t>. The nature and timing of this review are agreed by the lead agency in consultation with Treasury and signed off by the responsible minister, in consultation with the Minister of Finance and the Minister for Regulatory Reform (NZ Treasury 2009).</w:t>
      </w:r>
    </w:p>
    <w:p w:rsidR="00792535" w:rsidRDefault="00884D71" w:rsidP="00AE0ED7">
      <w:pPr>
        <w:pStyle w:val="Heading4"/>
      </w:pPr>
      <w:r>
        <w:lastRenderedPageBreak/>
        <w:t>Do</w:t>
      </w:r>
      <w:r w:rsidR="00792535">
        <w:t xml:space="preserve"> </w:t>
      </w:r>
      <w:proofErr w:type="spellStart"/>
      <w:r w:rsidR="00792535">
        <w:t>PIRs</w:t>
      </w:r>
      <w:proofErr w:type="spellEnd"/>
      <w:r w:rsidR="00792535">
        <w:t xml:space="preserve"> encourag</w:t>
      </w:r>
      <w:r>
        <w:t>e</w:t>
      </w:r>
      <w:r w:rsidR="00792535">
        <w:t xml:space="preserve"> compliance with the RIA process?</w:t>
      </w:r>
    </w:p>
    <w:p w:rsidR="00792535" w:rsidRPr="00741FF9" w:rsidRDefault="00DF4579" w:rsidP="00DF4579">
      <w:pPr>
        <w:pStyle w:val="BodyText"/>
      </w:pPr>
      <w:r>
        <w:t xml:space="preserve">When </w:t>
      </w:r>
      <w:proofErr w:type="spellStart"/>
      <w:r w:rsidR="00792535">
        <w:t>PIRs</w:t>
      </w:r>
      <w:proofErr w:type="spellEnd"/>
      <w:r w:rsidR="00792535">
        <w:t xml:space="preserve"> were introduced by the Australian Government in 2006 </w:t>
      </w:r>
      <w:r>
        <w:t>it was</w:t>
      </w:r>
      <w:r w:rsidR="00792535">
        <w:t xml:space="preserve"> anticipated that there would be few required</w:t>
      </w:r>
      <w:r>
        <w:t xml:space="preserve"> (PC 20</w:t>
      </w:r>
      <w:r w:rsidR="00035B9D">
        <w:t>06</w:t>
      </w:r>
      <w:r>
        <w:t>)</w:t>
      </w:r>
      <w:r w:rsidR="00792535">
        <w:t xml:space="preserve">. However, the number of non-compliant regulations has increased since the introduction of the </w:t>
      </w:r>
      <w:proofErr w:type="spellStart"/>
      <w:r w:rsidR="00792535">
        <w:t>PIR</w:t>
      </w:r>
      <w:proofErr w:type="spellEnd"/>
      <w:r>
        <w:t xml:space="preserve"> from 4 in 2007-08</w:t>
      </w:r>
      <w:r w:rsidR="0076294D">
        <w:t>, peaking at 16 in 2010-1</w:t>
      </w:r>
      <w:r w:rsidR="00BE5755">
        <w:t>1</w:t>
      </w:r>
      <w:r w:rsidR="0076294D">
        <w:t>,</w:t>
      </w:r>
      <w:r>
        <w:t xml:space="preserve"> </w:t>
      </w:r>
      <w:r w:rsidR="0076294D">
        <w:t xml:space="preserve">before edging down to 9 in 2011-12 </w:t>
      </w:r>
      <w:r>
        <w:t>(chapter 9)</w:t>
      </w:r>
      <w:r w:rsidR="00920344">
        <w:t>.</w:t>
      </w:r>
      <w:r>
        <w:t xml:space="preserve"> This calls into question the usefulness of </w:t>
      </w:r>
      <w:proofErr w:type="spellStart"/>
      <w:r>
        <w:t>PIRs</w:t>
      </w:r>
      <w:proofErr w:type="spellEnd"/>
      <w:r w:rsidR="003A05C6">
        <w:t>,</w:t>
      </w:r>
      <w:r>
        <w:t xml:space="preserve"> </w:t>
      </w:r>
      <w:r w:rsidR="003A05C6">
        <w:t xml:space="preserve">in their current format, </w:t>
      </w:r>
      <w:r>
        <w:t xml:space="preserve">as a </w:t>
      </w:r>
      <w:r w:rsidR="009336B7">
        <w:t>consequence</w:t>
      </w:r>
      <w:r>
        <w:t xml:space="preserve"> </w:t>
      </w:r>
      <w:r w:rsidR="009336B7">
        <w:t>of</w:t>
      </w:r>
      <w:r>
        <w:t xml:space="preserve"> non-compliance with RIA processes.</w:t>
      </w:r>
    </w:p>
    <w:p w:rsidR="005A78C2" w:rsidRDefault="005A78C2" w:rsidP="005A78C2">
      <w:pPr>
        <w:pStyle w:val="BodyText"/>
      </w:pPr>
      <w:r>
        <w:t xml:space="preserve">The </w:t>
      </w:r>
      <w:r w:rsidR="000E3CB9">
        <w:t xml:space="preserve">Australian Government </w:t>
      </w:r>
      <w:r>
        <w:t xml:space="preserve">Attorney General’s Department is of the view that the </w:t>
      </w:r>
      <w:r w:rsidR="009336B7">
        <w:t xml:space="preserve">consequences for non-compliance </w:t>
      </w:r>
      <w:r>
        <w:t>in the Australian Government are appropriate for those agencies that are supportive of the RIA process:</w:t>
      </w:r>
    </w:p>
    <w:p w:rsidR="005A78C2" w:rsidRDefault="005A78C2" w:rsidP="005A78C2">
      <w:pPr>
        <w:pStyle w:val="Quote"/>
      </w:pPr>
      <w:r>
        <w:t xml:space="preserve">The potential to undertake a post implementation review is undesirable and the potential to be ‘named and shamed’ on the OBPR </w:t>
      </w:r>
      <w:r w:rsidR="006C446A">
        <w:t xml:space="preserve">[Office of Best Practice Regulation] </w:t>
      </w:r>
      <w:r>
        <w:t>website is effective where the agency is one that appropriately embraces the RIA process. (sub. 4, p. 6)</w:t>
      </w:r>
    </w:p>
    <w:p w:rsidR="00792535" w:rsidRDefault="00AA4815" w:rsidP="008C17B1">
      <w:pPr>
        <w:pStyle w:val="BodyText"/>
      </w:pPr>
      <w:r>
        <w:t>But g</w:t>
      </w:r>
      <w:r w:rsidR="00792535">
        <w:t xml:space="preserve">iven the growth of </w:t>
      </w:r>
      <w:proofErr w:type="spellStart"/>
      <w:r w:rsidR="00792535">
        <w:t>PIRs</w:t>
      </w:r>
      <w:proofErr w:type="spellEnd"/>
      <w:r w:rsidR="00792535">
        <w:t xml:space="preserve"> </w:t>
      </w:r>
      <w:r w:rsidR="00DF4579">
        <w:t xml:space="preserve">required </w:t>
      </w:r>
      <w:r w:rsidR="00792535">
        <w:t xml:space="preserve">for non-compliant </w:t>
      </w:r>
      <w:r w:rsidR="008C17B1">
        <w:t xml:space="preserve">regulatory </w:t>
      </w:r>
      <w:r w:rsidR="00792535">
        <w:t>proposals since 2007-08</w:t>
      </w:r>
      <w:r w:rsidR="00F374B4">
        <w:t>,</w:t>
      </w:r>
      <w:r w:rsidR="00792535">
        <w:t xml:space="preserve"> </w:t>
      </w:r>
      <w:r w:rsidR="00446F43">
        <w:t xml:space="preserve">and the significance of the issues to which they relate, </w:t>
      </w:r>
      <w:r w:rsidR="00792535">
        <w:t xml:space="preserve">it appears that the consequences for Australian Government agencies of not following RIA processes — that is, undertaking a </w:t>
      </w:r>
      <w:proofErr w:type="spellStart"/>
      <w:r w:rsidR="00792535">
        <w:t>PIR</w:t>
      </w:r>
      <w:proofErr w:type="spellEnd"/>
      <w:r w:rsidR="00792535">
        <w:t xml:space="preserve"> and being publicly reported as non-compliant by the OBPR — have not been a sufficient incentive to encourage </w:t>
      </w:r>
      <w:r w:rsidR="003A05C6">
        <w:t xml:space="preserve">full </w:t>
      </w:r>
      <w:r w:rsidR="00792535">
        <w:t>compliance with the RIA process.</w:t>
      </w:r>
    </w:p>
    <w:p w:rsidR="00363C9F" w:rsidRDefault="00792535" w:rsidP="00E2202E">
      <w:pPr>
        <w:pStyle w:val="BodyText"/>
      </w:pPr>
      <w:r>
        <w:t xml:space="preserve">Moreover, the consequences of non-compliance for an agency </w:t>
      </w:r>
      <w:r w:rsidR="0024248F">
        <w:t>do not escalate</w:t>
      </w:r>
      <w:r>
        <w:t xml:space="preserve"> </w:t>
      </w:r>
      <w:r w:rsidR="002F06AD">
        <w:t xml:space="preserve">but rather taper off </w:t>
      </w:r>
      <w:r>
        <w:t>as the agency</w:t>
      </w:r>
      <w:r w:rsidR="00884D71">
        <w:t xml:space="preserve"> continues to disregard</w:t>
      </w:r>
      <w:r>
        <w:t xml:space="preserve"> the best practice regulation </w:t>
      </w:r>
      <w:r w:rsidR="001F5EC1">
        <w:t>requirements</w:t>
      </w:r>
      <w:r w:rsidR="00884D71">
        <w:t xml:space="preserve"> for a proposal. </w:t>
      </w:r>
      <w:r w:rsidR="003A05C6">
        <w:t>Specifically, i</w:t>
      </w:r>
      <w:r>
        <w:t xml:space="preserve">f an agency fails to </w:t>
      </w:r>
      <w:r w:rsidR="009B6E52">
        <w:t>complete</w:t>
      </w:r>
      <w:r w:rsidR="000B3AED">
        <w:t xml:space="preserve"> an adequate</w:t>
      </w:r>
      <w:r>
        <w:t xml:space="preserve"> RIS then the agency must undertake a </w:t>
      </w:r>
      <w:proofErr w:type="spellStart"/>
      <w:r>
        <w:t>PIR</w:t>
      </w:r>
      <w:proofErr w:type="spellEnd"/>
      <w:r>
        <w:t xml:space="preserve"> and </w:t>
      </w:r>
      <w:r w:rsidR="00664E64">
        <w:t>its</w:t>
      </w:r>
      <w:r w:rsidR="00A12C7C">
        <w:t xml:space="preserve"> regulatory proposal</w:t>
      </w:r>
      <w:r w:rsidR="009B6E52">
        <w:t xml:space="preserve"> </w:t>
      </w:r>
      <w:r>
        <w:t xml:space="preserve">will also be publicly reported by the OBPR as non-compliant with the RIA process. </w:t>
      </w:r>
      <w:r w:rsidR="002F06AD">
        <w:t>Subsequently</w:t>
      </w:r>
      <w:r>
        <w:t xml:space="preserve">, if </w:t>
      </w:r>
      <w:r w:rsidR="000B3AED">
        <w:t>the</w:t>
      </w:r>
      <w:r>
        <w:t xml:space="preserve"> agency fails to </w:t>
      </w:r>
      <w:r w:rsidR="009B6E52">
        <w:t>complete an adequate</w:t>
      </w:r>
      <w:r>
        <w:t xml:space="preserve"> </w:t>
      </w:r>
      <w:proofErr w:type="spellStart"/>
      <w:r>
        <w:t>PIR</w:t>
      </w:r>
      <w:proofErr w:type="spellEnd"/>
      <w:r w:rsidR="00DF4579">
        <w:t>,</w:t>
      </w:r>
      <w:r>
        <w:t xml:space="preserve"> </w:t>
      </w:r>
      <w:r w:rsidR="00664E64">
        <w:t>its</w:t>
      </w:r>
      <w:r>
        <w:t xml:space="preserve"> </w:t>
      </w:r>
      <w:r w:rsidR="00664E64">
        <w:t>regulat</w:t>
      </w:r>
      <w:r w:rsidR="0002199D">
        <w:t>ion</w:t>
      </w:r>
      <w:r w:rsidR="00664E64">
        <w:t xml:space="preserve"> </w:t>
      </w:r>
      <w:r>
        <w:t xml:space="preserve">will </w:t>
      </w:r>
      <w:r w:rsidR="00363C9F">
        <w:t xml:space="preserve">only </w:t>
      </w:r>
      <w:r>
        <w:t xml:space="preserve">be publicly reported by the OBPR as non-compliant with the </w:t>
      </w:r>
      <w:proofErr w:type="spellStart"/>
      <w:r>
        <w:t>PIR</w:t>
      </w:r>
      <w:proofErr w:type="spellEnd"/>
      <w:r>
        <w:t xml:space="preserve"> process</w:t>
      </w:r>
      <w:r w:rsidR="001F5EC1">
        <w:t xml:space="preserve"> — there is no further consequence.</w:t>
      </w:r>
      <w:r w:rsidR="003A05C6" w:rsidRPr="003A05C6">
        <w:t xml:space="preserve"> </w:t>
      </w:r>
      <w:r w:rsidR="003A05C6">
        <w:t>This could</w:t>
      </w:r>
      <w:r w:rsidR="003A05C6" w:rsidRPr="0024248F">
        <w:t xml:space="preserve"> </w:t>
      </w:r>
      <w:r w:rsidR="003A05C6">
        <w:t>have the perverse effect of encouraging agencies to increase their level of non-compliance with the requirements.</w:t>
      </w:r>
    </w:p>
    <w:p w:rsidR="00FA2B23" w:rsidRDefault="00972956" w:rsidP="00E2202E">
      <w:pPr>
        <w:pStyle w:val="BodyText"/>
      </w:pPr>
      <w:r>
        <w:t>In the case of Queensland</w:t>
      </w:r>
      <w:r w:rsidR="00035B9D">
        <w:t xml:space="preserve"> </w:t>
      </w:r>
      <w:r>
        <w:t xml:space="preserve">there is no public reporting of non-compliance with </w:t>
      </w:r>
      <w:proofErr w:type="spellStart"/>
      <w:r>
        <w:t>PIR</w:t>
      </w:r>
      <w:proofErr w:type="spellEnd"/>
      <w:r>
        <w:t xml:space="preserve"> requirements.</w:t>
      </w:r>
      <w:r w:rsidR="00FA2B23">
        <w:rPr>
          <w:rStyle w:val="FootnoteReference"/>
        </w:rPr>
        <w:footnoteReference w:id="1"/>
      </w:r>
      <w:r>
        <w:t xml:space="preserve"> </w:t>
      </w:r>
      <w:r w:rsidR="00035B9D">
        <w:t xml:space="preserve">In contrast, in Western Australia the RIA guidelines suggest that </w:t>
      </w:r>
      <w:r w:rsidR="00F9469C">
        <w:t xml:space="preserve">there will be </w:t>
      </w:r>
      <w:r w:rsidR="00035B9D">
        <w:t xml:space="preserve">public reporting (WA </w:t>
      </w:r>
      <w:r w:rsidR="00151348">
        <w:t>Treasury</w:t>
      </w:r>
      <w:r w:rsidR="00035B9D">
        <w:t xml:space="preserve"> </w:t>
      </w:r>
      <w:proofErr w:type="spellStart"/>
      <w:r w:rsidR="00035B9D">
        <w:t>2010</w:t>
      </w:r>
      <w:r w:rsidR="00853FBE">
        <w:t>a</w:t>
      </w:r>
      <w:proofErr w:type="spellEnd"/>
      <w:r w:rsidR="00035B9D">
        <w:t xml:space="preserve">) — although this is yet to </w:t>
      </w:r>
      <w:r w:rsidR="00B80981">
        <w:t xml:space="preserve">be implemented (WA Treasury, sub. </w:t>
      </w:r>
      <w:proofErr w:type="spellStart"/>
      <w:r w:rsidR="00B80981">
        <w:t>DR37</w:t>
      </w:r>
      <w:proofErr w:type="spellEnd"/>
      <w:r w:rsidR="00B80981">
        <w:t>)</w:t>
      </w:r>
      <w:r w:rsidR="00035B9D">
        <w:t>.</w:t>
      </w:r>
    </w:p>
    <w:p w:rsidR="00800EC4" w:rsidRDefault="00792535" w:rsidP="00E2202E">
      <w:pPr>
        <w:pStyle w:val="BodyText"/>
      </w:pPr>
      <w:r>
        <w:lastRenderedPageBreak/>
        <w:t xml:space="preserve">To realign incentives for agencies so that they are encouraged to comply with the RIA process, the </w:t>
      </w:r>
      <w:proofErr w:type="spellStart"/>
      <w:r>
        <w:t>PIR</w:t>
      </w:r>
      <w:proofErr w:type="spellEnd"/>
      <w:r>
        <w:t xml:space="preserve"> needs to </w:t>
      </w:r>
      <w:r w:rsidR="00F9340F">
        <w:t xml:space="preserve">be implemented in all jurisdictions and </w:t>
      </w:r>
      <w:r>
        <w:t>become a more powerf</w:t>
      </w:r>
      <w:r w:rsidR="003C3E29">
        <w:t>ul sanction for non-compliance.</w:t>
      </w:r>
    </w:p>
    <w:p w:rsidR="00800EC4" w:rsidRDefault="002E6108" w:rsidP="00E2202E">
      <w:pPr>
        <w:pStyle w:val="BodyText"/>
      </w:pPr>
      <w:r w:rsidRPr="002E6108">
        <w:t xml:space="preserve">Where a regulatory proposal is non-compliant with the RIA process, </w:t>
      </w:r>
      <w:r w:rsidR="00C70FA5" w:rsidRPr="002E6108">
        <w:t xml:space="preserve">in all jurisdictions </w:t>
      </w:r>
      <w:r w:rsidRPr="002E6108">
        <w:t xml:space="preserve">a </w:t>
      </w:r>
      <w:proofErr w:type="spellStart"/>
      <w:r w:rsidR="0002199D">
        <w:t>PIR</w:t>
      </w:r>
      <w:proofErr w:type="spellEnd"/>
      <w:r w:rsidRPr="002E6108">
        <w:t xml:space="preserve"> should commence within two years of the regulation coming into effect </w:t>
      </w:r>
      <w:r w:rsidR="00F9469C">
        <w:t>and</w:t>
      </w:r>
      <w:r w:rsidRPr="002E6108">
        <w:t xml:space="preserve"> be </w:t>
      </w:r>
      <w:r w:rsidR="0024248F">
        <w:t xml:space="preserve">of </w:t>
      </w:r>
      <w:r w:rsidR="00381AB8">
        <w:t xml:space="preserve">a </w:t>
      </w:r>
      <w:r w:rsidR="0024248F">
        <w:t xml:space="preserve">similar level </w:t>
      </w:r>
      <w:r w:rsidR="0050560D">
        <w:t xml:space="preserve">of </w:t>
      </w:r>
      <w:r w:rsidR="0024248F">
        <w:t xml:space="preserve">rigour </w:t>
      </w:r>
      <w:r w:rsidR="0050560D">
        <w:t xml:space="preserve">as a </w:t>
      </w:r>
      <w:r w:rsidRPr="002E6108">
        <w:t>RIS</w:t>
      </w:r>
      <w:r w:rsidR="00F9469C">
        <w:t xml:space="preserve">. The </w:t>
      </w:r>
      <w:proofErr w:type="spellStart"/>
      <w:r w:rsidR="00F9469C">
        <w:t>PIR</w:t>
      </w:r>
      <w:proofErr w:type="spellEnd"/>
      <w:r w:rsidR="00F9469C">
        <w:t xml:space="preserve"> should</w:t>
      </w:r>
      <w:r w:rsidRPr="002E6108">
        <w:t xml:space="preserve"> be undertaken by an independent third party using a public consultation process</w:t>
      </w:r>
      <w:r w:rsidR="00F9469C">
        <w:t>, because</w:t>
      </w:r>
      <w:r w:rsidR="00F9469C" w:rsidRPr="002E6108">
        <w:t xml:space="preserve"> </w:t>
      </w:r>
      <w:r w:rsidR="00337296">
        <w:t>i</w:t>
      </w:r>
      <w:r w:rsidR="00337296" w:rsidRPr="00023D47">
        <w:t xml:space="preserve">t may be difficult for an agency that has been implementing a particular </w:t>
      </w:r>
      <w:r w:rsidR="00337296">
        <w:t xml:space="preserve">regulatory </w:t>
      </w:r>
      <w:r w:rsidR="00F9469C">
        <w:t>option</w:t>
      </w:r>
      <w:r w:rsidR="00F9469C" w:rsidRPr="00023D47">
        <w:t xml:space="preserve"> </w:t>
      </w:r>
      <w:r w:rsidR="00337296" w:rsidRPr="00023D47">
        <w:t xml:space="preserve">to provide a ‘neutral’ assessment of the regulation </w:t>
      </w:r>
      <w:r w:rsidR="00337296">
        <w:t>one to two</w:t>
      </w:r>
      <w:r w:rsidR="00337296" w:rsidRPr="00023D47">
        <w:t xml:space="preserve"> years later</w:t>
      </w:r>
      <w:r w:rsidR="00337296">
        <w:t xml:space="preserve"> in a </w:t>
      </w:r>
      <w:proofErr w:type="spellStart"/>
      <w:r w:rsidR="00337296">
        <w:t>PIR</w:t>
      </w:r>
      <w:proofErr w:type="spellEnd"/>
      <w:r w:rsidR="00337296">
        <w:t>.</w:t>
      </w:r>
      <w:r w:rsidR="00337296" w:rsidRPr="002E6108">
        <w:t xml:space="preserve"> </w:t>
      </w:r>
      <w:r w:rsidR="002B0A13">
        <w:t>As an additional incentive to adhere to RIA requirements, t</w:t>
      </w:r>
      <w:r w:rsidRPr="002E6108">
        <w:t xml:space="preserve">he </w:t>
      </w:r>
      <w:proofErr w:type="spellStart"/>
      <w:r w:rsidRPr="002E6108">
        <w:t>PIR</w:t>
      </w:r>
      <w:proofErr w:type="spellEnd"/>
      <w:r w:rsidRPr="002E6108">
        <w:t xml:space="preserve"> should </w:t>
      </w:r>
      <w:r w:rsidR="00337296">
        <w:t xml:space="preserve">also </w:t>
      </w:r>
      <w:r w:rsidRPr="002E6108">
        <w:t>be required to be paid for by the agency responsible for the non-compliant regulat</w:t>
      </w:r>
      <w:r w:rsidR="0002199D">
        <w:t>ion</w:t>
      </w:r>
      <w:r w:rsidRPr="002E6108">
        <w:t xml:space="preserve">. </w:t>
      </w:r>
    </w:p>
    <w:p w:rsidR="002E6108" w:rsidRDefault="00005865" w:rsidP="00E2202E">
      <w:pPr>
        <w:pStyle w:val="BodyText"/>
      </w:pPr>
      <w:r>
        <w:t xml:space="preserve">To increase the accountability of the </w:t>
      </w:r>
      <w:proofErr w:type="spellStart"/>
      <w:r>
        <w:t>PIR</w:t>
      </w:r>
      <w:proofErr w:type="spellEnd"/>
      <w:r>
        <w:t xml:space="preserve"> process, t</w:t>
      </w:r>
      <w:r w:rsidR="002E6108" w:rsidRPr="002E6108">
        <w:t xml:space="preserve">he </w:t>
      </w:r>
      <w:proofErr w:type="spellStart"/>
      <w:r w:rsidR="002E6108" w:rsidRPr="002E6108">
        <w:t>PIR</w:t>
      </w:r>
      <w:proofErr w:type="spellEnd"/>
      <w:r w:rsidR="002E6108" w:rsidRPr="002E6108">
        <w:t xml:space="preserve"> report and the regulatory oversight body’s </w:t>
      </w:r>
      <w:proofErr w:type="spellStart"/>
      <w:r w:rsidR="00F9469C">
        <w:t>PIR</w:t>
      </w:r>
      <w:proofErr w:type="spellEnd"/>
      <w:r w:rsidR="00F9469C">
        <w:t xml:space="preserve"> </w:t>
      </w:r>
      <w:r w:rsidR="002E6108" w:rsidRPr="002E6108">
        <w:t xml:space="preserve">adequacy assessment should be made publicly available </w:t>
      </w:r>
      <w:r w:rsidR="00F9469C">
        <w:t>in a timely manner</w:t>
      </w:r>
      <w:r w:rsidR="002E6108" w:rsidRPr="002E6108">
        <w:t xml:space="preserve">. The </w:t>
      </w:r>
      <w:proofErr w:type="spellStart"/>
      <w:r w:rsidR="00F9469C">
        <w:t>PIR</w:t>
      </w:r>
      <w:proofErr w:type="spellEnd"/>
      <w:r w:rsidR="00F9469C">
        <w:t xml:space="preserve"> </w:t>
      </w:r>
      <w:r w:rsidR="002E6108" w:rsidRPr="002E6108">
        <w:t xml:space="preserve">adequacy assessment should </w:t>
      </w:r>
      <w:r w:rsidR="00F9469C">
        <w:t xml:space="preserve">detail </w:t>
      </w:r>
      <w:r w:rsidR="00F9469C" w:rsidRPr="002E6108">
        <w:t>any qualifications</w:t>
      </w:r>
      <w:r w:rsidR="00DE6C26">
        <w:t xml:space="preserve"> where the </w:t>
      </w:r>
      <w:proofErr w:type="spellStart"/>
      <w:r w:rsidR="00DE6C26">
        <w:t>PIR</w:t>
      </w:r>
      <w:proofErr w:type="spellEnd"/>
      <w:r w:rsidR="00DE6C26">
        <w:t xml:space="preserve"> was assessed as </w:t>
      </w:r>
      <w:r w:rsidR="00F9469C" w:rsidRPr="002E6108">
        <w:t>adequate</w:t>
      </w:r>
      <w:r w:rsidR="00F9469C">
        <w:t xml:space="preserve"> or </w:t>
      </w:r>
      <w:r w:rsidR="002E6108" w:rsidRPr="002E6108">
        <w:t xml:space="preserve">provide a clear explanation of the reasons why the regulatory oversight body assessed the </w:t>
      </w:r>
      <w:proofErr w:type="spellStart"/>
      <w:r w:rsidR="002E6108" w:rsidRPr="002E6108">
        <w:t>PIR</w:t>
      </w:r>
      <w:proofErr w:type="spellEnd"/>
      <w:r w:rsidR="002E6108" w:rsidRPr="002E6108">
        <w:t xml:space="preserve"> as </w:t>
      </w:r>
      <w:r w:rsidR="0033253E">
        <w:t xml:space="preserve">not </w:t>
      </w:r>
      <w:r w:rsidR="002E6108" w:rsidRPr="002E6108">
        <w:t xml:space="preserve">adequate </w:t>
      </w:r>
      <w:r w:rsidR="00CE6814">
        <w:t>(in a similar manner to what should occur for RIS adequacy assessments as described in chapter 7)</w:t>
      </w:r>
      <w:r w:rsidR="002E6108" w:rsidRPr="002E6108">
        <w:t>.</w:t>
      </w:r>
      <w:r w:rsidR="00BF4AF8">
        <w:t xml:space="preserve"> </w:t>
      </w:r>
      <w:r w:rsidR="002E6108">
        <w:t xml:space="preserve">Chapter 9 discusses </w:t>
      </w:r>
      <w:r w:rsidR="00337296">
        <w:t xml:space="preserve">some of </w:t>
      </w:r>
      <w:r w:rsidR="002E6108">
        <w:t xml:space="preserve">these issues further, and incorporates them in a leading practice for </w:t>
      </w:r>
      <w:proofErr w:type="spellStart"/>
      <w:r w:rsidR="004F51D3">
        <w:t>PIRs</w:t>
      </w:r>
      <w:proofErr w:type="spellEnd"/>
      <w:r w:rsidR="004F51D3">
        <w:t xml:space="preserve"> intended for </w:t>
      </w:r>
      <w:r w:rsidR="002E6108">
        <w:t xml:space="preserve">both non-compliant proposals and </w:t>
      </w:r>
      <w:r w:rsidR="00B87C6E">
        <w:t>proposals granted an exemption</w:t>
      </w:r>
      <w:r w:rsidR="002E6108">
        <w:t>.</w:t>
      </w:r>
    </w:p>
    <w:p w:rsidR="00792535" w:rsidRDefault="00FC4C5E" w:rsidP="009F1801">
      <w:pPr>
        <w:pStyle w:val="Heading2"/>
      </w:pPr>
      <w:r>
        <w:t>8.</w:t>
      </w:r>
      <w:r>
        <w:rPr>
          <w:noProof/>
        </w:rPr>
        <w:t>3</w:t>
      </w:r>
      <w:r w:rsidR="00792535">
        <w:tab/>
        <w:t>Regulatory oversight body accountability</w:t>
      </w:r>
    </w:p>
    <w:p w:rsidR="006C48A7" w:rsidRDefault="006C48A7" w:rsidP="001D37E4">
      <w:pPr>
        <w:pStyle w:val="Heading3"/>
      </w:pPr>
      <w:r>
        <w:t>Does it matter where regulatory oversight bodies are located within government?</w:t>
      </w:r>
    </w:p>
    <w:p w:rsidR="00A666A0" w:rsidRDefault="00994035" w:rsidP="00F77A09">
      <w:pPr>
        <w:pStyle w:val="BodyText"/>
      </w:pPr>
      <w:r>
        <w:t>Most Australian oversight bodies reside at the centre of executive government, typically in a unit</w:t>
      </w:r>
      <w:r w:rsidR="005440F0">
        <w:t>, with some degree of autonomy,</w:t>
      </w:r>
      <w:r>
        <w:t xml:space="preserve"> located </w:t>
      </w:r>
      <w:r w:rsidR="00B150B0">
        <w:t>with</w:t>
      </w:r>
      <w:r>
        <w:t>in the Department of Treasury or the Department of Premier and Cabinet</w:t>
      </w:r>
      <w:r w:rsidR="00B150B0">
        <w:t xml:space="preserve"> (chapter </w:t>
      </w:r>
      <w:r w:rsidR="005440F0">
        <w:t>3</w:t>
      </w:r>
      <w:r w:rsidR="00B150B0">
        <w:t>)</w:t>
      </w:r>
      <w:r>
        <w:t xml:space="preserve">. </w:t>
      </w:r>
    </w:p>
    <w:p w:rsidR="00F77A09" w:rsidRDefault="00994035" w:rsidP="00F77A09">
      <w:pPr>
        <w:pStyle w:val="BodyText"/>
      </w:pPr>
      <w:r>
        <w:t xml:space="preserve">Until recently, no Australian oversight body had </w:t>
      </w:r>
      <w:r w:rsidR="004A2039">
        <w:t xml:space="preserve">strict </w:t>
      </w:r>
      <w:r>
        <w:t xml:space="preserve">statutory independence — </w:t>
      </w:r>
      <w:proofErr w:type="spellStart"/>
      <w:r>
        <w:t>VCEC</w:t>
      </w:r>
      <w:proofErr w:type="spellEnd"/>
      <w:r>
        <w:t xml:space="preserve"> came closest, as an independent advisory body established under the Victorian </w:t>
      </w:r>
      <w:r w:rsidRPr="00994035">
        <w:rPr>
          <w:i/>
        </w:rPr>
        <w:t>State Owned Enterprises Act 1992</w:t>
      </w:r>
      <w:r w:rsidR="006F0835">
        <w:rPr>
          <w:i/>
        </w:rPr>
        <w:t xml:space="preserve"> </w:t>
      </w:r>
      <w:r w:rsidR="006F0835" w:rsidRPr="006F0835">
        <w:t>(</w:t>
      </w:r>
      <w:proofErr w:type="spellStart"/>
      <w:r w:rsidR="006F0835" w:rsidRPr="006F0835">
        <w:t>SOE</w:t>
      </w:r>
      <w:proofErr w:type="spellEnd"/>
      <w:r w:rsidR="006F0835" w:rsidRPr="006F0835">
        <w:t xml:space="preserve"> Act)</w:t>
      </w:r>
      <w:r>
        <w:t>.</w:t>
      </w:r>
      <w:r w:rsidR="004A2039">
        <w:rPr>
          <w:rStyle w:val="FootnoteReference"/>
        </w:rPr>
        <w:footnoteReference w:id="2"/>
      </w:r>
      <w:r w:rsidR="00B150B0">
        <w:t xml:space="preserve"> </w:t>
      </w:r>
      <w:r w:rsidR="00A666A0">
        <w:t>I</w:t>
      </w:r>
      <w:r w:rsidR="00B150B0">
        <w:t xml:space="preserve">n </w:t>
      </w:r>
      <w:r w:rsidR="00C70FA5">
        <w:t xml:space="preserve">Queensland, in </w:t>
      </w:r>
      <w:r w:rsidR="00B150B0">
        <w:t xml:space="preserve">July 2012, the </w:t>
      </w:r>
      <w:r w:rsidR="007369FF">
        <w:t xml:space="preserve">responsibility for RIA oversight was moved from Queensland Treasury to </w:t>
      </w:r>
      <w:r w:rsidR="007369FF">
        <w:lastRenderedPageBreak/>
        <w:t xml:space="preserve">the </w:t>
      </w:r>
      <w:r w:rsidR="00B150B0">
        <w:t>Queensland Competition Authority</w:t>
      </w:r>
      <w:r w:rsidR="00F77A09">
        <w:t xml:space="preserve"> </w:t>
      </w:r>
      <w:r w:rsidR="0039318E">
        <w:t>(</w:t>
      </w:r>
      <w:proofErr w:type="spellStart"/>
      <w:r w:rsidR="0039318E">
        <w:t>QCA</w:t>
      </w:r>
      <w:proofErr w:type="spellEnd"/>
      <w:r w:rsidR="0039318E">
        <w:t xml:space="preserve">), </w:t>
      </w:r>
      <w:r w:rsidR="00F77A09">
        <w:t>an independent statutory authority.</w:t>
      </w:r>
      <w:r w:rsidR="007369FF">
        <w:rPr>
          <w:rStyle w:val="FootnoteReference"/>
        </w:rPr>
        <w:footnoteReference w:id="3"/>
      </w:r>
      <w:r w:rsidR="00C31DE9">
        <w:t xml:space="preserve"> </w:t>
      </w:r>
      <w:r w:rsidR="007369FF">
        <w:t xml:space="preserve">Similar to all other </w:t>
      </w:r>
      <w:r w:rsidR="00BC24E2">
        <w:t xml:space="preserve">jurisdictional </w:t>
      </w:r>
      <w:r w:rsidR="007369FF">
        <w:t>oversight bodies,</w:t>
      </w:r>
      <w:r w:rsidR="00C31DE9">
        <w:t xml:space="preserve"> </w:t>
      </w:r>
      <w:r w:rsidR="007369FF">
        <w:t xml:space="preserve">in </w:t>
      </w:r>
      <w:r w:rsidR="00C31DE9">
        <w:t xml:space="preserve">both </w:t>
      </w:r>
      <w:r w:rsidR="0039318E">
        <w:t xml:space="preserve">the Victorian and </w:t>
      </w:r>
      <w:r w:rsidR="005440F0">
        <w:t xml:space="preserve">the new </w:t>
      </w:r>
      <w:r w:rsidR="0039318E">
        <w:t>Queensland</w:t>
      </w:r>
      <w:r w:rsidR="005440F0">
        <w:t xml:space="preserve"> model</w:t>
      </w:r>
      <w:r w:rsidR="009336B7">
        <w:t>s</w:t>
      </w:r>
      <w:r w:rsidR="00C31DE9">
        <w:t xml:space="preserve">, the oversight </w:t>
      </w:r>
      <w:r w:rsidR="00553CB3">
        <w:t xml:space="preserve">bodies </w:t>
      </w:r>
      <w:r w:rsidR="00C31DE9">
        <w:t xml:space="preserve">report to </w:t>
      </w:r>
      <w:r w:rsidR="006F5B12">
        <w:t xml:space="preserve">ministers in the </w:t>
      </w:r>
      <w:r w:rsidR="00CF1BEF">
        <w:t xml:space="preserve">relevant </w:t>
      </w:r>
      <w:r w:rsidR="00C31DE9">
        <w:t>government.</w:t>
      </w:r>
    </w:p>
    <w:p w:rsidR="00F77A09" w:rsidRDefault="00F77A09" w:rsidP="00F77A09">
      <w:pPr>
        <w:pStyle w:val="BodyText"/>
      </w:pPr>
      <w:r>
        <w:t>The OECD, in its recent recommendation on regulatory governance, considered appropriate institutional arrangements for fostering regulatory quality to include:</w:t>
      </w:r>
    </w:p>
    <w:p w:rsidR="00F77A09" w:rsidRDefault="00F77A09" w:rsidP="00F77A09">
      <w:pPr>
        <w:pStyle w:val="Quote"/>
      </w:pPr>
      <w:r w:rsidRPr="008743D7">
        <w:t xml:space="preserve">A standing body charged with regulatory oversight </w:t>
      </w:r>
      <w:r w:rsidRPr="004745BC">
        <w:t>should be established close to the centre of government, to ensure</w:t>
      </w:r>
      <w:r w:rsidRPr="008743D7">
        <w:t xml:space="preserve"> that regulation se</w:t>
      </w:r>
      <w:r>
        <w:t>rves whole-of-government policy</w:t>
      </w:r>
      <w:r w:rsidRPr="008743D7">
        <w:t xml:space="preserve">. </w:t>
      </w:r>
    </w:p>
    <w:p w:rsidR="00F77A09" w:rsidRPr="004745BC" w:rsidRDefault="00F77A09" w:rsidP="00F77A09">
      <w:pPr>
        <w:pStyle w:val="Quote"/>
      </w:pPr>
      <w:r w:rsidRPr="008743D7">
        <w:t xml:space="preserve">The authority of the regulatory oversight body should be set forth in mandate, such as statute or executive order. In the performance of its technical functions of assessing and advising on the quality of impact assessments, the oversight body should be </w:t>
      </w:r>
      <w:r w:rsidRPr="004745BC">
        <w:t>independent from political influence</w:t>
      </w:r>
      <w:r w:rsidR="00AA1FF6">
        <w:t>.</w:t>
      </w:r>
      <w:r>
        <w:t xml:space="preserve"> (OECD </w:t>
      </w:r>
      <w:proofErr w:type="spellStart"/>
      <w:r>
        <w:t>2012</w:t>
      </w:r>
      <w:r w:rsidR="00236D6C">
        <w:t>a</w:t>
      </w:r>
      <w:proofErr w:type="spellEnd"/>
      <w:r>
        <w:t xml:space="preserve">, p. 9) </w:t>
      </w:r>
    </w:p>
    <w:p w:rsidR="00155BFC" w:rsidRDefault="00340267" w:rsidP="00F77A09">
      <w:pPr>
        <w:pStyle w:val="BodyText"/>
      </w:pPr>
      <w:r>
        <w:t xml:space="preserve">The OECD has not been prescriptive in recommending a particular location for such a body. </w:t>
      </w:r>
      <w:r w:rsidR="00F77A09">
        <w:t>Th</w:t>
      </w:r>
      <w:r w:rsidR="00C5488E">
        <w:t xml:space="preserve">e </w:t>
      </w:r>
      <w:r w:rsidR="00F77A09">
        <w:t xml:space="preserve">recommendation </w:t>
      </w:r>
      <w:r w:rsidR="00155BFC">
        <w:t xml:space="preserve">appears to support a regulatory oversight body that resides </w:t>
      </w:r>
      <w:r w:rsidR="0067323F">
        <w:t xml:space="preserve">either </w:t>
      </w:r>
      <w:r w:rsidR="00155BFC">
        <w:t>within:</w:t>
      </w:r>
    </w:p>
    <w:p w:rsidR="00155BFC" w:rsidRDefault="00155BFC" w:rsidP="00155BFC">
      <w:pPr>
        <w:pStyle w:val="ListBullet"/>
      </w:pPr>
      <w:r>
        <w:t>a central</w:t>
      </w:r>
      <w:r w:rsidR="00297AEC">
        <w:t xml:space="preserve"> government agency</w:t>
      </w:r>
      <w:r>
        <w:t>,</w:t>
      </w:r>
      <w:r w:rsidR="00297AEC">
        <w:t xml:space="preserve"> </w:t>
      </w:r>
      <w:r>
        <w:t>if it has</w:t>
      </w:r>
      <w:r w:rsidR="00297AEC">
        <w:t xml:space="preserve"> sufficient autonomy in its decision making</w:t>
      </w:r>
      <w:r>
        <w:t xml:space="preserve"> on individual RIA processes</w:t>
      </w:r>
    </w:p>
    <w:p w:rsidR="00155BFC" w:rsidRDefault="00297AEC" w:rsidP="00155BFC">
      <w:pPr>
        <w:pStyle w:val="ListBullet"/>
      </w:pPr>
      <w:r>
        <w:t>an independent statutory authority</w:t>
      </w:r>
      <w:r w:rsidR="00155BFC">
        <w:t>, if it</w:t>
      </w:r>
      <w:r>
        <w:t xml:space="preserve"> </w:t>
      </w:r>
      <w:r w:rsidR="00155BFC">
        <w:t>is close</w:t>
      </w:r>
      <w:r>
        <w:t xml:space="preserve"> to the centre of government</w:t>
      </w:r>
      <w:r w:rsidR="00F77A09">
        <w:t xml:space="preserve">. </w:t>
      </w:r>
    </w:p>
    <w:p w:rsidR="0075371F" w:rsidRDefault="00171323" w:rsidP="0067323F">
      <w:pPr>
        <w:pStyle w:val="BodyText"/>
      </w:pPr>
      <w:r>
        <w:t>The recommendation</w:t>
      </w:r>
      <w:r w:rsidR="0067323F">
        <w:t xml:space="preserve"> </w:t>
      </w:r>
      <w:r w:rsidR="00197831">
        <w:t>recognises</w:t>
      </w:r>
      <w:r w:rsidR="0067323F">
        <w:t xml:space="preserve"> the desire for</w:t>
      </w:r>
      <w:r w:rsidR="00F77A09">
        <w:t xml:space="preserve"> </w:t>
      </w:r>
      <w:r w:rsidR="0067323F">
        <w:t xml:space="preserve">a regulatory oversight body </w:t>
      </w:r>
      <w:r w:rsidR="00197831">
        <w:t>to have</w:t>
      </w:r>
      <w:r w:rsidR="00F77A09">
        <w:t xml:space="preserve"> </w:t>
      </w:r>
      <w:r w:rsidR="0075371F">
        <w:t>both:</w:t>
      </w:r>
    </w:p>
    <w:p w:rsidR="00BC24E2" w:rsidRDefault="0075371F" w:rsidP="00BC24E2">
      <w:pPr>
        <w:pStyle w:val="Quote"/>
      </w:pPr>
      <w:r>
        <w:t xml:space="preserve">… a need for </w:t>
      </w:r>
      <w:r w:rsidR="00F77A09">
        <w:t>independence from political micro-management, to assure its neutrality and technocratic objectivity, and simultaneously a need to be close to power in order to have authority over other ministries</w:t>
      </w:r>
      <w:r>
        <w:t xml:space="preserve"> … </w:t>
      </w:r>
      <w:r w:rsidR="00F77A09" w:rsidRPr="00617F24">
        <w:t xml:space="preserve">(Weiner and </w:t>
      </w:r>
      <w:proofErr w:type="spellStart"/>
      <w:r w:rsidR="00F77A09" w:rsidRPr="00617F24">
        <w:t>Alemanno</w:t>
      </w:r>
      <w:proofErr w:type="spellEnd"/>
      <w:r w:rsidR="00F77A09" w:rsidRPr="00617F24">
        <w:t xml:space="preserve"> 2010</w:t>
      </w:r>
      <w:r>
        <w:t>, p. 312</w:t>
      </w:r>
      <w:r w:rsidR="00F77A09" w:rsidRPr="00617F24">
        <w:t>)</w:t>
      </w:r>
      <w:r w:rsidR="00197831">
        <w:t>.</w:t>
      </w:r>
    </w:p>
    <w:p w:rsidR="00E37779" w:rsidRDefault="00C5488E" w:rsidP="00E37779">
      <w:pPr>
        <w:pStyle w:val="BodyText"/>
      </w:pPr>
      <w:r>
        <w:t xml:space="preserve">On the one hand, locating the oversight </w:t>
      </w:r>
      <w:r w:rsidR="00364FF7">
        <w:t xml:space="preserve">body </w:t>
      </w:r>
      <w:r>
        <w:t>close to the centre of government may</w:t>
      </w:r>
      <w:r w:rsidR="00F9469C">
        <w:t>:</w:t>
      </w:r>
      <w:r>
        <w:t xml:space="preserve"> give it greater authority and credibility; enhance its ability to more easily bring concerns to the attention of Cabinet or other key decision makers; and reduce the risk that the body will be ‘out of the loop’ and not receive timely notification of regulatory proposals. On the other hand, a more independent body may have greater objectivity</w:t>
      </w:r>
      <w:r w:rsidR="006A2A1E">
        <w:t>, transparency</w:t>
      </w:r>
      <w:r>
        <w:t xml:space="preserve"> and autonomy in carrying out its functions. It may be better able to resist government attempts to push through poorly justified regulatory proposals and more readily provide critical feedback on the quality of RIA processes. </w:t>
      </w:r>
      <w:r w:rsidR="004A2039">
        <w:t>In</w:t>
      </w:r>
      <w:r w:rsidR="00A41DEB">
        <w:t xml:space="preserve"> reality</w:t>
      </w:r>
      <w:r w:rsidR="00BC24E2">
        <w:t>,</w:t>
      </w:r>
      <w:r w:rsidR="00A41DEB">
        <w:t xml:space="preserve"> a trade-off has to be made between being close</w:t>
      </w:r>
      <w:r w:rsidR="00595EDB">
        <w:t>r</w:t>
      </w:r>
      <w:r w:rsidR="00A41DEB">
        <w:t xml:space="preserve"> to the centre of government and being </w:t>
      </w:r>
      <w:r w:rsidR="00595EDB">
        <w:t xml:space="preserve">more </w:t>
      </w:r>
      <w:r w:rsidR="00A41DEB">
        <w:t xml:space="preserve">independent. </w:t>
      </w:r>
    </w:p>
    <w:p w:rsidR="00B87C6E" w:rsidRDefault="00074152" w:rsidP="00171323">
      <w:pPr>
        <w:pStyle w:val="BodyText"/>
      </w:pPr>
      <w:r>
        <w:lastRenderedPageBreak/>
        <w:t>I</w:t>
      </w:r>
      <w:r w:rsidR="00EF7976">
        <w:t xml:space="preserve">t could be argued that </w:t>
      </w:r>
      <w:r>
        <w:t xml:space="preserve">those oversight bodies with a formal mandate, such as </w:t>
      </w:r>
      <w:proofErr w:type="spellStart"/>
      <w:r>
        <w:t>VCEC</w:t>
      </w:r>
      <w:proofErr w:type="spellEnd"/>
      <w:r>
        <w:t xml:space="preserve"> and the newly established </w:t>
      </w:r>
      <w:proofErr w:type="spellStart"/>
      <w:r>
        <w:t>QOBPR</w:t>
      </w:r>
      <w:proofErr w:type="spellEnd"/>
      <w:r>
        <w:t>, are consistent with the OECD recommendation.</w:t>
      </w:r>
      <w:r w:rsidR="00B87C6E">
        <w:t xml:space="preserve"> </w:t>
      </w:r>
      <w:r w:rsidR="00377341">
        <w:t xml:space="preserve">It is less clear whether other jurisdictional oversight bodies </w:t>
      </w:r>
      <w:r w:rsidR="00A62F1B">
        <w:t xml:space="preserve">within Australia </w:t>
      </w:r>
      <w:r w:rsidR="00377341">
        <w:t>are consistent with the OECD recommendation.</w:t>
      </w:r>
    </w:p>
    <w:p w:rsidR="00171323" w:rsidRDefault="00B87C6E" w:rsidP="00171323">
      <w:pPr>
        <w:pStyle w:val="BodyText"/>
        <w:rPr>
          <w:rStyle w:val="BodyTextChar"/>
        </w:rPr>
      </w:pPr>
      <w:r>
        <w:t>T</w:t>
      </w:r>
      <w:r w:rsidR="00EF7976">
        <w:t xml:space="preserve">he </w:t>
      </w:r>
      <w:r w:rsidR="008A2343">
        <w:t xml:space="preserve">Australian Government </w:t>
      </w:r>
      <w:r w:rsidR="00EF7976">
        <w:t>OBPR</w:t>
      </w:r>
      <w:r>
        <w:t>, for example,</w:t>
      </w:r>
      <w:r w:rsidR="00EF7976">
        <w:t xml:space="preserve"> resides within the Department of Finance and Deregulation</w:t>
      </w:r>
      <w:r w:rsidR="00171323" w:rsidRPr="0041610A">
        <w:rPr>
          <w:rStyle w:val="BodyTextChar"/>
        </w:rPr>
        <w:t xml:space="preserve"> but is afforded </w:t>
      </w:r>
      <w:r w:rsidR="00171323">
        <w:rPr>
          <w:rStyle w:val="BodyTextChar"/>
        </w:rPr>
        <w:t xml:space="preserve">some </w:t>
      </w:r>
      <w:r w:rsidR="00171323" w:rsidRPr="0041610A">
        <w:rPr>
          <w:rStyle w:val="BodyTextChar"/>
        </w:rPr>
        <w:t xml:space="preserve">independence from the Department and portfolio </w:t>
      </w:r>
      <w:r w:rsidR="00C70FA5">
        <w:rPr>
          <w:rStyle w:val="BodyTextChar"/>
        </w:rPr>
        <w:t>m</w:t>
      </w:r>
      <w:r w:rsidR="00171323" w:rsidRPr="0041610A">
        <w:rPr>
          <w:rStyle w:val="BodyTextChar"/>
        </w:rPr>
        <w:t xml:space="preserve">inisters in its administration of the </w:t>
      </w:r>
      <w:r w:rsidR="00914944">
        <w:rPr>
          <w:rStyle w:val="BodyTextChar"/>
        </w:rPr>
        <w:t xml:space="preserve">Australian Government </w:t>
      </w:r>
      <w:r w:rsidR="00171323" w:rsidRPr="0041610A">
        <w:rPr>
          <w:rStyle w:val="BodyTextChar"/>
        </w:rPr>
        <w:t xml:space="preserve">RIA requirements. This ‘independence’ is not </w:t>
      </w:r>
      <w:r w:rsidR="00C363ED">
        <w:rPr>
          <w:rStyle w:val="BodyTextChar"/>
        </w:rPr>
        <w:t>laid down in</w:t>
      </w:r>
      <w:r w:rsidR="00171323" w:rsidRPr="0041610A">
        <w:rPr>
          <w:rStyle w:val="BodyTextChar"/>
        </w:rPr>
        <w:t xml:space="preserve"> statute but is instead periodically re</w:t>
      </w:r>
      <w:r w:rsidR="00171323">
        <w:rPr>
          <w:rStyle w:val="BodyTextChar"/>
        </w:rPr>
        <w:t>affirmed</w:t>
      </w:r>
      <w:r w:rsidR="00171323" w:rsidRPr="0041610A">
        <w:rPr>
          <w:rStyle w:val="BodyTextChar"/>
        </w:rPr>
        <w:t xml:space="preserve"> in </w:t>
      </w:r>
      <w:r w:rsidR="00171323">
        <w:rPr>
          <w:rStyle w:val="BodyTextChar"/>
        </w:rPr>
        <w:t>ministerial statements</w:t>
      </w:r>
      <w:r w:rsidR="00171323" w:rsidRPr="0041610A">
        <w:rPr>
          <w:rStyle w:val="BodyTextChar"/>
        </w:rPr>
        <w:t xml:space="preserve"> by the Minist</w:t>
      </w:r>
      <w:r w:rsidR="00171323">
        <w:rPr>
          <w:rStyle w:val="BodyTextChar"/>
        </w:rPr>
        <w:t>er for Finance and Deregulation:</w:t>
      </w:r>
    </w:p>
    <w:p w:rsidR="00171323" w:rsidRPr="00730315" w:rsidRDefault="00171323" w:rsidP="00171323">
      <w:pPr>
        <w:pStyle w:val="Quote"/>
      </w:pPr>
      <w:r w:rsidRPr="00730315">
        <w:t xml:space="preserve">To perform its watchdog role effectively, the OBPR needs to exercise its decision-making functions in an independent manner. The government has put in place procedures to ensure that neither ministers nor their staff can seek to intervene in or influence the </w:t>
      </w:r>
      <w:proofErr w:type="spellStart"/>
      <w:r w:rsidRPr="00730315">
        <w:t>OBPR’s</w:t>
      </w:r>
      <w:proofErr w:type="spellEnd"/>
      <w:r w:rsidRPr="00730315">
        <w:t xml:space="preserve"> deliberations. Decisions on the adequacy of a regulatory impact analysis and compliance with the best practice regulation requirements will be made independently by the Executive Director of the OBPR.</w:t>
      </w:r>
      <w:r w:rsidRPr="00730315">
        <w:rPr>
          <w:rStyle w:val="BodyTextChar"/>
        </w:rPr>
        <w:t xml:space="preserve"> </w:t>
      </w:r>
      <w:r w:rsidR="00F3486F" w:rsidRPr="003A3C14">
        <w:rPr>
          <w:rStyle w:val="BodyTextChar"/>
          <w:sz w:val="24"/>
          <w:szCs w:val="24"/>
        </w:rPr>
        <w:t>(Tanner 2008, p. 1890)</w:t>
      </w:r>
    </w:p>
    <w:p w:rsidR="00171323" w:rsidRPr="00730315" w:rsidRDefault="00171323" w:rsidP="00171323">
      <w:pPr>
        <w:pStyle w:val="Quote"/>
        <w:rPr>
          <w:rStyle w:val="BodyTextChar"/>
        </w:rPr>
      </w:pPr>
      <w:r w:rsidRPr="00730315">
        <w:t xml:space="preserve">The Government will ensure that Ministers do not influence the </w:t>
      </w:r>
      <w:proofErr w:type="spellStart"/>
      <w:r w:rsidRPr="00730315">
        <w:t>OBPR’s</w:t>
      </w:r>
      <w:proofErr w:type="spellEnd"/>
      <w:r w:rsidRPr="00730315">
        <w:t xml:space="preserve"> decisions in determining the adequacy of Regulation Impact Statement or agency compliance with the Best Practice Regulation Guidelines. Decisions on the adequacy of a regulatory impact analysis and compliance with the best practice regulation requirements will continue to be made independently by the Executive Director of the OBPR. </w:t>
      </w:r>
      <w:r w:rsidR="00F3486F">
        <w:t>(Wong 2010, pp. 1069-70)</w:t>
      </w:r>
    </w:p>
    <w:p w:rsidR="00171323" w:rsidRPr="008C6F7A" w:rsidRDefault="00171323" w:rsidP="008C6F7A">
      <w:pPr>
        <w:pStyle w:val="BodyText"/>
      </w:pPr>
      <w:r w:rsidRPr="008C6F7A">
        <w:t xml:space="preserve">The Business Council of </w:t>
      </w:r>
      <w:r w:rsidR="003A6E1E" w:rsidRPr="008C6F7A">
        <w:t>Australia</w:t>
      </w:r>
      <w:r w:rsidRPr="008C6F7A">
        <w:t xml:space="preserve"> </w:t>
      </w:r>
      <w:r w:rsidR="00583124">
        <w:t xml:space="preserve">(BCA) </w:t>
      </w:r>
      <w:r w:rsidR="00F9469C">
        <w:t>considers</w:t>
      </w:r>
      <w:r w:rsidR="00F9469C" w:rsidRPr="008C6F7A">
        <w:t xml:space="preserve"> </w:t>
      </w:r>
      <w:r w:rsidRPr="008C6F7A">
        <w:t xml:space="preserve">that </w:t>
      </w:r>
      <w:r w:rsidR="00330D61" w:rsidRPr="008C6F7A">
        <w:t>statements</w:t>
      </w:r>
      <w:r w:rsidRPr="008C6F7A">
        <w:t xml:space="preserve"> by </w:t>
      </w:r>
      <w:r w:rsidR="00C363ED" w:rsidRPr="008C6F7A">
        <w:t xml:space="preserve">Finance </w:t>
      </w:r>
      <w:r w:rsidRPr="008C6F7A">
        <w:t xml:space="preserve">Ministers about the </w:t>
      </w:r>
      <w:proofErr w:type="spellStart"/>
      <w:r w:rsidRPr="008C6F7A">
        <w:t>OBPR’s</w:t>
      </w:r>
      <w:proofErr w:type="spellEnd"/>
      <w:r w:rsidRPr="008C6F7A">
        <w:t xml:space="preserve"> independence are not sufficient to guarantee independent decision making by </w:t>
      </w:r>
      <w:r w:rsidR="00BE0B11" w:rsidRPr="008C6F7A">
        <w:t xml:space="preserve">the </w:t>
      </w:r>
      <w:r w:rsidRPr="008C6F7A">
        <w:t>OBPR:</w:t>
      </w:r>
    </w:p>
    <w:p w:rsidR="00171323" w:rsidRDefault="00171323" w:rsidP="00171323">
      <w:pPr>
        <w:pStyle w:val="Quote"/>
      </w:pPr>
      <w:r>
        <w:t xml:space="preserve">The BCA does not consider that a statement by the </w:t>
      </w:r>
      <w:r w:rsidR="00D54932">
        <w:t xml:space="preserve">Minister </w:t>
      </w:r>
      <w:r>
        <w:t>alone will improve the independence or the effectiveness of the OBPR ... However, little more has been done to reinforce the independence arrangements.</w:t>
      </w:r>
    </w:p>
    <w:p w:rsidR="00171323" w:rsidRDefault="00171323" w:rsidP="00171323">
      <w:pPr>
        <w:pStyle w:val="Quote"/>
      </w:pPr>
      <w:r>
        <w:t>We would expect further information about the independence arrangements to be made publicly available. The appropriate information would include, for example, staffing arrangements and structures, reporting requirements, performance review arrangements and budgeting arrangements. (BCA 2010, p. 19)</w:t>
      </w:r>
    </w:p>
    <w:p w:rsidR="00914944" w:rsidRDefault="00914944" w:rsidP="00321191">
      <w:pPr>
        <w:pStyle w:val="BodyText"/>
      </w:pPr>
      <w:r>
        <w:t xml:space="preserve">From a COAG perspective, the Victorian Department of Premier and Cabinet was also critical of the location of the OBPR </w:t>
      </w:r>
      <w:r w:rsidR="008A2164">
        <w:t xml:space="preserve">because of a perceived conflict of interest </w:t>
      </w:r>
      <w:r w:rsidR="00841EE6">
        <w:t xml:space="preserve">with the Department of Finance and Deregulation </w:t>
      </w:r>
      <w:r w:rsidR="00D15C6D">
        <w:t xml:space="preserve">and suggested a more independent </w:t>
      </w:r>
      <w:r w:rsidR="008A2164">
        <w:t>oversight model</w:t>
      </w:r>
      <w:r>
        <w:t>:</w:t>
      </w:r>
    </w:p>
    <w:p w:rsidR="00D15C6D" w:rsidRPr="00D15C6D" w:rsidRDefault="00914944" w:rsidP="00321191">
      <w:pPr>
        <w:pStyle w:val="Quote"/>
      </w:pPr>
      <w:r>
        <w:t xml:space="preserve">The COAG RIA oversight body, the OBPR, sits within the same Group of the Commonwealth Department of Finance and Deregulation as that which is tasked to drive the implementation of the COAG Seamless National Economy Reforms. This results in a situation </w:t>
      </w:r>
      <w:r w:rsidR="00D15C6D">
        <w:t xml:space="preserve">where the Department is both the proponent of a reform and the </w:t>
      </w:r>
      <w:r w:rsidR="00D15C6D">
        <w:lastRenderedPageBreak/>
        <w:t>review body for analysis of reform options. This is a clear conflict of interest and does not meet good governance principles.</w:t>
      </w:r>
      <w:r w:rsidR="00C70FA5">
        <w:t xml:space="preserve"> The only way to ensure that RIA assessment is rigorous and balanced is to establish a separate and independent statutory body</w:t>
      </w:r>
      <w:r w:rsidR="00D2673B">
        <w:t xml:space="preserve"> </w:t>
      </w:r>
      <w:r w:rsidR="008A2164">
        <w:t xml:space="preserve">… A new COAG RIA oversight model should adopt the OECD’s recommendations for independence and authority of the RIA oversight institutions. This would significantly reduce the risk of the gatekeeping review body being perceived as ‘captured’ when assessing proposed reforms. </w:t>
      </w:r>
      <w:r w:rsidR="00D15C6D">
        <w:t>(</w:t>
      </w:r>
      <w:r w:rsidR="00D2673B">
        <w:t xml:space="preserve">sub. </w:t>
      </w:r>
      <w:proofErr w:type="spellStart"/>
      <w:r w:rsidR="00D15C6D">
        <w:t>DR32</w:t>
      </w:r>
      <w:proofErr w:type="spellEnd"/>
      <w:r w:rsidR="00D15C6D">
        <w:t>, p. 6)</w:t>
      </w:r>
    </w:p>
    <w:p w:rsidR="00330D61" w:rsidRDefault="001B2E01" w:rsidP="00330D61">
      <w:pPr>
        <w:pStyle w:val="BodyText"/>
      </w:pPr>
      <w:r>
        <w:t xml:space="preserve">This </w:t>
      </w:r>
      <w:r w:rsidR="00252FB6">
        <w:t xml:space="preserve">sentiment </w:t>
      </w:r>
      <w:r>
        <w:t xml:space="preserve">reflects a need for oversight bodies to be seen as independent in order to maintain public confidence. </w:t>
      </w:r>
      <w:r w:rsidR="00330D61" w:rsidRPr="00330D61">
        <w:t xml:space="preserve">A number of submissions called for </w:t>
      </w:r>
      <w:r w:rsidR="009E29E8">
        <w:t xml:space="preserve">more </w:t>
      </w:r>
      <w:r w:rsidR="00330D61" w:rsidRPr="00330D61">
        <w:t xml:space="preserve">independent oversight as a means of improving the integrity of the RIA process </w:t>
      </w:r>
      <w:r w:rsidR="009E29E8">
        <w:t>(</w:t>
      </w:r>
      <w:r w:rsidR="006C446A">
        <w:t>Australian Chamber of Commerce and Industry (</w:t>
      </w:r>
      <w:proofErr w:type="spellStart"/>
      <w:r w:rsidR="009E29E8">
        <w:t>ACCI</w:t>
      </w:r>
      <w:proofErr w:type="spellEnd"/>
      <w:r w:rsidR="006C446A">
        <w:t>)</w:t>
      </w:r>
      <w:r w:rsidR="00CC3528">
        <w:t>,</w:t>
      </w:r>
      <w:r w:rsidR="009E29E8">
        <w:t xml:space="preserve"> sub. 3; </w:t>
      </w:r>
      <w:r w:rsidR="006C446A">
        <w:t>Australian Food and Grocery Council (</w:t>
      </w:r>
      <w:proofErr w:type="spellStart"/>
      <w:r w:rsidR="006C446A">
        <w:t>AFGC</w:t>
      </w:r>
      <w:proofErr w:type="spellEnd"/>
      <w:r w:rsidR="006C446A">
        <w:t>)</w:t>
      </w:r>
      <w:r w:rsidR="00CC3528">
        <w:t>,</w:t>
      </w:r>
      <w:r w:rsidR="009E29E8">
        <w:t xml:space="preserve"> sub.</w:t>
      </w:r>
      <w:r w:rsidR="00823F1F">
        <w:t> </w:t>
      </w:r>
      <w:r w:rsidR="009E29E8">
        <w:t xml:space="preserve"> 5; </w:t>
      </w:r>
      <w:proofErr w:type="spellStart"/>
      <w:r w:rsidR="009E29E8">
        <w:t>CropLife</w:t>
      </w:r>
      <w:proofErr w:type="spellEnd"/>
      <w:r w:rsidR="009E29E8">
        <w:t xml:space="preserve"> Australia</w:t>
      </w:r>
      <w:r w:rsidR="00CC3528">
        <w:t>,</w:t>
      </w:r>
      <w:r w:rsidR="009E29E8">
        <w:t xml:space="preserve"> sub. 7; C</w:t>
      </w:r>
      <w:r w:rsidR="00AA1FF6">
        <w:t xml:space="preserve">onstruction </w:t>
      </w:r>
      <w:r w:rsidR="009E29E8">
        <w:t>M</w:t>
      </w:r>
      <w:r w:rsidR="00AA1FF6">
        <w:t xml:space="preserve">aterial </w:t>
      </w:r>
      <w:r w:rsidR="009E29E8">
        <w:t>P</w:t>
      </w:r>
      <w:r w:rsidR="00AA1FF6">
        <w:t>rocessors</w:t>
      </w:r>
      <w:r w:rsidR="00D2673B">
        <w:t>’</w:t>
      </w:r>
      <w:r w:rsidR="00AA1FF6">
        <w:t xml:space="preserve"> Association</w:t>
      </w:r>
      <w:r w:rsidR="00CC3528">
        <w:t>,</w:t>
      </w:r>
      <w:r w:rsidR="009E29E8">
        <w:t xml:space="preserve"> sub. 9; Chi-X Australia</w:t>
      </w:r>
      <w:r w:rsidR="00CC3528">
        <w:t>,</w:t>
      </w:r>
      <w:r w:rsidR="009E29E8">
        <w:t xml:space="preserve"> sub. 13)</w:t>
      </w:r>
      <w:r w:rsidR="00330D61" w:rsidRPr="00330D61">
        <w:t>.</w:t>
      </w:r>
      <w:r w:rsidR="004A2039">
        <w:t xml:space="preserve"> </w:t>
      </w:r>
      <w:r w:rsidR="00A10107">
        <w:t>In addition, o</w:t>
      </w:r>
      <w:r w:rsidR="004A2039">
        <w:t xml:space="preserve">nly </w:t>
      </w:r>
      <w:r w:rsidR="00A14AFD">
        <w:t xml:space="preserve">10 of the 60 </w:t>
      </w:r>
      <w:r w:rsidR="004A2039">
        <w:t xml:space="preserve">agency respondents to the Commission’s </w:t>
      </w:r>
      <w:r w:rsidR="008A2343">
        <w:t xml:space="preserve">RIA </w:t>
      </w:r>
      <w:r w:rsidR="004A2039">
        <w:t xml:space="preserve">survey and </w:t>
      </w:r>
      <w:r w:rsidR="00A14AFD">
        <w:t>one</w:t>
      </w:r>
      <w:r w:rsidR="004A2039">
        <w:t xml:space="preserve"> of the oversight body responses (</w:t>
      </w:r>
      <w:r w:rsidR="00A14AFD">
        <w:t>South Australia</w:t>
      </w:r>
      <w:r w:rsidR="004A2039">
        <w:t xml:space="preserve">) </w:t>
      </w:r>
      <w:r w:rsidR="00A14AFD">
        <w:t>dis</w:t>
      </w:r>
      <w:r w:rsidR="004A2039">
        <w:t xml:space="preserve">agreed </w:t>
      </w:r>
      <w:r w:rsidR="00A14AFD">
        <w:t xml:space="preserve">with the proposition </w:t>
      </w:r>
      <w:r w:rsidR="004A2039">
        <w:t>that the RIA process is, or could be, more efficient and effective when a regulatory oversight body has statutory independence</w:t>
      </w:r>
      <w:r w:rsidR="00BD5471">
        <w:t xml:space="preserve"> (figure</w:t>
      </w:r>
      <w:r w:rsidR="00E31507">
        <w:t> </w:t>
      </w:r>
      <w:r w:rsidR="00BD5471">
        <w:t>8.3)</w:t>
      </w:r>
      <w:r w:rsidR="004A2039">
        <w:t>.</w:t>
      </w:r>
      <w:r w:rsidR="00330D61" w:rsidRPr="00330D61">
        <w:t xml:space="preserve"> </w:t>
      </w:r>
    </w:p>
    <w:p w:rsidR="00D57C7F" w:rsidRDefault="00D57C7F">
      <w:pPr>
        <w:pStyle w:val="FigureTitle"/>
      </w:pPr>
      <w:r>
        <w:rPr>
          <w:b w:val="0"/>
        </w:rPr>
        <w:t xml:space="preserve">Figure </w:t>
      </w:r>
      <w:r w:rsidR="00FC4C5E">
        <w:rPr>
          <w:b w:val="0"/>
        </w:rPr>
        <w:t>8.</w:t>
      </w:r>
      <w:r w:rsidR="00FC4C5E">
        <w:rPr>
          <w:b w:val="0"/>
          <w:noProof/>
        </w:rPr>
        <w:t>3</w:t>
      </w:r>
      <w:r>
        <w:tab/>
      </w:r>
      <w:r w:rsidR="00BB281F">
        <w:t>Would statutory independence of the regulatory oversight body improve the RIA process?</w:t>
      </w:r>
    </w:p>
    <w:p w:rsidR="00D57C7F" w:rsidRDefault="00BB281F">
      <w:pPr>
        <w:pStyle w:val="Subtitle"/>
      </w:pPr>
      <w:r>
        <w:t>Number of responses</w:t>
      </w:r>
      <w:r>
        <w:rPr>
          <w:rStyle w:val="NoteLabel"/>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Description w:val="Figure 8.3 Would statutory independence of the regulatory oversight body improve the RIA process? This chart shows how many agencies, departments and regulatory oversight bodies agreed, disagreed or responded neutrally to the question posed in the figure title"/>
      </w:tblPr>
      <w:tblGrid>
        <w:gridCol w:w="4388"/>
        <w:gridCol w:w="4389"/>
      </w:tblGrid>
      <w:tr w:rsidR="001E52A5" w:rsidTr="00D76223">
        <w:trPr>
          <w:trHeight w:val="194"/>
        </w:trPr>
        <w:tc>
          <w:tcPr>
            <w:tcW w:w="4388" w:type="dxa"/>
          </w:tcPr>
          <w:p w:rsidR="001E52A5" w:rsidRPr="008D442D" w:rsidRDefault="001E52A5" w:rsidP="00D76223">
            <w:pPr>
              <w:pStyle w:val="TableColumnHeading"/>
              <w:jc w:val="center"/>
            </w:pPr>
            <w:r w:rsidRPr="008D442D">
              <w:t>Agencies and departments</w:t>
            </w:r>
          </w:p>
        </w:tc>
        <w:tc>
          <w:tcPr>
            <w:tcW w:w="4389" w:type="dxa"/>
          </w:tcPr>
          <w:p w:rsidR="001E52A5" w:rsidRPr="008D442D" w:rsidRDefault="001E52A5" w:rsidP="00D76223">
            <w:pPr>
              <w:pStyle w:val="TableColumnHeading"/>
              <w:jc w:val="center"/>
            </w:pPr>
            <w:r w:rsidRPr="008D442D">
              <w:t>Regulatory oversight bodies</w:t>
            </w:r>
          </w:p>
        </w:tc>
      </w:tr>
      <w:tr w:rsidR="001E52A5" w:rsidTr="00185C26">
        <w:tblPrEx>
          <w:tblCellMar>
            <w:left w:w="108" w:type="dxa"/>
            <w:right w:w="108" w:type="dxa"/>
          </w:tblCellMar>
        </w:tblPrEx>
        <w:trPr>
          <w:trHeight w:val="193"/>
        </w:trPr>
        <w:tc>
          <w:tcPr>
            <w:tcW w:w="4388" w:type="dxa"/>
          </w:tcPr>
          <w:p w:rsidR="001E52A5" w:rsidRDefault="00185C26">
            <w:pPr>
              <w:pStyle w:val="Figure"/>
            </w:pPr>
            <w:r>
              <w:rPr>
                <w:noProof/>
              </w:rPr>
              <w:drawing>
                <wp:inline distT="0" distB="0" distL="0" distR="0" wp14:anchorId="2A74914D" wp14:editId="54F708CB">
                  <wp:extent cx="2770318" cy="2095500"/>
                  <wp:effectExtent l="0" t="0" r="0" b="0"/>
                  <wp:docPr id="1" name="Chart 1" descr="Figure 8.3 Would statutory independence of the regulatory oversight body improve the RIA process? This chart shows how many agencies, departments and regulatory oversight bodies agreed, disagreed or responded neutrally to the question posed in the figure title"/>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c>
          <w:tcPr>
            <w:tcW w:w="4389" w:type="dxa"/>
          </w:tcPr>
          <w:p w:rsidR="001E52A5" w:rsidRDefault="00185C26">
            <w:pPr>
              <w:pStyle w:val="Figure"/>
            </w:pPr>
            <w:r>
              <w:rPr>
                <w:noProof/>
              </w:rPr>
              <w:drawing>
                <wp:inline distT="0" distB="0" distL="0" distR="0" wp14:anchorId="24193B13" wp14:editId="76FC0DE2">
                  <wp:extent cx="2772000" cy="2095500"/>
                  <wp:effectExtent l="0" t="0" r="0"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bl>
    <w:p w:rsidR="00D57C7F" w:rsidRDefault="00D57C7F" w:rsidP="00D57C7F">
      <w:pPr>
        <w:pStyle w:val="Note"/>
      </w:pPr>
      <w:r>
        <w:rPr>
          <w:rStyle w:val="NoteLabel"/>
        </w:rPr>
        <w:t>a</w:t>
      </w:r>
      <w:r>
        <w:t xml:space="preserve"> Based on 60 survey responses by agencies and departments, including 5 respondents who chose ‘do not know’. Responses to the survey of regulatory oversight bodies were received for 8 of the 10 jurisdictions. The OBPR, representing the Commonwealth and COAG jurisdictions did not provide responses to this question. ‘Agree’ comprises both ‘strongly agree’ and ‘agree’. Disagree comprises both ‘strongly disagree’ and ‘disagree’.</w:t>
      </w:r>
    </w:p>
    <w:p w:rsidR="00D57C7F" w:rsidRDefault="00D57C7F" w:rsidP="00D57C7F">
      <w:pPr>
        <w:pStyle w:val="Note"/>
      </w:pPr>
      <w:r>
        <w:rPr>
          <w:i/>
        </w:rPr>
        <w:t>Data source</w:t>
      </w:r>
      <w:r w:rsidRPr="00167F06">
        <w:t xml:space="preserve">: </w:t>
      </w:r>
      <w:r w:rsidR="00ED0343">
        <w:t xml:space="preserve">PC RIA Survey </w:t>
      </w:r>
      <w:r w:rsidR="006D0376">
        <w:t>(</w:t>
      </w:r>
      <w:r w:rsidR="00ED0343">
        <w:t>2012</w:t>
      </w:r>
      <w:r w:rsidR="006D0376">
        <w:t>)</w:t>
      </w:r>
      <w:r>
        <w:t>.</w:t>
      </w:r>
    </w:p>
    <w:p w:rsidR="008D76D0" w:rsidRDefault="008D76D0" w:rsidP="008D76D0">
      <w:pPr>
        <w:pStyle w:val="BodyText"/>
      </w:pPr>
      <w:r>
        <w:t xml:space="preserve">The Australian RIA experience, as evidenced throughout this report, suggests that regulatory oversight by units within central government agencies has not been very influential in improving regulatory decisions or the quality of outcomes, particularly </w:t>
      </w:r>
      <w:r>
        <w:lastRenderedPageBreak/>
        <w:t>where it matters most — for highly significant proposals. This conclusion is informed, in part, by the following RIA survey results:</w:t>
      </w:r>
    </w:p>
    <w:p w:rsidR="008D76D0" w:rsidRDefault="00A57274" w:rsidP="008D76D0">
      <w:pPr>
        <w:pStyle w:val="ListBullet"/>
      </w:pPr>
      <w:r>
        <w:t>most</w:t>
      </w:r>
      <w:r w:rsidR="008D76D0">
        <w:t xml:space="preserve"> central agency oversight bodies stated that regulatory proposals that do not meet RIA requirements are still proceeding to decision makers (figure 8.1) —</w:t>
      </w:r>
      <w:r w:rsidR="00114BF1">
        <w:t xml:space="preserve"> </w:t>
      </w:r>
      <w:r w:rsidR="008D76D0">
        <w:t>indicating a lack of influence over agencies and/or ministers</w:t>
      </w:r>
    </w:p>
    <w:p w:rsidR="008D76D0" w:rsidRPr="00330D61" w:rsidRDefault="008D76D0" w:rsidP="008D76D0">
      <w:pPr>
        <w:pStyle w:val="ListBullet"/>
      </w:pPr>
      <w:r>
        <w:t>nearly all central agency oversight bodies agreed that ministers should provide reasons for proposing regulations that are inconsistent with RIA principles (figure 7.4) — perhaps indicating a lack of influence over ministers.</w:t>
      </w:r>
    </w:p>
    <w:p w:rsidR="00520474" w:rsidRDefault="003F3B93" w:rsidP="00595EDB">
      <w:pPr>
        <w:pStyle w:val="BodyText"/>
      </w:pPr>
      <w:r>
        <w:t>It appears that t</w:t>
      </w:r>
      <w:r w:rsidR="00BD5471">
        <w:t xml:space="preserve">he </w:t>
      </w:r>
      <w:r w:rsidR="002D367F">
        <w:t xml:space="preserve">perceived </w:t>
      </w:r>
      <w:r w:rsidR="00BD5471">
        <w:t xml:space="preserve">benefits of </w:t>
      </w:r>
      <w:r w:rsidR="002D367F">
        <w:t xml:space="preserve">having </w:t>
      </w:r>
      <w:r w:rsidR="00BD5471">
        <w:t xml:space="preserve">the </w:t>
      </w:r>
      <w:r w:rsidR="002D367F">
        <w:t xml:space="preserve">oversight body at the </w:t>
      </w:r>
      <w:r w:rsidR="00BD5471">
        <w:t>centre of government</w:t>
      </w:r>
      <w:r w:rsidR="002D367F">
        <w:t xml:space="preserve"> — so that it can exert influence </w:t>
      </w:r>
      <w:r w:rsidR="003A1680">
        <w:t>over</w:t>
      </w:r>
      <w:r w:rsidR="002D367F">
        <w:t xml:space="preserve"> </w:t>
      </w:r>
      <w:r w:rsidR="004B323B">
        <w:t xml:space="preserve">both </w:t>
      </w:r>
      <w:r w:rsidR="002D367F">
        <w:t xml:space="preserve">agencies and decision makers </w:t>
      </w:r>
      <w:r w:rsidR="008B3DC4">
        <w:t xml:space="preserve">and be closer to Cabinet processes and the development of policy proposals </w:t>
      </w:r>
      <w:r w:rsidR="002D367F">
        <w:t>—</w:t>
      </w:r>
      <w:r w:rsidR="00BD5471">
        <w:t xml:space="preserve"> </w:t>
      </w:r>
      <w:r w:rsidR="00E601D1">
        <w:t>could possibly</w:t>
      </w:r>
      <w:r w:rsidR="00BD5471">
        <w:t xml:space="preserve"> be overstated.</w:t>
      </w:r>
      <w:r w:rsidR="005A1615">
        <w:t xml:space="preserve"> </w:t>
      </w:r>
      <w:r w:rsidR="00F9469C">
        <w:t xml:space="preserve">Furthermore, some stakeholders have suggested </w:t>
      </w:r>
      <w:r w:rsidR="00E96E76">
        <w:t xml:space="preserve">that </w:t>
      </w:r>
      <w:r w:rsidR="00C24CC1">
        <w:t>being close to the centre of government</w:t>
      </w:r>
      <w:r w:rsidR="00661B59">
        <w:t xml:space="preserve"> has </w:t>
      </w:r>
      <w:r w:rsidR="00100B8C">
        <w:t xml:space="preserve">at times </w:t>
      </w:r>
      <w:r w:rsidR="00661B59">
        <w:t>under</w:t>
      </w:r>
      <w:r w:rsidR="005E0C8C">
        <w:t>mined</w:t>
      </w:r>
      <w:r w:rsidR="00661B59">
        <w:t xml:space="preserve"> the </w:t>
      </w:r>
      <w:r w:rsidR="00F9469C">
        <w:t xml:space="preserve">credibility </w:t>
      </w:r>
      <w:r w:rsidR="00C24CC1">
        <w:t xml:space="preserve">of oversight bodies </w:t>
      </w:r>
      <w:r w:rsidR="00CC444C">
        <w:t xml:space="preserve">as </w:t>
      </w:r>
      <w:r w:rsidR="00F9469C">
        <w:t xml:space="preserve">these bodies </w:t>
      </w:r>
      <w:r w:rsidR="00CC444C">
        <w:t>have been seen</w:t>
      </w:r>
      <w:r w:rsidR="00CC444C" w:rsidDel="00CC444C">
        <w:t xml:space="preserve"> </w:t>
      </w:r>
      <w:r w:rsidR="00E31507">
        <w:t>as</w:t>
      </w:r>
      <w:r w:rsidR="009006BA">
        <w:t xml:space="preserve"> </w:t>
      </w:r>
      <w:r w:rsidR="00B872C1">
        <w:t xml:space="preserve">not </w:t>
      </w:r>
      <w:r w:rsidR="00CC444C">
        <w:t xml:space="preserve">being </w:t>
      </w:r>
      <w:r w:rsidR="00661B59">
        <w:t>sufficiently insulated from political pressure emanating from government</w:t>
      </w:r>
      <w:r w:rsidR="00CC444C">
        <w:t xml:space="preserve"> (BCA 2010; </w:t>
      </w:r>
      <w:proofErr w:type="spellStart"/>
      <w:r w:rsidR="00CC444C">
        <w:t>ACCI</w:t>
      </w:r>
      <w:proofErr w:type="spellEnd"/>
      <w:r w:rsidR="00CC444C">
        <w:t xml:space="preserve"> 2011; </w:t>
      </w:r>
      <w:proofErr w:type="spellStart"/>
      <w:r w:rsidR="00CC444C">
        <w:t>PCA</w:t>
      </w:r>
      <w:proofErr w:type="spellEnd"/>
      <w:r w:rsidR="00CC444C">
        <w:t xml:space="preserve"> 2011)</w:t>
      </w:r>
      <w:r w:rsidR="00661B59">
        <w:t>.</w:t>
      </w:r>
      <w:r w:rsidR="00462C44">
        <w:t xml:space="preserve"> </w:t>
      </w:r>
      <w:r w:rsidR="00F9469C">
        <w:t xml:space="preserve">Lack of transparency of </w:t>
      </w:r>
      <w:r w:rsidR="00445BDC">
        <w:t xml:space="preserve">RIA documentation and </w:t>
      </w:r>
      <w:r w:rsidR="00F9469C">
        <w:t xml:space="preserve">oversight </w:t>
      </w:r>
      <w:r w:rsidR="00445BDC">
        <w:t xml:space="preserve">body </w:t>
      </w:r>
      <w:r w:rsidR="00A40B7F">
        <w:t xml:space="preserve">compliance reporting </w:t>
      </w:r>
      <w:r w:rsidR="00F9469C">
        <w:t xml:space="preserve">reinforces these perceptions (chapter 7). </w:t>
      </w:r>
    </w:p>
    <w:p w:rsidR="00595EDB" w:rsidRDefault="00E96E76" w:rsidP="00595EDB">
      <w:pPr>
        <w:pStyle w:val="BodyText"/>
      </w:pPr>
      <w:r>
        <w:t>M</w:t>
      </w:r>
      <w:r w:rsidR="004A2039">
        <w:t xml:space="preserve">ore </w:t>
      </w:r>
      <w:r w:rsidR="00575FC0">
        <w:t>i</w:t>
      </w:r>
      <w:r w:rsidR="00462C44">
        <w:t xml:space="preserve">ndependent </w:t>
      </w:r>
      <w:r w:rsidR="004A2039">
        <w:t>oversight</w:t>
      </w:r>
      <w:r w:rsidR="00462C44">
        <w:t xml:space="preserve"> </w:t>
      </w:r>
      <w:r w:rsidR="009006BA">
        <w:t>arrangements are</w:t>
      </w:r>
      <w:r w:rsidR="00462C44">
        <w:t xml:space="preserve"> likely to be less susceptible </w:t>
      </w:r>
      <w:r w:rsidR="009A6310">
        <w:t xml:space="preserve">(but not immune) </w:t>
      </w:r>
      <w:r w:rsidR="00462C44">
        <w:t xml:space="preserve">to </w:t>
      </w:r>
      <w:r w:rsidR="00876AAB">
        <w:t>external political influence</w:t>
      </w:r>
      <w:r w:rsidR="00462C44">
        <w:t>.</w:t>
      </w:r>
      <w:r w:rsidR="00595EDB">
        <w:t xml:space="preserve"> The creation of a</w:t>
      </w:r>
      <w:r w:rsidR="00182A11">
        <w:t>n</w:t>
      </w:r>
      <w:r w:rsidR="00595EDB">
        <w:t xml:space="preserve"> </w:t>
      </w:r>
      <w:r w:rsidR="00F7320E">
        <w:t xml:space="preserve">independent </w:t>
      </w:r>
      <w:r w:rsidR="00595EDB">
        <w:t xml:space="preserve">statutory </w:t>
      </w:r>
      <w:r w:rsidR="00F7320E">
        <w:t>a</w:t>
      </w:r>
      <w:r w:rsidR="000A1EE6">
        <w:t>gency</w:t>
      </w:r>
      <w:r w:rsidR="00595EDB">
        <w:t xml:space="preserve"> would provide the greatest level of independence</w:t>
      </w:r>
      <w:r w:rsidR="00C015DB">
        <w:t xml:space="preserve"> (wh</w:t>
      </w:r>
      <w:r w:rsidR="002C34D6">
        <w:t>ile still</w:t>
      </w:r>
      <w:r w:rsidR="00C015DB">
        <w:t xml:space="preserve"> reporting to executive government)</w:t>
      </w:r>
      <w:r w:rsidR="00F7320E">
        <w:t>. However, this institutional model would impose some additional obligations and constraints, including:</w:t>
      </w:r>
    </w:p>
    <w:p w:rsidR="00990DAB" w:rsidRDefault="00F7320E" w:rsidP="00F7320E">
      <w:pPr>
        <w:pStyle w:val="ListBullet"/>
      </w:pPr>
      <w:r>
        <w:t xml:space="preserve">legislation </w:t>
      </w:r>
      <w:r w:rsidR="00FB432B">
        <w:t xml:space="preserve">to establish the body </w:t>
      </w:r>
      <w:r>
        <w:t xml:space="preserve">would need to be </w:t>
      </w:r>
      <w:r w:rsidR="00182A11">
        <w:t xml:space="preserve">passed through Parliament </w:t>
      </w:r>
    </w:p>
    <w:p w:rsidR="00182A11" w:rsidRDefault="00182A11" w:rsidP="00F7320E">
      <w:pPr>
        <w:pStyle w:val="ListBullet"/>
      </w:pPr>
      <w:r>
        <w:t xml:space="preserve">some reduced flexibility </w:t>
      </w:r>
      <w:r w:rsidR="00990DAB">
        <w:t xml:space="preserve">in the government’s capacity </w:t>
      </w:r>
      <w:r>
        <w:t xml:space="preserve">to modify </w:t>
      </w:r>
      <w:r w:rsidR="00990DAB">
        <w:t xml:space="preserve">RIA </w:t>
      </w:r>
      <w:r>
        <w:t>operating practices and procedures</w:t>
      </w:r>
    </w:p>
    <w:p w:rsidR="00182A11" w:rsidRDefault="00182A11" w:rsidP="00F7320E">
      <w:pPr>
        <w:pStyle w:val="ListBullet"/>
      </w:pPr>
      <w:r>
        <w:t>some accountability obligations to the Parliament</w:t>
      </w:r>
    </w:p>
    <w:p w:rsidR="00182A11" w:rsidRDefault="00182A11" w:rsidP="00F7320E">
      <w:pPr>
        <w:pStyle w:val="ListBullet"/>
      </w:pPr>
      <w:r>
        <w:t>requirement for the publication of an annual report.</w:t>
      </w:r>
    </w:p>
    <w:p w:rsidR="000A1EE6" w:rsidRDefault="000A1EE6" w:rsidP="000A1EE6">
      <w:pPr>
        <w:pStyle w:val="BodyText"/>
      </w:pPr>
      <w:r>
        <w:t xml:space="preserve">To increase independence further, some statutory agencies </w:t>
      </w:r>
      <w:r w:rsidR="00FB432B">
        <w:t xml:space="preserve">in other areas of government </w:t>
      </w:r>
      <w:r>
        <w:t xml:space="preserve">also establish an advisory committee to assist and advise the head of the agency in matters relating to the performance of </w:t>
      </w:r>
      <w:r w:rsidR="00450D7D">
        <w:t>their</w:t>
      </w:r>
      <w:r>
        <w:t xml:space="preserve"> functions.</w:t>
      </w:r>
      <w:r w:rsidR="00450D7D">
        <w:t xml:space="preserve"> For example, the recent </w:t>
      </w:r>
      <w:r w:rsidR="00450D7D" w:rsidRPr="00450D7D">
        <w:rPr>
          <w:i/>
        </w:rPr>
        <w:t>Australian Information Commissioner Act 2010</w:t>
      </w:r>
      <w:r w:rsidR="00450D7D">
        <w:t xml:space="preserve"> establishes an Information Advisory Committee to assist the Information Commissioner.</w:t>
      </w:r>
    </w:p>
    <w:p w:rsidR="00182A11" w:rsidRDefault="00182A11" w:rsidP="00595EDB">
      <w:pPr>
        <w:pStyle w:val="BodyText"/>
      </w:pPr>
      <w:r>
        <w:t xml:space="preserve">The </w:t>
      </w:r>
      <w:proofErr w:type="spellStart"/>
      <w:r>
        <w:t>Uhrig</w:t>
      </w:r>
      <w:proofErr w:type="spellEnd"/>
      <w:r>
        <w:t xml:space="preserve"> Review </w:t>
      </w:r>
      <w:r w:rsidR="009A6310">
        <w:t xml:space="preserve">(2003) </w:t>
      </w:r>
      <w:r>
        <w:t xml:space="preserve">emphasised the importance of ensuring that ‘the benefits of establishing functions separate from government are significant enough to warrant the creation </w:t>
      </w:r>
      <w:r w:rsidR="009A6310">
        <w:t>of statutory bodies’ (p. 58) and further stated:</w:t>
      </w:r>
    </w:p>
    <w:p w:rsidR="009A6310" w:rsidRDefault="009A6310" w:rsidP="009A6310">
      <w:pPr>
        <w:pStyle w:val="Quote"/>
      </w:pPr>
      <w:r>
        <w:lastRenderedPageBreak/>
        <w:t xml:space="preserve">The powers and functions … are generally specified in significant detail in the enabling legislation. … </w:t>
      </w:r>
      <w:r w:rsidR="00FB432B">
        <w:t>[</w:t>
      </w:r>
      <w:r>
        <w:t>it</w:t>
      </w:r>
      <w:r w:rsidR="00FB432B">
        <w:t>]</w:t>
      </w:r>
      <w:r>
        <w:t xml:space="preserve"> has the effect of limiting the flexibility in responding to changing government and community priorities. Legislation may become dated and can be difficult to change.</w:t>
      </w:r>
    </w:p>
    <w:p w:rsidR="009A6310" w:rsidRDefault="009A6310" w:rsidP="009A6310">
      <w:pPr>
        <w:pStyle w:val="Quote"/>
      </w:pPr>
      <w:r>
        <w:t>Consideration should be given to whether functions can be accommodated successfully within a departmental structure or an executive agency, reducing the need for the creation of a separate authority and the associated costs and demands placed on the public sector. (</w:t>
      </w:r>
      <w:proofErr w:type="spellStart"/>
      <w:r>
        <w:t>Uhrig</w:t>
      </w:r>
      <w:proofErr w:type="spellEnd"/>
      <w:r>
        <w:t xml:space="preserve"> 2003, p. 58)</w:t>
      </w:r>
    </w:p>
    <w:p w:rsidR="005A1615" w:rsidRDefault="00BC252A" w:rsidP="007D7E75">
      <w:pPr>
        <w:pStyle w:val="BodyText"/>
      </w:pPr>
      <w:r>
        <w:t>I</w:t>
      </w:r>
      <w:r w:rsidR="00595EDB" w:rsidRPr="005E0C8C">
        <w:t>n smaller jurisdictions</w:t>
      </w:r>
      <w:r w:rsidR="00FB432B">
        <w:t>,</w:t>
      </w:r>
      <w:r w:rsidR="00595EDB" w:rsidRPr="005E0C8C">
        <w:t xml:space="preserve"> </w:t>
      </w:r>
      <w:r w:rsidR="00595EDB">
        <w:t xml:space="preserve">the </w:t>
      </w:r>
      <w:r w:rsidR="00595EDB" w:rsidRPr="005E0C8C">
        <w:t xml:space="preserve">low volume of </w:t>
      </w:r>
      <w:r w:rsidR="00595EDB">
        <w:t xml:space="preserve">RIS </w:t>
      </w:r>
      <w:r w:rsidR="00595EDB" w:rsidRPr="005E0C8C">
        <w:t>activity may mean establishing a</w:t>
      </w:r>
      <w:r w:rsidR="00913952">
        <w:t>n</w:t>
      </w:r>
      <w:r w:rsidR="00595EDB">
        <w:t xml:space="preserve"> </w:t>
      </w:r>
      <w:r w:rsidR="00595EDB" w:rsidRPr="005E0C8C">
        <w:t xml:space="preserve">oversight body </w:t>
      </w:r>
      <w:r w:rsidR="00C76E5B">
        <w:t xml:space="preserve">with statutory independence </w:t>
      </w:r>
      <w:r w:rsidR="00595EDB" w:rsidRPr="005E0C8C">
        <w:t xml:space="preserve">is not </w:t>
      </w:r>
      <w:r w:rsidR="00595EDB">
        <w:t>cost-effective</w:t>
      </w:r>
      <w:r w:rsidR="00595EDB" w:rsidRPr="005E0C8C">
        <w:t xml:space="preserve">. </w:t>
      </w:r>
      <w:r w:rsidR="000821E1">
        <w:t xml:space="preserve">However, costs may be significantly </w:t>
      </w:r>
      <w:r w:rsidR="00100B8C">
        <w:t>reduced</w:t>
      </w:r>
      <w:r w:rsidR="000821E1">
        <w:t xml:space="preserve"> if the oversight body is located within an existing statutory agency, as </w:t>
      </w:r>
      <w:r w:rsidR="00100B8C">
        <w:t xml:space="preserve">has </w:t>
      </w:r>
      <w:r w:rsidR="000821E1">
        <w:t xml:space="preserve">recently occurred in Queensland. </w:t>
      </w:r>
      <w:r w:rsidR="00354E11">
        <w:t>In such cases it is important to ensure that any conflicts of interest are appropriately managed.</w:t>
      </w:r>
      <w:r w:rsidR="005A1615">
        <w:t xml:space="preserve"> </w:t>
      </w:r>
      <w:r w:rsidR="003F3B93">
        <w:t xml:space="preserve">For example, the </w:t>
      </w:r>
      <w:proofErr w:type="spellStart"/>
      <w:r w:rsidR="003F3B93">
        <w:t>QCA</w:t>
      </w:r>
      <w:proofErr w:type="spellEnd"/>
      <w:r w:rsidR="003F3B93">
        <w:t xml:space="preserve"> is a significant regulator itself, </w:t>
      </w:r>
      <w:r w:rsidR="007D7E75">
        <w:t>with</w:t>
      </w:r>
      <w:r w:rsidR="003F3B93">
        <w:t xml:space="preserve"> potential for its </w:t>
      </w:r>
      <w:proofErr w:type="spellStart"/>
      <w:r w:rsidR="003F3B93">
        <w:t>RIS</w:t>
      </w:r>
      <w:r w:rsidR="00E24F38">
        <w:t>s</w:t>
      </w:r>
      <w:proofErr w:type="spellEnd"/>
      <w:r w:rsidR="003F3B93">
        <w:t xml:space="preserve"> to be subject to </w:t>
      </w:r>
      <w:proofErr w:type="spellStart"/>
      <w:r w:rsidR="003F3B93">
        <w:t>QOBPR</w:t>
      </w:r>
      <w:proofErr w:type="spellEnd"/>
      <w:r w:rsidR="003F3B93">
        <w:t xml:space="preserve"> adequacy assessment — </w:t>
      </w:r>
      <w:r w:rsidR="00E24F38">
        <w:t xml:space="preserve">therefore </w:t>
      </w:r>
      <w:r w:rsidR="003F3B93">
        <w:t>appropriate ‘Chinese Walls’ would need to be in place</w:t>
      </w:r>
      <w:r w:rsidR="00A769F1">
        <w:t xml:space="preserve"> to ensure the existing agency’s objectives do not conflict with the oversight function.</w:t>
      </w:r>
    </w:p>
    <w:p w:rsidR="00595EDB" w:rsidRDefault="00C83CF9" w:rsidP="00595EDB">
      <w:pPr>
        <w:pStyle w:val="BodyText"/>
      </w:pPr>
      <w:r>
        <w:t xml:space="preserve">Jurisdictions could also consider </w:t>
      </w:r>
      <w:r w:rsidR="00E1310A">
        <w:t>alternative measures</w:t>
      </w:r>
      <w:r w:rsidR="00BC252A">
        <w:t xml:space="preserve"> for achieving </w:t>
      </w:r>
      <w:r w:rsidR="00100B8C">
        <w:t>some</w:t>
      </w:r>
      <w:r w:rsidR="00BC252A">
        <w:t xml:space="preserve"> independence</w:t>
      </w:r>
      <w:r w:rsidR="00450D7D">
        <w:t xml:space="preserve"> without </w:t>
      </w:r>
      <w:r w:rsidR="0015445E">
        <w:t xml:space="preserve">necessarily </w:t>
      </w:r>
      <w:r w:rsidR="00450D7D">
        <w:t>establishing an independent statutory agency</w:t>
      </w:r>
      <w:r w:rsidR="0015445E">
        <w:t>, these include</w:t>
      </w:r>
      <w:r w:rsidR="00BC252A">
        <w:t>:</w:t>
      </w:r>
    </w:p>
    <w:p w:rsidR="00BC252A" w:rsidRDefault="00D04E64" w:rsidP="00F92868">
      <w:pPr>
        <w:pStyle w:val="ListBullet"/>
      </w:pPr>
      <w:r>
        <w:t xml:space="preserve">formalising a </w:t>
      </w:r>
      <w:r w:rsidR="00450D7D">
        <w:t>Memorandum of Understanding (</w:t>
      </w:r>
      <w:proofErr w:type="spellStart"/>
      <w:r w:rsidR="00450D7D">
        <w:t>MOU</w:t>
      </w:r>
      <w:proofErr w:type="spellEnd"/>
      <w:r w:rsidR="00450D7D">
        <w:t xml:space="preserve">) with the </w:t>
      </w:r>
      <w:r w:rsidR="00E601D1">
        <w:t>central</w:t>
      </w:r>
      <w:r w:rsidR="00450D7D">
        <w:t xml:space="preserve"> department</w:t>
      </w:r>
      <w:r w:rsidR="00F92868" w:rsidRPr="00F92868">
        <w:t xml:space="preserve"> </w:t>
      </w:r>
      <w:r w:rsidR="00F92868">
        <w:t xml:space="preserve">— a </w:t>
      </w:r>
      <w:r w:rsidR="00F92868" w:rsidRPr="00F92868">
        <w:t xml:space="preserve">current example of such an arrangement (albeit for an oversight body that has some degree of independence) is the Framework Agreement in Victoria, which outlines the protocols for the working relationship between the Department of Treasury and Finance and the </w:t>
      </w:r>
      <w:proofErr w:type="spellStart"/>
      <w:r w:rsidR="00F92868" w:rsidRPr="00F92868">
        <w:t>V</w:t>
      </w:r>
      <w:r w:rsidR="00F92868">
        <w:t>CEC</w:t>
      </w:r>
      <w:proofErr w:type="spellEnd"/>
      <w:r w:rsidR="00F92868">
        <w:t xml:space="preserve"> (Victorian Government</w:t>
      </w:r>
      <w:r w:rsidR="009F61DB">
        <w:t> </w:t>
      </w:r>
      <w:r w:rsidR="00F92868">
        <w:t>2005)</w:t>
      </w:r>
    </w:p>
    <w:p w:rsidR="007F6DC6" w:rsidRDefault="007F6DC6" w:rsidP="00BC252A">
      <w:pPr>
        <w:pStyle w:val="ListBullet"/>
      </w:pPr>
      <w:r>
        <w:t>supporting the oversight body with an advisory board</w:t>
      </w:r>
      <w:r w:rsidR="00140861">
        <w:t xml:space="preserve">, similar to the arrangements for the </w:t>
      </w:r>
      <w:r w:rsidR="00FB432B">
        <w:t xml:space="preserve">Australian Government </w:t>
      </w:r>
      <w:r w:rsidR="00140861">
        <w:t>Bureau of Resource and Energy Economics</w:t>
      </w:r>
      <w:r w:rsidR="00FB432B">
        <w:t>,</w:t>
      </w:r>
      <w:r w:rsidR="00140861">
        <w:t xml:space="preserve"> which was formed in July 2011 </w:t>
      </w:r>
      <w:r w:rsidR="00FA38DD">
        <w:t>and</w:t>
      </w:r>
      <w:r w:rsidR="00140861">
        <w:t xml:space="preserve"> is comprised of pe</w:t>
      </w:r>
      <w:r w:rsidR="00FA38DD">
        <w:t>rsons</w:t>
      </w:r>
      <w:r w:rsidR="00140861">
        <w:t xml:space="preserve"> with relevant skills and experience from both the private and public sectors</w:t>
      </w:r>
    </w:p>
    <w:p w:rsidR="00072F21" w:rsidRDefault="00072F21" w:rsidP="00B04FE3">
      <w:pPr>
        <w:pStyle w:val="ListBullet2"/>
      </w:pPr>
      <w:proofErr w:type="spellStart"/>
      <w:r>
        <w:t>Borthwick</w:t>
      </w:r>
      <w:proofErr w:type="spellEnd"/>
      <w:r>
        <w:t xml:space="preserve"> and Milliner (2012)</w:t>
      </w:r>
      <w:r w:rsidR="00C85F94">
        <w:t>, when reviewing the Australian Government’s RIA process,</w:t>
      </w:r>
      <w:r>
        <w:t xml:space="preserve"> considered that the Executive Director of the OBPR </w:t>
      </w:r>
      <w:r w:rsidR="00207546">
        <w:t xml:space="preserve">should </w:t>
      </w:r>
      <w:r>
        <w:t>be supported by a small independent advisory board to oversight the integrity of the process and be used as a sounding board on issues</w:t>
      </w:r>
    </w:p>
    <w:p w:rsidR="0044196C" w:rsidRDefault="008C6F7A" w:rsidP="00BC252A">
      <w:pPr>
        <w:pStyle w:val="ListBullet"/>
      </w:pPr>
      <w:r>
        <w:t>creating</w:t>
      </w:r>
      <w:r w:rsidR="00D04E64">
        <w:t xml:space="preserve"> </w:t>
      </w:r>
      <w:r w:rsidR="00450D7D">
        <w:t xml:space="preserve">an </w:t>
      </w:r>
      <w:r w:rsidR="00100B8C">
        <w:t>‘</w:t>
      </w:r>
      <w:r w:rsidR="00C015DB">
        <w:t>e</w:t>
      </w:r>
      <w:r w:rsidR="00450D7D">
        <w:t xml:space="preserve">xecutive </w:t>
      </w:r>
      <w:r w:rsidR="0015445E">
        <w:t>a</w:t>
      </w:r>
      <w:r w:rsidR="00450D7D">
        <w:t>gency</w:t>
      </w:r>
      <w:r w:rsidR="00100B8C">
        <w:t>’</w:t>
      </w:r>
      <w:r w:rsidR="004F0BE3">
        <w:t xml:space="preserve">— </w:t>
      </w:r>
      <w:r w:rsidR="00FB432B">
        <w:t xml:space="preserve">the concept is described in box 8.3 for the Australian Government, but </w:t>
      </w:r>
      <w:r w:rsidR="00F92868">
        <w:t xml:space="preserve">the Commission understands that </w:t>
      </w:r>
      <w:r w:rsidR="00CA0643">
        <w:t>some</w:t>
      </w:r>
      <w:r w:rsidR="00F92442">
        <w:t xml:space="preserve"> </w:t>
      </w:r>
      <w:r w:rsidR="004F0BE3">
        <w:t xml:space="preserve">states have </w:t>
      </w:r>
      <w:r w:rsidR="00CA0643">
        <w:t xml:space="preserve">the flexibility to implement </w:t>
      </w:r>
      <w:r w:rsidR="00F92442">
        <w:t>similar</w:t>
      </w:r>
      <w:r w:rsidR="004F0BE3">
        <w:t xml:space="preserve"> </w:t>
      </w:r>
      <w:r w:rsidR="008E47A5">
        <w:t xml:space="preserve">governance </w:t>
      </w:r>
      <w:r w:rsidR="004F0BE3">
        <w:t>arrangements</w:t>
      </w:r>
    </w:p>
    <w:p w:rsidR="00450D7D" w:rsidRDefault="0044196C" w:rsidP="00BC252A">
      <w:pPr>
        <w:pStyle w:val="ListBullet"/>
      </w:pPr>
      <w:r>
        <w:lastRenderedPageBreak/>
        <w:t>establishing oversight functions within the departmental structure, headed by a</w:t>
      </w:r>
      <w:r w:rsidR="00E10625">
        <w:t xml:space="preserve">n independent </w:t>
      </w:r>
      <w:r>
        <w:t xml:space="preserve">statutory office holder </w:t>
      </w:r>
      <w:r w:rsidR="00F92868">
        <w:t>who reports directly to a minister</w:t>
      </w:r>
      <w:r w:rsidR="002F2072">
        <w:t xml:space="preserve">, similar to the </w:t>
      </w:r>
      <w:r w:rsidR="00E10625">
        <w:t xml:space="preserve">arrangements for the </w:t>
      </w:r>
      <w:r w:rsidR="00632E49">
        <w:t>Infrastructure Coordinator who assists Infrastructure Australia in the performance of its functions.</w:t>
      </w:r>
    </w:p>
    <w:p w:rsidR="0015445E" w:rsidRDefault="0015445E">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15445E">
        <w:tc>
          <w:tcPr>
            <w:tcW w:w="8771" w:type="dxa"/>
            <w:tcBorders>
              <w:top w:val="single" w:sz="6" w:space="0" w:color="auto"/>
              <w:bottom w:val="nil"/>
            </w:tcBorders>
          </w:tcPr>
          <w:p w:rsidR="0015445E" w:rsidRDefault="0015445E" w:rsidP="0015445E">
            <w:pPr>
              <w:pStyle w:val="BoxTitle"/>
            </w:pPr>
            <w:r>
              <w:rPr>
                <w:b w:val="0"/>
              </w:rPr>
              <w:t xml:space="preserve">Box </w:t>
            </w:r>
            <w:r w:rsidR="00FC4C5E">
              <w:rPr>
                <w:b w:val="0"/>
              </w:rPr>
              <w:t>8.</w:t>
            </w:r>
            <w:r w:rsidR="00FC4C5E">
              <w:rPr>
                <w:b w:val="0"/>
                <w:noProof/>
              </w:rPr>
              <w:t>3</w:t>
            </w:r>
            <w:r>
              <w:tab/>
              <w:t>Executive agencies in the Australian Government</w:t>
            </w:r>
          </w:p>
        </w:tc>
      </w:tr>
      <w:tr w:rsidR="0015445E">
        <w:trPr>
          <w:cantSplit/>
        </w:trPr>
        <w:tc>
          <w:tcPr>
            <w:tcW w:w="8771" w:type="dxa"/>
            <w:tcBorders>
              <w:top w:val="nil"/>
              <w:left w:val="single" w:sz="6" w:space="0" w:color="auto"/>
              <w:bottom w:val="nil"/>
              <w:right w:val="single" w:sz="6" w:space="0" w:color="auto"/>
            </w:tcBorders>
          </w:tcPr>
          <w:p w:rsidR="0015445E" w:rsidRDefault="0015445E">
            <w:pPr>
              <w:pStyle w:val="Box"/>
            </w:pPr>
            <w:r>
              <w:t xml:space="preserve">Executive agencies </w:t>
            </w:r>
            <w:r w:rsidR="00FB432B">
              <w:t xml:space="preserve">in the Australian Government </w:t>
            </w:r>
            <w:r>
              <w:t xml:space="preserve">are non-statutory bodies established by the Governor-General, acting on the advice of the Prime Minister, under Part 9 of the </w:t>
            </w:r>
            <w:r w:rsidRPr="00C015DB">
              <w:rPr>
                <w:i/>
              </w:rPr>
              <w:t>Public Service Act 1999</w:t>
            </w:r>
            <w:r>
              <w:t xml:space="preserve">. The purpose of the executive agency structure is to provide a degree of separation from departmental management where that is appropriate to the functions of the agency and something less than a statutory </w:t>
            </w:r>
            <w:r w:rsidR="00C015DB">
              <w:t>agency</w:t>
            </w:r>
            <w:r>
              <w:t xml:space="preserve"> is warranted.</w:t>
            </w:r>
          </w:p>
          <w:p w:rsidR="0015445E" w:rsidRDefault="0015445E">
            <w:pPr>
              <w:pStyle w:val="Box"/>
            </w:pPr>
            <w:r>
              <w:t>An executive agency’s functions are specified in its establishing instrument, although they may be amended subsequently by the Governor-General as circumstances require.</w:t>
            </w:r>
            <w:r w:rsidR="005A1615">
              <w:t xml:space="preserve"> </w:t>
            </w:r>
            <w:r>
              <w:t>The provisions of the Public Service Act do not go into detail about the structure of an executive government agency, so there is considerable flexibility.</w:t>
            </w:r>
          </w:p>
          <w:p w:rsidR="0015445E" w:rsidRDefault="00C015DB">
            <w:pPr>
              <w:pStyle w:val="Box"/>
            </w:pPr>
            <w:r>
              <w:t xml:space="preserve">The head of an executive agency is appointed by, and is directly accountable to, the Minister responsible for the agency. He or she need not be a public servant </w:t>
            </w:r>
            <w:r w:rsidR="00FB432B">
              <w:t>but o</w:t>
            </w:r>
            <w:r>
              <w:t xml:space="preserve">ther staff of executive agencies are </w:t>
            </w:r>
            <w:r w:rsidR="00FB432B">
              <w:t xml:space="preserve">generally </w:t>
            </w:r>
            <w:r>
              <w:t>public servants.</w:t>
            </w:r>
          </w:p>
          <w:p w:rsidR="00C015DB" w:rsidRDefault="00C015DB" w:rsidP="00C015DB">
            <w:pPr>
              <w:pStyle w:val="Box"/>
            </w:pPr>
            <w:r>
              <w:t xml:space="preserve">The head of an executive agency will have the management and accountability responsibilities of an </w:t>
            </w:r>
            <w:r w:rsidR="00E1310A">
              <w:t>agency</w:t>
            </w:r>
            <w:r>
              <w:t xml:space="preserve"> head under the Public Service Act. Full separation of accounting and financial reporting can be achieved where the body is made a prescribed agency under the </w:t>
            </w:r>
            <w:r w:rsidRPr="00C015DB">
              <w:rPr>
                <w:i/>
              </w:rPr>
              <w:t>Financial Management and Accountability Act 1997</w:t>
            </w:r>
            <w:r>
              <w:t>.</w:t>
            </w:r>
          </w:p>
          <w:p w:rsidR="00C015DB" w:rsidRDefault="00C015DB" w:rsidP="00C015DB">
            <w:pPr>
              <w:pStyle w:val="Box"/>
            </w:pPr>
            <w:r>
              <w:t xml:space="preserve">Examples of </w:t>
            </w:r>
            <w:r w:rsidR="00E02479">
              <w:t xml:space="preserve">Australian Government </w:t>
            </w:r>
            <w:r>
              <w:t>executive agencies include:</w:t>
            </w:r>
          </w:p>
          <w:p w:rsidR="002F2072" w:rsidRDefault="002F2072" w:rsidP="00C015DB">
            <w:pPr>
              <w:pStyle w:val="BoxListBullet"/>
            </w:pPr>
            <w:r>
              <w:t>Australian Agency for International Development</w:t>
            </w:r>
          </w:p>
          <w:p w:rsidR="002F2072" w:rsidRDefault="002F2072" w:rsidP="00C015DB">
            <w:pPr>
              <w:pStyle w:val="BoxListBullet"/>
            </w:pPr>
            <w:r>
              <w:t>Bureau of Meteorology</w:t>
            </w:r>
          </w:p>
          <w:p w:rsidR="00C015DB" w:rsidRDefault="002C34D6" w:rsidP="00C015DB">
            <w:pPr>
              <w:pStyle w:val="BoxListBullet"/>
            </w:pPr>
            <w:proofErr w:type="spellStart"/>
            <w:r>
              <w:t>CrimTrac</w:t>
            </w:r>
            <w:proofErr w:type="spellEnd"/>
            <w:r>
              <w:t xml:space="preserve"> Agency</w:t>
            </w:r>
          </w:p>
          <w:p w:rsidR="002C34D6" w:rsidRDefault="002C34D6" w:rsidP="00C015DB">
            <w:pPr>
              <w:pStyle w:val="BoxListBullet"/>
            </w:pPr>
            <w:r>
              <w:t>Insolvency and Trustee Service Australia</w:t>
            </w:r>
          </w:p>
          <w:p w:rsidR="002C34D6" w:rsidRDefault="002C34D6" w:rsidP="00C015DB">
            <w:pPr>
              <w:pStyle w:val="BoxListBullet"/>
            </w:pPr>
            <w:r>
              <w:t>National Mental Health Commission.</w:t>
            </w:r>
          </w:p>
        </w:tc>
      </w:tr>
      <w:tr w:rsidR="0015445E">
        <w:trPr>
          <w:cantSplit/>
        </w:trPr>
        <w:tc>
          <w:tcPr>
            <w:tcW w:w="8771" w:type="dxa"/>
            <w:tcBorders>
              <w:top w:val="nil"/>
              <w:left w:val="single" w:sz="6" w:space="0" w:color="auto"/>
              <w:bottom w:val="nil"/>
              <w:right w:val="single" w:sz="6" w:space="0" w:color="auto"/>
            </w:tcBorders>
          </w:tcPr>
          <w:p w:rsidR="0015445E" w:rsidRDefault="0015445E" w:rsidP="00413606">
            <w:pPr>
              <w:pStyle w:val="BoxSource"/>
            </w:pPr>
            <w:r>
              <w:rPr>
                <w:i/>
              </w:rPr>
              <w:t>Source</w:t>
            </w:r>
            <w:r w:rsidR="0049280F">
              <w:rPr>
                <w:i/>
              </w:rPr>
              <w:t>s</w:t>
            </w:r>
            <w:r w:rsidRPr="00167F06">
              <w:t xml:space="preserve">: </w:t>
            </w:r>
            <w:r w:rsidR="00C015DB">
              <w:t>PC</w:t>
            </w:r>
            <w:r>
              <w:t xml:space="preserve"> (</w:t>
            </w:r>
            <w:r w:rsidR="00C015DB">
              <w:t>2004)</w:t>
            </w:r>
            <w:r w:rsidR="00D64D4C">
              <w:t xml:space="preserve">; </w:t>
            </w:r>
            <w:r w:rsidR="0006689D">
              <w:t>Department of Finance and Deregulation</w:t>
            </w:r>
            <w:r w:rsidR="00D64D4C">
              <w:t xml:space="preserve"> (2012).</w:t>
            </w:r>
          </w:p>
        </w:tc>
      </w:tr>
      <w:tr w:rsidR="0015445E">
        <w:trPr>
          <w:cantSplit/>
        </w:trPr>
        <w:tc>
          <w:tcPr>
            <w:tcW w:w="8771" w:type="dxa"/>
            <w:tcBorders>
              <w:top w:val="nil"/>
              <w:left w:val="single" w:sz="6" w:space="0" w:color="auto"/>
              <w:bottom w:val="single" w:sz="6" w:space="0" w:color="auto"/>
              <w:right w:val="single" w:sz="6" w:space="0" w:color="auto"/>
            </w:tcBorders>
          </w:tcPr>
          <w:p w:rsidR="0015445E" w:rsidRDefault="0015445E">
            <w:pPr>
              <w:pStyle w:val="Box"/>
              <w:spacing w:before="0" w:line="120" w:lineRule="exact"/>
            </w:pPr>
          </w:p>
        </w:tc>
      </w:tr>
      <w:tr w:rsidR="0015445E">
        <w:tc>
          <w:tcPr>
            <w:tcW w:w="8771" w:type="dxa"/>
            <w:tcBorders>
              <w:top w:val="nil"/>
              <w:left w:val="nil"/>
              <w:bottom w:val="nil"/>
              <w:right w:val="nil"/>
            </w:tcBorders>
          </w:tcPr>
          <w:p w:rsidR="0015445E" w:rsidRDefault="0015445E">
            <w:pPr>
              <w:pStyle w:val="Box"/>
              <w:keepNext w:val="0"/>
              <w:spacing w:before="60" w:after="60" w:line="80" w:lineRule="exact"/>
              <w:rPr>
                <w:b/>
                <w:color w:val="FF00FF"/>
                <w:sz w:val="14"/>
              </w:rPr>
            </w:pPr>
          </w:p>
        </w:tc>
      </w:tr>
    </w:tbl>
    <w:p w:rsidR="00340542" w:rsidRDefault="00FB432B" w:rsidP="00340542">
      <w:pPr>
        <w:pStyle w:val="BodyText"/>
      </w:pPr>
      <w:r>
        <w:t>Each of t</w:t>
      </w:r>
      <w:r w:rsidR="00340542">
        <w:t>hese measures would maintain the attachment of the oversight body to a central department but at the same time may provide a degree of autonomy. For comparison purposes, the key features of these measures and the independent statutory agency alternative are set out in table 8.2.</w:t>
      </w:r>
    </w:p>
    <w:p w:rsidR="00B04FE3" w:rsidRDefault="00B04FE3" w:rsidP="00340542">
      <w:pPr>
        <w:pStyle w:val="BodyText"/>
      </w:pPr>
      <w:r>
        <w:t>Many of the concerns about the autonomy of central department oversight bodies might be addressed through the establishment of an independent statutory office holder. Such governance arrangements would provide a reasonable degree of organisational independence in a cost effective manner.</w:t>
      </w:r>
    </w:p>
    <w:p w:rsidR="00032BD6" w:rsidRDefault="00032BD6">
      <w:pPr>
        <w:pStyle w:val="TableTitle"/>
      </w:pPr>
      <w:r>
        <w:rPr>
          <w:b w:val="0"/>
        </w:rPr>
        <w:lastRenderedPageBreak/>
        <w:t xml:space="preserve">Table </w:t>
      </w:r>
      <w:r w:rsidR="00FC4C5E">
        <w:rPr>
          <w:b w:val="0"/>
        </w:rPr>
        <w:t>8.</w:t>
      </w:r>
      <w:r w:rsidR="00FC4C5E">
        <w:rPr>
          <w:b w:val="0"/>
          <w:noProof/>
        </w:rPr>
        <w:t>2</w:t>
      </w:r>
      <w:r>
        <w:tab/>
        <w:t>Alternative governance arrangements for oversight bodies</w:t>
      </w:r>
    </w:p>
    <w:p w:rsidR="00032BD6" w:rsidRDefault="00FF52AE">
      <w:pPr>
        <w:pStyle w:val="Subtitle"/>
      </w:pPr>
      <w:r>
        <w:t>Reporting to executive government</w:t>
      </w:r>
    </w:p>
    <w:tbl>
      <w:tblPr>
        <w:tblW w:w="5000" w:type="pct"/>
        <w:tblLayout w:type="fixed"/>
        <w:tblCellMar>
          <w:left w:w="0" w:type="dxa"/>
          <w:right w:w="0" w:type="dxa"/>
        </w:tblCellMar>
        <w:tblLook w:val="0000" w:firstRow="0" w:lastRow="0" w:firstColumn="0" w:lastColumn="0" w:noHBand="0" w:noVBand="0"/>
      </w:tblPr>
      <w:tblGrid>
        <w:gridCol w:w="2267"/>
        <w:gridCol w:w="1178"/>
        <w:gridCol w:w="1232"/>
        <w:gridCol w:w="1385"/>
        <w:gridCol w:w="1526"/>
        <w:gridCol w:w="1201"/>
      </w:tblGrid>
      <w:tr w:rsidR="00B42413" w:rsidTr="00AE5898">
        <w:tc>
          <w:tcPr>
            <w:tcW w:w="1290" w:type="pct"/>
            <w:tcBorders>
              <w:top w:val="single" w:sz="6" w:space="0" w:color="auto"/>
              <w:bottom w:val="single" w:sz="6" w:space="0" w:color="auto"/>
            </w:tcBorders>
            <w:shd w:val="clear" w:color="auto" w:fill="auto"/>
          </w:tcPr>
          <w:p w:rsidR="00435745" w:rsidRDefault="00435745" w:rsidP="00032BD6">
            <w:pPr>
              <w:pStyle w:val="TableColumnHeading"/>
              <w:jc w:val="left"/>
            </w:pPr>
          </w:p>
        </w:tc>
        <w:tc>
          <w:tcPr>
            <w:tcW w:w="670" w:type="pct"/>
            <w:tcBorders>
              <w:top w:val="single" w:sz="6" w:space="0" w:color="auto"/>
              <w:bottom w:val="single" w:sz="6" w:space="0" w:color="auto"/>
            </w:tcBorders>
            <w:shd w:val="clear" w:color="auto" w:fill="auto"/>
          </w:tcPr>
          <w:p w:rsidR="00435745" w:rsidRDefault="00435745" w:rsidP="00E1310A">
            <w:pPr>
              <w:pStyle w:val="TableColumnHeading"/>
            </w:pPr>
            <w:proofErr w:type="spellStart"/>
            <w:r>
              <w:t>MOU</w:t>
            </w:r>
            <w:proofErr w:type="spellEnd"/>
          </w:p>
        </w:tc>
        <w:tc>
          <w:tcPr>
            <w:tcW w:w="701" w:type="pct"/>
            <w:tcBorders>
              <w:top w:val="single" w:sz="6" w:space="0" w:color="auto"/>
              <w:bottom w:val="single" w:sz="6" w:space="0" w:color="auto"/>
            </w:tcBorders>
          </w:tcPr>
          <w:p w:rsidR="00435745" w:rsidRDefault="00435745" w:rsidP="00E1310A">
            <w:pPr>
              <w:pStyle w:val="TableColumnHeading"/>
            </w:pPr>
            <w:r>
              <w:t>Advisory board</w:t>
            </w:r>
          </w:p>
        </w:tc>
        <w:tc>
          <w:tcPr>
            <w:tcW w:w="788" w:type="pct"/>
            <w:tcBorders>
              <w:top w:val="single" w:sz="6" w:space="0" w:color="auto"/>
              <w:bottom w:val="single" w:sz="6" w:space="0" w:color="auto"/>
            </w:tcBorders>
            <w:shd w:val="clear" w:color="auto" w:fill="auto"/>
          </w:tcPr>
          <w:p w:rsidR="00435745" w:rsidRDefault="00435745" w:rsidP="00E1310A">
            <w:pPr>
              <w:pStyle w:val="TableColumnHeading"/>
            </w:pPr>
            <w:r>
              <w:t>Executive agency</w:t>
            </w:r>
          </w:p>
        </w:tc>
        <w:tc>
          <w:tcPr>
            <w:tcW w:w="868" w:type="pct"/>
            <w:tcBorders>
              <w:top w:val="single" w:sz="6" w:space="0" w:color="auto"/>
              <w:bottom w:val="single" w:sz="6" w:space="0" w:color="auto"/>
            </w:tcBorders>
          </w:tcPr>
          <w:p w:rsidR="00435745" w:rsidRDefault="00435745" w:rsidP="00E1310A">
            <w:pPr>
              <w:pStyle w:val="TableColumnHeading"/>
              <w:ind w:right="28"/>
            </w:pPr>
            <w:r>
              <w:t>Statutory office holder</w:t>
            </w:r>
          </w:p>
        </w:tc>
        <w:tc>
          <w:tcPr>
            <w:tcW w:w="683" w:type="pct"/>
            <w:tcBorders>
              <w:top w:val="single" w:sz="6" w:space="0" w:color="auto"/>
              <w:bottom w:val="single" w:sz="6" w:space="0" w:color="auto"/>
            </w:tcBorders>
            <w:shd w:val="clear" w:color="auto" w:fill="auto"/>
          </w:tcPr>
          <w:p w:rsidR="00435745" w:rsidRDefault="00435745" w:rsidP="00E1310A">
            <w:pPr>
              <w:pStyle w:val="TableColumnHeading"/>
              <w:ind w:right="28"/>
            </w:pPr>
            <w:r>
              <w:t xml:space="preserve">Statutory agency   </w:t>
            </w:r>
          </w:p>
        </w:tc>
      </w:tr>
      <w:tr w:rsidR="00B42413" w:rsidTr="00AE5898">
        <w:tc>
          <w:tcPr>
            <w:tcW w:w="1290" w:type="pct"/>
            <w:tcBorders>
              <w:top w:val="single" w:sz="6" w:space="0" w:color="auto"/>
            </w:tcBorders>
          </w:tcPr>
          <w:p w:rsidR="00435745" w:rsidRDefault="00435745" w:rsidP="00435745">
            <w:pPr>
              <w:pStyle w:val="TableUnitsRow"/>
              <w:jc w:val="left"/>
            </w:pPr>
            <w:r>
              <w:t>Degree of organisational independence relative to</w:t>
            </w:r>
            <w:r w:rsidR="00D563F3">
              <w:t xml:space="preserve"> a unit in</w:t>
            </w:r>
            <w:r>
              <w:t xml:space="preserve"> </w:t>
            </w:r>
            <w:proofErr w:type="spellStart"/>
            <w:r>
              <w:t>dept</w:t>
            </w:r>
            <w:proofErr w:type="spellEnd"/>
          </w:p>
        </w:tc>
        <w:tc>
          <w:tcPr>
            <w:tcW w:w="670" w:type="pct"/>
            <w:tcBorders>
              <w:top w:val="single" w:sz="6" w:space="0" w:color="auto"/>
            </w:tcBorders>
          </w:tcPr>
          <w:p w:rsidR="00435745" w:rsidRDefault="00435745" w:rsidP="00A670EE">
            <w:pPr>
              <w:pStyle w:val="TableUnitsRow"/>
            </w:pPr>
            <w:r>
              <w:t>Minor</w:t>
            </w:r>
          </w:p>
        </w:tc>
        <w:tc>
          <w:tcPr>
            <w:tcW w:w="701" w:type="pct"/>
            <w:tcBorders>
              <w:top w:val="single" w:sz="6" w:space="0" w:color="auto"/>
            </w:tcBorders>
          </w:tcPr>
          <w:p w:rsidR="00435745" w:rsidRDefault="00435745" w:rsidP="00AE5898">
            <w:pPr>
              <w:pStyle w:val="TableUnitsRow"/>
            </w:pPr>
            <w:r>
              <w:t>Minor/</w:t>
            </w:r>
            <w:r w:rsidR="00AE5898">
              <w:br/>
            </w:r>
            <w:r>
              <w:t>medium</w:t>
            </w:r>
          </w:p>
        </w:tc>
        <w:tc>
          <w:tcPr>
            <w:tcW w:w="788" w:type="pct"/>
            <w:tcBorders>
              <w:top w:val="single" w:sz="6" w:space="0" w:color="auto"/>
            </w:tcBorders>
          </w:tcPr>
          <w:p w:rsidR="00435745" w:rsidRDefault="00435745" w:rsidP="00A670EE">
            <w:pPr>
              <w:pStyle w:val="TableUnitsRow"/>
            </w:pPr>
            <w:r>
              <w:t>Medium</w:t>
            </w:r>
          </w:p>
        </w:tc>
        <w:tc>
          <w:tcPr>
            <w:tcW w:w="868" w:type="pct"/>
            <w:tcBorders>
              <w:top w:val="single" w:sz="6" w:space="0" w:color="auto"/>
            </w:tcBorders>
          </w:tcPr>
          <w:p w:rsidR="00435745" w:rsidRDefault="00435745" w:rsidP="00AE5898">
            <w:pPr>
              <w:pStyle w:val="TableUnitsRow"/>
              <w:ind w:right="28"/>
            </w:pPr>
            <w:r>
              <w:t>Medium/</w:t>
            </w:r>
            <w:r w:rsidR="00AE5898">
              <w:br/>
            </w:r>
            <w:r>
              <w:t>Major</w:t>
            </w:r>
          </w:p>
        </w:tc>
        <w:tc>
          <w:tcPr>
            <w:tcW w:w="683" w:type="pct"/>
            <w:tcBorders>
              <w:top w:val="single" w:sz="6" w:space="0" w:color="auto"/>
            </w:tcBorders>
          </w:tcPr>
          <w:p w:rsidR="00435745" w:rsidRDefault="00435745" w:rsidP="00A670EE">
            <w:pPr>
              <w:pStyle w:val="TableUnitsRow"/>
              <w:ind w:right="28"/>
            </w:pPr>
            <w:r>
              <w:t xml:space="preserve">Major </w:t>
            </w:r>
          </w:p>
        </w:tc>
      </w:tr>
      <w:tr w:rsidR="00B42413" w:rsidTr="00AE5898">
        <w:tc>
          <w:tcPr>
            <w:tcW w:w="1290" w:type="pct"/>
          </w:tcPr>
          <w:p w:rsidR="00435745" w:rsidRDefault="00435745" w:rsidP="000A485E">
            <w:pPr>
              <w:pStyle w:val="TableBodyText"/>
              <w:spacing w:before="20"/>
              <w:jc w:val="left"/>
            </w:pPr>
            <w:r>
              <w:t xml:space="preserve">Degree of financial management autonomy from </w:t>
            </w:r>
            <w:proofErr w:type="spellStart"/>
            <w:r>
              <w:t>dept</w:t>
            </w:r>
            <w:proofErr w:type="spellEnd"/>
          </w:p>
        </w:tc>
        <w:tc>
          <w:tcPr>
            <w:tcW w:w="670" w:type="pct"/>
          </w:tcPr>
          <w:p w:rsidR="00435745" w:rsidRDefault="00435745" w:rsidP="000A485E">
            <w:pPr>
              <w:pStyle w:val="TableBodyText"/>
              <w:spacing w:before="20"/>
            </w:pPr>
            <w:r>
              <w:t>Minor</w:t>
            </w:r>
          </w:p>
        </w:tc>
        <w:tc>
          <w:tcPr>
            <w:tcW w:w="701" w:type="pct"/>
          </w:tcPr>
          <w:p w:rsidR="00435745" w:rsidRDefault="00435745" w:rsidP="000A485E">
            <w:pPr>
              <w:pStyle w:val="TableBodyText"/>
              <w:spacing w:before="20"/>
            </w:pPr>
            <w:r>
              <w:t>Minor</w:t>
            </w:r>
          </w:p>
        </w:tc>
        <w:tc>
          <w:tcPr>
            <w:tcW w:w="788" w:type="pct"/>
          </w:tcPr>
          <w:p w:rsidR="00435745" w:rsidRDefault="00435745" w:rsidP="000A485E">
            <w:pPr>
              <w:pStyle w:val="TableBodyText"/>
              <w:spacing w:before="20"/>
            </w:pPr>
            <w:r>
              <w:t>Major</w:t>
            </w:r>
          </w:p>
        </w:tc>
        <w:tc>
          <w:tcPr>
            <w:tcW w:w="868" w:type="pct"/>
          </w:tcPr>
          <w:p w:rsidR="00435745" w:rsidRDefault="00435745" w:rsidP="000A485E">
            <w:pPr>
              <w:pStyle w:val="TableBodyText"/>
              <w:spacing w:before="20"/>
              <w:ind w:right="28"/>
            </w:pPr>
            <w:r>
              <w:t>Medium</w:t>
            </w:r>
          </w:p>
        </w:tc>
        <w:tc>
          <w:tcPr>
            <w:tcW w:w="683" w:type="pct"/>
          </w:tcPr>
          <w:p w:rsidR="00435745" w:rsidRDefault="00435745" w:rsidP="000A485E">
            <w:pPr>
              <w:pStyle w:val="TableBodyText"/>
              <w:spacing w:before="20"/>
              <w:ind w:right="28"/>
            </w:pPr>
            <w:r>
              <w:t>Major</w:t>
            </w:r>
          </w:p>
        </w:tc>
      </w:tr>
      <w:tr w:rsidR="00B42413" w:rsidTr="00AE5898">
        <w:tc>
          <w:tcPr>
            <w:tcW w:w="1290" w:type="pct"/>
          </w:tcPr>
          <w:p w:rsidR="00435745" w:rsidRDefault="00435745" w:rsidP="000A485E">
            <w:pPr>
              <w:pStyle w:val="TableBodyText"/>
              <w:spacing w:before="20"/>
              <w:jc w:val="left"/>
            </w:pPr>
            <w:r>
              <w:t xml:space="preserve">Separate accountability and reporting from </w:t>
            </w:r>
            <w:proofErr w:type="spellStart"/>
            <w:r>
              <w:t>dept</w:t>
            </w:r>
            <w:proofErr w:type="spellEnd"/>
            <w:r>
              <w:t xml:space="preserve"> </w:t>
            </w:r>
          </w:p>
        </w:tc>
        <w:tc>
          <w:tcPr>
            <w:tcW w:w="670" w:type="pct"/>
          </w:tcPr>
          <w:p w:rsidR="00435745" w:rsidRDefault="00435745" w:rsidP="000A485E">
            <w:pPr>
              <w:pStyle w:val="TableBodyText"/>
              <w:spacing w:before="20"/>
            </w:pPr>
            <w:r>
              <w:t>No</w:t>
            </w:r>
          </w:p>
        </w:tc>
        <w:tc>
          <w:tcPr>
            <w:tcW w:w="701" w:type="pct"/>
          </w:tcPr>
          <w:p w:rsidR="00435745" w:rsidRDefault="00435745" w:rsidP="000A485E">
            <w:pPr>
              <w:pStyle w:val="TableBodyText"/>
              <w:spacing w:before="20"/>
            </w:pPr>
            <w:r>
              <w:t>No</w:t>
            </w:r>
          </w:p>
        </w:tc>
        <w:tc>
          <w:tcPr>
            <w:tcW w:w="788" w:type="pct"/>
          </w:tcPr>
          <w:p w:rsidR="00435745" w:rsidRDefault="00435745" w:rsidP="000A485E">
            <w:pPr>
              <w:pStyle w:val="TableBodyText"/>
              <w:spacing w:before="20"/>
            </w:pPr>
            <w:r>
              <w:t>Yes</w:t>
            </w:r>
          </w:p>
        </w:tc>
        <w:tc>
          <w:tcPr>
            <w:tcW w:w="868" w:type="pct"/>
          </w:tcPr>
          <w:p w:rsidR="00435745" w:rsidRDefault="00435745" w:rsidP="000A485E">
            <w:pPr>
              <w:pStyle w:val="TableBodyText"/>
              <w:spacing w:before="20"/>
              <w:ind w:right="28"/>
            </w:pPr>
            <w:r>
              <w:t>Possible</w:t>
            </w:r>
          </w:p>
        </w:tc>
        <w:tc>
          <w:tcPr>
            <w:tcW w:w="683" w:type="pct"/>
          </w:tcPr>
          <w:p w:rsidR="00435745" w:rsidRDefault="00435745" w:rsidP="000A485E">
            <w:pPr>
              <w:pStyle w:val="TableBodyText"/>
              <w:spacing w:before="20"/>
              <w:ind w:right="28"/>
            </w:pPr>
            <w:r>
              <w:t>Yes</w:t>
            </w:r>
          </w:p>
        </w:tc>
      </w:tr>
      <w:tr w:rsidR="00B42413" w:rsidTr="00AE5898">
        <w:tc>
          <w:tcPr>
            <w:tcW w:w="1290" w:type="pct"/>
          </w:tcPr>
          <w:p w:rsidR="00435745" w:rsidRDefault="00435745" w:rsidP="000A485E">
            <w:pPr>
              <w:pStyle w:val="TableBodyText"/>
              <w:spacing w:before="20"/>
              <w:jc w:val="left"/>
            </w:pPr>
            <w:r>
              <w:t>Employment arrangements for head of oversight body</w:t>
            </w:r>
          </w:p>
        </w:tc>
        <w:tc>
          <w:tcPr>
            <w:tcW w:w="670" w:type="pct"/>
          </w:tcPr>
          <w:p w:rsidR="00435745" w:rsidRDefault="00435745" w:rsidP="00AE5898">
            <w:pPr>
              <w:pStyle w:val="TableBodyText"/>
              <w:spacing w:before="20"/>
            </w:pPr>
            <w:r>
              <w:t>Public</w:t>
            </w:r>
            <w:r w:rsidR="00AE5898">
              <w:br/>
            </w:r>
            <w:r>
              <w:t>servant</w:t>
            </w:r>
          </w:p>
        </w:tc>
        <w:tc>
          <w:tcPr>
            <w:tcW w:w="701" w:type="pct"/>
          </w:tcPr>
          <w:p w:rsidR="00435745" w:rsidRDefault="00435745" w:rsidP="00AE5898">
            <w:pPr>
              <w:pStyle w:val="TableBodyText"/>
              <w:spacing w:before="20"/>
            </w:pPr>
            <w:r>
              <w:t>Public</w:t>
            </w:r>
            <w:r w:rsidR="00AE5898">
              <w:br/>
            </w:r>
            <w:r>
              <w:t>servant</w:t>
            </w:r>
          </w:p>
        </w:tc>
        <w:tc>
          <w:tcPr>
            <w:tcW w:w="788" w:type="pct"/>
          </w:tcPr>
          <w:p w:rsidR="00435745" w:rsidRDefault="00435745" w:rsidP="000A485E">
            <w:pPr>
              <w:pStyle w:val="TableBodyText"/>
              <w:spacing w:before="20"/>
            </w:pPr>
            <w:r>
              <w:t>Ministerial appointment</w:t>
            </w:r>
          </w:p>
        </w:tc>
        <w:tc>
          <w:tcPr>
            <w:tcW w:w="868" w:type="pct"/>
          </w:tcPr>
          <w:p w:rsidR="00435745" w:rsidRDefault="00435745" w:rsidP="000A485E">
            <w:pPr>
              <w:pStyle w:val="TableBodyText"/>
              <w:spacing w:before="20"/>
              <w:ind w:right="28"/>
            </w:pPr>
            <w:r>
              <w:t>Determined</w:t>
            </w:r>
            <w:r w:rsidR="00821383">
              <w:br/>
            </w:r>
            <w:r>
              <w:t>by statute</w:t>
            </w:r>
          </w:p>
        </w:tc>
        <w:tc>
          <w:tcPr>
            <w:tcW w:w="683" w:type="pct"/>
          </w:tcPr>
          <w:p w:rsidR="00435745" w:rsidRDefault="00435745" w:rsidP="000A485E">
            <w:pPr>
              <w:pStyle w:val="TableBodyText"/>
              <w:spacing w:before="20"/>
              <w:ind w:right="28"/>
            </w:pPr>
            <w:r>
              <w:t>Determined</w:t>
            </w:r>
            <w:r w:rsidR="00821383">
              <w:br/>
            </w:r>
            <w:r>
              <w:t>by statute</w:t>
            </w:r>
          </w:p>
        </w:tc>
      </w:tr>
      <w:tr w:rsidR="00B42413" w:rsidTr="00AE5898">
        <w:tc>
          <w:tcPr>
            <w:tcW w:w="1290" w:type="pct"/>
            <w:tcBorders>
              <w:bottom w:val="single" w:sz="4" w:space="0" w:color="auto"/>
            </w:tcBorders>
          </w:tcPr>
          <w:p w:rsidR="00435745" w:rsidRDefault="00435745" w:rsidP="000A485E">
            <w:pPr>
              <w:pStyle w:val="TableBodyText"/>
              <w:spacing w:before="20"/>
              <w:jc w:val="left"/>
            </w:pPr>
            <w:r>
              <w:t>Increased admin cost relative to</w:t>
            </w:r>
            <w:r w:rsidR="00D563F3">
              <w:t xml:space="preserve"> a unit in</w:t>
            </w:r>
            <w:r>
              <w:t xml:space="preserve"> </w:t>
            </w:r>
            <w:proofErr w:type="spellStart"/>
            <w:r>
              <w:t>dept</w:t>
            </w:r>
            <w:proofErr w:type="spellEnd"/>
          </w:p>
        </w:tc>
        <w:tc>
          <w:tcPr>
            <w:tcW w:w="670" w:type="pct"/>
            <w:tcBorders>
              <w:bottom w:val="single" w:sz="4" w:space="0" w:color="auto"/>
            </w:tcBorders>
          </w:tcPr>
          <w:p w:rsidR="00435745" w:rsidRDefault="00435745" w:rsidP="000A485E">
            <w:pPr>
              <w:pStyle w:val="TableBodyText"/>
              <w:spacing w:before="20"/>
            </w:pPr>
            <w:r>
              <w:t>Minor</w:t>
            </w:r>
          </w:p>
        </w:tc>
        <w:tc>
          <w:tcPr>
            <w:tcW w:w="701" w:type="pct"/>
            <w:tcBorders>
              <w:bottom w:val="single" w:sz="4" w:space="0" w:color="auto"/>
            </w:tcBorders>
          </w:tcPr>
          <w:p w:rsidR="00435745" w:rsidRDefault="00435745" w:rsidP="00AE5898">
            <w:pPr>
              <w:pStyle w:val="TableBodyText"/>
              <w:spacing w:before="20"/>
            </w:pPr>
            <w:r>
              <w:t>Minor/</w:t>
            </w:r>
            <w:r w:rsidR="00AE5898">
              <w:br/>
            </w:r>
            <w:r>
              <w:t>medium</w:t>
            </w:r>
          </w:p>
        </w:tc>
        <w:tc>
          <w:tcPr>
            <w:tcW w:w="788" w:type="pct"/>
            <w:tcBorders>
              <w:bottom w:val="single" w:sz="4" w:space="0" w:color="auto"/>
            </w:tcBorders>
          </w:tcPr>
          <w:p w:rsidR="00435745" w:rsidRDefault="00435745" w:rsidP="000A485E">
            <w:pPr>
              <w:pStyle w:val="TableBodyText"/>
              <w:spacing w:before="20"/>
            </w:pPr>
            <w:r>
              <w:t>Major</w:t>
            </w:r>
          </w:p>
        </w:tc>
        <w:tc>
          <w:tcPr>
            <w:tcW w:w="868" w:type="pct"/>
            <w:tcBorders>
              <w:bottom w:val="single" w:sz="4" w:space="0" w:color="auto"/>
            </w:tcBorders>
          </w:tcPr>
          <w:p w:rsidR="00435745" w:rsidRDefault="00435745" w:rsidP="00AE5898">
            <w:pPr>
              <w:pStyle w:val="TableBodyText"/>
              <w:spacing w:before="20"/>
              <w:ind w:right="28"/>
            </w:pPr>
            <w:r>
              <w:t>Minor/</w:t>
            </w:r>
            <w:r w:rsidR="00AE5898">
              <w:br/>
            </w:r>
            <w:r>
              <w:t>Medium</w:t>
            </w:r>
          </w:p>
        </w:tc>
        <w:tc>
          <w:tcPr>
            <w:tcW w:w="683" w:type="pct"/>
            <w:tcBorders>
              <w:bottom w:val="single" w:sz="4" w:space="0" w:color="auto"/>
            </w:tcBorders>
          </w:tcPr>
          <w:p w:rsidR="00435745" w:rsidRDefault="00435745" w:rsidP="000A485E">
            <w:pPr>
              <w:pStyle w:val="TableBodyText"/>
              <w:spacing w:before="20"/>
              <w:ind w:right="28"/>
            </w:pPr>
            <w:r>
              <w:t>Major</w:t>
            </w:r>
          </w:p>
        </w:tc>
      </w:tr>
    </w:tbl>
    <w:p w:rsidR="00C7519C" w:rsidRDefault="00032BD6" w:rsidP="00445BDC">
      <w:pPr>
        <w:pStyle w:val="Source"/>
      </w:pPr>
      <w:r>
        <w:rPr>
          <w:i/>
        </w:rPr>
        <w:t>Source</w:t>
      </w:r>
      <w:r w:rsidR="0049280F">
        <w:rPr>
          <w:i/>
        </w:rPr>
        <w:t>s</w:t>
      </w:r>
      <w:r>
        <w:t xml:space="preserve">: </w:t>
      </w:r>
      <w:r w:rsidR="0006689D" w:rsidRPr="0006689D">
        <w:t>Department of Finance and Administration</w:t>
      </w:r>
      <w:r w:rsidR="00340542">
        <w:t xml:space="preserve"> (2005); </w:t>
      </w:r>
      <w:r w:rsidR="006A435D">
        <w:t>PC assessment</w:t>
      </w:r>
      <w:r>
        <w:t>.</w:t>
      </w:r>
    </w:p>
    <w:p w:rsidR="008D76D0" w:rsidRPr="008D76D0" w:rsidRDefault="008D76D0" w:rsidP="008D76D0">
      <w:pPr>
        <w:pStyle w:val="BodyText"/>
      </w:pPr>
      <w:r>
        <w:t xml:space="preserve">While increased independence of oversight bodies is supported by the Commission, statutory </w:t>
      </w:r>
      <w:r w:rsidRPr="005E0C8C">
        <w:t xml:space="preserve">independence, </w:t>
      </w:r>
      <w:r>
        <w:t>of</w:t>
      </w:r>
      <w:r w:rsidRPr="005E0C8C">
        <w:t xml:space="preserve"> itself, </w:t>
      </w:r>
      <w:r>
        <w:t>will</w:t>
      </w:r>
      <w:r w:rsidRPr="005E0C8C">
        <w:t xml:space="preserve"> not </w:t>
      </w:r>
      <w:r>
        <w:t>necessarily ensure</w:t>
      </w:r>
      <w:r w:rsidRPr="005E0C8C">
        <w:t xml:space="preserve"> </w:t>
      </w:r>
      <w:r>
        <w:t xml:space="preserve">the </w:t>
      </w:r>
      <w:r w:rsidRPr="005E0C8C">
        <w:t xml:space="preserve">oversight body </w:t>
      </w:r>
      <w:r>
        <w:t>is immune to</w:t>
      </w:r>
      <w:r w:rsidRPr="005E0C8C">
        <w:t xml:space="preserve"> political pressure. </w:t>
      </w:r>
      <w:r>
        <w:t>The r</w:t>
      </w:r>
      <w:r w:rsidRPr="005E0C8C">
        <w:t xml:space="preserve">eporting arrangements </w:t>
      </w:r>
      <w:r>
        <w:t xml:space="preserve">of the oversight body —be it to the executive or directly to the legislature — </w:t>
      </w:r>
      <w:r w:rsidRPr="005E0C8C">
        <w:t xml:space="preserve">may have a more important impact in practice than </w:t>
      </w:r>
      <w:r>
        <w:t>the body’s underlying statutory</w:t>
      </w:r>
      <w:r w:rsidRPr="005E0C8C">
        <w:t xml:space="preserve"> independence (this is discussed further in </w:t>
      </w:r>
      <w:r>
        <w:t>section</w:t>
      </w:r>
      <w:r w:rsidRPr="005E0C8C">
        <w:t xml:space="preserve"> 8</w:t>
      </w:r>
      <w:r>
        <w:t>.4</w:t>
      </w:r>
      <w:r w:rsidRPr="005E0C8C">
        <w:t xml:space="preserve">). </w:t>
      </w:r>
    </w:p>
    <w:p w:rsidR="00601F9B" w:rsidRDefault="00601F9B" w:rsidP="00601F9B">
      <w:pPr>
        <w:pStyle w:val="FindingTitle"/>
        <w:framePr w:wrap="auto"/>
        <w:spacing w:before="360"/>
      </w:pPr>
      <w:r>
        <w:t>leading practice 8.</w:t>
      </w:r>
      <w:r>
        <w:rPr>
          <w:noProof/>
        </w:rPr>
        <w:t>2</w:t>
      </w:r>
    </w:p>
    <w:p w:rsidR="00E1310A" w:rsidRPr="00D135D4" w:rsidRDefault="003736BF" w:rsidP="00F6489C">
      <w:pPr>
        <w:pStyle w:val="Finding"/>
        <w:rPr>
          <w:b/>
        </w:rPr>
      </w:pPr>
      <w:r w:rsidRPr="00D135D4">
        <w:rPr>
          <w:b/>
        </w:rPr>
        <w:t>R</w:t>
      </w:r>
      <w:r w:rsidR="00876AAB" w:rsidRPr="00D135D4">
        <w:rPr>
          <w:b/>
        </w:rPr>
        <w:t xml:space="preserve">egulatory oversight bodies that </w:t>
      </w:r>
      <w:r w:rsidR="00D563F3" w:rsidRPr="00D135D4">
        <w:rPr>
          <w:b/>
        </w:rPr>
        <w:t>have a greater degree of</w:t>
      </w:r>
      <w:r w:rsidR="004A2039" w:rsidRPr="00D135D4">
        <w:rPr>
          <w:b/>
        </w:rPr>
        <w:t xml:space="preserve"> independen</w:t>
      </w:r>
      <w:r w:rsidR="005E10CB" w:rsidRPr="00D135D4">
        <w:rPr>
          <w:b/>
        </w:rPr>
        <w:t>ce</w:t>
      </w:r>
      <w:r w:rsidR="004A2039" w:rsidRPr="00D135D4">
        <w:rPr>
          <w:b/>
        </w:rPr>
        <w:t xml:space="preserve"> </w:t>
      </w:r>
      <w:r w:rsidRPr="00D135D4">
        <w:rPr>
          <w:b/>
        </w:rPr>
        <w:t>are</w:t>
      </w:r>
      <w:r w:rsidR="00462C44" w:rsidRPr="00D135D4">
        <w:rPr>
          <w:b/>
        </w:rPr>
        <w:t xml:space="preserve"> </w:t>
      </w:r>
      <w:r w:rsidRPr="00D135D4">
        <w:rPr>
          <w:b/>
        </w:rPr>
        <w:t xml:space="preserve">likely to </w:t>
      </w:r>
      <w:r w:rsidR="00DC34C6" w:rsidRPr="00D135D4">
        <w:rPr>
          <w:b/>
        </w:rPr>
        <w:t>operate with more objectivity and transparency in implementing RIA requirements</w:t>
      </w:r>
      <w:r w:rsidRPr="00D135D4">
        <w:rPr>
          <w:b/>
        </w:rPr>
        <w:t xml:space="preserve">. </w:t>
      </w:r>
    </w:p>
    <w:p w:rsidR="00856935" w:rsidRPr="00D135D4" w:rsidRDefault="00181C7A" w:rsidP="00E1310A">
      <w:pPr>
        <w:pStyle w:val="FindingBullet"/>
        <w:rPr>
          <w:b/>
        </w:rPr>
      </w:pPr>
      <w:r w:rsidRPr="00D135D4">
        <w:rPr>
          <w:b/>
        </w:rPr>
        <w:t>I</w:t>
      </w:r>
      <w:r w:rsidR="00C83CF9" w:rsidRPr="00D135D4">
        <w:rPr>
          <w:b/>
        </w:rPr>
        <w:t xml:space="preserve">deally, </w:t>
      </w:r>
      <w:r w:rsidR="00E1310A" w:rsidRPr="00D135D4">
        <w:rPr>
          <w:b/>
        </w:rPr>
        <w:t>the</w:t>
      </w:r>
      <w:r w:rsidR="00C67BAD" w:rsidRPr="00D135D4">
        <w:rPr>
          <w:b/>
        </w:rPr>
        <w:t xml:space="preserve"> oversight body</w:t>
      </w:r>
      <w:r w:rsidR="00E1310A" w:rsidRPr="00D135D4">
        <w:rPr>
          <w:b/>
        </w:rPr>
        <w:t xml:space="preserve"> </w:t>
      </w:r>
      <w:r w:rsidR="00C83CF9" w:rsidRPr="00D135D4">
        <w:rPr>
          <w:b/>
        </w:rPr>
        <w:t>sh</w:t>
      </w:r>
      <w:r w:rsidR="00E1310A" w:rsidRPr="00D135D4">
        <w:rPr>
          <w:b/>
        </w:rPr>
        <w:t xml:space="preserve">ould be </w:t>
      </w:r>
      <w:r w:rsidR="00FC2E52" w:rsidRPr="00D135D4">
        <w:rPr>
          <w:b/>
        </w:rPr>
        <w:t xml:space="preserve">located </w:t>
      </w:r>
      <w:r w:rsidR="00FA38DD" w:rsidRPr="00D135D4">
        <w:rPr>
          <w:b/>
        </w:rPr>
        <w:t>with</w:t>
      </w:r>
      <w:r w:rsidR="00FC2E52" w:rsidRPr="00D135D4">
        <w:rPr>
          <w:b/>
        </w:rPr>
        <w:t xml:space="preserve">in </w:t>
      </w:r>
      <w:r w:rsidR="00E1310A" w:rsidRPr="00D135D4">
        <w:rPr>
          <w:b/>
        </w:rPr>
        <w:t>an independent statutory agency</w:t>
      </w:r>
      <w:r w:rsidRPr="00D135D4">
        <w:rPr>
          <w:b/>
        </w:rPr>
        <w:t>.</w:t>
      </w:r>
      <w:r w:rsidR="00856935" w:rsidRPr="00D135D4">
        <w:rPr>
          <w:b/>
        </w:rPr>
        <w:t xml:space="preserve"> </w:t>
      </w:r>
    </w:p>
    <w:p w:rsidR="00E1310A" w:rsidRDefault="00181C7A" w:rsidP="00E1310A">
      <w:pPr>
        <w:pStyle w:val="FindingBullet"/>
      </w:pPr>
      <w:r w:rsidRPr="00D135D4">
        <w:rPr>
          <w:b/>
        </w:rPr>
        <w:t>W</w:t>
      </w:r>
      <w:r w:rsidR="004F0BE3" w:rsidRPr="00D135D4">
        <w:rPr>
          <w:b/>
        </w:rPr>
        <w:t>here the</w:t>
      </w:r>
      <w:r w:rsidR="00595B56" w:rsidRPr="00D135D4">
        <w:rPr>
          <w:b/>
        </w:rPr>
        <w:t xml:space="preserve"> oversight body</w:t>
      </w:r>
      <w:r w:rsidR="004F0BE3" w:rsidRPr="00D135D4">
        <w:rPr>
          <w:b/>
        </w:rPr>
        <w:t xml:space="preserve"> </w:t>
      </w:r>
      <w:r w:rsidR="00595B56" w:rsidRPr="00D135D4">
        <w:rPr>
          <w:b/>
        </w:rPr>
        <w:t>remains</w:t>
      </w:r>
      <w:r w:rsidR="004F0BE3" w:rsidRPr="00D135D4">
        <w:rPr>
          <w:b/>
        </w:rPr>
        <w:t xml:space="preserve"> located in a central department</w:t>
      </w:r>
      <w:r w:rsidR="00EC167D">
        <w:rPr>
          <w:b/>
        </w:rPr>
        <w:t>,</w:t>
      </w:r>
      <w:r w:rsidR="004F0BE3" w:rsidRPr="00D135D4">
        <w:rPr>
          <w:b/>
        </w:rPr>
        <w:t xml:space="preserve"> </w:t>
      </w:r>
      <w:r w:rsidR="00595B56" w:rsidRPr="00D135D4">
        <w:rPr>
          <w:b/>
        </w:rPr>
        <w:t>its</w:t>
      </w:r>
      <w:r w:rsidR="004F0BE3" w:rsidRPr="00D135D4">
        <w:rPr>
          <w:b/>
        </w:rPr>
        <w:t xml:space="preserve"> autonomy </w:t>
      </w:r>
      <w:r w:rsidR="00595B56" w:rsidRPr="00D135D4">
        <w:rPr>
          <w:b/>
        </w:rPr>
        <w:t>can</w:t>
      </w:r>
      <w:r w:rsidR="004F0BE3" w:rsidRPr="00D135D4">
        <w:rPr>
          <w:b/>
        </w:rPr>
        <w:t xml:space="preserve"> be strengthened through </w:t>
      </w:r>
      <w:r w:rsidR="00595B56" w:rsidRPr="00D135D4">
        <w:rPr>
          <w:b/>
        </w:rPr>
        <w:t xml:space="preserve">the appointment </w:t>
      </w:r>
      <w:r w:rsidR="003A5896" w:rsidRPr="00D135D4">
        <w:rPr>
          <w:b/>
        </w:rPr>
        <w:t xml:space="preserve">of </w:t>
      </w:r>
      <w:r w:rsidR="00595B56" w:rsidRPr="00D135D4">
        <w:rPr>
          <w:b/>
        </w:rPr>
        <w:t xml:space="preserve">a </w:t>
      </w:r>
      <w:r w:rsidR="005116AE" w:rsidRPr="00D135D4">
        <w:rPr>
          <w:b/>
        </w:rPr>
        <w:t xml:space="preserve">statutory office holder </w:t>
      </w:r>
      <w:r w:rsidR="00A95825" w:rsidRPr="00D135D4">
        <w:rPr>
          <w:b/>
        </w:rPr>
        <w:t>with direct ministerial reporting</w:t>
      </w:r>
      <w:r w:rsidR="0054515D" w:rsidRPr="00D135D4">
        <w:rPr>
          <w:b/>
        </w:rPr>
        <w:t xml:space="preserve"> and appropriate safeguards to ensure independence and objectivity</w:t>
      </w:r>
      <w:r w:rsidR="004F0BE3" w:rsidRPr="00D135D4">
        <w:rPr>
          <w:b/>
        </w:rPr>
        <w:t>.</w:t>
      </w:r>
    </w:p>
    <w:p w:rsidR="00601F9B" w:rsidRDefault="00601F9B">
      <w:pPr>
        <w:rPr>
          <w:rFonts w:ascii="Arial" w:hAnsi="Arial"/>
          <w:b/>
          <w:szCs w:val="20"/>
        </w:rPr>
      </w:pPr>
      <w:r>
        <w:br w:type="page"/>
      </w:r>
    </w:p>
    <w:p w:rsidR="00792535" w:rsidRDefault="00792535" w:rsidP="001D37E4">
      <w:pPr>
        <w:pStyle w:val="Heading3"/>
      </w:pPr>
      <w:r>
        <w:lastRenderedPageBreak/>
        <w:t>Are regulatory oversight bodies accountable for the</w:t>
      </w:r>
      <w:r w:rsidR="00C70361">
        <w:t>ir</w:t>
      </w:r>
      <w:r>
        <w:t xml:space="preserve"> assessments?</w:t>
      </w:r>
    </w:p>
    <w:p w:rsidR="00792535" w:rsidRDefault="00C7418D" w:rsidP="009F1801">
      <w:pPr>
        <w:pStyle w:val="BodyText"/>
      </w:pPr>
      <w:r>
        <w:t>All</w:t>
      </w:r>
      <w:r w:rsidR="00792535">
        <w:t xml:space="preserve"> regulatory oversight bodies examine RIS</w:t>
      </w:r>
      <w:r w:rsidR="00A209D9">
        <w:t xml:space="preserve"> document</w:t>
      </w:r>
      <w:r w:rsidR="00792535">
        <w:t>s and advise decision makers whether they meet the government’s regulation requirements by providing an adequate level of analysis</w:t>
      </w:r>
      <w:r w:rsidR="008D3BB1">
        <w:t xml:space="preserve"> (chapter </w:t>
      </w:r>
      <w:r w:rsidR="00381A92">
        <w:t>3</w:t>
      </w:r>
      <w:r w:rsidR="008D3BB1">
        <w:t>)</w:t>
      </w:r>
      <w:r w:rsidR="00792535">
        <w:t xml:space="preserve">. But there is no government agency in any jurisdiction </w:t>
      </w:r>
      <w:r w:rsidR="007B4921">
        <w:t>which</w:t>
      </w:r>
      <w:r w:rsidR="00792535">
        <w:t xml:space="preserve"> periodically assess</w:t>
      </w:r>
      <w:r w:rsidR="007B4921">
        <w:t>es</w:t>
      </w:r>
      <w:r w:rsidR="00792535">
        <w:t xml:space="preserve"> the performance of the regulatory oversight body in carrying out this ‘challenge function’. </w:t>
      </w:r>
      <w:r w:rsidR="0051633F">
        <w:t>This lack of accountability has been raised by Harrison (2009) in relation to the Australian Government:</w:t>
      </w:r>
    </w:p>
    <w:p w:rsidR="0051633F" w:rsidRDefault="0051633F" w:rsidP="0051633F">
      <w:pPr>
        <w:pStyle w:val="Quote"/>
      </w:pPr>
      <w:r>
        <w:t xml:space="preserve">An issue that has been ignored by … various inquiries is the incentives </w:t>
      </w:r>
      <w:r w:rsidR="00432F16">
        <w:t xml:space="preserve">for the OBPR to perform its role and enforce a RIA process that improves regulation … The lack of focus on the </w:t>
      </w:r>
      <w:proofErr w:type="spellStart"/>
      <w:r w:rsidR="00432F16">
        <w:t>OBPR’s</w:t>
      </w:r>
      <w:proofErr w:type="spellEnd"/>
      <w:r w:rsidR="00432F16">
        <w:t xml:space="preserve"> performance has meant the RIA process has often provided it with poor incentives. For example, its main indicator of best practice regulation is the rate at which regulatory bodies comply with the RIA process. Although a low compliance rate from a failure to conduct </w:t>
      </w:r>
      <w:proofErr w:type="spellStart"/>
      <w:r w:rsidR="00432F16">
        <w:t>RIAs</w:t>
      </w:r>
      <w:proofErr w:type="spellEnd"/>
      <w:r w:rsidR="00432F16">
        <w:t xml:space="preserve"> indicates the process is being evaded, a high compliance rate tells us little about the quality of regulatory outcomes … High compliance rates can be produced through low standards of adequacy … (p. 44)</w:t>
      </w:r>
    </w:p>
    <w:p w:rsidR="00792535" w:rsidRDefault="00792535" w:rsidP="009F1801">
      <w:pPr>
        <w:pStyle w:val="BodyText"/>
      </w:pPr>
      <w:r>
        <w:t xml:space="preserve">For RIA processes to be credible and legitimate they need to be seen </w:t>
      </w:r>
      <w:r w:rsidR="00316FC9">
        <w:t xml:space="preserve">by stakeholders </w:t>
      </w:r>
      <w:r>
        <w:t>to be working effectively. Currently</w:t>
      </w:r>
      <w:r w:rsidR="00B87C6E">
        <w:t>,</w:t>
      </w:r>
      <w:r>
        <w:t xml:space="preserve"> </w:t>
      </w:r>
      <w:r w:rsidR="00CE2A16">
        <w:t>stakeholder</w:t>
      </w:r>
      <w:r w:rsidR="00316FC9">
        <w:t xml:space="preserve"> perception</w:t>
      </w:r>
      <w:r w:rsidR="00CE2A16">
        <w:t>s</w:t>
      </w:r>
      <w:r>
        <w:t xml:space="preserve"> </w:t>
      </w:r>
      <w:r w:rsidR="00316FC9">
        <w:t xml:space="preserve">of oversight bodies are clouded in all jurisdictions by a lack of evidence of oversight body activity and performance coupled with ample evidence of </w:t>
      </w:r>
      <w:r>
        <w:t>regulatory proposals which fail to meet RIA requirements</w:t>
      </w:r>
      <w:r w:rsidR="00316FC9">
        <w:t>, yet are still implemented</w:t>
      </w:r>
      <w:r>
        <w:t>.</w:t>
      </w:r>
    </w:p>
    <w:p w:rsidR="000609EE" w:rsidRDefault="000609EE" w:rsidP="0037127A">
      <w:pPr>
        <w:pStyle w:val="BodyText"/>
      </w:pPr>
      <w:r>
        <w:t xml:space="preserve">It would be unfair to suggest that if poor regulatory outcomes have arisen then responsibility necessarily lies with the regulatory oversight body. As discussed earlier, regulatory proposals which do not meet RIA requirements can still be implemented in all jurisdictions (for example, through agency bypass of the RIA process, a breakdown in the Cabinet office ‘gatekeeping’ role (where it exists) or through an exemption from RIA processes). </w:t>
      </w:r>
    </w:p>
    <w:p w:rsidR="00792535" w:rsidRDefault="00792535" w:rsidP="0037127A">
      <w:pPr>
        <w:pStyle w:val="BodyText"/>
      </w:pPr>
      <w:r>
        <w:t xml:space="preserve">Regulatory oversight bodies </w:t>
      </w:r>
      <w:r w:rsidR="007B4921">
        <w:t>can</w:t>
      </w:r>
      <w:r>
        <w:t xml:space="preserve"> only be held accountable for the </w:t>
      </w:r>
      <w:r w:rsidR="00D66CB0">
        <w:t xml:space="preserve">actions and </w:t>
      </w:r>
      <w:r>
        <w:t xml:space="preserve">decisions they </w:t>
      </w:r>
      <w:r w:rsidR="00D66CB0">
        <w:t>take</w:t>
      </w:r>
      <w:r>
        <w:t xml:space="preserve">. </w:t>
      </w:r>
      <w:r w:rsidR="00D32539">
        <w:t>O</w:t>
      </w:r>
      <w:r>
        <w:t xml:space="preserve">nce it has been decided that a regulatory proposal will require a RIS, </w:t>
      </w:r>
      <w:r w:rsidR="00D32539">
        <w:t>all</w:t>
      </w:r>
      <w:r w:rsidR="00F16D54">
        <w:t xml:space="preserve"> </w:t>
      </w:r>
      <w:r>
        <w:t xml:space="preserve">oversight bodies make one key decision that has the potential to influence regulatory outcomes: </w:t>
      </w:r>
      <w:r w:rsidR="00F16D54">
        <w:t>i</w:t>
      </w:r>
      <w:r>
        <w:t>s the RIS undertaken by the agency adequate?</w:t>
      </w:r>
      <w:r w:rsidRPr="0037127A">
        <w:t xml:space="preserve"> </w:t>
      </w:r>
    </w:p>
    <w:p w:rsidR="004C5228" w:rsidRDefault="001E071C" w:rsidP="004C5228">
      <w:pPr>
        <w:pStyle w:val="BodyText"/>
      </w:pPr>
      <w:r>
        <w:t xml:space="preserve">Concerns have been raised in submissions that at times oversight bodies have made incorrect adequacy assessments. </w:t>
      </w:r>
      <w:r w:rsidR="00C156A1">
        <w:t xml:space="preserve">Some submissions suggest oversight bodies </w:t>
      </w:r>
      <w:r w:rsidR="00D223D3">
        <w:t xml:space="preserve">narrowly </w:t>
      </w:r>
      <w:r w:rsidR="00C156A1">
        <w:t xml:space="preserve">confine themselves to assessing whether </w:t>
      </w:r>
      <w:r w:rsidR="00A05DAF">
        <w:t>‘</w:t>
      </w:r>
      <w:r w:rsidR="00C156A1">
        <w:t>due process</w:t>
      </w:r>
      <w:r w:rsidR="00A05DAF">
        <w:t>’</w:t>
      </w:r>
      <w:r w:rsidR="00C156A1">
        <w:t xml:space="preserve"> has been followed</w:t>
      </w:r>
      <w:r w:rsidR="00A05DAF">
        <w:t>,</w:t>
      </w:r>
      <w:r w:rsidR="00C156A1">
        <w:t xml:space="preserve"> </w:t>
      </w:r>
      <w:r w:rsidR="00A05DAF">
        <w:t xml:space="preserve">rather than the adequacy of the RIS, </w:t>
      </w:r>
      <w:r w:rsidR="00C156A1">
        <w:t xml:space="preserve">because they </w:t>
      </w:r>
      <w:r w:rsidR="00F16D54">
        <w:t xml:space="preserve">often </w:t>
      </w:r>
      <w:r w:rsidR="00C156A1">
        <w:t xml:space="preserve">do not have the resources and skills </w:t>
      </w:r>
      <w:r w:rsidR="00A05DAF">
        <w:t xml:space="preserve">necessary to undertake this task effectively </w:t>
      </w:r>
      <w:r w:rsidR="00C156A1">
        <w:t>(</w:t>
      </w:r>
      <w:proofErr w:type="spellStart"/>
      <w:r w:rsidR="006C446A">
        <w:t>AFGC</w:t>
      </w:r>
      <w:proofErr w:type="spellEnd"/>
      <w:r w:rsidR="00C156A1">
        <w:t xml:space="preserve">, sub. 5). Similarly, </w:t>
      </w:r>
      <w:r w:rsidR="004C5228">
        <w:t xml:space="preserve">Crop Life Australia </w:t>
      </w:r>
      <w:r w:rsidR="00A664FF">
        <w:t>commented</w:t>
      </w:r>
      <w:r w:rsidR="004C5228">
        <w:t xml:space="preserve"> that </w:t>
      </w:r>
      <w:r w:rsidR="00F16D54">
        <w:t>a</w:t>
      </w:r>
      <w:r w:rsidR="004C5228">
        <w:t xml:space="preserve"> lack </w:t>
      </w:r>
      <w:r w:rsidR="00F16D54">
        <w:t>of</w:t>
      </w:r>
      <w:r w:rsidR="004C5228">
        <w:t xml:space="preserve"> technical expertise </w:t>
      </w:r>
      <w:r w:rsidR="00F16D54">
        <w:t>in the regulatory oversight body has resulted in</w:t>
      </w:r>
      <w:r w:rsidR="004C5228">
        <w:t xml:space="preserve"> some poor proposals </w:t>
      </w:r>
      <w:r w:rsidR="00D223D3">
        <w:t>being</w:t>
      </w:r>
      <w:r w:rsidR="004C5228">
        <w:t xml:space="preserve"> assessed as adequate:</w:t>
      </w:r>
    </w:p>
    <w:p w:rsidR="004C5228" w:rsidRDefault="004C5228" w:rsidP="004C5228">
      <w:pPr>
        <w:pStyle w:val="Quote"/>
      </w:pPr>
      <w:r>
        <w:lastRenderedPageBreak/>
        <w:t>Some impact statements that have identified regulatory impacts as being small an</w:t>
      </w:r>
      <w:r w:rsidR="00F16D54">
        <w:t>d</w:t>
      </w:r>
      <w:r>
        <w:t xml:space="preserve"> net positive for government</w:t>
      </w:r>
      <w:r w:rsidR="00F16D54">
        <w:t>s</w:t>
      </w:r>
      <w:r>
        <w:t>, community and industry have, on closer examination, been reliant on overly optimistic and inaccurate assumptions that undermine the validity of the conclusion. … ‘quality checks’ by independent agencies such as the Office of Best Practice Regulation are often insufficient to identify key failings in impact analyses. Indeed, while they can provide assurance that government guidelines are strictly followed, they are not able to identify or challenge many of the key assumptions contained within the analysis. (</w:t>
      </w:r>
      <w:r w:rsidR="00F716D9">
        <w:t>sub. 7, p. 3)</w:t>
      </w:r>
      <w:r>
        <w:t xml:space="preserve"> </w:t>
      </w:r>
    </w:p>
    <w:p w:rsidR="00AD0BC1" w:rsidRDefault="00F716D9" w:rsidP="0037127A">
      <w:pPr>
        <w:pStyle w:val="BodyText"/>
      </w:pPr>
      <w:r>
        <w:t xml:space="preserve">If this were a common occurrence </w:t>
      </w:r>
      <w:r w:rsidR="004A19E4">
        <w:t xml:space="preserve">across jurisdictions </w:t>
      </w:r>
      <w:r>
        <w:t xml:space="preserve">it would be </w:t>
      </w:r>
      <w:r w:rsidR="0046658D">
        <w:t>of concern</w:t>
      </w:r>
      <w:r w:rsidR="004A19E4">
        <w:t xml:space="preserve"> </w:t>
      </w:r>
      <w:r w:rsidR="00AD3E76">
        <w:t>because an</w:t>
      </w:r>
      <w:r>
        <w:t xml:space="preserve"> important facet of the oversight body challenge function </w:t>
      </w:r>
      <w:r w:rsidR="00AD3E76">
        <w:t xml:space="preserve">in most jurisdictions </w:t>
      </w:r>
      <w:r>
        <w:t xml:space="preserve">is </w:t>
      </w:r>
      <w:r w:rsidR="000B3361">
        <w:t xml:space="preserve">to examine </w:t>
      </w:r>
      <w:r>
        <w:t>the quality of evidence provided in the RIS in support of key assumptions.</w:t>
      </w:r>
      <w:r w:rsidR="00AD3E76">
        <w:t xml:space="preserve"> For example, the Victorian </w:t>
      </w:r>
      <w:r w:rsidR="00AD3E76" w:rsidRPr="00AD3E76">
        <w:rPr>
          <w:i/>
        </w:rPr>
        <w:t>RIS/BIA Initial Assessment Checklist</w:t>
      </w:r>
      <w:r w:rsidR="00AD3E76">
        <w:t xml:space="preserve"> requires the </w:t>
      </w:r>
      <w:proofErr w:type="spellStart"/>
      <w:r w:rsidR="00AD3E76">
        <w:t>VCEC</w:t>
      </w:r>
      <w:proofErr w:type="spellEnd"/>
      <w:r w:rsidR="00AD3E76">
        <w:t xml:space="preserve"> officer assessing the RIS/BIA to check the extent to which ‘all assumptions are explicitly stated and supported’ (</w:t>
      </w:r>
      <w:proofErr w:type="spellStart"/>
      <w:r w:rsidR="00AD3E76">
        <w:t>VCEC</w:t>
      </w:r>
      <w:proofErr w:type="spellEnd"/>
      <w:r w:rsidR="00AD3E76">
        <w:t xml:space="preserve"> 2007, p. 4).</w:t>
      </w:r>
      <w:r w:rsidR="00AD0BC1">
        <w:t xml:space="preserve"> </w:t>
      </w:r>
    </w:p>
    <w:p w:rsidR="00EA7B2E" w:rsidRDefault="00AD0BC1" w:rsidP="00EA7B2E">
      <w:pPr>
        <w:pStyle w:val="BodyText"/>
      </w:pPr>
      <w:r>
        <w:t xml:space="preserve">Similarly in the Australian Government, the OBPR </w:t>
      </w:r>
      <w:r w:rsidR="00687515">
        <w:t>is supposed to assess</w:t>
      </w:r>
      <w:r>
        <w:t xml:space="preserve"> whether a RIS contains an adequate analysis of the costs and benefits of the feasible options</w:t>
      </w:r>
      <w:r w:rsidR="00316FC9">
        <w:t>,</w:t>
      </w:r>
      <w:r>
        <w:t xml:space="preserve"> whether it provides evidence in support of key assumptions and clearly identifies any gaps in data (Australian Government </w:t>
      </w:r>
      <w:proofErr w:type="spellStart"/>
      <w:r>
        <w:t>2010</w:t>
      </w:r>
      <w:r w:rsidR="00220ED8">
        <w:t>a</w:t>
      </w:r>
      <w:proofErr w:type="spellEnd"/>
      <w:r>
        <w:t>).</w:t>
      </w:r>
      <w:r w:rsidR="00EA7B2E">
        <w:t xml:space="preserve"> At the same time</w:t>
      </w:r>
      <w:r w:rsidR="000B5D7D">
        <w:t>,</w:t>
      </w:r>
      <w:r w:rsidR="00EA7B2E">
        <w:t xml:space="preserve"> it should be recognised that even </w:t>
      </w:r>
      <w:r w:rsidR="00EA7B2E" w:rsidRPr="00DD6813">
        <w:t xml:space="preserve">with </w:t>
      </w:r>
      <w:r w:rsidR="00EA7B2E">
        <w:t>the best efforts of oversight bodies assessing</w:t>
      </w:r>
      <w:r w:rsidR="00EA7B2E" w:rsidRPr="00DD6813">
        <w:t xml:space="preserve"> the adequacy of RIS</w:t>
      </w:r>
      <w:r w:rsidR="00EA7B2E">
        <w:t xml:space="preserve"> documents,</w:t>
      </w:r>
      <w:r w:rsidR="00EA7B2E" w:rsidRPr="00DD6813">
        <w:t xml:space="preserve"> there will always be some shortcomings in the analysis that will be difficult for oversight body staff to detect</w:t>
      </w:r>
      <w:r w:rsidR="000B5D7D">
        <w:t>.</w:t>
      </w:r>
    </w:p>
    <w:p w:rsidR="002E1987" w:rsidRDefault="002E1987" w:rsidP="0037127A">
      <w:pPr>
        <w:pStyle w:val="BodyText"/>
      </w:pPr>
      <w:r>
        <w:t>Business groups such as the Australian Chamber of Commerce and Industry (</w:t>
      </w:r>
      <w:proofErr w:type="spellStart"/>
      <w:r>
        <w:t>ACCI</w:t>
      </w:r>
      <w:proofErr w:type="spellEnd"/>
      <w:r>
        <w:t xml:space="preserve">) are also critical </w:t>
      </w:r>
      <w:r w:rsidR="00F04244">
        <w:t>of</w:t>
      </w:r>
      <w:r>
        <w:t xml:space="preserve"> the quality of </w:t>
      </w:r>
      <w:r w:rsidR="00660D04">
        <w:t xml:space="preserve">some </w:t>
      </w:r>
      <w:r w:rsidR="00E57DC7">
        <w:t xml:space="preserve">RIA </w:t>
      </w:r>
      <w:r>
        <w:t>processes that are being assessed as adequate:</w:t>
      </w:r>
    </w:p>
    <w:p w:rsidR="002E1987" w:rsidRDefault="002E1987" w:rsidP="002E1987">
      <w:pPr>
        <w:pStyle w:val="Quote"/>
      </w:pPr>
      <w:r>
        <w:t>… Australian businesses continue to express concern and disappointment with RIA processes. They are often less than adequate and comprehensive, even for major policy proposals, do not allow adequate consultation with stakeholders, and RIA documents are neither readily available nor easily accessible. (sub. 2, p .1)</w:t>
      </w:r>
    </w:p>
    <w:p w:rsidR="007E3D3D" w:rsidRDefault="00535CE4" w:rsidP="003E149A">
      <w:pPr>
        <w:pStyle w:val="BodyText"/>
      </w:pPr>
      <w:r>
        <w:t xml:space="preserve">Similarly, </w:t>
      </w:r>
      <w:r w:rsidR="0057637D">
        <w:t>when reviewing the Australian Government’s RIA process</w:t>
      </w:r>
      <w:r w:rsidR="0083029C">
        <w:t>,</w:t>
      </w:r>
      <w:r w:rsidR="0057637D">
        <w:t xml:space="preserve"> </w:t>
      </w:r>
      <w:proofErr w:type="spellStart"/>
      <w:r w:rsidR="0083029C">
        <w:t>Borthwick</w:t>
      </w:r>
      <w:proofErr w:type="spellEnd"/>
      <w:r w:rsidR="0083029C">
        <w:t xml:space="preserve"> and Milliner (2012) </w:t>
      </w:r>
      <w:r w:rsidR="0057637D">
        <w:t xml:space="preserve">concluded </w:t>
      </w:r>
      <w:r w:rsidR="007E3D3D">
        <w:t>that:</w:t>
      </w:r>
    </w:p>
    <w:p w:rsidR="007E3D3D" w:rsidRPr="007E3D3D" w:rsidRDefault="003E149A" w:rsidP="003E149A">
      <w:pPr>
        <w:pStyle w:val="Quote"/>
      </w:pPr>
      <w:r>
        <w:t>…</w:t>
      </w:r>
      <w:r w:rsidR="007E3D3D">
        <w:t xml:space="preserve"> many more </w:t>
      </w:r>
      <w:proofErr w:type="spellStart"/>
      <w:r w:rsidR="007E3D3D">
        <w:t>RISs</w:t>
      </w:r>
      <w:proofErr w:type="spellEnd"/>
      <w:r w:rsidR="007E3D3D">
        <w:t xml:space="preserve"> should be judged as non-compliant because, for example, alternative options were not thoroughly explored, consultations were inadequate, or a decision had effectively been taken before finalisation of the RIS. (p. 51)</w:t>
      </w:r>
    </w:p>
    <w:p w:rsidR="00675139" w:rsidRDefault="00DD1F00" w:rsidP="0037127A">
      <w:pPr>
        <w:pStyle w:val="BodyText"/>
      </w:pPr>
      <w:r>
        <w:t xml:space="preserve">Given the high RIS compliance rates (for those few jurisdictions that record compliance) discussed in chapter </w:t>
      </w:r>
      <w:r w:rsidR="00F2018E">
        <w:t>3</w:t>
      </w:r>
      <w:r>
        <w:t xml:space="preserve">, it would appear that </w:t>
      </w:r>
      <w:r w:rsidR="00F2018E">
        <w:t>adequate RIS</w:t>
      </w:r>
      <w:r w:rsidR="00361E4E">
        <w:t xml:space="preserve"> </w:t>
      </w:r>
      <w:r w:rsidR="00F2018E">
        <w:t xml:space="preserve">assessments </w:t>
      </w:r>
      <w:r w:rsidR="00B57723">
        <w:t xml:space="preserve">may indeed occur more often than perhaps </w:t>
      </w:r>
      <w:r w:rsidR="00F2018E">
        <w:t>they</w:t>
      </w:r>
      <w:r w:rsidR="00B57723">
        <w:t xml:space="preserve"> should. That is, regulatory oversight bodies may </w:t>
      </w:r>
      <w:r w:rsidR="00F2018E">
        <w:t>have a greater tendency</w:t>
      </w:r>
      <w:r w:rsidR="00B57723">
        <w:t xml:space="preserve"> to assess a RIS as adequate when it is not, tha</w:t>
      </w:r>
      <w:r w:rsidR="00DE6C26">
        <w:t xml:space="preserve">n to assess an adequate RIS as </w:t>
      </w:r>
      <w:r w:rsidR="00226CDA">
        <w:t xml:space="preserve">not </w:t>
      </w:r>
      <w:r w:rsidR="00B57723">
        <w:t>adequate (box 8.</w:t>
      </w:r>
      <w:r w:rsidR="00F92442">
        <w:t>4</w:t>
      </w:r>
      <w:r w:rsidR="00B57723">
        <w:t>).</w:t>
      </w:r>
    </w:p>
    <w:p w:rsidR="00792535" w:rsidRDefault="0079253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92535">
        <w:tc>
          <w:tcPr>
            <w:tcW w:w="8771" w:type="dxa"/>
            <w:tcBorders>
              <w:top w:val="single" w:sz="6" w:space="0" w:color="auto"/>
              <w:bottom w:val="nil"/>
            </w:tcBorders>
          </w:tcPr>
          <w:p w:rsidR="00792535" w:rsidRDefault="00792535" w:rsidP="00D44646">
            <w:pPr>
              <w:pStyle w:val="BoxTitle"/>
            </w:pPr>
            <w:r>
              <w:rPr>
                <w:b w:val="0"/>
              </w:rPr>
              <w:t xml:space="preserve">Box </w:t>
            </w:r>
            <w:r w:rsidR="00FC4C5E" w:rsidRPr="00FC4C5E">
              <w:rPr>
                <w:b w:val="0"/>
              </w:rPr>
              <w:t>8.</w:t>
            </w:r>
            <w:r w:rsidR="00FC4C5E">
              <w:rPr>
                <w:b w:val="0"/>
                <w:noProof/>
              </w:rPr>
              <w:t>4</w:t>
            </w:r>
            <w:r w:rsidR="00D44646">
              <w:tab/>
              <w:t>Type I and Type II errors</w:t>
            </w:r>
            <w:r w:rsidR="003758C4">
              <w:t xml:space="preserve"> in RIS adequacy assessment</w:t>
            </w:r>
            <w:r w:rsidR="003A62C6">
              <w:t>s</w:t>
            </w:r>
          </w:p>
        </w:tc>
      </w:tr>
      <w:tr w:rsidR="00792535">
        <w:trPr>
          <w:cantSplit/>
        </w:trPr>
        <w:tc>
          <w:tcPr>
            <w:tcW w:w="8771" w:type="dxa"/>
            <w:tcBorders>
              <w:top w:val="nil"/>
              <w:bottom w:val="nil"/>
            </w:tcBorders>
          </w:tcPr>
          <w:p w:rsidR="00792535" w:rsidRDefault="00792535" w:rsidP="00D570E8">
            <w:pPr>
              <w:pStyle w:val="Box"/>
            </w:pPr>
            <w:r>
              <w:t>If a regulatory oversight body is fully effective it should only be passing adequate</w:t>
            </w:r>
            <w:r w:rsidR="00DE6C26">
              <w:t xml:space="preserve"> </w:t>
            </w:r>
            <w:proofErr w:type="spellStart"/>
            <w:r w:rsidR="00DE6C26">
              <w:t>RISs</w:t>
            </w:r>
            <w:proofErr w:type="spellEnd"/>
            <w:r w:rsidR="00DE6C26">
              <w:t xml:space="preserve"> and failing </w:t>
            </w:r>
            <w:r w:rsidR="00226CDA">
              <w:t xml:space="preserve">not adequate </w:t>
            </w:r>
            <w:proofErr w:type="spellStart"/>
            <w:r>
              <w:t>RISs</w:t>
            </w:r>
            <w:proofErr w:type="spellEnd"/>
            <w:r>
              <w:t xml:space="preserve">. Of course, assessing RIS adequacy relies heavily on the judgement of the individual assessor and there is a degree of subjectivity around the </w:t>
            </w:r>
            <w:r w:rsidRPr="00D570E8">
              <w:t>assessment</w:t>
            </w:r>
            <w:r>
              <w:t>. While adequacy criteria may be transparent it may not always be clear to what extent a particular RIS meets the adequacy criteria — judgement is required. And where judgement is required mistakes can be made.</w:t>
            </w:r>
          </w:p>
          <w:p w:rsidR="00792535" w:rsidRDefault="00792535" w:rsidP="00D777F9">
            <w:pPr>
              <w:pStyle w:val="Box"/>
            </w:pPr>
            <w:r>
              <w:t>A regulatory oversight body can make two types of errors:</w:t>
            </w:r>
          </w:p>
          <w:p w:rsidR="00792535" w:rsidRDefault="00DE6C26" w:rsidP="00880A0C">
            <w:pPr>
              <w:pStyle w:val="BoxListBullet"/>
            </w:pPr>
            <w:r>
              <w:t xml:space="preserve">it can pass a RIS as </w:t>
            </w:r>
            <w:r w:rsidR="00792535">
              <w:t xml:space="preserve">adequate when it is actually </w:t>
            </w:r>
            <w:r w:rsidR="00226CDA">
              <w:t>not adequate</w:t>
            </w:r>
            <w:r w:rsidR="00792535">
              <w:t>, which is known as a ‘false positive’ or Type I error</w:t>
            </w:r>
          </w:p>
          <w:p w:rsidR="00792535" w:rsidRDefault="00792535" w:rsidP="00D570E8">
            <w:pPr>
              <w:pStyle w:val="BoxListBullet"/>
            </w:pPr>
            <w:r>
              <w:t xml:space="preserve">it can fail a RIS as </w:t>
            </w:r>
            <w:r w:rsidR="00226CDA">
              <w:t xml:space="preserve">not adequate </w:t>
            </w:r>
            <w:r>
              <w:t>when it is actually adequate, which is known as a ‘false negative’ or Type II error.</w:t>
            </w:r>
          </w:p>
          <w:p w:rsidR="00792535" w:rsidRDefault="00792535" w:rsidP="00D570E8">
            <w:pPr>
              <w:pStyle w:val="Box"/>
            </w:pPr>
            <w:r>
              <w:t xml:space="preserve">The set of correct and incorrect assessments that are possible for an oversight body are outlined in the </w:t>
            </w:r>
            <w:r w:rsidR="00A0421A">
              <w:t>matrix</w:t>
            </w:r>
            <w:r>
              <w:t xml:space="preserve"> below:</w:t>
            </w:r>
          </w:p>
          <w:p w:rsidR="00792535" w:rsidRDefault="00792535" w:rsidP="00C56592">
            <w:pPr>
              <w:pStyle w:val="Box"/>
              <w:spacing w:before="40" w:line="240" w:lineRule="atLeas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24"/>
              <w:gridCol w:w="2824"/>
              <w:gridCol w:w="2824"/>
            </w:tblGrid>
            <w:tr w:rsidR="00792535" w:rsidTr="00573CA4">
              <w:tc>
                <w:tcPr>
                  <w:tcW w:w="2824" w:type="dxa"/>
                  <w:tcBorders>
                    <w:top w:val="single" w:sz="4" w:space="0" w:color="auto"/>
                    <w:left w:val="nil"/>
                    <w:bottom w:val="single" w:sz="4" w:space="0" w:color="auto"/>
                    <w:right w:val="nil"/>
                  </w:tcBorders>
                </w:tcPr>
                <w:p w:rsidR="00792535" w:rsidRDefault="00792535" w:rsidP="00D570E8">
                  <w:pPr>
                    <w:pStyle w:val="Box"/>
                  </w:pPr>
                </w:p>
              </w:tc>
              <w:tc>
                <w:tcPr>
                  <w:tcW w:w="2824" w:type="dxa"/>
                  <w:tcBorders>
                    <w:top w:val="single" w:sz="4" w:space="0" w:color="auto"/>
                    <w:left w:val="nil"/>
                    <w:bottom w:val="single" w:sz="4" w:space="0" w:color="auto"/>
                    <w:right w:val="nil"/>
                  </w:tcBorders>
                </w:tcPr>
                <w:p w:rsidR="00792535" w:rsidRPr="00573CA4" w:rsidRDefault="00792535" w:rsidP="00E62351">
                  <w:pPr>
                    <w:pStyle w:val="Box"/>
                    <w:rPr>
                      <w:b/>
                    </w:rPr>
                  </w:pPr>
                  <w:r w:rsidRPr="00573CA4">
                    <w:rPr>
                      <w:b/>
                    </w:rPr>
                    <w:t>RIS</w:t>
                  </w:r>
                  <w:r w:rsidR="00E62351" w:rsidRPr="00573CA4">
                    <w:rPr>
                      <w:b/>
                    </w:rPr>
                    <w:t xml:space="preserve"> </w:t>
                  </w:r>
                  <w:r w:rsidR="00E62351">
                    <w:rPr>
                      <w:b/>
                    </w:rPr>
                    <w:t>a</w:t>
                  </w:r>
                  <w:r w:rsidR="00E62351" w:rsidRPr="00573CA4">
                    <w:rPr>
                      <w:b/>
                    </w:rPr>
                    <w:t>dequate</w:t>
                  </w:r>
                </w:p>
              </w:tc>
              <w:tc>
                <w:tcPr>
                  <w:tcW w:w="2824" w:type="dxa"/>
                  <w:tcBorders>
                    <w:top w:val="single" w:sz="4" w:space="0" w:color="auto"/>
                    <w:left w:val="nil"/>
                    <w:bottom w:val="single" w:sz="4" w:space="0" w:color="auto"/>
                    <w:right w:val="nil"/>
                  </w:tcBorders>
                </w:tcPr>
                <w:p w:rsidR="00792535" w:rsidRPr="00573CA4" w:rsidRDefault="00792535" w:rsidP="00E62351">
                  <w:pPr>
                    <w:pStyle w:val="Box"/>
                    <w:rPr>
                      <w:b/>
                    </w:rPr>
                  </w:pPr>
                  <w:r w:rsidRPr="00573CA4">
                    <w:rPr>
                      <w:b/>
                    </w:rPr>
                    <w:t>RIS</w:t>
                  </w:r>
                  <w:r w:rsidR="00E62351">
                    <w:rPr>
                      <w:b/>
                    </w:rPr>
                    <w:t xml:space="preserve"> not </w:t>
                  </w:r>
                  <w:r w:rsidR="00E62351" w:rsidRPr="00573CA4">
                    <w:rPr>
                      <w:b/>
                    </w:rPr>
                    <w:t>adequate</w:t>
                  </w:r>
                </w:p>
              </w:tc>
            </w:tr>
            <w:tr w:rsidR="00792535" w:rsidTr="00573CA4">
              <w:tc>
                <w:tcPr>
                  <w:tcW w:w="2824" w:type="dxa"/>
                  <w:tcBorders>
                    <w:top w:val="single" w:sz="4" w:space="0" w:color="auto"/>
                    <w:left w:val="nil"/>
                    <w:bottom w:val="single" w:sz="4" w:space="0" w:color="auto"/>
                    <w:right w:val="nil"/>
                  </w:tcBorders>
                </w:tcPr>
                <w:p w:rsidR="00792535" w:rsidRPr="00A67868" w:rsidRDefault="00792535" w:rsidP="006E4939">
                  <w:pPr>
                    <w:pStyle w:val="Box"/>
                    <w:rPr>
                      <w:b/>
                    </w:rPr>
                  </w:pPr>
                  <w:r w:rsidRPr="00A67868">
                    <w:rPr>
                      <w:b/>
                    </w:rPr>
                    <w:t xml:space="preserve">‘Pass’ </w:t>
                  </w:r>
                </w:p>
              </w:tc>
              <w:tc>
                <w:tcPr>
                  <w:tcW w:w="2824" w:type="dxa"/>
                  <w:tcBorders>
                    <w:top w:val="single" w:sz="4" w:space="0" w:color="auto"/>
                    <w:left w:val="nil"/>
                    <w:bottom w:val="single" w:sz="4" w:space="0" w:color="auto"/>
                    <w:right w:val="nil"/>
                  </w:tcBorders>
                </w:tcPr>
                <w:p w:rsidR="00792535" w:rsidRDefault="00792535" w:rsidP="00D570E8">
                  <w:pPr>
                    <w:pStyle w:val="Box"/>
                  </w:pPr>
                  <w:r>
                    <w:t>Correct assessment</w:t>
                  </w:r>
                </w:p>
                <w:p w:rsidR="00792535" w:rsidRDefault="00792535" w:rsidP="00D570E8">
                  <w:pPr>
                    <w:pStyle w:val="Box"/>
                  </w:pPr>
                </w:p>
              </w:tc>
              <w:tc>
                <w:tcPr>
                  <w:tcW w:w="2824" w:type="dxa"/>
                  <w:tcBorders>
                    <w:top w:val="single" w:sz="4" w:space="0" w:color="auto"/>
                    <w:left w:val="nil"/>
                    <w:bottom w:val="single" w:sz="4" w:space="0" w:color="auto"/>
                    <w:right w:val="nil"/>
                  </w:tcBorders>
                  <w:shd w:val="pct15" w:color="auto" w:fill="auto"/>
                </w:tcPr>
                <w:p w:rsidR="00792535" w:rsidRDefault="00792535" w:rsidP="00573CA4">
                  <w:pPr>
                    <w:pStyle w:val="Box"/>
                    <w:spacing w:line="200" w:lineRule="atLeast"/>
                  </w:pPr>
                  <w:r>
                    <w:t>Type I error</w:t>
                  </w:r>
                </w:p>
                <w:p w:rsidR="00792535" w:rsidRDefault="00792535" w:rsidP="00573CA4">
                  <w:pPr>
                    <w:pStyle w:val="Box"/>
                    <w:spacing w:before="0"/>
                  </w:pPr>
                  <w:r>
                    <w:t>(‘false positive’)</w:t>
                  </w:r>
                </w:p>
              </w:tc>
            </w:tr>
            <w:tr w:rsidR="00792535" w:rsidTr="00573CA4">
              <w:tc>
                <w:tcPr>
                  <w:tcW w:w="2824" w:type="dxa"/>
                  <w:tcBorders>
                    <w:top w:val="single" w:sz="4" w:space="0" w:color="auto"/>
                    <w:left w:val="nil"/>
                    <w:bottom w:val="single" w:sz="4" w:space="0" w:color="auto"/>
                    <w:right w:val="nil"/>
                  </w:tcBorders>
                </w:tcPr>
                <w:p w:rsidR="00792535" w:rsidRPr="00A67868" w:rsidRDefault="00792535" w:rsidP="00D570E8">
                  <w:pPr>
                    <w:pStyle w:val="Box"/>
                    <w:rPr>
                      <w:b/>
                    </w:rPr>
                  </w:pPr>
                  <w:r w:rsidRPr="00A67868">
                    <w:rPr>
                      <w:b/>
                    </w:rPr>
                    <w:t>‘Fail’</w:t>
                  </w:r>
                </w:p>
              </w:tc>
              <w:tc>
                <w:tcPr>
                  <w:tcW w:w="2824" w:type="dxa"/>
                  <w:tcBorders>
                    <w:top w:val="single" w:sz="4" w:space="0" w:color="auto"/>
                    <w:left w:val="nil"/>
                    <w:bottom w:val="single" w:sz="4" w:space="0" w:color="auto"/>
                    <w:right w:val="nil"/>
                  </w:tcBorders>
                  <w:shd w:val="pct15" w:color="auto" w:fill="auto"/>
                </w:tcPr>
                <w:p w:rsidR="00792535" w:rsidRDefault="00792535" w:rsidP="00D570E8">
                  <w:pPr>
                    <w:pStyle w:val="Box"/>
                  </w:pPr>
                  <w:r>
                    <w:t xml:space="preserve">Type II error </w:t>
                  </w:r>
                </w:p>
                <w:p w:rsidR="00792535" w:rsidRDefault="00792535" w:rsidP="00573CA4">
                  <w:pPr>
                    <w:pStyle w:val="Box"/>
                    <w:spacing w:before="0"/>
                  </w:pPr>
                  <w:r>
                    <w:t>(‘false negative’)</w:t>
                  </w:r>
                </w:p>
              </w:tc>
              <w:tc>
                <w:tcPr>
                  <w:tcW w:w="2824" w:type="dxa"/>
                  <w:tcBorders>
                    <w:top w:val="single" w:sz="4" w:space="0" w:color="auto"/>
                    <w:left w:val="nil"/>
                    <w:bottom w:val="single" w:sz="4" w:space="0" w:color="auto"/>
                    <w:right w:val="nil"/>
                  </w:tcBorders>
                </w:tcPr>
                <w:p w:rsidR="00792535" w:rsidRDefault="00792535" w:rsidP="00682874">
                  <w:pPr>
                    <w:pStyle w:val="Box"/>
                  </w:pPr>
                  <w:r>
                    <w:t>Correct assessment</w:t>
                  </w:r>
                </w:p>
                <w:p w:rsidR="00792535" w:rsidRDefault="00792535" w:rsidP="00D570E8">
                  <w:pPr>
                    <w:pStyle w:val="Box"/>
                  </w:pPr>
                </w:p>
              </w:tc>
            </w:tr>
          </w:tbl>
          <w:p w:rsidR="00792535" w:rsidRDefault="00792535" w:rsidP="00D570E8">
            <w:pPr>
              <w:pStyle w:val="Box"/>
            </w:pPr>
          </w:p>
        </w:tc>
      </w:tr>
      <w:tr w:rsidR="00792535">
        <w:trPr>
          <w:cantSplit/>
        </w:trPr>
        <w:tc>
          <w:tcPr>
            <w:tcW w:w="8771" w:type="dxa"/>
            <w:tcBorders>
              <w:top w:val="nil"/>
              <w:bottom w:val="nil"/>
            </w:tcBorders>
          </w:tcPr>
          <w:p w:rsidR="00792535" w:rsidRDefault="00792535">
            <w:pPr>
              <w:pStyle w:val="BoxSource"/>
            </w:pPr>
            <w:r>
              <w:t>Source: Bogaards (2011).</w:t>
            </w:r>
          </w:p>
        </w:tc>
      </w:tr>
      <w:tr w:rsidR="00792535">
        <w:trPr>
          <w:cantSplit/>
        </w:trPr>
        <w:tc>
          <w:tcPr>
            <w:tcW w:w="8771" w:type="dxa"/>
            <w:tcBorders>
              <w:top w:val="nil"/>
              <w:bottom w:val="single" w:sz="6" w:space="0" w:color="auto"/>
            </w:tcBorders>
          </w:tcPr>
          <w:p w:rsidR="00792535" w:rsidRDefault="00792535">
            <w:pPr>
              <w:pStyle w:val="Box"/>
              <w:spacing w:before="0" w:line="120" w:lineRule="exact"/>
            </w:pPr>
          </w:p>
        </w:tc>
      </w:tr>
      <w:tr w:rsidR="00792535">
        <w:tc>
          <w:tcPr>
            <w:tcW w:w="8771" w:type="dxa"/>
            <w:tcBorders>
              <w:top w:val="nil"/>
              <w:left w:val="nil"/>
              <w:bottom w:val="nil"/>
              <w:right w:val="nil"/>
            </w:tcBorders>
          </w:tcPr>
          <w:p w:rsidR="00792535" w:rsidRDefault="00792535">
            <w:pPr>
              <w:pStyle w:val="Box"/>
              <w:keepNext w:val="0"/>
              <w:spacing w:before="60" w:after="60" w:line="80" w:lineRule="exact"/>
              <w:rPr>
                <w:b/>
                <w:color w:val="FF00FF"/>
                <w:sz w:val="14"/>
              </w:rPr>
            </w:pPr>
          </w:p>
        </w:tc>
      </w:tr>
    </w:tbl>
    <w:p w:rsidR="009A3E58" w:rsidRDefault="009A3E58" w:rsidP="009A3E58">
      <w:pPr>
        <w:pStyle w:val="BodyText"/>
      </w:pPr>
      <w:r>
        <w:t>One reason for this possible bias is the political, public and media pressure on governments to regulate as a solution to current problems or risks. This pressure can be transferred from ministers’ offices to departments and subsequently flow through to regulatory oversight bodies. Regulatory oversight bodies, particularly those located close to the centre of their government, may be under pressure to give an agency the benefit of the doubt and ‘pass’ rather than ‘fail’ a RIS. This pressure to pass may be even more acute for those oversight bodies that are part of a RIA ‘gatekeeping’ process (section 8.2) — where the consequences for government agencies of non-compliance are more costly (at least in principle) — because</w:t>
      </w:r>
      <w:r w:rsidR="00845AE3">
        <w:t>,</w:t>
      </w:r>
      <w:r>
        <w:t xml:space="preserve"> </w:t>
      </w:r>
      <w:r w:rsidR="00D66CB0">
        <w:t>in principle</w:t>
      </w:r>
      <w:r w:rsidR="00845AE3">
        <w:t>,</w:t>
      </w:r>
      <w:r w:rsidR="00D66CB0">
        <w:t xml:space="preserve"> </w:t>
      </w:r>
      <w:r>
        <w:t>the proposal cannot proceed to decision makers.</w:t>
      </w:r>
      <w:r w:rsidRPr="00316FC9">
        <w:t xml:space="preserve"> </w:t>
      </w:r>
    </w:p>
    <w:p w:rsidR="009A3E58" w:rsidRDefault="009A3E58" w:rsidP="009A3E58">
      <w:pPr>
        <w:pStyle w:val="BodyText"/>
      </w:pPr>
      <w:r>
        <w:t xml:space="preserve">Making RIS documents and the oversight body’s adequacy assessments with reasons publicly available at the time of a regulatory announcement (as suggested in </w:t>
      </w:r>
      <w:r w:rsidR="00C06B98">
        <w:t xml:space="preserve">chapter 7) </w:t>
      </w:r>
      <w:r>
        <w:t>may improve both the quality of RIA processes and the accountability of oversight body assessments. Such public transparency would provide a much needed counterbalance to the pressure on governments to regulate.</w:t>
      </w:r>
    </w:p>
    <w:p w:rsidR="00D87F3D" w:rsidRDefault="00D87F3D" w:rsidP="00D87F3D">
      <w:pPr>
        <w:pStyle w:val="Heading3"/>
      </w:pPr>
      <w:r>
        <w:lastRenderedPageBreak/>
        <w:t xml:space="preserve">Is periodic assessment of the oversight body’s </w:t>
      </w:r>
      <w:r w:rsidR="003A6C0D">
        <w:t>performance required?</w:t>
      </w:r>
    </w:p>
    <w:p w:rsidR="00792535" w:rsidRDefault="00021827" w:rsidP="00E6525A">
      <w:pPr>
        <w:pStyle w:val="BodyText"/>
      </w:pPr>
      <w:r>
        <w:t xml:space="preserve">Putting in place an accountability mechanism for regulatory oversight bodies, such as the periodic evaluation of their performance by an independent third party, would be an added motivation — beyond public transparency — for consistency in </w:t>
      </w:r>
      <w:r w:rsidR="00C33210">
        <w:t xml:space="preserve">oversight body </w:t>
      </w:r>
      <w:r>
        <w:t xml:space="preserve">adequacy assessments. </w:t>
      </w:r>
    </w:p>
    <w:p w:rsidR="00171D4B" w:rsidRDefault="00171D4B" w:rsidP="00171D4B">
      <w:pPr>
        <w:pStyle w:val="BodyText"/>
      </w:pPr>
      <w:r>
        <w:t>While the first line of protection is to depend on the oversight body’s own professionalism and ethics, there may be value in supplementing and reinforcing these by external controls. Some overseas jurisdictions have engaged audit offices to provide periodic oversight of their RIA processes, including aspects of the oversight body’s performance (box 8.5).</w:t>
      </w:r>
    </w:p>
    <w:p w:rsidR="00792535" w:rsidRDefault="00792535" w:rsidP="00C56592">
      <w:pPr>
        <w:pStyle w:val="BoxSpace"/>
        <w:spacing w:before="24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92535">
        <w:tc>
          <w:tcPr>
            <w:tcW w:w="8771" w:type="dxa"/>
            <w:tcBorders>
              <w:top w:val="single" w:sz="6" w:space="0" w:color="auto"/>
              <w:bottom w:val="nil"/>
            </w:tcBorders>
          </w:tcPr>
          <w:p w:rsidR="00792535" w:rsidRDefault="00792535" w:rsidP="00CE3351">
            <w:pPr>
              <w:pStyle w:val="BoxTitle"/>
            </w:pPr>
            <w:r>
              <w:rPr>
                <w:b w:val="0"/>
              </w:rPr>
              <w:t xml:space="preserve">Box </w:t>
            </w:r>
            <w:r w:rsidR="00FC4C5E" w:rsidRPr="00FC4C5E">
              <w:rPr>
                <w:b w:val="0"/>
              </w:rPr>
              <w:t>8.</w:t>
            </w:r>
            <w:r w:rsidR="00FC4C5E">
              <w:rPr>
                <w:b w:val="0"/>
                <w:noProof/>
              </w:rPr>
              <w:t>5</w:t>
            </w:r>
            <w:r>
              <w:tab/>
              <w:t>Auditor report</w:t>
            </w:r>
            <w:r w:rsidR="000E159B">
              <w:t>s</w:t>
            </w:r>
            <w:r>
              <w:t xml:space="preserve"> on RIA process</w:t>
            </w:r>
            <w:r w:rsidR="001E071C">
              <w:t xml:space="preserve"> </w:t>
            </w:r>
            <w:r w:rsidR="00CE3351">
              <w:t xml:space="preserve">performance </w:t>
            </w:r>
            <w:r w:rsidR="003A6C0D">
              <w:t xml:space="preserve">in </w:t>
            </w:r>
            <w:r w:rsidR="00CE3351">
              <w:t xml:space="preserve">some </w:t>
            </w:r>
            <w:r>
              <w:t>overseas</w:t>
            </w:r>
            <w:r w:rsidR="003A6C0D">
              <w:t xml:space="preserve"> jurisdictions</w:t>
            </w:r>
          </w:p>
        </w:tc>
      </w:tr>
      <w:tr w:rsidR="00792535">
        <w:trPr>
          <w:cantSplit/>
        </w:trPr>
        <w:tc>
          <w:tcPr>
            <w:tcW w:w="8771" w:type="dxa"/>
            <w:tcBorders>
              <w:top w:val="nil"/>
              <w:bottom w:val="nil"/>
            </w:tcBorders>
          </w:tcPr>
          <w:p w:rsidR="00792535" w:rsidRDefault="00792535" w:rsidP="008E442D">
            <w:pPr>
              <w:pStyle w:val="Box"/>
            </w:pPr>
            <w:r>
              <w:t>In the United Kingdom, the National Audit Office (</w:t>
            </w:r>
            <w:proofErr w:type="spellStart"/>
            <w:r>
              <w:t>NAO</w:t>
            </w:r>
            <w:proofErr w:type="spellEnd"/>
            <w:r>
              <w:t xml:space="preserve">) views the quality of regulation and its implementation as a key value-for-money issue in public policy. The </w:t>
            </w:r>
            <w:proofErr w:type="spellStart"/>
            <w:r>
              <w:t>NAO</w:t>
            </w:r>
            <w:proofErr w:type="spellEnd"/>
            <w:r>
              <w:t xml:space="preserve"> </w:t>
            </w:r>
            <w:r w:rsidR="00B70888">
              <w:t xml:space="preserve">has </w:t>
            </w:r>
            <w:r>
              <w:t>reported annually on the RIA process and the quality and thoroughness of impact assessments since 2004.</w:t>
            </w:r>
          </w:p>
          <w:p w:rsidR="00792535" w:rsidRDefault="00792535" w:rsidP="008E442D">
            <w:pPr>
              <w:pStyle w:val="Box"/>
            </w:pPr>
            <w:r>
              <w:t>In the European Union, an audit report on the European Commission’s Impact Assessment system was published in September 2010 by the European Court of Auditors (</w:t>
            </w:r>
            <w:proofErr w:type="spellStart"/>
            <w:r>
              <w:t>ECA</w:t>
            </w:r>
            <w:proofErr w:type="spellEnd"/>
            <w:r>
              <w:t xml:space="preserve">). The </w:t>
            </w:r>
            <w:proofErr w:type="spellStart"/>
            <w:r>
              <w:t>ECA</w:t>
            </w:r>
            <w:proofErr w:type="spellEnd"/>
            <w:r>
              <w:t xml:space="preserve"> audit analysed whether impact assessments supported decision making in the EU institutions. In particular, it examined the extent to which:</w:t>
            </w:r>
          </w:p>
          <w:p w:rsidR="00792535" w:rsidRDefault="00792535" w:rsidP="00B65D53">
            <w:pPr>
              <w:pStyle w:val="BoxListBullet"/>
            </w:pPr>
            <w:r>
              <w:t xml:space="preserve">impact assessments were prepared by the Commission when formulating its proposals and the European Parliament and the Council consulted </w:t>
            </w:r>
            <w:r w:rsidR="00274712">
              <w:t xml:space="preserve">these assessments </w:t>
            </w:r>
            <w:r>
              <w:t>during the legislative process</w:t>
            </w:r>
          </w:p>
          <w:p w:rsidR="00792535" w:rsidRDefault="00792535" w:rsidP="00B65D53">
            <w:pPr>
              <w:pStyle w:val="BoxListBullet"/>
            </w:pPr>
            <w:r>
              <w:t>the Commission’s procedures for impact assessment appropriately supported the Commission’s development of its initiatives</w:t>
            </w:r>
          </w:p>
          <w:p w:rsidR="00792535" w:rsidRDefault="00792535" w:rsidP="00B65D53">
            <w:pPr>
              <w:pStyle w:val="BoxListBullet"/>
            </w:pPr>
            <w:r>
              <w:t>the content of the Commission’s impact assessment reports was appropriate and the presentation of findings was conducive to being taken into account for decision</w:t>
            </w:r>
            <w:r w:rsidR="00F2018E">
              <w:t xml:space="preserve"> </w:t>
            </w:r>
            <w:r>
              <w:t>making.</w:t>
            </w:r>
          </w:p>
          <w:p w:rsidR="00792535" w:rsidRDefault="00792535" w:rsidP="00B65D53">
            <w:pPr>
              <w:pStyle w:val="Box"/>
            </w:pPr>
            <w:r>
              <w:t>In the United States, the Government Accountability Office (</w:t>
            </w:r>
            <w:proofErr w:type="spellStart"/>
            <w:r>
              <w:t>GAO</w:t>
            </w:r>
            <w:proofErr w:type="spellEnd"/>
            <w:r>
              <w:t>) has published seven reports since 2003 on Federal Government rulemaking. In its latest report</w:t>
            </w:r>
            <w:r w:rsidR="00274712">
              <w:t>,</w:t>
            </w:r>
            <w:r>
              <w:t xml:space="preserve"> published in 2009</w:t>
            </w:r>
            <w:r w:rsidR="00274712">
              <w:t>,</w:t>
            </w:r>
            <w:r>
              <w:t xml:space="preserve"> the </w:t>
            </w:r>
            <w:proofErr w:type="spellStart"/>
            <w:r>
              <w:t>GAO</w:t>
            </w:r>
            <w:proofErr w:type="spellEnd"/>
            <w:r>
              <w:t xml:space="preserve"> discussed how broadly applicable rulemaking requirements cumulatively have affected:</w:t>
            </w:r>
          </w:p>
          <w:p w:rsidR="00792535" w:rsidRDefault="00792535" w:rsidP="00DD4ACC">
            <w:pPr>
              <w:pStyle w:val="BoxListBullet"/>
            </w:pPr>
            <w:r>
              <w:t>agencies’ rulemaking processes, in particular including effects of requirements added to the process since 2003</w:t>
            </w:r>
          </w:p>
          <w:p w:rsidR="00792535" w:rsidRDefault="00792535" w:rsidP="00DD4ACC">
            <w:pPr>
              <w:pStyle w:val="BoxListBullet"/>
            </w:pPr>
            <w:r>
              <w:t>transparency of the Office of Information and Regulatory Affairs</w:t>
            </w:r>
            <w:r w:rsidR="00D776CE">
              <w:t>’</w:t>
            </w:r>
            <w:r>
              <w:t xml:space="preserve"> (</w:t>
            </w:r>
            <w:proofErr w:type="spellStart"/>
            <w:r w:rsidR="0006689D">
              <w:t>OIRA</w:t>
            </w:r>
            <w:proofErr w:type="spellEnd"/>
            <w:r w:rsidR="0006689D">
              <w:t xml:space="preserve">, the </w:t>
            </w:r>
            <w:r>
              <w:t xml:space="preserve">US regulatory oversight body) regulatory review processes — advocating for more transparency at </w:t>
            </w:r>
            <w:proofErr w:type="spellStart"/>
            <w:r>
              <w:t>OIRA</w:t>
            </w:r>
            <w:proofErr w:type="spellEnd"/>
            <w:r>
              <w:t xml:space="preserve"> to better allow the public to understand the influence of </w:t>
            </w:r>
            <w:proofErr w:type="spellStart"/>
            <w:r>
              <w:t>OIRA</w:t>
            </w:r>
            <w:proofErr w:type="spellEnd"/>
            <w:r>
              <w:t xml:space="preserve"> on agency rulemaking.</w:t>
            </w:r>
          </w:p>
        </w:tc>
      </w:tr>
      <w:tr w:rsidR="00792535">
        <w:trPr>
          <w:cantSplit/>
        </w:trPr>
        <w:tc>
          <w:tcPr>
            <w:tcW w:w="8771" w:type="dxa"/>
            <w:tcBorders>
              <w:top w:val="nil"/>
              <w:bottom w:val="nil"/>
            </w:tcBorders>
          </w:tcPr>
          <w:p w:rsidR="00792535" w:rsidRDefault="00792535">
            <w:pPr>
              <w:pStyle w:val="BoxSource"/>
            </w:pPr>
            <w:r>
              <w:rPr>
                <w:i/>
              </w:rPr>
              <w:t>Sources</w:t>
            </w:r>
            <w:r w:rsidRPr="00167F06">
              <w:t xml:space="preserve">: </w:t>
            </w:r>
            <w:proofErr w:type="spellStart"/>
            <w:r>
              <w:t>NAO</w:t>
            </w:r>
            <w:proofErr w:type="spellEnd"/>
            <w:r>
              <w:t xml:space="preserve"> (</w:t>
            </w:r>
            <w:proofErr w:type="spellStart"/>
            <w:r>
              <w:t>2010</w:t>
            </w:r>
            <w:r w:rsidR="002A395F">
              <w:t>b</w:t>
            </w:r>
            <w:proofErr w:type="spellEnd"/>
            <w:r>
              <w:t xml:space="preserve">); </w:t>
            </w:r>
            <w:proofErr w:type="spellStart"/>
            <w:r>
              <w:t>ECA</w:t>
            </w:r>
            <w:proofErr w:type="spellEnd"/>
            <w:r>
              <w:t xml:space="preserve"> (2010); </w:t>
            </w:r>
            <w:proofErr w:type="spellStart"/>
            <w:r>
              <w:t>GAO</w:t>
            </w:r>
            <w:proofErr w:type="spellEnd"/>
            <w:r>
              <w:t xml:space="preserve"> (2009).</w:t>
            </w:r>
          </w:p>
        </w:tc>
      </w:tr>
      <w:tr w:rsidR="00792535">
        <w:trPr>
          <w:cantSplit/>
        </w:trPr>
        <w:tc>
          <w:tcPr>
            <w:tcW w:w="8771" w:type="dxa"/>
            <w:tcBorders>
              <w:top w:val="nil"/>
              <w:bottom w:val="single" w:sz="6" w:space="0" w:color="auto"/>
            </w:tcBorders>
          </w:tcPr>
          <w:p w:rsidR="00792535" w:rsidRDefault="00792535">
            <w:pPr>
              <w:pStyle w:val="Box"/>
              <w:spacing w:before="0" w:line="120" w:lineRule="exact"/>
            </w:pPr>
          </w:p>
        </w:tc>
      </w:tr>
      <w:tr w:rsidR="00792535">
        <w:tc>
          <w:tcPr>
            <w:tcW w:w="8771" w:type="dxa"/>
            <w:tcBorders>
              <w:top w:val="nil"/>
              <w:left w:val="nil"/>
              <w:bottom w:val="nil"/>
              <w:right w:val="nil"/>
            </w:tcBorders>
          </w:tcPr>
          <w:p w:rsidR="00792535" w:rsidRDefault="00792535" w:rsidP="00C56592">
            <w:pPr>
              <w:pStyle w:val="Box"/>
              <w:keepNext w:val="0"/>
              <w:spacing w:before="60" w:after="60" w:line="40" w:lineRule="exact"/>
              <w:rPr>
                <w:b/>
                <w:color w:val="FF00FF"/>
                <w:sz w:val="14"/>
              </w:rPr>
            </w:pPr>
          </w:p>
        </w:tc>
      </w:tr>
    </w:tbl>
    <w:p w:rsidR="00C56592" w:rsidRDefault="00C56592" w:rsidP="00C56592">
      <w:pPr>
        <w:pStyle w:val="BodyText"/>
      </w:pPr>
      <w:r>
        <w:lastRenderedPageBreak/>
        <w:t>Moreover, the OECD has recently called for the periodic assessment of the performance of regulatory oversight bodies. The OECD (</w:t>
      </w:r>
      <w:proofErr w:type="spellStart"/>
      <w:r>
        <w:t>2012a</w:t>
      </w:r>
      <w:proofErr w:type="spellEnd"/>
      <w:r>
        <w:t>) recommendation of the Council on Regulatory Policy and Governance explicitly states:</w:t>
      </w:r>
    </w:p>
    <w:p w:rsidR="00C56592" w:rsidRDefault="00C56592" w:rsidP="00C56592">
      <w:pPr>
        <w:pStyle w:val="Quote"/>
      </w:pPr>
      <w:r>
        <w:t>The performance of the oversight body, including its review of impact assessments should be periodically assessed. (p. 9)</w:t>
      </w:r>
    </w:p>
    <w:p w:rsidR="00C56592" w:rsidRDefault="00C56592" w:rsidP="00C56592">
      <w:pPr>
        <w:pStyle w:val="Quote"/>
      </w:pPr>
      <w:r>
        <w:t>The assessment of RIA by the regulatory oversight body should be periodically evaluated by an independent third party, such as, for example, the National Audit Authority. (p. 13)</w:t>
      </w:r>
    </w:p>
    <w:p w:rsidR="00521CFF" w:rsidRDefault="00CB33F9" w:rsidP="00AE5C3B">
      <w:pPr>
        <w:pStyle w:val="BodyText"/>
      </w:pPr>
      <w:r>
        <w:t xml:space="preserve">Most government agencies responding to the </w:t>
      </w:r>
      <w:r w:rsidR="002A21C6">
        <w:t xml:space="preserve">Commission’s </w:t>
      </w:r>
      <w:r>
        <w:t xml:space="preserve">RIA survey were </w:t>
      </w:r>
      <w:r w:rsidR="00F95EB8">
        <w:t>supportive of subjecting the decisions of the oversight body to a periodic audit to improve the RIA process. In co</w:t>
      </w:r>
      <w:r w:rsidR="004A5CC2">
        <w:t>mparison</w:t>
      </w:r>
      <w:r w:rsidR="00F95EB8">
        <w:t>, oversight bodies were generally neutral</w:t>
      </w:r>
      <w:r w:rsidR="004D2089">
        <w:t xml:space="preserve"> (figure 8.</w:t>
      </w:r>
      <w:r w:rsidR="00CE333E">
        <w:t>4</w:t>
      </w:r>
      <w:r w:rsidR="004D2089">
        <w:t>)</w:t>
      </w:r>
      <w:r w:rsidR="00F95EB8">
        <w:t>.</w:t>
      </w:r>
    </w:p>
    <w:p w:rsidR="00A40E11" w:rsidRDefault="00A40E11" w:rsidP="00A40E11">
      <w:pPr>
        <w:pStyle w:val="FigureTitle"/>
      </w:pPr>
      <w:r>
        <w:rPr>
          <w:b w:val="0"/>
        </w:rPr>
        <w:t xml:space="preserve">Figure </w:t>
      </w:r>
      <w:r w:rsidR="00FC4C5E">
        <w:rPr>
          <w:b w:val="0"/>
        </w:rPr>
        <w:t>8.</w:t>
      </w:r>
      <w:r w:rsidR="00FC4C5E">
        <w:rPr>
          <w:b w:val="0"/>
          <w:noProof/>
        </w:rPr>
        <w:t>4</w:t>
      </w:r>
      <w:r>
        <w:tab/>
      </w:r>
      <w:r w:rsidR="00021827">
        <w:t>To improve the RIA process</w:t>
      </w:r>
      <w:r w:rsidR="00117018">
        <w:t>,</w:t>
      </w:r>
      <w:r w:rsidR="00021827">
        <w:t xml:space="preserve"> s</w:t>
      </w:r>
      <w:r>
        <w:t xml:space="preserve">hould the decisions of the regulatory oversight body be </w:t>
      </w:r>
      <w:r w:rsidR="00117018">
        <w:t>audited</w:t>
      </w:r>
      <w:r>
        <w:t>?</w:t>
      </w:r>
    </w:p>
    <w:p w:rsidR="00A40E11" w:rsidRPr="008D442D" w:rsidRDefault="00A40E11" w:rsidP="00A40E11">
      <w:pPr>
        <w:pStyle w:val="Subtitle"/>
      </w:pPr>
      <w:r>
        <w:t>Number of responses</w:t>
      </w:r>
      <w:r w:rsidRPr="00E04D78">
        <w:rPr>
          <w:rStyle w:val="NoteLabel"/>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Description w:val="Figure 8.4 To improve the RIA process, should the decisions of the regulatory oversight body be audited? This chart shows how many agencies, departments and regulatory oversight bodies agreed, disagreed or responded neutrally to the question posed in the figure title."/>
      </w:tblPr>
      <w:tblGrid>
        <w:gridCol w:w="4388"/>
        <w:gridCol w:w="4389"/>
      </w:tblGrid>
      <w:tr w:rsidR="00A40E11" w:rsidRPr="008D442D" w:rsidTr="00AF35EB">
        <w:tc>
          <w:tcPr>
            <w:tcW w:w="4388" w:type="dxa"/>
          </w:tcPr>
          <w:p w:rsidR="00A40E11" w:rsidRPr="008D442D" w:rsidRDefault="00A40E11" w:rsidP="00AF35EB">
            <w:pPr>
              <w:pStyle w:val="TableColumnHeading"/>
              <w:jc w:val="center"/>
            </w:pPr>
            <w:r w:rsidRPr="008D442D">
              <w:t>Agencies and departments</w:t>
            </w:r>
          </w:p>
        </w:tc>
        <w:tc>
          <w:tcPr>
            <w:tcW w:w="4389" w:type="dxa"/>
          </w:tcPr>
          <w:p w:rsidR="00A40E11" w:rsidRPr="008D442D" w:rsidRDefault="00A40E11" w:rsidP="00AF35EB">
            <w:pPr>
              <w:pStyle w:val="TableColumnHeading"/>
              <w:jc w:val="center"/>
            </w:pPr>
            <w:r w:rsidRPr="008D442D">
              <w:t>Regulatory oversight bodies</w:t>
            </w:r>
          </w:p>
        </w:tc>
      </w:tr>
      <w:tr w:rsidR="00A40E11" w:rsidTr="00185C26">
        <w:tc>
          <w:tcPr>
            <w:tcW w:w="4388" w:type="dxa"/>
          </w:tcPr>
          <w:p w:rsidR="00A40E11" w:rsidRDefault="00185C26" w:rsidP="00AF35EB">
            <w:pPr>
              <w:pStyle w:val="TableUnitsRow"/>
              <w:jc w:val="center"/>
            </w:pPr>
            <w:r>
              <w:rPr>
                <w:noProof/>
              </w:rPr>
              <w:drawing>
                <wp:inline distT="0" distB="0" distL="0" distR="0" wp14:anchorId="3EAD89F8" wp14:editId="2292B41B">
                  <wp:extent cx="2772000" cy="2095500"/>
                  <wp:effectExtent l="0" t="0" r="0" b="0"/>
                  <wp:docPr id="3" name="Chart 3" descr="Figure 8.4 To improve the RIA process, should the decisions of the regulatory oversight body be audited? This chart shows how many agencies, departments and regulatory oversight bodies agreed, disagreed or responded neutrally to the question posed in the figure title."/>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c>
          <w:tcPr>
            <w:tcW w:w="4389" w:type="dxa"/>
          </w:tcPr>
          <w:p w:rsidR="00A40E11" w:rsidRDefault="00185C26" w:rsidP="00AF35EB">
            <w:pPr>
              <w:pStyle w:val="TableUnitsRow"/>
              <w:jc w:val="center"/>
            </w:pPr>
            <w:r>
              <w:rPr>
                <w:noProof/>
              </w:rPr>
              <w:drawing>
                <wp:inline distT="0" distB="0" distL="0" distR="0" wp14:anchorId="71142E72" wp14:editId="2E46C5EC">
                  <wp:extent cx="2772000" cy="2095500"/>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bl>
    <w:p w:rsidR="002014AF" w:rsidRDefault="00A40E11" w:rsidP="002014AF">
      <w:pPr>
        <w:pStyle w:val="Note"/>
      </w:pPr>
      <w:r>
        <w:rPr>
          <w:rStyle w:val="NoteLabel"/>
        </w:rPr>
        <w:t>a</w:t>
      </w:r>
      <w:r>
        <w:t xml:space="preserve"> </w:t>
      </w:r>
      <w:r w:rsidR="002014AF">
        <w:t>Based on 60 survey responses by agencies and departments, including 8 respondents who chose ‘do not know’. Responses to the survey of regulatory oversight bodies were received for 8 of the 10 jurisdictions. The OBPR, representing the Commonwealth and COAG jurisdictions did not provide a response to this question. ‘Agree’ comprises both ‘strongly agree’ and ‘agree’. Disagree comprises both ‘strongly disagree’ and ‘disagree’.</w:t>
      </w:r>
    </w:p>
    <w:p w:rsidR="00A40E11" w:rsidRDefault="002014AF" w:rsidP="002014AF">
      <w:pPr>
        <w:pStyle w:val="Note"/>
      </w:pPr>
      <w:r>
        <w:rPr>
          <w:i/>
        </w:rPr>
        <w:t>Data source</w:t>
      </w:r>
      <w:r w:rsidRPr="00167F06">
        <w:t xml:space="preserve">: </w:t>
      </w:r>
      <w:r w:rsidR="007D096B">
        <w:t xml:space="preserve">PC RIA Survey </w:t>
      </w:r>
      <w:r w:rsidR="005A6789">
        <w:t>(</w:t>
      </w:r>
      <w:r w:rsidR="007D096B">
        <w:t>2012</w:t>
      </w:r>
      <w:r w:rsidR="005A6789">
        <w:t>)</w:t>
      </w:r>
      <w:r w:rsidR="00C12EF2">
        <w:t>.</w:t>
      </w:r>
    </w:p>
    <w:p w:rsidR="000E4E05" w:rsidRDefault="000E4E05" w:rsidP="000E4E05">
      <w:pPr>
        <w:pStyle w:val="BodyText"/>
      </w:pPr>
      <w:r>
        <w:t>As discussed in chapter 1, many governments in Australia have subjected their RIA processes to external review in recent years. But most reviews have tended to focus on the performance of the overall RIA process in a jurisdiction, rather than how well the oversight body has performed its particular compliance assessment role.</w:t>
      </w:r>
    </w:p>
    <w:p w:rsidR="00792535" w:rsidRDefault="00792535" w:rsidP="003A69ED">
      <w:pPr>
        <w:pStyle w:val="Heading4"/>
      </w:pPr>
      <w:r>
        <w:lastRenderedPageBreak/>
        <w:t>Who will watch the watchmen?</w:t>
      </w:r>
    </w:p>
    <w:p w:rsidR="00792535" w:rsidRDefault="00792535" w:rsidP="00D753C2">
      <w:pPr>
        <w:pStyle w:val="BodyText"/>
      </w:pPr>
      <w:r>
        <w:t>Audit offices in Australia appear well placed to provide some retrospective scrutiny and verification of the adequacy assessment decisions of regulatory oversight bodies — both for RI</w:t>
      </w:r>
      <w:r w:rsidR="009509C1">
        <w:t>A</w:t>
      </w:r>
      <w:r>
        <w:t xml:space="preserve"> and </w:t>
      </w:r>
      <w:proofErr w:type="spellStart"/>
      <w:r>
        <w:t>PIR</w:t>
      </w:r>
      <w:proofErr w:type="spellEnd"/>
      <w:r>
        <w:t xml:space="preserve"> processes. All Australian jurisdictions have an audit office that could, if requested, periodically undertake a ‘performance audit’ of such bodies (box 8.</w:t>
      </w:r>
      <w:r w:rsidR="00F92442">
        <w:t>6</w:t>
      </w:r>
      <w:r>
        <w:t>).</w:t>
      </w:r>
      <w:r w:rsidR="001A35F8">
        <w:t xml:space="preserve"> </w:t>
      </w:r>
      <w:r>
        <w:t xml:space="preserve">However, other independent third parties with </w:t>
      </w:r>
      <w:r w:rsidR="00C33210">
        <w:t>relevant</w:t>
      </w:r>
      <w:r>
        <w:t xml:space="preserve"> skills could also undertake this work. </w:t>
      </w:r>
    </w:p>
    <w:p w:rsidR="00792535" w:rsidRDefault="00792535">
      <w:pPr>
        <w:pStyle w:val="BoxSpac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792535">
        <w:tc>
          <w:tcPr>
            <w:tcW w:w="8771" w:type="dxa"/>
            <w:tcBorders>
              <w:top w:val="single" w:sz="6" w:space="0" w:color="auto"/>
              <w:bottom w:val="nil"/>
            </w:tcBorders>
          </w:tcPr>
          <w:p w:rsidR="00792535" w:rsidRDefault="00792535" w:rsidP="00DB4551">
            <w:pPr>
              <w:pStyle w:val="BoxTitle"/>
            </w:pPr>
            <w:r>
              <w:rPr>
                <w:b w:val="0"/>
              </w:rPr>
              <w:t xml:space="preserve">Box </w:t>
            </w:r>
            <w:r w:rsidR="00FC4C5E" w:rsidRPr="00FC4C5E">
              <w:rPr>
                <w:b w:val="0"/>
              </w:rPr>
              <w:t>8.</w:t>
            </w:r>
            <w:r w:rsidR="00FC4C5E">
              <w:rPr>
                <w:b w:val="0"/>
                <w:noProof/>
              </w:rPr>
              <w:t>6</w:t>
            </w:r>
            <w:r>
              <w:tab/>
              <w:t>What do government auditors do?</w:t>
            </w:r>
          </w:p>
        </w:tc>
      </w:tr>
      <w:tr w:rsidR="00792535">
        <w:trPr>
          <w:cantSplit/>
        </w:trPr>
        <w:tc>
          <w:tcPr>
            <w:tcW w:w="8771" w:type="dxa"/>
            <w:tcBorders>
              <w:top w:val="nil"/>
              <w:bottom w:val="nil"/>
            </w:tcBorders>
          </w:tcPr>
          <w:p w:rsidR="00792535" w:rsidRDefault="00792535">
            <w:pPr>
              <w:pStyle w:val="Box"/>
            </w:pPr>
            <w:r>
              <w:t>The government auditor (Auditor-General) is a statutory officer who is legally guaranteed a degree of independence from the executive government, operating more as an agent of the legislature. The legislature is usually involved to some extent in the choice of subjects for audit investigation. Audit reports are normally presented to the legislature rather than the executive.</w:t>
            </w:r>
          </w:p>
          <w:p w:rsidR="00792535" w:rsidRDefault="00792535">
            <w:pPr>
              <w:pStyle w:val="Box"/>
            </w:pPr>
            <w:r>
              <w:t xml:space="preserve">Government audits are generally </w:t>
            </w:r>
            <w:r w:rsidR="00E87F48">
              <w:t xml:space="preserve">one </w:t>
            </w:r>
            <w:r>
              <w:t xml:space="preserve">of two types, financial </w:t>
            </w:r>
            <w:r w:rsidR="00AC55D3">
              <w:t>or</w:t>
            </w:r>
            <w:r>
              <w:t xml:space="preserve"> performance. Financial audits are aimed at verifying whether government expenditure has been conducted in accordance with legislative authorisations. Performance audits, audit the performance of government in terms of economy (minimising cost), efficiency (maximising the ratio of outputs to inputs) and effectiveness (the extent to which intended government objectives were achieved).</w:t>
            </w:r>
          </w:p>
          <w:p w:rsidR="00792535" w:rsidRDefault="00792535" w:rsidP="00CC630F">
            <w:pPr>
              <w:pStyle w:val="Box"/>
            </w:pPr>
            <w:r>
              <w:t>While financial audits must be conducted on all agencies regularly, performance audits are discretionary, being applied to areas or issues of particular concern, either at the initiative of the auditors themselves or at the request of legislators or even of the government. While requests from parliament and/or ministers are accorded high priority, the government auditor usually has ultimate discretion over the areas subject to performance audit.</w:t>
            </w:r>
          </w:p>
          <w:p w:rsidR="00792535" w:rsidRDefault="00792535" w:rsidP="00D753C2">
            <w:pPr>
              <w:pStyle w:val="Box"/>
            </w:pPr>
            <w:r>
              <w:t>While auditors conduct inquiries and publish reports (that may contain recommendations) they do not exercise formal powers of rectification, leaving the imposition of remedies to other agencies, such as the police and the courts in cases of fraud or embezzlement or the g</w:t>
            </w:r>
            <w:r w:rsidR="00E87F48">
              <w:t>overnment on matters of policy.</w:t>
            </w:r>
          </w:p>
        </w:tc>
      </w:tr>
      <w:tr w:rsidR="00792535">
        <w:trPr>
          <w:cantSplit/>
        </w:trPr>
        <w:tc>
          <w:tcPr>
            <w:tcW w:w="8771" w:type="dxa"/>
            <w:tcBorders>
              <w:top w:val="nil"/>
              <w:bottom w:val="nil"/>
            </w:tcBorders>
          </w:tcPr>
          <w:p w:rsidR="00792535" w:rsidRDefault="00792535" w:rsidP="00E35720">
            <w:pPr>
              <w:pStyle w:val="BoxSource"/>
            </w:pPr>
            <w:r>
              <w:rPr>
                <w:i/>
              </w:rPr>
              <w:t>Source</w:t>
            </w:r>
            <w:r w:rsidRPr="00167F06">
              <w:t xml:space="preserve">: </w:t>
            </w:r>
            <w:proofErr w:type="spellStart"/>
            <w:r>
              <w:t>Mulgan</w:t>
            </w:r>
            <w:proofErr w:type="spellEnd"/>
            <w:r>
              <w:t xml:space="preserve"> (2003).</w:t>
            </w:r>
          </w:p>
        </w:tc>
      </w:tr>
      <w:tr w:rsidR="00792535">
        <w:trPr>
          <w:cantSplit/>
        </w:trPr>
        <w:tc>
          <w:tcPr>
            <w:tcW w:w="8771" w:type="dxa"/>
            <w:tcBorders>
              <w:top w:val="nil"/>
              <w:bottom w:val="single" w:sz="6" w:space="0" w:color="auto"/>
            </w:tcBorders>
          </w:tcPr>
          <w:p w:rsidR="00792535" w:rsidRDefault="00792535">
            <w:pPr>
              <w:pStyle w:val="Box"/>
              <w:spacing w:before="0" w:line="120" w:lineRule="exact"/>
            </w:pPr>
          </w:p>
        </w:tc>
      </w:tr>
      <w:tr w:rsidR="00792535">
        <w:tc>
          <w:tcPr>
            <w:tcW w:w="8771" w:type="dxa"/>
            <w:tcBorders>
              <w:top w:val="nil"/>
              <w:left w:val="nil"/>
              <w:bottom w:val="nil"/>
              <w:right w:val="nil"/>
            </w:tcBorders>
          </w:tcPr>
          <w:p w:rsidR="00792535" w:rsidRDefault="00792535">
            <w:pPr>
              <w:pStyle w:val="Box"/>
              <w:keepNext w:val="0"/>
              <w:spacing w:before="60" w:after="60" w:line="80" w:lineRule="exact"/>
              <w:rPr>
                <w:b/>
                <w:color w:val="FF00FF"/>
                <w:sz w:val="14"/>
              </w:rPr>
            </w:pPr>
          </w:p>
        </w:tc>
      </w:tr>
    </w:tbl>
    <w:p w:rsidR="00504D25" w:rsidRDefault="00792535" w:rsidP="00E6525A">
      <w:pPr>
        <w:pStyle w:val="BodyText"/>
      </w:pPr>
      <w:r>
        <w:t>The periodic assessment of the performance of regulatory oversight bodies by an independent third party</w:t>
      </w:r>
      <w:r w:rsidR="00B5228C">
        <w:t>, such as an audit office,</w:t>
      </w:r>
      <w:r>
        <w:t xml:space="preserve"> would make a valuable contribution to the accountability of RIA processes across Australia</w:t>
      </w:r>
      <w:r w:rsidR="006662C2">
        <w:t xml:space="preserve"> — i</w:t>
      </w:r>
      <w:r>
        <w:t>t would introduce some accountability where cur</w:t>
      </w:r>
      <w:r w:rsidR="007D5DDB">
        <w:t>rently there is little or none.</w:t>
      </w:r>
    </w:p>
    <w:p w:rsidR="00713149" w:rsidRDefault="00713149" w:rsidP="00713149">
      <w:pPr>
        <w:pStyle w:val="FindingTitle"/>
        <w:framePr w:wrap="auto"/>
      </w:pPr>
      <w:r>
        <w:lastRenderedPageBreak/>
        <w:t>leADING PRACTICE 8.</w:t>
      </w:r>
      <w:r>
        <w:rPr>
          <w:noProof/>
        </w:rPr>
        <w:t>3</w:t>
      </w:r>
    </w:p>
    <w:p w:rsidR="0053359A" w:rsidRPr="00D135D4" w:rsidRDefault="00B4014A" w:rsidP="00F26FCF">
      <w:pPr>
        <w:pStyle w:val="Finding"/>
        <w:rPr>
          <w:b/>
        </w:rPr>
      </w:pPr>
      <w:r w:rsidRPr="00D135D4">
        <w:rPr>
          <w:b/>
        </w:rPr>
        <w:t>Stakeholder</w:t>
      </w:r>
      <w:r w:rsidR="00DE6B5E" w:rsidRPr="00D135D4">
        <w:rPr>
          <w:b/>
        </w:rPr>
        <w:t xml:space="preserve"> confidence in regulatory oversight bodies </w:t>
      </w:r>
      <w:r w:rsidR="00595B56" w:rsidRPr="00D135D4">
        <w:rPr>
          <w:b/>
        </w:rPr>
        <w:t>is</w:t>
      </w:r>
      <w:r w:rsidR="00DE6B5E" w:rsidRPr="00D135D4">
        <w:rPr>
          <w:b/>
        </w:rPr>
        <w:t xml:space="preserve"> enhanced </w:t>
      </w:r>
      <w:r w:rsidR="00595B56" w:rsidRPr="00D135D4">
        <w:rPr>
          <w:b/>
        </w:rPr>
        <w:t>where</w:t>
      </w:r>
      <w:r w:rsidR="00DE6B5E" w:rsidRPr="00D135D4">
        <w:rPr>
          <w:b/>
        </w:rPr>
        <w:t xml:space="preserve"> their</w:t>
      </w:r>
      <w:r w:rsidR="0053359A" w:rsidRPr="00D135D4">
        <w:rPr>
          <w:b/>
        </w:rPr>
        <w:t xml:space="preserve"> performance, including </w:t>
      </w:r>
      <w:r w:rsidR="00DE6B5E" w:rsidRPr="00D135D4">
        <w:rPr>
          <w:b/>
        </w:rPr>
        <w:t>their</w:t>
      </w:r>
      <w:r w:rsidR="0053359A" w:rsidRPr="00D135D4">
        <w:rPr>
          <w:b/>
        </w:rPr>
        <w:t xml:space="preserve"> adequacy assessments of RI</w:t>
      </w:r>
      <w:r w:rsidR="00B5228C" w:rsidRPr="00D135D4">
        <w:rPr>
          <w:b/>
        </w:rPr>
        <w:t>A</w:t>
      </w:r>
      <w:r w:rsidR="0053359A" w:rsidRPr="00D135D4">
        <w:rPr>
          <w:b/>
        </w:rPr>
        <w:t xml:space="preserve"> and </w:t>
      </w:r>
      <w:proofErr w:type="spellStart"/>
      <w:r w:rsidR="0053359A" w:rsidRPr="00D135D4">
        <w:rPr>
          <w:b/>
        </w:rPr>
        <w:t>PIR</w:t>
      </w:r>
      <w:proofErr w:type="spellEnd"/>
      <w:r w:rsidR="0053359A" w:rsidRPr="00D135D4">
        <w:rPr>
          <w:b/>
        </w:rPr>
        <w:t xml:space="preserve"> processes, </w:t>
      </w:r>
      <w:r w:rsidR="00595B56" w:rsidRPr="00D135D4">
        <w:rPr>
          <w:b/>
        </w:rPr>
        <w:t>is</w:t>
      </w:r>
      <w:r w:rsidR="0053359A" w:rsidRPr="00D135D4">
        <w:rPr>
          <w:b/>
        </w:rPr>
        <w:t xml:space="preserve"> periodically evaluated by an independent </w:t>
      </w:r>
      <w:r w:rsidR="00595B56" w:rsidRPr="00D135D4">
        <w:rPr>
          <w:b/>
        </w:rPr>
        <w:t>body</w:t>
      </w:r>
      <w:r w:rsidR="0053359A" w:rsidRPr="00D135D4">
        <w:rPr>
          <w:b/>
        </w:rPr>
        <w:t xml:space="preserve">, such as </w:t>
      </w:r>
      <w:r w:rsidR="00DE6B5E" w:rsidRPr="00D135D4">
        <w:rPr>
          <w:b/>
        </w:rPr>
        <w:t>the</w:t>
      </w:r>
      <w:r w:rsidR="0053359A" w:rsidRPr="00D135D4">
        <w:rPr>
          <w:b/>
        </w:rPr>
        <w:t xml:space="preserve"> audit office.</w:t>
      </w:r>
    </w:p>
    <w:p w:rsidR="00841EE6" w:rsidRDefault="00841EE6" w:rsidP="00E71D2B">
      <w:pPr>
        <w:pStyle w:val="Heading3"/>
      </w:pPr>
      <w:r>
        <w:t>Could audit offices also provide a broader performance monitoring role of a government’s RIA performance?</w:t>
      </w:r>
    </w:p>
    <w:p w:rsidR="008B3281" w:rsidRDefault="00841EE6" w:rsidP="00E8256E">
      <w:pPr>
        <w:pStyle w:val="BodyText"/>
      </w:pPr>
      <w:r>
        <w:t xml:space="preserve">Following the experience of the United Kingdom, it may also be useful to consider if the audit office should </w:t>
      </w:r>
      <w:r w:rsidR="006163D2">
        <w:t xml:space="preserve">regularly </w:t>
      </w:r>
      <w:r>
        <w:t xml:space="preserve">assess how RIA is being implemented within government more generally — not just the performance of the oversight body. </w:t>
      </w:r>
    </w:p>
    <w:p w:rsidR="005A511F" w:rsidRDefault="008B3281" w:rsidP="00E8256E">
      <w:pPr>
        <w:pStyle w:val="BodyText"/>
      </w:pPr>
      <w:proofErr w:type="spellStart"/>
      <w:r>
        <w:t>Borthwick</w:t>
      </w:r>
      <w:proofErr w:type="spellEnd"/>
      <w:r>
        <w:t xml:space="preserve"> and Milliner (2012), when reviewing the Australian Government</w:t>
      </w:r>
      <w:r w:rsidR="003B3DBC">
        <w:t>’s</w:t>
      </w:r>
      <w:r>
        <w:t xml:space="preserve"> RIA process, suggested </w:t>
      </w:r>
      <w:r w:rsidR="005A511F">
        <w:t xml:space="preserve">that the </w:t>
      </w:r>
      <w:proofErr w:type="spellStart"/>
      <w:r w:rsidR="005A511F">
        <w:t>ANAO</w:t>
      </w:r>
      <w:proofErr w:type="spellEnd"/>
      <w:r w:rsidR="005A511F">
        <w:t xml:space="preserve"> could be called on to influence agency behaviour by emphasising RIA process compliance and appropriate regulatory practice as part</w:t>
      </w:r>
      <w:r w:rsidR="00E8256E">
        <w:t xml:space="preserve"> of good public administration.</w:t>
      </w:r>
    </w:p>
    <w:p w:rsidR="00841EE6" w:rsidRDefault="0085049C" w:rsidP="00E8256E">
      <w:pPr>
        <w:pStyle w:val="BodyText"/>
      </w:pPr>
      <w:r>
        <w:t>Engaging the assistance of the audit office may be helpful since</w:t>
      </w:r>
      <w:r w:rsidR="00841EE6">
        <w:t xml:space="preserve"> it is usually the case that the oversight body inevitably becomes the sole champion of compliance with what is in fact broad government policy. </w:t>
      </w:r>
      <w:r w:rsidR="00E8256E">
        <w:t>Being the sole champion can</w:t>
      </w:r>
      <w:r w:rsidR="00841EE6">
        <w:t xml:space="preserve"> make the oversight body </w:t>
      </w:r>
      <w:r w:rsidR="0080403C">
        <w:t xml:space="preserve">somewhat </w:t>
      </w:r>
      <w:r w:rsidR="00841EE6">
        <w:t xml:space="preserve">isolated and vulnerable to </w:t>
      </w:r>
      <w:r w:rsidR="008B3281">
        <w:t>criticism</w:t>
      </w:r>
      <w:r w:rsidR="00841EE6">
        <w:t xml:space="preserve"> (both within and outside government). Having the ‘third party perspective’ of an audit office may be effective at broadening ownership of</w:t>
      </w:r>
      <w:r w:rsidR="0080403C">
        <w:t>,</w:t>
      </w:r>
      <w:r w:rsidR="00841EE6">
        <w:t xml:space="preserve"> and increasing support </w:t>
      </w:r>
      <w:r w:rsidR="00B37A17">
        <w:t xml:space="preserve">for RIA and </w:t>
      </w:r>
      <w:r w:rsidR="00841EE6">
        <w:t xml:space="preserve">is naturally linked to its concerns for effective programs and policies. </w:t>
      </w:r>
      <w:r w:rsidR="00E71D2B">
        <w:t>For example</w:t>
      </w:r>
      <w:r w:rsidR="00841EE6">
        <w:t xml:space="preserve">, the audit office could consider the use of consultation practices by agencies, as well as the quality of individual impact assessments, through </w:t>
      </w:r>
      <w:r w:rsidR="00E87AF9">
        <w:t xml:space="preserve">monitoring </w:t>
      </w:r>
      <w:r w:rsidR="00841EE6">
        <w:t>the application of quantification to costs and benefits.</w:t>
      </w:r>
    </w:p>
    <w:p w:rsidR="00792535" w:rsidRDefault="00FC4C5E" w:rsidP="009F1801">
      <w:pPr>
        <w:pStyle w:val="Heading2"/>
      </w:pPr>
      <w:r>
        <w:t>8.</w:t>
      </w:r>
      <w:r>
        <w:rPr>
          <w:noProof/>
        </w:rPr>
        <w:t>4</w:t>
      </w:r>
      <w:r w:rsidR="00792535">
        <w:tab/>
      </w:r>
      <w:r w:rsidR="00FB7B1A">
        <w:t>Executive g</w:t>
      </w:r>
      <w:r w:rsidR="00792535">
        <w:t>overnment accountability</w:t>
      </w:r>
    </w:p>
    <w:p w:rsidR="00792535" w:rsidRDefault="00792535" w:rsidP="00CF698D">
      <w:pPr>
        <w:pStyle w:val="Heading3"/>
      </w:pPr>
      <w:r>
        <w:t>What mechanisms are available to make governments accountable?</w:t>
      </w:r>
    </w:p>
    <w:p w:rsidR="00792535" w:rsidRDefault="00792535" w:rsidP="00F23C1E">
      <w:pPr>
        <w:pStyle w:val="BodyText"/>
      </w:pPr>
      <w:r>
        <w:t>There are two major mechanisms for holding Australian governments accountable for the regulatory decisions they make during their time in office:</w:t>
      </w:r>
      <w:r w:rsidR="00F23C1E">
        <w:t xml:space="preserve"> </w:t>
      </w:r>
      <w:r>
        <w:t>ministerial responsibility</w:t>
      </w:r>
      <w:r w:rsidR="00F23C1E">
        <w:t xml:space="preserve">; and </w:t>
      </w:r>
      <w:r>
        <w:t>parliamentary committee investigation.</w:t>
      </w:r>
    </w:p>
    <w:p w:rsidR="00792535" w:rsidRDefault="00792535" w:rsidP="00B271F5">
      <w:pPr>
        <w:pStyle w:val="Heading4"/>
      </w:pPr>
      <w:r>
        <w:lastRenderedPageBreak/>
        <w:t>Ministerial responsibility</w:t>
      </w:r>
    </w:p>
    <w:p w:rsidR="00792535" w:rsidRDefault="00792535" w:rsidP="002F1B06">
      <w:pPr>
        <w:pStyle w:val="BodyText"/>
      </w:pPr>
      <w:r>
        <w:t>Ministerial responsibility (</w:t>
      </w:r>
      <w:r w:rsidR="00116601">
        <w:t>or</w:t>
      </w:r>
      <w:r>
        <w:t xml:space="preserve"> accountability) </w:t>
      </w:r>
      <w:r w:rsidR="00116601">
        <w:t xml:space="preserve">to the </w:t>
      </w:r>
      <w:r w:rsidR="00B64BB1">
        <w:t>H</w:t>
      </w:r>
      <w:r w:rsidR="00116601">
        <w:t xml:space="preserve">ouse or </w:t>
      </w:r>
      <w:r w:rsidR="00B64BB1">
        <w:t>C</w:t>
      </w:r>
      <w:r w:rsidR="00116601">
        <w:t xml:space="preserve">hamber of parliament </w:t>
      </w:r>
      <w:r w:rsidR="00DC06CB">
        <w:t xml:space="preserve">of </w:t>
      </w:r>
      <w:r w:rsidR="00116601">
        <w:t xml:space="preserve">which the minister </w:t>
      </w:r>
      <w:r w:rsidR="00DC06CB">
        <w:t>is</w:t>
      </w:r>
      <w:r w:rsidR="00116601">
        <w:t xml:space="preserve"> a member, </w:t>
      </w:r>
      <w:r>
        <w:t>is a core principle of Westminster</w:t>
      </w:r>
      <w:r w:rsidR="00116601">
        <w:t>-</w:t>
      </w:r>
      <w:r>
        <w:t xml:space="preserve">based systems of government. Ministers are also accountable to the </w:t>
      </w:r>
      <w:r w:rsidR="00116601">
        <w:t>community</w:t>
      </w:r>
      <w:r>
        <w:t xml:space="preserve"> via parliament</w:t>
      </w:r>
      <w:r w:rsidR="00116601">
        <w:t>.</w:t>
      </w:r>
      <w:r w:rsidR="00DC06CB">
        <w:t xml:space="preserve"> </w:t>
      </w:r>
      <w:r w:rsidR="00116601">
        <w:t>P</w:t>
      </w:r>
      <w:r>
        <w:t>art of th</w:t>
      </w:r>
      <w:r w:rsidR="00116601">
        <w:t>is</w:t>
      </w:r>
      <w:r>
        <w:t xml:space="preserve"> accountability to parliament</w:t>
      </w:r>
      <w:r w:rsidR="00116601">
        <w:t xml:space="preserve"> is an obligation on</w:t>
      </w:r>
      <w:r>
        <w:t xml:space="preserve"> ministers to respond to questions about their portfolios put to them by their parliamentary colleagues. However, ministers have the right to refuse to answer questions, and will not usually discuss matters that: impinge on national security; are before a court of law; or are part of confidential discussions with cabinet colleagues.</w:t>
      </w:r>
    </w:p>
    <w:p w:rsidR="006A2A1E" w:rsidRDefault="003E2DE4" w:rsidP="00EC5ADE">
      <w:pPr>
        <w:pStyle w:val="BodyText"/>
      </w:pPr>
      <w:r>
        <w:t xml:space="preserve">In </w:t>
      </w:r>
      <w:r w:rsidR="00784A59">
        <w:t xml:space="preserve">some jurisdictions, </w:t>
      </w:r>
      <w:r w:rsidR="00754C55">
        <w:t>such as</w:t>
      </w:r>
      <w:r w:rsidR="00784A59">
        <w:t xml:space="preserve"> the Commonwealth,</w:t>
      </w:r>
      <w:r>
        <w:t xml:space="preserve"> there is a dedicated cabinet minister with </w:t>
      </w:r>
      <w:r w:rsidR="00A34FA6">
        <w:t xml:space="preserve">overarching </w:t>
      </w:r>
      <w:r>
        <w:t>responsibility for the RIA process and more specifically the oversight body adequacy assessments that are attached to cabinet submissions</w:t>
      </w:r>
      <w:r w:rsidR="00754C55">
        <w:t xml:space="preserve"> (or other decision documents)</w:t>
      </w:r>
      <w:r>
        <w:t xml:space="preserve">. </w:t>
      </w:r>
      <w:r w:rsidR="0043139B">
        <w:t xml:space="preserve">Having a RIA </w:t>
      </w:r>
      <w:r w:rsidR="009A09A9">
        <w:t>‘</w:t>
      </w:r>
      <w:r w:rsidR="0043139B">
        <w:t>champion</w:t>
      </w:r>
      <w:r w:rsidR="009A09A9">
        <w:t>’</w:t>
      </w:r>
      <w:r w:rsidR="0043139B">
        <w:t xml:space="preserve"> inside the Cabinet may help reduce the frequency of </w:t>
      </w:r>
      <w:r w:rsidR="00242078">
        <w:t>ministers</w:t>
      </w:r>
      <w:r w:rsidR="0043139B">
        <w:t xml:space="preserve"> not complying with the RIA process. </w:t>
      </w:r>
      <w:r w:rsidR="00E71D2B">
        <w:t xml:space="preserve">The </w:t>
      </w:r>
      <w:r w:rsidR="00B64BB1">
        <w:t xml:space="preserve">New South Wales </w:t>
      </w:r>
      <w:r w:rsidR="00E71D2B">
        <w:t xml:space="preserve">Government </w:t>
      </w:r>
      <w:r w:rsidR="00B64BB1">
        <w:t>had a dedicated Minister for Regulatory Reform in Cabinet that supported the RIA process. However, this position ceased in 2010, with responsibilities for RIA being transferred to the Premier.</w:t>
      </w:r>
    </w:p>
    <w:p w:rsidR="00792535" w:rsidRDefault="00792535" w:rsidP="00B271F5">
      <w:pPr>
        <w:pStyle w:val="Heading4"/>
      </w:pPr>
      <w:r>
        <w:t>Parliamentary committee investigation</w:t>
      </w:r>
    </w:p>
    <w:p w:rsidR="00792535" w:rsidRDefault="00792535" w:rsidP="00F23C1E">
      <w:pPr>
        <w:pStyle w:val="BodyText"/>
      </w:pPr>
      <w:r>
        <w:t xml:space="preserve">Ministers (and senior bureaucrats) </w:t>
      </w:r>
      <w:r w:rsidR="00207AA2">
        <w:t>can</w:t>
      </w:r>
      <w:r>
        <w:t xml:space="preserve"> also </w:t>
      </w:r>
      <w:r w:rsidR="00207AA2">
        <w:t xml:space="preserve">be </w:t>
      </w:r>
      <w:r>
        <w:t xml:space="preserve">subject to investigation </w:t>
      </w:r>
      <w:r w:rsidR="00207AA2">
        <w:t>and scrutiny by</w:t>
      </w:r>
      <w:r>
        <w:t xml:space="preserve"> legislative committees. </w:t>
      </w:r>
      <w:r w:rsidR="00207AA2">
        <w:t xml:space="preserve">In many respects, legislative committees are where much of the ‘heavy lifting’ by </w:t>
      </w:r>
      <w:r w:rsidR="00017E95">
        <w:t xml:space="preserve">parliaments </w:t>
      </w:r>
      <w:r w:rsidR="00207AA2">
        <w:t>is carried out.</w:t>
      </w:r>
      <w:r>
        <w:t xml:space="preserve"> Committees are involved in a number of legislative functions, including:</w:t>
      </w:r>
      <w:r w:rsidR="00F23C1E">
        <w:t xml:space="preserve"> </w:t>
      </w:r>
      <w:r>
        <w:t>reviewing proposed legislation</w:t>
      </w:r>
      <w:r w:rsidR="00F23C1E">
        <w:t xml:space="preserve">; and </w:t>
      </w:r>
      <w:r>
        <w:t>investigating particular policy problems.</w:t>
      </w:r>
    </w:p>
    <w:p w:rsidR="00792535" w:rsidRDefault="00207AA2" w:rsidP="00E57C0B">
      <w:pPr>
        <w:pStyle w:val="BodyText"/>
      </w:pPr>
      <w:r>
        <w:t xml:space="preserve">Of most relevance for accountability is their role in the oversight of the government bureaucracy. </w:t>
      </w:r>
      <w:r w:rsidR="00792535">
        <w:t>In such committee processes, government bureaucrats are excused from giving opinions on matters of policy but they are not prevented from giving information about the factual and technical background to policy</w:t>
      </w:r>
      <w:r>
        <w:t>, including aspects of RIA processes. While committee recommendations from their investigations are made public they are not binding on the parliament (</w:t>
      </w:r>
      <w:proofErr w:type="spellStart"/>
      <w:r>
        <w:t>Mulgan</w:t>
      </w:r>
      <w:proofErr w:type="spellEnd"/>
      <w:r>
        <w:t xml:space="preserve"> 2003).</w:t>
      </w:r>
    </w:p>
    <w:p w:rsidR="00792535" w:rsidRDefault="00792535" w:rsidP="00170ABD">
      <w:pPr>
        <w:pStyle w:val="Heading4"/>
      </w:pPr>
      <w:r>
        <w:t>How effective are these mechanisms in holding governments accountable?</w:t>
      </w:r>
    </w:p>
    <w:p w:rsidR="00792535" w:rsidRPr="00626942" w:rsidRDefault="00792535" w:rsidP="009A00CC">
      <w:pPr>
        <w:pStyle w:val="BodyText"/>
      </w:pPr>
      <w:r>
        <w:t xml:space="preserve">If working effectively, information and discussion of government policy and implementation, both in </w:t>
      </w:r>
      <w:r w:rsidR="00207AA2">
        <w:t xml:space="preserve">parliament </w:t>
      </w:r>
      <w:r>
        <w:t xml:space="preserve">and in committee investigation, should add to public accountability. </w:t>
      </w:r>
      <w:r w:rsidR="00207AA2">
        <w:t>It is not clear, however, that these mechanisms have achieved their full accountability potential</w:t>
      </w:r>
      <w:r w:rsidR="009523FE">
        <w:t>:</w:t>
      </w:r>
    </w:p>
    <w:p w:rsidR="00792535" w:rsidRDefault="009523FE" w:rsidP="00626942">
      <w:pPr>
        <w:pStyle w:val="Quote"/>
      </w:pPr>
      <w:r>
        <w:lastRenderedPageBreak/>
        <w:t xml:space="preserve">… </w:t>
      </w:r>
      <w:r w:rsidR="00792535">
        <w:t>legislatures in parliamentary systems often appear weak and irrelevant, excluded by the executive from discussion of the major government decisions and unable, or unwilling, to examine the great bulk of bureaucratic</w:t>
      </w:r>
      <w:r>
        <w:t xml:space="preserve"> decision-making. (</w:t>
      </w:r>
      <w:proofErr w:type="spellStart"/>
      <w:r>
        <w:t>Mulgan</w:t>
      </w:r>
      <w:proofErr w:type="spellEnd"/>
      <w:r w:rsidR="009F61DB">
        <w:t> </w:t>
      </w:r>
      <w:r>
        <w:t>2003,</w:t>
      </w:r>
      <w:r w:rsidR="009F61DB">
        <w:t> </w:t>
      </w:r>
      <w:r w:rsidR="00792535">
        <w:t>p.</w:t>
      </w:r>
      <w:r w:rsidR="007215C9">
        <w:t> </w:t>
      </w:r>
      <w:r w:rsidR="00792535">
        <w:t>57)</w:t>
      </w:r>
    </w:p>
    <w:p w:rsidR="00170ABD" w:rsidRDefault="00792535" w:rsidP="001578FD">
      <w:pPr>
        <w:pStyle w:val="BodyText"/>
      </w:pPr>
      <w:r>
        <w:t xml:space="preserve">The </w:t>
      </w:r>
      <w:r w:rsidR="00F14B5A">
        <w:t>o</w:t>
      </w:r>
      <w:r>
        <w:t xml:space="preserve">pposition </w:t>
      </w:r>
      <w:r w:rsidR="00F14B5A">
        <w:t>party’s</w:t>
      </w:r>
      <w:r>
        <w:t xml:space="preserve"> desire to expose a government’s mistakes and criticise its unpopular actions does much to hold the government accoun</w:t>
      </w:r>
      <w:r w:rsidR="009523FE">
        <w:t xml:space="preserve">table. </w:t>
      </w:r>
      <w:r>
        <w:t>However, such motivations may not always result in sufficient scrutiny of those regulatory proposals that may require it</w:t>
      </w:r>
      <w:r w:rsidR="009523FE">
        <w:t xml:space="preserve"> and </w:t>
      </w:r>
      <w:r w:rsidR="006C77CC">
        <w:t>the</w:t>
      </w:r>
      <w:r w:rsidR="009523FE">
        <w:t xml:space="preserve"> quality </w:t>
      </w:r>
      <w:r w:rsidR="006C77CC">
        <w:t xml:space="preserve">of </w:t>
      </w:r>
      <w:r w:rsidR="009523FE">
        <w:t>information available to the opposition can hinder debate on regulatory proposals</w:t>
      </w:r>
      <w:r>
        <w:t xml:space="preserve">. </w:t>
      </w:r>
    </w:p>
    <w:p w:rsidR="00792535" w:rsidRDefault="00170ABD" w:rsidP="001578FD">
      <w:pPr>
        <w:pStyle w:val="BodyText"/>
      </w:pPr>
      <w:r>
        <w:t>As a consequence, s</w:t>
      </w:r>
      <w:r w:rsidR="00792535">
        <w:t>anction</w:t>
      </w:r>
      <w:r w:rsidR="009523FE">
        <w:t>s</w:t>
      </w:r>
      <w:r w:rsidR="00792535">
        <w:t xml:space="preserve"> on </w:t>
      </w:r>
      <w:r w:rsidR="005F4B9A">
        <w:t xml:space="preserve">government </w:t>
      </w:r>
      <w:r w:rsidR="00792535">
        <w:t>for poor regulatory proposals</w:t>
      </w:r>
      <w:r w:rsidR="009523FE">
        <w:t xml:space="preserve"> usually </w:t>
      </w:r>
      <w:r w:rsidR="00F465DE">
        <w:t xml:space="preserve">rely </w:t>
      </w:r>
      <w:r w:rsidR="009523FE">
        <w:t>on public transparency (via the media)</w:t>
      </w:r>
      <w:r w:rsidR="00792535">
        <w:t xml:space="preserve">. For this reason, </w:t>
      </w:r>
      <w:r w:rsidR="009523FE">
        <w:t>e</w:t>
      </w:r>
      <w:r w:rsidR="00792535">
        <w:t xml:space="preserve">fforts to improve the accountability </w:t>
      </w:r>
      <w:r w:rsidR="00A34FA6">
        <w:t>of government</w:t>
      </w:r>
      <w:r w:rsidR="00792535">
        <w:t xml:space="preserve"> should be focused on making </w:t>
      </w:r>
      <w:r w:rsidR="00A34FA6">
        <w:t>it</w:t>
      </w:r>
      <w:r w:rsidR="00792535">
        <w:t xml:space="preserve"> more open to legislative investigation by parliament and increasing the transparency of decision</w:t>
      </w:r>
      <w:r w:rsidR="009523FE">
        <w:t xml:space="preserve"> making</w:t>
      </w:r>
      <w:r w:rsidR="00792535">
        <w:t>.</w:t>
      </w:r>
    </w:p>
    <w:p w:rsidR="00792535" w:rsidRDefault="00E16BE4" w:rsidP="00751E89">
      <w:pPr>
        <w:pStyle w:val="Heading3"/>
      </w:pPr>
      <w:r>
        <w:t>Are there o</w:t>
      </w:r>
      <w:r w:rsidR="00554501">
        <w:t>ther</w:t>
      </w:r>
      <w:r w:rsidR="00792535">
        <w:t xml:space="preserve"> </w:t>
      </w:r>
      <w:r w:rsidR="00554501">
        <w:t>options</w:t>
      </w:r>
      <w:r w:rsidR="00792535">
        <w:t xml:space="preserve"> to improve </w:t>
      </w:r>
      <w:r w:rsidR="00C70361">
        <w:t>scrutiny of</w:t>
      </w:r>
      <w:r w:rsidR="00792535">
        <w:t xml:space="preserve"> </w:t>
      </w:r>
      <w:r w:rsidR="00017E95">
        <w:t>government</w:t>
      </w:r>
      <w:r w:rsidR="00792535">
        <w:t>?</w:t>
      </w:r>
    </w:p>
    <w:p w:rsidR="00792535" w:rsidRDefault="00554501" w:rsidP="00751E89">
      <w:pPr>
        <w:pStyle w:val="BodyText"/>
      </w:pPr>
      <w:r>
        <w:t xml:space="preserve">Requiring </w:t>
      </w:r>
      <w:r w:rsidR="00792535">
        <w:t xml:space="preserve">ministers </w:t>
      </w:r>
      <w:r>
        <w:t>to be transparent when introducing</w:t>
      </w:r>
      <w:r w:rsidR="00792535">
        <w:t xml:space="preserve"> legislation </w:t>
      </w:r>
      <w:r w:rsidR="00C21398">
        <w:t xml:space="preserve">that has been exempted from undertaking a RIS or that has been </w:t>
      </w:r>
      <w:r w:rsidR="00552577">
        <w:t xml:space="preserve">assessed as </w:t>
      </w:r>
      <w:r w:rsidR="00792535">
        <w:t xml:space="preserve">not in accordance with RIA </w:t>
      </w:r>
      <w:r w:rsidR="00C21398">
        <w:t xml:space="preserve">requirements </w:t>
      </w:r>
      <w:r w:rsidR="00792535">
        <w:t xml:space="preserve">— </w:t>
      </w:r>
      <w:r>
        <w:t xml:space="preserve">for example, </w:t>
      </w:r>
      <w:r w:rsidR="00792535">
        <w:t xml:space="preserve">by requiring them to provide the reasons in a statement to parliament </w:t>
      </w:r>
      <w:r>
        <w:t>(as recommended in chapter</w:t>
      </w:r>
      <w:r w:rsidR="00C21398">
        <w:t>s 5 and</w:t>
      </w:r>
      <w:r>
        <w:t xml:space="preserve"> 7) </w:t>
      </w:r>
      <w:r w:rsidR="00792535">
        <w:t xml:space="preserve">— is one option that could be employed to increase the </w:t>
      </w:r>
      <w:r>
        <w:t>accountability</w:t>
      </w:r>
      <w:r w:rsidR="00792535">
        <w:t xml:space="preserve"> of government regulatory </w:t>
      </w:r>
      <w:r>
        <w:t>processes</w:t>
      </w:r>
      <w:r w:rsidR="00792535">
        <w:t>.</w:t>
      </w:r>
    </w:p>
    <w:p w:rsidR="00792535" w:rsidRDefault="00554501" w:rsidP="00F23C1E">
      <w:pPr>
        <w:pStyle w:val="BodyText"/>
      </w:pPr>
      <w:r>
        <w:t>T</w:t>
      </w:r>
      <w:r w:rsidR="00792535">
        <w:t xml:space="preserve">wo other options that could be employed to increase the accountability of </w:t>
      </w:r>
      <w:r>
        <w:t>decision</w:t>
      </w:r>
      <w:r w:rsidR="00792535">
        <w:t xml:space="preserve"> makers focus on strengthening </w:t>
      </w:r>
      <w:r w:rsidR="00017E95">
        <w:t>parliament’s</w:t>
      </w:r>
      <w:r w:rsidR="00792535">
        <w:t xml:space="preserve"> ability to scrutinise the regulatory decisions made by government</w:t>
      </w:r>
      <w:r>
        <w:t>. Specifically</w:t>
      </w:r>
      <w:r w:rsidR="00792535">
        <w:t>: providing greater institutional support within parliament on regulatory issues</w:t>
      </w:r>
      <w:r w:rsidR="00F23C1E">
        <w:t xml:space="preserve">; and/or </w:t>
      </w:r>
      <w:r w:rsidR="00792535">
        <w:t xml:space="preserve">making the regulatory oversight body report </w:t>
      </w:r>
      <w:r w:rsidR="00E4516A">
        <w:t xml:space="preserve">directly </w:t>
      </w:r>
      <w:r w:rsidR="00792535">
        <w:t xml:space="preserve">to parliament rather than to </w:t>
      </w:r>
      <w:r w:rsidR="00E4516A">
        <w:t xml:space="preserve">executive </w:t>
      </w:r>
      <w:r w:rsidR="00792535">
        <w:t>government</w:t>
      </w:r>
      <w:r w:rsidR="00C21398">
        <w:t xml:space="preserve"> — which </w:t>
      </w:r>
      <w:r w:rsidR="00C1727B">
        <w:t xml:space="preserve">reflects even more independence </w:t>
      </w:r>
      <w:r w:rsidR="00C21398">
        <w:t>than the statutory agency model discussed in section 8.3</w:t>
      </w:r>
      <w:r w:rsidR="00792535">
        <w:t>.</w:t>
      </w:r>
    </w:p>
    <w:p w:rsidR="00792535" w:rsidRDefault="00792535" w:rsidP="00FC4C81">
      <w:pPr>
        <w:pStyle w:val="Heading4"/>
      </w:pPr>
      <w:r>
        <w:t>Would greater institutional support within parliament improve government accountability?</w:t>
      </w:r>
    </w:p>
    <w:p w:rsidR="00792535" w:rsidRDefault="00792535" w:rsidP="00C16133">
      <w:pPr>
        <w:pStyle w:val="BodyText"/>
      </w:pPr>
      <w:r>
        <w:t xml:space="preserve">In its recent research report, </w:t>
      </w:r>
      <w:r w:rsidRPr="00E55267">
        <w:rPr>
          <w:i/>
        </w:rPr>
        <w:t>Identifying and Evaluating Regulation Reforms</w:t>
      </w:r>
      <w:r>
        <w:t xml:space="preserve">, the Commission questioned whether the Australian Parliament could benefit from greater institutional support </w:t>
      </w:r>
      <w:r w:rsidR="00F26FCF">
        <w:t>from its own system of committees</w:t>
      </w:r>
      <w:r w:rsidR="00572B7F">
        <w:t>:</w:t>
      </w:r>
    </w:p>
    <w:p w:rsidR="00792535" w:rsidRDefault="00792535" w:rsidP="00E55267">
      <w:pPr>
        <w:pStyle w:val="Quote"/>
      </w:pPr>
      <w:r>
        <w:t xml:space="preserve">The Senate Standing Committee on Regulations and Ordinances plays an important role in providing technical scrutiny of all delegated legislation to ensure their compliance with principles of parliamentary propriety. Whether there may be a role for </w:t>
      </w:r>
      <w:r>
        <w:lastRenderedPageBreak/>
        <w:t>a Committee with a wider focus on ‘good regulation’ is worthy of further consideration. Such a forum could strengthen political leadership in this area and help promote a better understanding of regulatory effectiveness. (PC 2011, p. 131)</w:t>
      </w:r>
    </w:p>
    <w:p w:rsidR="00792535" w:rsidRDefault="00792535" w:rsidP="00C61B75">
      <w:pPr>
        <w:pStyle w:val="BodyText"/>
      </w:pPr>
      <w:r>
        <w:t xml:space="preserve">The Senate also has a Scrutiny of Bills Committee that assesses legislative proposals </w:t>
      </w:r>
      <w:r w:rsidR="00036197">
        <w:t>with a</w:t>
      </w:r>
      <w:r>
        <w:t xml:space="preserve"> focus on the effect of </w:t>
      </w:r>
      <w:r w:rsidR="00036197">
        <w:t xml:space="preserve">the </w:t>
      </w:r>
      <w:r>
        <w:t>proposed legislation on individual rights, liberties and obligations and parliamentary propriety.</w:t>
      </w:r>
    </w:p>
    <w:p w:rsidR="00792535" w:rsidRDefault="00556A6E" w:rsidP="00995F8D">
      <w:pPr>
        <w:pStyle w:val="BodyText"/>
      </w:pPr>
      <w:r>
        <w:t>I</w:t>
      </w:r>
      <w:r w:rsidR="00276523">
        <w:t>n some jurisdictions where parliamentary scrutiny committees are tasked with ensuring RIA requirements for (</w:t>
      </w:r>
      <w:r w:rsidR="001710D0">
        <w:t xml:space="preserve">mainly </w:t>
      </w:r>
      <w:r w:rsidR="00276523">
        <w:t xml:space="preserve">subordinate) legislation have been met, they have played a useful role in airing RIA problems, </w:t>
      </w:r>
      <w:r>
        <w:t>but</w:t>
      </w:r>
      <w:r w:rsidR="00276523">
        <w:t xml:space="preserve"> have been </w:t>
      </w:r>
      <w:r w:rsidR="00036197">
        <w:t xml:space="preserve">largely </w:t>
      </w:r>
      <w:r>
        <w:t>unsuccessful</w:t>
      </w:r>
      <w:r w:rsidR="00276523">
        <w:t xml:space="preserve"> in changing regulatory outcomes</w:t>
      </w:r>
      <w:r>
        <w:t xml:space="preserve"> (section 8.2).</w:t>
      </w:r>
      <w:r w:rsidR="00036197">
        <w:t xml:space="preserve"> </w:t>
      </w:r>
      <w:r w:rsidR="00792535">
        <w:t xml:space="preserve">To make scrutiny committees more effective in focusing on RIA requirements and improving regulatory outcomes </w:t>
      </w:r>
      <w:r w:rsidR="00542E97">
        <w:t>they</w:t>
      </w:r>
      <w:r w:rsidR="00792535">
        <w:t xml:space="preserve"> need:</w:t>
      </w:r>
    </w:p>
    <w:p w:rsidR="00792535" w:rsidRDefault="00792535" w:rsidP="0082457D">
      <w:pPr>
        <w:pStyle w:val="ListBullet"/>
      </w:pPr>
      <w:r>
        <w:t xml:space="preserve">an explicit mandate to examine RIA issues — which </w:t>
      </w:r>
      <w:r w:rsidR="00036197">
        <w:t xml:space="preserve">those </w:t>
      </w:r>
      <w:r>
        <w:t>jurisdictions</w:t>
      </w:r>
      <w:r w:rsidR="00A20450">
        <w:t xml:space="preserve"> </w:t>
      </w:r>
      <w:r w:rsidR="00036197">
        <w:t>(</w:t>
      </w:r>
      <w:r w:rsidR="00542E97">
        <w:t xml:space="preserve">New South Wales, </w:t>
      </w:r>
      <w:r>
        <w:t>Victoria</w:t>
      </w:r>
      <w:r w:rsidR="00556A6E">
        <w:t xml:space="preserve">, Queensland, </w:t>
      </w:r>
      <w:r w:rsidR="00542E97">
        <w:t>Tasmania</w:t>
      </w:r>
      <w:r w:rsidR="00556A6E">
        <w:t xml:space="preserve"> and the </w:t>
      </w:r>
      <w:r w:rsidR="006F121E">
        <w:t>ACT</w:t>
      </w:r>
      <w:r w:rsidR="00036197">
        <w:t>)</w:t>
      </w:r>
      <w:r w:rsidR="00036197" w:rsidRPr="00036197">
        <w:t xml:space="preserve"> </w:t>
      </w:r>
      <w:r w:rsidR="00036197">
        <w:t>with legislated RIA processes for subordinate legislation already have</w:t>
      </w:r>
    </w:p>
    <w:p w:rsidR="00792535" w:rsidRDefault="00792535" w:rsidP="0082457D">
      <w:pPr>
        <w:pStyle w:val="ListBullet"/>
      </w:pPr>
      <w:r>
        <w:t>the analytical expertise</w:t>
      </w:r>
      <w:r w:rsidR="00036197">
        <w:t>,</w:t>
      </w:r>
      <w:r>
        <w:t xml:space="preserve"> </w:t>
      </w:r>
      <w:r w:rsidR="00556A6E">
        <w:t xml:space="preserve">resources </w:t>
      </w:r>
      <w:r w:rsidR="00036197">
        <w:t xml:space="preserve">and time </w:t>
      </w:r>
      <w:r>
        <w:t>to examine these issues effectively</w:t>
      </w:r>
    </w:p>
    <w:p w:rsidR="00792535" w:rsidRDefault="00792535" w:rsidP="0082457D">
      <w:pPr>
        <w:pStyle w:val="ListBullet"/>
      </w:pPr>
      <w:r>
        <w:t xml:space="preserve">the confidence to use their existing powers </w:t>
      </w:r>
      <w:r w:rsidR="00AE3124">
        <w:t xml:space="preserve">(such as recommend disallowance) </w:t>
      </w:r>
      <w:r>
        <w:t xml:space="preserve">when all other efforts to resolve RIA issues have failed. </w:t>
      </w:r>
    </w:p>
    <w:p w:rsidR="00792535" w:rsidRDefault="00556A6E" w:rsidP="00995F8D">
      <w:pPr>
        <w:pStyle w:val="BodyText"/>
      </w:pPr>
      <w:r>
        <w:t>Such</w:t>
      </w:r>
      <w:r w:rsidR="00792535">
        <w:t xml:space="preserve"> arrangements could assist in increasing the amount of attention given to RIA issues and in turn lead regulation makers within executive government </w:t>
      </w:r>
      <w:r>
        <w:t>to give</w:t>
      </w:r>
      <w:r w:rsidR="00792535">
        <w:t xml:space="preserve"> more thought to RIA quality during the policy and legislation drafting process</w:t>
      </w:r>
      <w:r w:rsidR="00DB3EBE">
        <w:t>es</w:t>
      </w:r>
      <w:r w:rsidR="00792535">
        <w:t>.</w:t>
      </w:r>
      <w:r w:rsidR="00036197">
        <w:t xml:space="preserve"> </w:t>
      </w:r>
    </w:p>
    <w:p w:rsidR="00480E64" w:rsidRDefault="00480E64" w:rsidP="00995F8D">
      <w:pPr>
        <w:pStyle w:val="BodyText"/>
      </w:pPr>
      <w:r>
        <w:t xml:space="preserve">It is also important for parliamentary committees generally (not just scrutiny committees) to develop a closer working relationship with the regulatory oversight bodies in their respective jurisdictions — particularly as the administrative task of assessing compliance of government regulatory proposals falls within the scope of parliamentary committee investigation. To preserve the confidentiality of the government’s regulatory decisions, discussions between parliamentary committees and the oversight body (on its RIS adequacy assessment) </w:t>
      </w:r>
      <w:r w:rsidR="007635B9">
        <w:t>w</w:t>
      </w:r>
      <w:r>
        <w:t xml:space="preserve">ould </w:t>
      </w:r>
      <w:r w:rsidR="007635B9">
        <w:t xml:space="preserve">need to </w:t>
      </w:r>
      <w:r>
        <w:t xml:space="preserve">commence </w:t>
      </w:r>
      <w:r w:rsidR="007635B9">
        <w:t xml:space="preserve">only </w:t>
      </w:r>
      <w:r>
        <w:t>after the announcement of the regulatory decision by the government and the oversight body’s adequacy assessment had been made public.</w:t>
      </w:r>
    </w:p>
    <w:p w:rsidR="00606D7C" w:rsidRDefault="00606D7C" w:rsidP="00606D7C">
      <w:pPr>
        <w:pStyle w:val="BodyText"/>
      </w:pPr>
      <w:r>
        <w:t xml:space="preserve">There are growing pressures overseas for stronger ties between parliament and the executive </w:t>
      </w:r>
      <w:r w:rsidR="00AB176B">
        <w:t xml:space="preserve">government </w:t>
      </w:r>
      <w:r>
        <w:t xml:space="preserve">in relation to RIA. For example, a recent report by the Committee on Legal Affairs of the European Parliament called </w:t>
      </w:r>
      <w:r w:rsidR="007B34B4">
        <w:t>for</w:t>
      </w:r>
      <w:r>
        <w:t xml:space="preserve"> improvements in engaging with the RIA process at the European Parliament level. In particular, it called for greater dialogue between the Parliament and the European Commission (which includes the Commission’s oversight body, the Impact Assessment Board)</w:t>
      </w:r>
      <w:r w:rsidR="00DB3EBE">
        <w:t>:</w:t>
      </w:r>
    </w:p>
    <w:p w:rsidR="00606D7C" w:rsidRDefault="00606D7C" w:rsidP="00606D7C">
      <w:pPr>
        <w:pStyle w:val="Quote"/>
      </w:pPr>
      <w:r>
        <w:lastRenderedPageBreak/>
        <w:t>[The Committee] takes the view that a standard citation should systematically be included by Parliament in its legislative resolutions, by which a reference is made to consideration of all impact assessments conducted by EU institutions in the areas relevant to the legislation in question … Notes that Parliament and its committees already possess the machinery with which to scrutinise the Commission’s impact assessments; considers that a presentation of the impact assessment by the Commission to the relevant committee would be a valuable addition to the scrutiny undertaken in the Parliament … Calls for Commission impact assessments to be examined systematically and as early as possible at parliamentary, and in particular at committee, level … Encourages all its committees, before considering a legislative proposal, to hold an in-depth discussion with the Commission on the impact assessment. (European Parliament 2011, p. 10)</w:t>
      </w:r>
    </w:p>
    <w:p w:rsidR="00792535" w:rsidRDefault="004F28B3" w:rsidP="00B728A4">
      <w:pPr>
        <w:pStyle w:val="BodyText"/>
      </w:pPr>
      <w:r>
        <w:t xml:space="preserve">Better engagement of the </w:t>
      </w:r>
      <w:r w:rsidR="0057637D">
        <w:t xml:space="preserve">regulatory </w:t>
      </w:r>
      <w:r>
        <w:t xml:space="preserve">oversight body with the </w:t>
      </w:r>
      <w:r w:rsidR="00983CD0">
        <w:t xml:space="preserve">parliament and parliamentary committees </w:t>
      </w:r>
      <w:r w:rsidR="00792535">
        <w:t xml:space="preserve">would improve the </w:t>
      </w:r>
      <w:r w:rsidR="00AC2371">
        <w:t>scrutiny</w:t>
      </w:r>
      <w:r w:rsidR="00792535">
        <w:t xml:space="preserve"> of RIA issues in Australian parliaments and increase the likelihood that such issues will be given greater prominence by regulation makers. In effect, parliaments would be a more effective ‘backstop’ for legislative proposals, particularly for those proposals that have been assessed as departing from RIA </w:t>
      </w:r>
      <w:r w:rsidR="0024241D">
        <w:t>requirements</w:t>
      </w:r>
      <w:r w:rsidR="00792535">
        <w:t>.</w:t>
      </w:r>
    </w:p>
    <w:p w:rsidR="00792535" w:rsidRDefault="00792535" w:rsidP="00FC4C81">
      <w:pPr>
        <w:pStyle w:val="Heading4"/>
      </w:pPr>
      <w:r>
        <w:t>Would oversight body report</w:t>
      </w:r>
      <w:r w:rsidR="00C70361">
        <w:t>ing</w:t>
      </w:r>
      <w:r>
        <w:t xml:space="preserve"> to parliament improve </w:t>
      </w:r>
      <w:r w:rsidR="00FB7B1A">
        <w:t xml:space="preserve">executive </w:t>
      </w:r>
      <w:r>
        <w:t xml:space="preserve">government accountability? </w:t>
      </w:r>
    </w:p>
    <w:p w:rsidR="00792535" w:rsidRDefault="00792535" w:rsidP="00FC4C81">
      <w:pPr>
        <w:pStyle w:val="BodyText"/>
      </w:pPr>
      <w:r>
        <w:t xml:space="preserve">Improving institutional support within parliaments may improve some individual </w:t>
      </w:r>
      <w:r w:rsidR="00295945">
        <w:t>regulatory proposals</w:t>
      </w:r>
      <w:r>
        <w:t xml:space="preserve"> </w:t>
      </w:r>
      <w:r w:rsidR="00295945">
        <w:t xml:space="preserve">— </w:t>
      </w:r>
      <w:r w:rsidR="00A57D79">
        <w:t xml:space="preserve">those </w:t>
      </w:r>
      <w:r w:rsidR="00295945">
        <w:t xml:space="preserve">that </w:t>
      </w:r>
      <w:r w:rsidR="00A57D79">
        <w:t xml:space="preserve">particularly </w:t>
      </w:r>
      <w:r w:rsidR="00295945">
        <w:t xml:space="preserve">attract the attention of parliaments — </w:t>
      </w:r>
      <w:r w:rsidR="00812E54">
        <w:t xml:space="preserve">but </w:t>
      </w:r>
      <w:r>
        <w:t xml:space="preserve">it </w:t>
      </w:r>
      <w:r w:rsidR="00295945">
        <w:t>may not</w:t>
      </w:r>
      <w:r>
        <w:t xml:space="preserve"> necessarily result in a </w:t>
      </w:r>
      <w:r w:rsidR="00DB3EBE">
        <w:t xml:space="preserve">general </w:t>
      </w:r>
      <w:r>
        <w:t>lifting of regulatory quality.</w:t>
      </w:r>
      <w:r w:rsidRPr="00F36576">
        <w:t xml:space="preserve"> </w:t>
      </w:r>
      <w:r>
        <w:t xml:space="preserve">A more significant strengthening in the design of RIA systems may be required to increase the likelihood of </w:t>
      </w:r>
      <w:r w:rsidR="0021396C">
        <w:t xml:space="preserve">system-wide </w:t>
      </w:r>
      <w:r>
        <w:t>improvement</w:t>
      </w:r>
      <w:r w:rsidR="0021396C">
        <w:t>s</w:t>
      </w:r>
      <w:r>
        <w:t xml:space="preserve">. </w:t>
      </w:r>
    </w:p>
    <w:p w:rsidR="00792535" w:rsidRDefault="00792535" w:rsidP="00FC4C81">
      <w:pPr>
        <w:pStyle w:val="BodyText"/>
      </w:pPr>
      <w:r>
        <w:t xml:space="preserve">As seen in many jurisdictions, the coupling of </w:t>
      </w:r>
      <w:r w:rsidR="00742542">
        <w:t xml:space="preserve">executive </w:t>
      </w:r>
      <w:r>
        <w:t xml:space="preserve">government agencies undertaking the RIA process with executive </w:t>
      </w:r>
      <w:r w:rsidR="00742542">
        <w:t xml:space="preserve">government </w:t>
      </w:r>
      <w:r>
        <w:t xml:space="preserve">oversight from central agencies </w:t>
      </w:r>
      <w:r w:rsidR="0021396C">
        <w:t>has</w:t>
      </w:r>
      <w:r>
        <w:t xml:space="preserve"> </w:t>
      </w:r>
      <w:r w:rsidR="005D050A">
        <w:t xml:space="preserve">at times </w:t>
      </w:r>
      <w:r w:rsidR="00295945">
        <w:t>limited the scope of RIA to influence policy decisions, particularly where</w:t>
      </w:r>
      <w:r>
        <w:t xml:space="preserve"> the results of RIA (or likely results) conflict with political priorities. In many cases, the RIA process has </w:t>
      </w:r>
      <w:r w:rsidR="00E11EED">
        <w:t>be</w:t>
      </w:r>
      <w:r w:rsidR="00AF0B56">
        <w:t>en</w:t>
      </w:r>
      <w:r>
        <w:t xml:space="preserve"> undertaken with the underlying motivation of protecting the regulatory decision (already made), rather than exposing it to </w:t>
      </w:r>
      <w:r w:rsidR="007D5DDB">
        <w:t xml:space="preserve">constructive </w:t>
      </w:r>
      <w:r>
        <w:t>criticism.</w:t>
      </w:r>
      <w:r w:rsidR="00A57D79">
        <w:t xml:space="preserve"> </w:t>
      </w:r>
      <w:r w:rsidR="00E4787F">
        <w:t xml:space="preserve">As the </w:t>
      </w:r>
      <w:proofErr w:type="spellStart"/>
      <w:r w:rsidR="00E4787F">
        <w:t>ACCI</w:t>
      </w:r>
      <w:proofErr w:type="spellEnd"/>
      <w:r w:rsidR="00E4787F">
        <w:t xml:space="preserve"> comment</w:t>
      </w:r>
      <w:r w:rsidR="00345DBB">
        <w:t>s</w:t>
      </w:r>
      <w:r w:rsidR="00E4787F">
        <w:t>:</w:t>
      </w:r>
    </w:p>
    <w:p w:rsidR="00E4787F" w:rsidRDefault="00E4787F" w:rsidP="00E4787F">
      <w:pPr>
        <w:pStyle w:val="Quote"/>
      </w:pPr>
      <w:r>
        <w:t>Politically sensitive regulations that have a significant impact on [the] business community are more likely not to have their RIA adequately completed. (sub. 2, p. 1)</w:t>
      </w:r>
    </w:p>
    <w:p w:rsidR="00F23C1E" w:rsidRDefault="00792535" w:rsidP="00F23C1E">
      <w:pPr>
        <w:pStyle w:val="BodyText"/>
      </w:pPr>
      <w:r>
        <w:t>A further</w:t>
      </w:r>
      <w:r w:rsidR="00AC4640">
        <w:t>,</w:t>
      </w:r>
      <w:r>
        <w:t xml:space="preserve"> </w:t>
      </w:r>
      <w:r w:rsidR="00AC4640">
        <w:t xml:space="preserve">medium </w:t>
      </w:r>
      <w:r w:rsidR="00527347">
        <w:t xml:space="preserve">term </w:t>
      </w:r>
      <w:r>
        <w:t xml:space="preserve">option, when considering how RIA can play a more influential role in guiding regulatory decisions, is to remove responsibility for RIA oversight from the executive branch of government. </w:t>
      </w:r>
      <w:r w:rsidR="006351F3">
        <w:t xml:space="preserve">In principle, </w:t>
      </w:r>
      <w:r w:rsidR="00A57D79">
        <w:t xml:space="preserve">the regulatory </w:t>
      </w:r>
      <w:r w:rsidR="00C15FDD">
        <w:t xml:space="preserve">oversight </w:t>
      </w:r>
      <w:r w:rsidR="00A57D79">
        <w:t xml:space="preserve">function </w:t>
      </w:r>
      <w:r w:rsidR="006351F3">
        <w:t xml:space="preserve">could </w:t>
      </w:r>
      <w:r w:rsidR="00A57D79">
        <w:t xml:space="preserve">alternatively </w:t>
      </w:r>
      <w:r w:rsidR="006351F3">
        <w:t xml:space="preserve">be located within a </w:t>
      </w:r>
      <w:r w:rsidR="00A57D79">
        <w:t xml:space="preserve">parliamentary </w:t>
      </w:r>
      <w:r w:rsidR="006351F3">
        <w:t xml:space="preserve">committee </w:t>
      </w:r>
      <w:r w:rsidR="006351F3">
        <w:lastRenderedPageBreak/>
        <w:t>or a</w:t>
      </w:r>
      <w:r w:rsidR="00A57D79">
        <w:t>s a</w:t>
      </w:r>
      <w:r w:rsidR="006351F3">
        <w:t xml:space="preserve"> </w:t>
      </w:r>
      <w:r w:rsidR="00A57D79">
        <w:t xml:space="preserve">separate </w:t>
      </w:r>
      <w:r w:rsidR="006351F3">
        <w:t xml:space="preserve">body reporting </w:t>
      </w:r>
      <w:r w:rsidR="00D739FF">
        <w:t xml:space="preserve">directly </w:t>
      </w:r>
      <w:r w:rsidR="006351F3">
        <w:t xml:space="preserve">to </w:t>
      </w:r>
      <w:r w:rsidR="00A57D79">
        <w:t xml:space="preserve">parliament </w:t>
      </w:r>
      <w:r w:rsidR="004D14AD">
        <w:t xml:space="preserve">(Wiener and </w:t>
      </w:r>
      <w:proofErr w:type="spellStart"/>
      <w:r w:rsidR="004D14AD">
        <w:t>Alemanno</w:t>
      </w:r>
      <w:proofErr w:type="spellEnd"/>
      <w:r w:rsidR="004D14AD">
        <w:t xml:space="preserve"> 2010). </w:t>
      </w:r>
      <w:r w:rsidR="00A57D79">
        <w:t>For example</w:t>
      </w:r>
      <w:r w:rsidR="004D14AD">
        <w:t xml:space="preserve">, </w:t>
      </w:r>
      <w:r w:rsidR="00A57D79">
        <w:t xml:space="preserve">a regulatory </w:t>
      </w:r>
      <w:r w:rsidR="00FA194E">
        <w:t xml:space="preserve">oversight </w:t>
      </w:r>
      <w:r w:rsidR="00A57D79">
        <w:t xml:space="preserve">body </w:t>
      </w:r>
      <w:r w:rsidR="004D14AD">
        <w:t xml:space="preserve">could be established as </w:t>
      </w:r>
      <w:r w:rsidR="00A57D79">
        <w:t xml:space="preserve">an </w:t>
      </w:r>
      <w:r w:rsidR="004D14AD">
        <w:t xml:space="preserve">independent statutory </w:t>
      </w:r>
      <w:r w:rsidR="00A57D79">
        <w:t xml:space="preserve">authority </w:t>
      </w:r>
      <w:r w:rsidR="004D14AD">
        <w:t xml:space="preserve">(like the Australian National Audit Office) </w:t>
      </w:r>
      <w:r w:rsidR="00F23C1E">
        <w:t xml:space="preserve">in each jurisdiction </w:t>
      </w:r>
      <w:r w:rsidR="004D14AD">
        <w:t>report</w:t>
      </w:r>
      <w:r w:rsidR="003210D6">
        <w:t>ing</w:t>
      </w:r>
      <w:r w:rsidR="004D14AD">
        <w:t xml:space="preserve"> to </w:t>
      </w:r>
      <w:r w:rsidR="003210D6">
        <w:t xml:space="preserve">the </w:t>
      </w:r>
      <w:r w:rsidR="00F23C1E">
        <w:t xml:space="preserve">jurisdiction’s </w:t>
      </w:r>
      <w:r w:rsidR="00A57D79">
        <w:t xml:space="preserve">parliament </w:t>
      </w:r>
      <w:r w:rsidR="006F5B12">
        <w:t>(rather than reporting to a minister)</w:t>
      </w:r>
      <w:r w:rsidR="006351F3">
        <w:t>.</w:t>
      </w:r>
      <w:r w:rsidR="00F23C1E" w:rsidRPr="00F23C1E">
        <w:t xml:space="preserve"> </w:t>
      </w:r>
      <w:r w:rsidR="00F23C1E">
        <w:t xml:space="preserve">To minimise duplication, such an entity could subsume the role of the </w:t>
      </w:r>
      <w:r w:rsidR="00A57D79">
        <w:t xml:space="preserve">current </w:t>
      </w:r>
      <w:r w:rsidR="00F23C1E">
        <w:t>regulatory oversight body</w:t>
      </w:r>
      <w:r w:rsidR="00A57D79">
        <w:t xml:space="preserve"> —</w:t>
      </w:r>
      <w:r w:rsidR="00F23C1E">
        <w:t xml:space="preserve"> in the Australian Government’s case, </w:t>
      </w:r>
      <w:r w:rsidR="00A57D79">
        <w:t xml:space="preserve">for example, </w:t>
      </w:r>
      <w:r w:rsidR="00F23C1E">
        <w:t xml:space="preserve">the OBPR </w:t>
      </w:r>
      <w:r w:rsidR="00A57D79">
        <w:t xml:space="preserve">would </w:t>
      </w:r>
      <w:r w:rsidR="00F23C1E">
        <w:t xml:space="preserve">report </w:t>
      </w:r>
      <w:r w:rsidR="00D739FF">
        <w:t xml:space="preserve">directly </w:t>
      </w:r>
      <w:r w:rsidR="00F23C1E">
        <w:t xml:space="preserve">to </w:t>
      </w:r>
      <w:r w:rsidR="001B49E0">
        <w:t xml:space="preserve">the </w:t>
      </w:r>
      <w:r w:rsidR="00F23C1E">
        <w:t>Parliament</w:t>
      </w:r>
      <w:r w:rsidR="001B49E0">
        <w:t xml:space="preserve"> of Australia</w:t>
      </w:r>
      <w:r w:rsidR="00F23C1E">
        <w:t xml:space="preserve">. </w:t>
      </w:r>
    </w:p>
    <w:p w:rsidR="0067143B" w:rsidRDefault="0021396C" w:rsidP="0067143B">
      <w:pPr>
        <w:pStyle w:val="BodyText"/>
      </w:pPr>
      <w:r>
        <w:t xml:space="preserve">One option for </w:t>
      </w:r>
      <w:r w:rsidR="00FA194E">
        <w:t xml:space="preserve">reporting to </w:t>
      </w:r>
      <w:r w:rsidR="001B49E0">
        <w:t>parliament</w:t>
      </w:r>
      <w:r>
        <w:t xml:space="preserve"> </w:t>
      </w:r>
      <w:r w:rsidR="00B523A9">
        <w:t>c</w:t>
      </w:r>
      <w:r>
        <w:t xml:space="preserve">ould be </w:t>
      </w:r>
      <w:r w:rsidR="00FA194E">
        <w:t xml:space="preserve">via </w:t>
      </w:r>
      <w:r>
        <w:t>the</w:t>
      </w:r>
      <w:r w:rsidR="00792535">
        <w:t xml:space="preserve"> establishment of a </w:t>
      </w:r>
      <w:r>
        <w:t>‘</w:t>
      </w:r>
      <w:r w:rsidR="00792535">
        <w:t>Parliamentary Regulation Office</w:t>
      </w:r>
      <w:r>
        <w:t>’</w:t>
      </w:r>
      <w:r w:rsidR="00792535">
        <w:t xml:space="preserve"> in each jurisdiction</w:t>
      </w:r>
      <w:r w:rsidR="001B2B44">
        <w:t>. This would be akin</w:t>
      </w:r>
      <w:r w:rsidR="00792535">
        <w:t xml:space="preserve"> to the recently established Parliamentary Budget Office (</w:t>
      </w:r>
      <w:proofErr w:type="spellStart"/>
      <w:r w:rsidR="00792535">
        <w:t>PBO</w:t>
      </w:r>
      <w:proofErr w:type="spellEnd"/>
      <w:r w:rsidR="00792535">
        <w:t>) in the Australian Government (</w:t>
      </w:r>
      <w:r>
        <w:t>Parliamentary Library 2011</w:t>
      </w:r>
      <w:r w:rsidR="00792535">
        <w:t xml:space="preserve">). </w:t>
      </w:r>
      <w:r w:rsidR="0067143B">
        <w:t>In addition t</w:t>
      </w:r>
      <w:r w:rsidR="00E64246">
        <w:t xml:space="preserve">o improving their independence, </w:t>
      </w:r>
      <w:r w:rsidR="0067143B">
        <w:t xml:space="preserve">such a change in reporting arrangements for the regulatory oversight body would enable them to become a source of high-quality, independent analysis and advice to the Parliament on regulatory matters — improving the quality of parliamentary debate and enhancing decision making. </w:t>
      </w:r>
    </w:p>
    <w:p w:rsidR="007635B9" w:rsidRDefault="001F3EC4" w:rsidP="007265CA">
      <w:pPr>
        <w:pStyle w:val="BodyText"/>
      </w:pPr>
      <w:r>
        <w:t xml:space="preserve">Transparency and accountability were key </w:t>
      </w:r>
      <w:r w:rsidR="000E1FF3">
        <w:t>reasons</w:t>
      </w:r>
      <w:r>
        <w:t xml:space="preserve"> for </w:t>
      </w:r>
      <w:r w:rsidR="000E1FF3">
        <w:t>establishing the Commonwealth</w:t>
      </w:r>
      <w:r>
        <w:t xml:space="preserve"> </w:t>
      </w:r>
      <w:proofErr w:type="spellStart"/>
      <w:r w:rsidR="000E1FF3">
        <w:t>PBO</w:t>
      </w:r>
      <w:proofErr w:type="spellEnd"/>
      <w:r w:rsidR="005F3475">
        <w:t xml:space="preserve"> (</w:t>
      </w:r>
      <w:r w:rsidR="00FF5883" w:rsidRPr="00FF5883">
        <w:t xml:space="preserve">Joint Select Committee on the Parliamentary Budget Office </w:t>
      </w:r>
      <w:r w:rsidR="005F3475">
        <w:t>2011)</w:t>
      </w:r>
      <w:r>
        <w:t>. There is, arguably, a greater need for transparency and accountability in the making of regulatory decisions by governments given they are not subjected to the sharper disciplines that budgetary measures face through the Expenditure Review Committee process</w:t>
      </w:r>
      <w:r w:rsidR="000E1FF3">
        <w:t xml:space="preserve"> (Australian Government </w:t>
      </w:r>
      <w:proofErr w:type="spellStart"/>
      <w:r w:rsidR="000E1FF3">
        <w:t>2012</w:t>
      </w:r>
      <w:r w:rsidR="004A7DCD">
        <w:t>c</w:t>
      </w:r>
      <w:proofErr w:type="spellEnd"/>
      <w:r w:rsidR="000E1FF3">
        <w:t>)</w:t>
      </w:r>
      <w:r>
        <w:t xml:space="preserve">. </w:t>
      </w:r>
    </w:p>
    <w:p w:rsidR="00792535" w:rsidRDefault="00792535" w:rsidP="007265CA">
      <w:pPr>
        <w:pStyle w:val="BodyText"/>
      </w:pPr>
      <w:r>
        <w:t xml:space="preserve">There do not appear to be similar cabinet committees </w:t>
      </w:r>
      <w:r w:rsidRPr="000E1FF3">
        <w:rPr>
          <w:i/>
        </w:rPr>
        <w:t>for regulatory proposals</w:t>
      </w:r>
      <w:r>
        <w:t xml:space="preserve"> in Australian jurisdictions</w:t>
      </w:r>
      <w:r w:rsidR="000E1FF3">
        <w:t>, a</w:t>
      </w:r>
      <w:r>
        <w:t>lthough they do exist in some overseas jurisdictions. For example, in the U</w:t>
      </w:r>
      <w:r w:rsidR="001B675A">
        <w:t xml:space="preserve">nited </w:t>
      </w:r>
      <w:r>
        <w:t>K</w:t>
      </w:r>
      <w:r w:rsidR="001B675A">
        <w:t>ingdom</w:t>
      </w:r>
      <w:r>
        <w:t xml:space="preserve"> t</w:t>
      </w:r>
      <w:r w:rsidRPr="0059048A">
        <w:t xml:space="preserve">he Reducing Regulation Committee </w:t>
      </w:r>
      <w:r>
        <w:t xml:space="preserve">of Cabinet examines </w:t>
      </w:r>
      <w:r w:rsidRPr="0059048A">
        <w:t>regulatory proposals making sure that only those of suitably high quality (</w:t>
      </w:r>
      <w:r w:rsidR="000E1FF3">
        <w:t xml:space="preserve">that is, </w:t>
      </w:r>
      <w:r w:rsidRPr="0059048A">
        <w:t>meeting good regulation principles) proceed</w:t>
      </w:r>
      <w:r>
        <w:t xml:space="preserve"> to Cabinet</w:t>
      </w:r>
      <w:r w:rsidRPr="0059048A">
        <w:t>.</w:t>
      </w:r>
    </w:p>
    <w:p w:rsidR="00792535" w:rsidRDefault="009D3FCB" w:rsidP="0059048A">
      <w:pPr>
        <w:pStyle w:val="BodyText"/>
      </w:pPr>
      <w:r>
        <w:t xml:space="preserve">Enabling </w:t>
      </w:r>
      <w:r w:rsidR="00792535">
        <w:t>the oversight body</w:t>
      </w:r>
      <w:r>
        <w:t xml:space="preserve"> to</w:t>
      </w:r>
      <w:r w:rsidR="00792535">
        <w:t xml:space="preserve"> report </w:t>
      </w:r>
      <w:r w:rsidR="00D739FF">
        <w:t xml:space="preserve">directly </w:t>
      </w:r>
      <w:r w:rsidR="00792535">
        <w:t>to parliament</w:t>
      </w:r>
      <w:r w:rsidR="008E47A5">
        <w:t xml:space="preserve"> </w:t>
      </w:r>
      <w:r w:rsidR="00D83B6D">
        <w:t>rather than being</w:t>
      </w:r>
      <w:r w:rsidR="008E47A5">
        <w:t xml:space="preserve"> subject to direction by a minister</w:t>
      </w:r>
      <w:r w:rsidR="00792535">
        <w:t xml:space="preserve"> (as now occurs in every jurisdiction) would appear to </w:t>
      </w:r>
      <w:r>
        <w:t xml:space="preserve">offer several </w:t>
      </w:r>
      <w:r w:rsidR="00792535">
        <w:t>distinct advantages</w:t>
      </w:r>
      <w:r>
        <w:t xml:space="preserve"> for the accountability of RIA processes — </w:t>
      </w:r>
    </w:p>
    <w:p w:rsidR="00792535" w:rsidRDefault="00792535" w:rsidP="001B2B44">
      <w:pPr>
        <w:pStyle w:val="ListBullet"/>
      </w:pPr>
      <w:r>
        <w:t xml:space="preserve">It would </w:t>
      </w:r>
      <w:r w:rsidR="00A727AD">
        <w:t>better insulate the</w:t>
      </w:r>
      <w:r>
        <w:t xml:space="preserve"> oversight body</w:t>
      </w:r>
      <w:r w:rsidR="00E4514A">
        <w:t xml:space="preserve"> </w:t>
      </w:r>
      <w:r w:rsidR="00A727AD">
        <w:t xml:space="preserve">from </w:t>
      </w:r>
      <w:r w:rsidR="00384618">
        <w:t xml:space="preserve">government </w:t>
      </w:r>
      <w:r w:rsidR="00A727AD">
        <w:t>political pressure</w:t>
      </w:r>
      <w:r w:rsidR="007C51B8">
        <w:t xml:space="preserve">, </w:t>
      </w:r>
      <w:r w:rsidR="00A727AD">
        <w:t xml:space="preserve">as </w:t>
      </w:r>
      <w:r w:rsidR="007C51B8">
        <w:t>discussed in section 8.</w:t>
      </w:r>
      <w:r w:rsidR="00391A20">
        <w:t>3</w:t>
      </w:r>
      <w:r w:rsidR="007C51B8">
        <w:t xml:space="preserve">, </w:t>
      </w:r>
      <w:r>
        <w:t>which could assist in improving the quality of RIS</w:t>
      </w:r>
      <w:r w:rsidR="008A6D1D">
        <w:t>/</w:t>
      </w:r>
      <w:proofErr w:type="spellStart"/>
      <w:r w:rsidR="008A6D1D">
        <w:t>PIR</w:t>
      </w:r>
      <w:proofErr w:type="spellEnd"/>
      <w:r>
        <w:t xml:space="preserve"> adequacy as</w:t>
      </w:r>
      <w:r w:rsidR="00F23C1E">
        <w:t>sessments.</w:t>
      </w:r>
    </w:p>
    <w:p w:rsidR="00F23C1E" w:rsidRDefault="00792535" w:rsidP="001B2B44">
      <w:pPr>
        <w:pStyle w:val="ListBullet"/>
      </w:pPr>
      <w:r>
        <w:t>It would improve</w:t>
      </w:r>
      <w:r w:rsidR="009D3FCB">
        <w:t xml:space="preserve"> capacity for</w:t>
      </w:r>
      <w:r>
        <w:t xml:space="preserve"> parliament</w:t>
      </w:r>
      <w:r w:rsidR="009D3FCB">
        <w:t xml:space="preserve"> to </w:t>
      </w:r>
      <w:r>
        <w:t xml:space="preserve">assess </w:t>
      </w:r>
      <w:r w:rsidR="009D3FCB">
        <w:t xml:space="preserve">the merit of </w:t>
      </w:r>
      <w:r>
        <w:t>regulatory proposals</w:t>
      </w:r>
      <w:r w:rsidR="009D3FCB">
        <w:t xml:space="preserve"> </w:t>
      </w:r>
      <w:r>
        <w:t>because it would have greater access to the analysis</w:t>
      </w:r>
      <w:r w:rsidR="00446319">
        <w:t>/assessment</w:t>
      </w:r>
      <w:r>
        <w:t xml:space="preserve"> of the oversight body. </w:t>
      </w:r>
    </w:p>
    <w:p w:rsidR="00792535" w:rsidRDefault="00792535" w:rsidP="001B2B44">
      <w:pPr>
        <w:pStyle w:val="ListBullet"/>
      </w:pPr>
      <w:r>
        <w:t xml:space="preserve">It would </w:t>
      </w:r>
      <w:r w:rsidR="00384618">
        <w:t>motivate</w:t>
      </w:r>
      <w:r>
        <w:t xml:space="preserve"> all participants in the RIA process (agencies, oversight bodies</w:t>
      </w:r>
      <w:r w:rsidR="009D3FCB">
        <w:t xml:space="preserve"> and </w:t>
      </w:r>
      <w:r>
        <w:t>ministers</w:t>
      </w:r>
      <w:r w:rsidR="001B2B44">
        <w:t>)</w:t>
      </w:r>
      <w:r>
        <w:t xml:space="preserve"> to </w:t>
      </w:r>
      <w:r w:rsidR="009D3FCB">
        <w:t xml:space="preserve">exercise </w:t>
      </w:r>
      <w:r>
        <w:t>their RIA responsibilities</w:t>
      </w:r>
      <w:r w:rsidR="009D3FCB">
        <w:t xml:space="preserve"> in a rigorous manner</w:t>
      </w:r>
      <w:r>
        <w:t xml:space="preserve">. </w:t>
      </w:r>
    </w:p>
    <w:p w:rsidR="005B7AD4" w:rsidRDefault="00FB7747" w:rsidP="00BD4562">
      <w:pPr>
        <w:pStyle w:val="BodyText"/>
      </w:pPr>
      <w:r>
        <w:lastRenderedPageBreak/>
        <w:t xml:space="preserve">On the other hand, </w:t>
      </w:r>
      <w:r w:rsidR="00C00CE1">
        <w:t xml:space="preserve">agency officials may be more guarded dealing with the staff of </w:t>
      </w:r>
      <w:r w:rsidR="009D3FCB">
        <w:t xml:space="preserve">an oversight body that reports directly to parliament </w:t>
      </w:r>
      <w:r w:rsidR="00C00CE1">
        <w:t xml:space="preserve">than they would with </w:t>
      </w:r>
      <w:r w:rsidR="002211DA">
        <w:t xml:space="preserve">the staff of an oversight body </w:t>
      </w:r>
      <w:r w:rsidR="009D3FCB">
        <w:t>with</w:t>
      </w:r>
      <w:r w:rsidR="00C00CE1">
        <w:t xml:space="preserve">in </w:t>
      </w:r>
      <w:r w:rsidR="00CC2FF4">
        <w:t xml:space="preserve">executive </w:t>
      </w:r>
      <w:r w:rsidR="00C00CE1">
        <w:t>government.</w:t>
      </w:r>
      <w:r w:rsidR="005717C4">
        <w:t xml:space="preserve"> As a consequence, any move </w:t>
      </w:r>
      <w:r w:rsidR="00C10462">
        <w:t xml:space="preserve">of the oversight body </w:t>
      </w:r>
      <w:r w:rsidR="00D865F8">
        <w:t xml:space="preserve">away from the executive </w:t>
      </w:r>
      <w:r w:rsidR="00246B2B">
        <w:t>may</w:t>
      </w:r>
      <w:r w:rsidR="005717C4">
        <w:t xml:space="preserve"> require commensurate information gathering powers</w:t>
      </w:r>
      <w:r w:rsidR="00C10462">
        <w:t xml:space="preserve"> and confidentiality requirements</w:t>
      </w:r>
      <w:r w:rsidR="005717C4">
        <w:t xml:space="preserve">. </w:t>
      </w:r>
    </w:p>
    <w:p w:rsidR="002211DA" w:rsidRDefault="008B416E" w:rsidP="00682FBA">
      <w:pPr>
        <w:pStyle w:val="BodyText"/>
      </w:pPr>
      <w:r>
        <w:t>S</w:t>
      </w:r>
      <w:r w:rsidR="00AC4640">
        <w:t xml:space="preserve">uch a change in </w:t>
      </w:r>
      <w:r w:rsidR="00EE1C38">
        <w:t>reporting</w:t>
      </w:r>
      <w:r w:rsidR="00AC4640">
        <w:t xml:space="preserve"> structures </w:t>
      </w:r>
      <w:r w:rsidR="003210D6">
        <w:t xml:space="preserve">for the oversight body </w:t>
      </w:r>
      <w:r w:rsidR="00AC4640">
        <w:t xml:space="preserve">would </w:t>
      </w:r>
      <w:r w:rsidR="00715877">
        <w:t xml:space="preserve">also </w:t>
      </w:r>
      <w:r w:rsidR="009E06E0">
        <w:t xml:space="preserve">require </w:t>
      </w:r>
      <w:r w:rsidR="006F05D5">
        <w:t>le</w:t>
      </w:r>
      <w:r w:rsidR="009E06E0">
        <w:t>gislative change</w:t>
      </w:r>
      <w:r w:rsidR="00682FBA">
        <w:t xml:space="preserve"> for the establishment of the body and i</w:t>
      </w:r>
      <w:r w:rsidR="002211DA">
        <w:t>t</w:t>
      </w:r>
      <w:r w:rsidR="00740C04">
        <w:t xml:space="preserve"> </w:t>
      </w:r>
      <w:r w:rsidR="00DF6DD6">
        <w:t>may</w:t>
      </w:r>
      <w:r w:rsidR="00740C04">
        <w:t xml:space="preserve"> also require the RIA process to be legally mandated</w:t>
      </w:r>
      <w:r w:rsidR="00715877">
        <w:t xml:space="preserve"> </w:t>
      </w:r>
      <w:r w:rsidR="003210D6">
        <w:t>(as opposed to administratively mandated)</w:t>
      </w:r>
      <w:r w:rsidR="00715877">
        <w:t>.</w:t>
      </w:r>
      <w:r>
        <w:t xml:space="preserve"> </w:t>
      </w:r>
      <w:r w:rsidR="00F06A7C">
        <w:t xml:space="preserve">As discussed in chapter </w:t>
      </w:r>
      <w:r w:rsidR="00C15D04">
        <w:t>1</w:t>
      </w:r>
      <w:r w:rsidR="00F06A7C">
        <w:t>, some states and territories have already given RIA legal status</w:t>
      </w:r>
      <w:r w:rsidR="009E4B9E">
        <w:t xml:space="preserve"> — but only in relation to subordinate legislation.</w:t>
      </w:r>
    </w:p>
    <w:p w:rsidR="006C4BB8" w:rsidRDefault="00474CA2" w:rsidP="002211DA">
      <w:pPr>
        <w:pStyle w:val="BodyText"/>
      </w:pPr>
      <w:r>
        <w:t>Changing the</w:t>
      </w:r>
      <w:r w:rsidR="002C33D1">
        <w:t xml:space="preserve"> reporting </w:t>
      </w:r>
      <w:r>
        <w:t xml:space="preserve">requirements </w:t>
      </w:r>
      <w:r w:rsidR="009E06E0">
        <w:t>would appear</w:t>
      </w:r>
      <w:r w:rsidR="00AC4640">
        <w:t xml:space="preserve"> </w:t>
      </w:r>
      <w:r w:rsidR="009E06E0">
        <w:t xml:space="preserve">to </w:t>
      </w:r>
      <w:r w:rsidR="00AC4640">
        <w:t xml:space="preserve">be </w:t>
      </w:r>
      <w:r w:rsidR="00682FBA">
        <w:t>a</w:t>
      </w:r>
      <w:r w:rsidR="00CC6CB8">
        <w:t>n</w:t>
      </w:r>
      <w:r w:rsidR="00682FBA">
        <w:t xml:space="preserve"> option </w:t>
      </w:r>
      <w:r w:rsidR="00CC6CB8">
        <w:t xml:space="preserve">to consider </w:t>
      </w:r>
      <w:r w:rsidR="00682FBA">
        <w:t xml:space="preserve">if the </w:t>
      </w:r>
      <w:r w:rsidR="00D739FF">
        <w:t xml:space="preserve">suite of </w:t>
      </w:r>
      <w:r w:rsidR="00682FBA">
        <w:t xml:space="preserve">transparency and accountability </w:t>
      </w:r>
      <w:r w:rsidR="00D83B6D">
        <w:t>measures suggested</w:t>
      </w:r>
      <w:r w:rsidR="00CC6CB8">
        <w:t xml:space="preserve"> in this report </w:t>
      </w:r>
      <w:r w:rsidR="00682FBA">
        <w:t xml:space="preserve">do not </w:t>
      </w:r>
      <w:r w:rsidR="00CC6CB8">
        <w:t>realise</w:t>
      </w:r>
      <w:r w:rsidR="00682FBA">
        <w:t xml:space="preserve"> the necessary improvement in regulatory decisions and outcomes</w:t>
      </w:r>
      <w:r w:rsidR="00CC6CB8">
        <w:t xml:space="preserve"> over the medium term. Even then, such a change would be </w:t>
      </w:r>
      <w:r w:rsidR="009E06E0">
        <w:t>appropriate</w:t>
      </w:r>
      <w:r w:rsidR="00AC4640">
        <w:t xml:space="preserve"> </w:t>
      </w:r>
      <w:r w:rsidR="00527347">
        <w:t xml:space="preserve">only </w:t>
      </w:r>
      <w:r w:rsidR="00AC4640">
        <w:t xml:space="preserve">for those </w:t>
      </w:r>
      <w:r w:rsidR="009E06E0">
        <w:t xml:space="preserve">jurisdictions </w:t>
      </w:r>
      <w:r w:rsidR="00AC4640">
        <w:t xml:space="preserve">that have </w:t>
      </w:r>
      <w:r w:rsidR="009E06E0">
        <w:t xml:space="preserve">an established regulatory oversight body with the </w:t>
      </w:r>
      <w:r w:rsidR="006F05D5">
        <w:t>relevant</w:t>
      </w:r>
      <w:r w:rsidR="009E06E0">
        <w:t xml:space="preserve"> functions</w:t>
      </w:r>
      <w:r w:rsidR="008B416E">
        <w:t xml:space="preserve"> and</w:t>
      </w:r>
      <w:r w:rsidR="00CA0A1B">
        <w:t xml:space="preserve"> a </w:t>
      </w:r>
      <w:r w:rsidR="00873558">
        <w:t>‘</w:t>
      </w:r>
      <w:r w:rsidR="00CA0A1B">
        <w:t>critical mass</w:t>
      </w:r>
      <w:r w:rsidR="00873558">
        <w:t>’</w:t>
      </w:r>
      <w:r w:rsidR="00CA0A1B">
        <w:t xml:space="preserve"> of </w:t>
      </w:r>
      <w:r w:rsidR="009E06E0">
        <w:t xml:space="preserve">RIS </w:t>
      </w:r>
      <w:r w:rsidR="00AC4640">
        <w:t>activity</w:t>
      </w:r>
      <w:r w:rsidR="00D83B6D">
        <w:t>. S</w:t>
      </w:r>
      <w:r w:rsidR="005B102D">
        <w:t>uch a change</w:t>
      </w:r>
      <w:r w:rsidR="00CA0A1B">
        <w:t xml:space="preserve"> in governance</w:t>
      </w:r>
      <w:r w:rsidR="00D83B6D">
        <w:t xml:space="preserve"> is more likely to be possible in </w:t>
      </w:r>
      <w:r w:rsidR="00CA0A1B">
        <w:t xml:space="preserve">larger jurisdictions </w:t>
      </w:r>
      <w:r w:rsidR="00682FBA">
        <w:t xml:space="preserve">such as </w:t>
      </w:r>
      <w:r w:rsidR="00CA0A1B">
        <w:t xml:space="preserve">the </w:t>
      </w:r>
      <w:r w:rsidR="008B416E">
        <w:t>Commonwealth,</w:t>
      </w:r>
      <w:r w:rsidR="00CA0A1B">
        <w:t xml:space="preserve"> New South Wales and Victoria.</w:t>
      </w:r>
      <w:r w:rsidR="00527347">
        <w:t xml:space="preserve"> </w:t>
      </w:r>
    </w:p>
    <w:p w:rsidR="004C7329" w:rsidRDefault="00682FBA" w:rsidP="003E58F7">
      <w:pPr>
        <w:pStyle w:val="BodyText"/>
      </w:pPr>
      <w:r>
        <w:t>While t</w:t>
      </w:r>
      <w:r w:rsidR="00FB7B1A">
        <w:t>he creation of a</w:t>
      </w:r>
      <w:r w:rsidR="008053BA">
        <w:t xml:space="preserve">n oversight body reporting </w:t>
      </w:r>
      <w:r w:rsidR="00D739FF">
        <w:t xml:space="preserve">directly </w:t>
      </w:r>
      <w:r w:rsidR="008053BA">
        <w:t>to parliament</w:t>
      </w:r>
      <w:r w:rsidR="00FB7B1A">
        <w:t xml:space="preserve"> </w:t>
      </w:r>
      <w:r>
        <w:t>may be</w:t>
      </w:r>
      <w:r w:rsidR="00FB7B1A">
        <w:t xml:space="preserve"> one way to enhance </w:t>
      </w:r>
      <w:r>
        <w:t xml:space="preserve">government </w:t>
      </w:r>
      <w:r w:rsidR="003668AE">
        <w:t xml:space="preserve">RIA </w:t>
      </w:r>
      <w:r>
        <w:t xml:space="preserve">accountability, </w:t>
      </w:r>
      <w:r w:rsidR="00D83B6D">
        <w:t xml:space="preserve">by itself it </w:t>
      </w:r>
      <w:r w:rsidR="00803E9B">
        <w:t>may</w:t>
      </w:r>
      <w:r w:rsidR="00A36925">
        <w:t xml:space="preserve"> not be </w:t>
      </w:r>
      <w:r w:rsidR="00E341D0">
        <w:t>enough</w:t>
      </w:r>
      <w:r w:rsidR="00A36925">
        <w:t xml:space="preserve">. It </w:t>
      </w:r>
      <w:r w:rsidR="001B00CD">
        <w:t>may</w:t>
      </w:r>
      <w:r w:rsidR="007A7458">
        <w:t xml:space="preserve"> also </w:t>
      </w:r>
      <w:r w:rsidR="00A36925">
        <w:t xml:space="preserve">require </w:t>
      </w:r>
      <w:r w:rsidR="00803E9B">
        <w:t>parliaments to want better regulatory impact analysis</w:t>
      </w:r>
      <w:r w:rsidR="00E341D0">
        <w:t xml:space="preserve"> </w:t>
      </w:r>
      <w:r w:rsidR="00CB2247">
        <w:t xml:space="preserve">and embrace </w:t>
      </w:r>
      <w:r w:rsidR="00E341D0">
        <w:t xml:space="preserve">the responsibility to </w:t>
      </w:r>
      <w:r w:rsidR="00BD5157">
        <w:t>improve regulatory outcomes</w:t>
      </w:r>
      <w:r w:rsidR="00E341D0">
        <w:t>.</w:t>
      </w:r>
      <w:r w:rsidR="007A7458">
        <w:t xml:space="preserve"> Without this </w:t>
      </w:r>
      <w:r w:rsidR="001B00CD">
        <w:t xml:space="preserve">underlying </w:t>
      </w:r>
      <w:r w:rsidR="007A7458">
        <w:t xml:space="preserve">acceptance </w:t>
      </w:r>
      <w:r w:rsidR="003630A2">
        <w:t xml:space="preserve">it </w:t>
      </w:r>
      <w:r w:rsidR="007A7458">
        <w:t xml:space="preserve">is </w:t>
      </w:r>
      <w:r w:rsidR="00DF15FB">
        <w:t>un</w:t>
      </w:r>
      <w:r w:rsidR="007A7458">
        <w:t xml:space="preserve">likely </w:t>
      </w:r>
      <w:r w:rsidR="003630A2">
        <w:t>that</w:t>
      </w:r>
      <w:r w:rsidR="007A7458">
        <w:t xml:space="preserve"> any profound shift in outcomes</w:t>
      </w:r>
      <w:r w:rsidR="003630A2">
        <w:t xml:space="preserve"> would result</w:t>
      </w:r>
      <w:r w:rsidR="007A7458">
        <w:t>.</w:t>
      </w:r>
    </w:p>
    <w:p w:rsidR="00792535" w:rsidRDefault="00FC4C5E" w:rsidP="00626942">
      <w:pPr>
        <w:pStyle w:val="Heading2"/>
      </w:pPr>
      <w:r>
        <w:t>8.</w:t>
      </w:r>
      <w:r>
        <w:rPr>
          <w:noProof/>
        </w:rPr>
        <w:t>5</w:t>
      </w:r>
      <w:r w:rsidR="00792535">
        <w:tab/>
        <w:t>Conclusion</w:t>
      </w:r>
    </w:p>
    <w:p w:rsidR="002331E1" w:rsidRDefault="001148A2" w:rsidP="00626942">
      <w:pPr>
        <w:pStyle w:val="BodyText"/>
      </w:pPr>
      <w:r>
        <w:t>If the objective of RIA is to enhance the empirical basis of government decisions and to make the regulatory process more transparent and accountable</w:t>
      </w:r>
      <w:r w:rsidR="00BF25EF">
        <w:t>,</w:t>
      </w:r>
      <w:r>
        <w:t xml:space="preserve"> the</w:t>
      </w:r>
      <w:r w:rsidR="003F0E82">
        <w:t>n</w:t>
      </w:r>
      <w:r>
        <w:t xml:space="preserve"> Australian jurisdictions still have a </w:t>
      </w:r>
      <w:r w:rsidR="005B469B">
        <w:t>considerable</w:t>
      </w:r>
      <w:r>
        <w:t xml:space="preserve"> way to go.</w:t>
      </w:r>
      <w:r w:rsidR="00A666F2">
        <w:t xml:space="preserve"> </w:t>
      </w:r>
      <w:r w:rsidR="005650E7">
        <w:t>As a consequence, most of the discuss</w:t>
      </w:r>
      <w:r w:rsidR="001545DC">
        <w:t>ion on leading practices in this chapter refer</w:t>
      </w:r>
      <w:r w:rsidR="009C4385">
        <w:t>s</w:t>
      </w:r>
      <w:r w:rsidR="001545DC">
        <w:t xml:space="preserve"> to overseas rather than Australia</w:t>
      </w:r>
      <w:r w:rsidR="0057064B">
        <w:t>n experience</w:t>
      </w:r>
      <w:r w:rsidR="001545DC">
        <w:t>.</w:t>
      </w:r>
      <w:r w:rsidR="005650E7">
        <w:t xml:space="preserve"> </w:t>
      </w:r>
      <w:r w:rsidR="00A666F2">
        <w:t xml:space="preserve">The current weaknesses in RIA practice </w:t>
      </w:r>
      <w:r w:rsidR="009C4385">
        <w:t>are</w:t>
      </w:r>
      <w:r w:rsidR="00A666F2">
        <w:t xml:space="preserve"> affecting </w:t>
      </w:r>
      <w:r w:rsidR="000D0F40">
        <w:t>stakeholder</w:t>
      </w:r>
      <w:r w:rsidR="00A666F2">
        <w:t xml:space="preserve"> confidence </w:t>
      </w:r>
      <w:r w:rsidR="000D0F40">
        <w:t>in</w:t>
      </w:r>
      <w:r w:rsidR="00A666F2">
        <w:t xml:space="preserve"> </w:t>
      </w:r>
      <w:proofErr w:type="spellStart"/>
      <w:r w:rsidR="003F0E82">
        <w:t>RIA’s</w:t>
      </w:r>
      <w:proofErr w:type="spellEnd"/>
      <w:r w:rsidR="003F0E82">
        <w:t xml:space="preserve"> </w:t>
      </w:r>
      <w:r w:rsidR="00A666F2">
        <w:t>effectiveness in promoting good regulatory decisions</w:t>
      </w:r>
      <w:r w:rsidR="007B47F2">
        <w:t xml:space="preserve"> and policy outcomes</w:t>
      </w:r>
      <w:r w:rsidR="00A666F2">
        <w:t>.</w:t>
      </w:r>
      <w:r w:rsidR="005449E2">
        <w:t xml:space="preserve"> </w:t>
      </w:r>
      <w:r w:rsidR="00F14388">
        <w:t>A degree of cynicism is pervad</w:t>
      </w:r>
      <w:r w:rsidR="00541EAA">
        <w:t>ing</w:t>
      </w:r>
      <w:r w:rsidR="00F14388">
        <w:t xml:space="preserve"> the regulatory landscape</w:t>
      </w:r>
      <w:r w:rsidR="00BE22AD">
        <w:t xml:space="preserve"> in response to the perceived lack of integrity in regulation making</w:t>
      </w:r>
      <w:r w:rsidR="00F14388">
        <w:t>.</w:t>
      </w:r>
    </w:p>
    <w:p w:rsidR="00CC5B99" w:rsidRDefault="00D856E1" w:rsidP="00CC5B99">
      <w:pPr>
        <w:pStyle w:val="BodyText"/>
      </w:pPr>
      <w:r>
        <w:t>T</w:t>
      </w:r>
      <w:r w:rsidR="003F0E82">
        <w:t xml:space="preserve">here is a large gap between </w:t>
      </w:r>
      <w:r>
        <w:t xml:space="preserve">RIA </w:t>
      </w:r>
      <w:r w:rsidR="003F0E82">
        <w:t xml:space="preserve">requirements set out in guidance material and what happens in practice. In most </w:t>
      </w:r>
      <w:r>
        <w:t>jurisdictions</w:t>
      </w:r>
      <w:r w:rsidR="003F0E82">
        <w:t>, there are examples of bo</w:t>
      </w:r>
      <w:r>
        <w:t>th good and bad practice</w:t>
      </w:r>
      <w:r w:rsidR="000D0F40">
        <w:t xml:space="preserve"> — b</w:t>
      </w:r>
      <w:r>
        <w:t xml:space="preserve">ut </w:t>
      </w:r>
      <w:r w:rsidR="00CC5B99">
        <w:t>too often</w:t>
      </w:r>
      <w:r w:rsidR="000D0F40">
        <w:t>,</w:t>
      </w:r>
      <w:r>
        <w:t xml:space="preserve"> </w:t>
      </w:r>
      <w:r w:rsidR="000D0F40">
        <w:t>RIA</w:t>
      </w:r>
      <w:r w:rsidRPr="00D856E1">
        <w:t xml:space="preserve"> process</w:t>
      </w:r>
      <w:r w:rsidR="000D0F40">
        <w:t>es</w:t>
      </w:r>
      <w:r w:rsidRPr="00D856E1">
        <w:t xml:space="preserve"> lack sufficient accountability </w:t>
      </w:r>
      <w:r w:rsidR="000D0F40">
        <w:t xml:space="preserve">(and </w:t>
      </w:r>
      <w:r w:rsidR="000D0F40">
        <w:lastRenderedPageBreak/>
        <w:t xml:space="preserve">transparency) </w:t>
      </w:r>
      <w:r w:rsidR="00123525">
        <w:t xml:space="preserve">mechanisms </w:t>
      </w:r>
      <w:r w:rsidRPr="00D856E1">
        <w:t xml:space="preserve">to ensure that the incentives of participants in the process </w:t>
      </w:r>
      <w:r w:rsidR="002331E1">
        <w:t xml:space="preserve">(agencies, oversight bodies and governments) </w:t>
      </w:r>
      <w:r w:rsidRPr="00D856E1">
        <w:t>are aligned with those of the community</w:t>
      </w:r>
      <w:r w:rsidR="00CC5B99">
        <w:t xml:space="preserve">. </w:t>
      </w:r>
      <w:r w:rsidR="00C846D4">
        <w:t>To encour</w:t>
      </w:r>
      <w:r w:rsidR="00FE2DA7">
        <w:t xml:space="preserve">age greater ‘buy in’ from participants, it is less about changing the ‘nuts and bolts’ of RIA requirements and more about improving overarching RIA system design. Improving accountability mechanisms </w:t>
      </w:r>
      <w:r w:rsidR="003F04C4">
        <w:t>provide</w:t>
      </w:r>
      <w:r w:rsidR="000D0F40">
        <w:t>s one of</w:t>
      </w:r>
      <w:r w:rsidR="003F04C4">
        <w:t xml:space="preserve"> the greatest </w:t>
      </w:r>
      <w:r w:rsidR="000D0F40">
        <w:t xml:space="preserve">opportunities </w:t>
      </w:r>
      <w:r w:rsidR="003F04C4">
        <w:t>for</w:t>
      </w:r>
      <w:r w:rsidR="00FE2DA7">
        <w:t xml:space="preserve"> RIA processes </w:t>
      </w:r>
      <w:r w:rsidR="003F04C4">
        <w:t>to</w:t>
      </w:r>
      <w:r w:rsidR="00FE2DA7">
        <w:t xml:space="preserve"> better inform and influence regulatory decisions and outcomes. </w:t>
      </w:r>
      <w:r w:rsidR="000D0F40">
        <w:t>In particular,</w:t>
      </w:r>
      <w:r w:rsidR="005449E2">
        <w:t xml:space="preserve"> </w:t>
      </w:r>
      <w:r w:rsidR="000D0F40">
        <w:t>t</w:t>
      </w:r>
      <w:r w:rsidR="005449E2">
        <w:t>here is a need for more effective sanctions for non-compliant proposals, the establishment of accountability mechanisms</w:t>
      </w:r>
      <w:r w:rsidR="00123525">
        <w:t xml:space="preserve"> for oversight bodies</w:t>
      </w:r>
      <w:r w:rsidR="005449E2">
        <w:t xml:space="preserve">, </w:t>
      </w:r>
      <w:r w:rsidR="009468C5">
        <w:t>greater engagement with parliaments</w:t>
      </w:r>
      <w:r w:rsidR="002331E1">
        <w:t xml:space="preserve"> </w:t>
      </w:r>
      <w:r w:rsidR="00D63035">
        <w:t xml:space="preserve">through more </w:t>
      </w:r>
      <w:r w:rsidR="007B4D3B">
        <w:t xml:space="preserve">useful </w:t>
      </w:r>
      <w:r w:rsidR="00D63035">
        <w:t xml:space="preserve">scrutiny </w:t>
      </w:r>
      <w:r w:rsidR="00ED2D4B">
        <w:t xml:space="preserve">and legislative </w:t>
      </w:r>
      <w:r w:rsidR="00D63035">
        <w:t xml:space="preserve">committee processes </w:t>
      </w:r>
      <w:r w:rsidR="002331E1">
        <w:t>and perhaps</w:t>
      </w:r>
      <w:r w:rsidR="007D5DDB">
        <w:t>,</w:t>
      </w:r>
      <w:r w:rsidR="002331E1">
        <w:t xml:space="preserve"> in the medium term</w:t>
      </w:r>
      <w:r w:rsidR="007D5DDB">
        <w:t>,</w:t>
      </w:r>
      <w:r w:rsidR="002331E1">
        <w:t xml:space="preserve"> a change in </w:t>
      </w:r>
      <w:r w:rsidR="00994AB5">
        <w:t>reporting and governance</w:t>
      </w:r>
      <w:r w:rsidR="002331E1">
        <w:t xml:space="preserve"> arrangements</w:t>
      </w:r>
      <w:r w:rsidR="007B4D3B">
        <w:t xml:space="preserve"> for oversight bodies</w:t>
      </w:r>
      <w:r w:rsidR="002331E1">
        <w:t>.</w:t>
      </w:r>
    </w:p>
    <w:p w:rsidR="009468C5" w:rsidRDefault="009468C5" w:rsidP="009468C5">
      <w:pPr>
        <w:pStyle w:val="BodyText"/>
      </w:pPr>
      <w:r w:rsidRPr="009468C5">
        <w:t xml:space="preserve">Accountability is incomplete without effective consequences. The </w:t>
      </w:r>
      <w:r w:rsidR="00CB16D2">
        <w:t>sanctions</w:t>
      </w:r>
      <w:r w:rsidR="00CB16D2" w:rsidRPr="009468C5">
        <w:t xml:space="preserve"> </w:t>
      </w:r>
      <w:r w:rsidRPr="009468C5">
        <w:t xml:space="preserve">for government agencies of not complying with RIA processes are </w:t>
      </w:r>
      <w:r w:rsidR="007B4D3B">
        <w:t xml:space="preserve">currently </w:t>
      </w:r>
      <w:r w:rsidRPr="009468C5">
        <w:t>weak</w:t>
      </w:r>
      <w:r w:rsidR="008944D3">
        <w:t>, ineffective</w:t>
      </w:r>
      <w:r w:rsidRPr="009468C5">
        <w:t xml:space="preserve"> or non-existent</w:t>
      </w:r>
      <w:r>
        <w:t>.</w:t>
      </w:r>
      <w:r w:rsidRPr="009468C5">
        <w:rPr>
          <w:rFonts w:ascii="Arial" w:hAnsi="Arial"/>
          <w:sz w:val="22"/>
        </w:rPr>
        <w:t xml:space="preserve"> </w:t>
      </w:r>
      <w:r w:rsidRPr="009468C5">
        <w:t xml:space="preserve">To </w:t>
      </w:r>
      <w:r w:rsidR="00D3179D">
        <w:t>encourage</w:t>
      </w:r>
      <w:r w:rsidRPr="009468C5">
        <w:t xml:space="preserve"> agencies to comply with RIA processes, </w:t>
      </w:r>
      <w:proofErr w:type="spellStart"/>
      <w:r w:rsidRPr="009468C5">
        <w:t>PIRs</w:t>
      </w:r>
      <w:proofErr w:type="spellEnd"/>
      <w:r w:rsidRPr="009468C5">
        <w:t xml:space="preserve"> need to </w:t>
      </w:r>
      <w:r w:rsidR="00EF3A51">
        <w:t xml:space="preserve">be implemented in all jurisdictions and </w:t>
      </w:r>
      <w:r w:rsidRPr="009468C5">
        <w:t xml:space="preserve">become a more powerful sanction for non-compliance. </w:t>
      </w:r>
    </w:p>
    <w:p w:rsidR="007A4847" w:rsidRDefault="00D3179D" w:rsidP="00D3179D">
      <w:pPr>
        <w:pStyle w:val="BodyText"/>
      </w:pPr>
      <w:r w:rsidRPr="00D3179D">
        <w:t xml:space="preserve">Regulatory oversight bodies are not </w:t>
      </w:r>
      <w:r w:rsidR="0028312C">
        <w:t xml:space="preserve">sufficiently </w:t>
      </w:r>
      <w:r w:rsidRPr="00D3179D">
        <w:t xml:space="preserve">accountable for the RIS (and </w:t>
      </w:r>
      <w:proofErr w:type="spellStart"/>
      <w:r w:rsidRPr="00D3179D">
        <w:t>PIR</w:t>
      </w:r>
      <w:proofErr w:type="spellEnd"/>
      <w:r w:rsidRPr="00D3179D">
        <w:t>) adequacy a</w:t>
      </w:r>
      <w:r w:rsidR="008A6BF5">
        <w:t xml:space="preserve">ssessments they make. Currently, many </w:t>
      </w:r>
      <w:r w:rsidR="00E378DE">
        <w:t>interested stakeholders</w:t>
      </w:r>
      <w:r w:rsidRPr="00D3179D">
        <w:t xml:space="preserve"> </w:t>
      </w:r>
      <w:r w:rsidR="00123525">
        <w:t>do not have</w:t>
      </w:r>
      <w:r w:rsidR="00486B9E">
        <w:t xml:space="preserve"> access</w:t>
      </w:r>
      <w:r w:rsidR="00123525">
        <w:t xml:space="preserve"> </w:t>
      </w:r>
      <w:r w:rsidR="00486B9E">
        <w:t xml:space="preserve">to </w:t>
      </w:r>
      <w:r w:rsidR="00EE0405">
        <w:t xml:space="preserve">sufficient </w:t>
      </w:r>
      <w:r w:rsidR="00486B9E">
        <w:t>information to determine</w:t>
      </w:r>
      <w:r w:rsidR="007A4847">
        <w:t>:</w:t>
      </w:r>
    </w:p>
    <w:p w:rsidR="007A4847" w:rsidRDefault="007A4847" w:rsidP="007A4847">
      <w:pPr>
        <w:pStyle w:val="ListBullet"/>
      </w:pPr>
      <w:r>
        <w:t xml:space="preserve">whether </w:t>
      </w:r>
      <w:r w:rsidR="00C26F42">
        <w:t>an</w:t>
      </w:r>
      <w:r w:rsidR="00F05D32">
        <w:t xml:space="preserve"> </w:t>
      </w:r>
      <w:r w:rsidR="00EE0405">
        <w:t xml:space="preserve">oversight </w:t>
      </w:r>
      <w:r w:rsidR="00F05D32">
        <w:t xml:space="preserve">body </w:t>
      </w:r>
      <w:r w:rsidR="00C26F42">
        <w:t>determined</w:t>
      </w:r>
      <w:r>
        <w:t xml:space="preserve"> a RIS met RIA adequacy requirements</w:t>
      </w:r>
    </w:p>
    <w:p w:rsidR="007A4847" w:rsidRDefault="00F05D32" w:rsidP="007A4847">
      <w:pPr>
        <w:pStyle w:val="ListBullet"/>
      </w:pPr>
      <w:r>
        <w:t xml:space="preserve">whether </w:t>
      </w:r>
      <w:r w:rsidR="00C26F42">
        <w:t>an</w:t>
      </w:r>
      <w:r w:rsidR="007A4847">
        <w:t xml:space="preserve"> oversight body </w:t>
      </w:r>
      <w:r>
        <w:t xml:space="preserve">assessment was </w:t>
      </w:r>
      <w:r w:rsidR="008D12A1">
        <w:t xml:space="preserve">rigorous and </w:t>
      </w:r>
      <w:r>
        <w:t>appropriate</w:t>
      </w:r>
      <w:r w:rsidR="00D3179D" w:rsidRPr="00D3179D">
        <w:t xml:space="preserve">. </w:t>
      </w:r>
    </w:p>
    <w:p w:rsidR="00D3179D" w:rsidRDefault="008D12A1" w:rsidP="007A4847">
      <w:pPr>
        <w:pStyle w:val="BodyText"/>
      </w:pPr>
      <w:r>
        <w:t xml:space="preserve">It is therefore not surprising that concerns </w:t>
      </w:r>
      <w:r w:rsidR="00EE0405">
        <w:t xml:space="preserve">have been raised in submissions that at times oversight bodies have made incorrect adequacy assessments. </w:t>
      </w:r>
      <w:r w:rsidR="00D3179D" w:rsidRPr="00D3179D">
        <w:t>While the publication of oversight body adequacy assessments (and their reasons</w:t>
      </w:r>
      <w:r w:rsidR="009F61DB">
        <w:t xml:space="preserve"> or </w:t>
      </w:r>
      <w:r w:rsidR="00B9284C">
        <w:t>qualifications</w:t>
      </w:r>
      <w:r w:rsidR="00D3179D" w:rsidRPr="00D3179D">
        <w:t xml:space="preserve">) </w:t>
      </w:r>
      <w:r w:rsidR="00486B9E">
        <w:t>would</w:t>
      </w:r>
      <w:r w:rsidR="00486B9E" w:rsidRPr="00D3179D">
        <w:t xml:space="preserve"> </w:t>
      </w:r>
      <w:r w:rsidR="00D3179D" w:rsidRPr="00D3179D">
        <w:t xml:space="preserve">help, greater accountability </w:t>
      </w:r>
      <w:r w:rsidR="003F04C4">
        <w:t xml:space="preserve">for their performance </w:t>
      </w:r>
      <w:r w:rsidR="00D3179D" w:rsidRPr="00D3179D">
        <w:t>is required.</w:t>
      </w:r>
      <w:r w:rsidR="00D3179D">
        <w:t xml:space="preserve"> </w:t>
      </w:r>
      <w:r w:rsidR="00D3179D" w:rsidRPr="00D3179D">
        <w:t xml:space="preserve">Putting in place an accountability mechanism for regulatory oversight bodies, such as the periodic evaluation of their performance by an independent third party, </w:t>
      </w:r>
      <w:r w:rsidR="009F5A33">
        <w:t>for example</w:t>
      </w:r>
      <w:r w:rsidR="00EF3A51">
        <w:t xml:space="preserve"> </w:t>
      </w:r>
      <w:r w:rsidR="00D3179D">
        <w:t xml:space="preserve">an audit office, </w:t>
      </w:r>
      <w:r w:rsidR="00D3179D" w:rsidRPr="00D3179D">
        <w:t>would be an added motivation — beyond public transparency</w:t>
      </w:r>
      <w:r w:rsidR="00D3179D">
        <w:t>.</w:t>
      </w:r>
    </w:p>
    <w:p w:rsidR="00C071BF" w:rsidRPr="009468C5" w:rsidRDefault="00C071BF" w:rsidP="00C071BF">
      <w:pPr>
        <w:pStyle w:val="BodyText"/>
      </w:pPr>
      <w:r>
        <w:t>Regulatory oversight bodies that have a greater degree of independence are likely to operate with more objectivity and transparency in implementing RIA requirements. If oversight bodies continue to report to executive government</w:t>
      </w:r>
      <w:r w:rsidR="001C1644">
        <w:t>,</w:t>
      </w:r>
      <w:r>
        <w:t xml:space="preserve"> ideally they should be located within an independent statutory agency.</w:t>
      </w:r>
      <w:r w:rsidRPr="00C071BF">
        <w:t xml:space="preserve"> </w:t>
      </w:r>
      <w:r>
        <w:t>W</w:t>
      </w:r>
      <w:r w:rsidRPr="00C071BF">
        <w:t xml:space="preserve">here they </w:t>
      </w:r>
      <w:r w:rsidR="000D0F40">
        <w:t>remain</w:t>
      </w:r>
      <w:r w:rsidRPr="00C071BF">
        <w:t xml:space="preserve"> in a central department their autonomy </w:t>
      </w:r>
      <w:r w:rsidR="00CB16D2">
        <w:t>c</w:t>
      </w:r>
      <w:r w:rsidR="00CB16D2" w:rsidRPr="00C071BF">
        <w:t xml:space="preserve">ould </w:t>
      </w:r>
      <w:r w:rsidRPr="00C071BF">
        <w:t>be strengthened through some form of statutory office holder arrangement</w:t>
      </w:r>
      <w:r w:rsidR="00CB16D2">
        <w:t xml:space="preserve"> with direct ministerial reporting and appropriate safeguards to ensure independence and objectivity</w:t>
      </w:r>
      <w:r w:rsidRPr="00C071BF">
        <w:t>.</w:t>
      </w:r>
    </w:p>
    <w:p w:rsidR="009468C5" w:rsidRPr="00CC5B99" w:rsidRDefault="00A22432" w:rsidP="00CC5B99">
      <w:pPr>
        <w:pStyle w:val="BodyText"/>
      </w:pPr>
      <w:r w:rsidRPr="00A22432">
        <w:lastRenderedPageBreak/>
        <w:t xml:space="preserve">To increase the accountability of </w:t>
      </w:r>
      <w:r w:rsidR="008A6BF5">
        <w:t xml:space="preserve">Australian </w:t>
      </w:r>
      <w:r w:rsidRPr="00A22432">
        <w:t>government</w:t>
      </w:r>
      <w:r w:rsidR="008A6BF5">
        <w:t>s</w:t>
      </w:r>
      <w:r w:rsidRPr="00A22432">
        <w:t>, parliaments’ engagement with RIA processes</w:t>
      </w:r>
      <w:r w:rsidR="008A6BF5">
        <w:t xml:space="preserve"> could be strengthened</w:t>
      </w:r>
      <w:r w:rsidRPr="00A22432">
        <w:t xml:space="preserve">. In the short term, </w:t>
      </w:r>
      <w:r w:rsidR="00F974BE">
        <w:t xml:space="preserve">this could be done </w:t>
      </w:r>
      <w:r w:rsidRPr="00A22432">
        <w:t xml:space="preserve">by providing greater institutional support within parliaments </w:t>
      </w:r>
      <w:r w:rsidR="005E3DF6">
        <w:t>for</w:t>
      </w:r>
      <w:r w:rsidRPr="00A22432">
        <w:t xml:space="preserve"> RIA requirements. </w:t>
      </w:r>
      <w:r w:rsidR="00017045">
        <w:t>In</w:t>
      </w:r>
      <w:r w:rsidRPr="00A22432">
        <w:t xml:space="preserve"> the medium term, consideration </w:t>
      </w:r>
      <w:r w:rsidR="00D244FB">
        <w:t>sh</w:t>
      </w:r>
      <w:r w:rsidR="00D244FB" w:rsidRPr="00A22432">
        <w:t xml:space="preserve">ould </w:t>
      </w:r>
      <w:r w:rsidR="00A45425">
        <w:t xml:space="preserve">also </w:t>
      </w:r>
      <w:r w:rsidRPr="00A22432">
        <w:t xml:space="preserve">be given to making the regulatory oversight body report </w:t>
      </w:r>
      <w:r w:rsidR="00D739FF">
        <w:t xml:space="preserve">directly </w:t>
      </w:r>
      <w:r w:rsidRPr="00A22432">
        <w:t>to parliament rather than to the executive branch of government.</w:t>
      </w:r>
      <w:r w:rsidR="007B4D3B">
        <w:t xml:space="preserve"> </w:t>
      </w:r>
      <w:r w:rsidR="005E3DF6">
        <w:t>While there are no ‘silver bullet’ solutions to generating better regulatory outcomes, increased accountability</w:t>
      </w:r>
      <w:r w:rsidR="00374B50">
        <w:t xml:space="preserve"> </w:t>
      </w:r>
      <w:r w:rsidR="000D0F40">
        <w:t xml:space="preserve">is </w:t>
      </w:r>
      <w:r w:rsidR="00374B50">
        <w:t xml:space="preserve">likely to be </w:t>
      </w:r>
      <w:r w:rsidR="000D0F40">
        <w:t xml:space="preserve">one of </w:t>
      </w:r>
      <w:r w:rsidR="00374B50">
        <w:t xml:space="preserve">the most effective mechanisms </w:t>
      </w:r>
      <w:r w:rsidR="00F974BE">
        <w:t>for</w:t>
      </w:r>
      <w:r w:rsidR="00374B50">
        <w:t xml:space="preserve"> achieving this objective.</w:t>
      </w:r>
    </w:p>
    <w:sectPr w:rsidR="009468C5" w:rsidRPr="00CC5B99" w:rsidSect="00FF3D9C">
      <w:headerReference w:type="even" r:id="rId16"/>
      <w:headerReference w:type="default" r:id="rId17"/>
      <w:footerReference w:type="even" r:id="rId18"/>
      <w:footerReference w:type="default" r:id="rId19"/>
      <w:pgSz w:w="11907" w:h="16840" w:code="9"/>
      <w:pgMar w:top="1985" w:right="1304" w:bottom="1418" w:left="1814" w:header="1701" w:footer="567" w:gutter="0"/>
      <w:pgNumType w:start="237" w:chapSep="period"/>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5898" w:rsidRDefault="00AE5898">
      <w:r>
        <w:separator/>
      </w:r>
    </w:p>
  </w:endnote>
  <w:endnote w:type="continuationSeparator" w:id="0">
    <w:p w:rsidR="00AE5898" w:rsidRDefault="00AE58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1644"/>
      <w:gridCol w:w="6634"/>
    </w:tblGrid>
    <w:tr w:rsidR="00AE5898">
      <w:trPr>
        <w:trHeight w:hRule="exact" w:val="740"/>
      </w:trPr>
      <w:tc>
        <w:tcPr>
          <w:tcW w:w="510" w:type="dxa"/>
          <w:tcBorders>
            <w:top w:val="single" w:sz="6" w:space="0" w:color="auto"/>
          </w:tcBorders>
        </w:tcPr>
        <w:p w:rsidR="00AE5898" w:rsidRDefault="00AE5898" w:rsidP="0019293B">
          <w:pPr>
            <w:pStyle w:val="Footer"/>
            <w:tabs>
              <w:tab w:val="left" w:pos="0"/>
            </w:tabs>
            <w:ind w:right="0"/>
            <w:rPr>
              <w:rStyle w:val="PageNumber"/>
            </w:rPr>
          </w:pPr>
          <w:r>
            <w:rPr>
              <w:rStyle w:val="PageNumber"/>
            </w:rPr>
            <w:fldChar w:fldCharType="begin"/>
          </w:r>
          <w:r>
            <w:rPr>
              <w:rStyle w:val="PageNumber"/>
            </w:rPr>
            <w:instrText xml:space="preserve">PAGE  </w:instrText>
          </w:r>
          <w:r>
            <w:rPr>
              <w:rStyle w:val="PageNumber"/>
            </w:rPr>
            <w:fldChar w:fldCharType="separate"/>
          </w:r>
          <w:r w:rsidR="002312CC">
            <w:rPr>
              <w:rStyle w:val="PageNumber"/>
              <w:noProof/>
            </w:rPr>
            <w:t>242</w:t>
          </w:r>
          <w:r>
            <w:rPr>
              <w:rStyle w:val="PageNumber"/>
            </w:rPr>
            <w:fldChar w:fldCharType="end"/>
          </w:r>
        </w:p>
      </w:tc>
      <w:tc>
        <w:tcPr>
          <w:tcW w:w="1644" w:type="dxa"/>
          <w:tcBorders>
            <w:top w:val="single" w:sz="6" w:space="0" w:color="auto"/>
          </w:tcBorders>
        </w:tcPr>
        <w:p w:rsidR="00AE5898" w:rsidRDefault="00AE5898" w:rsidP="0019293B">
          <w:pPr>
            <w:pStyle w:val="Footer"/>
          </w:pPr>
          <w:fldSimple w:instr=" SUBJECT  \* MERGEFORMAT ">
            <w:r w:rsidR="002312CC">
              <w:t>ria benchmarking</w:t>
            </w:r>
          </w:fldSimple>
        </w:p>
      </w:tc>
      <w:tc>
        <w:tcPr>
          <w:tcW w:w="6634" w:type="dxa"/>
        </w:tcPr>
        <w:p w:rsidR="00AE5898" w:rsidRDefault="00AE5898" w:rsidP="0019293B">
          <w:pPr>
            <w:pStyle w:val="Footer"/>
          </w:pPr>
        </w:p>
      </w:tc>
    </w:tr>
  </w:tbl>
  <w:p w:rsidR="00AE5898" w:rsidRDefault="00AE5898" w:rsidP="0019293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6634"/>
      <w:gridCol w:w="1644"/>
      <w:gridCol w:w="510"/>
    </w:tblGrid>
    <w:tr w:rsidR="00AE5898">
      <w:trPr>
        <w:trHeight w:hRule="exact" w:val="740"/>
      </w:trPr>
      <w:tc>
        <w:tcPr>
          <w:tcW w:w="6634" w:type="dxa"/>
        </w:tcPr>
        <w:p w:rsidR="00AE5898" w:rsidRDefault="00AE5898">
          <w:pPr>
            <w:pStyle w:val="Footer"/>
            <w:ind w:right="360" w:firstLine="360"/>
          </w:pPr>
        </w:p>
      </w:tc>
      <w:tc>
        <w:tcPr>
          <w:tcW w:w="1644" w:type="dxa"/>
          <w:tcBorders>
            <w:top w:val="single" w:sz="6" w:space="0" w:color="auto"/>
          </w:tcBorders>
        </w:tcPr>
        <w:p w:rsidR="00AE5898" w:rsidRDefault="00AE5898">
          <w:pPr>
            <w:pStyle w:val="Footer"/>
          </w:pPr>
          <w:fldSimple w:instr=" TITLE  \* MERGEFORMAT ">
            <w:r w:rsidR="002312CC">
              <w:t>Accountability and quality control</w:t>
            </w:r>
          </w:fldSimple>
        </w:p>
      </w:tc>
      <w:tc>
        <w:tcPr>
          <w:tcW w:w="510" w:type="dxa"/>
          <w:tcBorders>
            <w:top w:val="single" w:sz="6" w:space="0" w:color="auto"/>
          </w:tcBorders>
        </w:tcPr>
        <w:p w:rsidR="00AE5898" w:rsidRDefault="00AE5898">
          <w:pPr>
            <w:pStyle w:val="Footer"/>
            <w:jc w:val="right"/>
          </w:pPr>
          <w:r>
            <w:rPr>
              <w:rStyle w:val="PageNumber"/>
            </w:rPr>
            <w:fldChar w:fldCharType="begin"/>
          </w:r>
          <w:r>
            <w:rPr>
              <w:rStyle w:val="PageNumber"/>
            </w:rPr>
            <w:instrText xml:space="preserve">PAGE  </w:instrText>
          </w:r>
          <w:r>
            <w:rPr>
              <w:rStyle w:val="PageNumber"/>
            </w:rPr>
            <w:fldChar w:fldCharType="separate"/>
          </w:r>
          <w:r w:rsidR="002312CC">
            <w:rPr>
              <w:rStyle w:val="PageNumber"/>
              <w:noProof/>
            </w:rPr>
            <w:t>243</w:t>
          </w:r>
          <w:r>
            <w:rPr>
              <w:rStyle w:val="PageNumber"/>
            </w:rPr>
            <w:fldChar w:fldCharType="end"/>
          </w:r>
        </w:p>
      </w:tc>
    </w:tr>
  </w:tbl>
  <w:p w:rsidR="00AE5898" w:rsidRDefault="00AE5898">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5898" w:rsidRDefault="00AE5898">
      <w:r>
        <w:separator/>
      </w:r>
    </w:p>
  </w:footnote>
  <w:footnote w:type="continuationSeparator" w:id="0">
    <w:p w:rsidR="00AE5898" w:rsidRDefault="00AE5898">
      <w:r>
        <w:continuationSeparator/>
      </w:r>
    </w:p>
  </w:footnote>
  <w:footnote w:id="1">
    <w:p w:rsidR="00AE5898" w:rsidRDefault="00AE5898">
      <w:pPr>
        <w:pStyle w:val="FootnoteText"/>
      </w:pPr>
      <w:r>
        <w:rPr>
          <w:rStyle w:val="FootnoteReference"/>
        </w:rPr>
        <w:footnoteRef/>
      </w:r>
      <w:r>
        <w:tab/>
        <w:t xml:space="preserve">The newly created </w:t>
      </w:r>
      <w:proofErr w:type="spellStart"/>
      <w:r>
        <w:t>QOBPR</w:t>
      </w:r>
      <w:proofErr w:type="spellEnd"/>
      <w:r>
        <w:t xml:space="preserve"> is expected to report annually on RIS and </w:t>
      </w:r>
      <w:proofErr w:type="spellStart"/>
      <w:r>
        <w:t>PIR</w:t>
      </w:r>
      <w:proofErr w:type="spellEnd"/>
      <w:r>
        <w:t xml:space="preserve"> compliance.</w:t>
      </w:r>
    </w:p>
  </w:footnote>
  <w:footnote w:id="2">
    <w:p w:rsidR="00AE5898" w:rsidRDefault="00AE5898" w:rsidP="0088240C">
      <w:pPr>
        <w:pStyle w:val="FootnoteText"/>
      </w:pPr>
      <w:r>
        <w:rPr>
          <w:rStyle w:val="FootnoteReference"/>
        </w:rPr>
        <w:footnoteRef/>
      </w:r>
      <w:r>
        <w:tab/>
        <w:t xml:space="preserve">The Australian Government OBPR was, until late 2007, part of the Productivity Commission, which has statutory independence. The </w:t>
      </w:r>
      <w:proofErr w:type="spellStart"/>
      <w:r>
        <w:t>SOE</w:t>
      </w:r>
      <w:proofErr w:type="spellEnd"/>
      <w:r>
        <w:t xml:space="preserve"> Act under which </w:t>
      </w:r>
      <w:proofErr w:type="spellStart"/>
      <w:r>
        <w:t>VCEC</w:t>
      </w:r>
      <w:proofErr w:type="spellEnd"/>
      <w:r>
        <w:t xml:space="preserve"> is established, can be amended by the Victorian Government through the Governor in Council without going through the Victorian Parliament.</w:t>
      </w:r>
    </w:p>
  </w:footnote>
  <w:footnote w:id="3">
    <w:p w:rsidR="00AE5898" w:rsidRDefault="00AE5898" w:rsidP="0088240C">
      <w:pPr>
        <w:pStyle w:val="FootnoteText"/>
      </w:pPr>
      <w:r>
        <w:rPr>
          <w:rStyle w:val="FootnoteReference"/>
        </w:rPr>
        <w:footnoteRef/>
      </w:r>
      <w:r>
        <w:tab/>
        <w:t>B</w:t>
      </w:r>
      <w:r w:rsidRPr="00BC24E2">
        <w:t xml:space="preserve">ecause the </w:t>
      </w:r>
      <w:proofErr w:type="spellStart"/>
      <w:r w:rsidRPr="00BC24E2">
        <w:t>QCA</w:t>
      </w:r>
      <w:proofErr w:type="spellEnd"/>
      <w:r w:rsidRPr="00BC24E2">
        <w:t xml:space="preserve"> </w:t>
      </w:r>
      <w:r>
        <w:t>has statutory</w:t>
      </w:r>
      <w:r w:rsidRPr="00BC24E2">
        <w:t xml:space="preserve"> independen</w:t>
      </w:r>
      <w:r>
        <w:t>ce</w:t>
      </w:r>
      <w:r w:rsidRPr="00BC24E2">
        <w:t xml:space="preserve">, amendments to the </w:t>
      </w:r>
      <w:r w:rsidRPr="00BC24E2">
        <w:rPr>
          <w:i/>
        </w:rPr>
        <w:t>Queensland Competition Authority Act 1997</w:t>
      </w:r>
      <w:r w:rsidRPr="00BC24E2">
        <w:t xml:space="preserve"> </w:t>
      </w:r>
      <w:r>
        <w:t xml:space="preserve">(Qld) </w:t>
      </w:r>
      <w:r w:rsidRPr="00BC24E2">
        <w:t>were required to be passed by the Queensland Parliament to expand its functions to include the reviewing and reporting of RIA processes.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AE5898">
      <w:tc>
        <w:tcPr>
          <w:tcW w:w="2155" w:type="dxa"/>
          <w:tcBorders>
            <w:top w:val="single" w:sz="24" w:space="0" w:color="auto"/>
          </w:tcBorders>
        </w:tcPr>
        <w:p w:rsidR="00AE5898" w:rsidRDefault="00AE5898" w:rsidP="0019293B">
          <w:pPr>
            <w:pStyle w:val="HeaderEven"/>
          </w:pPr>
        </w:p>
      </w:tc>
      <w:tc>
        <w:tcPr>
          <w:tcW w:w="6634" w:type="dxa"/>
          <w:tcBorders>
            <w:top w:val="single" w:sz="6" w:space="0" w:color="auto"/>
          </w:tcBorders>
        </w:tcPr>
        <w:p w:rsidR="00AE5898" w:rsidRDefault="00AE5898" w:rsidP="0019293B">
          <w:pPr>
            <w:pStyle w:val="HeaderEven"/>
          </w:pPr>
        </w:p>
      </w:tc>
    </w:tr>
  </w:tbl>
  <w:p w:rsidR="00AE5898" w:rsidRDefault="00AE5898" w:rsidP="0019293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AE5898">
      <w:tc>
        <w:tcPr>
          <w:tcW w:w="6634" w:type="dxa"/>
          <w:tcBorders>
            <w:top w:val="single" w:sz="6" w:space="0" w:color="auto"/>
          </w:tcBorders>
        </w:tcPr>
        <w:p w:rsidR="00AE5898" w:rsidRDefault="00AE5898" w:rsidP="00E669E2">
          <w:pPr>
            <w:pStyle w:val="HeaderOdd"/>
          </w:pPr>
        </w:p>
      </w:tc>
      <w:tc>
        <w:tcPr>
          <w:tcW w:w="2155" w:type="dxa"/>
          <w:tcBorders>
            <w:top w:val="single" w:sz="24" w:space="0" w:color="auto"/>
          </w:tcBorders>
        </w:tcPr>
        <w:p w:rsidR="00AE5898" w:rsidRDefault="00AE5898" w:rsidP="00E669E2">
          <w:pPr>
            <w:pStyle w:val="HeaderOdd"/>
          </w:pPr>
        </w:p>
      </w:tc>
    </w:tr>
  </w:tbl>
  <w:p w:rsidR="00AE5898" w:rsidRDefault="00AE5898" w:rsidP="00E669E2">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ED98921A"/>
    <w:lvl w:ilvl="0">
      <w:start w:val="1"/>
      <w:numFmt w:val="decimal"/>
      <w:lvlText w:val="%1."/>
      <w:lvlJc w:val="left"/>
      <w:pPr>
        <w:tabs>
          <w:tab w:val="num" w:pos="926"/>
        </w:tabs>
        <w:ind w:left="926" w:hanging="360"/>
      </w:pPr>
    </w:lvl>
  </w:abstractNum>
  <w:abstractNum w:abstractNumId="1">
    <w:nsid w:val="FFFFFF7F"/>
    <w:multiLevelType w:val="singleLevel"/>
    <w:tmpl w:val="69042E6A"/>
    <w:lvl w:ilvl="0">
      <w:start w:val="1"/>
      <w:numFmt w:val="decimal"/>
      <w:lvlText w:val="%1."/>
      <w:lvlJc w:val="left"/>
      <w:pPr>
        <w:tabs>
          <w:tab w:val="num" w:pos="643"/>
        </w:tabs>
        <w:ind w:left="643" w:hanging="360"/>
      </w:pPr>
    </w:lvl>
  </w:abstractNum>
  <w:abstractNum w:abstractNumId="2">
    <w:nsid w:val="FFFFFF82"/>
    <w:multiLevelType w:val="singleLevel"/>
    <w:tmpl w:val="3A3A2F08"/>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4">
    <w:nsid w:val="FFFFFF88"/>
    <w:multiLevelType w:val="singleLevel"/>
    <w:tmpl w:val="93104AE2"/>
    <w:lvl w:ilvl="0">
      <w:start w:val="1"/>
      <w:numFmt w:val="decimal"/>
      <w:lvlText w:val="%1."/>
      <w:lvlJc w:val="left"/>
      <w:pPr>
        <w:tabs>
          <w:tab w:val="num" w:pos="360"/>
        </w:tabs>
        <w:ind w:left="360" w:hanging="360"/>
      </w:pPr>
    </w:lvl>
  </w:abstractNum>
  <w:abstractNum w:abstractNumId="5">
    <w:nsid w:val="FFFFFF89"/>
    <w:multiLevelType w:val="singleLevel"/>
    <w:tmpl w:val="0F36FBA8"/>
    <w:lvl w:ilvl="0">
      <w:start w:val="1"/>
      <w:numFmt w:val="bullet"/>
      <w:lvlText w:val=""/>
      <w:lvlJc w:val="left"/>
      <w:pPr>
        <w:tabs>
          <w:tab w:val="num" w:pos="360"/>
        </w:tabs>
        <w:ind w:left="360" w:hanging="360"/>
      </w:pPr>
      <w:rPr>
        <w:rFonts w:ascii="Symbol" w:hAnsi="Symbol" w:hint="default"/>
      </w:rPr>
    </w:lvl>
  </w:abstractNum>
  <w:abstractNum w:abstractNumId="6">
    <w:nsid w:val="FFFFFFFE"/>
    <w:multiLevelType w:val="singleLevel"/>
    <w:tmpl w:val="FFFFFFFF"/>
    <w:lvl w:ilvl="0">
      <w:numFmt w:val="decimal"/>
      <w:lvlText w:val="*"/>
      <w:lvlJc w:val="left"/>
    </w:lvl>
  </w:abstractNum>
  <w:abstractNum w:abstractNumId="7">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
    <w:nsid w:val="033F2413"/>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10">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11">
    <w:nsid w:val="06791123"/>
    <w:multiLevelType w:val="hybridMultilevel"/>
    <w:tmpl w:val="5F14156E"/>
    <w:lvl w:ilvl="0" w:tplc="2BD04F64">
      <w:numFmt w:val="bullet"/>
      <w:lvlText w:val=""/>
      <w:lvlJc w:val="left"/>
      <w:pPr>
        <w:ind w:left="1004" w:hanging="360"/>
      </w:pPr>
      <w:rPr>
        <w:rFonts w:ascii="MT Extra" w:hAnsi="MT Extra" w:cs="Times New Roman" w:hint="default"/>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07057F34"/>
    <w:multiLevelType w:val="singleLevel"/>
    <w:tmpl w:val="ED98921A"/>
    <w:lvl w:ilvl="0">
      <w:start w:val="1"/>
      <w:numFmt w:val="decimal"/>
      <w:lvlText w:val="%1."/>
      <w:legacy w:legacy="1" w:legacySpace="0" w:legacyIndent="340"/>
      <w:lvlJc w:val="left"/>
      <w:pPr>
        <w:ind w:left="340" w:hanging="340"/>
      </w:pPr>
    </w:lvl>
  </w:abstractNum>
  <w:abstractNum w:abstractNumId="13">
    <w:nsid w:val="07405C8A"/>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5">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7">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8">
    <w:nsid w:val="27371796"/>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20">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21">
    <w:nsid w:val="39C335C1"/>
    <w:multiLevelType w:val="multilevel"/>
    <w:tmpl w:val="7DF6C670"/>
    <w:lvl w:ilvl="0">
      <w:start w:val="1"/>
      <w:numFmt w:val="decimal"/>
      <w:lvlText w:val="%1)"/>
      <w:lvlJc w:val="left"/>
      <w:pPr>
        <w:tabs>
          <w:tab w:val="num" w:pos="1134"/>
        </w:tabs>
        <w:ind w:left="1134" w:hanging="340"/>
      </w:pPr>
      <w:rPr>
        <w:rFonts w:hint="default"/>
      </w:rPr>
    </w:lvl>
    <w:lvl w:ilvl="1">
      <w:start w:val="1"/>
      <w:numFmt w:val="lowerLetter"/>
      <w:lvlText w:val="%2)"/>
      <w:lvlJc w:val="left"/>
      <w:pPr>
        <w:tabs>
          <w:tab w:val="num" w:pos="1588"/>
        </w:tabs>
        <w:ind w:left="1588" w:hanging="454"/>
      </w:pPr>
      <w:rPr>
        <w:rFonts w:hint="default"/>
      </w:rPr>
    </w:lvl>
    <w:lvl w:ilvl="2">
      <w:start w:val="1"/>
      <w:numFmt w:val="lowerRoman"/>
      <w:lvlText w:val="%3)"/>
      <w:lvlJc w:val="left"/>
      <w:pPr>
        <w:tabs>
          <w:tab w:val="num" w:pos="2098"/>
        </w:tabs>
        <w:ind w:left="2098" w:hanging="510"/>
      </w:pPr>
      <w:rPr>
        <w:rFonts w:hint="default"/>
      </w:rPr>
    </w:lvl>
    <w:lvl w:ilvl="3">
      <w:start w:val="1"/>
      <w:numFmt w:val="decimal"/>
      <w:lvlText w:val="(%4)"/>
      <w:lvlJc w:val="left"/>
      <w:pPr>
        <w:tabs>
          <w:tab w:val="num" w:pos="2234"/>
        </w:tabs>
        <w:ind w:left="2234" w:hanging="360"/>
      </w:pPr>
      <w:rPr>
        <w:rFonts w:hint="default"/>
      </w:rPr>
    </w:lvl>
    <w:lvl w:ilvl="4">
      <w:start w:val="1"/>
      <w:numFmt w:val="lowerLetter"/>
      <w:lvlText w:val="(%5)"/>
      <w:lvlJc w:val="left"/>
      <w:pPr>
        <w:tabs>
          <w:tab w:val="num" w:pos="2594"/>
        </w:tabs>
        <w:ind w:left="2594" w:hanging="360"/>
      </w:pPr>
      <w:rPr>
        <w:rFonts w:hint="default"/>
      </w:rPr>
    </w:lvl>
    <w:lvl w:ilvl="5">
      <w:start w:val="1"/>
      <w:numFmt w:val="lowerRoman"/>
      <w:lvlText w:val="(%6)"/>
      <w:lvlJc w:val="left"/>
      <w:pPr>
        <w:tabs>
          <w:tab w:val="num" w:pos="2954"/>
        </w:tabs>
        <w:ind w:left="2954" w:hanging="360"/>
      </w:pPr>
      <w:rPr>
        <w:rFonts w:hint="default"/>
      </w:rPr>
    </w:lvl>
    <w:lvl w:ilvl="6">
      <w:start w:val="1"/>
      <w:numFmt w:val="decimal"/>
      <w:lvlText w:val="%7."/>
      <w:lvlJc w:val="left"/>
      <w:pPr>
        <w:tabs>
          <w:tab w:val="num" w:pos="3314"/>
        </w:tabs>
        <w:ind w:left="3314" w:hanging="360"/>
      </w:pPr>
      <w:rPr>
        <w:rFonts w:hint="default"/>
      </w:rPr>
    </w:lvl>
    <w:lvl w:ilvl="7">
      <w:start w:val="1"/>
      <w:numFmt w:val="lowerLetter"/>
      <w:lvlText w:val="%8."/>
      <w:lvlJc w:val="left"/>
      <w:pPr>
        <w:tabs>
          <w:tab w:val="num" w:pos="3674"/>
        </w:tabs>
        <w:ind w:left="3674" w:hanging="360"/>
      </w:pPr>
      <w:rPr>
        <w:rFonts w:hint="default"/>
      </w:rPr>
    </w:lvl>
    <w:lvl w:ilvl="8">
      <w:start w:val="1"/>
      <w:numFmt w:val="lowerRoman"/>
      <w:lvlText w:val="%9."/>
      <w:lvlJc w:val="left"/>
      <w:pPr>
        <w:tabs>
          <w:tab w:val="num" w:pos="4034"/>
        </w:tabs>
        <w:ind w:left="4034" w:hanging="360"/>
      </w:pPr>
      <w:rPr>
        <w:rFonts w:hint="default"/>
      </w:rPr>
    </w:lvl>
  </w:abstractNum>
  <w:abstractNum w:abstractNumId="22">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nsid w:val="4D212809"/>
    <w:multiLevelType w:val="hybridMultilevel"/>
    <w:tmpl w:val="01EE78F8"/>
    <w:lvl w:ilvl="0" w:tplc="FEF0DFD2">
      <w:start w:val="1"/>
      <w:numFmt w:val="bullet"/>
      <w:lvlText w:val="–"/>
      <w:lvlJc w:val="left"/>
      <w:pPr>
        <w:ind w:left="700" w:hanging="360"/>
      </w:pPr>
      <w:rPr>
        <w:rFonts w:ascii="Times New Roman" w:hAnsi="Times New Roman" w:cs="Times New Roman" w:hint="default"/>
        <w:b w:val="0"/>
        <w:i w:val="0"/>
        <w:sz w:val="18"/>
      </w:rPr>
    </w:lvl>
    <w:lvl w:ilvl="1" w:tplc="0C090003" w:tentative="1">
      <w:start w:val="1"/>
      <w:numFmt w:val="bullet"/>
      <w:lvlText w:val="o"/>
      <w:lvlJc w:val="left"/>
      <w:pPr>
        <w:ind w:left="1780" w:hanging="360"/>
      </w:pPr>
      <w:rPr>
        <w:rFonts w:ascii="Courier New" w:hAnsi="Courier New" w:cs="Courier New" w:hint="default"/>
      </w:rPr>
    </w:lvl>
    <w:lvl w:ilvl="2" w:tplc="0C090005" w:tentative="1">
      <w:start w:val="1"/>
      <w:numFmt w:val="bullet"/>
      <w:lvlText w:val=""/>
      <w:lvlJc w:val="left"/>
      <w:pPr>
        <w:ind w:left="2500" w:hanging="360"/>
      </w:pPr>
      <w:rPr>
        <w:rFonts w:ascii="Wingdings" w:hAnsi="Wingdings" w:hint="default"/>
      </w:rPr>
    </w:lvl>
    <w:lvl w:ilvl="3" w:tplc="0C090001" w:tentative="1">
      <w:start w:val="1"/>
      <w:numFmt w:val="bullet"/>
      <w:lvlText w:val=""/>
      <w:lvlJc w:val="left"/>
      <w:pPr>
        <w:ind w:left="3220" w:hanging="360"/>
      </w:pPr>
      <w:rPr>
        <w:rFonts w:ascii="Symbol" w:hAnsi="Symbol" w:hint="default"/>
      </w:rPr>
    </w:lvl>
    <w:lvl w:ilvl="4" w:tplc="0C090003" w:tentative="1">
      <w:start w:val="1"/>
      <w:numFmt w:val="bullet"/>
      <w:lvlText w:val="o"/>
      <w:lvlJc w:val="left"/>
      <w:pPr>
        <w:ind w:left="3940" w:hanging="360"/>
      </w:pPr>
      <w:rPr>
        <w:rFonts w:ascii="Courier New" w:hAnsi="Courier New" w:cs="Courier New" w:hint="default"/>
      </w:rPr>
    </w:lvl>
    <w:lvl w:ilvl="5" w:tplc="0C090005" w:tentative="1">
      <w:start w:val="1"/>
      <w:numFmt w:val="bullet"/>
      <w:lvlText w:val=""/>
      <w:lvlJc w:val="left"/>
      <w:pPr>
        <w:ind w:left="4660" w:hanging="360"/>
      </w:pPr>
      <w:rPr>
        <w:rFonts w:ascii="Wingdings" w:hAnsi="Wingdings" w:hint="default"/>
      </w:rPr>
    </w:lvl>
    <w:lvl w:ilvl="6" w:tplc="0C090001" w:tentative="1">
      <w:start w:val="1"/>
      <w:numFmt w:val="bullet"/>
      <w:lvlText w:val=""/>
      <w:lvlJc w:val="left"/>
      <w:pPr>
        <w:ind w:left="5380" w:hanging="360"/>
      </w:pPr>
      <w:rPr>
        <w:rFonts w:ascii="Symbol" w:hAnsi="Symbol" w:hint="default"/>
      </w:rPr>
    </w:lvl>
    <w:lvl w:ilvl="7" w:tplc="0C090003" w:tentative="1">
      <w:start w:val="1"/>
      <w:numFmt w:val="bullet"/>
      <w:lvlText w:val="o"/>
      <w:lvlJc w:val="left"/>
      <w:pPr>
        <w:ind w:left="6100" w:hanging="360"/>
      </w:pPr>
      <w:rPr>
        <w:rFonts w:ascii="Courier New" w:hAnsi="Courier New" w:cs="Courier New" w:hint="default"/>
      </w:rPr>
    </w:lvl>
    <w:lvl w:ilvl="8" w:tplc="0C090005" w:tentative="1">
      <w:start w:val="1"/>
      <w:numFmt w:val="bullet"/>
      <w:lvlText w:val=""/>
      <w:lvlJc w:val="left"/>
      <w:pPr>
        <w:ind w:left="6820" w:hanging="360"/>
      </w:pPr>
      <w:rPr>
        <w:rFonts w:ascii="Wingdings" w:hAnsi="Wingdings" w:hint="default"/>
      </w:rPr>
    </w:lvl>
  </w:abstractNum>
  <w:abstractNum w:abstractNumId="24">
    <w:nsid w:val="51F74561"/>
    <w:multiLevelType w:val="singleLevel"/>
    <w:tmpl w:val="ED98921A"/>
    <w:lvl w:ilvl="0">
      <w:start w:val="1"/>
      <w:numFmt w:val="decimal"/>
      <w:lvlText w:val="%1."/>
      <w:legacy w:legacy="1" w:legacySpace="0" w:legacyIndent="340"/>
      <w:lvlJc w:val="left"/>
      <w:pPr>
        <w:ind w:left="340" w:hanging="340"/>
      </w:pPr>
    </w:lvl>
  </w:abstractNum>
  <w:abstractNum w:abstractNumId="25">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6">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7">
    <w:nsid w:val="55532592"/>
    <w:multiLevelType w:val="singleLevel"/>
    <w:tmpl w:val="AD60D3B8"/>
    <w:lvl w:ilvl="0">
      <w:start w:val="1"/>
      <w:numFmt w:val="lowerLetter"/>
      <w:lvlText w:val="(%1)"/>
      <w:legacy w:legacy="1" w:legacySpace="0" w:legacyIndent="340"/>
      <w:lvlJc w:val="left"/>
      <w:pPr>
        <w:ind w:left="680" w:hanging="340"/>
      </w:pPr>
    </w:lvl>
  </w:abstractNum>
  <w:abstractNum w:abstractNumId="28">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9">
    <w:nsid w:val="58A04AF2"/>
    <w:multiLevelType w:val="singleLevel"/>
    <w:tmpl w:val="E9806908"/>
    <w:lvl w:ilvl="0">
      <w:start w:val="1"/>
      <w:numFmt w:val="lowerRoman"/>
      <w:lvlText w:val="(%1)"/>
      <w:legacy w:legacy="1" w:legacySpace="0" w:legacyIndent="340"/>
      <w:lvlJc w:val="left"/>
      <w:pPr>
        <w:ind w:left="1134" w:hanging="340"/>
      </w:pPr>
    </w:lvl>
  </w:abstractNum>
  <w:abstractNum w:abstractNumId="30">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31">
    <w:nsid w:val="5A096576"/>
    <w:multiLevelType w:val="singleLevel"/>
    <w:tmpl w:val="ED98921A"/>
    <w:lvl w:ilvl="0">
      <w:start w:val="1"/>
      <w:numFmt w:val="decimal"/>
      <w:lvlText w:val="%1."/>
      <w:legacy w:legacy="1" w:legacySpace="0" w:legacyIndent="340"/>
      <w:lvlJc w:val="left"/>
      <w:pPr>
        <w:ind w:left="340" w:hanging="340"/>
      </w:pPr>
    </w:lvl>
  </w:abstractNum>
  <w:abstractNum w:abstractNumId="32">
    <w:nsid w:val="5BB56A48"/>
    <w:multiLevelType w:val="multilevel"/>
    <w:tmpl w:val="6D248CEA"/>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3">
    <w:nsid w:val="60055F7F"/>
    <w:multiLevelType w:val="singleLevel"/>
    <w:tmpl w:val="ED98921A"/>
    <w:lvl w:ilvl="0">
      <w:start w:val="1"/>
      <w:numFmt w:val="decimal"/>
      <w:lvlText w:val="%1."/>
      <w:legacy w:legacy="1" w:legacySpace="0" w:legacyIndent="340"/>
      <w:lvlJc w:val="left"/>
      <w:pPr>
        <w:ind w:left="340" w:hanging="340"/>
      </w:pPr>
    </w:lvl>
  </w:abstractNum>
  <w:abstractNum w:abstractNumId="34">
    <w:nsid w:val="608E741E"/>
    <w:multiLevelType w:val="singleLevel"/>
    <w:tmpl w:val="ED98921A"/>
    <w:lvl w:ilvl="0">
      <w:start w:val="1"/>
      <w:numFmt w:val="decimal"/>
      <w:lvlText w:val="%1."/>
      <w:legacy w:legacy="1" w:legacySpace="0" w:legacyIndent="340"/>
      <w:lvlJc w:val="left"/>
      <w:pPr>
        <w:ind w:left="340" w:hanging="340"/>
      </w:pPr>
    </w:lvl>
  </w:abstractNum>
  <w:abstractNum w:abstractNumId="35">
    <w:nsid w:val="61320C1E"/>
    <w:multiLevelType w:val="singleLevel"/>
    <w:tmpl w:val="C444122C"/>
    <w:lvl w:ilvl="0">
      <w:start w:val="1"/>
      <w:numFmt w:val="decimal"/>
      <w:lvlText w:val="%1."/>
      <w:legacy w:legacy="1" w:legacySpace="0" w:legacyIndent="284"/>
      <w:lvlJc w:val="left"/>
      <w:pPr>
        <w:ind w:left="284" w:hanging="284"/>
      </w:pPr>
    </w:lvl>
  </w:abstractNum>
  <w:abstractNum w:abstractNumId="36">
    <w:nsid w:val="627154D2"/>
    <w:multiLevelType w:val="singleLevel"/>
    <w:tmpl w:val="AD60D3B8"/>
    <w:lvl w:ilvl="0">
      <w:start w:val="1"/>
      <w:numFmt w:val="lowerLetter"/>
      <w:lvlText w:val="(%1)"/>
      <w:legacy w:legacy="1" w:legacySpace="0" w:legacyIndent="340"/>
      <w:lvlJc w:val="left"/>
      <w:pPr>
        <w:ind w:left="680" w:hanging="340"/>
      </w:pPr>
    </w:lvl>
  </w:abstractNum>
  <w:abstractNum w:abstractNumId="37">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38">
    <w:nsid w:val="67806EB5"/>
    <w:multiLevelType w:val="singleLevel"/>
    <w:tmpl w:val="AD60D3B8"/>
    <w:lvl w:ilvl="0">
      <w:start w:val="1"/>
      <w:numFmt w:val="lowerLetter"/>
      <w:lvlText w:val="(%1)"/>
      <w:legacy w:legacy="1" w:legacySpace="0" w:legacyIndent="340"/>
      <w:lvlJc w:val="left"/>
      <w:pPr>
        <w:ind w:left="680" w:hanging="340"/>
      </w:pPr>
    </w:lvl>
  </w:abstractNum>
  <w:abstractNum w:abstractNumId="39">
    <w:nsid w:val="707E6FEC"/>
    <w:multiLevelType w:val="singleLevel"/>
    <w:tmpl w:val="E9806908"/>
    <w:lvl w:ilvl="0">
      <w:start w:val="1"/>
      <w:numFmt w:val="lowerRoman"/>
      <w:lvlText w:val="(%1)"/>
      <w:legacy w:legacy="1" w:legacySpace="0" w:legacyIndent="340"/>
      <w:lvlJc w:val="left"/>
      <w:pPr>
        <w:ind w:left="1134" w:hanging="340"/>
      </w:pPr>
    </w:lvl>
  </w:abstractNum>
  <w:abstractNum w:abstractNumId="40">
    <w:nsid w:val="746E6DCF"/>
    <w:multiLevelType w:val="multilevel"/>
    <w:tmpl w:val="8E3050E6"/>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nsid w:val="74E25280"/>
    <w:multiLevelType w:val="singleLevel"/>
    <w:tmpl w:val="AD60D3B8"/>
    <w:lvl w:ilvl="0">
      <w:start w:val="1"/>
      <w:numFmt w:val="lowerLetter"/>
      <w:lvlText w:val="(%1)"/>
      <w:legacy w:legacy="1" w:legacySpace="0" w:legacyIndent="340"/>
      <w:lvlJc w:val="left"/>
      <w:pPr>
        <w:ind w:left="680" w:hanging="340"/>
      </w:pPr>
    </w:lvl>
  </w:abstractNum>
  <w:abstractNum w:abstractNumId="42">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43">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abstractNum w:abstractNumId="44">
    <w:nsid w:val="7F5B19CF"/>
    <w:multiLevelType w:val="multilevel"/>
    <w:tmpl w:val="0C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20"/>
  </w:num>
  <w:num w:numId="2">
    <w:abstractNumId w:val="10"/>
  </w:num>
  <w:num w:numId="3">
    <w:abstractNumId w:val="42"/>
  </w:num>
  <w:num w:numId="4">
    <w:abstractNumId w:val="7"/>
  </w:num>
  <w:num w:numId="5">
    <w:abstractNumId w:val="25"/>
  </w:num>
  <w:num w:numId="6">
    <w:abstractNumId w:val="9"/>
  </w:num>
  <w:num w:numId="7">
    <w:abstractNumId w:val="37"/>
  </w:num>
  <w:num w:numId="8">
    <w:abstractNumId w:val="28"/>
  </w:num>
  <w:num w:numId="9">
    <w:abstractNumId w:val="43"/>
  </w:num>
  <w:num w:numId="10">
    <w:abstractNumId w:val="16"/>
  </w:num>
  <w:num w:numId="11">
    <w:abstractNumId w:val="26"/>
  </w:num>
  <w:num w:numId="12">
    <w:abstractNumId w:val="15"/>
  </w:num>
  <w:num w:numId="13">
    <w:abstractNumId w:val="14"/>
  </w:num>
  <w:num w:numId="14">
    <w:abstractNumId w:val="17"/>
  </w:num>
  <w:num w:numId="15">
    <w:abstractNumId w:val="19"/>
  </w:num>
  <w:num w:numId="16">
    <w:abstractNumId w:val="22"/>
  </w:num>
  <w:num w:numId="17">
    <w:abstractNumId w:val="5"/>
  </w:num>
  <w:num w:numId="18">
    <w:abstractNumId w:val="3"/>
  </w:num>
  <w:num w:numId="19">
    <w:abstractNumId w:val="2"/>
  </w:num>
  <w:num w:numId="20">
    <w:abstractNumId w:val="4"/>
  </w:num>
  <w:num w:numId="21">
    <w:abstractNumId w:val="1"/>
  </w:num>
  <w:num w:numId="22">
    <w:abstractNumId w:val="0"/>
  </w:num>
  <w:num w:numId="23">
    <w:abstractNumId w:val="12"/>
  </w:num>
  <w:num w:numId="24">
    <w:abstractNumId w:val="34"/>
  </w:num>
  <w:num w:numId="25">
    <w:abstractNumId w:val="36"/>
  </w:num>
  <w:num w:numId="26">
    <w:abstractNumId w:val="24"/>
  </w:num>
  <w:num w:numId="27">
    <w:abstractNumId w:val="27"/>
  </w:num>
  <w:num w:numId="28">
    <w:abstractNumId w:val="29"/>
  </w:num>
  <w:num w:numId="29">
    <w:abstractNumId w:val="41"/>
  </w:num>
  <w:num w:numId="30">
    <w:abstractNumId w:val="33"/>
  </w:num>
  <w:num w:numId="31">
    <w:abstractNumId w:val="38"/>
  </w:num>
  <w:num w:numId="32">
    <w:abstractNumId w:val="39"/>
  </w:num>
  <w:num w:numId="33">
    <w:abstractNumId w:val="31"/>
  </w:num>
  <w:num w:numId="34">
    <w:abstractNumId w:val="21"/>
  </w:num>
  <w:num w:numId="35">
    <w:abstractNumId w:val="44"/>
  </w:num>
  <w:num w:numId="36">
    <w:abstractNumId w:val="8"/>
  </w:num>
  <w:num w:numId="37">
    <w:abstractNumId w:val="18"/>
  </w:num>
  <w:num w:numId="38">
    <w:abstractNumId w:val="40"/>
  </w:num>
  <w:num w:numId="39">
    <w:abstractNumId w:val="32"/>
  </w:num>
  <w:num w:numId="40">
    <w:abstractNumId w:val="13"/>
  </w:num>
  <w:num w:numId="41">
    <w:abstractNumId w:val="35"/>
  </w:num>
  <w:num w:numId="42">
    <w:abstractNumId w:val="23"/>
  </w:num>
  <w:num w:numId="43">
    <w:abstractNumId w:val="6"/>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44">
    <w:abstractNumId w:val="11"/>
  </w:num>
  <w:num w:numId="45">
    <w:abstractNumId w:val="3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mirrorMargins/>
  <w:proofState w:spelling="clean"/>
  <w:attachedTemplate r:id="rId1"/>
  <w:linkStyle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Accountability and quality control"/>
    <w:docVar w:name="ShortReportTitle" w:val="ria benchmarking"/>
  </w:docVars>
  <w:rsids>
    <w:rsidRoot w:val="00510D40"/>
    <w:rsid w:val="00005865"/>
    <w:rsid w:val="000075E9"/>
    <w:rsid w:val="00010A4B"/>
    <w:rsid w:val="00011146"/>
    <w:rsid w:val="00011417"/>
    <w:rsid w:val="000129A7"/>
    <w:rsid w:val="000139F8"/>
    <w:rsid w:val="00014311"/>
    <w:rsid w:val="000143F8"/>
    <w:rsid w:val="00014F3C"/>
    <w:rsid w:val="000157A8"/>
    <w:rsid w:val="00015BD2"/>
    <w:rsid w:val="00017045"/>
    <w:rsid w:val="00017E95"/>
    <w:rsid w:val="00021571"/>
    <w:rsid w:val="000216A6"/>
    <w:rsid w:val="00021747"/>
    <w:rsid w:val="00021827"/>
    <w:rsid w:val="0002199D"/>
    <w:rsid w:val="00022A2A"/>
    <w:rsid w:val="0002400D"/>
    <w:rsid w:val="000245AA"/>
    <w:rsid w:val="00025164"/>
    <w:rsid w:val="000254F9"/>
    <w:rsid w:val="00025E18"/>
    <w:rsid w:val="000264BB"/>
    <w:rsid w:val="00027596"/>
    <w:rsid w:val="00032BD6"/>
    <w:rsid w:val="000335DE"/>
    <w:rsid w:val="00033F80"/>
    <w:rsid w:val="00035B9D"/>
    <w:rsid w:val="00036197"/>
    <w:rsid w:val="0003664B"/>
    <w:rsid w:val="0004111F"/>
    <w:rsid w:val="0004160C"/>
    <w:rsid w:val="000416BE"/>
    <w:rsid w:val="00042E73"/>
    <w:rsid w:val="0004305C"/>
    <w:rsid w:val="00043D96"/>
    <w:rsid w:val="00044079"/>
    <w:rsid w:val="000508D8"/>
    <w:rsid w:val="00050E04"/>
    <w:rsid w:val="0005265F"/>
    <w:rsid w:val="0005363F"/>
    <w:rsid w:val="0005364D"/>
    <w:rsid w:val="000560F0"/>
    <w:rsid w:val="000565B3"/>
    <w:rsid w:val="00057824"/>
    <w:rsid w:val="00057883"/>
    <w:rsid w:val="000609EE"/>
    <w:rsid w:val="00061200"/>
    <w:rsid w:val="000617F2"/>
    <w:rsid w:val="0006470A"/>
    <w:rsid w:val="00064A7F"/>
    <w:rsid w:val="0006689D"/>
    <w:rsid w:val="000678FC"/>
    <w:rsid w:val="00067AB9"/>
    <w:rsid w:val="0007150B"/>
    <w:rsid w:val="000729F6"/>
    <w:rsid w:val="00072F21"/>
    <w:rsid w:val="0007308D"/>
    <w:rsid w:val="0007338C"/>
    <w:rsid w:val="000738E9"/>
    <w:rsid w:val="00073CCE"/>
    <w:rsid w:val="00074152"/>
    <w:rsid w:val="00074556"/>
    <w:rsid w:val="00074866"/>
    <w:rsid w:val="00075A28"/>
    <w:rsid w:val="00075B3D"/>
    <w:rsid w:val="000777A0"/>
    <w:rsid w:val="00077D6B"/>
    <w:rsid w:val="00080A75"/>
    <w:rsid w:val="00080E10"/>
    <w:rsid w:val="00080FED"/>
    <w:rsid w:val="0008119E"/>
    <w:rsid w:val="0008160E"/>
    <w:rsid w:val="000821E1"/>
    <w:rsid w:val="00082F84"/>
    <w:rsid w:val="0008300D"/>
    <w:rsid w:val="00085421"/>
    <w:rsid w:val="00086BC9"/>
    <w:rsid w:val="000938F5"/>
    <w:rsid w:val="0009459C"/>
    <w:rsid w:val="00095699"/>
    <w:rsid w:val="000A1337"/>
    <w:rsid w:val="000A1770"/>
    <w:rsid w:val="000A1EE6"/>
    <w:rsid w:val="000A20F3"/>
    <w:rsid w:val="000A316B"/>
    <w:rsid w:val="000A399F"/>
    <w:rsid w:val="000A3FBC"/>
    <w:rsid w:val="000A485E"/>
    <w:rsid w:val="000A5CC6"/>
    <w:rsid w:val="000B0112"/>
    <w:rsid w:val="000B1E42"/>
    <w:rsid w:val="000B2B4F"/>
    <w:rsid w:val="000B2BC3"/>
    <w:rsid w:val="000B3361"/>
    <w:rsid w:val="000B3AED"/>
    <w:rsid w:val="000B414E"/>
    <w:rsid w:val="000B4A4D"/>
    <w:rsid w:val="000B5D7D"/>
    <w:rsid w:val="000B601B"/>
    <w:rsid w:val="000B66CD"/>
    <w:rsid w:val="000B69CC"/>
    <w:rsid w:val="000B7B3B"/>
    <w:rsid w:val="000C09CD"/>
    <w:rsid w:val="000C1827"/>
    <w:rsid w:val="000C207E"/>
    <w:rsid w:val="000C243A"/>
    <w:rsid w:val="000C2F34"/>
    <w:rsid w:val="000C39E0"/>
    <w:rsid w:val="000C3E0C"/>
    <w:rsid w:val="000C4803"/>
    <w:rsid w:val="000C6AB6"/>
    <w:rsid w:val="000C7006"/>
    <w:rsid w:val="000C7185"/>
    <w:rsid w:val="000C7CFC"/>
    <w:rsid w:val="000D0752"/>
    <w:rsid w:val="000D0C8A"/>
    <w:rsid w:val="000D0E47"/>
    <w:rsid w:val="000D0F40"/>
    <w:rsid w:val="000D136A"/>
    <w:rsid w:val="000D1434"/>
    <w:rsid w:val="000D21A4"/>
    <w:rsid w:val="000D2DD2"/>
    <w:rsid w:val="000D3612"/>
    <w:rsid w:val="000D53A4"/>
    <w:rsid w:val="000D53D1"/>
    <w:rsid w:val="000D5756"/>
    <w:rsid w:val="000D5873"/>
    <w:rsid w:val="000D6040"/>
    <w:rsid w:val="000D6B78"/>
    <w:rsid w:val="000E055E"/>
    <w:rsid w:val="000E159B"/>
    <w:rsid w:val="000E1E6F"/>
    <w:rsid w:val="000E1FF3"/>
    <w:rsid w:val="000E3CB9"/>
    <w:rsid w:val="000E4E05"/>
    <w:rsid w:val="000E57DA"/>
    <w:rsid w:val="000E648A"/>
    <w:rsid w:val="000E7348"/>
    <w:rsid w:val="000E7DA7"/>
    <w:rsid w:val="000F0086"/>
    <w:rsid w:val="000F1C98"/>
    <w:rsid w:val="000F2117"/>
    <w:rsid w:val="000F2A8A"/>
    <w:rsid w:val="000F3B20"/>
    <w:rsid w:val="000F4280"/>
    <w:rsid w:val="000F460C"/>
    <w:rsid w:val="000F5B40"/>
    <w:rsid w:val="000F6CDB"/>
    <w:rsid w:val="000F6F31"/>
    <w:rsid w:val="00100135"/>
    <w:rsid w:val="00100B8C"/>
    <w:rsid w:val="00101287"/>
    <w:rsid w:val="0010455E"/>
    <w:rsid w:val="00104CB4"/>
    <w:rsid w:val="001051F8"/>
    <w:rsid w:val="001069AB"/>
    <w:rsid w:val="00107D17"/>
    <w:rsid w:val="00110116"/>
    <w:rsid w:val="0011063E"/>
    <w:rsid w:val="00110766"/>
    <w:rsid w:val="00114103"/>
    <w:rsid w:val="001148A2"/>
    <w:rsid w:val="00114BF1"/>
    <w:rsid w:val="00116601"/>
    <w:rsid w:val="001168DC"/>
    <w:rsid w:val="00117018"/>
    <w:rsid w:val="00121DF2"/>
    <w:rsid w:val="00123525"/>
    <w:rsid w:val="00123652"/>
    <w:rsid w:val="001236C1"/>
    <w:rsid w:val="00125FC1"/>
    <w:rsid w:val="00126A62"/>
    <w:rsid w:val="00126EB8"/>
    <w:rsid w:val="00126F01"/>
    <w:rsid w:val="001300C1"/>
    <w:rsid w:val="00130540"/>
    <w:rsid w:val="00130CA0"/>
    <w:rsid w:val="0013154F"/>
    <w:rsid w:val="001341AB"/>
    <w:rsid w:val="001352AE"/>
    <w:rsid w:val="00135D86"/>
    <w:rsid w:val="001363AA"/>
    <w:rsid w:val="001378F6"/>
    <w:rsid w:val="00140861"/>
    <w:rsid w:val="001422FF"/>
    <w:rsid w:val="00144C79"/>
    <w:rsid w:val="00144FD9"/>
    <w:rsid w:val="00146557"/>
    <w:rsid w:val="00147209"/>
    <w:rsid w:val="00147A1D"/>
    <w:rsid w:val="00150B80"/>
    <w:rsid w:val="00151348"/>
    <w:rsid w:val="00151B78"/>
    <w:rsid w:val="0015328E"/>
    <w:rsid w:val="00153460"/>
    <w:rsid w:val="0015392C"/>
    <w:rsid w:val="00153BAC"/>
    <w:rsid w:val="0015445E"/>
    <w:rsid w:val="001545DC"/>
    <w:rsid w:val="00154E19"/>
    <w:rsid w:val="00154E59"/>
    <w:rsid w:val="001553E6"/>
    <w:rsid w:val="00155BBB"/>
    <w:rsid w:val="00155BFC"/>
    <w:rsid w:val="00156CDD"/>
    <w:rsid w:val="001578FD"/>
    <w:rsid w:val="00157DF8"/>
    <w:rsid w:val="00161D47"/>
    <w:rsid w:val="00163411"/>
    <w:rsid w:val="00164700"/>
    <w:rsid w:val="001656F9"/>
    <w:rsid w:val="00165D13"/>
    <w:rsid w:val="00166A59"/>
    <w:rsid w:val="00166ABE"/>
    <w:rsid w:val="00167F06"/>
    <w:rsid w:val="00170A08"/>
    <w:rsid w:val="00170ABD"/>
    <w:rsid w:val="00170BCB"/>
    <w:rsid w:val="00170EDC"/>
    <w:rsid w:val="001710D0"/>
    <w:rsid w:val="00171323"/>
    <w:rsid w:val="00171531"/>
    <w:rsid w:val="00171697"/>
    <w:rsid w:val="00171D4B"/>
    <w:rsid w:val="00173A20"/>
    <w:rsid w:val="00173FCE"/>
    <w:rsid w:val="0017449C"/>
    <w:rsid w:val="0017601F"/>
    <w:rsid w:val="001761FC"/>
    <w:rsid w:val="00177ABB"/>
    <w:rsid w:val="00180ADF"/>
    <w:rsid w:val="001812D3"/>
    <w:rsid w:val="00181C7A"/>
    <w:rsid w:val="0018236F"/>
    <w:rsid w:val="001828F6"/>
    <w:rsid w:val="00182A11"/>
    <w:rsid w:val="00182B4A"/>
    <w:rsid w:val="00183E82"/>
    <w:rsid w:val="00185C26"/>
    <w:rsid w:val="001876CA"/>
    <w:rsid w:val="0019008A"/>
    <w:rsid w:val="001903C1"/>
    <w:rsid w:val="0019047E"/>
    <w:rsid w:val="0019105A"/>
    <w:rsid w:val="001914C3"/>
    <w:rsid w:val="00191F48"/>
    <w:rsid w:val="00192060"/>
    <w:rsid w:val="00192607"/>
    <w:rsid w:val="0019293B"/>
    <w:rsid w:val="00192B55"/>
    <w:rsid w:val="001934C2"/>
    <w:rsid w:val="0019359B"/>
    <w:rsid w:val="001937B2"/>
    <w:rsid w:val="001939B1"/>
    <w:rsid w:val="001943FB"/>
    <w:rsid w:val="00195453"/>
    <w:rsid w:val="00196B72"/>
    <w:rsid w:val="0019761F"/>
    <w:rsid w:val="00197831"/>
    <w:rsid w:val="00197CA5"/>
    <w:rsid w:val="001A06A8"/>
    <w:rsid w:val="001A07AC"/>
    <w:rsid w:val="001A1059"/>
    <w:rsid w:val="001A35F8"/>
    <w:rsid w:val="001A4A6E"/>
    <w:rsid w:val="001A4A9F"/>
    <w:rsid w:val="001A7836"/>
    <w:rsid w:val="001A7E5B"/>
    <w:rsid w:val="001B00CD"/>
    <w:rsid w:val="001B2B44"/>
    <w:rsid w:val="001B2C73"/>
    <w:rsid w:val="001B2E01"/>
    <w:rsid w:val="001B4127"/>
    <w:rsid w:val="001B49E0"/>
    <w:rsid w:val="001B4C4A"/>
    <w:rsid w:val="001B625A"/>
    <w:rsid w:val="001B6581"/>
    <w:rsid w:val="001B675A"/>
    <w:rsid w:val="001B6F28"/>
    <w:rsid w:val="001B7017"/>
    <w:rsid w:val="001C0865"/>
    <w:rsid w:val="001C0952"/>
    <w:rsid w:val="001C0C78"/>
    <w:rsid w:val="001C1644"/>
    <w:rsid w:val="001C1798"/>
    <w:rsid w:val="001C1DF0"/>
    <w:rsid w:val="001C3ABA"/>
    <w:rsid w:val="001C6AFA"/>
    <w:rsid w:val="001C76C5"/>
    <w:rsid w:val="001D0DD0"/>
    <w:rsid w:val="001D37E4"/>
    <w:rsid w:val="001D4AA6"/>
    <w:rsid w:val="001E071C"/>
    <w:rsid w:val="001E09C5"/>
    <w:rsid w:val="001E2092"/>
    <w:rsid w:val="001E3738"/>
    <w:rsid w:val="001E52A5"/>
    <w:rsid w:val="001E7323"/>
    <w:rsid w:val="001E7BE8"/>
    <w:rsid w:val="001F0248"/>
    <w:rsid w:val="001F0758"/>
    <w:rsid w:val="001F1920"/>
    <w:rsid w:val="001F26A8"/>
    <w:rsid w:val="001F2C66"/>
    <w:rsid w:val="001F3EB3"/>
    <w:rsid w:val="001F3EC4"/>
    <w:rsid w:val="001F55CC"/>
    <w:rsid w:val="001F5C2D"/>
    <w:rsid w:val="001F5EC1"/>
    <w:rsid w:val="002012AC"/>
    <w:rsid w:val="002014AF"/>
    <w:rsid w:val="00202C2C"/>
    <w:rsid w:val="00202C9F"/>
    <w:rsid w:val="002033C3"/>
    <w:rsid w:val="00206643"/>
    <w:rsid w:val="00206F8E"/>
    <w:rsid w:val="00207546"/>
    <w:rsid w:val="00207AA2"/>
    <w:rsid w:val="00207C2F"/>
    <w:rsid w:val="0021072E"/>
    <w:rsid w:val="00210BCC"/>
    <w:rsid w:val="0021224B"/>
    <w:rsid w:val="002128DA"/>
    <w:rsid w:val="00212B51"/>
    <w:rsid w:val="002134EA"/>
    <w:rsid w:val="002135B4"/>
    <w:rsid w:val="0021396C"/>
    <w:rsid w:val="0021464B"/>
    <w:rsid w:val="00220ED8"/>
    <w:rsid w:val="002211DA"/>
    <w:rsid w:val="00221FAF"/>
    <w:rsid w:val="00222CC3"/>
    <w:rsid w:val="00222F76"/>
    <w:rsid w:val="0022327E"/>
    <w:rsid w:val="00223DC4"/>
    <w:rsid w:val="00225216"/>
    <w:rsid w:val="002253AD"/>
    <w:rsid w:val="00225D7A"/>
    <w:rsid w:val="00226542"/>
    <w:rsid w:val="00226CDA"/>
    <w:rsid w:val="002312CC"/>
    <w:rsid w:val="00233034"/>
    <w:rsid w:val="002331E1"/>
    <w:rsid w:val="0023350A"/>
    <w:rsid w:val="00234791"/>
    <w:rsid w:val="00234BC4"/>
    <w:rsid w:val="0023633E"/>
    <w:rsid w:val="00236D6C"/>
    <w:rsid w:val="00240512"/>
    <w:rsid w:val="002407E0"/>
    <w:rsid w:val="00241285"/>
    <w:rsid w:val="00242078"/>
    <w:rsid w:val="00242279"/>
    <w:rsid w:val="0024241D"/>
    <w:rsid w:val="0024248F"/>
    <w:rsid w:val="00245B79"/>
    <w:rsid w:val="00245C82"/>
    <w:rsid w:val="00246B2B"/>
    <w:rsid w:val="0025184C"/>
    <w:rsid w:val="00251C72"/>
    <w:rsid w:val="00252A68"/>
    <w:rsid w:val="00252CE8"/>
    <w:rsid w:val="00252FB6"/>
    <w:rsid w:val="00253A73"/>
    <w:rsid w:val="002541BB"/>
    <w:rsid w:val="00256505"/>
    <w:rsid w:val="00257590"/>
    <w:rsid w:val="0026060A"/>
    <w:rsid w:val="0026269E"/>
    <w:rsid w:val="002632E5"/>
    <w:rsid w:val="002720C8"/>
    <w:rsid w:val="00273D8B"/>
    <w:rsid w:val="00274712"/>
    <w:rsid w:val="00274E04"/>
    <w:rsid w:val="00275698"/>
    <w:rsid w:val="0027633C"/>
    <w:rsid w:val="0027638F"/>
    <w:rsid w:val="00276523"/>
    <w:rsid w:val="00276603"/>
    <w:rsid w:val="00282663"/>
    <w:rsid w:val="0028312C"/>
    <w:rsid w:val="00283FA7"/>
    <w:rsid w:val="00284945"/>
    <w:rsid w:val="00285077"/>
    <w:rsid w:val="00287B99"/>
    <w:rsid w:val="0029087C"/>
    <w:rsid w:val="00290B9B"/>
    <w:rsid w:val="002914BB"/>
    <w:rsid w:val="00291B40"/>
    <w:rsid w:val="002940BD"/>
    <w:rsid w:val="002944E2"/>
    <w:rsid w:val="00295478"/>
    <w:rsid w:val="00295945"/>
    <w:rsid w:val="00296774"/>
    <w:rsid w:val="00297050"/>
    <w:rsid w:val="00297AEC"/>
    <w:rsid w:val="002A21C6"/>
    <w:rsid w:val="002A382C"/>
    <w:rsid w:val="002A395F"/>
    <w:rsid w:val="002A3FC5"/>
    <w:rsid w:val="002A46DD"/>
    <w:rsid w:val="002A5662"/>
    <w:rsid w:val="002A7CC7"/>
    <w:rsid w:val="002B07D1"/>
    <w:rsid w:val="002B0A13"/>
    <w:rsid w:val="002B4008"/>
    <w:rsid w:val="002B5000"/>
    <w:rsid w:val="002B59D1"/>
    <w:rsid w:val="002B6116"/>
    <w:rsid w:val="002B7E90"/>
    <w:rsid w:val="002B7FF2"/>
    <w:rsid w:val="002C01F2"/>
    <w:rsid w:val="002C0A7C"/>
    <w:rsid w:val="002C0CFF"/>
    <w:rsid w:val="002C12B8"/>
    <w:rsid w:val="002C33D1"/>
    <w:rsid w:val="002C34D6"/>
    <w:rsid w:val="002C39C9"/>
    <w:rsid w:val="002C4B32"/>
    <w:rsid w:val="002C57F4"/>
    <w:rsid w:val="002C5816"/>
    <w:rsid w:val="002C5BB0"/>
    <w:rsid w:val="002D0E00"/>
    <w:rsid w:val="002D0E8E"/>
    <w:rsid w:val="002D201E"/>
    <w:rsid w:val="002D367F"/>
    <w:rsid w:val="002D4047"/>
    <w:rsid w:val="002D46CB"/>
    <w:rsid w:val="002D4B15"/>
    <w:rsid w:val="002D58C4"/>
    <w:rsid w:val="002D65AC"/>
    <w:rsid w:val="002D67D4"/>
    <w:rsid w:val="002D7118"/>
    <w:rsid w:val="002E0838"/>
    <w:rsid w:val="002E0A7C"/>
    <w:rsid w:val="002E0AD1"/>
    <w:rsid w:val="002E11AE"/>
    <w:rsid w:val="002E1987"/>
    <w:rsid w:val="002E1AFD"/>
    <w:rsid w:val="002E2D01"/>
    <w:rsid w:val="002E3151"/>
    <w:rsid w:val="002E3231"/>
    <w:rsid w:val="002E488D"/>
    <w:rsid w:val="002E490E"/>
    <w:rsid w:val="002E6108"/>
    <w:rsid w:val="002E6550"/>
    <w:rsid w:val="002F03BC"/>
    <w:rsid w:val="002F06AD"/>
    <w:rsid w:val="002F074F"/>
    <w:rsid w:val="002F07DB"/>
    <w:rsid w:val="002F12CC"/>
    <w:rsid w:val="002F1B06"/>
    <w:rsid w:val="002F2072"/>
    <w:rsid w:val="002F70A7"/>
    <w:rsid w:val="002F730A"/>
    <w:rsid w:val="00300320"/>
    <w:rsid w:val="00300A4A"/>
    <w:rsid w:val="00301189"/>
    <w:rsid w:val="0030326F"/>
    <w:rsid w:val="00305FA2"/>
    <w:rsid w:val="00307F4A"/>
    <w:rsid w:val="003122FB"/>
    <w:rsid w:val="00312806"/>
    <w:rsid w:val="00316FC9"/>
    <w:rsid w:val="003179B8"/>
    <w:rsid w:val="00320445"/>
    <w:rsid w:val="003210D6"/>
    <w:rsid w:val="0032115B"/>
    <w:rsid w:val="00321191"/>
    <w:rsid w:val="00321264"/>
    <w:rsid w:val="00323274"/>
    <w:rsid w:val="00323E09"/>
    <w:rsid w:val="0032525A"/>
    <w:rsid w:val="0032568F"/>
    <w:rsid w:val="003261FA"/>
    <w:rsid w:val="00327929"/>
    <w:rsid w:val="00327BED"/>
    <w:rsid w:val="0033047F"/>
    <w:rsid w:val="00330D61"/>
    <w:rsid w:val="0033253E"/>
    <w:rsid w:val="00333932"/>
    <w:rsid w:val="00334B6C"/>
    <w:rsid w:val="003355FA"/>
    <w:rsid w:val="00335E35"/>
    <w:rsid w:val="00337296"/>
    <w:rsid w:val="00340267"/>
    <w:rsid w:val="00340542"/>
    <w:rsid w:val="00340C3E"/>
    <w:rsid w:val="00344EE5"/>
    <w:rsid w:val="00345DBB"/>
    <w:rsid w:val="00346782"/>
    <w:rsid w:val="003469B4"/>
    <w:rsid w:val="00346F47"/>
    <w:rsid w:val="00347CDD"/>
    <w:rsid w:val="003518AA"/>
    <w:rsid w:val="00352165"/>
    <w:rsid w:val="00353182"/>
    <w:rsid w:val="00353E27"/>
    <w:rsid w:val="00354E11"/>
    <w:rsid w:val="00355399"/>
    <w:rsid w:val="003565D9"/>
    <w:rsid w:val="0035790E"/>
    <w:rsid w:val="003600E8"/>
    <w:rsid w:val="003602E1"/>
    <w:rsid w:val="00360CC6"/>
    <w:rsid w:val="00361688"/>
    <w:rsid w:val="00361E4E"/>
    <w:rsid w:val="003623F2"/>
    <w:rsid w:val="003630A2"/>
    <w:rsid w:val="00363C9F"/>
    <w:rsid w:val="00364B3B"/>
    <w:rsid w:val="00364FF7"/>
    <w:rsid w:val="003651CF"/>
    <w:rsid w:val="00366309"/>
    <w:rsid w:val="003668AE"/>
    <w:rsid w:val="00367B99"/>
    <w:rsid w:val="00367F7B"/>
    <w:rsid w:val="0037026F"/>
    <w:rsid w:val="00371240"/>
    <w:rsid w:val="0037127A"/>
    <w:rsid w:val="003736BF"/>
    <w:rsid w:val="00374579"/>
    <w:rsid w:val="00374633"/>
    <w:rsid w:val="00374731"/>
    <w:rsid w:val="00374B50"/>
    <w:rsid w:val="003758C4"/>
    <w:rsid w:val="00375B7B"/>
    <w:rsid w:val="00375BF4"/>
    <w:rsid w:val="00375EA9"/>
    <w:rsid w:val="00376081"/>
    <w:rsid w:val="00377341"/>
    <w:rsid w:val="003774FB"/>
    <w:rsid w:val="00381A92"/>
    <w:rsid w:val="00381AB8"/>
    <w:rsid w:val="0038267C"/>
    <w:rsid w:val="00383447"/>
    <w:rsid w:val="00383A09"/>
    <w:rsid w:val="003842E8"/>
    <w:rsid w:val="00384618"/>
    <w:rsid w:val="0038471C"/>
    <w:rsid w:val="00384955"/>
    <w:rsid w:val="00385498"/>
    <w:rsid w:val="003865DA"/>
    <w:rsid w:val="0038695F"/>
    <w:rsid w:val="00387521"/>
    <w:rsid w:val="0039118D"/>
    <w:rsid w:val="003919F9"/>
    <w:rsid w:val="00391A20"/>
    <w:rsid w:val="0039318E"/>
    <w:rsid w:val="00393534"/>
    <w:rsid w:val="00394778"/>
    <w:rsid w:val="003950D0"/>
    <w:rsid w:val="00395D30"/>
    <w:rsid w:val="003A05C6"/>
    <w:rsid w:val="003A1680"/>
    <w:rsid w:val="003A30C1"/>
    <w:rsid w:val="003A3C14"/>
    <w:rsid w:val="003A47D2"/>
    <w:rsid w:val="003A5896"/>
    <w:rsid w:val="003A62C6"/>
    <w:rsid w:val="003A69ED"/>
    <w:rsid w:val="003A6C0D"/>
    <w:rsid w:val="003A6E1E"/>
    <w:rsid w:val="003A7C11"/>
    <w:rsid w:val="003A7C2D"/>
    <w:rsid w:val="003B08A4"/>
    <w:rsid w:val="003B0C07"/>
    <w:rsid w:val="003B1685"/>
    <w:rsid w:val="003B263A"/>
    <w:rsid w:val="003B3B64"/>
    <w:rsid w:val="003B3DBC"/>
    <w:rsid w:val="003B4476"/>
    <w:rsid w:val="003B4EEF"/>
    <w:rsid w:val="003B500A"/>
    <w:rsid w:val="003B5E2E"/>
    <w:rsid w:val="003B5E5D"/>
    <w:rsid w:val="003C1E69"/>
    <w:rsid w:val="003C2405"/>
    <w:rsid w:val="003C2E86"/>
    <w:rsid w:val="003C38B5"/>
    <w:rsid w:val="003C3E29"/>
    <w:rsid w:val="003C473B"/>
    <w:rsid w:val="003C5D99"/>
    <w:rsid w:val="003C5F6C"/>
    <w:rsid w:val="003C6C25"/>
    <w:rsid w:val="003C7A41"/>
    <w:rsid w:val="003D02C1"/>
    <w:rsid w:val="003D1EEC"/>
    <w:rsid w:val="003D2718"/>
    <w:rsid w:val="003D4B44"/>
    <w:rsid w:val="003D6D32"/>
    <w:rsid w:val="003E079B"/>
    <w:rsid w:val="003E149A"/>
    <w:rsid w:val="003E260F"/>
    <w:rsid w:val="003E2627"/>
    <w:rsid w:val="003E2B67"/>
    <w:rsid w:val="003E2DE4"/>
    <w:rsid w:val="003E2FD0"/>
    <w:rsid w:val="003E58F7"/>
    <w:rsid w:val="003F04C4"/>
    <w:rsid w:val="003F0508"/>
    <w:rsid w:val="003F0789"/>
    <w:rsid w:val="003F085C"/>
    <w:rsid w:val="003F0E82"/>
    <w:rsid w:val="003F15AD"/>
    <w:rsid w:val="003F33E8"/>
    <w:rsid w:val="003F39FC"/>
    <w:rsid w:val="003F3B93"/>
    <w:rsid w:val="003F3BCA"/>
    <w:rsid w:val="003F3D60"/>
    <w:rsid w:val="003F58BE"/>
    <w:rsid w:val="003F5DFC"/>
    <w:rsid w:val="003F6CC5"/>
    <w:rsid w:val="004011AE"/>
    <w:rsid w:val="00401882"/>
    <w:rsid w:val="0040588C"/>
    <w:rsid w:val="00407842"/>
    <w:rsid w:val="004100C8"/>
    <w:rsid w:val="00410E7B"/>
    <w:rsid w:val="00411278"/>
    <w:rsid w:val="00412654"/>
    <w:rsid w:val="00412ACE"/>
    <w:rsid w:val="00412F28"/>
    <w:rsid w:val="00413606"/>
    <w:rsid w:val="00413A1F"/>
    <w:rsid w:val="00414709"/>
    <w:rsid w:val="00416114"/>
    <w:rsid w:val="00417FA0"/>
    <w:rsid w:val="00417FF1"/>
    <w:rsid w:val="00421547"/>
    <w:rsid w:val="00421DA0"/>
    <w:rsid w:val="00422395"/>
    <w:rsid w:val="00422B1D"/>
    <w:rsid w:val="00423EC4"/>
    <w:rsid w:val="00423F73"/>
    <w:rsid w:val="00424B6B"/>
    <w:rsid w:val="00425C30"/>
    <w:rsid w:val="00431249"/>
    <w:rsid w:val="0043139B"/>
    <w:rsid w:val="00431CA8"/>
    <w:rsid w:val="00431FB7"/>
    <w:rsid w:val="00432F16"/>
    <w:rsid w:val="00433437"/>
    <w:rsid w:val="00433F20"/>
    <w:rsid w:val="00434C19"/>
    <w:rsid w:val="00435409"/>
    <w:rsid w:val="00435745"/>
    <w:rsid w:val="004359A2"/>
    <w:rsid w:val="004361AF"/>
    <w:rsid w:val="00436A27"/>
    <w:rsid w:val="004370F1"/>
    <w:rsid w:val="0044196C"/>
    <w:rsid w:val="00442F8F"/>
    <w:rsid w:val="00443070"/>
    <w:rsid w:val="00443DDF"/>
    <w:rsid w:val="004457A3"/>
    <w:rsid w:val="00445BDC"/>
    <w:rsid w:val="00446319"/>
    <w:rsid w:val="004469CB"/>
    <w:rsid w:val="00446F43"/>
    <w:rsid w:val="0044745F"/>
    <w:rsid w:val="00450810"/>
    <w:rsid w:val="00450D7D"/>
    <w:rsid w:val="0045148D"/>
    <w:rsid w:val="00451BFC"/>
    <w:rsid w:val="00454E37"/>
    <w:rsid w:val="00455AB7"/>
    <w:rsid w:val="00455BE7"/>
    <w:rsid w:val="00455CBA"/>
    <w:rsid w:val="004560EB"/>
    <w:rsid w:val="00456777"/>
    <w:rsid w:val="00457CE5"/>
    <w:rsid w:val="00461847"/>
    <w:rsid w:val="00462A7A"/>
    <w:rsid w:val="00462C44"/>
    <w:rsid w:val="0046391D"/>
    <w:rsid w:val="00465368"/>
    <w:rsid w:val="00465BC0"/>
    <w:rsid w:val="0046658D"/>
    <w:rsid w:val="004678E5"/>
    <w:rsid w:val="00467D15"/>
    <w:rsid w:val="00471F4B"/>
    <w:rsid w:val="0047217A"/>
    <w:rsid w:val="004742B0"/>
    <w:rsid w:val="00474CA2"/>
    <w:rsid w:val="00475E60"/>
    <w:rsid w:val="00477144"/>
    <w:rsid w:val="00480E64"/>
    <w:rsid w:val="00480F62"/>
    <w:rsid w:val="00481123"/>
    <w:rsid w:val="004813C6"/>
    <w:rsid w:val="004816F8"/>
    <w:rsid w:val="004819FE"/>
    <w:rsid w:val="00481B81"/>
    <w:rsid w:val="004821D6"/>
    <w:rsid w:val="00484863"/>
    <w:rsid w:val="004851B2"/>
    <w:rsid w:val="00486166"/>
    <w:rsid w:val="004869CA"/>
    <w:rsid w:val="00486B6B"/>
    <w:rsid w:val="00486B9E"/>
    <w:rsid w:val="00486C28"/>
    <w:rsid w:val="00487DA3"/>
    <w:rsid w:val="00490743"/>
    <w:rsid w:val="0049244A"/>
    <w:rsid w:val="0049280F"/>
    <w:rsid w:val="004929D2"/>
    <w:rsid w:val="004930DA"/>
    <w:rsid w:val="004936B1"/>
    <w:rsid w:val="00494416"/>
    <w:rsid w:val="0049459F"/>
    <w:rsid w:val="0049468E"/>
    <w:rsid w:val="004971C6"/>
    <w:rsid w:val="0049785B"/>
    <w:rsid w:val="004A0B82"/>
    <w:rsid w:val="004A0FF2"/>
    <w:rsid w:val="004A19E4"/>
    <w:rsid w:val="004A2039"/>
    <w:rsid w:val="004A21A8"/>
    <w:rsid w:val="004A2F8E"/>
    <w:rsid w:val="004A38DD"/>
    <w:rsid w:val="004A585D"/>
    <w:rsid w:val="004A5CC2"/>
    <w:rsid w:val="004A6279"/>
    <w:rsid w:val="004A7BD3"/>
    <w:rsid w:val="004A7DCD"/>
    <w:rsid w:val="004B04C2"/>
    <w:rsid w:val="004B089F"/>
    <w:rsid w:val="004B10A1"/>
    <w:rsid w:val="004B1975"/>
    <w:rsid w:val="004B323B"/>
    <w:rsid w:val="004B3501"/>
    <w:rsid w:val="004B43AE"/>
    <w:rsid w:val="004B4546"/>
    <w:rsid w:val="004B4BD5"/>
    <w:rsid w:val="004B687B"/>
    <w:rsid w:val="004B6930"/>
    <w:rsid w:val="004C0789"/>
    <w:rsid w:val="004C187C"/>
    <w:rsid w:val="004C1F23"/>
    <w:rsid w:val="004C24D9"/>
    <w:rsid w:val="004C30ED"/>
    <w:rsid w:val="004C40F3"/>
    <w:rsid w:val="004C43AC"/>
    <w:rsid w:val="004C5228"/>
    <w:rsid w:val="004C53F2"/>
    <w:rsid w:val="004C55E6"/>
    <w:rsid w:val="004C6670"/>
    <w:rsid w:val="004C7329"/>
    <w:rsid w:val="004C7434"/>
    <w:rsid w:val="004D093C"/>
    <w:rsid w:val="004D1200"/>
    <w:rsid w:val="004D14AD"/>
    <w:rsid w:val="004D2089"/>
    <w:rsid w:val="004D2593"/>
    <w:rsid w:val="004D4234"/>
    <w:rsid w:val="004D5675"/>
    <w:rsid w:val="004D5874"/>
    <w:rsid w:val="004D58F2"/>
    <w:rsid w:val="004D68CB"/>
    <w:rsid w:val="004E0E2E"/>
    <w:rsid w:val="004E113E"/>
    <w:rsid w:val="004E251A"/>
    <w:rsid w:val="004E2C5E"/>
    <w:rsid w:val="004E355C"/>
    <w:rsid w:val="004E4AB3"/>
    <w:rsid w:val="004E5D05"/>
    <w:rsid w:val="004E6373"/>
    <w:rsid w:val="004F0BE3"/>
    <w:rsid w:val="004F129E"/>
    <w:rsid w:val="004F15BD"/>
    <w:rsid w:val="004F2164"/>
    <w:rsid w:val="004F28B3"/>
    <w:rsid w:val="004F2F8C"/>
    <w:rsid w:val="004F49F2"/>
    <w:rsid w:val="004F51D3"/>
    <w:rsid w:val="004F5A83"/>
    <w:rsid w:val="004F7028"/>
    <w:rsid w:val="004F71AE"/>
    <w:rsid w:val="004F7850"/>
    <w:rsid w:val="005004F7"/>
    <w:rsid w:val="00501823"/>
    <w:rsid w:val="005019C1"/>
    <w:rsid w:val="005040C5"/>
    <w:rsid w:val="00504D25"/>
    <w:rsid w:val="005052DE"/>
    <w:rsid w:val="0050560D"/>
    <w:rsid w:val="0050606E"/>
    <w:rsid w:val="00506B0D"/>
    <w:rsid w:val="0050708E"/>
    <w:rsid w:val="005072B2"/>
    <w:rsid w:val="00510D40"/>
    <w:rsid w:val="00510DF9"/>
    <w:rsid w:val="005116AE"/>
    <w:rsid w:val="0051205F"/>
    <w:rsid w:val="00512692"/>
    <w:rsid w:val="00513734"/>
    <w:rsid w:val="00514C7D"/>
    <w:rsid w:val="0051633F"/>
    <w:rsid w:val="00516E72"/>
    <w:rsid w:val="00517651"/>
    <w:rsid w:val="00517975"/>
    <w:rsid w:val="00520474"/>
    <w:rsid w:val="005207BF"/>
    <w:rsid w:val="005215E8"/>
    <w:rsid w:val="00521CFF"/>
    <w:rsid w:val="005234EE"/>
    <w:rsid w:val="00523639"/>
    <w:rsid w:val="005239AA"/>
    <w:rsid w:val="00523F46"/>
    <w:rsid w:val="00523FBB"/>
    <w:rsid w:val="00523FBC"/>
    <w:rsid w:val="00524BE9"/>
    <w:rsid w:val="00525882"/>
    <w:rsid w:val="005269E8"/>
    <w:rsid w:val="00527347"/>
    <w:rsid w:val="005304BD"/>
    <w:rsid w:val="00530952"/>
    <w:rsid w:val="00530FAC"/>
    <w:rsid w:val="00532014"/>
    <w:rsid w:val="0053211E"/>
    <w:rsid w:val="00532348"/>
    <w:rsid w:val="00532D6C"/>
    <w:rsid w:val="0053359A"/>
    <w:rsid w:val="00535AD1"/>
    <w:rsid w:val="00535CE4"/>
    <w:rsid w:val="0053657E"/>
    <w:rsid w:val="00536762"/>
    <w:rsid w:val="005376A4"/>
    <w:rsid w:val="005378F2"/>
    <w:rsid w:val="00541EAA"/>
    <w:rsid w:val="00542E97"/>
    <w:rsid w:val="00542EB2"/>
    <w:rsid w:val="005440F0"/>
    <w:rsid w:val="005448F7"/>
    <w:rsid w:val="005449E2"/>
    <w:rsid w:val="0054515D"/>
    <w:rsid w:val="00545564"/>
    <w:rsid w:val="00545678"/>
    <w:rsid w:val="00546356"/>
    <w:rsid w:val="00550238"/>
    <w:rsid w:val="00550808"/>
    <w:rsid w:val="00550B25"/>
    <w:rsid w:val="00552577"/>
    <w:rsid w:val="00553209"/>
    <w:rsid w:val="00553564"/>
    <w:rsid w:val="0055357C"/>
    <w:rsid w:val="00553CB3"/>
    <w:rsid w:val="00554501"/>
    <w:rsid w:val="00554529"/>
    <w:rsid w:val="00555B4B"/>
    <w:rsid w:val="00556A6E"/>
    <w:rsid w:val="00556B9D"/>
    <w:rsid w:val="00557231"/>
    <w:rsid w:val="00557CC2"/>
    <w:rsid w:val="005608F9"/>
    <w:rsid w:val="00561C15"/>
    <w:rsid w:val="00564D97"/>
    <w:rsid w:val="00564FCA"/>
    <w:rsid w:val="005650E7"/>
    <w:rsid w:val="005662EE"/>
    <w:rsid w:val="00567F0B"/>
    <w:rsid w:val="0057064B"/>
    <w:rsid w:val="00570789"/>
    <w:rsid w:val="0057089C"/>
    <w:rsid w:val="00570B09"/>
    <w:rsid w:val="005717C4"/>
    <w:rsid w:val="00571A90"/>
    <w:rsid w:val="0057224F"/>
    <w:rsid w:val="00572723"/>
    <w:rsid w:val="00572A92"/>
    <w:rsid w:val="00572B7F"/>
    <w:rsid w:val="00573CA4"/>
    <w:rsid w:val="005743F7"/>
    <w:rsid w:val="005744C6"/>
    <w:rsid w:val="00575346"/>
    <w:rsid w:val="00575C4B"/>
    <w:rsid w:val="00575FC0"/>
    <w:rsid w:val="0057637D"/>
    <w:rsid w:val="00576D60"/>
    <w:rsid w:val="00577E5E"/>
    <w:rsid w:val="00580807"/>
    <w:rsid w:val="00583124"/>
    <w:rsid w:val="00583C39"/>
    <w:rsid w:val="005844F5"/>
    <w:rsid w:val="005849B1"/>
    <w:rsid w:val="00585EF4"/>
    <w:rsid w:val="0059048A"/>
    <w:rsid w:val="005909CF"/>
    <w:rsid w:val="00591745"/>
    <w:rsid w:val="00591B86"/>
    <w:rsid w:val="00591E71"/>
    <w:rsid w:val="0059328C"/>
    <w:rsid w:val="005936FC"/>
    <w:rsid w:val="00593EE0"/>
    <w:rsid w:val="00594214"/>
    <w:rsid w:val="00594838"/>
    <w:rsid w:val="00594F4B"/>
    <w:rsid w:val="00595266"/>
    <w:rsid w:val="00595B56"/>
    <w:rsid w:val="00595D62"/>
    <w:rsid w:val="00595EDB"/>
    <w:rsid w:val="005962B8"/>
    <w:rsid w:val="00597423"/>
    <w:rsid w:val="005A03F5"/>
    <w:rsid w:val="005A0D41"/>
    <w:rsid w:val="005A15E0"/>
    <w:rsid w:val="005A1615"/>
    <w:rsid w:val="005A2D2C"/>
    <w:rsid w:val="005A32D0"/>
    <w:rsid w:val="005A3CA2"/>
    <w:rsid w:val="005A511F"/>
    <w:rsid w:val="005A59D7"/>
    <w:rsid w:val="005A6789"/>
    <w:rsid w:val="005A6830"/>
    <w:rsid w:val="005A74C0"/>
    <w:rsid w:val="005A78C2"/>
    <w:rsid w:val="005A7C5B"/>
    <w:rsid w:val="005B0643"/>
    <w:rsid w:val="005B102D"/>
    <w:rsid w:val="005B204A"/>
    <w:rsid w:val="005B469B"/>
    <w:rsid w:val="005B5647"/>
    <w:rsid w:val="005B7AD4"/>
    <w:rsid w:val="005C200C"/>
    <w:rsid w:val="005C2634"/>
    <w:rsid w:val="005C2B3C"/>
    <w:rsid w:val="005C34E1"/>
    <w:rsid w:val="005C3ACC"/>
    <w:rsid w:val="005C4E74"/>
    <w:rsid w:val="005C5901"/>
    <w:rsid w:val="005C5C84"/>
    <w:rsid w:val="005C5F80"/>
    <w:rsid w:val="005C72D6"/>
    <w:rsid w:val="005D050A"/>
    <w:rsid w:val="005D0D50"/>
    <w:rsid w:val="005D2E0F"/>
    <w:rsid w:val="005D3E29"/>
    <w:rsid w:val="005D6441"/>
    <w:rsid w:val="005D6708"/>
    <w:rsid w:val="005D6C64"/>
    <w:rsid w:val="005D793A"/>
    <w:rsid w:val="005E0453"/>
    <w:rsid w:val="005E0B5E"/>
    <w:rsid w:val="005E0C8C"/>
    <w:rsid w:val="005E0EDF"/>
    <w:rsid w:val="005E10CB"/>
    <w:rsid w:val="005E1C48"/>
    <w:rsid w:val="005E3CBC"/>
    <w:rsid w:val="005E3DF6"/>
    <w:rsid w:val="005E6DBF"/>
    <w:rsid w:val="005F02A1"/>
    <w:rsid w:val="005F2897"/>
    <w:rsid w:val="005F3475"/>
    <w:rsid w:val="005F4B9A"/>
    <w:rsid w:val="005F698D"/>
    <w:rsid w:val="005F6CA1"/>
    <w:rsid w:val="005F7DCF"/>
    <w:rsid w:val="00601F31"/>
    <w:rsid w:val="00601F9B"/>
    <w:rsid w:val="00602A1F"/>
    <w:rsid w:val="00603D1A"/>
    <w:rsid w:val="00603F64"/>
    <w:rsid w:val="00603F8C"/>
    <w:rsid w:val="00606434"/>
    <w:rsid w:val="00606BFD"/>
    <w:rsid w:val="00606D7C"/>
    <w:rsid w:val="00606E77"/>
    <w:rsid w:val="0060750A"/>
    <w:rsid w:val="00607BF1"/>
    <w:rsid w:val="00611A1D"/>
    <w:rsid w:val="00612D04"/>
    <w:rsid w:val="006137FB"/>
    <w:rsid w:val="00613968"/>
    <w:rsid w:val="006143CC"/>
    <w:rsid w:val="00614924"/>
    <w:rsid w:val="006163D2"/>
    <w:rsid w:val="00616544"/>
    <w:rsid w:val="0062179B"/>
    <w:rsid w:val="0062182F"/>
    <w:rsid w:val="00621CC1"/>
    <w:rsid w:val="0062398E"/>
    <w:rsid w:val="00623BCC"/>
    <w:rsid w:val="0062471E"/>
    <w:rsid w:val="00626942"/>
    <w:rsid w:val="00630D4D"/>
    <w:rsid w:val="00631301"/>
    <w:rsid w:val="00631A41"/>
    <w:rsid w:val="00632A74"/>
    <w:rsid w:val="00632E49"/>
    <w:rsid w:val="00633288"/>
    <w:rsid w:val="00633BE3"/>
    <w:rsid w:val="006346D6"/>
    <w:rsid w:val="006351F3"/>
    <w:rsid w:val="00635D2E"/>
    <w:rsid w:val="00637C73"/>
    <w:rsid w:val="006406AE"/>
    <w:rsid w:val="006408A4"/>
    <w:rsid w:val="00643491"/>
    <w:rsid w:val="00643516"/>
    <w:rsid w:val="00644902"/>
    <w:rsid w:val="0064527F"/>
    <w:rsid w:val="00647228"/>
    <w:rsid w:val="00647C89"/>
    <w:rsid w:val="00650A29"/>
    <w:rsid w:val="00651F5C"/>
    <w:rsid w:val="00653FD5"/>
    <w:rsid w:val="00656194"/>
    <w:rsid w:val="00657141"/>
    <w:rsid w:val="006603D7"/>
    <w:rsid w:val="00660D04"/>
    <w:rsid w:val="006610C9"/>
    <w:rsid w:val="00661B59"/>
    <w:rsid w:val="006632F7"/>
    <w:rsid w:val="00664A8F"/>
    <w:rsid w:val="00664B1A"/>
    <w:rsid w:val="00664E64"/>
    <w:rsid w:val="006662C2"/>
    <w:rsid w:val="006666AD"/>
    <w:rsid w:val="0066717B"/>
    <w:rsid w:val="00667EEB"/>
    <w:rsid w:val="0067143B"/>
    <w:rsid w:val="006724E8"/>
    <w:rsid w:val="00672958"/>
    <w:rsid w:val="00672A9D"/>
    <w:rsid w:val="00672B8E"/>
    <w:rsid w:val="0067323F"/>
    <w:rsid w:val="00673AF0"/>
    <w:rsid w:val="00673B9E"/>
    <w:rsid w:val="00673EA2"/>
    <w:rsid w:val="00675139"/>
    <w:rsid w:val="00675280"/>
    <w:rsid w:val="006754E4"/>
    <w:rsid w:val="00677CDA"/>
    <w:rsid w:val="00677D87"/>
    <w:rsid w:val="00680076"/>
    <w:rsid w:val="006810B4"/>
    <w:rsid w:val="00682874"/>
    <w:rsid w:val="00682FBA"/>
    <w:rsid w:val="00687515"/>
    <w:rsid w:val="0068770A"/>
    <w:rsid w:val="006904BF"/>
    <w:rsid w:val="006934AE"/>
    <w:rsid w:val="00694BB0"/>
    <w:rsid w:val="00695901"/>
    <w:rsid w:val="00695A43"/>
    <w:rsid w:val="00696223"/>
    <w:rsid w:val="0069644E"/>
    <w:rsid w:val="0069733F"/>
    <w:rsid w:val="006A0935"/>
    <w:rsid w:val="006A2176"/>
    <w:rsid w:val="006A2A1E"/>
    <w:rsid w:val="006A363F"/>
    <w:rsid w:val="006A4133"/>
    <w:rsid w:val="006A435D"/>
    <w:rsid w:val="006A4655"/>
    <w:rsid w:val="006A4F91"/>
    <w:rsid w:val="006A59FD"/>
    <w:rsid w:val="006A6CEE"/>
    <w:rsid w:val="006A6F9E"/>
    <w:rsid w:val="006A7594"/>
    <w:rsid w:val="006B0136"/>
    <w:rsid w:val="006B0645"/>
    <w:rsid w:val="006B2B3C"/>
    <w:rsid w:val="006B33F8"/>
    <w:rsid w:val="006B363A"/>
    <w:rsid w:val="006B4017"/>
    <w:rsid w:val="006C0AF9"/>
    <w:rsid w:val="006C223D"/>
    <w:rsid w:val="006C2533"/>
    <w:rsid w:val="006C291D"/>
    <w:rsid w:val="006C3703"/>
    <w:rsid w:val="006C446A"/>
    <w:rsid w:val="006C48A7"/>
    <w:rsid w:val="006C4BB8"/>
    <w:rsid w:val="006C6777"/>
    <w:rsid w:val="006C6D83"/>
    <w:rsid w:val="006C7038"/>
    <w:rsid w:val="006C7331"/>
    <w:rsid w:val="006C77CC"/>
    <w:rsid w:val="006D0376"/>
    <w:rsid w:val="006D0A72"/>
    <w:rsid w:val="006D1359"/>
    <w:rsid w:val="006D1AE7"/>
    <w:rsid w:val="006D2039"/>
    <w:rsid w:val="006D2065"/>
    <w:rsid w:val="006D2C9D"/>
    <w:rsid w:val="006D30C6"/>
    <w:rsid w:val="006D40A5"/>
    <w:rsid w:val="006D590F"/>
    <w:rsid w:val="006D5FD7"/>
    <w:rsid w:val="006D78BD"/>
    <w:rsid w:val="006E0892"/>
    <w:rsid w:val="006E1A50"/>
    <w:rsid w:val="006E22CE"/>
    <w:rsid w:val="006E2D2B"/>
    <w:rsid w:val="006E4669"/>
    <w:rsid w:val="006E4939"/>
    <w:rsid w:val="006E6BBC"/>
    <w:rsid w:val="006E6E81"/>
    <w:rsid w:val="006E73EF"/>
    <w:rsid w:val="006F05D5"/>
    <w:rsid w:val="006F0835"/>
    <w:rsid w:val="006F121E"/>
    <w:rsid w:val="006F13D0"/>
    <w:rsid w:val="006F2444"/>
    <w:rsid w:val="006F472E"/>
    <w:rsid w:val="006F4D80"/>
    <w:rsid w:val="006F5097"/>
    <w:rsid w:val="006F5132"/>
    <w:rsid w:val="006F5B12"/>
    <w:rsid w:val="006F5B75"/>
    <w:rsid w:val="006F60C7"/>
    <w:rsid w:val="006F6F0F"/>
    <w:rsid w:val="006F760A"/>
    <w:rsid w:val="00701CB4"/>
    <w:rsid w:val="00707343"/>
    <w:rsid w:val="0071122B"/>
    <w:rsid w:val="00712ACC"/>
    <w:rsid w:val="0071313A"/>
    <w:rsid w:val="00713149"/>
    <w:rsid w:val="00713996"/>
    <w:rsid w:val="00713C15"/>
    <w:rsid w:val="00714D4D"/>
    <w:rsid w:val="00715877"/>
    <w:rsid w:val="0071624C"/>
    <w:rsid w:val="0072019B"/>
    <w:rsid w:val="007215C9"/>
    <w:rsid w:val="00722B4C"/>
    <w:rsid w:val="0072329D"/>
    <w:rsid w:val="007236E1"/>
    <w:rsid w:val="007251EA"/>
    <w:rsid w:val="007265CA"/>
    <w:rsid w:val="0072679A"/>
    <w:rsid w:val="00730A7E"/>
    <w:rsid w:val="00730D67"/>
    <w:rsid w:val="00731BC9"/>
    <w:rsid w:val="00735935"/>
    <w:rsid w:val="00735E3D"/>
    <w:rsid w:val="007369A6"/>
    <w:rsid w:val="007369FF"/>
    <w:rsid w:val="00740363"/>
    <w:rsid w:val="007404C2"/>
    <w:rsid w:val="00740C04"/>
    <w:rsid w:val="00740D51"/>
    <w:rsid w:val="00741FF9"/>
    <w:rsid w:val="00742542"/>
    <w:rsid w:val="00745077"/>
    <w:rsid w:val="00745DBC"/>
    <w:rsid w:val="00751E89"/>
    <w:rsid w:val="0075227F"/>
    <w:rsid w:val="0075371F"/>
    <w:rsid w:val="00754BF1"/>
    <w:rsid w:val="00754C55"/>
    <w:rsid w:val="00760123"/>
    <w:rsid w:val="007604BB"/>
    <w:rsid w:val="00761DCD"/>
    <w:rsid w:val="007625C6"/>
    <w:rsid w:val="0076294D"/>
    <w:rsid w:val="00763083"/>
    <w:rsid w:val="007635B9"/>
    <w:rsid w:val="00764323"/>
    <w:rsid w:val="00764A05"/>
    <w:rsid w:val="00767A58"/>
    <w:rsid w:val="00770F8A"/>
    <w:rsid w:val="00771E11"/>
    <w:rsid w:val="00773089"/>
    <w:rsid w:val="007740D0"/>
    <w:rsid w:val="007757A2"/>
    <w:rsid w:val="00776538"/>
    <w:rsid w:val="00776D5B"/>
    <w:rsid w:val="007772E0"/>
    <w:rsid w:val="0078033B"/>
    <w:rsid w:val="00781C19"/>
    <w:rsid w:val="00781DCE"/>
    <w:rsid w:val="00782596"/>
    <w:rsid w:val="00783F5B"/>
    <w:rsid w:val="007849BE"/>
    <w:rsid w:val="00784A59"/>
    <w:rsid w:val="00785232"/>
    <w:rsid w:val="00785AC2"/>
    <w:rsid w:val="0078798D"/>
    <w:rsid w:val="0079072D"/>
    <w:rsid w:val="00790DB4"/>
    <w:rsid w:val="00791AC9"/>
    <w:rsid w:val="00791AEA"/>
    <w:rsid w:val="007921DB"/>
    <w:rsid w:val="00792310"/>
    <w:rsid w:val="00792535"/>
    <w:rsid w:val="00794C50"/>
    <w:rsid w:val="00795DE3"/>
    <w:rsid w:val="00797DFB"/>
    <w:rsid w:val="007A0C88"/>
    <w:rsid w:val="007A1924"/>
    <w:rsid w:val="007A21EB"/>
    <w:rsid w:val="007A2767"/>
    <w:rsid w:val="007A3888"/>
    <w:rsid w:val="007A3F3F"/>
    <w:rsid w:val="007A4847"/>
    <w:rsid w:val="007A49B6"/>
    <w:rsid w:val="007A69F2"/>
    <w:rsid w:val="007A7458"/>
    <w:rsid w:val="007B0181"/>
    <w:rsid w:val="007B03E0"/>
    <w:rsid w:val="007B0689"/>
    <w:rsid w:val="007B154E"/>
    <w:rsid w:val="007B1C03"/>
    <w:rsid w:val="007B2761"/>
    <w:rsid w:val="007B2C6A"/>
    <w:rsid w:val="007B34B4"/>
    <w:rsid w:val="007B47F2"/>
    <w:rsid w:val="007B4921"/>
    <w:rsid w:val="007B4D3B"/>
    <w:rsid w:val="007B4DA1"/>
    <w:rsid w:val="007B6218"/>
    <w:rsid w:val="007B6D24"/>
    <w:rsid w:val="007B6DD9"/>
    <w:rsid w:val="007C36C9"/>
    <w:rsid w:val="007C3930"/>
    <w:rsid w:val="007C4152"/>
    <w:rsid w:val="007C51B8"/>
    <w:rsid w:val="007C5463"/>
    <w:rsid w:val="007C5C11"/>
    <w:rsid w:val="007D096B"/>
    <w:rsid w:val="007D0CDC"/>
    <w:rsid w:val="007D0F79"/>
    <w:rsid w:val="007D160C"/>
    <w:rsid w:val="007D27C0"/>
    <w:rsid w:val="007D4547"/>
    <w:rsid w:val="007D5343"/>
    <w:rsid w:val="007D5DDB"/>
    <w:rsid w:val="007D7361"/>
    <w:rsid w:val="007D7E75"/>
    <w:rsid w:val="007E01E4"/>
    <w:rsid w:val="007E1F4E"/>
    <w:rsid w:val="007E2542"/>
    <w:rsid w:val="007E2854"/>
    <w:rsid w:val="007E3D3D"/>
    <w:rsid w:val="007E7244"/>
    <w:rsid w:val="007E75FC"/>
    <w:rsid w:val="007F0BA5"/>
    <w:rsid w:val="007F0E3F"/>
    <w:rsid w:val="007F1144"/>
    <w:rsid w:val="007F348A"/>
    <w:rsid w:val="007F45DD"/>
    <w:rsid w:val="007F59EC"/>
    <w:rsid w:val="007F5F4C"/>
    <w:rsid w:val="007F6D89"/>
    <w:rsid w:val="007F6DC6"/>
    <w:rsid w:val="007F70B3"/>
    <w:rsid w:val="007F7107"/>
    <w:rsid w:val="00800EC4"/>
    <w:rsid w:val="00801849"/>
    <w:rsid w:val="00801CB5"/>
    <w:rsid w:val="008026FB"/>
    <w:rsid w:val="00802E82"/>
    <w:rsid w:val="0080306E"/>
    <w:rsid w:val="00803BD3"/>
    <w:rsid w:val="00803E9B"/>
    <w:rsid w:val="0080403C"/>
    <w:rsid w:val="0080497F"/>
    <w:rsid w:val="008053BA"/>
    <w:rsid w:val="0080577D"/>
    <w:rsid w:val="0080686A"/>
    <w:rsid w:val="00807BC1"/>
    <w:rsid w:val="0081030F"/>
    <w:rsid w:val="008114DD"/>
    <w:rsid w:val="00812C8D"/>
    <w:rsid w:val="00812E54"/>
    <w:rsid w:val="008134D6"/>
    <w:rsid w:val="008158AE"/>
    <w:rsid w:val="00815CA3"/>
    <w:rsid w:val="00816B46"/>
    <w:rsid w:val="008171C8"/>
    <w:rsid w:val="008203E6"/>
    <w:rsid w:val="0082087D"/>
    <w:rsid w:val="00821383"/>
    <w:rsid w:val="00823412"/>
    <w:rsid w:val="00823415"/>
    <w:rsid w:val="00823F1F"/>
    <w:rsid w:val="0082457D"/>
    <w:rsid w:val="00824EEF"/>
    <w:rsid w:val="008263C9"/>
    <w:rsid w:val="008266A6"/>
    <w:rsid w:val="008269EC"/>
    <w:rsid w:val="00826E17"/>
    <w:rsid w:val="00827BF0"/>
    <w:rsid w:val="00827D0E"/>
    <w:rsid w:val="0083029C"/>
    <w:rsid w:val="00831734"/>
    <w:rsid w:val="008319D0"/>
    <w:rsid w:val="00831A49"/>
    <w:rsid w:val="00835065"/>
    <w:rsid w:val="00837B60"/>
    <w:rsid w:val="008419BF"/>
    <w:rsid w:val="00841EE6"/>
    <w:rsid w:val="00842933"/>
    <w:rsid w:val="00844240"/>
    <w:rsid w:val="00845419"/>
    <w:rsid w:val="00845AE3"/>
    <w:rsid w:val="00847400"/>
    <w:rsid w:val="008474C2"/>
    <w:rsid w:val="008474F4"/>
    <w:rsid w:val="00847BDD"/>
    <w:rsid w:val="0085049C"/>
    <w:rsid w:val="0085083B"/>
    <w:rsid w:val="00850887"/>
    <w:rsid w:val="008513B5"/>
    <w:rsid w:val="00853FBE"/>
    <w:rsid w:val="008554CF"/>
    <w:rsid w:val="00856935"/>
    <w:rsid w:val="00856CE5"/>
    <w:rsid w:val="00856EBA"/>
    <w:rsid w:val="00857674"/>
    <w:rsid w:val="00857B83"/>
    <w:rsid w:val="0086082C"/>
    <w:rsid w:val="008615E5"/>
    <w:rsid w:val="008625D9"/>
    <w:rsid w:val="0086409A"/>
    <w:rsid w:val="00864ADC"/>
    <w:rsid w:val="00867159"/>
    <w:rsid w:val="0087001F"/>
    <w:rsid w:val="008709C3"/>
    <w:rsid w:val="00873558"/>
    <w:rsid w:val="0087442D"/>
    <w:rsid w:val="008752C7"/>
    <w:rsid w:val="00875860"/>
    <w:rsid w:val="00875FF2"/>
    <w:rsid w:val="0087635A"/>
    <w:rsid w:val="00876AAB"/>
    <w:rsid w:val="00880153"/>
    <w:rsid w:val="00880A0C"/>
    <w:rsid w:val="00880D89"/>
    <w:rsid w:val="00880F97"/>
    <w:rsid w:val="0088133A"/>
    <w:rsid w:val="0088240C"/>
    <w:rsid w:val="008837B8"/>
    <w:rsid w:val="00884207"/>
    <w:rsid w:val="00884D71"/>
    <w:rsid w:val="0088613B"/>
    <w:rsid w:val="00890CA2"/>
    <w:rsid w:val="00892007"/>
    <w:rsid w:val="00892394"/>
    <w:rsid w:val="0089285E"/>
    <w:rsid w:val="008928D2"/>
    <w:rsid w:val="008928E4"/>
    <w:rsid w:val="00893324"/>
    <w:rsid w:val="0089436C"/>
    <w:rsid w:val="008944D3"/>
    <w:rsid w:val="00894858"/>
    <w:rsid w:val="00896D9B"/>
    <w:rsid w:val="008972CF"/>
    <w:rsid w:val="008A0173"/>
    <w:rsid w:val="008A0FD1"/>
    <w:rsid w:val="008A1872"/>
    <w:rsid w:val="008A2164"/>
    <w:rsid w:val="008A2343"/>
    <w:rsid w:val="008A5CF6"/>
    <w:rsid w:val="008A6BF5"/>
    <w:rsid w:val="008A6D1D"/>
    <w:rsid w:val="008B06FB"/>
    <w:rsid w:val="008B0C2E"/>
    <w:rsid w:val="008B2CD9"/>
    <w:rsid w:val="008B3281"/>
    <w:rsid w:val="008B3DC4"/>
    <w:rsid w:val="008B416E"/>
    <w:rsid w:val="008B4F95"/>
    <w:rsid w:val="008B5CA8"/>
    <w:rsid w:val="008B670D"/>
    <w:rsid w:val="008B7B54"/>
    <w:rsid w:val="008C1412"/>
    <w:rsid w:val="008C17B1"/>
    <w:rsid w:val="008C1A95"/>
    <w:rsid w:val="008C2E9D"/>
    <w:rsid w:val="008C6D12"/>
    <w:rsid w:val="008C6F7A"/>
    <w:rsid w:val="008C7A25"/>
    <w:rsid w:val="008D1064"/>
    <w:rsid w:val="008D12A1"/>
    <w:rsid w:val="008D365C"/>
    <w:rsid w:val="008D3999"/>
    <w:rsid w:val="008D3A7C"/>
    <w:rsid w:val="008D3BB1"/>
    <w:rsid w:val="008D5234"/>
    <w:rsid w:val="008D5534"/>
    <w:rsid w:val="008D76D0"/>
    <w:rsid w:val="008E0379"/>
    <w:rsid w:val="008E0AF5"/>
    <w:rsid w:val="008E1287"/>
    <w:rsid w:val="008E2189"/>
    <w:rsid w:val="008E2946"/>
    <w:rsid w:val="008E2EDC"/>
    <w:rsid w:val="008E368F"/>
    <w:rsid w:val="008E442D"/>
    <w:rsid w:val="008E47A5"/>
    <w:rsid w:val="008E521E"/>
    <w:rsid w:val="008E748F"/>
    <w:rsid w:val="008F147C"/>
    <w:rsid w:val="008F1DD5"/>
    <w:rsid w:val="009006BA"/>
    <w:rsid w:val="009030BF"/>
    <w:rsid w:val="0090552B"/>
    <w:rsid w:val="00906C87"/>
    <w:rsid w:val="00910E85"/>
    <w:rsid w:val="0091348F"/>
    <w:rsid w:val="00913952"/>
    <w:rsid w:val="00913B09"/>
    <w:rsid w:val="00914368"/>
    <w:rsid w:val="00914944"/>
    <w:rsid w:val="009166FB"/>
    <w:rsid w:val="00917896"/>
    <w:rsid w:val="009201D3"/>
    <w:rsid w:val="00920344"/>
    <w:rsid w:val="009210F4"/>
    <w:rsid w:val="00924CC1"/>
    <w:rsid w:val="00925508"/>
    <w:rsid w:val="00926699"/>
    <w:rsid w:val="0092762C"/>
    <w:rsid w:val="00931076"/>
    <w:rsid w:val="009311D9"/>
    <w:rsid w:val="009311F7"/>
    <w:rsid w:val="00931842"/>
    <w:rsid w:val="00932415"/>
    <w:rsid w:val="0093366F"/>
    <w:rsid w:val="009336B7"/>
    <w:rsid w:val="009337A9"/>
    <w:rsid w:val="009345D9"/>
    <w:rsid w:val="00934B15"/>
    <w:rsid w:val="00935C9B"/>
    <w:rsid w:val="00937334"/>
    <w:rsid w:val="0094080C"/>
    <w:rsid w:val="009412E1"/>
    <w:rsid w:val="00941613"/>
    <w:rsid w:val="0094182A"/>
    <w:rsid w:val="00941847"/>
    <w:rsid w:val="009419A5"/>
    <w:rsid w:val="00942B62"/>
    <w:rsid w:val="009446D3"/>
    <w:rsid w:val="00944A3D"/>
    <w:rsid w:val="00945E34"/>
    <w:rsid w:val="009464F1"/>
    <w:rsid w:val="009468C5"/>
    <w:rsid w:val="009509C1"/>
    <w:rsid w:val="009523FE"/>
    <w:rsid w:val="00955BA4"/>
    <w:rsid w:val="00955BD0"/>
    <w:rsid w:val="00955ECC"/>
    <w:rsid w:val="00956A0C"/>
    <w:rsid w:val="00956BD9"/>
    <w:rsid w:val="0095719F"/>
    <w:rsid w:val="00960ADF"/>
    <w:rsid w:val="00961745"/>
    <w:rsid w:val="00962489"/>
    <w:rsid w:val="00965977"/>
    <w:rsid w:val="009664A6"/>
    <w:rsid w:val="00966C47"/>
    <w:rsid w:val="00970A81"/>
    <w:rsid w:val="0097103F"/>
    <w:rsid w:val="00972956"/>
    <w:rsid w:val="00972E14"/>
    <w:rsid w:val="00974C8A"/>
    <w:rsid w:val="00976A18"/>
    <w:rsid w:val="00976CEC"/>
    <w:rsid w:val="00976F73"/>
    <w:rsid w:val="009779E8"/>
    <w:rsid w:val="00982879"/>
    <w:rsid w:val="00983CD0"/>
    <w:rsid w:val="00986579"/>
    <w:rsid w:val="0098671A"/>
    <w:rsid w:val="00986E3A"/>
    <w:rsid w:val="00987E2D"/>
    <w:rsid w:val="009906D0"/>
    <w:rsid w:val="00990C2C"/>
    <w:rsid w:val="00990DAB"/>
    <w:rsid w:val="00991678"/>
    <w:rsid w:val="00992C3D"/>
    <w:rsid w:val="00994035"/>
    <w:rsid w:val="00994043"/>
    <w:rsid w:val="00994AB5"/>
    <w:rsid w:val="00994D91"/>
    <w:rsid w:val="00995A6D"/>
    <w:rsid w:val="00995B51"/>
    <w:rsid w:val="00995F8D"/>
    <w:rsid w:val="00996903"/>
    <w:rsid w:val="00997D7B"/>
    <w:rsid w:val="009A00CC"/>
    <w:rsid w:val="009A09A9"/>
    <w:rsid w:val="009A3E58"/>
    <w:rsid w:val="009A5010"/>
    <w:rsid w:val="009A6310"/>
    <w:rsid w:val="009A6E44"/>
    <w:rsid w:val="009A7E00"/>
    <w:rsid w:val="009B1662"/>
    <w:rsid w:val="009B178E"/>
    <w:rsid w:val="009B214A"/>
    <w:rsid w:val="009B26FF"/>
    <w:rsid w:val="009B34DA"/>
    <w:rsid w:val="009B4F93"/>
    <w:rsid w:val="009B637D"/>
    <w:rsid w:val="009B6E52"/>
    <w:rsid w:val="009C0EBA"/>
    <w:rsid w:val="009C1CE8"/>
    <w:rsid w:val="009C1D5E"/>
    <w:rsid w:val="009C20AD"/>
    <w:rsid w:val="009C28C2"/>
    <w:rsid w:val="009C2FD8"/>
    <w:rsid w:val="009C3C1A"/>
    <w:rsid w:val="009C4385"/>
    <w:rsid w:val="009C4A0A"/>
    <w:rsid w:val="009C4E47"/>
    <w:rsid w:val="009C52D0"/>
    <w:rsid w:val="009C5543"/>
    <w:rsid w:val="009C5628"/>
    <w:rsid w:val="009C576C"/>
    <w:rsid w:val="009C5F0F"/>
    <w:rsid w:val="009C6363"/>
    <w:rsid w:val="009C73BE"/>
    <w:rsid w:val="009D0465"/>
    <w:rsid w:val="009D0837"/>
    <w:rsid w:val="009D154B"/>
    <w:rsid w:val="009D3A16"/>
    <w:rsid w:val="009D3FCB"/>
    <w:rsid w:val="009D424C"/>
    <w:rsid w:val="009D44C3"/>
    <w:rsid w:val="009D47C9"/>
    <w:rsid w:val="009D5299"/>
    <w:rsid w:val="009D5D47"/>
    <w:rsid w:val="009E06E0"/>
    <w:rsid w:val="009E1F32"/>
    <w:rsid w:val="009E26AA"/>
    <w:rsid w:val="009E29E8"/>
    <w:rsid w:val="009E2FC5"/>
    <w:rsid w:val="009E3912"/>
    <w:rsid w:val="009E3DDE"/>
    <w:rsid w:val="009E4B9E"/>
    <w:rsid w:val="009E51BE"/>
    <w:rsid w:val="009E538E"/>
    <w:rsid w:val="009E56CA"/>
    <w:rsid w:val="009E57A2"/>
    <w:rsid w:val="009E6D9E"/>
    <w:rsid w:val="009E7F83"/>
    <w:rsid w:val="009F0D21"/>
    <w:rsid w:val="009F1801"/>
    <w:rsid w:val="009F5181"/>
    <w:rsid w:val="009F5A33"/>
    <w:rsid w:val="009F5BE3"/>
    <w:rsid w:val="009F61DB"/>
    <w:rsid w:val="009F696D"/>
    <w:rsid w:val="009F6BC6"/>
    <w:rsid w:val="00A00FF9"/>
    <w:rsid w:val="00A01DF1"/>
    <w:rsid w:val="00A0267A"/>
    <w:rsid w:val="00A0421A"/>
    <w:rsid w:val="00A05827"/>
    <w:rsid w:val="00A05DAF"/>
    <w:rsid w:val="00A06C12"/>
    <w:rsid w:val="00A07400"/>
    <w:rsid w:val="00A077F7"/>
    <w:rsid w:val="00A078B1"/>
    <w:rsid w:val="00A10107"/>
    <w:rsid w:val="00A10139"/>
    <w:rsid w:val="00A11C14"/>
    <w:rsid w:val="00A1241C"/>
    <w:rsid w:val="00A12C7C"/>
    <w:rsid w:val="00A132AF"/>
    <w:rsid w:val="00A14AFD"/>
    <w:rsid w:val="00A159B6"/>
    <w:rsid w:val="00A16063"/>
    <w:rsid w:val="00A17273"/>
    <w:rsid w:val="00A17328"/>
    <w:rsid w:val="00A20450"/>
    <w:rsid w:val="00A209D9"/>
    <w:rsid w:val="00A22432"/>
    <w:rsid w:val="00A23A20"/>
    <w:rsid w:val="00A2514E"/>
    <w:rsid w:val="00A268B9"/>
    <w:rsid w:val="00A2703A"/>
    <w:rsid w:val="00A27B87"/>
    <w:rsid w:val="00A33DFF"/>
    <w:rsid w:val="00A34C51"/>
    <w:rsid w:val="00A34FA6"/>
    <w:rsid w:val="00A35115"/>
    <w:rsid w:val="00A35E7B"/>
    <w:rsid w:val="00A36925"/>
    <w:rsid w:val="00A36EBA"/>
    <w:rsid w:val="00A40084"/>
    <w:rsid w:val="00A40779"/>
    <w:rsid w:val="00A40B7F"/>
    <w:rsid w:val="00A40E11"/>
    <w:rsid w:val="00A41C60"/>
    <w:rsid w:val="00A41DEB"/>
    <w:rsid w:val="00A4391A"/>
    <w:rsid w:val="00A43BE4"/>
    <w:rsid w:val="00A4451B"/>
    <w:rsid w:val="00A45425"/>
    <w:rsid w:val="00A462F7"/>
    <w:rsid w:val="00A479EA"/>
    <w:rsid w:val="00A47C56"/>
    <w:rsid w:val="00A5053E"/>
    <w:rsid w:val="00A5126D"/>
    <w:rsid w:val="00A53EF1"/>
    <w:rsid w:val="00A5412A"/>
    <w:rsid w:val="00A54957"/>
    <w:rsid w:val="00A554AB"/>
    <w:rsid w:val="00A5557F"/>
    <w:rsid w:val="00A56524"/>
    <w:rsid w:val="00A56E78"/>
    <w:rsid w:val="00A57274"/>
    <w:rsid w:val="00A57D76"/>
    <w:rsid w:val="00A57D79"/>
    <w:rsid w:val="00A6158A"/>
    <w:rsid w:val="00A62F1B"/>
    <w:rsid w:val="00A664FF"/>
    <w:rsid w:val="00A666A0"/>
    <w:rsid w:val="00A666F2"/>
    <w:rsid w:val="00A670EE"/>
    <w:rsid w:val="00A67868"/>
    <w:rsid w:val="00A67C92"/>
    <w:rsid w:val="00A703B0"/>
    <w:rsid w:val="00A723A6"/>
    <w:rsid w:val="00A727AD"/>
    <w:rsid w:val="00A73D03"/>
    <w:rsid w:val="00A74639"/>
    <w:rsid w:val="00A75272"/>
    <w:rsid w:val="00A752A1"/>
    <w:rsid w:val="00A756CE"/>
    <w:rsid w:val="00A7578B"/>
    <w:rsid w:val="00A763D1"/>
    <w:rsid w:val="00A7680F"/>
    <w:rsid w:val="00A769F1"/>
    <w:rsid w:val="00A77B6B"/>
    <w:rsid w:val="00A80DEA"/>
    <w:rsid w:val="00A820CA"/>
    <w:rsid w:val="00A828C8"/>
    <w:rsid w:val="00A84E8A"/>
    <w:rsid w:val="00A85EFE"/>
    <w:rsid w:val="00A86702"/>
    <w:rsid w:val="00A868B5"/>
    <w:rsid w:val="00A91F52"/>
    <w:rsid w:val="00A92B53"/>
    <w:rsid w:val="00A92CD4"/>
    <w:rsid w:val="00A93BBF"/>
    <w:rsid w:val="00A93D90"/>
    <w:rsid w:val="00A93E8A"/>
    <w:rsid w:val="00A94918"/>
    <w:rsid w:val="00A94FA6"/>
    <w:rsid w:val="00A95825"/>
    <w:rsid w:val="00A95B19"/>
    <w:rsid w:val="00A95FDE"/>
    <w:rsid w:val="00A97748"/>
    <w:rsid w:val="00AA1A2B"/>
    <w:rsid w:val="00AA1FF6"/>
    <w:rsid w:val="00AA2C92"/>
    <w:rsid w:val="00AA4815"/>
    <w:rsid w:val="00AA49A0"/>
    <w:rsid w:val="00AA4C7C"/>
    <w:rsid w:val="00AA6710"/>
    <w:rsid w:val="00AA6890"/>
    <w:rsid w:val="00AA6E0B"/>
    <w:rsid w:val="00AA7C18"/>
    <w:rsid w:val="00AB0681"/>
    <w:rsid w:val="00AB1289"/>
    <w:rsid w:val="00AB176B"/>
    <w:rsid w:val="00AB1840"/>
    <w:rsid w:val="00AB4B30"/>
    <w:rsid w:val="00AB4D5A"/>
    <w:rsid w:val="00AB775F"/>
    <w:rsid w:val="00AB7C93"/>
    <w:rsid w:val="00AC08D0"/>
    <w:rsid w:val="00AC14EE"/>
    <w:rsid w:val="00AC2371"/>
    <w:rsid w:val="00AC33BB"/>
    <w:rsid w:val="00AC4640"/>
    <w:rsid w:val="00AC46E7"/>
    <w:rsid w:val="00AC55D3"/>
    <w:rsid w:val="00AC671D"/>
    <w:rsid w:val="00AC6D0D"/>
    <w:rsid w:val="00AC771B"/>
    <w:rsid w:val="00AC7A83"/>
    <w:rsid w:val="00AD00A1"/>
    <w:rsid w:val="00AD05BE"/>
    <w:rsid w:val="00AD0BC1"/>
    <w:rsid w:val="00AD1F2B"/>
    <w:rsid w:val="00AD2AD0"/>
    <w:rsid w:val="00AD2E67"/>
    <w:rsid w:val="00AD3AFB"/>
    <w:rsid w:val="00AD3E76"/>
    <w:rsid w:val="00AD49DA"/>
    <w:rsid w:val="00AD6EEE"/>
    <w:rsid w:val="00AD721E"/>
    <w:rsid w:val="00AD7E88"/>
    <w:rsid w:val="00AE0871"/>
    <w:rsid w:val="00AE0A45"/>
    <w:rsid w:val="00AE0ED7"/>
    <w:rsid w:val="00AE1186"/>
    <w:rsid w:val="00AE1198"/>
    <w:rsid w:val="00AE1220"/>
    <w:rsid w:val="00AE2C74"/>
    <w:rsid w:val="00AE3124"/>
    <w:rsid w:val="00AE3A01"/>
    <w:rsid w:val="00AE3BE8"/>
    <w:rsid w:val="00AE5898"/>
    <w:rsid w:val="00AE5C3B"/>
    <w:rsid w:val="00AE5DB2"/>
    <w:rsid w:val="00AE6272"/>
    <w:rsid w:val="00AE6FCA"/>
    <w:rsid w:val="00AF0B56"/>
    <w:rsid w:val="00AF0F29"/>
    <w:rsid w:val="00AF33D9"/>
    <w:rsid w:val="00AF35EB"/>
    <w:rsid w:val="00AF370D"/>
    <w:rsid w:val="00AF3980"/>
    <w:rsid w:val="00AF519E"/>
    <w:rsid w:val="00AF67F8"/>
    <w:rsid w:val="00AF697E"/>
    <w:rsid w:val="00AF6D26"/>
    <w:rsid w:val="00AF7622"/>
    <w:rsid w:val="00B00D14"/>
    <w:rsid w:val="00B024B0"/>
    <w:rsid w:val="00B03F21"/>
    <w:rsid w:val="00B04FE3"/>
    <w:rsid w:val="00B071FA"/>
    <w:rsid w:val="00B07E9A"/>
    <w:rsid w:val="00B10DC6"/>
    <w:rsid w:val="00B11CF6"/>
    <w:rsid w:val="00B12C7F"/>
    <w:rsid w:val="00B14630"/>
    <w:rsid w:val="00B14807"/>
    <w:rsid w:val="00B15037"/>
    <w:rsid w:val="00B1505C"/>
    <w:rsid w:val="00B150B0"/>
    <w:rsid w:val="00B20949"/>
    <w:rsid w:val="00B20CC2"/>
    <w:rsid w:val="00B2114B"/>
    <w:rsid w:val="00B22526"/>
    <w:rsid w:val="00B232BD"/>
    <w:rsid w:val="00B2410D"/>
    <w:rsid w:val="00B250B3"/>
    <w:rsid w:val="00B26830"/>
    <w:rsid w:val="00B26C3B"/>
    <w:rsid w:val="00B271F5"/>
    <w:rsid w:val="00B3063B"/>
    <w:rsid w:val="00B30658"/>
    <w:rsid w:val="00B345CC"/>
    <w:rsid w:val="00B34CF3"/>
    <w:rsid w:val="00B35A3A"/>
    <w:rsid w:val="00B37A17"/>
    <w:rsid w:val="00B37BC7"/>
    <w:rsid w:val="00B37D60"/>
    <w:rsid w:val="00B4014A"/>
    <w:rsid w:val="00B40E6C"/>
    <w:rsid w:val="00B42413"/>
    <w:rsid w:val="00B42516"/>
    <w:rsid w:val="00B42844"/>
    <w:rsid w:val="00B440AD"/>
    <w:rsid w:val="00B44F94"/>
    <w:rsid w:val="00B45F84"/>
    <w:rsid w:val="00B46B12"/>
    <w:rsid w:val="00B47FFC"/>
    <w:rsid w:val="00B5097B"/>
    <w:rsid w:val="00B5174F"/>
    <w:rsid w:val="00B5228C"/>
    <w:rsid w:val="00B52398"/>
    <w:rsid w:val="00B523A9"/>
    <w:rsid w:val="00B52471"/>
    <w:rsid w:val="00B534E4"/>
    <w:rsid w:val="00B53E7E"/>
    <w:rsid w:val="00B54202"/>
    <w:rsid w:val="00B54738"/>
    <w:rsid w:val="00B55E09"/>
    <w:rsid w:val="00B569CF"/>
    <w:rsid w:val="00B57723"/>
    <w:rsid w:val="00B61CF3"/>
    <w:rsid w:val="00B62543"/>
    <w:rsid w:val="00B62B95"/>
    <w:rsid w:val="00B63366"/>
    <w:rsid w:val="00B6342E"/>
    <w:rsid w:val="00B64BB1"/>
    <w:rsid w:val="00B65723"/>
    <w:rsid w:val="00B65BEF"/>
    <w:rsid w:val="00B65D53"/>
    <w:rsid w:val="00B6755A"/>
    <w:rsid w:val="00B67919"/>
    <w:rsid w:val="00B70888"/>
    <w:rsid w:val="00B7113F"/>
    <w:rsid w:val="00B7117B"/>
    <w:rsid w:val="00B71B68"/>
    <w:rsid w:val="00B728A4"/>
    <w:rsid w:val="00B72FBF"/>
    <w:rsid w:val="00B73BAB"/>
    <w:rsid w:val="00B73CDC"/>
    <w:rsid w:val="00B741A1"/>
    <w:rsid w:val="00B757EF"/>
    <w:rsid w:val="00B80981"/>
    <w:rsid w:val="00B86731"/>
    <w:rsid w:val="00B86AA8"/>
    <w:rsid w:val="00B872C1"/>
    <w:rsid w:val="00B87B17"/>
    <w:rsid w:val="00B87C6E"/>
    <w:rsid w:val="00B900DB"/>
    <w:rsid w:val="00B91A90"/>
    <w:rsid w:val="00B91F22"/>
    <w:rsid w:val="00B9284C"/>
    <w:rsid w:val="00B96282"/>
    <w:rsid w:val="00B96501"/>
    <w:rsid w:val="00B965EF"/>
    <w:rsid w:val="00B970FE"/>
    <w:rsid w:val="00B97B2E"/>
    <w:rsid w:val="00B97DE8"/>
    <w:rsid w:val="00BA1BB2"/>
    <w:rsid w:val="00BA2B7E"/>
    <w:rsid w:val="00BA2BBC"/>
    <w:rsid w:val="00BA4468"/>
    <w:rsid w:val="00BA674A"/>
    <w:rsid w:val="00BA73B6"/>
    <w:rsid w:val="00BA768A"/>
    <w:rsid w:val="00BA7F30"/>
    <w:rsid w:val="00BB11ED"/>
    <w:rsid w:val="00BB15DF"/>
    <w:rsid w:val="00BB2685"/>
    <w:rsid w:val="00BB281F"/>
    <w:rsid w:val="00BB308C"/>
    <w:rsid w:val="00BB488B"/>
    <w:rsid w:val="00BB4FCD"/>
    <w:rsid w:val="00BB742E"/>
    <w:rsid w:val="00BC24E2"/>
    <w:rsid w:val="00BC252A"/>
    <w:rsid w:val="00BC40FA"/>
    <w:rsid w:val="00BD0622"/>
    <w:rsid w:val="00BD13EA"/>
    <w:rsid w:val="00BD18CD"/>
    <w:rsid w:val="00BD2685"/>
    <w:rsid w:val="00BD4562"/>
    <w:rsid w:val="00BD5157"/>
    <w:rsid w:val="00BD5471"/>
    <w:rsid w:val="00BD5A67"/>
    <w:rsid w:val="00BD7558"/>
    <w:rsid w:val="00BE0B11"/>
    <w:rsid w:val="00BE113A"/>
    <w:rsid w:val="00BE22AD"/>
    <w:rsid w:val="00BE3808"/>
    <w:rsid w:val="00BE5755"/>
    <w:rsid w:val="00BE6526"/>
    <w:rsid w:val="00BE6F7B"/>
    <w:rsid w:val="00BE7708"/>
    <w:rsid w:val="00BE7AC5"/>
    <w:rsid w:val="00BF057E"/>
    <w:rsid w:val="00BF1A49"/>
    <w:rsid w:val="00BF25EF"/>
    <w:rsid w:val="00BF4AF8"/>
    <w:rsid w:val="00BF57B4"/>
    <w:rsid w:val="00BF762F"/>
    <w:rsid w:val="00BF7E31"/>
    <w:rsid w:val="00C002BE"/>
    <w:rsid w:val="00C00764"/>
    <w:rsid w:val="00C00863"/>
    <w:rsid w:val="00C00CE1"/>
    <w:rsid w:val="00C015DB"/>
    <w:rsid w:val="00C017F5"/>
    <w:rsid w:val="00C03E75"/>
    <w:rsid w:val="00C05C5D"/>
    <w:rsid w:val="00C062E9"/>
    <w:rsid w:val="00C06B98"/>
    <w:rsid w:val="00C071BF"/>
    <w:rsid w:val="00C07AD1"/>
    <w:rsid w:val="00C07B64"/>
    <w:rsid w:val="00C10462"/>
    <w:rsid w:val="00C110E0"/>
    <w:rsid w:val="00C11BB3"/>
    <w:rsid w:val="00C120F4"/>
    <w:rsid w:val="00C126F2"/>
    <w:rsid w:val="00C12EF2"/>
    <w:rsid w:val="00C13721"/>
    <w:rsid w:val="00C15666"/>
    <w:rsid w:val="00C156A1"/>
    <w:rsid w:val="00C15A6C"/>
    <w:rsid w:val="00C15D04"/>
    <w:rsid w:val="00C15FDD"/>
    <w:rsid w:val="00C16133"/>
    <w:rsid w:val="00C16876"/>
    <w:rsid w:val="00C1727B"/>
    <w:rsid w:val="00C2057B"/>
    <w:rsid w:val="00C20C35"/>
    <w:rsid w:val="00C20CEC"/>
    <w:rsid w:val="00C21157"/>
    <w:rsid w:val="00C21398"/>
    <w:rsid w:val="00C218A8"/>
    <w:rsid w:val="00C22FF3"/>
    <w:rsid w:val="00C23570"/>
    <w:rsid w:val="00C246AD"/>
    <w:rsid w:val="00C24CC1"/>
    <w:rsid w:val="00C24D8B"/>
    <w:rsid w:val="00C25813"/>
    <w:rsid w:val="00C26B00"/>
    <w:rsid w:val="00C26F42"/>
    <w:rsid w:val="00C3066D"/>
    <w:rsid w:val="00C31DE9"/>
    <w:rsid w:val="00C33210"/>
    <w:rsid w:val="00C33BB6"/>
    <w:rsid w:val="00C362FF"/>
    <w:rsid w:val="00C363ED"/>
    <w:rsid w:val="00C3656B"/>
    <w:rsid w:val="00C36DFE"/>
    <w:rsid w:val="00C40204"/>
    <w:rsid w:val="00C40D45"/>
    <w:rsid w:val="00C4143C"/>
    <w:rsid w:val="00C41779"/>
    <w:rsid w:val="00C425C3"/>
    <w:rsid w:val="00C432D7"/>
    <w:rsid w:val="00C5017F"/>
    <w:rsid w:val="00C53D90"/>
    <w:rsid w:val="00C540FD"/>
    <w:rsid w:val="00C543F4"/>
    <w:rsid w:val="00C5488E"/>
    <w:rsid w:val="00C54A43"/>
    <w:rsid w:val="00C561A9"/>
    <w:rsid w:val="00C56592"/>
    <w:rsid w:val="00C573BB"/>
    <w:rsid w:val="00C57843"/>
    <w:rsid w:val="00C6073F"/>
    <w:rsid w:val="00C61B45"/>
    <w:rsid w:val="00C61B75"/>
    <w:rsid w:val="00C61DEA"/>
    <w:rsid w:val="00C6291C"/>
    <w:rsid w:val="00C62BF8"/>
    <w:rsid w:val="00C63317"/>
    <w:rsid w:val="00C633CB"/>
    <w:rsid w:val="00C64448"/>
    <w:rsid w:val="00C6534F"/>
    <w:rsid w:val="00C65578"/>
    <w:rsid w:val="00C65D15"/>
    <w:rsid w:val="00C66206"/>
    <w:rsid w:val="00C67BAD"/>
    <w:rsid w:val="00C67E1E"/>
    <w:rsid w:val="00C7004A"/>
    <w:rsid w:val="00C702B9"/>
    <w:rsid w:val="00C70361"/>
    <w:rsid w:val="00C70FA5"/>
    <w:rsid w:val="00C71F8B"/>
    <w:rsid w:val="00C7418D"/>
    <w:rsid w:val="00C7519C"/>
    <w:rsid w:val="00C7632A"/>
    <w:rsid w:val="00C76E5B"/>
    <w:rsid w:val="00C805D2"/>
    <w:rsid w:val="00C83B81"/>
    <w:rsid w:val="00C83CF9"/>
    <w:rsid w:val="00C843AD"/>
    <w:rsid w:val="00C846D4"/>
    <w:rsid w:val="00C85482"/>
    <w:rsid w:val="00C85A1E"/>
    <w:rsid w:val="00C85F94"/>
    <w:rsid w:val="00C8762C"/>
    <w:rsid w:val="00C87B22"/>
    <w:rsid w:val="00C90A44"/>
    <w:rsid w:val="00C95FBD"/>
    <w:rsid w:val="00C973BB"/>
    <w:rsid w:val="00CA00F9"/>
    <w:rsid w:val="00CA05C0"/>
    <w:rsid w:val="00CA0643"/>
    <w:rsid w:val="00CA07AC"/>
    <w:rsid w:val="00CA0A1B"/>
    <w:rsid w:val="00CA1125"/>
    <w:rsid w:val="00CA13DC"/>
    <w:rsid w:val="00CA19A4"/>
    <w:rsid w:val="00CA2961"/>
    <w:rsid w:val="00CA2C18"/>
    <w:rsid w:val="00CA30E9"/>
    <w:rsid w:val="00CA7669"/>
    <w:rsid w:val="00CA7F15"/>
    <w:rsid w:val="00CB04A4"/>
    <w:rsid w:val="00CB16D2"/>
    <w:rsid w:val="00CB2247"/>
    <w:rsid w:val="00CB2418"/>
    <w:rsid w:val="00CB2725"/>
    <w:rsid w:val="00CB2ECB"/>
    <w:rsid w:val="00CB33F9"/>
    <w:rsid w:val="00CB3CE9"/>
    <w:rsid w:val="00CB50D7"/>
    <w:rsid w:val="00CB5319"/>
    <w:rsid w:val="00CB6539"/>
    <w:rsid w:val="00CB7177"/>
    <w:rsid w:val="00CB7AA9"/>
    <w:rsid w:val="00CC1998"/>
    <w:rsid w:val="00CC2FF4"/>
    <w:rsid w:val="00CC3528"/>
    <w:rsid w:val="00CC3FEF"/>
    <w:rsid w:val="00CC444C"/>
    <w:rsid w:val="00CC4633"/>
    <w:rsid w:val="00CC4946"/>
    <w:rsid w:val="00CC5794"/>
    <w:rsid w:val="00CC5B99"/>
    <w:rsid w:val="00CC5CA3"/>
    <w:rsid w:val="00CC630F"/>
    <w:rsid w:val="00CC6CB8"/>
    <w:rsid w:val="00CD05BC"/>
    <w:rsid w:val="00CD210D"/>
    <w:rsid w:val="00CD288D"/>
    <w:rsid w:val="00CD44FC"/>
    <w:rsid w:val="00CD7E9F"/>
    <w:rsid w:val="00CE0B05"/>
    <w:rsid w:val="00CE26EA"/>
    <w:rsid w:val="00CE2A16"/>
    <w:rsid w:val="00CE2E80"/>
    <w:rsid w:val="00CE333E"/>
    <w:rsid w:val="00CE3351"/>
    <w:rsid w:val="00CE5883"/>
    <w:rsid w:val="00CE5A18"/>
    <w:rsid w:val="00CE6814"/>
    <w:rsid w:val="00CE745F"/>
    <w:rsid w:val="00CF1BEF"/>
    <w:rsid w:val="00CF32F3"/>
    <w:rsid w:val="00CF55E5"/>
    <w:rsid w:val="00CF5653"/>
    <w:rsid w:val="00CF698D"/>
    <w:rsid w:val="00D006DB"/>
    <w:rsid w:val="00D0124B"/>
    <w:rsid w:val="00D019C6"/>
    <w:rsid w:val="00D0226D"/>
    <w:rsid w:val="00D02CB3"/>
    <w:rsid w:val="00D02CD6"/>
    <w:rsid w:val="00D04E64"/>
    <w:rsid w:val="00D05BC4"/>
    <w:rsid w:val="00D05EAA"/>
    <w:rsid w:val="00D05EB4"/>
    <w:rsid w:val="00D06E56"/>
    <w:rsid w:val="00D100F2"/>
    <w:rsid w:val="00D10C93"/>
    <w:rsid w:val="00D121DD"/>
    <w:rsid w:val="00D135D4"/>
    <w:rsid w:val="00D13C49"/>
    <w:rsid w:val="00D1473C"/>
    <w:rsid w:val="00D14864"/>
    <w:rsid w:val="00D15C6D"/>
    <w:rsid w:val="00D15E73"/>
    <w:rsid w:val="00D17288"/>
    <w:rsid w:val="00D204CF"/>
    <w:rsid w:val="00D2107B"/>
    <w:rsid w:val="00D21403"/>
    <w:rsid w:val="00D21C97"/>
    <w:rsid w:val="00D22023"/>
    <w:rsid w:val="00D223D3"/>
    <w:rsid w:val="00D244FB"/>
    <w:rsid w:val="00D25A69"/>
    <w:rsid w:val="00D2673B"/>
    <w:rsid w:val="00D26C71"/>
    <w:rsid w:val="00D270A4"/>
    <w:rsid w:val="00D276B8"/>
    <w:rsid w:val="00D309F4"/>
    <w:rsid w:val="00D3179D"/>
    <w:rsid w:val="00D31A1C"/>
    <w:rsid w:val="00D321F1"/>
    <w:rsid w:val="00D32539"/>
    <w:rsid w:val="00D34697"/>
    <w:rsid w:val="00D34E1B"/>
    <w:rsid w:val="00D3507F"/>
    <w:rsid w:val="00D35A64"/>
    <w:rsid w:val="00D35FB4"/>
    <w:rsid w:val="00D361EE"/>
    <w:rsid w:val="00D37200"/>
    <w:rsid w:val="00D376BA"/>
    <w:rsid w:val="00D37B96"/>
    <w:rsid w:val="00D37E62"/>
    <w:rsid w:val="00D40DBA"/>
    <w:rsid w:val="00D41D74"/>
    <w:rsid w:val="00D44646"/>
    <w:rsid w:val="00D4574B"/>
    <w:rsid w:val="00D45EBE"/>
    <w:rsid w:val="00D5090F"/>
    <w:rsid w:val="00D531C4"/>
    <w:rsid w:val="00D54932"/>
    <w:rsid w:val="00D5568A"/>
    <w:rsid w:val="00D55CEA"/>
    <w:rsid w:val="00D55EFC"/>
    <w:rsid w:val="00D563F3"/>
    <w:rsid w:val="00D570E8"/>
    <w:rsid w:val="00D57339"/>
    <w:rsid w:val="00D57C7F"/>
    <w:rsid w:val="00D609EB"/>
    <w:rsid w:val="00D60AC8"/>
    <w:rsid w:val="00D63035"/>
    <w:rsid w:val="00D63D73"/>
    <w:rsid w:val="00D64D4C"/>
    <w:rsid w:val="00D65B75"/>
    <w:rsid w:val="00D667A3"/>
    <w:rsid w:val="00D66A39"/>
    <w:rsid w:val="00D66CB0"/>
    <w:rsid w:val="00D66E1E"/>
    <w:rsid w:val="00D71509"/>
    <w:rsid w:val="00D722D2"/>
    <w:rsid w:val="00D733F6"/>
    <w:rsid w:val="00D739FF"/>
    <w:rsid w:val="00D74AB1"/>
    <w:rsid w:val="00D753C2"/>
    <w:rsid w:val="00D75722"/>
    <w:rsid w:val="00D75F55"/>
    <w:rsid w:val="00D76223"/>
    <w:rsid w:val="00D7654C"/>
    <w:rsid w:val="00D776CE"/>
    <w:rsid w:val="00D777F9"/>
    <w:rsid w:val="00D8052B"/>
    <w:rsid w:val="00D80DAD"/>
    <w:rsid w:val="00D810D5"/>
    <w:rsid w:val="00D81A5C"/>
    <w:rsid w:val="00D81A89"/>
    <w:rsid w:val="00D83227"/>
    <w:rsid w:val="00D83B6D"/>
    <w:rsid w:val="00D83F39"/>
    <w:rsid w:val="00D850BB"/>
    <w:rsid w:val="00D856E1"/>
    <w:rsid w:val="00D8616B"/>
    <w:rsid w:val="00D865F8"/>
    <w:rsid w:val="00D87F3D"/>
    <w:rsid w:val="00D90CD3"/>
    <w:rsid w:val="00D91DC7"/>
    <w:rsid w:val="00D92B6C"/>
    <w:rsid w:val="00D95E12"/>
    <w:rsid w:val="00DA0444"/>
    <w:rsid w:val="00DA175E"/>
    <w:rsid w:val="00DA5BBA"/>
    <w:rsid w:val="00DB2131"/>
    <w:rsid w:val="00DB317A"/>
    <w:rsid w:val="00DB377A"/>
    <w:rsid w:val="00DB3EBE"/>
    <w:rsid w:val="00DB4551"/>
    <w:rsid w:val="00DB4918"/>
    <w:rsid w:val="00DB58DB"/>
    <w:rsid w:val="00DB67C9"/>
    <w:rsid w:val="00DB6C62"/>
    <w:rsid w:val="00DC06CB"/>
    <w:rsid w:val="00DC0C95"/>
    <w:rsid w:val="00DC22D8"/>
    <w:rsid w:val="00DC26EE"/>
    <w:rsid w:val="00DC34C6"/>
    <w:rsid w:val="00DC43BB"/>
    <w:rsid w:val="00DC5995"/>
    <w:rsid w:val="00DC5BDD"/>
    <w:rsid w:val="00DC7811"/>
    <w:rsid w:val="00DD03BD"/>
    <w:rsid w:val="00DD1F00"/>
    <w:rsid w:val="00DD3537"/>
    <w:rsid w:val="00DD3F3B"/>
    <w:rsid w:val="00DD4ACC"/>
    <w:rsid w:val="00DD4F77"/>
    <w:rsid w:val="00DD6088"/>
    <w:rsid w:val="00DD6580"/>
    <w:rsid w:val="00DD7BC7"/>
    <w:rsid w:val="00DE1986"/>
    <w:rsid w:val="00DE4D00"/>
    <w:rsid w:val="00DE52E4"/>
    <w:rsid w:val="00DE5539"/>
    <w:rsid w:val="00DE6181"/>
    <w:rsid w:val="00DE6A05"/>
    <w:rsid w:val="00DE6B5E"/>
    <w:rsid w:val="00DE6C26"/>
    <w:rsid w:val="00DE7121"/>
    <w:rsid w:val="00DE78ED"/>
    <w:rsid w:val="00DE7FCA"/>
    <w:rsid w:val="00DF066A"/>
    <w:rsid w:val="00DF0CE6"/>
    <w:rsid w:val="00DF15FB"/>
    <w:rsid w:val="00DF264B"/>
    <w:rsid w:val="00DF4062"/>
    <w:rsid w:val="00DF4579"/>
    <w:rsid w:val="00DF606E"/>
    <w:rsid w:val="00DF6DD6"/>
    <w:rsid w:val="00DF7D0A"/>
    <w:rsid w:val="00DF7F4F"/>
    <w:rsid w:val="00E02479"/>
    <w:rsid w:val="00E031C9"/>
    <w:rsid w:val="00E0583B"/>
    <w:rsid w:val="00E0611B"/>
    <w:rsid w:val="00E10625"/>
    <w:rsid w:val="00E11E24"/>
    <w:rsid w:val="00E11EA5"/>
    <w:rsid w:val="00E11EED"/>
    <w:rsid w:val="00E1310A"/>
    <w:rsid w:val="00E15796"/>
    <w:rsid w:val="00E16BE4"/>
    <w:rsid w:val="00E17C72"/>
    <w:rsid w:val="00E21FC6"/>
    <w:rsid w:val="00E2202E"/>
    <w:rsid w:val="00E22532"/>
    <w:rsid w:val="00E22E40"/>
    <w:rsid w:val="00E24F38"/>
    <w:rsid w:val="00E2509D"/>
    <w:rsid w:val="00E2633E"/>
    <w:rsid w:val="00E27F9E"/>
    <w:rsid w:val="00E31507"/>
    <w:rsid w:val="00E32CDC"/>
    <w:rsid w:val="00E341D0"/>
    <w:rsid w:val="00E35720"/>
    <w:rsid w:val="00E3621E"/>
    <w:rsid w:val="00E36FBD"/>
    <w:rsid w:val="00E3734B"/>
    <w:rsid w:val="00E37779"/>
    <w:rsid w:val="00E378DE"/>
    <w:rsid w:val="00E40F70"/>
    <w:rsid w:val="00E426AB"/>
    <w:rsid w:val="00E432B7"/>
    <w:rsid w:val="00E44258"/>
    <w:rsid w:val="00E4514A"/>
    <w:rsid w:val="00E4516A"/>
    <w:rsid w:val="00E46C36"/>
    <w:rsid w:val="00E4787F"/>
    <w:rsid w:val="00E50472"/>
    <w:rsid w:val="00E5056D"/>
    <w:rsid w:val="00E50D14"/>
    <w:rsid w:val="00E52969"/>
    <w:rsid w:val="00E5351D"/>
    <w:rsid w:val="00E55167"/>
    <w:rsid w:val="00E55267"/>
    <w:rsid w:val="00E55A61"/>
    <w:rsid w:val="00E57870"/>
    <w:rsid w:val="00E57C0B"/>
    <w:rsid w:val="00E57DC7"/>
    <w:rsid w:val="00E601D1"/>
    <w:rsid w:val="00E609F6"/>
    <w:rsid w:val="00E614B7"/>
    <w:rsid w:val="00E62351"/>
    <w:rsid w:val="00E625BD"/>
    <w:rsid w:val="00E62B46"/>
    <w:rsid w:val="00E62BFC"/>
    <w:rsid w:val="00E64246"/>
    <w:rsid w:val="00E64878"/>
    <w:rsid w:val="00E64931"/>
    <w:rsid w:val="00E6525A"/>
    <w:rsid w:val="00E6530C"/>
    <w:rsid w:val="00E65329"/>
    <w:rsid w:val="00E657A1"/>
    <w:rsid w:val="00E6632C"/>
    <w:rsid w:val="00E669E2"/>
    <w:rsid w:val="00E7017B"/>
    <w:rsid w:val="00E707B0"/>
    <w:rsid w:val="00E71017"/>
    <w:rsid w:val="00E712B6"/>
    <w:rsid w:val="00E71A66"/>
    <w:rsid w:val="00E71D2B"/>
    <w:rsid w:val="00E7315A"/>
    <w:rsid w:val="00E736EC"/>
    <w:rsid w:val="00E75B01"/>
    <w:rsid w:val="00E76135"/>
    <w:rsid w:val="00E778D8"/>
    <w:rsid w:val="00E77CC1"/>
    <w:rsid w:val="00E8106A"/>
    <w:rsid w:val="00E8177F"/>
    <w:rsid w:val="00E82094"/>
    <w:rsid w:val="00E8256E"/>
    <w:rsid w:val="00E834AD"/>
    <w:rsid w:val="00E83E55"/>
    <w:rsid w:val="00E85D91"/>
    <w:rsid w:val="00E86025"/>
    <w:rsid w:val="00E87AF9"/>
    <w:rsid w:val="00E87F48"/>
    <w:rsid w:val="00E90AD8"/>
    <w:rsid w:val="00E9112B"/>
    <w:rsid w:val="00E91C50"/>
    <w:rsid w:val="00E93157"/>
    <w:rsid w:val="00E93C8B"/>
    <w:rsid w:val="00E96E76"/>
    <w:rsid w:val="00E97281"/>
    <w:rsid w:val="00E9773F"/>
    <w:rsid w:val="00EA077A"/>
    <w:rsid w:val="00EA0BEB"/>
    <w:rsid w:val="00EA13A3"/>
    <w:rsid w:val="00EA1F3B"/>
    <w:rsid w:val="00EA655D"/>
    <w:rsid w:val="00EA7B2E"/>
    <w:rsid w:val="00EA7DB3"/>
    <w:rsid w:val="00EB0AE3"/>
    <w:rsid w:val="00EB124B"/>
    <w:rsid w:val="00EB25AF"/>
    <w:rsid w:val="00EB3281"/>
    <w:rsid w:val="00EB3490"/>
    <w:rsid w:val="00EB3554"/>
    <w:rsid w:val="00EB3560"/>
    <w:rsid w:val="00EB5F00"/>
    <w:rsid w:val="00EB6532"/>
    <w:rsid w:val="00EB6E15"/>
    <w:rsid w:val="00EB74D9"/>
    <w:rsid w:val="00EC0D89"/>
    <w:rsid w:val="00EC167D"/>
    <w:rsid w:val="00EC1A2D"/>
    <w:rsid w:val="00EC2844"/>
    <w:rsid w:val="00EC41F3"/>
    <w:rsid w:val="00EC49C4"/>
    <w:rsid w:val="00EC4C1F"/>
    <w:rsid w:val="00EC4FA7"/>
    <w:rsid w:val="00EC5ADE"/>
    <w:rsid w:val="00EC6E71"/>
    <w:rsid w:val="00ED0343"/>
    <w:rsid w:val="00ED06CC"/>
    <w:rsid w:val="00ED10CC"/>
    <w:rsid w:val="00ED2D4B"/>
    <w:rsid w:val="00ED2F9E"/>
    <w:rsid w:val="00ED33F0"/>
    <w:rsid w:val="00ED41CC"/>
    <w:rsid w:val="00ED62A5"/>
    <w:rsid w:val="00ED7EEA"/>
    <w:rsid w:val="00EE0405"/>
    <w:rsid w:val="00EE06FD"/>
    <w:rsid w:val="00EE0AAA"/>
    <w:rsid w:val="00EE15A5"/>
    <w:rsid w:val="00EE1C38"/>
    <w:rsid w:val="00EE2F8A"/>
    <w:rsid w:val="00EE5121"/>
    <w:rsid w:val="00EF063C"/>
    <w:rsid w:val="00EF3796"/>
    <w:rsid w:val="00EF3A51"/>
    <w:rsid w:val="00EF414C"/>
    <w:rsid w:val="00EF466F"/>
    <w:rsid w:val="00EF560E"/>
    <w:rsid w:val="00EF5D67"/>
    <w:rsid w:val="00EF5F9E"/>
    <w:rsid w:val="00EF687E"/>
    <w:rsid w:val="00EF69D3"/>
    <w:rsid w:val="00EF6C6C"/>
    <w:rsid w:val="00EF7976"/>
    <w:rsid w:val="00F01E85"/>
    <w:rsid w:val="00F02319"/>
    <w:rsid w:val="00F04244"/>
    <w:rsid w:val="00F05487"/>
    <w:rsid w:val="00F056FC"/>
    <w:rsid w:val="00F05D32"/>
    <w:rsid w:val="00F06A7C"/>
    <w:rsid w:val="00F10476"/>
    <w:rsid w:val="00F131AA"/>
    <w:rsid w:val="00F135D8"/>
    <w:rsid w:val="00F14388"/>
    <w:rsid w:val="00F14868"/>
    <w:rsid w:val="00F14B5A"/>
    <w:rsid w:val="00F1567B"/>
    <w:rsid w:val="00F156FD"/>
    <w:rsid w:val="00F16D54"/>
    <w:rsid w:val="00F16FFE"/>
    <w:rsid w:val="00F1752E"/>
    <w:rsid w:val="00F2018E"/>
    <w:rsid w:val="00F2104D"/>
    <w:rsid w:val="00F212F5"/>
    <w:rsid w:val="00F21CE1"/>
    <w:rsid w:val="00F23158"/>
    <w:rsid w:val="00F23C1E"/>
    <w:rsid w:val="00F25562"/>
    <w:rsid w:val="00F26970"/>
    <w:rsid w:val="00F26FCF"/>
    <w:rsid w:val="00F2715A"/>
    <w:rsid w:val="00F31030"/>
    <w:rsid w:val="00F31299"/>
    <w:rsid w:val="00F324D9"/>
    <w:rsid w:val="00F3486F"/>
    <w:rsid w:val="00F34BAE"/>
    <w:rsid w:val="00F3534A"/>
    <w:rsid w:val="00F36576"/>
    <w:rsid w:val="00F374B4"/>
    <w:rsid w:val="00F37785"/>
    <w:rsid w:val="00F4022B"/>
    <w:rsid w:val="00F43097"/>
    <w:rsid w:val="00F438D0"/>
    <w:rsid w:val="00F44CDE"/>
    <w:rsid w:val="00F458C5"/>
    <w:rsid w:val="00F465DE"/>
    <w:rsid w:val="00F46ACB"/>
    <w:rsid w:val="00F47291"/>
    <w:rsid w:val="00F4759B"/>
    <w:rsid w:val="00F501BB"/>
    <w:rsid w:val="00F50404"/>
    <w:rsid w:val="00F50521"/>
    <w:rsid w:val="00F508BC"/>
    <w:rsid w:val="00F54F8D"/>
    <w:rsid w:val="00F55389"/>
    <w:rsid w:val="00F5654A"/>
    <w:rsid w:val="00F570F7"/>
    <w:rsid w:val="00F57730"/>
    <w:rsid w:val="00F60016"/>
    <w:rsid w:val="00F603B8"/>
    <w:rsid w:val="00F6248F"/>
    <w:rsid w:val="00F62F6C"/>
    <w:rsid w:val="00F6489C"/>
    <w:rsid w:val="00F65A8D"/>
    <w:rsid w:val="00F65EEF"/>
    <w:rsid w:val="00F677A8"/>
    <w:rsid w:val="00F7058F"/>
    <w:rsid w:val="00F714C7"/>
    <w:rsid w:val="00F715DE"/>
    <w:rsid w:val="00F716D9"/>
    <w:rsid w:val="00F71F65"/>
    <w:rsid w:val="00F71F9C"/>
    <w:rsid w:val="00F723A3"/>
    <w:rsid w:val="00F728BD"/>
    <w:rsid w:val="00F7320E"/>
    <w:rsid w:val="00F7401F"/>
    <w:rsid w:val="00F7431C"/>
    <w:rsid w:val="00F77A09"/>
    <w:rsid w:val="00F80C2E"/>
    <w:rsid w:val="00F80D39"/>
    <w:rsid w:val="00F8119D"/>
    <w:rsid w:val="00F83FA6"/>
    <w:rsid w:val="00F8467A"/>
    <w:rsid w:val="00F85325"/>
    <w:rsid w:val="00F8689C"/>
    <w:rsid w:val="00F902F3"/>
    <w:rsid w:val="00F90C57"/>
    <w:rsid w:val="00F9129E"/>
    <w:rsid w:val="00F92442"/>
    <w:rsid w:val="00F92868"/>
    <w:rsid w:val="00F9340F"/>
    <w:rsid w:val="00F93A4C"/>
    <w:rsid w:val="00F9469C"/>
    <w:rsid w:val="00F95513"/>
    <w:rsid w:val="00F95EB8"/>
    <w:rsid w:val="00F967A6"/>
    <w:rsid w:val="00F96E6E"/>
    <w:rsid w:val="00F974BE"/>
    <w:rsid w:val="00F97BF2"/>
    <w:rsid w:val="00F97C00"/>
    <w:rsid w:val="00F97F3A"/>
    <w:rsid w:val="00FA0908"/>
    <w:rsid w:val="00FA194E"/>
    <w:rsid w:val="00FA1BE1"/>
    <w:rsid w:val="00FA1C89"/>
    <w:rsid w:val="00FA2B23"/>
    <w:rsid w:val="00FA2DD1"/>
    <w:rsid w:val="00FA31BC"/>
    <w:rsid w:val="00FA342E"/>
    <w:rsid w:val="00FA38DD"/>
    <w:rsid w:val="00FA3E84"/>
    <w:rsid w:val="00FB15D8"/>
    <w:rsid w:val="00FB2442"/>
    <w:rsid w:val="00FB3017"/>
    <w:rsid w:val="00FB432B"/>
    <w:rsid w:val="00FB4AA2"/>
    <w:rsid w:val="00FB5D7B"/>
    <w:rsid w:val="00FB6740"/>
    <w:rsid w:val="00FB76B2"/>
    <w:rsid w:val="00FB7747"/>
    <w:rsid w:val="00FB7A11"/>
    <w:rsid w:val="00FB7B1A"/>
    <w:rsid w:val="00FC178C"/>
    <w:rsid w:val="00FC1C95"/>
    <w:rsid w:val="00FC249C"/>
    <w:rsid w:val="00FC2652"/>
    <w:rsid w:val="00FC2E52"/>
    <w:rsid w:val="00FC4C5E"/>
    <w:rsid w:val="00FC4C81"/>
    <w:rsid w:val="00FC51C8"/>
    <w:rsid w:val="00FC6A94"/>
    <w:rsid w:val="00FD072D"/>
    <w:rsid w:val="00FD138E"/>
    <w:rsid w:val="00FD22B1"/>
    <w:rsid w:val="00FD386C"/>
    <w:rsid w:val="00FD4AF4"/>
    <w:rsid w:val="00FD6068"/>
    <w:rsid w:val="00FD60B5"/>
    <w:rsid w:val="00FE0B29"/>
    <w:rsid w:val="00FE12EF"/>
    <w:rsid w:val="00FE1BB4"/>
    <w:rsid w:val="00FE232C"/>
    <w:rsid w:val="00FE28C1"/>
    <w:rsid w:val="00FE2DA7"/>
    <w:rsid w:val="00FE3FF7"/>
    <w:rsid w:val="00FE4783"/>
    <w:rsid w:val="00FE653F"/>
    <w:rsid w:val="00FE6A53"/>
    <w:rsid w:val="00FF0389"/>
    <w:rsid w:val="00FF0DF9"/>
    <w:rsid w:val="00FF1EA6"/>
    <w:rsid w:val="00FF221B"/>
    <w:rsid w:val="00FF3D9C"/>
    <w:rsid w:val="00FF451B"/>
    <w:rsid w:val="00FF52AE"/>
    <w:rsid w:val="00FF588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A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en-AU" w:eastAsia="en-A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locked="1" w:uiPriority="0"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locked="1"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rsid w:val="00AE5898"/>
    <w:rPr>
      <w:sz w:val="26"/>
      <w:szCs w:val="24"/>
    </w:rPr>
  </w:style>
  <w:style w:type="paragraph" w:styleId="Heading1">
    <w:name w:val="heading 1"/>
    <w:basedOn w:val="BodyText"/>
    <w:next w:val="BodyText"/>
    <w:link w:val="Heading1Char"/>
    <w:rsid w:val="00AE5898"/>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E589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E5898"/>
    <w:pPr>
      <w:spacing w:before="560" w:line="320" w:lineRule="exact"/>
      <w:ind w:left="0" w:firstLine="0"/>
      <w:outlineLvl w:val="2"/>
    </w:pPr>
    <w:rPr>
      <w:sz w:val="26"/>
    </w:rPr>
  </w:style>
  <w:style w:type="paragraph" w:styleId="Heading4">
    <w:name w:val="heading 4"/>
    <w:basedOn w:val="Heading3"/>
    <w:next w:val="BodyText"/>
    <w:link w:val="Heading4Char"/>
    <w:qFormat/>
    <w:rsid w:val="00AE5898"/>
    <w:pPr>
      <w:spacing w:before="480"/>
      <w:outlineLvl w:val="3"/>
    </w:pPr>
    <w:rPr>
      <w:b w:val="0"/>
      <w:i/>
      <w:sz w:val="24"/>
    </w:rPr>
  </w:style>
  <w:style w:type="paragraph" w:styleId="Heading5">
    <w:name w:val="heading 5"/>
    <w:basedOn w:val="Heading4"/>
    <w:next w:val="BodyText"/>
    <w:link w:val="Heading5Char"/>
    <w:qFormat/>
    <w:rsid w:val="00AE5898"/>
    <w:pPr>
      <w:outlineLvl w:val="4"/>
    </w:pPr>
    <w:rPr>
      <w:rFonts w:ascii="Times New Roman" w:hAnsi="Times New Roman"/>
      <w:sz w:val="26"/>
    </w:rPr>
  </w:style>
  <w:style w:type="paragraph" w:styleId="Heading6">
    <w:name w:val="heading 6"/>
    <w:basedOn w:val="BodyText"/>
    <w:next w:val="BodyText"/>
    <w:link w:val="Heading6Char"/>
    <w:rsid w:val="00AE5898"/>
    <w:pPr>
      <w:spacing w:after="60"/>
      <w:jc w:val="left"/>
      <w:outlineLvl w:val="5"/>
    </w:pPr>
    <w:rPr>
      <w:i/>
      <w:sz w:val="22"/>
    </w:rPr>
  </w:style>
  <w:style w:type="paragraph" w:styleId="Heading7">
    <w:name w:val="heading 7"/>
    <w:basedOn w:val="BodyText"/>
    <w:next w:val="BodyText"/>
    <w:link w:val="Heading7Char"/>
    <w:rsid w:val="00AE589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E589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E589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AE5898"/>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AE5898"/>
  </w:style>
  <w:style w:type="character" w:customStyle="1" w:styleId="Heading1Char">
    <w:name w:val="Heading 1 Char"/>
    <w:basedOn w:val="DefaultParagraphFont"/>
    <w:link w:val="Heading1"/>
    <w:locked/>
    <w:rPr>
      <w:sz w:val="52"/>
      <w:szCs w:val="20"/>
    </w:rPr>
  </w:style>
  <w:style w:type="character" w:customStyle="1" w:styleId="Heading2Char">
    <w:name w:val="Heading 2 Char"/>
    <w:basedOn w:val="DefaultParagraphFont"/>
    <w:link w:val="Heading2"/>
    <w:locked/>
    <w:rPr>
      <w:rFonts w:ascii="Arial" w:hAnsi="Arial"/>
      <w:b/>
      <w:sz w:val="32"/>
      <w:szCs w:val="20"/>
    </w:rPr>
  </w:style>
  <w:style w:type="character" w:customStyle="1" w:styleId="Heading3Char">
    <w:name w:val="Heading 3 Char"/>
    <w:basedOn w:val="DefaultParagraphFont"/>
    <w:link w:val="Heading3"/>
    <w:locked/>
    <w:rPr>
      <w:rFonts w:ascii="Arial" w:hAnsi="Arial"/>
      <w:b/>
      <w:sz w:val="26"/>
      <w:szCs w:val="20"/>
    </w:rPr>
  </w:style>
  <w:style w:type="character" w:customStyle="1" w:styleId="Heading4Char">
    <w:name w:val="Heading 4 Char"/>
    <w:basedOn w:val="DefaultParagraphFont"/>
    <w:link w:val="Heading4"/>
    <w:locked/>
    <w:rPr>
      <w:rFonts w:ascii="Arial" w:hAnsi="Arial"/>
      <w:i/>
      <w:sz w:val="24"/>
      <w:szCs w:val="20"/>
    </w:rPr>
  </w:style>
  <w:style w:type="character" w:customStyle="1" w:styleId="Heading5Char">
    <w:name w:val="Heading 5 Char"/>
    <w:basedOn w:val="DefaultParagraphFont"/>
    <w:link w:val="Heading5"/>
    <w:locked/>
    <w:rPr>
      <w:i/>
      <w:sz w:val="26"/>
      <w:szCs w:val="20"/>
    </w:rPr>
  </w:style>
  <w:style w:type="character" w:customStyle="1" w:styleId="Heading6Char">
    <w:name w:val="Heading 6 Char"/>
    <w:basedOn w:val="DefaultParagraphFont"/>
    <w:link w:val="Heading6"/>
    <w:locked/>
    <w:rPr>
      <w:i/>
      <w:szCs w:val="20"/>
    </w:rPr>
  </w:style>
  <w:style w:type="character" w:customStyle="1" w:styleId="Heading7Char">
    <w:name w:val="Heading 7 Char"/>
    <w:basedOn w:val="DefaultParagraphFont"/>
    <w:link w:val="Heading7"/>
    <w:locked/>
    <w:rPr>
      <w:rFonts w:ascii="Arial" w:hAnsi="Arial"/>
      <w:sz w:val="20"/>
      <w:szCs w:val="20"/>
    </w:rPr>
  </w:style>
  <w:style w:type="character" w:customStyle="1" w:styleId="Heading8Char">
    <w:name w:val="Heading 8 Char"/>
    <w:basedOn w:val="DefaultParagraphFont"/>
    <w:link w:val="Heading8"/>
    <w:locked/>
    <w:rPr>
      <w:rFonts w:ascii="Arial" w:hAnsi="Arial"/>
      <w:i/>
      <w:sz w:val="20"/>
      <w:szCs w:val="20"/>
    </w:rPr>
  </w:style>
  <w:style w:type="character" w:customStyle="1" w:styleId="Heading9Char">
    <w:name w:val="Heading 9 Char"/>
    <w:basedOn w:val="DefaultParagraphFont"/>
    <w:link w:val="Heading9"/>
    <w:locked/>
    <w:rPr>
      <w:rFonts w:ascii="Arial" w:hAnsi="Arial"/>
      <w:b/>
      <w:i/>
      <w:sz w:val="18"/>
      <w:szCs w:val="20"/>
    </w:rPr>
  </w:style>
  <w:style w:type="paragraph" w:styleId="BodyText">
    <w:name w:val="Body Text"/>
    <w:link w:val="BodyTextChar"/>
    <w:qFormat/>
    <w:rsid w:val="00AE5898"/>
    <w:pPr>
      <w:spacing w:before="240" w:line="320" w:lineRule="atLeast"/>
      <w:jc w:val="both"/>
    </w:pPr>
    <w:rPr>
      <w:sz w:val="26"/>
      <w:szCs w:val="20"/>
    </w:rPr>
  </w:style>
  <w:style w:type="character" w:customStyle="1" w:styleId="BodyTextChar">
    <w:name w:val="Body Text Char"/>
    <w:basedOn w:val="DefaultParagraphFont"/>
    <w:link w:val="BodyText"/>
    <w:locked/>
    <w:rsid w:val="002D201E"/>
    <w:rPr>
      <w:sz w:val="26"/>
      <w:szCs w:val="20"/>
    </w:rPr>
  </w:style>
  <w:style w:type="paragraph" w:styleId="Footer">
    <w:name w:val="footer"/>
    <w:basedOn w:val="BodyText"/>
    <w:link w:val="FooterChar"/>
    <w:semiHidden/>
    <w:rsid w:val="00AE5898"/>
    <w:pPr>
      <w:spacing w:before="80" w:line="200" w:lineRule="exact"/>
      <w:ind w:right="6"/>
      <w:jc w:val="left"/>
    </w:pPr>
    <w:rPr>
      <w:caps/>
      <w:spacing w:val="-4"/>
      <w:sz w:val="16"/>
    </w:rPr>
  </w:style>
  <w:style w:type="character" w:customStyle="1" w:styleId="FooterChar">
    <w:name w:val="Footer Char"/>
    <w:basedOn w:val="DefaultParagraphFont"/>
    <w:link w:val="Footer"/>
    <w:semiHidden/>
    <w:locked/>
    <w:rPr>
      <w:caps/>
      <w:spacing w:val="-4"/>
      <w:sz w:val="16"/>
      <w:szCs w:val="20"/>
    </w:rPr>
  </w:style>
  <w:style w:type="paragraph" w:customStyle="1" w:styleId="FooterEnd">
    <w:name w:val="Footer End"/>
    <w:basedOn w:val="Footer"/>
    <w:rsid w:val="00AE5898"/>
    <w:pPr>
      <w:spacing w:before="0" w:line="20" w:lineRule="exact"/>
    </w:pPr>
  </w:style>
  <w:style w:type="paragraph" w:styleId="Header">
    <w:name w:val="header"/>
    <w:basedOn w:val="BodyText"/>
    <w:link w:val="HeaderChar"/>
    <w:rsid w:val="00AE5898"/>
    <w:pPr>
      <w:tabs>
        <w:tab w:val="center" w:pos="4394"/>
        <w:tab w:val="right" w:pos="8789"/>
      </w:tabs>
      <w:spacing w:before="0" w:line="240" w:lineRule="atLeast"/>
      <w:jc w:val="left"/>
    </w:pPr>
    <w:rPr>
      <w:rFonts w:ascii="Arial" w:hAnsi="Arial"/>
      <w:caps/>
    </w:rPr>
  </w:style>
  <w:style w:type="character" w:customStyle="1" w:styleId="HeaderChar">
    <w:name w:val="Header Char"/>
    <w:basedOn w:val="DefaultParagraphFont"/>
    <w:link w:val="Header"/>
    <w:locked/>
    <w:rPr>
      <w:rFonts w:ascii="Arial" w:hAnsi="Arial"/>
      <w:caps/>
      <w:sz w:val="26"/>
      <w:szCs w:val="20"/>
    </w:rPr>
  </w:style>
  <w:style w:type="paragraph" w:customStyle="1" w:styleId="HeaderEnd">
    <w:name w:val="Header End"/>
    <w:basedOn w:val="Header"/>
    <w:autoRedefine/>
    <w:rsid w:val="00AE5898"/>
    <w:pPr>
      <w:spacing w:line="20" w:lineRule="exact"/>
    </w:pPr>
    <w:rPr>
      <w:sz w:val="16"/>
    </w:rPr>
  </w:style>
  <w:style w:type="paragraph" w:customStyle="1" w:styleId="HeaderEven">
    <w:name w:val="Header Even"/>
    <w:basedOn w:val="Header"/>
    <w:semiHidden/>
    <w:rsid w:val="00AE5898"/>
  </w:style>
  <w:style w:type="paragraph" w:customStyle="1" w:styleId="HeaderOdd">
    <w:name w:val="Header Odd"/>
    <w:basedOn w:val="Header"/>
    <w:semiHidden/>
    <w:rsid w:val="00AE5898"/>
  </w:style>
  <w:style w:type="character" w:styleId="PageNumber">
    <w:name w:val="page number"/>
    <w:basedOn w:val="DefaultParagraphFont"/>
    <w:rsid w:val="00AE5898"/>
    <w:rPr>
      <w:rFonts w:ascii="Arial" w:hAnsi="Arial"/>
      <w:b/>
      <w:sz w:val="16"/>
    </w:rPr>
  </w:style>
  <w:style w:type="paragraph" w:customStyle="1" w:styleId="Abbreviation">
    <w:name w:val="Abbreviation"/>
    <w:basedOn w:val="BodyText"/>
    <w:rsid w:val="00AE5898"/>
    <w:pPr>
      <w:spacing w:before="120"/>
      <w:ind w:left="2381" w:hanging="2381"/>
      <w:jc w:val="left"/>
    </w:pPr>
  </w:style>
  <w:style w:type="paragraph" w:customStyle="1" w:styleId="Box">
    <w:name w:val="Box"/>
    <w:basedOn w:val="BodyText"/>
    <w:qFormat/>
    <w:rsid w:val="00AE5898"/>
    <w:pPr>
      <w:keepNext/>
      <w:spacing w:before="120" w:line="280" w:lineRule="atLeast"/>
    </w:pPr>
    <w:rPr>
      <w:rFonts w:ascii="Arial" w:hAnsi="Arial"/>
      <w:sz w:val="22"/>
    </w:rPr>
  </w:style>
  <w:style w:type="paragraph" w:customStyle="1" w:styleId="BoxContinued">
    <w:name w:val="Box Continued"/>
    <w:basedOn w:val="BodyText"/>
    <w:next w:val="BodyText"/>
    <w:semiHidden/>
    <w:rsid w:val="00AE5898"/>
    <w:pPr>
      <w:spacing w:before="180" w:line="220" w:lineRule="exact"/>
      <w:jc w:val="right"/>
    </w:pPr>
    <w:rPr>
      <w:rFonts w:ascii="Arial" w:hAnsi="Arial"/>
      <w:sz w:val="18"/>
    </w:rPr>
  </w:style>
  <w:style w:type="paragraph" w:customStyle="1" w:styleId="BoxHeading1">
    <w:name w:val="Box Heading 1"/>
    <w:basedOn w:val="BodyText"/>
    <w:next w:val="Box"/>
    <w:rsid w:val="00AE5898"/>
    <w:pPr>
      <w:keepNext/>
      <w:spacing w:before="200" w:line="280" w:lineRule="atLeast"/>
    </w:pPr>
    <w:rPr>
      <w:rFonts w:ascii="Arial" w:hAnsi="Arial"/>
      <w:b/>
      <w:sz w:val="22"/>
    </w:rPr>
  </w:style>
  <w:style w:type="paragraph" w:customStyle="1" w:styleId="BoxHeading2">
    <w:name w:val="Box Heading 2"/>
    <w:basedOn w:val="BoxHeading1"/>
    <w:next w:val="Normal"/>
    <w:rsid w:val="00AE5898"/>
    <w:rPr>
      <w:b w:val="0"/>
      <w:i/>
    </w:rPr>
  </w:style>
  <w:style w:type="paragraph" w:customStyle="1" w:styleId="BoxListBullet">
    <w:name w:val="Box List Bullet"/>
    <w:basedOn w:val="BodyText"/>
    <w:rsid w:val="00AE5898"/>
    <w:pPr>
      <w:keepNext/>
      <w:numPr>
        <w:numId w:val="1"/>
      </w:numPr>
      <w:spacing w:before="60" w:line="280" w:lineRule="atLeast"/>
    </w:pPr>
    <w:rPr>
      <w:rFonts w:ascii="Arial" w:hAnsi="Arial"/>
      <w:sz w:val="22"/>
    </w:rPr>
  </w:style>
  <w:style w:type="paragraph" w:customStyle="1" w:styleId="BoxListBullet2">
    <w:name w:val="Box List Bullet 2"/>
    <w:basedOn w:val="BodyText"/>
    <w:rsid w:val="00AE5898"/>
    <w:pPr>
      <w:keepNext/>
      <w:numPr>
        <w:numId w:val="2"/>
      </w:numPr>
      <w:spacing w:before="60" w:line="280" w:lineRule="atLeast"/>
    </w:pPr>
    <w:rPr>
      <w:rFonts w:ascii="Arial" w:hAnsi="Arial"/>
      <w:sz w:val="22"/>
    </w:rPr>
  </w:style>
  <w:style w:type="paragraph" w:customStyle="1" w:styleId="BoxListNumber">
    <w:name w:val="Box List Number"/>
    <w:basedOn w:val="BodyText"/>
    <w:rsid w:val="00AE5898"/>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AE5898"/>
    <w:pPr>
      <w:numPr>
        <w:ilvl w:val="1"/>
      </w:numPr>
    </w:pPr>
  </w:style>
  <w:style w:type="paragraph" w:customStyle="1" w:styleId="BoxQuote">
    <w:name w:val="Box Quote"/>
    <w:basedOn w:val="BodyText"/>
    <w:next w:val="Box"/>
    <w:rsid w:val="00AE5898"/>
    <w:pPr>
      <w:keepNext/>
      <w:spacing w:before="60" w:line="260" w:lineRule="exact"/>
      <w:ind w:left="284"/>
    </w:pPr>
    <w:rPr>
      <w:rFonts w:ascii="Arial" w:hAnsi="Arial"/>
      <w:sz w:val="20"/>
    </w:rPr>
  </w:style>
  <w:style w:type="paragraph" w:customStyle="1" w:styleId="Note">
    <w:name w:val="Note"/>
    <w:basedOn w:val="BodyText"/>
    <w:next w:val="BodyText"/>
    <w:rsid w:val="00AE5898"/>
    <w:pPr>
      <w:keepLines/>
      <w:spacing w:before="80" w:line="220" w:lineRule="exact"/>
    </w:pPr>
    <w:rPr>
      <w:rFonts w:ascii="Arial" w:hAnsi="Arial"/>
      <w:sz w:val="18"/>
    </w:rPr>
  </w:style>
  <w:style w:type="paragraph" w:customStyle="1" w:styleId="Source">
    <w:name w:val="Source"/>
    <w:basedOn w:val="Note"/>
    <w:next w:val="BodyText"/>
    <w:rsid w:val="00AE5898"/>
    <w:pPr>
      <w:spacing w:after="120"/>
    </w:pPr>
  </w:style>
  <w:style w:type="paragraph" w:customStyle="1" w:styleId="BoxSource">
    <w:name w:val="Box Source"/>
    <w:basedOn w:val="Source"/>
    <w:next w:val="BodyText"/>
    <w:rsid w:val="00AE5898"/>
    <w:pPr>
      <w:spacing w:before="180" w:after="0"/>
    </w:pPr>
  </w:style>
  <w:style w:type="paragraph" w:customStyle="1" w:styleId="BoxSpace">
    <w:name w:val="Box Space"/>
    <w:basedOn w:val="BodyText"/>
    <w:rsid w:val="00616544"/>
    <w:pPr>
      <w:keepNext/>
      <w:spacing w:before="360" w:line="80" w:lineRule="exact"/>
      <w:jc w:val="left"/>
    </w:pPr>
  </w:style>
  <w:style w:type="paragraph" w:styleId="Caption">
    <w:name w:val="caption"/>
    <w:basedOn w:val="Normal"/>
    <w:next w:val="BodyText"/>
    <w:rsid w:val="00AE589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AE5898"/>
    <w:pPr>
      <w:spacing w:before="120" w:after="0"/>
      <w:ind w:left="1304" w:hanging="1304"/>
    </w:pPr>
    <w:rPr>
      <w:sz w:val="24"/>
    </w:rPr>
  </w:style>
  <w:style w:type="paragraph" w:customStyle="1" w:styleId="BoxSubtitle">
    <w:name w:val="Box Subtitle"/>
    <w:basedOn w:val="BoxTitle"/>
    <w:next w:val="Normal"/>
    <w:rsid w:val="00AE5898"/>
    <w:pPr>
      <w:spacing w:after="80" w:line="200" w:lineRule="exact"/>
      <w:ind w:firstLine="0"/>
    </w:pPr>
    <w:rPr>
      <w:b w:val="0"/>
      <w:sz w:val="20"/>
    </w:rPr>
  </w:style>
  <w:style w:type="paragraph" w:customStyle="1" w:styleId="Chapter">
    <w:name w:val="Chapter"/>
    <w:basedOn w:val="Heading1"/>
    <w:next w:val="BodyText"/>
    <w:semiHidden/>
    <w:rsid w:val="00AE5898"/>
    <w:pPr>
      <w:ind w:left="0" w:firstLine="0"/>
      <w:outlineLvl w:val="9"/>
    </w:pPr>
  </w:style>
  <w:style w:type="paragraph" w:customStyle="1" w:styleId="ChapterSummary">
    <w:name w:val="Chapter Summary"/>
    <w:basedOn w:val="BodyText"/>
    <w:rsid w:val="00AE5898"/>
    <w:pPr>
      <w:ind w:left="907"/>
    </w:pPr>
    <w:rPr>
      <w:rFonts w:ascii="Arial" w:hAnsi="Arial"/>
      <w:b/>
      <w:sz w:val="22"/>
    </w:rPr>
  </w:style>
  <w:style w:type="character" w:styleId="CommentReference">
    <w:name w:val="annotation reference"/>
    <w:basedOn w:val="DefaultParagraphFont"/>
    <w:semiHidden/>
    <w:rsid w:val="00AE5898"/>
    <w:rPr>
      <w:b/>
      <w:vanish/>
      <w:color w:val="FF00FF"/>
      <w:sz w:val="20"/>
    </w:rPr>
  </w:style>
  <w:style w:type="paragraph" w:styleId="CommentText">
    <w:name w:val="annotation text"/>
    <w:basedOn w:val="Normal"/>
    <w:link w:val="CommentTextChar"/>
    <w:semiHidden/>
    <w:rsid w:val="00AE5898"/>
    <w:pPr>
      <w:spacing w:before="120" w:line="240" w:lineRule="atLeast"/>
      <w:ind w:left="567" w:hanging="567"/>
    </w:pPr>
    <w:rPr>
      <w:sz w:val="20"/>
    </w:rPr>
  </w:style>
  <w:style w:type="character" w:customStyle="1" w:styleId="CommentTextChar">
    <w:name w:val="Comment Text Char"/>
    <w:basedOn w:val="DefaultParagraphFont"/>
    <w:link w:val="CommentText"/>
    <w:semiHidden/>
    <w:locked/>
    <w:rsid w:val="002D201E"/>
    <w:rPr>
      <w:sz w:val="20"/>
      <w:szCs w:val="24"/>
    </w:rPr>
  </w:style>
  <w:style w:type="paragraph" w:customStyle="1" w:styleId="Continued">
    <w:name w:val="Continued"/>
    <w:basedOn w:val="BoxContinued"/>
    <w:next w:val="BodyText"/>
    <w:rsid w:val="00AE5898"/>
  </w:style>
  <w:style w:type="character" w:customStyle="1" w:styleId="DocumentInfo">
    <w:name w:val="Document Info"/>
    <w:basedOn w:val="DefaultParagraphFont"/>
    <w:semiHidden/>
    <w:rsid w:val="00AE5898"/>
    <w:rPr>
      <w:rFonts w:ascii="Arial" w:hAnsi="Arial"/>
      <w:sz w:val="14"/>
    </w:rPr>
  </w:style>
  <w:style w:type="character" w:customStyle="1" w:styleId="DraftingNote">
    <w:name w:val="Drafting Note"/>
    <w:basedOn w:val="DefaultParagraphFont"/>
    <w:rsid w:val="00AE5898"/>
    <w:rPr>
      <w:b/>
      <w:color w:val="FF0000"/>
      <w:sz w:val="24"/>
      <w:u w:val="dotted"/>
    </w:rPr>
  </w:style>
  <w:style w:type="paragraph" w:customStyle="1" w:styleId="Figure">
    <w:name w:val="Figure"/>
    <w:basedOn w:val="BodyText"/>
    <w:rsid w:val="00AE5898"/>
    <w:pPr>
      <w:keepNext/>
      <w:spacing w:before="120" w:after="120" w:line="240" w:lineRule="atLeast"/>
      <w:jc w:val="center"/>
    </w:pPr>
  </w:style>
  <w:style w:type="paragraph" w:customStyle="1" w:styleId="FigureTitle">
    <w:name w:val="Figure Title"/>
    <w:basedOn w:val="Caption"/>
    <w:next w:val="Subtitle"/>
    <w:rsid w:val="00AE5898"/>
    <w:rPr>
      <w:sz w:val="24"/>
    </w:rPr>
  </w:style>
  <w:style w:type="paragraph" w:styleId="Subtitle">
    <w:name w:val="Subtitle"/>
    <w:basedOn w:val="Caption"/>
    <w:link w:val="SubtitleChar"/>
    <w:rsid w:val="00AE5898"/>
    <w:pPr>
      <w:spacing w:before="0" w:line="200" w:lineRule="exact"/>
      <w:ind w:firstLine="0"/>
    </w:pPr>
    <w:rPr>
      <w:b w:val="0"/>
      <w:sz w:val="20"/>
    </w:rPr>
  </w:style>
  <w:style w:type="character" w:customStyle="1" w:styleId="SubtitleChar">
    <w:name w:val="Subtitle Char"/>
    <w:basedOn w:val="DefaultParagraphFont"/>
    <w:link w:val="Subtitle"/>
    <w:locked/>
    <w:rsid w:val="00AE5898"/>
    <w:rPr>
      <w:rFonts w:ascii="Arial" w:hAnsi="Arial"/>
      <w:sz w:val="20"/>
      <w:szCs w:val="24"/>
    </w:rPr>
  </w:style>
  <w:style w:type="paragraph" w:customStyle="1" w:styleId="Finding">
    <w:name w:val="Finding"/>
    <w:basedOn w:val="BodyText"/>
    <w:rsid w:val="00AE5898"/>
    <w:pPr>
      <w:keepLines/>
      <w:spacing w:before="180"/>
    </w:pPr>
    <w:rPr>
      <w:i/>
    </w:rPr>
  </w:style>
  <w:style w:type="paragraph" w:customStyle="1" w:styleId="FindingBullet">
    <w:name w:val="Finding Bullet"/>
    <w:basedOn w:val="Finding"/>
    <w:rsid w:val="00AE5898"/>
    <w:pPr>
      <w:numPr>
        <w:numId w:val="3"/>
      </w:numPr>
      <w:spacing w:before="80"/>
    </w:pPr>
  </w:style>
  <w:style w:type="paragraph" w:customStyle="1" w:styleId="FindingNoTitle">
    <w:name w:val="Finding NoTitle"/>
    <w:basedOn w:val="Finding"/>
    <w:rsid w:val="00AE5898"/>
    <w:pPr>
      <w:spacing w:before="240"/>
    </w:pPr>
  </w:style>
  <w:style w:type="paragraph" w:customStyle="1" w:styleId="RecTitle">
    <w:name w:val="Rec Title"/>
    <w:basedOn w:val="BodyText"/>
    <w:next w:val="Normal"/>
    <w:rsid w:val="00AE5898"/>
    <w:pPr>
      <w:keepNext/>
      <w:keepLines/>
    </w:pPr>
    <w:rPr>
      <w:caps/>
      <w:sz w:val="20"/>
    </w:rPr>
  </w:style>
  <w:style w:type="paragraph" w:customStyle="1" w:styleId="FindingTitle">
    <w:name w:val="Finding Title"/>
    <w:basedOn w:val="RecTitle"/>
    <w:next w:val="Finding"/>
    <w:rsid w:val="00AE5898"/>
    <w:pPr>
      <w:framePr w:wrap="notBeside" w:hAnchor="text"/>
    </w:pPr>
  </w:style>
  <w:style w:type="character" w:styleId="FootnoteReference">
    <w:name w:val="footnote reference"/>
    <w:basedOn w:val="DefaultParagraphFont"/>
    <w:semiHidden/>
    <w:rsid w:val="00AE5898"/>
    <w:rPr>
      <w:rFonts w:ascii="Times New Roman" w:hAnsi="Times New Roman"/>
      <w:position w:val="6"/>
      <w:sz w:val="22"/>
      <w:vertAlign w:val="baseline"/>
    </w:rPr>
  </w:style>
  <w:style w:type="paragraph" w:styleId="FootnoteText">
    <w:name w:val="footnote text"/>
    <w:basedOn w:val="BodyText"/>
    <w:link w:val="FootnoteTextChar"/>
    <w:rsid w:val="00AE5898"/>
    <w:pPr>
      <w:tabs>
        <w:tab w:val="left" w:pos="284"/>
      </w:tabs>
      <w:spacing w:before="80" w:line="260" w:lineRule="exact"/>
      <w:ind w:left="284" w:hanging="284"/>
    </w:pPr>
    <w:rPr>
      <w:sz w:val="22"/>
    </w:rPr>
  </w:style>
  <w:style w:type="character" w:customStyle="1" w:styleId="FootnoteTextChar">
    <w:name w:val="Footnote Text Char"/>
    <w:basedOn w:val="DefaultParagraphFont"/>
    <w:link w:val="FootnoteText"/>
    <w:locked/>
    <w:rPr>
      <w:szCs w:val="20"/>
    </w:rPr>
  </w:style>
  <w:style w:type="paragraph" w:customStyle="1" w:styleId="InformationRequest">
    <w:name w:val="Information Request"/>
    <w:basedOn w:val="Finding"/>
    <w:next w:val="BodyText"/>
    <w:rsid w:val="00AE5898"/>
    <w:pPr>
      <w:spacing w:before="360" w:after="120"/>
    </w:pPr>
    <w:rPr>
      <w:rFonts w:ascii="Arial" w:hAnsi="Arial"/>
      <w:sz w:val="24"/>
    </w:rPr>
  </w:style>
  <w:style w:type="paragraph" w:customStyle="1" w:styleId="Jurisdictioncommentsbodytext">
    <w:name w:val="Jurisdiction comments body text"/>
    <w:rsid w:val="00AE5898"/>
    <w:pPr>
      <w:spacing w:after="140"/>
      <w:jc w:val="both"/>
    </w:pPr>
    <w:rPr>
      <w:rFonts w:ascii="Arial" w:hAnsi="Arial"/>
      <w:sz w:val="24"/>
      <w:szCs w:val="20"/>
      <w:lang w:eastAsia="en-US"/>
    </w:rPr>
  </w:style>
  <w:style w:type="paragraph" w:customStyle="1" w:styleId="Jurisdictioncommentsheading">
    <w:name w:val="Jurisdiction comments heading"/>
    <w:rsid w:val="00AE5898"/>
    <w:pPr>
      <w:spacing w:after="140" w:line="320" w:lineRule="atLeast"/>
      <w:jc w:val="both"/>
    </w:pPr>
    <w:rPr>
      <w:rFonts w:ascii="Arial" w:hAnsi="Arial"/>
      <w:b/>
      <w:sz w:val="24"/>
      <w:szCs w:val="20"/>
      <w:lang w:eastAsia="en-US"/>
    </w:rPr>
  </w:style>
  <w:style w:type="paragraph" w:customStyle="1" w:styleId="Jurisdictioncommentslistbullet">
    <w:name w:val="Jurisdiction comments list bullet"/>
    <w:rsid w:val="00AE5898"/>
    <w:pPr>
      <w:numPr>
        <w:numId w:val="4"/>
      </w:numPr>
      <w:spacing w:after="140"/>
      <w:jc w:val="both"/>
    </w:pPr>
    <w:rPr>
      <w:rFonts w:ascii="Arial" w:hAnsi="Arial"/>
      <w:sz w:val="24"/>
      <w:szCs w:val="20"/>
      <w:lang w:eastAsia="en-US"/>
    </w:rPr>
  </w:style>
  <w:style w:type="paragraph" w:styleId="ListBullet">
    <w:name w:val="List Bullet"/>
    <w:basedOn w:val="BodyText"/>
    <w:rsid w:val="00AE5898"/>
    <w:pPr>
      <w:numPr>
        <w:numId w:val="5"/>
      </w:numPr>
      <w:spacing w:before="120"/>
    </w:pPr>
  </w:style>
  <w:style w:type="paragraph" w:styleId="ListBullet2">
    <w:name w:val="List Bullet 2"/>
    <w:basedOn w:val="BodyText"/>
    <w:rsid w:val="00AE5898"/>
    <w:pPr>
      <w:numPr>
        <w:numId w:val="6"/>
      </w:numPr>
      <w:spacing w:before="120"/>
    </w:pPr>
  </w:style>
  <w:style w:type="paragraph" w:styleId="ListBullet3">
    <w:name w:val="List Bullet 3"/>
    <w:basedOn w:val="BodyText"/>
    <w:rsid w:val="00AE5898"/>
    <w:pPr>
      <w:numPr>
        <w:numId w:val="7"/>
      </w:numPr>
      <w:spacing w:before="120"/>
    </w:pPr>
  </w:style>
  <w:style w:type="paragraph" w:styleId="ListNumber">
    <w:name w:val="List Number"/>
    <w:basedOn w:val="BodyText"/>
    <w:rsid w:val="00AE5898"/>
    <w:pPr>
      <w:numPr>
        <w:numId w:val="12"/>
      </w:numPr>
      <w:spacing w:before="120"/>
    </w:pPr>
  </w:style>
  <w:style w:type="paragraph" w:styleId="ListNumber2">
    <w:name w:val="List Number 2"/>
    <w:basedOn w:val="ListNumber"/>
    <w:rsid w:val="00AE5898"/>
    <w:pPr>
      <w:numPr>
        <w:ilvl w:val="1"/>
      </w:numPr>
    </w:pPr>
  </w:style>
  <w:style w:type="paragraph" w:styleId="ListNumber3">
    <w:name w:val="List Number 3"/>
    <w:basedOn w:val="ListNumber2"/>
    <w:rsid w:val="00AE5898"/>
    <w:pPr>
      <w:numPr>
        <w:ilvl w:val="2"/>
      </w:numPr>
    </w:pPr>
  </w:style>
  <w:style w:type="character" w:customStyle="1" w:styleId="NoteLabel">
    <w:name w:val="Note Label"/>
    <w:basedOn w:val="DefaultParagraphFont"/>
    <w:rsid w:val="00AE5898"/>
    <w:rPr>
      <w:rFonts w:ascii="Arial" w:hAnsi="Arial"/>
      <w:b/>
      <w:position w:val="6"/>
      <w:sz w:val="18"/>
    </w:rPr>
  </w:style>
  <w:style w:type="paragraph" w:customStyle="1" w:styleId="PartDivider">
    <w:name w:val="Part Divider"/>
    <w:basedOn w:val="BodyText"/>
    <w:next w:val="BodyText"/>
    <w:semiHidden/>
    <w:rsid w:val="00AE5898"/>
    <w:pPr>
      <w:spacing w:before="0" w:line="40" w:lineRule="exact"/>
      <w:jc w:val="right"/>
    </w:pPr>
    <w:rPr>
      <w:smallCaps/>
      <w:sz w:val="16"/>
    </w:rPr>
  </w:style>
  <w:style w:type="paragraph" w:customStyle="1" w:styleId="PartNumber">
    <w:name w:val="Part Number"/>
    <w:basedOn w:val="BodyText"/>
    <w:next w:val="BodyText"/>
    <w:semiHidden/>
    <w:rsid w:val="00AE5898"/>
    <w:pPr>
      <w:spacing w:before="4000" w:line="320" w:lineRule="exact"/>
      <w:ind w:left="6634"/>
      <w:jc w:val="right"/>
    </w:pPr>
    <w:rPr>
      <w:smallCaps/>
      <w:spacing w:val="60"/>
      <w:sz w:val="32"/>
    </w:rPr>
  </w:style>
  <w:style w:type="paragraph" w:customStyle="1" w:styleId="PartTitle">
    <w:name w:val="Part Title"/>
    <w:basedOn w:val="BodyText"/>
    <w:semiHidden/>
    <w:rsid w:val="00AE5898"/>
    <w:pPr>
      <w:spacing w:before="160" w:after="1360" w:line="520" w:lineRule="exact"/>
      <w:ind w:right="2381"/>
      <w:jc w:val="right"/>
    </w:pPr>
    <w:rPr>
      <w:smallCaps/>
      <w:sz w:val="52"/>
    </w:rPr>
  </w:style>
  <w:style w:type="paragraph" w:styleId="Quote">
    <w:name w:val="Quote"/>
    <w:basedOn w:val="BodyText"/>
    <w:next w:val="BodyText"/>
    <w:link w:val="QuoteChar"/>
    <w:qFormat/>
    <w:rsid w:val="00AE5898"/>
    <w:pPr>
      <w:spacing w:before="120" w:line="280" w:lineRule="exact"/>
      <w:ind w:left="340"/>
    </w:pPr>
    <w:rPr>
      <w:sz w:val="24"/>
    </w:rPr>
  </w:style>
  <w:style w:type="character" w:customStyle="1" w:styleId="QuoteChar">
    <w:name w:val="Quote Char"/>
    <w:basedOn w:val="DefaultParagraphFont"/>
    <w:link w:val="Quote"/>
    <w:locked/>
    <w:rPr>
      <w:sz w:val="24"/>
      <w:szCs w:val="20"/>
    </w:rPr>
  </w:style>
  <w:style w:type="paragraph" w:customStyle="1" w:styleId="QuoteBullet">
    <w:name w:val="Quote Bullet"/>
    <w:basedOn w:val="Quote"/>
    <w:rsid w:val="00AE5898"/>
    <w:pPr>
      <w:numPr>
        <w:numId w:val="8"/>
      </w:numPr>
    </w:pPr>
  </w:style>
  <w:style w:type="paragraph" w:customStyle="1" w:styleId="Rec">
    <w:name w:val="Rec"/>
    <w:basedOn w:val="BodyText"/>
    <w:rsid w:val="00AE5898"/>
    <w:pPr>
      <w:keepLines/>
      <w:spacing w:before="180"/>
    </w:pPr>
    <w:rPr>
      <w:b/>
      <w:i/>
    </w:rPr>
  </w:style>
  <w:style w:type="paragraph" w:customStyle="1" w:styleId="RecBullet">
    <w:name w:val="Rec Bullet"/>
    <w:basedOn w:val="Rec"/>
    <w:rsid w:val="00AE5898"/>
    <w:pPr>
      <w:numPr>
        <w:numId w:val="9"/>
      </w:numPr>
      <w:spacing w:before="80"/>
    </w:pPr>
  </w:style>
  <w:style w:type="paragraph" w:customStyle="1" w:styleId="RecB">
    <w:name w:val="RecB"/>
    <w:basedOn w:val="Normal"/>
    <w:rsid w:val="00AE5898"/>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AE5898"/>
    <w:pPr>
      <w:numPr>
        <w:numId w:val="14"/>
      </w:numPr>
      <w:spacing w:before="80"/>
    </w:pPr>
  </w:style>
  <w:style w:type="paragraph" w:customStyle="1" w:styleId="RecBNoTitle">
    <w:name w:val="RecB NoTitle"/>
    <w:basedOn w:val="RecB"/>
    <w:rsid w:val="00AE5898"/>
    <w:pPr>
      <w:spacing w:before="240"/>
    </w:pPr>
  </w:style>
  <w:style w:type="paragraph" w:customStyle="1" w:styleId="Reference">
    <w:name w:val="Reference"/>
    <w:basedOn w:val="BodyText"/>
    <w:rsid w:val="00AE5898"/>
    <w:pPr>
      <w:spacing w:before="120"/>
      <w:ind w:left="340" w:hanging="340"/>
    </w:pPr>
  </w:style>
  <w:style w:type="paragraph" w:customStyle="1" w:styleId="SequenceInfo">
    <w:name w:val="Sequence Info"/>
    <w:basedOn w:val="BodyText"/>
    <w:semiHidden/>
    <w:rsid w:val="00AE5898"/>
    <w:rPr>
      <w:vanish/>
      <w:sz w:val="16"/>
    </w:rPr>
  </w:style>
  <w:style w:type="paragraph" w:customStyle="1" w:styleId="SideNote">
    <w:name w:val="Side Note"/>
    <w:basedOn w:val="BodyText"/>
    <w:next w:val="BodyText"/>
    <w:semiHidden/>
    <w:rsid w:val="00AE589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E5898"/>
    <w:pPr>
      <w:framePr w:wrap="around"/>
      <w:numPr>
        <w:numId w:val="10"/>
      </w:numPr>
      <w:tabs>
        <w:tab w:val="left" w:pos="227"/>
      </w:tabs>
    </w:pPr>
  </w:style>
  <w:style w:type="paragraph" w:customStyle="1" w:styleId="SideNoteGraphic">
    <w:name w:val="Side Note Graphic"/>
    <w:basedOn w:val="SideNote"/>
    <w:next w:val="BodyText"/>
    <w:semiHidden/>
    <w:rsid w:val="00AE5898"/>
    <w:pPr>
      <w:framePr w:wrap="around"/>
    </w:pPr>
  </w:style>
  <w:style w:type="paragraph" w:customStyle="1" w:styleId="TableBodyText">
    <w:name w:val="Table Body Text"/>
    <w:basedOn w:val="BodyText"/>
    <w:rsid w:val="00AE589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AE5898"/>
    <w:pPr>
      <w:numPr>
        <w:numId w:val="11"/>
      </w:numPr>
      <w:jc w:val="left"/>
    </w:pPr>
  </w:style>
  <w:style w:type="paragraph" w:customStyle="1" w:styleId="TableColumnHeading">
    <w:name w:val="Table Column Heading"/>
    <w:basedOn w:val="TableBodyText"/>
    <w:rsid w:val="00AE5898"/>
    <w:pPr>
      <w:spacing w:before="80" w:after="80"/>
    </w:pPr>
    <w:rPr>
      <w:i/>
    </w:rPr>
  </w:style>
  <w:style w:type="paragraph" w:styleId="TOC2">
    <w:name w:val="toc 2"/>
    <w:basedOn w:val="BodyText"/>
    <w:semiHidden/>
    <w:rsid w:val="00AE5898"/>
    <w:pPr>
      <w:tabs>
        <w:tab w:val="right" w:pos="8789"/>
      </w:tabs>
      <w:ind w:left="510" w:right="851" w:hanging="510"/>
      <w:jc w:val="left"/>
    </w:pPr>
    <w:rPr>
      <w:b/>
    </w:rPr>
  </w:style>
  <w:style w:type="paragraph" w:styleId="TOC3">
    <w:name w:val="toc 3"/>
    <w:basedOn w:val="TOC2"/>
    <w:semiHidden/>
    <w:rsid w:val="00AE5898"/>
    <w:pPr>
      <w:spacing w:before="60"/>
      <w:ind w:left="1190" w:hanging="680"/>
    </w:pPr>
    <w:rPr>
      <w:b w:val="0"/>
    </w:rPr>
  </w:style>
  <w:style w:type="paragraph" w:styleId="TableofFigures">
    <w:name w:val="table of figures"/>
    <w:basedOn w:val="TOC3"/>
    <w:next w:val="BodyText"/>
    <w:semiHidden/>
    <w:rsid w:val="00AE5898"/>
    <w:pPr>
      <w:ind w:left="737" w:hanging="737"/>
    </w:pPr>
  </w:style>
  <w:style w:type="paragraph" w:customStyle="1" w:styleId="TableTitle">
    <w:name w:val="Table Title"/>
    <w:basedOn w:val="Caption"/>
    <w:next w:val="Subtitle"/>
    <w:rsid w:val="00AE5898"/>
    <w:rPr>
      <w:sz w:val="24"/>
    </w:rPr>
  </w:style>
  <w:style w:type="paragraph" w:customStyle="1" w:styleId="TableUnitsRow">
    <w:name w:val="Table Units Row"/>
    <w:basedOn w:val="TableBodyText"/>
    <w:rsid w:val="00AE5898"/>
    <w:pPr>
      <w:spacing w:before="80" w:after="80"/>
    </w:pPr>
  </w:style>
  <w:style w:type="paragraph" w:styleId="TOC1">
    <w:name w:val="toc 1"/>
    <w:basedOn w:val="Normal"/>
    <w:next w:val="TOC2"/>
    <w:semiHidden/>
    <w:rsid w:val="00AE5898"/>
    <w:pPr>
      <w:tabs>
        <w:tab w:val="right" w:pos="8789"/>
      </w:tabs>
      <w:spacing w:before="480" w:after="60" w:line="320" w:lineRule="exact"/>
      <w:ind w:left="1191" w:right="851" w:hanging="1191"/>
    </w:pPr>
    <w:rPr>
      <w:b/>
      <w:caps/>
    </w:rPr>
  </w:style>
  <w:style w:type="paragraph" w:styleId="TOC4">
    <w:name w:val="toc 4"/>
    <w:basedOn w:val="TOC3"/>
    <w:semiHidden/>
    <w:rsid w:val="00AE5898"/>
    <w:pPr>
      <w:ind w:left="1191" w:firstLine="0"/>
    </w:pPr>
  </w:style>
  <w:style w:type="paragraph" w:customStyle="1" w:styleId="RecBBullet2">
    <w:name w:val="RecB Bullet 2"/>
    <w:basedOn w:val="ListBullet2"/>
    <w:rsid w:val="00AE5898"/>
    <w:pPr>
      <w:pBdr>
        <w:left w:val="single" w:sz="24" w:space="29" w:color="C0C0C0"/>
      </w:pBdr>
    </w:pPr>
    <w:rPr>
      <w:b/>
      <w:i/>
    </w:rPr>
  </w:style>
  <w:style w:type="paragraph" w:styleId="BalloonText">
    <w:name w:val="Balloon Text"/>
    <w:basedOn w:val="Normal"/>
    <w:link w:val="BalloonTextChar"/>
    <w:rsid w:val="00AE5898"/>
    <w:rPr>
      <w:rFonts w:ascii="Tahoma" w:hAnsi="Tahoma" w:cs="Tahoma"/>
      <w:sz w:val="16"/>
      <w:szCs w:val="16"/>
    </w:rPr>
  </w:style>
  <w:style w:type="character" w:customStyle="1" w:styleId="BalloonTextChar">
    <w:name w:val="Balloon Text Char"/>
    <w:basedOn w:val="DefaultParagraphFont"/>
    <w:link w:val="BalloonText"/>
    <w:locked/>
    <w:rsid w:val="00AE5898"/>
    <w:rPr>
      <w:rFonts w:ascii="Tahoma" w:hAnsi="Tahoma" w:cs="Tahoma"/>
      <w:sz w:val="16"/>
      <w:szCs w:val="16"/>
    </w:rPr>
  </w:style>
  <w:style w:type="paragraph" w:customStyle="1" w:styleId="BoxListBullet3">
    <w:name w:val="Box List Bullet 3"/>
    <w:basedOn w:val="ListBullet3"/>
    <w:rsid w:val="00AE5898"/>
    <w:pPr>
      <w:numPr>
        <w:numId w:val="45"/>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AE5898"/>
    <w:rPr>
      <w:i/>
      <w:iCs/>
    </w:rPr>
  </w:style>
  <w:style w:type="table" w:styleId="TableGrid">
    <w:name w:val="Table Grid"/>
    <w:basedOn w:val="TableNormal"/>
    <w:uiPriority w:val="99"/>
    <w:rsid w:val="006E4939"/>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rsid w:val="00613968"/>
    <w:rPr>
      <w:rFonts w:cs="Times New Roman"/>
      <w:color w:val="045F85"/>
      <w:sz w:val="24"/>
      <w:szCs w:val="24"/>
      <w:u w:val="none"/>
      <w:effect w:val="none"/>
      <w:shd w:val="clear" w:color="auto" w:fill="auto"/>
      <w:vertAlign w:val="baseline"/>
    </w:rPr>
  </w:style>
  <w:style w:type="paragraph" w:styleId="NormalWeb">
    <w:name w:val="Normal (Web)"/>
    <w:basedOn w:val="Normal"/>
    <w:uiPriority w:val="99"/>
    <w:rsid w:val="00613968"/>
    <w:pPr>
      <w:spacing w:after="240"/>
    </w:pPr>
    <w:rPr>
      <w:sz w:val="24"/>
    </w:rPr>
  </w:style>
  <w:style w:type="paragraph" w:styleId="PlainText">
    <w:name w:val="Plain Text"/>
    <w:basedOn w:val="Normal"/>
    <w:link w:val="PlainTextChar"/>
    <w:uiPriority w:val="99"/>
    <w:rsid w:val="008263C9"/>
    <w:rPr>
      <w:rFonts w:ascii="Consolas" w:hAnsi="Consolas" w:cs="Consolas"/>
      <w:sz w:val="21"/>
      <w:szCs w:val="21"/>
    </w:rPr>
  </w:style>
  <w:style w:type="character" w:customStyle="1" w:styleId="PlainTextChar">
    <w:name w:val="Plain Text Char"/>
    <w:basedOn w:val="DefaultParagraphFont"/>
    <w:link w:val="PlainText"/>
    <w:uiPriority w:val="99"/>
    <w:locked/>
    <w:rsid w:val="008263C9"/>
    <w:rPr>
      <w:rFonts w:ascii="Consolas" w:hAnsi="Consolas" w:cs="Consolas"/>
      <w:sz w:val="21"/>
      <w:szCs w:val="21"/>
    </w:rPr>
  </w:style>
  <w:style w:type="paragraph" w:customStyle="1" w:styleId="Primary">
    <w:name w:val="Primary"/>
    <w:basedOn w:val="BodyText"/>
    <w:rsid w:val="006E2D2B"/>
  </w:style>
  <w:style w:type="paragraph" w:customStyle="1" w:styleId="Bq">
    <w:name w:val="Bq"/>
    <w:basedOn w:val="BodyText"/>
    <w:rsid w:val="00C7632A"/>
  </w:style>
  <w:style w:type="paragraph" w:customStyle="1" w:styleId="BoxQuoteBullet">
    <w:name w:val="Box Quote Bullet"/>
    <w:basedOn w:val="BoxQuote"/>
    <w:next w:val="Box"/>
    <w:rsid w:val="00AE5898"/>
    <w:pPr>
      <w:numPr>
        <w:numId w:val="15"/>
      </w:numPr>
      <w:ind w:left="568" w:hanging="284"/>
    </w:pPr>
  </w:style>
  <w:style w:type="paragraph" w:customStyle="1" w:styleId="InformationRequestBullet">
    <w:name w:val="Information Request Bullet"/>
    <w:basedOn w:val="ListBullet"/>
    <w:next w:val="BodyText"/>
    <w:rsid w:val="00AE5898"/>
    <w:pPr>
      <w:numPr>
        <w:numId w:val="16"/>
      </w:numPr>
      <w:ind w:left="340" w:hanging="340"/>
    </w:pPr>
    <w:rPr>
      <w:rFonts w:ascii="Arial" w:hAnsi="Arial"/>
      <w:i/>
      <w:sz w:val="24"/>
    </w:rPr>
  </w:style>
  <w:style w:type="paragraph" w:customStyle="1" w:styleId="Bod">
    <w:name w:val="Bod"/>
    <w:basedOn w:val="BodyText"/>
    <w:rsid w:val="00171323"/>
  </w:style>
  <w:style w:type="character" w:customStyle="1" w:styleId="BodyTextChar2">
    <w:name w:val="Body Text Char2"/>
    <w:aliases w:val="Body Text Char Char Char1,Body Text Char1 Char Char Char1,Body Text Char Char Char Char Char1,Body Text Char1 Char Char Char Char Char1,Body Text Char Char Char Char Char Char Char1,Body Text Char1 Char Char Char Char Char Char Char"/>
    <w:uiPriority w:val="99"/>
    <w:rsid w:val="00EA7B2E"/>
    <w:rPr>
      <w:sz w:val="26"/>
    </w:rPr>
  </w:style>
  <w:style w:type="paragraph" w:styleId="CommentSubject">
    <w:name w:val="annotation subject"/>
    <w:basedOn w:val="CommentText"/>
    <w:next w:val="CommentText"/>
    <w:link w:val="CommentSubjectChar"/>
    <w:uiPriority w:val="99"/>
    <w:semiHidden/>
    <w:unhideWhenUsed/>
    <w:rsid w:val="00117018"/>
    <w:pPr>
      <w:spacing w:before="0" w:line="240" w:lineRule="auto"/>
      <w:ind w:left="0" w:firstLine="0"/>
    </w:pPr>
    <w:rPr>
      <w:b/>
      <w:bCs/>
      <w:szCs w:val="20"/>
    </w:rPr>
  </w:style>
  <w:style w:type="character" w:customStyle="1" w:styleId="CommentSubjectChar">
    <w:name w:val="Comment Subject Char"/>
    <w:basedOn w:val="CommentTextChar"/>
    <w:link w:val="CommentSubject"/>
    <w:uiPriority w:val="99"/>
    <w:semiHidden/>
    <w:rsid w:val="00117018"/>
    <w:rPr>
      <w:b/>
      <w:bCs/>
      <w:sz w:val="20"/>
      <w:szCs w:val="20"/>
    </w:rPr>
  </w:style>
  <w:style w:type="paragraph" w:styleId="Revision">
    <w:name w:val="Revision"/>
    <w:hidden/>
    <w:uiPriority w:val="99"/>
    <w:semiHidden/>
    <w:rsid w:val="00894858"/>
    <w:rPr>
      <w:sz w:val="26"/>
      <w:szCs w:val="24"/>
    </w:rPr>
  </w:style>
  <w:style w:type="paragraph" w:customStyle="1" w:styleId="BoxSpaceAbove">
    <w:name w:val="Box Space Above"/>
    <w:basedOn w:val="BodyText"/>
    <w:rsid w:val="00AE5898"/>
    <w:pPr>
      <w:keepNext/>
      <w:spacing w:before="360" w:line="80" w:lineRule="exact"/>
      <w:jc w:val="left"/>
    </w:pPr>
  </w:style>
  <w:style w:type="paragraph" w:customStyle="1" w:styleId="BoxSpaceBelow">
    <w:name w:val="Box Space Below"/>
    <w:basedOn w:val="Box"/>
    <w:rsid w:val="00AE5898"/>
    <w:pPr>
      <w:keepNext w:val="0"/>
      <w:spacing w:before="60" w:after="60" w:line="80" w:lineRule="exact"/>
    </w:pPr>
    <w:rPr>
      <w:sz w:val="1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en-AU" w:eastAsia="en-A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locked="1" w:uiPriority="0"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1"/>
    <w:lsdException w:name="Body Text" w:locked="1"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rsid w:val="00AE5898"/>
    <w:rPr>
      <w:sz w:val="26"/>
      <w:szCs w:val="24"/>
    </w:rPr>
  </w:style>
  <w:style w:type="paragraph" w:styleId="Heading1">
    <w:name w:val="heading 1"/>
    <w:basedOn w:val="BodyText"/>
    <w:next w:val="BodyText"/>
    <w:link w:val="Heading1Char"/>
    <w:rsid w:val="00AE5898"/>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E589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E5898"/>
    <w:pPr>
      <w:spacing w:before="560" w:line="320" w:lineRule="exact"/>
      <w:ind w:left="0" w:firstLine="0"/>
      <w:outlineLvl w:val="2"/>
    </w:pPr>
    <w:rPr>
      <w:sz w:val="26"/>
    </w:rPr>
  </w:style>
  <w:style w:type="paragraph" w:styleId="Heading4">
    <w:name w:val="heading 4"/>
    <w:basedOn w:val="Heading3"/>
    <w:next w:val="BodyText"/>
    <w:link w:val="Heading4Char"/>
    <w:qFormat/>
    <w:rsid w:val="00AE5898"/>
    <w:pPr>
      <w:spacing w:before="480"/>
      <w:outlineLvl w:val="3"/>
    </w:pPr>
    <w:rPr>
      <w:b w:val="0"/>
      <w:i/>
      <w:sz w:val="24"/>
    </w:rPr>
  </w:style>
  <w:style w:type="paragraph" w:styleId="Heading5">
    <w:name w:val="heading 5"/>
    <w:basedOn w:val="Heading4"/>
    <w:next w:val="BodyText"/>
    <w:link w:val="Heading5Char"/>
    <w:qFormat/>
    <w:rsid w:val="00AE5898"/>
    <w:pPr>
      <w:outlineLvl w:val="4"/>
    </w:pPr>
    <w:rPr>
      <w:rFonts w:ascii="Times New Roman" w:hAnsi="Times New Roman"/>
      <w:sz w:val="26"/>
    </w:rPr>
  </w:style>
  <w:style w:type="paragraph" w:styleId="Heading6">
    <w:name w:val="heading 6"/>
    <w:basedOn w:val="BodyText"/>
    <w:next w:val="BodyText"/>
    <w:link w:val="Heading6Char"/>
    <w:rsid w:val="00AE5898"/>
    <w:pPr>
      <w:spacing w:after="60"/>
      <w:jc w:val="left"/>
      <w:outlineLvl w:val="5"/>
    </w:pPr>
    <w:rPr>
      <w:i/>
      <w:sz w:val="22"/>
    </w:rPr>
  </w:style>
  <w:style w:type="paragraph" w:styleId="Heading7">
    <w:name w:val="heading 7"/>
    <w:basedOn w:val="BodyText"/>
    <w:next w:val="BodyText"/>
    <w:link w:val="Heading7Char"/>
    <w:rsid w:val="00AE5898"/>
    <w:pPr>
      <w:spacing w:after="60" w:line="240" w:lineRule="auto"/>
      <w:jc w:val="left"/>
      <w:outlineLvl w:val="6"/>
    </w:pPr>
    <w:rPr>
      <w:rFonts w:ascii="Arial" w:hAnsi="Arial"/>
      <w:sz w:val="20"/>
    </w:rPr>
  </w:style>
  <w:style w:type="paragraph" w:styleId="Heading8">
    <w:name w:val="heading 8"/>
    <w:basedOn w:val="BodyText"/>
    <w:next w:val="BodyText"/>
    <w:link w:val="Heading8Char"/>
    <w:rsid w:val="00AE5898"/>
    <w:pPr>
      <w:spacing w:after="60" w:line="240" w:lineRule="auto"/>
      <w:jc w:val="left"/>
      <w:outlineLvl w:val="7"/>
    </w:pPr>
    <w:rPr>
      <w:rFonts w:ascii="Arial" w:hAnsi="Arial"/>
      <w:i/>
      <w:sz w:val="20"/>
    </w:rPr>
  </w:style>
  <w:style w:type="paragraph" w:styleId="Heading9">
    <w:name w:val="heading 9"/>
    <w:basedOn w:val="BodyText"/>
    <w:next w:val="BodyText"/>
    <w:link w:val="Heading9Char"/>
    <w:rsid w:val="00AE589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AE5898"/>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AE5898"/>
  </w:style>
  <w:style w:type="character" w:customStyle="1" w:styleId="Heading1Char">
    <w:name w:val="Heading 1 Char"/>
    <w:basedOn w:val="DefaultParagraphFont"/>
    <w:link w:val="Heading1"/>
    <w:locked/>
    <w:rPr>
      <w:sz w:val="52"/>
      <w:szCs w:val="20"/>
    </w:rPr>
  </w:style>
  <w:style w:type="character" w:customStyle="1" w:styleId="Heading2Char">
    <w:name w:val="Heading 2 Char"/>
    <w:basedOn w:val="DefaultParagraphFont"/>
    <w:link w:val="Heading2"/>
    <w:locked/>
    <w:rPr>
      <w:rFonts w:ascii="Arial" w:hAnsi="Arial"/>
      <w:b/>
      <w:sz w:val="32"/>
      <w:szCs w:val="20"/>
    </w:rPr>
  </w:style>
  <w:style w:type="character" w:customStyle="1" w:styleId="Heading3Char">
    <w:name w:val="Heading 3 Char"/>
    <w:basedOn w:val="DefaultParagraphFont"/>
    <w:link w:val="Heading3"/>
    <w:locked/>
    <w:rPr>
      <w:rFonts w:ascii="Arial" w:hAnsi="Arial"/>
      <w:b/>
      <w:sz w:val="26"/>
      <w:szCs w:val="20"/>
    </w:rPr>
  </w:style>
  <w:style w:type="character" w:customStyle="1" w:styleId="Heading4Char">
    <w:name w:val="Heading 4 Char"/>
    <w:basedOn w:val="DefaultParagraphFont"/>
    <w:link w:val="Heading4"/>
    <w:locked/>
    <w:rPr>
      <w:rFonts w:ascii="Arial" w:hAnsi="Arial"/>
      <w:i/>
      <w:sz w:val="24"/>
      <w:szCs w:val="20"/>
    </w:rPr>
  </w:style>
  <w:style w:type="character" w:customStyle="1" w:styleId="Heading5Char">
    <w:name w:val="Heading 5 Char"/>
    <w:basedOn w:val="DefaultParagraphFont"/>
    <w:link w:val="Heading5"/>
    <w:locked/>
    <w:rPr>
      <w:i/>
      <w:sz w:val="26"/>
      <w:szCs w:val="20"/>
    </w:rPr>
  </w:style>
  <w:style w:type="character" w:customStyle="1" w:styleId="Heading6Char">
    <w:name w:val="Heading 6 Char"/>
    <w:basedOn w:val="DefaultParagraphFont"/>
    <w:link w:val="Heading6"/>
    <w:locked/>
    <w:rPr>
      <w:i/>
      <w:szCs w:val="20"/>
    </w:rPr>
  </w:style>
  <w:style w:type="character" w:customStyle="1" w:styleId="Heading7Char">
    <w:name w:val="Heading 7 Char"/>
    <w:basedOn w:val="DefaultParagraphFont"/>
    <w:link w:val="Heading7"/>
    <w:locked/>
    <w:rPr>
      <w:rFonts w:ascii="Arial" w:hAnsi="Arial"/>
      <w:sz w:val="20"/>
      <w:szCs w:val="20"/>
    </w:rPr>
  </w:style>
  <w:style w:type="character" w:customStyle="1" w:styleId="Heading8Char">
    <w:name w:val="Heading 8 Char"/>
    <w:basedOn w:val="DefaultParagraphFont"/>
    <w:link w:val="Heading8"/>
    <w:locked/>
    <w:rPr>
      <w:rFonts w:ascii="Arial" w:hAnsi="Arial"/>
      <w:i/>
      <w:sz w:val="20"/>
      <w:szCs w:val="20"/>
    </w:rPr>
  </w:style>
  <w:style w:type="character" w:customStyle="1" w:styleId="Heading9Char">
    <w:name w:val="Heading 9 Char"/>
    <w:basedOn w:val="DefaultParagraphFont"/>
    <w:link w:val="Heading9"/>
    <w:locked/>
    <w:rPr>
      <w:rFonts w:ascii="Arial" w:hAnsi="Arial"/>
      <w:b/>
      <w:i/>
      <w:sz w:val="18"/>
      <w:szCs w:val="20"/>
    </w:rPr>
  </w:style>
  <w:style w:type="paragraph" w:styleId="BodyText">
    <w:name w:val="Body Text"/>
    <w:link w:val="BodyTextChar"/>
    <w:qFormat/>
    <w:rsid w:val="00AE5898"/>
    <w:pPr>
      <w:spacing w:before="240" w:line="320" w:lineRule="atLeast"/>
      <w:jc w:val="both"/>
    </w:pPr>
    <w:rPr>
      <w:sz w:val="26"/>
      <w:szCs w:val="20"/>
    </w:rPr>
  </w:style>
  <w:style w:type="character" w:customStyle="1" w:styleId="BodyTextChar">
    <w:name w:val="Body Text Char"/>
    <w:basedOn w:val="DefaultParagraphFont"/>
    <w:link w:val="BodyText"/>
    <w:locked/>
    <w:rsid w:val="002D201E"/>
    <w:rPr>
      <w:sz w:val="26"/>
      <w:szCs w:val="20"/>
    </w:rPr>
  </w:style>
  <w:style w:type="paragraph" w:styleId="Footer">
    <w:name w:val="footer"/>
    <w:basedOn w:val="BodyText"/>
    <w:link w:val="FooterChar"/>
    <w:semiHidden/>
    <w:rsid w:val="00AE5898"/>
    <w:pPr>
      <w:spacing w:before="80" w:line="200" w:lineRule="exact"/>
      <w:ind w:right="6"/>
      <w:jc w:val="left"/>
    </w:pPr>
    <w:rPr>
      <w:caps/>
      <w:spacing w:val="-4"/>
      <w:sz w:val="16"/>
    </w:rPr>
  </w:style>
  <w:style w:type="character" w:customStyle="1" w:styleId="FooterChar">
    <w:name w:val="Footer Char"/>
    <w:basedOn w:val="DefaultParagraphFont"/>
    <w:link w:val="Footer"/>
    <w:semiHidden/>
    <w:locked/>
    <w:rPr>
      <w:caps/>
      <w:spacing w:val="-4"/>
      <w:sz w:val="16"/>
      <w:szCs w:val="20"/>
    </w:rPr>
  </w:style>
  <w:style w:type="paragraph" w:customStyle="1" w:styleId="FooterEnd">
    <w:name w:val="Footer End"/>
    <w:basedOn w:val="Footer"/>
    <w:rsid w:val="00AE5898"/>
    <w:pPr>
      <w:spacing w:before="0" w:line="20" w:lineRule="exact"/>
    </w:pPr>
  </w:style>
  <w:style w:type="paragraph" w:styleId="Header">
    <w:name w:val="header"/>
    <w:basedOn w:val="BodyText"/>
    <w:link w:val="HeaderChar"/>
    <w:rsid w:val="00AE5898"/>
    <w:pPr>
      <w:tabs>
        <w:tab w:val="center" w:pos="4394"/>
        <w:tab w:val="right" w:pos="8789"/>
      </w:tabs>
      <w:spacing w:before="0" w:line="240" w:lineRule="atLeast"/>
      <w:jc w:val="left"/>
    </w:pPr>
    <w:rPr>
      <w:rFonts w:ascii="Arial" w:hAnsi="Arial"/>
      <w:caps/>
    </w:rPr>
  </w:style>
  <w:style w:type="character" w:customStyle="1" w:styleId="HeaderChar">
    <w:name w:val="Header Char"/>
    <w:basedOn w:val="DefaultParagraphFont"/>
    <w:link w:val="Header"/>
    <w:locked/>
    <w:rPr>
      <w:rFonts w:ascii="Arial" w:hAnsi="Arial"/>
      <w:caps/>
      <w:sz w:val="26"/>
      <w:szCs w:val="20"/>
    </w:rPr>
  </w:style>
  <w:style w:type="paragraph" w:customStyle="1" w:styleId="HeaderEnd">
    <w:name w:val="Header End"/>
    <w:basedOn w:val="Header"/>
    <w:autoRedefine/>
    <w:rsid w:val="00AE5898"/>
    <w:pPr>
      <w:spacing w:line="20" w:lineRule="exact"/>
    </w:pPr>
    <w:rPr>
      <w:sz w:val="16"/>
    </w:rPr>
  </w:style>
  <w:style w:type="paragraph" w:customStyle="1" w:styleId="HeaderEven">
    <w:name w:val="Header Even"/>
    <w:basedOn w:val="Header"/>
    <w:semiHidden/>
    <w:rsid w:val="00AE5898"/>
  </w:style>
  <w:style w:type="paragraph" w:customStyle="1" w:styleId="HeaderOdd">
    <w:name w:val="Header Odd"/>
    <w:basedOn w:val="Header"/>
    <w:semiHidden/>
    <w:rsid w:val="00AE5898"/>
  </w:style>
  <w:style w:type="character" w:styleId="PageNumber">
    <w:name w:val="page number"/>
    <w:basedOn w:val="DefaultParagraphFont"/>
    <w:rsid w:val="00AE5898"/>
    <w:rPr>
      <w:rFonts w:ascii="Arial" w:hAnsi="Arial"/>
      <w:b/>
      <w:sz w:val="16"/>
    </w:rPr>
  </w:style>
  <w:style w:type="paragraph" w:customStyle="1" w:styleId="Abbreviation">
    <w:name w:val="Abbreviation"/>
    <w:basedOn w:val="BodyText"/>
    <w:rsid w:val="00AE5898"/>
    <w:pPr>
      <w:spacing w:before="120"/>
      <w:ind w:left="2381" w:hanging="2381"/>
      <w:jc w:val="left"/>
    </w:pPr>
  </w:style>
  <w:style w:type="paragraph" w:customStyle="1" w:styleId="Box">
    <w:name w:val="Box"/>
    <w:basedOn w:val="BodyText"/>
    <w:qFormat/>
    <w:rsid w:val="00AE5898"/>
    <w:pPr>
      <w:keepNext/>
      <w:spacing w:before="120" w:line="280" w:lineRule="atLeast"/>
    </w:pPr>
    <w:rPr>
      <w:rFonts w:ascii="Arial" w:hAnsi="Arial"/>
      <w:sz w:val="22"/>
    </w:rPr>
  </w:style>
  <w:style w:type="paragraph" w:customStyle="1" w:styleId="BoxContinued">
    <w:name w:val="Box Continued"/>
    <w:basedOn w:val="BodyText"/>
    <w:next w:val="BodyText"/>
    <w:semiHidden/>
    <w:rsid w:val="00AE5898"/>
    <w:pPr>
      <w:spacing w:before="180" w:line="220" w:lineRule="exact"/>
      <w:jc w:val="right"/>
    </w:pPr>
    <w:rPr>
      <w:rFonts w:ascii="Arial" w:hAnsi="Arial"/>
      <w:sz w:val="18"/>
    </w:rPr>
  </w:style>
  <w:style w:type="paragraph" w:customStyle="1" w:styleId="BoxHeading1">
    <w:name w:val="Box Heading 1"/>
    <w:basedOn w:val="BodyText"/>
    <w:next w:val="Box"/>
    <w:rsid w:val="00AE5898"/>
    <w:pPr>
      <w:keepNext/>
      <w:spacing w:before="200" w:line="280" w:lineRule="atLeast"/>
    </w:pPr>
    <w:rPr>
      <w:rFonts w:ascii="Arial" w:hAnsi="Arial"/>
      <w:b/>
      <w:sz w:val="22"/>
    </w:rPr>
  </w:style>
  <w:style w:type="paragraph" w:customStyle="1" w:styleId="BoxHeading2">
    <w:name w:val="Box Heading 2"/>
    <w:basedOn w:val="BoxHeading1"/>
    <w:next w:val="Normal"/>
    <w:rsid w:val="00AE5898"/>
    <w:rPr>
      <w:b w:val="0"/>
      <w:i/>
    </w:rPr>
  </w:style>
  <w:style w:type="paragraph" w:customStyle="1" w:styleId="BoxListBullet">
    <w:name w:val="Box List Bullet"/>
    <w:basedOn w:val="BodyText"/>
    <w:rsid w:val="00AE5898"/>
    <w:pPr>
      <w:keepNext/>
      <w:numPr>
        <w:numId w:val="1"/>
      </w:numPr>
      <w:spacing w:before="60" w:line="280" w:lineRule="atLeast"/>
    </w:pPr>
    <w:rPr>
      <w:rFonts w:ascii="Arial" w:hAnsi="Arial"/>
      <w:sz w:val="22"/>
    </w:rPr>
  </w:style>
  <w:style w:type="paragraph" w:customStyle="1" w:styleId="BoxListBullet2">
    <w:name w:val="Box List Bullet 2"/>
    <w:basedOn w:val="BodyText"/>
    <w:rsid w:val="00AE5898"/>
    <w:pPr>
      <w:keepNext/>
      <w:numPr>
        <w:numId w:val="2"/>
      </w:numPr>
      <w:spacing w:before="60" w:line="280" w:lineRule="atLeast"/>
    </w:pPr>
    <w:rPr>
      <w:rFonts w:ascii="Arial" w:hAnsi="Arial"/>
      <w:sz w:val="22"/>
    </w:rPr>
  </w:style>
  <w:style w:type="paragraph" w:customStyle="1" w:styleId="BoxListNumber">
    <w:name w:val="Box List Number"/>
    <w:basedOn w:val="BodyText"/>
    <w:rsid w:val="00AE5898"/>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AE5898"/>
    <w:pPr>
      <w:numPr>
        <w:ilvl w:val="1"/>
      </w:numPr>
    </w:pPr>
  </w:style>
  <w:style w:type="paragraph" w:customStyle="1" w:styleId="BoxQuote">
    <w:name w:val="Box Quote"/>
    <w:basedOn w:val="BodyText"/>
    <w:next w:val="Box"/>
    <w:rsid w:val="00AE5898"/>
    <w:pPr>
      <w:keepNext/>
      <w:spacing w:before="60" w:line="260" w:lineRule="exact"/>
      <w:ind w:left="284"/>
    </w:pPr>
    <w:rPr>
      <w:rFonts w:ascii="Arial" w:hAnsi="Arial"/>
      <w:sz w:val="20"/>
    </w:rPr>
  </w:style>
  <w:style w:type="paragraph" w:customStyle="1" w:styleId="Note">
    <w:name w:val="Note"/>
    <w:basedOn w:val="BodyText"/>
    <w:next w:val="BodyText"/>
    <w:rsid w:val="00AE5898"/>
    <w:pPr>
      <w:keepLines/>
      <w:spacing w:before="80" w:line="220" w:lineRule="exact"/>
    </w:pPr>
    <w:rPr>
      <w:rFonts w:ascii="Arial" w:hAnsi="Arial"/>
      <w:sz w:val="18"/>
    </w:rPr>
  </w:style>
  <w:style w:type="paragraph" w:customStyle="1" w:styleId="Source">
    <w:name w:val="Source"/>
    <w:basedOn w:val="Note"/>
    <w:next w:val="BodyText"/>
    <w:rsid w:val="00AE5898"/>
    <w:pPr>
      <w:spacing w:after="120"/>
    </w:pPr>
  </w:style>
  <w:style w:type="paragraph" w:customStyle="1" w:styleId="BoxSource">
    <w:name w:val="Box Source"/>
    <w:basedOn w:val="Source"/>
    <w:next w:val="BodyText"/>
    <w:rsid w:val="00AE5898"/>
    <w:pPr>
      <w:spacing w:before="180" w:after="0"/>
    </w:pPr>
  </w:style>
  <w:style w:type="paragraph" w:customStyle="1" w:styleId="BoxSpace">
    <w:name w:val="Box Space"/>
    <w:basedOn w:val="BodyText"/>
    <w:rsid w:val="00616544"/>
    <w:pPr>
      <w:keepNext/>
      <w:spacing w:before="360" w:line="80" w:lineRule="exact"/>
      <w:jc w:val="left"/>
    </w:pPr>
  </w:style>
  <w:style w:type="paragraph" w:styleId="Caption">
    <w:name w:val="caption"/>
    <w:basedOn w:val="Normal"/>
    <w:next w:val="BodyText"/>
    <w:rsid w:val="00AE589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AE5898"/>
    <w:pPr>
      <w:spacing w:before="120" w:after="0"/>
      <w:ind w:left="1304" w:hanging="1304"/>
    </w:pPr>
    <w:rPr>
      <w:sz w:val="24"/>
    </w:rPr>
  </w:style>
  <w:style w:type="paragraph" w:customStyle="1" w:styleId="BoxSubtitle">
    <w:name w:val="Box Subtitle"/>
    <w:basedOn w:val="BoxTitle"/>
    <w:next w:val="Normal"/>
    <w:rsid w:val="00AE5898"/>
    <w:pPr>
      <w:spacing w:after="80" w:line="200" w:lineRule="exact"/>
      <w:ind w:firstLine="0"/>
    </w:pPr>
    <w:rPr>
      <w:b w:val="0"/>
      <w:sz w:val="20"/>
    </w:rPr>
  </w:style>
  <w:style w:type="paragraph" w:customStyle="1" w:styleId="Chapter">
    <w:name w:val="Chapter"/>
    <w:basedOn w:val="Heading1"/>
    <w:next w:val="BodyText"/>
    <w:semiHidden/>
    <w:rsid w:val="00AE5898"/>
    <w:pPr>
      <w:ind w:left="0" w:firstLine="0"/>
      <w:outlineLvl w:val="9"/>
    </w:pPr>
  </w:style>
  <w:style w:type="paragraph" w:customStyle="1" w:styleId="ChapterSummary">
    <w:name w:val="Chapter Summary"/>
    <w:basedOn w:val="BodyText"/>
    <w:rsid w:val="00AE5898"/>
    <w:pPr>
      <w:ind w:left="907"/>
    </w:pPr>
    <w:rPr>
      <w:rFonts w:ascii="Arial" w:hAnsi="Arial"/>
      <w:b/>
      <w:sz w:val="22"/>
    </w:rPr>
  </w:style>
  <w:style w:type="character" w:styleId="CommentReference">
    <w:name w:val="annotation reference"/>
    <w:basedOn w:val="DefaultParagraphFont"/>
    <w:semiHidden/>
    <w:rsid w:val="00AE5898"/>
    <w:rPr>
      <w:b/>
      <w:vanish/>
      <w:color w:val="FF00FF"/>
      <w:sz w:val="20"/>
    </w:rPr>
  </w:style>
  <w:style w:type="paragraph" w:styleId="CommentText">
    <w:name w:val="annotation text"/>
    <w:basedOn w:val="Normal"/>
    <w:link w:val="CommentTextChar"/>
    <w:semiHidden/>
    <w:rsid w:val="00AE5898"/>
    <w:pPr>
      <w:spacing w:before="120" w:line="240" w:lineRule="atLeast"/>
      <w:ind w:left="567" w:hanging="567"/>
    </w:pPr>
    <w:rPr>
      <w:sz w:val="20"/>
    </w:rPr>
  </w:style>
  <w:style w:type="character" w:customStyle="1" w:styleId="CommentTextChar">
    <w:name w:val="Comment Text Char"/>
    <w:basedOn w:val="DefaultParagraphFont"/>
    <w:link w:val="CommentText"/>
    <w:semiHidden/>
    <w:locked/>
    <w:rsid w:val="002D201E"/>
    <w:rPr>
      <w:sz w:val="20"/>
      <w:szCs w:val="24"/>
    </w:rPr>
  </w:style>
  <w:style w:type="paragraph" w:customStyle="1" w:styleId="Continued">
    <w:name w:val="Continued"/>
    <w:basedOn w:val="BoxContinued"/>
    <w:next w:val="BodyText"/>
    <w:rsid w:val="00AE5898"/>
  </w:style>
  <w:style w:type="character" w:customStyle="1" w:styleId="DocumentInfo">
    <w:name w:val="Document Info"/>
    <w:basedOn w:val="DefaultParagraphFont"/>
    <w:semiHidden/>
    <w:rsid w:val="00AE5898"/>
    <w:rPr>
      <w:rFonts w:ascii="Arial" w:hAnsi="Arial"/>
      <w:sz w:val="14"/>
    </w:rPr>
  </w:style>
  <w:style w:type="character" w:customStyle="1" w:styleId="DraftingNote">
    <w:name w:val="Drafting Note"/>
    <w:basedOn w:val="DefaultParagraphFont"/>
    <w:rsid w:val="00AE5898"/>
    <w:rPr>
      <w:b/>
      <w:color w:val="FF0000"/>
      <w:sz w:val="24"/>
      <w:u w:val="dotted"/>
    </w:rPr>
  </w:style>
  <w:style w:type="paragraph" w:customStyle="1" w:styleId="Figure">
    <w:name w:val="Figure"/>
    <w:basedOn w:val="BodyText"/>
    <w:rsid w:val="00AE5898"/>
    <w:pPr>
      <w:keepNext/>
      <w:spacing w:before="120" w:after="120" w:line="240" w:lineRule="atLeast"/>
      <w:jc w:val="center"/>
    </w:pPr>
  </w:style>
  <w:style w:type="paragraph" w:customStyle="1" w:styleId="FigureTitle">
    <w:name w:val="Figure Title"/>
    <w:basedOn w:val="Caption"/>
    <w:next w:val="Subtitle"/>
    <w:rsid w:val="00AE5898"/>
    <w:rPr>
      <w:sz w:val="24"/>
    </w:rPr>
  </w:style>
  <w:style w:type="paragraph" w:styleId="Subtitle">
    <w:name w:val="Subtitle"/>
    <w:basedOn w:val="Caption"/>
    <w:link w:val="SubtitleChar"/>
    <w:rsid w:val="00AE5898"/>
    <w:pPr>
      <w:spacing w:before="0" w:line="200" w:lineRule="exact"/>
      <w:ind w:firstLine="0"/>
    </w:pPr>
    <w:rPr>
      <w:b w:val="0"/>
      <w:sz w:val="20"/>
    </w:rPr>
  </w:style>
  <w:style w:type="character" w:customStyle="1" w:styleId="SubtitleChar">
    <w:name w:val="Subtitle Char"/>
    <w:basedOn w:val="DefaultParagraphFont"/>
    <w:link w:val="Subtitle"/>
    <w:locked/>
    <w:rsid w:val="00AE5898"/>
    <w:rPr>
      <w:rFonts w:ascii="Arial" w:hAnsi="Arial"/>
      <w:sz w:val="20"/>
      <w:szCs w:val="24"/>
    </w:rPr>
  </w:style>
  <w:style w:type="paragraph" w:customStyle="1" w:styleId="Finding">
    <w:name w:val="Finding"/>
    <w:basedOn w:val="BodyText"/>
    <w:rsid w:val="00AE5898"/>
    <w:pPr>
      <w:keepLines/>
      <w:spacing w:before="180"/>
    </w:pPr>
    <w:rPr>
      <w:i/>
    </w:rPr>
  </w:style>
  <w:style w:type="paragraph" w:customStyle="1" w:styleId="FindingBullet">
    <w:name w:val="Finding Bullet"/>
    <w:basedOn w:val="Finding"/>
    <w:rsid w:val="00AE5898"/>
    <w:pPr>
      <w:numPr>
        <w:numId w:val="3"/>
      </w:numPr>
      <w:spacing w:before="80"/>
    </w:pPr>
  </w:style>
  <w:style w:type="paragraph" w:customStyle="1" w:styleId="FindingNoTitle">
    <w:name w:val="Finding NoTitle"/>
    <w:basedOn w:val="Finding"/>
    <w:rsid w:val="00AE5898"/>
    <w:pPr>
      <w:spacing w:before="240"/>
    </w:pPr>
  </w:style>
  <w:style w:type="paragraph" w:customStyle="1" w:styleId="RecTitle">
    <w:name w:val="Rec Title"/>
    <w:basedOn w:val="BodyText"/>
    <w:next w:val="Normal"/>
    <w:rsid w:val="00AE5898"/>
    <w:pPr>
      <w:keepNext/>
      <w:keepLines/>
    </w:pPr>
    <w:rPr>
      <w:caps/>
      <w:sz w:val="20"/>
    </w:rPr>
  </w:style>
  <w:style w:type="paragraph" w:customStyle="1" w:styleId="FindingTitle">
    <w:name w:val="Finding Title"/>
    <w:basedOn w:val="RecTitle"/>
    <w:next w:val="Finding"/>
    <w:rsid w:val="00AE5898"/>
    <w:pPr>
      <w:framePr w:wrap="notBeside" w:hAnchor="text"/>
    </w:pPr>
  </w:style>
  <w:style w:type="character" w:styleId="FootnoteReference">
    <w:name w:val="footnote reference"/>
    <w:basedOn w:val="DefaultParagraphFont"/>
    <w:semiHidden/>
    <w:rsid w:val="00AE5898"/>
    <w:rPr>
      <w:rFonts w:ascii="Times New Roman" w:hAnsi="Times New Roman"/>
      <w:position w:val="6"/>
      <w:sz w:val="22"/>
      <w:vertAlign w:val="baseline"/>
    </w:rPr>
  </w:style>
  <w:style w:type="paragraph" w:styleId="FootnoteText">
    <w:name w:val="footnote text"/>
    <w:basedOn w:val="BodyText"/>
    <w:link w:val="FootnoteTextChar"/>
    <w:rsid w:val="00AE5898"/>
    <w:pPr>
      <w:tabs>
        <w:tab w:val="left" w:pos="284"/>
      </w:tabs>
      <w:spacing w:before="80" w:line="260" w:lineRule="exact"/>
      <w:ind w:left="284" w:hanging="284"/>
    </w:pPr>
    <w:rPr>
      <w:sz w:val="22"/>
    </w:rPr>
  </w:style>
  <w:style w:type="character" w:customStyle="1" w:styleId="FootnoteTextChar">
    <w:name w:val="Footnote Text Char"/>
    <w:basedOn w:val="DefaultParagraphFont"/>
    <w:link w:val="FootnoteText"/>
    <w:locked/>
    <w:rPr>
      <w:szCs w:val="20"/>
    </w:rPr>
  </w:style>
  <w:style w:type="paragraph" w:customStyle="1" w:styleId="InformationRequest">
    <w:name w:val="Information Request"/>
    <w:basedOn w:val="Finding"/>
    <w:next w:val="BodyText"/>
    <w:rsid w:val="00AE5898"/>
    <w:pPr>
      <w:spacing w:before="360" w:after="120"/>
    </w:pPr>
    <w:rPr>
      <w:rFonts w:ascii="Arial" w:hAnsi="Arial"/>
      <w:sz w:val="24"/>
    </w:rPr>
  </w:style>
  <w:style w:type="paragraph" w:customStyle="1" w:styleId="Jurisdictioncommentsbodytext">
    <w:name w:val="Jurisdiction comments body text"/>
    <w:rsid w:val="00AE5898"/>
    <w:pPr>
      <w:spacing w:after="140"/>
      <w:jc w:val="both"/>
    </w:pPr>
    <w:rPr>
      <w:rFonts w:ascii="Arial" w:hAnsi="Arial"/>
      <w:sz w:val="24"/>
      <w:szCs w:val="20"/>
      <w:lang w:eastAsia="en-US"/>
    </w:rPr>
  </w:style>
  <w:style w:type="paragraph" w:customStyle="1" w:styleId="Jurisdictioncommentsheading">
    <w:name w:val="Jurisdiction comments heading"/>
    <w:rsid w:val="00AE5898"/>
    <w:pPr>
      <w:spacing w:after="140" w:line="320" w:lineRule="atLeast"/>
      <w:jc w:val="both"/>
    </w:pPr>
    <w:rPr>
      <w:rFonts w:ascii="Arial" w:hAnsi="Arial"/>
      <w:b/>
      <w:sz w:val="24"/>
      <w:szCs w:val="20"/>
      <w:lang w:eastAsia="en-US"/>
    </w:rPr>
  </w:style>
  <w:style w:type="paragraph" w:customStyle="1" w:styleId="Jurisdictioncommentslistbullet">
    <w:name w:val="Jurisdiction comments list bullet"/>
    <w:rsid w:val="00AE5898"/>
    <w:pPr>
      <w:numPr>
        <w:numId w:val="4"/>
      </w:numPr>
      <w:spacing w:after="140"/>
      <w:jc w:val="both"/>
    </w:pPr>
    <w:rPr>
      <w:rFonts w:ascii="Arial" w:hAnsi="Arial"/>
      <w:sz w:val="24"/>
      <w:szCs w:val="20"/>
      <w:lang w:eastAsia="en-US"/>
    </w:rPr>
  </w:style>
  <w:style w:type="paragraph" w:styleId="ListBullet">
    <w:name w:val="List Bullet"/>
    <w:basedOn w:val="BodyText"/>
    <w:rsid w:val="00AE5898"/>
    <w:pPr>
      <w:numPr>
        <w:numId w:val="5"/>
      </w:numPr>
      <w:spacing w:before="120"/>
    </w:pPr>
  </w:style>
  <w:style w:type="paragraph" w:styleId="ListBullet2">
    <w:name w:val="List Bullet 2"/>
    <w:basedOn w:val="BodyText"/>
    <w:rsid w:val="00AE5898"/>
    <w:pPr>
      <w:numPr>
        <w:numId w:val="6"/>
      </w:numPr>
      <w:spacing w:before="120"/>
    </w:pPr>
  </w:style>
  <w:style w:type="paragraph" w:styleId="ListBullet3">
    <w:name w:val="List Bullet 3"/>
    <w:basedOn w:val="BodyText"/>
    <w:rsid w:val="00AE5898"/>
    <w:pPr>
      <w:numPr>
        <w:numId w:val="7"/>
      </w:numPr>
      <w:spacing w:before="120"/>
    </w:pPr>
  </w:style>
  <w:style w:type="paragraph" w:styleId="ListNumber">
    <w:name w:val="List Number"/>
    <w:basedOn w:val="BodyText"/>
    <w:rsid w:val="00AE5898"/>
    <w:pPr>
      <w:numPr>
        <w:numId w:val="12"/>
      </w:numPr>
      <w:spacing w:before="120"/>
    </w:pPr>
  </w:style>
  <w:style w:type="paragraph" w:styleId="ListNumber2">
    <w:name w:val="List Number 2"/>
    <w:basedOn w:val="ListNumber"/>
    <w:rsid w:val="00AE5898"/>
    <w:pPr>
      <w:numPr>
        <w:ilvl w:val="1"/>
      </w:numPr>
    </w:pPr>
  </w:style>
  <w:style w:type="paragraph" w:styleId="ListNumber3">
    <w:name w:val="List Number 3"/>
    <w:basedOn w:val="ListNumber2"/>
    <w:rsid w:val="00AE5898"/>
    <w:pPr>
      <w:numPr>
        <w:ilvl w:val="2"/>
      </w:numPr>
    </w:pPr>
  </w:style>
  <w:style w:type="character" w:customStyle="1" w:styleId="NoteLabel">
    <w:name w:val="Note Label"/>
    <w:basedOn w:val="DefaultParagraphFont"/>
    <w:rsid w:val="00AE5898"/>
    <w:rPr>
      <w:rFonts w:ascii="Arial" w:hAnsi="Arial"/>
      <w:b/>
      <w:position w:val="6"/>
      <w:sz w:val="18"/>
    </w:rPr>
  </w:style>
  <w:style w:type="paragraph" w:customStyle="1" w:styleId="PartDivider">
    <w:name w:val="Part Divider"/>
    <w:basedOn w:val="BodyText"/>
    <w:next w:val="BodyText"/>
    <w:semiHidden/>
    <w:rsid w:val="00AE5898"/>
    <w:pPr>
      <w:spacing w:before="0" w:line="40" w:lineRule="exact"/>
      <w:jc w:val="right"/>
    </w:pPr>
    <w:rPr>
      <w:smallCaps/>
      <w:sz w:val="16"/>
    </w:rPr>
  </w:style>
  <w:style w:type="paragraph" w:customStyle="1" w:styleId="PartNumber">
    <w:name w:val="Part Number"/>
    <w:basedOn w:val="BodyText"/>
    <w:next w:val="BodyText"/>
    <w:semiHidden/>
    <w:rsid w:val="00AE5898"/>
    <w:pPr>
      <w:spacing w:before="4000" w:line="320" w:lineRule="exact"/>
      <w:ind w:left="6634"/>
      <w:jc w:val="right"/>
    </w:pPr>
    <w:rPr>
      <w:smallCaps/>
      <w:spacing w:val="60"/>
      <w:sz w:val="32"/>
    </w:rPr>
  </w:style>
  <w:style w:type="paragraph" w:customStyle="1" w:styleId="PartTitle">
    <w:name w:val="Part Title"/>
    <w:basedOn w:val="BodyText"/>
    <w:semiHidden/>
    <w:rsid w:val="00AE5898"/>
    <w:pPr>
      <w:spacing w:before="160" w:after="1360" w:line="520" w:lineRule="exact"/>
      <w:ind w:right="2381"/>
      <w:jc w:val="right"/>
    </w:pPr>
    <w:rPr>
      <w:smallCaps/>
      <w:sz w:val="52"/>
    </w:rPr>
  </w:style>
  <w:style w:type="paragraph" w:styleId="Quote">
    <w:name w:val="Quote"/>
    <w:basedOn w:val="BodyText"/>
    <w:next w:val="BodyText"/>
    <w:link w:val="QuoteChar"/>
    <w:qFormat/>
    <w:rsid w:val="00AE5898"/>
    <w:pPr>
      <w:spacing w:before="120" w:line="280" w:lineRule="exact"/>
      <w:ind w:left="340"/>
    </w:pPr>
    <w:rPr>
      <w:sz w:val="24"/>
    </w:rPr>
  </w:style>
  <w:style w:type="character" w:customStyle="1" w:styleId="QuoteChar">
    <w:name w:val="Quote Char"/>
    <w:basedOn w:val="DefaultParagraphFont"/>
    <w:link w:val="Quote"/>
    <w:locked/>
    <w:rPr>
      <w:sz w:val="24"/>
      <w:szCs w:val="20"/>
    </w:rPr>
  </w:style>
  <w:style w:type="paragraph" w:customStyle="1" w:styleId="QuoteBullet">
    <w:name w:val="Quote Bullet"/>
    <w:basedOn w:val="Quote"/>
    <w:rsid w:val="00AE5898"/>
    <w:pPr>
      <w:numPr>
        <w:numId w:val="8"/>
      </w:numPr>
    </w:pPr>
  </w:style>
  <w:style w:type="paragraph" w:customStyle="1" w:styleId="Rec">
    <w:name w:val="Rec"/>
    <w:basedOn w:val="BodyText"/>
    <w:rsid w:val="00AE5898"/>
    <w:pPr>
      <w:keepLines/>
      <w:spacing w:before="180"/>
    </w:pPr>
    <w:rPr>
      <w:b/>
      <w:i/>
    </w:rPr>
  </w:style>
  <w:style w:type="paragraph" w:customStyle="1" w:styleId="RecBullet">
    <w:name w:val="Rec Bullet"/>
    <w:basedOn w:val="Rec"/>
    <w:rsid w:val="00AE5898"/>
    <w:pPr>
      <w:numPr>
        <w:numId w:val="9"/>
      </w:numPr>
      <w:spacing w:before="80"/>
    </w:pPr>
  </w:style>
  <w:style w:type="paragraph" w:customStyle="1" w:styleId="RecB">
    <w:name w:val="RecB"/>
    <w:basedOn w:val="Normal"/>
    <w:rsid w:val="00AE5898"/>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AE5898"/>
    <w:pPr>
      <w:numPr>
        <w:numId w:val="14"/>
      </w:numPr>
      <w:spacing w:before="80"/>
    </w:pPr>
  </w:style>
  <w:style w:type="paragraph" w:customStyle="1" w:styleId="RecBNoTitle">
    <w:name w:val="RecB NoTitle"/>
    <w:basedOn w:val="RecB"/>
    <w:rsid w:val="00AE5898"/>
    <w:pPr>
      <w:spacing w:before="240"/>
    </w:pPr>
  </w:style>
  <w:style w:type="paragraph" w:customStyle="1" w:styleId="Reference">
    <w:name w:val="Reference"/>
    <w:basedOn w:val="BodyText"/>
    <w:rsid w:val="00AE5898"/>
    <w:pPr>
      <w:spacing w:before="120"/>
      <w:ind w:left="340" w:hanging="340"/>
    </w:pPr>
  </w:style>
  <w:style w:type="paragraph" w:customStyle="1" w:styleId="SequenceInfo">
    <w:name w:val="Sequence Info"/>
    <w:basedOn w:val="BodyText"/>
    <w:semiHidden/>
    <w:rsid w:val="00AE5898"/>
    <w:rPr>
      <w:vanish/>
      <w:sz w:val="16"/>
    </w:rPr>
  </w:style>
  <w:style w:type="paragraph" w:customStyle="1" w:styleId="SideNote">
    <w:name w:val="Side Note"/>
    <w:basedOn w:val="BodyText"/>
    <w:next w:val="BodyText"/>
    <w:semiHidden/>
    <w:rsid w:val="00AE589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semiHidden/>
    <w:rsid w:val="00AE5898"/>
    <w:pPr>
      <w:framePr w:wrap="around"/>
      <w:numPr>
        <w:numId w:val="10"/>
      </w:numPr>
      <w:tabs>
        <w:tab w:val="left" w:pos="227"/>
      </w:tabs>
    </w:pPr>
  </w:style>
  <w:style w:type="paragraph" w:customStyle="1" w:styleId="SideNoteGraphic">
    <w:name w:val="Side Note Graphic"/>
    <w:basedOn w:val="SideNote"/>
    <w:next w:val="BodyText"/>
    <w:semiHidden/>
    <w:rsid w:val="00AE5898"/>
    <w:pPr>
      <w:framePr w:wrap="around"/>
    </w:pPr>
  </w:style>
  <w:style w:type="paragraph" w:customStyle="1" w:styleId="TableBodyText">
    <w:name w:val="Table Body Text"/>
    <w:basedOn w:val="BodyText"/>
    <w:rsid w:val="00AE589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AE5898"/>
    <w:pPr>
      <w:numPr>
        <w:numId w:val="11"/>
      </w:numPr>
      <w:jc w:val="left"/>
    </w:pPr>
  </w:style>
  <w:style w:type="paragraph" w:customStyle="1" w:styleId="TableColumnHeading">
    <w:name w:val="Table Column Heading"/>
    <w:basedOn w:val="TableBodyText"/>
    <w:rsid w:val="00AE5898"/>
    <w:pPr>
      <w:spacing w:before="80" w:after="80"/>
    </w:pPr>
    <w:rPr>
      <w:i/>
    </w:rPr>
  </w:style>
  <w:style w:type="paragraph" w:styleId="TOC2">
    <w:name w:val="toc 2"/>
    <w:basedOn w:val="BodyText"/>
    <w:semiHidden/>
    <w:rsid w:val="00AE5898"/>
    <w:pPr>
      <w:tabs>
        <w:tab w:val="right" w:pos="8789"/>
      </w:tabs>
      <w:ind w:left="510" w:right="851" w:hanging="510"/>
      <w:jc w:val="left"/>
    </w:pPr>
    <w:rPr>
      <w:b/>
    </w:rPr>
  </w:style>
  <w:style w:type="paragraph" w:styleId="TOC3">
    <w:name w:val="toc 3"/>
    <w:basedOn w:val="TOC2"/>
    <w:semiHidden/>
    <w:rsid w:val="00AE5898"/>
    <w:pPr>
      <w:spacing w:before="60"/>
      <w:ind w:left="1190" w:hanging="680"/>
    </w:pPr>
    <w:rPr>
      <w:b w:val="0"/>
    </w:rPr>
  </w:style>
  <w:style w:type="paragraph" w:styleId="TableofFigures">
    <w:name w:val="table of figures"/>
    <w:basedOn w:val="TOC3"/>
    <w:next w:val="BodyText"/>
    <w:semiHidden/>
    <w:rsid w:val="00AE5898"/>
    <w:pPr>
      <w:ind w:left="737" w:hanging="737"/>
    </w:pPr>
  </w:style>
  <w:style w:type="paragraph" w:customStyle="1" w:styleId="TableTitle">
    <w:name w:val="Table Title"/>
    <w:basedOn w:val="Caption"/>
    <w:next w:val="Subtitle"/>
    <w:rsid w:val="00AE5898"/>
    <w:rPr>
      <w:sz w:val="24"/>
    </w:rPr>
  </w:style>
  <w:style w:type="paragraph" w:customStyle="1" w:styleId="TableUnitsRow">
    <w:name w:val="Table Units Row"/>
    <w:basedOn w:val="TableBodyText"/>
    <w:rsid w:val="00AE5898"/>
    <w:pPr>
      <w:spacing w:before="80" w:after="80"/>
    </w:pPr>
  </w:style>
  <w:style w:type="paragraph" w:styleId="TOC1">
    <w:name w:val="toc 1"/>
    <w:basedOn w:val="Normal"/>
    <w:next w:val="TOC2"/>
    <w:semiHidden/>
    <w:rsid w:val="00AE5898"/>
    <w:pPr>
      <w:tabs>
        <w:tab w:val="right" w:pos="8789"/>
      </w:tabs>
      <w:spacing w:before="480" w:after="60" w:line="320" w:lineRule="exact"/>
      <w:ind w:left="1191" w:right="851" w:hanging="1191"/>
    </w:pPr>
    <w:rPr>
      <w:b/>
      <w:caps/>
    </w:rPr>
  </w:style>
  <w:style w:type="paragraph" w:styleId="TOC4">
    <w:name w:val="toc 4"/>
    <w:basedOn w:val="TOC3"/>
    <w:semiHidden/>
    <w:rsid w:val="00AE5898"/>
    <w:pPr>
      <w:ind w:left="1191" w:firstLine="0"/>
    </w:pPr>
  </w:style>
  <w:style w:type="paragraph" w:customStyle="1" w:styleId="RecBBullet2">
    <w:name w:val="RecB Bullet 2"/>
    <w:basedOn w:val="ListBullet2"/>
    <w:rsid w:val="00AE5898"/>
    <w:pPr>
      <w:pBdr>
        <w:left w:val="single" w:sz="24" w:space="29" w:color="C0C0C0"/>
      </w:pBdr>
    </w:pPr>
    <w:rPr>
      <w:b/>
      <w:i/>
    </w:rPr>
  </w:style>
  <w:style w:type="paragraph" w:styleId="BalloonText">
    <w:name w:val="Balloon Text"/>
    <w:basedOn w:val="Normal"/>
    <w:link w:val="BalloonTextChar"/>
    <w:rsid w:val="00AE5898"/>
    <w:rPr>
      <w:rFonts w:ascii="Tahoma" w:hAnsi="Tahoma" w:cs="Tahoma"/>
      <w:sz w:val="16"/>
      <w:szCs w:val="16"/>
    </w:rPr>
  </w:style>
  <w:style w:type="character" w:customStyle="1" w:styleId="BalloonTextChar">
    <w:name w:val="Balloon Text Char"/>
    <w:basedOn w:val="DefaultParagraphFont"/>
    <w:link w:val="BalloonText"/>
    <w:locked/>
    <w:rsid w:val="00AE5898"/>
    <w:rPr>
      <w:rFonts w:ascii="Tahoma" w:hAnsi="Tahoma" w:cs="Tahoma"/>
      <w:sz w:val="16"/>
      <w:szCs w:val="16"/>
    </w:rPr>
  </w:style>
  <w:style w:type="paragraph" w:customStyle="1" w:styleId="BoxListBullet3">
    <w:name w:val="Box List Bullet 3"/>
    <w:basedOn w:val="ListBullet3"/>
    <w:rsid w:val="00AE5898"/>
    <w:pPr>
      <w:numPr>
        <w:numId w:val="45"/>
      </w:numPr>
      <w:tabs>
        <w:tab w:val="left" w:pos="907"/>
      </w:tabs>
      <w:spacing w:before="60" w:line="280" w:lineRule="atLeast"/>
      <w:ind w:left="907" w:hanging="340"/>
    </w:pPr>
    <w:rPr>
      <w:rFonts w:ascii="Arial" w:hAnsi="Arial"/>
      <w:sz w:val="22"/>
    </w:rPr>
  </w:style>
  <w:style w:type="character" w:styleId="Emphasis">
    <w:name w:val="Emphasis"/>
    <w:basedOn w:val="DefaultParagraphFont"/>
    <w:rsid w:val="00AE5898"/>
    <w:rPr>
      <w:i/>
      <w:iCs/>
    </w:rPr>
  </w:style>
  <w:style w:type="table" w:styleId="TableGrid">
    <w:name w:val="Table Grid"/>
    <w:basedOn w:val="TableNormal"/>
    <w:uiPriority w:val="99"/>
    <w:rsid w:val="006E4939"/>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rsid w:val="00613968"/>
    <w:rPr>
      <w:rFonts w:cs="Times New Roman"/>
      <w:color w:val="045F85"/>
      <w:sz w:val="24"/>
      <w:szCs w:val="24"/>
      <w:u w:val="none"/>
      <w:effect w:val="none"/>
      <w:shd w:val="clear" w:color="auto" w:fill="auto"/>
      <w:vertAlign w:val="baseline"/>
    </w:rPr>
  </w:style>
  <w:style w:type="paragraph" w:styleId="NormalWeb">
    <w:name w:val="Normal (Web)"/>
    <w:basedOn w:val="Normal"/>
    <w:uiPriority w:val="99"/>
    <w:rsid w:val="00613968"/>
    <w:pPr>
      <w:spacing w:after="240"/>
    </w:pPr>
    <w:rPr>
      <w:sz w:val="24"/>
    </w:rPr>
  </w:style>
  <w:style w:type="paragraph" w:styleId="PlainText">
    <w:name w:val="Plain Text"/>
    <w:basedOn w:val="Normal"/>
    <w:link w:val="PlainTextChar"/>
    <w:uiPriority w:val="99"/>
    <w:rsid w:val="008263C9"/>
    <w:rPr>
      <w:rFonts w:ascii="Consolas" w:hAnsi="Consolas" w:cs="Consolas"/>
      <w:sz w:val="21"/>
      <w:szCs w:val="21"/>
    </w:rPr>
  </w:style>
  <w:style w:type="character" w:customStyle="1" w:styleId="PlainTextChar">
    <w:name w:val="Plain Text Char"/>
    <w:basedOn w:val="DefaultParagraphFont"/>
    <w:link w:val="PlainText"/>
    <w:uiPriority w:val="99"/>
    <w:locked/>
    <w:rsid w:val="008263C9"/>
    <w:rPr>
      <w:rFonts w:ascii="Consolas" w:hAnsi="Consolas" w:cs="Consolas"/>
      <w:sz w:val="21"/>
      <w:szCs w:val="21"/>
    </w:rPr>
  </w:style>
  <w:style w:type="paragraph" w:customStyle="1" w:styleId="Primary">
    <w:name w:val="Primary"/>
    <w:basedOn w:val="BodyText"/>
    <w:rsid w:val="006E2D2B"/>
  </w:style>
  <w:style w:type="paragraph" w:customStyle="1" w:styleId="Bq">
    <w:name w:val="Bq"/>
    <w:basedOn w:val="BodyText"/>
    <w:rsid w:val="00C7632A"/>
  </w:style>
  <w:style w:type="paragraph" w:customStyle="1" w:styleId="BoxQuoteBullet">
    <w:name w:val="Box Quote Bullet"/>
    <w:basedOn w:val="BoxQuote"/>
    <w:next w:val="Box"/>
    <w:rsid w:val="00AE5898"/>
    <w:pPr>
      <w:numPr>
        <w:numId w:val="15"/>
      </w:numPr>
      <w:ind w:left="568" w:hanging="284"/>
    </w:pPr>
  </w:style>
  <w:style w:type="paragraph" w:customStyle="1" w:styleId="InformationRequestBullet">
    <w:name w:val="Information Request Bullet"/>
    <w:basedOn w:val="ListBullet"/>
    <w:next w:val="BodyText"/>
    <w:rsid w:val="00AE5898"/>
    <w:pPr>
      <w:numPr>
        <w:numId w:val="16"/>
      </w:numPr>
      <w:ind w:left="340" w:hanging="340"/>
    </w:pPr>
    <w:rPr>
      <w:rFonts w:ascii="Arial" w:hAnsi="Arial"/>
      <w:i/>
      <w:sz w:val="24"/>
    </w:rPr>
  </w:style>
  <w:style w:type="paragraph" w:customStyle="1" w:styleId="Bod">
    <w:name w:val="Bod"/>
    <w:basedOn w:val="BodyText"/>
    <w:rsid w:val="00171323"/>
  </w:style>
  <w:style w:type="character" w:customStyle="1" w:styleId="BodyTextChar2">
    <w:name w:val="Body Text Char2"/>
    <w:aliases w:val="Body Text Char Char Char1,Body Text Char1 Char Char Char1,Body Text Char Char Char Char Char1,Body Text Char1 Char Char Char Char Char1,Body Text Char Char Char Char Char Char Char1,Body Text Char1 Char Char Char Char Char Char Char"/>
    <w:uiPriority w:val="99"/>
    <w:rsid w:val="00EA7B2E"/>
    <w:rPr>
      <w:sz w:val="26"/>
    </w:rPr>
  </w:style>
  <w:style w:type="paragraph" w:styleId="CommentSubject">
    <w:name w:val="annotation subject"/>
    <w:basedOn w:val="CommentText"/>
    <w:next w:val="CommentText"/>
    <w:link w:val="CommentSubjectChar"/>
    <w:uiPriority w:val="99"/>
    <w:semiHidden/>
    <w:unhideWhenUsed/>
    <w:rsid w:val="00117018"/>
    <w:pPr>
      <w:spacing w:before="0" w:line="240" w:lineRule="auto"/>
      <w:ind w:left="0" w:firstLine="0"/>
    </w:pPr>
    <w:rPr>
      <w:b/>
      <w:bCs/>
      <w:szCs w:val="20"/>
    </w:rPr>
  </w:style>
  <w:style w:type="character" w:customStyle="1" w:styleId="CommentSubjectChar">
    <w:name w:val="Comment Subject Char"/>
    <w:basedOn w:val="CommentTextChar"/>
    <w:link w:val="CommentSubject"/>
    <w:uiPriority w:val="99"/>
    <w:semiHidden/>
    <w:rsid w:val="00117018"/>
    <w:rPr>
      <w:b/>
      <w:bCs/>
      <w:sz w:val="20"/>
      <w:szCs w:val="20"/>
    </w:rPr>
  </w:style>
  <w:style w:type="paragraph" w:styleId="Revision">
    <w:name w:val="Revision"/>
    <w:hidden/>
    <w:uiPriority w:val="99"/>
    <w:semiHidden/>
    <w:rsid w:val="00894858"/>
    <w:rPr>
      <w:sz w:val="26"/>
      <w:szCs w:val="24"/>
    </w:rPr>
  </w:style>
  <w:style w:type="paragraph" w:customStyle="1" w:styleId="BoxSpaceAbove">
    <w:name w:val="Box Space Above"/>
    <w:basedOn w:val="BodyText"/>
    <w:rsid w:val="00AE5898"/>
    <w:pPr>
      <w:keepNext/>
      <w:spacing w:before="360" w:line="80" w:lineRule="exact"/>
      <w:jc w:val="left"/>
    </w:pPr>
  </w:style>
  <w:style w:type="paragraph" w:customStyle="1" w:styleId="BoxSpaceBelow">
    <w:name w:val="Box Space Below"/>
    <w:basedOn w:val="Box"/>
    <w:rsid w:val="00AE5898"/>
    <w:pPr>
      <w:keepNext w:val="0"/>
      <w:spacing w:before="60" w:after="60" w:line="80" w:lineRule="exact"/>
    </w:pPr>
    <w:rPr>
      <w:sz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3412447">
      <w:bodyDiv w:val="1"/>
      <w:marLeft w:val="0"/>
      <w:marRight w:val="0"/>
      <w:marTop w:val="0"/>
      <w:marBottom w:val="0"/>
      <w:divBdr>
        <w:top w:val="none" w:sz="0" w:space="0" w:color="auto"/>
        <w:left w:val="none" w:sz="0" w:space="0" w:color="auto"/>
        <w:bottom w:val="none" w:sz="0" w:space="0" w:color="auto"/>
        <w:right w:val="none" w:sz="0" w:space="0" w:color="auto"/>
      </w:divBdr>
    </w:div>
    <w:div w:id="967320349">
      <w:marLeft w:val="0"/>
      <w:marRight w:val="0"/>
      <w:marTop w:val="0"/>
      <w:marBottom w:val="0"/>
      <w:divBdr>
        <w:top w:val="none" w:sz="0" w:space="0" w:color="auto"/>
        <w:left w:val="none" w:sz="0" w:space="0" w:color="auto"/>
        <w:bottom w:val="none" w:sz="0" w:space="0" w:color="auto"/>
        <w:right w:val="none" w:sz="0" w:space="0" w:color="auto"/>
      </w:divBdr>
      <w:divsChild>
        <w:div w:id="967320359">
          <w:marLeft w:val="0"/>
          <w:marRight w:val="0"/>
          <w:marTop w:val="0"/>
          <w:marBottom w:val="0"/>
          <w:divBdr>
            <w:top w:val="none" w:sz="0" w:space="0" w:color="auto"/>
            <w:left w:val="none" w:sz="0" w:space="0" w:color="auto"/>
            <w:bottom w:val="none" w:sz="0" w:space="0" w:color="auto"/>
            <w:right w:val="none" w:sz="0" w:space="0" w:color="auto"/>
          </w:divBdr>
          <w:divsChild>
            <w:div w:id="967320354">
              <w:marLeft w:val="0"/>
              <w:marRight w:val="0"/>
              <w:marTop w:val="0"/>
              <w:marBottom w:val="0"/>
              <w:divBdr>
                <w:top w:val="none" w:sz="0" w:space="0" w:color="auto"/>
                <w:left w:val="none" w:sz="0" w:space="0" w:color="auto"/>
                <w:bottom w:val="none" w:sz="0" w:space="0" w:color="auto"/>
                <w:right w:val="none" w:sz="0" w:space="0" w:color="auto"/>
              </w:divBdr>
              <w:divsChild>
                <w:div w:id="967320358">
                  <w:marLeft w:val="15"/>
                  <w:marRight w:val="15"/>
                  <w:marTop w:val="0"/>
                  <w:marBottom w:val="0"/>
                  <w:divBdr>
                    <w:top w:val="single" w:sz="6" w:space="0" w:color="FFFFFF"/>
                    <w:left w:val="single" w:sz="6" w:space="0" w:color="FFFFFF"/>
                    <w:bottom w:val="single" w:sz="6" w:space="11" w:color="FFFFFF"/>
                    <w:right w:val="single" w:sz="6" w:space="0" w:color="FFFFFF"/>
                  </w:divBdr>
                  <w:divsChild>
                    <w:div w:id="967320355">
                      <w:marLeft w:val="300"/>
                      <w:marRight w:val="300"/>
                      <w:marTop w:val="300"/>
                      <w:marBottom w:val="0"/>
                      <w:divBdr>
                        <w:top w:val="none" w:sz="0" w:space="0" w:color="auto"/>
                        <w:left w:val="none" w:sz="0" w:space="0" w:color="auto"/>
                        <w:bottom w:val="none" w:sz="0" w:space="0" w:color="auto"/>
                        <w:right w:val="none" w:sz="0" w:space="0" w:color="auto"/>
                      </w:divBdr>
                      <w:divsChild>
                        <w:div w:id="967320357">
                          <w:marLeft w:val="0"/>
                          <w:marRight w:val="0"/>
                          <w:marTop w:val="0"/>
                          <w:marBottom w:val="15"/>
                          <w:divBdr>
                            <w:top w:val="single" w:sz="6" w:space="12" w:color="C8C8C8"/>
                            <w:left w:val="single" w:sz="6" w:space="15" w:color="C8C8C8"/>
                            <w:bottom w:val="single" w:sz="6" w:space="0" w:color="C8C8C8"/>
                            <w:right w:val="single" w:sz="6" w:space="15" w:color="C8C8C8"/>
                          </w:divBdr>
                        </w:div>
                      </w:divsChild>
                    </w:div>
                  </w:divsChild>
                </w:div>
              </w:divsChild>
            </w:div>
          </w:divsChild>
        </w:div>
      </w:divsChild>
    </w:div>
    <w:div w:id="967320350">
      <w:marLeft w:val="0"/>
      <w:marRight w:val="0"/>
      <w:marTop w:val="0"/>
      <w:marBottom w:val="0"/>
      <w:divBdr>
        <w:top w:val="none" w:sz="0" w:space="0" w:color="auto"/>
        <w:left w:val="none" w:sz="0" w:space="0" w:color="auto"/>
        <w:bottom w:val="none" w:sz="0" w:space="0" w:color="auto"/>
        <w:right w:val="none" w:sz="0" w:space="0" w:color="auto"/>
      </w:divBdr>
    </w:div>
    <w:div w:id="967320356">
      <w:marLeft w:val="0"/>
      <w:marRight w:val="0"/>
      <w:marTop w:val="0"/>
      <w:marBottom w:val="0"/>
      <w:divBdr>
        <w:top w:val="none" w:sz="0" w:space="0" w:color="auto"/>
        <w:left w:val="none" w:sz="0" w:space="0" w:color="auto"/>
        <w:bottom w:val="none" w:sz="0" w:space="0" w:color="auto"/>
        <w:right w:val="none" w:sz="0" w:space="0" w:color="auto"/>
      </w:divBdr>
      <w:divsChild>
        <w:div w:id="967320352">
          <w:marLeft w:val="0"/>
          <w:marRight w:val="0"/>
          <w:marTop w:val="0"/>
          <w:marBottom w:val="0"/>
          <w:divBdr>
            <w:top w:val="none" w:sz="0" w:space="0" w:color="auto"/>
            <w:left w:val="none" w:sz="0" w:space="0" w:color="auto"/>
            <w:bottom w:val="none" w:sz="0" w:space="0" w:color="auto"/>
            <w:right w:val="none" w:sz="0" w:space="0" w:color="auto"/>
          </w:divBdr>
          <w:divsChild>
            <w:div w:id="967320353">
              <w:marLeft w:val="0"/>
              <w:marRight w:val="0"/>
              <w:marTop w:val="0"/>
              <w:marBottom w:val="0"/>
              <w:divBdr>
                <w:top w:val="none" w:sz="0" w:space="0" w:color="auto"/>
                <w:left w:val="none" w:sz="0" w:space="0" w:color="auto"/>
                <w:bottom w:val="none" w:sz="0" w:space="0" w:color="auto"/>
                <w:right w:val="none" w:sz="0" w:space="0" w:color="auto"/>
              </w:divBdr>
              <w:divsChild>
                <w:div w:id="967320351">
                  <w:marLeft w:val="150"/>
                  <w:marRight w:val="150"/>
                  <w:marTop w:val="0"/>
                  <w:marBottom w:val="0"/>
                  <w:divBdr>
                    <w:top w:val="none" w:sz="0" w:space="0" w:color="auto"/>
                    <w:left w:val="none" w:sz="0" w:space="0" w:color="auto"/>
                    <w:bottom w:val="none" w:sz="0" w:space="0" w:color="auto"/>
                    <w:right w:val="none" w:sz="0" w:space="0" w:color="auto"/>
                  </w:divBdr>
                  <w:divsChild>
                    <w:div w:id="967320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4136502">
      <w:bodyDiv w:val="1"/>
      <w:marLeft w:val="0"/>
      <w:marRight w:val="0"/>
      <w:marTop w:val="0"/>
      <w:marBottom w:val="0"/>
      <w:divBdr>
        <w:top w:val="none" w:sz="0" w:space="0" w:color="auto"/>
        <w:left w:val="none" w:sz="0" w:space="0" w:color="auto"/>
        <w:bottom w:val="none" w:sz="0" w:space="0" w:color="auto"/>
        <w:right w:val="none" w:sz="0" w:space="0" w:color="auto"/>
      </w:divBdr>
    </w:div>
    <w:div w:id="1893534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2.xm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chart" Target="charts/chart4.xml"/><Relationship Id="rId10" Type="http://schemas.openxmlformats.org/officeDocument/2006/relationships/image" Target="media/image2.png"/><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chart" Target="charts/chart3.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Office_Excel_2007_Workbook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Office_Excel_2007_Workbook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Office_Excel_2007_Workbook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Office_Excel_2007_Workbook4.xlsx"/><Relationship Id="rId1" Type="http://schemas.openxmlformats.org/officeDocument/2006/relationships/themeOverride" Target="../theme/themeOverrid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ysClr val="windowText" lastClr="000000"/>
            </a:solidFill>
          </c:spPr>
          <c:invertIfNegative val="0"/>
          <c:dLbls>
            <c:dLbl>
              <c:idx val="1"/>
              <c:layout>
                <c:manualLayout>
                  <c:x val="0"/>
                  <c:y val="2.0977666631015645E-2"/>
                </c:manualLayout>
              </c:layout>
              <c:dLblPos val="outEnd"/>
              <c:showLegendKey val="0"/>
              <c:showVal val="1"/>
              <c:showCatName val="0"/>
              <c:showSerName val="0"/>
              <c:showPercent val="0"/>
              <c:showBubbleSize val="0"/>
            </c:dLbl>
            <c:dLblPos val="outEnd"/>
            <c:showLegendKey val="0"/>
            <c:showVal val="1"/>
            <c:showCatName val="0"/>
            <c:showSerName val="0"/>
            <c:showPercent val="0"/>
            <c:showBubbleSize val="0"/>
            <c:showLeaderLines val="0"/>
          </c:dLbls>
          <c:cat>
            <c:strRef>
              <c:f>'RIA Agency Survey_responses-cc'!$I$86:$I$88</c:f>
              <c:strCache>
                <c:ptCount val="3"/>
                <c:pt idx="0">
                  <c:v>Agree</c:v>
                </c:pt>
                <c:pt idx="1">
                  <c:v>Neutral</c:v>
                </c:pt>
                <c:pt idx="2">
                  <c:v>Disagree</c:v>
                </c:pt>
              </c:strCache>
            </c:strRef>
          </c:cat>
          <c:val>
            <c:numRef>
              <c:f>'RIA Agency Survey_responses-cc'!$AE$86:$AE$88</c:f>
              <c:numCache>
                <c:formatCode>General</c:formatCode>
                <c:ptCount val="3"/>
                <c:pt idx="0">
                  <c:v>27</c:v>
                </c:pt>
                <c:pt idx="1">
                  <c:v>18</c:v>
                </c:pt>
                <c:pt idx="2">
                  <c:v>10</c:v>
                </c:pt>
              </c:numCache>
            </c:numRef>
          </c:val>
        </c:ser>
        <c:dLbls>
          <c:showLegendKey val="0"/>
          <c:showVal val="0"/>
          <c:showCatName val="0"/>
          <c:showSerName val="0"/>
          <c:showPercent val="0"/>
          <c:showBubbleSize val="0"/>
        </c:dLbls>
        <c:gapWidth val="150"/>
        <c:axId val="129235968"/>
        <c:axId val="108806912"/>
      </c:barChart>
      <c:catAx>
        <c:axId val="129235968"/>
        <c:scaling>
          <c:orientation val="minMax"/>
        </c:scaling>
        <c:delete val="0"/>
        <c:axPos val="b"/>
        <c:majorTickMark val="out"/>
        <c:minorTickMark val="none"/>
        <c:tickLblPos val="nextTo"/>
        <c:crossAx val="108806912"/>
        <c:crosses val="autoZero"/>
        <c:auto val="1"/>
        <c:lblAlgn val="ctr"/>
        <c:lblOffset val="100"/>
        <c:noMultiLvlLbl val="0"/>
      </c:catAx>
      <c:valAx>
        <c:axId val="108806912"/>
        <c:scaling>
          <c:orientation val="minMax"/>
        </c:scaling>
        <c:delete val="0"/>
        <c:axPos val="l"/>
        <c:numFmt formatCode="General" sourceLinked="1"/>
        <c:majorTickMark val="out"/>
        <c:minorTickMark val="none"/>
        <c:tickLblPos val="nextTo"/>
        <c:spPr>
          <a:ln>
            <a:solidFill>
              <a:schemeClr val="tx1"/>
            </a:solidFill>
          </a:ln>
        </c:spPr>
        <c:crossAx val="129235968"/>
        <c:crosses val="autoZero"/>
        <c:crossBetween val="between"/>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ysClr val="windowText" lastClr="000000"/>
            </a:solidFill>
          </c:spPr>
          <c:invertIfNegative val="0"/>
          <c:cat>
            <c:strRef>
              <c:f>'ROB responses'!$H$32:$H$34</c:f>
              <c:strCache>
                <c:ptCount val="3"/>
                <c:pt idx="0">
                  <c:v>Agree</c:v>
                </c:pt>
                <c:pt idx="1">
                  <c:v>Neutral</c:v>
                </c:pt>
                <c:pt idx="2">
                  <c:v>Disagree</c:v>
                </c:pt>
              </c:strCache>
            </c:strRef>
          </c:cat>
          <c:val>
            <c:numRef>
              <c:f>'ROB responses'!$AB$32:$AB$34</c:f>
              <c:numCache>
                <c:formatCode>General</c:formatCode>
                <c:ptCount val="3"/>
                <c:pt idx="0">
                  <c:v>3</c:v>
                </c:pt>
                <c:pt idx="1">
                  <c:v>4</c:v>
                </c:pt>
                <c:pt idx="2">
                  <c:v>1</c:v>
                </c:pt>
              </c:numCache>
            </c:numRef>
          </c:val>
        </c:ser>
        <c:dLbls>
          <c:dLblPos val="outEnd"/>
          <c:showLegendKey val="0"/>
          <c:showVal val="1"/>
          <c:showCatName val="0"/>
          <c:showSerName val="0"/>
          <c:showPercent val="0"/>
          <c:showBubbleSize val="0"/>
        </c:dLbls>
        <c:gapWidth val="150"/>
        <c:axId val="126751488"/>
        <c:axId val="126753024"/>
      </c:barChart>
      <c:catAx>
        <c:axId val="126751488"/>
        <c:scaling>
          <c:orientation val="minMax"/>
        </c:scaling>
        <c:delete val="0"/>
        <c:axPos val="b"/>
        <c:majorTickMark val="out"/>
        <c:minorTickMark val="none"/>
        <c:tickLblPos val="nextTo"/>
        <c:crossAx val="126753024"/>
        <c:crosses val="autoZero"/>
        <c:auto val="1"/>
        <c:lblAlgn val="ctr"/>
        <c:lblOffset val="100"/>
        <c:noMultiLvlLbl val="0"/>
      </c:catAx>
      <c:valAx>
        <c:axId val="126753024"/>
        <c:scaling>
          <c:orientation val="minMax"/>
          <c:max val="6"/>
        </c:scaling>
        <c:delete val="0"/>
        <c:axPos val="l"/>
        <c:numFmt formatCode="General" sourceLinked="1"/>
        <c:majorTickMark val="out"/>
        <c:minorTickMark val="none"/>
        <c:tickLblPos val="nextTo"/>
        <c:spPr>
          <a:ln>
            <a:solidFill>
              <a:schemeClr val="tx1"/>
            </a:solidFill>
          </a:ln>
        </c:spPr>
        <c:crossAx val="126751488"/>
        <c:crosses val="autoZero"/>
        <c:crossBetween val="between"/>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chemeClr val="tx1"/>
            </a:solidFill>
          </c:spPr>
          <c:invertIfNegative val="0"/>
          <c:dLbls>
            <c:dLbl>
              <c:idx val="0"/>
              <c:layout>
                <c:manualLayout>
                  <c:x val="-1.020923520923521E-4"/>
                  <c:y val="-1.3448120915032679E-2"/>
                </c:manualLayout>
              </c:layout>
              <c:dLblPos val="outEnd"/>
              <c:showLegendKey val="0"/>
              <c:showVal val="1"/>
              <c:showCatName val="0"/>
              <c:showSerName val="0"/>
              <c:showPercent val="0"/>
              <c:showBubbleSize val="0"/>
            </c:dLbl>
            <c:dLblPos val="outEnd"/>
            <c:showLegendKey val="0"/>
            <c:showVal val="1"/>
            <c:showCatName val="0"/>
            <c:showSerName val="0"/>
            <c:showPercent val="0"/>
            <c:showBubbleSize val="0"/>
            <c:showLeaderLines val="0"/>
          </c:dLbls>
          <c:cat>
            <c:strRef>
              <c:f>'RIA Agency Survey_responses-cc'!$I$86:$I$88</c:f>
              <c:strCache>
                <c:ptCount val="3"/>
                <c:pt idx="0">
                  <c:v>Agree</c:v>
                </c:pt>
                <c:pt idx="1">
                  <c:v>Neutral</c:v>
                </c:pt>
                <c:pt idx="2">
                  <c:v>Disagree</c:v>
                </c:pt>
              </c:strCache>
            </c:strRef>
          </c:cat>
          <c:val>
            <c:numRef>
              <c:f>'RIA Agency Survey_responses-cc'!$AF$86:$AF$88</c:f>
              <c:numCache>
                <c:formatCode>General</c:formatCode>
                <c:ptCount val="3"/>
                <c:pt idx="0">
                  <c:v>38</c:v>
                </c:pt>
                <c:pt idx="1">
                  <c:v>11</c:v>
                </c:pt>
                <c:pt idx="2">
                  <c:v>3</c:v>
                </c:pt>
              </c:numCache>
            </c:numRef>
          </c:val>
        </c:ser>
        <c:dLbls>
          <c:showLegendKey val="0"/>
          <c:showVal val="0"/>
          <c:showCatName val="0"/>
          <c:showSerName val="0"/>
          <c:showPercent val="0"/>
          <c:showBubbleSize val="0"/>
        </c:dLbls>
        <c:gapWidth val="150"/>
        <c:axId val="126733312"/>
        <c:axId val="126845696"/>
      </c:barChart>
      <c:catAx>
        <c:axId val="126733312"/>
        <c:scaling>
          <c:orientation val="minMax"/>
        </c:scaling>
        <c:delete val="0"/>
        <c:axPos val="b"/>
        <c:majorTickMark val="out"/>
        <c:minorTickMark val="none"/>
        <c:tickLblPos val="nextTo"/>
        <c:crossAx val="126845696"/>
        <c:crosses val="autoZero"/>
        <c:auto val="1"/>
        <c:lblAlgn val="ctr"/>
        <c:lblOffset val="100"/>
        <c:noMultiLvlLbl val="0"/>
      </c:catAx>
      <c:valAx>
        <c:axId val="126845696"/>
        <c:scaling>
          <c:orientation val="minMax"/>
          <c:max val="50"/>
        </c:scaling>
        <c:delete val="0"/>
        <c:axPos val="l"/>
        <c:numFmt formatCode="General" sourceLinked="1"/>
        <c:majorTickMark val="out"/>
        <c:minorTickMark val="none"/>
        <c:tickLblPos val="nextTo"/>
        <c:spPr>
          <a:ln>
            <a:solidFill>
              <a:schemeClr val="tx1"/>
            </a:solidFill>
          </a:ln>
        </c:spPr>
        <c:crossAx val="126733312"/>
        <c:crosses val="autoZero"/>
        <c:crossBetween val="between"/>
        <c:majorUnit val="10"/>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chemeClr val="tx1"/>
            </a:solidFill>
          </c:spPr>
          <c:invertIfNegative val="0"/>
          <c:cat>
            <c:strRef>
              <c:f>'ROB responses'!$H$32:$H$34</c:f>
              <c:strCache>
                <c:ptCount val="3"/>
                <c:pt idx="0">
                  <c:v>Agree</c:v>
                </c:pt>
                <c:pt idx="1">
                  <c:v>Neutral</c:v>
                </c:pt>
                <c:pt idx="2">
                  <c:v>Disagree</c:v>
                </c:pt>
              </c:strCache>
            </c:strRef>
          </c:cat>
          <c:val>
            <c:numRef>
              <c:f>'ROB responses'!$AC$32:$AC$34</c:f>
              <c:numCache>
                <c:formatCode>General</c:formatCode>
                <c:ptCount val="3"/>
                <c:pt idx="0">
                  <c:v>2</c:v>
                </c:pt>
                <c:pt idx="1">
                  <c:v>5</c:v>
                </c:pt>
                <c:pt idx="2">
                  <c:v>1</c:v>
                </c:pt>
              </c:numCache>
            </c:numRef>
          </c:val>
        </c:ser>
        <c:dLbls>
          <c:dLblPos val="outEnd"/>
          <c:showLegendKey val="0"/>
          <c:showVal val="1"/>
          <c:showCatName val="0"/>
          <c:showSerName val="0"/>
          <c:showPercent val="0"/>
          <c:showBubbleSize val="0"/>
        </c:dLbls>
        <c:gapWidth val="150"/>
        <c:axId val="130564864"/>
        <c:axId val="130566400"/>
      </c:barChart>
      <c:catAx>
        <c:axId val="130564864"/>
        <c:scaling>
          <c:orientation val="minMax"/>
        </c:scaling>
        <c:delete val="0"/>
        <c:axPos val="b"/>
        <c:majorTickMark val="out"/>
        <c:minorTickMark val="none"/>
        <c:tickLblPos val="nextTo"/>
        <c:crossAx val="130566400"/>
        <c:crosses val="autoZero"/>
        <c:auto val="1"/>
        <c:lblAlgn val="ctr"/>
        <c:lblOffset val="100"/>
        <c:noMultiLvlLbl val="0"/>
      </c:catAx>
      <c:valAx>
        <c:axId val="130566400"/>
        <c:scaling>
          <c:orientation val="minMax"/>
          <c:max val="10"/>
        </c:scaling>
        <c:delete val="0"/>
        <c:axPos val="l"/>
        <c:numFmt formatCode="General" sourceLinked="1"/>
        <c:majorTickMark val="out"/>
        <c:minorTickMark val="none"/>
        <c:tickLblPos val="nextTo"/>
        <c:spPr>
          <a:ln>
            <a:solidFill>
              <a:schemeClr val="tx1"/>
            </a:solidFill>
          </a:ln>
        </c:spPr>
        <c:crossAx val="130564864"/>
        <c:crosses val="autoZero"/>
        <c:crossBetween val="between"/>
        <c:majorUnit val="2"/>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B289A6-96DC-4835-8D2B-4EB96EFCBC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Template>
  <TotalTime>365</TotalTime>
  <Pages>38</Pages>
  <Words>14195</Words>
  <Characters>81502</Characters>
  <Application>Microsoft Office Word</Application>
  <DocSecurity>0</DocSecurity>
  <Lines>679</Lines>
  <Paragraphs>191</Paragraphs>
  <ScaleCrop>false</ScaleCrop>
  <HeadingPairs>
    <vt:vector size="2" baseType="variant">
      <vt:variant>
        <vt:lpstr>Title</vt:lpstr>
      </vt:variant>
      <vt:variant>
        <vt:i4>1</vt:i4>
      </vt:variant>
    </vt:vector>
  </HeadingPairs>
  <TitlesOfParts>
    <vt:vector size="1" baseType="lpstr">
      <vt:lpstr>Accountability and quality control</vt:lpstr>
    </vt:vector>
  </TitlesOfParts>
  <Company>Productivity Commission</Company>
  <LinksUpToDate>false</LinksUpToDate>
  <CharactersWithSpaces>95506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Accountability and quality control</dc:title>
  <dc:subject>ria benchmarking</dc:subject>
  <dc:creator>Productivity Commission</dc:creator>
  <cp:keywords/>
  <dc:description>8.</dc:description>
  <cp:lastModifiedBy>Bell, Rosalyn</cp:lastModifiedBy>
  <cp:revision>444</cp:revision>
  <cp:lastPrinted>2012-11-27T03:18:00Z</cp:lastPrinted>
  <dcterms:created xsi:type="dcterms:W3CDTF">2012-07-30T00:02:00Z</dcterms:created>
  <dcterms:modified xsi:type="dcterms:W3CDTF">2012-11-27T03:21:00Z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-759654168</vt:i4>
  </property>
  <property fmtid="{D5CDD505-2E9C-101B-9397-08002B2CF9AE}" pid="3" name="_NewReviewCycle">
    <vt:lpwstr/>
  </property>
  <property fmtid="{D5CDD505-2E9C-101B-9397-08002B2CF9AE}" pid="4" name="_EmailSubject">
    <vt:lpwstr>Web files - RIA - final research report</vt:lpwstr>
  </property>
  <property fmtid="{D5CDD505-2E9C-101B-9397-08002B2CF9AE}" pid="5" name="_AuthorEmail">
    <vt:lpwstr>Louise.Jordan@pc.gov.au</vt:lpwstr>
  </property>
  <property fmtid="{D5CDD505-2E9C-101B-9397-08002B2CF9AE}" pid="6" name="_AuthorEmailDisplayName">
    <vt:lpwstr>Jordan, Louise</vt:lpwstr>
  </property>
</Properties>
</file>