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83F" w:rsidRDefault="00612363" w:rsidP="00612363">
      <w:pPr>
        <w:pStyle w:val="Heading1"/>
        <w:spacing w:before="0"/>
      </w:pPr>
      <w:bookmarkStart w:id="0" w:name="ChapterNumber"/>
      <w:bookmarkStart w:id="1" w:name="_GoBack"/>
      <w:r>
        <w:t>10</w:t>
      </w:r>
      <w:bookmarkEnd w:id="0"/>
      <w:r>
        <w:tab/>
      </w:r>
      <w:bookmarkStart w:id="2" w:name="ChapterTitle"/>
      <w:r>
        <w:t>Improving integration</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7683F" w:rsidTr="00307226">
        <w:tc>
          <w:tcPr>
            <w:tcW w:w="8771" w:type="dxa"/>
            <w:tcBorders>
              <w:top w:val="single" w:sz="6" w:space="0" w:color="auto"/>
              <w:bottom w:val="nil"/>
            </w:tcBorders>
          </w:tcPr>
          <w:p w:rsidR="0087683F" w:rsidRDefault="0087683F" w:rsidP="00307226">
            <w:pPr>
              <w:pStyle w:val="BoxTitle"/>
            </w:pPr>
            <w:r>
              <w:t xml:space="preserve">Key points </w:t>
            </w:r>
          </w:p>
        </w:tc>
      </w:tr>
      <w:tr w:rsidR="0087683F" w:rsidTr="00307226">
        <w:trPr>
          <w:cantSplit/>
        </w:trPr>
        <w:tc>
          <w:tcPr>
            <w:tcW w:w="8771" w:type="dxa"/>
            <w:tcBorders>
              <w:top w:val="nil"/>
              <w:bottom w:val="nil"/>
            </w:tcBorders>
          </w:tcPr>
          <w:p w:rsidR="0087683F" w:rsidRDefault="00543626" w:rsidP="000638C7">
            <w:pPr>
              <w:pStyle w:val="BoxListBullet"/>
            </w:pPr>
            <w:r>
              <w:t>Regulatory impact analysis (</w:t>
            </w:r>
            <w:r w:rsidR="00D4393E" w:rsidRPr="00D4393E">
              <w:t>RIA</w:t>
            </w:r>
            <w:r>
              <w:t>)</w:t>
            </w:r>
            <w:r w:rsidR="00D4393E" w:rsidRPr="00D4393E">
              <w:t xml:space="preserve"> </w:t>
            </w:r>
            <w:r w:rsidR="00634A1D">
              <w:t xml:space="preserve">requirements </w:t>
            </w:r>
            <w:r>
              <w:t>will be</w:t>
            </w:r>
            <w:r w:rsidR="00D4393E" w:rsidRPr="00D4393E">
              <w:t xml:space="preserve"> fully integrated into </w:t>
            </w:r>
            <w:r w:rsidR="00965138">
              <w:t xml:space="preserve">policy development </w:t>
            </w:r>
            <w:r w:rsidR="00D4393E" w:rsidRPr="00D4393E">
              <w:t xml:space="preserve">when </w:t>
            </w:r>
            <w:r w:rsidR="00965138">
              <w:t>key RIA aspects — such as considering and evaluating a range of regulatory and non</w:t>
            </w:r>
            <w:r w:rsidR="004308A4">
              <w:noBreakHyphen/>
            </w:r>
            <w:r w:rsidR="00965138">
              <w:t xml:space="preserve">regulatory options — occur </w:t>
            </w:r>
            <w:r w:rsidR="0027506E">
              <w:t xml:space="preserve">routinely </w:t>
            </w:r>
            <w:r w:rsidR="00965138">
              <w:t xml:space="preserve">as part of the process. </w:t>
            </w:r>
          </w:p>
          <w:p w:rsidR="00634A1D" w:rsidRDefault="00634A1D" w:rsidP="00634A1D">
            <w:pPr>
              <w:pStyle w:val="BoxListBullet"/>
            </w:pPr>
            <w:r>
              <w:t>Despite jurisdictions requiring RIA to commence at the start of the policy development process</w:t>
            </w:r>
            <w:r w:rsidR="00647104">
              <w:t>,</w:t>
            </w:r>
            <w:r w:rsidRPr="00634A1D">
              <w:t xml:space="preserve"> RIA is often an afterthought or ‘add</w:t>
            </w:r>
            <w:r w:rsidR="004308A4">
              <w:noBreakHyphen/>
            </w:r>
            <w:r w:rsidRPr="00634A1D">
              <w:t>on’ to regulatory development.</w:t>
            </w:r>
          </w:p>
          <w:p w:rsidR="00634A1D" w:rsidRDefault="00634A1D" w:rsidP="00634A1D">
            <w:pPr>
              <w:pStyle w:val="BoxListBullet"/>
            </w:pPr>
            <w:r w:rsidRPr="00634A1D">
              <w:t>Identifying whe</w:t>
            </w:r>
            <w:r w:rsidR="00543626">
              <w:t>re</w:t>
            </w:r>
            <w:r w:rsidRPr="00634A1D">
              <w:t xml:space="preserve"> integ</w:t>
            </w:r>
            <w:r>
              <w:t>ration ha</w:t>
            </w:r>
            <w:r w:rsidR="00E15024">
              <w:t>s</w:t>
            </w:r>
            <w:r>
              <w:t xml:space="preserve"> occurred is not easy </w:t>
            </w:r>
            <w:r w:rsidR="00647104">
              <w:t xml:space="preserve">but </w:t>
            </w:r>
            <w:r>
              <w:t>t</w:t>
            </w:r>
            <w:r w:rsidRPr="00634A1D">
              <w:t xml:space="preserve">here </w:t>
            </w:r>
            <w:r w:rsidR="00647104">
              <w:t xml:space="preserve">are </w:t>
            </w:r>
            <w:r w:rsidRPr="00634A1D">
              <w:t>indication</w:t>
            </w:r>
            <w:r w:rsidR="00647104">
              <w:t>s</w:t>
            </w:r>
            <w:r w:rsidRPr="00634A1D">
              <w:t xml:space="preserve"> that</w:t>
            </w:r>
            <w:r>
              <w:t xml:space="preserve"> </w:t>
            </w:r>
            <w:r w:rsidR="00E41370">
              <w:t>some</w:t>
            </w:r>
            <w:r w:rsidRPr="00634A1D">
              <w:t xml:space="preserve"> national standard setting bodies</w:t>
            </w:r>
            <w:r>
              <w:t xml:space="preserve">, </w:t>
            </w:r>
            <w:r w:rsidRPr="00634A1D">
              <w:t>COAG ministerial councils</w:t>
            </w:r>
            <w:r w:rsidR="00CA1742">
              <w:t>,</w:t>
            </w:r>
            <w:r w:rsidR="00E41370">
              <w:t xml:space="preserve"> certain </w:t>
            </w:r>
            <w:r w:rsidRPr="00634A1D">
              <w:t>independent Commonwealth regulators</w:t>
            </w:r>
            <w:r>
              <w:t>,</w:t>
            </w:r>
            <w:r w:rsidRPr="00634A1D">
              <w:t xml:space="preserve"> </w:t>
            </w:r>
            <w:r w:rsidR="00CA1742">
              <w:t xml:space="preserve">and </w:t>
            </w:r>
            <w:r>
              <w:t xml:space="preserve">selected agencies in </w:t>
            </w:r>
            <w:r w:rsidR="00E41370">
              <w:t xml:space="preserve">particular </w:t>
            </w:r>
            <w:r w:rsidR="00647104">
              <w:t xml:space="preserve">states </w:t>
            </w:r>
            <w:r w:rsidRPr="00634A1D">
              <w:t xml:space="preserve">have </w:t>
            </w:r>
            <w:r w:rsidR="0038068E">
              <w:t>more fully embraced RIA</w:t>
            </w:r>
            <w:r w:rsidRPr="00634A1D">
              <w:t>.</w:t>
            </w:r>
          </w:p>
          <w:p w:rsidR="00634A1D" w:rsidRDefault="00AA368A" w:rsidP="00AA368A">
            <w:pPr>
              <w:pStyle w:val="BoxListBullet"/>
            </w:pPr>
            <w:r w:rsidRPr="00AA368A">
              <w:t xml:space="preserve">Successful integration of RIA </w:t>
            </w:r>
            <w:r w:rsidR="00F03CE3">
              <w:t>can be</w:t>
            </w:r>
            <w:r w:rsidR="00F03CE3" w:rsidRPr="00AA368A">
              <w:t xml:space="preserve"> </w:t>
            </w:r>
            <w:r w:rsidRPr="00AA368A">
              <w:t>hampered by a</w:t>
            </w:r>
            <w:r>
              <w:t xml:space="preserve"> number of significant barriers including </w:t>
            </w:r>
            <w:r w:rsidR="00543626">
              <w:t xml:space="preserve">a </w:t>
            </w:r>
            <w:r>
              <w:t xml:space="preserve">lack of political commitment, </w:t>
            </w:r>
            <w:r w:rsidR="00543626">
              <w:t xml:space="preserve">a </w:t>
            </w:r>
            <w:r>
              <w:t xml:space="preserve">lack of skills to undertake RIA </w:t>
            </w:r>
            <w:r w:rsidR="00FD4277">
              <w:t xml:space="preserve">and </w:t>
            </w:r>
            <w:r w:rsidR="00647104">
              <w:t xml:space="preserve">the </w:t>
            </w:r>
            <w:r w:rsidR="008B4597">
              <w:t xml:space="preserve">RIA process </w:t>
            </w:r>
            <w:r w:rsidR="00647104">
              <w:t xml:space="preserve">being </w:t>
            </w:r>
            <w:r w:rsidR="00CA2CD3">
              <w:t>administratively burdensome</w:t>
            </w:r>
            <w:r w:rsidR="008B4597">
              <w:t>.</w:t>
            </w:r>
            <w:r w:rsidR="00CA2CD3">
              <w:t xml:space="preserve"> </w:t>
            </w:r>
          </w:p>
          <w:p w:rsidR="008B4597" w:rsidRDefault="00AA3133" w:rsidP="00B43267">
            <w:pPr>
              <w:pStyle w:val="BoxListBullet"/>
            </w:pPr>
            <w:r>
              <w:t>The following as</w:t>
            </w:r>
            <w:r w:rsidR="00B43267" w:rsidRPr="00B43267">
              <w:t xml:space="preserve">pects of </w:t>
            </w:r>
            <w:r>
              <w:t xml:space="preserve">RIA </w:t>
            </w:r>
            <w:r w:rsidR="00B43267" w:rsidRPr="00B43267">
              <w:t>system design can be improved</w:t>
            </w:r>
            <w:r w:rsidR="00B43267">
              <w:t xml:space="preserve"> t</w:t>
            </w:r>
            <w:r w:rsidR="008B4597">
              <w:t xml:space="preserve">o better integrate </w:t>
            </w:r>
            <w:r>
              <w:t xml:space="preserve">RIA </w:t>
            </w:r>
            <w:r w:rsidR="008B4597">
              <w:t>process</w:t>
            </w:r>
            <w:r>
              <w:t>es in all jurisdictions</w:t>
            </w:r>
            <w:r w:rsidR="00777FC4">
              <w:t>:</w:t>
            </w:r>
            <w:r w:rsidR="00B43267">
              <w:t xml:space="preserve"> </w:t>
            </w:r>
          </w:p>
          <w:p w:rsidR="0087683F" w:rsidRDefault="002942C9" w:rsidP="008B4597">
            <w:pPr>
              <w:pStyle w:val="BoxListBullet2"/>
            </w:pPr>
            <w:r>
              <w:t xml:space="preserve">greater </w:t>
            </w:r>
            <w:r w:rsidR="008B4597">
              <w:t>m</w:t>
            </w:r>
            <w:r w:rsidR="008B4597" w:rsidRPr="008B4597">
              <w:t>inisterial transparency</w:t>
            </w:r>
            <w:r w:rsidR="00C6217A">
              <w:t>,</w:t>
            </w:r>
            <w:r w:rsidR="008B4597" w:rsidRPr="008B4597">
              <w:t xml:space="preserve"> through statements to parliament regarding compliance with the RIA process</w:t>
            </w:r>
            <w:r w:rsidR="00C6217A">
              <w:t>,</w:t>
            </w:r>
            <w:r w:rsidR="008B4597" w:rsidRPr="008B4597">
              <w:t xml:space="preserve"> </w:t>
            </w:r>
            <w:r w:rsidR="001A381A">
              <w:t>will</w:t>
            </w:r>
            <w:r w:rsidR="001A381A" w:rsidRPr="008B4597">
              <w:t xml:space="preserve"> </w:t>
            </w:r>
            <w:r w:rsidR="008B4597" w:rsidRPr="008B4597">
              <w:t xml:space="preserve">not only help </w:t>
            </w:r>
            <w:r w:rsidR="008B4597">
              <w:t xml:space="preserve">political </w:t>
            </w:r>
            <w:r w:rsidR="008B4597" w:rsidRPr="008B4597">
              <w:t>commitment but have a cascading effect on the commitment of senior managers and agencies more generally</w:t>
            </w:r>
          </w:p>
          <w:p w:rsidR="00D24987" w:rsidRDefault="002942C9" w:rsidP="00D24987">
            <w:pPr>
              <w:pStyle w:val="BoxListBullet2"/>
            </w:pPr>
            <w:r>
              <w:t xml:space="preserve">implementing </w:t>
            </w:r>
            <w:r w:rsidR="00D24987">
              <w:t xml:space="preserve">a </w:t>
            </w:r>
            <w:r w:rsidR="00D24987" w:rsidRPr="008B4597">
              <w:t>multi</w:t>
            </w:r>
            <w:r w:rsidR="004308A4">
              <w:noBreakHyphen/>
            </w:r>
            <w:r w:rsidR="00D24987" w:rsidRPr="008B4597">
              <w:t xml:space="preserve">stage process </w:t>
            </w:r>
            <w:r w:rsidR="00AA3133">
              <w:t>to</w:t>
            </w:r>
            <w:r w:rsidR="00D24987" w:rsidRPr="008B4597">
              <w:t xml:space="preserve"> assist with early integration of RIA into the policy development cycle</w:t>
            </w:r>
          </w:p>
          <w:p w:rsidR="00D24987" w:rsidRDefault="002942C9" w:rsidP="00D24987">
            <w:pPr>
              <w:pStyle w:val="BoxListBullet2"/>
            </w:pPr>
            <w:r>
              <w:t xml:space="preserve">publication </w:t>
            </w:r>
            <w:r w:rsidR="000358B7">
              <w:t xml:space="preserve">of </w:t>
            </w:r>
            <w:r w:rsidR="00D24987" w:rsidRPr="00BB2B41">
              <w:t>oversight body adequacy assessments</w:t>
            </w:r>
            <w:r w:rsidR="00D24987">
              <w:t xml:space="preserve"> with explanations,</w:t>
            </w:r>
            <w:r w:rsidR="00D24987" w:rsidRPr="00BB2B41">
              <w:t xml:space="preserve"> the requirement to complete a post</w:t>
            </w:r>
            <w:r w:rsidR="004308A4">
              <w:noBreakHyphen/>
            </w:r>
            <w:r w:rsidR="00D24987" w:rsidRPr="00BB2B41">
              <w:t xml:space="preserve">implementation </w:t>
            </w:r>
            <w:r w:rsidR="004418C4">
              <w:t>review (</w:t>
            </w:r>
            <w:proofErr w:type="spellStart"/>
            <w:r w:rsidR="004418C4">
              <w:t>PIR</w:t>
            </w:r>
            <w:proofErr w:type="spellEnd"/>
            <w:r w:rsidR="004418C4">
              <w:t>)</w:t>
            </w:r>
            <w:r w:rsidR="004418C4" w:rsidRPr="00BB2B41">
              <w:t xml:space="preserve"> </w:t>
            </w:r>
            <w:r w:rsidR="00D24987" w:rsidRPr="00BB2B41">
              <w:t>for non</w:t>
            </w:r>
            <w:r w:rsidR="004308A4">
              <w:noBreakHyphen/>
            </w:r>
            <w:r w:rsidR="00D24987" w:rsidRPr="00BB2B41">
              <w:t>compliant</w:t>
            </w:r>
            <w:r>
              <w:t xml:space="preserve"> and exempted</w:t>
            </w:r>
            <w:r w:rsidR="00D24987" w:rsidRPr="00BB2B41">
              <w:t xml:space="preserve"> regulatory proposals </w:t>
            </w:r>
            <w:r w:rsidR="00D24987">
              <w:t xml:space="preserve">and annual </w:t>
            </w:r>
            <w:r w:rsidR="00543626">
              <w:t>reporting</w:t>
            </w:r>
            <w:r w:rsidR="00D24987">
              <w:t xml:space="preserve"> of </w:t>
            </w:r>
            <w:r w:rsidR="00D24987" w:rsidRPr="00BB2B41">
              <w:t>agency compliance information</w:t>
            </w:r>
          </w:p>
          <w:p w:rsidR="00521D01" w:rsidRDefault="002942C9" w:rsidP="00521D01">
            <w:pPr>
              <w:pStyle w:val="BoxListBullet2"/>
            </w:pPr>
            <w:r>
              <w:t xml:space="preserve">giving </w:t>
            </w:r>
            <w:r w:rsidR="000358B7">
              <w:t xml:space="preserve">agencies responsibility for deciding if a </w:t>
            </w:r>
            <w:r w:rsidR="0014736F">
              <w:t>regulation impact statement (</w:t>
            </w:r>
            <w:r w:rsidR="000358B7">
              <w:t>RIS</w:t>
            </w:r>
            <w:r w:rsidR="0014736F">
              <w:t>)</w:t>
            </w:r>
            <w:r w:rsidR="000358B7">
              <w:t xml:space="preserve"> is required and streamlining </w:t>
            </w:r>
            <w:r w:rsidR="00CA1742">
              <w:t>preliminary impact assessment (</w:t>
            </w:r>
            <w:proofErr w:type="spellStart"/>
            <w:r w:rsidR="00AA3133">
              <w:t>PIA</w:t>
            </w:r>
            <w:proofErr w:type="spellEnd"/>
            <w:r w:rsidR="00CA1742">
              <w:t>)</w:t>
            </w:r>
            <w:r w:rsidR="00AA3133">
              <w:t xml:space="preserve"> </w:t>
            </w:r>
            <w:r w:rsidR="000358B7">
              <w:t>requirements</w:t>
            </w:r>
            <w:r w:rsidR="002E0FC4">
              <w:t xml:space="preserve">. </w:t>
            </w:r>
          </w:p>
          <w:p w:rsidR="00505A5D" w:rsidRDefault="00505A5D" w:rsidP="00156E5B">
            <w:pPr>
              <w:pStyle w:val="BoxListBullet"/>
            </w:pPr>
            <w:r>
              <w:t xml:space="preserve">For agencies which undertake </w:t>
            </w:r>
            <w:proofErr w:type="spellStart"/>
            <w:r>
              <w:t>RISs</w:t>
            </w:r>
            <w:proofErr w:type="spellEnd"/>
            <w:r>
              <w:t xml:space="preserve"> regularly, oversight bodies should consider establishing a memorandum of understanding to clarify expectations </w:t>
            </w:r>
            <w:r w:rsidR="007622AA">
              <w:t>on what regulations need a RIS and the standard of the RIS documentation</w:t>
            </w:r>
            <w:r w:rsidR="00630060">
              <w:t>,</w:t>
            </w:r>
            <w:r w:rsidR="007622AA">
              <w:t xml:space="preserve"> as well as communication and dispute resolution procedures. </w:t>
            </w:r>
          </w:p>
          <w:p w:rsidR="00C6217A" w:rsidRPr="00E749D6" w:rsidRDefault="00303F37" w:rsidP="008A474E">
            <w:pPr>
              <w:pStyle w:val="BoxListBullet"/>
            </w:pPr>
            <w:r>
              <w:t>Improving the evidentiary base o</w:t>
            </w:r>
            <w:r w:rsidR="008A474E">
              <w:t>n</w:t>
            </w:r>
            <w:r>
              <w:t xml:space="preserve"> the performance of RIA </w:t>
            </w:r>
            <w:r w:rsidR="00630060">
              <w:t xml:space="preserve">would </w:t>
            </w:r>
            <w:r w:rsidR="00685F48">
              <w:t xml:space="preserve">also </w:t>
            </w:r>
            <w:r>
              <w:t xml:space="preserve">enhance the integration of RIA requirements into policy development and the resulting </w:t>
            </w:r>
            <w:r w:rsidR="00310004">
              <w:t xml:space="preserve">regulatory </w:t>
            </w:r>
            <w:r>
              <w:t>outcomes for the community. Victoria has made substantial progress</w:t>
            </w:r>
            <w:r w:rsidR="00A2753D">
              <w:t xml:space="preserve"> </w:t>
            </w:r>
            <w:r w:rsidR="00A2753D" w:rsidRPr="00A2753D">
              <w:t>developing and publishing research in this field</w:t>
            </w:r>
            <w:r w:rsidR="00CE687B">
              <w:t>.</w:t>
            </w:r>
          </w:p>
        </w:tc>
      </w:tr>
      <w:tr w:rsidR="0087683F" w:rsidTr="00307226">
        <w:trPr>
          <w:cantSplit/>
        </w:trPr>
        <w:tc>
          <w:tcPr>
            <w:tcW w:w="8771" w:type="dxa"/>
            <w:tcBorders>
              <w:top w:val="nil"/>
              <w:bottom w:val="single" w:sz="6" w:space="0" w:color="auto"/>
            </w:tcBorders>
          </w:tcPr>
          <w:p w:rsidR="0087683F" w:rsidRDefault="0087683F" w:rsidP="00307226">
            <w:pPr>
              <w:pStyle w:val="Box"/>
              <w:spacing w:before="0" w:line="120" w:lineRule="exact"/>
            </w:pPr>
          </w:p>
        </w:tc>
      </w:tr>
      <w:tr w:rsidR="0087683F" w:rsidTr="00307226">
        <w:tc>
          <w:tcPr>
            <w:tcW w:w="8771" w:type="dxa"/>
            <w:tcBorders>
              <w:top w:val="nil"/>
              <w:left w:val="nil"/>
              <w:bottom w:val="nil"/>
              <w:right w:val="nil"/>
            </w:tcBorders>
          </w:tcPr>
          <w:p w:rsidR="00505A5D" w:rsidRDefault="00505A5D" w:rsidP="00307226">
            <w:pPr>
              <w:pStyle w:val="Box"/>
              <w:keepNext w:val="0"/>
              <w:spacing w:before="60" w:after="60" w:line="80" w:lineRule="exact"/>
              <w:rPr>
                <w:b/>
                <w:color w:val="FF00FF"/>
                <w:sz w:val="14"/>
              </w:rPr>
            </w:pPr>
          </w:p>
        </w:tc>
      </w:tr>
    </w:tbl>
    <w:p w:rsidR="008C6C10" w:rsidRDefault="00612363" w:rsidP="005F5960">
      <w:pPr>
        <w:pStyle w:val="Heading2"/>
      </w:pPr>
      <w:r>
        <w:lastRenderedPageBreak/>
        <w:t>10.</w:t>
      </w:r>
      <w:r w:rsidR="00B5590D">
        <w:rPr>
          <w:noProof/>
        </w:rPr>
        <w:t>1</w:t>
      </w:r>
      <w:r w:rsidR="008C6C10">
        <w:tab/>
        <w:t>What is integration?</w:t>
      </w:r>
      <w:r w:rsidR="00ED39B5">
        <w:t xml:space="preserve"> </w:t>
      </w:r>
    </w:p>
    <w:p w:rsidR="007D284F" w:rsidRDefault="00464D4D" w:rsidP="007D284F">
      <w:pPr>
        <w:pStyle w:val="BodyText"/>
      </w:pPr>
      <w:r>
        <w:t xml:space="preserve">Integration of </w:t>
      </w:r>
      <w:r w:rsidR="0014736F">
        <w:t>RIA</w:t>
      </w:r>
      <w:r>
        <w:t xml:space="preserve"> occurs when </w:t>
      </w:r>
      <w:r w:rsidR="008A474E">
        <w:t xml:space="preserve">implementation of </w:t>
      </w:r>
      <w:r>
        <w:t>RIA</w:t>
      </w:r>
      <w:r w:rsidR="005D493E">
        <w:t xml:space="preserve"> requirements</w:t>
      </w:r>
      <w:r w:rsidR="002942C9">
        <w:t xml:space="preserve"> (</w:t>
      </w:r>
      <w:r>
        <w:t>such as considering and evaluating regulatory and non</w:t>
      </w:r>
      <w:r w:rsidR="004308A4">
        <w:noBreakHyphen/>
      </w:r>
      <w:r>
        <w:t>regulatory alternatives</w:t>
      </w:r>
      <w:r w:rsidR="002942C9">
        <w:t xml:space="preserve">) </w:t>
      </w:r>
      <w:r w:rsidR="008A474E">
        <w:t xml:space="preserve">is </w:t>
      </w:r>
      <w:r w:rsidR="005A67A2">
        <w:t>embedded</w:t>
      </w:r>
      <w:r>
        <w:t xml:space="preserve"> </w:t>
      </w:r>
      <w:r w:rsidR="005A67A2">
        <w:t>within</w:t>
      </w:r>
      <w:r>
        <w:t xml:space="preserve"> </w:t>
      </w:r>
      <w:r w:rsidR="005A67A2">
        <w:t>the policy</w:t>
      </w:r>
      <w:r w:rsidR="008A474E">
        <w:t xml:space="preserve"> </w:t>
      </w:r>
      <w:r w:rsidR="005A67A2">
        <w:t xml:space="preserve">making </w:t>
      </w:r>
      <w:r>
        <w:t xml:space="preserve">process. </w:t>
      </w:r>
      <w:r w:rsidR="002942C9">
        <w:t>To achieve this, i</w:t>
      </w:r>
      <w:r w:rsidR="007D284F">
        <w:t xml:space="preserve">ntegration requires two key elements: </w:t>
      </w:r>
      <w:r w:rsidR="00C36B51">
        <w:t xml:space="preserve">the skills and capacity </w:t>
      </w:r>
      <w:r w:rsidR="007D284F">
        <w:t xml:space="preserve">— both within regulatory agencies and by decisions makers — </w:t>
      </w:r>
      <w:r w:rsidR="00C36B51">
        <w:t xml:space="preserve">to make use of RIA </w:t>
      </w:r>
      <w:r w:rsidR="007D284F">
        <w:t xml:space="preserve">and the appropriate incentives to </w:t>
      </w:r>
      <w:r w:rsidR="00303F37">
        <w:t xml:space="preserve">undertake a comprehensive </w:t>
      </w:r>
      <w:r w:rsidR="007D284F">
        <w:t>RIA</w:t>
      </w:r>
      <w:r w:rsidR="00303F37">
        <w:t xml:space="preserve"> process</w:t>
      </w:r>
      <w:r w:rsidR="007D284F">
        <w:t xml:space="preserve">. </w:t>
      </w:r>
      <w:r w:rsidR="001A381A">
        <w:t xml:space="preserve">Governments </w:t>
      </w:r>
      <w:r w:rsidR="007D284F">
        <w:t xml:space="preserve">and individual agencies can take steps aimed at </w:t>
      </w:r>
      <w:r w:rsidR="001A381A">
        <w:t xml:space="preserve">improving </w:t>
      </w:r>
      <w:r w:rsidR="007D284F">
        <w:t xml:space="preserve">integration but these steps will generally need to be combined with </w:t>
      </w:r>
      <w:r w:rsidR="00C36B51">
        <w:t xml:space="preserve">capacity </w:t>
      </w:r>
      <w:r w:rsidR="007D284F">
        <w:t xml:space="preserve">and commitment for integration to </w:t>
      </w:r>
      <w:r w:rsidR="005A67A2">
        <w:t xml:space="preserve">fully </w:t>
      </w:r>
      <w:r w:rsidR="007D284F">
        <w:t>occur.</w:t>
      </w:r>
      <w:r w:rsidR="004308A4">
        <w:t xml:space="preserve"> </w:t>
      </w:r>
    </w:p>
    <w:p w:rsidR="00E1513F" w:rsidRDefault="00464D4D" w:rsidP="00464D4D">
      <w:pPr>
        <w:pStyle w:val="BodyText"/>
      </w:pPr>
      <w:r>
        <w:t xml:space="preserve">It is not always clear when there is integration, but it is evident that integration has not occurred when policy </w:t>
      </w:r>
      <w:r w:rsidR="00E1513F">
        <w:t xml:space="preserve">is </w:t>
      </w:r>
      <w:r>
        <w:t>develop</w:t>
      </w:r>
      <w:r w:rsidR="00E1513F">
        <w:t xml:space="preserve">ed without the use of RIA, for example, </w:t>
      </w:r>
      <w:r w:rsidR="000D659C">
        <w:t xml:space="preserve">with a </w:t>
      </w:r>
      <w:r w:rsidR="0014736F">
        <w:t>RIS</w:t>
      </w:r>
      <w:r>
        <w:t xml:space="preserve"> completed either after a policy decision has been made</w:t>
      </w:r>
      <w:r w:rsidR="002942C9">
        <w:t xml:space="preserve"> or not at all</w:t>
      </w:r>
      <w:r>
        <w:t>. Without integration</w:t>
      </w:r>
      <w:r w:rsidR="00E1513F">
        <w:t>,</w:t>
      </w:r>
      <w:r>
        <w:t xml:space="preserve"> </w:t>
      </w:r>
      <w:proofErr w:type="spellStart"/>
      <w:r w:rsidR="00E1513F">
        <w:t>RIA’s</w:t>
      </w:r>
      <w:proofErr w:type="spellEnd"/>
      <w:r w:rsidR="00E1513F">
        <w:t xml:space="preserve"> benefits </w:t>
      </w:r>
      <w:r w:rsidR="001A381A">
        <w:t xml:space="preserve">of </w:t>
      </w:r>
      <w:r w:rsidR="00E1513F">
        <w:t xml:space="preserve">informing decision makers on </w:t>
      </w:r>
      <w:r w:rsidR="00B72768">
        <w:t xml:space="preserve">the impacts of </w:t>
      </w:r>
      <w:r w:rsidR="00E1513F">
        <w:t>different policy options</w:t>
      </w:r>
      <w:r w:rsidR="00B72768">
        <w:t>,</w:t>
      </w:r>
      <w:r w:rsidR="00E1513F">
        <w:t xml:space="preserve"> providing consistent approaches to stakeholder engagement and transparency in policy development will not be realised. </w:t>
      </w:r>
    </w:p>
    <w:p w:rsidR="00FC034A" w:rsidRDefault="00FC034A" w:rsidP="00FC034A">
      <w:pPr>
        <w:pStyle w:val="BodyText"/>
      </w:pPr>
      <w:r>
        <w:t xml:space="preserve">Fundamental to its objectives, RIA processes need to be started early — </w:t>
      </w:r>
      <w:r w:rsidRPr="00990833">
        <w:t>once a problem has been identified that might need a regulatory solution.</w:t>
      </w:r>
      <w:r>
        <w:t xml:space="preserve"> When RIA is commenced at this early stage of policy development, there is a real possibility of it being adopted as an integral part of the policy process. Jacobs (2006) suggests that starting RIA early in policy development is the most important determinant of how well </w:t>
      </w:r>
      <w:r w:rsidRPr="00662C81">
        <w:t>the assessment of options is done</w:t>
      </w:r>
      <w:r>
        <w:t xml:space="preserve"> — perhaps more important than the design of the RIA system. </w:t>
      </w:r>
    </w:p>
    <w:p w:rsidR="00FC034A" w:rsidRDefault="00FC034A" w:rsidP="00FC034A">
      <w:pPr>
        <w:pStyle w:val="BodyText"/>
      </w:pPr>
      <w:r>
        <w:t xml:space="preserve">The importance of the timing of the RIA process has long been highlighted, with the OECD’s 1997 RIA best practices stating that it </w:t>
      </w:r>
      <w:r w:rsidR="008A474E">
        <w:t xml:space="preserve">is </w:t>
      </w:r>
      <w:r>
        <w:t>necessary to ‘integrate RIA with the policy</w:t>
      </w:r>
      <w:r w:rsidR="004308A4">
        <w:noBreakHyphen/>
      </w:r>
      <w:r>
        <w:t xml:space="preserve">making process, beginning as early as possible’ (OECD 1997, p. 8). And more recently the </w:t>
      </w:r>
      <w:r w:rsidRPr="001821C7">
        <w:rPr>
          <w:i/>
        </w:rPr>
        <w:t>Recommendation of the OECD Council on Regulatory Policy and Governance</w:t>
      </w:r>
      <w:r>
        <w:rPr>
          <w:i/>
        </w:rPr>
        <w:t xml:space="preserve"> </w:t>
      </w:r>
      <w:r w:rsidRPr="00F263B3">
        <w:t>re</w:t>
      </w:r>
      <w:r w:rsidR="004308A4">
        <w:noBreakHyphen/>
      </w:r>
      <w:r w:rsidRPr="004510D5">
        <w:t xml:space="preserve">emphasised </w:t>
      </w:r>
      <w:r>
        <w:t xml:space="preserve">the need to ‘integrate RIA into the early stages </w:t>
      </w:r>
      <w:r w:rsidR="00C36B51">
        <w:t xml:space="preserve">of </w:t>
      </w:r>
      <w:r>
        <w:t xml:space="preserve">the policy process for the formulation of new regulatory proposals’ (OECD </w:t>
      </w:r>
      <w:proofErr w:type="spellStart"/>
      <w:r>
        <w:t>2012</w:t>
      </w:r>
      <w:r w:rsidR="000F0A5B">
        <w:t>a</w:t>
      </w:r>
      <w:proofErr w:type="spellEnd"/>
      <w:r>
        <w:t>,</w:t>
      </w:r>
      <w:r w:rsidR="008A474E">
        <w:t> </w:t>
      </w:r>
      <w:r>
        <w:t xml:space="preserve">p. 4). </w:t>
      </w:r>
    </w:p>
    <w:p w:rsidR="00464D4D" w:rsidRPr="003F1CC6" w:rsidRDefault="00464D4D" w:rsidP="00464D4D">
      <w:pPr>
        <w:pStyle w:val="BodyText"/>
      </w:pPr>
      <w:r w:rsidRPr="003F4679">
        <w:t>This chapter</w:t>
      </w:r>
      <w:r w:rsidRPr="00EA5388">
        <w:t xml:space="preserve"> examines the extent to which Australian jurisdictions</w:t>
      </w:r>
      <w:r w:rsidR="002942C9">
        <w:t>,</w:t>
      </w:r>
      <w:r w:rsidRPr="00EA5388">
        <w:t xml:space="preserve"> including</w:t>
      </w:r>
      <w:r>
        <w:t xml:space="preserve"> COAG</w:t>
      </w:r>
      <w:r w:rsidR="002942C9">
        <w:t>,</w:t>
      </w:r>
      <w:r>
        <w:t xml:space="preserve"> have successfully adopted RIA into the policy development process</w:t>
      </w:r>
      <w:r w:rsidR="00C5274E">
        <w:t>. The chapter</w:t>
      </w:r>
      <w:r w:rsidR="003F260D">
        <w:t xml:space="preserve"> first focusses</w:t>
      </w:r>
      <w:r>
        <w:t xml:space="preserve"> </w:t>
      </w:r>
      <w:r w:rsidR="007626AC">
        <w:t>on</w:t>
      </w:r>
      <w:r w:rsidR="0005427A">
        <w:t xml:space="preserve"> the </w:t>
      </w:r>
      <w:r w:rsidR="003F1CC6">
        <w:t xml:space="preserve">evidence </w:t>
      </w:r>
      <w:r w:rsidR="0005427A">
        <w:t>of</w:t>
      </w:r>
      <w:r w:rsidR="00BD67C4">
        <w:t>,</w:t>
      </w:r>
      <w:r w:rsidR="0005427A">
        <w:t xml:space="preserve"> and barriers to</w:t>
      </w:r>
      <w:r w:rsidR="00BD67C4">
        <w:t>,</w:t>
      </w:r>
      <w:r w:rsidR="0005427A">
        <w:t xml:space="preserve"> </w:t>
      </w:r>
      <w:r w:rsidR="003F1CC6">
        <w:t>integration</w:t>
      </w:r>
      <w:r w:rsidR="00C5274E">
        <w:t xml:space="preserve"> and </w:t>
      </w:r>
      <w:r w:rsidR="003F260D">
        <w:t xml:space="preserve">then </w:t>
      </w:r>
      <w:r w:rsidR="00D00164">
        <w:t xml:space="preserve">proceeds to draw upon leading practices, some of which are </w:t>
      </w:r>
      <w:r w:rsidR="0005427A">
        <w:t>canvassed in earlier chapter</w:t>
      </w:r>
      <w:r w:rsidR="00E61C41">
        <w:t>s</w:t>
      </w:r>
      <w:r w:rsidR="0005427A">
        <w:t xml:space="preserve"> of this report</w:t>
      </w:r>
      <w:r w:rsidR="00D00164">
        <w:t>, to suggest ways in which integration can be improved.</w:t>
      </w:r>
      <w:r w:rsidR="00E61C41">
        <w:t xml:space="preserve"> </w:t>
      </w:r>
      <w:r>
        <w:t xml:space="preserve">In doing so, the chapter draws upon the Commission’s surveys of agencies and regulatory oversight bodies, submissions and stakeholder consultations. </w:t>
      </w:r>
    </w:p>
    <w:p w:rsidR="003F4679" w:rsidRDefault="005A67A2" w:rsidP="00DF4C21">
      <w:pPr>
        <w:pStyle w:val="Heading3"/>
      </w:pPr>
      <w:r>
        <w:lastRenderedPageBreak/>
        <w:t>The d</w:t>
      </w:r>
      <w:r w:rsidR="00F5374B">
        <w:t xml:space="preserve">ifficulty of achieving </w:t>
      </w:r>
      <w:r w:rsidR="003A44F1">
        <w:t xml:space="preserve">integration </w:t>
      </w:r>
    </w:p>
    <w:p w:rsidR="008C6C10" w:rsidRDefault="008C6C10" w:rsidP="003F4679">
      <w:pPr>
        <w:pStyle w:val="BodyText"/>
      </w:pPr>
      <w:r>
        <w:t xml:space="preserve">Most OECD member countries find the integration of RIA in the policy </w:t>
      </w:r>
      <w:r w:rsidR="00822CBD">
        <w:t xml:space="preserve">development </w:t>
      </w:r>
      <w:r>
        <w:t>process to be one of the most significant challenges and Australia is no exception (Jacobs 2006</w:t>
      </w:r>
      <w:r w:rsidR="00CA1742">
        <w:t>)</w:t>
      </w:r>
      <w:r>
        <w:t>. In its review of regulatory reform in Australia, the OECD concluded that early integration of RIA continues to be an issue, despite Australia’s well</w:t>
      </w:r>
      <w:r w:rsidR="008A474E">
        <w:t xml:space="preserve"> </w:t>
      </w:r>
      <w:r>
        <w:t xml:space="preserve">developed and detailed </w:t>
      </w:r>
      <w:proofErr w:type="spellStart"/>
      <w:r>
        <w:t>RIA</w:t>
      </w:r>
      <w:proofErr w:type="spellEnd"/>
      <w:r>
        <w:t xml:space="preserve"> processes</w:t>
      </w:r>
      <w:r w:rsidR="00CA1742">
        <w:t xml:space="preserve"> (OECD </w:t>
      </w:r>
      <w:proofErr w:type="spellStart"/>
      <w:r w:rsidR="00CA1742">
        <w:t>2010</w:t>
      </w:r>
      <w:r w:rsidR="008D2337">
        <w:t>a</w:t>
      </w:r>
      <w:proofErr w:type="spellEnd"/>
      <w:r w:rsidR="00CA1742">
        <w:t>)</w:t>
      </w:r>
      <w:r>
        <w:t xml:space="preserve">. </w:t>
      </w:r>
    </w:p>
    <w:p w:rsidR="008C6C10" w:rsidRDefault="001A381A" w:rsidP="001A5304">
      <w:pPr>
        <w:pStyle w:val="BodyText"/>
      </w:pPr>
      <w:r>
        <w:t>I</w:t>
      </w:r>
      <w:r w:rsidR="008C6C10">
        <w:t xml:space="preserve">ntegration of the RIA process takes time and goes through a number of phases. This </w:t>
      </w:r>
      <w:r w:rsidR="00343656">
        <w:t>progression</w:t>
      </w:r>
      <w:r w:rsidR="008C6C10">
        <w:t xml:space="preserve"> is unlikely to be </w:t>
      </w:r>
      <w:r w:rsidR="008A474E">
        <w:t>straightforward</w:t>
      </w:r>
      <w:r w:rsidR="008C6C10">
        <w:t xml:space="preserve"> </w:t>
      </w:r>
      <w:r w:rsidR="00343656">
        <w:t xml:space="preserve">— rather, there are likely to be ebbs and flows over time in RIA acceptance and integration. </w:t>
      </w:r>
      <w:r w:rsidR="00A53A7C">
        <w:t>However, w</w:t>
      </w:r>
      <w:r w:rsidR="008C6C10">
        <w:t>ith sufficient support</w:t>
      </w:r>
      <w:r w:rsidR="005A67A2">
        <w:t>, on</w:t>
      </w:r>
      <w:r w:rsidR="00A53A7C">
        <w:t xml:space="preserve">going evaluation of the efficacy </w:t>
      </w:r>
      <w:r w:rsidR="001D51B8">
        <w:t xml:space="preserve">of, </w:t>
      </w:r>
      <w:r w:rsidR="00A53A7C">
        <w:t xml:space="preserve">and appropriate </w:t>
      </w:r>
      <w:r w:rsidR="008C6C10">
        <w:t>refinement to</w:t>
      </w:r>
      <w:r w:rsidR="008A474E">
        <w:t>,</w:t>
      </w:r>
      <w:r w:rsidR="008C6C10">
        <w:t xml:space="preserve"> RIA processes</w:t>
      </w:r>
      <w:r w:rsidR="00C1412A">
        <w:t xml:space="preserve"> by governments</w:t>
      </w:r>
      <w:r w:rsidR="008C6C10">
        <w:t xml:space="preserve">, </w:t>
      </w:r>
      <w:r w:rsidR="00C63F44">
        <w:t xml:space="preserve">the degree of </w:t>
      </w:r>
      <w:r w:rsidR="008C6C10">
        <w:t>integration of RIA should increase</w:t>
      </w:r>
      <w:r w:rsidR="004F1549">
        <w:t xml:space="preserve"> over the longer term</w:t>
      </w:r>
      <w:r w:rsidR="008C6C10">
        <w:t xml:space="preserve">. As noted by the OECD: </w:t>
      </w:r>
    </w:p>
    <w:p w:rsidR="008C6C10" w:rsidRDefault="00F476E8" w:rsidP="00B558C4">
      <w:pPr>
        <w:pStyle w:val="Quote"/>
      </w:pPr>
      <w:r>
        <w:t>… </w:t>
      </w:r>
      <w:r w:rsidR="008C6C10" w:rsidRPr="00B558C4">
        <w:t>the integration of RIA should be seen as a long</w:t>
      </w:r>
      <w:r w:rsidR="004308A4">
        <w:noBreakHyphen/>
      </w:r>
      <w:r w:rsidR="008C6C10" w:rsidRPr="00B558C4">
        <w:t xml:space="preserve">term policy goal. All countries, even those with many years of experience with undertaking RIA and with very advanced RIA systems in place still experience problems with the quality and timeliness of RIA documentation. There is an ongoing need to provide support for public officials responsible for RIA and to improve the way that RIA is prepared. </w:t>
      </w:r>
      <w:r w:rsidR="008C6C10">
        <w:t xml:space="preserve">(OECD </w:t>
      </w:r>
      <w:proofErr w:type="spellStart"/>
      <w:r w:rsidR="008C6C10">
        <w:t>2009</w:t>
      </w:r>
      <w:r w:rsidR="00766583">
        <w:t>b</w:t>
      </w:r>
      <w:proofErr w:type="spellEnd"/>
      <w:r w:rsidR="008C6C10">
        <w:t xml:space="preserve">, </w:t>
      </w:r>
      <w:r w:rsidR="008C6C10" w:rsidRPr="00B558C4">
        <w:t>p.</w:t>
      </w:r>
      <w:r w:rsidR="008C6C10">
        <w:t> </w:t>
      </w:r>
      <w:r w:rsidR="008C6C10" w:rsidRPr="00B558C4">
        <w:t>18</w:t>
      </w:r>
      <w:r w:rsidR="008C6C10">
        <w:t>)</w:t>
      </w:r>
    </w:p>
    <w:p w:rsidR="00C45430" w:rsidRDefault="008C6C10" w:rsidP="00063242">
      <w:pPr>
        <w:pStyle w:val="BodyText"/>
      </w:pPr>
      <w:r>
        <w:t xml:space="preserve">The Commission </w:t>
      </w:r>
      <w:r w:rsidR="00C36B51">
        <w:t>identified</w:t>
      </w:r>
      <w:r w:rsidR="00DD6DD5">
        <w:t>,</w:t>
      </w:r>
      <w:r>
        <w:t xml:space="preserve"> </w:t>
      </w:r>
      <w:r w:rsidR="00517782">
        <w:t>based on Jacobs (2006)</w:t>
      </w:r>
      <w:r w:rsidR="00DD6DD5">
        <w:t>,</w:t>
      </w:r>
      <w:r w:rsidR="00517782">
        <w:t xml:space="preserve"> </w:t>
      </w:r>
      <w:r>
        <w:t>four broad phases for implementing RIA and achieving integration of RIA over time (</w:t>
      </w:r>
      <w:r w:rsidR="00517782">
        <w:t>b</w:t>
      </w:r>
      <w:r w:rsidR="006D6A7F">
        <w:t>ox 10.1)</w:t>
      </w:r>
      <w:r>
        <w:t xml:space="preserve">. </w:t>
      </w:r>
      <w:r w:rsidR="00FC034A">
        <w:t>Moving through these phases of integration assumes there are deliberate steps (such as those discussed later in this chapter) successfully taken to aid integration</w:t>
      </w:r>
      <w:r w:rsidR="00A73757">
        <w:t xml:space="preserve">. </w:t>
      </w:r>
      <w:r w:rsidR="00FC034A">
        <w:t xml:space="preserve"> Without such steps, adoption of RIA will occur only for some policy processes or in some agencies</w:t>
      </w:r>
      <w:r w:rsidR="00C45430">
        <w:t>.</w:t>
      </w:r>
    </w:p>
    <w:p w:rsidR="008E7C45" w:rsidRDefault="008E7C45" w:rsidP="008E7C45">
      <w:pPr>
        <w:pStyle w:val="BodyText"/>
      </w:pPr>
      <w:r w:rsidRPr="00A73757">
        <w:t xml:space="preserve">Each jurisdiction will have a unique integration path and may not move through each phase sequentially. A jurisdiction may, for example, experience a setback in the integration of RIA if there are significant changes to the system or a change of government which reduces political commitment to RIA. Nor will a jurisdiction achieve the highest level of integration with the mere passage of time. For example, in the United Kingdom, despite RIA operating for close to 30 years, a recent review found that organisation change was ‘slow’ and that ‘some policy teams still varied in their engagement with Impact Assessments at appropriate points in policy development’ (National Audit Office </w:t>
      </w:r>
      <w:proofErr w:type="spellStart"/>
      <w:r w:rsidRPr="00A73757">
        <w:t>2010a</w:t>
      </w:r>
      <w:proofErr w:type="spellEnd"/>
      <w:r w:rsidRPr="00A73757">
        <w:t>, p. 33).</w:t>
      </w:r>
      <w:r>
        <w:t xml:space="preserve"> </w:t>
      </w:r>
      <w:r w:rsidRPr="00B46CBD">
        <w:t xml:space="preserve">Similarly, </w:t>
      </w:r>
      <w:proofErr w:type="spellStart"/>
      <w:r w:rsidRPr="00B46CBD">
        <w:t>Borthwick</w:t>
      </w:r>
      <w:proofErr w:type="spellEnd"/>
      <w:r w:rsidRPr="00B46CBD">
        <w:t xml:space="preserve"> and Milliner (2012) reported that </w:t>
      </w:r>
      <w:r>
        <w:t xml:space="preserve">while the </w:t>
      </w:r>
      <w:r w:rsidR="008A474E">
        <w:t xml:space="preserve">Australia Government </w:t>
      </w:r>
      <w:r>
        <w:t xml:space="preserve">RIA process has existed in some form since 1985, there was a ‘vast gap between what the RIA Framework required and the practices too often followed’ (p. 10). </w:t>
      </w:r>
    </w:p>
    <w:p w:rsidR="00336BF0" w:rsidRPr="00336BF0" w:rsidRDefault="00336BF0" w:rsidP="007622A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54DAF" w:rsidTr="00A54DAF">
        <w:tc>
          <w:tcPr>
            <w:tcW w:w="8771" w:type="dxa"/>
            <w:tcBorders>
              <w:top w:val="single" w:sz="6" w:space="0" w:color="auto"/>
              <w:bottom w:val="nil"/>
            </w:tcBorders>
          </w:tcPr>
          <w:p w:rsidR="00A54DAF" w:rsidRDefault="00A54DAF" w:rsidP="00A54DAF">
            <w:pPr>
              <w:pStyle w:val="BoxTitle"/>
            </w:pPr>
            <w:r>
              <w:rPr>
                <w:b w:val="0"/>
              </w:rPr>
              <w:t xml:space="preserve">Box </w:t>
            </w:r>
            <w:r w:rsidR="00612363">
              <w:rPr>
                <w:b w:val="0"/>
              </w:rPr>
              <w:t>10.</w:t>
            </w:r>
            <w:r w:rsidR="00B5590D">
              <w:rPr>
                <w:b w:val="0"/>
                <w:noProof/>
              </w:rPr>
              <w:t>1</w:t>
            </w:r>
            <w:r>
              <w:tab/>
              <w:t xml:space="preserve">Phases of </w:t>
            </w:r>
            <w:proofErr w:type="spellStart"/>
            <w:r>
              <w:t>RIA</w:t>
            </w:r>
            <w:proofErr w:type="spellEnd"/>
            <w:r>
              <w:t xml:space="preserve"> integration</w:t>
            </w:r>
          </w:p>
        </w:tc>
      </w:tr>
      <w:tr w:rsidR="00A54DAF" w:rsidTr="00A54DAF">
        <w:trPr>
          <w:cantSplit/>
        </w:trPr>
        <w:tc>
          <w:tcPr>
            <w:tcW w:w="8771" w:type="dxa"/>
            <w:tcBorders>
              <w:top w:val="nil"/>
              <w:left w:val="single" w:sz="6" w:space="0" w:color="auto"/>
              <w:bottom w:val="nil"/>
              <w:right w:val="single" w:sz="6" w:space="0" w:color="auto"/>
            </w:tcBorders>
          </w:tcPr>
          <w:p w:rsidR="00A54DAF" w:rsidRPr="008D18A9" w:rsidRDefault="00A54DAF" w:rsidP="00B631EA">
            <w:pPr>
              <w:pStyle w:val="BoxHeading1"/>
              <w:spacing w:before="100"/>
            </w:pPr>
            <w:r w:rsidRPr="008D18A9">
              <w:t>Implementation phase</w:t>
            </w:r>
          </w:p>
          <w:p w:rsidR="00A54DAF" w:rsidRPr="008D18A9" w:rsidRDefault="00A54DAF" w:rsidP="00B631EA">
            <w:pPr>
              <w:pStyle w:val="Box"/>
              <w:spacing w:before="40"/>
            </w:pPr>
            <w:r w:rsidRPr="008D18A9">
              <w:t xml:space="preserve">Following </w:t>
            </w:r>
            <w:r w:rsidR="008A474E">
              <w:t>its</w:t>
            </w:r>
            <w:r w:rsidR="008A474E" w:rsidRPr="008D18A9">
              <w:t xml:space="preserve"> </w:t>
            </w:r>
            <w:r w:rsidRPr="008D18A9">
              <w:t xml:space="preserve">introduction, agencies start to accumulate experience with RIA but may also encounter implementation problems, making it difficult to see the benefits of RIA. The general acceptance of RIA tends to fall as: the framework may not be fully understood, particularly when it should be applied; agencies may not believe they have the skills to undertake the required analysis; and agencies may view the introduction of RIA as a criticism of existing policy development capabilities. </w:t>
            </w:r>
          </w:p>
          <w:p w:rsidR="002B3823" w:rsidRDefault="002B3823" w:rsidP="00B631EA">
            <w:pPr>
              <w:pStyle w:val="BoxHeading1"/>
              <w:spacing w:before="160"/>
            </w:pPr>
            <w:r>
              <w:rPr>
                <w:noProof/>
              </w:rPr>
              <w:drawing>
                <wp:inline distT="0" distB="0" distL="0" distR="0" wp14:anchorId="58105279" wp14:editId="0538C174">
                  <wp:extent cx="5400675" cy="2695575"/>
                  <wp:effectExtent l="0" t="0" r="0" b="9525"/>
                  <wp:docPr id="13" name="Picture 13" descr="Phases of RIA integration. This figure shows the integration of RIA from implementation to consolidation of effort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9">
                            <a:extLst>
                              <a:ext uri="{28A0092B-C50C-407E-A947-70E740481C1C}">
                                <a14:useLocalDpi xmlns:a14="http://schemas.microsoft.com/office/drawing/2010/main" val="0"/>
                              </a:ext>
                            </a:extLst>
                          </a:blip>
                          <a:srcRect t="20422" b="1818"/>
                          <a:stretch/>
                        </pic:blipFill>
                        <pic:spPr bwMode="auto">
                          <a:xfrm>
                            <a:off x="0" y="0"/>
                            <a:ext cx="5400000" cy="2695238"/>
                          </a:xfrm>
                          <a:prstGeom prst="rect">
                            <a:avLst/>
                          </a:prstGeom>
                          <a:noFill/>
                          <a:ln>
                            <a:noFill/>
                          </a:ln>
                          <a:extLst>
                            <a:ext uri="{53640926-AAD7-44D8-BBD7-CCE9431645EC}">
                              <a14:shadowObscured xmlns:a14="http://schemas.microsoft.com/office/drawing/2010/main"/>
                            </a:ext>
                          </a:extLst>
                        </pic:spPr>
                      </pic:pic>
                    </a:graphicData>
                  </a:graphic>
                </wp:inline>
              </w:drawing>
            </w:r>
          </w:p>
          <w:p w:rsidR="00A54DAF" w:rsidRPr="008D18A9" w:rsidRDefault="00A54DAF" w:rsidP="00B631EA">
            <w:pPr>
              <w:pStyle w:val="BoxHeading1"/>
              <w:spacing w:before="160"/>
            </w:pPr>
            <w:r w:rsidRPr="008D18A9">
              <w:t>Refinement phase</w:t>
            </w:r>
          </w:p>
          <w:p w:rsidR="00A54DAF" w:rsidRDefault="00A54DAF" w:rsidP="008D18A9">
            <w:pPr>
              <w:pStyle w:val="Box"/>
              <w:spacing w:before="40"/>
            </w:pPr>
            <w:r>
              <w:t xml:space="preserve">During this phase, integration of RIA into agency culture is generally at a lower level than other phases. Agency staff can often be quite sceptical of the overarching benefits as their initial experience may have been problematic. The aim is to minimise the time spent in this phase by recognising system design faults and other barriers to integrating RIA (such as lack of political support), implementing changes promptly, and by publishing positive examples of RIA impacts on regulatory outcomes. </w:t>
            </w:r>
          </w:p>
          <w:p w:rsidR="00A54DAF" w:rsidRPr="008D18A9" w:rsidRDefault="00A54DAF" w:rsidP="00B631EA">
            <w:pPr>
              <w:pStyle w:val="BoxHeading1"/>
              <w:spacing w:before="160"/>
            </w:pPr>
            <w:r w:rsidRPr="008D18A9">
              <w:t>Building success phase</w:t>
            </w:r>
          </w:p>
          <w:p w:rsidR="00A54DAF" w:rsidRPr="006D6A7F" w:rsidRDefault="00A54DAF" w:rsidP="008D18A9">
            <w:pPr>
              <w:pStyle w:val="Box"/>
              <w:spacing w:before="40"/>
            </w:pPr>
            <w:r w:rsidRPr="006D6A7F">
              <w:t xml:space="preserve">Through this phase, there is increasing acceptance of RIA. Agencies potentially have completed a number of proposals using the RIA process, giving them more certainty about the required steps and the benefits of the process. Agency staff may also have more developed support mechanisms such as comprehensive and detailed guidance material, training courses and advice from oversight bodies as well as strong political support from </w:t>
            </w:r>
            <w:r>
              <w:t>m</w:t>
            </w:r>
            <w:r w:rsidRPr="006D6A7F">
              <w:t xml:space="preserve">inisters. </w:t>
            </w:r>
          </w:p>
          <w:p w:rsidR="00A54DAF" w:rsidRDefault="00A54DAF" w:rsidP="00B631EA">
            <w:pPr>
              <w:pStyle w:val="BoxHeading1"/>
              <w:spacing w:before="160"/>
            </w:pPr>
            <w:r>
              <w:t>Consolidation of efforts phase</w:t>
            </w:r>
          </w:p>
          <w:p w:rsidR="00A54DAF" w:rsidRPr="00896048" w:rsidRDefault="00A54DAF" w:rsidP="008D18A9">
            <w:pPr>
              <w:pStyle w:val="Box"/>
              <w:spacing w:before="40"/>
            </w:pPr>
            <w:r>
              <w:t xml:space="preserve">In the final stage, the benefits from the system design and the support mechanisms in place are fully achieved. </w:t>
            </w:r>
          </w:p>
        </w:tc>
      </w:tr>
      <w:tr w:rsidR="00A54DAF" w:rsidTr="00A54DAF">
        <w:trPr>
          <w:cantSplit/>
        </w:trPr>
        <w:tc>
          <w:tcPr>
            <w:tcW w:w="8771" w:type="dxa"/>
            <w:tcBorders>
              <w:top w:val="nil"/>
              <w:left w:val="single" w:sz="6" w:space="0" w:color="auto"/>
              <w:bottom w:val="nil"/>
              <w:right w:val="single" w:sz="6" w:space="0" w:color="auto"/>
            </w:tcBorders>
          </w:tcPr>
          <w:p w:rsidR="00A54DAF" w:rsidRDefault="00A54DAF" w:rsidP="006C1C5F">
            <w:pPr>
              <w:pStyle w:val="Source"/>
              <w:spacing w:before="240" w:line="240" w:lineRule="exact"/>
            </w:pPr>
            <w:r w:rsidRPr="00313DF8">
              <w:t>Source</w:t>
            </w:r>
            <w:r w:rsidRPr="00167F06">
              <w:t>:</w:t>
            </w:r>
            <w:r>
              <w:t xml:space="preserve"> Adapted from</w:t>
            </w:r>
            <w:r w:rsidRPr="00A723AA">
              <w:t xml:space="preserve"> Jacobs (2006)</w:t>
            </w:r>
            <w:r>
              <w:t>.</w:t>
            </w:r>
          </w:p>
        </w:tc>
      </w:tr>
      <w:tr w:rsidR="00A54DAF" w:rsidTr="00A54DAF">
        <w:trPr>
          <w:cantSplit/>
        </w:trPr>
        <w:tc>
          <w:tcPr>
            <w:tcW w:w="8771" w:type="dxa"/>
            <w:tcBorders>
              <w:top w:val="nil"/>
              <w:left w:val="single" w:sz="6" w:space="0" w:color="auto"/>
              <w:bottom w:val="single" w:sz="6" w:space="0" w:color="auto"/>
              <w:right w:val="single" w:sz="6" w:space="0" w:color="auto"/>
            </w:tcBorders>
          </w:tcPr>
          <w:p w:rsidR="00A54DAF" w:rsidRDefault="00A54DAF" w:rsidP="00A54DAF">
            <w:pPr>
              <w:pStyle w:val="Box"/>
              <w:spacing w:before="0" w:line="120" w:lineRule="exact"/>
            </w:pPr>
          </w:p>
        </w:tc>
      </w:tr>
      <w:tr w:rsidR="00A54DAF" w:rsidTr="00A54DAF">
        <w:tc>
          <w:tcPr>
            <w:tcW w:w="8771" w:type="dxa"/>
            <w:tcBorders>
              <w:top w:val="nil"/>
              <w:left w:val="nil"/>
              <w:bottom w:val="nil"/>
              <w:right w:val="nil"/>
            </w:tcBorders>
          </w:tcPr>
          <w:p w:rsidR="00A54DAF" w:rsidRDefault="00A54DAF" w:rsidP="006C1C5F">
            <w:pPr>
              <w:pStyle w:val="BoxSpaceBelow"/>
              <w:spacing w:after="0" w:line="40" w:lineRule="exact"/>
            </w:pPr>
          </w:p>
        </w:tc>
      </w:tr>
    </w:tbl>
    <w:p w:rsidR="002942C9" w:rsidRDefault="00B14EE7" w:rsidP="002942C9">
      <w:pPr>
        <w:pStyle w:val="Heading2"/>
      </w:pPr>
      <w:r>
        <w:lastRenderedPageBreak/>
        <w:t>10.</w:t>
      </w:r>
      <w:r w:rsidR="00B5590D">
        <w:rPr>
          <w:noProof/>
        </w:rPr>
        <w:t>2</w:t>
      </w:r>
      <w:r w:rsidR="002942C9">
        <w:tab/>
        <w:t>Jurisdiction progress on integration</w:t>
      </w:r>
    </w:p>
    <w:p w:rsidR="00FC034A" w:rsidRDefault="00FC034A" w:rsidP="00FC034A">
      <w:pPr>
        <w:pStyle w:val="BodyText"/>
      </w:pPr>
      <w:r>
        <w:t xml:space="preserve">Many Australian jurisdictions are in the </w:t>
      </w:r>
      <w:r w:rsidR="00AE7C33">
        <w:t>‘</w:t>
      </w:r>
      <w:r>
        <w:t>implementation or refinement phase</w:t>
      </w:r>
      <w:r w:rsidR="00AE7C33">
        <w:t>’</w:t>
      </w:r>
      <w:r>
        <w:t xml:space="preserve"> </w:t>
      </w:r>
      <w:r w:rsidR="00C36B51">
        <w:t xml:space="preserve">of RIA integration </w:t>
      </w:r>
      <w:r>
        <w:t>—</w:t>
      </w:r>
      <w:r w:rsidRPr="00B81810">
        <w:t xml:space="preserve"> </w:t>
      </w:r>
      <w:r>
        <w:t>particularly those jurisdictions with relatively new RIA processes</w:t>
      </w:r>
      <w:r w:rsidR="00C36B51">
        <w:t>, such as Western Australia and South Australia</w:t>
      </w:r>
      <w:r>
        <w:t xml:space="preserve">. The Western Australian Government acknowledged the obstacles to integration when implementing RIA: </w:t>
      </w:r>
    </w:p>
    <w:p w:rsidR="00FC034A" w:rsidRDefault="00FC034A" w:rsidP="00FC034A">
      <w:pPr>
        <w:pStyle w:val="Quote"/>
      </w:pPr>
      <w:r>
        <w:t xml:space="preserve">Although significant training had been delivered by the </w:t>
      </w:r>
      <w:proofErr w:type="spellStart"/>
      <w:r>
        <w:t>RGU</w:t>
      </w:r>
      <w:proofErr w:type="spellEnd"/>
      <w:r>
        <w:t xml:space="preserve"> [Regulatory Gatekeeping Unit], the introduction of such a large, ambitious program was always going to have its detractors. (Western Australia Government, sub. 24, p. 2)</w:t>
      </w:r>
    </w:p>
    <w:p w:rsidR="00FC034A" w:rsidRDefault="00FC034A" w:rsidP="00FC034A">
      <w:pPr>
        <w:pStyle w:val="BodyText"/>
      </w:pPr>
      <w:r>
        <w:t>While a few jurisdictions</w:t>
      </w:r>
      <w:r w:rsidR="00C36B51">
        <w:t>, such as Victoria,</w:t>
      </w:r>
      <w:r>
        <w:t xml:space="preserve"> may have begun ‘building on the success’ of previous efforts, the Commission considers that no Australian jurisdiction has reached the level of integration whereby there is a ‘consolidation of efforts’.</w:t>
      </w:r>
    </w:p>
    <w:p w:rsidR="00F5374B" w:rsidRDefault="00A632ED" w:rsidP="00F5374B">
      <w:pPr>
        <w:pStyle w:val="Heading3"/>
      </w:pPr>
      <w:r>
        <w:t xml:space="preserve">Lack of </w:t>
      </w:r>
      <w:r w:rsidR="00F5374B">
        <w:t>integration</w:t>
      </w:r>
      <w:r>
        <w:t xml:space="preserve"> is widespread</w:t>
      </w:r>
    </w:p>
    <w:p w:rsidR="00900887" w:rsidRDefault="00824807" w:rsidP="0064301D">
      <w:pPr>
        <w:pStyle w:val="BodyText"/>
      </w:pPr>
      <w:r>
        <w:t xml:space="preserve">Despite </w:t>
      </w:r>
      <w:r w:rsidR="00F83368">
        <w:t xml:space="preserve">OECD </w:t>
      </w:r>
      <w:r>
        <w:t xml:space="preserve">principles </w:t>
      </w:r>
      <w:r w:rsidR="007F663C">
        <w:t xml:space="preserve">of integrating RIA into the early stages of policy making </w:t>
      </w:r>
      <w:r>
        <w:t xml:space="preserve">being embedded in </w:t>
      </w:r>
      <w:r w:rsidR="004A1432">
        <w:t>RIA guidelines</w:t>
      </w:r>
      <w:r>
        <w:t xml:space="preserve">, </w:t>
      </w:r>
      <w:r w:rsidR="004A1432">
        <w:t xml:space="preserve">there are substantial gaps between the requirements and actual practice in all jurisdictions. </w:t>
      </w:r>
      <w:r w:rsidR="00C36B51">
        <w:t>S</w:t>
      </w:r>
      <w:r w:rsidR="004A1432">
        <w:t>takeholders</w:t>
      </w:r>
      <w:r w:rsidR="00C36B51">
        <w:t xml:space="preserve"> provided</w:t>
      </w:r>
      <w:r w:rsidR="004A1432">
        <w:t xml:space="preserve"> the Commission </w:t>
      </w:r>
      <w:r w:rsidR="00C36B51">
        <w:t xml:space="preserve">with </w:t>
      </w:r>
      <w:r w:rsidR="004A1432">
        <w:t xml:space="preserve">numerous examples of RIA </w:t>
      </w:r>
      <w:r w:rsidR="00052422">
        <w:t xml:space="preserve">not being integrated into the policy process or </w:t>
      </w:r>
      <w:r w:rsidR="004A1432">
        <w:t xml:space="preserve">started </w:t>
      </w:r>
      <w:r w:rsidR="00C36B51">
        <w:t xml:space="preserve">only </w:t>
      </w:r>
      <w:r w:rsidR="004A1432">
        <w:t xml:space="preserve">after a </w:t>
      </w:r>
      <w:r w:rsidR="0028632C">
        <w:t>m</w:t>
      </w:r>
      <w:r w:rsidR="004A1432">
        <w:t xml:space="preserve">inister had decided on the regulatory approach to be taken (see discussion below </w:t>
      </w:r>
      <w:r w:rsidR="00986611">
        <w:t xml:space="preserve">— </w:t>
      </w:r>
      <w:r w:rsidR="004A1432">
        <w:t>‘top down policy develop</w:t>
      </w:r>
      <w:r w:rsidR="00F92AE5">
        <w:t>ment</w:t>
      </w:r>
      <w:r w:rsidR="00170EFB">
        <w:t xml:space="preserve"> tension with RIA</w:t>
      </w:r>
      <w:r w:rsidR="004A1432">
        <w:t>’</w:t>
      </w:r>
      <w:r w:rsidR="0064301D">
        <w:t>)</w:t>
      </w:r>
      <w:r w:rsidR="00336BF0">
        <w:t xml:space="preserve"> (box 10.2)</w:t>
      </w:r>
      <w:r w:rsidR="00A34BA8">
        <w:t>.</w:t>
      </w:r>
      <w:r w:rsidR="0064301D">
        <w:t xml:space="preserve"> </w:t>
      </w:r>
    </w:p>
    <w:p w:rsidR="008E7C45" w:rsidRPr="00F532C9" w:rsidRDefault="008E7C45" w:rsidP="008E7C45">
      <w:pPr>
        <w:pStyle w:val="BodyText"/>
        <w:rPr>
          <w:sz w:val="28"/>
        </w:rPr>
      </w:pPr>
      <w:r>
        <w:t xml:space="preserve">Compared with </w:t>
      </w:r>
      <w:r w:rsidRPr="006F20FF">
        <w:t>other jurisdi</w:t>
      </w:r>
      <w:r>
        <w:t>ctions, the Tasmanian RIA process for primary legislation starts considerably later in the policy development cycle</w:t>
      </w:r>
      <w:r>
        <w:rPr>
          <w:i/>
        </w:rPr>
        <w:t>.</w:t>
      </w:r>
      <w:r>
        <w:t xml:space="preserve"> Under this process, ‘the Cabinet decision on the policy objective is almost always made before the preparation of the RIS’ (</w:t>
      </w:r>
      <w:r w:rsidR="006C1C5F">
        <w:t xml:space="preserve">Tasmanian </w:t>
      </w:r>
      <w:r>
        <w:t xml:space="preserve">Department of Treasury and Finance, sub. 22, p. 2). In addition, analysis of the impacts of subordinate legislation in Tasmania is not required until after the policy decision has been made by the relevant minister and the legislation drafted. </w:t>
      </w:r>
      <w:r w:rsidR="006143DC">
        <w:t>T</w:t>
      </w:r>
      <w:r>
        <w:t xml:space="preserve">he </w:t>
      </w:r>
      <w:r w:rsidR="006C1C5F">
        <w:t xml:space="preserve">Tasmanian </w:t>
      </w:r>
      <w:r>
        <w:t>Department of Treasury and Finance advised that the early stages of policy development usually involve steps that may typically be embodied within a RIA process — such as defining and scoping of the problem, analysing alternative options, undertaking consultation and analysing costs and benefits (sub. 22</w:t>
      </w:r>
      <w:r w:rsidR="006143DC" w:rsidRPr="002B44E3">
        <w:t>)</w:t>
      </w:r>
      <w:r w:rsidR="006143DC">
        <w:t xml:space="preserve">. However, </w:t>
      </w:r>
      <w:r w:rsidR="002B44E3" w:rsidRPr="002B44E3">
        <w:t xml:space="preserve">the late start in the formal RIA process is </w:t>
      </w:r>
      <w:r w:rsidR="002B44E3">
        <w:t>potentially indicative of a</w:t>
      </w:r>
      <w:r w:rsidR="006143DC">
        <w:t>n overall</w:t>
      </w:r>
      <w:r w:rsidR="002B44E3">
        <w:t xml:space="preserve"> lack of integration of RIA into policy development</w:t>
      </w:r>
      <w:r w:rsidRPr="002B44E3">
        <w:t>.</w:t>
      </w:r>
      <w:r>
        <w:rPr>
          <w:sz w:val="28"/>
        </w:rPr>
        <w:t xml:space="preserve"> </w:t>
      </w:r>
    </w:p>
    <w:p w:rsidR="00A34BA8" w:rsidRDefault="00A34BA8" w:rsidP="00A34B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0887" w:rsidTr="001D30D6">
        <w:tc>
          <w:tcPr>
            <w:tcW w:w="8771" w:type="dxa"/>
            <w:tcBorders>
              <w:top w:val="single" w:sz="6" w:space="0" w:color="auto"/>
              <w:bottom w:val="nil"/>
            </w:tcBorders>
          </w:tcPr>
          <w:p w:rsidR="00900887" w:rsidRDefault="00900887" w:rsidP="00C55F05">
            <w:pPr>
              <w:pStyle w:val="BoxTitle"/>
            </w:pPr>
            <w:r>
              <w:rPr>
                <w:b w:val="0"/>
              </w:rPr>
              <w:t xml:space="preserve">Box </w:t>
            </w:r>
            <w:bookmarkStart w:id="3" w:name="OLE_LINK9"/>
            <w:r w:rsidR="00612363">
              <w:rPr>
                <w:b w:val="0"/>
              </w:rPr>
              <w:t>10.</w:t>
            </w:r>
            <w:r w:rsidR="00B5590D">
              <w:rPr>
                <w:b w:val="0"/>
                <w:noProof/>
              </w:rPr>
              <w:t>2</w:t>
            </w:r>
            <w:bookmarkEnd w:id="3"/>
            <w:r>
              <w:tab/>
            </w:r>
            <w:r w:rsidR="002B44E3">
              <w:t>Stakeholder c</w:t>
            </w:r>
            <w:r>
              <w:t xml:space="preserve">laims of </w:t>
            </w:r>
            <w:r w:rsidR="005B3808">
              <w:t>tension with Ministerial decision making</w:t>
            </w:r>
            <w:r w:rsidR="00C55F05">
              <w:t xml:space="preserve"> and a lack of integration with RIA processes </w:t>
            </w:r>
          </w:p>
        </w:tc>
      </w:tr>
      <w:tr w:rsidR="00900887" w:rsidRPr="00EF36AB" w:rsidTr="001D30D6">
        <w:trPr>
          <w:cantSplit/>
        </w:trPr>
        <w:tc>
          <w:tcPr>
            <w:tcW w:w="8771" w:type="dxa"/>
            <w:tcBorders>
              <w:top w:val="nil"/>
              <w:left w:val="single" w:sz="6" w:space="0" w:color="auto"/>
              <w:bottom w:val="nil"/>
              <w:right w:val="single" w:sz="6" w:space="0" w:color="auto"/>
            </w:tcBorders>
          </w:tcPr>
          <w:p w:rsidR="00900887" w:rsidRDefault="00900887" w:rsidP="001D30D6">
            <w:pPr>
              <w:pStyle w:val="Box"/>
            </w:pPr>
            <w:r>
              <w:t xml:space="preserve">The </w:t>
            </w:r>
            <w:r w:rsidRPr="003C139F">
              <w:t>Construction Materials P</w:t>
            </w:r>
            <w:r>
              <w:t>rocessors Association (</w:t>
            </w:r>
            <w:proofErr w:type="spellStart"/>
            <w:r>
              <w:t>CMPA</w:t>
            </w:r>
            <w:proofErr w:type="spellEnd"/>
            <w:r>
              <w:t>) claimed it had ‘</w:t>
            </w:r>
            <w:r w:rsidRPr="003C139F">
              <w:t>seen no evidence that the RIA process has been effectively integrated into policy development</w:t>
            </w:r>
            <w:r>
              <w:t>’ (</w:t>
            </w:r>
            <w:r w:rsidRPr="003C139F">
              <w:t>sub.</w:t>
            </w:r>
            <w:r>
              <w:t> </w:t>
            </w:r>
            <w:r w:rsidRPr="003C139F">
              <w:t>9,</w:t>
            </w:r>
            <w:r>
              <w:t> </w:t>
            </w:r>
            <w:r w:rsidRPr="003C139F">
              <w:t>p.</w:t>
            </w:r>
            <w:r>
              <w:t xml:space="preserve"> 2). </w:t>
            </w:r>
          </w:p>
          <w:p w:rsidR="00900887" w:rsidRDefault="00900887" w:rsidP="001D30D6">
            <w:pPr>
              <w:pStyle w:val="Box"/>
            </w:pPr>
            <w:r>
              <w:t>The Australian Food and Grocery Council</w:t>
            </w:r>
            <w:r w:rsidRPr="00EF36AB">
              <w:t xml:space="preserve"> </w:t>
            </w:r>
            <w:r>
              <w:t xml:space="preserve">stated </w:t>
            </w:r>
            <w:r w:rsidRPr="00EF36AB">
              <w:t xml:space="preserve">that </w:t>
            </w:r>
            <w:r>
              <w:t xml:space="preserve">the RIA </w:t>
            </w:r>
            <w:r w:rsidRPr="00EF36AB">
              <w:t xml:space="preserve">process </w:t>
            </w:r>
            <w:r>
              <w:t>‘</w:t>
            </w:r>
            <w:r w:rsidRPr="00EF36AB">
              <w:t>is short cut or not carried out at all</w:t>
            </w:r>
            <w:r>
              <w:t>’</w:t>
            </w:r>
            <w:r w:rsidRPr="00EF36AB">
              <w:t xml:space="preserve"> </w:t>
            </w:r>
            <w:r>
              <w:t>(</w:t>
            </w:r>
            <w:r w:rsidRPr="003C139F">
              <w:t>sub.</w:t>
            </w:r>
            <w:r>
              <w:t> </w:t>
            </w:r>
            <w:r w:rsidRPr="003C139F">
              <w:t>5,</w:t>
            </w:r>
            <w:r>
              <w:t> </w:t>
            </w:r>
            <w:r w:rsidRPr="003C139F">
              <w:t>p. 8</w:t>
            </w:r>
            <w:r>
              <w:t>).</w:t>
            </w:r>
          </w:p>
          <w:p w:rsidR="00900887" w:rsidRDefault="00900887" w:rsidP="001D30D6">
            <w:pPr>
              <w:pStyle w:val="Box"/>
            </w:pPr>
            <w:r>
              <w:t>The Centre for International Economics identified that the main problem it encountered, as a consultant, was the tendency for agencies to either progress to drafting a RIS document or deciding on the desired regulatory option, before defining the nature and size of the problem (sub. 14).</w:t>
            </w:r>
          </w:p>
          <w:p w:rsidR="00900887" w:rsidRDefault="00900887" w:rsidP="001D30D6">
            <w:pPr>
              <w:pStyle w:val="Box"/>
            </w:pPr>
            <w:r>
              <w:t xml:space="preserve">A number of submissions outlined the view that the RIA process is used to justify the proposed regulatory response:  </w:t>
            </w:r>
          </w:p>
          <w:p w:rsidR="00900887" w:rsidRDefault="00900887" w:rsidP="001D30D6">
            <w:pPr>
              <w:pStyle w:val="BoxQuote"/>
            </w:pPr>
            <w:r>
              <w:t>… </w:t>
            </w:r>
            <w:r w:rsidRPr="00E322F7">
              <w:t xml:space="preserve">once a proposed policy or regulatory response has been established, the RIA is used as an additional procedural requirement to justify the merits of the policy, rather than a process to carefully examine the proposed regulatory actions and its policy alternatives. </w:t>
            </w:r>
            <w:r>
              <w:t>(</w:t>
            </w:r>
            <w:r w:rsidRPr="00E322F7">
              <w:t>A</w:t>
            </w:r>
            <w:r>
              <w:t>ustralian </w:t>
            </w:r>
            <w:r w:rsidRPr="00E322F7">
              <w:t>C</w:t>
            </w:r>
            <w:r>
              <w:t xml:space="preserve">hamber of </w:t>
            </w:r>
            <w:r w:rsidRPr="00E322F7">
              <w:t>C</w:t>
            </w:r>
            <w:r>
              <w:t xml:space="preserve">ommerce and </w:t>
            </w:r>
            <w:r w:rsidRPr="00E322F7">
              <w:t>I</w:t>
            </w:r>
            <w:r>
              <w:t>ndustry, </w:t>
            </w:r>
            <w:r w:rsidRPr="00E322F7">
              <w:t>sub.</w:t>
            </w:r>
            <w:r>
              <w:t> </w:t>
            </w:r>
            <w:r w:rsidRPr="00E322F7">
              <w:t>2,</w:t>
            </w:r>
            <w:r>
              <w:t> </w:t>
            </w:r>
            <w:r w:rsidRPr="00E322F7">
              <w:t>p.</w:t>
            </w:r>
            <w:r>
              <w:t> </w:t>
            </w:r>
            <w:r w:rsidRPr="00E322F7">
              <w:t>1</w:t>
            </w:r>
            <w:r>
              <w:t>)</w:t>
            </w:r>
          </w:p>
          <w:p w:rsidR="00900887" w:rsidRDefault="00900887" w:rsidP="001D30D6">
            <w:pPr>
              <w:pStyle w:val="BoxQuote"/>
            </w:pPr>
            <w:proofErr w:type="spellStart"/>
            <w:r w:rsidRPr="00F70C46">
              <w:t>CropLife</w:t>
            </w:r>
            <w:proofErr w:type="spellEnd"/>
            <w:r w:rsidRPr="00F70C46">
              <w:t xml:space="preserve"> has concerns that some regulatory impact analyses tend to be used by regulators to justify decisions that have already been taken by regulators and to support preferred regulatory options. </w:t>
            </w:r>
            <w:r>
              <w:t>(</w:t>
            </w:r>
            <w:proofErr w:type="spellStart"/>
            <w:r w:rsidRPr="00F70C46">
              <w:t>CropLife</w:t>
            </w:r>
            <w:proofErr w:type="spellEnd"/>
            <w:r>
              <w:t xml:space="preserve"> Australia,</w:t>
            </w:r>
            <w:r w:rsidRPr="00F70C46">
              <w:t xml:space="preserve"> sub.</w:t>
            </w:r>
            <w:r>
              <w:t> </w:t>
            </w:r>
            <w:r w:rsidRPr="00F70C46">
              <w:t>7,</w:t>
            </w:r>
            <w:r>
              <w:t> </w:t>
            </w:r>
            <w:r w:rsidRPr="00F70C46">
              <w:t>p.</w:t>
            </w:r>
            <w:r>
              <w:t> </w:t>
            </w:r>
            <w:r w:rsidRPr="00F70C46">
              <w:t>1</w:t>
            </w:r>
            <w:r>
              <w:t xml:space="preserve">) </w:t>
            </w:r>
          </w:p>
          <w:p w:rsidR="00900887" w:rsidRDefault="00900887" w:rsidP="001D30D6">
            <w:pPr>
              <w:pStyle w:val="BoxQuote"/>
            </w:pPr>
            <w:r>
              <w:t>There is also a concern that a RIA is only developed as an after-thought, once the decision has essentially been formulated. How effective can a RIA be if it is not included in the policymaking process from the beginning? (WA Local Government Association, sub. 6, p. 1)</w:t>
            </w:r>
          </w:p>
          <w:p w:rsidR="00900887" w:rsidRDefault="00900887" w:rsidP="001D30D6">
            <w:pPr>
              <w:pStyle w:val="Box"/>
            </w:pPr>
            <w:r>
              <w:t>Likewise, the Australia Financial Markets Association (</w:t>
            </w:r>
            <w:proofErr w:type="spellStart"/>
            <w:r>
              <w:t>AFMA</w:t>
            </w:r>
            <w:proofErr w:type="spellEnd"/>
            <w:r>
              <w:t xml:space="preserve">) noted its concern </w:t>
            </w:r>
            <w:r w:rsidRPr="0013667F">
              <w:t xml:space="preserve">that there is </w:t>
            </w:r>
            <w:r w:rsidR="00052422">
              <w:t>‘</w:t>
            </w:r>
            <w:r w:rsidRPr="0013667F">
              <w:t>not always sufficient commitment politically and at the agency level to following the principles embedded in the RIA approach in good faith</w:t>
            </w:r>
            <w:r w:rsidR="00052422">
              <w:t>’</w:t>
            </w:r>
            <w:r>
              <w:t xml:space="preserve"> (sub</w:t>
            </w:r>
            <w:r w:rsidRPr="0013667F">
              <w:t>.</w:t>
            </w:r>
            <w:r>
              <w:t> 11</w:t>
            </w:r>
            <w:r w:rsidR="00052422">
              <w:t>, page 2</w:t>
            </w:r>
            <w:r>
              <w:t xml:space="preserve">). </w:t>
            </w:r>
          </w:p>
          <w:p w:rsidR="00900887" w:rsidRDefault="00900887" w:rsidP="001D30D6">
            <w:pPr>
              <w:pStyle w:val="Box"/>
            </w:pPr>
            <w:r>
              <w:t>Even some agencies acknowledge</w:t>
            </w:r>
            <w:r w:rsidR="003529F6">
              <w:t>d</w:t>
            </w:r>
            <w:r>
              <w:t xml:space="preserve"> that the RIS process is not always integrated into the start of the policy development process. For example, the </w:t>
            </w:r>
            <w:r w:rsidR="00CB77C4" w:rsidRPr="00AE6847">
              <w:t>officers undertaking RIA in</w:t>
            </w:r>
            <w:r w:rsidR="00CB77C4">
              <w:t xml:space="preserve"> the </w:t>
            </w:r>
            <w:r w:rsidR="00CB77C4" w:rsidRPr="00AE6847">
              <w:t>Victorian transport portfolio</w:t>
            </w:r>
            <w:r w:rsidR="00CB77C4">
              <w:t xml:space="preserve"> </w:t>
            </w:r>
            <w:r>
              <w:t>note</w:t>
            </w:r>
            <w:r w:rsidR="00CB77C4">
              <w:t>d</w:t>
            </w:r>
            <w:r>
              <w:t xml:space="preserve">: </w:t>
            </w:r>
          </w:p>
          <w:p w:rsidR="00900887" w:rsidRDefault="00900887" w:rsidP="001D30D6">
            <w:pPr>
              <w:pStyle w:val="BoxQuote"/>
            </w:pPr>
            <w:r>
              <w:t>… </w:t>
            </w:r>
            <w:r w:rsidRPr="00F70C46">
              <w:t xml:space="preserve">contributions of the RIA can be limited as sometimes the policy decision has been made before the RIA is undertaken (either through a strategic plan or Ministerial announcement). The RIA process then is viewed as a costly and burdensome “add on” prior to implementation. </w:t>
            </w:r>
            <w:r>
              <w:t>(</w:t>
            </w:r>
            <w:r w:rsidRPr="00F70C46">
              <w:t>sub. 17, p. 2</w:t>
            </w:r>
            <w:r>
              <w:t xml:space="preserve">) </w:t>
            </w:r>
          </w:p>
          <w:p w:rsidR="00AF5DAD" w:rsidRDefault="00AF5DAD" w:rsidP="00AF5DAD">
            <w:pPr>
              <w:pStyle w:val="Box"/>
            </w:pPr>
            <w:r>
              <w:t>The Victorian Government noted:</w:t>
            </w:r>
          </w:p>
          <w:p w:rsidR="00AF5DAD" w:rsidRDefault="00AF5DAD" w:rsidP="00AF5DAD">
            <w:pPr>
              <w:pStyle w:val="BoxQuote"/>
            </w:pPr>
            <w:r>
              <w:t>COAG RIA are often initiated well after decisions are made about the reform, meaning that they become a document that advocates for a particular option rather than being a decision making tool. (sub.</w:t>
            </w:r>
            <w:r w:rsidR="007261C4">
              <w:t xml:space="preserve"> </w:t>
            </w:r>
            <w:proofErr w:type="spellStart"/>
            <w:r>
              <w:t>DR32</w:t>
            </w:r>
            <w:proofErr w:type="spellEnd"/>
            <w:r>
              <w:t>, p. 1)</w:t>
            </w:r>
          </w:p>
          <w:p w:rsidR="00900887" w:rsidRDefault="00900887" w:rsidP="001D30D6">
            <w:pPr>
              <w:pStyle w:val="Box"/>
            </w:pPr>
            <w:r>
              <w:t xml:space="preserve">The Western Australian Department of Transport highlighted the friction between </w:t>
            </w:r>
            <w:r w:rsidR="00FD2D98">
              <w:t>early integration of</w:t>
            </w:r>
            <w:r>
              <w:t xml:space="preserve"> RIA process and having ministerial approval to proceed: </w:t>
            </w:r>
          </w:p>
          <w:p w:rsidR="00900887" w:rsidRPr="00EF36AB" w:rsidRDefault="00900887" w:rsidP="001D30D6">
            <w:pPr>
              <w:pStyle w:val="BoxQuote"/>
            </w:pPr>
            <w:r>
              <w:t>… </w:t>
            </w:r>
            <w:r w:rsidRPr="00430E8E">
              <w:t>the challenge for agencies is in exercising discretion in deciding when to commit resources to a RIA prior to obtaining ministerial mandate to progress with the proposal.</w:t>
            </w:r>
            <w:r>
              <w:t xml:space="preserve"> (sub. 12, p. 2) </w:t>
            </w:r>
          </w:p>
        </w:tc>
      </w:tr>
      <w:tr w:rsidR="00900887" w:rsidTr="001D30D6">
        <w:trPr>
          <w:cantSplit/>
        </w:trPr>
        <w:tc>
          <w:tcPr>
            <w:tcW w:w="8771" w:type="dxa"/>
            <w:tcBorders>
              <w:top w:val="nil"/>
              <w:left w:val="single" w:sz="6" w:space="0" w:color="auto"/>
              <w:bottom w:val="single" w:sz="6" w:space="0" w:color="auto"/>
              <w:right w:val="single" w:sz="6" w:space="0" w:color="auto"/>
            </w:tcBorders>
          </w:tcPr>
          <w:p w:rsidR="00900887" w:rsidRDefault="00900887" w:rsidP="001D30D6">
            <w:pPr>
              <w:pStyle w:val="Box"/>
              <w:spacing w:before="0" w:line="120" w:lineRule="exact"/>
            </w:pPr>
          </w:p>
        </w:tc>
      </w:tr>
      <w:tr w:rsidR="00900887" w:rsidTr="001D30D6">
        <w:tc>
          <w:tcPr>
            <w:tcW w:w="8771" w:type="dxa"/>
            <w:tcBorders>
              <w:top w:val="nil"/>
              <w:left w:val="nil"/>
              <w:bottom w:val="nil"/>
              <w:right w:val="nil"/>
            </w:tcBorders>
          </w:tcPr>
          <w:p w:rsidR="00900887" w:rsidRDefault="00900887" w:rsidP="001D30D6">
            <w:pPr>
              <w:pStyle w:val="Box"/>
              <w:keepNext w:val="0"/>
              <w:spacing w:before="0" w:after="40" w:line="60" w:lineRule="exact"/>
              <w:rPr>
                <w:b/>
                <w:color w:val="FF00FF"/>
                <w:sz w:val="14"/>
              </w:rPr>
            </w:pPr>
          </w:p>
        </w:tc>
      </w:tr>
    </w:tbl>
    <w:p w:rsidR="004A1432" w:rsidRDefault="004A1432" w:rsidP="007E07B1">
      <w:pPr>
        <w:pStyle w:val="Heading3"/>
      </w:pPr>
      <w:r>
        <w:lastRenderedPageBreak/>
        <w:t>Isolated examples of integration</w:t>
      </w:r>
    </w:p>
    <w:p w:rsidR="008B21C7" w:rsidRDefault="0064301D" w:rsidP="004A1432">
      <w:pPr>
        <w:pStyle w:val="BodyText"/>
      </w:pPr>
      <w:r>
        <w:t xml:space="preserve">The Commission found </w:t>
      </w:r>
      <w:r w:rsidR="00CA034D">
        <w:t xml:space="preserve">some instances of </w:t>
      </w:r>
      <w:r w:rsidR="004A1432">
        <w:t>agencies integrating RIA early in the policy develop</w:t>
      </w:r>
      <w:r w:rsidR="00D447A0">
        <w:t>ment</w:t>
      </w:r>
      <w:r w:rsidR="004A1432">
        <w:t xml:space="preserve"> process</w:t>
      </w:r>
      <w:r w:rsidR="00CA034D">
        <w:t>. For the most part, demonstration of integration</w:t>
      </w:r>
      <w:r w:rsidR="00AC4647">
        <w:t xml:space="preserve"> </w:t>
      </w:r>
      <w:r w:rsidR="004A1432">
        <w:t>relies on subjective assessments and agenc</w:t>
      </w:r>
      <w:r w:rsidR="00AC4647">
        <w:t>y</w:t>
      </w:r>
      <w:r w:rsidR="004A1432">
        <w:t xml:space="preserve"> self</w:t>
      </w:r>
      <w:r w:rsidR="004308A4">
        <w:noBreakHyphen/>
      </w:r>
      <w:r w:rsidR="004A1432">
        <w:t>reporting</w:t>
      </w:r>
      <w:r w:rsidR="00AC4647">
        <w:t>.</w:t>
      </w:r>
      <w:r w:rsidR="008B21C7">
        <w:t xml:space="preserve"> </w:t>
      </w:r>
    </w:p>
    <w:p w:rsidR="008B21C7" w:rsidRDefault="008B21C7" w:rsidP="004A1432">
      <w:pPr>
        <w:pStyle w:val="BodyText"/>
      </w:pPr>
      <w:r>
        <w:t>Around 40 per cent of agencies responding to the Commission</w:t>
      </w:r>
      <w:r w:rsidR="004308A4">
        <w:t>’</w:t>
      </w:r>
      <w:r>
        <w:t xml:space="preserve">s </w:t>
      </w:r>
      <w:r w:rsidR="00BC0260">
        <w:t xml:space="preserve">RIA </w:t>
      </w:r>
      <w:r>
        <w:t>survey reported that they generally engaged with the</w:t>
      </w:r>
      <w:r w:rsidR="0098200D">
        <w:t>ir</w:t>
      </w:r>
      <w:r>
        <w:t xml:space="preserve"> oversight body at the start of the policy development process — </w:t>
      </w:r>
      <w:r w:rsidRPr="00C11B1C">
        <w:t xml:space="preserve">indicating the RIS </w:t>
      </w:r>
      <w:r>
        <w:t>document (or equivalent) was more likely</w:t>
      </w:r>
      <w:r w:rsidRPr="00C11B1C">
        <w:t xml:space="preserve"> </w:t>
      </w:r>
      <w:r>
        <w:t xml:space="preserve">to be </w:t>
      </w:r>
      <w:r w:rsidRPr="00C11B1C">
        <w:t>developed in conjun</w:t>
      </w:r>
      <w:r>
        <w:t>ction with the policy process (figure 10.</w:t>
      </w:r>
      <w:r w:rsidR="00F344DE">
        <w:t>1</w:t>
      </w:r>
      <w:r>
        <w:t>). A further 15</w:t>
      </w:r>
      <w:r w:rsidRPr="00A1315D">
        <w:t xml:space="preserve"> per cent of agency survey responses indicated that the first engagement with the oversight body varied depending on the particular </w:t>
      </w:r>
      <w:r>
        <w:t xml:space="preserve">policy </w:t>
      </w:r>
      <w:r w:rsidRPr="00A1315D">
        <w:t>initiative</w:t>
      </w:r>
      <w:r>
        <w:t>.</w:t>
      </w:r>
    </w:p>
    <w:p w:rsidR="00550A3A" w:rsidRDefault="00550A3A" w:rsidP="008A3023">
      <w:pPr>
        <w:pStyle w:val="FigureTitle"/>
        <w:spacing w:before="200"/>
      </w:pPr>
      <w:r>
        <w:rPr>
          <w:b w:val="0"/>
        </w:rPr>
        <w:t xml:space="preserve">Figure </w:t>
      </w:r>
      <w:bookmarkStart w:id="4" w:name="OLE_LINK7"/>
      <w:r w:rsidR="00612363">
        <w:rPr>
          <w:b w:val="0"/>
        </w:rPr>
        <w:t>10.</w:t>
      </w:r>
      <w:r w:rsidR="00B5590D">
        <w:rPr>
          <w:b w:val="0"/>
          <w:noProof/>
        </w:rPr>
        <w:t>1</w:t>
      </w:r>
      <w:bookmarkEnd w:id="4"/>
      <w:r>
        <w:tab/>
      </w:r>
      <w:r w:rsidR="00D447A0">
        <w:t>Agency f</w:t>
      </w:r>
      <w:r>
        <w:t>irst engagement with oversight body</w:t>
      </w:r>
      <w:r w:rsidRPr="002B44E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50A3A" w:rsidTr="00550A3A">
        <w:tc>
          <w:tcPr>
            <w:tcW w:w="8777" w:type="dxa"/>
            <w:tcBorders>
              <w:top w:val="single" w:sz="6" w:space="0" w:color="auto"/>
              <w:bottom w:val="single" w:sz="6" w:space="0" w:color="auto"/>
            </w:tcBorders>
          </w:tcPr>
          <w:p w:rsidR="00EA60C3" w:rsidRPr="00D4393E" w:rsidRDefault="000E185E" w:rsidP="00EA60C3">
            <w:pPr>
              <w:pStyle w:val="Figure"/>
              <w:rPr>
                <w:b/>
              </w:rPr>
            </w:pPr>
            <w:r>
              <w:rPr>
                <w:b/>
                <w:noProof/>
              </w:rPr>
              <w:drawing>
                <wp:inline distT="0" distB="0" distL="0" distR="0" wp14:anchorId="6D623C48" wp14:editId="6CAF7863">
                  <wp:extent cx="5401310" cy="2877820"/>
                  <wp:effectExtent l="0" t="0" r="8890" b="0"/>
                  <wp:docPr id="3" name="Picture 3" descr="Figure 10.1 Agency first engagement with oversight body. This figure shows the proportion of agencies that engage with their oversight body for the first time at different stages of the policy develop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2877820"/>
                          </a:xfrm>
                          <a:prstGeom prst="rect">
                            <a:avLst/>
                          </a:prstGeom>
                          <a:noFill/>
                        </pic:spPr>
                      </pic:pic>
                    </a:graphicData>
                  </a:graphic>
                </wp:inline>
              </w:drawing>
            </w:r>
          </w:p>
        </w:tc>
      </w:tr>
    </w:tbl>
    <w:p w:rsidR="00550A3A" w:rsidRPr="00056518" w:rsidRDefault="00550A3A" w:rsidP="00550A3A">
      <w:pPr>
        <w:pStyle w:val="Note"/>
      </w:pPr>
      <w:r w:rsidRPr="00056518">
        <w:rPr>
          <w:rStyle w:val="NoteLabel"/>
        </w:rPr>
        <w:t>a</w:t>
      </w:r>
      <w:r w:rsidRPr="00056518">
        <w:t xml:space="preserve"> </w:t>
      </w:r>
      <w:r>
        <w:t>Based on 5</w:t>
      </w:r>
      <w:r w:rsidR="00EF5E7A">
        <w:t>8</w:t>
      </w:r>
      <w:r>
        <w:t xml:space="preserve"> survey responses. </w:t>
      </w:r>
    </w:p>
    <w:p w:rsidR="00550A3A" w:rsidRDefault="00550A3A" w:rsidP="00550A3A">
      <w:pPr>
        <w:pStyle w:val="Source"/>
      </w:pPr>
      <w:r>
        <w:rPr>
          <w:i/>
        </w:rPr>
        <w:t>Data source</w:t>
      </w:r>
      <w:r w:rsidRPr="00167F06">
        <w:t xml:space="preserve">: </w:t>
      </w:r>
      <w:r w:rsidR="004B3178">
        <w:t xml:space="preserve">PC RIA Survey </w:t>
      </w:r>
      <w:r w:rsidR="000638C7">
        <w:t>(</w:t>
      </w:r>
      <w:r w:rsidR="004B3178">
        <w:t>2012</w:t>
      </w:r>
      <w:r w:rsidR="000638C7">
        <w:t>)</w:t>
      </w:r>
      <w:r>
        <w:t xml:space="preserve">. </w:t>
      </w:r>
    </w:p>
    <w:p w:rsidR="000B6CDD" w:rsidRDefault="000B6CDD" w:rsidP="000B6CDD">
      <w:pPr>
        <w:pStyle w:val="BodyText"/>
        <w:spacing w:before="200"/>
      </w:pPr>
      <w:r>
        <w:t xml:space="preserve">The Commission found some agencies which viewed RIA as integral to informing the policy development process. These agencies were typically in jurisdictions which have had RIA in place for several years and have some noted successes from its use, such as Victoria. </w:t>
      </w:r>
      <w:r w:rsidRPr="00AE6847">
        <w:t>The officers undertaking RIA in</w:t>
      </w:r>
      <w:r>
        <w:t xml:space="preserve"> the </w:t>
      </w:r>
      <w:r w:rsidRPr="00AE6847">
        <w:t>Victorian transport portfolio</w:t>
      </w:r>
      <w:r>
        <w:t>, for example, stated:</w:t>
      </w:r>
    </w:p>
    <w:p w:rsidR="000B6CDD" w:rsidRDefault="000B6CDD" w:rsidP="000B6CDD">
      <w:pPr>
        <w:pStyle w:val="Quote"/>
      </w:pPr>
      <w:r>
        <w:t xml:space="preserve">The officers most frequently involved in undertaking RIA believe that the type of discipline promoted through RIA requirements is essential to achieving good regulatory outcomes. It is also agreed that RIA should be integrated into review and policy development processes so far as is possible. (sub. 17, p. 2) </w:t>
      </w:r>
    </w:p>
    <w:p w:rsidR="00CA034D" w:rsidRDefault="00CA034D" w:rsidP="00CA034D">
      <w:pPr>
        <w:pStyle w:val="BodyText"/>
      </w:pPr>
      <w:r>
        <w:lastRenderedPageBreak/>
        <w:t>Integration</w:t>
      </w:r>
      <w:r w:rsidRPr="00D10D1B">
        <w:t xml:space="preserve"> was also evident in some instances where longer term regulatory reforms were planned and there was time to embrace RIA</w:t>
      </w:r>
      <w:r w:rsidR="00915B9C">
        <w:t>,</w:t>
      </w:r>
      <w:r w:rsidRPr="00D10D1B">
        <w:t xml:space="preserve"> such as the development of a single </w:t>
      </w:r>
      <w:r w:rsidR="004B3178">
        <w:t>B</w:t>
      </w:r>
      <w:r w:rsidRPr="00D10D1B">
        <w:t xml:space="preserve">iosecurity Act to consolidate </w:t>
      </w:r>
      <w:r w:rsidR="004B3178">
        <w:t>seven</w:t>
      </w:r>
      <w:r w:rsidRPr="00D10D1B">
        <w:t xml:space="preserve"> existing Acts</w:t>
      </w:r>
      <w:r w:rsidR="00AE7C33">
        <w:t xml:space="preserve"> </w:t>
      </w:r>
      <w:r w:rsidR="00AE7C33" w:rsidRPr="00D10D1B">
        <w:t>in Queensland</w:t>
      </w:r>
      <w:r w:rsidRPr="00D10D1B">
        <w:t>.</w:t>
      </w:r>
      <w:r>
        <w:t xml:space="preserve"> The </w:t>
      </w:r>
      <w:r w:rsidR="002731B4">
        <w:t xml:space="preserve">Australian Government </w:t>
      </w:r>
      <w:r>
        <w:t>Attorney</w:t>
      </w:r>
      <w:r w:rsidR="004308A4">
        <w:noBreakHyphen/>
      </w:r>
      <w:r>
        <w:t>General</w:t>
      </w:r>
      <w:r w:rsidR="004308A4">
        <w:t>’</w:t>
      </w:r>
      <w:r>
        <w:t>s Department cited the COAG reform process to regulate chemicals to prevent the use of homemade explosives as an example of early integration of RIA, stating:</w:t>
      </w:r>
    </w:p>
    <w:p w:rsidR="00CA034D" w:rsidRDefault="00CA034D" w:rsidP="00CA034D">
      <w:pPr>
        <w:pStyle w:val="Quote"/>
      </w:pPr>
      <w:r>
        <w:t xml:space="preserve">… the need to consider the RIA process under the COAG RIA guidelines was acknowledged early in the policy development process and factored into the work program. The clarity of the COAG RIA guidelines meant that </w:t>
      </w:r>
      <w:proofErr w:type="spellStart"/>
      <w:r>
        <w:t>AGD</w:t>
      </w:r>
      <w:proofErr w:type="spellEnd"/>
      <w:r>
        <w:t xml:space="preserve"> </w:t>
      </w:r>
      <w:r w:rsidR="00DA2950">
        <w:t>[Attorney</w:t>
      </w:r>
      <w:r w:rsidR="00DA2950">
        <w:noBreakHyphen/>
        <w:t xml:space="preserve">General’s Department] </w:t>
      </w:r>
      <w:r>
        <w:t xml:space="preserve">did not consider the RIA process as an </w:t>
      </w:r>
      <w:r w:rsidR="004308A4">
        <w:t>‘</w:t>
      </w:r>
      <w:r>
        <w:t>add on</w:t>
      </w:r>
      <w:r w:rsidR="004308A4">
        <w:t>’</w:t>
      </w:r>
      <w:r>
        <w:t xml:space="preserve"> to the policy development cycle. (sub. 4,</w:t>
      </w:r>
      <w:r w:rsidR="00EB20B3">
        <w:t> </w:t>
      </w:r>
      <w:r>
        <w:t>p. 5)</w:t>
      </w:r>
    </w:p>
    <w:p w:rsidR="002900E6" w:rsidRDefault="002900E6" w:rsidP="00736E0F">
      <w:pPr>
        <w:pStyle w:val="BodyText"/>
      </w:pPr>
      <w:r>
        <w:t>D</w:t>
      </w:r>
      <w:r w:rsidR="00736E0F" w:rsidRPr="00363F72">
        <w:t xml:space="preserve">uring discussions with </w:t>
      </w:r>
      <w:r w:rsidR="00736E0F">
        <w:t>some of the national standard setting bodies (such as the Australian Building Codes Board</w:t>
      </w:r>
      <w:r w:rsidR="0039793E">
        <w:t>,</w:t>
      </w:r>
      <w:r w:rsidR="00736E0F">
        <w:t xml:space="preserve"> </w:t>
      </w:r>
      <w:r w:rsidR="0039793E">
        <w:t>Australian Transport Commission,</w:t>
      </w:r>
      <w:r w:rsidR="00736E0F">
        <w:t xml:space="preserve"> </w:t>
      </w:r>
      <w:r w:rsidR="0039793E">
        <w:t xml:space="preserve">and </w:t>
      </w:r>
      <w:r w:rsidR="00736E0F">
        <w:t xml:space="preserve">Food Standards Australia New Zealand) and independent Commonwealth agencies (for example, Australian Securities and Investments Commission), </w:t>
      </w:r>
      <w:r w:rsidR="00736E0F" w:rsidRPr="00363F72">
        <w:t xml:space="preserve">the Commission </w:t>
      </w:r>
      <w:r w:rsidR="00736E0F">
        <w:t xml:space="preserve">gained the strong impression </w:t>
      </w:r>
      <w:r w:rsidR="00736E0F" w:rsidRPr="00363F72">
        <w:t>that the essential elements of RIA are firmly embedded in their regulation development processes.</w:t>
      </w:r>
      <w:r w:rsidR="00736E0F">
        <w:t xml:space="preserve"> </w:t>
      </w:r>
    </w:p>
    <w:p w:rsidR="004A1432" w:rsidRDefault="004A1432" w:rsidP="00736E0F">
      <w:pPr>
        <w:pStyle w:val="BodyText"/>
      </w:pPr>
      <w:r>
        <w:t>These agencies</w:t>
      </w:r>
      <w:r w:rsidR="002900E6">
        <w:t xml:space="preserve"> that have shown indications of integrating RIA </w:t>
      </w:r>
      <w:r w:rsidR="00D447A0">
        <w:t xml:space="preserve">typically </w:t>
      </w:r>
      <w:r w:rsidRPr="005A0DC9">
        <w:t xml:space="preserve">undertake a number of </w:t>
      </w:r>
      <w:proofErr w:type="spellStart"/>
      <w:r w:rsidRPr="005A0DC9">
        <w:t>RISs</w:t>
      </w:r>
      <w:proofErr w:type="spellEnd"/>
      <w:r w:rsidRPr="005A0DC9">
        <w:t xml:space="preserve"> each year</w:t>
      </w:r>
      <w:r w:rsidR="002900E6">
        <w:t xml:space="preserve"> and</w:t>
      </w:r>
      <w:r w:rsidRPr="005A0DC9">
        <w:t xml:space="preserve"> </w:t>
      </w:r>
      <w:r w:rsidR="00736E0F">
        <w:t xml:space="preserve">generally have </w:t>
      </w:r>
      <w:r w:rsidR="00A25807">
        <w:t>comparatively</w:t>
      </w:r>
      <w:r>
        <w:t xml:space="preserve"> high compliance rates </w:t>
      </w:r>
      <w:r w:rsidR="00A25807">
        <w:t xml:space="preserve">with RIA processes </w:t>
      </w:r>
      <w:r w:rsidR="00736E0F">
        <w:t>compare</w:t>
      </w:r>
      <w:r w:rsidR="00A25FEB">
        <w:t>d</w:t>
      </w:r>
      <w:r w:rsidR="00736E0F">
        <w:t xml:space="preserve"> with the overall average </w:t>
      </w:r>
      <w:r>
        <w:t xml:space="preserve">over </w:t>
      </w:r>
      <w:r w:rsidR="00A25807">
        <w:t>recent years</w:t>
      </w:r>
      <w:r w:rsidR="00736E0F" w:rsidRPr="00736E0F">
        <w:t xml:space="preserve"> </w:t>
      </w:r>
      <w:r w:rsidR="00736E0F">
        <w:t xml:space="preserve">(PC </w:t>
      </w:r>
      <w:proofErr w:type="spellStart"/>
      <w:r w:rsidR="00736E0F">
        <w:t>2006b</w:t>
      </w:r>
      <w:proofErr w:type="spellEnd"/>
      <w:r w:rsidR="00736E0F">
        <w:t xml:space="preserve">, </w:t>
      </w:r>
      <w:proofErr w:type="spellStart"/>
      <w:r w:rsidR="00736E0F">
        <w:t>OBPR</w:t>
      </w:r>
      <w:proofErr w:type="spellEnd"/>
      <w:r w:rsidR="00736E0F">
        <w:t xml:space="preserve"> 2007, </w:t>
      </w:r>
      <w:proofErr w:type="spellStart"/>
      <w:r w:rsidR="00736E0F">
        <w:t>2008a</w:t>
      </w:r>
      <w:proofErr w:type="spellEnd"/>
      <w:r w:rsidR="00736E0F">
        <w:t xml:space="preserve">, 2009, 2010, </w:t>
      </w:r>
      <w:proofErr w:type="spellStart"/>
      <w:r w:rsidR="00736E0F">
        <w:t>2011a</w:t>
      </w:r>
      <w:proofErr w:type="spellEnd"/>
      <w:r w:rsidR="00736E0F">
        <w:t xml:space="preserve">, </w:t>
      </w:r>
      <w:proofErr w:type="spellStart"/>
      <w:r w:rsidR="00736E0F">
        <w:t>2012</w:t>
      </w:r>
      <w:r w:rsidR="008D2337">
        <w:t>a</w:t>
      </w:r>
      <w:proofErr w:type="spellEnd"/>
      <w:r w:rsidR="00736E0F">
        <w:t>)</w:t>
      </w:r>
      <w:r w:rsidRPr="005A0DC9">
        <w:t>.</w:t>
      </w:r>
      <w:r>
        <w:t xml:space="preserve"> </w:t>
      </w:r>
    </w:p>
    <w:p w:rsidR="005E10CD" w:rsidRPr="004B09AE" w:rsidRDefault="00E74B29" w:rsidP="005E10CD">
      <w:pPr>
        <w:pStyle w:val="BodyText"/>
        <w:tabs>
          <w:tab w:val="left" w:pos="1230"/>
        </w:tabs>
      </w:pPr>
      <w:r>
        <w:t xml:space="preserve">The Commission was also encouraged to see some examples of COAG ministerial councils embracing the RIA process instead of announcing regulatory options prior to a full and comprehensive impact analysis. </w:t>
      </w:r>
      <w:r w:rsidR="005E10CD">
        <w:t xml:space="preserve">In October 2012, for example, </w:t>
      </w:r>
      <w:r w:rsidR="008B1272">
        <w:t>COAG</w:t>
      </w:r>
      <w:r w:rsidR="005E10CD">
        <w:t>’</w:t>
      </w:r>
      <w:r w:rsidR="008B1272">
        <w:t>s</w:t>
      </w:r>
      <w:r w:rsidR="005E10CD">
        <w:t xml:space="preserve"> Standing Council on Primary Industries announced that the Australian Government would prepare a RIS to assist the council </w:t>
      </w:r>
      <w:r w:rsidR="002B44E3">
        <w:t xml:space="preserve">to </w:t>
      </w:r>
      <w:r w:rsidR="005E10CD">
        <w:t xml:space="preserve">make a decision concerning the implementation of an electronic </w:t>
      </w:r>
      <w:r w:rsidR="00DF4C21">
        <w:t>national livestock identification system.</w:t>
      </w:r>
      <w:r w:rsidR="005E10CD">
        <w:t xml:space="preserve"> </w:t>
      </w:r>
    </w:p>
    <w:p w:rsidR="00E74B29" w:rsidRDefault="005E10CD" w:rsidP="00E74B29">
      <w:pPr>
        <w:pStyle w:val="BodyText"/>
      </w:pPr>
      <w:r>
        <w:t xml:space="preserve">Similarly, </w:t>
      </w:r>
      <w:r w:rsidR="00E74B29">
        <w:t>in July 2010, COAG</w:t>
      </w:r>
      <w:r w:rsidR="00D63896">
        <w:t>’s</w:t>
      </w:r>
      <w:r w:rsidR="00E74B29">
        <w:t xml:space="preserve"> Environment Protection and Heritage Council (</w:t>
      </w:r>
      <w:proofErr w:type="spellStart"/>
      <w:r w:rsidR="00E74B29">
        <w:t>EPHC</w:t>
      </w:r>
      <w:proofErr w:type="spellEnd"/>
      <w:r w:rsidR="00E74B29">
        <w:t xml:space="preserve">) (now the Standing Council on Environment and Water) agreed to undertake a consultation RIS to </w:t>
      </w:r>
      <w:r w:rsidR="00A25FEB">
        <w:t xml:space="preserve">consider </w:t>
      </w:r>
      <w:r w:rsidR="00E74B29">
        <w:t>the problem of increasing use of landfill and on</w:t>
      </w:r>
      <w:r w:rsidR="00CF609A">
        <w:noBreakHyphen/>
      </w:r>
      <w:r w:rsidR="00E74B29">
        <w:t xml:space="preserve">going litter </w:t>
      </w:r>
      <w:r w:rsidR="00A25FEB">
        <w:t xml:space="preserve">from </w:t>
      </w:r>
      <w:r w:rsidR="00E74B29">
        <w:t>packaging waste</w:t>
      </w:r>
      <w:r w:rsidR="00095E22">
        <w:t>.</w:t>
      </w:r>
      <w:r w:rsidR="00E74B29">
        <w:t xml:space="preserve"> In its communique, the Council stated: </w:t>
      </w:r>
    </w:p>
    <w:p w:rsidR="00E74B29" w:rsidRDefault="00E74B29" w:rsidP="00E74B29">
      <w:pPr>
        <w:pStyle w:val="Quote"/>
      </w:pPr>
      <w:r>
        <w:t>Ministers agreed that a RIS will consider not only [container deposit legislation] CDL, but also a limited number of options which may have a positive cost benefit and a tangible impact on recovery rates and litter reduction. The RIS process will be transparent and consultative and the scope and approach will be the subject of early engagement with key stakeholders (</w:t>
      </w:r>
      <w:proofErr w:type="spellStart"/>
      <w:r>
        <w:t>EPHC</w:t>
      </w:r>
      <w:proofErr w:type="spellEnd"/>
      <w:r>
        <w:t xml:space="preserve"> 2010, p. 3). </w:t>
      </w:r>
    </w:p>
    <w:p w:rsidR="00F344DE" w:rsidRDefault="00095E22" w:rsidP="00F344DE">
      <w:pPr>
        <w:pStyle w:val="BodyText"/>
      </w:pPr>
      <w:r>
        <w:lastRenderedPageBreak/>
        <w:t xml:space="preserve">This announcement was made in an atmosphere of strong pressure for governments to appear decisive and regulate a container deposit scheme. For example, </w:t>
      </w:r>
      <w:r w:rsidR="00F344DE">
        <w:t xml:space="preserve">Senator </w:t>
      </w:r>
      <w:r w:rsidR="004D39E9">
        <w:t>Ludlum</w:t>
      </w:r>
      <w:r w:rsidR="00F344DE">
        <w:t xml:space="preserve"> </w:t>
      </w:r>
      <w:r w:rsidR="004D39E9">
        <w:t xml:space="preserve">(2010) </w:t>
      </w:r>
      <w:r w:rsidR="00F344DE">
        <w:t xml:space="preserve">stated: </w:t>
      </w:r>
    </w:p>
    <w:p w:rsidR="00095E22" w:rsidRDefault="00F344DE" w:rsidP="00F344DE">
      <w:pPr>
        <w:pStyle w:val="Quote"/>
      </w:pPr>
      <w:r w:rsidRPr="00F344DE">
        <w:t>Instead of seeing action, we’re seeing more promises of studies and reviews and statements rather than just putting a foot forward and getting a national container deposit scheme up and running.</w:t>
      </w:r>
    </w:p>
    <w:p w:rsidR="00AC5FEC" w:rsidRDefault="00B14EE7" w:rsidP="00AC5FEC">
      <w:pPr>
        <w:pStyle w:val="Heading2"/>
      </w:pPr>
      <w:r>
        <w:t>10.</w:t>
      </w:r>
      <w:r w:rsidR="00B5590D">
        <w:rPr>
          <w:noProof/>
        </w:rPr>
        <w:t>3</w:t>
      </w:r>
      <w:r w:rsidR="00AC5FEC">
        <w:tab/>
        <w:t xml:space="preserve">Barriers to integration </w:t>
      </w:r>
    </w:p>
    <w:p w:rsidR="00AC5FEC" w:rsidRDefault="000F5821" w:rsidP="00AC5FEC">
      <w:pPr>
        <w:pStyle w:val="BodyText"/>
      </w:pPr>
      <w:r>
        <w:t xml:space="preserve">Drawing together </w:t>
      </w:r>
      <w:r w:rsidR="00AC5FEC">
        <w:t>the evidence presented</w:t>
      </w:r>
      <w:r w:rsidR="0064301D">
        <w:t xml:space="preserve"> to the Commission</w:t>
      </w:r>
      <w:r w:rsidR="00AC5FEC">
        <w:t xml:space="preserve">, </w:t>
      </w:r>
      <w:r w:rsidR="004738C9">
        <w:t xml:space="preserve">the </w:t>
      </w:r>
      <w:r w:rsidR="0064301D">
        <w:t>use of</w:t>
      </w:r>
      <w:r w:rsidR="00AC5FEC">
        <w:t xml:space="preserve"> RIA to better inform policy development</w:t>
      </w:r>
      <w:r w:rsidR="0064301D">
        <w:t xml:space="preserve"> is </w:t>
      </w:r>
      <w:r w:rsidR="002B44E3">
        <w:t xml:space="preserve">most often </w:t>
      </w:r>
      <w:r w:rsidR="0064301D">
        <w:t>hampered by: a lack of political commitment</w:t>
      </w:r>
      <w:r w:rsidR="002B44E3">
        <w:t xml:space="preserve">; </w:t>
      </w:r>
      <w:r w:rsidR="0064301D">
        <w:t>lack of skills and data</w:t>
      </w:r>
      <w:r w:rsidR="002B44E3">
        <w:t xml:space="preserve">; </w:t>
      </w:r>
      <w:r w:rsidR="0064301D">
        <w:t>and the administrative burden of the overall process</w:t>
      </w:r>
      <w:r w:rsidR="00FF013E">
        <w:t>.</w:t>
      </w:r>
    </w:p>
    <w:p w:rsidR="00FF013E" w:rsidRDefault="00A16C96" w:rsidP="00FF013E">
      <w:pPr>
        <w:pStyle w:val="Heading3"/>
      </w:pPr>
      <w:r>
        <w:t>Lack of p</w:t>
      </w:r>
      <w:r w:rsidR="00FF013E">
        <w:t xml:space="preserve">olitical </w:t>
      </w:r>
      <w:r w:rsidR="000B0614">
        <w:t>c</w:t>
      </w:r>
      <w:r w:rsidR="00FF013E">
        <w:t xml:space="preserve">ommitment </w:t>
      </w:r>
    </w:p>
    <w:p w:rsidR="00FF013E" w:rsidRDefault="00FF013E" w:rsidP="00FF013E">
      <w:pPr>
        <w:pStyle w:val="BodyText"/>
      </w:pPr>
      <w:r>
        <w:t xml:space="preserve">The OECD has long emphasised the importance of political commitment to </w:t>
      </w:r>
      <w:r w:rsidR="00B967BD">
        <w:t xml:space="preserve">improving the quality </w:t>
      </w:r>
      <w:r>
        <w:t xml:space="preserve">of regulatory policies. Endorsement of RIA </w:t>
      </w:r>
      <w:r w:rsidR="004308A4">
        <w:t>‘</w:t>
      </w:r>
      <w:r>
        <w:t>at the highest political level</w:t>
      </w:r>
      <w:r w:rsidR="004308A4">
        <w:t>’</w:t>
      </w:r>
      <w:r>
        <w:t xml:space="preserve"> was one of the ten best practices used by the OECD for many years as the basis for assessing country RIA systems</w:t>
      </w:r>
      <w:r w:rsidR="003F6904">
        <w:t xml:space="preserve"> (OECD 1997)</w:t>
      </w:r>
      <w:r w:rsidR="000B0614">
        <w:t xml:space="preserve">. </w:t>
      </w:r>
      <w:r w:rsidR="00BF6D6F">
        <w:t>T</w:t>
      </w:r>
      <w:r w:rsidR="000B0614">
        <w:t xml:space="preserve">he OECD </w:t>
      </w:r>
      <w:r w:rsidR="00BF6D6F">
        <w:t>(</w:t>
      </w:r>
      <w:proofErr w:type="spellStart"/>
      <w:r w:rsidR="00BF6D6F">
        <w:t>2010</w:t>
      </w:r>
      <w:r w:rsidR="008D2337">
        <w:t>b</w:t>
      </w:r>
      <w:proofErr w:type="spellEnd"/>
      <w:r w:rsidR="00BF6D6F">
        <w:t xml:space="preserve">) </w:t>
      </w:r>
      <w:r w:rsidR="000B0614">
        <w:t>noted</w:t>
      </w:r>
      <w:r w:rsidR="00BF6D6F">
        <w:t xml:space="preserve"> that political commitment is need</w:t>
      </w:r>
      <w:r w:rsidR="0064301D">
        <w:t>ed</w:t>
      </w:r>
      <w:r w:rsidR="00BF6D6F">
        <w:t xml:space="preserve"> to counter the various incentives of </w:t>
      </w:r>
      <w:r w:rsidR="009D6AEB">
        <w:t>government agencies</w:t>
      </w:r>
      <w:r w:rsidR="00BF6D6F">
        <w:t xml:space="preserve"> to not undertake RIA</w:t>
      </w:r>
      <w:r w:rsidR="00470BF3">
        <w:t xml:space="preserve">: </w:t>
      </w:r>
    </w:p>
    <w:p w:rsidR="00FF013E" w:rsidRDefault="00FF013E" w:rsidP="00FF013E">
      <w:pPr>
        <w:pStyle w:val="Quote"/>
      </w:pPr>
      <w:r>
        <w:t>Because of its capacity to prevent rent seeking and promote the highest social benefit in regulation, RIA has many potential opponents. Departments may have an incentive to evade the requirements of RIA, either because of resource demands or because it precludes a favoured use of regulatory powers</w:t>
      </w:r>
      <w:r w:rsidR="000E185E">
        <w:t> </w:t>
      </w:r>
      <w:r w:rsidR="00470BF3">
        <w:t>… </w:t>
      </w:r>
      <w:r>
        <w:t xml:space="preserve">To overcome opposition to RIA and assist it to be effective and useful in supporting reform it should be endorsed at the highest levels of government. (OECD </w:t>
      </w:r>
      <w:proofErr w:type="spellStart"/>
      <w:r>
        <w:t>2010</w:t>
      </w:r>
      <w:r w:rsidR="008D2337">
        <w:t>b</w:t>
      </w:r>
      <w:proofErr w:type="spellEnd"/>
      <w:r>
        <w:t>, p. 44)</w:t>
      </w:r>
    </w:p>
    <w:p w:rsidR="00FF013E" w:rsidRDefault="00FF013E" w:rsidP="00FF013E">
      <w:pPr>
        <w:pStyle w:val="BodyText"/>
      </w:pPr>
      <w:r>
        <w:t xml:space="preserve">In its latest Recommendation on Regulatory Policy and Governance, the OECD </w:t>
      </w:r>
      <w:r w:rsidR="00C91581">
        <w:t xml:space="preserve">reaffirmed the importance of </w:t>
      </w:r>
      <w:r>
        <w:t xml:space="preserve">high level political commitment to </w:t>
      </w:r>
      <w:r w:rsidR="00C91581">
        <w:t xml:space="preserve">quality </w:t>
      </w:r>
      <w:r>
        <w:t xml:space="preserve">regulatory </w:t>
      </w:r>
      <w:r w:rsidR="00EA470A">
        <w:t xml:space="preserve">outcomes </w:t>
      </w:r>
      <w:r>
        <w:t xml:space="preserve">(OECD </w:t>
      </w:r>
      <w:proofErr w:type="spellStart"/>
      <w:r>
        <w:t>2012</w:t>
      </w:r>
      <w:r w:rsidR="000F0A5B">
        <w:t>a</w:t>
      </w:r>
      <w:proofErr w:type="spellEnd"/>
      <w:r w:rsidR="00C91581">
        <w:t>)</w:t>
      </w:r>
      <w:r>
        <w:t xml:space="preserve">. </w:t>
      </w:r>
    </w:p>
    <w:p w:rsidR="00FF013E" w:rsidRDefault="00FF013E" w:rsidP="00FF013E">
      <w:pPr>
        <w:pStyle w:val="Heading4"/>
      </w:pPr>
      <w:r>
        <w:t>Top</w:t>
      </w:r>
      <w:r w:rsidR="004308A4">
        <w:noBreakHyphen/>
      </w:r>
      <w:r>
        <w:t>down policy development tension with RIA</w:t>
      </w:r>
    </w:p>
    <w:p w:rsidR="00FF013E" w:rsidRDefault="00FF013E" w:rsidP="00FF013E">
      <w:pPr>
        <w:pStyle w:val="BodyText"/>
      </w:pPr>
      <w:r>
        <w:t>RIA is largely based on the notion that policy is developed from the bottom</w:t>
      </w:r>
      <w:r w:rsidR="004308A4">
        <w:noBreakHyphen/>
      </w:r>
      <w:r>
        <w:t>up: an issue is identified and agencies proceed to use the RIA framework to assist in investigating, consulting</w:t>
      </w:r>
      <w:r w:rsidR="00A16C96">
        <w:t>, considering alternatives</w:t>
      </w:r>
      <w:r>
        <w:t xml:space="preserve"> and then develop</w:t>
      </w:r>
      <w:r w:rsidR="00A76CFD">
        <w:t>ing</w:t>
      </w:r>
      <w:r>
        <w:t xml:space="preserve"> a document with information for decision makers.</w:t>
      </w:r>
    </w:p>
    <w:p w:rsidR="00230860" w:rsidRDefault="00FF013E" w:rsidP="005E0413">
      <w:pPr>
        <w:pStyle w:val="BodyText"/>
      </w:pPr>
      <w:r>
        <w:lastRenderedPageBreak/>
        <w:t xml:space="preserve">In reality, policy solutions are regularly framed by the </w:t>
      </w:r>
      <w:r w:rsidR="0028632C">
        <w:t>m</w:t>
      </w:r>
      <w:r>
        <w:t>inister, government or COAG before the RIA process starts (</w:t>
      </w:r>
      <w:r w:rsidR="004E19DF">
        <w:t>that is, it</w:t>
      </w:r>
      <w:r w:rsidR="00D447A0">
        <w:t xml:space="preserve"> i</w:t>
      </w:r>
      <w:r w:rsidR="004E19DF">
        <w:t xml:space="preserve">s often a </w:t>
      </w:r>
      <w:r>
        <w:t>top</w:t>
      </w:r>
      <w:r w:rsidR="004308A4">
        <w:noBreakHyphen/>
      </w:r>
      <w:r>
        <w:t>down</w:t>
      </w:r>
      <w:r w:rsidR="004E19DF">
        <w:t xml:space="preserve"> process</w:t>
      </w:r>
      <w:r>
        <w:t xml:space="preserve">). This may occur for a variety of reasons, including a policy being announced as an election commitment (potentially while in opposition), the perceived need to respond promptly to an issue </w:t>
      </w:r>
      <w:r w:rsidR="00A16C96">
        <w:t xml:space="preserve">or </w:t>
      </w:r>
      <w:r>
        <w:t xml:space="preserve">desire to expedite high profile policies. </w:t>
      </w:r>
      <w:r w:rsidR="00D01098">
        <w:t xml:space="preserve">Against this backdrop, Ministers often desire to have RIS documents that promote the preferred regulatory option, choosing not to have contrary or negative stakeholder comments included. </w:t>
      </w:r>
      <w:r>
        <w:t xml:space="preserve">Australian jurisdictions are not unique in this regard. The OECD noted that in all member countries, </w:t>
      </w:r>
      <w:r w:rsidR="004308A4">
        <w:t>‘</w:t>
      </w:r>
      <w:r>
        <w:t>use of RIA does not trump politics</w:t>
      </w:r>
      <w:r w:rsidR="004308A4">
        <w:t>’</w:t>
      </w:r>
      <w:r>
        <w:t xml:space="preserve"> (OECD </w:t>
      </w:r>
      <w:proofErr w:type="spellStart"/>
      <w:r>
        <w:t>2010</w:t>
      </w:r>
      <w:r w:rsidR="008D2337">
        <w:t>a</w:t>
      </w:r>
      <w:proofErr w:type="spellEnd"/>
      <w:r>
        <w:t>,</w:t>
      </w:r>
      <w:r w:rsidR="00E02D0D">
        <w:t> </w:t>
      </w:r>
      <w:r>
        <w:t xml:space="preserve">p. 112). </w:t>
      </w:r>
    </w:p>
    <w:p w:rsidR="006F6582" w:rsidRDefault="00FF013E" w:rsidP="00FF013E">
      <w:pPr>
        <w:pStyle w:val="BodyText"/>
      </w:pPr>
      <w:r>
        <w:t>The Commission has heard numerous anecdotes from agencies of how policies ha</w:t>
      </w:r>
      <w:r w:rsidR="008341FD">
        <w:t>ve</w:t>
      </w:r>
      <w:r>
        <w:t xml:space="preserve"> been pre</w:t>
      </w:r>
      <w:r w:rsidR="004308A4">
        <w:noBreakHyphen/>
      </w:r>
      <w:r>
        <w:t xml:space="preserve">decided by the responsible </w:t>
      </w:r>
      <w:r w:rsidR="0028632C">
        <w:t>m</w:t>
      </w:r>
      <w:r>
        <w:t xml:space="preserve">inister and </w:t>
      </w:r>
      <w:r w:rsidR="002C134C">
        <w:t xml:space="preserve">either </w:t>
      </w:r>
      <w:r>
        <w:t xml:space="preserve">the agency was </w:t>
      </w:r>
      <w:r w:rsidR="004E19DF">
        <w:t xml:space="preserve">then </w:t>
      </w:r>
      <w:r>
        <w:t xml:space="preserve">required to prepare </w:t>
      </w:r>
      <w:r w:rsidR="004E19DF">
        <w:t>a</w:t>
      </w:r>
      <w:r w:rsidR="002C134C">
        <w:t xml:space="preserve"> RIS </w:t>
      </w:r>
      <w:r w:rsidR="00BA5263">
        <w:t xml:space="preserve">to support the announced policy </w:t>
      </w:r>
      <w:r w:rsidR="002C134C">
        <w:t xml:space="preserve">or an exemption was granted. </w:t>
      </w:r>
      <w:r w:rsidR="00AC4B5C">
        <w:t>Over 60 per cent</w:t>
      </w:r>
      <w:r w:rsidR="00D32550">
        <w:t xml:space="preserve"> </w:t>
      </w:r>
      <w:r>
        <w:t xml:space="preserve">of responses to the Commission survey indicated that </w:t>
      </w:r>
      <w:r w:rsidR="004308A4">
        <w:t>‘</w:t>
      </w:r>
      <w:r>
        <w:t>policy already decided by minister</w:t>
      </w:r>
      <w:r w:rsidR="004308A4">
        <w:t>’</w:t>
      </w:r>
      <w:r>
        <w:t xml:space="preserve"> was one of the main barriers to using RIA processes to better inform policy development (figure</w:t>
      </w:r>
      <w:r w:rsidR="008C6CEC">
        <w:t xml:space="preserve"> 10.2</w:t>
      </w:r>
      <w:r>
        <w:t>)</w:t>
      </w:r>
      <w:r w:rsidR="00016046">
        <w:t>.</w:t>
      </w:r>
      <w:r w:rsidR="00D01098">
        <w:t xml:space="preserve"> </w:t>
      </w:r>
    </w:p>
    <w:p w:rsidR="00AC5FEC" w:rsidRDefault="00AC5FEC" w:rsidP="00AC5FEC">
      <w:pPr>
        <w:pStyle w:val="FigureTitle"/>
      </w:pPr>
      <w:r>
        <w:rPr>
          <w:b w:val="0"/>
        </w:rPr>
        <w:t xml:space="preserve">Figure </w:t>
      </w:r>
      <w:bookmarkStart w:id="5" w:name="OLE_LINK3"/>
      <w:r w:rsidR="00612363">
        <w:rPr>
          <w:b w:val="0"/>
        </w:rPr>
        <w:t>10.</w:t>
      </w:r>
      <w:r w:rsidR="00B5590D">
        <w:rPr>
          <w:b w:val="0"/>
          <w:noProof/>
        </w:rPr>
        <w:t>2</w:t>
      </w:r>
      <w:bookmarkEnd w:id="5"/>
      <w:r>
        <w:tab/>
        <w:t>Main barriers to using RIA process</w:t>
      </w:r>
      <w:r w:rsidR="00D447A0">
        <w:t>es</w:t>
      </w:r>
      <w:r>
        <w:t xml:space="preserve"> to better inform policy development</w:t>
      </w:r>
      <w:r w:rsidRPr="003A52F6">
        <w:rPr>
          <w:rStyle w:val="NoteLabel"/>
          <w:b/>
        </w:rPr>
        <w:t>a</w:t>
      </w:r>
      <w: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C5FEC" w:rsidTr="00F5374B">
        <w:tc>
          <w:tcPr>
            <w:tcW w:w="8777" w:type="dxa"/>
            <w:tcBorders>
              <w:top w:val="single" w:sz="6" w:space="0" w:color="auto"/>
              <w:bottom w:val="single" w:sz="6" w:space="0" w:color="auto"/>
            </w:tcBorders>
          </w:tcPr>
          <w:p w:rsidR="00EA60C3" w:rsidRDefault="006F6582" w:rsidP="00EA60C3">
            <w:pPr>
              <w:pStyle w:val="Figure"/>
            </w:pPr>
            <w:r>
              <w:rPr>
                <w:noProof/>
              </w:rPr>
              <w:drawing>
                <wp:inline distT="0" distB="0" distL="0" distR="0" wp14:anchorId="22AA4CE7" wp14:editId="7A54F2C9">
                  <wp:extent cx="5400000" cy="2880000"/>
                  <wp:effectExtent l="0" t="0" r="0" b="0"/>
                  <wp:docPr id="10" name="Chart 10" descr="Figure 10.2 Main barriers to using RIA processes to better inform policy development. The main barrier to using RIA process are:&#10;• lack of data (over 60 per cent of respondents)&#10;• policy already decided by minister (over 60 per cent)&#10;• administratively burdensome (almost 60 per cent)&#10;• RIA not flexible (between 40 to 50 per cent)&#10;• Minister needs to respond quickly (almost 40 per cent)&#10;• lack of in-house skills (over 30 per cent)&#10;• RIA is irrelevant (about 25 per cent)&#10;• lack of support from senior management (15 per cent)&#10;• lack of support from Minister (around 10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AC5FEC" w:rsidRDefault="00AC5FEC" w:rsidP="00AC5FEC">
      <w:pPr>
        <w:pStyle w:val="Note"/>
      </w:pPr>
      <w:r w:rsidRPr="00E459EA">
        <w:rPr>
          <w:rStyle w:val="NoteLabel"/>
        </w:rPr>
        <w:t>a</w:t>
      </w:r>
      <w:r>
        <w:rPr>
          <w:rStyle w:val="NoteLabel"/>
        </w:rPr>
        <w:t xml:space="preserve"> </w:t>
      </w:r>
      <w:r>
        <w:t xml:space="preserve">Based on </w:t>
      </w:r>
      <w:r w:rsidR="004E72CC">
        <w:t xml:space="preserve">survey answers </w:t>
      </w:r>
      <w:r>
        <w:t>from 5</w:t>
      </w:r>
      <w:r w:rsidR="00F76464">
        <w:t>6</w:t>
      </w:r>
      <w:r>
        <w:t xml:space="preserve"> respondent</w:t>
      </w:r>
      <w:r w:rsidR="004E19DF">
        <w:t>s</w:t>
      </w:r>
      <w:r w:rsidR="004E72CC" w:rsidRPr="004E72CC">
        <w:t xml:space="preserve"> </w:t>
      </w:r>
      <w:r w:rsidR="004E72CC">
        <w:t xml:space="preserve">(4 respondents answered that there were </w:t>
      </w:r>
      <w:r w:rsidR="004308A4">
        <w:t>‘</w:t>
      </w:r>
      <w:r w:rsidR="004E72CC">
        <w:t>no barriers</w:t>
      </w:r>
      <w:r w:rsidR="004308A4">
        <w:t>’</w:t>
      </w:r>
      <w:r w:rsidR="004E72CC">
        <w:t>)</w:t>
      </w:r>
      <w:r>
        <w:t xml:space="preserve">. </w:t>
      </w:r>
      <w:r w:rsidR="00EA470A" w:rsidRPr="00E459EA">
        <w:t>Survey respon</w:t>
      </w:r>
      <w:r w:rsidR="00EA470A">
        <w:t xml:space="preserve">dents were able to select multiple answers. </w:t>
      </w:r>
    </w:p>
    <w:p w:rsidR="00AC5FEC" w:rsidRDefault="00AC5FEC" w:rsidP="00AC5FEC">
      <w:pPr>
        <w:pStyle w:val="Source"/>
      </w:pPr>
      <w:r>
        <w:rPr>
          <w:i/>
        </w:rPr>
        <w:t>Data source</w:t>
      </w:r>
      <w:r w:rsidRPr="00167F06">
        <w:t xml:space="preserve">: </w:t>
      </w:r>
      <w:r w:rsidR="00A16C96">
        <w:t xml:space="preserve">PC RIA Survey </w:t>
      </w:r>
      <w:r w:rsidR="000638C7">
        <w:t>(</w:t>
      </w:r>
      <w:r w:rsidR="00A16C96">
        <w:t>2012</w:t>
      </w:r>
      <w:r w:rsidR="000638C7">
        <w:t>)</w:t>
      </w:r>
      <w:r>
        <w:t>.</w:t>
      </w:r>
    </w:p>
    <w:p w:rsidR="00336BF0" w:rsidRDefault="00336BF0" w:rsidP="00336BF0">
      <w:pPr>
        <w:pStyle w:val="BodyText"/>
      </w:pPr>
      <w:r>
        <w:t xml:space="preserve">Ministers bypassing the RIA process brings into question whether there is genuine political commitment to the process. If ministers saw value in the RIA process they would view it as </w:t>
      </w:r>
      <w:r w:rsidR="00870D1E">
        <w:t xml:space="preserve">a </w:t>
      </w:r>
      <w:r w:rsidR="002B44E3">
        <w:t>useful</w:t>
      </w:r>
      <w:r>
        <w:t xml:space="preserve"> tool to inform their decision making and would request </w:t>
      </w:r>
      <w:r>
        <w:lastRenderedPageBreak/>
        <w:t xml:space="preserve">impact analysis prior to making decisions — especially for proposals with significant or uncertain impacts. </w:t>
      </w:r>
      <w:r w:rsidR="009D6AEB">
        <w:t xml:space="preserve">After consulting with eight ministers, </w:t>
      </w:r>
      <w:proofErr w:type="spellStart"/>
      <w:r>
        <w:t>Bo</w:t>
      </w:r>
      <w:r w:rsidR="0039793E">
        <w:t>r</w:t>
      </w:r>
      <w:r>
        <w:t>thwick</w:t>
      </w:r>
      <w:proofErr w:type="spellEnd"/>
      <w:r>
        <w:t xml:space="preserve"> and Milliner (2012) </w:t>
      </w:r>
      <w:r w:rsidR="00F344DE">
        <w:t xml:space="preserve">noted </w:t>
      </w:r>
      <w:r>
        <w:t xml:space="preserve">a lack of </w:t>
      </w:r>
      <w:r w:rsidR="00F344DE">
        <w:t xml:space="preserve">ministerial </w:t>
      </w:r>
      <w:r>
        <w:t xml:space="preserve">commitment </w:t>
      </w:r>
      <w:r w:rsidR="00F344DE">
        <w:t xml:space="preserve">to </w:t>
      </w:r>
      <w:r w:rsidR="009D6AEB">
        <w:t xml:space="preserve">the Australian Government </w:t>
      </w:r>
      <w:r w:rsidR="00F344DE">
        <w:t>RIA</w:t>
      </w:r>
      <w:r>
        <w:t>:</w:t>
      </w:r>
    </w:p>
    <w:p w:rsidR="00336BF0" w:rsidRDefault="00336BF0" w:rsidP="00336BF0">
      <w:pPr>
        <w:pStyle w:val="Quote"/>
      </w:pPr>
      <w:r>
        <w:t xml:space="preserve">Significantly, none of the ministers consulted saw that </w:t>
      </w:r>
      <w:proofErr w:type="spellStart"/>
      <w:r>
        <w:t>RISs</w:t>
      </w:r>
      <w:proofErr w:type="spellEnd"/>
      <w:r>
        <w:t xml:space="preserve"> had any real relevance to their, or Cabinet’s, decision making … (p. 38)</w:t>
      </w:r>
    </w:p>
    <w:p w:rsidR="009D6AEB" w:rsidRDefault="009D6AEB" w:rsidP="009D6AEB">
      <w:pPr>
        <w:pStyle w:val="BodyText"/>
      </w:pPr>
      <w:r>
        <w:t xml:space="preserve">Political and agency commitment is seen by some stakeholders to be key to integrating RIA into policy development. For example, Queensland Treasury stated: </w:t>
      </w:r>
    </w:p>
    <w:p w:rsidR="009D6AEB" w:rsidRPr="004E2466" w:rsidRDefault="009D6AEB" w:rsidP="009D6AEB">
      <w:pPr>
        <w:pStyle w:val="Quote"/>
      </w:pPr>
      <w:r>
        <w:t>It’s less about changing the process and more about getting ‘buy in’ from Ministers and agencies so that regulatory best practice principles and RIA become embedded within the policy development process as a fundamental part of that process that informs and influences decision-making. (PC RIA Survey 2012)</w:t>
      </w:r>
      <w:r w:rsidRPr="004E2466">
        <w:t xml:space="preserve"> </w:t>
      </w:r>
    </w:p>
    <w:p w:rsidR="00336BF0" w:rsidRDefault="009D6AEB" w:rsidP="00336BF0">
      <w:pPr>
        <w:pStyle w:val="BodyText"/>
      </w:pPr>
      <w:r>
        <w:t>More generally, t</w:t>
      </w:r>
      <w:r w:rsidR="00336BF0">
        <w:t xml:space="preserve">he integration of RIA into the policy development process </w:t>
      </w:r>
      <w:r>
        <w:t xml:space="preserve">of </w:t>
      </w:r>
      <w:r w:rsidR="00336BF0">
        <w:t xml:space="preserve">agencies </w:t>
      </w:r>
      <w:r>
        <w:t xml:space="preserve">is diminished </w:t>
      </w:r>
      <w:r w:rsidR="00336BF0">
        <w:t>when policy options have been dete</w:t>
      </w:r>
      <w:r w:rsidR="00601C3F">
        <w:t>rmined, narrowed or ruled out</w:t>
      </w:r>
      <w:r w:rsidR="00AC2F9F">
        <w:t>.</w:t>
      </w:r>
    </w:p>
    <w:p w:rsidR="00336BF0" w:rsidRDefault="00336BF0" w:rsidP="00336BF0">
      <w:pPr>
        <w:pStyle w:val="ListBullet"/>
      </w:pPr>
      <w:r>
        <w:t xml:space="preserve">Agencies may come to see the process as a </w:t>
      </w:r>
      <w:r w:rsidRPr="00587749">
        <w:rPr>
          <w:i/>
        </w:rPr>
        <w:t>compliance exercise</w:t>
      </w:r>
      <w:r>
        <w:t xml:space="preserve">. Some or all of the RIA steps may appear redundant, impacting on the perceived value of the process. For example, if a regulatory option has already been decided on, there may be little benefit in outlining a range of options that will not be genuinely considered. </w:t>
      </w:r>
    </w:p>
    <w:p w:rsidR="00336BF0" w:rsidRDefault="00336BF0" w:rsidP="00336BF0">
      <w:pPr>
        <w:pStyle w:val="ListBullet"/>
      </w:pPr>
      <w:r>
        <w:t xml:space="preserve">Agencies may see the process as </w:t>
      </w:r>
      <w:r w:rsidRPr="00587749">
        <w:rPr>
          <w:i/>
        </w:rPr>
        <w:t>unnecessary</w:t>
      </w:r>
      <w:r>
        <w:rPr>
          <w:i/>
        </w:rPr>
        <w:t xml:space="preserve"> </w:t>
      </w:r>
      <w:r w:rsidRPr="0064301D">
        <w:t>and not of value.</w:t>
      </w:r>
      <w:r>
        <w:t xml:space="preserve"> Some ministers may simply not expect or provide opportunity for their agency to complete RIA processes (when required), instead seeking an exemption or circumventing the gatekeeper by ‘walking’ the regulatory proposal into Cabinet. </w:t>
      </w:r>
    </w:p>
    <w:p w:rsidR="00336BF0" w:rsidRDefault="00601C3F" w:rsidP="00336BF0">
      <w:pPr>
        <w:pStyle w:val="ListBullet"/>
      </w:pPr>
      <w:r>
        <w:t>I</w:t>
      </w:r>
      <w:r w:rsidR="00336BF0">
        <w:t xml:space="preserve">f ministers are not allowing opportunity for agency staff to undertake high quality RIA or do not value the process, agencies will under–invest in staff RIA training and </w:t>
      </w:r>
      <w:r>
        <w:t xml:space="preserve">data development strategies. </w:t>
      </w:r>
    </w:p>
    <w:p w:rsidR="00FF013E" w:rsidRDefault="00FF013E" w:rsidP="00FF013E">
      <w:pPr>
        <w:pStyle w:val="Heading3"/>
      </w:pPr>
      <w:r>
        <w:t xml:space="preserve">Lack of skills </w:t>
      </w:r>
    </w:p>
    <w:p w:rsidR="008A7C4E" w:rsidRDefault="000D51E3" w:rsidP="000D51E3">
      <w:pPr>
        <w:pStyle w:val="BodyText"/>
      </w:pPr>
      <w:r>
        <w:t xml:space="preserve">In its design, it was envisaged that RIA should be completed by public servants in </w:t>
      </w:r>
      <w:r w:rsidR="000133B2">
        <w:t xml:space="preserve">policy </w:t>
      </w:r>
      <w:r>
        <w:t>agencies. The RIA</w:t>
      </w:r>
      <w:r w:rsidRPr="00F82B75">
        <w:t xml:space="preserve"> process draw</w:t>
      </w:r>
      <w:r w:rsidR="00576DD1">
        <w:t>s</w:t>
      </w:r>
      <w:r w:rsidRPr="00F82B75">
        <w:t xml:space="preserve"> on expertise and information </w:t>
      </w:r>
      <w:r>
        <w:t xml:space="preserve">that </w:t>
      </w:r>
      <w:r w:rsidRPr="00F82B75">
        <w:t>reside</w:t>
      </w:r>
      <w:r>
        <w:t>s</w:t>
      </w:r>
      <w:r w:rsidRPr="00F82B75">
        <w:t xml:space="preserve"> in the </w:t>
      </w:r>
      <w:r w:rsidR="000604EB">
        <w:t xml:space="preserve">proponent </w:t>
      </w:r>
      <w:r w:rsidRPr="00F82B75">
        <w:t>agency</w:t>
      </w:r>
      <w:r w:rsidR="000604EB">
        <w:t>,</w:t>
      </w:r>
      <w:r w:rsidR="00C74545">
        <w:t xml:space="preserve"> </w:t>
      </w:r>
      <w:r w:rsidR="000604EB">
        <w:t xml:space="preserve">with those </w:t>
      </w:r>
      <w:r>
        <w:t xml:space="preserve">developing policy </w:t>
      </w:r>
      <w:r w:rsidR="000604EB">
        <w:t>also responsible for</w:t>
      </w:r>
      <w:r>
        <w:t xml:space="preserve"> undertaking </w:t>
      </w:r>
      <w:proofErr w:type="spellStart"/>
      <w:r>
        <w:t>RIA</w:t>
      </w:r>
      <w:proofErr w:type="spellEnd"/>
      <w:r>
        <w:t xml:space="preserve"> </w:t>
      </w:r>
      <w:r w:rsidR="00C74545">
        <w:t xml:space="preserve">(OECD </w:t>
      </w:r>
      <w:proofErr w:type="spellStart"/>
      <w:r w:rsidR="00C74545">
        <w:t>2009</w:t>
      </w:r>
      <w:r w:rsidR="00916C46">
        <w:t>b</w:t>
      </w:r>
      <w:proofErr w:type="spellEnd"/>
      <w:r w:rsidR="00C74545">
        <w:t>)</w:t>
      </w:r>
      <w:r>
        <w:t xml:space="preserve">. This concept is fundamental to integrating RIA into general policy development. </w:t>
      </w:r>
    </w:p>
    <w:p w:rsidR="006F6582" w:rsidRDefault="000D51E3" w:rsidP="000D51E3">
      <w:pPr>
        <w:pStyle w:val="BodyText"/>
      </w:pPr>
      <w:r>
        <w:t>Despite the range of capacity building mechanisms in place</w:t>
      </w:r>
      <w:r w:rsidR="0074346B">
        <w:t xml:space="preserve"> (chapter 3)</w:t>
      </w:r>
      <w:r>
        <w:t xml:space="preserve">, consultants are used in the RIA process because agencies </w:t>
      </w:r>
      <w:r w:rsidR="000133B2">
        <w:t xml:space="preserve">sometimes </w:t>
      </w:r>
      <w:r>
        <w:t xml:space="preserve">lack the skills set, </w:t>
      </w:r>
      <w:r>
        <w:lastRenderedPageBreak/>
        <w:t xml:space="preserve">particularly </w:t>
      </w:r>
      <w:r w:rsidR="0086457E">
        <w:t xml:space="preserve">for </w:t>
      </w:r>
      <w:r w:rsidR="008A7C4E">
        <w:t>cost</w:t>
      </w:r>
      <w:r w:rsidR="004308A4">
        <w:noBreakHyphen/>
      </w:r>
      <w:r w:rsidR="008A7C4E">
        <w:t>benefit analysis</w:t>
      </w:r>
      <w:r>
        <w:t xml:space="preserve">, needed to complete </w:t>
      </w:r>
      <w:proofErr w:type="spellStart"/>
      <w:r>
        <w:t>RISs</w:t>
      </w:r>
      <w:proofErr w:type="spellEnd"/>
      <w:r>
        <w:t xml:space="preserve"> </w:t>
      </w:r>
      <w:r w:rsidR="008A7C4E">
        <w:t xml:space="preserve">and to improve </w:t>
      </w:r>
      <w:r w:rsidR="00160141">
        <w:t>regulatory</w:t>
      </w:r>
      <w:r w:rsidR="008A7C4E">
        <w:t xml:space="preserve"> quality</w:t>
      </w:r>
      <w:r>
        <w:t xml:space="preserve">. </w:t>
      </w:r>
      <w:r w:rsidR="00DB2D88">
        <w:t>Of those who engaged consultants, o</w:t>
      </w:r>
      <w:r w:rsidR="008A7C4E">
        <w:t xml:space="preserve">ver 70 per cent of </w:t>
      </w:r>
      <w:r w:rsidR="0086457E">
        <w:t xml:space="preserve">agencies </w:t>
      </w:r>
      <w:r w:rsidR="008A7C4E">
        <w:t xml:space="preserve">indicated </w:t>
      </w:r>
      <w:r w:rsidR="00DB2D88">
        <w:t xml:space="preserve">it </w:t>
      </w:r>
      <w:r w:rsidR="008B200D">
        <w:t xml:space="preserve">was because of </w:t>
      </w:r>
      <w:r w:rsidR="00BA5263">
        <w:t xml:space="preserve">a </w:t>
      </w:r>
      <w:r w:rsidR="00C10AA3">
        <w:t>lack</w:t>
      </w:r>
      <w:r w:rsidR="008B200D">
        <w:t xml:space="preserve"> of in</w:t>
      </w:r>
      <w:r w:rsidR="004308A4">
        <w:noBreakHyphen/>
      </w:r>
      <w:r w:rsidR="008B200D">
        <w:t>house skills</w:t>
      </w:r>
      <w:r w:rsidR="00DC1B0E">
        <w:t xml:space="preserve"> to undertake cost</w:t>
      </w:r>
      <w:r w:rsidR="00EB20B3">
        <w:noBreakHyphen/>
      </w:r>
      <w:r w:rsidR="00DC1B0E">
        <w:t>benefit analysis</w:t>
      </w:r>
      <w:r w:rsidR="00C61FB2">
        <w:t xml:space="preserve"> (figure</w:t>
      </w:r>
      <w:r w:rsidR="000133B2">
        <w:t> </w:t>
      </w:r>
      <w:r w:rsidR="00321DA3">
        <w:t>10.3</w:t>
      </w:r>
      <w:r w:rsidR="00C61FB2">
        <w:t>)</w:t>
      </w:r>
      <w:r w:rsidR="008B200D">
        <w:t xml:space="preserve">. </w:t>
      </w:r>
      <w:r w:rsidR="00C61FB2">
        <w:t>Other skills</w:t>
      </w:r>
      <w:r w:rsidR="004308A4">
        <w:noBreakHyphen/>
      </w:r>
      <w:r w:rsidR="00C61FB2">
        <w:t xml:space="preserve">based reasons </w:t>
      </w:r>
      <w:r w:rsidR="0074346B">
        <w:t>were also given as motivations for employing consultants</w:t>
      </w:r>
      <w:r w:rsidR="00EC503B">
        <w:t xml:space="preserve"> (such as to improve the quality of the RIS and to transfer knowledge from the consultants to agency staff)</w:t>
      </w:r>
      <w:r w:rsidR="0074346B">
        <w:t xml:space="preserve">. </w:t>
      </w:r>
      <w:proofErr w:type="spellStart"/>
      <w:r w:rsidR="00F351FF">
        <w:t>Borthwick</w:t>
      </w:r>
      <w:proofErr w:type="spellEnd"/>
      <w:r w:rsidR="00F351FF">
        <w:t xml:space="preserve"> and Milliner (2012) found that</w:t>
      </w:r>
      <w:r w:rsidR="00336BF0">
        <w:t xml:space="preserve"> in the Australian Government</w:t>
      </w:r>
      <w:r w:rsidR="00F351FF">
        <w:t xml:space="preserve"> ‘all too often agencies have resorted to employing consultants’ to make up for ‘perceived shortcomings in capacity and capability’ (p. 53). </w:t>
      </w:r>
    </w:p>
    <w:p w:rsidR="000D51E3" w:rsidRDefault="000D51E3" w:rsidP="000D51E3">
      <w:pPr>
        <w:pStyle w:val="FigureTitle"/>
      </w:pPr>
      <w:r>
        <w:rPr>
          <w:b w:val="0"/>
        </w:rPr>
        <w:t xml:space="preserve">Figure </w:t>
      </w:r>
      <w:bookmarkStart w:id="6" w:name="OLE_LINK6"/>
      <w:r w:rsidR="00612363">
        <w:rPr>
          <w:b w:val="0"/>
        </w:rPr>
        <w:t>10.</w:t>
      </w:r>
      <w:r w:rsidR="00B5590D">
        <w:rPr>
          <w:b w:val="0"/>
          <w:noProof/>
        </w:rPr>
        <w:t>3</w:t>
      </w:r>
      <w:bookmarkEnd w:id="6"/>
      <w:r>
        <w:tab/>
        <w:t>Reasons consultants are engaged</w:t>
      </w:r>
      <w:r w:rsidRPr="009D6AEB">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D51E3" w:rsidTr="00856605">
        <w:tc>
          <w:tcPr>
            <w:tcW w:w="8777" w:type="dxa"/>
            <w:tcBorders>
              <w:top w:val="single" w:sz="6" w:space="0" w:color="auto"/>
              <w:bottom w:val="single" w:sz="6" w:space="0" w:color="auto"/>
            </w:tcBorders>
          </w:tcPr>
          <w:p w:rsidR="00EA60C3" w:rsidRDefault="001431A3" w:rsidP="00EA60C3">
            <w:pPr>
              <w:pStyle w:val="Figure"/>
            </w:pPr>
            <w:r>
              <w:rPr>
                <w:noProof/>
              </w:rPr>
              <w:drawing>
                <wp:inline distT="0" distB="0" distL="0" distR="0" wp14:anchorId="27F3040E" wp14:editId="30EF4A4E">
                  <wp:extent cx="5400675" cy="2667000"/>
                  <wp:effectExtent l="0" t="0" r="9525" b="0"/>
                  <wp:docPr id="4" name="Picture 4" descr="Figure 10.3 Reasons consultants are engaged. Of those agencies that engaged consultants, the following reasons were selected:&#10;• lack of skills in CBA (over 70 per cent)&#10;• time constraints (around 50 per cent)&#10;• to improve the RIS quality (over 40 per cent) &#10;• to improve the objectivity of the RIS (around 30 per cent) &#10;• lack of in-house skills (other) (approximately 15 per cent) &#10;• cost effective (over 10 per cent) &#10;• to transfer skills to the agency (almost 10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Of those agencies that engaged consultants, the following reasons were selected:&#10;• lack of skills in CBA (over 70 per cent)&#10;• time constraints (around 50 per cent)&#10;• to improve the RIS quality (over 40 per cent) &#10;• to improve the objectivity of the RIS (around 30 per cent) &#10;• lack of in-house skills (other) (approximately 15 per cent) &#10;• to transfer skills to the agency (almost 10 per cent) &#10;"/>
                          <pic:cNvPicPr>
                            <a:picLocks noChangeAspect="1" noChangeArrowheads="1"/>
                          </pic:cNvPicPr>
                        </pic:nvPicPr>
                        <pic:blipFill rotWithShape="1">
                          <a:blip r:embed="rId12">
                            <a:extLst>
                              <a:ext uri="{28A0092B-C50C-407E-A947-70E740481C1C}">
                                <a14:useLocalDpi xmlns:a14="http://schemas.microsoft.com/office/drawing/2010/main" val="0"/>
                              </a:ext>
                            </a:extLst>
                          </a:blip>
                          <a:srcRect t="2980" b="4304"/>
                          <a:stretch/>
                        </pic:blipFill>
                        <pic:spPr bwMode="auto">
                          <a:xfrm>
                            <a:off x="0" y="0"/>
                            <a:ext cx="5400675" cy="2667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D51E3" w:rsidRDefault="000D51E3" w:rsidP="000D51E3">
      <w:pPr>
        <w:pStyle w:val="Note"/>
      </w:pPr>
      <w:r>
        <w:rPr>
          <w:rStyle w:val="NoteLabel"/>
        </w:rPr>
        <w:t>a</w:t>
      </w:r>
      <w:r>
        <w:rPr>
          <w:szCs w:val="18"/>
        </w:rPr>
        <w:sym w:font="Symbol" w:char="F020"/>
      </w:r>
      <w:r w:rsidRPr="00CC47DB">
        <w:t xml:space="preserve"> </w:t>
      </w:r>
      <w:r w:rsidRPr="00E459EA">
        <w:t>Survey respon</w:t>
      </w:r>
      <w:r>
        <w:t xml:space="preserve">dents were able to select multiple answers. Based on </w:t>
      </w:r>
      <w:r w:rsidR="00C20D97">
        <w:t>answers</w:t>
      </w:r>
      <w:r>
        <w:t xml:space="preserve"> from 2</w:t>
      </w:r>
      <w:r w:rsidR="008A7C4E">
        <w:t>2</w:t>
      </w:r>
      <w:r>
        <w:t xml:space="preserve"> respondents </w:t>
      </w:r>
      <w:r w:rsidR="00EF5E7A">
        <w:t xml:space="preserve">(out of a possible 23) </w:t>
      </w:r>
      <w:r>
        <w:t xml:space="preserve">that indicated they had used consultants. </w:t>
      </w:r>
    </w:p>
    <w:p w:rsidR="000D51E3" w:rsidRDefault="000D51E3" w:rsidP="000D51E3">
      <w:pPr>
        <w:pStyle w:val="Source"/>
      </w:pPr>
      <w:r>
        <w:t>Data source:</w:t>
      </w:r>
      <w:r w:rsidR="00A16C96">
        <w:t xml:space="preserve"> PC RIA Survey </w:t>
      </w:r>
      <w:r w:rsidR="000638C7">
        <w:t>(</w:t>
      </w:r>
      <w:r w:rsidR="00A16C96">
        <w:t>2012</w:t>
      </w:r>
      <w:r w:rsidR="000638C7">
        <w:t>)</w:t>
      </w:r>
      <w:r>
        <w:t xml:space="preserve">. </w:t>
      </w:r>
    </w:p>
    <w:p w:rsidR="00C53FE3" w:rsidRDefault="00C53FE3" w:rsidP="00C53FE3">
      <w:pPr>
        <w:pStyle w:val="BodyText"/>
      </w:pPr>
      <w:r>
        <w:t xml:space="preserve">Some </w:t>
      </w:r>
      <w:r w:rsidR="009D6AEB">
        <w:t xml:space="preserve">stakeholders </w:t>
      </w:r>
      <w:r>
        <w:t xml:space="preserve">considered claims of lack of skills to be puzzling as the skills set required for RIA is not exceptional and should be core skills for public servants in policy agencies (see, for example, </w:t>
      </w:r>
      <w:proofErr w:type="spellStart"/>
      <w:r>
        <w:t>CMPA</w:t>
      </w:r>
      <w:proofErr w:type="spellEnd"/>
      <w:r>
        <w:t xml:space="preserve"> sub. 9). </w:t>
      </w:r>
      <w:proofErr w:type="spellStart"/>
      <w:r w:rsidRPr="00B46CBD">
        <w:t>Borthwick</w:t>
      </w:r>
      <w:proofErr w:type="spellEnd"/>
      <w:r w:rsidRPr="00B46CBD">
        <w:t xml:space="preserve"> and Mil</w:t>
      </w:r>
      <w:r w:rsidR="00E802CC">
        <w:t>li</w:t>
      </w:r>
      <w:r w:rsidRPr="00B46CBD">
        <w:t>ner (2012, p. 53) also found this claim ‘extraordinary’ stating that the seven element</w:t>
      </w:r>
      <w:r w:rsidR="00D12BE7">
        <w:t>s</w:t>
      </w:r>
      <w:r w:rsidRPr="00B46CBD">
        <w:t xml:space="preserve"> required of a RIS ‘should hardly be onerous to an agency which should know its business’. </w:t>
      </w:r>
      <w:r>
        <w:t>Even within the public sector, some officials were critical of the general skill level of agency staff</w:t>
      </w:r>
      <w:r w:rsidR="0086457E" w:rsidRPr="00B46CBD">
        <w:t>,</w:t>
      </w:r>
      <w:r>
        <w:t xml:space="preserve"> stating that it is ‘not so much a lack of [RIA] skills but a lack of policy skills’ (PC RIA Survey 2012). Concerns regarding the decline in analytical skills in the public service and its ability to conduct work in</w:t>
      </w:r>
      <w:r>
        <w:noBreakHyphen/>
        <w:t xml:space="preserve">house or manage consultancies were raised in a previous Commission study (PC 2011). </w:t>
      </w:r>
    </w:p>
    <w:p w:rsidR="00FF013E" w:rsidRDefault="00FF013E" w:rsidP="00FF013E">
      <w:pPr>
        <w:pStyle w:val="Heading3"/>
      </w:pPr>
      <w:r>
        <w:lastRenderedPageBreak/>
        <w:t xml:space="preserve">Lack of data </w:t>
      </w:r>
    </w:p>
    <w:p w:rsidR="00E133DA" w:rsidRPr="00973140" w:rsidRDefault="00FF013E" w:rsidP="00E133DA">
      <w:pPr>
        <w:pStyle w:val="BodyText"/>
      </w:pPr>
      <w:r>
        <w:t xml:space="preserve">Throughout this study, stakeholders have stressed </w:t>
      </w:r>
      <w:r w:rsidR="00C20D97">
        <w:t xml:space="preserve">the </w:t>
      </w:r>
      <w:r>
        <w:t>lack of objective data as a main barrier</w:t>
      </w:r>
      <w:r w:rsidR="006321F3">
        <w:t xml:space="preserve"> to</w:t>
      </w:r>
      <w:r>
        <w:t xml:space="preserve"> completing RIA. Aggregated responses from the Commission’s </w:t>
      </w:r>
      <w:r w:rsidR="00600ED3">
        <w:t xml:space="preserve">RIA </w:t>
      </w:r>
      <w:r>
        <w:t>survey highlights lack of data as the most cited barrier to using RIA to better inform policy develo</w:t>
      </w:r>
      <w:r w:rsidR="006321F3">
        <w:t>p</w:t>
      </w:r>
      <w:r>
        <w:t>ment</w:t>
      </w:r>
      <w:r w:rsidR="00D32550">
        <w:t xml:space="preserve"> (figure </w:t>
      </w:r>
      <w:r w:rsidR="00321DA3">
        <w:t>10.2</w:t>
      </w:r>
      <w:r w:rsidR="00D32550">
        <w:t>).</w:t>
      </w:r>
      <w:r>
        <w:t xml:space="preserve"> </w:t>
      </w:r>
    </w:p>
    <w:p w:rsidR="00C72EB0" w:rsidRDefault="007A738F" w:rsidP="00FF013E">
      <w:pPr>
        <w:pStyle w:val="BodyText"/>
      </w:pPr>
      <w:r>
        <w:t xml:space="preserve">Data gathering </w:t>
      </w:r>
      <w:r w:rsidR="006321F3">
        <w:t xml:space="preserve">can be </w:t>
      </w:r>
      <w:r>
        <w:t xml:space="preserve">costly and much of the data required </w:t>
      </w:r>
      <w:r w:rsidR="006321F3">
        <w:t xml:space="preserve">are </w:t>
      </w:r>
      <w:r w:rsidR="00973140">
        <w:t>hel</w:t>
      </w:r>
      <w:r w:rsidR="0057598B">
        <w:t>d</w:t>
      </w:r>
      <w:r w:rsidR="00973140">
        <w:t xml:space="preserve"> by the regulated sector and not know</w:t>
      </w:r>
      <w:r w:rsidR="00C8289C">
        <w:t>n</w:t>
      </w:r>
      <w:r w:rsidR="00973140">
        <w:t xml:space="preserve"> to </w:t>
      </w:r>
      <w:r w:rsidR="00C72EB0">
        <w:t xml:space="preserve">government </w:t>
      </w:r>
      <w:r w:rsidR="00973140">
        <w:t xml:space="preserve">agencies. </w:t>
      </w:r>
      <w:r w:rsidR="00EC503B">
        <w:t xml:space="preserve">Industry can also be reluctant to provide data owing to concerns that commercially important data </w:t>
      </w:r>
      <w:r w:rsidR="008F6DA0">
        <w:t xml:space="preserve">may be disclosed </w:t>
      </w:r>
      <w:r w:rsidR="00EC503B">
        <w:t xml:space="preserve">to competitors. </w:t>
      </w:r>
      <w:proofErr w:type="spellStart"/>
      <w:r w:rsidR="00EC503B">
        <w:t>AFMA</w:t>
      </w:r>
      <w:proofErr w:type="spellEnd"/>
      <w:r w:rsidR="00EC503B">
        <w:t xml:space="preserve"> highlighted costs and the sensitive nature of data as barriers to releasing data for regulatory impact analysis (sub. 11). </w:t>
      </w:r>
      <w:r w:rsidR="00C72EB0">
        <w:t xml:space="preserve">The </w:t>
      </w:r>
      <w:proofErr w:type="spellStart"/>
      <w:r w:rsidR="00C72EB0">
        <w:t>CMPA</w:t>
      </w:r>
      <w:proofErr w:type="spellEnd"/>
      <w:r w:rsidR="00C72EB0">
        <w:t xml:space="preserve"> claim</w:t>
      </w:r>
      <w:r w:rsidR="005251FF">
        <w:t xml:space="preserve">ed that the lack of data was because </w:t>
      </w:r>
      <w:r w:rsidR="002C2119">
        <w:t>consultation</w:t>
      </w:r>
      <w:r w:rsidR="00C72EB0">
        <w:t xml:space="preserve"> periods </w:t>
      </w:r>
      <w:r w:rsidR="000E211E">
        <w:t xml:space="preserve">did not allow </w:t>
      </w:r>
      <w:r w:rsidR="00C72EB0">
        <w:t xml:space="preserve">sufficient </w:t>
      </w:r>
      <w:r w:rsidR="000E211E">
        <w:t xml:space="preserve">time </w:t>
      </w:r>
      <w:r w:rsidR="005251FF">
        <w:t xml:space="preserve">for </w:t>
      </w:r>
      <w:r w:rsidR="000E211E">
        <w:t>stakeholders</w:t>
      </w:r>
      <w:r w:rsidR="005251FF">
        <w:t xml:space="preserve"> </w:t>
      </w:r>
      <w:r w:rsidR="00C72EB0">
        <w:t xml:space="preserve">to </w:t>
      </w:r>
      <w:r w:rsidR="005251FF">
        <w:t xml:space="preserve">provide </w:t>
      </w:r>
      <w:r w:rsidR="00C72EB0">
        <w:t>the necessary data:</w:t>
      </w:r>
    </w:p>
    <w:p w:rsidR="00E133DA" w:rsidRDefault="00E133DA" w:rsidP="00C72EB0">
      <w:pPr>
        <w:pStyle w:val="Quote"/>
      </w:pPr>
      <w:r w:rsidRPr="00E133DA">
        <w:t>Policy developers must recognise that the required level of analysis takes considerable time and needs substantial input from the industry and community affected by the policy. It is unrealistic to require this detailed data to be provided in a response to a RIS within a 4</w:t>
      </w:r>
      <w:r w:rsidR="004308A4">
        <w:noBreakHyphen/>
      </w:r>
      <w:r w:rsidRPr="00E133DA">
        <w:t>6 week consultation period.</w:t>
      </w:r>
      <w:r w:rsidR="00C72EB0">
        <w:t xml:space="preserve"> (sub. 9, p. 18</w:t>
      </w:r>
      <w:r w:rsidR="00C74545">
        <w:t>)</w:t>
      </w:r>
    </w:p>
    <w:p w:rsidR="006E1C80" w:rsidRDefault="0085086A" w:rsidP="000E211E">
      <w:pPr>
        <w:pStyle w:val="BodyText"/>
      </w:pPr>
      <w:r>
        <w:t xml:space="preserve">The Queensland Consumer Association noted in its submission that, unlike other stakeholders, it does not have </w:t>
      </w:r>
      <w:r w:rsidRPr="0085086A">
        <w:t>enough resources to be able to provide</w:t>
      </w:r>
      <w:r>
        <w:t xml:space="preserve"> ‘</w:t>
      </w:r>
      <w:r w:rsidRPr="0085086A">
        <w:t>objective evidence about likely costs and benefits</w:t>
      </w:r>
      <w:r>
        <w:t>’</w:t>
      </w:r>
      <w:r w:rsidR="00AC2F9F">
        <w:t xml:space="preserve"> (sub. </w:t>
      </w:r>
      <w:proofErr w:type="spellStart"/>
      <w:r w:rsidR="00AC2F9F">
        <w:t>DR28</w:t>
      </w:r>
      <w:proofErr w:type="spellEnd"/>
      <w:r w:rsidR="00C7174A">
        <w:t>,</w:t>
      </w:r>
      <w:r w:rsidR="008F6DA0">
        <w:t> </w:t>
      </w:r>
      <w:r w:rsidR="00C7174A">
        <w:t>p. 3)</w:t>
      </w:r>
      <w:r>
        <w:t>.</w:t>
      </w:r>
      <w:r w:rsidR="007F68BF">
        <w:t xml:space="preserve"> </w:t>
      </w:r>
      <w:r w:rsidR="006E1C80">
        <w:t xml:space="preserve">The </w:t>
      </w:r>
      <w:r w:rsidR="00751C7F">
        <w:t xml:space="preserve">officers undertaking RIA in </w:t>
      </w:r>
      <w:r w:rsidR="008C166E">
        <w:t xml:space="preserve">the </w:t>
      </w:r>
      <w:r w:rsidR="00751C7F">
        <w:t>Victorian transport portfolio</w:t>
      </w:r>
      <w:r w:rsidR="006E1C80">
        <w:t xml:space="preserve"> noted that the lack of data can influence the regulatory outcome:</w:t>
      </w:r>
    </w:p>
    <w:p w:rsidR="006E1C80" w:rsidRDefault="006E1C80" w:rsidP="006E1C80">
      <w:pPr>
        <w:pStyle w:val="Quote"/>
      </w:pPr>
      <w:r w:rsidRPr="00973140">
        <w:t>Sometimes the requirements of RIA can be too onerous (for example data is not available or the time to obtain and cost of data is prohibitive) which then can influence the design and outcome of the regulatory measure.</w:t>
      </w:r>
      <w:r>
        <w:t xml:space="preserve"> (</w:t>
      </w:r>
      <w:r w:rsidRPr="00973140">
        <w:t>sub.</w:t>
      </w:r>
      <w:r w:rsidR="00EB20B3">
        <w:t> </w:t>
      </w:r>
      <w:r w:rsidRPr="00973140">
        <w:t>17,</w:t>
      </w:r>
      <w:r w:rsidR="00EB20B3">
        <w:t> </w:t>
      </w:r>
      <w:r w:rsidRPr="00973140">
        <w:t>p.</w:t>
      </w:r>
      <w:r w:rsidR="00EB20B3">
        <w:t> </w:t>
      </w:r>
      <w:r w:rsidRPr="00973140">
        <w:t>4)</w:t>
      </w:r>
    </w:p>
    <w:p w:rsidR="00FF013E" w:rsidRPr="00FF013E" w:rsidRDefault="00CB5008" w:rsidP="00FF013E">
      <w:pPr>
        <w:pStyle w:val="BodyText"/>
      </w:pPr>
      <w:r>
        <w:t>Th</w:t>
      </w:r>
      <w:r w:rsidR="0086457E">
        <w:t>e Commission found that th</w:t>
      </w:r>
      <w:r>
        <w:t xml:space="preserve">ese difficulties in collecting data </w:t>
      </w:r>
      <w:r w:rsidR="00870D1E">
        <w:t>may have</w:t>
      </w:r>
      <w:r w:rsidR="008F6DA0">
        <w:t xml:space="preserve"> </w:t>
      </w:r>
      <w:r w:rsidR="0085086A">
        <w:t>flow</w:t>
      </w:r>
      <w:r w:rsidR="00870D1E">
        <w:t>ed</w:t>
      </w:r>
      <w:r w:rsidR="0085086A">
        <w:t xml:space="preserve"> through to the comprehensiveness of RIS documents</w:t>
      </w:r>
      <w:r w:rsidR="008F6DA0">
        <w:t>.</w:t>
      </w:r>
      <w:r w:rsidR="007F68BF">
        <w:t xml:space="preserve"> </w:t>
      </w:r>
      <w:r w:rsidR="008F6DA0">
        <w:t>E</w:t>
      </w:r>
      <w:r>
        <w:t xml:space="preserve">xtensive quantification of costs and benefits </w:t>
      </w:r>
      <w:r w:rsidR="008F6DA0">
        <w:t xml:space="preserve">was </w:t>
      </w:r>
      <w:r>
        <w:t xml:space="preserve">limited to a small proportion of </w:t>
      </w:r>
      <w:proofErr w:type="spellStart"/>
      <w:r w:rsidR="00796CC0">
        <w:t>RISs</w:t>
      </w:r>
      <w:proofErr w:type="spellEnd"/>
      <w:r>
        <w:t xml:space="preserve">, with </w:t>
      </w:r>
      <w:r w:rsidR="00026327">
        <w:t xml:space="preserve">nearly half </w:t>
      </w:r>
      <w:r>
        <w:t xml:space="preserve">containing </w:t>
      </w:r>
      <w:r w:rsidR="00796CC0">
        <w:t xml:space="preserve">a </w:t>
      </w:r>
      <w:r>
        <w:t xml:space="preserve">solely qualitative discussion of benefits (chapter 6). </w:t>
      </w:r>
    </w:p>
    <w:p w:rsidR="00FF013E" w:rsidRDefault="00FF013E" w:rsidP="00FF013E">
      <w:pPr>
        <w:pStyle w:val="Heading3"/>
      </w:pPr>
      <w:r>
        <w:t>Administrative</w:t>
      </w:r>
      <w:r w:rsidR="00950F0B">
        <w:t xml:space="preserve"> </w:t>
      </w:r>
      <w:r>
        <w:t>burden</w:t>
      </w:r>
      <w:r w:rsidR="00796CC0">
        <w:t xml:space="preserve"> of RIA </w:t>
      </w:r>
    </w:p>
    <w:p w:rsidR="00387A27" w:rsidRDefault="00387A27" w:rsidP="00387A27">
      <w:pPr>
        <w:pStyle w:val="BodyText"/>
      </w:pPr>
      <w:r>
        <w:t>Almost 60 per cent of responses to the Commission’s RIA survey indicated that the administrative burden of the RIA process is one of the main barriers to integrating RIA into policy development (figure 10.2). Burden on agencies can arise from:</w:t>
      </w:r>
    </w:p>
    <w:p w:rsidR="00387A27" w:rsidRDefault="00387A27" w:rsidP="00387A27">
      <w:pPr>
        <w:pStyle w:val="ListBullet"/>
      </w:pPr>
      <w:r>
        <w:t xml:space="preserve">the design of the RIA process </w:t>
      </w:r>
    </w:p>
    <w:p w:rsidR="00387A27" w:rsidRDefault="00387A27" w:rsidP="00387A27">
      <w:pPr>
        <w:pStyle w:val="ListBullet"/>
      </w:pPr>
      <w:r>
        <w:t xml:space="preserve">poor application by the agency (such as preparing a RIS too late) </w:t>
      </w:r>
    </w:p>
    <w:p w:rsidR="00387A27" w:rsidRDefault="00387A27" w:rsidP="00387A27">
      <w:pPr>
        <w:pStyle w:val="ListBullet"/>
      </w:pPr>
      <w:r>
        <w:lastRenderedPageBreak/>
        <w:t xml:space="preserve">the way that RIA requirements are implemented by the oversight body in the relevant jurisdiction.  </w:t>
      </w:r>
    </w:p>
    <w:p w:rsidR="00C85ABF" w:rsidRDefault="00387A27" w:rsidP="00C85ABF">
      <w:pPr>
        <w:pStyle w:val="BodyText"/>
      </w:pPr>
      <w:r>
        <w:t xml:space="preserve">Agencies have raised concerns that they are often committing scare resources to a process that has become purely a compliance exercise and unlikely to inform decision making. </w:t>
      </w:r>
      <w:r w:rsidR="00C85ABF">
        <w:t>A number of agencies have also suggested that the process of drafting a RIS can involve numerous iterations of the RIS document with the oversight body</w:t>
      </w:r>
      <w:r w:rsidR="009E5752">
        <w:t>,</w:t>
      </w:r>
      <w:r w:rsidR="00C85ABF">
        <w:t xml:space="preserve"> making the RIA process </w:t>
      </w:r>
      <w:r w:rsidR="009E5752">
        <w:t xml:space="preserve">unnecessarily </w:t>
      </w:r>
      <w:r w:rsidR="00C85ABF">
        <w:t>administratively burdensome. For example, the Commonwealth Department of Climate Change and Energy Efficiency (</w:t>
      </w:r>
      <w:proofErr w:type="spellStart"/>
      <w:r w:rsidR="00C85ABF">
        <w:t>DCCEE</w:t>
      </w:r>
      <w:proofErr w:type="spellEnd"/>
      <w:r w:rsidR="00C85ABF">
        <w:t xml:space="preserve">) noted: </w:t>
      </w:r>
    </w:p>
    <w:p w:rsidR="00C85ABF" w:rsidRDefault="00C85ABF" w:rsidP="00C85ABF">
      <w:pPr>
        <w:pStyle w:val="Quote"/>
      </w:pPr>
      <w:r>
        <w:t xml:space="preserve">Recent experience has shown that multiple iterations of draft </w:t>
      </w:r>
      <w:proofErr w:type="spellStart"/>
      <w:r>
        <w:t>RISs</w:t>
      </w:r>
      <w:proofErr w:type="spellEnd"/>
      <w:r>
        <w:t>, each identifying new issues, can create the impression of ‘shifting goal posts’ and add to the resource intensiveness of the process. It is recognised that multiple iterations may be needed to arrive at a final decision, but this process is more efficiently managed where all the relevant issues have already been identified (</w:t>
      </w:r>
      <w:proofErr w:type="spellStart"/>
      <w:r>
        <w:t>DCCEE</w:t>
      </w:r>
      <w:proofErr w:type="spellEnd"/>
      <w:r>
        <w:t xml:space="preserve"> 2012, p. 3).</w:t>
      </w:r>
    </w:p>
    <w:p w:rsidR="00C85ABF" w:rsidRDefault="00C85ABF" w:rsidP="00C85ABF">
      <w:pPr>
        <w:pStyle w:val="BodyText"/>
      </w:pPr>
      <w:r>
        <w:t>The re-drafting burden seems to arise, in part, because some of the issues related to a policy problem are often not fully known at the outset. When an agency contacts its regulatory oversight body at an early stage, an initial assessment is often made about the relative significance of the proposal, based on partial information. However, once more information is gathered and conveyed to the oversight body — potentially revealing the full and significant impact of a regulatory response — the regulatory oversight body may appropriately change their advice on the required level of detail in the RIS.</w:t>
      </w:r>
    </w:p>
    <w:p w:rsidR="00EA53EA" w:rsidRDefault="00EA53EA" w:rsidP="00EA53EA">
      <w:pPr>
        <w:pStyle w:val="Heading4"/>
      </w:pPr>
      <w:r w:rsidRPr="00EA53EA">
        <w:t>Multiple RIA processes</w:t>
      </w:r>
    </w:p>
    <w:p w:rsidR="00EA53EA" w:rsidRDefault="00387A27" w:rsidP="00387A27">
      <w:pPr>
        <w:pStyle w:val="BodyText"/>
      </w:pPr>
      <w:r>
        <w:t>The operation of parallel RIA processes for different types of regulation (chapter 1) can lead to differing objectives, requirements and potentially unnecessary burden on agencies when applying the different systems. This is potentially an issue in New South Wales, Victoria, Tasmania and the ACT</w:t>
      </w:r>
      <w:r w:rsidR="00733CE6">
        <w:t xml:space="preserve"> (and was also, until recently, an issue in Queensland)</w:t>
      </w:r>
      <w:r w:rsidR="001C44D4">
        <w:t xml:space="preserve">. </w:t>
      </w:r>
      <w:r w:rsidR="00DF4C21">
        <w:t>Several</w:t>
      </w:r>
      <w:r w:rsidR="001C44D4">
        <w:t xml:space="preserve"> jurisdictions are cognisant of the potential burden this may create and are examining other options. </w:t>
      </w:r>
    </w:p>
    <w:p w:rsidR="00EA53EA" w:rsidRDefault="00387A27" w:rsidP="00387A27">
      <w:pPr>
        <w:pStyle w:val="BodyText"/>
      </w:pPr>
      <w:r>
        <w:t>In New South Wales, for example, the two RIA processes capture a different but overlapping set of regulatory instruments. The Better Regulation Office (BRO) noted that this ‘causes uncertainty for agencies about what processes must be followed and the impact analysis required’ (BRO 2011, p. 15). The BRO has proposed that New South Wales should have one consistent approach to RIA (BRO</w:t>
      </w:r>
      <w:r w:rsidR="00EA53EA">
        <w:t> </w:t>
      </w:r>
      <w:r>
        <w:t xml:space="preserve">2011). </w:t>
      </w:r>
    </w:p>
    <w:p w:rsidR="00EA53EA" w:rsidRDefault="00EA53EA" w:rsidP="00387A27">
      <w:pPr>
        <w:pStyle w:val="BodyText"/>
      </w:pPr>
      <w:r>
        <w:lastRenderedPageBreak/>
        <w:t xml:space="preserve">In </w:t>
      </w:r>
      <w:r w:rsidR="00011A9F">
        <w:t xml:space="preserve">its </w:t>
      </w:r>
      <w:r>
        <w:t xml:space="preserve">review of the Victorian regulatory framework, the </w:t>
      </w:r>
      <w:proofErr w:type="spellStart"/>
      <w:r>
        <w:t>VCEC</w:t>
      </w:r>
      <w:proofErr w:type="spellEnd"/>
      <w:r>
        <w:t xml:space="preserve"> (</w:t>
      </w:r>
      <w:proofErr w:type="spellStart"/>
      <w:r>
        <w:t>2011b</w:t>
      </w:r>
      <w:proofErr w:type="spellEnd"/>
      <w:r>
        <w:t>) highlighted that Victoria has ‘different approaches to impact assessment of primary and subordinate legislation, for reasons that are not clear’ (p. XXXVII). I</w:t>
      </w:r>
      <w:r w:rsidR="001B1EDB">
        <w:t>n</w:t>
      </w:r>
      <w:r>
        <w:t xml:space="preserve"> making its recommendation</w:t>
      </w:r>
      <w:r w:rsidR="00675EF5">
        <w:t>s to strengthen RIA in Victoria</w:t>
      </w:r>
      <w:r>
        <w:t xml:space="preserve">, the </w:t>
      </w:r>
      <w:proofErr w:type="spellStart"/>
      <w:r>
        <w:t>VCEC</w:t>
      </w:r>
      <w:proofErr w:type="spellEnd"/>
      <w:r>
        <w:t xml:space="preserve"> </w:t>
      </w:r>
      <w:r w:rsidR="00675EF5">
        <w:t xml:space="preserve">has </w:t>
      </w:r>
      <w:r>
        <w:t>reduce</w:t>
      </w:r>
      <w:r w:rsidR="00675EF5">
        <w:t>d</w:t>
      </w:r>
      <w:r>
        <w:t xml:space="preserve"> the</w:t>
      </w:r>
      <w:r w:rsidR="00675EF5">
        <w:t xml:space="preserve"> number of</w:t>
      </w:r>
      <w:r>
        <w:t xml:space="preserve"> discrepancies between </w:t>
      </w:r>
      <w:proofErr w:type="spellStart"/>
      <w:r>
        <w:t>RIS</w:t>
      </w:r>
      <w:r w:rsidR="00C7174A">
        <w:t>s</w:t>
      </w:r>
      <w:proofErr w:type="spellEnd"/>
      <w:r>
        <w:t xml:space="preserve"> (for subordinate legislation) and Business Impact Assessment</w:t>
      </w:r>
      <w:r w:rsidR="00C7174A">
        <w:t>s</w:t>
      </w:r>
      <w:r>
        <w:t xml:space="preserve"> (for primary legislation)</w:t>
      </w:r>
      <w:r w:rsidR="00675EF5">
        <w:t>. The Victorian Government is currently reviewing these recommendations (</w:t>
      </w:r>
      <w:r w:rsidR="007609A3">
        <w:t xml:space="preserve">Victorian </w:t>
      </w:r>
      <w:r w:rsidR="00675EF5">
        <w:t xml:space="preserve">Government 2012). </w:t>
      </w:r>
    </w:p>
    <w:p w:rsidR="00387A27" w:rsidRPr="005509A7" w:rsidRDefault="005509A7" w:rsidP="001C44D4">
      <w:pPr>
        <w:pStyle w:val="BodyText"/>
      </w:pPr>
      <w:r>
        <w:t>Queensland</w:t>
      </w:r>
      <w:r w:rsidR="00733CE6">
        <w:t xml:space="preserve"> has now created</w:t>
      </w:r>
      <w:r w:rsidR="00C9373F">
        <w:t xml:space="preserve"> one RIA </w:t>
      </w:r>
      <w:r w:rsidR="001C44D4">
        <w:t xml:space="preserve">system with </w:t>
      </w:r>
      <w:r w:rsidR="00464DA0">
        <w:t xml:space="preserve">recent amendments to </w:t>
      </w:r>
      <w:r>
        <w:t xml:space="preserve">the </w:t>
      </w:r>
      <w:r w:rsidR="00464DA0" w:rsidRPr="00464DA0">
        <w:rPr>
          <w:i/>
        </w:rPr>
        <w:t>Statutory Instruments Act 1992</w:t>
      </w:r>
      <w:r w:rsidR="009D6B23">
        <w:rPr>
          <w:i/>
        </w:rPr>
        <w:t xml:space="preserve"> (Qld)</w:t>
      </w:r>
      <w:r w:rsidR="00464DA0" w:rsidRPr="00DF4C21">
        <w:t xml:space="preserve"> and</w:t>
      </w:r>
      <w:r w:rsidR="00464DA0">
        <w:rPr>
          <w:i/>
        </w:rPr>
        <w:t xml:space="preserve"> Legislative Standards Act 1992</w:t>
      </w:r>
      <w:r w:rsidR="009D6B23">
        <w:rPr>
          <w:i/>
        </w:rPr>
        <w:t xml:space="preserve"> (Qld)</w:t>
      </w:r>
      <w:r w:rsidR="00464DA0">
        <w:rPr>
          <w:i/>
        </w:rPr>
        <w:t>,</w:t>
      </w:r>
      <w:r w:rsidR="00464DA0" w:rsidRPr="00DF4C21">
        <w:t xml:space="preserve"> including repealing the </w:t>
      </w:r>
      <w:r w:rsidR="004C40D9" w:rsidRPr="00DF4C21">
        <w:t>RIA requirements</w:t>
      </w:r>
      <w:r w:rsidR="00145546">
        <w:t xml:space="preserve"> for subordinate legislation</w:t>
      </w:r>
      <w:r w:rsidR="004C40D9" w:rsidRPr="00DF4C21">
        <w:t xml:space="preserve">. </w:t>
      </w:r>
      <w:r w:rsidR="001C44D4" w:rsidRPr="00DF4C21">
        <w:t xml:space="preserve">Following the proclamation of </w:t>
      </w:r>
      <w:r w:rsidR="00400647" w:rsidRPr="00DF4C21">
        <w:t>these changes</w:t>
      </w:r>
      <w:r w:rsidR="00733CE6">
        <w:t xml:space="preserve"> in November 2012</w:t>
      </w:r>
      <w:r w:rsidR="00400647" w:rsidRPr="00DF4C21">
        <w:t xml:space="preserve">, all RIA </w:t>
      </w:r>
      <w:r w:rsidR="004C40D9" w:rsidRPr="00DF4C21">
        <w:t xml:space="preserve">requirements </w:t>
      </w:r>
      <w:r w:rsidR="00400647" w:rsidRPr="00DF4C21">
        <w:t>will be</w:t>
      </w:r>
      <w:r w:rsidR="004C40D9" w:rsidRPr="00DF4C21">
        <w:t xml:space="preserve"> outlined </w:t>
      </w:r>
      <w:r w:rsidR="007F192B">
        <w:t xml:space="preserve">in </w:t>
      </w:r>
      <w:r w:rsidR="00606E30">
        <w:t xml:space="preserve">a single set of </w:t>
      </w:r>
      <w:r w:rsidR="004C40D9" w:rsidRPr="00DF4C21">
        <w:t xml:space="preserve">guidelines </w:t>
      </w:r>
      <w:r w:rsidR="00733CE6">
        <w:t xml:space="preserve">to be </w:t>
      </w:r>
      <w:r w:rsidR="004C40D9" w:rsidRPr="00DF4C21">
        <w:t xml:space="preserve">approved by the Treasurer. </w:t>
      </w:r>
    </w:p>
    <w:p w:rsidR="000647F7" w:rsidRDefault="00B14EE7" w:rsidP="0009592E">
      <w:pPr>
        <w:pStyle w:val="Heading2"/>
      </w:pPr>
      <w:r>
        <w:t>10.</w:t>
      </w:r>
      <w:r w:rsidR="00B5590D">
        <w:rPr>
          <w:noProof/>
        </w:rPr>
        <w:t>4</w:t>
      </w:r>
      <w:r w:rsidR="00543D80">
        <w:tab/>
        <w:t>Better integr</w:t>
      </w:r>
      <w:r w:rsidR="00705EAE">
        <w:t>ati</w:t>
      </w:r>
      <w:r w:rsidR="00D53834">
        <w:t>on of</w:t>
      </w:r>
      <w:r w:rsidR="00705EAE">
        <w:t xml:space="preserve"> RIA into policy </w:t>
      </w:r>
      <w:r w:rsidR="00F33F7E">
        <w:t xml:space="preserve">development </w:t>
      </w:r>
    </w:p>
    <w:p w:rsidR="001A2C52" w:rsidRDefault="00F63FFD" w:rsidP="001A2C52">
      <w:pPr>
        <w:pStyle w:val="BodyText"/>
      </w:pPr>
      <w:r w:rsidRPr="00ED28CF">
        <w:t xml:space="preserve">The full potential </w:t>
      </w:r>
      <w:r w:rsidR="00C20D97">
        <w:t>of</w:t>
      </w:r>
      <w:r w:rsidRPr="00ED28CF">
        <w:t xml:space="preserve"> RIA </w:t>
      </w:r>
      <w:r w:rsidR="003E56D1">
        <w:t>and its</w:t>
      </w:r>
      <w:r w:rsidRPr="00ED28CF">
        <w:t xml:space="preserve"> </w:t>
      </w:r>
      <w:r w:rsidR="003E56D1" w:rsidRPr="00ED28CF">
        <w:t>integrat</w:t>
      </w:r>
      <w:r w:rsidR="003E56D1">
        <w:t>ion</w:t>
      </w:r>
      <w:r w:rsidRPr="00ED28CF">
        <w:t xml:space="preserve"> into </w:t>
      </w:r>
      <w:r w:rsidR="00C20D97">
        <w:t>the policy development process</w:t>
      </w:r>
      <w:r w:rsidR="003E56D1">
        <w:t xml:space="preserve"> are more likely to be realised when the implementation of the process accords with best practice principles</w:t>
      </w:r>
      <w:r w:rsidRPr="00ED28CF">
        <w:t xml:space="preserve">. </w:t>
      </w:r>
      <w:r w:rsidR="001A2C52" w:rsidRPr="001A2C52">
        <w:t xml:space="preserve">While RIA </w:t>
      </w:r>
      <w:r w:rsidR="000A1463">
        <w:t>processes</w:t>
      </w:r>
      <w:r w:rsidR="001A2C52" w:rsidRPr="001A2C52">
        <w:t xml:space="preserve"> across Australia all have a reasonably high degree of consistency with OECD and COAG guiding principles, </w:t>
      </w:r>
      <w:r w:rsidR="00B24B98">
        <w:t>the Commission found</w:t>
      </w:r>
      <w:r w:rsidR="001A2C52" w:rsidRPr="001A2C52">
        <w:t xml:space="preserve"> system design </w:t>
      </w:r>
      <w:r w:rsidR="00F804BD" w:rsidRPr="001A2C52">
        <w:t xml:space="preserve">aspects </w:t>
      </w:r>
      <w:r>
        <w:t xml:space="preserve">in </w:t>
      </w:r>
      <w:r w:rsidR="001A2C52" w:rsidRPr="001A2C52">
        <w:t xml:space="preserve">all jurisdictions that </w:t>
      </w:r>
      <w:r>
        <w:t>could improve RIA integration</w:t>
      </w:r>
      <w:r w:rsidR="001A2C52" w:rsidRPr="001A2C52">
        <w:t xml:space="preserve">. </w:t>
      </w:r>
      <w:r>
        <w:t>T</w:t>
      </w:r>
      <w:r w:rsidR="001A2C52" w:rsidRPr="001A2C52">
        <w:t>he Commission considers that there also needs to be greater focus on ensuring existing requirements are implemented well in practice.</w:t>
      </w:r>
    </w:p>
    <w:p w:rsidR="00E94627" w:rsidRDefault="00875C6E" w:rsidP="00E94627">
      <w:pPr>
        <w:pStyle w:val="BodyText"/>
      </w:pPr>
      <w:r>
        <w:t>In the rest of this section, the Commission draws on the leading practices</w:t>
      </w:r>
      <w:r w:rsidR="00865932">
        <w:t>, some of which are</w:t>
      </w:r>
      <w:r>
        <w:t xml:space="preserve"> identified</w:t>
      </w:r>
      <w:r w:rsidR="00865932">
        <w:t xml:space="preserve"> </w:t>
      </w:r>
      <w:r>
        <w:t>in the preceding chapters</w:t>
      </w:r>
      <w:r w:rsidR="00865932">
        <w:t>,</w:t>
      </w:r>
      <w:r>
        <w:t xml:space="preserve"> to make a number of suggestions that may enhance the integration of RIA requirements </w:t>
      </w:r>
      <w:r w:rsidR="00F63FFD">
        <w:t xml:space="preserve">into policy development, </w:t>
      </w:r>
      <w:r>
        <w:t xml:space="preserve">and </w:t>
      </w:r>
      <w:r w:rsidR="00F63FFD">
        <w:t xml:space="preserve">thereby improve </w:t>
      </w:r>
      <w:r>
        <w:t xml:space="preserve">the effectiveness and efficiency of RIA </w:t>
      </w:r>
      <w:r w:rsidR="00F63FFD">
        <w:t>processes</w:t>
      </w:r>
      <w:r w:rsidR="000D65C1">
        <w:t xml:space="preserve"> (figure 10.4)</w:t>
      </w:r>
      <w:r>
        <w:t xml:space="preserve">. </w:t>
      </w:r>
      <w:r w:rsidR="00E94627">
        <w:t>The main mechanisms relate to:</w:t>
      </w:r>
    </w:p>
    <w:p w:rsidR="00E94627" w:rsidRDefault="00E94627" w:rsidP="00E94627">
      <w:pPr>
        <w:pStyle w:val="ListBullet"/>
      </w:pPr>
      <w:r>
        <w:t xml:space="preserve">improving the implementation and effectiveness of RIA through enhanced transparency and accountability mechanisms </w:t>
      </w:r>
    </w:p>
    <w:p w:rsidR="00E94627" w:rsidRDefault="00E94627" w:rsidP="00E94627">
      <w:pPr>
        <w:pStyle w:val="ListBullet"/>
      </w:pPr>
      <w:r>
        <w:t xml:space="preserve">better targeting of RIA resources </w:t>
      </w:r>
    </w:p>
    <w:p w:rsidR="00E94627" w:rsidRDefault="00E94627" w:rsidP="00E94627">
      <w:pPr>
        <w:pStyle w:val="ListBullet"/>
      </w:pPr>
      <w:r>
        <w:t xml:space="preserve">building capacity in agencies to undertake </w:t>
      </w:r>
      <w:r w:rsidR="00C20D97">
        <w:t xml:space="preserve">high </w:t>
      </w:r>
      <w:r>
        <w:t xml:space="preserve">quality </w:t>
      </w:r>
      <w:proofErr w:type="spellStart"/>
      <w:r>
        <w:t>RISs</w:t>
      </w:r>
      <w:proofErr w:type="spellEnd"/>
    </w:p>
    <w:p w:rsidR="00E94627" w:rsidRDefault="00E94627" w:rsidP="00E94627">
      <w:pPr>
        <w:pStyle w:val="ListBullet"/>
      </w:pPr>
      <w:r w:rsidRPr="000D65C1">
        <w:t>improving the evidentiary base on the performance of RIA to enhance the capacity of governments to identify strengths and weaknesses in RIA processes and to make considered improvements.</w:t>
      </w:r>
    </w:p>
    <w:p w:rsidR="00F9789C" w:rsidRPr="000D65C1" w:rsidRDefault="00F9789C" w:rsidP="0002034B">
      <w:pPr>
        <w:pStyle w:val="FigureTitle"/>
        <w:ind w:left="0" w:firstLine="0"/>
      </w:pPr>
      <w:r w:rsidRPr="00D87C12">
        <w:rPr>
          <w:b w:val="0"/>
        </w:rPr>
        <w:lastRenderedPageBreak/>
        <w:t xml:space="preserve">Figure </w:t>
      </w:r>
      <w:r w:rsidR="00612363">
        <w:rPr>
          <w:b w:val="0"/>
        </w:rPr>
        <w:t>10.</w:t>
      </w:r>
      <w:r w:rsidR="00B5590D">
        <w:rPr>
          <w:b w:val="0"/>
          <w:noProof/>
        </w:rPr>
        <w:t>4</w:t>
      </w:r>
      <w:r w:rsidRPr="00D87C12">
        <w:rPr>
          <w:b w:val="0"/>
        </w:rPr>
        <w:tab/>
      </w:r>
      <w:r w:rsidR="00C20D97">
        <w:t xml:space="preserve">Improving </w:t>
      </w:r>
      <w:r w:rsidR="00796CC0" w:rsidRPr="00B81810">
        <w:t>policy outcome</w:t>
      </w:r>
      <w:r w:rsidR="00B81810">
        <w:t>s</w:t>
      </w:r>
      <w:r w:rsidR="00796CC0" w:rsidRPr="00B81810">
        <w:t xml:space="preserve"> through</w:t>
      </w:r>
      <w:r w:rsidR="00796CC0">
        <w:rPr>
          <w:b w:val="0"/>
        </w:rPr>
        <w:t xml:space="preserve"> </w:t>
      </w:r>
      <w:r w:rsidR="000D65C1" w:rsidRPr="000D65C1">
        <w:t xml:space="preserve">better </w:t>
      </w:r>
      <w:r w:rsidR="000D65C1">
        <w:t xml:space="preserve">integration </w:t>
      </w:r>
      <w:r w:rsidR="007F7289">
        <w:t xml:space="preserve">of RIA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9789C" w:rsidTr="007F7289">
        <w:trPr>
          <w:trHeight w:val="5194"/>
        </w:trPr>
        <w:tc>
          <w:tcPr>
            <w:tcW w:w="8777" w:type="dxa"/>
            <w:tcBorders>
              <w:top w:val="single" w:sz="6" w:space="0" w:color="auto"/>
              <w:bottom w:val="single" w:sz="6" w:space="0" w:color="auto"/>
            </w:tcBorders>
          </w:tcPr>
          <w:p w:rsidR="00F9789C" w:rsidRDefault="005B3808" w:rsidP="005B3808">
            <w:pPr>
              <w:pStyle w:val="Figure"/>
              <w:rPr>
                <w:noProof/>
              </w:rPr>
            </w:pPr>
            <w:r>
              <w:rPr>
                <w:noProof/>
              </w:rPr>
              <w:drawing>
                <wp:inline distT="0" distB="0" distL="0" distR="0" wp14:anchorId="6702552B" wp14:editId="5F8A53B9">
                  <wp:extent cx="5276850" cy="4191000"/>
                  <wp:effectExtent l="0" t="0" r="0" b="0"/>
                  <wp:docPr id="260" name="Picture 260" descr="Figure 10.4 Improving policy outcomes through better integration of RIA. A flow diagram demonstrating how RIA design and implementation improvements can lead to better integration of RIA and improve policy outc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4191000"/>
                          </a:xfrm>
                          <a:prstGeom prst="rect">
                            <a:avLst/>
                          </a:prstGeom>
                          <a:noFill/>
                          <a:ln>
                            <a:noFill/>
                          </a:ln>
                        </pic:spPr>
                      </pic:pic>
                    </a:graphicData>
                  </a:graphic>
                </wp:inline>
              </w:drawing>
            </w:r>
            <w:r w:rsidR="00BF7B57" w:rsidRPr="00BF7B57">
              <w:rPr>
                <w:noProof/>
              </w:rPr>
              <w:t xml:space="preserve">  </w:t>
            </w:r>
          </w:p>
        </w:tc>
      </w:tr>
    </w:tbl>
    <w:p w:rsidR="0003606B" w:rsidRDefault="0003606B" w:rsidP="0003606B">
      <w:pPr>
        <w:pStyle w:val="Heading3"/>
      </w:pPr>
      <w:r>
        <w:t>Improving the implementation of RIA through transparency and accountability measures</w:t>
      </w:r>
    </w:p>
    <w:p w:rsidR="00766990" w:rsidRDefault="0003606B" w:rsidP="00766990">
      <w:pPr>
        <w:pStyle w:val="BodyText"/>
      </w:pPr>
      <w:r>
        <w:t>T</w:t>
      </w:r>
      <w:r w:rsidRPr="001C7BFD">
        <w:t xml:space="preserve">he incentive for </w:t>
      </w:r>
      <w:r>
        <w:t>agencies</w:t>
      </w:r>
      <w:r w:rsidRPr="001C7BFD">
        <w:t xml:space="preserve"> to conduct high quality RIA </w:t>
      </w:r>
      <w:r>
        <w:t>is</w:t>
      </w:r>
      <w:r w:rsidRPr="001C7BFD">
        <w:t xml:space="preserve"> driven to a large extent by perceptions of </w:t>
      </w:r>
      <w:r>
        <w:t>what</w:t>
      </w:r>
      <w:r w:rsidRPr="001C7BFD">
        <w:t xml:space="preserve"> governments and individual ministers</w:t>
      </w:r>
      <w:r>
        <w:t xml:space="preserve"> expect</w:t>
      </w:r>
      <w:r w:rsidRPr="001C7BFD">
        <w:t xml:space="preserve">. </w:t>
      </w:r>
      <w:r>
        <w:t>The Commission considers that e</w:t>
      </w:r>
      <w:r w:rsidRPr="001C7BFD">
        <w:t>ffective transparency and accountability measures</w:t>
      </w:r>
      <w:r>
        <w:t xml:space="preserve"> </w:t>
      </w:r>
      <w:r w:rsidRPr="001C7BFD">
        <w:t xml:space="preserve">can create the pressures and incentives that motivate governments, ministers and </w:t>
      </w:r>
      <w:r w:rsidR="00766990">
        <w:t>agencies</w:t>
      </w:r>
      <w:r w:rsidR="00766990" w:rsidRPr="001C7BFD">
        <w:t xml:space="preserve"> </w:t>
      </w:r>
      <w:r w:rsidRPr="001C7BFD">
        <w:t>to fully embrace RIA.</w:t>
      </w:r>
      <w:r w:rsidR="00766990">
        <w:t xml:space="preserve"> The primary impact of key transparency and accountability measures discussed below are summarised in table 10.1</w:t>
      </w:r>
      <w:r w:rsidR="001474E2">
        <w:t>.</w:t>
      </w:r>
      <w:r w:rsidR="007F5F17">
        <w:t xml:space="preserve"> </w:t>
      </w:r>
      <w:r w:rsidR="003B1F5A">
        <w:t xml:space="preserve">A number of jurisdictions already have some of these measures in place. </w:t>
      </w:r>
      <w:r w:rsidR="00026327">
        <w:t>However, m</w:t>
      </w:r>
      <w:r w:rsidR="00C957DA">
        <w:t xml:space="preserve">ost have </w:t>
      </w:r>
      <w:r w:rsidR="00717DB8">
        <w:t xml:space="preserve">no </w:t>
      </w:r>
      <w:r w:rsidR="003B1F5A">
        <w:t xml:space="preserve">measures in place to ensure accountability of their oversight body (chapter 8). </w:t>
      </w:r>
    </w:p>
    <w:p w:rsidR="00766990" w:rsidRDefault="00766990" w:rsidP="00766990">
      <w:pPr>
        <w:pStyle w:val="TableTitle"/>
      </w:pPr>
      <w:r>
        <w:rPr>
          <w:b w:val="0"/>
        </w:rPr>
        <w:lastRenderedPageBreak/>
        <w:t>Table 10.</w:t>
      </w:r>
      <w:r w:rsidR="00B5590D">
        <w:rPr>
          <w:b w:val="0"/>
          <w:noProof/>
        </w:rPr>
        <w:t>1</w:t>
      </w:r>
      <w:r>
        <w:tab/>
        <w:t>Primary impact of transparency and accountability measures</w:t>
      </w:r>
    </w:p>
    <w:tbl>
      <w:tblPr>
        <w:tblW w:w="0" w:type="auto"/>
        <w:tblLayout w:type="fixed"/>
        <w:tblCellMar>
          <w:left w:w="0" w:type="dxa"/>
          <w:right w:w="0" w:type="dxa"/>
        </w:tblCellMar>
        <w:tblLook w:val="0000" w:firstRow="0" w:lastRow="0" w:firstColumn="0" w:lastColumn="0" w:noHBand="0" w:noVBand="0"/>
      </w:tblPr>
      <w:tblGrid>
        <w:gridCol w:w="5812"/>
        <w:gridCol w:w="1134"/>
        <w:gridCol w:w="992"/>
        <w:gridCol w:w="851"/>
      </w:tblGrid>
      <w:tr w:rsidR="00766990" w:rsidTr="00766990">
        <w:tc>
          <w:tcPr>
            <w:tcW w:w="5812" w:type="dxa"/>
            <w:tcBorders>
              <w:top w:val="single" w:sz="6" w:space="0" w:color="auto"/>
              <w:bottom w:val="single" w:sz="6" w:space="0" w:color="auto"/>
            </w:tcBorders>
            <w:shd w:val="clear" w:color="auto" w:fill="auto"/>
          </w:tcPr>
          <w:p w:rsidR="00766990" w:rsidRDefault="003B1F5A" w:rsidP="003B1F5A">
            <w:pPr>
              <w:pStyle w:val="TableColumnHeading"/>
              <w:jc w:val="left"/>
            </w:pPr>
            <w:bookmarkStart w:id="7" w:name="begin"/>
            <w:bookmarkEnd w:id="7"/>
            <w:r>
              <w:t>T</w:t>
            </w:r>
            <w:r w:rsidR="007754EF">
              <w:t>ransparency and accountability measure</w:t>
            </w:r>
          </w:p>
        </w:tc>
        <w:tc>
          <w:tcPr>
            <w:tcW w:w="1134" w:type="dxa"/>
            <w:tcBorders>
              <w:top w:val="single" w:sz="6" w:space="0" w:color="auto"/>
              <w:bottom w:val="single" w:sz="6" w:space="0" w:color="auto"/>
            </w:tcBorders>
            <w:shd w:val="clear" w:color="auto" w:fill="auto"/>
          </w:tcPr>
          <w:p w:rsidR="00766990" w:rsidRDefault="00766990" w:rsidP="007F5F17">
            <w:pPr>
              <w:pStyle w:val="TableColumnHeading"/>
              <w:jc w:val="center"/>
            </w:pPr>
            <w:r>
              <w:t>Agency</w:t>
            </w:r>
          </w:p>
        </w:tc>
        <w:tc>
          <w:tcPr>
            <w:tcW w:w="992" w:type="dxa"/>
            <w:tcBorders>
              <w:top w:val="single" w:sz="6" w:space="0" w:color="auto"/>
              <w:bottom w:val="single" w:sz="6" w:space="0" w:color="auto"/>
            </w:tcBorders>
            <w:shd w:val="clear" w:color="auto" w:fill="auto"/>
          </w:tcPr>
          <w:p w:rsidR="00766990" w:rsidRDefault="00766990" w:rsidP="007F5F17">
            <w:pPr>
              <w:pStyle w:val="TableColumnHeading"/>
              <w:jc w:val="center"/>
            </w:pPr>
            <w:r>
              <w:t>Oversight body</w:t>
            </w:r>
          </w:p>
        </w:tc>
        <w:tc>
          <w:tcPr>
            <w:tcW w:w="851" w:type="dxa"/>
            <w:tcBorders>
              <w:top w:val="single" w:sz="6" w:space="0" w:color="auto"/>
              <w:bottom w:val="single" w:sz="6" w:space="0" w:color="auto"/>
            </w:tcBorders>
            <w:shd w:val="clear" w:color="auto" w:fill="auto"/>
          </w:tcPr>
          <w:p w:rsidR="00766990" w:rsidRDefault="00766990" w:rsidP="00766990">
            <w:pPr>
              <w:pStyle w:val="TableColumnHeading"/>
              <w:ind w:right="28"/>
            </w:pPr>
            <w:r>
              <w:t>Minister</w:t>
            </w:r>
          </w:p>
        </w:tc>
      </w:tr>
      <w:tr w:rsidR="00766990" w:rsidTr="00766990">
        <w:trPr>
          <w:trHeight w:val="567"/>
        </w:trPr>
        <w:tc>
          <w:tcPr>
            <w:tcW w:w="5812" w:type="dxa"/>
            <w:tcBorders>
              <w:top w:val="single" w:sz="6" w:space="0" w:color="auto"/>
            </w:tcBorders>
            <w:shd w:val="clear" w:color="auto" w:fill="D9D9D9" w:themeFill="background1" w:themeFillShade="D9"/>
            <w:vAlign w:val="center"/>
          </w:tcPr>
          <w:p w:rsidR="00766990" w:rsidRDefault="00766990" w:rsidP="00766990">
            <w:pPr>
              <w:pStyle w:val="TableUnitsRow"/>
              <w:jc w:val="left"/>
            </w:pPr>
            <w:r>
              <w:t>Exemptions are made public</w:t>
            </w:r>
          </w:p>
        </w:tc>
        <w:tc>
          <w:tcPr>
            <w:tcW w:w="1134" w:type="dxa"/>
            <w:tcBorders>
              <w:top w:val="single" w:sz="6" w:space="0" w:color="auto"/>
            </w:tcBorders>
            <w:shd w:val="clear" w:color="auto" w:fill="D9D9D9" w:themeFill="background1" w:themeFillShade="D9"/>
            <w:vAlign w:val="center"/>
          </w:tcPr>
          <w:p w:rsidR="00766990" w:rsidRPr="00254F9A" w:rsidRDefault="00766990" w:rsidP="000E185E">
            <w:pPr>
              <w:pStyle w:val="TableUnitsRow"/>
              <w:ind w:firstLine="136"/>
              <w:jc w:val="center"/>
            </w:pPr>
          </w:p>
        </w:tc>
        <w:tc>
          <w:tcPr>
            <w:tcW w:w="992" w:type="dxa"/>
            <w:tcBorders>
              <w:top w:val="single" w:sz="6" w:space="0" w:color="auto"/>
            </w:tcBorders>
            <w:shd w:val="clear" w:color="auto" w:fill="D9D9D9" w:themeFill="background1" w:themeFillShade="D9"/>
            <w:vAlign w:val="center"/>
          </w:tcPr>
          <w:p w:rsidR="00766990" w:rsidRPr="00254F9A" w:rsidRDefault="00766990" w:rsidP="00766990">
            <w:pPr>
              <w:pStyle w:val="TableUnitsRow"/>
              <w:jc w:val="center"/>
            </w:pPr>
          </w:p>
        </w:tc>
        <w:tc>
          <w:tcPr>
            <w:tcW w:w="851" w:type="dxa"/>
            <w:tcBorders>
              <w:top w:val="single" w:sz="6" w:space="0" w:color="auto"/>
            </w:tcBorders>
            <w:shd w:val="clear" w:color="auto" w:fill="D9D9D9" w:themeFill="background1" w:themeFillShade="D9"/>
            <w:vAlign w:val="center"/>
          </w:tcPr>
          <w:p w:rsidR="00766990" w:rsidRPr="00254F9A" w:rsidRDefault="00783517" w:rsidP="00766990">
            <w:pPr>
              <w:pStyle w:val="TableUnitsRow"/>
              <w:spacing w:before="0" w:after="0"/>
              <w:ind w:right="0"/>
              <w:jc w:val="center"/>
            </w:pPr>
            <w:r>
              <w:rPr>
                <w:noProof/>
              </w:rPr>
              <w:drawing>
                <wp:inline distT="0" distB="0" distL="0" distR="0" wp14:anchorId="58BAB8C5" wp14:editId="0E4F523C">
                  <wp:extent cx="2000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766990">
        <w:trPr>
          <w:trHeight w:val="567"/>
        </w:trPr>
        <w:tc>
          <w:tcPr>
            <w:tcW w:w="5812" w:type="dxa"/>
            <w:vAlign w:val="center"/>
          </w:tcPr>
          <w:p w:rsidR="00766990" w:rsidRDefault="00766990" w:rsidP="007F5F17">
            <w:pPr>
              <w:pStyle w:val="TableBodyText"/>
              <w:jc w:val="left"/>
            </w:pPr>
            <w:r>
              <w:t xml:space="preserve">Ministerial statement to parliament outlining reasons for </w:t>
            </w:r>
            <w:r w:rsidR="007F5F17">
              <w:t xml:space="preserve">progression of </w:t>
            </w:r>
            <w:r>
              <w:t xml:space="preserve">exempt proposals </w:t>
            </w:r>
          </w:p>
        </w:tc>
        <w:tc>
          <w:tcPr>
            <w:tcW w:w="1134" w:type="dxa"/>
            <w:vAlign w:val="center"/>
          </w:tcPr>
          <w:p w:rsidR="00766990" w:rsidRPr="00254F9A" w:rsidRDefault="00766990" w:rsidP="000E185E">
            <w:pPr>
              <w:pStyle w:val="TableBodyText"/>
              <w:ind w:firstLine="136"/>
              <w:jc w:val="center"/>
            </w:pPr>
          </w:p>
        </w:tc>
        <w:tc>
          <w:tcPr>
            <w:tcW w:w="992" w:type="dxa"/>
            <w:vAlign w:val="center"/>
          </w:tcPr>
          <w:p w:rsidR="00766990" w:rsidRPr="00254F9A" w:rsidRDefault="00766990" w:rsidP="00766990">
            <w:pPr>
              <w:pStyle w:val="TableBodyText"/>
              <w:jc w:val="center"/>
            </w:pPr>
          </w:p>
        </w:tc>
        <w:tc>
          <w:tcPr>
            <w:tcW w:w="851" w:type="dxa"/>
            <w:vAlign w:val="center"/>
          </w:tcPr>
          <w:p w:rsidR="00766990" w:rsidRPr="00254F9A" w:rsidRDefault="00783517" w:rsidP="00766990">
            <w:pPr>
              <w:pStyle w:val="TableUnitsRow"/>
              <w:spacing w:before="0" w:after="0"/>
              <w:ind w:right="0"/>
              <w:jc w:val="center"/>
            </w:pPr>
            <w:r>
              <w:rPr>
                <w:noProof/>
              </w:rPr>
              <w:drawing>
                <wp:inline distT="0" distB="0" distL="0" distR="0" wp14:anchorId="14127428" wp14:editId="22FEEA64">
                  <wp:extent cx="200025" cy="1905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766990">
        <w:trPr>
          <w:trHeight w:val="567"/>
        </w:trPr>
        <w:tc>
          <w:tcPr>
            <w:tcW w:w="5812" w:type="dxa"/>
            <w:shd w:val="clear" w:color="auto" w:fill="D9D9D9" w:themeFill="background1" w:themeFillShade="D9"/>
            <w:vAlign w:val="center"/>
          </w:tcPr>
          <w:p w:rsidR="00766990" w:rsidRDefault="00766990" w:rsidP="007F5F17">
            <w:pPr>
              <w:pStyle w:val="TableBodyText"/>
              <w:jc w:val="left"/>
            </w:pPr>
            <w:r>
              <w:t>Public</w:t>
            </w:r>
            <w:r w:rsidR="002A141C">
              <w:t>ation of</w:t>
            </w:r>
            <w:r>
              <w:t xml:space="preserve"> </w:t>
            </w:r>
            <w:r w:rsidR="007F5F17">
              <w:t xml:space="preserve">agency </w:t>
            </w:r>
            <w:r>
              <w:t xml:space="preserve">assessment </w:t>
            </w:r>
            <w:r w:rsidR="007F5F17">
              <w:t xml:space="preserve">of </w:t>
            </w:r>
            <w:r>
              <w:t xml:space="preserve">determinations </w:t>
            </w:r>
            <w:r w:rsidR="007F5F17">
              <w:t>of the need for a</w:t>
            </w:r>
            <w:r>
              <w:t xml:space="preserve"> RIS </w:t>
            </w:r>
          </w:p>
        </w:tc>
        <w:tc>
          <w:tcPr>
            <w:tcW w:w="1134" w:type="dxa"/>
            <w:shd w:val="clear" w:color="auto" w:fill="D9D9D9" w:themeFill="background1" w:themeFillShade="D9"/>
            <w:vAlign w:val="center"/>
          </w:tcPr>
          <w:p w:rsidR="00766990" w:rsidRPr="00254F9A" w:rsidRDefault="00783517" w:rsidP="000E185E">
            <w:pPr>
              <w:pStyle w:val="TableBodyText"/>
              <w:spacing w:after="0"/>
              <w:ind w:firstLine="136"/>
              <w:jc w:val="center"/>
            </w:pPr>
            <w:r>
              <w:rPr>
                <w:noProof/>
              </w:rPr>
              <w:drawing>
                <wp:inline distT="0" distB="0" distL="0" distR="0" wp14:anchorId="2872B939" wp14:editId="543890B4">
                  <wp:extent cx="200025" cy="1905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D9D9D9" w:themeFill="background1" w:themeFillShade="D9"/>
            <w:vAlign w:val="center"/>
          </w:tcPr>
          <w:p w:rsidR="00766990" w:rsidRPr="00254F9A" w:rsidRDefault="00766990" w:rsidP="00766990">
            <w:pPr>
              <w:pStyle w:val="TableBodyText"/>
              <w:jc w:val="center"/>
            </w:pPr>
          </w:p>
        </w:tc>
        <w:tc>
          <w:tcPr>
            <w:tcW w:w="851" w:type="dxa"/>
            <w:shd w:val="clear" w:color="auto" w:fill="D9D9D9" w:themeFill="background1" w:themeFillShade="D9"/>
            <w:vAlign w:val="center"/>
          </w:tcPr>
          <w:p w:rsidR="00766990" w:rsidRPr="00254F9A" w:rsidRDefault="00766990" w:rsidP="00766990">
            <w:pPr>
              <w:pStyle w:val="TableBodyText"/>
              <w:ind w:right="28"/>
              <w:jc w:val="center"/>
            </w:pPr>
          </w:p>
        </w:tc>
      </w:tr>
      <w:tr w:rsidR="00766990" w:rsidTr="00766990">
        <w:trPr>
          <w:trHeight w:val="567"/>
        </w:trPr>
        <w:tc>
          <w:tcPr>
            <w:tcW w:w="5812" w:type="dxa"/>
            <w:shd w:val="clear" w:color="auto" w:fill="auto"/>
            <w:vAlign w:val="center"/>
          </w:tcPr>
          <w:p w:rsidR="00766990" w:rsidRDefault="00766990" w:rsidP="00C957DA">
            <w:pPr>
              <w:pStyle w:val="TableBodyText"/>
              <w:jc w:val="left"/>
            </w:pPr>
            <w:r>
              <w:t>Public consultation RIS</w:t>
            </w:r>
          </w:p>
        </w:tc>
        <w:tc>
          <w:tcPr>
            <w:tcW w:w="1134" w:type="dxa"/>
            <w:shd w:val="clear" w:color="auto" w:fill="auto"/>
            <w:vAlign w:val="center"/>
          </w:tcPr>
          <w:p w:rsidR="00766990" w:rsidRPr="00254F9A" w:rsidRDefault="00783517" w:rsidP="000E185E">
            <w:pPr>
              <w:pStyle w:val="TableBodyText"/>
              <w:spacing w:after="0"/>
              <w:ind w:firstLine="136"/>
              <w:jc w:val="center"/>
            </w:pPr>
            <w:r>
              <w:rPr>
                <w:noProof/>
              </w:rPr>
              <w:drawing>
                <wp:inline distT="0" distB="0" distL="0" distR="0" wp14:anchorId="191430CB" wp14:editId="36A0A8B3">
                  <wp:extent cx="200025" cy="1905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auto"/>
            <w:vAlign w:val="center"/>
          </w:tcPr>
          <w:p w:rsidR="00766990" w:rsidRPr="00254F9A" w:rsidRDefault="00766990" w:rsidP="00766990">
            <w:pPr>
              <w:pStyle w:val="TableBodyText"/>
              <w:jc w:val="center"/>
            </w:pPr>
          </w:p>
        </w:tc>
        <w:tc>
          <w:tcPr>
            <w:tcW w:w="851" w:type="dxa"/>
            <w:shd w:val="clear" w:color="auto" w:fill="auto"/>
            <w:vAlign w:val="center"/>
          </w:tcPr>
          <w:p w:rsidR="00766990" w:rsidRPr="00254F9A" w:rsidRDefault="00766990" w:rsidP="00766990">
            <w:pPr>
              <w:pStyle w:val="TableBodyText"/>
              <w:ind w:right="28"/>
              <w:jc w:val="center"/>
            </w:pPr>
          </w:p>
        </w:tc>
      </w:tr>
      <w:tr w:rsidR="00766990" w:rsidTr="00766990">
        <w:trPr>
          <w:trHeight w:val="567"/>
        </w:trPr>
        <w:tc>
          <w:tcPr>
            <w:tcW w:w="5812" w:type="dxa"/>
            <w:shd w:val="clear" w:color="auto" w:fill="D9D9D9" w:themeFill="background1" w:themeFillShade="D9"/>
            <w:vAlign w:val="center"/>
          </w:tcPr>
          <w:p w:rsidR="00766990" w:rsidRDefault="00766990" w:rsidP="00C957DA">
            <w:pPr>
              <w:pStyle w:val="TableBodyText"/>
              <w:jc w:val="left"/>
            </w:pPr>
            <w:r>
              <w:t>Public final RIS</w:t>
            </w:r>
          </w:p>
        </w:tc>
        <w:tc>
          <w:tcPr>
            <w:tcW w:w="1134" w:type="dxa"/>
            <w:shd w:val="clear" w:color="auto" w:fill="D9D9D9" w:themeFill="background1" w:themeFillShade="D9"/>
            <w:vAlign w:val="center"/>
          </w:tcPr>
          <w:p w:rsidR="00766990" w:rsidRPr="00254F9A" w:rsidRDefault="00783517" w:rsidP="000E185E">
            <w:pPr>
              <w:pStyle w:val="TableBodyText"/>
              <w:spacing w:after="0"/>
              <w:ind w:firstLine="136"/>
              <w:jc w:val="center"/>
            </w:pPr>
            <w:r>
              <w:rPr>
                <w:noProof/>
              </w:rPr>
              <w:drawing>
                <wp:inline distT="0" distB="0" distL="0" distR="0" wp14:anchorId="4C74A368" wp14:editId="31ADB874">
                  <wp:extent cx="200025" cy="1905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D9D9D9" w:themeFill="background1" w:themeFillShade="D9"/>
            <w:vAlign w:val="center"/>
          </w:tcPr>
          <w:p w:rsidR="00766990" w:rsidRPr="00254F9A" w:rsidRDefault="00766990" w:rsidP="00766990">
            <w:pPr>
              <w:pStyle w:val="TableBodyText"/>
              <w:jc w:val="center"/>
            </w:pPr>
          </w:p>
        </w:tc>
        <w:tc>
          <w:tcPr>
            <w:tcW w:w="851" w:type="dxa"/>
            <w:shd w:val="clear" w:color="auto" w:fill="D9D9D9" w:themeFill="background1" w:themeFillShade="D9"/>
            <w:vAlign w:val="center"/>
          </w:tcPr>
          <w:p w:rsidR="00766990" w:rsidRPr="00254F9A" w:rsidRDefault="00783517" w:rsidP="00766990">
            <w:pPr>
              <w:pStyle w:val="TableUnitsRow"/>
              <w:spacing w:before="0" w:after="0"/>
              <w:ind w:right="0"/>
              <w:jc w:val="center"/>
            </w:pPr>
            <w:r>
              <w:rPr>
                <w:noProof/>
              </w:rPr>
              <w:drawing>
                <wp:inline distT="0" distB="0" distL="0" distR="0" wp14:anchorId="708A14A7" wp14:editId="7C4734B0">
                  <wp:extent cx="200025" cy="1905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766990">
        <w:trPr>
          <w:trHeight w:val="567"/>
        </w:trPr>
        <w:tc>
          <w:tcPr>
            <w:tcW w:w="5812" w:type="dxa"/>
            <w:shd w:val="clear" w:color="auto" w:fill="auto"/>
            <w:vAlign w:val="center"/>
          </w:tcPr>
          <w:p w:rsidR="00766990" w:rsidRDefault="00766990" w:rsidP="00766990">
            <w:pPr>
              <w:pStyle w:val="TableBodyText"/>
              <w:jc w:val="left"/>
            </w:pPr>
            <w:r>
              <w:t>Public</w:t>
            </w:r>
            <w:r w:rsidR="002A141C">
              <w:t>ation of</w:t>
            </w:r>
            <w:r>
              <w:t xml:space="preserve"> adequacy assessment with reasons/qualifications</w:t>
            </w:r>
          </w:p>
        </w:tc>
        <w:tc>
          <w:tcPr>
            <w:tcW w:w="1134" w:type="dxa"/>
            <w:shd w:val="clear" w:color="auto" w:fill="auto"/>
            <w:vAlign w:val="center"/>
          </w:tcPr>
          <w:p w:rsidR="00766990" w:rsidRPr="00254F9A" w:rsidRDefault="00783517" w:rsidP="000E185E">
            <w:pPr>
              <w:pStyle w:val="TableBodyText"/>
              <w:spacing w:after="0"/>
              <w:ind w:firstLine="136"/>
              <w:jc w:val="center"/>
            </w:pPr>
            <w:r>
              <w:rPr>
                <w:noProof/>
              </w:rPr>
              <w:drawing>
                <wp:inline distT="0" distB="0" distL="0" distR="0" wp14:anchorId="52BD450A" wp14:editId="420E6946">
                  <wp:extent cx="200025" cy="1905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auto"/>
            <w:vAlign w:val="center"/>
          </w:tcPr>
          <w:p w:rsidR="00766990" w:rsidRPr="00254F9A" w:rsidRDefault="00783517" w:rsidP="00766990">
            <w:pPr>
              <w:pStyle w:val="TableBodyText"/>
              <w:spacing w:after="0"/>
              <w:jc w:val="center"/>
            </w:pPr>
            <w:r>
              <w:rPr>
                <w:noProof/>
              </w:rPr>
              <w:drawing>
                <wp:inline distT="0" distB="0" distL="0" distR="0" wp14:anchorId="3DE977B3" wp14:editId="40A1DCA1">
                  <wp:extent cx="200025" cy="1905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1" w:type="dxa"/>
            <w:shd w:val="clear" w:color="auto" w:fill="auto"/>
            <w:vAlign w:val="center"/>
          </w:tcPr>
          <w:p w:rsidR="00766990" w:rsidRPr="00254F9A" w:rsidRDefault="00783517" w:rsidP="00766990">
            <w:pPr>
              <w:pStyle w:val="TableUnitsRow"/>
              <w:spacing w:before="0" w:after="0"/>
              <w:ind w:right="0"/>
              <w:jc w:val="center"/>
            </w:pPr>
            <w:r>
              <w:rPr>
                <w:noProof/>
              </w:rPr>
              <w:drawing>
                <wp:inline distT="0" distB="0" distL="0" distR="0" wp14:anchorId="1C99D4B9" wp14:editId="54827494">
                  <wp:extent cx="200025" cy="1905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766990">
        <w:trPr>
          <w:trHeight w:val="624"/>
        </w:trPr>
        <w:tc>
          <w:tcPr>
            <w:tcW w:w="5812" w:type="dxa"/>
            <w:shd w:val="clear" w:color="auto" w:fill="D9D9D9" w:themeFill="background1" w:themeFillShade="D9"/>
            <w:vAlign w:val="center"/>
          </w:tcPr>
          <w:p w:rsidR="00766990" w:rsidRDefault="00766990" w:rsidP="007F5F17">
            <w:pPr>
              <w:pStyle w:val="TableBodyText"/>
              <w:jc w:val="left"/>
            </w:pPr>
            <w:r>
              <w:t xml:space="preserve">Ministerial statement to parliament outlining reasons for </w:t>
            </w:r>
            <w:r w:rsidR="007F5F17">
              <w:t xml:space="preserve">progression of </w:t>
            </w:r>
            <w:r>
              <w:t>non</w:t>
            </w:r>
            <w:r>
              <w:noBreakHyphen/>
              <w:t>compliant proposals</w:t>
            </w:r>
          </w:p>
        </w:tc>
        <w:tc>
          <w:tcPr>
            <w:tcW w:w="1134" w:type="dxa"/>
            <w:shd w:val="clear" w:color="auto" w:fill="D9D9D9" w:themeFill="background1" w:themeFillShade="D9"/>
            <w:vAlign w:val="center"/>
          </w:tcPr>
          <w:p w:rsidR="00766990" w:rsidRPr="00254F9A" w:rsidRDefault="00766990" w:rsidP="000E185E">
            <w:pPr>
              <w:pStyle w:val="TableBodyText"/>
              <w:ind w:firstLine="136"/>
              <w:jc w:val="center"/>
            </w:pPr>
          </w:p>
        </w:tc>
        <w:tc>
          <w:tcPr>
            <w:tcW w:w="992" w:type="dxa"/>
            <w:shd w:val="clear" w:color="auto" w:fill="D9D9D9" w:themeFill="background1" w:themeFillShade="D9"/>
            <w:vAlign w:val="center"/>
          </w:tcPr>
          <w:p w:rsidR="00766990" w:rsidRPr="00254F9A" w:rsidRDefault="00766990" w:rsidP="00766990">
            <w:pPr>
              <w:pStyle w:val="TableBodyText"/>
              <w:jc w:val="center"/>
            </w:pPr>
          </w:p>
        </w:tc>
        <w:tc>
          <w:tcPr>
            <w:tcW w:w="851" w:type="dxa"/>
            <w:shd w:val="clear" w:color="auto" w:fill="D9D9D9" w:themeFill="background1" w:themeFillShade="D9"/>
            <w:vAlign w:val="center"/>
          </w:tcPr>
          <w:p w:rsidR="00766990" w:rsidRPr="00254F9A" w:rsidRDefault="00783517" w:rsidP="00766990">
            <w:pPr>
              <w:pStyle w:val="TableUnitsRow"/>
              <w:spacing w:before="0" w:after="0"/>
              <w:ind w:right="0"/>
              <w:jc w:val="center"/>
            </w:pPr>
            <w:r>
              <w:rPr>
                <w:noProof/>
              </w:rPr>
              <w:drawing>
                <wp:inline distT="0" distB="0" distL="0" distR="0" wp14:anchorId="2BBF3486" wp14:editId="614EBB97">
                  <wp:extent cx="200025" cy="1905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7F5F17">
        <w:trPr>
          <w:trHeight w:val="624"/>
        </w:trPr>
        <w:tc>
          <w:tcPr>
            <w:tcW w:w="5812" w:type="dxa"/>
            <w:shd w:val="clear" w:color="auto" w:fill="FFFFFF" w:themeFill="background1"/>
            <w:vAlign w:val="center"/>
          </w:tcPr>
          <w:p w:rsidR="00766990" w:rsidRDefault="00815AC7" w:rsidP="00815AC7">
            <w:pPr>
              <w:pStyle w:val="TableBodyText"/>
              <w:jc w:val="left"/>
            </w:pPr>
            <w:r>
              <w:t xml:space="preserve">Post implementation review </w:t>
            </w:r>
            <w:r w:rsidR="00766990">
              <w:t xml:space="preserve">undertaken through </w:t>
            </w:r>
            <w:r>
              <w:t xml:space="preserve">a public and </w:t>
            </w:r>
            <w:r w:rsidR="00766990">
              <w:t>independent process for all non</w:t>
            </w:r>
            <w:r w:rsidR="00766990">
              <w:noBreakHyphen/>
              <w:t>compliant and highly significant exempt proposals</w:t>
            </w:r>
          </w:p>
        </w:tc>
        <w:tc>
          <w:tcPr>
            <w:tcW w:w="1134" w:type="dxa"/>
            <w:shd w:val="clear" w:color="auto" w:fill="FFFFFF" w:themeFill="background1"/>
            <w:vAlign w:val="center"/>
          </w:tcPr>
          <w:p w:rsidR="00766990" w:rsidRPr="00254F9A" w:rsidRDefault="00783517" w:rsidP="000E185E">
            <w:pPr>
              <w:pStyle w:val="TableBodyText"/>
              <w:spacing w:after="0"/>
              <w:ind w:firstLine="136"/>
              <w:jc w:val="center"/>
            </w:pPr>
            <w:r>
              <w:rPr>
                <w:noProof/>
              </w:rPr>
              <w:drawing>
                <wp:inline distT="0" distB="0" distL="0" distR="0" wp14:anchorId="247F7190" wp14:editId="483475C2">
                  <wp:extent cx="200025" cy="1905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FFFFFF" w:themeFill="background1"/>
            <w:vAlign w:val="center"/>
          </w:tcPr>
          <w:p w:rsidR="00766990" w:rsidRPr="00254F9A" w:rsidRDefault="00766990" w:rsidP="00766990">
            <w:pPr>
              <w:pStyle w:val="TableBodyText"/>
              <w:jc w:val="center"/>
            </w:pPr>
          </w:p>
        </w:tc>
        <w:tc>
          <w:tcPr>
            <w:tcW w:w="851" w:type="dxa"/>
            <w:shd w:val="clear" w:color="auto" w:fill="FFFFFF" w:themeFill="background1"/>
            <w:vAlign w:val="center"/>
          </w:tcPr>
          <w:p w:rsidR="00766990" w:rsidRPr="00254F9A" w:rsidRDefault="00783517" w:rsidP="00766990">
            <w:pPr>
              <w:pStyle w:val="TableUnitsRow"/>
              <w:spacing w:before="0" w:after="0"/>
              <w:ind w:right="0"/>
              <w:jc w:val="center"/>
            </w:pPr>
            <w:r>
              <w:rPr>
                <w:noProof/>
              </w:rPr>
              <w:drawing>
                <wp:inline distT="0" distB="0" distL="0" distR="0" wp14:anchorId="1F966227" wp14:editId="6740415D">
                  <wp:extent cx="200025" cy="1905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r w:rsidR="00766990" w:rsidTr="00407E49">
        <w:trPr>
          <w:trHeight w:val="567"/>
        </w:trPr>
        <w:tc>
          <w:tcPr>
            <w:tcW w:w="5812" w:type="dxa"/>
            <w:shd w:val="clear" w:color="auto" w:fill="D9D9D9" w:themeFill="background1" w:themeFillShade="D9"/>
            <w:vAlign w:val="center"/>
          </w:tcPr>
          <w:p w:rsidR="00766990" w:rsidRDefault="00766990" w:rsidP="007F5F17">
            <w:pPr>
              <w:pStyle w:val="TableBodyText"/>
              <w:jc w:val="left"/>
            </w:pPr>
            <w:r>
              <w:t xml:space="preserve">Periodic audit of agency assessment on </w:t>
            </w:r>
            <w:r w:rsidR="007F5F17">
              <w:t xml:space="preserve">need </w:t>
            </w:r>
            <w:r>
              <w:t>for a RIS</w:t>
            </w:r>
          </w:p>
        </w:tc>
        <w:tc>
          <w:tcPr>
            <w:tcW w:w="1134" w:type="dxa"/>
            <w:shd w:val="clear" w:color="auto" w:fill="D9D9D9" w:themeFill="background1" w:themeFillShade="D9"/>
            <w:vAlign w:val="center"/>
          </w:tcPr>
          <w:p w:rsidR="00766990" w:rsidRPr="00254F9A" w:rsidRDefault="00783517" w:rsidP="000E185E">
            <w:pPr>
              <w:pStyle w:val="TableBodyText"/>
              <w:spacing w:after="0"/>
              <w:ind w:firstLine="136"/>
              <w:jc w:val="center"/>
            </w:pPr>
            <w:r>
              <w:rPr>
                <w:noProof/>
              </w:rPr>
              <w:drawing>
                <wp:inline distT="0" distB="0" distL="0" distR="0" wp14:anchorId="27188CC4" wp14:editId="73DCF7F8">
                  <wp:extent cx="200025" cy="1905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shd w:val="clear" w:color="auto" w:fill="D9D9D9" w:themeFill="background1" w:themeFillShade="D9"/>
            <w:vAlign w:val="center"/>
          </w:tcPr>
          <w:p w:rsidR="00766990" w:rsidRPr="00254F9A" w:rsidRDefault="00766990" w:rsidP="00766990">
            <w:pPr>
              <w:pStyle w:val="TableBodyText"/>
              <w:jc w:val="center"/>
            </w:pPr>
          </w:p>
        </w:tc>
        <w:tc>
          <w:tcPr>
            <w:tcW w:w="851" w:type="dxa"/>
            <w:shd w:val="clear" w:color="auto" w:fill="D9D9D9" w:themeFill="background1" w:themeFillShade="D9"/>
            <w:vAlign w:val="center"/>
          </w:tcPr>
          <w:p w:rsidR="00766990" w:rsidRPr="00254F9A" w:rsidRDefault="00766990" w:rsidP="00766990">
            <w:pPr>
              <w:pStyle w:val="TableBodyText"/>
              <w:ind w:right="28"/>
              <w:jc w:val="center"/>
            </w:pPr>
          </w:p>
        </w:tc>
      </w:tr>
      <w:tr w:rsidR="00407E49" w:rsidTr="00407E49">
        <w:trPr>
          <w:trHeight w:val="567"/>
        </w:trPr>
        <w:tc>
          <w:tcPr>
            <w:tcW w:w="5812" w:type="dxa"/>
            <w:shd w:val="clear" w:color="auto" w:fill="auto"/>
            <w:vAlign w:val="center"/>
          </w:tcPr>
          <w:p w:rsidR="00407E49" w:rsidRDefault="00407E49" w:rsidP="009E5752">
            <w:pPr>
              <w:pStyle w:val="TableBodyText"/>
              <w:jc w:val="left"/>
            </w:pPr>
            <w:r>
              <w:t>Public performance audit of oversight body</w:t>
            </w:r>
          </w:p>
        </w:tc>
        <w:tc>
          <w:tcPr>
            <w:tcW w:w="1134" w:type="dxa"/>
            <w:shd w:val="clear" w:color="auto" w:fill="auto"/>
            <w:vAlign w:val="center"/>
          </w:tcPr>
          <w:p w:rsidR="00407E49" w:rsidRPr="00254F9A" w:rsidRDefault="00407E49" w:rsidP="000E185E">
            <w:pPr>
              <w:pStyle w:val="TableBodyText"/>
              <w:ind w:firstLine="136"/>
              <w:jc w:val="center"/>
            </w:pPr>
          </w:p>
        </w:tc>
        <w:tc>
          <w:tcPr>
            <w:tcW w:w="992" w:type="dxa"/>
            <w:shd w:val="clear" w:color="auto" w:fill="auto"/>
            <w:vAlign w:val="center"/>
          </w:tcPr>
          <w:p w:rsidR="00407E49" w:rsidRPr="00254F9A" w:rsidRDefault="00783517" w:rsidP="009E5752">
            <w:pPr>
              <w:pStyle w:val="TableBodyText"/>
              <w:spacing w:after="0"/>
              <w:jc w:val="center"/>
            </w:pPr>
            <w:r>
              <w:rPr>
                <w:noProof/>
              </w:rPr>
              <w:drawing>
                <wp:inline distT="0" distB="0" distL="0" distR="0" wp14:anchorId="7F21CAD8" wp14:editId="4E6FB3EF">
                  <wp:extent cx="200025" cy="1905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51" w:type="dxa"/>
            <w:shd w:val="clear" w:color="auto" w:fill="auto"/>
            <w:vAlign w:val="center"/>
          </w:tcPr>
          <w:p w:rsidR="00407E49" w:rsidRPr="00254F9A" w:rsidRDefault="00407E49" w:rsidP="009E5752">
            <w:pPr>
              <w:pStyle w:val="TableBodyText"/>
              <w:ind w:right="28"/>
              <w:jc w:val="center"/>
            </w:pPr>
          </w:p>
        </w:tc>
      </w:tr>
      <w:tr w:rsidR="00766990" w:rsidTr="007F5F17">
        <w:trPr>
          <w:trHeight w:val="567"/>
        </w:trPr>
        <w:tc>
          <w:tcPr>
            <w:tcW w:w="5812" w:type="dxa"/>
            <w:tcBorders>
              <w:bottom w:val="single" w:sz="4" w:space="0" w:color="auto"/>
            </w:tcBorders>
            <w:shd w:val="clear" w:color="auto" w:fill="D9D9D9" w:themeFill="background1" w:themeFillShade="D9"/>
            <w:vAlign w:val="center"/>
          </w:tcPr>
          <w:p w:rsidR="00766990" w:rsidRDefault="00C957DA" w:rsidP="00C957DA">
            <w:pPr>
              <w:pStyle w:val="TableBodyText"/>
              <w:jc w:val="left"/>
            </w:pPr>
            <w:r>
              <w:t>Published a</w:t>
            </w:r>
            <w:r w:rsidR="00407E49">
              <w:t xml:space="preserve">nnual compliance reporting </w:t>
            </w:r>
          </w:p>
        </w:tc>
        <w:tc>
          <w:tcPr>
            <w:tcW w:w="1134" w:type="dxa"/>
            <w:tcBorders>
              <w:bottom w:val="single" w:sz="4" w:space="0" w:color="auto"/>
            </w:tcBorders>
            <w:shd w:val="clear" w:color="auto" w:fill="D9D9D9" w:themeFill="background1" w:themeFillShade="D9"/>
            <w:vAlign w:val="center"/>
          </w:tcPr>
          <w:p w:rsidR="00766990" w:rsidRPr="00254F9A" w:rsidRDefault="00783517" w:rsidP="000E185E">
            <w:pPr>
              <w:pStyle w:val="TableBodyText"/>
              <w:ind w:firstLine="136"/>
              <w:jc w:val="center"/>
            </w:pPr>
            <w:r>
              <w:rPr>
                <w:noProof/>
              </w:rPr>
              <w:drawing>
                <wp:inline distT="0" distB="0" distL="0" distR="0" wp14:anchorId="2E56AE38" wp14:editId="4E665E61">
                  <wp:extent cx="200025" cy="1905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992" w:type="dxa"/>
            <w:tcBorders>
              <w:bottom w:val="single" w:sz="4" w:space="0" w:color="auto"/>
            </w:tcBorders>
            <w:shd w:val="clear" w:color="auto" w:fill="D9D9D9" w:themeFill="background1" w:themeFillShade="D9"/>
            <w:vAlign w:val="center"/>
          </w:tcPr>
          <w:p w:rsidR="00766990" w:rsidRPr="00254F9A" w:rsidRDefault="00766990" w:rsidP="00766990">
            <w:pPr>
              <w:pStyle w:val="TableBodyText"/>
              <w:spacing w:after="0"/>
              <w:jc w:val="center"/>
            </w:pPr>
          </w:p>
        </w:tc>
        <w:tc>
          <w:tcPr>
            <w:tcW w:w="851" w:type="dxa"/>
            <w:tcBorders>
              <w:bottom w:val="single" w:sz="4" w:space="0" w:color="auto"/>
            </w:tcBorders>
            <w:shd w:val="clear" w:color="auto" w:fill="D9D9D9" w:themeFill="background1" w:themeFillShade="D9"/>
            <w:vAlign w:val="center"/>
          </w:tcPr>
          <w:p w:rsidR="00766990" w:rsidRPr="00254F9A" w:rsidRDefault="00783517" w:rsidP="00766990">
            <w:pPr>
              <w:pStyle w:val="TableBodyText"/>
              <w:ind w:right="28"/>
              <w:jc w:val="center"/>
            </w:pPr>
            <w:r>
              <w:rPr>
                <w:noProof/>
              </w:rPr>
              <w:drawing>
                <wp:inline distT="0" distB="0" distL="0" distR="0" wp14:anchorId="483F8661" wp14:editId="48131A98">
                  <wp:extent cx="200025" cy="190500"/>
                  <wp:effectExtent l="0" t="0" r="9525"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r>
    </w:tbl>
    <w:p w:rsidR="00955E94" w:rsidRDefault="001474E2" w:rsidP="00955E94">
      <w:pPr>
        <w:pStyle w:val="Heading4"/>
      </w:pPr>
      <w:r>
        <w:t>Multi-stage</w:t>
      </w:r>
      <w:r w:rsidR="00955E94">
        <w:t xml:space="preserve"> RIA </w:t>
      </w:r>
      <w:r>
        <w:t>to enhance transparency</w:t>
      </w:r>
    </w:p>
    <w:p w:rsidR="00955E94" w:rsidRDefault="00955E94" w:rsidP="00955E94">
      <w:pPr>
        <w:pStyle w:val="BodyText"/>
      </w:pPr>
      <w:r>
        <w:t>Multi</w:t>
      </w:r>
      <w:r w:rsidR="004308A4">
        <w:noBreakHyphen/>
      </w:r>
      <w:r>
        <w:t>stage RIA processes, including a two</w:t>
      </w:r>
      <w:r w:rsidR="004308A4">
        <w:noBreakHyphen/>
      </w:r>
      <w:r>
        <w:t xml:space="preserve">stage RIS, </w:t>
      </w:r>
      <w:r w:rsidR="001474E2">
        <w:t xml:space="preserve">can </w:t>
      </w:r>
      <w:r>
        <w:t xml:space="preserve">improve transparency </w:t>
      </w:r>
      <w:r w:rsidR="001474E2">
        <w:t>of the policy development process for stakeholders. They</w:t>
      </w:r>
      <w:r>
        <w:t xml:space="preserve"> ha</w:t>
      </w:r>
      <w:r w:rsidR="00A65FDC">
        <w:t>ve</w:t>
      </w:r>
      <w:r>
        <w:t xml:space="preserve"> also been put forward by stakeholders and academics as a method of fostering a culture of starting RIA early and, therefore, better integrating RIA into the policy development (</w:t>
      </w:r>
      <w:r w:rsidR="00E36A2E">
        <w:t xml:space="preserve">for example, </w:t>
      </w:r>
      <w:r>
        <w:t>Jacobs 2006</w:t>
      </w:r>
      <w:r w:rsidR="00E36A2E">
        <w:t xml:space="preserve">, </w:t>
      </w:r>
      <w:proofErr w:type="spellStart"/>
      <w:r w:rsidR="00E36A2E">
        <w:t>AFMA</w:t>
      </w:r>
      <w:proofErr w:type="spellEnd"/>
      <w:r w:rsidR="00E36A2E">
        <w:t> sub. 11, Chi-X Australia sub. 13, The Centre for International Economics sub. 14)</w:t>
      </w:r>
      <w:r>
        <w:t xml:space="preserve">. Such an approach generally requires agencies to put deliberate thought into the process of policy development and </w:t>
      </w:r>
      <w:r w:rsidR="00A65FDC">
        <w:t xml:space="preserve">assemble relevant </w:t>
      </w:r>
      <w:r>
        <w:t xml:space="preserve">evidence early in the process. </w:t>
      </w:r>
    </w:p>
    <w:p w:rsidR="00955E94" w:rsidRDefault="00955E94" w:rsidP="00955E94">
      <w:pPr>
        <w:pStyle w:val="BodyText"/>
      </w:pPr>
      <w:r>
        <w:t>C</w:t>
      </w:r>
      <w:r w:rsidRPr="00BB2B41">
        <w:t xml:space="preserve">urrent leading practices </w:t>
      </w:r>
      <w:r>
        <w:t xml:space="preserve">in this area identified by the Commission </w:t>
      </w:r>
      <w:r w:rsidRPr="00BB2B41">
        <w:t>include</w:t>
      </w:r>
      <w:r w:rsidR="00424371">
        <w:t>: the two</w:t>
      </w:r>
      <w:r w:rsidR="004308A4">
        <w:noBreakHyphen/>
      </w:r>
      <w:r w:rsidR="00424371">
        <w:t xml:space="preserve">stage RIS </w:t>
      </w:r>
      <w:r w:rsidR="00920A7B">
        <w:t xml:space="preserve">approach </w:t>
      </w:r>
      <w:r w:rsidR="00424371">
        <w:t xml:space="preserve">(COAG, Western Australia); </w:t>
      </w:r>
      <w:r w:rsidR="00C20D97">
        <w:t xml:space="preserve">and </w:t>
      </w:r>
      <w:r>
        <w:t>clear guidelines and streamlined processes for preliminary impact assessment (</w:t>
      </w:r>
      <w:r w:rsidR="00424371">
        <w:t>such as Queensland’s</w:t>
      </w:r>
      <w:r>
        <w:t xml:space="preserve"> Regulatory Principles Checklist </w:t>
      </w:r>
      <w:r w:rsidR="00424371">
        <w:t>which is commenced</w:t>
      </w:r>
      <w:r>
        <w:t xml:space="preserve"> at the beginning of the policy development</w:t>
      </w:r>
      <w:r w:rsidR="00335657">
        <w:t xml:space="preserve"> process</w:t>
      </w:r>
      <w:r>
        <w:t xml:space="preserve"> and continue</w:t>
      </w:r>
      <w:r w:rsidR="0022008A">
        <w:t>s</w:t>
      </w:r>
      <w:r>
        <w:t xml:space="preserve"> to </w:t>
      </w:r>
      <w:r w:rsidR="0022008A">
        <w:t xml:space="preserve">be </w:t>
      </w:r>
      <w:r>
        <w:t>update</w:t>
      </w:r>
      <w:r w:rsidR="00424371">
        <w:t>d</w:t>
      </w:r>
      <w:r>
        <w:t xml:space="preserve"> at key stages throughout</w:t>
      </w:r>
      <w:r w:rsidR="00424371">
        <w:t>)</w:t>
      </w:r>
      <w:r>
        <w:t xml:space="preserve">. </w:t>
      </w:r>
    </w:p>
    <w:p w:rsidR="007C7991" w:rsidRDefault="00BF2E45" w:rsidP="00C80361">
      <w:pPr>
        <w:pStyle w:val="Heading4"/>
      </w:pPr>
      <w:r>
        <w:lastRenderedPageBreak/>
        <w:t>Increasing</w:t>
      </w:r>
      <w:r w:rsidR="00FD17D9">
        <w:t xml:space="preserve"> </w:t>
      </w:r>
      <w:r w:rsidR="0084671B">
        <w:t xml:space="preserve">awareness and </w:t>
      </w:r>
      <w:r w:rsidR="00FD17D9">
        <w:t xml:space="preserve">commitment </w:t>
      </w:r>
      <w:r w:rsidR="008906B8">
        <w:t xml:space="preserve">through transparency </w:t>
      </w:r>
    </w:p>
    <w:p w:rsidR="001474E2" w:rsidRDefault="001474E2" w:rsidP="001474E2">
      <w:pPr>
        <w:pStyle w:val="BodyText"/>
      </w:pPr>
      <w:r>
        <w:t>L</w:t>
      </w:r>
      <w:r w:rsidRPr="00BB2B41">
        <w:t xml:space="preserve">eading practices </w:t>
      </w:r>
      <w:r>
        <w:t xml:space="preserve">in transparency identified by the Commission which would enhance RIA commitment </w:t>
      </w:r>
      <w:r w:rsidRPr="00BB2B41">
        <w:t>include</w:t>
      </w:r>
      <w:r>
        <w:t>: publication of exemptions, including reasons ; the publication of agency assessments of the need for a RIS; ministerial statements to explain departures from the RIA process; the publication</w:t>
      </w:r>
      <w:r w:rsidRPr="00BB2B41">
        <w:t xml:space="preserve"> of </w:t>
      </w:r>
      <w:r>
        <w:t xml:space="preserve">final </w:t>
      </w:r>
      <w:proofErr w:type="spellStart"/>
      <w:r>
        <w:t>RISs</w:t>
      </w:r>
      <w:proofErr w:type="spellEnd"/>
      <w:r>
        <w:t xml:space="preserve"> that relate to decisions (</w:t>
      </w:r>
      <w:r w:rsidRPr="00BB2B41">
        <w:t>Commonwealth</w:t>
      </w:r>
      <w:r>
        <w:t>,</w:t>
      </w:r>
      <w:r w:rsidRPr="00BB2B41">
        <w:t xml:space="preserve"> COAG</w:t>
      </w:r>
      <w:r>
        <w:t xml:space="preserve"> and Western Australia);</w:t>
      </w:r>
      <w:r w:rsidRPr="00BB2B41">
        <w:t xml:space="preserve"> timely publication of </w:t>
      </w:r>
      <w:r>
        <w:t>oversight body adequacy assessments and reasons/qualifications for these assessments; and oversight bodies reporting annually on agency compliance with RIA requirements (Commonwealth, COAG and Victoria) and with required reviews.</w:t>
      </w:r>
    </w:p>
    <w:p w:rsidR="00DA5C37" w:rsidRDefault="00FA4130" w:rsidP="00DA5C37">
      <w:pPr>
        <w:pStyle w:val="BodyText"/>
        <w:tabs>
          <w:tab w:val="left" w:pos="1958"/>
        </w:tabs>
      </w:pPr>
      <w:r>
        <w:t xml:space="preserve">Requiring </w:t>
      </w:r>
      <w:r w:rsidR="00DA5C37">
        <w:t>ministers to outline, in parliament, whether the legislative proposal they are introducing was assessed in accordance with RIA principles</w:t>
      </w:r>
      <w:r w:rsidR="00F804BD">
        <w:t xml:space="preserve"> and their reasons for departing </w:t>
      </w:r>
      <w:r w:rsidR="0022008A">
        <w:t>from</w:t>
      </w:r>
      <w:r w:rsidR="001427A8">
        <w:t xml:space="preserve"> </w:t>
      </w:r>
      <w:r w:rsidR="00F804BD">
        <w:t>the process (if applicable)</w:t>
      </w:r>
      <w:r>
        <w:t xml:space="preserve"> would not only increase transparency (see chapter 7) but may also provide</w:t>
      </w:r>
      <w:r w:rsidR="00DA5C37">
        <w:t xml:space="preserve"> a number of other benefits for </w:t>
      </w:r>
      <w:r w:rsidR="001427A8">
        <w:t xml:space="preserve">RIA </w:t>
      </w:r>
      <w:r w:rsidR="00DA5C37">
        <w:t>integration, including:</w:t>
      </w:r>
    </w:p>
    <w:p w:rsidR="00DA5C37" w:rsidRDefault="00DA5C37" w:rsidP="00DA5C37">
      <w:pPr>
        <w:pStyle w:val="ListBullet"/>
      </w:pPr>
      <w:r>
        <w:t xml:space="preserve">greater commitment to RIA from senior managers and increasing the likelihood that RIA will be followed (and to a better standard) </w:t>
      </w:r>
    </w:p>
    <w:p w:rsidR="00DA5C37" w:rsidRDefault="00DA5C37" w:rsidP="00DA5C37">
      <w:pPr>
        <w:pStyle w:val="ListBullet"/>
      </w:pPr>
      <w:r>
        <w:t xml:space="preserve">reducing the likelihood that RIA </w:t>
      </w:r>
      <w:r w:rsidR="000A1463">
        <w:t>processes</w:t>
      </w:r>
      <w:r>
        <w:t xml:space="preserve"> will be bypassed by ministers (and agencies)</w:t>
      </w:r>
      <w:r w:rsidR="00563D1C">
        <w:t xml:space="preserve"> as the</w:t>
      </w:r>
      <w:r w:rsidR="00AD11D9">
        <w:t>y</w:t>
      </w:r>
      <w:r w:rsidR="00563D1C">
        <w:t xml:space="preserve"> will have to outline reasons for </w:t>
      </w:r>
      <w:r w:rsidR="00782482">
        <w:t xml:space="preserve">their </w:t>
      </w:r>
      <w:r w:rsidR="00563D1C">
        <w:t>actions in parliament</w:t>
      </w:r>
    </w:p>
    <w:p w:rsidR="00DA5C37" w:rsidRDefault="00DA5C37" w:rsidP="00DA5C37">
      <w:pPr>
        <w:pStyle w:val="ListBullet"/>
      </w:pPr>
      <w:r>
        <w:t>better informing parliamentary debate about the impacts of the regulatory proposal</w:t>
      </w:r>
    </w:p>
    <w:p w:rsidR="00DA5C37" w:rsidRDefault="00DA5C37" w:rsidP="00DA5C37">
      <w:pPr>
        <w:pStyle w:val="ListBullet"/>
      </w:pPr>
      <w:r>
        <w:t>promoting greater awareness amongst parliamentarians (and the wider community) of the features of good quality regulatory impact analysis.</w:t>
      </w:r>
    </w:p>
    <w:p w:rsidR="008D04C0" w:rsidRDefault="00B24B98" w:rsidP="008D04C0">
      <w:pPr>
        <w:pStyle w:val="BodyText"/>
      </w:pPr>
      <w:r>
        <w:t>The transparency created by this action would</w:t>
      </w:r>
      <w:r w:rsidR="00424371">
        <w:t xml:space="preserve"> enable</w:t>
      </w:r>
      <w:r w:rsidR="008D04C0" w:rsidRPr="00BB2B41">
        <w:t xml:space="preserve"> key stakeholders, parliamentarians, the media and the broader community</w:t>
      </w:r>
      <w:r w:rsidR="00424371">
        <w:t xml:space="preserve"> to</w:t>
      </w:r>
      <w:r w:rsidR="008D04C0" w:rsidRPr="00BB2B41">
        <w:t xml:space="preserve"> become powerful advocates of RIA, creating additional pressure on politicians </w:t>
      </w:r>
      <w:r w:rsidR="008D04C0">
        <w:t xml:space="preserve">and agencies </w:t>
      </w:r>
      <w:r w:rsidR="008D04C0" w:rsidRPr="00BB2B41">
        <w:t>to ensure good process</w:t>
      </w:r>
      <w:r w:rsidR="00C20D97">
        <w:t>es</w:t>
      </w:r>
      <w:r w:rsidR="008D04C0" w:rsidRPr="00BB2B41">
        <w:t xml:space="preserve"> </w:t>
      </w:r>
      <w:r w:rsidR="00C20D97">
        <w:t>are</w:t>
      </w:r>
      <w:r w:rsidR="008D04C0" w:rsidRPr="00BB2B41">
        <w:t xml:space="preserve"> followed.</w:t>
      </w:r>
    </w:p>
    <w:p w:rsidR="003A4202" w:rsidRDefault="007E557D" w:rsidP="003A4202">
      <w:pPr>
        <w:pStyle w:val="Heading4"/>
      </w:pPr>
      <w:r>
        <w:t>A</w:t>
      </w:r>
      <w:r w:rsidR="003A4202">
        <w:t xml:space="preserve">ccountability </w:t>
      </w:r>
      <w:r>
        <w:t>measures to</w:t>
      </w:r>
      <w:r w:rsidR="003A4202">
        <w:t xml:space="preserve"> </w:t>
      </w:r>
      <w:r w:rsidR="00655945">
        <w:t>encourage greater</w:t>
      </w:r>
      <w:r>
        <w:t xml:space="preserve"> RIA compliance</w:t>
      </w:r>
      <w:r w:rsidR="003A4202">
        <w:t xml:space="preserve"> </w:t>
      </w:r>
    </w:p>
    <w:p w:rsidR="00E425F6" w:rsidRDefault="003A4202" w:rsidP="008906B8">
      <w:pPr>
        <w:pStyle w:val="BodyText"/>
      </w:pPr>
      <w:r w:rsidRPr="003A4202">
        <w:t>Appropriate sanctions for non</w:t>
      </w:r>
      <w:r w:rsidR="004308A4">
        <w:noBreakHyphen/>
      </w:r>
      <w:r w:rsidRPr="003A4202">
        <w:t xml:space="preserve">compliance </w:t>
      </w:r>
      <w:r w:rsidR="00D839AE">
        <w:t xml:space="preserve">and the publication of compliance information </w:t>
      </w:r>
      <w:r w:rsidRPr="003A4202">
        <w:t xml:space="preserve">also play a role in encouraging </w:t>
      </w:r>
      <w:r w:rsidR="00B24B98">
        <w:t>agencies and Ministers</w:t>
      </w:r>
      <w:r w:rsidR="00B24B98" w:rsidRPr="003A4202">
        <w:t xml:space="preserve"> </w:t>
      </w:r>
      <w:r w:rsidRPr="003A4202">
        <w:t>to meet RIA requirements</w:t>
      </w:r>
      <w:r>
        <w:t xml:space="preserve">. </w:t>
      </w:r>
      <w:r w:rsidR="008906B8" w:rsidRPr="00BB2B41">
        <w:t xml:space="preserve">In relation to accountability </w:t>
      </w:r>
      <w:r w:rsidR="00D839AE">
        <w:t xml:space="preserve">and quality control </w:t>
      </w:r>
      <w:r w:rsidR="008906B8" w:rsidRPr="00BB2B41">
        <w:t xml:space="preserve">measures </w:t>
      </w:r>
      <w:r w:rsidR="008906B8">
        <w:t>for agencies</w:t>
      </w:r>
      <w:r w:rsidR="008906B8" w:rsidRPr="00BB2B41">
        <w:t xml:space="preserve">, current leading practices </w:t>
      </w:r>
      <w:r w:rsidR="00963BBA">
        <w:t>highlighted by the Commission</w:t>
      </w:r>
      <w:r w:rsidR="00B24B98">
        <w:t xml:space="preserve"> which would enhance RIA commitment</w:t>
      </w:r>
      <w:r w:rsidR="00963BBA">
        <w:t xml:space="preserve"> </w:t>
      </w:r>
      <w:r w:rsidR="008906B8" w:rsidRPr="00BB2B41">
        <w:t>include</w:t>
      </w:r>
      <w:r w:rsidR="00963BBA">
        <w:t>:</w:t>
      </w:r>
      <w:r w:rsidR="00D839AE">
        <w:t xml:space="preserve"> </w:t>
      </w:r>
      <w:r w:rsidR="00E425F6">
        <w:t xml:space="preserve">oversight body assessment of the adequacy of all </w:t>
      </w:r>
      <w:proofErr w:type="spellStart"/>
      <w:r w:rsidR="00E425F6">
        <w:t>RISs</w:t>
      </w:r>
      <w:proofErr w:type="spellEnd"/>
      <w:r w:rsidR="00E425F6">
        <w:t xml:space="preserve"> and of compliance with the RIA process for all regulatory proposals; a</w:t>
      </w:r>
      <w:r w:rsidR="008906B8" w:rsidRPr="00BB2B41">
        <w:t xml:space="preserve"> requirement to complete a post</w:t>
      </w:r>
      <w:r w:rsidR="000638C7">
        <w:t xml:space="preserve"> </w:t>
      </w:r>
      <w:r w:rsidR="008906B8" w:rsidRPr="00BB2B41">
        <w:t xml:space="preserve">implementation </w:t>
      </w:r>
      <w:r w:rsidR="005B6237">
        <w:t>review</w:t>
      </w:r>
      <w:r w:rsidR="005B6237" w:rsidRPr="00BB2B41">
        <w:t xml:space="preserve"> </w:t>
      </w:r>
      <w:r w:rsidR="005B6237">
        <w:t>(</w:t>
      </w:r>
      <w:proofErr w:type="spellStart"/>
      <w:r w:rsidR="005B6237">
        <w:t>PIR</w:t>
      </w:r>
      <w:proofErr w:type="spellEnd"/>
      <w:r w:rsidR="005B6237">
        <w:t xml:space="preserve">) </w:t>
      </w:r>
      <w:r w:rsidR="008906B8" w:rsidRPr="00BB2B41">
        <w:t>for all non</w:t>
      </w:r>
      <w:r w:rsidR="00D839AE">
        <w:noBreakHyphen/>
      </w:r>
      <w:r w:rsidR="008906B8" w:rsidRPr="00BB2B41">
        <w:t xml:space="preserve">compliant </w:t>
      </w:r>
      <w:r w:rsidR="00963BBA">
        <w:lastRenderedPageBreak/>
        <w:t xml:space="preserve">and exempted </w:t>
      </w:r>
      <w:r w:rsidR="008906B8" w:rsidRPr="00BB2B41">
        <w:t>regulatory proposals (</w:t>
      </w:r>
      <w:r w:rsidR="00963BBA">
        <w:t xml:space="preserve">under various circumstances, this requirement is currently adopted in the </w:t>
      </w:r>
      <w:r w:rsidR="008906B8" w:rsidRPr="00BB2B41">
        <w:t>Commonwealth, Q</w:t>
      </w:r>
      <w:r w:rsidR="008906B8">
        <w:t>ueensland</w:t>
      </w:r>
      <w:r w:rsidR="008906B8" w:rsidRPr="00BB2B41">
        <w:t xml:space="preserve"> and </w:t>
      </w:r>
      <w:r w:rsidR="0087177B" w:rsidRPr="00BB2B41">
        <w:t>W</w:t>
      </w:r>
      <w:r w:rsidR="0087177B">
        <w:t xml:space="preserve">estern </w:t>
      </w:r>
      <w:r w:rsidR="0087177B" w:rsidRPr="00BB2B41">
        <w:t>A</w:t>
      </w:r>
      <w:r w:rsidR="0087177B">
        <w:t>ustralia</w:t>
      </w:r>
      <w:r w:rsidR="008906B8" w:rsidRPr="00BB2B41">
        <w:t>)</w:t>
      </w:r>
      <w:r w:rsidR="00963BBA">
        <w:t>; oversight body sign</w:t>
      </w:r>
      <w:r w:rsidR="004308A4">
        <w:noBreakHyphen/>
      </w:r>
      <w:r w:rsidR="00963BBA">
        <w:t xml:space="preserve">off </w:t>
      </w:r>
      <w:r w:rsidR="00BF6999">
        <w:t xml:space="preserve">of </w:t>
      </w:r>
      <w:proofErr w:type="spellStart"/>
      <w:r w:rsidR="005B6237">
        <w:t>PIR</w:t>
      </w:r>
      <w:proofErr w:type="spellEnd"/>
      <w:r w:rsidR="005B6237">
        <w:t xml:space="preserve"> </w:t>
      </w:r>
      <w:r w:rsidR="00963BBA">
        <w:t>terms of reference (as in</w:t>
      </w:r>
      <w:r w:rsidR="0061046B">
        <w:t xml:space="preserve"> the</w:t>
      </w:r>
      <w:r w:rsidR="00963BBA">
        <w:t xml:space="preserve"> Commonwealth</w:t>
      </w:r>
      <w:r w:rsidR="00D839AE">
        <w:t>)</w:t>
      </w:r>
      <w:r w:rsidR="00963BBA">
        <w:t xml:space="preserve">; </w:t>
      </w:r>
      <w:r w:rsidR="0061046B">
        <w:t xml:space="preserve">and a higher level of </w:t>
      </w:r>
      <w:r w:rsidR="00963BBA">
        <w:t>autonomy of oversight body functions (as in Victoria and</w:t>
      </w:r>
      <w:r w:rsidR="00AD11D9">
        <w:t>,</w:t>
      </w:r>
      <w:r w:rsidR="00963BBA">
        <w:t xml:space="preserve"> more recently, Queensland)</w:t>
      </w:r>
      <w:r w:rsidR="00D839AE">
        <w:t>.</w:t>
      </w:r>
      <w:r w:rsidR="00963BBA">
        <w:t xml:space="preserve"> </w:t>
      </w:r>
    </w:p>
    <w:p w:rsidR="00BF6999" w:rsidRDefault="00BF6999" w:rsidP="00BF6999">
      <w:pPr>
        <w:pStyle w:val="BodyText"/>
      </w:pPr>
      <w:r w:rsidRPr="00BB2B41">
        <w:t xml:space="preserve">Although not currently adopted in any </w:t>
      </w:r>
      <w:r>
        <w:t xml:space="preserve">Australian </w:t>
      </w:r>
      <w:r w:rsidRPr="00BB2B41">
        <w:t>jurisdiction, the Commission also considers that, as a stronger sanction for non</w:t>
      </w:r>
      <w:r w:rsidR="004308A4">
        <w:noBreakHyphen/>
      </w:r>
      <w:r w:rsidRPr="00BB2B41">
        <w:t xml:space="preserve">compliance, it should be a requirement that </w:t>
      </w:r>
      <w:proofErr w:type="spellStart"/>
      <w:r>
        <w:t>PIRs</w:t>
      </w:r>
      <w:proofErr w:type="spellEnd"/>
      <w:r w:rsidRPr="00BB2B41">
        <w:t xml:space="preserve"> be conducted </w:t>
      </w:r>
      <w:r>
        <w:t>through</w:t>
      </w:r>
      <w:r w:rsidRPr="00BB2B41">
        <w:t xml:space="preserve"> an independent </w:t>
      </w:r>
      <w:r>
        <w:t>process.</w:t>
      </w:r>
      <w:r w:rsidRPr="00BB2B41">
        <w:t xml:space="preserve"> </w:t>
      </w:r>
      <w:r w:rsidR="00782482">
        <w:t>This will</w:t>
      </w:r>
      <w:r>
        <w:t xml:space="preserve"> provide strong incentives for agencies to deliver high quality impact analysis when </w:t>
      </w:r>
      <w:r w:rsidR="00AE3567">
        <w:t xml:space="preserve">the </w:t>
      </w:r>
      <w:r>
        <w:t>policy is first being developed</w:t>
      </w:r>
      <w:r w:rsidR="00B24B98">
        <w:t xml:space="preserve"> </w:t>
      </w:r>
      <w:r>
        <w:t>(chapter</w:t>
      </w:r>
      <w:r w:rsidR="00536F0A">
        <w:t>s</w:t>
      </w:r>
      <w:r>
        <w:t xml:space="preserve"> 8</w:t>
      </w:r>
      <w:r w:rsidR="00536F0A">
        <w:t xml:space="preserve"> and 9</w:t>
      </w:r>
      <w:r>
        <w:t xml:space="preserve">). </w:t>
      </w:r>
    </w:p>
    <w:p w:rsidR="00BF6999" w:rsidRDefault="00BF6999" w:rsidP="00BF6999">
      <w:pPr>
        <w:pStyle w:val="BodyText"/>
      </w:pPr>
      <w:r>
        <w:t>To support these measures, the Commission has identified a number of other accountability measures based either on RIA practices overseas or widely accepted good practices in public administration. These include, for example, instigation of basic auditing practices — of agencies by the oversight bodies</w:t>
      </w:r>
      <w:r w:rsidR="00C20D97">
        <w:t>,</w:t>
      </w:r>
      <w:r>
        <w:t xml:space="preserve"> and of oversight bodies by an independent third party </w:t>
      </w:r>
      <w:r w:rsidR="00C20D97">
        <w:t>(</w:t>
      </w:r>
      <w:r>
        <w:t>such as the jurisdictional</w:t>
      </w:r>
      <w:r w:rsidR="00AD11D9">
        <w:t xml:space="preserve"> audit office</w:t>
      </w:r>
      <w:r w:rsidR="00C20D97">
        <w:t>)</w:t>
      </w:r>
      <w:r>
        <w:t xml:space="preserve">. </w:t>
      </w:r>
      <w:r w:rsidR="00230860">
        <w:t xml:space="preserve">There may also be merit in having the jurisdictional audit office assess how RIA is being implemented within government more generally. </w:t>
      </w:r>
      <w:r w:rsidR="00D44893">
        <w:t>This may increase the support for RIA</w:t>
      </w:r>
      <w:r w:rsidR="00230860">
        <w:t xml:space="preserve"> </w:t>
      </w:r>
      <w:r w:rsidR="00D44893">
        <w:t>and not leav</w:t>
      </w:r>
      <w:r w:rsidR="001D30D6">
        <w:t>e</w:t>
      </w:r>
      <w:r w:rsidR="00D44893">
        <w:t xml:space="preserve"> the regulatory oversight body as the sole champion of the process (chapter 8).</w:t>
      </w:r>
    </w:p>
    <w:p w:rsidR="00766990" w:rsidRDefault="00E425F6" w:rsidP="00E425F6">
      <w:pPr>
        <w:pStyle w:val="BodyText"/>
      </w:pPr>
      <w:r>
        <w:t xml:space="preserve">To improve accountability and enhance integration, a number of jurisdictions require senior agency officials or ministers to sign off or certify that the RIA process has been adequately followed in preparing the RIS document (chapter 3). The aim of this process is to reinforce that the agency is responsible for the quality of the RIS document and by raising awareness of that responsibility to the highest level, it will have a feedback effect that senior officials and ministers value and expect the RIA process to be followed and integrated into policy development. While certification may be useful as one of a number of measures to improve accountability and integration of </w:t>
      </w:r>
      <w:r w:rsidR="00F05AE5">
        <w:t xml:space="preserve">the </w:t>
      </w:r>
      <w:r>
        <w:t>RIA process, it is unclear how effective</w:t>
      </w:r>
      <w:r w:rsidR="00C20D97">
        <w:t>,</w:t>
      </w:r>
      <w:r>
        <w:t xml:space="preserve"> on its own</w:t>
      </w:r>
      <w:r w:rsidR="00C20D97">
        <w:t>,</w:t>
      </w:r>
      <w:r>
        <w:t xml:space="preserve"> it has been in achieving this aim. </w:t>
      </w:r>
    </w:p>
    <w:p w:rsidR="00F26201" w:rsidRDefault="00F26201" w:rsidP="00C80361">
      <w:pPr>
        <w:pStyle w:val="Heading4"/>
      </w:pPr>
      <w:r>
        <w:t>Legislati</w:t>
      </w:r>
      <w:r w:rsidR="000A1463">
        <w:t>ng</w:t>
      </w:r>
      <w:r>
        <w:t xml:space="preserve"> RIA </w:t>
      </w:r>
      <w:r w:rsidR="000A1463">
        <w:t xml:space="preserve">processes </w:t>
      </w:r>
      <w:r w:rsidR="002F3BFB">
        <w:t xml:space="preserve">for greater commitment </w:t>
      </w:r>
    </w:p>
    <w:p w:rsidR="00930376" w:rsidRDefault="00E425F6" w:rsidP="00391E93">
      <w:pPr>
        <w:pStyle w:val="BodyText"/>
      </w:pPr>
      <w:r>
        <w:t>The</w:t>
      </w:r>
      <w:r w:rsidR="007259BA">
        <w:t xml:space="preserve"> OECD</w:t>
      </w:r>
      <w:r>
        <w:t xml:space="preserve"> recommends that</w:t>
      </w:r>
      <w:r w:rsidR="007259BA">
        <w:t xml:space="preserve"> any broadly</w:t>
      </w:r>
      <w:r w:rsidR="00C20D97">
        <w:t>–</w:t>
      </w:r>
      <w:r w:rsidR="007259BA">
        <w:t xml:space="preserve">based RIA process </w:t>
      </w:r>
      <w:r>
        <w:t xml:space="preserve">should </w:t>
      </w:r>
      <w:r w:rsidR="007259BA">
        <w:t>be established via a decree or decision from government</w:t>
      </w:r>
      <w:r>
        <w:t xml:space="preserve"> (OECD </w:t>
      </w:r>
      <w:proofErr w:type="spellStart"/>
      <w:r>
        <w:t>200</w:t>
      </w:r>
      <w:r w:rsidR="00BA4CCF">
        <w:t>9</w:t>
      </w:r>
      <w:r w:rsidR="00916C46">
        <w:t>b</w:t>
      </w:r>
      <w:proofErr w:type="spellEnd"/>
      <w:r>
        <w:t>)</w:t>
      </w:r>
      <w:r w:rsidR="007259BA">
        <w:t xml:space="preserve">. </w:t>
      </w:r>
      <w:r w:rsidR="005F584E">
        <w:t>Australian</w:t>
      </w:r>
      <w:r w:rsidR="00D51B6D">
        <w:t xml:space="preserve"> RIA process</w:t>
      </w:r>
      <w:r w:rsidR="005F584E">
        <w:t>es</w:t>
      </w:r>
      <w:r w:rsidR="00BD1EF1">
        <w:t xml:space="preserve"> for primary legislation</w:t>
      </w:r>
      <w:r w:rsidR="00D51B6D">
        <w:t xml:space="preserve"> </w:t>
      </w:r>
      <w:r w:rsidR="005F584E">
        <w:t>are</w:t>
      </w:r>
      <w:r w:rsidR="00D51B6D">
        <w:t xml:space="preserve"> typically an administrative requirement outlined in RIA guidelines and supported by other procedural documents such as Cabinet handbooks</w:t>
      </w:r>
      <w:r w:rsidR="00314C36">
        <w:t xml:space="preserve"> (chapter 3)</w:t>
      </w:r>
      <w:r w:rsidR="00D51B6D">
        <w:t xml:space="preserve">. </w:t>
      </w:r>
      <w:r w:rsidR="00D51B6D" w:rsidRPr="00D51B6D">
        <w:t xml:space="preserve">In </w:t>
      </w:r>
      <w:r w:rsidR="00536F0A">
        <w:t xml:space="preserve">New South Wales, Victoria, Tasmania </w:t>
      </w:r>
      <w:r>
        <w:t>and the ACT</w:t>
      </w:r>
      <w:r w:rsidR="00D51B6D" w:rsidRPr="00D51B6D">
        <w:t xml:space="preserve">, RIA </w:t>
      </w:r>
      <w:r w:rsidR="000A1463">
        <w:t>processes</w:t>
      </w:r>
      <w:r w:rsidR="00D51B6D" w:rsidRPr="00D51B6D">
        <w:t xml:space="preserve"> </w:t>
      </w:r>
      <w:r w:rsidR="00D51B6D">
        <w:t xml:space="preserve">for subordinate legislation </w:t>
      </w:r>
      <w:r w:rsidR="00D51B6D" w:rsidRPr="00D51B6D">
        <w:t xml:space="preserve">have been </w:t>
      </w:r>
      <w:r w:rsidR="005B6237">
        <w:t>formalised</w:t>
      </w:r>
      <w:r w:rsidR="005B6237" w:rsidRPr="00D51B6D">
        <w:t xml:space="preserve"> </w:t>
      </w:r>
      <w:r w:rsidR="00D51B6D" w:rsidRPr="00D51B6D">
        <w:t>in legislation</w:t>
      </w:r>
      <w:r w:rsidR="004256CB">
        <w:t xml:space="preserve"> </w:t>
      </w:r>
      <w:r w:rsidR="00D51B6D">
        <w:t>(chapter 1)</w:t>
      </w:r>
      <w:r w:rsidR="00D51B6D" w:rsidRPr="00D51B6D">
        <w:t xml:space="preserve">. </w:t>
      </w:r>
      <w:r w:rsidR="005F584E">
        <w:t xml:space="preserve">In other </w:t>
      </w:r>
      <w:r w:rsidR="005F584E">
        <w:lastRenderedPageBreak/>
        <w:t>countries, t</w:t>
      </w:r>
      <w:r w:rsidR="00391E93">
        <w:t>he legal or policy basis upon which the RIA requirement is established varies substantially (box 10.</w:t>
      </w:r>
      <w:r w:rsidR="002F3BFB">
        <w:t>3</w:t>
      </w:r>
      <w:r w:rsidR="00391E93">
        <w:t>).</w:t>
      </w:r>
    </w:p>
    <w:p w:rsidR="00391E93" w:rsidRDefault="00391E93" w:rsidP="001431A3">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91E93">
        <w:tc>
          <w:tcPr>
            <w:tcW w:w="8771" w:type="dxa"/>
            <w:tcBorders>
              <w:top w:val="single" w:sz="6" w:space="0" w:color="auto"/>
              <w:bottom w:val="nil"/>
            </w:tcBorders>
          </w:tcPr>
          <w:p w:rsidR="00391E93" w:rsidRDefault="00391E93" w:rsidP="000E185E">
            <w:pPr>
              <w:pStyle w:val="BoxTitle"/>
            </w:pPr>
            <w:r>
              <w:rPr>
                <w:b w:val="0"/>
              </w:rPr>
              <w:t xml:space="preserve">Box </w:t>
            </w:r>
            <w:r w:rsidR="00612363">
              <w:rPr>
                <w:b w:val="0"/>
              </w:rPr>
              <w:t>10.</w:t>
            </w:r>
            <w:r w:rsidR="00B5590D">
              <w:rPr>
                <w:b w:val="0"/>
                <w:noProof/>
              </w:rPr>
              <w:t>3</w:t>
            </w:r>
            <w:r>
              <w:tab/>
              <w:t xml:space="preserve">Formal authority </w:t>
            </w:r>
            <w:r w:rsidR="00C20D97">
              <w:t>for</w:t>
            </w:r>
            <w:r>
              <w:t xml:space="preserve"> RIA </w:t>
            </w:r>
            <w:r w:rsidR="000E185E">
              <w:t>in</w:t>
            </w:r>
            <w:r w:rsidR="002F3BFB">
              <w:t xml:space="preserve"> OECD countries</w:t>
            </w:r>
          </w:p>
        </w:tc>
      </w:tr>
      <w:tr w:rsidR="00391E93">
        <w:trPr>
          <w:cantSplit/>
        </w:trPr>
        <w:tc>
          <w:tcPr>
            <w:tcW w:w="8771" w:type="dxa"/>
            <w:tcBorders>
              <w:top w:val="nil"/>
              <w:left w:val="single" w:sz="6" w:space="0" w:color="auto"/>
              <w:bottom w:val="nil"/>
              <w:right w:val="single" w:sz="6" w:space="0" w:color="auto"/>
            </w:tcBorders>
          </w:tcPr>
          <w:p w:rsidR="00391E93" w:rsidRDefault="00391E93" w:rsidP="00391E93">
            <w:pPr>
              <w:pStyle w:val="Box"/>
            </w:pPr>
            <w:r>
              <w:t xml:space="preserve">The </w:t>
            </w:r>
            <w:r w:rsidR="002F3BFB">
              <w:t>OECD ha</w:t>
            </w:r>
            <w:r w:rsidR="00930376">
              <w:t>s</w:t>
            </w:r>
            <w:r w:rsidR="002F3BFB">
              <w:t xml:space="preserve"> </w:t>
            </w:r>
            <w:r>
              <w:t>identified four basic forms of</w:t>
            </w:r>
            <w:r w:rsidR="002F3BFB">
              <w:t xml:space="preserve"> </w:t>
            </w:r>
            <w:r>
              <w:t>authority for RIA</w:t>
            </w:r>
            <w:r w:rsidR="002F3BFB">
              <w:t>:</w:t>
            </w:r>
          </w:p>
          <w:p w:rsidR="00336BF0" w:rsidRDefault="002F3BFB" w:rsidP="002F3BFB">
            <w:pPr>
              <w:pStyle w:val="BoxListBullet"/>
            </w:pPr>
            <w:r>
              <w:t>e</w:t>
            </w:r>
            <w:r w:rsidR="00391E93">
              <w:t>stablished by law</w:t>
            </w:r>
          </w:p>
          <w:p w:rsidR="00391E93" w:rsidRDefault="00391E93" w:rsidP="00336BF0">
            <w:pPr>
              <w:pStyle w:val="BoxListBullet2"/>
            </w:pPr>
            <w:r>
              <w:t>Czech Republic, Republic of Korea and Mexico</w:t>
            </w:r>
          </w:p>
          <w:p w:rsidR="00336BF0" w:rsidRDefault="002F3BFB" w:rsidP="002F3BFB">
            <w:pPr>
              <w:pStyle w:val="BoxListBullet"/>
            </w:pPr>
            <w:r>
              <w:t>b</w:t>
            </w:r>
            <w:r w:rsidR="00391E93">
              <w:t xml:space="preserve">ased on a Presidential order or decree </w:t>
            </w:r>
          </w:p>
          <w:p w:rsidR="00391E93" w:rsidRDefault="00391E93" w:rsidP="00336BF0">
            <w:pPr>
              <w:pStyle w:val="BoxListBullet2"/>
            </w:pPr>
            <w:r>
              <w:t>United States</w:t>
            </w:r>
          </w:p>
          <w:p w:rsidR="00336BF0" w:rsidRDefault="002F3BFB" w:rsidP="002F3BFB">
            <w:pPr>
              <w:pStyle w:val="BoxListBullet"/>
            </w:pPr>
            <w:r>
              <w:t>b</w:t>
            </w:r>
            <w:r w:rsidR="00391E93">
              <w:t xml:space="preserve">ased on a prime ministerial decree, or guidelines of the Prime Minister </w:t>
            </w:r>
          </w:p>
          <w:p w:rsidR="00391E93" w:rsidRDefault="00391E93" w:rsidP="00336BF0">
            <w:pPr>
              <w:pStyle w:val="BoxListBullet2"/>
            </w:pPr>
            <w:r>
              <w:t>Austria, France, Italy and the Netherlands.</w:t>
            </w:r>
          </w:p>
          <w:p w:rsidR="00336BF0" w:rsidRDefault="002F3BFB" w:rsidP="00336BF0">
            <w:pPr>
              <w:pStyle w:val="BoxListBullet"/>
            </w:pPr>
            <w:r>
              <w:t>b</w:t>
            </w:r>
            <w:r w:rsidR="00391E93">
              <w:t xml:space="preserve">ased on a directive or resolution of the Cabinet or the government </w:t>
            </w:r>
          </w:p>
          <w:p w:rsidR="00391E93" w:rsidRDefault="00391E93" w:rsidP="00336BF0">
            <w:pPr>
              <w:pStyle w:val="BoxListBullet2"/>
            </w:pPr>
            <w:r>
              <w:t>Canada,</w:t>
            </w:r>
            <w:r w:rsidR="002F3BFB">
              <w:t xml:space="preserve"> </w:t>
            </w:r>
            <w:r>
              <w:t>Denmark, Finland, Germany, Ireland, Japan, New Zealand, Norway, Poland, Portugal,</w:t>
            </w:r>
            <w:r w:rsidR="002F3BFB">
              <w:t xml:space="preserve"> </w:t>
            </w:r>
            <w:r>
              <w:t>Sweden, and the United Kingdom</w:t>
            </w:r>
            <w:r w:rsidR="00FA4130">
              <w:t>.</w:t>
            </w:r>
          </w:p>
        </w:tc>
      </w:tr>
      <w:tr w:rsidR="00391E93">
        <w:trPr>
          <w:cantSplit/>
        </w:trPr>
        <w:tc>
          <w:tcPr>
            <w:tcW w:w="8771" w:type="dxa"/>
            <w:tcBorders>
              <w:top w:val="nil"/>
              <w:left w:val="single" w:sz="6" w:space="0" w:color="auto"/>
              <w:bottom w:val="nil"/>
              <w:right w:val="single" w:sz="6" w:space="0" w:color="auto"/>
            </w:tcBorders>
          </w:tcPr>
          <w:p w:rsidR="00391E93" w:rsidRDefault="00391E93" w:rsidP="00391E93">
            <w:pPr>
              <w:pStyle w:val="BoxSource"/>
            </w:pPr>
            <w:r>
              <w:rPr>
                <w:i/>
              </w:rPr>
              <w:t xml:space="preserve">Source: </w:t>
            </w:r>
            <w:r w:rsidRPr="00391E93">
              <w:t xml:space="preserve">OECD </w:t>
            </w:r>
            <w:r>
              <w:t>(</w:t>
            </w:r>
            <w:proofErr w:type="spellStart"/>
            <w:r w:rsidRPr="00391E93">
              <w:t>2009</w:t>
            </w:r>
            <w:r w:rsidR="00916C46">
              <w:t>b</w:t>
            </w:r>
            <w:proofErr w:type="spellEnd"/>
            <w:r>
              <w:t>).</w:t>
            </w:r>
          </w:p>
        </w:tc>
      </w:tr>
      <w:tr w:rsidR="00391E93">
        <w:trPr>
          <w:cantSplit/>
        </w:trPr>
        <w:tc>
          <w:tcPr>
            <w:tcW w:w="8771" w:type="dxa"/>
            <w:tcBorders>
              <w:top w:val="nil"/>
              <w:left w:val="single" w:sz="6" w:space="0" w:color="auto"/>
              <w:bottom w:val="single" w:sz="6" w:space="0" w:color="auto"/>
              <w:right w:val="single" w:sz="6" w:space="0" w:color="auto"/>
            </w:tcBorders>
          </w:tcPr>
          <w:p w:rsidR="00391E93" w:rsidRDefault="00391E93">
            <w:pPr>
              <w:pStyle w:val="Box"/>
              <w:spacing w:before="0" w:line="120" w:lineRule="exact"/>
            </w:pPr>
          </w:p>
        </w:tc>
      </w:tr>
      <w:tr w:rsidR="00391E93">
        <w:tc>
          <w:tcPr>
            <w:tcW w:w="8771" w:type="dxa"/>
            <w:tcBorders>
              <w:top w:val="nil"/>
              <w:left w:val="nil"/>
              <w:bottom w:val="nil"/>
              <w:right w:val="nil"/>
            </w:tcBorders>
          </w:tcPr>
          <w:p w:rsidR="00391E93" w:rsidRDefault="00391E93" w:rsidP="001431A3">
            <w:pPr>
              <w:pStyle w:val="Box"/>
              <w:keepNext w:val="0"/>
              <w:spacing w:before="60" w:after="60" w:line="40" w:lineRule="exact"/>
              <w:rPr>
                <w:b/>
                <w:color w:val="FF00FF"/>
                <w:sz w:val="14"/>
              </w:rPr>
            </w:pPr>
          </w:p>
        </w:tc>
      </w:tr>
    </w:tbl>
    <w:p w:rsidR="008A5B75" w:rsidRDefault="00E425F6" w:rsidP="008A5B75">
      <w:pPr>
        <w:pStyle w:val="BodyText"/>
      </w:pPr>
      <w:r>
        <w:t xml:space="preserve">In some ways, legislating RIA processes </w:t>
      </w:r>
      <w:r w:rsidR="00B24B98">
        <w:t>is</w:t>
      </w:r>
      <w:r>
        <w:t xml:space="preserve"> akin to mandating commitment to RIA. However, whether </w:t>
      </w:r>
      <w:r w:rsidR="00B24B98">
        <w:t>this</w:t>
      </w:r>
      <w:r>
        <w:t xml:space="preserve"> results in the early integration of RIA into policy development or alternatively, to greater use of legitimate RIA ‘</w:t>
      </w:r>
      <w:r w:rsidR="00123896">
        <w:t>escape</w:t>
      </w:r>
      <w:r>
        <w:t>’</w:t>
      </w:r>
      <w:r w:rsidR="00123896">
        <w:t xml:space="preserve"> options</w:t>
      </w:r>
      <w:r>
        <w:t xml:space="preserve"> such as exemptions, is uncertain. </w:t>
      </w:r>
      <w:r w:rsidR="008A5B75">
        <w:t xml:space="preserve">The key question is whether </w:t>
      </w:r>
      <w:r w:rsidR="00B24B98">
        <w:t>legislating the</w:t>
      </w:r>
      <w:r w:rsidR="008A5B75">
        <w:t xml:space="preserve"> RIA process necessarily </w:t>
      </w:r>
      <w:r w:rsidR="00930376">
        <w:t>bestows</w:t>
      </w:r>
      <w:r w:rsidR="00930376" w:rsidDel="00930376">
        <w:t xml:space="preserve"> </w:t>
      </w:r>
      <w:r w:rsidR="008A5B75">
        <w:t xml:space="preserve">a greater degree of authority or political commitment and therefore assists in maximising the degree of integration and compliance. </w:t>
      </w:r>
    </w:p>
    <w:p w:rsidR="00123896" w:rsidRDefault="00D55483" w:rsidP="00123896">
      <w:pPr>
        <w:pStyle w:val="BodyText"/>
      </w:pPr>
      <w:r>
        <w:t xml:space="preserve">Embedding RIA processes in legislation can have both advantages and disadvantages. </w:t>
      </w:r>
      <w:r w:rsidR="00123896">
        <w:t>Legislati</w:t>
      </w:r>
      <w:r w:rsidR="00184DAE">
        <w:t>ng</w:t>
      </w:r>
      <w:r w:rsidR="00123896">
        <w:t xml:space="preserve"> RIA could, </w:t>
      </w:r>
      <w:r w:rsidR="00C20D97">
        <w:t>in principle</w:t>
      </w:r>
      <w:r w:rsidR="00123896">
        <w:t xml:space="preserve">, </w:t>
      </w:r>
      <w:r w:rsidR="00123896" w:rsidRPr="00D51B6D">
        <w:t xml:space="preserve">promote transparency and signal the importance that the </w:t>
      </w:r>
      <w:r w:rsidR="00184DAE">
        <w:t>g</w:t>
      </w:r>
      <w:r w:rsidR="00123896" w:rsidRPr="00D51B6D">
        <w:t xml:space="preserve">overnment places on the processes, which in turn </w:t>
      </w:r>
      <w:r w:rsidR="00123896">
        <w:t>could</w:t>
      </w:r>
      <w:r w:rsidR="00123896" w:rsidRPr="00D51B6D">
        <w:t xml:space="preserve"> contribute to a higher level of commitment by ministers and government officials. </w:t>
      </w:r>
      <w:r w:rsidR="00123896">
        <w:t xml:space="preserve">However, there appears to be little, if any, evidence to support this notion, particularly given the limited number of OECD countries that have chosen to embed their RIA processes in legislation. </w:t>
      </w:r>
    </w:p>
    <w:p w:rsidR="00195BF3" w:rsidRDefault="00123896" w:rsidP="00B803FB">
      <w:pPr>
        <w:pStyle w:val="BodyText"/>
      </w:pPr>
      <w:r w:rsidRPr="00D51B6D">
        <w:t>The</w:t>
      </w:r>
      <w:r w:rsidR="008E0FCF">
        <w:t xml:space="preserve"> parliamentary</w:t>
      </w:r>
      <w:r w:rsidRPr="00D51B6D">
        <w:t xml:space="preserve"> </w:t>
      </w:r>
      <w:r>
        <w:t xml:space="preserve">debate and </w:t>
      </w:r>
      <w:r w:rsidRPr="00D51B6D">
        <w:t>delays typically associated with making legislative amendments</w:t>
      </w:r>
      <w:r>
        <w:t xml:space="preserve"> may </w:t>
      </w:r>
      <w:r w:rsidRPr="00D51B6D">
        <w:t xml:space="preserve">make </w:t>
      </w:r>
      <w:r>
        <w:t>legislated RIA</w:t>
      </w:r>
      <w:r w:rsidRPr="00D51B6D">
        <w:t xml:space="preserve"> requirements less susceptible to </w:t>
      </w:r>
      <w:r>
        <w:t xml:space="preserve">being removed or watered down. </w:t>
      </w:r>
      <w:r w:rsidR="00CD190E">
        <w:t>However</w:t>
      </w:r>
      <w:r>
        <w:t>,</w:t>
      </w:r>
      <w:r w:rsidRPr="00D51B6D">
        <w:t xml:space="preserve"> making worthwhile refinements to the </w:t>
      </w:r>
      <w:r>
        <w:t xml:space="preserve">RIA requirements could </w:t>
      </w:r>
      <w:r w:rsidRPr="00D51B6D">
        <w:t>also be</w:t>
      </w:r>
      <w:r>
        <w:t>come</w:t>
      </w:r>
      <w:r w:rsidRPr="00D51B6D">
        <w:t xml:space="preserve"> more difficult.</w:t>
      </w:r>
      <w:r w:rsidR="00B803FB" w:rsidRPr="00B803FB">
        <w:t xml:space="preserve"> </w:t>
      </w:r>
    </w:p>
    <w:p w:rsidR="00B803FB" w:rsidRDefault="00195BF3" w:rsidP="00B803FB">
      <w:pPr>
        <w:pStyle w:val="BodyText"/>
      </w:pPr>
      <w:r>
        <w:t xml:space="preserve">Finally, </w:t>
      </w:r>
      <w:r w:rsidR="004E0DB3">
        <w:t xml:space="preserve">legislating RIA processes allows jurisdictions to potentially access a different set of consequences and sanctions (such as financial penalties) for lack of compliance with RIA that would not be available when RIA processes are determined by guidelines. </w:t>
      </w:r>
      <w:r w:rsidR="00387A27">
        <w:t xml:space="preserve"> </w:t>
      </w:r>
    </w:p>
    <w:p w:rsidR="008A7013" w:rsidRPr="005D439B" w:rsidRDefault="00B803FB" w:rsidP="00F26201">
      <w:pPr>
        <w:pStyle w:val="BodyText"/>
      </w:pPr>
      <w:r>
        <w:lastRenderedPageBreak/>
        <w:t xml:space="preserve">Based on experiences in Australian jurisdictions, it is not clear to the Commission that legislating RIA requirements is necessary for RIA to be </w:t>
      </w:r>
      <w:r w:rsidR="008E0FCF">
        <w:t>integrated</w:t>
      </w:r>
      <w:r w:rsidR="00CD190E">
        <w:t xml:space="preserve"> into policy development</w:t>
      </w:r>
      <w:r>
        <w:t xml:space="preserve">. </w:t>
      </w:r>
      <w:r w:rsidR="00DA0EB8" w:rsidRPr="005D439B">
        <w:t xml:space="preserve">While </w:t>
      </w:r>
      <w:proofErr w:type="spellStart"/>
      <w:r w:rsidR="00DA0EB8" w:rsidRPr="005D439B">
        <w:t>Borthwick</w:t>
      </w:r>
      <w:proofErr w:type="spellEnd"/>
      <w:r w:rsidR="00DA0EB8" w:rsidRPr="005D439B">
        <w:t xml:space="preserve"> and Mil</w:t>
      </w:r>
      <w:r w:rsidR="00990ABE">
        <w:t>li</w:t>
      </w:r>
      <w:r w:rsidR="00DA0EB8" w:rsidRPr="005D439B">
        <w:t>ner</w:t>
      </w:r>
      <w:r w:rsidR="005D439B">
        <w:t xml:space="preserve"> (2012) </w:t>
      </w:r>
      <w:r w:rsidR="00DA0EB8" w:rsidRPr="005D439B">
        <w:t xml:space="preserve">acknowledge that </w:t>
      </w:r>
      <w:r w:rsidR="000D7EDE">
        <w:t xml:space="preserve">they </w:t>
      </w:r>
      <w:r w:rsidR="00DA0EB8" w:rsidRPr="005D439B">
        <w:t>ha</w:t>
      </w:r>
      <w:r w:rsidR="000D7EDE">
        <w:t>ve</w:t>
      </w:r>
      <w:r w:rsidR="00DA0EB8" w:rsidRPr="005D439B">
        <w:t xml:space="preserve"> not undertaken a comprehensive analysis of the way RIA can be established, they recommended that RIA not be mandated by legislative backing unless the Australian Government determines that the current process can</w:t>
      </w:r>
      <w:r w:rsidR="00586B54" w:rsidRPr="005D439B">
        <w:t>not be made to work effectively and consistently</w:t>
      </w:r>
      <w:r w:rsidR="00990ABE">
        <w:t>.</w:t>
      </w:r>
      <w:r w:rsidR="00586B54" w:rsidRPr="005D439B">
        <w:t xml:space="preserve"> </w:t>
      </w:r>
      <w:r w:rsidR="005D439B">
        <w:t xml:space="preserve">The Australian Government’s </w:t>
      </w:r>
      <w:r w:rsidR="00011A9F">
        <w:t xml:space="preserve">preliminary </w:t>
      </w:r>
      <w:r w:rsidR="005D439B">
        <w:t xml:space="preserve">response stated that </w:t>
      </w:r>
      <w:r w:rsidR="00A06DDE">
        <w:t>legislating ‘was not necessary to ensure effective regulatory impact analysis’, highlight</w:t>
      </w:r>
      <w:r w:rsidR="000A1378">
        <w:t>ing</w:t>
      </w:r>
      <w:r w:rsidR="00A06DDE">
        <w:t xml:space="preserve"> that such an arrangement could ‘limit flexibility’ in responding to stakeholder concerns (Australian Government </w:t>
      </w:r>
      <w:proofErr w:type="spellStart"/>
      <w:r w:rsidR="00A06DDE">
        <w:t>2012</w:t>
      </w:r>
      <w:r w:rsidR="0060135F">
        <w:t>b</w:t>
      </w:r>
      <w:proofErr w:type="spellEnd"/>
      <w:r w:rsidR="00A06DDE">
        <w:t xml:space="preserve">). </w:t>
      </w:r>
      <w:r w:rsidR="00B57475">
        <w:t>Some evidence of the usefulness or otherwise of legislating RIA may be available in the future with the Queensland Government considering the merits of legislating the requirement for its RIA process for both primary and subordinate legislation.</w:t>
      </w:r>
    </w:p>
    <w:p w:rsidR="00D8461D" w:rsidRDefault="00D8461D" w:rsidP="00D8461D">
      <w:pPr>
        <w:pStyle w:val="Heading3"/>
      </w:pPr>
      <w:r>
        <w:t>Better targeting of RIA resources</w:t>
      </w:r>
    </w:p>
    <w:p w:rsidR="00D8461D" w:rsidRDefault="00D8461D" w:rsidP="00D8461D">
      <w:pPr>
        <w:spacing w:before="240" w:line="320" w:lineRule="atLeast"/>
        <w:jc w:val="both"/>
        <w:rPr>
          <w:szCs w:val="20"/>
        </w:rPr>
      </w:pPr>
      <w:r w:rsidRPr="006C7BC4">
        <w:rPr>
          <w:szCs w:val="20"/>
        </w:rPr>
        <w:t xml:space="preserve">Better targeting of RIA efforts in some jurisdictions </w:t>
      </w:r>
      <w:r>
        <w:rPr>
          <w:szCs w:val="20"/>
        </w:rPr>
        <w:t xml:space="preserve">— </w:t>
      </w:r>
      <w:r w:rsidR="001A1035">
        <w:rPr>
          <w:szCs w:val="20"/>
        </w:rPr>
        <w:t xml:space="preserve">for both new </w:t>
      </w:r>
      <w:r w:rsidR="00C068A7">
        <w:rPr>
          <w:szCs w:val="20"/>
        </w:rPr>
        <w:t xml:space="preserve">and amended </w:t>
      </w:r>
      <w:r w:rsidR="001A1035">
        <w:rPr>
          <w:szCs w:val="20"/>
        </w:rPr>
        <w:t>regulation</w:t>
      </w:r>
      <w:r>
        <w:rPr>
          <w:szCs w:val="20"/>
        </w:rPr>
        <w:t xml:space="preserve"> and reviews of </w:t>
      </w:r>
      <w:r w:rsidR="001A1035">
        <w:rPr>
          <w:szCs w:val="20"/>
        </w:rPr>
        <w:t xml:space="preserve">existing </w:t>
      </w:r>
      <w:r>
        <w:rPr>
          <w:szCs w:val="20"/>
        </w:rPr>
        <w:t xml:space="preserve">regulations — </w:t>
      </w:r>
      <w:r w:rsidRPr="006C7BC4">
        <w:rPr>
          <w:szCs w:val="20"/>
        </w:rPr>
        <w:t xml:space="preserve">may </w:t>
      </w:r>
      <w:r>
        <w:rPr>
          <w:szCs w:val="20"/>
        </w:rPr>
        <w:t xml:space="preserve">reduce the administrative burden of RIA processes for agencies as well as helping to ensure a level of scrutiny for regulation that is commensurate with its likely impacts. </w:t>
      </w:r>
      <w:r w:rsidR="001A1035">
        <w:rPr>
          <w:szCs w:val="20"/>
        </w:rPr>
        <w:t>The Commission has identified the following k</w:t>
      </w:r>
      <w:r>
        <w:rPr>
          <w:szCs w:val="20"/>
        </w:rPr>
        <w:t xml:space="preserve">ey </w:t>
      </w:r>
      <w:r w:rsidR="001A1035">
        <w:rPr>
          <w:szCs w:val="20"/>
        </w:rPr>
        <w:t xml:space="preserve">targeting </w:t>
      </w:r>
      <w:r>
        <w:rPr>
          <w:szCs w:val="20"/>
        </w:rPr>
        <w:t xml:space="preserve">measures for </w:t>
      </w:r>
      <w:r w:rsidRPr="00986611">
        <w:rPr>
          <w:i/>
          <w:szCs w:val="20"/>
        </w:rPr>
        <w:t xml:space="preserve">new </w:t>
      </w:r>
      <w:r w:rsidR="00CB75D3" w:rsidRPr="00986611">
        <w:rPr>
          <w:i/>
          <w:szCs w:val="20"/>
        </w:rPr>
        <w:t>and amended</w:t>
      </w:r>
      <w:r w:rsidR="00CB75D3">
        <w:rPr>
          <w:szCs w:val="20"/>
        </w:rPr>
        <w:t xml:space="preserve"> </w:t>
      </w:r>
      <w:r>
        <w:rPr>
          <w:szCs w:val="20"/>
        </w:rPr>
        <w:t>regulations:</w:t>
      </w:r>
    </w:p>
    <w:p w:rsidR="00D8461D" w:rsidRDefault="001A1035" w:rsidP="00D8461D">
      <w:pPr>
        <w:pStyle w:val="ListBullet"/>
      </w:pPr>
      <w:r>
        <w:t>a</w:t>
      </w:r>
      <w:r w:rsidR="00D8461D">
        <w:t xml:space="preserve"> threshold significance test for determining whether a RIS is required </w:t>
      </w:r>
      <w:r>
        <w:t>that is</w:t>
      </w:r>
      <w:r w:rsidR="00D8461D">
        <w:t xml:space="preserve"> defined broadly and consider</w:t>
      </w:r>
      <w:r>
        <w:t>s</w:t>
      </w:r>
      <w:r w:rsidR="00D8461D">
        <w:t xml:space="preserve"> both positive and negative impacts on the community or part of the community (chapter 4</w:t>
      </w:r>
      <w:r w:rsidR="00345CC0">
        <w:t>)</w:t>
      </w:r>
    </w:p>
    <w:p w:rsidR="00D8461D" w:rsidRDefault="00D8461D" w:rsidP="00D8461D">
      <w:pPr>
        <w:pStyle w:val="ListBullet"/>
      </w:pPr>
      <w:r>
        <w:t>agencies responsible</w:t>
      </w:r>
      <w:r w:rsidR="00CB75D3">
        <w:t xml:space="preserve">, </w:t>
      </w:r>
      <w:r w:rsidR="007C0FBB">
        <w:t>with the assistance of their regulatory oversight body if the agency so chooses</w:t>
      </w:r>
      <w:r w:rsidR="00CB75D3">
        <w:t>,</w:t>
      </w:r>
      <w:r>
        <w:t xml:space="preserve"> for deciding if the significan</w:t>
      </w:r>
      <w:r w:rsidR="00C20D97">
        <w:t>ce</w:t>
      </w:r>
      <w:r>
        <w:t xml:space="preserve"> threshold has been triggered </w:t>
      </w:r>
      <w:r w:rsidR="007C0FBB">
        <w:t xml:space="preserve">and a RIS is therefore required </w:t>
      </w:r>
      <w:r>
        <w:t>(</w:t>
      </w:r>
      <w:r w:rsidR="007C0FBB">
        <w:t>chapter </w:t>
      </w:r>
      <w:r>
        <w:t>4</w:t>
      </w:r>
      <w:r w:rsidR="00345CC0">
        <w:t>)</w:t>
      </w:r>
    </w:p>
    <w:p w:rsidR="00D8461D" w:rsidRPr="006C7BC4" w:rsidRDefault="00D8461D" w:rsidP="00D8461D">
      <w:pPr>
        <w:pStyle w:val="ListBullet"/>
      </w:pPr>
      <w:r>
        <w:t>streamlining of preliminary assessment processes (chapter 4)</w:t>
      </w:r>
      <w:r w:rsidR="001A1035">
        <w:t xml:space="preserve">, including </w:t>
      </w:r>
      <w:r w:rsidR="00CB75D3">
        <w:t xml:space="preserve">ensuring </w:t>
      </w:r>
      <w:r w:rsidR="001A1035">
        <w:t xml:space="preserve">minimal resources </w:t>
      </w:r>
      <w:r w:rsidR="00CB75D3">
        <w:t xml:space="preserve">are </w:t>
      </w:r>
      <w:r w:rsidR="001A1035">
        <w:t>devoted to proposals that ar</w:t>
      </w:r>
      <w:r w:rsidR="00345CC0">
        <w:t>e excluded from RIA (chapter</w:t>
      </w:r>
      <w:r w:rsidR="00CB75D3">
        <w:t> </w:t>
      </w:r>
      <w:r w:rsidR="00345CC0">
        <w:t>5)</w:t>
      </w:r>
    </w:p>
    <w:p w:rsidR="00D8461D" w:rsidRDefault="00D8461D" w:rsidP="00D8461D">
      <w:pPr>
        <w:pStyle w:val="ListBullet"/>
      </w:pPr>
      <w:r>
        <w:t>minimising</w:t>
      </w:r>
      <w:r w:rsidRPr="006C7BC4">
        <w:t xml:space="preserve"> inefficient duplication of previous consultation and impact analysis </w:t>
      </w:r>
      <w:r>
        <w:t>such as that provided through</w:t>
      </w:r>
      <w:r w:rsidRPr="006C7BC4">
        <w:t xml:space="preserve"> discussion papers, ‘</w:t>
      </w:r>
      <w:r>
        <w:t>g</w:t>
      </w:r>
      <w:r w:rsidRPr="006C7BC4">
        <w:t xml:space="preserve">reen </w:t>
      </w:r>
      <w:r>
        <w:t>p</w:t>
      </w:r>
      <w:r w:rsidRPr="006C7BC4">
        <w:t xml:space="preserve">apers’ or comprehensive reviews conducted </w:t>
      </w:r>
      <w:r>
        <w:t>as a</w:t>
      </w:r>
      <w:r w:rsidRPr="006C7BC4">
        <w:t xml:space="preserve"> basis for a regulatory proposal</w:t>
      </w:r>
      <w:r w:rsidR="00F144E2">
        <w:t xml:space="preserve"> </w:t>
      </w:r>
      <w:r w:rsidR="003D1B88">
        <w:t>(chapter 2)</w:t>
      </w:r>
      <w:r w:rsidR="003D1B88" w:rsidRPr="006C7BC4">
        <w:t>.</w:t>
      </w:r>
    </w:p>
    <w:p w:rsidR="00D8461D" w:rsidRDefault="00D8461D" w:rsidP="00D8461D">
      <w:pPr>
        <w:pStyle w:val="BodyText"/>
      </w:pPr>
      <w:r>
        <w:t xml:space="preserve">To improve the efficiency of </w:t>
      </w:r>
      <w:r w:rsidR="00F05AE5">
        <w:t>resources allocated to</w:t>
      </w:r>
      <w:r>
        <w:t xml:space="preserve"> </w:t>
      </w:r>
      <w:r w:rsidR="00F05AE5" w:rsidRPr="00986611">
        <w:rPr>
          <w:i/>
        </w:rPr>
        <w:t>review</w:t>
      </w:r>
      <w:r w:rsidR="00F05AE5">
        <w:t xml:space="preserve"> of</w:t>
      </w:r>
      <w:r w:rsidR="002731B4">
        <w:t xml:space="preserve"> existing regulations</w:t>
      </w:r>
      <w:r w:rsidR="001A1035">
        <w:t>,</w:t>
      </w:r>
      <w:r>
        <w:t xml:space="preserve"> </w:t>
      </w:r>
      <w:r w:rsidR="001A1035">
        <w:t>the Commission has noted the following targeting measures that jurisdictions could consider (chapter</w:t>
      </w:r>
      <w:r w:rsidR="00BA4CCF">
        <w:t> </w:t>
      </w:r>
      <w:r w:rsidR="001A1035">
        <w:t>9)</w:t>
      </w:r>
      <w:r>
        <w:t>:</w:t>
      </w:r>
    </w:p>
    <w:p w:rsidR="00D8461D" w:rsidRDefault="00D8461D" w:rsidP="00D8461D">
      <w:pPr>
        <w:pStyle w:val="ListBullet"/>
      </w:pPr>
      <w:r>
        <w:lastRenderedPageBreak/>
        <w:t xml:space="preserve">effective ‘triage’ processes to ensure that resources are targeted at regulations that impose highly significant or uncertain impacts  </w:t>
      </w:r>
    </w:p>
    <w:p w:rsidR="00D8461D" w:rsidRDefault="00D8461D" w:rsidP="00D8461D">
      <w:pPr>
        <w:pStyle w:val="ListBullet"/>
      </w:pPr>
      <w:r>
        <w:t xml:space="preserve">grouping of </w:t>
      </w:r>
      <w:proofErr w:type="spellStart"/>
      <w:r>
        <w:t>sunsetting</w:t>
      </w:r>
      <w:proofErr w:type="spellEnd"/>
      <w:r>
        <w:t xml:space="preserve"> regulations for review either thematically and/or in conjunction with their overarching primary legislation. </w:t>
      </w:r>
    </w:p>
    <w:p w:rsidR="00DA33FF" w:rsidRDefault="00DA33FF" w:rsidP="001431A3">
      <w:pPr>
        <w:pStyle w:val="Heading4"/>
        <w:spacing w:before="400"/>
      </w:pPr>
      <w:r>
        <w:t xml:space="preserve">Clearer expectations to help target resources </w:t>
      </w:r>
    </w:p>
    <w:p w:rsidR="000904EB" w:rsidRDefault="00DA33FF" w:rsidP="000904EB">
      <w:pPr>
        <w:pStyle w:val="BodyText"/>
      </w:pPr>
      <w:r>
        <w:t>S</w:t>
      </w:r>
      <w:r w:rsidR="000904EB">
        <w:t xml:space="preserve">ome departments have also suggested that oversight bodies should provide more information on their expectations regarding the required level of detail and quality of </w:t>
      </w:r>
      <w:proofErr w:type="spellStart"/>
      <w:r w:rsidR="000904EB">
        <w:t>RISs</w:t>
      </w:r>
      <w:proofErr w:type="spellEnd"/>
      <w:r w:rsidR="000904EB">
        <w:t xml:space="preserve">, in particularly by highlighting past examples of ‘good’ RIS documents or at least making ‘good’ </w:t>
      </w:r>
      <w:proofErr w:type="spellStart"/>
      <w:r w:rsidR="000904EB">
        <w:t>RISs</w:t>
      </w:r>
      <w:proofErr w:type="spellEnd"/>
      <w:r w:rsidR="000904EB">
        <w:t xml:space="preserve"> more accessible. For example, the Australian Government Attorney</w:t>
      </w:r>
      <w:r w:rsidR="000904EB">
        <w:noBreakHyphen/>
        <w:t xml:space="preserve">General’s Department suggested: </w:t>
      </w:r>
    </w:p>
    <w:p w:rsidR="000904EB" w:rsidRPr="000904EB" w:rsidRDefault="000904EB" w:rsidP="000904EB">
      <w:pPr>
        <w:pStyle w:val="Quote"/>
      </w:pPr>
      <w:r w:rsidRPr="000904EB">
        <w:t>An improved search tool to hone in on specific details of RIS documents previously assessed as ‘adequate’ by OBPR would assist agencies to better understand OBPR expectations and improve accessibility to relevant precedents. (sub. 4, p. 6)</w:t>
      </w:r>
    </w:p>
    <w:p w:rsidR="000904EB" w:rsidRDefault="000904EB" w:rsidP="000904EB">
      <w:pPr>
        <w:pStyle w:val="BodyText"/>
      </w:pPr>
      <w:r>
        <w:t xml:space="preserve">A leading practice that would assist in defining expectations for RIS content and adequacy assessment is ready access (via the internet) to a central RIS register. Not only does such a register increase transparency of the process but also encourages knowledge transfer </w:t>
      </w:r>
      <w:r w:rsidR="00986611">
        <w:t>as the register can act</w:t>
      </w:r>
      <w:r w:rsidR="00733CE6">
        <w:t>, for agencies,</w:t>
      </w:r>
      <w:r w:rsidR="00986611">
        <w:t xml:space="preserve"> as a source </w:t>
      </w:r>
      <w:r>
        <w:t>of ‘good’ RIS</w:t>
      </w:r>
      <w:r w:rsidR="00986611">
        <w:t xml:space="preserve"> example</w:t>
      </w:r>
      <w:r>
        <w:t xml:space="preserve">s </w:t>
      </w:r>
      <w:r w:rsidR="00D529A1">
        <w:t xml:space="preserve">— providing </w:t>
      </w:r>
      <w:r>
        <w:t>an indication of the level of analysis required (chapter 7). T</w:t>
      </w:r>
      <w:r w:rsidRPr="0003606B">
        <w:t xml:space="preserve">he Commonwealth and COAG RIA processes are generally the most transparent, timely and accessible, with </w:t>
      </w:r>
      <w:proofErr w:type="spellStart"/>
      <w:r w:rsidRPr="0003606B">
        <w:t>RISs</w:t>
      </w:r>
      <w:proofErr w:type="spellEnd"/>
      <w:r w:rsidRPr="0003606B">
        <w:t xml:space="preserve"> added to a central on-line register at the time of regulatory announcement (Commonwealth) or as soon as possible after the compliance assessment (COAG)</w:t>
      </w:r>
    </w:p>
    <w:p w:rsidR="00E9571B" w:rsidRDefault="00D8461D" w:rsidP="00D8461D">
      <w:pPr>
        <w:pStyle w:val="BodyText"/>
      </w:pPr>
      <w:r>
        <w:t>In some instances</w:t>
      </w:r>
      <w:r w:rsidR="001A1035">
        <w:t>, targeting of RIA resources could be enhanced through</w:t>
      </w:r>
      <w:r>
        <w:t xml:space="preserve"> </w:t>
      </w:r>
      <w:r w:rsidRPr="00F94F0D">
        <w:t>greater discipline in the provision of</w:t>
      </w:r>
      <w:r w:rsidR="001A1035">
        <w:t xml:space="preserve"> oversight body</w:t>
      </w:r>
      <w:r w:rsidRPr="00F94F0D">
        <w:t xml:space="preserve"> comments on </w:t>
      </w:r>
      <w:proofErr w:type="spellStart"/>
      <w:r w:rsidRPr="00F94F0D">
        <w:t>RISs</w:t>
      </w:r>
      <w:proofErr w:type="spellEnd"/>
      <w:r w:rsidR="007A5447">
        <w:t xml:space="preserve"> </w:t>
      </w:r>
      <w:r w:rsidR="007702C0">
        <w:t>and</w:t>
      </w:r>
      <w:r w:rsidR="007A5447">
        <w:t xml:space="preserve"> </w:t>
      </w:r>
      <w:r w:rsidRPr="00F94F0D">
        <w:t>ensur</w:t>
      </w:r>
      <w:r w:rsidR="007A5447">
        <w:t>ing</w:t>
      </w:r>
      <w:r w:rsidRPr="00F94F0D">
        <w:t xml:space="preserve"> expectations are made clear </w:t>
      </w:r>
      <w:r w:rsidR="00EA7826">
        <w:t xml:space="preserve">to the agency </w:t>
      </w:r>
      <w:r w:rsidRPr="00F94F0D">
        <w:t>earlier in the</w:t>
      </w:r>
      <w:r w:rsidR="00EA7826">
        <w:t xml:space="preserve"> RIA</w:t>
      </w:r>
      <w:r w:rsidRPr="00F94F0D">
        <w:t xml:space="preserve"> process</w:t>
      </w:r>
      <w:r w:rsidR="00EA7826">
        <w:t>.</w:t>
      </w:r>
      <w:r w:rsidRPr="00F94F0D">
        <w:t xml:space="preserve"> </w:t>
      </w:r>
      <w:r w:rsidR="001A1035">
        <w:t>One agency survey respondent stated that the drafting process could be improved through ‘more strategic/thematic comments from the oversight body, with a narrowing of the field of issues in subsequent iterations, and a process moving towards conclusion’ (PC</w:t>
      </w:r>
      <w:r w:rsidR="00EA7826">
        <w:t> </w:t>
      </w:r>
      <w:r w:rsidR="005230C4">
        <w:t>RIA</w:t>
      </w:r>
      <w:r w:rsidR="001A1035">
        <w:t xml:space="preserve"> </w:t>
      </w:r>
      <w:r w:rsidR="005230C4">
        <w:t>S</w:t>
      </w:r>
      <w:r w:rsidR="001A1035">
        <w:t>urvey 2012).</w:t>
      </w:r>
    </w:p>
    <w:p w:rsidR="005E0413" w:rsidRDefault="00D8461D" w:rsidP="00D8461D">
      <w:pPr>
        <w:pStyle w:val="BodyText"/>
      </w:pPr>
      <w:r>
        <w:t xml:space="preserve">To this end, </w:t>
      </w:r>
      <w:r w:rsidR="00887BA9">
        <w:t xml:space="preserve">agencies </w:t>
      </w:r>
      <w:r w:rsidR="00C20D97">
        <w:t>could</w:t>
      </w:r>
      <w:r w:rsidRPr="00DC6C60">
        <w:t xml:space="preserve"> consider </w:t>
      </w:r>
      <w:r w:rsidR="00F05AE5">
        <w:t>establishing with the oversight body at the outset,</w:t>
      </w:r>
      <w:r w:rsidR="008539FC">
        <w:t xml:space="preserve"> expectations </w:t>
      </w:r>
      <w:r w:rsidR="00F05AE5">
        <w:t>for RIS content</w:t>
      </w:r>
      <w:r w:rsidR="00887BA9">
        <w:t xml:space="preserve"> </w:t>
      </w:r>
      <w:r>
        <w:t>includ</w:t>
      </w:r>
      <w:r w:rsidR="00EA7826">
        <w:t>ing</w:t>
      </w:r>
      <w:r>
        <w:t xml:space="preserve"> </w:t>
      </w:r>
      <w:r w:rsidR="00F05AE5">
        <w:t>broad timeframes for submission of</w:t>
      </w:r>
      <w:r>
        <w:t xml:space="preserve"> draft and final </w:t>
      </w:r>
      <w:proofErr w:type="spellStart"/>
      <w:r w:rsidR="00F05AE5">
        <w:t>RIS</w:t>
      </w:r>
      <w:r w:rsidR="00B24B98">
        <w:t>s</w:t>
      </w:r>
      <w:proofErr w:type="spellEnd"/>
      <w:r w:rsidR="00F05AE5">
        <w:t xml:space="preserve"> to the oversight body </w:t>
      </w:r>
      <w:r>
        <w:t>for assessment</w:t>
      </w:r>
      <w:r w:rsidR="00B24B98">
        <w:t xml:space="preserve"> and/or</w:t>
      </w:r>
      <w:r w:rsidR="00F05AE5">
        <w:t xml:space="preserve"> </w:t>
      </w:r>
      <w:r w:rsidR="00B24B98">
        <w:t xml:space="preserve">specification of </w:t>
      </w:r>
      <w:r>
        <w:t xml:space="preserve">the number of drafts to be considered </w:t>
      </w:r>
      <w:r w:rsidR="001A1035">
        <w:t xml:space="preserve">by the oversight body </w:t>
      </w:r>
      <w:r>
        <w:t xml:space="preserve">before the RIS is assessed. </w:t>
      </w:r>
      <w:r w:rsidR="00ED0AFC">
        <w:t>Having an agreed framework a</w:t>
      </w:r>
      <w:r w:rsidR="00ED0AFC" w:rsidRPr="00DC6C60">
        <w:t>ims to reinforce that the agency is responsible for the quality of the RIS document</w:t>
      </w:r>
      <w:r w:rsidR="00ED0AFC">
        <w:t xml:space="preserve"> while better targeting the provision of</w:t>
      </w:r>
      <w:r w:rsidR="00ED0AFC" w:rsidRPr="00DC6C60">
        <w:t xml:space="preserve"> guidance and feedback on drafts. This </w:t>
      </w:r>
      <w:r w:rsidR="00ED0AFC">
        <w:t>may better</w:t>
      </w:r>
      <w:r w:rsidR="00ED0AFC" w:rsidRPr="00DC6C60">
        <w:t xml:space="preserve"> </w:t>
      </w:r>
      <w:r w:rsidR="00ED0AFC">
        <w:t>enable</w:t>
      </w:r>
      <w:r w:rsidR="00ED0AFC" w:rsidRPr="00DC6C60">
        <w:t xml:space="preserve"> agencies to develop the policy (and accompanying RIS) </w:t>
      </w:r>
      <w:r w:rsidR="00ED0AFC">
        <w:t xml:space="preserve">to the necessary standard </w:t>
      </w:r>
      <w:r w:rsidR="00ED0AFC" w:rsidRPr="00DC6C60">
        <w:t>within the desired period.</w:t>
      </w:r>
    </w:p>
    <w:p w:rsidR="00EA7826" w:rsidRDefault="00DF4C21" w:rsidP="00EA7826">
      <w:pPr>
        <w:pStyle w:val="BodyText"/>
      </w:pPr>
      <w:r>
        <w:lastRenderedPageBreak/>
        <w:t>For</w:t>
      </w:r>
      <w:r w:rsidR="00EA7826">
        <w:t xml:space="preserve"> agencies that regularly undertake </w:t>
      </w:r>
      <w:proofErr w:type="spellStart"/>
      <w:r w:rsidR="00EA7826">
        <w:t>RISs</w:t>
      </w:r>
      <w:proofErr w:type="spellEnd"/>
      <w:r w:rsidR="00EA7826">
        <w:t>, a memorandum of understanding (</w:t>
      </w:r>
      <w:proofErr w:type="spellStart"/>
      <w:r w:rsidR="00EA7826">
        <w:t>MOU</w:t>
      </w:r>
      <w:proofErr w:type="spellEnd"/>
      <w:r w:rsidR="00EA7826">
        <w:t>) between the oversight body and agency could be established to:</w:t>
      </w:r>
    </w:p>
    <w:p w:rsidR="00EA7826" w:rsidRDefault="00EA7826" w:rsidP="00EA7826">
      <w:pPr>
        <w:pStyle w:val="ListBullet"/>
      </w:pPr>
      <w:r>
        <w:t>provide greater clarification of the guidelines regarding which agency specific regulatory instruments do not need a RIS (‘carve outs’ in the Australian Government)</w:t>
      </w:r>
    </w:p>
    <w:p w:rsidR="00EA7826" w:rsidRDefault="00EA7826" w:rsidP="00EA7826">
      <w:pPr>
        <w:pStyle w:val="ListBullet"/>
      </w:pPr>
      <w:r>
        <w:t xml:space="preserve">clarify what other documentation or processes </w:t>
      </w:r>
      <w:r w:rsidR="00DF4C21">
        <w:t>are already generated by the agency which could</w:t>
      </w:r>
      <w:r>
        <w:t xml:space="preserve"> effectively satisfy elements of the RIA process </w:t>
      </w:r>
    </w:p>
    <w:p w:rsidR="00EA7826" w:rsidRDefault="00EA7826" w:rsidP="00EA7826">
      <w:pPr>
        <w:pStyle w:val="ListBullet"/>
      </w:pPr>
      <w:r>
        <w:t>establish dispute resolution mechanisms.</w:t>
      </w:r>
    </w:p>
    <w:p w:rsidR="00887BA9" w:rsidRDefault="00D434D0" w:rsidP="00D8461D">
      <w:pPr>
        <w:pStyle w:val="BodyText"/>
      </w:pPr>
      <w:r>
        <w:t>T</w:t>
      </w:r>
      <w:r w:rsidR="00887BA9">
        <w:t>he OBPR and Commonwealth Treasury</w:t>
      </w:r>
      <w:r w:rsidR="0075558A">
        <w:t xml:space="preserve"> are</w:t>
      </w:r>
      <w:r>
        <w:t xml:space="preserve"> current negotiating an </w:t>
      </w:r>
      <w:proofErr w:type="spellStart"/>
      <w:r>
        <w:t>MOU</w:t>
      </w:r>
      <w:proofErr w:type="spellEnd"/>
      <w:r w:rsidR="00887BA9">
        <w:t xml:space="preserve"> in regard to a number of </w:t>
      </w:r>
      <w:proofErr w:type="spellStart"/>
      <w:r w:rsidR="00887BA9">
        <w:t>PIRs</w:t>
      </w:r>
      <w:proofErr w:type="spellEnd"/>
      <w:r w:rsidR="00887BA9">
        <w:t xml:space="preserve"> scheduled in the coming year: </w:t>
      </w:r>
    </w:p>
    <w:p w:rsidR="00887BA9" w:rsidRDefault="00887BA9" w:rsidP="00887BA9">
      <w:pPr>
        <w:pStyle w:val="Quote"/>
      </w:pPr>
      <w:r w:rsidRPr="00887BA9">
        <w:t>At the moment we are in the process of negotiating a memorandum of understanding with the Treasury essentially on how to operate the post-implementation review schedule for that portfolio.</w:t>
      </w:r>
    </w:p>
    <w:p w:rsidR="00887BA9" w:rsidRPr="00887BA9" w:rsidRDefault="00887BA9" w:rsidP="00887BA9">
      <w:pPr>
        <w:pStyle w:val="Quote"/>
      </w:pPr>
      <w:r>
        <w:t>… </w:t>
      </w:r>
      <w:r w:rsidRPr="00887BA9">
        <w:t>We are in discussions with them about what they need to do and essentially what we are trying to get out of the</w:t>
      </w:r>
      <w:r>
        <w:t xml:space="preserve"> </w:t>
      </w:r>
      <w:r w:rsidRPr="00887BA9">
        <w:t>memoranda of understanding are ongoing communication, to try to set out when they have to do something by and what they can do in particular time frames.</w:t>
      </w:r>
      <w:r>
        <w:t xml:space="preserve"> (Senate </w:t>
      </w:r>
      <w:proofErr w:type="spellStart"/>
      <w:r>
        <w:t>2012</w:t>
      </w:r>
      <w:r w:rsidR="005B7A24">
        <w:t>b</w:t>
      </w:r>
      <w:proofErr w:type="spellEnd"/>
      <w:r>
        <w:t> , pp. 36–37)</w:t>
      </w:r>
    </w:p>
    <w:p w:rsidR="004879E9" w:rsidRDefault="00ED0AFC" w:rsidP="004879E9">
      <w:pPr>
        <w:pStyle w:val="BodyText"/>
      </w:pPr>
      <w:r>
        <w:t xml:space="preserve">An </w:t>
      </w:r>
      <w:proofErr w:type="spellStart"/>
      <w:r>
        <w:t>MOU</w:t>
      </w:r>
      <w:proofErr w:type="spellEnd"/>
      <w:r>
        <w:t xml:space="preserve"> </w:t>
      </w:r>
      <w:r w:rsidR="0075558A">
        <w:t>provide</w:t>
      </w:r>
      <w:r w:rsidR="004879E9">
        <w:t>s</w:t>
      </w:r>
      <w:r w:rsidR="0075558A">
        <w:t xml:space="preserve"> </w:t>
      </w:r>
      <w:r w:rsidR="004879E9">
        <w:t xml:space="preserve">documented </w:t>
      </w:r>
      <w:r w:rsidR="0075558A">
        <w:t>evidence</w:t>
      </w:r>
      <w:r w:rsidR="004879E9">
        <w:t xml:space="preserve"> </w:t>
      </w:r>
      <w:r w:rsidR="0075558A">
        <w:t xml:space="preserve">of the agreed framework that </w:t>
      </w:r>
      <w:r w:rsidR="004879E9">
        <w:t xml:space="preserve">will withstand staff turnover in </w:t>
      </w:r>
      <w:r w:rsidR="0075558A">
        <w:t>agenc</w:t>
      </w:r>
      <w:r w:rsidR="004879E9">
        <w:t xml:space="preserve">ies and the oversight body. For transparency, </w:t>
      </w:r>
      <w:proofErr w:type="spellStart"/>
      <w:r w:rsidR="004879E9">
        <w:t>MOUs</w:t>
      </w:r>
      <w:proofErr w:type="spellEnd"/>
      <w:r w:rsidR="004879E9">
        <w:t xml:space="preserve"> should be published. </w:t>
      </w:r>
    </w:p>
    <w:p w:rsidR="000D7EDE" w:rsidRPr="007C0FBB" w:rsidRDefault="000D7EDE" w:rsidP="001431A3">
      <w:pPr>
        <w:pStyle w:val="RecTitle"/>
        <w:spacing w:before="360"/>
      </w:pPr>
      <w:r w:rsidRPr="007C0FBB">
        <w:t xml:space="preserve">Leading practice </w:t>
      </w:r>
      <w:r w:rsidR="00612363" w:rsidRPr="007C0FBB">
        <w:t>10.</w:t>
      </w:r>
      <w:r w:rsidR="00B5590D">
        <w:rPr>
          <w:noProof/>
        </w:rPr>
        <w:t>1</w:t>
      </w:r>
    </w:p>
    <w:p w:rsidR="003E552B" w:rsidRDefault="000D7EDE" w:rsidP="000D7EDE">
      <w:pPr>
        <w:pStyle w:val="Rec"/>
      </w:pPr>
      <w:r w:rsidRPr="0079151D">
        <w:t xml:space="preserve">For those agencies which undertake </w:t>
      </w:r>
      <w:proofErr w:type="spellStart"/>
      <w:r w:rsidRPr="0079151D">
        <w:t>RISs</w:t>
      </w:r>
      <w:proofErr w:type="spellEnd"/>
      <w:r w:rsidRPr="0079151D">
        <w:t xml:space="preserve"> regularly, oversight bodies should consider establishing a memorandum of understanding </w:t>
      </w:r>
      <w:r w:rsidR="00EA7826">
        <w:t xml:space="preserve">(which would be published) </w:t>
      </w:r>
      <w:r w:rsidRPr="0079151D">
        <w:t>to</w:t>
      </w:r>
      <w:r w:rsidR="003E552B">
        <w:t>:</w:t>
      </w:r>
    </w:p>
    <w:p w:rsidR="003E552B" w:rsidRDefault="000D7EDE" w:rsidP="003E552B">
      <w:pPr>
        <w:pStyle w:val="RecBullet"/>
      </w:pPr>
      <w:r w:rsidRPr="0079151D">
        <w:t>clarify interpretation of guidelines on what needs a RIS (specific to</w:t>
      </w:r>
      <w:r w:rsidR="00B3409D">
        <w:t xml:space="preserve"> the</w:t>
      </w:r>
      <w:r w:rsidRPr="0079151D">
        <w:t xml:space="preserve"> instruments</w:t>
      </w:r>
      <w:r w:rsidR="00B3409D">
        <w:t xml:space="preserve"> or </w:t>
      </w:r>
      <w:r w:rsidRPr="0079151D">
        <w:t>activity of the particular agency)</w:t>
      </w:r>
    </w:p>
    <w:p w:rsidR="003E552B" w:rsidRDefault="003E552B" w:rsidP="003E552B">
      <w:pPr>
        <w:pStyle w:val="RecBullet"/>
      </w:pPr>
      <w:r>
        <w:t xml:space="preserve">outline </w:t>
      </w:r>
      <w:r w:rsidR="000D7EDE" w:rsidRPr="0079151D">
        <w:t>what sort of documentation generated by the agency would, in part, satisfy RIA requirements (</w:t>
      </w:r>
      <w:r w:rsidR="00B3409D">
        <w:t>such as</w:t>
      </w:r>
      <w:r w:rsidR="000D7EDE" w:rsidRPr="0079151D">
        <w:t xml:space="preserve"> </w:t>
      </w:r>
      <w:r>
        <w:t>consultation documents)</w:t>
      </w:r>
      <w:r w:rsidR="000D7EDE" w:rsidRPr="0079151D">
        <w:t xml:space="preserve"> </w:t>
      </w:r>
    </w:p>
    <w:p w:rsidR="000D7EDE" w:rsidRDefault="000D7EDE" w:rsidP="003E552B">
      <w:pPr>
        <w:pStyle w:val="RecBullet"/>
      </w:pPr>
      <w:r w:rsidRPr="0079151D">
        <w:t>lay out an approach for dealing with disputes</w:t>
      </w:r>
      <w:r w:rsidR="002910A3">
        <w:t xml:space="preserve"> between the agency and </w:t>
      </w:r>
      <w:r w:rsidR="00B3409D">
        <w:t xml:space="preserve">the </w:t>
      </w:r>
      <w:r w:rsidR="002910A3">
        <w:t>oversight body</w:t>
      </w:r>
      <w:r w:rsidRPr="0079151D">
        <w:t>.</w:t>
      </w:r>
    </w:p>
    <w:p w:rsidR="00F530E5" w:rsidRPr="00BF2E45" w:rsidRDefault="00F530E5" w:rsidP="00BF2E45">
      <w:pPr>
        <w:pStyle w:val="Heading3"/>
      </w:pPr>
      <w:r w:rsidRPr="00BF2E45">
        <w:t xml:space="preserve">Improving agency capacities </w:t>
      </w:r>
    </w:p>
    <w:p w:rsidR="00F530E5" w:rsidRDefault="00E75A02" w:rsidP="00F530E5">
      <w:pPr>
        <w:pStyle w:val="BodyText"/>
      </w:pPr>
      <w:r>
        <w:t>For agencies to integrate RIA into their policy development</w:t>
      </w:r>
      <w:r w:rsidR="00F530E5">
        <w:t xml:space="preserve">, </w:t>
      </w:r>
      <w:r>
        <w:t>they</w:t>
      </w:r>
      <w:r w:rsidR="00F530E5">
        <w:t xml:space="preserve"> need the </w:t>
      </w:r>
      <w:r w:rsidR="007C0FBB">
        <w:t xml:space="preserve">necessary information on RIA requirements, the </w:t>
      </w:r>
      <w:r w:rsidR="00F530E5">
        <w:t xml:space="preserve">skills to undertake key steps of the process </w:t>
      </w:r>
      <w:r w:rsidR="007C0FBB">
        <w:t>and</w:t>
      </w:r>
      <w:r w:rsidR="00F530E5">
        <w:t xml:space="preserve"> an understanding of the value of RIA in </w:t>
      </w:r>
      <w:r w:rsidR="00E45107">
        <w:t xml:space="preserve">contributing to better </w:t>
      </w:r>
      <w:r w:rsidR="00F530E5">
        <w:t xml:space="preserve">quality </w:t>
      </w:r>
      <w:r w:rsidR="00F530E5">
        <w:lastRenderedPageBreak/>
        <w:t xml:space="preserve">regulation. RIA processes </w:t>
      </w:r>
      <w:r w:rsidR="007C0FBB">
        <w:t>should</w:t>
      </w:r>
      <w:r w:rsidR="00F530E5">
        <w:t xml:space="preserve"> be supported by a range of capacity building </w:t>
      </w:r>
      <w:r w:rsidR="001A1035">
        <w:t>tools</w:t>
      </w:r>
      <w:r w:rsidR="00F530E5">
        <w:t xml:space="preserve">, such as written </w:t>
      </w:r>
      <w:r w:rsidR="00E45107">
        <w:t>guidance material</w:t>
      </w:r>
      <w:r w:rsidR="00F530E5">
        <w:t xml:space="preserve">, </w:t>
      </w:r>
      <w:r w:rsidR="00F530E5" w:rsidRPr="00DE356B">
        <w:t>training program</w:t>
      </w:r>
      <w:r w:rsidR="00F530E5">
        <w:t>s, advice from regulatory oversight bod</w:t>
      </w:r>
      <w:r w:rsidR="00E45107">
        <w:t>ies</w:t>
      </w:r>
      <w:r w:rsidR="00F530E5">
        <w:t xml:space="preserve">, regulatory networks and secondments/outposts (chapter 3). </w:t>
      </w:r>
    </w:p>
    <w:p w:rsidR="00F530E5" w:rsidRPr="00BF2E45" w:rsidRDefault="00F530E5" w:rsidP="001431A3">
      <w:pPr>
        <w:pStyle w:val="Heading4"/>
        <w:spacing w:before="400"/>
      </w:pPr>
      <w:r w:rsidRPr="00BF2E45">
        <w:t xml:space="preserve">Formal training </w:t>
      </w:r>
    </w:p>
    <w:p w:rsidR="00F530E5" w:rsidRDefault="00F530E5" w:rsidP="00F530E5">
      <w:pPr>
        <w:pStyle w:val="BodyText"/>
      </w:pPr>
      <w:r w:rsidRPr="00EB6092">
        <w:t xml:space="preserve">The Commonwealth, COAG and Victoria </w:t>
      </w:r>
      <w:r>
        <w:t>represent l</w:t>
      </w:r>
      <w:r w:rsidRPr="00444FD2">
        <w:t>eading practices in RIA training</w:t>
      </w:r>
      <w:r>
        <w:t xml:space="preserve"> in Australia by </w:t>
      </w:r>
      <w:r w:rsidRPr="00EB6092">
        <w:t>offer</w:t>
      </w:r>
      <w:r>
        <w:t>ing</w:t>
      </w:r>
      <w:r w:rsidR="00457060">
        <w:t xml:space="preserve"> regular on</w:t>
      </w:r>
      <w:r w:rsidRPr="00EB6092">
        <w:t>going training sessions</w:t>
      </w:r>
      <w:r w:rsidR="00D46B01">
        <w:t xml:space="preserve"> </w:t>
      </w:r>
      <w:r w:rsidR="00B24B98">
        <w:t xml:space="preserve">for agencies that are well-advertised and flexible to agency needs </w:t>
      </w:r>
      <w:r w:rsidR="00D46B01">
        <w:t>(chapter 3)</w:t>
      </w:r>
      <w:r w:rsidRPr="00EB6092">
        <w:t xml:space="preserve">. </w:t>
      </w:r>
    </w:p>
    <w:p w:rsidR="007A2783" w:rsidRDefault="007A2783" w:rsidP="007A2783">
      <w:pPr>
        <w:pStyle w:val="BodyText"/>
      </w:pPr>
      <w:r w:rsidRPr="00D46B01">
        <w:t xml:space="preserve">Jurisdictions might also consider the merits of extending RIA training to </w:t>
      </w:r>
      <w:r w:rsidR="00E75B26">
        <w:t>m</w:t>
      </w:r>
      <w:r w:rsidRPr="00D46B01">
        <w:t>inisters</w:t>
      </w:r>
      <w:r w:rsidR="00B85491">
        <w:t>’</w:t>
      </w:r>
      <w:r w:rsidRPr="00D46B01">
        <w:t xml:space="preserve"> offices</w:t>
      </w:r>
      <w:r>
        <w:t xml:space="preserve"> and ensuring training is undertaken by more senior managers. </w:t>
      </w:r>
      <w:r w:rsidRPr="00D46B01">
        <w:t xml:space="preserve">Without training of more senior managers </w:t>
      </w:r>
      <w:r>
        <w:t>and ministerial advis</w:t>
      </w:r>
      <w:r w:rsidR="00E5510D">
        <w:t>e</w:t>
      </w:r>
      <w:r>
        <w:t xml:space="preserve">rs </w:t>
      </w:r>
      <w:r w:rsidR="00E75B26">
        <w:t>on</w:t>
      </w:r>
      <w:r w:rsidR="00E75B26" w:rsidRPr="00D46B01">
        <w:t xml:space="preserve"> </w:t>
      </w:r>
      <w:r w:rsidRPr="00D46B01">
        <w:t>the importance of RIA, the capacity of formal training programs to bring about integration may be limited, with junior officers relied upon to convey the ‘message up the line’.</w:t>
      </w:r>
    </w:p>
    <w:p w:rsidR="00F530E5" w:rsidRDefault="00F530E5" w:rsidP="00F530E5">
      <w:pPr>
        <w:pStyle w:val="BodyText"/>
      </w:pPr>
      <w:r>
        <w:t xml:space="preserve">The Commission recognises that in some smaller jurisdictions, where in a typical year very few </w:t>
      </w:r>
      <w:proofErr w:type="spellStart"/>
      <w:r>
        <w:t>RISs</w:t>
      </w:r>
      <w:proofErr w:type="spellEnd"/>
      <w:r>
        <w:t xml:space="preserve"> are prepared, it may not be cost effective for the oversight body to provide extensive formal RIA training. Tasmania and the Northern Territory, for example, have found that offering more intensive ‘coaching’ for individual officers undertaking RIA is a more targeted and efficient approach.</w:t>
      </w:r>
    </w:p>
    <w:p w:rsidR="00F530E5" w:rsidRDefault="00C62802" w:rsidP="001431A3">
      <w:pPr>
        <w:pStyle w:val="Heading4"/>
        <w:spacing w:before="400"/>
      </w:pPr>
      <w:r>
        <w:t>Better d</w:t>
      </w:r>
      <w:r w:rsidR="00F530E5">
        <w:t xml:space="preserve">ata collection strategies </w:t>
      </w:r>
    </w:p>
    <w:p w:rsidR="00F530E5" w:rsidRDefault="00F530E5" w:rsidP="00F530E5">
      <w:pPr>
        <w:pStyle w:val="BodyText"/>
      </w:pPr>
      <w:r>
        <w:t xml:space="preserve">Agencies tend to view the problem of lack of data as an external problem </w:t>
      </w:r>
      <w:r w:rsidR="00EE1DA8">
        <w:t>—</w:t>
      </w:r>
      <w:r>
        <w:t xml:space="preserve"> something outside their control. </w:t>
      </w:r>
      <w:r w:rsidR="00DA5C37">
        <w:t>However, l</w:t>
      </w:r>
      <w:r>
        <w:t xml:space="preserve">ack of data often indicates a lack of </w:t>
      </w:r>
      <w:r w:rsidR="00DA5C37">
        <w:t xml:space="preserve">skills and </w:t>
      </w:r>
      <w:r>
        <w:t xml:space="preserve">strategies within agencies for collecting information about their own policy area. While agencies such as the </w:t>
      </w:r>
      <w:r w:rsidR="00457060">
        <w:t>Australian Bureau of Statistics</w:t>
      </w:r>
      <w:r>
        <w:t xml:space="preserve"> have high quality data collections and can be a useful source of information, they will not always have the information needed for a specific proposal. In most circumstances, agencies need to develop their own </w:t>
      </w:r>
      <w:r w:rsidR="00EE1DA8">
        <w:t>data collection strategies</w:t>
      </w:r>
      <w:r w:rsidR="00BF6956">
        <w:t xml:space="preserve"> for </w:t>
      </w:r>
      <w:proofErr w:type="spellStart"/>
      <w:r w:rsidR="00BF6956">
        <w:t>RISs</w:t>
      </w:r>
      <w:proofErr w:type="spellEnd"/>
      <w:r w:rsidR="00BF6956">
        <w:t xml:space="preserve">. </w:t>
      </w:r>
      <w:r w:rsidR="00EF638C">
        <w:t>Some jurisdictional guidance material provide</w:t>
      </w:r>
      <w:r w:rsidR="00B85491">
        <w:t>s</w:t>
      </w:r>
      <w:r w:rsidR="00EF638C">
        <w:t xml:space="preserve"> </w:t>
      </w:r>
      <w:r w:rsidR="0061210D">
        <w:t xml:space="preserve">strategies for </w:t>
      </w:r>
      <w:r w:rsidR="00041874">
        <w:t xml:space="preserve">data </w:t>
      </w:r>
      <w:r w:rsidR="0061210D">
        <w:t>collecti</w:t>
      </w:r>
      <w:r w:rsidR="00041874">
        <w:t xml:space="preserve">on </w:t>
      </w:r>
      <w:r w:rsidR="0061210D">
        <w:t>which should be drawn upon more</w:t>
      </w:r>
      <w:r w:rsidR="00295F58">
        <w:t xml:space="preserve"> widely</w:t>
      </w:r>
      <w:r w:rsidR="0061210D">
        <w:t xml:space="preserve">. </w:t>
      </w:r>
      <w:r w:rsidR="00EE1DA8">
        <w:t xml:space="preserve">Greater </w:t>
      </w:r>
      <w:r w:rsidR="001A1035">
        <w:t xml:space="preserve">access to </w:t>
      </w:r>
      <w:proofErr w:type="spellStart"/>
      <w:r w:rsidR="001A1035">
        <w:t>RISs</w:t>
      </w:r>
      <w:proofErr w:type="spellEnd"/>
      <w:r w:rsidR="001A1035">
        <w:t xml:space="preserve"> </w:t>
      </w:r>
      <w:r w:rsidR="00EE1DA8">
        <w:t>(through a</w:t>
      </w:r>
      <w:r w:rsidR="00E5510D">
        <w:t xml:space="preserve"> central</w:t>
      </w:r>
      <w:r w:rsidR="00EE1DA8">
        <w:t xml:space="preserve"> internet</w:t>
      </w:r>
      <w:r w:rsidR="00E5510D">
        <w:t xml:space="preserve"> register</w:t>
      </w:r>
      <w:r w:rsidR="00772901">
        <w:t>,</w:t>
      </w:r>
      <w:r w:rsidR="0003606B">
        <w:t xml:space="preserve"> </w:t>
      </w:r>
      <w:r w:rsidR="00772901">
        <w:t>which</w:t>
      </w:r>
      <w:r w:rsidR="00F351FF">
        <w:t xml:space="preserve"> exists for </w:t>
      </w:r>
      <w:r w:rsidR="0003606B">
        <w:t>the Commonwealth and COAG</w:t>
      </w:r>
      <w:r w:rsidR="00EE1DA8">
        <w:t xml:space="preserve">) </w:t>
      </w:r>
      <w:r w:rsidR="001A1035">
        <w:t xml:space="preserve">would </w:t>
      </w:r>
      <w:r w:rsidR="00EE1DA8">
        <w:t xml:space="preserve">also </w:t>
      </w:r>
      <w:r w:rsidR="001A1035">
        <w:t>provide agencies</w:t>
      </w:r>
      <w:r w:rsidR="00041874">
        <w:t xml:space="preserve"> </w:t>
      </w:r>
      <w:r w:rsidR="001A1035">
        <w:t xml:space="preserve">with scope to learn from </w:t>
      </w:r>
      <w:r w:rsidR="00EE1DA8">
        <w:t>strategies employed by others</w:t>
      </w:r>
      <w:r w:rsidR="001A1035">
        <w:t>.</w:t>
      </w:r>
      <w:r w:rsidR="00BF6956">
        <w:t xml:space="preserve"> Agencies shou</w:t>
      </w:r>
      <w:r w:rsidR="00457060">
        <w:t>ld have data collections for on</w:t>
      </w:r>
      <w:r w:rsidR="00BF6956">
        <w:t xml:space="preserve">going policy analysis which should also be useful in completing </w:t>
      </w:r>
      <w:proofErr w:type="spellStart"/>
      <w:r w:rsidR="00BF6956">
        <w:t>RISs</w:t>
      </w:r>
      <w:proofErr w:type="spellEnd"/>
      <w:r w:rsidR="00BF6956">
        <w:t>.</w:t>
      </w:r>
    </w:p>
    <w:p w:rsidR="00F530E5" w:rsidRDefault="00B96425" w:rsidP="00F530E5">
      <w:pPr>
        <w:pStyle w:val="BodyText"/>
      </w:pPr>
      <w:r>
        <w:t xml:space="preserve">Better use by agencies of the consultation requirements in the RIA process may assist the </w:t>
      </w:r>
      <w:r w:rsidR="00F530E5">
        <w:t>collect</w:t>
      </w:r>
      <w:r>
        <w:t>ion of data</w:t>
      </w:r>
      <w:r w:rsidR="00F530E5">
        <w:t xml:space="preserve"> from industry stakeholders, although this </w:t>
      </w:r>
      <w:r w:rsidR="001A1035">
        <w:t xml:space="preserve">would </w:t>
      </w:r>
      <w:r w:rsidR="00F530E5">
        <w:t>need to be validated against other sources</w:t>
      </w:r>
      <w:r>
        <w:t xml:space="preserve"> (chapter 7)</w:t>
      </w:r>
      <w:r w:rsidR="00F530E5">
        <w:t xml:space="preserve">. </w:t>
      </w:r>
      <w:r w:rsidR="001A1035">
        <w:t xml:space="preserve">Publication of a consultation RIS would allow stakeholders to comment on </w:t>
      </w:r>
      <w:r w:rsidR="00A46F83">
        <w:t xml:space="preserve">data used or </w:t>
      </w:r>
      <w:r w:rsidR="001A1035">
        <w:t xml:space="preserve">provide alternative data. </w:t>
      </w:r>
    </w:p>
    <w:p w:rsidR="00F530E5" w:rsidRDefault="0052064F" w:rsidP="00F530E5">
      <w:pPr>
        <w:pStyle w:val="BodyText"/>
      </w:pPr>
      <w:r>
        <w:lastRenderedPageBreak/>
        <w:t xml:space="preserve">The Commission recognises that it </w:t>
      </w:r>
      <w:r w:rsidRPr="00E41C00">
        <w:t xml:space="preserve">is not always possible to quantify all impacts of regulatory proposals, </w:t>
      </w:r>
      <w:r w:rsidR="00122C97">
        <w:t xml:space="preserve">but considers that </w:t>
      </w:r>
      <w:r w:rsidR="00EE1DA8">
        <w:t xml:space="preserve">even </w:t>
      </w:r>
      <w:r w:rsidRPr="00E41C00">
        <w:t>some quantification alongside qualitative evidence</w:t>
      </w:r>
      <w:r w:rsidR="00EE1DA8">
        <w:t xml:space="preserve"> improves the usefulness of a RIS in informing decision making</w:t>
      </w:r>
      <w:r w:rsidRPr="00E41C00">
        <w:t xml:space="preserve">. </w:t>
      </w:r>
      <w:r w:rsidR="00F530E5">
        <w:t xml:space="preserve">In the event that data sources are </w:t>
      </w:r>
      <w:r>
        <w:t xml:space="preserve">extremely </w:t>
      </w:r>
      <w:r w:rsidR="00F530E5">
        <w:t xml:space="preserve">limited, agencies </w:t>
      </w:r>
      <w:r w:rsidR="00C24A54">
        <w:t xml:space="preserve">(as well as industry and consumer stakeholder groups) </w:t>
      </w:r>
      <w:r w:rsidR="00F530E5">
        <w:t xml:space="preserve">should develop strategies and data collection methods at the regulatory design and implementation phase to ensure </w:t>
      </w:r>
      <w:r w:rsidR="00EF638C">
        <w:t xml:space="preserve">data will be available when the </w:t>
      </w:r>
      <w:r w:rsidR="00F530E5">
        <w:t xml:space="preserve">regulation </w:t>
      </w:r>
      <w:r w:rsidR="00EF638C">
        <w:t xml:space="preserve">is </w:t>
      </w:r>
      <w:r w:rsidR="00122C97">
        <w:t xml:space="preserve">subsequently </w:t>
      </w:r>
      <w:r w:rsidR="00683721">
        <w:t xml:space="preserve">reviewed </w:t>
      </w:r>
      <w:r w:rsidR="00B96425">
        <w:t xml:space="preserve">and </w:t>
      </w:r>
      <w:r w:rsidR="00F530E5">
        <w:t>evaluated</w:t>
      </w:r>
      <w:r w:rsidR="00041874">
        <w:t>.</w:t>
      </w:r>
    </w:p>
    <w:p w:rsidR="00EF5E7A" w:rsidRDefault="00EF5E7A" w:rsidP="001431A3">
      <w:pPr>
        <w:pStyle w:val="Heading4"/>
        <w:spacing w:before="400"/>
      </w:pPr>
      <w:r>
        <w:t>Using consultants</w:t>
      </w:r>
      <w:r w:rsidR="00BF2E45">
        <w:t xml:space="preserve"> effectively </w:t>
      </w:r>
    </w:p>
    <w:p w:rsidR="00EF5E7A" w:rsidRDefault="00EF5E7A" w:rsidP="00EF5E7A">
      <w:pPr>
        <w:pStyle w:val="BodyText"/>
      </w:pPr>
      <w:r>
        <w:t xml:space="preserve">Using consultants may fill </w:t>
      </w:r>
      <w:r w:rsidR="00EE1DA8">
        <w:t>a ‘</w:t>
      </w:r>
      <w:r w:rsidR="0025267F">
        <w:t xml:space="preserve">skills </w:t>
      </w:r>
      <w:r>
        <w:t>gap’ but agencies need to have some capacity in RIA, including cost</w:t>
      </w:r>
      <w:r w:rsidR="004308A4">
        <w:noBreakHyphen/>
      </w:r>
      <w:r>
        <w:t>benefit analysis, to evaluate work provided by consultants, as RIS</w:t>
      </w:r>
      <w:r w:rsidR="00501DAC">
        <w:t xml:space="preserve"> quality</w:t>
      </w:r>
      <w:r>
        <w:t xml:space="preserve"> remain</w:t>
      </w:r>
      <w:r w:rsidR="00501DAC">
        <w:t>s</w:t>
      </w:r>
      <w:r>
        <w:t xml:space="preserve"> the responsibility of the </w:t>
      </w:r>
      <w:r w:rsidR="00501DAC">
        <w:t xml:space="preserve">proponent </w:t>
      </w:r>
      <w:r>
        <w:t xml:space="preserve">agency in all jurisdictions. </w:t>
      </w:r>
    </w:p>
    <w:p w:rsidR="003E40D7" w:rsidRDefault="002728A4" w:rsidP="002728A4">
      <w:pPr>
        <w:pStyle w:val="BodyText"/>
      </w:pPr>
      <w:r>
        <w:t xml:space="preserve">Systematically outsourcing the entire RIA process or RIS document is unlikely to facilitate integration of RIA into </w:t>
      </w:r>
      <w:r w:rsidR="00457060">
        <w:t>agency</w:t>
      </w:r>
      <w:r>
        <w:t xml:space="preserve"> culture. </w:t>
      </w:r>
      <w:r w:rsidR="003E40D7">
        <w:t xml:space="preserve">Outsourcing without the skills to manage the contract or understand the product delivered may lead to documents that </w:t>
      </w:r>
      <w:r w:rsidR="00630795">
        <w:t>are not as useful to decision makers as they would otherwise be, for example, because they are overly technical</w:t>
      </w:r>
      <w:r w:rsidR="00A93A82">
        <w:t>,</w:t>
      </w:r>
      <w:r w:rsidR="00630795">
        <w:t xml:space="preserve"> too long</w:t>
      </w:r>
      <w:r w:rsidR="00A93A82">
        <w:t xml:space="preserve"> or focus on to</w:t>
      </w:r>
      <w:r w:rsidR="00385718">
        <w:t>o</w:t>
      </w:r>
      <w:r w:rsidR="00A93A82">
        <w:t xml:space="preserve"> many issues.</w:t>
      </w:r>
      <w:r w:rsidR="00F351FF">
        <w:t xml:space="preserve"> </w:t>
      </w:r>
    </w:p>
    <w:p w:rsidR="002728A4" w:rsidRDefault="002728A4" w:rsidP="002728A4">
      <w:pPr>
        <w:pStyle w:val="BodyText"/>
      </w:pPr>
      <w:r>
        <w:t>However, t</w:t>
      </w:r>
      <w:r w:rsidR="00EF5E7A">
        <w:t xml:space="preserve">he use of consultants </w:t>
      </w:r>
      <w:r w:rsidR="009E2DD4">
        <w:t>can</w:t>
      </w:r>
      <w:r w:rsidR="00EF5E7A">
        <w:t xml:space="preserve"> assist agencies </w:t>
      </w:r>
      <w:r w:rsidR="00A93A82">
        <w:t xml:space="preserve">to </w:t>
      </w:r>
      <w:r w:rsidR="00EF5E7A">
        <w:t xml:space="preserve">build </w:t>
      </w:r>
      <w:r w:rsidR="00A93A82">
        <w:t xml:space="preserve">the </w:t>
      </w:r>
      <w:r w:rsidR="00EF5E7A">
        <w:t xml:space="preserve">skills necessary to undertake RIA and support </w:t>
      </w:r>
      <w:r w:rsidR="00457060">
        <w:t xml:space="preserve">the </w:t>
      </w:r>
      <w:r w:rsidR="00EF5E7A">
        <w:t xml:space="preserve">integration of RIA into </w:t>
      </w:r>
      <w:r w:rsidR="00457060">
        <w:t xml:space="preserve">agency </w:t>
      </w:r>
      <w:r w:rsidR="00EF5E7A">
        <w:t xml:space="preserve">culture. To successfully use consultants to </w:t>
      </w:r>
      <w:r w:rsidR="00A93A82">
        <w:t xml:space="preserve">achieve </w:t>
      </w:r>
      <w:r w:rsidR="00EF5E7A">
        <w:t xml:space="preserve">this end, </w:t>
      </w:r>
      <w:r w:rsidR="00A93A82">
        <w:t xml:space="preserve">ideally </w:t>
      </w:r>
      <w:r w:rsidR="00EF5E7A">
        <w:t>the nature of the policy problem needs to be clearly defined prior to employing a consultant</w:t>
      </w:r>
      <w:r w:rsidR="00501DAC">
        <w:t xml:space="preserve"> and</w:t>
      </w:r>
      <w:r w:rsidR="00EF5E7A">
        <w:t xml:space="preserve"> </w:t>
      </w:r>
      <w:r w:rsidR="00501DAC">
        <w:t xml:space="preserve">a senior manager needs to work closely with the consultant to refine the choice of policy options and provide necessary information to facilitate </w:t>
      </w:r>
      <w:r w:rsidR="00A93A82">
        <w:t xml:space="preserve">the consultant’s </w:t>
      </w:r>
      <w:r w:rsidR="00501DAC">
        <w:t>analysis.</w:t>
      </w:r>
    </w:p>
    <w:p w:rsidR="00C1245E" w:rsidRDefault="003D5927" w:rsidP="00EF5E7A">
      <w:pPr>
        <w:pStyle w:val="BodyText"/>
      </w:pPr>
      <w:r>
        <w:t>Regulatory oversight bodies</w:t>
      </w:r>
      <w:r w:rsidR="00C1245E">
        <w:t xml:space="preserve"> may consider the merit</w:t>
      </w:r>
      <w:r w:rsidR="00457060">
        <w:t>s</w:t>
      </w:r>
      <w:r w:rsidR="00C1245E">
        <w:t xml:space="preserve"> </w:t>
      </w:r>
      <w:r w:rsidR="00457060">
        <w:t>of</w:t>
      </w:r>
      <w:r w:rsidR="00C1245E">
        <w:t xml:space="preserve"> developing short guidance material to </w:t>
      </w:r>
      <w:r w:rsidR="00C24A54">
        <w:t xml:space="preserve">advise </w:t>
      </w:r>
      <w:r w:rsidR="00C1245E">
        <w:t xml:space="preserve">agencies </w:t>
      </w:r>
      <w:r w:rsidR="002B5C8C">
        <w:t xml:space="preserve">on how to get maximum value from </w:t>
      </w:r>
      <w:r w:rsidR="00C24A54">
        <w:t xml:space="preserve">RIA consultancy </w:t>
      </w:r>
      <w:r w:rsidR="002B5C8C">
        <w:t xml:space="preserve">arrangements. The Victorian Department of Primary Industry have developed a guidance </w:t>
      </w:r>
      <w:r w:rsidR="00F351FF">
        <w:t xml:space="preserve">note </w:t>
      </w:r>
      <w:r w:rsidR="002B5C8C" w:rsidRPr="002B5C8C">
        <w:t>on engaging consultant</w:t>
      </w:r>
      <w:r w:rsidR="000A1378">
        <w:t>s</w:t>
      </w:r>
      <w:r w:rsidR="003E40D7">
        <w:t xml:space="preserve"> (Victorian DPI 2011)</w:t>
      </w:r>
      <w:r w:rsidR="002B5C8C">
        <w:t xml:space="preserve">. </w:t>
      </w:r>
      <w:r w:rsidR="003E40D7">
        <w:t>Th</w:t>
      </w:r>
      <w:r w:rsidR="00F351FF">
        <w:t>i</w:t>
      </w:r>
      <w:r w:rsidR="003E40D7">
        <w:t xml:space="preserve">s </w:t>
      </w:r>
      <w:r w:rsidR="00C24A54">
        <w:t xml:space="preserve">guide </w:t>
      </w:r>
      <w:r w:rsidR="003E40D7">
        <w:t>highlight</w:t>
      </w:r>
      <w:r w:rsidR="00F351FF">
        <w:t>s</w:t>
      </w:r>
      <w:r w:rsidR="003E40D7">
        <w:t xml:space="preserve"> that knowledge transfers should occur as a result of engaging a consultant, suggesting the agency </w:t>
      </w:r>
      <w:r w:rsidR="00C24A54">
        <w:t xml:space="preserve">should ultimately </w:t>
      </w:r>
      <w:r w:rsidR="00193674">
        <w:t>obtain</w:t>
      </w:r>
      <w:r w:rsidR="00C24A54">
        <w:t xml:space="preserve"> from the consultant </w:t>
      </w:r>
      <w:r w:rsidR="003E40D7">
        <w:t>all relevant material</w:t>
      </w:r>
      <w:r w:rsidR="00AC161D">
        <w:t>,</w:t>
      </w:r>
      <w:r w:rsidR="003E40D7">
        <w:t xml:space="preserve"> including important contacts developed</w:t>
      </w:r>
      <w:r w:rsidR="00B96425">
        <w:t xml:space="preserve"> (not just the RIS)</w:t>
      </w:r>
      <w:r w:rsidR="00AC161D">
        <w:t>,</w:t>
      </w:r>
      <w:r w:rsidR="003E40D7">
        <w:t xml:space="preserve"> and </w:t>
      </w:r>
      <w:r w:rsidR="00C24A54">
        <w:t xml:space="preserve">require </w:t>
      </w:r>
      <w:r w:rsidR="003E40D7">
        <w:t>an internal seminar. S</w:t>
      </w:r>
      <w:r w:rsidR="009E2DD4">
        <w:t xml:space="preserve">uch </w:t>
      </w:r>
      <w:r w:rsidR="003E40D7">
        <w:t>tools</w:t>
      </w:r>
      <w:r w:rsidR="009E2DD4">
        <w:t xml:space="preserve"> provide agencies with the </w:t>
      </w:r>
      <w:r w:rsidR="00B96425">
        <w:t xml:space="preserve">guidance </w:t>
      </w:r>
      <w:r w:rsidR="009E2DD4">
        <w:t>to manage the consultancy, develop in</w:t>
      </w:r>
      <w:r w:rsidR="004308A4">
        <w:noBreakHyphen/>
      </w:r>
      <w:r w:rsidR="009E2DD4">
        <w:t xml:space="preserve">house skills and deliver a document that is useful for decision makers. </w:t>
      </w:r>
    </w:p>
    <w:p w:rsidR="00EB0C1E" w:rsidRDefault="00EB0C1E" w:rsidP="001431A3">
      <w:pPr>
        <w:pStyle w:val="Heading4"/>
        <w:spacing w:before="400"/>
      </w:pPr>
      <w:r>
        <w:t>Written guidance material</w:t>
      </w:r>
    </w:p>
    <w:p w:rsidR="00EB0C1E" w:rsidRDefault="00EB0C1E" w:rsidP="00EB0C1E">
      <w:pPr>
        <w:pStyle w:val="BodyText"/>
      </w:pPr>
      <w:r>
        <w:t>All jurisdictions publish RIA guidance material</w:t>
      </w:r>
      <w:r w:rsidR="002731B4">
        <w:t>;</w:t>
      </w:r>
      <w:r w:rsidR="00A93A82">
        <w:t xml:space="preserve"> m</w:t>
      </w:r>
      <w:r>
        <w:t xml:space="preserve">ost </w:t>
      </w:r>
      <w:r w:rsidR="00A93A82">
        <w:t>are</w:t>
      </w:r>
      <w:r>
        <w:t xml:space="preserve"> sound</w:t>
      </w:r>
      <w:r w:rsidR="00A93A82">
        <w:t>,</w:t>
      </w:r>
      <w:r>
        <w:t xml:space="preserve"> incorporating the seven key elements identified in COAG </w:t>
      </w:r>
      <w:r w:rsidRPr="00FD1AF0">
        <w:rPr>
          <w:i/>
        </w:rPr>
        <w:t>Best Practice Regulation Guide</w:t>
      </w:r>
      <w:r w:rsidRPr="00FD1AF0">
        <w:t xml:space="preserve"> (</w:t>
      </w:r>
      <w:proofErr w:type="spellStart"/>
      <w:r w:rsidRPr="00FD1AF0">
        <w:t>COAG</w:t>
      </w:r>
      <w:proofErr w:type="spellEnd"/>
      <w:r w:rsidRPr="00FD1AF0">
        <w:t xml:space="preserve"> </w:t>
      </w:r>
      <w:proofErr w:type="spellStart"/>
      <w:r w:rsidRPr="00FD1AF0">
        <w:lastRenderedPageBreak/>
        <w:t>2007</w:t>
      </w:r>
      <w:r w:rsidR="00916C46">
        <w:t>a</w:t>
      </w:r>
      <w:proofErr w:type="spellEnd"/>
      <w:r w:rsidRPr="00FD1AF0">
        <w:t>)</w:t>
      </w:r>
      <w:r>
        <w:t xml:space="preserve">. While there are specific areas for improvement, </w:t>
      </w:r>
      <w:r w:rsidR="00C24A54">
        <w:t xml:space="preserve">the Commission concluded that </w:t>
      </w:r>
      <w:r>
        <w:t xml:space="preserve">more detailed guidance material is unlikely to substantially </w:t>
      </w:r>
      <w:r w:rsidR="00DF7007">
        <w:t>improve</w:t>
      </w:r>
      <w:r>
        <w:t xml:space="preserve"> RIS quality (chapter </w:t>
      </w:r>
      <w:r w:rsidR="00501DAC">
        <w:t>6</w:t>
      </w:r>
      <w:r>
        <w:t xml:space="preserve">). </w:t>
      </w:r>
    </w:p>
    <w:p w:rsidR="00EB0C1E" w:rsidRDefault="00EB0C1E" w:rsidP="00EB0C1E">
      <w:pPr>
        <w:pStyle w:val="BodyText"/>
      </w:pPr>
      <w:r>
        <w:t xml:space="preserve">The </w:t>
      </w:r>
      <w:r w:rsidRPr="0060498E">
        <w:t xml:space="preserve">amount of detail on key analytical requirements for RIA provided in guidance material, </w:t>
      </w:r>
      <w:r>
        <w:t xml:space="preserve">however, </w:t>
      </w:r>
      <w:r w:rsidRPr="0060498E">
        <w:t>differs substantially across Australian jurisdictions</w:t>
      </w:r>
      <w:r>
        <w:t xml:space="preserve">. </w:t>
      </w:r>
      <w:r w:rsidRPr="000F29D9">
        <w:t>Striking the right balance on the level of detail is not straightforward</w:t>
      </w:r>
      <w:r>
        <w:t xml:space="preserve">. </w:t>
      </w:r>
      <w:r w:rsidRPr="000F29D9">
        <w:t xml:space="preserve">Guidance material can be drafted at a high level, omitting more technical information, but it will be less able to support higher analytical standards required in some </w:t>
      </w:r>
      <w:proofErr w:type="spellStart"/>
      <w:r w:rsidRPr="000F29D9">
        <w:t>RIS</w:t>
      </w:r>
      <w:proofErr w:type="spellEnd"/>
      <w:r w:rsidRPr="000F29D9">
        <w:t xml:space="preserve"> documents</w:t>
      </w:r>
      <w:r>
        <w:t xml:space="preserve"> (OECD </w:t>
      </w:r>
      <w:proofErr w:type="spellStart"/>
      <w:r>
        <w:t>2009</w:t>
      </w:r>
      <w:r w:rsidR="00916C46">
        <w:t>b</w:t>
      </w:r>
      <w:proofErr w:type="spellEnd"/>
      <w:r>
        <w:t xml:space="preserve">). On the other hand, long and </w:t>
      </w:r>
      <w:r w:rsidR="00C24A54">
        <w:t xml:space="preserve">comprehensive </w:t>
      </w:r>
      <w:r>
        <w:t xml:space="preserve">guidance material may be </w:t>
      </w:r>
      <w:r w:rsidR="00C24A54">
        <w:t>impenetrable for</w:t>
      </w:r>
      <w:r>
        <w:t xml:space="preserve"> the general user. </w:t>
      </w:r>
      <w:r w:rsidRPr="00D7095D">
        <w:t xml:space="preserve">One potential solution </w:t>
      </w:r>
      <w:r>
        <w:t xml:space="preserve">is </w:t>
      </w:r>
      <w:r w:rsidRPr="00D7095D">
        <w:t>to develop brief and non</w:t>
      </w:r>
      <w:r w:rsidR="004308A4">
        <w:noBreakHyphen/>
      </w:r>
      <w:r w:rsidRPr="00D7095D">
        <w:t xml:space="preserve">technical guidance material that is supported by a number of </w:t>
      </w:r>
      <w:r>
        <w:t xml:space="preserve">more detailed and </w:t>
      </w:r>
      <w:r w:rsidRPr="00D7095D">
        <w:t xml:space="preserve">technical </w:t>
      </w:r>
      <w:r>
        <w:t>documents</w:t>
      </w:r>
      <w:r w:rsidRPr="000F29D9">
        <w:t>.</w:t>
      </w:r>
      <w:r>
        <w:t xml:space="preserve"> International</w:t>
      </w:r>
      <w:r w:rsidR="00457060">
        <w:t>ly,</w:t>
      </w:r>
      <w:r>
        <w:t xml:space="preserve"> </w:t>
      </w:r>
      <w:r w:rsidRPr="00E91A71">
        <w:t xml:space="preserve">RIA </w:t>
      </w:r>
      <w:r>
        <w:t xml:space="preserve">written </w:t>
      </w:r>
      <w:r w:rsidRPr="00E91A71">
        <w:t xml:space="preserve">guidance </w:t>
      </w:r>
      <w:r w:rsidR="00457060">
        <w:t xml:space="preserve">in the </w:t>
      </w:r>
      <w:r>
        <w:t>United Kingdom</w:t>
      </w:r>
      <w:r w:rsidR="00457060">
        <w:t xml:space="preserve"> </w:t>
      </w:r>
      <w:r w:rsidRPr="00E91A71">
        <w:t>caters for the different needs of users</w:t>
      </w:r>
      <w:r w:rsidR="00457060">
        <w:t xml:space="preserve"> and appears to be </w:t>
      </w:r>
      <w:r w:rsidR="007622AA">
        <w:t xml:space="preserve">a </w:t>
      </w:r>
      <w:r w:rsidR="00457060">
        <w:t>leading practice in this regard</w:t>
      </w:r>
      <w:r>
        <w:t xml:space="preserve">. Some Australian jurisdictions </w:t>
      </w:r>
      <w:r w:rsidR="00A93A82">
        <w:t>have adopted a similar approach</w:t>
      </w:r>
      <w:r>
        <w:t xml:space="preserve">, including the Commonwealth, COAG, New South Wales, Queensland, Western Australia and South Australia. </w:t>
      </w:r>
    </w:p>
    <w:p w:rsidR="001E35AD" w:rsidRPr="00914D62" w:rsidRDefault="001E35AD" w:rsidP="001431A3">
      <w:pPr>
        <w:pStyle w:val="Heading4"/>
        <w:spacing w:before="400"/>
      </w:pPr>
      <w:r w:rsidRPr="00914D62">
        <w:rPr>
          <w:rStyle w:val="Heading4Char"/>
          <w:i/>
        </w:rPr>
        <w:t>Coordinating units promote integration</w:t>
      </w:r>
    </w:p>
    <w:p w:rsidR="001E35AD" w:rsidRDefault="001E35AD" w:rsidP="001E35AD">
      <w:pPr>
        <w:pStyle w:val="BodyText"/>
      </w:pPr>
      <w:r w:rsidRPr="00D7553A">
        <w:t>Some agencies have established centralised regulatory units to</w:t>
      </w:r>
      <w:r>
        <w:t xml:space="preserve"> implement RIA requirements</w:t>
      </w:r>
      <w:r w:rsidR="00C24A54">
        <w:t>,</w:t>
      </w:r>
      <w:r>
        <w:t xml:space="preserve"> among other regulatory functions (chapter 3). In these agencies, the relevant policy area is generally responsible for completing the process but is assisted by the centralised unit for RIA guidance and technical assistance. Integration is more likely to be fostered in agencies with centralised units as: </w:t>
      </w:r>
    </w:p>
    <w:p w:rsidR="00501DAC" w:rsidRDefault="00501DAC" w:rsidP="00501DAC">
      <w:pPr>
        <w:pStyle w:val="ListBullet"/>
      </w:pPr>
      <w:r>
        <w:t>internal RIA processes are es</w:t>
      </w:r>
      <w:r w:rsidR="00345CC0">
        <w:t>tablished and refined over time</w:t>
      </w:r>
    </w:p>
    <w:p w:rsidR="001E35AD" w:rsidRDefault="001E35AD" w:rsidP="001E35AD">
      <w:pPr>
        <w:pStyle w:val="ListBullet"/>
      </w:pPr>
      <w:r>
        <w:t>staff within the unit are committed to undertaking and complying with the RIA process as it is one of their principal</w:t>
      </w:r>
      <w:r w:rsidRPr="00C95D66">
        <w:t xml:space="preserve"> </w:t>
      </w:r>
      <w:r>
        <w:t xml:space="preserve">responsibilities </w:t>
      </w:r>
      <w:r w:rsidR="00A93A82">
        <w:t xml:space="preserve">— </w:t>
      </w:r>
      <w:r>
        <w:t xml:space="preserve">the process is not viewed simply as </w:t>
      </w:r>
      <w:r w:rsidR="00643251">
        <w:t xml:space="preserve">an additional administrative task or </w:t>
      </w:r>
      <w:r w:rsidR="00DC6685">
        <w:t xml:space="preserve">a </w:t>
      </w:r>
      <w:r w:rsidR="00643251">
        <w:t xml:space="preserve">distraction from their </w:t>
      </w:r>
      <w:r w:rsidR="00DC6685">
        <w:t>core</w:t>
      </w:r>
      <w:r w:rsidR="00643251">
        <w:t xml:space="preserve"> work</w:t>
      </w:r>
    </w:p>
    <w:p w:rsidR="001E35AD" w:rsidRDefault="001E35AD" w:rsidP="001E35AD">
      <w:pPr>
        <w:pStyle w:val="ListBullet"/>
      </w:pPr>
      <w:r>
        <w:t>the RIA capacity of staff within the unit is developed over time with ongoing exposure to the process</w:t>
      </w:r>
      <w:r w:rsidR="00643251">
        <w:t xml:space="preserve"> and other staff value this experience and knowledge</w:t>
      </w:r>
      <w:r>
        <w:t xml:space="preserve">. </w:t>
      </w:r>
    </w:p>
    <w:p w:rsidR="001E35AD" w:rsidRDefault="001E35AD" w:rsidP="001E35AD">
      <w:pPr>
        <w:pStyle w:val="BodyText"/>
      </w:pPr>
      <w:r>
        <w:t xml:space="preserve">Around half of the agency survey respondents indicated that their agency had a centralised unit that assisted in undertaking the RIA process (PC </w:t>
      </w:r>
      <w:r w:rsidR="005230C4">
        <w:t>RIA</w:t>
      </w:r>
      <w:r>
        <w:t xml:space="preserve"> </w:t>
      </w:r>
      <w:r w:rsidR="005230C4">
        <w:t>S</w:t>
      </w:r>
      <w:r>
        <w:t>urvey 2012). A centralised unit was more common in agencies that undert</w:t>
      </w:r>
      <w:r w:rsidR="00A93A82">
        <w:t>a</w:t>
      </w:r>
      <w:r>
        <w:t>k</w:t>
      </w:r>
      <w:r w:rsidR="00A93A82">
        <w:t>e</w:t>
      </w:r>
      <w:r>
        <w:t xml:space="preserve"> a comparatively larger number of </w:t>
      </w:r>
      <w:proofErr w:type="spellStart"/>
      <w:r>
        <w:t>RIS</w:t>
      </w:r>
      <w:r w:rsidR="00A93A82">
        <w:t>s</w:t>
      </w:r>
      <w:proofErr w:type="spellEnd"/>
      <w:r>
        <w:t xml:space="preserve"> or have significant regulatory responsibilities. The Victorian DPI</w:t>
      </w:r>
      <w:r w:rsidR="00246332">
        <w:t>,</w:t>
      </w:r>
      <w:r>
        <w:t xml:space="preserve"> </w:t>
      </w:r>
      <w:r w:rsidR="002731B4">
        <w:t xml:space="preserve">which </w:t>
      </w:r>
      <w:r>
        <w:t xml:space="preserve">has had a </w:t>
      </w:r>
      <w:r w:rsidR="00246332">
        <w:t xml:space="preserve">regulatory unit </w:t>
      </w:r>
      <w:r>
        <w:t>since 2007</w:t>
      </w:r>
      <w:r w:rsidR="00246332">
        <w:t xml:space="preserve">, argues </w:t>
      </w:r>
      <w:r>
        <w:t xml:space="preserve">that </w:t>
      </w:r>
      <w:r w:rsidR="00246332">
        <w:t>its unit</w:t>
      </w:r>
      <w:r>
        <w:t xml:space="preserve"> supports and challenges policy teams and portfolio regulators to embed better regulation principles into policy development and enforcement (Vic</w:t>
      </w:r>
      <w:r w:rsidR="001B1AEE">
        <w:t>torian</w:t>
      </w:r>
      <w:r>
        <w:t xml:space="preserve"> DPI 2010). </w:t>
      </w:r>
      <w:r w:rsidR="00385718">
        <w:t>However, s</w:t>
      </w:r>
      <w:r>
        <w:t xml:space="preserve">maller agencies and those that engage with RIA processes only a few </w:t>
      </w:r>
      <w:r>
        <w:lastRenderedPageBreak/>
        <w:t xml:space="preserve">times each year may not find it cost effective to establish a centralised unit. The </w:t>
      </w:r>
      <w:r w:rsidR="002731B4">
        <w:t xml:space="preserve">Australian Government </w:t>
      </w:r>
      <w:r w:rsidR="00DA2950">
        <w:t>Attorney</w:t>
      </w:r>
      <w:r w:rsidR="00DA2950">
        <w:noBreakHyphen/>
        <w:t>General’s Department</w:t>
      </w:r>
      <w:r>
        <w:t xml:space="preserve"> highlighted this point: </w:t>
      </w:r>
    </w:p>
    <w:p w:rsidR="001E35AD" w:rsidRDefault="001E35AD" w:rsidP="001E35AD">
      <w:pPr>
        <w:pStyle w:val="Quote"/>
      </w:pPr>
      <w:r>
        <w:t>… it may not be cost effective for an agency to maintain staff with expertise on a range of matters (including subject matter expertise) to complete RIS documents on an ad</w:t>
      </w:r>
      <w:r w:rsidR="004308A4">
        <w:noBreakHyphen/>
      </w:r>
      <w:r>
        <w:t>hoc basis. While maintaining a section of experts purely for that purpose would be desirable, it would be difficult to justify under the current economic environment. (sub.</w:t>
      </w:r>
      <w:r w:rsidR="009A6427">
        <w:t> </w:t>
      </w:r>
      <w:r>
        <w:t>4, p. 5)</w:t>
      </w:r>
    </w:p>
    <w:p w:rsidR="001E35AD" w:rsidRDefault="007E1126" w:rsidP="001E35AD">
      <w:pPr>
        <w:pStyle w:val="Heading4"/>
      </w:pPr>
      <w:r>
        <w:t xml:space="preserve">Network of </w:t>
      </w:r>
      <w:r w:rsidR="001E35AD">
        <w:t>coordinators can aid integration</w:t>
      </w:r>
    </w:p>
    <w:p w:rsidR="0067620D" w:rsidRDefault="001E35AD" w:rsidP="001E35AD">
      <w:pPr>
        <w:pStyle w:val="BodyText"/>
      </w:pPr>
      <w:r>
        <w:t>S</w:t>
      </w:r>
      <w:r w:rsidRPr="005C4ED7">
        <w:t xml:space="preserve">ome jurisdictions have established </w:t>
      </w:r>
      <w:r w:rsidR="0067620D">
        <w:t>regulatory network</w:t>
      </w:r>
      <w:r w:rsidR="0067620D" w:rsidRPr="005C4ED7">
        <w:t xml:space="preserve"> </w:t>
      </w:r>
      <w:r w:rsidRPr="005C4ED7">
        <w:t>coordinators (or had them at some stage) so the</w:t>
      </w:r>
      <w:r w:rsidR="0067620D">
        <w:t>se representatives</w:t>
      </w:r>
      <w:r w:rsidRPr="005C4ED7">
        <w:t xml:space="preserve"> can come together to share experiences and ideas, learn f</w:t>
      </w:r>
      <w:r w:rsidR="005D10FD">
        <w:t>r</w:t>
      </w:r>
      <w:r w:rsidRPr="005C4ED7">
        <w:t>o</w:t>
      </w:r>
      <w:r w:rsidR="005D10FD">
        <w:t>m</w:t>
      </w:r>
      <w:r w:rsidRPr="005C4ED7">
        <w:t xml:space="preserve"> others and transfer knowledge</w:t>
      </w:r>
      <w:r>
        <w:t xml:space="preserve"> </w:t>
      </w:r>
      <w:r w:rsidR="00501DAC">
        <w:t xml:space="preserve">between agencies </w:t>
      </w:r>
      <w:r>
        <w:t>(chapter 3)</w:t>
      </w:r>
      <w:r w:rsidRPr="005C4ED7">
        <w:t>.</w:t>
      </w:r>
      <w:r>
        <w:t xml:space="preserve"> </w:t>
      </w:r>
    </w:p>
    <w:p w:rsidR="001E35AD" w:rsidRPr="005C4ED7" w:rsidRDefault="00501DAC" w:rsidP="0035753F">
      <w:pPr>
        <w:pStyle w:val="BodyText"/>
      </w:pPr>
      <w:r>
        <w:t>The</w:t>
      </w:r>
      <w:r w:rsidR="001E35AD">
        <w:t xml:space="preserve"> success </w:t>
      </w:r>
      <w:r>
        <w:t>of such arrangements is</w:t>
      </w:r>
      <w:r w:rsidR="001E35AD">
        <w:t xml:space="preserve"> mixed. </w:t>
      </w:r>
      <w:r>
        <w:t>S</w:t>
      </w:r>
      <w:r w:rsidR="001E35AD">
        <w:t xml:space="preserve">ome </w:t>
      </w:r>
      <w:r>
        <w:t xml:space="preserve">networks of coordinators have operated </w:t>
      </w:r>
      <w:r w:rsidR="001E35AD">
        <w:t>for a limited period</w:t>
      </w:r>
      <w:r>
        <w:t xml:space="preserve"> or been in infrequent contact with other agencies</w:t>
      </w:r>
      <w:r w:rsidR="001E35AD">
        <w:t xml:space="preserve">, </w:t>
      </w:r>
      <w:r w:rsidR="007C0FBB">
        <w:t xml:space="preserve">some </w:t>
      </w:r>
      <w:r w:rsidR="001E35AD">
        <w:t xml:space="preserve">operate in name only with minimal influence, while others </w:t>
      </w:r>
      <w:r>
        <w:t>are reported to be</w:t>
      </w:r>
      <w:r w:rsidR="009306AB">
        <w:t xml:space="preserve"> </w:t>
      </w:r>
      <w:r w:rsidR="001E35AD">
        <w:t>useful in sharing experience</w:t>
      </w:r>
      <w:r w:rsidR="009306AB">
        <w:t>s</w:t>
      </w:r>
      <w:r w:rsidR="001E35AD">
        <w:t xml:space="preserve"> and improving the operation of the RIA process. </w:t>
      </w:r>
      <w:r>
        <w:t xml:space="preserve">For </w:t>
      </w:r>
      <w:r w:rsidR="009306AB">
        <w:t>example,</w:t>
      </w:r>
      <w:r w:rsidR="001E35AD">
        <w:t xml:space="preserve"> in Western Australia, the RIA working group appears to be pivotal in providing agencies</w:t>
      </w:r>
      <w:r w:rsidR="007C0FBB">
        <w:t xml:space="preserve"> with</w:t>
      </w:r>
      <w:r w:rsidR="001E35AD">
        <w:t xml:space="preserve"> a forum to discuss the implementation of</w:t>
      </w:r>
      <w:r w:rsidR="009306AB">
        <w:t xml:space="preserve"> RIA and suggest improvements</w:t>
      </w:r>
      <w:r w:rsidR="00E246FE">
        <w:t xml:space="preserve"> (</w:t>
      </w:r>
      <w:r w:rsidR="001E35AD">
        <w:t>West</w:t>
      </w:r>
      <w:r>
        <w:t>ern</w:t>
      </w:r>
      <w:r w:rsidR="001E35AD">
        <w:t xml:space="preserve"> Australian Government, sub.</w:t>
      </w:r>
      <w:r w:rsidR="00EB20B3">
        <w:t> </w:t>
      </w:r>
      <w:r w:rsidR="001E35AD">
        <w:t>24</w:t>
      </w:r>
      <w:r w:rsidR="00E246FE">
        <w:t xml:space="preserve">) </w:t>
      </w:r>
    </w:p>
    <w:p w:rsidR="001E35AD" w:rsidRDefault="001E35AD" w:rsidP="005D72FE">
      <w:pPr>
        <w:pStyle w:val="Heading4"/>
        <w:spacing w:before="460"/>
      </w:pPr>
      <w:proofErr w:type="spellStart"/>
      <w:r>
        <w:t>Outpost</w:t>
      </w:r>
      <w:r w:rsidR="008253A5">
        <w:t>ing</w:t>
      </w:r>
      <w:proofErr w:type="spellEnd"/>
      <w:r w:rsidR="008253A5">
        <w:t xml:space="preserve"> initiative </w:t>
      </w:r>
    </w:p>
    <w:p w:rsidR="001E35AD" w:rsidRDefault="001E35AD" w:rsidP="001E35AD">
      <w:pPr>
        <w:pStyle w:val="BodyText"/>
      </w:pPr>
      <w:r>
        <w:t>T</w:t>
      </w:r>
      <w:r w:rsidRPr="0089557B">
        <w:t xml:space="preserve">he </w:t>
      </w:r>
      <w:proofErr w:type="spellStart"/>
      <w:r w:rsidRPr="0089557B">
        <w:t>OBPR</w:t>
      </w:r>
      <w:proofErr w:type="spellEnd"/>
      <w:r w:rsidRPr="0089557B">
        <w:t xml:space="preserve"> </w:t>
      </w:r>
      <w:r>
        <w:t xml:space="preserve">introduced an </w:t>
      </w:r>
      <w:proofErr w:type="spellStart"/>
      <w:r>
        <w:t>outpost</w:t>
      </w:r>
      <w:r w:rsidR="008253A5">
        <w:t>ing</w:t>
      </w:r>
      <w:proofErr w:type="spellEnd"/>
      <w:r>
        <w:t xml:space="preserve"> </w:t>
      </w:r>
      <w:r w:rsidR="008253A5">
        <w:t>initiative</w:t>
      </w:r>
      <w:r w:rsidR="00501DAC">
        <w:t xml:space="preserve"> </w:t>
      </w:r>
      <w:r>
        <w:t>in late 2011 (</w:t>
      </w:r>
      <w:r w:rsidR="007C0FBB">
        <w:t>chapter </w:t>
      </w:r>
      <w:r>
        <w:t>3). Whil</w:t>
      </w:r>
      <w:r w:rsidR="00DC6685">
        <w:t>e</w:t>
      </w:r>
      <w:r>
        <w:t xml:space="preserve"> </w:t>
      </w:r>
      <w:r w:rsidR="003C3492">
        <w:t>only a small proportion of agencies have use</w:t>
      </w:r>
      <w:r w:rsidR="000A0EE5">
        <w:t>d</w:t>
      </w:r>
      <w:r w:rsidR="003C3492">
        <w:t xml:space="preserve"> the </w:t>
      </w:r>
      <w:r w:rsidR="008253A5">
        <w:t>initiative</w:t>
      </w:r>
      <w:r w:rsidR="003C3492">
        <w:t xml:space="preserve"> to date</w:t>
      </w:r>
      <w:r>
        <w:t xml:space="preserve">, </w:t>
      </w:r>
      <w:r w:rsidR="003C3492">
        <w:t>it</w:t>
      </w:r>
      <w:r>
        <w:t xml:space="preserve"> appears to be reasonably successful in delivering </w:t>
      </w:r>
      <w:r w:rsidR="007C0FBB">
        <w:t xml:space="preserve">on </w:t>
      </w:r>
      <w:r w:rsidR="00501DAC">
        <w:t xml:space="preserve">its </w:t>
      </w:r>
      <w:r>
        <w:t>objective</w:t>
      </w:r>
      <w:r w:rsidR="00501DAC">
        <w:t xml:space="preserve"> of</w:t>
      </w:r>
      <w:r w:rsidR="00385EC2">
        <w:t xml:space="preserve"> assisting the host agency </w:t>
      </w:r>
      <w:r w:rsidR="0067620D">
        <w:t xml:space="preserve">to </w:t>
      </w:r>
      <w:r w:rsidR="00385EC2">
        <w:t>meet RIA requirements</w:t>
      </w:r>
      <w:r>
        <w:t xml:space="preserve">. The Commonwealth </w:t>
      </w:r>
      <w:proofErr w:type="spellStart"/>
      <w:r>
        <w:t>DCCEE</w:t>
      </w:r>
      <w:proofErr w:type="spellEnd"/>
      <w:r>
        <w:t xml:space="preserve"> has </w:t>
      </w:r>
      <w:r w:rsidR="005F3395">
        <w:t xml:space="preserve">had </w:t>
      </w:r>
      <w:r>
        <w:t xml:space="preserve">an outpost officer primarily dealing with ongoing COAG regulatory work. Its experience has been ‘very positive’ with perceived benefits to the </w:t>
      </w:r>
      <w:r w:rsidR="0067620D">
        <w:t>D</w:t>
      </w:r>
      <w:r>
        <w:t xml:space="preserve">epartment and OBPR, including improving </w:t>
      </w:r>
      <w:r w:rsidR="007C0FBB">
        <w:t xml:space="preserve">integration </w:t>
      </w:r>
      <w:r>
        <w:t xml:space="preserve">of RIA: </w:t>
      </w:r>
    </w:p>
    <w:p w:rsidR="001E35AD" w:rsidRDefault="001E35AD" w:rsidP="001E35AD">
      <w:pPr>
        <w:pStyle w:val="Quote"/>
      </w:pPr>
      <w:r>
        <w:t>Not only has it worked to lift expertise in regulation analysis in the Division but also seems to have contributed to an understanding within OBPR of the type of issues that we face when trying to complete a RIS. From our perspective, it has helped accelerate an understanding among our staff that regulatory analysis is part of the everyday tool kit … (</w:t>
      </w:r>
      <w:proofErr w:type="spellStart"/>
      <w:r>
        <w:t>DCCEE</w:t>
      </w:r>
      <w:proofErr w:type="spellEnd"/>
      <w:r>
        <w:t xml:space="preserve"> 2012, p. 3)</w:t>
      </w:r>
    </w:p>
    <w:p w:rsidR="001E35AD" w:rsidRDefault="00501DAC" w:rsidP="001E35AD">
      <w:pPr>
        <w:pStyle w:val="BodyText"/>
      </w:pPr>
      <w:r>
        <w:t>T</w:t>
      </w:r>
      <w:r w:rsidR="001E35AD">
        <w:t>hese benefits come at a cost to the agency as they pay the OBPR for the services of the outpost</w:t>
      </w:r>
      <w:r w:rsidR="0060135F">
        <w:t xml:space="preserve"> officer</w:t>
      </w:r>
      <w:r w:rsidR="003C3492">
        <w:t xml:space="preserve"> (chapter 3)</w:t>
      </w:r>
      <w:r w:rsidR="001E35AD">
        <w:t xml:space="preserve">. The </w:t>
      </w:r>
      <w:r w:rsidR="002731B4">
        <w:t xml:space="preserve">Australian Government </w:t>
      </w:r>
      <w:r w:rsidR="00DA2950">
        <w:t>Attorney</w:t>
      </w:r>
      <w:r w:rsidR="00DA2950">
        <w:noBreakHyphen/>
        <w:t>General’s Department</w:t>
      </w:r>
      <w:r w:rsidR="009A6427">
        <w:t xml:space="preserve"> </w:t>
      </w:r>
      <w:r w:rsidR="001E35AD">
        <w:t xml:space="preserve">has called for these services to be made easily accessible </w:t>
      </w:r>
      <w:r w:rsidR="00DE6DB3">
        <w:t xml:space="preserve">to </w:t>
      </w:r>
      <w:r w:rsidR="001E35AD">
        <w:t>ensur</w:t>
      </w:r>
      <w:r w:rsidR="00DE6DB3">
        <w:t>e</w:t>
      </w:r>
      <w:r w:rsidR="001E35AD">
        <w:t xml:space="preserve"> </w:t>
      </w:r>
      <w:r w:rsidR="00DE6DB3">
        <w:t>‘</w:t>
      </w:r>
      <w:r w:rsidR="001E35AD">
        <w:t>cost effectiveness for agencies’ (sub. 4,</w:t>
      </w:r>
      <w:r w:rsidR="00EB20B3">
        <w:t> </w:t>
      </w:r>
      <w:r w:rsidR="001E35AD">
        <w:t xml:space="preserve">p. 4). An agency survey respondent also noted benefits of this model but </w:t>
      </w:r>
      <w:r w:rsidR="007C0FBB">
        <w:t xml:space="preserve">noted </w:t>
      </w:r>
      <w:r w:rsidR="001E35AD">
        <w:t>that costs are a barrier for a small agency:</w:t>
      </w:r>
    </w:p>
    <w:p w:rsidR="001E35AD" w:rsidRDefault="001E35AD" w:rsidP="001E35AD">
      <w:pPr>
        <w:pStyle w:val="Quote"/>
      </w:pPr>
      <w:r w:rsidRPr="00D7105B">
        <w:lastRenderedPageBreak/>
        <w:t>OBPR should be complimented for its recently introduced initiative to outsource staff to agencies to assist in RIS development and this might be a useful model for the future to assist in building expertise in smaller agencies and meeting OBPR expectations. However they should review the total cost arrangement which is very expensive for a small agency</w:t>
      </w:r>
      <w:r>
        <w:t xml:space="preserve"> (PC </w:t>
      </w:r>
      <w:r w:rsidR="005230C4">
        <w:t>RIA S</w:t>
      </w:r>
      <w:r>
        <w:t xml:space="preserve">urvey 2012). </w:t>
      </w:r>
    </w:p>
    <w:p w:rsidR="002E307C" w:rsidRDefault="008C166E" w:rsidP="002E307C">
      <w:pPr>
        <w:pStyle w:val="BodyText"/>
      </w:pPr>
      <w:r w:rsidRPr="00E802CC">
        <w:t xml:space="preserve">Despite </w:t>
      </w:r>
      <w:r w:rsidR="007C0FBB">
        <w:t>generally</w:t>
      </w:r>
      <w:r w:rsidR="007C0FBB" w:rsidRPr="00E802CC">
        <w:t xml:space="preserve"> </w:t>
      </w:r>
      <w:r w:rsidRPr="00E802CC">
        <w:t xml:space="preserve">positive feedback, </w:t>
      </w:r>
      <w:proofErr w:type="spellStart"/>
      <w:r w:rsidRPr="00E802CC">
        <w:t>Borthwick</w:t>
      </w:r>
      <w:proofErr w:type="spellEnd"/>
      <w:r w:rsidRPr="00E802CC">
        <w:t xml:space="preserve"> and Mil</w:t>
      </w:r>
      <w:r w:rsidR="00E802CC">
        <w:t>li</w:t>
      </w:r>
      <w:r w:rsidRPr="00E802CC">
        <w:t>ner (2012</w:t>
      </w:r>
      <w:r w:rsidR="00A32D73">
        <w:t>)</w:t>
      </w:r>
      <w:r w:rsidRPr="00E802CC">
        <w:t xml:space="preserve"> </w:t>
      </w:r>
      <w:r w:rsidR="00A32D73">
        <w:t>found mixed support from agencies regarding the outpost</w:t>
      </w:r>
      <w:r w:rsidR="0060135F">
        <w:t xml:space="preserve"> officer</w:t>
      </w:r>
      <w:r w:rsidR="00A32D73">
        <w:t xml:space="preserve"> </w:t>
      </w:r>
      <w:r w:rsidR="00310004">
        <w:t xml:space="preserve">initiative </w:t>
      </w:r>
      <w:r w:rsidR="00A32D73">
        <w:t xml:space="preserve">and they themselves </w:t>
      </w:r>
      <w:r w:rsidR="003270E6">
        <w:t xml:space="preserve">have not put their full </w:t>
      </w:r>
      <w:r w:rsidRPr="00E802CC">
        <w:t xml:space="preserve">support </w:t>
      </w:r>
      <w:r w:rsidR="003270E6">
        <w:t xml:space="preserve">behind </w:t>
      </w:r>
      <w:r w:rsidRPr="00E802CC">
        <w:t xml:space="preserve">this initiative. </w:t>
      </w:r>
      <w:r w:rsidR="002E307C" w:rsidRPr="00E802CC">
        <w:t xml:space="preserve">Their reservations </w:t>
      </w:r>
      <w:r w:rsidR="003270E6">
        <w:t xml:space="preserve">rest with </w:t>
      </w:r>
      <w:r w:rsidR="002E307C" w:rsidRPr="00E802CC">
        <w:t xml:space="preserve">the </w:t>
      </w:r>
      <w:r w:rsidR="003270E6">
        <w:t xml:space="preserve">possibility that the </w:t>
      </w:r>
      <w:r w:rsidR="002E307C" w:rsidRPr="00E802CC">
        <w:t xml:space="preserve">outpost officer </w:t>
      </w:r>
      <w:r w:rsidR="003270E6">
        <w:t>could become</w:t>
      </w:r>
      <w:r w:rsidR="002E307C" w:rsidRPr="00E802CC">
        <w:t xml:space="preserve"> a substitute for agencies accepting responsibility </w:t>
      </w:r>
      <w:r w:rsidR="007C0FBB">
        <w:t xml:space="preserve">for </w:t>
      </w:r>
      <w:r w:rsidR="003270E6">
        <w:t xml:space="preserve">the RIA process — </w:t>
      </w:r>
      <w:r w:rsidR="002E307C" w:rsidRPr="00E802CC">
        <w:t xml:space="preserve">work that the review felt </w:t>
      </w:r>
      <w:r w:rsidR="00712B32">
        <w:t>should be</w:t>
      </w:r>
      <w:r w:rsidR="00712B32" w:rsidRPr="00E802CC">
        <w:t xml:space="preserve"> </w:t>
      </w:r>
      <w:r w:rsidR="002E307C" w:rsidRPr="00E802CC">
        <w:t>‘core business’ for agencies</w:t>
      </w:r>
      <w:r w:rsidR="00A32D73">
        <w:t xml:space="preserve"> (p. 53)</w:t>
      </w:r>
      <w:r w:rsidR="002E307C" w:rsidRPr="00E802CC">
        <w:t xml:space="preserve">. </w:t>
      </w:r>
      <w:r w:rsidR="002E307C">
        <w:t>As with use of consultants, agencies need to utilise the skills of the outpost officer to build up the skills of agency staff. An outpost officer completing a RIA process in isolation is unlikely to encourage greater integration and</w:t>
      </w:r>
      <w:r w:rsidR="005419A6">
        <w:t xml:space="preserve"> does</w:t>
      </w:r>
      <w:r w:rsidR="002E307C">
        <w:t xml:space="preserve"> risk becoming a substitute for the agency staff engaging with the RIA requirements. </w:t>
      </w:r>
    </w:p>
    <w:p w:rsidR="008C166E" w:rsidRDefault="00167C42" w:rsidP="001E35AD">
      <w:pPr>
        <w:pStyle w:val="BodyText"/>
      </w:pPr>
      <w:r>
        <w:t xml:space="preserve">Another potential </w:t>
      </w:r>
      <w:r w:rsidR="00501DAC">
        <w:t>risk of an outpost officer scheme is that the officer</w:t>
      </w:r>
      <w:r w:rsidR="00950D43">
        <w:t xml:space="preserve"> will</w:t>
      </w:r>
      <w:r w:rsidR="00501DAC">
        <w:t xml:space="preserve"> becom</w:t>
      </w:r>
      <w:r w:rsidR="00950D43">
        <w:t>e</w:t>
      </w:r>
      <w:r w:rsidR="00501DAC">
        <w:t xml:space="preserve"> ‘caught up’ in the agenda of the host agency</w:t>
      </w:r>
      <w:r w:rsidR="00935858">
        <w:t xml:space="preserve"> and be subsequently less objective in their oversight functions on return to the regulatory oversight body</w:t>
      </w:r>
      <w:r w:rsidR="00501DAC">
        <w:t xml:space="preserve">. Such an outcome would be more likely </w:t>
      </w:r>
      <w:r w:rsidR="00935858">
        <w:t xml:space="preserve">the longer an oversight body officer is </w:t>
      </w:r>
      <w:proofErr w:type="spellStart"/>
      <w:r w:rsidR="00935858">
        <w:t>outposted</w:t>
      </w:r>
      <w:proofErr w:type="spellEnd"/>
      <w:r w:rsidR="000638C7">
        <w:t xml:space="preserve">, although </w:t>
      </w:r>
      <w:proofErr w:type="spellStart"/>
      <w:r w:rsidR="000638C7">
        <w:t>OBPR</w:t>
      </w:r>
      <w:proofErr w:type="spellEnd"/>
      <w:r w:rsidR="000638C7">
        <w:t xml:space="preserve"> has taken steps to minimise the risks through its </w:t>
      </w:r>
      <w:proofErr w:type="spellStart"/>
      <w:r w:rsidR="000638C7">
        <w:t>MOU</w:t>
      </w:r>
      <w:proofErr w:type="spellEnd"/>
      <w:r w:rsidR="000638C7">
        <w:t xml:space="preserve"> on </w:t>
      </w:r>
      <w:proofErr w:type="spellStart"/>
      <w:r w:rsidR="000638C7">
        <w:t>outposting</w:t>
      </w:r>
      <w:proofErr w:type="spellEnd"/>
      <w:r w:rsidR="000638C7">
        <w:t xml:space="preserve"> with agencies (</w:t>
      </w:r>
      <w:proofErr w:type="spellStart"/>
      <w:r w:rsidR="000638C7">
        <w:t>OBPR</w:t>
      </w:r>
      <w:proofErr w:type="spellEnd"/>
      <w:r w:rsidR="000638C7">
        <w:t xml:space="preserve"> </w:t>
      </w:r>
      <w:proofErr w:type="spellStart"/>
      <w:r w:rsidR="000638C7">
        <w:t>2011</w:t>
      </w:r>
      <w:r w:rsidR="008D2337">
        <w:t>c</w:t>
      </w:r>
      <w:proofErr w:type="spellEnd"/>
      <w:r w:rsidR="000638C7">
        <w:t>)</w:t>
      </w:r>
      <w:r w:rsidR="00935858">
        <w:t xml:space="preserve">. </w:t>
      </w:r>
    </w:p>
    <w:p w:rsidR="00913A6E" w:rsidRDefault="003C3492" w:rsidP="005D72FE">
      <w:pPr>
        <w:pStyle w:val="Heading3"/>
        <w:spacing w:before="520"/>
      </w:pPr>
      <w:r>
        <w:t xml:space="preserve">Improving the evidentiary base </w:t>
      </w:r>
    </w:p>
    <w:p w:rsidR="00F800B4" w:rsidRDefault="009C1E98" w:rsidP="00913A6E">
      <w:pPr>
        <w:pStyle w:val="BodyText"/>
      </w:pPr>
      <w:r>
        <w:t xml:space="preserve">As discussed in chapter 2, </w:t>
      </w:r>
      <w:r w:rsidR="00DC6685">
        <w:t>concrete</w:t>
      </w:r>
      <w:r w:rsidR="00913A6E">
        <w:t xml:space="preserve"> evidence on the performance of </w:t>
      </w:r>
      <w:r w:rsidR="007626AC">
        <w:t xml:space="preserve">the </w:t>
      </w:r>
      <w:r w:rsidR="00913A6E">
        <w:t xml:space="preserve">RIA </w:t>
      </w:r>
      <w:r w:rsidR="003D5927">
        <w:t>process</w:t>
      </w:r>
      <w:r w:rsidR="00913A6E">
        <w:t xml:space="preserve"> is fairly limited. </w:t>
      </w:r>
      <w:r w:rsidR="00991276">
        <w:t>Improved</w:t>
      </w:r>
      <w:r w:rsidR="00F800B4">
        <w:t xml:space="preserve"> monitoring and review </w:t>
      </w:r>
      <w:r w:rsidR="00DC6685">
        <w:t>are</w:t>
      </w:r>
      <w:r w:rsidR="00F800B4">
        <w:t xml:space="preserve"> essential</w:t>
      </w:r>
      <w:r w:rsidR="00991276">
        <w:t xml:space="preserve"> to </w:t>
      </w:r>
      <w:r w:rsidR="00F800B4">
        <w:t>provid</w:t>
      </w:r>
      <w:r w:rsidR="00DC6685">
        <w:t>ing</w:t>
      </w:r>
      <w:r w:rsidR="00F800B4">
        <w:t xml:space="preserve"> information on the efficiency </w:t>
      </w:r>
      <w:r w:rsidR="00DC6685">
        <w:t xml:space="preserve">and quality </w:t>
      </w:r>
      <w:r w:rsidR="00F800B4">
        <w:t xml:space="preserve">of RIA systems and on practices that work well </w:t>
      </w:r>
      <w:r w:rsidR="00DC6685">
        <w:t>or</w:t>
      </w:r>
      <w:r w:rsidR="00F800B4">
        <w:t xml:space="preserve"> are less effective. This can then inform refinements and improvements to systems over time and assist integration of </w:t>
      </w:r>
      <w:r w:rsidR="00677DDA">
        <w:t xml:space="preserve">the </w:t>
      </w:r>
      <w:r w:rsidR="00F800B4">
        <w:t>RIA process into the policy development cycle.</w:t>
      </w:r>
    </w:p>
    <w:p w:rsidR="00913A6E" w:rsidRDefault="00F800B4" w:rsidP="00913A6E">
      <w:pPr>
        <w:pStyle w:val="BodyText"/>
      </w:pPr>
      <w:r>
        <w:t xml:space="preserve">The </w:t>
      </w:r>
      <w:r w:rsidR="00C24A54">
        <w:t>Commission considers that</w:t>
      </w:r>
      <w:r>
        <w:t xml:space="preserve"> systematic ex post evaluation </w:t>
      </w:r>
      <w:r w:rsidR="00C24A54">
        <w:t xml:space="preserve">of RIA processes </w:t>
      </w:r>
      <w:r>
        <w:t>and performance monitoring would provide greater transparency and accountability and would also potentially build an evidentiary basis for future reviews of RIA.</w:t>
      </w:r>
      <w:r w:rsidR="00526AC2">
        <w:t xml:space="preserve"> In addition to other reporting and accountability measures, </w:t>
      </w:r>
      <w:r w:rsidR="00913A6E">
        <w:t>jurisdictions could consider the following:</w:t>
      </w:r>
    </w:p>
    <w:p w:rsidR="00913A6E" w:rsidRDefault="00913A6E" w:rsidP="00913A6E">
      <w:pPr>
        <w:pStyle w:val="ListBullet"/>
      </w:pPr>
      <w:r>
        <w:t xml:space="preserve">more systematic monitoring and reporting of the </w:t>
      </w:r>
      <w:r w:rsidR="00683D43">
        <w:t xml:space="preserve">implementation </w:t>
      </w:r>
      <w:r>
        <w:t xml:space="preserve">of RIA </w:t>
      </w:r>
      <w:r w:rsidR="00683D43">
        <w:t xml:space="preserve">requirements </w:t>
      </w:r>
      <w:r>
        <w:t>(including in relation to consultation, quantification</w:t>
      </w:r>
      <w:r w:rsidR="00683D43">
        <w:t xml:space="preserve"> of impacts in </w:t>
      </w:r>
      <w:proofErr w:type="spellStart"/>
      <w:r w:rsidR="00683D43">
        <w:t>RISs</w:t>
      </w:r>
      <w:proofErr w:type="spellEnd"/>
      <w:r>
        <w:t>, and consideration of alternatives)</w:t>
      </w:r>
      <w:r w:rsidR="00677DDA">
        <w:t xml:space="preserve"> — such as building on the RIS analysis undertaken in this report</w:t>
      </w:r>
      <w:r w:rsidR="001D5059">
        <w:t xml:space="preserve"> (appendix E)</w:t>
      </w:r>
      <w:r w:rsidR="00677DDA">
        <w:t xml:space="preserve">. </w:t>
      </w:r>
    </w:p>
    <w:p w:rsidR="00913A6E" w:rsidRDefault="00913A6E" w:rsidP="00913A6E">
      <w:pPr>
        <w:pStyle w:val="ListBullet"/>
      </w:pPr>
      <w:r>
        <w:lastRenderedPageBreak/>
        <w:t xml:space="preserve">systematic </w:t>
      </w:r>
      <w:r w:rsidR="00C24A54">
        <w:t>comparison of</w:t>
      </w:r>
      <w:r>
        <w:t xml:space="preserve"> estimates of regulatory impacts in a sample of </w:t>
      </w:r>
      <w:proofErr w:type="spellStart"/>
      <w:r>
        <w:t>RISs</w:t>
      </w:r>
      <w:proofErr w:type="spellEnd"/>
      <w:r>
        <w:t xml:space="preserve"> (perhaps concentrating on those regulations with the most significant ex</w:t>
      </w:r>
      <w:r w:rsidR="00677DDA">
        <w:t> </w:t>
      </w:r>
      <w:r>
        <w:t xml:space="preserve">ante impacts) </w:t>
      </w:r>
      <w:r w:rsidR="00C24A54">
        <w:t xml:space="preserve">with those impacts that emerged as a result of regulatory implementation </w:t>
      </w:r>
      <w:r>
        <w:t>— this can help to reveal systemic errors in RIS methodologies</w:t>
      </w:r>
      <w:r w:rsidR="007C0FBB">
        <w:t xml:space="preserve"> and </w:t>
      </w:r>
      <w:r>
        <w:t>lead to more accurate estimates over time</w:t>
      </w:r>
      <w:r w:rsidR="00683D43">
        <w:t xml:space="preserve"> </w:t>
      </w:r>
    </w:p>
    <w:p w:rsidR="00913A6E" w:rsidRDefault="00913A6E" w:rsidP="00913A6E">
      <w:pPr>
        <w:pStyle w:val="ListBullet"/>
      </w:pPr>
      <w:r>
        <w:t>tracking and recording of changes to proposals as a result of RIA</w:t>
      </w:r>
      <w:r w:rsidR="00683D43">
        <w:t>,</w:t>
      </w:r>
      <w:r>
        <w:t xml:space="preserve"> </w:t>
      </w:r>
      <w:r w:rsidR="00683D43">
        <w:t xml:space="preserve">including instances where proposals that were under consideration were amended, withdrawn or improved </w:t>
      </w:r>
      <w:r>
        <w:t xml:space="preserve">— this would </w:t>
      </w:r>
      <w:r w:rsidR="00683D43">
        <w:t xml:space="preserve">raise stakeholder and political awareness of the benefits of RIA and </w:t>
      </w:r>
      <w:r>
        <w:t xml:space="preserve">facilitate </w:t>
      </w:r>
      <w:r w:rsidR="00683D43">
        <w:t>refinements to individual RIA components (such as improvements in consultatio</w:t>
      </w:r>
      <w:r w:rsidR="00345CC0">
        <w:t>n practices or impact analysis)</w:t>
      </w:r>
    </w:p>
    <w:p w:rsidR="00913A6E" w:rsidRPr="005230C4" w:rsidRDefault="00913A6E" w:rsidP="00913A6E">
      <w:pPr>
        <w:pStyle w:val="ListBullet"/>
      </w:pPr>
      <w:r>
        <w:t xml:space="preserve">better recording of the costs associated with RIA — this information (including agency resources devoted to preparation of </w:t>
      </w:r>
      <w:proofErr w:type="spellStart"/>
      <w:r>
        <w:t>RISs</w:t>
      </w:r>
      <w:proofErr w:type="spellEnd"/>
      <w:r>
        <w:t xml:space="preserve"> and the costs of oversight body functions related to RIA) is necessary to assess the cost effectiveness and efficiency of </w:t>
      </w:r>
      <w:r w:rsidR="00C24A54">
        <w:t>RIA</w:t>
      </w:r>
      <w:r>
        <w:t>.</w:t>
      </w:r>
      <w:r w:rsidR="000146C8">
        <w:t xml:space="preserve"> </w:t>
      </w:r>
    </w:p>
    <w:p w:rsidR="00677DDA" w:rsidRDefault="009D6B23" w:rsidP="00677DDA">
      <w:pPr>
        <w:pStyle w:val="BodyText"/>
      </w:pPr>
      <w:r>
        <w:t xml:space="preserve">The </w:t>
      </w:r>
      <w:proofErr w:type="spellStart"/>
      <w:r w:rsidR="00677DDA">
        <w:t>VCEC</w:t>
      </w:r>
      <w:proofErr w:type="spellEnd"/>
      <w:r w:rsidR="00677DDA">
        <w:t xml:space="preserve"> already collects and reports on some of this information, including via a survey of policy officials after they have completed a RIS (chapter 2). Their approach could be a starting point for other jurisdictions. </w:t>
      </w:r>
    </w:p>
    <w:p w:rsidR="00EE4740" w:rsidRDefault="00EE4740" w:rsidP="00EE4740">
      <w:pPr>
        <w:pStyle w:val="BodyText"/>
      </w:pPr>
      <w:r>
        <w:t>The Commission recognises, however, that the collection of such information impose</w:t>
      </w:r>
      <w:r w:rsidR="00C24A54">
        <w:t>s</w:t>
      </w:r>
      <w:r>
        <w:t xml:space="preserve"> costs on agencies so consideration would need to be given to the frequency and scope of collections. For example, the information could perhaps be gathered for </w:t>
      </w:r>
      <w:r w:rsidR="005D72FE">
        <w:t>selected</w:t>
      </w:r>
      <w:r>
        <w:t xml:space="preserve"> periods </w:t>
      </w:r>
      <w:r w:rsidR="00C24A54">
        <w:t>or</w:t>
      </w:r>
      <w:r>
        <w:t xml:space="preserve"> for </w:t>
      </w:r>
      <w:r w:rsidR="00C24A54">
        <w:t xml:space="preserve">only </w:t>
      </w:r>
      <w:r>
        <w:t xml:space="preserve">a sample of agencies. </w:t>
      </w:r>
      <w:r w:rsidR="007C0FBB">
        <w:t>However, a</w:t>
      </w:r>
      <w:r>
        <w:t xml:space="preserve">s RIA becomes more integrated into policy development processes, this information will become more difficult to isolate and collect. </w:t>
      </w:r>
    </w:p>
    <w:p w:rsidR="00A1537E" w:rsidRDefault="00027835" w:rsidP="00A1537E">
      <w:pPr>
        <w:pStyle w:val="BodyText"/>
      </w:pPr>
      <w:r>
        <w:t xml:space="preserve">Ultimately, improving </w:t>
      </w:r>
      <w:r w:rsidR="000A0EE5">
        <w:t xml:space="preserve">the </w:t>
      </w:r>
      <w:r>
        <w:t>evidentiary base o</w:t>
      </w:r>
      <w:r w:rsidR="007C0FBB">
        <w:t>n</w:t>
      </w:r>
      <w:r>
        <w:t xml:space="preserve"> the performance of RIA (along with improving transparency and accountability; better targeting of RIA resources; and capacity building in agencies to undertake quality </w:t>
      </w:r>
      <w:proofErr w:type="spellStart"/>
      <w:r>
        <w:t>RISs</w:t>
      </w:r>
      <w:proofErr w:type="spellEnd"/>
      <w:r>
        <w:t xml:space="preserve">) will </w:t>
      </w:r>
      <w:r w:rsidR="00997BE2">
        <w:t xml:space="preserve">enhance the integration of RIA requirements into policy development and </w:t>
      </w:r>
      <w:r w:rsidR="00A1537E">
        <w:t xml:space="preserve">the resulting policy outcomes for the community. </w:t>
      </w:r>
    </w:p>
    <w:p w:rsidR="00FF66F4" w:rsidRPr="007C0FBB" w:rsidRDefault="00FF66F4" w:rsidP="001431A3">
      <w:pPr>
        <w:pStyle w:val="RecTitle"/>
        <w:spacing w:before="360"/>
      </w:pPr>
      <w:r w:rsidRPr="007C0FBB">
        <w:t xml:space="preserve">Leading practice </w:t>
      </w:r>
      <w:r w:rsidR="00612363" w:rsidRPr="007C0FBB">
        <w:t>10.</w:t>
      </w:r>
      <w:r w:rsidR="00B5590D">
        <w:rPr>
          <w:noProof/>
        </w:rPr>
        <w:t>2</w:t>
      </w:r>
    </w:p>
    <w:p w:rsidR="00C45430" w:rsidRPr="00096D05" w:rsidRDefault="00642698" w:rsidP="00DF4C21">
      <w:pPr>
        <w:pStyle w:val="Rec"/>
      </w:pPr>
      <w:r>
        <w:t>P</w:t>
      </w:r>
      <w:r w:rsidR="005A1D24" w:rsidRPr="00096D05">
        <w:t>ublished</w:t>
      </w:r>
      <w:r w:rsidR="00300AEB" w:rsidRPr="00096D05">
        <w:t xml:space="preserve"> </w:t>
      </w:r>
      <w:r w:rsidR="00135EE6">
        <w:t xml:space="preserve">evidence </w:t>
      </w:r>
      <w:r w:rsidR="00DA2B11" w:rsidRPr="00096D05">
        <w:t xml:space="preserve">of the </w:t>
      </w:r>
      <w:r>
        <w:t xml:space="preserve">usefulness </w:t>
      </w:r>
      <w:r w:rsidR="00DA2B11" w:rsidRPr="00096D05">
        <w:t xml:space="preserve">of RIA </w:t>
      </w:r>
      <w:r>
        <w:t xml:space="preserve">in improving the quality of regulatory outcomes </w:t>
      </w:r>
      <w:r w:rsidR="00B3409D">
        <w:t xml:space="preserve">— including </w:t>
      </w:r>
      <w:r>
        <w:t>which key aspects are instrumental in achieving this objective</w:t>
      </w:r>
      <w:r w:rsidR="00B3409D">
        <w:t xml:space="preserve"> —</w:t>
      </w:r>
      <w:r>
        <w:t xml:space="preserve"> would </w:t>
      </w:r>
      <w:r w:rsidR="00DA2B11" w:rsidRPr="00096D05">
        <w:t xml:space="preserve">help inform refinements and improvements to </w:t>
      </w:r>
      <w:r w:rsidR="00300AEB" w:rsidRPr="00096D05">
        <w:t>RIA processes</w:t>
      </w:r>
      <w:r w:rsidR="00DA2B11" w:rsidRPr="00096D05">
        <w:t xml:space="preserve"> over time.</w:t>
      </w:r>
      <w:r w:rsidR="00300AEB" w:rsidRPr="00096D05">
        <w:t xml:space="preserve"> Victoria has made substantial progress </w:t>
      </w:r>
      <w:r w:rsidR="00362ABD" w:rsidRPr="00096D05">
        <w:t xml:space="preserve">developing </w:t>
      </w:r>
      <w:r w:rsidR="00A2753D" w:rsidRPr="00096D05">
        <w:t>and publishing research in this field</w:t>
      </w:r>
      <w:r w:rsidR="00300AEB" w:rsidRPr="00096D05">
        <w:t>.</w:t>
      </w:r>
      <w:bookmarkEnd w:id="1"/>
    </w:p>
    <w:sectPr w:rsidR="00C45430" w:rsidRPr="00096D05" w:rsidSect="00830951">
      <w:headerReference w:type="even" r:id="rId15"/>
      <w:headerReference w:type="default" r:id="rId16"/>
      <w:footerReference w:type="even" r:id="rId17"/>
      <w:footerReference w:type="default" r:id="rId18"/>
      <w:pgSz w:w="11907" w:h="16840" w:code="9"/>
      <w:pgMar w:top="1985" w:right="1304" w:bottom="1418" w:left="1814" w:header="1701" w:footer="567" w:gutter="0"/>
      <w:pgNumType w:start="30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85E" w:rsidRDefault="000E185E">
      <w:r>
        <w:separator/>
      </w:r>
    </w:p>
  </w:endnote>
  <w:endnote w:type="continuationSeparator" w:id="0">
    <w:p w:rsidR="000E185E" w:rsidRDefault="000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E185E">
      <w:trPr>
        <w:trHeight w:hRule="exact" w:val="740"/>
      </w:trPr>
      <w:tc>
        <w:tcPr>
          <w:tcW w:w="510" w:type="dxa"/>
          <w:tcBorders>
            <w:top w:val="single" w:sz="6" w:space="0" w:color="auto"/>
          </w:tcBorders>
        </w:tcPr>
        <w:p w:rsidR="000E185E" w:rsidRDefault="000E185E" w:rsidP="00612363">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94191">
            <w:rPr>
              <w:rStyle w:val="PageNumber"/>
              <w:noProof/>
            </w:rPr>
            <w:t>326</w:t>
          </w:r>
          <w:r>
            <w:rPr>
              <w:rStyle w:val="PageNumber"/>
            </w:rPr>
            <w:fldChar w:fldCharType="end"/>
          </w:r>
        </w:p>
      </w:tc>
      <w:tc>
        <w:tcPr>
          <w:tcW w:w="1644" w:type="dxa"/>
          <w:tcBorders>
            <w:top w:val="single" w:sz="6" w:space="0" w:color="auto"/>
          </w:tcBorders>
        </w:tcPr>
        <w:p w:rsidR="000E185E" w:rsidRDefault="00694191" w:rsidP="0019293B">
          <w:pPr>
            <w:pStyle w:val="Footer"/>
          </w:pPr>
          <w:r>
            <w:fldChar w:fldCharType="begin"/>
          </w:r>
          <w:r>
            <w:instrText xml:space="preserve"> SUBJECT  \* MERGEFORMAT </w:instrText>
          </w:r>
          <w:r>
            <w:fldChar w:fldCharType="separate"/>
          </w:r>
          <w:r w:rsidR="000E185E">
            <w:t>RIA benchmarking</w:t>
          </w:r>
          <w:r>
            <w:fldChar w:fldCharType="end"/>
          </w:r>
        </w:p>
      </w:tc>
      <w:tc>
        <w:tcPr>
          <w:tcW w:w="6634" w:type="dxa"/>
        </w:tcPr>
        <w:p w:rsidR="000E185E" w:rsidRDefault="000E185E" w:rsidP="0019293B">
          <w:pPr>
            <w:pStyle w:val="Footer"/>
          </w:pPr>
        </w:p>
      </w:tc>
    </w:tr>
  </w:tbl>
  <w:p w:rsidR="000E185E" w:rsidRDefault="000E185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E185E">
      <w:trPr>
        <w:trHeight w:hRule="exact" w:val="740"/>
      </w:trPr>
      <w:tc>
        <w:tcPr>
          <w:tcW w:w="6634" w:type="dxa"/>
        </w:tcPr>
        <w:p w:rsidR="000E185E" w:rsidRDefault="000E185E" w:rsidP="00612363">
          <w:pPr>
            <w:pStyle w:val="Footer"/>
            <w:ind w:right="360" w:firstLine="360"/>
          </w:pPr>
        </w:p>
      </w:tc>
      <w:tc>
        <w:tcPr>
          <w:tcW w:w="1644" w:type="dxa"/>
          <w:tcBorders>
            <w:top w:val="single" w:sz="6" w:space="0" w:color="auto"/>
          </w:tcBorders>
        </w:tcPr>
        <w:p w:rsidR="000E185E" w:rsidRDefault="00694191">
          <w:pPr>
            <w:pStyle w:val="Footer"/>
          </w:pPr>
          <w:r>
            <w:fldChar w:fldCharType="begin"/>
          </w:r>
          <w:r>
            <w:instrText xml:space="preserve"> TITLE  \* MERGEFORMAT </w:instrText>
          </w:r>
          <w:r>
            <w:fldChar w:fldCharType="separate"/>
          </w:r>
          <w:r w:rsidR="000E185E">
            <w:t>Improving integration</w:t>
          </w:r>
          <w:r>
            <w:fldChar w:fldCharType="end"/>
          </w:r>
        </w:p>
      </w:tc>
      <w:tc>
        <w:tcPr>
          <w:tcW w:w="510" w:type="dxa"/>
          <w:tcBorders>
            <w:top w:val="single" w:sz="6" w:space="0" w:color="auto"/>
          </w:tcBorders>
        </w:tcPr>
        <w:p w:rsidR="000E185E" w:rsidRDefault="000E185E">
          <w:pPr>
            <w:pStyle w:val="Footer"/>
            <w:jc w:val="right"/>
          </w:pPr>
          <w:r>
            <w:rPr>
              <w:rStyle w:val="PageNumber"/>
            </w:rPr>
            <w:fldChar w:fldCharType="begin"/>
          </w:r>
          <w:r>
            <w:rPr>
              <w:rStyle w:val="PageNumber"/>
            </w:rPr>
            <w:instrText xml:space="preserve">PAGE  </w:instrText>
          </w:r>
          <w:r>
            <w:rPr>
              <w:rStyle w:val="PageNumber"/>
            </w:rPr>
            <w:fldChar w:fldCharType="separate"/>
          </w:r>
          <w:r w:rsidR="00694191">
            <w:rPr>
              <w:rStyle w:val="PageNumber"/>
              <w:noProof/>
            </w:rPr>
            <w:t>335</w:t>
          </w:r>
          <w:r>
            <w:rPr>
              <w:rStyle w:val="PageNumber"/>
            </w:rPr>
            <w:fldChar w:fldCharType="end"/>
          </w:r>
        </w:p>
      </w:tc>
    </w:tr>
  </w:tbl>
  <w:p w:rsidR="000E185E" w:rsidRDefault="000E185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85E" w:rsidRDefault="000E185E">
      <w:r>
        <w:separator/>
      </w:r>
    </w:p>
  </w:footnote>
  <w:footnote w:type="continuationSeparator" w:id="0">
    <w:p w:rsidR="000E185E" w:rsidRDefault="000E1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E185E">
      <w:tc>
        <w:tcPr>
          <w:tcW w:w="2155" w:type="dxa"/>
          <w:tcBorders>
            <w:top w:val="single" w:sz="24" w:space="0" w:color="auto"/>
          </w:tcBorders>
        </w:tcPr>
        <w:p w:rsidR="000E185E" w:rsidRDefault="000E185E" w:rsidP="0019293B">
          <w:pPr>
            <w:pStyle w:val="HeaderEven"/>
          </w:pPr>
        </w:p>
      </w:tc>
      <w:tc>
        <w:tcPr>
          <w:tcW w:w="6634" w:type="dxa"/>
          <w:tcBorders>
            <w:top w:val="single" w:sz="6" w:space="0" w:color="auto"/>
          </w:tcBorders>
        </w:tcPr>
        <w:p w:rsidR="000E185E" w:rsidRDefault="000E185E" w:rsidP="0019293B">
          <w:pPr>
            <w:pStyle w:val="HeaderEven"/>
          </w:pPr>
        </w:p>
      </w:tc>
    </w:tr>
  </w:tbl>
  <w:p w:rsidR="000E185E" w:rsidRDefault="000E185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E185E">
      <w:tc>
        <w:tcPr>
          <w:tcW w:w="6634" w:type="dxa"/>
          <w:tcBorders>
            <w:top w:val="single" w:sz="6" w:space="0" w:color="auto"/>
          </w:tcBorders>
        </w:tcPr>
        <w:p w:rsidR="000E185E" w:rsidRDefault="000E185E" w:rsidP="00E669E2">
          <w:pPr>
            <w:pStyle w:val="HeaderOdd"/>
          </w:pPr>
        </w:p>
      </w:tc>
      <w:tc>
        <w:tcPr>
          <w:tcW w:w="2155" w:type="dxa"/>
          <w:tcBorders>
            <w:top w:val="single" w:sz="24" w:space="0" w:color="auto"/>
          </w:tcBorders>
        </w:tcPr>
        <w:p w:rsidR="000E185E" w:rsidRDefault="000E185E" w:rsidP="00E669E2">
          <w:pPr>
            <w:pStyle w:val="HeaderOdd"/>
          </w:pPr>
        </w:p>
      </w:tc>
    </w:tr>
  </w:tbl>
  <w:p w:rsidR="000E185E" w:rsidRDefault="000E185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17F0EEA"/>
    <w:multiLevelType w:val="hybridMultilevel"/>
    <w:tmpl w:val="A6966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0BA71D3"/>
    <w:multiLevelType w:val="hybridMultilevel"/>
    <w:tmpl w:val="DCD0D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20"/>
  </w:num>
  <w:num w:numId="8">
    <w:abstractNumId w:val="10"/>
  </w:num>
  <w:num w:numId="9">
    <w:abstractNumId w:val="44"/>
  </w:num>
  <w:num w:numId="10">
    <w:abstractNumId w:val="7"/>
  </w:num>
  <w:num w:numId="11">
    <w:abstractNumId w:val="27"/>
  </w:num>
  <w:num w:numId="12">
    <w:abstractNumId w:val="9"/>
  </w:num>
  <w:num w:numId="13">
    <w:abstractNumId w:val="39"/>
  </w:num>
  <w:num w:numId="14">
    <w:abstractNumId w:val="30"/>
  </w:num>
  <w:num w:numId="15">
    <w:abstractNumId w:val="45"/>
  </w:num>
  <w:num w:numId="16">
    <w:abstractNumId w:val="16"/>
  </w:num>
  <w:num w:numId="17">
    <w:abstractNumId w:val="28"/>
  </w:num>
  <w:num w:numId="18">
    <w:abstractNumId w:val="15"/>
  </w:num>
  <w:num w:numId="19">
    <w:abstractNumId w:val="18"/>
  </w:num>
  <w:num w:numId="20">
    <w:abstractNumId w:val="14"/>
  </w:num>
  <w:num w:numId="21">
    <w:abstractNumId w:val="21"/>
  </w:num>
  <w:num w:numId="22">
    <w:abstractNumId w:val="23"/>
  </w:num>
  <w:num w:numId="23">
    <w:abstractNumId w:val="17"/>
  </w:num>
  <w:num w:numId="24">
    <w:abstractNumId w:val="12"/>
  </w:num>
  <w:num w:numId="25">
    <w:abstractNumId w:val="36"/>
  </w:num>
  <w:num w:numId="26">
    <w:abstractNumId w:val="38"/>
  </w:num>
  <w:num w:numId="27">
    <w:abstractNumId w:val="26"/>
  </w:num>
  <w:num w:numId="28">
    <w:abstractNumId w:val="29"/>
  </w:num>
  <w:num w:numId="29">
    <w:abstractNumId w:val="31"/>
  </w:num>
  <w:num w:numId="30">
    <w:abstractNumId w:val="43"/>
  </w:num>
  <w:num w:numId="31">
    <w:abstractNumId w:val="35"/>
  </w:num>
  <w:num w:numId="32">
    <w:abstractNumId w:val="40"/>
  </w:num>
  <w:num w:numId="33">
    <w:abstractNumId w:val="41"/>
  </w:num>
  <w:num w:numId="34">
    <w:abstractNumId w:val="33"/>
  </w:num>
  <w:num w:numId="35">
    <w:abstractNumId w:val="22"/>
  </w:num>
  <w:num w:numId="36">
    <w:abstractNumId w:val="46"/>
  </w:num>
  <w:num w:numId="37">
    <w:abstractNumId w:val="8"/>
  </w:num>
  <w:num w:numId="38">
    <w:abstractNumId w:val="42"/>
  </w:num>
  <w:num w:numId="39">
    <w:abstractNumId w:val="34"/>
  </w:num>
  <w:num w:numId="40">
    <w:abstractNumId w:val="13"/>
  </w:num>
  <w:num w:numId="41">
    <w:abstractNumId w:val="37"/>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4"/>
  </w:num>
  <w:num w:numId="47">
    <w:abstractNumId w:val="27"/>
  </w:num>
  <w:num w:numId="48">
    <w:abstractNumId w:val="20"/>
  </w:num>
  <w:num w:numId="49">
    <w:abstractNumId w:val="20"/>
  </w:num>
  <w:num w:numId="50">
    <w:abstractNumId w:val="32"/>
  </w:num>
  <w:num w:numId="51">
    <w:abstractNumId w:val="20"/>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mproving integration "/>
    <w:docVar w:name="ShortReportTitle" w:val="RIA benchmarking "/>
  </w:docVars>
  <w:rsids>
    <w:rsidRoot w:val="005F5960"/>
    <w:rsid w:val="00000B58"/>
    <w:rsid w:val="00000C15"/>
    <w:rsid w:val="00001FFE"/>
    <w:rsid w:val="00002689"/>
    <w:rsid w:val="00004101"/>
    <w:rsid w:val="00005359"/>
    <w:rsid w:val="0000653D"/>
    <w:rsid w:val="00006DED"/>
    <w:rsid w:val="000113D8"/>
    <w:rsid w:val="00011A9F"/>
    <w:rsid w:val="0001221D"/>
    <w:rsid w:val="000133B2"/>
    <w:rsid w:val="00014183"/>
    <w:rsid w:val="000146C8"/>
    <w:rsid w:val="000156D2"/>
    <w:rsid w:val="00015CEC"/>
    <w:rsid w:val="00015D4E"/>
    <w:rsid w:val="00016046"/>
    <w:rsid w:val="000177E9"/>
    <w:rsid w:val="00017AC3"/>
    <w:rsid w:val="0002034B"/>
    <w:rsid w:val="00022748"/>
    <w:rsid w:val="00023DAA"/>
    <w:rsid w:val="00023E27"/>
    <w:rsid w:val="000245AA"/>
    <w:rsid w:val="00026327"/>
    <w:rsid w:val="00027835"/>
    <w:rsid w:val="00027866"/>
    <w:rsid w:val="00030774"/>
    <w:rsid w:val="00030AAA"/>
    <w:rsid w:val="00032B97"/>
    <w:rsid w:val="000334EF"/>
    <w:rsid w:val="00033C9F"/>
    <w:rsid w:val="000358B7"/>
    <w:rsid w:val="0003606B"/>
    <w:rsid w:val="000360F6"/>
    <w:rsid w:val="0003664B"/>
    <w:rsid w:val="00036FFC"/>
    <w:rsid w:val="00037866"/>
    <w:rsid w:val="00040337"/>
    <w:rsid w:val="00040993"/>
    <w:rsid w:val="0004111F"/>
    <w:rsid w:val="00041874"/>
    <w:rsid w:val="00044751"/>
    <w:rsid w:val="00047E37"/>
    <w:rsid w:val="00050384"/>
    <w:rsid w:val="00052422"/>
    <w:rsid w:val="0005427A"/>
    <w:rsid w:val="00054B8E"/>
    <w:rsid w:val="000564E8"/>
    <w:rsid w:val="00056518"/>
    <w:rsid w:val="000565B3"/>
    <w:rsid w:val="00057218"/>
    <w:rsid w:val="00057CF9"/>
    <w:rsid w:val="000604EB"/>
    <w:rsid w:val="00063242"/>
    <w:rsid w:val="0006324A"/>
    <w:rsid w:val="000638C7"/>
    <w:rsid w:val="000647F7"/>
    <w:rsid w:val="00065A53"/>
    <w:rsid w:val="000669E4"/>
    <w:rsid w:val="000706E4"/>
    <w:rsid w:val="0007150B"/>
    <w:rsid w:val="00072352"/>
    <w:rsid w:val="00073755"/>
    <w:rsid w:val="00074FD7"/>
    <w:rsid w:val="000755C0"/>
    <w:rsid w:val="00075983"/>
    <w:rsid w:val="00075C62"/>
    <w:rsid w:val="0007667A"/>
    <w:rsid w:val="0008355D"/>
    <w:rsid w:val="00083A01"/>
    <w:rsid w:val="000860E3"/>
    <w:rsid w:val="00087453"/>
    <w:rsid w:val="000904EB"/>
    <w:rsid w:val="00090697"/>
    <w:rsid w:val="000908CB"/>
    <w:rsid w:val="00090F99"/>
    <w:rsid w:val="000913D2"/>
    <w:rsid w:val="00092957"/>
    <w:rsid w:val="00092FCD"/>
    <w:rsid w:val="000938F5"/>
    <w:rsid w:val="0009592E"/>
    <w:rsid w:val="00095E22"/>
    <w:rsid w:val="00096D05"/>
    <w:rsid w:val="00096E80"/>
    <w:rsid w:val="00097640"/>
    <w:rsid w:val="000977F4"/>
    <w:rsid w:val="000A0EE5"/>
    <w:rsid w:val="000A1378"/>
    <w:rsid w:val="000A1463"/>
    <w:rsid w:val="000A1706"/>
    <w:rsid w:val="000A20F3"/>
    <w:rsid w:val="000A371A"/>
    <w:rsid w:val="000A48D0"/>
    <w:rsid w:val="000A791A"/>
    <w:rsid w:val="000B0614"/>
    <w:rsid w:val="000B1189"/>
    <w:rsid w:val="000B34E8"/>
    <w:rsid w:val="000B40DF"/>
    <w:rsid w:val="000B5777"/>
    <w:rsid w:val="000B5ED7"/>
    <w:rsid w:val="000B601B"/>
    <w:rsid w:val="000B6CDD"/>
    <w:rsid w:val="000B72EC"/>
    <w:rsid w:val="000B7CC9"/>
    <w:rsid w:val="000C08A8"/>
    <w:rsid w:val="000C1C83"/>
    <w:rsid w:val="000C207E"/>
    <w:rsid w:val="000C23C7"/>
    <w:rsid w:val="000C38BE"/>
    <w:rsid w:val="000C3F5F"/>
    <w:rsid w:val="000C425A"/>
    <w:rsid w:val="000C4902"/>
    <w:rsid w:val="000C73FE"/>
    <w:rsid w:val="000D16D9"/>
    <w:rsid w:val="000D2659"/>
    <w:rsid w:val="000D2CFC"/>
    <w:rsid w:val="000D38D2"/>
    <w:rsid w:val="000D3BBB"/>
    <w:rsid w:val="000D51E3"/>
    <w:rsid w:val="000D544F"/>
    <w:rsid w:val="000D54AF"/>
    <w:rsid w:val="000D58AE"/>
    <w:rsid w:val="000D659C"/>
    <w:rsid w:val="000D65C1"/>
    <w:rsid w:val="000D7EDE"/>
    <w:rsid w:val="000E1846"/>
    <w:rsid w:val="000E185E"/>
    <w:rsid w:val="000E211E"/>
    <w:rsid w:val="000F052E"/>
    <w:rsid w:val="000F09E0"/>
    <w:rsid w:val="000F0A5B"/>
    <w:rsid w:val="000F29D9"/>
    <w:rsid w:val="000F2E1E"/>
    <w:rsid w:val="000F2EBE"/>
    <w:rsid w:val="000F3572"/>
    <w:rsid w:val="000F4D99"/>
    <w:rsid w:val="000F5821"/>
    <w:rsid w:val="000F5845"/>
    <w:rsid w:val="000F6FD7"/>
    <w:rsid w:val="000F7476"/>
    <w:rsid w:val="000F75F2"/>
    <w:rsid w:val="001008F1"/>
    <w:rsid w:val="001027F0"/>
    <w:rsid w:val="001033BD"/>
    <w:rsid w:val="00104B3A"/>
    <w:rsid w:val="001056A5"/>
    <w:rsid w:val="0010649C"/>
    <w:rsid w:val="00107127"/>
    <w:rsid w:val="0010771B"/>
    <w:rsid w:val="00107AD9"/>
    <w:rsid w:val="00110116"/>
    <w:rsid w:val="0011026E"/>
    <w:rsid w:val="00111288"/>
    <w:rsid w:val="0011128D"/>
    <w:rsid w:val="001114F8"/>
    <w:rsid w:val="00113554"/>
    <w:rsid w:val="001179D7"/>
    <w:rsid w:val="00117C0F"/>
    <w:rsid w:val="00117C4A"/>
    <w:rsid w:val="00120FF2"/>
    <w:rsid w:val="00122C97"/>
    <w:rsid w:val="00122D4E"/>
    <w:rsid w:val="0012308E"/>
    <w:rsid w:val="00123896"/>
    <w:rsid w:val="00123C2E"/>
    <w:rsid w:val="00124603"/>
    <w:rsid w:val="00124CA7"/>
    <w:rsid w:val="00126053"/>
    <w:rsid w:val="00126C39"/>
    <w:rsid w:val="00126EB8"/>
    <w:rsid w:val="001274D4"/>
    <w:rsid w:val="00130A38"/>
    <w:rsid w:val="00131FCA"/>
    <w:rsid w:val="00132474"/>
    <w:rsid w:val="0013537C"/>
    <w:rsid w:val="00135EE6"/>
    <w:rsid w:val="001363AA"/>
    <w:rsid w:val="0013667F"/>
    <w:rsid w:val="00140EEC"/>
    <w:rsid w:val="00141CCC"/>
    <w:rsid w:val="00141F8F"/>
    <w:rsid w:val="00142524"/>
    <w:rsid w:val="001427A8"/>
    <w:rsid w:val="001431A3"/>
    <w:rsid w:val="00144F5A"/>
    <w:rsid w:val="00145546"/>
    <w:rsid w:val="0014736F"/>
    <w:rsid w:val="001474E2"/>
    <w:rsid w:val="0014785E"/>
    <w:rsid w:val="00147935"/>
    <w:rsid w:val="00150796"/>
    <w:rsid w:val="00150FCC"/>
    <w:rsid w:val="00151357"/>
    <w:rsid w:val="00151CE4"/>
    <w:rsid w:val="001526EB"/>
    <w:rsid w:val="00154483"/>
    <w:rsid w:val="0015494A"/>
    <w:rsid w:val="00156283"/>
    <w:rsid w:val="00156E5B"/>
    <w:rsid w:val="00157F4F"/>
    <w:rsid w:val="00160141"/>
    <w:rsid w:val="0016152A"/>
    <w:rsid w:val="00161E49"/>
    <w:rsid w:val="00163288"/>
    <w:rsid w:val="00165F43"/>
    <w:rsid w:val="00167C42"/>
    <w:rsid w:val="00167F06"/>
    <w:rsid w:val="00170BB6"/>
    <w:rsid w:val="00170EFB"/>
    <w:rsid w:val="0017114A"/>
    <w:rsid w:val="001724BD"/>
    <w:rsid w:val="001728C9"/>
    <w:rsid w:val="00173D0D"/>
    <w:rsid w:val="0017440E"/>
    <w:rsid w:val="001749D1"/>
    <w:rsid w:val="001767F6"/>
    <w:rsid w:val="001768F0"/>
    <w:rsid w:val="00177046"/>
    <w:rsid w:val="001800FE"/>
    <w:rsid w:val="00180D6D"/>
    <w:rsid w:val="00181DE3"/>
    <w:rsid w:val="001821C7"/>
    <w:rsid w:val="001823DA"/>
    <w:rsid w:val="001835A6"/>
    <w:rsid w:val="00183E82"/>
    <w:rsid w:val="00184DAE"/>
    <w:rsid w:val="001859A8"/>
    <w:rsid w:val="00186899"/>
    <w:rsid w:val="00187421"/>
    <w:rsid w:val="00187AEA"/>
    <w:rsid w:val="00191319"/>
    <w:rsid w:val="00191AE0"/>
    <w:rsid w:val="00192369"/>
    <w:rsid w:val="0019293B"/>
    <w:rsid w:val="00192DCD"/>
    <w:rsid w:val="00193674"/>
    <w:rsid w:val="00194819"/>
    <w:rsid w:val="00194F39"/>
    <w:rsid w:val="00195B3C"/>
    <w:rsid w:val="00195BF3"/>
    <w:rsid w:val="00195CB5"/>
    <w:rsid w:val="0019600B"/>
    <w:rsid w:val="0019699C"/>
    <w:rsid w:val="00197001"/>
    <w:rsid w:val="00197CB5"/>
    <w:rsid w:val="00197F8A"/>
    <w:rsid w:val="001A0389"/>
    <w:rsid w:val="001A0628"/>
    <w:rsid w:val="001A1035"/>
    <w:rsid w:val="001A21B9"/>
    <w:rsid w:val="001A25BF"/>
    <w:rsid w:val="001A2C52"/>
    <w:rsid w:val="001A381A"/>
    <w:rsid w:val="001A45E7"/>
    <w:rsid w:val="001A5304"/>
    <w:rsid w:val="001A5BD9"/>
    <w:rsid w:val="001A652F"/>
    <w:rsid w:val="001B0F12"/>
    <w:rsid w:val="001B1AEE"/>
    <w:rsid w:val="001B1EDB"/>
    <w:rsid w:val="001B2699"/>
    <w:rsid w:val="001B26DA"/>
    <w:rsid w:val="001B4323"/>
    <w:rsid w:val="001B4E29"/>
    <w:rsid w:val="001B6253"/>
    <w:rsid w:val="001B69FF"/>
    <w:rsid w:val="001C0865"/>
    <w:rsid w:val="001C0E82"/>
    <w:rsid w:val="001C3ABA"/>
    <w:rsid w:val="001C44D4"/>
    <w:rsid w:val="001C4BB1"/>
    <w:rsid w:val="001C5235"/>
    <w:rsid w:val="001C5904"/>
    <w:rsid w:val="001C61C1"/>
    <w:rsid w:val="001C681E"/>
    <w:rsid w:val="001C6AA2"/>
    <w:rsid w:val="001C76C3"/>
    <w:rsid w:val="001C7BFD"/>
    <w:rsid w:val="001D0071"/>
    <w:rsid w:val="001D26A3"/>
    <w:rsid w:val="001D30D6"/>
    <w:rsid w:val="001D5059"/>
    <w:rsid w:val="001D51B8"/>
    <w:rsid w:val="001D611D"/>
    <w:rsid w:val="001E0144"/>
    <w:rsid w:val="001E078D"/>
    <w:rsid w:val="001E28EF"/>
    <w:rsid w:val="001E2C26"/>
    <w:rsid w:val="001E35AD"/>
    <w:rsid w:val="001E3FE3"/>
    <w:rsid w:val="001E5B5D"/>
    <w:rsid w:val="001E6CF1"/>
    <w:rsid w:val="001E701E"/>
    <w:rsid w:val="001E7BE8"/>
    <w:rsid w:val="001E7CB8"/>
    <w:rsid w:val="001F0248"/>
    <w:rsid w:val="001F1F71"/>
    <w:rsid w:val="001F2C6E"/>
    <w:rsid w:val="001F2DB2"/>
    <w:rsid w:val="001F3B46"/>
    <w:rsid w:val="001F3EB3"/>
    <w:rsid w:val="001F74FF"/>
    <w:rsid w:val="001F7D7F"/>
    <w:rsid w:val="00201021"/>
    <w:rsid w:val="00202C2C"/>
    <w:rsid w:val="00202CAD"/>
    <w:rsid w:val="00203806"/>
    <w:rsid w:val="00204949"/>
    <w:rsid w:val="0020502E"/>
    <w:rsid w:val="0020559B"/>
    <w:rsid w:val="00205651"/>
    <w:rsid w:val="002057D6"/>
    <w:rsid w:val="00206684"/>
    <w:rsid w:val="002071F1"/>
    <w:rsid w:val="00207641"/>
    <w:rsid w:val="00210069"/>
    <w:rsid w:val="00210E4D"/>
    <w:rsid w:val="0021105A"/>
    <w:rsid w:val="002120BC"/>
    <w:rsid w:val="002146BA"/>
    <w:rsid w:val="0021470F"/>
    <w:rsid w:val="00215C5F"/>
    <w:rsid w:val="00216318"/>
    <w:rsid w:val="00217A1F"/>
    <w:rsid w:val="0022008A"/>
    <w:rsid w:val="0022122D"/>
    <w:rsid w:val="0022650B"/>
    <w:rsid w:val="0022669B"/>
    <w:rsid w:val="00226871"/>
    <w:rsid w:val="002268F2"/>
    <w:rsid w:val="00230860"/>
    <w:rsid w:val="0023229A"/>
    <w:rsid w:val="00235091"/>
    <w:rsid w:val="002375D3"/>
    <w:rsid w:val="00242279"/>
    <w:rsid w:val="002440CC"/>
    <w:rsid w:val="002444BF"/>
    <w:rsid w:val="002447E5"/>
    <w:rsid w:val="00245C82"/>
    <w:rsid w:val="00246332"/>
    <w:rsid w:val="002465DB"/>
    <w:rsid w:val="00247AB8"/>
    <w:rsid w:val="00247B54"/>
    <w:rsid w:val="00247BEA"/>
    <w:rsid w:val="00250DCA"/>
    <w:rsid w:val="0025267F"/>
    <w:rsid w:val="00254F9A"/>
    <w:rsid w:val="00255469"/>
    <w:rsid w:val="00255EB5"/>
    <w:rsid w:val="0026099B"/>
    <w:rsid w:val="0026391D"/>
    <w:rsid w:val="0026549F"/>
    <w:rsid w:val="002657B1"/>
    <w:rsid w:val="002657D6"/>
    <w:rsid w:val="00266BBC"/>
    <w:rsid w:val="002728A4"/>
    <w:rsid w:val="002731B4"/>
    <w:rsid w:val="0027506E"/>
    <w:rsid w:val="0027546E"/>
    <w:rsid w:val="00275AA3"/>
    <w:rsid w:val="00275AD8"/>
    <w:rsid w:val="00276057"/>
    <w:rsid w:val="0028108A"/>
    <w:rsid w:val="00281DF3"/>
    <w:rsid w:val="002821F8"/>
    <w:rsid w:val="0028244B"/>
    <w:rsid w:val="0028359D"/>
    <w:rsid w:val="00283AB8"/>
    <w:rsid w:val="002853BA"/>
    <w:rsid w:val="0028632C"/>
    <w:rsid w:val="002874CB"/>
    <w:rsid w:val="00287C62"/>
    <w:rsid w:val="002900E6"/>
    <w:rsid w:val="00290B01"/>
    <w:rsid w:val="002910A3"/>
    <w:rsid w:val="00291B40"/>
    <w:rsid w:val="002927B7"/>
    <w:rsid w:val="002942C9"/>
    <w:rsid w:val="002947D3"/>
    <w:rsid w:val="00295F58"/>
    <w:rsid w:val="002963A3"/>
    <w:rsid w:val="002963B0"/>
    <w:rsid w:val="00296452"/>
    <w:rsid w:val="00297086"/>
    <w:rsid w:val="00297F5C"/>
    <w:rsid w:val="002A0BA2"/>
    <w:rsid w:val="002A141C"/>
    <w:rsid w:val="002A160B"/>
    <w:rsid w:val="002A4B6F"/>
    <w:rsid w:val="002A52D0"/>
    <w:rsid w:val="002A589E"/>
    <w:rsid w:val="002A724B"/>
    <w:rsid w:val="002B0D8B"/>
    <w:rsid w:val="002B2B68"/>
    <w:rsid w:val="002B3823"/>
    <w:rsid w:val="002B4008"/>
    <w:rsid w:val="002B44E3"/>
    <w:rsid w:val="002B5C8C"/>
    <w:rsid w:val="002B78EF"/>
    <w:rsid w:val="002B7A39"/>
    <w:rsid w:val="002B7FA7"/>
    <w:rsid w:val="002C134C"/>
    <w:rsid w:val="002C1C0B"/>
    <w:rsid w:val="002C2119"/>
    <w:rsid w:val="002C3328"/>
    <w:rsid w:val="002C3B11"/>
    <w:rsid w:val="002C4C91"/>
    <w:rsid w:val="002C5B2B"/>
    <w:rsid w:val="002C5C93"/>
    <w:rsid w:val="002C6AD4"/>
    <w:rsid w:val="002C701E"/>
    <w:rsid w:val="002D0E8E"/>
    <w:rsid w:val="002D20D9"/>
    <w:rsid w:val="002D47A1"/>
    <w:rsid w:val="002D63A7"/>
    <w:rsid w:val="002E0FC4"/>
    <w:rsid w:val="002E25A7"/>
    <w:rsid w:val="002E280F"/>
    <w:rsid w:val="002E307C"/>
    <w:rsid w:val="002E398E"/>
    <w:rsid w:val="002E4829"/>
    <w:rsid w:val="002E4E54"/>
    <w:rsid w:val="002E65A6"/>
    <w:rsid w:val="002E79F3"/>
    <w:rsid w:val="002F0C2F"/>
    <w:rsid w:val="002F3BFB"/>
    <w:rsid w:val="002F44A3"/>
    <w:rsid w:val="002F53DE"/>
    <w:rsid w:val="002F65BD"/>
    <w:rsid w:val="002F7359"/>
    <w:rsid w:val="002F76B4"/>
    <w:rsid w:val="00300907"/>
    <w:rsid w:val="00300AEB"/>
    <w:rsid w:val="00301189"/>
    <w:rsid w:val="00301593"/>
    <w:rsid w:val="00301AFE"/>
    <w:rsid w:val="00302F1C"/>
    <w:rsid w:val="003038A2"/>
    <w:rsid w:val="00303F37"/>
    <w:rsid w:val="00304739"/>
    <w:rsid w:val="003058DB"/>
    <w:rsid w:val="003065FC"/>
    <w:rsid w:val="00307226"/>
    <w:rsid w:val="00307335"/>
    <w:rsid w:val="003074F7"/>
    <w:rsid w:val="00310004"/>
    <w:rsid w:val="003110D2"/>
    <w:rsid w:val="003121AB"/>
    <w:rsid w:val="00313DF8"/>
    <w:rsid w:val="00314C36"/>
    <w:rsid w:val="00315CCE"/>
    <w:rsid w:val="00315D21"/>
    <w:rsid w:val="00320801"/>
    <w:rsid w:val="00321DA3"/>
    <w:rsid w:val="003227CD"/>
    <w:rsid w:val="00323E09"/>
    <w:rsid w:val="00323E7E"/>
    <w:rsid w:val="0032455A"/>
    <w:rsid w:val="00324712"/>
    <w:rsid w:val="00325901"/>
    <w:rsid w:val="003270E6"/>
    <w:rsid w:val="00327A5B"/>
    <w:rsid w:val="00330BF4"/>
    <w:rsid w:val="003326DF"/>
    <w:rsid w:val="00333772"/>
    <w:rsid w:val="00333932"/>
    <w:rsid w:val="00334D1C"/>
    <w:rsid w:val="00334F9E"/>
    <w:rsid w:val="00335657"/>
    <w:rsid w:val="00335F63"/>
    <w:rsid w:val="00336BF0"/>
    <w:rsid w:val="00340DC8"/>
    <w:rsid w:val="003416C0"/>
    <w:rsid w:val="003417B4"/>
    <w:rsid w:val="00342F85"/>
    <w:rsid w:val="00343656"/>
    <w:rsid w:val="00344A2E"/>
    <w:rsid w:val="00345CC0"/>
    <w:rsid w:val="00347DB1"/>
    <w:rsid w:val="003518AA"/>
    <w:rsid w:val="00352165"/>
    <w:rsid w:val="00352681"/>
    <w:rsid w:val="003529F6"/>
    <w:rsid w:val="00353182"/>
    <w:rsid w:val="003565D9"/>
    <w:rsid w:val="003574C3"/>
    <w:rsid w:val="0035753F"/>
    <w:rsid w:val="00357FA1"/>
    <w:rsid w:val="003602E1"/>
    <w:rsid w:val="0036138F"/>
    <w:rsid w:val="00362ABD"/>
    <w:rsid w:val="00362AED"/>
    <w:rsid w:val="0036314C"/>
    <w:rsid w:val="00363F72"/>
    <w:rsid w:val="003648CB"/>
    <w:rsid w:val="00364F8F"/>
    <w:rsid w:val="0036526B"/>
    <w:rsid w:val="00365CFC"/>
    <w:rsid w:val="0036632B"/>
    <w:rsid w:val="003665BB"/>
    <w:rsid w:val="0036721B"/>
    <w:rsid w:val="0036763F"/>
    <w:rsid w:val="003676AD"/>
    <w:rsid w:val="0037026F"/>
    <w:rsid w:val="00371240"/>
    <w:rsid w:val="00373804"/>
    <w:rsid w:val="00373C94"/>
    <w:rsid w:val="00374158"/>
    <w:rsid w:val="00374731"/>
    <w:rsid w:val="003761EA"/>
    <w:rsid w:val="003765D4"/>
    <w:rsid w:val="0037701E"/>
    <w:rsid w:val="00377413"/>
    <w:rsid w:val="0037775B"/>
    <w:rsid w:val="00377F93"/>
    <w:rsid w:val="0038068E"/>
    <w:rsid w:val="0038236B"/>
    <w:rsid w:val="00382EFD"/>
    <w:rsid w:val="00384583"/>
    <w:rsid w:val="00384C67"/>
    <w:rsid w:val="00385718"/>
    <w:rsid w:val="00385EC2"/>
    <w:rsid w:val="00386FAE"/>
    <w:rsid w:val="00387A27"/>
    <w:rsid w:val="00391152"/>
    <w:rsid w:val="003919D9"/>
    <w:rsid w:val="003919F9"/>
    <w:rsid w:val="00391E93"/>
    <w:rsid w:val="00393293"/>
    <w:rsid w:val="003946BB"/>
    <w:rsid w:val="00396978"/>
    <w:rsid w:val="003969B8"/>
    <w:rsid w:val="0039793E"/>
    <w:rsid w:val="003A01FF"/>
    <w:rsid w:val="003A1DF6"/>
    <w:rsid w:val="003A2FE2"/>
    <w:rsid w:val="003A4202"/>
    <w:rsid w:val="003A44F1"/>
    <w:rsid w:val="003A4603"/>
    <w:rsid w:val="003A52F6"/>
    <w:rsid w:val="003A5BAA"/>
    <w:rsid w:val="003A6FF4"/>
    <w:rsid w:val="003A7051"/>
    <w:rsid w:val="003A726A"/>
    <w:rsid w:val="003B0821"/>
    <w:rsid w:val="003B0A88"/>
    <w:rsid w:val="003B1F5A"/>
    <w:rsid w:val="003B203A"/>
    <w:rsid w:val="003B2069"/>
    <w:rsid w:val="003B34E0"/>
    <w:rsid w:val="003B5761"/>
    <w:rsid w:val="003B5F49"/>
    <w:rsid w:val="003B7A92"/>
    <w:rsid w:val="003C0454"/>
    <w:rsid w:val="003C11A7"/>
    <w:rsid w:val="003C139F"/>
    <w:rsid w:val="003C3492"/>
    <w:rsid w:val="003C38B5"/>
    <w:rsid w:val="003C5D99"/>
    <w:rsid w:val="003C6EDA"/>
    <w:rsid w:val="003C7EF0"/>
    <w:rsid w:val="003D0115"/>
    <w:rsid w:val="003D1406"/>
    <w:rsid w:val="003D1B88"/>
    <w:rsid w:val="003D2ED4"/>
    <w:rsid w:val="003D373B"/>
    <w:rsid w:val="003D4EA8"/>
    <w:rsid w:val="003D5927"/>
    <w:rsid w:val="003D6CBC"/>
    <w:rsid w:val="003D6F90"/>
    <w:rsid w:val="003E2F59"/>
    <w:rsid w:val="003E3348"/>
    <w:rsid w:val="003E40D7"/>
    <w:rsid w:val="003E552B"/>
    <w:rsid w:val="003E56D1"/>
    <w:rsid w:val="003E7F50"/>
    <w:rsid w:val="003F0789"/>
    <w:rsid w:val="003F1CC6"/>
    <w:rsid w:val="003F1E06"/>
    <w:rsid w:val="003F260D"/>
    <w:rsid w:val="003F3255"/>
    <w:rsid w:val="003F4679"/>
    <w:rsid w:val="003F4A84"/>
    <w:rsid w:val="003F6904"/>
    <w:rsid w:val="003F6BF3"/>
    <w:rsid w:val="004002D0"/>
    <w:rsid w:val="00400647"/>
    <w:rsid w:val="00401882"/>
    <w:rsid w:val="00402067"/>
    <w:rsid w:val="0040239F"/>
    <w:rsid w:val="00403DDB"/>
    <w:rsid w:val="00404927"/>
    <w:rsid w:val="004061C0"/>
    <w:rsid w:val="00406C1B"/>
    <w:rsid w:val="00407E49"/>
    <w:rsid w:val="00410006"/>
    <w:rsid w:val="004100C8"/>
    <w:rsid w:val="00410D66"/>
    <w:rsid w:val="00411281"/>
    <w:rsid w:val="00411D0F"/>
    <w:rsid w:val="00411DBD"/>
    <w:rsid w:val="00412ACE"/>
    <w:rsid w:val="00413DC8"/>
    <w:rsid w:val="00415633"/>
    <w:rsid w:val="00415EF4"/>
    <w:rsid w:val="00417406"/>
    <w:rsid w:val="0041742B"/>
    <w:rsid w:val="00417C1A"/>
    <w:rsid w:val="004218F6"/>
    <w:rsid w:val="0042207D"/>
    <w:rsid w:val="004237F8"/>
    <w:rsid w:val="0042401B"/>
    <w:rsid w:val="00424371"/>
    <w:rsid w:val="00424791"/>
    <w:rsid w:val="004256CB"/>
    <w:rsid w:val="004279B5"/>
    <w:rsid w:val="004305EA"/>
    <w:rsid w:val="004308A4"/>
    <w:rsid w:val="00430E8E"/>
    <w:rsid w:val="00431249"/>
    <w:rsid w:val="004332FA"/>
    <w:rsid w:val="00433ED8"/>
    <w:rsid w:val="00434468"/>
    <w:rsid w:val="00434A98"/>
    <w:rsid w:val="00434C19"/>
    <w:rsid w:val="004371D2"/>
    <w:rsid w:val="00437466"/>
    <w:rsid w:val="00440943"/>
    <w:rsid w:val="00440E18"/>
    <w:rsid w:val="004411A4"/>
    <w:rsid w:val="00441621"/>
    <w:rsid w:val="004418C4"/>
    <w:rsid w:val="0044499A"/>
    <w:rsid w:val="00444FD2"/>
    <w:rsid w:val="004473E6"/>
    <w:rsid w:val="00447964"/>
    <w:rsid w:val="00450810"/>
    <w:rsid w:val="004510D5"/>
    <w:rsid w:val="00451F36"/>
    <w:rsid w:val="00453D0B"/>
    <w:rsid w:val="00454373"/>
    <w:rsid w:val="00455900"/>
    <w:rsid w:val="00457060"/>
    <w:rsid w:val="0045757A"/>
    <w:rsid w:val="00460FFD"/>
    <w:rsid w:val="00461710"/>
    <w:rsid w:val="004622D2"/>
    <w:rsid w:val="00462B56"/>
    <w:rsid w:val="00463B6E"/>
    <w:rsid w:val="00464D4D"/>
    <w:rsid w:val="00464DA0"/>
    <w:rsid w:val="004654F8"/>
    <w:rsid w:val="00470443"/>
    <w:rsid w:val="00470AD5"/>
    <w:rsid w:val="00470BF3"/>
    <w:rsid w:val="0047389C"/>
    <w:rsid w:val="004738C9"/>
    <w:rsid w:val="0047578A"/>
    <w:rsid w:val="00476CBA"/>
    <w:rsid w:val="00477144"/>
    <w:rsid w:val="00477926"/>
    <w:rsid w:val="0048101F"/>
    <w:rsid w:val="004817DC"/>
    <w:rsid w:val="00481BEF"/>
    <w:rsid w:val="00482144"/>
    <w:rsid w:val="00482C51"/>
    <w:rsid w:val="00484BB8"/>
    <w:rsid w:val="00484CAD"/>
    <w:rsid w:val="004856EE"/>
    <w:rsid w:val="00485A95"/>
    <w:rsid w:val="00486651"/>
    <w:rsid w:val="00486A4E"/>
    <w:rsid w:val="00487012"/>
    <w:rsid w:val="004879E9"/>
    <w:rsid w:val="0049018B"/>
    <w:rsid w:val="004906B2"/>
    <w:rsid w:val="004908F4"/>
    <w:rsid w:val="0049160C"/>
    <w:rsid w:val="00491954"/>
    <w:rsid w:val="004926AE"/>
    <w:rsid w:val="0049286E"/>
    <w:rsid w:val="00494119"/>
    <w:rsid w:val="0049459F"/>
    <w:rsid w:val="00496581"/>
    <w:rsid w:val="00496E6C"/>
    <w:rsid w:val="004972A5"/>
    <w:rsid w:val="004A0EDF"/>
    <w:rsid w:val="004A0F45"/>
    <w:rsid w:val="004A1432"/>
    <w:rsid w:val="004A276E"/>
    <w:rsid w:val="004A2EB7"/>
    <w:rsid w:val="004A38DD"/>
    <w:rsid w:val="004A3DA5"/>
    <w:rsid w:val="004A4D53"/>
    <w:rsid w:val="004A700E"/>
    <w:rsid w:val="004B09AE"/>
    <w:rsid w:val="004B1850"/>
    <w:rsid w:val="004B3178"/>
    <w:rsid w:val="004B3685"/>
    <w:rsid w:val="004B4259"/>
    <w:rsid w:val="004B43AE"/>
    <w:rsid w:val="004B5347"/>
    <w:rsid w:val="004B648A"/>
    <w:rsid w:val="004B74EC"/>
    <w:rsid w:val="004B7825"/>
    <w:rsid w:val="004C19FB"/>
    <w:rsid w:val="004C2088"/>
    <w:rsid w:val="004C2AC3"/>
    <w:rsid w:val="004C2D18"/>
    <w:rsid w:val="004C30ED"/>
    <w:rsid w:val="004C3A7E"/>
    <w:rsid w:val="004C40D9"/>
    <w:rsid w:val="004C43C9"/>
    <w:rsid w:val="004C4B49"/>
    <w:rsid w:val="004C4EFB"/>
    <w:rsid w:val="004C67AB"/>
    <w:rsid w:val="004D0F56"/>
    <w:rsid w:val="004D10AC"/>
    <w:rsid w:val="004D112D"/>
    <w:rsid w:val="004D39E9"/>
    <w:rsid w:val="004D47B3"/>
    <w:rsid w:val="004D4BB4"/>
    <w:rsid w:val="004D5675"/>
    <w:rsid w:val="004D63CC"/>
    <w:rsid w:val="004D67DD"/>
    <w:rsid w:val="004D6D98"/>
    <w:rsid w:val="004D7128"/>
    <w:rsid w:val="004D7F5E"/>
    <w:rsid w:val="004E0DB3"/>
    <w:rsid w:val="004E19DF"/>
    <w:rsid w:val="004E2466"/>
    <w:rsid w:val="004E4292"/>
    <w:rsid w:val="004E42BA"/>
    <w:rsid w:val="004E4F2D"/>
    <w:rsid w:val="004E67BE"/>
    <w:rsid w:val="004E6E40"/>
    <w:rsid w:val="004E72CC"/>
    <w:rsid w:val="004F0FC8"/>
    <w:rsid w:val="004F11BE"/>
    <w:rsid w:val="004F1549"/>
    <w:rsid w:val="004F2118"/>
    <w:rsid w:val="004F2176"/>
    <w:rsid w:val="004F4485"/>
    <w:rsid w:val="004F4B3F"/>
    <w:rsid w:val="004F5710"/>
    <w:rsid w:val="004F724B"/>
    <w:rsid w:val="004F75FD"/>
    <w:rsid w:val="00501DAC"/>
    <w:rsid w:val="005022F6"/>
    <w:rsid w:val="00502B9E"/>
    <w:rsid w:val="00505889"/>
    <w:rsid w:val="0050595E"/>
    <w:rsid w:val="00505A5D"/>
    <w:rsid w:val="00506778"/>
    <w:rsid w:val="00507ECC"/>
    <w:rsid w:val="00511017"/>
    <w:rsid w:val="0051242B"/>
    <w:rsid w:val="00512F5A"/>
    <w:rsid w:val="00512F77"/>
    <w:rsid w:val="005130D2"/>
    <w:rsid w:val="005154AA"/>
    <w:rsid w:val="0051674C"/>
    <w:rsid w:val="00517782"/>
    <w:rsid w:val="0052064F"/>
    <w:rsid w:val="00521D01"/>
    <w:rsid w:val="00522496"/>
    <w:rsid w:val="005230C4"/>
    <w:rsid w:val="005233D3"/>
    <w:rsid w:val="00523639"/>
    <w:rsid w:val="005251FF"/>
    <w:rsid w:val="005266C7"/>
    <w:rsid w:val="00526AC2"/>
    <w:rsid w:val="0053091E"/>
    <w:rsid w:val="00530B9D"/>
    <w:rsid w:val="00530D69"/>
    <w:rsid w:val="00532401"/>
    <w:rsid w:val="005346C5"/>
    <w:rsid w:val="00536419"/>
    <w:rsid w:val="005365F5"/>
    <w:rsid w:val="00536F0A"/>
    <w:rsid w:val="00537038"/>
    <w:rsid w:val="00537A67"/>
    <w:rsid w:val="005409F1"/>
    <w:rsid w:val="00540DD5"/>
    <w:rsid w:val="005416AC"/>
    <w:rsid w:val="005419A6"/>
    <w:rsid w:val="005428AF"/>
    <w:rsid w:val="005433D2"/>
    <w:rsid w:val="00543626"/>
    <w:rsid w:val="00543D80"/>
    <w:rsid w:val="00550768"/>
    <w:rsid w:val="005509A7"/>
    <w:rsid w:val="00550A3A"/>
    <w:rsid w:val="00550C22"/>
    <w:rsid w:val="00552934"/>
    <w:rsid w:val="00552EE1"/>
    <w:rsid w:val="005540A1"/>
    <w:rsid w:val="0055518C"/>
    <w:rsid w:val="00561559"/>
    <w:rsid w:val="00563D1C"/>
    <w:rsid w:val="0056400A"/>
    <w:rsid w:val="005655F0"/>
    <w:rsid w:val="00566955"/>
    <w:rsid w:val="005700BB"/>
    <w:rsid w:val="00570343"/>
    <w:rsid w:val="0057273A"/>
    <w:rsid w:val="00572FAC"/>
    <w:rsid w:val="00573A07"/>
    <w:rsid w:val="00573D21"/>
    <w:rsid w:val="0057598B"/>
    <w:rsid w:val="00576DD1"/>
    <w:rsid w:val="00581D18"/>
    <w:rsid w:val="00583C39"/>
    <w:rsid w:val="00583D76"/>
    <w:rsid w:val="005841B3"/>
    <w:rsid w:val="00585F0A"/>
    <w:rsid w:val="00586B54"/>
    <w:rsid w:val="005876A9"/>
    <w:rsid w:val="00587749"/>
    <w:rsid w:val="00587D46"/>
    <w:rsid w:val="00590236"/>
    <w:rsid w:val="005902F5"/>
    <w:rsid w:val="005909CF"/>
    <w:rsid w:val="00590E75"/>
    <w:rsid w:val="00591E71"/>
    <w:rsid w:val="00592DD7"/>
    <w:rsid w:val="00593CE8"/>
    <w:rsid w:val="00594230"/>
    <w:rsid w:val="00595506"/>
    <w:rsid w:val="00596904"/>
    <w:rsid w:val="005A0A67"/>
    <w:rsid w:val="005A0CDF"/>
    <w:rsid w:val="005A0D41"/>
    <w:rsid w:val="005A0DC9"/>
    <w:rsid w:val="005A11D9"/>
    <w:rsid w:val="005A1D24"/>
    <w:rsid w:val="005A2B06"/>
    <w:rsid w:val="005A3033"/>
    <w:rsid w:val="005A4D14"/>
    <w:rsid w:val="005A67A2"/>
    <w:rsid w:val="005A6FE2"/>
    <w:rsid w:val="005B101F"/>
    <w:rsid w:val="005B3808"/>
    <w:rsid w:val="005B3AB7"/>
    <w:rsid w:val="005B3D21"/>
    <w:rsid w:val="005B415A"/>
    <w:rsid w:val="005B5089"/>
    <w:rsid w:val="005B6237"/>
    <w:rsid w:val="005B6923"/>
    <w:rsid w:val="005B7A24"/>
    <w:rsid w:val="005C1332"/>
    <w:rsid w:val="005C2037"/>
    <w:rsid w:val="005C2877"/>
    <w:rsid w:val="005C35F5"/>
    <w:rsid w:val="005C4ED7"/>
    <w:rsid w:val="005C51E1"/>
    <w:rsid w:val="005C5C7C"/>
    <w:rsid w:val="005C628F"/>
    <w:rsid w:val="005C64D0"/>
    <w:rsid w:val="005C6C47"/>
    <w:rsid w:val="005D06F1"/>
    <w:rsid w:val="005D10FD"/>
    <w:rsid w:val="005D439B"/>
    <w:rsid w:val="005D493E"/>
    <w:rsid w:val="005D54FE"/>
    <w:rsid w:val="005D65AB"/>
    <w:rsid w:val="005D6D03"/>
    <w:rsid w:val="005D72E0"/>
    <w:rsid w:val="005D72FE"/>
    <w:rsid w:val="005D7780"/>
    <w:rsid w:val="005E0413"/>
    <w:rsid w:val="005E04C1"/>
    <w:rsid w:val="005E10CD"/>
    <w:rsid w:val="005E1DE1"/>
    <w:rsid w:val="005E24F3"/>
    <w:rsid w:val="005E3120"/>
    <w:rsid w:val="005E3E59"/>
    <w:rsid w:val="005E45E7"/>
    <w:rsid w:val="005E4F1C"/>
    <w:rsid w:val="005E5176"/>
    <w:rsid w:val="005E5761"/>
    <w:rsid w:val="005F114C"/>
    <w:rsid w:val="005F2C52"/>
    <w:rsid w:val="005F3395"/>
    <w:rsid w:val="005F5771"/>
    <w:rsid w:val="005F584E"/>
    <w:rsid w:val="005F5960"/>
    <w:rsid w:val="005F7B97"/>
    <w:rsid w:val="00600ED3"/>
    <w:rsid w:val="0060135F"/>
    <w:rsid w:val="00601AC8"/>
    <w:rsid w:val="00601C3F"/>
    <w:rsid w:val="006029EE"/>
    <w:rsid w:val="0060498E"/>
    <w:rsid w:val="00606BA1"/>
    <w:rsid w:val="00606E30"/>
    <w:rsid w:val="00607BF1"/>
    <w:rsid w:val="00607E1B"/>
    <w:rsid w:val="00607E3F"/>
    <w:rsid w:val="0061046B"/>
    <w:rsid w:val="0061210D"/>
    <w:rsid w:val="00612363"/>
    <w:rsid w:val="006143DC"/>
    <w:rsid w:val="00614563"/>
    <w:rsid w:val="0061590C"/>
    <w:rsid w:val="00617DEF"/>
    <w:rsid w:val="0062115C"/>
    <w:rsid w:val="00621F3F"/>
    <w:rsid w:val="0062434D"/>
    <w:rsid w:val="00625924"/>
    <w:rsid w:val="006278D8"/>
    <w:rsid w:val="00630060"/>
    <w:rsid w:val="00630795"/>
    <w:rsid w:val="00630D4D"/>
    <w:rsid w:val="00631170"/>
    <w:rsid w:val="00631C9A"/>
    <w:rsid w:val="006321F3"/>
    <w:rsid w:val="00632A74"/>
    <w:rsid w:val="00632F94"/>
    <w:rsid w:val="00634A1D"/>
    <w:rsid w:val="00635229"/>
    <w:rsid w:val="006365DD"/>
    <w:rsid w:val="006368ED"/>
    <w:rsid w:val="00636D63"/>
    <w:rsid w:val="00636DE6"/>
    <w:rsid w:val="00640338"/>
    <w:rsid w:val="00640CD0"/>
    <w:rsid w:val="00641900"/>
    <w:rsid w:val="00641F3F"/>
    <w:rsid w:val="00642698"/>
    <w:rsid w:val="00642A2D"/>
    <w:rsid w:val="0064301D"/>
    <w:rsid w:val="00643251"/>
    <w:rsid w:val="00643D06"/>
    <w:rsid w:val="00645DB5"/>
    <w:rsid w:val="0064606F"/>
    <w:rsid w:val="0064645A"/>
    <w:rsid w:val="0064660A"/>
    <w:rsid w:val="00647104"/>
    <w:rsid w:val="00647221"/>
    <w:rsid w:val="00647589"/>
    <w:rsid w:val="0065136F"/>
    <w:rsid w:val="00652CBE"/>
    <w:rsid w:val="00652CE7"/>
    <w:rsid w:val="00655945"/>
    <w:rsid w:val="00656191"/>
    <w:rsid w:val="00660A0A"/>
    <w:rsid w:val="00661FBE"/>
    <w:rsid w:val="00662268"/>
    <w:rsid w:val="00662C81"/>
    <w:rsid w:val="006652FF"/>
    <w:rsid w:val="006666EE"/>
    <w:rsid w:val="0066798C"/>
    <w:rsid w:val="00672675"/>
    <w:rsid w:val="0067290E"/>
    <w:rsid w:val="006759CA"/>
    <w:rsid w:val="00675EF5"/>
    <w:rsid w:val="0067620D"/>
    <w:rsid w:val="0067674D"/>
    <w:rsid w:val="00676DAE"/>
    <w:rsid w:val="00676FF1"/>
    <w:rsid w:val="00677BFE"/>
    <w:rsid w:val="00677DDA"/>
    <w:rsid w:val="00682350"/>
    <w:rsid w:val="006825E0"/>
    <w:rsid w:val="006832C0"/>
    <w:rsid w:val="00683721"/>
    <w:rsid w:val="00683D43"/>
    <w:rsid w:val="006843A4"/>
    <w:rsid w:val="006850C1"/>
    <w:rsid w:val="00685BED"/>
    <w:rsid w:val="00685F48"/>
    <w:rsid w:val="00686B31"/>
    <w:rsid w:val="00687E1E"/>
    <w:rsid w:val="0069063B"/>
    <w:rsid w:val="00690AC2"/>
    <w:rsid w:val="00690F07"/>
    <w:rsid w:val="006914EC"/>
    <w:rsid w:val="00692313"/>
    <w:rsid w:val="0069234A"/>
    <w:rsid w:val="0069252C"/>
    <w:rsid w:val="00693E48"/>
    <w:rsid w:val="00694191"/>
    <w:rsid w:val="006956F5"/>
    <w:rsid w:val="00695721"/>
    <w:rsid w:val="00695B24"/>
    <w:rsid w:val="00696175"/>
    <w:rsid w:val="0069660D"/>
    <w:rsid w:val="0069714A"/>
    <w:rsid w:val="006979A7"/>
    <w:rsid w:val="006A2F03"/>
    <w:rsid w:val="006A31A1"/>
    <w:rsid w:val="006A4655"/>
    <w:rsid w:val="006A477B"/>
    <w:rsid w:val="006A5253"/>
    <w:rsid w:val="006A550E"/>
    <w:rsid w:val="006A58C7"/>
    <w:rsid w:val="006A5F08"/>
    <w:rsid w:val="006A70A2"/>
    <w:rsid w:val="006A72EF"/>
    <w:rsid w:val="006A796C"/>
    <w:rsid w:val="006B033D"/>
    <w:rsid w:val="006B14E7"/>
    <w:rsid w:val="006B1EEB"/>
    <w:rsid w:val="006B1FB8"/>
    <w:rsid w:val="006B2546"/>
    <w:rsid w:val="006B2802"/>
    <w:rsid w:val="006B2B3C"/>
    <w:rsid w:val="006B3FB7"/>
    <w:rsid w:val="006B41C5"/>
    <w:rsid w:val="006B4DC4"/>
    <w:rsid w:val="006B5D39"/>
    <w:rsid w:val="006B601F"/>
    <w:rsid w:val="006B64BF"/>
    <w:rsid w:val="006B650F"/>
    <w:rsid w:val="006B7E44"/>
    <w:rsid w:val="006C1C5F"/>
    <w:rsid w:val="006C1D81"/>
    <w:rsid w:val="006C2243"/>
    <w:rsid w:val="006C2610"/>
    <w:rsid w:val="006C538B"/>
    <w:rsid w:val="006C5844"/>
    <w:rsid w:val="006C7038"/>
    <w:rsid w:val="006D1291"/>
    <w:rsid w:val="006D43CE"/>
    <w:rsid w:val="006D473B"/>
    <w:rsid w:val="006D6385"/>
    <w:rsid w:val="006D64AB"/>
    <w:rsid w:val="006D6A7F"/>
    <w:rsid w:val="006D6FDE"/>
    <w:rsid w:val="006E1B4E"/>
    <w:rsid w:val="006E1C80"/>
    <w:rsid w:val="006E22D5"/>
    <w:rsid w:val="006E2CB6"/>
    <w:rsid w:val="006E3909"/>
    <w:rsid w:val="006E3B22"/>
    <w:rsid w:val="006E697A"/>
    <w:rsid w:val="006E73EF"/>
    <w:rsid w:val="006F0259"/>
    <w:rsid w:val="006F0A28"/>
    <w:rsid w:val="006F20FF"/>
    <w:rsid w:val="006F2E55"/>
    <w:rsid w:val="006F527A"/>
    <w:rsid w:val="006F53A0"/>
    <w:rsid w:val="006F5D4F"/>
    <w:rsid w:val="006F6582"/>
    <w:rsid w:val="007020B3"/>
    <w:rsid w:val="00702881"/>
    <w:rsid w:val="00702A23"/>
    <w:rsid w:val="00703097"/>
    <w:rsid w:val="007030DC"/>
    <w:rsid w:val="0070400E"/>
    <w:rsid w:val="00704457"/>
    <w:rsid w:val="00705EAE"/>
    <w:rsid w:val="00705F0F"/>
    <w:rsid w:val="0070642E"/>
    <w:rsid w:val="00710221"/>
    <w:rsid w:val="0071044D"/>
    <w:rsid w:val="007106F9"/>
    <w:rsid w:val="00712B32"/>
    <w:rsid w:val="00713FE7"/>
    <w:rsid w:val="00714D4D"/>
    <w:rsid w:val="007171C8"/>
    <w:rsid w:val="007177C5"/>
    <w:rsid w:val="00717DB8"/>
    <w:rsid w:val="00720348"/>
    <w:rsid w:val="00720450"/>
    <w:rsid w:val="00720973"/>
    <w:rsid w:val="00721B84"/>
    <w:rsid w:val="0072322E"/>
    <w:rsid w:val="007251EF"/>
    <w:rsid w:val="007259BA"/>
    <w:rsid w:val="007261C4"/>
    <w:rsid w:val="007277D9"/>
    <w:rsid w:val="00727C3B"/>
    <w:rsid w:val="00733CE6"/>
    <w:rsid w:val="00735E9F"/>
    <w:rsid w:val="00736942"/>
    <w:rsid w:val="00736E0F"/>
    <w:rsid w:val="00737F9B"/>
    <w:rsid w:val="00741553"/>
    <w:rsid w:val="00742407"/>
    <w:rsid w:val="00743195"/>
    <w:rsid w:val="0074346B"/>
    <w:rsid w:val="00743589"/>
    <w:rsid w:val="0074486C"/>
    <w:rsid w:val="00751C7F"/>
    <w:rsid w:val="00752B2F"/>
    <w:rsid w:val="0075314E"/>
    <w:rsid w:val="007531E7"/>
    <w:rsid w:val="0075558A"/>
    <w:rsid w:val="00757ED3"/>
    <w:rsid w:val="007604BB"/>
    <w:rsid w:val="007609A3"/>
    <w:rsid w:val="007622AA"/>
    <w:rsid w:val="007626AC"/>
    <w:rsid w:val="00762DDF"/>
    <w:rsid w:val="007644B6"/>
    <w:rsid w:val="00766583"/>
    <w:rsid w:val="00766990"/>
    <w:rsid w:val="00767F09"/>
    <w:rsid w:val="007702C0"/>
    <w:rsid w:val="00770D8F"/>
    <w:rsid w:val="00771BB6"/>
    <w:rsid w:val="00771FA7"/>
    <w:rsid w:val="00772901"/>
    <w:rsid w:val="00772D78"/>
    <w:rsid w:val="007738AA"/>
    <w:rsid w:val="0077546A"/>
    <w:rsid w:val="007754EF"/>
    <w:rsid w:val="00777FB4"/>
    <w:rsid w:val="00777FC4"/>
    <w:rsid w:val="00780CFE"/>
    <w:rsid w:val="00782482"/>
    <w:rsid w:val="00782546"/>
    <w:rsid w:val="00783517"/>
    <w:rsid w:val="00784498"/>
    <w:rsid w:val="00784F49"/>
    <w:rsid w:val="00785232"/>
    <w:rsid w:val="007857F8"/>
    <w:rsid w:val="00785AE7"/>
    <w:rsid w:val="00785D64"/>
    <w:rsid w:val="007902F1"/>
    <w:rsid w:val="0079151D"/>
    <w:rsid w:val="00791B1E"/>
    <w:rsid w:val="00792077"/>
    <w:rsid w:val="007923F9"/>
    <w:rsid w:val="007937EB"/>
    <w:rsid w:val="0079476C"/>
    <w:rsid w:val="007953B8"/>
    <w:rsid w:val="00796A53"/>
    <w:rsid w:val="00796CC0"/>
    <w:rsid w:val="00796D32"/>
    <w:rsid w:val="007A0321"/>
    <w:rsid w:val="007A13AC"/>
    <w:rsid w:val="007A1DE8"/>
    <w:rsid w:val="007A21EB"/>
    <w:rsid w:val="007A2747"/>
    <w:rsid w:val="007A2783"/>
    <w:rsid w:val="007A2B15"/>
    <w:rsid w:val="007A2D2D"/>
    <w:rsid w:val="007A2E05"/>
    <w:rsid w:val="007A5447"/>
    <w:rsid w:val="007A5AB2"/>
    <w:rsid w:val="007A612D"/>
    <w:rsid w:val="007A738F"/>
    <w:rsid w:val="007A7BAB"/>
    <w:rsid w:val="007B19E4"/>
    <w:rsid w:val="007B1A93"/>
    <w:rsid w:val="007B2516"/>
    <w:rsid w:val="007B477A"/>
    <w:rsid w:val="007B6AC4"/>
    <w:rsid w:val="007B7131"/>
    <w:rsid w:val="007B7776"/>
    <w:rsid w:val="007B7FF6"/>
    <w:rsid w:val="007C06A9"/>
    <w:rsid w:val="007C0E86"/>
    <w:rsid w:val="007C0FBB"/>
    <w:rsid w:val="007C36C9"/>
    <w:rsid w:val="007C6FEB"/>
    <w:rsid w:val="007C7991"/>
    <w:rsid w:val="007D1BD8"/>
    <w:rsid w:val="007D1C5D"/>
    <w:rsid w:val="007D2003"/>
    <w:rsid w:val="007D284F"/>
    <w:rsid w:val="007D2866"/>
    <w:rsid w:val="007D31DF"/>
    <w:rsid w:val="007D450F"/>
    <w:rsid w:val="007D52D7"/>
    <w:rsid w:val="007D6401"/>
    <w:rsid w:val="007D6B86"/>
    <w:rsid w:val="007D77BE"/>
    <w:rsid w:val="007E0097"/>
    <w:rsid w:val="007E01E4"/>
    <w:rsid w:val="007E07B1"/>
    <w:rsid w:val="007E1126"/>
    <w:rsid w:val="007E48C9"/>
    <w:rsid w:val="007E4DC3"/>
    <w:rsid w:val="007E557D"/>
    <w:rsid w:val="007E6A1D"/>
    <w:rsid w:val="007F0D7A"/>
    <w:rsid w:val="007F184B"/>
    <w:rsid w:val="007F192B"/>
    <w:rsid w:val="007F2087"/>
    <w:rsid w:val="007F2BBC"/>
    <w:rsid w:val="007F349B"/>
    <w:rsid w:val="007F51DB"/>
    <w:rsid w:val="007F563E"/>
    <w:rsid w:val="007F5F17"/>
    <w:rsid w:val="007F663C"/>
    <w:rsid w:val="007F68BF"/>
    <w:rsid w:val="007F7107"/>
    <w:rsid w:val="007F7289"/>
    <w:rsid w:val="007F759A"/>
    <w:rsid w:val="007F7982"/>
    <w:rsid w:val="008006CA"/>
    <w:rsid w:val="008017F3"/>
    <w:rsid w:val="00802919"/>
    <w:rsid w:val="00803974"/>
    <w:rsid w:val="00805897"/>
    <w:rsid w:val="008058FC"/>
    <w:rsid w:val="00807FA3"/>
    <w:rsid w:val="00810039"/>
    <w:rsid w:val="0081030F"/>
    <w:rsid w:val="008104EA"/>
    <w:rsid w:val="00810F26"/>
    <w:rsid w:val="0081173D"/>
    <w:rsid w:val="008118C5"/>
    <w:rsid w:val="00811971"/>
    <w:rsid w:val="00811E73"/>
    <w:rsid w:val="00812148"/>
    <w:rsid w:val="008155BA"/>
    <w:rsid w:val="00815AC7"/>
    <w:rsid w:val="00817EF5"/>
    <w:rsid w:val="0082087D"/>
    <w:rsid w:val="0082185A"/>
    <w:rsid w:val="00821F58"/>
    <w:rsid w:val="00822CBD"/>
    <w:rsid w:val="00823F14"/>
    <w:rsid w:val="008247DE"/>
    <w:rsid w:val="00824807"/>
    <w:rsid w:val="008253A5"/>
    <w:rsid w:val="00830951"/>
    <w:rsid w:val="008314A8"/>
    <w:rsid w:val="008341FD"/>
    <w:rsid w:val="008367FC"/>
    <w:rsid w:val="00837A0B"/>
    <w:rsid w:val="00842933"/>
    <w:rsid w:val="00845C92"/>
    <w:rsid w:val="008462DD"/>
    <w:rsid w:val="0084671B"/>
    <w:rsid w:val="008473F3"/>
    <w:rsid w:val="00847F9A"/>
    <w:rsid w:val="0085086A"/>
    <w:rsid w:val="00852007"/>
    <w:rsid w:val="008539FC"/>
    <w:rsid w:val="00856605"/>
    <w:rsid w:val="00857C27"/>
    <w:rsid w:val="0086082C"/>
    <w:rsid w:val="00860F7A"/>
    <w:rsid w:val="0086374F"/>
    <w:rsid w:val="00863E58"/>
    <w:rsid w:val="0086457E"/>
    <w:rsid w:val="00864ADC"/>
    <w:rsid w:val="008657C3"/>
    <w:rsid w:val="00865932"/>
    <w:rsid w:val="0086659D"/>
    <w:rsid w:val="00870D1E"/>
    <w:rsid w:val="00870E2E"/>
    <w:rsid w:val="00870EC1"/>
    <w:rsid w:val="0087177B"/>
    <w:rsid w:val="0087442B"/>
    <w:rsid w:val="00875AA9"/>
    <w:rsid w:val="00875C6E"/>
    <w:rsid w:val="00875DD6"/>
    <w:rsid w:val="0087683F"/>
    <w:rsid w:val="00876A46"/>
    <w:rsid w:val="00880153"/>
    <w:rsid w:val="0088016B"/>
    <w:rsid w:val="00880F97"/>
    <w:rsid w:val="0088133A"/>
    <w:rsid w:val="00882208"/>
    <w:rsid w:val="008839FD"/>
    <w:rsid w:val="00885209"/>
    <w:rsid w:val="00887636"/>
    <w:rsid w:val="00887BA9"/>
    <w:rsid w:val="008906B8"/>
    <w:rsid w:val="00891504"/>
    <w:rsid w:val="008919B2"/>
    <w:rsid w:val="008925C1"/>
    <w:rsid w:val="0089285E"/>
    <w:rsid w:val="008928DD"/>
    <w:rsid w:val="0089329A"/>
    <w:rsid w:val="008940EF"/>
    <w:rsid w:val="0089436C"/>
    <w:rsid w:val="00894D55"/>
    <w:rsid w:val="00895271"/>
    <w:rsid w:val="0089557B"/>
    <w:rsid w:val="00896048"/>
    <w:rsid w:val="00896718"/>
    <w:rsid w:val="008A09DF"/>
    <w:rsid w:val="008A2976"/>
    <w:rsid w:val="008A3023"/>
    <w:rsid w:val="008A3B77"/>
    <w:rsid w:val="008A40ED"/>
    <w:rsid w:val="008A454B"/>
    <w:rsid w:val="008A474E"/>
    <w:rsid w:val="008A5B75"/>
    <w:rsid w:val="008A63AC"/>
    <w:rsid w:val="008A7013"/>
    <w:rsid w:val="008A762D"/>
    <w:rsid w:val="008A7C4E"/>
    <w:rsid w:val="008B11FE"/>
    <w:rsid w:val="008B1272"/>
    <w:rsid w:val="008B200D"/>
    <w:rsid w:val="008B21C7"/>
    <w:rsid w:val="008B3D00"/>
    <w:rsid w:val="008B4597"/>
    <w:rsid w:val="008C166E"/>
    <w:rsid w:val="008C3426"/>
    <w:rsid w:val="008C45F1"/>
    <w:rsid w:val="008C4C73"/>
    <w:rsid w:val="008C6C10"/>
    <w:rsid w:val="008C6CEC"/>
    <w:rsid w:val="008D04C0"/>
    <w:rsid w:val="008D12AB"/>
    <w:rsid w:val="008D145E"/>
    <w:rsid w:val="008D18A9"/>
    <w:rsid w:val="008D1CFE"/>
    <w:rsid w:val="008D2337"/>
    <w:rsid w:val="008D365C"/>
    <w:rsid w:val="008D382B"/>
    <w:rsid w:val="008D495D"/>
    <w:rsid w:val="008D513F"/>
    <w:rsid w:val="008D61A4"/>
    <w:rsid w:val="008D64C6"/>
    <w:rsid w:val="008D6D24"/>
    <w:rsid w:val="008E0FCF"/>
    <w:rsid w:val="008E1DA5"/>
    <w:rsid w:val="008E61D9"/>
    <w:rsid w:val="008E7218"/>
    <w:rsid w:val="008E79E9"/>
    <w:rsid w:val="008E7C45"/>
    <w:rsid w:val="008F3B72"/>
    <w:rsid w:val="008F3DB2"/>
    <w:rsid w:val="008F53D3"/>
    <w:rsid w:val="008F6DA0"/>
    <w:rsid w:val="00900887"/>
    <w:rsid w:val="00901F81"/>
    <w:rsid w:val="009030BF"/>
    <w:rsid w:val="009061EC"/>
    <w:rsid w:val="00907A18"/>
    <w:rsid w:val="0091032F"/>
    <w:rsid w:val="00912201"/>
    <w:rsid w:val="00913A6E"/>
    <w:rsid w:val="00914368"/>
    <w:rsid w:val="00914D62"/>
    <w:rsid w:val="00915711"/>
    <w:rsid w:val="00915B9C"/>
    <w:rsid w:val="00916C46"/>
    <w:rsid w:val="00917248"/>
    <w:rsid w:val="00917C55"/>
    <w:rsid w:val="00920A7B"/>
    <w:rsid w:val="00920D46"/>
    <w:rsid w:val="0092137A"/>
    <w:rsid w:val="00921BF9"/>
    <w:rsid w:val="009223BE"/>
    <w:rsid w:val="00926903"/>
    <w:rsid w:val="009270B8"/>
    <w:rsid w:val="00927E08"/>
    <w:rsid w:val="009301BA"/>
    <w:rsid w:val="00930376"/>
    <w:rsid w:val="009306AB"/>
    <w:rsid w:val="00931076"/>
    <w:rsid w:val="009345D9"/>
    <w:rsid w:val="00934B15"/>
    <w:rsid w:val="00935858"/>
    <w:rsid w:val="00937869"/>
    <w:rsid w:val="00940D4F"/>
    <w:rsid w:val="00941A68"/>
    <w:rsid w:val="00941D9A"/>
    <w:rsid w:val="00942116"/>
    <w:rsid w:val="00942859"/>
    <w:rsid w:val="00942B62"/>
    <w:rsid w:val="00942D7C"/>
    <w:rsid w:val="0094367E"/>
    <w:rsid w:val="00943DB1"/>
    <w:rsid w:val="00944C4B"/>
    <w:rsid w:val="00947C39"/>
    <w:rsid w:val="00947C5D"/>
    <w:rsid w:val="009500BF"/>
    <w:rsid w:val="009508E8"/>
    <w:rsid w:val="00950D43"/>
    <w:rsid w:val="00950ED6"/>
    <w:rsid w:val="00950F0B"/>
    <w:rsid w:val="00951B7E"/>
    <w:rsid w:val="00951EC5"/>
    <w:rsid w:val="00954717"/>
    <w:rsid w:val="00955E94"/>
    <w:rsid w:val="00956A0C"/>
    <w:rsid w:val="00956BD9"/>
    <w:rsid w:val="00957D79"/>
    <w:rsid w:val="00962489"/>
    <w:rsid w:val="00962A3E"/>
    <w:rsid w:val="00963BBA"/>
    <w:rsid w:val="0096473E"/>
    <w:rsid w:val="00964AE6"/>
    <w:rsid w:val="00965138"/>
    <w:rsid w:val="009666A6"/>
    <w:rsid w:val="0096751E"/>
    <w:rsid w:val="009678C3"/>
    <w:rsid w:val="00967BE3"/>
    <w:rsid w:val="00972228"/>
    <w:rsid w:val="00973140"/>
    <w:rsid w:val="00973362"/>
    <w:rsid w:val="0097466B"/>
    <w:rsid w:val="00974721"/>
    <w:rsid w:val="00974ACD"/>
    <w:rsid w:val="009769AE"/>
    <w:rsid w:val="0098014F"/>
    <w:rsid w:val="00981E8D"/>
    <w:rsid w:val="0098200D"/>
    <w:rsid w:val="00984EB4"/>
    <w:rsid w:val="00986611"/>
    <w:rsid w:val="00986CCB"/>
    <w:rsid w:val="00990833"/>
    <w:rsid w:val="00990ABE"/>
    <w:rsid w:val="00990C2C"/>
    <w:rsid w:val="00991276"/>
    <w:rsid w:val="009925F1"/>
    <w:rsid w:val="009930CE"/>
    <w:rsid w:val="00993F4E"/>
    <w:rsid w:val="009974F7"/>
    <w:rsid w:val="00997BE2"/>
    <w:rsid w:val="009A1092"/>
    <w:rsid w:val="009A18EB"/>
    <w:rsid w:val="009A2DE3"/>
    <w:rsid w:val="009A50A1"/>
    <w:rsid w:val="009A615B"/>
    <w:rsid w:val="009A63BD"/>
    <w:rsid w:val="009A6427"/>
    <w:rsid w:val="009A7571"/>
    <w:rsid w:val="009A7F04"/>
    <w:rsid w:val="009B1174"/>
    <w:rsid w:val="009B1CA5"/>
    <w:rsid w:val="009B2B7D"/>
    <w:rsid w:val="009B2F98"/>
    <w:rsid w:val="009B3BC3"/>
    <w:rsid w:val="009B428C"/>
    <w:rsid w:val="009B5078"/>
    <w:rsid w:val="009B52A9"/>
    <w:rsid w:val="009B6490"/>
    <w:rsid w:val="009B72BA"/>
    <w:rsid w:val="009C0950"/>
    <w:rsid w:val="009C0DE6"/>
    <w:rsid w:val="009C10D7"/>
    <w:rsid w:val="009C17BA"/>
    <w:rsid w:val="009C1967"/>
    <w:rsid w:val="009C1E98"/>
    <w:rsid w:val="009C308F"/>
    <w:rsid w:val="009C3235"/>
    <w:rsid w:val="009C3D5A"/>
    <w:rsid w:val="009C3FAD"/>
    <w:rsid w:val="009C47EC"/>
    <w:rsid w:val="009C5A56"/>
    <w:rsid w:val="009C68B4"/>
    <w:rsid w:val="009C6C9A"/>
    <w:rsid w:val="009D053F"/>
    <w:rsid w:val="009D1104"/>
    <w:rsid w:val="009D14BC"/>
    <w:rsid w:val="009D185B"/>
    <w:rsid w:val="009D1A5E"/>
    <w:rsid w:val="009D2F33"/>
    <w:rsid w:val="009D53C6"/>
    <w:rsid w:val="009D58FB"/>
    <w:rsid w:val="009D631E"/>
    <w:rsid w:val="009D6AEB"/>
    <w:rsid w:val="009D6B23"/>
    <w:rsid w:val="009D7D66"/>
    <w:rsid w:val="009E03AF"/>
    <w:rsid w:val="009E0D02"/>
    <w:rsid w:val="009E1385"/>
    <w:rsid w:val="009E1C86"/>
    <w:rsid w:val="009E2DD4"/>
    <w:rsid w:val="009E46DD"/>
    <w:rsid w:val="009E48CF"/>
    <w:rsid w:val="009E551B"/>
    <w:rsid w:val="009E5752"/>
    <w:rsid w:val="009E6516"/>
    <w:rsid w:val="009F0044"/>
    <w:rsid w:val="009F04A2"/>
    <w:rsid w:val="009F11B7"/>
    <w:rsid w:val="009F2332"/>
    <w:rsid w:val="009F696D"/>
    <w:rsid w:val="009F6BC6"/>
    <w:rsid w:val="009F7780"/>
    <w:rsid w:val="00A008A7"/>
    <w:rsid w:val="00A01780"/>
    <w:rsid w:val="00A0280C"/>
    <w:rsid w:val="00A0496F"/>
    <w:rsid w:val="00A06DDE"/>
    <w:rsid w:val="00A0727D"/>
    <w:rsid w:val="00A073CF"/>
    <w:rsid w:val="00A114D1"/>
    <w:rsid w:val="00A11BBA"/>
    <w:rsid w:val="00A1315D"/>
    <w:rsid w:val="00A134CF"/>
    <w:rsid w:val="00A1354F"/>
    <w:rsid w:val="00A139A1"/>
    <w:rsid w:val="00A1537E"/>
    <w:rsid w:val="00A16C96"/>
    <w:rsid w:val="00A17328"/>
    <w:rsid w:val="00A176B9"/>
    <w:rsid w:val="00A203D7"/>
    <w:rsid w:val="00A21AF6"/>
    <w:rsid w:val="00A21DB2"/>
    <w:rsid w:val="00A2259A"/>
    <w:rsid w:val="00A236CC"/>
    <w:rsid w:val="00A23A20"/>
    <w:rsid w:val="00A23C59"/>
    <w:rsid w:val="00A25724"/>
    <w:rsid w:val="00A25807"/>
    <w:rsid w:val="00A25FEB"/>
    <w:rsid w:val="00A268B9"/>
    <w:rsid w:val="00A26E2B"/>
    <w:rsid w:val="00A2703A"/>
    <w:rsid w:val="00A27521"/>
    <w:rsid w:val="00A2753D"/>
    <w:rsid w:val="00A3011D"/>
    <w:rsid w:val="00A30855"/>
    <w:rsid w:val="00A30D2A"/>
    <w:rsid w:val="00A32D73"/>
    <w:rsid w:val="00A33705"/>
    <w:rsid w:val="00A33B4C"/>
    <w:rsid w:val="00A33DFF"/>
    <w:rsid w:val="00A34BA8"/>
    <w:rsid w:val="00A35115"/>
    <w:rsid w:val="00A35B33"/>
    <w:rsid w:val="00A41F00"/>
    <w:rsid w:val="00A42E3F"/>
    <w:rsid w:val="00A43081"/>
    <w:rsid w:val="00A43604"/>
    <w:rsid w:val="00A436B6"/>
    <w:rsid w:val="00A43AF9"/>
    <w:rsid w:val="00A43BB7"/>
    <w:rsid w:val="00A46F83"/>
    <w:rsid w:val="00A50F2D"/>
    <w:rsid w:val="00A51F86"/>
    <w:rsid w:val="00A528DA"/>
    <w:rsid w:val="00A533E9"/>
    <w:rsid w:val="00A53A7C"/>
    <w:rsid w:val="00A54DAF"/>
    <w:rsid w:val="00A54FCB"/>
    <w:rsid w:val="00A554AB"/>
    <w:rsid w:val="00A55C9F"/>
    <w:rsid w:val="00A573DA"/>
    <w:rsid w:val="00A578BA"/>
    <w:rsid w:val="00A60716"/>
    <w:rsid w:val="00A61636"/>
    <w:rsid w:val="00A632ED"/>
    <w:rsid w:val="00A64602"/>
    <w:rsid w:val="00A65A00"/>
    <w:rsid w:val="00A65FDC"/>
    <w:rsid w:val="00A667BE"/>
    <w:rsid w:val="00A66F61"/>
    <w:rsid w:val="00A67011"/>
    <w:rsid w:val="00A67D96"/>
    <w:rsid w:val="00A703DC"/>
    <w:rsid w:val="00A70C5D"/>
    <w:rsid w:val="00A70CCC"/>
    <w:rsid w:val="00A711F8"/>
    <w:rsid w:val="00A71332"/>
    <w:rsid w:val="00A723AA"/>
    <w:rsid w:val="00A72D4F"/>
    <w:rsid w:val="00A72ED1"/>
    <w:rsid w:val="00A73757"/>
    <w:rsid w:val="00A754CF"/>
    <w:rsid w:val="00A75776"/>
    <w:rsid w:val="00A760A4"/>
    <w:rsid w:val="00A76528"/>
    <w:rsid w:val="00A76A90"/>
    <w:rsid w:val="00A76CFD"/>
    <w:rsid w:val="00A76DBF"/>
    <w:rsid w:val="00A80056"/>
    <w:rsid w:val="00A80152"/>
    <w:rsid w:val="00A83689"/>
    <w:rsid w:val="00A84218"/>
    <w:rsid w:val="00A90119"/>
    <w:rsid w:val="00A92B53"/>
    <w:rsid w:val="00A93A82"/>
    <w:rsid w:val="00A94FA6"/>
    <w:rsid w:val="00A95AE0"/>
    <w:rsid w:val="00A961BB"/>
    <w:rsid w:val="00A96EB0"/>
    <w:rsid w:val="00A971D9"/>
    <w:rsid w:val="00A97642"/>
    <w:rsid w:val="00AA0187"/>
    <w:rsid w:val="00AA1425"/>
    <w:rsid w:val="00AA3133"/>
    <w:rsid w:val="00AA368A"/>
    <w:rsid w:val="00AA4093"/>
    <w:rsid w:val="00AA4438"/>
    <w:rsid w:val="00AA4807"/>
    <w:rsid w:val="00AA49A0"/>
    <w:rsid w:val="00AA6710"/>
    <w:rsid w:val="00AA6A76"/>
    <w:rsid w:val="00AA7BB7"/>
    <w:rsid w:val="00AA7E82"/>
    <w:rsid w:val="00AB02FE"/>
    <w:rsid w:val="00AB0545"/>
    <w:rsid w:val="00AB0681"/>
    <w:rsid w:val="00AB0D23"/>
    <w:rsid w:val="00AB1692"/>
    <w:rsid w:val="00AB6F02"/>
    <w:rsid w:val="00AB7798"/>
    <w:rsid w:val="00AB7D7E"/>
    <w:rsid w:val="00AC0789"/>
    <w:rsid w:val="00AC161D"/>
    <w:rsid w:val="00AC209C"/>
    <w:rsid w:val="00AC2625"/>
    <w:rsid w:val="00AC291E"/>
    <w:rsid w:val="00AC2E57"/>
    <w:rsid w:val="00AC2F9F"/>
    <w:rsid w:val="00AC333C"/>
    <w:rsid w:val="00AC4619"/>
    <w:rsid w:val="00AC4647"/>
    <w:rsid w:val="00AC4B5C"/>
    <w:rsid w:val="00AC5AE5"/>
    <w:rsid w:val="00AC5FEC"/>
    <w:rsid w:val="00AC6DFE"/>
    <w:rsid w:val="00AD018F"/>
    <w:rsid w:val="00AD04D7"/>
    <w:rsid w:val="00AD11D9"/>
    <w:rsid w:val="00AD25E9"/>
    <w:rsid w:val="00AD520B"/>
    <w:rsid w:val="00AE1F4A"/>
    <w:rsid w:val="00AE34B5"/>
    <w:rsid w:val="00AE3567"/>
    <w:rsid w:val="00AE4157"/>
    <w:rsid w:val="00AE4F3D"/>
    <w:rsid w:val="00AE5A3C"/>
    <w:rsid w:val="00AE6847"/>
    <w:rsid w:val="00AE7C33"/>
    <w:rsid w:val="00AF01D2"/>
    <w:rsid w:val="00AF04D7"/>
    <w:rsid w:val="00AF24BC"/>
    <w:rsid w:val="00AF5434"/>
    <w:rsid w:val="00AF5DAD"/>
    <w:rsid w:val="00AF7274"/>
    <w:rsid w:val="00B01B6A"/>
    <w:rsid w:val="00B032AC"/>
    <w:rsid w:val="00B034D0"/>
    <w:rsid w:val="00B03F6E"/>
    <w:rsid w:val="00B04BD8"/>
    <w:rsid w:val="00B05874"/>
    <w:rsid w:val="00B05BE0"/>
    <w:rsid w:val="00B06BB4"/>
    <w:rsid w:val="00B07210"/>
    <w:rsid w:val="00B11A75"/>
    <w:rsid w:val="00B13AF4"/>
    <w:rsid w:val="00B1495C"/>
    <w:rsid w:val="00B14E93"/>
    <w:rsid w:val="00B14EE7"/>
    <w:rsid w:val="00B16B76"/>
    <w:rsid w:val="00B21F91"/>
    <w:rsid w:val="00B2207C"/>
    <w:rsid w:val="00B24287"/>
    <w:rsid w:val="00B245EB"/>
    <w:rsid w:val="00B24A1E"/>
    <w:rsid w:val="00B24B98"/>
    <w:rsid w:val="00B25A49"/>
    <w:rsid w:val="00B26124"/>
    <w:rsid w:val="00B26246"/>
    <w:rsid w:val="00B325AF"/>
    <w:rsid w:val="00B327E8"/>
    <w:rsid w:val="00B32B52"/>
    <w:rsid w:val="00B32D07"/>
    <w:rsid w:val="00B33E54"/>
    <w:rsid w:val="00B3409D"/>
    <w:rsid w:val="00B352AD"/>
    <w:rsid w:val="00B4008A"/>
    <w:rsid w:val="00B4234F"/>
    <w:rsid w:val="00B43267"/>
    <w:rsid w:val="00B43442"/>
    <w:rsid w:val="00B440AD"/>
    <w:rsid w:val="00B45B15"/>
    <w:rsid w:val="00B46CBD"/>
    <w:rsid w:val="00B4726B"/>
    <w:rsid w:val="00B50280"/>
    <w:rsid w:val="00B503B4"/>
    <w:rsid w:val="00B508F1"/>
    <w:rsid w:val="00B52DC0"/>
    <w:rsid w:val="00B5304D"/>
    <w:rsid w:val="00B53CE7"/>
    <w:rsid w:val="00B53E7E"/>
    <w:rsid w:val="00B54416"/>
    <w:rsid w:val="00B54486"/>
    <w:rsid w:val="00B54B20"/>
    <w:rsid w:val="00B55007"/>
    <w:rsid w:val="00B5569D"/>
    <w:rsid w:val="00B558C4"/>
    <w:rsid w:val="00B5590D"/>
    <w:rsid w:val="00B567E7"/>
    <w:rsid w:val="00B569FB"/>
    <w:rsid w:val="00B56BE5"/>
    <w:rsid w:val="00B57475"/>
    <w:rsid w:val="00B5752A"/>
    <w:rsid w:val="00B61A9C"/>
    <w:rsid w:val="00B61F44"/>
    <w:rsid w:val="00B6250D"/>
    <w:rsid w:val="00B631EA"/>
    <w:rsid w:val="00B6342E"/>
    <w:rsid w:val="00B63A71"/>
    <w:rsid w:val="00B63D4B"/>
    <w:rsid w:val="00B64127"/>
    <w:rsid w:val="00B66170"/>
    <w:rsid w:val="00B67524"/>
    <w:rsid w:val="00B70563"/>
    <w:rsid w:val="00B7113F"/>
    <w:rsid w:val="00B716CF"/>
    <w:rsid w:val="00B72768"/>
    <w:rsid w:val="00B73AD3"/>
    <w:rsid w:val="00B74B18"/>
    <w:rsid w:val="00B7524B"/>
    <w:rsid w:val="00B7555B"/>
    <w:rsid w:val="00B75649"/>
    <w:rsid w:val="00B774E9"/>
    <w:rsid w:val="00B80149"/>
    <w:rsid w:val="00B803FB"/>
    <w:rsid w:val="00B809B7"/>
    <w:rsid w:val="00B80A5A"/>
    <w:rsid w:val="00B812C2"/>
    <w:rsid w:val="00B81810"/>
    <w:rsid w:val="00B81E37"/>
    <w:rsid w:val="00B85491"/>
    <w:rsid w:val="00B86542"/>
    <w:rsid w:val="00B875B7"/>
    <w:rsid w:val="00B879C2"/>
    <w:rsid w:val="00B90001"/>
    <w:rsid w:val="00B90098"/>
    <w:rsid w:val="00B9056A"/>
    <w:rsid w:val="00B90E6C"/>
    <w:rsid w:val="00B915C1"/>
    <w:rsid w:val="00B94C3A"/>
    <w:rsid w:val="00B95D60"/>
    <w:rsid w:val="00B96425"/>
    <w:rsid w:val="00B967BD"/>
    <w:rsid w:val="00BA0433"/>
    <w:rsid w:val="00BA0C8D"/>
    <w:rsid w:val="00BA2A04"/>
    <w:rsid w:val="00BA4CCF"/>
    <w:rsid w:val="00BA5263"/>
    <w:rsid w:val="00BA5DE3"/>
    <w:rsid w:val="00BA73B6"/>
    <w:rsid w:val="00BB01E7"/>
    <w:rsid w:val="00BB12A4"/>
    <w:rsid w:val="00BB2603"/>
    <w:rsid w:val="00BB2688"/>
    <w:rsid w:val="00BB27A1"/>
    <w:rsid w:val="00BB2B41"/>
    <w:rsid w:val="00BB3B22"/>
    <w:rsid w:val="00BB48DA"/>
    <w:rsid w:val="00BB4FCD"/>
    <w:rsid w:val="00BB61CF"/>
    <w:rsid w:val="00BB61F6"/>
    <w:rsid w:val="00BB6B79"/>
    <w:rsid w:val="00BB6CB9"/>
    <w:rsid w:val="00BB7AFF"/>
    <w:rsid w:val="00BC0260"/>
    <w:rsid w:val="00BC0345"/>
    <w:rsid w:val="00BC2CF7"/>
    <w:rsid w:val="00BC3AE0"/>
    <w:rsid w:val="00BC3EA0"/>
    <w:rsid w:val="00BC5CCF"/>
    <w:rsid w:val="00BC786F"/>
    <w:rsid w:val="00BD0FBE"/>
    <w:rsid w:val="00BD13EA"/>
    <w:rsid w:val="00BD1EF1"/>
    <w:rsid w:val="00BD2FD4"/>
    <w:rsid w:val="00BD4345"/>
    <w:rsid w:val="00BD4CE5"/>
    <w:rsid w:val="00BD4DDB"/>
    <w:rsid w:val="00BD67C4"/>
    <w:rsid w:val="00BD70F9"/>
    <w:rsid w:val="00BD7653"/>
    <w:rsid w:val="00BD7A94"/>
    <w:rsid w:val="00BD7C68"/>
    <w:rsid w:val="00BE02EC"/>
    <w:rsid w:val="00BE056B"/>
    <w:rsid w:val="00BE2F9C"/>
    <w:rsid w:val="00BE3461"/>
    <w:rsid w:val="00BE37F0"/>
    <w:rsid w:val="00BE3808"/>
    <w:rsid w:val="00BE3C06"/>
    <w:rsid w:val="00BE5EB7"/>
    <w:rsid w:val="00BE5F10"/>
    <w:rsid w:val="00BE7D04"/>
    <w:rsid w:val="00BF0987"/>
    <w:rsid w:val="00BF15D8"/>
    <w:rsid w:val="00BF1C82"/>
    <w:rsid w:val="00BF2E00"/>
    <w:rsid w:val="00BF2E45"/>
    <w:rsid w:val="00BF42FE"/>
    <w:rsid w:val="00BF4515"/>
    <w:rsid w:val="00BF4E05"/>
    <w:rsid w:val="00BF52C7"/>
    <w:rsid w:val="00BF5AF7"/>
    <w:rsid w:val="00BF6956"/>
    <w:rsid w:val="00BF6999"/>
    <w:rsid w:val="00BF6D6F"/>
    <w:rsid w:val="00BF6E37"/>
    <w:rsid w:val="00BF7B57"/>
    <w:rsid w:val="00C00E63"/>
    <w:rsid w:val="00C022ED"/>
    <w:rsid w:val="00C02889"/>
    <w:rsid w:val="00C04AB3"/>
    <w:rsid w:val="00C054E3"/>
    <w:rsid w:val="00C059F0"/>
    <w:rsid w:val="00C05F4D"/>
    <w:rsid w:val="00C062E9"/>
    <w:rsid w:val="00C068A7"/>
    <w:rsid w:val="00C07B64"/>
    <w:rsid w:val="00C10AA3"/>
    <w:rsid w:val="00C114D4"/>
    <w:rsid w:val="00C11B1C"/>
    <w:rsid w:val="00C1245E"/>
    <w:rsid w:val="00C13721"/>
    <w:rsid w:val="00C13E26"/>
    <w:rsid w:val="00C1412A"/>
    <w:rsid w:val="00C16146"/>
    <w:rsid w:val="00C1658A"/>
    <w:rsid w:val="00C16CD5"/>
    <w:rsid w:val="00C20059"/>
    <w:rsid w:val="00C205D5"/>
    <w:rsid w:val="00C2078C"/>
    <w:rsid w:val="00C20D97"/>
    <w:rsid w:val="00C21A12"/>
    <w:rsid w:val="00C22111"/>
    <w:rsid w:val="00C24A54"/>
    <w:rsid w:val="00C2628B"/>
    <w:rsid w:val="00C264C7"/>
    <w:rsid w:val="00C27A30"/>
    <w:rsid w:val="00C3066D"/>
    <w:rsid w:val="00C31492"/>
    <w:rsid w:val="00C339F0"/>
    <w:rsid w:val="00C354AB"/>
    <w:rsid w:val="00C35A60"/>
    <w:rsid w:val="00C36B51"/>
    <w:rsid w:val="00C37EAE"/>
    <w:rsid w:val="00C404B0"/>
    <w:rsid w:val="00C411C5"/>
    <w:rsid w:val="00C44115"/>
    <w:rsid w:val="00C4467B"/>
    <w:rsid w:val="00C447C8"/>
    <w:rsid w:val="00C448DB"/>
    <w:rsid w:val="00C448F5"/>
    <w:rsid w:val="00C45430"/>
    <w:rsid w:val="00C45DC5"/>
    <w:rsid w:val="00C4643D"/>
    <w:rsid w:val="00C46A24"/>
    <w:rsid w:val="00C46C9B"/>
    <w:rsid w:val="00C523A3"/>
    <w:rsid w:val="00C5274E"/>
    <w:rsid w:val="00C52A10"/>
    <w:rsid w:val="00C52F80"/>
    <w:rsid w:val="00C536E1"/>
    <w:rsid w:val="00C53FE3"/>
    <w:rsid w:val="00C54391"/>
    <w:rsid w:val="00C543F4"/>
    <w:rsid w:val="00C54FDD"/>
    <w:rsid w:val="00C55F05"/>
    <w:rsid w:val="00C56D8E"/>
    <w:rsid w:val="00C60530"/>
    <w:rsid w:val="00C60709"/>
    <w:rsid w:val="00C60B69"/>
    <w:rsid w:val="00C61FB2"/>
    <w:rsid w:val="00C6209F"/>
    <w:rsid w:val="00C6217A"/>
    <w:rsid w:val="00C62802"/>
    <w:rsid w:val="00C6291C"/>
    <w:rsid w:val="00C633CB"/>
    <w:rsid w:val="00C63F44"/>
    <w:rsid w:val="00C65485"/>
    <w:rsid w:val="00C70459"/>
    <w:rsid w:val="00C7174A"/>
    <w:rsid w:val="00C71777"/>
    <w:rsid w:val="00C71D51"/>
    <w:rsid w:val="00C728D1"/>
    <w:rsid w:val="00C72EB0"/>
    <w:rsid w:val="00C7373D"/>
    <w:rsid w:val="00C7390F"/>
    <w:rsid w:val="00C74545"/>
    <w:rsid w:val="00C76D92"/>
    <w:rsid w:val="00C775DF"/>
    <w:rsid w:val="00C77840"/>
    <w:rsid w:val="00C80361"/>
    <w:rsid w:val="00C815E0"/>
    <w:rsid w:val="00C81D92"/>
    <w:rsid w:val="00C81FBC"/>
    <w:rsid w:val="00C8289C"/>
    <w:rsid w:val="00C83E9E"/>
    <w:rsid w:val="00C85ABF"/>
    <w:rsid w:val="00C85E4B"/>
    <w:rsid w:val="00C865FA"/>
    <w:rsid w:val="00C8762C"/>
    <w:rsid w:val="00C90CCF"/>
    <w:rsid w:val="00C91400"/>
    <w:rsid w:val="00C91581"/>
    <w:rsid w:val="00C925E6"/>
    <w:rsid w:val="00C9332C"/>
    <w:rsid w:val="00C9373F"/>
    <w:rsid w:val="00C94669"/>
    <w:rsid w:val="00C94F53"/>
    <w:rsid w:val="00C957DA"/>
    <w:rsid w:val="00C95D66"/>
    <w:rsid w:val="00C97535"/>
    <w:rsid w:val="00CA00F9"/>
    <w:rsid w:val="00CA034D"/>
    <w:rsid w:val="00CA0F6C"/>
    <w:rsid w:val="00CA1349"/>
    <w:rsid w:val="00CA1742"/>
    <w:rsid w:val="00CA2961"/>
    <w:rsid w:val="00CA2CD3"/>
    <w:rsid w:val="00CA4020"/>
    <w:rsid w:val="00CA462F"/>
    <w:rsid w:val="00CA639A"/>
    <w:rsid w:val="00CA7F18"/>
    <w:rsid w:val="00CB013F"/>
    <w:rsid w:val="00CB088E"/>
    <w:rsid w:val="00CB1CFC"/>
    <w:rsid w:val="00CB1E0D"/>
    <w:rsid w:val="00CB22B5"/>
    <w:rsid w:val="00CB3383"/>
    <w:rsid w:val="00CB5008"/>
    <w:rsid w:val="00CB50D7"/>
    <w:rsid w:val="00CB6FA9"/>
    <w:rsid w:val="00CB7177"/>
    <w:rsid w:val="00CB75D3"/>
    <w:rsid w:val="00CB77C4"/>
    <w:rsid w:val="00CB796C"/>
    <w:rsid w:val="00CC13DD"/>
    <w:rsid w:val="00CC177B"/>
    <w:rsid w:val="00CC1998"/>
    <w:rsid w:val="00CC32D3"/>
    <w:rsid w:val="00CC3374"/>
    <w:rsid w:val="00CC47DB"/>
    <w:rsid w:val="00CC4946"/>
    <w:rsid w:val="00CC5B62"/>
    <w:rsid w:val="00CC6443"/>
    <w:rsid w:val="00CD086F"/>
    <w:rsid w:val="00CD11B7"/>
    <w:rsid w:val="00CD11B9"/>
    <w:rsid w:val="00CD190E"/>
    <w:rsid w:val="00CD1A80"/>
    <w:rsid w:val="00CD1B27"/>
    <w:rsid w:val="00CD278D"/>
    <w:rsid w:val="00CD515A"/>
    <w:rsid w:val="00CD5958"/>
    <w:rsid w:val="00CE073E"/>
    <w:rsid w:val="00CE1D6E"/>
    <w:rsid w:val="00CE3E68"/>
    <w:rsid w:val="00CE5502"/>
    <w:rsid w:val="00CE61B5"/>
    <w:rsid w:val="00CE687B"/>
    <w:rsid w:val="00CE6F9D"/>
    <w:rsid w:val="00CE7272"/>
    <w:rsid w:val="00CF0E6E"/>
    <w:rsid w:val="00CF609A"/>
    <w:rsid w:val="00CF68B4"/>
    <w:rsid w:val="00CF75E9"/>
    <w:rsid w:val="00D00164"/>
    <w:rsid w:val="00D01098"/>
    <w:rsid w:val="00D0174D"/>
    <w:rsid w:val="00D0215D"/>
    <w:rsid w:val="00D0273F"/>
    <w:rsid w:val="00D05703"/>
    <w:rsid w:val="00D10691"/>
    <w:rsid w:val="00D10D1B"/>
    <w:rsid w:val="00D1138B"/>
    <w:rsid w:val="00D11A9C"/>
    <w:rsid w:val="00D11D2C"/>
    <w:rsid w:val="00D1251B"/>
    <w:rsid w:val="00D1257F"/>
    <w:rsid w:val="00D12BE7"/>
    <w:rsid w:val="00D12CE2"/>
    <w:rsid w:val="00D14BA1"/>
    <w:rsid w:val="00D16699"/>
    <w:rsid w:val="00D17D70"/>
    <w:rsid w:val="00D17FA4"/>
    <w:rsid w:val="00D213F3"/>
    <w:rsid w:val="00D22CB2"/>
    <w:rsid w:val="00D24987"/>
    <w:rsid w:val="00D270A4"/>
    <w:rsid w:val="00D27CFA"/>
    <w:rsid w:val="00D308D5"/>
    <w:rsid w:val="00D31592"/>
    <w:rsid w:val="00D31FE9"/>
    <w:rsid w:val="00D32345"/>
    <w:rsid w:val="00D32550"/>
    <w:rsid w:val="00D32F7B"/>
    <w:rsid w:val="00D33D9D"/>
    <w:rsid w:val="00D340DB"/>
    <w:rsid w:val="00D34E1B"/>
    <w:rsid w:val="00D36D96"/>
    <w:rsid w:val="00D36FC3"/>
    <w:rsid w:val="00D37167"/>
    <w:rsid w:val="00D3757A"/>
    <w:rsid w:val="00D376BA"/>
    <w:rsid w:val="00D4208F"/>
    <w:rsid w:val="00D434D0"/>
    <w:rsid w:val="00D43883"/>
    <w:rsid w:val="00D4393E"/>
    <w:rsid w:val="00D439D8"/>
    <w:rsid w:val="00D4429E"/>
    <w:rsid w:val="00D447A0"/>
    <w:rsid w:val="00D44893"/>
    <w:rsid w:val="00D44FBC"/>
    <w:rsid w:val="00D45CBE"/>
    <w:rsid w:val="00D4627F"/>
    <w:rsid w:val="00D46B01"/>
    <w:rsid w:val="00D47C6A"/>
    <w:rsid w:val="00D47DC4"/>
    <w:rsid w:val="00D51B6D"/>
    <w:rsid w:val="00D529A1"/>
    <w:rsid w:val="00D53834"/>
    <w:rsid w:val="00D55483"/>
    <w:rsid w:val="00D5568A"/>
    <w:rsid w:val="00D55E1D"/>
    <w:rsid w:val="00D56433"/>
    <w:rsid w:val="00D619A1"/>
    <w:rsid w:val="00D61CE9"/>
    <w:rsid w:val="00D625BD"/>
    <w:rsid w:val="00D6264C"/>
    <w:rsid w:val="00D63896"/>
    <w:rsid w:val="00D63D73"/>
    <w:rsid w:val="00D64386"/>
    <w:rsid w:val="00D66E1E"/>
    <w:rsid w:val="00D678B3"/>
    <w:rsid w:val="00D70183"/>
    <w:rsid w:val="00D7095D"/>
    <w:rsid w:val="00D7105B"/>
    <w:rsid w:val="00D717A5"/>
    <w:rsid w:val="00D71E39"/>
    <w:rsid w:val="00D74F70"/>
    <w:rsid w:val="00D750E0"/>
    <w:rsid w:val="00D7553A"/>
    <w:rsid w:val="00D755C7"/>
    <w:rsid w:val="00D75722"/>
    <w:rsid w:val="00D8190F"/>
    <w:rsid w:val="00D83755"/>
    <w:rsid w:val="00D839AE"/>
    <w:rsid w:val="00D84409"/>
    <w:rsid w:val="00D8461D"/>
    <w:rsid w:val="00D86994"/>
    <w:rsid w:val="00D872B4"/>
    <w:rsid w:val="00D87BEB"/>
    <w:rsid w:val="00D87C12"/>
    <w:rsid w:val="00D90B6B"/>
    <w:rsid w:val="00D91745"/>
    <w:rsid w:val="00D96ADE"/>
    <w:rsid w:val="00D97E86"/>
    <w:rsid w:val="00DA0EB8"/>
    <w:rsid w:val="00DA168C"/>
    <w:rsid w:val="00DA23D3"/>
    <w:rsid w:val="00DA2950"/>
    <w:rsid w:val="00DA2B11"/>
    <w:rsid w:val="00DA33FF"/>
    <w:rsid w:val="00DA4499"/>
    <w:rsid w:val="00DA49FC"/>
    <w:rsid w:val="00DA55FA"/>
    <w:rsid w:val="00DA5BBA"/>
    <w:rsid w:val="00DA5C37"/>
    <w:rsid w:val="00DA5CFD"/>
    <w:rsid w:val="00DA6819"/>
    <w:rsid w:val="00DB1184"/>
    <w:rsid w:val="00DB15CC"/>
    <w:rsid w:val="00DB1783"/>
    <w:rsid w:val="00DB2D88"/>
    <w:rsid w:val="00DB35DA"/>
    <w:rsid w:val="00DB3956"/>
    <w:rsid w:val="00DB3A14"/>
    <w:rsid w:val="00DB3E23"/>
    <w:rsid w:val="00DB3ED3"/>
    <w:rsid w:val="00DB5625"/>
    <w:rsid w:val="00DB67C9"/>
    <w:rsid w:val="00DB6D2B"/>
    <w:rsid w:val="00DC0C95"/>
    <w:rsid w:val="00DC1876"/>
    <w:rsid w:val="00DC1B0E"/>
    <w:rsid w:val="00DC4E5D"/>
    <w:rsid w:val="00DC5289"/>
    <w:rsid w:val="00DC60A1"/>
    <w:rsid w:val="00DC6685"/>
    <w:rsid w:val="00DC6C60"/>
    <w:rsid w:val="00DC6D71"/>
    <w:rsid w:val="00DC77A0"/>
    <w:rsid w:val="00DC7DE3"/>
    <w:rsid w:val="00DD073D"/>
    <w:rsid w:val="00DD3B9B"/>
    <w:rsid w:val="00DD3CD8"/>
    <w:rsid w:val="00DD5724"/>
    <w:rsid w:val="00DD6580"/>
    <w:rsid w:val="00DD6DD5"/>
    <w:rsid w:val="00DD7C55"/>
    <w:rsid w:val="00DD7D7C"/>
    <w:rsid w:val="00DE0F79"/>
    <w:rsid w:val="00DE10B9"/>
    <w:rsid w:val="00DE356B"/>
    <w:rsid w:val="00DE3FF7"/>
    <w:rsid w:val="00DE430A"/>
    <w:rsid w:val="00DE489B"/>
    <w:rsid w:val="00DE6DB3"/>
    <w:rsid w:val="00DF0D59"/>
    <w:rsid w:val="00DF4C21"/>
    <w:rsid w:val="00DF5F6B"/>
    <w:rsid w:val="00DF7007"/>
    <w:rsid w:val="00DF7CC1"/>
    <w:rsid w:val="00E02CA7"/>
    <w:rsid w:val="00E02D0D"/>
    <w:rsid w:val="00E03264"/>
    <w:rsid w:val="00E04E02"/>
    <w:rsid w:val="00E05427"/>
    <w:rsid w:val="00E070DC"/>
    <w:rsid w:val="00E077AB"/>
    <w:rsid w:val="00E07E00"/>
    <w:rsid w:val="00E11D19"/>
    <w:rsid w:val="00E11D58"/>
    <w:rsid w:val="00E12FAF"/>
    <w:rsid w:val="00E133DA"/>
    <w:rsid w:val="00E14474"/>
    <w:rsid w:val="00E144CF"/>
    <w:rsid w:val="00E15024"/>
    <w:rsid w:val="00E1513F"/>
    <w:rsid w:val="00E17C72"/>
    <w:rsid w:val="00E21BA5"/>
    <w:rsid w:val="00E21FC6"/>
    <w:rsid w:val="00E22951"/>
    <w:rsid w:val="00E237DC"/>
    <w:rsid w:val="00E23D16"/>
    <w:rsid w:val="00E23D54"/>
    <w:rsid w:val="00E246FE"/>
    <w:rsid w:val="00E25155"/>
    <w:rsid w:val="00E2560D"/>
    <w:rsid w:val="00E2566C"/>
    <w:rsid w:val="00E25F36"/>
    <w:rsid w:val="00E267FC"/>
    <w:rsid w:val="00E27BF7"/>
    <w:rsid w:val="00E322F7"/>
    <w:rsid w:val="00E36909"/>
    <w:rsid w:val="00E36A2E"/>
    <w:rsid w:val="00E41370"/>
    <w:rsid w:val="00E41C00"/>
    <w:rsid w:val="00E425F6"/>
    <w:rsid w:val="00E42EAF"/>
    <w:rsid w:val="00E431A9"/>
    <w:rsid w:val="00E447BA"/>
    <w:rsid w:val="00E44F45"/>
    <w:rsid w:val="00E45107"/>
    <w:rsid w:val="00E459EA"/>
    <w:rsid w:val="00E46BFE"/>
    <w:rsid w:val="00E47CBE"/>
    <w:rsid w:val="00E5038A"/>
    <w:rsid w:val="00E531E7"/>
    <w:rsid w:val="00E54AAD"/>
    <w:rsid w:val="00E5510D"/>
    <w:rsid w:val="00E55FC7"/>
    <w:rsid w:val="00E6195F"/>
    <w:rsid w:val="00E61C41"/>
    <w:rsid w:val="00E6255A"/>
    <w:rsid w:val="00E62BA8"/>
    <w:rsid w:val="00E62FDB"/>
    <w:rsid w:val="00E642FD"/>
    <w:rsid w:val="00E669E2"/>
    <w:rsid w:val="00E66FDE"/>
    <w:rsid w:val="00E7245B"/>
    <w:rsid w:val="00E729C4"/>
    <w:rsid w:val="00E729CA"/>
    <w:rsid w:val="00E72B68"/>
    <w:rsid w:val="00E72CA8"/>
    <w:rsid w:val="00E73233"/>
    <w:rsid w:val="00E749D6"/>
    <w:rsid w:val="00E74B29"/>
    <w:rsid w:val="00E75A02"/>
    <w:rsid w:val="00E75B26"/>
    <w:rsid w:val="00E76135"/>
    <w:rsid w:val="00E76E26"/>
    <w:rsid w:val="00E773E0"/>
    <w:rsid w:val="00E802CC"/>
    <w:rsid w:val="00E811D2"/>
    <w:rsid w:val="00E83EAC"/>
    <w:rsid w:val="00E84E35"/>
    <w:rsid w:val="00E85511"/>
    <w:rsid w:val="00E85E88"/>
    <w:rsid w:val="00E86175"/>
    <w:rsid w:val="00E90C41"/>
    <w:rsid w:val="00E91A71"/>
    <w:rsid w:val="00E92054"/>
    <w:rsid w:val="00E933A4"/>
    <w:rsid w:val="00E93AE3"/>
    <w:rsid w:val="00E94627"/>
    <w:rsid w:val="00E94BF5"/>
    <w:rsid w:val="00E95635"/>
    <w:rsid w:val="00E9571B"/>
    <w:rsid w:val="00E95F72"/>
    <w:rsid w:val="00EA1152"/>
    <w:rsid w:val="00EA221A"/>
    <w:rsid w:val="00EA2D22"/>
    <w:rsid w:val="00EA470A"/>
    <w:rsid w:val="00EA5290"/>
    <w:rsid w:val="00EA5374"/>
    <w:rsid w:val="00EA5388"/>
    <w:rsid w:val="00EA53EA"/>
    <w:rsid w:val="00EA5C4D"/>
    <w:rsid w:val="00EA60C3"/>
    <w:rsid w:val="00EA707F"/>
    <w:rsid w:val="00EA7826"/>
    <w:rsid w:val="00EA789C"/>
    <w:rsid w:val="00EB0C1E"/>
    <w:rsid w:val="00EB1C72"/>
    <w:rsid w:val="00EB20B3"/>
    <w:rsid w:val="00EB31AF"/>
    <w:rsid w:val="00EB5D00"/>
    <w:rsid w:val="00EB5DBB"/>
    <w:rsid w:val="00EB6092"/>
    <w:rsid w:val="00EB6C4C"/>
    <w:rsid w:val="00EC1275"/>
    <w:rsid w:val="00EC2803"/>
    <w:rsid w:val="00EC2844"/>
    <w:rsid w:val="00EC2D2D"/>
    <w:rsid w:val="00EC3014"/>
    <w:rsid w:val="00EC4280"/>
    <w:rsid w:val="00EC503B"/>
    <w:rsid w:val="00EC5A0D"/>
    <w:rsid w:val="00EC7889"/>
    <w:rsid w:val="00EC7E21"/>
    <w:rsid w:val="00ED0AFC"/>
    <w:rsid w:val="00ED10DF"/>
    <w:rsid w:val="00ED1D57"/>
    <w:rsid w:val="00ED28CF"/>
    <w:rsid w:val="00ED30F3"/>
    <w:rsid w:val="00ED39B5"/>
    <w:rsid w:val="00ED5B44"/>
    <w:rsid w:val="00EE0013"/>
    <w:rsid w:val="00EE05B9"/>
    <w:rsid w:val="00EE06C5"/>
    <w:rsid w:val="00EE0C05"/>
    <w:rsid w:val="00EE0C74"/>
    <w:rsid w:val="00EE18B5"/>
    <w:rsid w:val="00EE1DA8"/>
    <w:rsid w:val="00EE2D2F"/>
    <w:rsid w:val="00EE3825"/>
    <w:rsid w:val="00EE4110"/>
    <w:rsid w:val="00EE466A"/>
    <w:rsid w:val="00EE4740"/>
    <w:rsid w:val="00EE5EB4"/>
    <w:rsid w:val="00EE652E"/>
    <w:rsid w:val="00EF0438"/>
    <w:rsid w:val="00EF1641"/>
    <w:rsid w:val="00EF18E5"/>
    <w:rsid w:val="00EF240F"/>
    <w:rsid w:val="00EF325C"/>
    <w:rsid w:val="00EF3400"/>
    <w:rsid w:val="00EF36AB"/>
    <w:rsid w:val="00EF3E47"/>
    <w:rsid w:val="00EF3F39"/>
    <w:rsid w:val="00EF4328"/>
    <w:rsid w:val="00EF59A0"/>
    <w:rsid w:val="00EF5E7A"/>
    <w:rsid w:val="00EF638C"/>
    <w:rsid w:val="00EF6C6C"/>
    <w:rsid w:val="00EF7162"/>
    <w:rsid w:val="00F00819"/>
    <w:rsid w:val="00F00B23"/>
    <w:rsid w:val="00F018D7"/>
    <w:rsid w:val="00F01C15"/>
    <w:rsid w:val="00F0250F"/>
    <w:rsid w:val="00F03171"/>
    <w:rsid w:val="00F03CE3"/>
    <w:rsid w:val="00F044B5"/>
    <w:rsid w:val="00F056FC"/>
    <w:rsid w:val="00F05AE5"/>
    <w:rsid w:val="00F0655D"/>
    <w:rsid w:val="00F06E37"/>
    <w:rsid w:val="00F0747A"/>
    <w:rsid w:val="00F10476"/>
    <w:rsid w:val="00F10A09"/>
    <w:rsid w:val="00F1156D"/>
    <w:rsid w:val="00F119A9"/>
    <w:rsid w:val="00F135D8"/>
    <w:rsid w:val="00F13E36"/>
    <w:rsid w:val="00F144E2"/>
    <w:rsid w:val="00F145FC"/>
    <w:rsid w:val="00F16AA5"/>
    <w:rsid w:val="00F20885"/>
    <w:rsid w:val="00F22E1F"/>
    <w:rsid w:val="00F24B52"/>
    <w:rsid w:val="00F24C1A"/>
    <w:rsid w:val="00F25A48"/>
    <w:rsid w:val="00F26201"/>
    <w:rsid w:val="00F263B3"/>
    <w:rsid w:val="00F274F4"/>
    <w:rsid w:val="00F27C98"/>
    <w:rsid w:val="00F3023E"/>
    <w:rsid w:val="00F30528"/>
    <w:rsid w:val="00F31299"/>
    <w:rsid w:val="00F32542"/>
    <w:rsid w:val="00F33F7E"/>
    <w:rsid w:val="00F344DE"/>
    <w:rsid w:val="00F351FF"/>
    <w:rsid w:val="00F3534A"/>
    <w:rsid w:val="00F35D5A"/>
    <w:rsid w:val="00F42C52"/>
    <w:rsid w:val="00F43D0B"/>
    <w:rsid w:val="00F43DA3"/>
    <w:rsid w:val="00F442EF"/>
    <w:rsid w:val="00F44A06"/>
    <w:rsid w:val="00F45172"/>
    <w:rsid w:val="00F46574"/>
    <w:rsid w:val="00F46642"/>
    <w:rsid w:val="00F476E8"/>
    <w:rsid w:val="00F47CD8"/>
    <w:rsid w:val="00F47E6B"/>
    <w:rsid w:val="00F5117A"/>
    <w:rsid w:val="00F525FC"/>
    <w:rsid w:val="00F530E5"/>
    <w:rsid w:val="00F532C9"/>
    <w:rsid w:val="00F5374B"/>
    <w:rsid w:val="00F53CD8"/>
    <w:rsid w:val="00F5452A"/>
    <w:rsid w:val="00F56C06"/>
    <w:rsid w:val="00F57028"/>
    <w:rsid w:val="00F629C0"/>
    <w:rsid w:val="00F62F2E"/>
    <w:rsid w:val="00F63379"/>
    <w:rsid w:val="00F63FFD"/>
    <w:rsid w:val="00F70C46"/>
    <w:rsid w:val="00F73D66"/>
    <w:rsid w:val="00F74D6E"/>
    <w:rsid w:val="00F7538D"/>
    <w:rsid w:val="00F75D6A"/>
    <w:rsid w:val="00F75DC3"/>
    <w:rsid w:val="00F75F89"/>
    <w:rsid w:val="00F76464"/>
    <w:rsid w:val="00F773EA"/>
    <w:rsid w:val="00F800B4"/>
    <w:rsid w:val="00F804BD"/>
    <w:rsid w:val="00F81B1E"/>
    <w:rsid w:val="00F81EBC"/>
    <w:rsid w:val="00F82B75"/>
    <w:rsid w:val="00F83368"/>
    <w:rsid w:val="00F83672"/>
    <w:rsid w:val="00F84F6D"/>
    <w:rsid w:val="00F85325"/>
    <w:rsid w:val="00F87AF6"/>
    <w:rsid w:val="00F87FCC"/>
    <w:rsid w:val="00F904E9"/>
    <w:rsid w:val="00F91111"/>
    <w:rsid w:val="00F92AE5"/>
    <w:rsid w:val="00F92E12"/>
    <w:rsid w:val="00F92E3A"/>
    <w:rsid w:val="00F93262"/>
    <w:rsid w:val="00F93329"/>
    <w:rsid w:val="00F933E9"/>
    <w:rsid w:val="00F934E1"/>
    <w:rsid w:val="00F93734"/>
    <w:rsid w:val="00F946A1"/>
    <w:rsid w:val="00F94F0D"/>
    <w:rsid w:val="00F95AD5"/>
    <w:rsid w:val="00F96014"/>
    <w:rsid w:val="00F9789C"/>
    <w:rsid w:val="00FA0AD8"/>
    <w:rsid w:val="00FA306B"/>
    <w:rsid w:val="00FA4130"/>
    <w:rsid w:val="00FA517E"/>
    <w:rsid w:val="00FA6681"/>
    <w:rsid w:val="00FA71EA"/>
    <w:rsid w:val="00FB0A37"/>
    <w:rsid w:val="00FB4832"/>
    <w:rsid w:val="00FB621B"/>
    <w:rsid w:val="00FB688C"/>
    <w:rsid w:val="00FB6D6D"/>
    <w:rsid w:val="00FC034A"/>
    <w:rsid w:val="00FC2337"/>
    <w:rsid w:val="00FC459C"/>
    <w:rsid w:val="00FC55A2"/>
    <w:rsid w:val="00FC5F90"/>
    <w:rsid w:val="00FC767B"/>
    <w:rsid w:val="00FD17D9"/>
    <w:rsid w:val="00FD1AF0"/>
    <w:rsid w:val="00FD22B1"/>
    <w:rsid w:val="00FD2A73"/>
    <w:rsid w:val="00FD2D98"/>
    <w:rsid w:val="00FD4277"/>
    <w:rsid w:val="00FD4596"/>
    <w:rsid w:val="00FD6007"/>
    <w:rsid w:val="00FD6832"/>
    <w:rsid w:val="00FD71E8"/>
    <w:rsid w:val="00FD7BAC"/>
    <w:rsid w:val="00FE00A2"/>
    <w:rsid w:val="00FE051A"/>
    <w:rsid w:val="00FE1AF0"/>
    <w:rsid w:val="00FE3FD8"/>
    <w:rsid w:val="00FE67D8"/>
    <w:rsid w:val="00FF013E"/>
    <w:rsid w:val="00FF0E14"/>
    <w:rsid w:val="00FF1FF5"/>
    <w:rsid w:val="00FF24EE"/>
    <w:rsid w:val="00FF2DB5"/>
    <w:rsid w:val="00FF5467"/>
    <w:rsid w:val="00FF66D8"/>
    <w:rsid w:val="00FF66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locked="1" w:semiHidden="0" w:uiPriority="0" w:unhideWhenUsed="0" w:qFormat="1"/>
    <w:lsdException w:name="Subtitle" w:locked="1" w:semiHidden="0" w:uiPriority="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15EF4"/>
    <w:rPr>
      <w:sz w:val="26"/>
      <w:szCs w:val="24"/>
      <w:lang w:val="en-AU" w:eastAsia="en-AU"/>
    </w:rPr>
  </w:style>
  <w:style w:type="paragraph" w:styleId="Heading1">
    <w:name w:val="heading 1"/>
    <w:basedOn w:val="BodyText"/>
    <w:next w:val="BodyText"/>
    <w:link w:val="Heading1Char"/>
    <w:rsid w:val="00415EF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15EF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15EF4"/>
    <w:pPr>
      <w:spacing w:before="560" w:line="320" w:lineRule="exact"/>
      <w:ind w:left="0" w:firstLine="0"/>
      <w:outlineLvl w:val="2"/>
    </w:pPr>
    <w:rPr>
      <w:sz w:val="26"/>
    </w:rPr>
  </w:style>
  <w:style w:type="paragraph" w:styleId="Heading4">
    <w:name w:val="heading 4"/>
    <w:basedOn w:val="Heading3"/>
    <w:next w:val="BodyText"/>
    <w:link w:val="Heading4Char"/>
    <w:qFormat/>
    <w:rsid w:val="00415EF4"/>
    <w:pPr>
      <w:spacing w:before="480"/>
      <w:outlineLvl w:val="3"/>
    </w:pPr>
    <w:rPr>
      <w:b w:val="0"/>
      <w:i/>
      <w:sz w:val="24"/>
    </w:rPr>
  </w:style>
  <w:style w:type="paragraph" w:styleId="Heading5">
    <w:name w:val="heading 5"/>
    <w:basedOn w:val="Heading4"/>
    <w:next w:val="BodyText"/>
    <w:link w:val="Heading5Char"/>
    <w:qFormat/>
    <w:rsid w:val="00415EF4"/>
    <w:pPr>
      <w:outlineLvl w:val="4"/>
    </w:pPr>
    <w:rPr>
      <w:rFonts w:ascii="Times New Roman" w:hAnsi="Times New Roman"/>
      <w:sz w:val="26"/>
    </w:rPr>
  </w:style>
  <w:style w:type="paragraph" w:styleId="Heading6">
    <w:name w:val="heading 6"/>
    <w:basedOn w:val="BodyText"/>
    <w:next w:val="BodyText"/>
    <w:link w:val="Heading6Char"/>
    <w:rsid w:val="00415EF4"/>
    <w:pPr>
      <w:spacing w:after="60"/>
      <w:jc w:val="left"/>
      <w:outlineLvl w:val="5"/>
    </w:pPr>
    <w:rPr>
      <w:i/>
      <w:sz w:val="22"/>
    </w:rPr>
  </w:style>
  <w:style w:type="paragraph" w:styleId="Heading7">
    <w:name w:val="heading 7"/>
    <w:basedOn w:val="BodyText"/>
    <w:next w:val="BodyText"/>
    <w:link w:val="Heading7Char"/>
    <w:rsid w:val="00415EF4"/>
    <w:pPr>
      <w:spacing w:after="60" w:line="240" w:lineRule="auto"/>
      <w:jc w:val="left"/>
      <w:outlineLvl w:val="6"/>
    </w:pPr>
    <w:rPr>
      <w:rFonts w:ascii="Arial" w:hAnsi="Arial"/>
      <w:sz w:val="20"/>
    </w:rPr>
  </w:style>
  <w:style w:type="paragraph" w:styleId="Heading8">
    <w:name w:val="heading 8"/>
    <w:basedOn w:val="BodyText"/>
    <w:next w:val="BodyText"/>
    <w:link w:val="Heading8Char"/>
    <w:rsid w:val="00415EF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15EF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15E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EF4"/>
  </w:style>
  <w:style w:type="character" w:customStyle="1" w:styleId="Heading1Char">
    <w:name w:val="Heading 1 Char"/>
    <w:basedOn w:val="DefaultParagraphFont"/>
    <w:link w:val="Heading1"/>
    <w:rsid w:val="007422BC"/>
    <w:rPr>
      <w:sz w:val="52"/>
      <w:szCs w:val="20"/>
      <w:lang w:val="en-AU" w:eastAsia="en-AU"/>
    </w:rPr>
  </w:style>
  <w:style w:type="character" w:customStyle="1" w:styleId="Heading2Char">
    <w:name w:val="Heading 2 Char"/>
    <w:basedOn w:val="DefaultParagraphFont"/>
    <w:link w:val="Heading2"/>
    <w:rsid w:val="007422BC"/>
    <w:rPr>
      <w:rFonts w:ascii="Arial" w:hAnsi="Arial"/>
      <w:b/>
      <w:sz w:val="32"/>
      <w:szCs w:val="20"/>
      <w:lang w:val="en-AU" w:eastAsia="en-AU"/>
    </w:rPr>
  </w:style>
  <w:style w:type="character" w:customStyle="1" w:styleId="Heading3Char">
    <w:name w:val="Heading 3 Char"/>
    <w:basedOn w:val="DefaultParagraphFont"/>
    <w:link w:val="Heading3"/>
    <w:rsid w:val="007422BC"/>
    <w:rPr>
      <w:rFonts w:ascii="Arial" w:hAnsi="Arial"/>
      <w:b/>
      <w:sz w:val="26"/>
      <w:szCs w:val="20"/>
      <w:lang w:val="en-AU" w:eastAsia="en-AU"/>
    </w:rPr>
  </w:style>
  <w:style w:type="character" w:customStyle="1" w:styleId="Heading4Char">
    <w:name w:val="Heading 4 Char"/>
    <w:basedOn w:val="DefaultParagraphFont"/>
    <w:link w:val="Heading4"/>
    <w:rsid w:val="007422BC"/>
    <w:rPr>
      <w:rFonts w:ascii="Arial" w:hAnsi="Arial"/>
      <w:i/>
      <w:sz w:val="24"/>
      <w:szCs w:val="20"/>
      <w:lang w:val="en-AU" w:eastAsia="en-AU"/>
    </w:rPr>
  </w:style>
  <w:style w:type="character" w:customStyle="1" w:styleId="Heading5Char">
    <w:name w:val="Heading 5 Char"/>
    <w:basedOn w:val="DefaultParagraphFont"/>
    <w:link w:val="Heading5"/>
    <w:rsid w:val="007422BC"/>
    <w:rPr>
      <w:i/>
      <w:sz w:val="26"/>
      <w:szCs w:val="20"/>
      <w:lang w:val="en-AU" w:eastAsia="en-AU"/>
    </w:rPr>
  </w:style>
  <w:style w:type="character" w:customStyle="1" w:styleId="Heading6Char">
    <w:name w:val="Heading 6 Char"/>
    <w:basedOn w:val="DefaultParagraphFont"/>
    <w:link w:val="Heading6"/>
    <w:rsid w:val="007422BC"/>
    <w:rPr>
      <w:i/>
      <w:szCs w:val="20"/>
      <w:lang w:val="en-AU" w:eastAsia="en-AU"/>
    </w:rPr>
  </w:style>
  <w:style w:type="character" w:customStyle="1" w:styleId="Heading7Char">
    <w:name w:val="Heading 7 Char"/>
    <w:basedOn w:val="DefaultParagraphFont"/>
    <w:link w:val="Heading7"/>
    <w:rsid w:val="007422BC"/>
    <w:rPr>
      <w:rFonts w:ascii="Arial" w:hAnsi="Arial"/>
      <w:sz w:val="20"/>
      <w:szCs w:val="20"/>
      <w:lang w:val="en-AU" w:eastAsia="en-AU"/>
    </w:rPr>
  </w:style>
  <w:style w:type="character" w:customStyle="1" w:styleId="Heading8Char">
    <w:name w:val="Heading 8 Char"/>
    <w:basedOn w:val="DefaultParagraphFont"/>
    <w:link w:val="Heading8"/>
    <w:rsid w:val="007422BC"/>
    <w:rPr>
      <w:rFonts w:ascii="Arial" w:hAnsi="Arial"/>
      <w:i/>
      <w:sz w:val="20"/>
      <w:szCs w:val="20"/>
      <w:lang w:val="en-AU" w:eastAsia="en-AU"/>
    </w:rPr>
  </w:style>
  <w:style w:type="character" w:customStyle="1" w:styleId="Heading9Char">
    <w:name w:val="Heading 9 Char"/>
    <w:basedOn w:val="DefaultParagraphFont"/>
    <w:link w:val="Heading9"/>
    <w:rsid w:val="007422BC"/>
    <w:rPr>
      <w:rFonts w:ascii="Arial" w:hAnsi="Arial"/>
      <w:b/>
      <w:i/>
      <w:sz w:val="18"/>
      <w:szCs w:val="20"/>
      <w:lang w:val="en-AU" w:eastAsia="en-AU"/>
    </w:rPr>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415EF4"/>
    <w:pPr>
      <w:spacing w:before="240" w:line="320" w:lineRule="atLeast"/>
      <w:jc w:val="both"/>
    </w:pPr>
    <w:rPr>
      <w:sz w:val="26"/>
      <w:szCs w:val="20"/>
      <w:lang w:val="en-AU" w:eastAsia="en-AU"/>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basedOn w:val="DefaultParagraphFont"/>
    <w:link w:val="BodyText"/>
    <w:rsid w:val="007422BC"/>
    <w:rPr>
      <w:sz w:val="26"/>
      <w:szCs w:val="20"/>
      <w:lang w:val="en-AU" w:eastAsia="en-AU"/>
    </w:rPr>
  </w:style>
  <w:style w:type="paragraph" w:styleId="Footer">
    <w:name w:val="footer"/>
    <w:basedOn w:val="BodyText"/>
    <w:link w:val="FooterChar"/>
    <w:semiHidden/>
    <w:rsid w:val="00415EF4"/>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7422BC"/>
    <w:rPr>
      <w:caps/>
      <w:spacing w:val="-4"/>
      <w:sz w:val="16"/>
      <w:szCs w:val="20"/>
      <w:lang w:val="en-AU" w:eastAsia="en-AU"/>
    </w:rPr>
  </w:style>
  <w:style w:type="paragraph" w:customStyle="1" w:styleId="FooterEnd">
    <w:name w:val="Footer End"/>
    <w:basedOn w:val="Footer"/>
    <w:rsid w:val="00415EF4"/>
    <w:pPr>
      <w:spacing w:before="0" w:line="20" w:lineRule="exact"/>
    </w:pPr>
  </w:style>
  <w:style w:type="paragraph" w:styleId="Header">
    <w:name w:val="header"/>
    <w:basedOn w:val="BodyText"/>
    <w:link w:val="HeaderChar"/>
    <w:rsid w:val="00415EF4"/>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7422BC"/>
    <w:rPr>
      <w:rFonts w:ascii="Arial" w:hAnsi="Arial"/>
      <w:caps/>
      <w:sz w:val="26"/>
      <w:szCs w:val="20"/>
      <w:lang w:val="en-AU" w:eastAsia="en-AU"/>
    </w:rPr>
  </w:style>
  <w:style w:type="paragraph" w:customStyle="1" w:styleId="HeaderEnd">
    <w:name w:val="Header End"/>
    <w:basedOn w:val="Header"/>
    <w:autoRedefine/>
    <w:rsid w:val="00415EF4"/>
    <w:pPr>
      <w:spacing w:line="20" w:lineRule="exact"/>
    </w:pPr>
    <w:rPr>
      <w:sz w:val="16"/>
    </w:rPr>
  </w:style>
  <w:style w:type="paragraph" w:customStyle="1" w:styleId="HeaderEven">
    <w:name w:val="Header Even"/>
    <w:basedOn w:val="Header"/>
    <w:semiHidden/>
    <w:rsid w:val="00415EF4"/>
  </w:style>
  <w:style w:type="paragraph" w:customStyle="1" w:styleId="HeaderOdd">
    <w:name w:val="Header Odd"/>
    <w:basedOn w:val="Header"/>
    <w:semiHidden/>
    <w:rsid w:val="00415EF4"/>
  </w:style>
  <w:style w:type="character" w:styleId="PageNumber">
    <w:name w:val="page number"/>
    <w:basedOn w:val="DefaultParagraphFont"/>
    <w:rsid w:val="00415EF4"/>
    <w:rPr>
      <w:rFonts w:ascii="Arial" w:hAnsi="Arial"/>
      <w:b/>
      <w:sz w:val="16"/>
    </w:rPr>
  </w:style>
  <w:style w:type="paragraph" w:customStyle="1" w:styleId="Abbreviation">
    <w:name w:val="Abbreviation"/>
    <w:basedOn w:val="BodyText"/>
    <w:rsid w:val="00415EF4"/>
    <w:pPr>
      <w:spacing w:before="120"/>
      <w:ind w:left="2381" w:hanging="2381"/>
      <w:jc w:val="left"/>
    </w:pPr>
  </w:style>
  <w:style w:type="paragraph" w:customStyle="1" w:styleId="Box">
    <w:name w:val="Box"/>
    <w:basedOn w:val="BodyText"/>
    <w:link w:val="BoxChar"/>
    <w:qFormat/>
    <w:rsid w:val="00415EF4"/>
    <w:pPr>
      <w:keepNext/>
      <w:spacing w:before="120" w:line="280" w:lineRule="atLeast"/>
    </w:pPr>
    <w:rPr>
      <w:rFonts w:ascii="Arial" w:hAnsi="Arial"/>
      <w:sz w:val="22"/>
    </w:rPr>
  </w:style>
  <w:style w:type="paragraph" w:customStyle="1" w:styleId="BoxContinued">
    <w:name w:val="Box Continued"/>
    <w:basedOn w:val="BodyText"/>
    <w:next w:val="BodyText"/>
    <w:semiHidden/>
    <w:rsid w:val="00415EF4"/>
    <w:pPr>
      <w:spacing w:before="180" w:line="220" w:lineRule="exact"/>
      <w:jc w:val="right"/>
    </w:pPr>
    <w:rPr>
      <w:rFonts w:ascii="Arial" w:hAnsi="Arial"/>
      <w:sz w:val="18"/>
    </w:rPr>
  </w:style>
  <w:style w:type="paragraph" w:customStyle="1" w:styleId="BoxHeading1">
    <w:name w:val="Box Heading 1"/>
    <w:basedOn w:val="BodyText"/>
    <w:next w:val="Box"/>
    <w:rsid w:val="00415EF4"/>
    <w:pPr>
      <w:keepNext/>
      <w:spacing w:before="200" w:line="280" w:lineRule="atLeast"/>
    </w:pPr>
    <w:rPr>
      <w:rFonts w:ascii="Arial" w:hAnsi="Arial"/>
      <w:b/>
      <w:sz w:val="22"/>
    </w:rPr>
  </w:style>
  <w:style w:type="paragraph" w:customStyle="1" w:styleId="BoxHeading2">
    <w:name w:val="Box Heading 2"/>
    <w:basedOn w:val="BoxHeading1"/>
    <w:next w:val="Normal"/>
    <w:rsid w:val="00415EF4"/>
    <w:rPr>
      <w:b w:val="0"/>
      <w:i/>
    </w:rPr>
  </w:style>
  <w:style w:type="paragraph" w:customStyle="1" w:styleId="BoxListBullet">
    <w:name w:val="Box List Bullet"/>
    <w:basedOn w:val="BodyText"/>
    <w:rsid w:val="00415EF4"/>
    <w:pPr>
      <w:keepNext/>
      <w:numPr>
        <w:numId w:val="7"/>
      </w:numPr>
      <w:spacing w:before="60" w:line="280" w:lineRule="atLeast"/>
    </w:pPr>
    <w:rPr>
      <w:rFonts w:ascii="Arial" w:hAnsi="Arial"/>
      <w:sz w:val="22"/>
    </w:rPr>
  </w:style>
  <w:style w:type="paragraph" w:customStyle="1" w:styleId="BoxListBullet2">
    <w:name w:val="Box List Bullet 2"/>
    <w:basedOn w:val="BodyText"/>
    <w:rsid w:val="00415EF4"/>
    <w:pPr>
      <w:keepNext/>
      <w:numPr>
        <w:numId w:val="8"/>
      </w:numPr>
      <w:spacing w:before="60" w:line="280" w:lineRule="atLeast"/>
    </w:pPr>
    <w:rPr>
      <w:rFonts w:ascii="Arial" w:hAnsi="Arial"/>
      <w:sz w:val="22"/>
    </w:rPr>
  </w:style>
  <w:style w:type="paragraph" w:customStyle="1" w:styleId="BoxListNumber">
    <w:name w:val="Box List Number"/>
    <w:basedOn w:val="BodyText"/>
    <w:rsid w:val="00415EF4"/>
    <w:pPr>
      <w:keepNext/>
      <w:numPr>
        <w:numId w:val="20"/>
      </w:numPr>
      <w:spacing w:before="60" w:line="280" w:lineRule="atLeast"/>
    </w:pPr>
    <w:rPr>
      <w:rFonts w:ascii="Arial" w:hAnsi="Arial"/>
      <w:sz w:val="22"/>
    </w:rPr>
  </w:style>
  <w:style w:type="paragraph" w:customStyle="1" w:styleId="BoxListNumber2">
    <w:name w:val="Box List Number 2"/>
    <w:basedOn w:val="BoxListNumber"/>
    <w:rsid w:val="00415EF4"/>
    <w:pPr>
      <w:numPr>
        <w:ilvl w:val="1"/>
      </w:numPr>
    </w:pPr>
  </w:style>
  <w:style w:type="paragraph" w:customStyle="1" w:styleId="BoxQuote">
    <w:name w:val="Box Quote"/>
    <w:basedOn w:val="BodyText"/>
    <w:next w:val="Box"/>
    <w:rsid w:val="00415EF4"/>
    <w:pPr>
      <w:keepNext/>
      <w:spacing w:before="60" w:line="260" w:lineRule="exact"/>
      <w:ind w:left="284"/>
    </w:pPr>
    <w:rPr>
      <w:rFonts w:ascii="Arial" w:hAnsi="Arial"/>
      <w:sz w:val="20"/>
    </w:rPr>
  </w:style>
  <w:style w:type="paragraph" w:customStyle="1" w:styleId="Note">
    <w:name w:val="Note"/>
    <w:basedOn w:val="BodyText"/>
    <w:next w:val="BodyText"/>
    <w:rsid w:val="00415EF4"/>
    <w:pPr>
      <w:keepLines/>
      <w:spacing w:before="80" w:line="220" w:lineRule="exact"/>
    </w:pPr>
    <w:rPr>
      <w:rFonts w:ascii="Arial" w:hAnsi="Arial"/>
      <w:sz w:val="18"/>
    </w:rPr>
  </w:style>
  <w:style w:type="paragraph" w:customStyle="1" w:styleId="Source">
    <w:name w:val="Source"/>
    <w:basedOn w:val="Note"/>
    <w:next w:val="BodyText"/>
    <w:rsid w:val="00415EF4"/>
    <w:pPr>
      <w:spacing w:after="120"/>
    </w:pPr>
  </w:style>
  <w:style w:type="paragraph" w:customStyle="1" w:styleId="BoxSource">
    <w:name w:val="Box Source"/>
    <w:basedOn w:val="Source"/>
    <w:next w:val="BodyText"/>
    <w:rsid w:val="00415EF4"/>
    <w:pPr>
      <w:spacing w:before="180" w:after="0"/>
    </w:pPr>
  </w:style>
  <w:style w:type="paragraph" w:customStyle="1" w:styleId="BoxSpace">
    <w:name w:val="Box Space"/>
    <w:basedOn w:val="BodyText"/>
    <w:rsid w:val="002B2B68"/>
    <w:pPr>
      <w:keepNext/>
      <w:spacing w:before="360" w:line="80" w:lineRule="exact"/>
      <w:jc w:val="left"/>
    </w:pPr>
  </w:style>
  <w:style w:type="paragraph" w:styleId="Caption">
    <w:name w:val="caption"/>
    <w:basedOn w:val="Normal"/>
    <w:next w:val="BodyText"/>
    <w:rsid w:val="00415EF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15EF4"/>
    <w:pPr>
      <w:spacing w:before="120" w:after="0"/>
      <w:ind w:left="1304" w:hanging="1304"/>
    </w:pPr>
    <w:rPr>
      <w:sz w:val="24"/>
    </w:rPr>
  </w:style>
  <w:style w:type="paragraph" w:customStyle="1" w:styleId="BoxSubtitle">
    <w:name w:val="Box Subtitle"/>
    <w:basedOn w:val="BoxTitle"/>
    <w:next w:val="Normal"/>
    <w:rsid w:val="00415EF4"/>
    <w:pPr>
      <w:spacing w:after="80" w:line="200" w:lineRule="exact"/>
      <w:ind w:firstLine="0"/>
    </w:pPr>
    <w:rPr>
      <w:b w:val="0"/>
      <w:sz w:val="20"/>
    </w:rPr>
  </w:style>
  <w:style w:type="paragraph" w:customStyle="1" w:styleId="Chapter">
    <w:name w:val="Chapter"/>
    <w:basedOn w:val="Heading1"/>
    <w:next w:val="BodyText"/>
    <w:semiHidden/>
    <w:rsid w:val="00415EF4"/>
    <w:pPr>
      <w:ind w:left="0" w:firstLine="0"/>
      <w:outlineLvl w:val="9"/>
    </w:pPr>
  </w:style>
  <w:style w:type="paragraph" w:customStyle="1" w:styleId="ChapterSummary">
    <w:name w:val="Chapter Summary"/>
    <w:basedOn w:val="BodyText"/>
    <w:rsid w:val="00415EF4"/>
    <w:pPr>
      <w:ind w:left="907"/>
    </w:pPr>
    <w:rPr>
      <w:rFonts w:ascii="Arial" w:hAnsi="Arial"/>
      <w:b/>
      <w:sz w:val="22"/>
    </w:rPr>
  </w:style>
  <w:style w:type="character" w:styleId="CommentReference">
    <w:name w:val="annotation reference"/>
    <w:basedOn w:val="DefaultParagraphFont"/>
    <w:semiHidden/>
    <w:rsid w:val="00415EF4"/>
    <w:rPr>
      <w:b/>
      <w:vanish/>
      <w:color w:val="FF00FF"/>
      <w:sz w:val="20"/>
    </w:rPr>
  </w:style>
  <w:style w:type="paragraph" w:styleId="CommentText">
    <w:name w:val="annotation text"/>
    <w:basedOn w:val="Normal"/>
    <w:link w:val="CommentTextChar"/>
    <w:semiHidden/>
    <w:rsid w:val="00415EF4"/>
    <w:pPr>
      <w:spacing w:before="120" w:line="240" w:lineRule="atLeast"/>
      <w:ind w:left="567" w:hanging="567"/>
    </w:pPr>
    <w:rPr>
      <w:sz w:val="20"/>
    </w:rPr>
  </w:style>
  <w:style w:type="character" w:customStyle="1" w:styleId="CommentTextChar">
    <w:name w:val="Comment Text Char"/>
    <w:basedOn w:val="DefaultParagraphFont"/>
    <w:link w:val="CommentText"/>
    <w:semiHidden/>
    <w:locked/>
    <w:rsid w:val="00C54FDD"/>
    <w:rPr>
      <w:sz w:val="20"/>
      <w:szCs w:val="24"/>
      <w:lang w:val="en-AU" w:eastAsia="en-AU"/>
    </w:rPr>
  </w:style>
  <w:style w:type="paragraph" w:customStyle="1" w:styleId="Continued">
    <w:name w:val="Continued"/>
    <w:basedOn w:val="BoxContinued"/>
    <w:next w:val="BodyText"/>
    <w:rsid w:val="00415EF4"/>
  </w:style>
  <w:style w:type="character" w:customStyle="1" w:styleId="DocumentInfo">
    <w:name w:val="Document Info"/>
    <w:basedOn w:val="DefaultParagraphFont"/>
    <w:semiHidden/>
    <w:rsid w:val="00415EF4"/>
    <w:rPr>
      <w:rFonts w:ascii="Arial" w:hAnsi="Arial"/>
      <w:sz w:val="14"/>
    </w:rPr>
  </w:style>
  <w:style w:type="character" w:customStyle="1" w:styleId="DraftingNote">
    <w:name w:val="Drafting Note"/>
    <w:basedOn w:val="DefaultParagraphFont"/>
    <w:rsid w:val="00415EF4"/>
    <w:rPr>
      <w:b/>
      <w:color w:val="FF0000"/>
      <w:sz w:val="24"/>
      <w:u w:val="dotted"/>
    </w:rPr>
  </w:style>
  <w:style w:type="paragraph" w:customStyle="1" w:styleId="Figure">
    <w:name w:val="Figure"/>
    <w:basedOn w:val="BodyText"/>
    <w:rsid w:val="00415EF4"/>
    <w:pPr>
      <w:keepNext/>
      <w:spacing w:before="120" w:after="120" w:line="240" w:lineRule="atLeast"/>
      <w:jc w:val="center"/>
    </w:pPr>
  </w:style>
  <w:style w:type="paragraph" w:customStyle="1" w:styleId="FigureTitle">
    <w:name w:val="Figure Title"/>
    <w:basedOn w:val="Caption"/>
    <w:next w:val="Subtitle"/>
    <w:rsid w:val="00415EF4"/>
    <w:rPr>
      <w:sz w:val="24"/>
    </w:rPr>
  </w:style>
  <w:style w:type="paragraph" w:styleId="Subtitle">
    <w:name w:val="Subtitle"/>
    <w:basedOn w:val="Caption"/>
    <w:link w:val="SubtitleChar"/>
    <w:rsid w:val="00415EF4"/>
    <w:pPr>
      <w:spacing w:before="0" w:line="200" w:lineRule="exact"/>
      <w:ind w:firstLine="0"/>
    </w:pPr>
    <w:rPr>
      <w:b w:val="0"/>
      <w:sz w:val="20"/>
    </w:rPr>
  </w:style>
  <w:style w:type="character" w:customStyle="1" w:styleId="SubtitleChar">
    <w:name w:val="Subtitle Char"/>
    <w:basedOn w:val="DefaultParagraphFont"/>
    <w:link w:val="Subtitle"/>
    <w:locked/>
    <w:rsid w:val="00415EF4"/>
    <w:rPr>
      <w:rFonts w:ascii="Arial" w:hAnsi="Arial"/>
      <w:sz w:val="20"/>
      <w:szCs w:val="24"/>
      <w:lang w:val="en-AU" w:eastAsia="en-AU"/>
    </w:rPr>
  </w:style>
  <w:style w:type="paragraph" w:customStyle="1" w:styleId="Finding">
    <w:name w:val="Finding"/>
    <w:basedOn w:val="BodyText"/>
    <w:rsid w:val="00415EF4"/>
    <w:pPr>
      <w:keepLines/>
      <w:spacing w:before="180"/>
    </w:pPr>
    <w:rPr>
      <w:i/>
    </w:rPr>
  </w:style>
  <w:style w:type="paragraph" w:customStyle="1" w:styleId="FindingBullet">
    <w:name w:val="Finding Bullet"/>
    <w:basedOn w:val="Finding"/>
    <w:rsid w:val="00415EF4"/>
    <w:pPr>
      <w:numPr>
        <w:numId w:val="9"/>
      </w:numPr>
      <w:spacing w:before="80"/>
    </w:pPr>
  </w:style>
  <w:style w:type="paragraph" w:customStyle="1" w:styleId="FindingNoTitle">
    <w:name w:val="Finding NoTitle"/>
    <w:basedOn w:val="Finding"/>
    <w:rsid w:val="00415EF4"/>
    <w:pPr>
      <w:spacing w:before="240"/>
    </w:pPr>
  </w:style>
  <w:style w:type="paragraph" w:customStyle="1" w:styleId="RecTitle">
    <w:name w:val="Rec Title"/>
    <w:basedOn w:val="BodyText"/>
    <w:next w:val="Normal"/>
    <w:rsid w:val="00415EF4"/>
    <w:pPr>
      <w:keepNext/>
      <w:keepLines/>
    </w:pPr>
    <w:rPr>
      <w:caps/>
      <w:sz w:val="20"/>
    </w:rPr>
  </w:style>
  <w:style w:type="paragraph" w:customStyle="1" w:styleId="FindingTitle">
    <w:name w:val="Finding Title"/>
    <w:basedOn w:val="RecTitle"/>
    <w:next w:val="Finding"/>
    <w:rsid w:val="00415EF4"/>
    <w:pPr>
      <w:framePr w:wrap="notBeside" w:hAnchor="text"/>
    </w:pPr>
  </w:style>
  <w:style w:type="character" w:styleId="FootnoteReference">
    <w:name w:val="footnote reference"/>
    <w:basedOn w:val="DefaultParagraphFont"/>
    <w:semiHidden/>
    <w:rsid w:val="00415EF4"/>
    <w:rPr>
      <w:rFonts w:ascii="Times New Roman" w:hAnsi="Times New Roman"/>
      <w:position w:val="6"/>
      <w:sz w:val="22"/>
      <w:vertAlign w:val="baseline"/>
    </w:rPr>
  </w:style>
  <w:style w:type="paragraph" w:styleId="FootnoteText">
    <w:name w:val="footnote text"/>
    <w:basedOn w:val="BodyText"/>
    <w:link w:val="FootnoteTextChar"/>
    <w:rsid w:val="00415EF4"/>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7422BC"/>
    <w:rPr>
      <w:szCs w:val="20"/>
      <w:lang w:val="en-AU" w:eastAsia="en-AU"/>
    </w:rPr>
  </w:style>
  <w:style w:type="paragraph" w:customStyle="1" w:styleId="InformationRequest">
    <w:name w:val="Information Request"/>
    <w:basedOn w:val="Finding"/>
    <w:next w:val="BodyText"/>
    <w:rsid w:val="00415EF4"/>
    <w:pPr>
      <w:spacing w:before="360" w:after="120"/>
    </w:pPr>
    <w:rPr>
      <w:rFonts w:ascii="Arial" w:hAnsi="Arial"/>
      <w:sz w:val="24"/>
    </w:rPr>
  </w:style>
  <w:style w:type="paragraph" w:customStyle="1" w:styleId="Jurisdictioncommentsbodytext">
    <w:name w:val="Jurisdiction comments body text"/>
    <w:rsid w:val="00415EF4"/>
    <w:pPr>
      <w:spacing w:after="140"/>
      <w:jc w:val="both"/>
    </w:pPr>
    <w:rPr>
      <w:rFonts w:ascii="Arial" w:hAnsi="Arial"/>
      <w:sz w:val="24"/>
      <w:szCs w:val="20"/>
      <w:lang w:val="en-AU"/>
    </w:rPr>
  </w:style>
  <w:style w:type="paragraph" w:customStyle="1" w:styleId="Jurisdictioncommentsheading">
    <w:name w:val="Jurisdiction comments heading"/>
    <w:rsid w:val="00415EF4"/>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rsid w:val="00415EF4"/>
    <w:pPr>
      <w:numPr>
        <w:numId w:val="10"/>
      </w:numPr>
      <w:spacing w:after="140"/>
      <w:jc w:val="both"/>
    </w:pPr>
    <w:rPr>
      <w:rFonts w:ascii="Arial" w:hAnsi="Arial"/>
      <w:sz w:val="24"/>
      <w:szCs w:val="20"/>
      <w:lang w:val="en-AU"/>
    </w:rPr>
  </w:style>
  <w:style w:type="paragraph" w:styleId="ListBullet">
    <w:name w:val="List Bullet"/>
    <w:basedOn w:val="BodyText"/>
    <w:link w:val="ListBulletChar"/>
    <w:rsid w:val="00415EF4"/>
    <w:pPr>
      <w:numPr>
        <w:numId w:val="11"/>
      </w:numPr>
      <w:spacing w:before="120"/>
    </w:pPr>
  </w:style>
  <w:style w:type="paragraph" w:styleId="ListBullet2">
    <w:name w:val="List Bullet 2"/>
    <w:basedOn w:val="BodyText"/>
    <w:rsid w:val="00415EF4"/>
    <w:pPr>
      <w:numPr>
        <w:numId w:val="12"/>
      </w:numPr>
      <w:spacing w:before="120"/>
    </w:pPr>
  </w:style>
  <w:style w:type="paragraph" w:styleId="ListBullet3">
    <w:name w:val="List Bullet 3"/>
    <w:basedOn w:val="BodyText"/>
    <w:rsid w:val="00415EF4"/>
    <w:pPr>
      <w:numPr>
        <w:numId w:val="13"/>
      </w:numPr>
      <w:spacing w:before="120"/>
    </w:pPr>
  </w:style>
  <w:style w:type="paragraph" w:styleId="ListNumber">
    <w:name w:val="List Number"/>
    <w:basedOn w:val="BodyText"/>
    <w:rsid w:val="00415EF4"/>
    <w:pPr>
      <w:numPr>
        <w:numId w:val="18"/>
      </w:numPr>
      <w:spacing w:before="120"/>
    </w:pPr>
  </w:style>
  <w:style w:type="paragraph" w:styleId="ListNumber2">
    <w:name w:val="List Number 2"/>
    <w:basedOn w:val="ListNumber"/>
    <w:rsid w:val="00415EF4"/>
    <w:pPr>
      <w:numPr>
        <w:ilvl w:val="1"/>
      </w:numPr>
    </w:pPr>
  </w:style>
  <w:style w:type="paragraph" w:styleId="ListNumber3">
    <w:name w:val="List Number 3"/>
    <w:basedOn w:val="ListNumber2"/>
    <w:rsid w:val="00415EF4"/>
    <w:pPr>
      <w:numPr>
        <w:ilvl w:val="2"/>
      </w:numPr>
    </w:pPr>
  </w:style>
  <w:style w:type="character" w:customStyle="1" w:styleId="NoteLabel">
    <w:name w:val="Note Label"/>
    <w:basedOn w:val="DefaultParagraphFont"/>
    <w:rsid w:val="00415EF4"/>
    <w:rPr>
      <w:rFonts w:ascii="Arial" w:hAnsi="Arial"/>
      <w:b/>
      <w:position w:val="6"/>
      <w:sz w:val="18"/>
    </w:rPr>
  </w:style>
  <w:style w:type="paragraph" w:customStyle="1" w:styleId="PartDivider">
    <w:name w:val="Part Divider"/>
    <w:basedOn w:val="BodyText"/>
    <w:next w:val="BodyText"/>
    <w:semiHidden/>
    <w:rsid w:val="00415EF4"/>
    <w:pPr>
      <w:spacing w:before="0" w:line="40" w:lineRule="exact"/>
      <w:jc w:val="right"/>
    </w:pPr>
    <w:rPr>
      <w:smallCaps/>
      <w:sz w:val="16"/>
    </w:rPr>
  </w:style>
  <w:style w:type="paragraph" w:customStyle="1" w:styleId="PartNumber">
    <w:name w:val="Part Number"/>
    <w:basedOn w:val="BodyText"/>
    <w:next w:val="BodyText"/>
    <w:semiHidden/>
    <w:rsid w:val="00415EF4"/>
    <w:pPr>
      <w:spacing w:before="4000" w:line="320" w:lineRule="exact"/>
      <w:ind w:left="6634"/>
      <w:jc w:val="right"/>
    </w:pPr>
    <w:rPr>
      <w:smallCaps/>
      <w:spacing w:val="60"/>
      <w:sz w:val="32"/>
    </w:rPr>
  </w:style>
  <w:style w:type="paragraph" w:customStyle="1" w:styleId="PartTitle">
    <w:name w:val="Part Title"/>
    <w:basedOn w:val="BodyText"/>
    <w:semiHidden/>
    <w:rsid w:val="00415EF4"/>
    <w:pPr>
      <w:spacing w:before="160" w:after="1360" w:line="520" w:lineRule="exact"/>
      <w:ind w:right="2381"/>
      <w:jc w:val="right"/>
    </w:pPr>
    <w:rPr>
      <w:smallCaps/>
      <w:sz w:val="52"/>
    </w:rPr>
  </w:style>
  <w:style w:type="paragraph" w:styleId="Quote">
    <w:name w:val="Quote"/>
    <w:basedOn w:val="BodyText"/>
    <w:next w:val="BodyText"/>
    <w:link w:val="QuoteChar"/>
    <w:qFormat/>
    <w:rsid w:val="00415EF4"/>
    <w:pPr>
      <w:spacing w:before="120" w:line="280" w:lineRule="exact"/>
      <w:ind w:left="340"/>
    </w:pPr>
    <w:rPr>
      <w:sz w:val="24"/>
    </w:rPr>
  </w:style>
  <w:style w:type="character" w:customStyle="1" w:styleId="QuoteChar">
    <w:name w:val="Quote Char"/>
    <w:basedOn w:val="DefaultParagraphFont"/>
    <w:link w:val="Quote"/>
    <w:rsid w:val="007422BC"/>
    <w:rPr>
      <w:sz w:val="24"/>
      <w:szCs w:val="20"/>
      <w:lang w:val="en-AU" w:eastAsia="en-AU"/>
    </w:rPr>
  </w:style>
  <w:style w:type="paragraph" w:customStyle="1" w:styleId="QuoteBullet">
    <w:name w:val="Quote Bullet"/>
    <w:basedOn w:val="Quote"/>
    <w:rsid w:val="00415EF4"/>
    <w:pPr>
      <w:numPr>
        <w:numId w:val="14"/>
      </w:numPr>
    </w:pPr>
  </w:style>
  <w:style w:type="paragraph" w:customStyle="1" w:styleId="Rec">
    <w:name w:val="Rec"/>
    <w:basedOn w:val="BodyText"/>
    <w:rsid w:val="00415EF4"/>
    <w:pPr>
      <w:keepLines/>
      <w:spacing w:before="180"/>
    </w:pPr>
    <w:rPr>
      <w:b/>
      <w:i/>
    </w:rPr>
  </w:style>
  <w:style w:type="paragraph" w:customStyle="1" w:styleId="RecBullet">
    <w:name w:val="Rec Bullet"/>
    <w:basedOn w:val="Rec"/>
    <w:rsid w:val="00415EF4"/>
    <w:pPr>
      <w:numPr>
        <w:numId w:val="15"/>
      </w:numPr>
      <w:spacing w:before="80"/>
    </w:pPr>
  </w:style>
  <w:style w:type="paragraph" w:customStyle="1" w:styleId="RecB">
    <w:name w:val="RecB"/>
    <w:basedOn w:val="Normal"/>
    <w:rsid w:val="00415EF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15EF4"/>
    <w:pPr>
      <w:numPr>
        <w:numId w:val="23"/>
      </w:numPr>
      <w:spacing w:before="80"/>
    </w:pPr>
  </w:style>
  <w:style w:type="paragraph" w:customStyle="1" w:styleId="RecBNoTitle">
    <w:name w:val="RecB NoTitle"/>
    <w:basedOn w:val="RecB"/>
    <w:rsid w:val="00415EF4"/>
    <w:pPr>
      <w:spacing w:before="240"/>
    </w:pPr>
  </w:style>
  <w:style w:type="paragraph" w:customStyle="1" w:styleId="Reference">
    <w:name w:val="Reference"/>
    <w:basedOn w:val="BodyText"/>
    <w:rsid w:val="00415EF4"/>
    <w:pPr>
      <w:spacing w:before="120"/>
      <w:ind w:left="340" w:hanging="340"/>
    </w:pPr>
  </w:style>
  <w:style w:type="paragraph" w:customStyle="1" w:styleId="SequenceInfo">
    <w:name w:val="Sequence Info"/>
    <w:basedOn w:val="BodyText"/>
    <w:semiHidden/>
    <w:rsid w:val="00415EF4"/>
    <w:rPr>
      <w:vanish/>
      <w:sz w:val="16"/>
    </w:rPr>
  </w:style>
  <w:style w:type="paragraph" w:customStyle="1" w:styleId="SideNote">
    <w:name w:val="Side Note"/>
    <w:basedOn w:val="BodyText"/>
    <w:next w:val="BodyText"/>
    <w:semiHidden/>
    <w:rsid w:val="00415EF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15EF4"/>
    <w:pPr>
      <w:framePr w:wrap="around"/>
      <w:numPr>
        <w:numId w:val="16"/>
      </w:numPr>
      <w:tabs>
        <w:tab w:val="left" w:pos="227"/>
      </w:tabs>
    </w:pPr>
  </w:style>
  <w:style w:type="paragraph" w:customStyle="1" w:styleId="SideNoteGraphic">
    <w:name w:val="Side Note Graphic"/>
    <w:basedOn w:val="SideNote"/>
    <w:next w:val="BodyText"/>
    <w:semiHidden/>
    <w:rsid w:val="00415EF4"/>
    <w:pPr>
      <w:framePr w:wrap="around"/>
    </w:pPr>
  </w:style>
  <w:style w:type="paragraph" w:customStyle="1" w:styleId="TableBodyText">
    <w:name w:val="Table Body Text"/>
    <w:basedOn w:val="BodyText"/>
    <w:rsid w:val="00415EF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15EF4"/>
    <w:pPr>
      <w:numPr>
        <w:numId w:val="17"/>
      </w:numPr>
      <w:jc w:val="left"/>
    </w:pPr>
  </w:style>
  <w:style w:type="paragraph" w:customStyle="1" w:styleId="TableColumnHeading">
    <w:name w:val="Table Column Heading"/>
    <w:basedOn w:val="TableBodyText"/>
    <w:rsid w:val="00415EF4"/>
    <w:pPr>
      <w:spacing w:before="80" w:after="80"/>
    </w:pPr>
    <w:rPr>
      <w:i/>
    </w:rPr>
  </w:style>
  <w:style w:type="paragraph" w:styleId="TOC2">
    <w:name w:val="toc 2"/>
    <w:basedOn w:val="BodyText"/>
    <w:semiHidden/>
    <w:rsid w:val="00415EF4"/>
    <w:pPr>
      <w:tabs>
        <w:tab w:val="right" w:pos="8789"/>
      </w:tabs>
      <w:ind w:left="510" w:right="851" w:hanging="510"/>
      <w:jc w:val="left"/>
    </w:pPr>
    <w:rPr>
      <w:b/>
    </w:rPr>
  </w:style>
  <w:style w:type="paragraph" w:styleId="TOC3">
    <w:name w:val="toc 3"/>
    <w:basedOn w:val="TOC2"/>
    <w:semiHidden/>
    <w:rsid w:val="00415EF4"/>
    <w:pPr>
      <w:spacing w:before="60"/>
      <w:ind w:left="1190" w:hanging="680"/>
    </w:pPr>
    <w:rPr>
      <w:b w:val="0"/>
    </w:rPr>
  </w:style>
  <w:style w:type="paragraph" w:styleId="TableofFigures">
    <w:name w:val="table of figures"/>
    <w:basedOn w:val="TOC3"/>
    <w:next w:val="BodyText"/>
    <w:semiHidden/>
    <w:rsid w:val="00415EF4"/>
    <w:pPr>
      <w:ind w:left="737" w:hanging="737"/>
    </w:pPr>
  </w:style>
  <w:style w:type="paragraph" w:customStyle="1" w:styleId="TableTitle">
    <w:name w:val="Table Title"/>
    <w:basedOn w:val="Caption"/>
    <w:next w:val="Subtitle"/>
    <w:rsid w:val="00415EF4"/>
    <w:rPr>
      <w:sz w:val="24"/>
    </w:rPr>
  </w:style>
  <w:style w:type="paragraph" w:customStyle="1" w:styleId="TableUnitsRow">
    <w:name w:val="Table Units Row"/>
    <w:basedOn w:val="TableBodyText"/>
    <w:rsid w:val="00415EF4"/>
    <w:pPr>
      <w:spacing w:before="80" w:after="80"/>
    </w:pPr>
  </w:style>
  <w:style w:type="paragraph" w:styleId="TOC1">
    <w:name w:val="toc 1"/>
    <w:basedOn w:val="Normal"/>
    <w:next w:val="TOC2"/>
    <w:semiHidden/>
    <w:rsid w:val="00415EF4"/>
    <w:pPr>
      <w:tabs>
        <w:tab w:val="right" w:pos="8789"/>
      </w:tabs>
      <w:spacing w:before="480" w:after="60" w:line="320" w:lineRule="exact"/>
      <w:ind w:left="1191" w:right="851" w:hanging="1191"/>
    </w:pPr>
    <w:rPr>
      <w:b/>
      <w:caps/>
    </w:rPr>
  </w:style>
  <w:style w:type="paragraph" w:styleId="TOC4">
    <w:name w:val="toc 4"/>
    <w:basedOn w:val="TOC3"/>
    <w:semiHidden/>
    <w:rsid w:val="00415EF4"/>
    <w:pPr>
      <w:ind w:left="1191" w:firstLine="0"/>
    </w:pPr>
  </w:style>
  <w:style w:type="paragraph" w:customStyle="1" w:styleId="RecBBullet2">
    <w:name w:val="RecB Bullet 2"/>
    <w:basedOn w:val="ListBullet2"/>
    <w:rsid w:val="00415EF4"/>
    <w:pPr>
      <w:pBdr>
        <w:left w:val="single" w:sz="24" w:space="29" w:color="C0C0C0"/>
      </w:pBdr>
    </w:pPr>
    <w:rPr>
      <w:b/>
      <w:i/>
    </w:rPr>
  </w:style>
  <w:style w:type="paragraph" w:styleId="BalloonText">
    <w:name w:val="Balloon Text"/>
    <w:basedOn w:val="Normal"/>
    <w:link w:val="BalloonTextChar"/>
    <w:rsid w:val="00415EF4"/>
    <w:rPr>
      <w:rFonts w:ascii="Tahoma" w:hAnsi="Tahoma" w:cs="Tahoma"/>
      <w:sz w:val="16"/>
      <w:szCs w:val="16"/>
    </w:rPr>
  </w:style>
  <w:style w:type="character" w:customStyle="1" w:styleId="BalloonTextChar">
    <w:name w:val="Balloon Text Char"/>
    <w:basedOn w:val="DefaultParagraphFont"/>
    <w:link w:val="BalloonText"/>
    <w:locked/>
    <w:rsid w:val="00415EF4"/>
    <w:rPr>
      <w:rFonts w:ascii="Tahoma" w:hAnsi="Tahoma" w:cs="Tahoma"/>
      <w:sz w:val="16"/>
      <w:szCs w:val="16"/>
      <w:lang w:val="en-AU" w:eastAsia="en-AU"/>
    </w:rPr>
  </w:style>
  <w:style w:type="paragraph" w:customStyle="1" w:styleId="BoxListBullet3">
    <w:name w:val="Box List Bullet 3"/>
    <w:basedOn w:val="ListBullet3"/>
    <w:rsid w:val="00415EF4"/>
    <w:pPr>
      <w:numPr>
        <w:numId w:val="5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15EF4"/>
    <w:rPr>
      <w:i/>
      <w:iCs/>
    </w:rPr>
  </w:style>
  <w:style w:type="character" w:styleId="Hyperlink">
    <w:name w:val="Hyperlink"/>
    <w:basedOn w:val="DefaultParagraphFont"/>
    <w:uiPriority w:val="99"/>
    <w:rsid w:val="00D14BA1"/>
    <w:rPr>
      <w:rFonts w:cs="Times New Roman"/>
      <w:color w:val="0000FF"/>
      <w:u w:val="single"/>
    </w:rPr>
  </w:style>
  <w:style w:type="paragraph" w:customStyle="1" w:styleId="Default">
    <w:name w:val="Default"/>
    <w:uiPriority w:val="99"/>
    <w:rsid w:val="004A700E"/>
    <w:pPr>
      <w:autoSpaceDE w:val="0"/>
      <w:autoSpaceDN w:val="0"/>
      <w:adjustRightInd w:val="0"/>
    </w:pPr>
    <w:rPr>
      <w:rFonts w:ascii="Garamond" w:hAnsi="Garamond" w:cs="Garamond"/>
      <w:color w:val="000000"/>
      <w:sz w:val="24"/>
      <w:szCs w:val="24"/>
      <w:lang w:val="en-AU" w:eastAsia="en-AU"/>
    </w:rPr>
  </w:style>
  <w:style w:type="paragraph" w:styleId="DocumentMap">
    <w:name w:val="Document Map"/>
    <w:basedOn w:val="Normal"/>
    <w:link w:val="DocumentMapChar"/>
    <w:uiPriority w:val="99"/>
    <w:rsid w:val="00C54FDD"/>
    <w:rPr>
      <w:rFonts w:ascii="Tahoma" w:hAnsi="Tahoma" w:cs="Tahoma"/>
      <w:sz w:val="16"/>
      <w:szCs w:val="16"/>
    </w:rPr>
  </w:style>
  <w:style w:type="character" w:customStyle="1" w:styleId="DocumentMapChar">
    <w:name w:val="Document Map Char"/>
    <w:basedOn w:val="DefaultParagraphFont"/>
    <w:link w:val="DocumentMap"/>
    <w:uiPriority w:val="99"/>
    <w:locked/>
    <w:rsid w:val="00C54FDD"/>
    <w:rPr>
      <w:rFonts w:ascii="Tahoma" w:hAnsi="Tahoma" w:cs="Tahoma"/>
      <w:sz w:val="16"/>
      <w:szCs w:val="16"/>
    </w:rPr>
  </w:style>
  <w:style w:type="paragraph" w:styleId="CommentSubject">
    <w:name w:val="annotation subject"/>
    <w:basedOn w:val="CommentText"/>
    <w:next w:val="CommentText"/>
    <w:link w:val="CommentSubjectChar"/>
    <w:uiPriority w:val="99"/>
    <w:rsid w:val="00C54FDD"/>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locked/>
    <w:rsid w:val="00C54FDD"/>
    <w:rPr>
      <w:rFonts w:cs="Times New Roman"/>
      <w:sz w:val="24"/>
      <w:szCs w:val="24"/>
      <w:lang w:val="en-AU" w:eastAsia="en-AU"/>
    </w:rPr>
  </w:style>
  <w:style w:type="paragraph" w:customStyle="1" w:styleId="Boy">
    <w:name w:val="Boy"/>
    <w:basedOn w:val="ListBullet"/>
    <w:uiPriority w:val="99"/>
    <w:rsid w:val="00F629C0"/>
    <w:pPr>
      <w:numPr>
        <w:numId w:val="0"/>
      </w:numPr>
      <w:ind w:left="340"/>
    </w:pPr>
  </w:style>
  <w:style w:type="paragraph" w:customStyle="1" w:styleId="BoxQuoteBullet">
    <w:name w:val="Box Quote Bullet"/>
    <w:basedOn w:val="BoxQuote"/>
    <w:next w:val="Box"/>
    <w:rsid w:val="00415EF4"/>
    <w:pPr>
      <w:numPr>
        <w:numId w:val="45"/>
      </w:numPr>
      <w:ind w:left="568" w:hanging="284"/>
    </w:pPr>
  </w:style>
  <w:style w:type="paragraph" w:customStyle="1" w:styleId="InformationRequestBullet">
    <w:name w:val="Information Request Bullet"/>
    <w:basedOn w:val="ListBullet"/>
    <w:next w:val="BodyText"/>
    <w:rsid w:val="00415EF4"/>
    <w:pPr>
      <w:numPr>
        <w:numId w:val="46"/>
      </w:numPr>
      <w:ind w:left="340" w:hanging="340"/>
    </w:pPr>
    <w:rPr>
      <w:rFonts w:ascii="Arial" w:hAnsi="Arial"/>
      <w:i/>
      <w:sz w:val="24"/>
    </w:rPr>
  </w:style>
  <w:style w:type="paragraph" w:customStyle="1" w:styleId="Tableh">
    <w:name w:val="Table h"/>
    <w:basedOn w:val="TableBodyText"/>
    <w:rsid w:val="00847F9A"/>
    <w:pPr>
      <w:jc w:val="left"/>
    </w:p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913A6E"/>
    <w:rPr>
      <w:sz w:val="26"/>
    </w:rPr>
  </w:style>
  <w:style w:type="character" w:customStyle="1" w:styleId="ListBulletChar">
    <w:name w:val="List Bullet Char"/>
    <w:link w:val="ListBullet"/>
    <w:rsid w:val="00913A6E"/>
    <w:rPr>
      <w:sz w:val="26"/>
      <w:szCs w:val="20"/>
      <w:lang w:val="en-AU" w:eastAsia="en-AU"/>
    </w:rPr>
  </w:style>
  <w:style w:type="character" w:customStyle="1" w:styleId="BoxChar">
    <w:name w:val="Box Char"/>
    <w:link w:val="Box"/>
    <w:locked/>
    <w:rsid w:val="008906B8"/>
    <w:rPr>
      <w:rFonts w:ascii="Arial" w:hAnsi="Arial"/>
      <w:szCs w:val="20"/>
      <w:lang w:val="en-AU" w:eastAsia="en-AU"/>
    </w:rPr>
  </w:style>
  <w:style w:type="paragraph" w:styleId="Revision">
    <w:name w:val="Revision"/>
    <w:hidden/>
    <w:uiPriority w:val="99"/>
    <w:semiHidden/>
    <w:rsid w:val="00123896"/>
    <w:rPr>
      <w:sz w:val="26"/>
      <w:szCs w:val="24"/>
      <w:lang w:val="en-AU" w:eastAsia="en-AU"/>
    </w:rPr>
  </w:style>
  <w:style w:type="paragraph" w:customStyle="1" w:styleId="Lsit">
    <w:name w:val="Lsit"/>
    <w:basedOn w:val="BodyText"/>
    <w:rsid w:val="00587749"/>
  </w:style>
  <w:style w:type="paragraph" w:customStyle="1" w:styleId="BoxSpaceAbove">
    <w:name w:val="Box Space Above"/>
    <w:basedOn w:val="BodyText"/>
    <w:rsid w:val="00415EF4"/>
    <w:pPr>
      <w:keepNext/>
      <w:spacing w:before="360" w:line="80" w:lineRule="exact"/>
      <w:jc w:val="left"/>
    </w:pPr>
  </w:style>
  <w:style w:type="paragraph" w:customStyle="1" w:styleId="BoxSpaceBelow">
    <w:name w:val="Box Space Below"/>
    <w:basedOn w:val="Box"/>
    <w:rsid w:val="00415EF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10" w:unhideWhenUsed="0" w:qFormat="1"/>
    <w:lsdException w:name="Default Paragraph Font" w:uiPriority="1"/>
    <w:lsdException w:name="Body Text" w:locked="1" w:semiHidden="0" w:uiPriority="0" w:unhideWhenUsed="0" w:qFormat="1"/>
    <w:lsdException w:name="Subtitle" w:locked="1" w:semiHidden="0" w:uiPriority="0"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15EF4"/>
    <w:rPr>
      <w:sz w:val="26"/>
      <w:szCs w:val="24"/>
      <w:lang w:val="en-AU" w:eastAsia="en-AU"/>
    </w:rPr>
  </w:style>
  <w:style w:type="paragraph" w:styleId="Heading1">
    <w:name w:val="heading 1"/>
    <w:basedOn w:val="BodyText"/>
    <w:next w:val="BodyText"/>
    <w:link w:val="Heading1Char"/>
    <w:rsid w:val="00415EF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15EF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15EF4"/>
    <w:pPr>
      <w:spacing w:before="560" w:line="320" w:lineRule="exact"/>
      <w:ind w:left="0" w:firstLine="0"/>
      <w:outlineLvl w:val="2"/>
    </w:pPr>
    <w:rPr>
      <w:sz w:val="26"/>
    </w:rPr>
  </w:style>
  <w:style w:type="paragraph" w:styleId="Heading4">
    <w:name w:val="heading 4"/>
    <w:basedOn w:val="Heading3"/>
    <w:next w:val="BodyText"/>
    <w:link w:val="Heading4Char"/>
    <w:qFormat/>
    <w:rsid w:val="00415EF4"/>
    <w:pPr>
      <w:spacing w:before="480"/>
      <w:outlineLvl w:val="3"/>
    </w:pPr>
    <w:rPr>
      <w:b w:val="0"/>
      <w:i/>
      <w:sz w:val="24"/>
    </w:rPr>
  </w:style>
  <w:style w:type="paragraph" w:styleId="Heading5">
    <w:name w:val="heading 5"/>
    <w:basedOn w:val="Heading4"/>
    <w:next w:val="BodyText"/>
    <w:link w:val="Heading5Char"/>
    <w:qFormat/>
    <w:rsid w:val="00415EF4"/>
    <w:pPr>
      <w:outlineLvl w:val="4"/>
    </w:pPr>
    <w:rPr>
      <w:rFonts w:ascii="Times New Roman" w:hAnsi="Times New Roman"/>
      <w:sz w:val="26"/>
    </w:rPr>
  </w:style>
  <w:style w:type="paragraph" w:styleId="Heading6">
    <w:name w:val="heading 6"/>
    <w:basedOn w:val="BodyText"/>
    <w:next w:val="BodyText"/>
    <w:link w:val="Heading6Char"/>
    <w:rsid w:val="00415EF4"/>
    <w:pPr>
      <w:spacing w:after="60"/>
      <w:jc w:val="left"/>
      <w:outlineLvl w:val="5"/>
    </w:pPr>
    <w:rPr>
      <w:i/>
      <w:sz w:val="22"/>
    </w:rPr>
  </w:style>
  <w:style w:type="paragraph" w:styleId="Heading7">
    <w:name w:val="heading 7"/>
    <w:basedOn w:val="BodyText"/>
    <w:next w:val="BodyText"/>
    <w:link w:val="Heading7Char"/>
    <w:rsid w:val="00415EF4"/>
    <w:pPr>
      <w:spacing w:after="60" w:line="240" w:lineRule="auto"/>
      <w:jc w:val="left"/>
      <w:outlineLvl w:val="6"/>
    </w:pPr>
    <w:rPr>
      <w:rFonts w:ascii="Arial" w:hAnsi="Arial"/>
      <w:sz w:val="20"/>
    </w:rPr>
  </w:style>
  <w:style w:type="paragraph" w:styleId="Heading8">
    <w:name w:val="heading 8"/>
    <w:basedOn w:val="BodyText"/>
    <w:next w:val="BodyText"/>
    <w:link w:val="Heading8Char"/>
    <w:rsid w:val="00415EF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15EF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15E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EF4"/>
  </w:style>
  <w:style w:type="character" w:customStyle="1" w:styleId="Heading1Char">
    <w:name w:val="Heading 1 Char"/>
    <w:basedOn w:val="DefaultParagraphFont"/>
    <w:link w:val="Heading1"/>
    <w:rsid w:val="007422BC"/>
    <w:rPr>
      <w:sz w:val="52"/>
      <w:szCs w:val="20"/>
      <w:lang w:val="en-AU" w:eastAsia="en-AU"/>
    </w:rPr>
  </w:style>
  <w:style w:type="character" w:customStyle="1" w:styleId="Heading2Char">
    <w:name w:val="Heading 2 Char"/>
    <w:basedOn w:val="DefaultParagraphFont"/>
    <w:link w:val="Heading2"/>
    <w:rsid w:val="007422BC"/>
    <w:rPr>
      <w:rFonts w:ascii="Arial" w:hAnsi="Arial"/>
      <w:b/>
      <w:sz w:val="32"/>
      <w:szCs w:val="20"/>
      <w:lang w:val="en-AU" w:eastAsia="en-AU"/>
    </w:rPr>
  </w:style>
  <w:style w:type="character" w:customStyle="1" w:styleId="Heading3Char">
    <w:name w:val="Heading 3 Char"/>
    <w:basedOn w:val="DefaultParagraphFont"/>
    <w:link w:val="Heading3"/>
    <w:rsid w:val="007422BC"/>
    <w:rPr>
      <w:rFonts w:ascii="Arial" w:hAnsi="Arial"/>
      <w:b/>
      <w:sz w:val="26"/>
      <w:szCs w:val="20"/>
      <w:lang w:val="en-AU" w:eastAsia="en-AU"/>
    </w:rPr>
  </w:style>
  <w:style w:type="character" w:customStyle="1" w:styleId="Heading4Char">
    <w:name w:val="Heading 4 Char"/>
    <w:basedOn w:val="DefaultParagraphFont"/>
    <w:link w:val="Heading4"/>
    <w:rsid w:val="007422BC"/>
    <w:rPr>
      <w:rFonts w:ascii="Arial" w:hAnsi="Arial"/>
      <w:i/>
      <w:sz w:val="24"/>
      <w:szCs w:val="20"/>
      <w:lang w:val="en-AU" w:eastAsia="en-AU"/>
    </w:rPr>
  </w:style>
  <w:style w:type="character" w:customStyle="1" w:styleId="Heading5Char">
    <w:name w:val="Heading 5 Char"/>
    <w:basedOn w:val="DefaultParagraphFont"/>
    <w:link w:val="Heading5"/>
    <w:rsid w:val="007422BC"/>
    <w:rPr>
      <w:i/>
      <w:sz w:val="26"/>
      <w:szCs w:val="20"/>
      <w:lang w:val="en-AU" w:eastAsia="en-AU"/>
    </w:rPr>
  </w:style>
  <w:style w:type="character" w:customStyle="1" w:styleId="Heading6Char">
    <w:name w:val="Heading 6 Char"/>
    <w:basedOn w:val="DefaultParagraphFont"/>
    <w:link w:val="Heading6"/>
    <w:rsid w:val="007422BC"/>
    <w:rPr>
      <w:i/>
      <w:szCs w:val="20"/>
      <w:lang w:val="en-AU" w:eastAsia="en-AU"/>
    </w:rPr>
  </w:style>
  <w:style w:type="character" w:customStyle="1" w:styleId="Heading7Char">
    <w:name w:val="Heading 7 Char"/>
    <w:basedOn w:val="DefaultParagraphFont"/>
    <w:link w:val="Heading7"/>
    <w:rsid w:val="007422BC"/>
    <w:rPr>
      <w:rFonts w:ascii="Arial" w:hAnsi="Arial"/>
      <w:sz w:val="20"/>
      <w:szCs w:val="20"/>
      <w:lang w:val="en-AU" w:eastAsia="en-AU"/>
    </w:rPr>
  </w:style>
  <w:style w:type="character" w:customStyle="1" w:styleId="Heading8Char">
    <w:name w:val="Heading 8 Char"/>
    <w:basedOn w:val="DefaultParagraphFont"/>
    <w:link w:val="Heading8"/>
    <w:rsid w:val="007422BC"/>
    <w:rPr>
      <w:rFonts w:ascii="Arial" w:hAnsi="Arial"/>
      <w:i/>
      <w:sz w:val="20"/>
      <w:szCs w:val="20"/>
      <w:lang w:val="en-AU" w:eastAsia="en-AU"/>
    </w:rPr>
  </w:style>
  <w:style w:type="character" w:customStyle="1" w:styleId="Heading9Char">
    <w:name w:val="Heading 9 Char"/>
    <w:basedOn w:val="DefaultParagraphFont"/>
    <w:link w:val="Heading9"/>
    <w:rsid w:val="007422BC"/>
    <w:rPr>
      <w:rFonts w:ascii="Arial" w:hAnsi="Arial"/>
      <w:b/>
      <w:i/>
      <w:sz w:val="18"/>
      <w:szCs w:val="20"/>
      <w:lang w:val="en-AU" w:eastAsia="en-AU"/>
    </w:rPr>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
    <w:qFormat/>
    <w:rsid w:val="00415EF4"/>
    <w:pPr>
      <w:spacing w:before="240" w:line="320" w:lineRule="atLeast"/>
      <w:jc w:val="both"/>
    </w:pPr>
    <w:rPr>
      <w:sz w:val="26"/>
      <w:szCs w:val="20"/>
      <w:lang w:val="en-AU" w:eastAsia="en-AU"/>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basedOn w:val="DefaultParagraphFont"/>
    <w:link w:val="BodyText"/>
    <w:rsid w:val="007422BC"/>
    <w:rPr>
      <w:sz w:val="26"/>
      <w:szCs w:val="20"/>
      <w:lang w:val="en-AU" w:eastAsia="en-AU"/>
    </w:rPr>
  </w:style>
  <w:style w:type="paragraph" w:styleId="Footer">
    <w:name w:val="footer"/>
    <w:basedOn w:val="BodyText"/>
    <w:link w:val="FooterChar"/>
    <w:semiHidden/>
    <w:rsid w:val="00415EF4"/>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7422BC"/>
    <w:rPr>
      <w:caps/>
      <w:spacing w:val="-4"/>
      <w:sz w:val="16"/>
      <w:szCs w:val="20"/>
      <w:lang w:val="en-AU" w:eastAsia="en-AU"/>
    </w:rPr>
  </w:style>
  <w:style w:type="paragraph" w:customStyle="1" w:styleId="FooterEnd">
    <w:name w:val="Footer End"/>
    <w:basedOn w:val="Footer"/>
    <w:rsid w:val="00415EF4"/>
    <w:pPr>
      <w:spacing w:before="0" w:line="20" w:lineRule="exact"/>
    </w:pPr>
  </w:style>
  <w:style w:type="paragraph" w:styleId="Header">
    <w:name w:val="header"/>
    <w:basedOn w:val="BodyText"/>
    <w:link w:val="HeaderChar"/>
    <w:rsid w:val="00415EF4"/>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7422BC"/>
    <w:rPr>
      <w:rFonts w:ascii="Arial" w:hAnsi="Arial"/>
      <w:caps/>
      <w:sz w:val="26"/>
      <w:szCs w:val="20"/>
      <w:lang w:val="en-AU" w:eastAsia="en-AU"/>
    </w:rPr>
  </w:style>
  <w:style w:type="paragraph" w:customStyle="1" w:styleId="HeaderEnd">
    <w:name w:val="Header End"/>
    <w:basedOn w:val="Header"/>
    <w:autoRedefine/>
    <w:rsid w:val="00415EF4"/>
    <w:pPr>
      <w:spacing w:line="20" w:lineRule="exact"/>
    </w:pPr>
    <w:rPr>
      <w:sz w:val="16"/>
    </w:rPr>
  </w:style>
  <w:style w:type="paragraph" w:customStyle="1" w:styleId="HeaderEven">
    <w:name w:val="Header Even"/>
    <w:basedOn w:val="Header"/>
    <w:semiHidden/>
    <w:rsid w:val="00415EF4"/>
  </w:style>
  <w:style w:type="paragraph" w:customStyle="1" w:styleId="HeaderOdd">
    <w:name w:val="Header Odd"/>
    <w:basedOn w:val="Header"/>
    <w:semiHidden/>
    <w:rsid w:val="00415EF4"/>
  </w:style>
  <w:style w:type="character" w:styleId="PageNumber">
    <w:name w:val="page number"/>
    <w:basedOn w:val="DefaultParagraphFont"/>
    <w:rsid w:val="00415EF4"/>
    <w:rPr>
      <w:rFonts w:ascii="Arial" w:hAnsi="Arial"/>
      <w:b/>
      <w:sz w:val="16"/>
    </w:rPr>
  </w:style>
  <w:style w:type="paragraph" w:customStyle="1" w:styleId="Abbreviation">
    <w:name w:val="Abbreviation"/>
    <w:basedOn w:val="BodyText"/>
    <w:rsid w:val="00415EF4"/>
    <w:pPr>
      <w:spacing w:before="120"/>
      <w:ind w:left="2381" w:hanging="2381"/>
      <w:jc w:val="left"/>
    </w:pPr>
  </w:style>
  <w:style w:type="paragraph" w:customStyle="1" w:styleId="Box">
    <w:name w:val="Box"/>
    <w:basedOn w:val="BodyText"/>
    <w:link w:val="BoxChar"/>
    <w:qFormat/>
    <w:rsid w:val="00415EF4"/>
    <w:pPr>
      <w:keepNext/>
      <w:spacing w:before="120" w:line="280" w:lineRule="atLeast"/>
    </w:pPr>
    <w:rPr>
      <w:rFonts w:ascii="Arial" w:hAnsi="Arial"/>
      <w:sz w:val="22"/>
    </w:rPr>
  </w:style>
  <w:style w:type="paragraph" w:customStyle="1" w:styleId="BoxContinued">
    <w:name w:val="Box Continued"/>
    <w:basedOn w:val="BodyText"/>
    <w:next w:val="BodyText"/>
    <w:semiHidden/>
    <w:rsid w:val="00415EF4"/>
    <w:pPr>
      <w:spacing w:before="180" w:line="220" w:lineRule="exact"/>
      <w:jc w:val="right"/>
    </w:pPr>
    <w:rPr>
      <w:rFonts w:ascii="Arial" w:hAnsi="Arial"/>
      <w:sz w:val="18"/>
    </w:rPr>
  </w:style>
  <w:style w:type="paragraph" w:customStyle="1" w:styleId="BoxHeading1">
    <w:name w:val="Box Heading 1"/>
    <w:basedOn w:val="BodyText"/>
    <w:next w:val="Box"/>
    <w:rsid w:val="00415EF4"/>
    <w:pPr>
      <w:keepNext/>
      <w:spacing w:before="200" w:line="280" w:lineRule="atLeast"/>
    </w:pPr>
    <w:rPr>
      <w:rFonts w:ascii="Arial" w:hAnsi="Arial"/>
      <w:b/>
      <w:sz w:val="22"/>
    </w:rPr>
  </w:style>
  <w:style w:type="paragraph" w:customStyle="1" w:styleId="BoxHeading2">
    <w:name w:val="Box Heading 2"/>
    <w:basedOn w:val="BoxHeading1"/>
    <w:next w:val="Normal"/>
    <w:rsid w:val="00415EF4"/>
    <w:rPr>
      <w:b w:val="0"/>
      <w:i/>
    </w:rPr>
  </w:style>
  <w:style w:type="paragraph" w:customStyle="1" w:styleId="BoxListBullet">
    <w:name w:val="Box List Bullet"/>
    <w:basedOn w:val="BodyText"/>
    <w:rsid w:val="00415EF4"/>
    <w:pPr>
      <w:keepNext/>
      <w:numPr>
        <w:numId w:val="7"/>
      </w:numPr>
      <w:spacing w:before="60" w:line="280" w:lineRule="atLeast"/>
    </w:pPr>
    <w:rPr>
      <w:rFonts w:ascii="Arial" w:hAnsi="Arial"/>
      <w:sz w:val="22"/>
    </w:rPr>
  </w:style>
  <w:style w:type="paragraph" w:customStyle="1" w:styleId="BoxListBullet2">
    <w:name w:val="Box List Bullet 2"/>
    <w:basedOn w:val="BodyText"/>
    <w:rsid w:val="00415EF4"/>
    <w:pPr>
      <w:keepNext/>
      <w:numPr>
        <w:numId w:val="8"/>
      </w:numPr>
      <w:spacing w:before="60" w:line="280" w:lineRule="atLeast"/>
    </w:pPr>
    <w:rPr>
      <w:rFonts w:ascii="Arial" w:hAnsi="Arial"/>
      <w:sz w:val="22"/>
    </w:rPr>
  </w:style>
  <w:style w:type="paragraph" w:customStyle="1" w:styleId="BoxListNumber">
    <w:name w:val="Box List Number"/>
    <w:basedOn w:val="BodyText"/>
    <w:rsid w:val="00415EF4"/>
    <w:pPr>
      <w:keepNext/>
      <w:numPr>
        <w:numId w:val="20"/>
      </w:numPr>
      <w:spacing w:before="60" w:line="280" w:lineRule="atLeast"/>
    </w:pPr>
    <w:rPr>
      <w:rFonts w:ascii="Arial" w:hAnsi="Arial"/>
      <w:sz w:val="22"/>
    </w:rPr>
  </w:style>
  <w:style w:type="paragraph" w:customStyle="1" w:styleId="BoxListNumber2">
    <w:name w:val="Box List Number 2"/>
    <w:basedOn w:val="BoxListNumber"/>
    <w:rsid w:val="00415EF4"/>
    <w:pPr>
      <w:numPr>
        <w:ilvl w:val="1"/>
      </w:numPr>
    </w:pPr>
  </w:style>
  <w:style w:type="paragraph" w:customStyle="1" w:styleId="BoxQuote">
    <w:name w:val="Box Quote"/>
    <w:basedOn w:val="BodyText"/>
    <w:next w:val="Box"/>
    <w:rsid w:val="00415EF4"/>
    <w:pPr>
      <w:keepNext/>
      <w:spacing w:before="60" w:line="260" w:lineRule="exact"/>
      <w:ind w:left="284"/>
    </w:pPr>
    <w:rPr>
      <w:rFonts w:ascii="Arial" w:hAnsi="Arial"/>
      <w:sz w:val="20"/>
    </w:rPr>
  </w:style>
  <w:style w:type="paragraph" w:customStyle="1" w:styleId="Note">
    <w:name w:val="Note"/>
    <w:basedOn w:val="BodyText"/>
    <w:next w:val="BodyText"/>
    <w:rsid w:val="00415EF4"/>
    <w:pPr>
      <w:keepLines/>
      <w:spacing w:before="80" w:line="220" w:lineRule="exact"/>
    </w:pPr>
    <w:rPr>
      <w:rFonts w:ascii="Arial" w:hAnsi="Arial"/>
      <w:sz w:val="18"/>
    </w:rPr>
  </w:style>
  <w:style w:type="paragraph" w:customStyle="1" w:styleId="Source">
    <w:name w:val="Source"/>
    <w:basedOn w:val="Note"/>
    <w:next w:val="BodyText"/>
    <w:rsid w:val="00415EF4"/>
    <w:pPr>
      <w:spacing w:after="120"/>
    </w:pPr>
  </w:style>
  <w:style w:type="paragraph" w:customStyle="1" w:styleId="BoxSource">
    <w:name w:val="Box Source"/>
    <w:basedOn w:val="Source"/>
    <w:next w:val="BodyText"/>
    <w:rsid w:val="00415EF4"/>
    <w:pPr>
      <w:spacing w:before="180" w:after="0"/>
    </w:pPr>
  </w:style>
  <w:style w:type="paragraph" w:customStyle="1" w:styleId="BoxSpace">
    <w:name w:val="Box Space"/>
    <w:basedOn w:val="BodyText"/>
    <w:rsid w:val="002B2B68"/>
    <w:pPr>
      <w:keepNext/>
      <w:spacing w:before="360" w:line="80" w:lineRule="exact"/>
      <w:jc w:val="left"/>
    </w:pPr>
  </w:style>
  <w:style w:type="paragraph" w:styleId="Caption">
    <w:name w:val="caption"/>
    <w:basedOn w:val="Normal"/>
    <w:next w:val="BodyText"/>
    <w:rsid w:val="00415EF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15EF4"/>
    <w:pPr>
      <w:spacing w:before="120" w:after="0"/>
      <w:ind w:left="1304" w:hanging="1304"/>
    </w:pPr>
    <w:rPr>
      <w:sz w:val="24"/>
    </w:rPr>
  </w:style>
  <w:style w:type="paragraph" w:customStyle="1" w:styleId="BoxSubtitle">
    <w:name w:val="Box Subtitle"/>
    <w:basedOn w:val="BoxTitle"/>
    <w:next w:val="Normal"/>
    <w:rsid w:val="00415EF4"/>
    <w:pPr>
      <w:spacing w:after="80" w:line="200" w:lineRule="exact"/>
      <w:ind w:firstLine="0"/>
    </w:pPr>
    <w:rPr>
      <w:b w:val="0"/>
      <w:sz w:val="20"/>
    </w:rPr>
  </w:style>
  <w:style w:type="paragraph" w:customStyle="1" w:styleId="Chapter">
    <w:name w:val="Chapter"/>
    <w:basedOn w:val="Heading1"/>
    <w:next w:val="BodyText"/>
    <w:semiHidden/>
    <w:rsid w:val="00415EF4"/>
    <w:pPr>
      <w:ind w:left="0" w:firstLine="0"/>
      <w:outlineLvl w:val="9"/>
    </w:pPr>
  </w:style>
  <w:style w:type="paragraph" w:customStyle="1" w:styleId="ChapterSummary">
    <w:name w:val="Chapter Summary"/>
    <w:basedOn w:val="BodyText"/>
    <w:rsid w:val="00415EF4"/>
    <w:pPr>
      <w:ind w:left="907"/>
    </w:pPr>
    <w:rPr>
      <w:rFonts w:ascii="Arial" w:hAnsi="Arial"/>
      <w:b/>
      <w:sz w:val="22"/>
    </w:rPr>
  </w:style>
  <w:style w:type="character" w:styleId="CommentReference">
    <w:name w:val="annotation reference"/>
    <w:basedOn w:val="DefaultParagraphFont"/>
    <w:semiHidden/>
    <w:rsid w:val="00415EF4"/>
    <w:rPr>
      <w:b/>
      <w:vanish/>
      <w:color w:val="FF00FF"/>
      <w:sz w:val="20"/>
    </w:rPr>
  </w:style>
  <w:style w:type="paragraph" w:styleId="CommentText">
    <w:name w:val="annotation text"/>
    <w:basedOn w:val="Normal"/>
    <w:link w:val="CommentTextChar"/>
    <w:semiHidden/>
    <w:rsid w:val="00415EF4"/>
    <w:pPr>
      <w:spacing w:before="120" w:line="240" w:lineRule="atLeast"/>
      <w:ind w:left="567" w:hanging="567"/>
    </w:pPr>
    <w:rPr>
      <w:sz w:val="20"/>
    </w:rPr>
  </w:style>
  <w:style w:type="character" w:customStyle="1" w:styleId="CommentTextChar">
    <w:name w:val="Comment Text Char"/>
    <w:basedOn w:val="DefaultParagraphFont"/>
    <w:link w:val="CommentText"/>
    <w:semiHidden/>
    <w:locked/>
    <w:rsid w:val="00C54FDD"/>
    <w:rPr>
      <w:sz w:val="20"/>
      <w:szCs w:val="24"/>
      <w:lang w:val="en-AU" w:eastAsia="en-AU"/>
    </w:rPr>
  </w:style>
  <w:style w:type="paragraph" w:customStyle="1" w:styleId="Continued">
    <w:name w:val="Continued"/>
    <w:basedOn w:val="BoxContinued"/>
    <w:next w:val="BodyText"/>
    <w:rsid w:val="00415EF4"/>
  </w:style>
  <w:style w:type="character" w:customStyle="1" w:styleId="DocumentInfo">
    <w:name w:val="Document Info"/>
    <w:basedOn w:val="DefaultParagraphFont"/>
    <w:semiHidden/>
    <w:rsid w:val="00415EF4"/>
    <w:rPr>
      <w:rFonts w:ascii="Arial" w:hAnsi="Arial"/>
      <w:sz w:val="14"/>
    </w:rPr>
  </w:style>
  <w:style w:type="character" w:customStyle="1" w:styleId="DraftingNote">
    <w:name w:val="Drafting Note"/>
    <w:basedOn w:val="DefaultParagraphFont"/>
    <w:rsid w:val="00415EF4"/>
    <w:rPr>
      <w:b/>
      <w:color w:val="FF0000"/>
      <w:sz w:val="24"/>
      <w:u w:val="dotted"/>
    </w:rPr>
  </w:style>
  <w:style w:type="paragraph" w:customStyle="1" w:styleId="Figure">
    <w:name w:val="Figure"/>
    <w:basedOn w:val="BodyText"/>
    <w:rsid w:val="00415EF4"/>
    <w:pPr>
      <w:keepNext/>
      <w:spacing w:before="120" w:after="120" w:line="240" w:lineRule="atLeast"/>
      <w:jc w:val="center"/>
    </w:pPr>
  </w:style>
  <w:style w:type="paragraph" w:customStyle="1" w:styleId="FigureTitle">
    <w:name w:val="Figure Title"/>
    <w:basedOn w:val="Caption"/>
    <w:next w:val="Subtitle"/>
    <w:rsid w:val="00415EF4"/>
    <w:rPr>
      <w:sz w:val="24"/>
    </w:rPr>
  </w:style>
  <w:style w:type="paragraph" w:styleId="Subtitle">
    <w:name w:val="Subtitle"/>
    <w:basedOn w:val="Caption"/>
    <w:link w:val="SubtitleChar"/>
    <w:rsid w:val="00415EF4"/>
    <w:pPr>
      <w:spacing w:before="0" w:line="200" w:lineRule="exact"/>
      <w:ind w:firstLine="0"/>
    </w:pPr>
    <w:rPr>
      <w:b w:val="0"/>
      <w:sz w:val="20"/>
    </w:rPr>
  </w:style>
  <w:style w:type="character" w:customStyle="1" w:styleId="SubtitleChar">
    <w:name w:val="Subtitle Char"/>
    <w:basedOn w:val="DefaultParagraphFont"/>
    <w:link w:val="Subtitle"/>
    <w:locked/>
    <w:rsid w:val="00415EF4"/>
    <w:rPr>
      <w:rFonts w:ascii="Arial" w:hAnsi="Arial"/>
      <w:sz w:val="20"/>
      <w:szCs w:val="24"/>
      <w:lang w:val="en-AU" w:eastAsia="en-AU"/>
    </w:rPr>
  </w:style>
  <w:style w:type="paragraph" w:customStyle="1" w:styleId="Finding">
    <w:name w:val="Finding"/>
    <w:basedOn w:val="BodyText"/>
    <w:rsid w:val="00415EF4"/>
    <w:pPr>
      <w:keepLines/>
      <w:spacing w:before="180"/>
    </w:pPr>
    <w:rPr>
      <w:i/>
    </w:rPr>
  </w:style>
  <w:style w:type="paragraph" w:customStyle="1" w:styleId="FindingBullet">
    <w:name w:val="Finding Bullet"/>
    <w:basedOn w:val="Finding"/>
    <w:rsid w:val="00415EF4"/>
    <w:pPr>
      <w:numPr>
        <w:numId w:val="9"/>
      </w:numPr>
      <w:spacing w:before="80"/>
    </w:pPr>
  </w:style>
  <w:style w:type="paragraph" w:customStyle="1" w:styleId="FindingNoTitle">
    <w:name w:val="Finding NoTitle"/>
    <w:basedOn w:val="Finding"/>
    <w:rsid w:val="00415EF4"/>
    <w:pPr>
      <w:spacing w:before="240"/>
    </w:pPr>
  </w:style>
  <w:style w:type="paragraph" w:customStyle="1" w:styleId="RecTitle">
    <w:name w:val="Rec Title"/>
    <w:basedOn w:val="BodyText"/>
    <w:next w:val="Normal"/>
    <w:rsid w:val="00415EF4"/>
    <w:pPr>
      <w:keepNext/>
      <w:keepLines/>
    </w:pPr>
    <w:rPr>
      <w:caps/>
      <w:sz w:val="20"/>
    </w:rPr>
  </w:style>
  <w:style w:type="paragraph" w:customStyle="1" w:styleId="FindingTitle">
    <w:name w:val="Finding Title"/>
    <w:basedOn w:val="RecTitle"/>
    <w:next w:val="Finding"/>
    <w:rsid w:val="00415EF4"/>
    <w:pPr>
      <w:framePr w:wrap="notBeside" w:hAnchor="text"/>
    </w:pPr>
  </w:style>
  <w:style w:type="character" w:styleId="FootnoteReference">
    <w:name w:val="footnote reference"/>
    <w:basedOn w:val="DefaultParagraphFont"/>
    <w:semiHidden/>
    <w:rsid w:val="00415EF4"/>
    <w:rPr>
      <w:rFonts w:ascii="Times New Roman" w:hAnsi="Times New Roman"/>
      <w:position w:val="6"/>
      <w:sz w:val="22"/>
      <w:vertAlign w:val="baseline"/>
    </w:rPr>
  </w:style>
  <w:style w:type="paragraph" w:styleId="FootnoteText">
    <w:name w:val="footnote text"/>
    <w:basedOn w:val="BodyText"/>
    <w:link w:val="FootnoteTextChar"/>
    <w:rsid w:val="00415EF4"/>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7422BC"/>
    <w:rPr>
      <w:szCs w:val="20"/>
      <w:lang w:val="en-AU" w:eastAsia="en-AU"/>
    </w:rPr>
  </w:style>
  <w:style w:type="paragraph" w:customStyle="1" w:styleId="InformationRequest">
    <w:name w:val="Information Request"/>
    <w:basedOn w:val="Finding"/>
    <w:next w:val="BodyText"/>
    <w:rsid w:val="00415EF4"/>
    <w:pPr>
      <w:spacing w:before="360" w:after="120"/>
    </w:pPr>
    <w:rPr>
      <w:rFonts w:ascii="Arial" w:hAnsi="Arial"/>
      <w:sz w:val="24"/>
    </w:rPr>
  </w:style>
  <w:style w:type="paragraph" w:customStyle="1" w:styleId="Jurisdictioncommentsbodytext">
    <w:name w:val="Jurisdiction comments body text"/>
    <w:rsid w:val="00415EF4"/>
    <w:pPr>
      <w:spacing w:after="140"/>
      <w:jc w:val="both"/>
    </w:pPr>
    <w:rPr>
      <w:rFonts w:ascii="Arial" w:hAnsi="Arial"/>
      <w:sz w:val="24"/>
      <w:szCs w:val="20"/>
      <w:lang w:val="en-AU"/>
    </w:rPr>
  </w:style>
  <w:style w:type="paragraph" w:customStyle="1" w:styleId="Jurisdictioncommentsheading">
    <w:name w:val="Jurisdiction comments heading"/>
    <w:rsid w:val="00415EF4"/>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rsid w:val="00415EF4"/>
    <w:pPr>
      <w:numPr>
        <w:numId w:val="10"/>
      </w:numPr>
      <w:spacing w:after="140"/>
      <w:jc w:val="both"/>
    </w:pPr>
    <w:rPr>
      <w:rFonts w:ascii="Arial" w:hAnsi="Arial"/>
      <w:sz w:val="24"/>
      <w:szCs w:val="20"/>
      <w:lang w:val="en-AU"/>
    </w:rPr>
  </w:style>
  <w:style w:type="paragraph" w:styleId="ListBullet">
    <w:name w:val="List Bullet"/>
    <w:basedOn w:val="BodyText"/>
    <w:link w:val="ListBulletChar"/>
    <w:rsid w:val="00415EF4"/>
    <w:pPr>
      <w:numPr>
        <w:numId w:val="11"/>
      </w:numPr>
      <w:spacing w:before="120"/>
    </w:pPr>
  </w:style>
  <w:style w:type="paragraph" w:styleId="ListBullet2">
    <w:name w:val="List Bullet 2"/>
    <w:basedOn w:val="BodyText"/>
    <w:rsid w:val="00415EF4"/>
    <w:pPr>
      <w:numPr>
        <w:numId w:val="12"/>
      </w:numPr>
      <w:spacing w:before="120"/>
    </w:pPr>
  </w:style>
  <w:style w:type="paragraph" w:styleId="ListBullet3">
    <w:name w:val="List Bullet 3"/>
    <w:basedOn w:val="BodyText"/>
    <w:rsid w:val="00415EF4"/>
    <w:pPr>
      <w:numPr>
        <w:numId w:val="13"/>
      </w:numPr>
      <w:spacing w:before="120"/>
    </w:pPr>
  </w:style>
  <w:style w:type="paragraph" w:styleId="ListNumber">
    <w:name w:val="List Number"/>
    <w:basedOn w:val="BodyText"/>
    <w:rsid w:val="00415EF4"/>
    <w:pPr>
      <w:numPr>
        <w:numId w:val="18"/>
      </w:numPr>
      <w:spacing w:before="120"/>
    </w:pPr>
  </w:style>
  <w:style w:type="paragraph" w:styleId="ListNumber2">
    <w:name w:val="List Number 2"/>
    <w:basedOn w:val="ListNumber"/>
    <w:rsid w:val="00415EF4"/>
    <w:pPr>
      <w:numPr>
        <w:ilvl w:val="1"/>
      </w:numPr>
    </w:pPr>
  </w:style>
  <w:style w:type="paragraph" w:styleId="ListNumber3">
    <w:name w:val="List Number 3"/>
    <w:basedOn w:val="ListNumber2"/>
    <w:rsid w:val="00415EF4"/>
    <w:pPr>
      <w:numPr>
        <w:ilvl w:val="2"/>
      </w:numPr>
    </w:pPr>
  </w:style>
  <w:style w:type="character" w:customStyle="1" w:styleId="NoteLabel">
    <w:name w:val="Note Label"/>
    <w:basedOn w:val="DefaultParagraphFont"/>
    <w:rsid w:val="00415EF4"/>
    <w:rPr>
      <w:rFonts w:ascii="Arial" w:hAnsi="Arial"/>
      <w:b/>
      <w:position w:val="6"/>
      <w:sz w:val="18"/>
    </w:rPr>
  </w:style>
  <w:style w:type="paragraph" w:customStyle="1" w:styleId="PartDivider">
    <w:name w:val="Part Divider"/>
    <w:basedOn w:val="BodyText"/>
    <w:next w:val="BodyText"/>
    <w:semiHidden/>
    <w:rsid w:val="00415EF4"/>
    <w:pPr>
      <w:spacing w:before="0" w:line="40" w:lineRule="exact"/>
      <w:jc w:val="right"/>
    </w:pPr>
    <w:rPr>
      <w:smallCaps/>
      <w:sz w:val="16"/>
    </w:rPr>
  </w:style>
  <w:style w:type="paragraph" w:customStyle="1" w:styleId="PartNumber">
    <w:name w:val="Part Number"/>
    <w:basedOn w:val="BodyText"/>
    <w:next w:val="BodyText"/>
    <w:semiHidden/>
    <w:rsid w:val="00415EF4"/>
    <w:pPr>
      <w:spacing w:before="4000" w:line="320" w:lineRule="exact"/>
      <w:ind w:left="6634"/>
      <w:jc w:val="right"/>
    </w:pPr>
    <w:rPr>
      <w:smallCaps/>
      <w:spacing w:val="60"/>
      <w:sz w:val="32"/>
    </w:rPr>
  </w:style>
  <w:style w:type="paragraph" w:customStyle="1" w:styleId="PartTitle">
    <w:name w:val="Part Title"/>
    <w:basedOn w:val="BodyText"/>
    <w:semiHidden/>
    <w:rsid w:val="00415EF4"/>
    <w:pPr>
      <w:spacing w:before="160" w:after="1360" w:line="520" w:lineRule="exact"/>
      <w:ind w:right="2381"/>
      <w:jc w:val="right"/>
    </w:pPr>
    <w:rPr>
      <w:smallCaps/>
      <w:sz w:val="52"/>
    </w:rPr>
  </w:style>
  <w:style w:type="paragraph" w:styleId="Quote">
    <w:name w:val="Quote"/>
    <w:basedOn w:val="BodyText"/>
    <w:next w:val="BodyText"/>
    <w:link w:val="QuoteChar"/>
    <w:qFormat/>
    <w:rsid w:val="00415EF4"/>
    <w:pPr>
      <w:spacing w:before="120" w:line="280" w:lineRule="exact"/>
      <w:ind w:left="340"/>
    </w:pPr>
    <w:rPr>
      <w:sz w:val="24"/>
    </w:rPr>
  </w:style>
  <w:style w:type="character" w:customStyle="1" w:styleId="QuoteChar">
    <w:name w:val="Quote Char"/>
    <w:basedOn w:val="DefaultParagraphFont"/>
    <w:link w:val="Quote"/>
    <w:rsid w:val="007422BC"/>
    <w:rPr>
      <w:sz w:val="24"/>
      <w:szCs w:val="20"/>
      <w:lang w:val="en-AU" w:eastAsia="en-AU"/>
    </w:rPr>
  </w:style>
  <w:style w:type="paragraph" w:customStyle="1" w:styleId="QuoteBullet">
    <w:name w:val="Quote Bullet"/>
    <w:basedOn w:val="Quote"/>
    <w:rsid w:val="00415EF4"/>
    <w:pPr>
      <w:numPr>
        <w:numId w:val="14"/>
      </w:numPr>
    </w:pPr>
  </w:style>
  <w:style w:type="paragraph" w:customStyle="1" w:styleId="Rec">
    <w:name w:val="Rec"/>
    <w:basedOn w:val="BodyText"/>
    <w:rsid w:val="00415EF4"/>
    <w:pPr>
      <w:keepLines/>
      <w:spacing w:before="180"/>
    </w:pPr>
    <w:rPr>
      <w:b/>
      <w:i/>
    </w:rPr>
  </w:style>
  <w:style w:type="paragraph" w:customStyle="1" w:styleId="RecBullet">
    <w:name w:val="Rec Bullet"/>
    <w:basedOn w:val="Rec"/>
    <w:rsid w:val="00415EF4"/>
    <w:pPr>
      <w:numPr>
        <w:numId w:val="15"/>
      </w:numPr>
      <w:spacing w:before="80"/>
    </w:pPr>
  </w:style>
  <w:style w:type="paragraph" w:customStyle="1" w:styleId="RecB">
    <w:name w:val="RecB"/>
    <w:basedOn w:val="Normal"/>
    <w:rsid w:val="00415EF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15EF4"/>
    <w:pPr>
      <w:numPr>
        <w:numId w:val="23"/>
      </w:numPr>
      <w:spacing w:before="80"/>
    </w:pPr>
  </w:style>
  <w:style w:type="paragraph" w:customStyle="1" w:styleId="RecBNoTitle">
    <w:name w:val="RecB NoTitle"/>
    <w:basedOn w:val="RecB"/>
    <w:rsid w:val="00415EF4"/>
    <w:pPr>
      <w:spacing w:before="240"/>
    </w:pPr>
  </w:style>
  <w:style w:type="paragraph" w:customStyle="1" w:styleId="Reference">
    <w:name w:val="Reference"/>
    <w:basedOn w:val="BodyText"/>
    <w:rsid w:val="00415EF4"/>
    <w:pPr>
      <w:spacing w:before="120"/>
      <w:ind w:left="340" w:hanging="340"/>
    </w:pPr>
  </w:style>
  <w:style w:type="paragraph" w:customStyle="1" w:styleId="SequenceInfo">
    <w:name w:val="Sequence Info"/>
    <w:basedOn w:val="BodyText"/>
    <w:semiHidden/>
    <w:rsid w:val="00415EF4"/>
    <w:rPr>
      <w:vanish/>
      <w:sz w:val="16"/>
    </w:rPr>
  </w:style>
  <w:style w:type="paragraph" w:customStyle="1" w:styleId="SideNote">
    <w:name w:val="Side Note"/>
    <w:basedOn w:val="BodyText"/>
    <w:next w:val="BodyText"/>
    <w:semiHidden/>
    <w:rsid w:val="00415EF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15EF4"/>
    <w:pPr>
      <w:framePr w:wrap="around"/>
      <w:numPr>
        <w:numId w:val="16"/>
      </w:numPr>
      <w:tabs>
        <w:tab w:val="left" w:pos="227"/>
      </w:tabs>
    </w:pPr>
  </w:style>
  <w:style w:type="paragraph" w:customStyle="1" w:styleId="SideNoteGraphic">
    <w:name w:val="Side Note Graphic"/>
    <w:basedOn w:val="SideNote"/>
    <w:next w:val="BodyText"/>
    <w:semiHidden/>
    <w:rsid w:val="00415EF4"/>
    <w:pPr>
      <w:framePr w:wrap="around"/>
    </w:pPr>
  </w:style>
  <w:style w:type="paragraph" w:customStyle="1" w:styleId="TableBodyText">
    <w:name w:val="Table Body Text"/>
    <w:basedOn w:val="BodyText"/>
    <w:rsid w:val="00415EF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15EF4"/>
    <w:pPr>
      <w:numPr>
        <w:numId w:val="17"/>
      </w:numPr>
      <w:jc w:val="left"/>
    </w:pPr>
  </w:style>
  <w:style w:type="paragraph" w:customStyle="1" w:styleId="TableColumnHeading">
    <w:name w:val="Table Column Heading"/>
    <w:basedOn w:val="TableBodyText"/>
    <w:rsid w:val="00415EF4"/>
    <w:pPr>
      <w:spacing w:before="80" w:after="80"/>
    </w:pPr>
    <w:rPr>
      <w:i/>
    </w:rPr>
  </w:style>
  <w:style w:type="paragraph" w:styleId="TOC2">
    <w:name w:val="toc 2"/>
    <w:basedOn w:val="BodyText"/>
    <w:semiHidden/>
    <w:rsid w:val="00415EF4"/>
    <w:pPr>
      <w:tabs>
        <w:tab w:val="right" w:pos="8789"/>
      </w:tabs>
      <w:ind w:left="510" w:right="851" w:hanging="510"/>
      <w:jc w:val="left"/>
    </w:pPr>
    <w:rPr>
      <w:b/>
    </w:rPr>
  </w:style>
  <w:style w:type="paragraph" w:styleId="TOC3">
    <w:name w:val="toc 3"/>
    <w:basedOn w:val="TOC2"/>
    <w:semiHidden/>
    <w:rsid w:val="00415EF4"/>
    <w:pPr>
      <w:spacing w:before="60"/>
      <w:ind w:left="1190" w:hanging="680"/>
    </w:pPr>
    <w:rPr>
      <w:b w:val="0"/>
    </w:rPr>
  </w:style>
  <w:style w:type="paragraph" w:styleId="TableofFigures">
    <w:name w:val="table of figures"/>
    <w:basedOn w:val="TOC3"/>
    <w:next w:val="BodyText"/>
    <w:semiHidden/>
    <w:rsid w:val="00415EF4"/>
    <w:pPr>
      <w:ind w:left="737" w:hanging="737"/>
    </w:pPr>
  </w:style>
  <w:style w:type="paragraph" w:customStyle="1" w:styleId="TableTitle">
    <w:name w:val="Table Title"/>
    <w:basedOn w:val="Caption"/>
    <w:next w:val="Subtitle"/>
    <w:rsid w:val="00415EF4"/>
    <w:rPr>
      <w:sz w:val="24"/>
    </w:rPr>
  </w:style>
  <w:style w:type="paragraph" w:customStyle="1" w:styleId="TableUnitsRow">
    <w:name w:val="Table Units Row"/>
    <w:basedOn w:val="TableBodyText"/>
    <w:rsid w:val="00415EF4"/>
    <w:pPr>
      <w:spacing w:before="80" w:after="80"/>
    </w:pPr>
  </w:style>
  <w:style w:type="paragraph" w:styleId="TOC1">
    <w:name w:val="toc 1"/>
    <w:basedOn w:val="Normal"/>
    <w:next w:val="TOC2"/>
    <w:semiHidden/>
    <w:rsid w:val="00415EF4"/>
    <w:pPr>
      <w:tabs>
        <w:tab w:val="right" w:pos="8789"/>
      </w:tabs>
      <w:spacing w:before="480" w:after="60" w:line="320" w:lineRule="exact"/>
      <w:ind w:left="1191" w:right="851" w:hanging="1191"/>
    </w:pPr>
    <w:rPr>
      <w:b/>
      <w:caps/>
    </w:rPr>
  </w:style>
  <w:style w:type="paragraph" w:styleId="TOC4">
    <w:name w:val="toc 4"/>
    <w:basedOn w:val="TOC3"/>
    <w:semiHidden/>
    <w:rsid w:val="00415EF4"/>
    <w:pPr>
      <w:ind w:left="1191" w:firstLine="0"/>
    </w:pPr>
  </w:style>
  <w:style w:type="paragraph" w:customStyle="1" w:styleId="RecBBullet2">
    <w:name w:val="RecB Bullet 2"/>
    <w:basedOn w:val="ListBullet2"/>
    <w:rsid w:val="00415EF4"/>
    <w:pPr>
      <w:pBdr>
        <w:left w:val="single" w:sz="24" w:space="29" w:color="C0C0C0"/>
      </w:pBdr>
    </w:pPr>
    <w:rPr>
      <w:b/>
      <w:i/>
    </w:rPr>
  </w:style>
  <w:style w:type="paragraph" w:styleId="BalloonText">
    <w:name w:val="Balloon Text"/>
    <w:basedOn w:val="Normal"/>
    <w:link w:val="BalloonTextChar"/>
    <w:rsid w:val="00415EF4"/>
    <w:rPr>
      <w:rFonts w:ascii="Tahoma" w:hAnsi="Tahoma" w:cs="Tahoma"/>
      <w:sz w:val="16"/>
      <w:szCs w:val="16"/>
    </w:rPr>
  </w:style>
  <w:style w:type="character" w:customStyle="1" w:styleId="BalloonTextChar">
    <w:name w:val="Balloon Text Char"/>
    <w:basedOn w:val="DefaultParagraphFont"/>
    <w:link w:val="BalloonText"/>
    <w:locked/>
    <w:rsid w:val="00415EF4"/>
    <w:rPr>
      <w:rFonts w:ascii="Tahoma" w:hAnsi="Tahoma" w:cs="Tahoma"/>
      <w:sz w:val="16"/>
      <w:szCs w:val="16"/>
      <w:lang w:val="en-AU" w:eastAsia="en-AU"/>
    </w:rPr>
  </w:style>
  <w:style w:type="paragraph" w:customStyle="1" w:styleId="BoxListBullet3">
    <w:name w:val="Box List Bullet 3"/>
    <w:basedOn w:val="ListBullet3"/>
    <w:rsid w:val="00415EF4"/>
    <w:pPr>
      <w:numPr>
        <w:numId w:val="5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15EF4"/>
    <w:rPr>
      <w:i/>
      <w:iCs/>
    </w:rPr>
  </w:style>
  <w:style w:type="character" w:styleId="Hyperlink">
    <w:name w:val="Hyperlink"/>
    <w:basedOn w:val="DefaultParagraphFont"/>
    <w:uiPriority w:val="99"/>
    <w:rsid w:val="00D14BA1"/>
    <w:rPr>
      <w:rFonts w:cs="Times New Roman"/>
      <w:color w:val="0000FF"/>
      <w:u w:val="single"/>
    </w:rPr>
  </w:style>
  <w:style w:type="paragraph" w:customStyle="1" w:styleId="Default">
    <w:name w:val="Default"/>
    <w:uiPriority w:val="99"/>
    <w:rsid w:val="004A700E"/>
    <w:pPr>
      <w:autoSpaceDE w:val="0"/>
      <w:autoSpaceDN w:val="0"/>
      <w:adjustRightInd w:val="0"/>
    </w:pPr>
    <w:rPr>
      <w:rFonts w:ascii="Garamond" w:hAnsi="Garamond" w:cs="Garamond"/>
      <w:color w:val="000000"/>
      <w:sz w:val="24"/>
      <w:szCs w:val="24"/>
      <w:lang w:val="en-AU" w:eastAsia="en-AU"/>
    </w:rPr>
  </w:style>
  <w:style w:type="paragraph" w:styleId="DocumentMap">
    <w:name w:val="Document Map"/>
    <w:basedOn w:val="Normal"/>
    <w:link w:val="DocumentMapChar"/>
    <w:uiPriority w:val="99"/>
    <w:rsid w:val="00C54FDD"/>
    <w:rPr>
      <w:rFonts w:ascii="Tahoma" w:hAnsi="Tahoma" w:cs="Tahoma"/>
      <w:sz w:val="16"/>
      <w:szCs w:val="16"/>
    </w:rPr>
  </w:style>
  <w:style w:type="character" w:customStyle="1" w:styleId="DocumentMapChar">
    <w:name w:val="Document Map Char"/>
    <w:basedOn w:val="DefaultParagraphFont"/>
    <w:link w:val="DocumentMap"/>
    <w:uiPriority w:val="99"/>
    <w:locked/>
    <w:rsid w:val="00C54FDD"/>
    <w:rPr>
      <w:rFonts w:ascii="Tahoma" w:hAnsi="Tahoma" w:cs="Tahoma"/>
      <w:sz w:val="16"/>
      <w:szCs w:val="16"/>
    </w:rPr>
  </w:style>
  <w:style w:type="paragraph" w:styleId="CommentSubject">
    <w:name w:val="annotation subject"/>
    <w:basedOn w:val="CommentText"/>
    <w:next w:val="CommentText"/>
    <w:link w:val="CommentSubjectChar"/>
    <w:uiPriority w:val="99"/>
    <w:rsid w:val="00C54FDD"/>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locked/>
    <w:rsid w:val="00C54FDD"/>
    <w:rPr>
      <w:rFonts w:cs="Times New Roman"/>
      <w:sz w:val="24"/>
      <w:szCs w:val="24"/>
      <w:lang w:val="en-AU" w:eastAsia="en-AU"/>
    </w:rPr>
  </w:style>
  <w:style w:type="paragraph" w:customStyle="1" w:styleId="Boy">
    <w:name w:val="Boy"/>
    <w:basedOn w:val="ListBullet"/>
    <w:uiPriority w:val="99"/>
    <w:rsid w:val="00F629C0"/>
    <w:pPr>
      <w:numPr>
        <w:numId w:val="0"/>
      </w:numPr>
      <w:ind w:left="340"/>
    </w:pPr>
  </w:style>
  <w:style w:type="paragraph" w:customStyle="1" w:styleId="BoxQuoteBullet">
    <w:name w:val="Box Quote Bullet"/>
    <w:basedOn w:val="BoxQuote"/>
    <w:next w:val="Box"/>
    <w:rsid w:val="00415EF4"/>
    <w:pPr>
      <w:numPr>
        <w:numId w:val="45"/>
      </w:numPr>
      <w:ind w:left="568" w:hanging="284"/>
    </w:pPr>
  </w:style>
  <w:style w:type="paragraph" w:customStyle="1" w:styleId="InformationRequestBullet">
    <w:name w:val="Information Request Bullet"/>
    <w:basedOn w:val="ListBullet"/>
    <w:next w:val="BodyText"/>
    <w:rsid w:val="00415EF4"/>
    <w:pPr>
      <w:numPr>
        <w:numId w:val="46"/>
      </w:numPr>
      <w:ind w:left="340" w:hanging="340"/>
    </w:pPr>
    <w:rPr>
      <w:rFonts w:ascii="Arial" w:hAnsi="Arial"/>
      <w:i/>
      <w:sz w:val="24"/>
    </w:rPr>
  </w:style>
  <w:style w:type="paragraph" w:customStyle="1" w:styleId="Tableh">
    <w:name w:val="Table h"/>
    <w:basedOn w:val="TableBodyText"/>
    <w:rsid w:val="00847F9A"/>
    <w:pPr>
      <w:jc w:val="left"/>
    </w:p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913A6E"/>
    <w:rPr>
      <w:sz w:val="26"/>
    </w:rPr>
  </w:style>
  <w:style w:type="character" w:customStyle="1" w:styleId="ListBulletChar">
    <w:name w:val="List Bullet Char"/>
    <w:link w:val="ListBullet"/>
    <w:rsid w:val="00913A6E"/>
    <w:rPr>
      <w:sz w:val="26"/>
      <w:szCs w:val="20"/>
      <w:lang w:val="en-AU" w:eastAsia="en-AU"/>
    </w:rPr>
  </w:style>
  <w:style w:type="character" w:customStyle="1" w:styleId="BoxChar">
    <w:name w:val="Box Char"/>
    <w:link w:val="Box"/>
    <w:locked/>
    <w:rsid w:val="008906B8"/>
    <w:rPr>
      <w:rFonts w:ascii="Arial" w:hAnsi="Arial"/>
      <w:szCs w:val="20"/>
      <w:lang w:val="en-AU" w:eastAsia="en-AU"/>
    </w:rPr>
  </w:style>
  <w:style w:type="paragraph" w:styleId="Revision">
    <w:name w:val="Revision"/>
    <w:hidden/>
    <w:uiPriority w:val="99"/>
    <w:semiHidden/>
    <w:rsid w:val="00123896"/>
    <w:rPr>
      <w:sz w:val="26"/>
      <w:szCs w:val="24"/>
      <w:lang w:val="en-AU" w:eastAsia="en-AU"/>
    </w:rPr>
  </w:style>
  <w:style w:type="paragraph" w:customStyle="1" w:styleId="Lsit">
    <w:name w:val="Lsit"/>
    <w:basedOn w:val="BodyText"/>
    <w:rsid w:val="00587749"/>
  </w:style>
  <w:style w:type="paragraph" w:customStyle="1" w:styleId="BoxSpaceAbove">
    <w:name w:val="Box Space Above"/>
    <w:basedOn w:val="BodyText"/>
    <w:rsid w:val="00415EF4"/>
    <w:pPr>
      <w:keepNext/>
      <w:spacing w:before="360" w:line="80" w:lineRule="exact"/>
      <w:jc w:val="left"/>
    </w:pPr>
  </w:style>
  <w:style w:type="paragraph" w:customStyle="1" w:styleId="BoxSpaceBelow">
    <w:name w:val="Box Space Below"/>
    <w:basedOn w:val="Box"/>
    <w:rsid w:val="00415EF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1731">
      <w:bodyDiv w:val="1"/>
      <w:marLeft w:val="0"/>
      <w:marRight w:val="0"/>
      <w:marTop w:val="0"/>
      <w:marBottom w:val="0"/>
      <w:divBdr>
        <w:top w:val="none" w:sz="0" w:space="0" w:color="auto"/>
        <w:left w:val="none" w:sz="0" w:space="0" w:color="auto"/>
        <w:bottom w:val="none" w:sz="0" w:space="0" w:color="auto"/>
        <w:right w:val="none" w:sz="0" w:space="0" w:color="auto"/>
      </w:divBdr>
    </w:div>
    <w:div w:id="154151560">
      <w:bodyDiv w:val="1"/>
      <w:marLeft w:val="0"/>
      <w:marRight w:val="0"/>
      <w:marTop w:val="0"/>
      <w:marBottom w:val="0"/>
      <w:divBdr>
        <w:top w:val="none" w:sz="0" w:space="0" w:color="auto"/>
        <w:left w:val="none" w:sz="0" w:space="0" w:color="auto"/>
        <w:bottom w:val="none" w:sz="0" w:space="0" w:color="auto"/>
        <w:right w:val="none" w:sz="0" w:space="0" w:color="auto"/>
      </w:divBdr>
    </w:div>
    <w:div w:id="523522903">
      <w:bodyDiv w:val="1"/>
      <w:marLeft w:val="0"/>
      <w:marRight w:val="0"/>
      <w:marTop w:val="0"/>
      <w:marBottom w:val="0"/>
      <w:divBdr>
        <w:top w:val="none" w:sz="0" w:space="0" w:color="auto"/>
        <w:left w:val="none" w:sz="0" w:space="0" w:color="auto"/>
        <w:bottom w:val="none" w:sz="0" w:space="0" w:color="auto"/>
        <w:right w:val="none" w:sz="0" w:space="0" w:color="auto"/>
      </w:divBdr>
      <w:divsChild>
        <w:div w:id="350230657">
          <w:marLeft w:val="547"/>
          <w:marRight w:val="0"/>
          <w:marTop w:val="0"/>
          <w:marBottom w:val="0"/>
          <w:divBdr>
            <w:top w:val="none" w:sz="0" w:space="0" w:color="auto"/>
            <w:left w:val="none" w:sz="0" w:space="0" w:color="auto"/>
            <w:bottom w:val="none" w:sz="0" w:space="0" w:color="auto"/>
            <w:right w:val="none" w:sz="0" w:space="0" w:color="auto"/>
          </w:divBdr>
        </w:div>
      </w:divsChild>
    </w:div>
    <w:div w:id="613025644">
      <w:bodyDiv w:val="1"/>
      <w:marLeft w:val="0"/>
      <w:marRight w:val="0"/>
      <w:marTop w:val="0"/>
      <w:marBottom w:val="0"/>
      <w:divBdr>
        <w:top w:val="none" w:sz="0" w:space="0" w:color="auto"/>
        <w:left w:val="none" w:sz="0" w:space="0" w:color="auto"/>
        <w:bottom w:val="none" w:sz="0" w:space="0" w:color="auto"/>
        <w:right w:val="none" w:sz="0" w:space="0" w:color="auto"/>
      </w:divBdr>
    </w:div>
    <w:div w:id="672342196">
      <w:bodyDiv w:val="1"/>
      <w:marLeft w:val="0"/>
      <w:marRight w:val="0"/>
      <w:marTop w:val="0"/>
      <w:marBottom w:val="0"/>
      <w:divBdr>
        <w:top w:val="none" w:sz="0" w:space="0" w:color="auto"/>
        <w:left w:val="none" w:sz="0" w:space="0" w:color="auto"/>
        <w:bottom w:val="none" w:sz="0" w:space="0" w:color="auto"/>
        <w:right w:val="none" w:sz="0" w:space="0" w:color="auto"/>
      </w:divBdr>
    </w:div>
    <w:div w:id="976378916">
      <w:bodyDiv w:val="1"/>
      <w:marLeft w:val="0"/>
      <w:marRight w:val="0"/>
      <w:marTop w:val="0"/>
      <w:marBottom w:val="0"/>
      <w:divBdr>
        <w:top w:val="none" w:sz="0" w:space="0" w:color="auto"/>
        <w:left w:val="none" w:sz="0" w:space="0" w:color="auto"/>
        <w:bottom w:val="none" w:sz="0" w:space="0" w:color="auto"/>
        <w:right w:val="none" w:sz="0" w:space="0" w:color="auto"/>
      </w:divBdr>
    </w:div>
    <w:div w:id="1067999127">
      <w:bodyDiv w:val="1"/>
      <w:marLeft w:val="0"/>
      <w:marRight w:val="0"/>
      <w:marTop w:val="0"/>
      <w:marBottom w:val="0"/>
      <w:divBdr>
        <w:top w:val="none" w:sz="0" w:space="0" w:color="auto"/>
        <w:left w:val="none" w:sz="0" w:space="0" w:color="auto"/>
        <w:bottom w:val="none" w:sz="0" w:space="0" w:color="auto"/>
        <w:right w:val="none" w:sz="0" w:space="0" w:color="auto"/>
      </w:divBdr>
    </w:div>
    <w:div w:id="1130779706">
      <w:bodyDiv w:val="1"/>
      <w:marLeft w:val="0"/>
      <w:marRight w:val="0"/>
      <w:marTop w:val="0"/>
      <w:marBottom w:val="0"/>
      <w:divBdr>
        <w:top w:val="none" w:sz="0" w:space="0" w:color="auto"/>
        <w:left w:val="none" w:sz="0" w:space="0" w:color="auto"/>
        <w:bottom w:val="none" w:sz="0" w:space="0" w:color="auto"/>
        <w:right w:val="none" w:sz="0" w:space="0" w:color="auto"/>
      </w:divBdr>
    </w:div>
    <w:div w:id="1133409167">
      <w:marLeft w:val="0"/>
      <w:marRight w:val="0"/>
      <w:marTop w:val="0"/>
      <w:marBottom w:val="0"/>
      <w:divBdr>
        <w:top w:val="none" w:sz="0" w:space="0" w:color="auto"/>
        <w:left w:val="none" w:sz="0" w:space="0" w:color="auto"/>
        <w:bottom w:val="none" w:sz="0" w:space="0" w:color="auto"/>
        <w:right w:val="none" w:sz="0" w:space="0" w:color="auto"/>
      </w:divBdr>
    </w:div>
    <w:div w:id="1133409168">
      <w:marLeft w:val="0"/>
      <w:marRight w:val="0"/>
      <w:marTop w:val="0"/>
      <w:marBottom w:val="0"/>
      <w:divBdr>
        <w:top w:val="none" w:sz="0" w:space="0" w:color="auto"/>
        <w:left w:val="none" w:sz="0" w:space="0" w:color="auto"/>
        <w:bottom w:val="none" w:sz="0" w:space="0" w:color="auto"/>
        <w:right w:val="none" w:sz="0" w:space="0" w:color="auto"/>
      </w:divBdr>
    </w:div>
    <w:div w:id="1133409169">
      <w:marLeft w:val="0"/>
      <w:marRight w:val="0"/>
      <w:marTop w:val="0"/>
      <w:marBottom w:val="0"/>
      <w:divBdr>
        <w:top w:val="none" w:sz="0" w:space="0" w:color="auto"/>
        <w:left w:val="none" w:sz="0" w:space="0" w:color="auto"/>
        <w:bottom w:val="none" w:sz="0" w:space="0" w:color="auto"/>
        <w:right w:val="none" w:sz="0" w:space="0" w:color="auto"/>
      </w:divBdr>
      <w:divsChild>
        <w:div w:id="1133409173">
          <w:marLeft w:val="0"/>
          <w:marRight w:val="0"/>
          <w:marTop w:val="0"/>
          <w:marBottom w:val="0"/>
          <w:divBdr>
            <w:top w:val="none" w:sz="0" w:space="0" w:color="auto"/>
            <w:left w:val="none" w:sz="0" w:space="0" w:color="auto"/>
            <w:bottom w:val="none" w:sz="0" w:space="0" w:color="auto"/>
            <w:right w:val="none" w:sz="0" w:space="0" w:color="auto"/>
          </w:divBdr>
          <w:divsChild>
            <w:div w:id="1133409171">
              <w:marLeft w:val="0"/>
              <w:marRight w:val="0"/>
              <w:marTop w:val="0"/>
              <w:marBottom w:val="0"/>
              <w:divBdr>
                <w:top w:val="none" w:sz="0" w:space="0" w:color="auto"/>
                <w:left w:val="none" w:sz="0" w:space="0" w:color="auto"/>
                <w:bottom w:val="none" w:sz="0" w:space="0" w:color="auto"/>
                <w:right w:val="none" w:sz="0" w:space="0" w:color="auto"/>
              </w:divBdr>
              <w:divsChild>
                <w:div w:id="1133409165">
                  <w:marLeft w:val="3600"/>
                  <w:marRight w:val="240"/>
                  <w:marTop w:val="0"/>
                  <w:marBottom w:val="0"/>
                  <w:divBdr>
                    <w:top w:val="none" w:sz="0" w:space="0" w:color="auto"/>
                    <w:left w:val="none" w:sz="0" w:space="0" w:color="auto"/>
                    <w:bottom w:val="none" w:sz="0" w:space="0" w:color="auto"/>
                    <w:right w:val="none" w:sz="0" w:space="0" w:color="auto"/>
                  </w:divBdr>
                  <w:divsChild>
                    <w:div w:id="11334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409170">
      <w:marLeft w:val="0"/>
      <w:marRight w:val="0"/>
      <w:marTop w:val="0"/>
      <w:marBottom w:val="0"/>
      <w:divBdr>
        <w:top w:val="none" w:sz="0" w:space="0" w:color="auto"/>
        <w:left w:val="none" w:sz="0" w:space="0" w:color="auto"/>
        <w:bottom w:val="none" w:sz="0" w:space="0" w:color="auto"/>
        <w:right w:val="none" w:sz="0" w:space="0" w:color="auto"/>
      </w:divBdr>
      <w:divsChild>
        <w:div w:id="1133409166">
          <w:marLeft w:val="0"/>
          <w:marRight w:val="0"/>
          <w:marTop w:val="0"/>
          <w:marBottom w:val="0"/>
          <w:divBdr>
            <w:top w:val="none" w:sz="0" w:space="0" w:color="auto"/>
            <w:left w:val="none" w:sz="0" w:space="0" w:color="auto"/>
            <w:bottom w:val="none" w:sz="0" w:space="0" w:color="auto"/>
            <w:right w:val="none" w:sz="0" w:space="0" w:color="auto"/>
          </w:divBdr>
          <w:divsChild>
            <w:div w:id="11334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9172">
      <w:marLeft w:val="0"/>
      <w:marRight w:val="0"/>
      <w:marTop w:val="0"/>
      <w:marBottom w:val="0"/>
      <w:divBdr>
        <w:top w:val="none" w:sz="0" w:space="0" w:color="auto"/>
        <w:left w:val="none" w:sz="0" w:space="0" w:color="auto"/>
        <w:bottom w:val="none" w:sz="0" w:space="0" w:color="auto"/>
        <w:right w:val="none" w:sz="0" w:space="0" w:color="auto"/>
      </w:divBdr>
    </w:div>
    <w:div w:id="1133409174">
      <w:marLeft w:val="0"/>
      <w:marRight w:val="0"/>
      <w:marTop w:val="0"/>
      <w:marBottom w:val="0"/>
      <w:divBdr>
        <w:top w:val="none" w:sz="0" w:space="0" w:color="auto"/>
        <w:left w:val="none" w:sz="0" w:space="0" w:color="auto"/>
        <w:bottom w:val="none" w:sz="0" w:space="0" w:color="auto"/>
        <w:right w:val="none" w:sz="0" w:space="0" w:color="auto"/>
      </w:divBdr>
    </w:div>
    <w:div w:id="1133409175">
      <w:marLeft w:val="0"/>
      <w:marRight w:val="0"/>
      <w:marTop w:val="0"/>
      <w:marBottom w:val="0"/>
      <w:divBdr>
        <w:top w:val="none" w:sz="0" w:space="0" w:color="auto"/>
        <w:left w:val="none" w:sz="0" w:space="0" w:color="auto"/>
        <w:bottom w:val="none" w:sz="0" w:space="0" w:color="auto"/>
        <w:right w:val="none" w:sz="0" w:space="0" w:color="auto"/>
      </w:divBdr>
    </w:div>
    <w:div w:id="1213884133">
      <w:bodyDiv w:val="1"/>
      <w:marLeft w:val="0"/>
      <w:marRight w:val="0"/>
      <w:marTop w:val="0"/>
      <w:marBottom w:val="0"/>
      <w:divBdr>
        <w:top w:val="none" w:sz="0" w:space="0" w:color="auto"/>
        <w:left w:val="none" w:sz="0" w:space="0" w:color="auto"/>
        <w:bottom w:val="none" w:sz="0" w:space="0" w:color="auto"/>
        <w:right w:val="none" w:sz="0" w:space="0" w:color="auto"/>
      </w:divBdr>
    </w:div>
    <w:div w:id="1358965325">
      <w:bodyDiv w:val="1"/>
      <w:marLeft w:val="0"/>
      <w:marRight w:val="0"/>
      <w:marTop w:val="0"/>
      <w:marBottom w:val="0"/>
      <w:divBdr>
        <w:top w:val="none" w:sz="0" w:space="0" w:color="auto"/>
        <w:left w:val="none" w:sz="0" w:space="0" w:color="auto"/>
        <w:bottom w:val="none" w:sz="0" w:space="0" w:color="auto"/>
        <w:right w:val="none" w:sz="0" w:space="0" w:color="auto"/>
      </w:divBdr>
    </w:div>
    <w:div w:id="1552155580">
      <w:bodyDiv w:val="1"/>
      <w:marLeft w:val="0"/>
      <w:marRight w:val="0"/>
      <w:marTop w:val="0"/>
      <w:marBottom w:val="0"/>
      <w:divBdr>
        <w:top w:val="none" w:sz="0" w:space="0" w:color="auto"/>
        <w:left w:val="none" w:sz="0" w:space="0" w:color="auto"/>
        <w:bottom w:val="none" w:sz="0" w:space="0" w:color="auto"/>
        <w:right w:val="none" w:sz="0" w:space="0" w:color="auto"/>
      </w:divBdr>
    </w:div>
    <w:div w:id="204664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tx1"/>
            </a:solidFill>
          </c:spPr>
          <c:invertIfNegative val="0"/>
          <c:cat>
            <c:strRef>
              <c:f>'[1]chart data '!$F$19:$F$27</c:f>
              <c:strCache>
                <c:ptCount val="9"/>
                <c:pt idx="0">
                  <c:v>lack of support from minister</c:v>
                </c:pt>
                <c:pt idx="1">
                  <c:v>lack of support from senior management</c:v>
                </c:pt>
                <c:pt idx="2">
                  <c:v>RIA is irrelevant </c:v>
                </c:pt>
                <c:pt idx="3">
                  <c:v>lack of in house skills </c:v>
                </c:pt>
                <c:pt idx="4">
                  <c:v>Minister needs to respond quickly </c:v>
                </c:pt>
                <c:pt idx="5">
                  <c:v>RIA not flexible </c:v>
                </c:pt>
                <c:pt idx="6">
                  <c:v>administratively burdensome </c:v>
                </c:pt>
                <c:pt idx="7">
                  <c:v>policy already decided by minister</c:v>
                </c:pt>
                <c:pt idx="8">
                  <c:v>lack of data </c:v>
                </c:pt>
              </c:strCache>
            </c:strRef>
          </c:cat>
          <c:val>
            <c:numRef>
              <c:f>'[1]chart data '!$G$19:$G$27</c:f>
              <c:numCache>
                <c:formatCode>General</c:formatCode>
                <c:ptCount val="9"/>
                <c:pt idx="0">
                  <c:v>10.714285714285714</c:v>
                </c:pt>
                <c:pt idx="1">
                  <c:v>14.285714285714285</c:v>
                </c:pt>
                <c:pt idx="2">
                  <c:v>25</c:v>
                </c:pt>
                <c:pt idx="3">
                  <c:v>32.142857142857146</c:v>
                </c:pt>
                <c:pt idx="4">
                  <c:v>37.5</c:v>
                </c:pt>
                <c:pt idx="5">
                  <c:v>46.428571428571431</c:v>
                </c:pt>
                <c:pt idx="6">
                  <c:v>58.928571428571431</c:v>
                </c:pt>
                <c:pt idx="7">
                  <c:v>62.5</c:v>
                </c:pt>
                <c:pt idx="8">
                  <c:v>66.071428571428569</c:v>
                </c:pt>
              </c:numCache>
            </c:numRef>
          </c:val>
        </c:ser>
        <c:dLbls>
          <c:showLegendKey val="0"/>
          <c:showVal val="0"/>
          <c:showCatName val="0"/>
          <c:showSerName val="0"/>
          <c:showPercent val="0"/>
          <c:showBubbleSize val="0"/>
        </c:dLbls>
        <c:gapWidth val="150"/>
        <c:axId val="79297920"/>
        <c:axId val="84920192"/>
      </c:barChart>
      <c:catAx>
        <c:axId val="79297920"/>
        <c:scaling>
          <c:orientation val="minMax"/>
        </c:scaling>
        <c:delete val="0"/>
        <c:axPos val="l"/>
        <c:majorTickMark val="out"/>
        <c:minorTickMark val="none"/>
        <c:tickLblPos val="nextTo"/>
        <c:crossAx val="84920192"/>
        <c:crosses val="autoZero"/>
        <c:auto val="1"/>
        <c:lblAlgn val="ctr"/>
        <c:lblOffset val="100"/>
        <c:noMultiLvlLbl val="0"/>
      </c:catAx>
      <c:valAx>
        <c:axId val="84920192"/>
        <c:scaling>
          <c:orientation val="minMax"/>
        </c:scaling>
        <c:delete val="0"/>
        <c:axPos val="b"/>
        <c:majorGridlines/>
        <c:title>
          <c:tx>
            <c:rich>
              <a:bodyPr/>
              <a:lstStyle/>
              <a:p>
                <a:pPr>
                  <a:defRPr b="0"/>
                </a:pPr>
                <a:r>
                  <a:rPr lang="en-US" b="0"/>
                  <a:t>per cent</a:t>
                </a:r>
              </a:p>
            </c:rich>
          </c:tx>
          <c:layout/>
          <c:overlay val="0"/>
        </c:title>
        <c:numFmt formatCode="General" sourceLinked="1"/>
        <c:majorTickMark val="out"/>
        <c:minorTickMark val="none"/>
        <c:tickLblPos val="nextTo"/>
        <c:spPr>
          <a:ln>
            <a:solidFill>
              <a:schemeClr val="tx1"/>
            </a:solidFill>
          </a:ln>
        </c:spPr>
        <c:crossAx val="79297920"/>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6ED1-5ACC-4032-987B-16E6D331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386</TotalTime>
  <Pages>29</Pages>
  <Words>10130</Words>
  <Characters>56896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Improving integration</vt:lpstr>
    </vt:vector>
  </TitlesOfParts>
  <Company>Productivity Commission</Company>
  <LinksUpToDate>false</LinksUpToDate>
  <CharactersWithSpaces>66893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integration</dc:title>
  <dc:subject>RIA benchmarking</dc:subject>
  <dc:creator>Productivity Commission</dc:creator>
  <dc:description>10.</dc:description>
  <cp:lastModifiedBy>Melissa Edwards</cp:lastModifiedBy>
  <cp:revision>45</cp:revision>
  <cp:lastPrinted>2012-11-20T04:00:00Z</cp:lastPrinted>
  <dcterms:created xsi:type="dcterms:W3CDTF">2012-11-18T21:46:00Z</dcterms:created>
  <dcterms:modified xsi:type="dcterms:W3CDTF">2012-11-27T00:00:00Z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-432878582</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