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97448" w:rsidP="00E97448">
      <w:pPr>
        <w:pStyle w:val="Chapter"/>
        <w:ind w:left="907" w:hanging="907"/>
      </w:pPr>
      <w:bookmarkStart w:id="0" w:name="_AppendixNotByChapter"/>
      <w:bookmarkStart w:id="1" w:name="ChapterNumber"/>
      <w:bookmarkEnd w:id="0"/>
      <w:r>
        <w:t>A</w:t>
      </w:r>
      <w:bookmarkEnd w:id="1"/>
      <w:r>
        <w:tab/>
      </w:r>
      <w:bookmarkStart w:id="2" w:name="ChapterTitle"/>
      <w:r>
        <w:t>Study participants</w:t>
      </w:r>
      <w:bookmarkEnd w:id="2"/>
    </w:p>
    <w:p w:rsidR="00F20417" w:rsidRDefault="00233AD6" w:rsidP="00233AD6">
      <w:pPr>
        <w:pStyle w:val="BodyText"/>
      </w:pPr>
      <w:bookmarkStart w:id="3" w:name="begin"/>
      <w:bookmarkEnd w:id="3"/>
      <w:r>
        <w:t xml:space="preserve">This appendix lists the organisations and individuals that have participated in the study. </w:t>
      </w:r>
    </w:p>
    <w:p w:rsidR="00233AD6" w:rsidRDefault="00233AD6" w:rsidP="00233AD6">
      <w:pPr>
        <w:pStyle w:val="BodyText"/>
      </w:pPr>
      <w:r>
        <w:t xml:space="preserve">Following receipt of the terms of reference on 28 February 2012, an initial circular advertising the study was distributed to several hundred government representatives, industry organisations and individuals and the study was advertised in national and metropolitan newspapers. </w:t>
      </w:r>
    </w:p>
    <w:p w:rsidR="00233AD6" w:rsidRDefault="00233AD6" w:rsidP="00233AD6">
      <w:pPr>
        <w:pStyle w:val="BodyText"/>
      </w:pPr>
      <w:r>
        <w:t xml:space="preserve">The Commission released an Issues Paper </w:t>
      </w:r>
      <w:r w:rsidR="00F20417">
        <w:t>on</w:t>
      </w:r>
      <w:r w:rsidR="00BD1840">
        <w:t xml:space="preserve"> 26</w:t>
      </w:r>
      <w:r>
        <w:t xml:space="preserve"> March 2012 to assist interested parties in preparing their submissions</w:t>
      </w:r>
      <w:r w:rsidR="00BD1840">
        <w:t>. A</w:t>
      </w:r>
      <w:r w:rsidR="00F20417">
        <w:t xml:space="preserve"> Draft Report </w:t>
      </w:r>
      <w:r w:rsidR="00BD1840">
        <w:t xml:space="preserve">for the study was released </w:t>
      </w:r>
      <w:r w:rsidR="00F20417">
        <w:t>on 31 August 2012</w:t>
      </w:r>
      <w:r>
        <w:t xml:space="preserve">. </w:t>
      </w:r>
      <w:r w:rsidR="00F20417">
        <w:t>T</w:t>
      </w:r>
      <w:r>
        <w:t>he</w:t>
      </w:r>
      <w:r w:rsidR="00CE5BD4">
        <w:t>re were</w:t>
      </w:r>
      <w:r>
        <w:t xml:space="preserve"> </w:t>
      </w:r>
      <w:r w:rsidR="00573AFD">
        <w:t>2</w:t>
      </w:r>
      <w:r w:rsidR="00CE5BD4">
        <w:t>6</w:t>
      </w:r>
      <w:r w:rsidR="005C605B">
        <w:t xml:space="preserve"> </w:t>
      </w:r>
      <w:r>
        <w:t xml:space="preserve">submissions received by the Commission prior to the release of </w:t>
      </w:r>
      <w:r w:rsidR="00F20417">
        <w:t>the</w:t>
      </w:r>
      <w:r>
        <w:t xml:space="preserve"> draft </w:t>
      </w:r>
      <w:r w:rsidR="00F20417">
        <w:t>report</w:t>
      </w:r>
      <w:r w:rsidR="00BD1840">
        <w:t xml:space="preserve"> and </w:t>
      </w:r>
      <w:r w:rsidR="006700AB">
        <w:t xml:space="preserve">11 </w:t>
      </w:r>
      <w:r w:rsidR="00F20417">
        <w:t xml:space="preserve">received after the draft report. A listing of all submissions is included </w:t>
      </w:r>
      <w:r>
        <w:t>in table </w:t>
      </w:r>
      <w:r w:rsidR="005C605B" w:rsidRPr="005C605B">
        <w:t>A1</w:t>
      </w:r>
      <w:r>
        <w:t>.</w:t>
      </w:r>
    </w:p>
    <w:p w:rsidR="00233AD6" w:rsidRDefault="00233AD6" w:rsidP="00233AD6">
      <w:pPr>
        <w:pStyle w:val="BodyText"/>
      </w:pPr>
      <w:r>
        <w:t>In addition, the Commission met with a number of stakeholders, including business groups, academics and government agencies. A list of those meetings is in table </w:t>
      </w:r>
      <w:proofErr w:type="spellStart"/>
      <w:r w:rsidR="0094450C">
        <w:t>A2</w:t>
      </w:r>
      <w:proofErr w:type="spellEnd"/>
      <w:r w:rsidR="0094450C">
        <w:t>.</w:t>
      </w:r>
    </w:p>
    <w:p w:rsidR="00233AD6" w:rsidRDefault="00233AD6" w:rsidP="00233AD6">
      <w:pPr>
        <w:pStyle w:val="BodyText"/>
      </w:pPr>
      <w:r>
        <w:t xml:space="preserve">Surveys were undertaken </w:t>
      </w:r>
      <w:r w:rsidR="00397574">
        <w:t xml:space="preserve">of government agencies involved in RIA processes in each jurisdiction. The </w:t>
      </w:r>
      <w:r w:rsidR="003D6714">
        <w:t xml:space="preserve">methodology used for the surveys is discussed in appendix D. The names and responses of agency respondents, other than the regulatory oversight bodies, are treated as confidential. The </w:t>
      </w:r>
      <w:r w:rsidR="00397574">
        <w:t xml:space="preserve">regulatory oversight bodies </w:t>
      </w:r>
      <w:r w:rsidR="003D6714">
        <w:t xml:space="preserve">in each jurisdiction, which responded to the survey and assisted the Commission in providing detailed information on the operation of RIA processes for their jurisdiction, are listed in </w:t>
      </w:r>
      <w:r>
        <w:t>table </w:t>
      </w:r>
      <w:proofErr w:type="spellStart"/>
      <w:r>
        <w:t>A3</w:t>
      </w:r>
      <w:proofErr w:type="spellEnd"/>
      <w:r>
        <w:t>.</w:t>
      </w:r>
      <w:r w:rsidR="003D6714">
        <w:t xml:space="preserve"> </w:t>
      </w:r>
    </w:p>
    <w:p w:rsidR="0078136A" w:rsidRDefault="00233AD6" w:rsidP="00A35115">
      <w:pPr>
        <w:pStyle w:val="BodyText"/>
      </w:pPr>
      <w:r>
        <w:t>The Commission thank</w:t>
      </w:r>
      <w:r w:rsidR="00F20417">
        <w:t>s</w:t>
      </w:r>
      <w:r>
        <w:t xml:space="preserve"> all who have contributed to the study. </w:t>
      </w:r>
    </w:p>
    <w:p w:rsidR="00712C5F" w:rsidRDefault="00712C5F">
      <w:pPr>
        <w:rPr>
          <w:b/>
        </w:rPr>
      </w:pPr>
      <w:r>
        <w:rPr>
          <w:b/>
        </w:rPr>
        <w:br w:type="page"/>
      </w:r>
      <w:bookmarkStart w:id="4" w:name="_GoBack"/>
      <w:bookmarkEnd w:id="4"/>
    </w:p>
    <w:p w:rsidR="00854016" w:rsidRPr="000226D2" w:rsidRDefault="009A13F0" w:rsidP="000226D2">
      <w:pPr>
        <w:pStyle w:val="TableTitle"/>
        <w:ind w:left="851" w:hanging="851"/>
      </w:pPr>
      <w:r w:rsidRPr="009A13F0">
        <w:rPr>
          <w:b w:val="0"/>
        </w:rPr>
        <w:lastRenderedPageBreak/>
        <w:t xml:space="preserve">Table </w:t>
      </w:r>
      <w:proofErr w:type="spellStart"/>
      <w:r w:rsidRPr="009A13F0">
        <w:rPr>
          <w:b w:val="0"/>
        </w:rPr>
        <w:t>A.1</w:t>
      </w:r>
      <w:proofErr w:type="spellEnd"/>
      <w:r w:rsidR="00854016" w:rsidRPr="000226D2">
        <w:tab/>
      </w:r>
      <w:r w:rsidR="00465F3B" w:rsidRPr="000226D2">
        <w:t>S</w:t>
      </w:r>
      <w:r w:rsidR="00854016" w:rsidRPr="000226D2">
        <w:t>ubmissions received</w:t>
      </w:r>
    </w:p>
    <w:tbl>
      <w:tblPr>
        <w:tblW w:w="5000" w:type="pct"/>
        <w:tblCellMar>
          <w:left w:w="0" w:type="dxa"/>
          <w:right w:w="0" w:type="dxa"/>
        </w:tblCellMar>
        <w:tblLook w:val="0000" w:firstRow="0" w:lastRow="0" w:firstColumn="0" w:lastColumn="0" w:noHBand="0" w:noVBand="0"/>
      </w:tblPr>
      <w:tblGrid>
        <w:gridCol w:w="6804"/>
        <w:gridCol w:w="1985"/>
      </w:tblGrid>
      <w:tr w:rsidR="00F86216" w:rsidTr="00F86216">
        <w:tc>
          <w:tcPr>
            <w:tcW w:w="3871" w:type="pct"/>
            <w:tcBorders>
              <w:top w:val="single" w:sz="6" w:space="0" w:color="auto"/>
              <w:bottom w:val="single" w:sz="6" w:space="0" w:color="auto"/>
            </w:tcBorders>
            <w:shd w:val="clear" w:color="auto" w:fill="auto"/>
          </w:tcPr>
          <w:p w:rsidR="00F86216" w:rsidRDefault="00F86216" w:rsidP="00F86216">
            <w:pPr>
              <w:pStyle w:val="TableColumnHeading"/>
              <w:jc w:val="left"/>
            </w:pPr>
            <w:r>
              <w:t>Participant</w:t>
            </w:r>
          </w:p>
        </w:tc>
        <w:tc>
          <w:tcPr>
            <w:tcW w:w="1129" w:type="pct"/>
            <w:tcBorders>
              <w:top w:val="single" w:sz="6" w:space="0" w:color="auto"/>
              <w:bottom w:val="single" w:sz="6" w:space="0" w:color="auto"/>
            </w:tcBorders>
            <w:shd w:val="clear" w:color="auto" w:fill="auto"/>
          </w:tcPr>
          <w:p w:rsidR="00F86216" w:rsidRDefault="00F86216" w:rsidP="00F86216">
            <w:pPr>
              <w:pStyle w:val="TableColumnHeading"/>
              <w:ind w:right="28"/>
            </w:pPr>
            <w:r>
              <w:t>Submission No</w:t>
            </w:r>
          </w:p>
        </w:tc>
      </w:tr>
    </w:tbl>
    <w:p w:rsidR="005C605B" w:rsidRDefault="005C605B" w:rsidP="00854016">
      <w:pPr>
        <w:pStyle w:val="TableBodyText"/>
        <w:tabs>
          <w:tab w:val="right" w:pos="8789"/>
        </w:tabs>
        <w:spacing w:before="120"/>
        <w:ind w:left="0" w:right="28"/>
        <w:jc w:val="left"/>
      </w:pPr>
      <w:r>
        <w:t>Accord Australasia</w:t>
      </w:r>
      <w:r>
        <w:tab/>
        <w:t>26</w:t>
      </w:r>
    </w:p>
    <w:p w:rsidR="00544DF1" w:rsidRDefault="00544DF1" w:rsidP="00854016">
      <w:pPr>
        <w:pStyle w:val="TableBodyText"/>
        <w:tabs>
          <w:tab w:val="right" w:pos="8789"/>
        </w:tabs>
        <w:spacing w:before="120"/>
        <w:ind w:left="0" w:right="28"/>
        <w:jc w:val="left"/>
      </w:pPr>
      <w:r>
        <w:t>Australia</w:t>
      </w:r>
      <w:r w:rsidR="00437524">
        <w:t>n Accounting Standards Board</w:t>
      </w:r>
      <w:r w:rsidR="00437524">
        <w:tab/>
        <w:t>15</w:t>
      </w:r>
    </w:p>
    <w:p w:rsidR="00544DF1" w:rsidRDefault="00544DF1" w:rsidP="00854016">
      <w:pPr>
        <w:pStyle w:val="TableBodyText"/>
        <w:tabs>
          <w:tab w:val="right" w:pos="8789"/>
        </w:tabs>
        <w:spacing w:before="120"/>
        <w:ind w:left="0" w:right="28"/>
        <w:jc w:val="left"/>
      </w:pPr>
      <w:r>
        <w:t>Australian Chamber of Commerce and Industry</w:t>
      </w:r>
      <w:r>
        <w:tab/>
        <w:t>2</w:t>
      </w:r>
    </w:p>
    <w:p w:rsidR="00544DF1" w:rsidRDefault="00544DF1" w:rsidP="00854016">
      <w:pPr>
        <w:pStyle w:val="TableBodyText"/>
        <w:tabs>
          <w:tab w:val="right" w:pos="8789"/>
        </w:tabs>
        <w:spacing w:before="120"/>
        <w:ind w:left="0" w:right="28"/>
        <w:jc w:val="left"/>
      </w:pPr>
      <w:r>
        <w:t>Australian Financial Markets Association</w:t>
      </w:r>
      <w:r>
        <w:tab/>
        <w:t>11</w:t>
      </w:r>
    </w:p>
    <w:p w:rsidR="00544DF1" w:rsidRDefault="00544DF1" w:rsidP="00854016">
      <w:pPr>
        <w:pStyle w:val="TableBodyText"/>
        <w:tabs>
          <w:tab w:val="right" w:pos="8789"/>
        </w:tabs>
        <w:spacing w:before="120"/>
        <w:ind w:left="0" w:right="28"/>
        <w:jc w:val="left"/>
      </w:pPr>
      <w:r>
        <w:t>Australian Food and Grocery Council</w:t>
      </w:r>
      <w:r>
        <w:tab/>
        <w:t>5</w:t>
      </w:r>
    </w:p>
    <w:p w:rsidR="005C605B" w:rsidRDefault="005C605B" w:rsidP="005C605B">
      <w:pPr>
        <w:pStyle w:val="TableBodyText"/>
        <w:tabs>
          <w:tab w:val="right" w:pos="8789"/>
        </w:tabs>
        <w:spacing w:before="120"/>
        <w:ind w:left="0" w:right="28"/>
        <w:jc w:val="left"/>
      </w:pPr>
      <w:r>
        <w:t>Australian Government Attorney-General’s Department</w:t>
      </w:r>
      <w:r>
        <w:tab/>
        <w:t>4</w:t>
      </w:r>
    </w:p>
    <w:p w:rsidR="005C605B" w:rsidRDefault="005C605B" w:rsidP="005C605B">
      <w:pPr>
        <w:pStyle w:val="TableBodyText"/>
        <w:tabs>
          <w:tab w:val="right" w:pos="8789"/>
        </w:tabs>
        <w:spacing w:before="120"/>
        <w:ind w:left="0" w:right="28"/>
        <w:jc w:val="left"/>
      </w:pPr>
      <w:r>
        <w:t xml:space="preserve">Australian Government Department of Infrastructure and Transport </w:t>
      </w:r>
      <w:r>
        <w:tab/>
        <w:t>21</w:t>
      </w:r>
      <w:r w:rsidR="006700AB">
        <w:t xml:space="preserve">, </w:t>
      </w:r>
      <w:proofErr w:type="spellStart"/>
      <w:r w:rsidR="006700AB">
        <w:t>DR36</w:t>
      </w:r>
      <w:proofErr w:type="spellEnd"/>
    </w:p>
    <w:p w:rsidR="006700AB" w:rsidRDefault="006700AB" w:rsidP="006700AB">
      <w:pPr>
        <w:pStyle w:val="TableBodyText"/>
        <w:tabs>
          <w:tab w:val="right" w:pos="8789"/>
        </w:tabs>
        <w:spacing w:before="120"/>
        <w:ind w:left="0" w:right="28"/>
        <w:jc w:val="left"/>
      </w:pPr>
      <w:r>
        <w:t>Australian Government Office of Best Practice Regulation</w:t>
      </w:r>
      <w:r>
        <w:tab/>
      </w:r>
      <w:proofErr w:type="spellStart"/>
      <w:r>
        <w:t>DR35</w:t>
      </w:r>
      <w:proofErr w:type="spellEnd"/>
    </w:p>
    <w:p w:rsidR="00544DF1" w:rsidRDefault="00544DF1" w:rsidP="00854016">
      <w:pPr>
        <w:pStyle w:val="TableBodyText"/>
        <w:tabs>
          <w:tab w:val="right" w:pos="8789"/>
        </w:tabs>
        <w:spacing w:before="120"/>
        <w:ind w:left="0" w:right="28"/>
        <w:jc w:val="left"/>
      </w:pPr>
      <w:r>
        <w:t>Australian Logistics Council</w:t>
      </w:r>
      <w:r>
        <w:tab/>
        <w:t>10</w:t>
      </w:r>
    </w:p>
    <w:p w:rsidR="002C36C6" w:rsidRDefault="002C36C6" w:rsidP="00854016">
      <w:pPr>
        <w:pStyle w:val="TableBodyText"/>
        <w:tabs>
          <w:tab w:val="right" w:pos="8789"/>
        </w:tabs>
        <w:spacing w:before="120"/>
        <w:ind w:left="0" w:right="28"/>
        <w:jc w:val="left"/>
      </w:pPr>
      <w:r>
        <w:t>Association of Mining and Exploration Companies</w:t>
      </w:r>
      <w:r>
        <w:tab/>
      </w:r>
      <w:proofErr w:type="spellStart"/>
      <w:r>
        <w:t>DR29</w:t>
      </w:r>
      <w:proofErr w:type="spellEnd"/>
    </w:p>
    <w:p w:rsidR="00437524" w:rsidRDefault="00437524" w:rsidP="00854016">
      <w:pPr>
        <w:pStyle w:val="TableBodyText"/>
        <w:tabs>
          <w:tab w:val="right" w:pos="8789"/>
        </w:tabs>
        <w:spacing w:before="120"/>
        <w:ind w:left="0" w:right="28"/>
        <w:jc w:val="left"/>
      </w:pPr>
      <w:r>
        <w:t>Australian Trucking Association</w:t>
      </w:r>
      <w:r>
        <w:tab/>
        <w:t>23</w:t>
      </w:r>
    </w:p>
    <w:p w:rsidR="00544DF1" w:rsidRDefault="00ED4042" w:rsidP="00854016">
      <w:pPr>
        <w:pStyle w:val="TableBodyText"/>
        <w:tabs>
          <w:tab w:val="right" w:pos="8789"/>
        </w:tabs>
        <w:spacing w:before="120"/>
        <w:ind w:left="0" w:right="28"/>
        <w:jc w:val="left"/>
      </w:pPr>
      <w:r>
        <w:t>Business SA</w:t>
      </w:r>
      <w:r>
        <w:tab/>
        <w:t>18</w:t>
      </w:r>
    </w:p>
    <w:p w:rsidR="00544DF1" w:rsidRDefault="00544DF1" w:rsidP="00854016">
      <w:pPr>
        <w:pStyle w:val="TableBodyText"/>
        <w:tabs>
          <w:tab w:val="right" w:pos="8789"/>
        </w:tabs>
        <w:spacing w:before="120"/>
        <w:ind w:left="0" w:right="28"/>
        <w:jc w:val="left"/>
      </w:pPr>
      <w:r>
        <w:t>Chi-X Australia Pty Ltd</w:t>
      </w:r>
      <w:r>
        <w:tab/>
        <w:t>13</w:t>
      </w:r>
    </w:p>
    <w:p w:rsidR="00544DF1" w:rsidRDefault="00544DF1" w:rsidP="00854016">
      <w:pPr>
        <w:pStyle w:val="TableBodyText"/>
        <w:tabs>
          <w:tab w:val="right" w:pos="8789"/>
        </w:tabs>
        <w:spacing w:before="120"/>
        <w:ind w:left="0" w:right="28"/>
        <w:jc w:val="left"/>
      </w:pPr>
      <w:r>
        <w:t>Consumer Action Law Centre</w:t>
      </w:r>
      <w:r>
        <w:tab/>
        <w:t>16</w:t>
      </w:r>
    </w:p>
    <w:p w:rsidR="002C36C6" w:rsidRDefault="002C36C6" w:rsidP="00854016">
      <w:pPr>
        <w:pStyle w:val="TableBodyText"/>
        <w:tabs>
          <w:tab w:val="right" w:pos="8789"/>
        </w:tabs>
        <w:spacing w:before="120"/>
        <w:ind w:left="0" w:right="28"/>
        <w:jc w:val="left"/>
      </w:pPr>
      <w:r>
        <w:t>Consumers Federation of Australia</w:t>
      </w:r>
      <w:r>
        <w:tab/>
      </w:r>
      <w:proofErr w:type="spellStart"/>
      <w:r>
        <w:t>DR34</w:t>
      </w:r>
      <w:proofErr w:type="spellEnd"/>
    </w:p>
    <w:p w:rsidR="00544DF1" w:rsidRDefault="00544DF1" w:rsidP="00854016">
      <w:pPr>
        <w:pStyle w:val="TableBodyText"/>
        <w:tabs>
          <w:tab w:val="right" w:pos="8789"/>
        </w:tabs>
        <w:spacing w:before="120"/>
        <w:ind w:left="0" w:right="28"/>
        <w:jc w:val="left"/>
      </w:pPr>
      <w:r>
        <w:t>Construction Material Processors Association</w:t>
      </w:r>
      <w:r>
        <w:tab/>
        <w:t>9</w:t>
      </w:r>
      <w:r w:rsidR="002C36C6">
        <w:t xml:space="preserve">, </w:t>
      </w:r>
      <w:proofErr w:type="spellStart"/>
      <w:r w:rsidR="002C36C6">
        <w:t>DR31</w:t>
      </w:r>
      <w:proofErr w:type="spellEnd"/>
    </w:p>
    <w:p w:rsidR="00544DF1" w:rsidRDefault="00544DF1" w:rsidP="00854016">
      <w:pPr>
        <w:pStyle w:val="TableBodyText"/>
        <w:tabs>
          <w:tab w:val="right" w:pos="8789"/>
        </w:tabs>
        <w:spacing w:before="120"/>
        <w:ind w:left="0" w:right="28"/>
        <w:jc w:val="left"/>
      </w:pPr>
      <w:proofErr w:type="spellStart"/>
      <w:r>
        <w:t>CropLife</w:t>
      </w:r>
      <w:proofErr w:type="spellEnd"/>
      <w:r>
        <w:t xml:space="preserve"> Australia Limited</w:t>
      </w:r>
      <w:r>
        <w:tab/>
        <w:t>7</w:t>
      </w:r>
    </w:p>
    <w:p w:rsidR="002C36C6" w:rsidRDefault="002C36C6" w:rsidP="00854016">
      <w:pPr>
        <w:pStyle w:val="TableBodyText"/>
        <w:tabs>
          <w:tab w:val="right" w:pos="8789"/>
        </w:tabs>
        <w:spacing w:before="120"/>
        <w:ind w:left="0" w:right="28"/>
        <w:jc w:val="left"/>
      </w:pPr>
      <w:proofErr w:type="spellStart"/>
      <w:r>
        <w:t>Haglund</w:t>
      </w:r>
      <w:proofErr w:type="spellEnd"/>
      <w:r>
        <w:t>, Martin</w:t>
      </w:r>
      <w:r>
        <w:tab/>
      </w:r>
      <w:proofErr w:type="spellStart"/>
      <w:r>
        <w:t>DR27</w:t>
      </w:r>
      <w:proofErr w:type="spellEnd"/>
    </w:p>
    <w:p w:rsidR="00544DF1" w:rsidRDefault="00ED4042" w:rsidP="00854016">
      <w:pPr>
        <w:pStyle w:val="TableBodyText"/>
        <w:tabs>
          <w:tab w:val="right" w:pos="8789"/>
        </w:tabs>
        <w:spacing w:before="120"/>
        <w:ind w:left="0" w:right="28"/>
        <w:jc w:val="left"/>
      </w:pPr>
      <w:r>
        <w:t>Master Builders Australia</w:t>
      </w:r>
      <w:r>
        <w:tab/>
        <w:t>19</w:t>
      </w:r>
    </w:p>
    <w:p w:rsidR="002C36C6" w:rsidRDefault="002C36C6" w:rsidP="00854016">
      <w:pPr>
        <w:pStyle w:val="TableBodyText"/>
        <w:tabs>
          <w:tab w:val="right" w:pos="8789"/>
        </w:tabs>
        <w:spacing w:before="120"/>
        <w:ind w:left="0" w:right="28"/>
        <w:jc w:val="left"/>
      </w:pPr>
      <w:r>
        <w:t>Northern Territory Department of Treasury and Finance</w:t>
      </w:r>
      <w:r>
        <w:tab/>
      </w:r>
      <w:proofErr w:type="spellStart"/>
      <w:r>
        <w:t>DR30</w:t>
      </w:r>
      <w:proofErr w:type="spellEnd"/>
    </w:p>
    <w:p w:rsidR="00465F3B" w:rsidRDefault="00465F3B" w:rsidP="00854016">
      <w:pPr>
        <w:pStyle w:val="TableBodyText"/>
        <w:tabs>
          <w:tab w:val="right" w:pos="8789"/>
        </w:tabs>
        <w:spacing w:before="120"/>
        <w:ind w:left="0" w:right="28"/>
        <w:jc w:val="left"/>
      </w:pPr>
      <w:r>
        <w:t>Officers undertaking RIA in the Victorian Transport Portfolio</w:t>
      </w:r>
      <w:r>
        <w:tab/>
        <w:t>17</w:t>
      </w:r>
    </w:p>
    <w:p w:rsidR="00544DF1" w:rsidRDefault="00544DF1" w:rsidP="00854016">
      <w:pPr>
        <w:pStyle w:val="TableBodyText"/>
        <w:tabs>
          <w:tab w:val="right" w:pos="8789"/>
        </w:tabs>
        <w:spacing w:before="120"/>
        <w:ind w:left="0" w:right="28"/>
        <w:jc w:val="left"/>
      </w:pPr>
      <w:r>
        <w:t>Plastics and Chemicals Industries Association</w:t>
      </w:r>
      <w:r>
        <w:tab/>
        <w:t>8</w:t>
      </w:r>
    </w:p>
    <w:p w:rsidR="00854016" w:rsidRDefault="009876B8" w:rsidP="00854016">
      <w:pPr>
        <w:pStyle w:val="TableBodyText"/>
        <w:tabs>
          <w:tab w:val="right" w:pos="8789"/>
        </w:tabs>
        <w:spacing w:before="120"/>
        <w:ind w:left="0" w:right="28"/>
        <w:jc w:val="left"/>
      </w:pPr>
      <w:r>
        <w:t>Queensland Consumers Association</w:t>
      </w:r>
      <w:r w:rsidR="00544DF1">
        <w:tab/>
        <w:t>1</w:t>
      </w:r>
      <w:r w:rsidR="002C36C6">
        <w:t xml:space="preserve">, </w:t>
      </w:r>
      <w:proofErr w:type="spellStart"/>
      <w:r w:rsidR="002C36C6">
        <w:t>DR28</w:t>
      </w:r>
      <w:proofErr w:type="spellEnd"/>
    </w:p>
    <w:p w:rsidR="005C605B" w:rsidRDefault="005C605B" w:rsidP="005C605B">
      <w:pPr>
        <w:pStyle w:val="TableBodyText"/>
        <w:tabs>
          <w:tab w:val="right" w:pos="8789"/>
        </w:tabs>
        <w:spacing w:before="120"/>
        <w:ind w:left="0" w:right="28"/>
        <w:jc w:val="left"/>
      </w:pPr>
      <w:r>
        <w:t>Tasmanian Department of Treasury and Finance</w:t>
      </w:r>
      <w:r>
        <w:tab/>
        <w:t>22</w:t>
      </w:r>
    </w:p>
    <w:p w:rsidR="00544DF1" w:rsidRDefault="00544DF1" w:rsidP="00854016">
      <w:pPr>
        <w:pStyle w:val="TableBodyText"/>
        <w:tabs>
          <w:tab w:val="right" w:pos="8789"/>
        </w:tabs>
        <w:spacing w:before="120"/>
        <w:ind w:left="0" w:right="28"/>
        <w:jc w:val="left"/>
      </w:pPr>
      <w:r>
        <w:t>Tasmanian Parliamentary Standing Committee on Subordinate Legislation</w:t>
      </w:r>
      <w:r>
        <w:tab/>
        <w:t>3</w:t>
      </w:r>
    </w:p>
    <w:p w:rsidR="00544DF1" w:rsidRDefault="00544DF1" w:rsidP="00854016">
      <w:pPr>
        <w:pStyle w:val="TableBodyText"/>
        <w:tabs>
          <w:tab w:val="right" w:pos="8789"/>
        </w:tabs>
        <w:spacing w:before="120"/>
        <w:ind w:left="0" w:right="28"/>
        <w:jc w:val="left"/>
      </w:pPr>
      <w:r>
        <w:t>The Centre for International Economics</w:t>
      </w:r>
      <w:r>
        <w:tab/>
        <w:t>14</w:t>
      </w:r>
    </w:p>
    <w:p w:rsidR="002C36C6" w:rsidRDefault="002C36C6" w:rsidP="00854016">
      <w:pPr>
        <w:pStyle w:val="TableBodyText"/>
        <w:tabs>
          <w:tab w:val="right" w:pos="8789"/>
        </w:tabs>
        <w:spacing w:before="120"/>
        <w:ind w:left="0" w:right="28"/>
        <w:jc w:val="left"/>
      </w:pPr>
      <w:r>
        <w:t>Victorian Department of Premier and Cabinet</w:t>
      </w:r>
      <w:r>
        <w:tab/>
      </w:r>
      <w:proofErr w:type="spellStart"/>
      <w:r>
        <w:t>DR32</w:t>
      </w:r>
      <w:proofErr w:type="spellEnd"/>
    </w:p>
    <w:p w:rsidR="00544DF1" w:rsidRDefault="00544DF1" w:rsidP="00854016">
      <w:pPr>
        <w:pStyle w:val="TableBodyText"/>
        <w:tabs>
          <w:tab w:val="right" w:pos="8789"/>
        </w:tabs>
        <w:spacing w:before="120"/>
        <w:ind w:left="0" w:right="28"/>
        <w:jc w:val="left"/>
      </w:pPr>
      <w:r>
        <w:t>W</w:t>
      </w:r>
      <w:r w:rsidR="00465F3B">
        <w:t xml:space="preserve">estern </w:t>
      </w:r>
      <w:r>
        <w:t>A</w:t>
      </w:r>
      <w:r w:rsidR="00465F3B">
        <w:t>ustralia</w:t>
      </w:r>
      <w:r>
        <w:t xml:space="preserve"> Department of Transport</w:t>
      </w:r>
      <w:r>
        <w:tab/>
        <w:t>12</w:t>
      </w:r>
    </w:p>
    <w:p w:rsidR="00465F3B" w:rsidRDefault="00465F3B" w:rsidP="00854016">
      <w:pPr>
        <w:pStyle w:val="TableBodyText"/>
        <w:tabs>
          <w:tab w:val="right" w:pos="8789"/>
        </w:tabs>
        <w:spacing w:before="120"/>
        <w:ind w:left="0" w:right="28"/>
        <w:jc w:val="left"/>
      </w:pPr>
      <w:r>
        <w:t>Western Australia Department of Treasury</w:t>
      </w:r>
      <w:r>
        <w:tab/>
      </w:r>
      <w:proofErr w:type="spellStart"/>
      <w:r>
        <w:t>DR37</w:t>
      </w:r>
      <w:proofErr w:type="spellEnd"/>
    </w:p>
    <w:p w:rsidR="00544DF1" w:rsidRDefault="00465F3B" w:rsidP="00854016">
      <w:pPr>
        <w:pStyle w:val="TableBodyText"/>
        <w:tabs>
          <w:tab w:val="right" w:pos="8789"/>
        </w:tabs>
        <w:spacing w:before="120"/>
        <w:ind w:left="0" w:right="28"/>
        <w:jc w:val="left"/>
      </w:pPr>
      <w:r>
        <w:t xml:space="preserve">Western Australia </w:t>
      </w:r>
      <w:r w:rsidR="00544DF1">
        <w:t>Local Government Association</w:t>
      </w:r>
      <w:r w:rsidR="00544DF1">
        <w:tab/>
        <w:t>6</w:t>
      </w:r>
    </w:p>
    <w:p w:rsidR="00465F3B" w:rsidRDefault="00465F3B" w:rsidP="00465F3B">
      <w:pPr>
        <w:pStyle w:val="TableBodyText"/>
        <w:tabs>
          <w:tab w:val="right" w:pos="8789"/>
        </w:tabs>
        <w:spacing w:before="120"/>
        <w:ind w:left="0" w:right="28"/>
        <w:jc w:val="left"/>
      </w:pPr>
      <w:r>
        <w:t>Western Australia Small Business Development Corporation</w:t>
      </w:r>
      <w:r>
        <w:tab/>
        <w:t>25</w:t>
      </w:r>
    </w:p>
    <w:p w:rsidR="00544DF1" w:rsidRDefault="00465F3B" w:rsidP="00854016">
      <w:pPr>
        <w:pStyle w:val="TableBodyText"/>
        <w:tabs>
          <w:tab w:val="right" w:pos="8789"/>
        </w:tabs>
        <w:spacing w:before="120"/>
        <w:ind w:left="0" w:right="28"/>
        <w:jc w:val="left"/>
      </w:pPr>
      <w:r>
        <w:t xml:space="preserve">Western Australia </w:t>
      </w:r>
      <w:r w:rsidR="005C605B">
        <w:t>State Government</w:t>
      </w:r>
      <w:r w:rsidR="00A0346E">
        <w:tab/>
        <w:t>24</w:t>
      </w:r>
    </w:p>
    <w:p w:rsidR="00CE5BD4" w:rsidRDefault="00CE5BD4" w:rsidP="00854016">
      <w:pPr>
        <w:pStyle w:val="TableBodyText"/>
        <w:tabs>
          <w:tab w:val="right" w:pos="8789"/>
        </w:tabs>
        <w:spacing w:before="120"/>
        <w:ind w:left="0" w:right="28"/>
        <w:jc w:val="left"/>
      </w:pPr>
    </w:p>
    <w:p w:rsidR="00CE5BD4" w:rsidRDefault="00CE5BD4" w:rsidP="00854016">
      <w:pPr>
        <w:pStyle w:val="TableBodyText"/>
        <w:tabs>
          <w:tab w:val="right" w:pos="8789"/>
        </w:tabs>
        <w:spacing w:before="120"/>
        <w:ind w:left="0" w:right="28"/>
        <w:jc w:val="left"/>
      </w:pPr>
      <w:r>
        <w:t>Confidential</w:t>
      </w:r>
      <w:r>
        <w:tab/>
        <w:t>20</w:t>
      </w:r>
      <w:r w:rsidR="00465F3B">
        <w:t xml:space="preserve">, </w:t>
      </w:r>
      <w:proofErr w:type="spellStart"/>
      <w:r w:rsidR="00465F3B">
        <w:t>DR33</w:t>
      </w:r>
      <w:proofErr w:type="spellEnd"/>
    </w:p>
    <w:p w:rsidR="00854016" w:rsidRDefault="00854016" w:rsidP="00854016">
      <w:pPr>
        <w:pStyle w:val="TableBodyText"/>
        <w:pBdr>
          <w:bottom w:val="single" w:sz="4" w:space="1" w:color="auto"/>
        </w:pBdr>
        <w:tabs>
          <w:tab w:val="right" w:pos="8789"/>
        </w:tabs>
        <w:spacing w:before="40"/>
        <w:ind w:left="0" w:right="28"/>
        <w:jc w:val="left"/>
      </w:pPr>
      <w:r>
        <w:tab/>
      </w:r>
    </w:p>
    <w:p w:rsidR="0078136A" w:rsidRPr="000226D2" w:rsidRDefault="009A13F0" w:rsidP="003F0CF7">
      <w:pPr>
        <w:pStyle w:val="TableTitle"/>
        <w:ind w:left="851" w:hanging="851"/>
      </w:pPr>
      <w:r w:rsidRPr="009A13F0">
        <w:rPr>
          <w:b w:val="0"/>
        </w:rPr>
        <w:lastRenderedPageBreak/>
        <w:t xml:space="preserve">Table </w:t>
      </w:r>
      <w:proofErr w:type="spellStart"/>
      <w:r w:rsidRPr="009A13F0">
        <w:rPr>
          <w:b w:val="0"/>
        </w:rPr>
        <w:t>A.2</w:t>
      </w:r>
      <w:proofErr w:type="spellEnd"/>
      <w:r w:rsidR="0078136A" w:rsidRPr="000226D2">
        <w:tab/>
        <w:t>Consultations</w:t>
      </w:r>
    </w:p>
    <w:tbl>
      <w:tblPr>
        <w:tblW w:w="5000" w:type="pct"/>
        <w:tblCellMar>
          <w:left w:w="0" w:type="dxa"/>
          <w:right w:w="0" w:type="dxa"/>
        </w:tblCellMar>
        <w:tblLook w:val="0000" w:firstRow="0" w:lastRow="0" w:firstColumn="0" w:lastColumn="0" w:noHBand="0" w:noVBand="0"/>
      </w:tblPr>
      <w:tblGrid>
        <w:gridCol w:w="8789"/>
      </w:tblGrid>
      <w:tr w:rsidR="00E57D47" w:rsidTr="00E57D47">
        <w:tc>
          <w:tcPr>
            <w:tcW w:w="5000" w:type="pct"/>
            <w:tcBorders>
              <w:top w:val="single" w:sz="6" w:space="0" w:color="auto"/>
              <w:bottom w:val="single" w:sz="4" w:space="0" w:color="auto"/>
            </w:tcBorders>
            <w:shd w:val="clear" w:color="auto" w:fill="auto"/>
          </w:tcPr>
          <w:p w:rsidR="00E57D47" w:rsidRDefault="00E57D47" w:rsidP="00E57D47">
            <w:pPr>
              <w:pStyle w:val="TableColumnHeading"/>
              <w:ind w:right="28"/>
              <w:jc w:val="left"/>
            </w:pPr>
            <w:r>
              <w:t>Commonwealth and national organisations</w:t>
            </w:r>
          </w:p>
        </w:tc>
      </w:tr>
      <w:tr w:rsidR="00E57D47" w:rsidTr="00E57D47">
        <w:tc>
          <w:tcPr>
            <w:tcW w:w="5000" w:type="pct"/>
            <w:tcBorders>
              <w:top w:val="single" w:sz="4" w:space="0" w:color="auto"/>
            </w:tcBorders>
            <w:shd w:val="clear" w:color="auto" w:fill="auto"/>
          </w:tcPr>
          <w:p w:rsidR="00E57D47" w:rsidRPr="005D5E8B" w:rsidRDefault="00E57D47" w:rsidP="00E57D47">
            <w:pPr>
              <w:pStyle w:val="TableBodyText"/>
              <w:spacing w:before="80"/>
              <w:jc w:val="left"/>
            </w:pPr>
            <w:r w:rsidRPr="005D5E8B">
              <w:t>Accord Australasia</w:t>
            </w:r>
          </w:p>
        </w:tc>
      </w:tr>
      <w:tr w:rsidR="00E57D47" w:rsidTr="00E57D47">
        <w:tc>
          <w:tcPr>
            <w:tcW w:w="5000" w:type="pct"/>
            <w:shd w:val="clear" w:color="auto" w:fill="auto"/>
          </w:tcPr>
          <w:p w:rsidR="00E57D47" w:rsidRPr="005D5E8B" w:rsidRDefault="00E57D47" w:rsidP="00465F3B">
            <w:pPr>
              <w:pStyle w:val="TableBodyText"/>
              <w:spacing w:before="20"/>
              <w:jc w:val="left"/>
              <w:rPr>
                <w:i/>
              </w:rPr>
            </w:pPr>
            <w:r w:rsidRPr="005D5E8B">
              <w:t>Australian Industry Group</w:t>
            </w:r>
          </w:p>
        </w:tc>
      </w:tr>
      <w:tr w:rsidR="00E57D47" w:rsidTr="00E57D47">
        <w:tc>
          <w:tcPr>
            <w:tcW w:w="5000" w:type="pct"/>
            <w:shd w:val="clear" w:color="auto" w:fill="auto"/>
          </w:tcPr>
          <w:p w:rsidR="00E57D47" w:rsidRPr="005D5E8B" w:rsidRDefault="00E57D47" w:rsidP="00465F3B">
            <w:pPr>
              <w:pStyle w:val="TableBodyText"/>
              <w:spacing w:before="20"/>
              <w:jc w:val="left"/>
              <w:rPr>
                <w:i/>
              </w:rPr>
            </w:pPr>
            <w:r w:rsidRPr="005D5E8B">
              <w:t>Australian Building Codes Board</w:t>
            </w:r>
          </w:p>
        </w:tc>
      </w:tr>
      <w:tr w:rsidR="00E57D47" w:rsidTr="00E57D47">
        <w:tc>
          <w:tcPr>
            <w:tcW w:w="5000" w:type="pct"/>
            <w:shd w:val="clear" w:color="auto" w:fill="auto"/>
          </w:tcPr>
          <w:p w:rsidR="00E57D47" w:rsidRPr="005D5E8B" w:rsidRDefault="00E57D47" w:rsidP="00465F3B">
            <w:pPr>
              <w:pStyle w:val="TableBodyText"/>
              <w:spacing w:before="20"/>
              <w:jc w:val="left"/>
              <w:rPr>
                <w:i/>
              </w:rPr>
            </w:pPr>
            <w:r w:rsidRPr="005D5E8B">
              <w:t>Australian Chamber of Commerce and Industry</w:t>
            </w:r>
          </w:p>
        </w:tc>
      </w:tr>
      <w:tr w:rsidR="0064154A" w:rsidRPr="00E57D47" w:rsidTr="00E57D47">
        <w:tc>
          <w:tcPr>
            <w:tcW w:w="5000" w:type="pct"/>
            <w:shd w:val="clear" w:color="auto" w:fill="auto"/>
          </w:tcPr>
          <w:p w:rsidR="0064154A" w:rsidRPr="00482F09" w:rsidRDefault="0064154A" w:rsidP="00465F3B">
            <w:pPr>
              <w:pStyle w:val="TableBodyText"/>
              <w:spacing w:before="20"/>
              <w:jc w:val="left"/>
              <w:rPr>
                <w:i/>
              </w:rPr>
            </w:pPr>
            <w:r>
              <w:t>Australian Food and Grocery Council</w:t>
            </w:r>
          </w:p>
        </w:tc>
      </w:tr>
      <w:tr w:rsidR="00BC4F82" w:rsidRPr="00E57D47" w:rsidTr="00E57D47">
        <w:tc>
          <w:tcPr>
            <w:tcW w:w="5000" w:type="pct"/>
            <w:shd w:val="clear" w:color="auto" w:fill="auto"/>
          </w:tcPr>
          <w:p w:rsidR="00BC4F82" w:rsidRPr="00482F09" w:rsidRDefault="00BC4F82" w:rsidP="00465F3B">
            <w:pPr>
              <w:pStyle w:val="TableBodyText"/>
              <w:spacing w:before="20"/>
              <w:jc w:val="left"/>
            </w:pPr>
            <w:r>
              <w:t>Australian Institute of Company Directors</w:t>
            </w:r>
          </w:p>
        </w:tc>
      </w:tr>
      <w:tr w:rsidR="00E57D47" w:rsidRPr="00E57D47" w:rsidTr="00E57D47">
        <w:tc>
          <w:tcPr>
            <w:tcW w:w="5000" w:type="pct"/>
            <w:shd w:val="clear" w:color="auto" w:fill="auto"/>
          </w:tcPr>
          <w:p w:rsidR="00E57D47" w:rsidRPr="00482F09" w:rsidRDefault="00E57D47" w:rsidP="00465F3B">
            <w:pPr>
              <w:pStyle w:val="TableBodyText"/>
              <w:spacing w:before="20"/>
              <w:jc w:val="left"/>
              <w:rPr>
                <w:i/>
              </w:rPr>
            </w:pPr>
            <w:r w:rsidRPr="00482F09">
              <w:t>Australian Pesticides and Veterinary Medicines Authority</w:t>
            </w:r>
          </w:p>
        </w:tc>
      </w:tr>
      <w:tr w:rsidR="00BC4F82" w:rsidRPr="00E57D47" w:rsidTr="00E57D47">
        <w:tc>
          <w:tcPr>
            <w:tcW w:w="5000" w:type="pct"/>
            <w:shd w:val="clear" w:color="auto" w:fill="auto"/>
          </w:tcPr>
          <w:p w:rsidR="00BC4F82" w:rsidRPr="00482F09" w:rsidRDefault="00BC4F82" w:rsidP="00465F3B">
            <w:pPr>
              <w:pStyle w:val="TableBodyText"/>
              <w:spacing w:before="20"/>
              <w:jc w:val="left"/>
            </w:pPr>
            <w:r>
              <w:t>Australian Prudential Regulation Authority</w:t>
            </w:r>
          </w:p>
        </w:tc>
      </w:tr>
      <w:tr w:rsidR="00E57D47" w:rsidRPr="00E57D47" w:rsidTr="00E57D47">
        <w:tc>
          <w:tcPr>
            <w:tcW w:w="5000" w:type="pct"/>
            <w:shd w:val="clear" w:color="auto" w:fill="auto"/>
          </w:tcPr>
          <w:p w:rsidR="00E57D47" w:rsidRPr="00482F09" w:rsidRDefault="00E57D47" w:rsidP="00465F3B">
            <w:pPr>
              <w:pStyle w:val="TableBodyText"/>
              <w:spacing w:before="20"/>
              <w:jc w:val="left"/>
              <w:rPr>
                <w:i/>
              </w:rPr>
            </w:pPr>
            <w:r w:rsidRPr="00482F09">
              <w:t>Australian Securities and Investments Commission</w:t>
            </w:r>
          </w:p>
        </w:tc>
      </w:tr>
      <w:tr w:rsidR="00E57D47" w:rsidRPr="00E57D47" w:rsidTr="00E57D47">
        <w:tc>
          <w:tcPr>
            <w:tcW w:w="5000" w:type="pct"/>
            <w:shd w:val="clear" w:color="auto" w:fill="auto"/>
          </w:tcPr>
          <w:p w:rsidR="00E57D47" w:rsidRPr="00482F09" w:rsidRDefault="00E57D47" w:rsidP="00465F3B">
            <w:pPr>
              <w:pStyle w:val="TableBodyText"/>
              <w:spacing w:before="20"/>
              <w:jc w:val="left"/>
              <w:rPr>
                <w:i/>
              </w:rPr>
            </w:pPr>
            <w:r w:rsidRPr="00482F09">
              <w:t>Business Council of Australia</w:t>
            </w:r>
          </w:p>
        </w:tc>
      </w:tr>
      <w:tr w:rsidR="00E57D47" w:rsidRPr="00E57D47" w:rsidTr="00E57D47">
        <w:tc>
          <w:tcPr>
            <w:tcW w:w="5000" w:type="pct"/>
            <w:shd w:val="clear" w:color="auto" w:fill="auto"/>
          </w:tcPr>
          <w:p w:rsidR="00E57D47" w:rsidRPr="00482F09" w:rsidRDefault="00E57D47" w:rsidP="00465F3B">
            <w:pPr>
              <w:pStyle w:val="TableBodyText"/>
              <w:spacing w:before="20"/>
              <w:jc w:val="left"/>
              <w:rPr>
                <w:i/>
              </w:rPr>
            </w:pPr>
            <w:r w:rsidRPr="00482F09">
              <w:t>COAG Reform Council</w:t>
            </w:r>
          </w:p>
        </w:tc>
      </w:tr>
      <w:tr w:rsidR="003F0CF7" w:rsidRPr="00E57D47" w:rsidTr="00E57D47">
        <w:tc>
          <w:tcPr>
            <w:tcW w:w="5000" w:type="pct"/>
            <w:shd w:val="clear" w:color="auto" w:fill="auto"/>
          </w:tcPr>
          <w:p w:rsidR="003F0CF7" w:rsidRPr="00286578" w:rsidRDefault="003F0CF7" w:rsidP="00465F3B">
            <w:pPr>
              <w:pStyle w:val="TableBodyText"/>
              <w:spacing w:before="20"/>
              <w:jc w:val="left"/>
            </w:pPr>
            <w:r>
              <w:t>Consumer Health Forum of Australia</w:t>
            </w:r>
          </w:p>
        </w:tc>
      </w:tr>
      <w:tr w:rsidR="00E57D47" w:rsidRPr="00E57D47" w:rsidTr="00E57D47">
        <w:tc>
          <w:tcPr>
            <w:tcW w:w="5000" w:type="pct"/>
            <w:shd w:val="clear" w:color="auto" w:fill="auto"/>
          </w:tcPr>
          <w:p w:rsidR="00E57D47" w:rsidRPr="00286578" w:rsidRDefault="00E57D47" w:rsidP="00465F3B">
            <w:pPr>
              <w:pStyle w:val="TableBodyText"/>
              <w:spacing w:before="20"/>
              <w:jc w:val="left"/>
              <w:rPr>
                <w:i/>
              </w:rPr>
            </w:pPr>
            <w:r w:rsidRPr="00286578">
              <w:t>Department of Agriculture, Fisheries and Fores</w:t>
            </w:r>
            <w:r w:rsidR="00086F87">
              <w:t>t</w:t>
            </w:r>
            <w:r w:rsidRPr="00286578">
              <w:t>ry</w:t>
            </w:r>
          </w:p>
        </w:tc>
      </w:tr>
      <w:tr w:rsidR="00E57D47" w:rsidRPr="00E57D47" w:rsidTr="00E57D47">
        <w:tc>
          <w:tcPr>
            <w:tcW w:w="5000" w:type="pct"/>
            <w:shd w:val="clear" w:color="auto" w:fill="auto"/>
          </w:tcPr>
          <w:p w:rsidR="00E57D47" w:rsidRPr="00286578" w:rsidRDefault="00E57D47" w:rsidP="00465F3B">
            <w:pPr>
              <w:pStyle w:val="TableBodyText"/>
              <w:spacing w:before="20"/>
              <w:jc w:val="left"/>
              <w:rPr>
                <w:i/>
              </w:rPr>
            </w:pPr>
            <w:r w:rsidRPr="00286578">
              <w:t>Department of Climate Change and Energy Efficiency</w:t>
            </w:r>
          </w:p>
        </w:tc>
      </w:tr>
      <w:tr w:rsidR="00E57D47" w:rsidRPr="00E57D47" w:rsidTr="00E57D47">
        <w:tc>
          <w:tcPr>
            <w:tcW w:w="5000" w:type="pct"/>
            <w:shd w:val="clear" w:color="auto" w:fill="auto"/>
          </w:tcPr>
          <w:p w:rsidR="00E57D47" w:rsidRPr="00286578" w:rsidRDefault="00E57D47" w:rsidP="00465F3B">
            <w:pPr>
              <w:pStyle w:val="TableBodyText"/>
              <w:spacing w:before="20"/>
              <w:jc w:val="left"/>
              <w:rPr>
                <w:i/>
              </w:rPr>
            </w:pPr>
            <w:r w:rsidRPr="00286578">
              <w:t>Departmen</w:t>
            </w:r>
            <w:r w:rsidR="00465F3B">
              <w:t>t of Finance and Deregulation – Deregulation Group</w:t>
            </w:r>
          </w:p>
        </w:tc>
      </w:tr>
      <w:tr w:rsidR="00465F3B" w:rsidRPr="00E57D47" w:rsidTr="00E57D47">
        <w:tc>
          <w:tcPr>
            <w:tcW w:w="5000" w:type="pct"/>
            <w:shd w:val="clear" w:color="auto" w:fill="auto"/>
          </w:tcPr>
          <w:p w:rsidR="00465F3B" w:rsidRDefault="00465F3B" w:rsidP="00465F3B">
            <w:pPr>
              <w:pStyle w:val="TableBodyText"/>
              <w:spacing w:before="20"/>
              <w:jc w:val="left"/>
            </w:pPr>
            <w:r w:rsidRPr="00286578">
              <w:t>Department of Finance and Deregulation – Office of Best Practice Regulation</w:t>
            </w:r>
          </w:p>
        </w:tc>
      </w:tr>
      <w:tr w:rsidR="00465F3B" w:rsidRPr="00E57D47" w:rsidTr="00E57D47">
        <w:tc>
          <w:tcPr>
            <w:tcW w:w="5000" w:type="pct"/>
            <w:shd w:val="clear" w:color="auto" w:fill="auto"/>
          </w:tcPr>
          <w:p w:rsidR="00465F3B" w:rsidRPr="00286578" w:rsidRDefault="00465F3B" w:rsidP="00465F3B">
            <w:pPr>
              <w:pStyle w:val="TableBodyText"/>
              <w:spacing w:before="20"/>
              <w:jc w:val="left"/>
            </w:pPr>
            <w:r>
              <w:t>Department of Health and Ageing</w:t>
            </w:r>
          </w:p>
        </w:tc>
      </w:tr>
      <w:tr w:rsidR="00E57D47" w:rsidRPr="00E57D47" w:rsidTr="00E57D47">
        <w:tc>
          <w:tcPr>
            <w:tcW w:w="5000" w:type="pct"/>
            <w:shd w:val="clear" w:color="auto" w:fill="auto"/>
          </w:tcPr>
          <w:p w:rsidR="00E57D47" w:rsidRPr="00286578" w:rsidRDefault="00E57D47" w:rsidP="00465F3B">
            <w:pPr>
              <w:pStyle w:val="TableBodyText"/>
              <w:spacing w:before="20"/>
              <w:jc w:val="left"/>
              <w:rPr>
                <w:i/>
              </w:rPr>
            </w:pPr>
            <w:r w:rsidRPr="00286578">
              <w:t>Department of Prime Minister and Cabinet – Cabinet Secretariat</w:t>
            </w:r>
          </w:p>
        </w:tc>
      </w:tr>
      <w:tr w:rsidR="003F0CF7" w:rsidRPr="00E57D47" w:rsidTr="00E57D47">
        <w:tc>
          <w:tcPr>
            <w:tcW w:w="5000" w:type="pct"/>
            <w:shd w:val="clear" w:color="auto" w:fill="auto"/>
          </w:tcPr>
          <w:p w:rsidR="003F0CF7" w:rsidRPr="00286578" w:rsidRDefault="003F0CF7" w:rsidP="00465F3B">
            <w:pPr>
              <w:pStyle w:val="TableBodyText"/>
              <w:spacing w:before="20"/>
              <w:jc w:val="left"/>
            </w:pPr>
            <w:r w:rsidRPr="00286578">
              <w:t>Department of Prime Minister and Cabinet –</w:t>
            </w:r>
            <w:r>
              <w:t xml:space="preserve"> COAG Secretariat</w:t>
            </w:r>
          </w:p>
        </w:tc>
      </w:tr>
      <w:tr w:rsidR="00E57D47" w:rsidRPr="00E57D47" w:rsidTr="00E57D47">
        <w:tc>
          <w:tcPr>
            <w:tcW w:w="5000" w:type="pct"/>
            <w:shd w:val="clear" w:color="auto" w:fill="auto"/>
          </w:tcPr>
          <w:p w:rsidR="00E57D47" w:rsidRPr="00A95024" w:rsidRDefault="00E57D47" w:rsidP="00465F3B">
            <w:pPr>
              <w:pStyle w:val="TableBodyText"/>
              <w:spacing w:before="20"/>
              <w:jc w:val="left"/>
              <w:rPr>
                <w:i/>
              </w:rPr>
            </w:pPr>
            <w:r w:rsidRPr="00A95024">
              <w:t>Food Standards Australia and New Zealand</w:t>
            </w:r>
          </w:p>
        </w:tc>
      </w:tr>
      <w:tr w:rsidR="008B4A10" w:rsidTr="008B4A10">
        <w:tc>
          <w:tcPr>
            <w:tcW w:w="5000" w:type="pct"/>
            <w:shd w:val="clear" w:color="auto" w:fill="auto"/>
          </w:tcPr>
          <w:p w:rsidR="008B4A10" w:rsidRPr="005D5E8B" w:rsidRDefault="008B4A10" w:rsidP="008B4A10">
            <w:pPr>
              <w:pStyle w:val="TableBodyText"/>
              <w:spacing w:before="20"/>
              <w:jc w:val="left"/>
            </w:pPr>
            <w:r>
              <w:t>Legislative and Governance Forum on Food Regulation (Secretariat)</w:t>
            </w:r>
          </w:p>
        </w:tc>
      </w:tr>
      <w:tr w:rsidR="00E57D47" w:rsidRPr="00E57D47" w:rsidTr="00E57D47">
        <w:tc>
          <w:tcPr>
            <w:tcW w:w="5000" w:type="pct"/>
            <w:shd w:val="clear" w:color="auto" w:fill="auto"/>
          </w:tcPr>
          <w:p w:rsidR="00E57D47" w:rsidRPr="00A95024" w:rsidRDefault="00E57D47" w:rsidP="00465F3B">
            <w:pPr>
              <w:pStyle w:val="TableBodyText"/>
              <w:spacing w:before="20"/>
              <w:jc w:val="left"/>
              <w:rPr>
                <w:i/>
              </w:rPr>
            </w:pPr>
            <w:r w:rsidRPr="00A95024">
              <w:t>National Transport Commission</w:t>
            </w:r>
          </w:p>
        </w:tc>
      </w:tr>
      <w:tr w:rsidR="00E57D47" w:rsidRPr="00E57D47" w:rsidTr="00E57D47">
        <w:tc>
          <w:tcPr>
            <w:tcW w:w="5000" w:type="pct"/>
            <w:shd w:val="clear" w:color="auto" w:fill="auto"/>
          </w:tcPr>
          <w:p w:rsidR="00E57D47" w:rsidRPr="00A95024" w:rsidRDefault="00E57D47" w:rsidP="00465F3B">
            <w:pPr>
              <w:pStyle w:val="TableBodyText"/>
              <w:spacing w:before="20"/>
              <w:jc w:val="left"/>
              <w:rPr>
                <w:i/>
              </w:rPr>
            </w:pPr>
            <w:r w:rsidRPr="00A95024">
              <w:t>Property Council of Australia</w:t>
            </w:r>
          </w:p>
        </w:tc>
      </w:tr>
      <w:tr w:rsidR="00E57D47" w:rsidRPr="00E57D47" w:rsidTr="00E57D47">
        <w:tc>
          <w:tcPr>
            <w:tcW w:w="5000" w:type="pct"/>
            <w:shd w:val="clear" w:color="auto" w:fill="auto"/>
          </w:tcPr>
          <w:p w:rsidR="00E57D47" w:rsidRPr="00A95024" w:rsidRDefault="00E57D47" w:rsidP="00465F3B">
            <w:pPr>
              <w:pStyle w:val="TableBodyText"/>
              <w:spacing w:before="20"/>
              <w:jc w:val="left"/>
              <w:rPr>
                <w:i/>
              </w:rPr>
            </w:pPr>
            <w:proofErr w:type="spellStart"/>
            <w:r w:rsidRPr="00A95024">
              <w:t>Safework</w:t>
            </w:r>
            <w:proofErr w:type="spellEnd"/>
            <w:r w:rsidRPr="00A95024">
              <w:t xml:space="preserve"> Australia</w:t>
            </w:r>
          </w:p>
        </w:tc>
      </w:tr>
      <w:tr w:rsidR="0064154A" w:rsidRPr="00E57D47" w:rsidTr="00781362">
        <w:tc>
          <w:tcPr>
            <w:tcW w:w="5000" w:type="pct"/>
            <w:shd w:val="clear" w:color="auto" w:fill="auto"/>
          </w:tcPr>
          <w:p w:rsidR="0064154A" w:rsidRPr="00A95024" w:rsidRDefault="0064154A" w:rsidP="008B4A10">
            <w:pPr>
              <w:pStyle w:val="TableBodyText"/>
              <w:spacing w:before="20"/>
              <w:jc w:val="left"/>
              <w:rPr>
                <w:i/>
              </w:rPr>
            </w:pPr>
            <w:r w:rsidRPr="00A95024">
              <w:t>Standing Council on Energy and Resources</w:t>
            </w:r>
            <w:r w:rsidR="00781362">
              <w:t xml:space="preserve"> (Secretariat)</w:t>
            </w:r>
          </w:p>
        </w:tc>
      </w:tr>
      <w:tr w:rsidR="0064154A" w:rsidRPr="00E57D47" w:rsidTr="00781362">
        <w:tc>
          <w:tcPr>
            <w:tcW w:w="5000" w:type="pct"/>
            <w:shd w:val="clear" w:color="auto" w:fill="auto"/>
          </w:tcPr>
          <w:p w:rsidR="0064154A" w:rsidRPr="00286578" w:rsidRDefault="0064154A" w:rsidP="00465F3B">
            <w:pPr>
              <w:pStyle w:val="TableBodyText"/>
              <w:spacing w:before="20"/>
              <w:jc w:val="left"/>
              <w:rPr>
                <w:i/>
              </w:rPr>
            </w:pPr>
            <w:r>
              <w:t>The</w:t>
            </w:r>
            <w:r w:rsidRPr="00286578">
              <w:t xml:space="preserve"> Treasury</w:t>
            </w:r>
          </w:p>
        </w:tc>
      </w:tr>
      <w:tr w:rsidR="00E57D47" w:rsidRPr="00E57D47" w:rsidTr="00E57D47">
        <w:tc>
          <w:tcPr>
            <w:tcW w:w="5000" w:type="pct"/>
            <w:tcBorders>
              <w:bottom w:val="single" w:sz="4" w:space="0" w:color="auto"/>
            </w:tcBorders>
            <w:shd w:val="clear" w:color="auto" w:fill="auto"/>
          </w:tcPr>
          <w:p w:rsidR="00E57D47" w:rsidRPr="00A95024" w:rsidRDefault="00E57D47" w:rsidP="00E2619B">
            <w:pPr>
              <w:pStyle w:val="TableBodyText"/>
              <w:spacing w:after="0" w:line="80" w:lineRule="exact"/>
              <w:jc w:val="left"/>
            </w:pPr>
          </w:p>
        </w:tc>
      </w:tr>
      <w:tr w:rsidR="00E57D47" w:rsidRPr="00E57D47" w:rsidTr="00E57D47">
        <w:tc>
          <w:tcPr>
            <w:tcW w:w="5000" w:type="pct"/>
            <w:tcBorders>
              <w:top w:val="single" w:sz="4" w:space="0" w:color="auto"/>
              <w:bottom w:val="single" w:sz="4" w:space="0" w:color="auto"/>
            </w:tcBorders>
            <w:shd w:val="clear" w:color="auto" w:fill="auto"/>
          </w:tcPr>
          <w:p w:rsidR="00E57D47" w:rsidRDefault="00E57D47" w:rsidP="00E57D47">
            <w:pPr>
              <w:pStyle w:val="TableColumnHeading"/>
              <w:ind w:right="28"/>
              <w:jc w:val="left"/>
            </w:pPr>
            <w:r>
              <w:t>New South Wales</w:t>
            </w:r>
          </w:p>
        </w:tc>
      </w:tr>
      <w:tr w:rsidR="00E57D47" w:rsidRPr="00E57D47" w:rsidTr="00E57D47">
        <w:tc>
          <w:tcPr>
            <w:tcW w:w="5000" w:type="pct"/>
            <w:tcBorders>
              <w:top w:val="single" w:sz="4" w:space="0" w:color="auto"/>
            </w:tcBorders>
            <w:shd w:val="clear" w:color="auto" w:fill="auto"/>
          </w:tcPr>
          <w:p w:rsidR="00E57D47" w:rsidRPr="00A74FAC" w:rsidRDefault="00E57D47" w:rsidP="00E57D47">
            <w:pPr>
              <w:pStyle w:val="TableBodyText"/>
              <w:spacing w:before="80"/>
              <w:jc w:val="left"/>
            </w:pPr>
            <w:r w:rsidRPr="00A74FAC">
              <w:t>Better Regulation Office</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Department of Finance and Services</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Department of Infrastructure and Planning</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Department of Treasury</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Department of Trade and Investment, Regional Infrastructure and Services</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Independent Pricing and Regulatory Tribunal</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Legislative Review Committee</w:t>
            </w:r>
          </w:p>
        </w:tc>
      </w:tr>
      <w:tr w:rsidR="00E57D47" w:rsidRPr="00E57D47" w:rsidTr="00E57D47">
        <w:tc>
          <w:tcPr>
            <w:tcW w:w="5000" w:type="pct"/>
            <w:shd w:val="clear" w:color="auto" w:fill="auto"/>
          </w:tcPr>
          <w:p w:rsidR="00E57D47" w:rsidRPr="00A74FAC" w:rsidRDefault="00E57D47" w:rsidP="00465F3B">
            <w:pPr>
              <w:pStyle w:val="TableBodyText"/>
              <w:spacing w:before="20"/>
              <w:jc w:val="left"/>
              <w:rPr>
                <w:i/>
              </w:rPr>
            </w:pPr>
            <w:r w:rsidRPr="00A74FAC">
              <w:t>NSW Business Chamber</w:t>
            </w:r>
          </w:p>
        </w:tc>
      </w:tr>
      <w:tr w:rsidR="00BC4F82" w:rsidRPr="00E57D47" w:rsidTr="00BC4F82">
        <w:tc>
          <w:tcPr>
            <w:tcW w:w="5000" w:type="pct"/>
            <w:shd w:val="clear" w:color="auto" w:fill="auto"/>
          </w:tcPr>
          <w:p w:rsidR="00BC4F82" w:rsidRPr="00A74FAC" w:rsidRDefault="00BC4F82" w:rsidP="00465F3B">
            <w:pPr>
              <w:pStyle w:val="TableBodyText"/>
              <w:spacing w:before="20"/>
              <w:jc w:val="left"/>
            </w:pPr>
            <w:r>
              <w:t>NSW Fair Trading</w:t>
            </w:r>
          </w:p>
        </w:tc>
      </w:tr>
      <w:tr w:rsidR="00E57D47" w:rsidRPr="00112D1C" w:rsidTr="00BC4F82">
        <w:tc>
          <w:tcPr>
            <w:tcW w:w="5000" w:type="pct"/>
            <w:tcBorders>
              <w:bottom w:val="single" w:sz="4" w:space="0" w:color="auto"/>
            </w:tcBorders>
            <w:shd w:val="clear" w:color="auto" w:fill="auto"/>
          </w:tcPr>
          <w:p w:rsidR="00E57D47" w:rsidRPr="005D5E8B" w:rsidRDefault="00E57D47" w:rsidP="00E2619B">
            <w:pPr>
              <w:pStyle w:val="TableBodyText"/>
              <w:spacing w:after="0" w:line="40" w:lineRule="exact"/>
              <w:jc w:val="left"/>
            </w:pPr>
          </w:p>
        </w:tc>
      </w:tr>
    </w:tbl>
    <w:p w:rsidR="003F0CF7" w:rsidRDefault="003F0CF7" w:rsidP="003F0CF7">
      <w:pPr>
        <w:pStyle w:val="TableBodyText"/>
        <w:spacing w:before="20"/>
      </w:pPr>
      <w:r>
        <w:t>(continued next page)</w:t>
      </w:r>
    </w:p>
    <w:p w:rsidR="00610F82" w:rsidRDefault="00610F82" w:rsidP="003F0CF7">
      <w:pPr>
        <w:pStyle w:val="TableBodyText"/>
        <w:spacing w:before="20"/>
        <w:jc w:val="left"/>
      </w:pPr>
      <w:r>
        <w:br w:type="page"/>
      </w:r>
    </w:p>
    <w:tbl>
      <w:tblPr>
        <w:tblW w:w="5000" w:type="pct"/>
        <w:tblCellMar>
          <w:left w:w="0" w:type="dxa"/>
          <w:right w:w="0" w:type="dxa"/>
        </w:tblCellMar>
        <w:tblLook w:val="0000" w:firstRow="0" w:lastRow="0" w:firstColumn="0" w:lastColumn="0" w:noHBand="0" w:noVBand="0"/>
      </w:tblPr>
      <w:tblGrid>
        <w:gridCol w:w="8789"/>
      </w:tblGrid>
      <w:tr w:rsidR="003F0CF7" w:rsidRPr="003F0CF7" w:rsidTr="00E57D47">
        <w:tc>
          <w:tcPr>
            <w:tcW w:w="5000" w:type="pct"/>
            <w:shd w:val="clear" w:color="auto" w:fill="auto"/>
          </w:tcPr>
          <w:p w:rsidR="003F0CF7" w:rsidRPr="005D5E8B" w:rsidRDefault="009A13F0" w:rsidP="009A13F0">
            <w:pPr>
              <w:pStyle w:val="TableTitle"/>
              <w:tabs>
                <w:tab w:val="left" w:pos="7755"/>
              </w:tabs>
            </w:pPr>
            <w:r w:rsidRPr="009A13F0">
              <w:rPr>
                <w:b w:val="0"/>
              </w:rPr>
              <w:lastRenderedPageBreak/>
              <w:t xml:space="preserve">Table </w:t>
            </w:r>
            <w:proofErr w:type="spellStart"/>
            <w:r w:rsidRPr="009A13F0">
              <w:rPr>
                <w:b w:val="0"/>
              </w:rPr>
              <w:t>A.2</w:t>
            </w:r>
            <w:proofErr w:type="spellEnd"/>
            <w:r w:rsidRPr="009A13F0">
              <w:rPr>
                <w:b w:val="0"/>
              </w:rPr>
              <w:t xml:space="preserve">   </w:t>
            </w:r>
            <w:r w:rsidR="003F0CF7" w:rsidRPr="009A13F0">
              <w:rPr>
                <w:b w:val="0"/>
                <w:sz w:val="22"/>
              </w:rPr>
              <w:t>(</w:t>
            </w:r>
            <w:r w:rsidR="000226D2" w:rsidRPr="009A13F0">
              <w:rPr>
                <w:b w:val="0"/>
                <w:sz w:val="22"/>
              </w:rPr>
              <w:t>c</w:t>
            </w:r>
            <w:r w:rsidR="003F0CF7" w:rsidRPr="009A13F0">
              <w:rPr>
                <w:b w:val="0"/>
                <w:sz w:val="22"/>
              </w:rPr>
              <w:t>ontinued)</w:t>
            </w:r>
          </w:p>
        </w:tc>
      </w:tr>
      <w:tr w:rsidR="00112D1C" w:rsidRPr="00112D1C" w:rsidTr="00E57D47">
        <w:tc>
          <w:tcPr>
            <w:tcW w:w="5000" w:type="pct"/>
            <w:shd w:val="clear" w:color="auto" w:fill="auto"/>
          </w:tcPr>
          <w:p w:rsidR="00112D1C" w:rsidRPr="005D5E8B" w:rsidRDefault="00112D1C" w:rsidP="00112D1C">
            <w:pPr>
              <w:pStyle w:val="TableBodyText"/>
              <w:spacing w:after="0" w:line="80" w:lineRule="exact"/>
              <w:jc w:val="left"/>
            </w:pPr>
          </w:p>
        </w:tc>
      </w:tr>
      <w:tr w:rsidR="00BC4F82" w:rsidRPr="00E57D47" w:rsidTr="00BC4F82">
        <w:tc>
          <w:tcPr>
            <w:tcW w:w="5000" w:type="pct"/>
            <w:tcBorders>
              <w:top w:val="single" w:sz="4" w:space="0" w:color="auto"/>
              <w:bottom w:val="single" w:sz="4" w:space="0" w:color="auto"/>
            </w:tcBorders>
            <w:shd w:val="clear" w:color="auto" w:fill="auto"/>
          </w:tcPr>
          <w:p w:rsidR="00BC4F82" w:rsidRDefault="00BC4F82" w:rsidP="00BC4F82">
            <w:pPr>
              <w:pStyle w:val="TableColumnHeading"/>
              <w:ind w:right="28"/>
              <w:jc w:val="left"/>
            </w:pPr>
            <w:r>
              <w:t>Victoria</w:t>
            </w:r>
          </w:p>
        </w:tc>
      </w:tr>
      <w:tr w:rsidR="00BC4F82" w:rsidRPr="00E57D47" w:rsidTr="00BC4F82">
        <w:tc>
          <w:tcPr>
            <w:tcW w:w="5000" w:type="pct"/>
            <w:tcBorders>
              <w:top w:val="single" w:sz="4" w:space="0" w:color="auto"/>
            </w:tcBorders>
            <w:shd w:val="clear" w:color="auto" w:fill="auto"/>
          </w:tcPr>
          <w:p w:rsidR="00BC4F82" w:rsidRPr="00A74FAC" w:rsidRDefault="00BC4F82" w:rsidP="00BC4F82">
            <w:pPr>
              <w:pStyle w:val="TableBodyText"/>
              <w:spacing w:before="80"/>
              <w:jc w:val="left"/>
            </w:pPr>
            <w:r>
              <w:t>Consumer Action Law Centre</w:t>
            </w:r>
          </w:p>
        </w:tc>
      </w:tr>
      <w:tr w:rsidR="00BC4F82" w:rsidTr="00BC4F82">
        <w:tc>
          <w:tcPr>
            <w:tcW w:w="5000" w:type="pct"/>
            <w:shd w:val="clear" w:color="auto" w:fill="auto"/>
          </w:tcPr>
          <w:p w:rsidR="00BC4F82" w:rsidRPr="006A7AF1" w:rsidRDefault="00BC4F82" w:rsidP="00BC4F82">
            <w:pPr>
              <w:pStyle w:val="TableBodyText"/>
              <w:spacing w:before="20"/>
              <w:jc w:val="left"/>
            </w:pPr>
            <w:r>
              <w:t>Department of Premier and Cabinet</w:t>
            </w:r>
          </w:p>
        </w:tc>
      </w:tr>
      <w:tr w:rsidR="00BC4F82" w:rsidTr="00BC4F82">
        <w:tc>
          <w:tcPr>
            <w:tcW w:w="5000" w:type="pct"/>
            <w:shd w:val="clear" w:color="auto" w:fill="auto"/>
          </w:tcPr>
          <w:p w:rsidR="00BC4F82" w:rsidRPr="006A7AF1" w:rsidRDefault="00BC4F82" w:rsidP="00BC4F82">
            <w:pPr>
              <w:pStyle w:val="TableBodyText"/>
              <w:spacing w:before="20"/>
              <w:jc w:val="left"/>
              <w:rPr>
                <w:i/>
              </w:rPr>
            </w:pPr>
            <w:r w:rsidRPr="006A7AF1">
              <w:t>Department of Primary Industries</w:t>
            </w:r>
          </w:p>
        </w:tc>
      </w:tr>
      <w:tr w:rsidR="00BC4F82" w:rsidTr="00BC4F82">
        <w:tc>
          <w:tcPr>
            <w:tcW w:w="5000" w:type="pct"/>
            <w:shd w:val="clear" w:color="auto" w:fill="auto"/>
          </w:tcPr>
          <w:p w:rsidR="00BC4F82" w:rsidRPr="006A7AF1" w:rsidRDefault="00BC4F82" w:rsidP="00BC4F82">
            <w:pPr>
              <w:pStyle w:val="TableBodyText"/>
              <w:spacing w:before="20"/>
              <w:jc w:val="left"/>
              <w:rPr>
                <w:i/>
              </w:rPr>
            </w:pPr>
            <w:r w:rsidRPr="006A7AF1">
              <w:t>Department of Transport</w:t>
            </w:r>
          </w:p>
        </w:tc>
      </w:tr>
      <w:tr w:rsidR="00BC4F82" w:rsidTr="00BC4F82">
        <w:tc>
          <w:tcPr>
            <w:tcW w:w="5000" w:type="pct"/>
            <w:shd w:val="clear" w:color="auto" w:fill="auto"/>
          </w:tcPr>
          <w:p w:rsidR="00BC4F82" w:rsidRPr="006A7AF1" w:rsidRDefault="00BC4F82" w:rsidP="00BC4F82">
            <w:pPr>
              <w:pStyle w:val="TableBodyText"/>
              <w:spacing w:before="20"/>
              <w:jc w:val="left"/>
              <w:rPr>
                <w:i/>
              </w:rPr>
            </w:pPr>
            <w:r w:rsidRPr="006A7AF1">
              <w:t>Department of Treasury and Finance</w:t>
            </w:r>
          </w:p>
        </w:tc>
      </w:tr>
      <w:tr w:rsidR="00BC4F82" w:rsidTr="00BC4F82">
        <w:tc>
          <w:tcPr>
            <w:tcW w:w="5000" w:type="pct"/>
            <w:shd w:val="clear" w:color="auto" w:fill="auto"/>
          </w:tcPr>
          <w:p w:rsidR="00BC4F82" w:rsidRPr="006A7AF1" w:rsidRDefault="00BC4F82" w:rsidP="00BC4F82">
            <w:pPr>
              <w:pStyle w:val="TableBodyText"/>
              <w:spacing w:before="20"/>
              <w:jc w:val="left"/>
              <w:rPr>
                <w:i/>
              </w:rPr>
            </w:pPr>
            <w:r w:rsidRPr="006A7AF1">
              <w:t xml:space="preserve">Environmental Protection Authority </w:t>
            </w:r>
          </w:p>
        </w:tc>
      </w:tr>
      <w:tr w:rsidR="00BC4F82" w:rsidTr="00BC4F82">
        <w:tc>
          <w:tcPr>
            <w:tcW w:w="5000" w:type="pct"/>
            <w:shd w:val="clear" w:color="auto" w:fill="auto"/>
          </w:tcPr>
          <w:p w:rsidR="00BC4F82" w:rsidRPr="006A7AF1" w:rsidRDefault="00BC4F82" w:rsidP="00BC4F82">
            <w:pPr>
              <w:pStyle w:val="TableBodyText"/>
              <w:spacing w:before="20"/>
              <w:jc w:val="left"/>
              <w:rPr>
                <w:i/>
              </w:rPr>
            </w:pPr>
            <w:r w:rsidRPr="006A7AF1">
              <w:t>Scrutiny of Acts and Regulations Committee</w:t>
            </w:r>
          </w:p>
        </w:tc>
      </w:tr>
      <w:tr w:rsidR="00BC4F82" w:rsidTr="000226D2">
        <w:tc>
          <w:tcPr>
            <w:tcW w:w="5000" w:type="pct"/>
            <w:shd w:val="clear" w:color="auto" w:fill="auto"/>
          </w:tcPr>
          <w:p w:rsidR="00BC4F82" w:rsidRPr="006A7AF1" w:rsidRDefault="00BC4F82" w:rsidP="00BC4F82">
            <w:pPr>
              <w:pStyle w:val="TableBodyText"/>
              <w:spacing w:before="20"/>
              <w:jc w:val="left"/>
              <w:rPr>
                <w:i/>
              </w:rPr>
            </w:pPr>
            <w:r w:rsidRPr="006A7AF1">
              <w:t>Victorian Competition and Efficiency Commission</w:t>
            </w:r>
          </w:p>
        </w:tc>
      </w:tr>
      <w:tr w:rsidR="003F0CF7" w:rsidTr="000226D2">
        <w:tc>
          <w:tcPr>
            <w:tcW w:w="5000" w:type="pct"/>
            <w:shd w:val="clear" w:color="auto" w:fill="auto"/>
          </w:tcPr>
          <w:p w:rsidR="003F0CF7" w:rsidRPr="006A7AF1" w:rsidRDefault="003F0CF7" w:rsidP="00BC4F82">
            <w:pPr>
              <w:pStyle w:val="TableBodyText"/>
              <w:spacing w:before="20"/>
              <w:jc w:val="left"/>
            </w:pPr>
            <w:proofErr w:type="spellStart"/>
            <w:r>
              <w:t>VicRoads</w:t>
            </w:r>
            <w:proofErr w:type="spellEnd"/>
          </w:p>
        </w:tc>
      </w:tr>
      <w:tr w:rsidR="000226D2" w:rsidRPr="00112D1C" w:rsidTr="000226D2">
        <w:tc>
          <w:tcPr>
            <w:tcW w:w="5000" w:type="pct"/>
            <w:shd w:val="clear" w:color="auto" w:fill="auto"/>
          </w:tcPr>
          <w:p w:rsidR="000226D2" w:rsidRDefault="000226D2" w:rsidP="00E2619B">
            <w:pPr>
              <w:pStyle w:val="TableBodyText"/>
              <w:spacing w:after="0" w:line="80" w:lineRule="exact"/>
              <w:jc w:val="left"/>
            </w:pPr>
          </w:p>
          <w:p w:rsidR="000226D2" w:rsidRPr="005D5E8B" w:rsidRDefault="000226D2" w:rsidP="00E2619B">
            <w:pPr>
              <w:pStyle w:val="TableBodyText"/>
              <w:spacing w:after="0" w:line="80" w:lineRule="exact"/>
              <w:jc w:val="left"/>
            </w:pPr>
          </w:p>
        </w:tc>
      </w:tr>
      <w:tr w:rsidR="00112D1C" w:rsidRPr="00E57D47" w:rsidTr="003D6714">
        <w:tc>
          <w:tcPr>
            <w:tcW w:w="5000" w:type="pct"/>
            <w:tcBorders>
              <w:top w:val="single" w:sz="4" w:space="0" w:color="auto"/>
              <w:bottom w:val="single" w:sz="4" w:space="0" w:color="auto"/>
            </w:tcBorders>
            <w:shd w:val="clear" w:color="auto" w:fill="auto"/>
          </w:tcPr>
          <w:p w:rsidR="00112D1C" w:rsidRDefault="00112D1C" w:rsidP="003D6714">
            <w:pPr>
              <w:pStyle w:val="TableColumnHeading"/>
              <w:ind w:right="28"/>
              <w:jc w:val="left"/>
            </w:pPr>
            <w:r>
              <w:t>Queensland</w:t>
            </w:r>
          </w:p>
        </w:tc>
      </w:tr>
      <w:tr w:rsidR="00112D1C" w:rsidRPr="00E57D47" w:rsidTr="003D6714">
        <w:tc>
          <w:tcPr>
            <w:tcW w:w="5000" w:type="pct"/>
            <w:tcBorders>
              <w:top w:val="single" w:sz="4" w:space="0" w:color="auto"/>
            </w:tcBorders>
            <w:shd w:val="clear" w:color="auto" w:fill="auto"/>
          </w:tcPr>
          <w:p w:rsidR="00112D1C" w:rsidRPr="00A74FAC" w:rsidRDefault="008B4A10" w:rsidP="008B4A10">
            <w:pPr>
              <w:pStyle w:val="TableBodyText"/>
              <w:tabs>
                <w:tab w:val="left" w:pos="3855"/>
              </w:tabs>
              <w:spacing w:before="80"/>
              <w:jc w:val="left"/>
            </w:pPr>
            <w:r>
              <w:t>Council of the Ageing Queensland</w:t>
            </w:r>
          </w:p>
        </w:tc>
      </w:tr>
      <w:tr w:rsidR="008B4A10" w:rsidTr="00E57D47">
        <w:tc>
          <w:tcPr>
            <w:tcW w:w="5000" w:type="pct"/>
            <w:shd w:val="clear" w:color="auto" w:fill="auto"/>
          </w:tcPr>
          <w:p w:rsidR="008B4A10" w:rsidRPr="00490764" w:rsidRDefault="008B4A10" w:rsidP="00BC4F82">
            <w:pPr>
              <w:pStyle w:val="TableBodyText"/>
              <w:spacing w:before="20"/>
              <w:jc w:val="left"/>
            </w:pPr>
            <w:r>
              <w:t>Department of Education and Training</w:t>
            </w:r>
          </w:p>
        </w:tc>
      </w:tr>
      <w:tr w:rsidR="00112D1C" w:rsidTr="00E57D47">
        <w:tc>
          <w:tcPr>
            <w:tcW w:w="5000" w:type="pct"/>
            <w:shd w:val="clear" w:color="auto" w:fill="auto"/>
          </w:tcPr>
          <w:p w:rsidR="00112D1C" w:rsidRPr="00490764" w:rsidRDefault="00112D1C" w:rsidP="00BC4F82">
            <w:pPr>
              <w:pStyle w:val="TableBodyText"/>
              <w:spacing w:before="20"/>
              <w:jc w:val="left"/>
              <w:rPr>
                <w:i/>
              </w:rPr>
            </w:pPr>
            <w:r w:rsidRPr="00490764">
              <w:t>Department of Environment and Resource Management</w:t>
            </w:r>
          </w:p>
        </w:tc>
      </w:tr>
      <w:tr w:rsidR="00112D1C" w:rsidTr="00E57D47">
        <w:tc>
          <w:tcPr>
            <w:tcW w:w="5000" w:type="pct"/>
            <w:shd w:val="clear" w:color="auto" w:fill="auto"/>
          </w:tcPr>
          <w:p w:rsidR="00112D1C" w:rsidRPr="00490764" w:rsidRDefault="00112D1C" w:rsidP="00BC4F82">
            <w:pPr>
              <w:pStyle w:val="TableBodyText"/>
              <w:spacing w:before="20"/>
              <w:jc w:val="left"/>
              <w:rPr>
                <w:i/>
              </w:rPr>
            </w:pPr>
            <w:r w:rsidRPr="00490764">
              <w:t>Department of Employment Economic Development and Innovation</w:t>
            </w:r>
          </w:p>
        </w:tc>
      </w:tr>
      <w:tr w:rsidR="00112D1C" w:rsidTr="00E57D47">
        <w:tc>
          <w:tcPr>
            <w:tcW w:w="5000" w:type="pct"/>
            <w:shd w:val="clear" w:color="auto" w:fill="auto"/>
          </w:tcPr>
          <w:p w:rsidR="00112D1C" w:rsidRPr="00490764" w:rsidRDefault="00112D1C" w:rsidP="00BC4F82">
            <w:pPr>
              <w:pStyle w:val="TableBodyText"/>
              <w:spacing w:before="20"/>
              <w:jc w:val="left"/>
              <w:rPr>
                <w:i/>
              </w:rPr>
            </w:pPr>
            <w:r w:rsidRPr="00490764">
              <w:t>Department of Treasury</w:t>
            </w:r>
          </w:p>
        </w:tc>
      </w:tr>
      <w:tr w:rsidR="00112D1C" w:rsidTr="00E57D47">
        <w:tc>
          <w:tcPr>
            <w:tcW w:w="5000" w:type="pct"/>
            <w:shd w:val="clear" w:color="auto" w:fill="auto"/>
          </w:tcPr>
          <w:p w:rsidR="00112D1C" w:rsidRPr="00490764" w:rsidRDefault="00112D1C" w:rsidP="00BC4F82">
            <w:pPr>
              <w:pStyle w:val="TableBodyText"/>
              <w:spacing w:before="20"/>
              <w:jc w:val="left"/>
              <w:rPr>
                <w:i/>
              </w:rPr>
            </w:pPr>
            <w:r w:rsidRPr="00490764">
              <w:t>Queensland Business Commissioner</w:t>
            </w:r>
          </w:p>
        </w:tc>
      </w:tr>
      <w:tr w:rsidR="008B4A10" w:rsidTr="00E57D47">
        <w:tc>
          <w:tcPr>
            <w:tcW w:w="5000" w:type="pct"/>
            <w:shd w:val="clear" w:color="auto" w:fill="auto"/>
          </w:tcPr>
          <w:p w:rsidR="008B4A10" w:rsidRDefault="008B4A10" w:rsidP="00BC4F82">
            <w:pPr>
              <w:pStyle w:val="TableBodyText"/>
              <w:spacing w:before="20"/>
              <w:jc w:val="left"/>
            </w:pPr>
            <w:r>
              <w:t>Queensland Competition Authority – Office of Best Practice Regulation</w:t>
            </w:r>
          </w:p>
        </w:tc>
      </w:tr>
      <w:tr w:rsidR="008B4A10" w:rsidTr="00E57D47">
        <w:tc>
          <w:tcPr>
            <w:tcW w:w="5000" w:type="pct"/>
            <w:shd w:val="clear" w:color="auto" w:fill="auto"/>
          </w:tcPr>
          <w:p w:rsidR="008B4A10" w:rsidRPr="00490764" w:rsidRDefault="008B4A10" w:rsidP="00BC4F82">
            <w:pPr>
              <w:pStyle w:val="TableBodyText"/>
              <w:spacing w:before="20"/>
              <w:jc w:val="left"/>
            </w:pPr>
            <w:r>
              <w:t>Queensland Consumer Association</w:t>
            </w:r>
          </w:p>
        </w:tc>
      </w:tr>
      <w:tr w:rsidR="008B4A10" w:rsidTr="00E57D47">
        <w:tc>
          <w:tcPr>
            <w:tcW w:w="5000" w:type="pct"/>
            <w:shd w:val="clear" w:color="auto" w:fill="auto"/>
          </w:tcPr>
          <w:p w:rsidR="008B4A10" w:rsidRPr="00490764" w:rsidRDefault="008B4A10" w:rsidP="00BC4F82">
            <w:pPr>
              <w:pStyle w:val="TableBodyText"/>
              <w:spacing w:before="20"/>
              <w:jc w:val="left"/>
            </w:pPr>
            <w:r>
              <w:t>Queensland Council of Social Services</w:t>
            </w:r>
          </w:p>
        </w:tc>
      </w:tr>
      <w:tr w:rsidR="003F0CF7" w:rsidTr="00E57D47">
        <w:tc>
          <w:tcPr>
            <w:tcW w:w="5000" w:type="pct"/>
            <w:shd w:val="clear" w:color="auto" w:fill="auto"/>
          </w:tcPr>
          <w:p w:rsidR="003F0CF7" w:rsidRPr="00490764" w:rsidRDefault="003F0CF7" w:rsidP="00BC4F82">
            <w:pPr>
              <w:pStyle w:val="TableBodyText"/>
              <w:spacing w:before="20"/>
              <w:jc w:val="left"/>
            </w:pPr>
            <w:r>
              <w:t>Queensland Parliament – Committee Office</w:t>
            </w:r>
          </w:p>
        </w:tc>
      </w:tr>
      <w:tr w:rsidR="00112D1C" w:rsidTr="00E57D47">
        <w:tc>
          <w:tcPr>
            <w:tcW w:w="5000" w:type="pct"/>
            <w:shd w:val="clear" w:color="auto" w:fill="auto"/>
          </w:tcPr>
          <w:p w:rsidR="00112D1C" w:rsidRDefault="00112D1C" w:rsidP="00BC4F82">
            <w:pPr>
              <w:pStyle w:val="TableBodyText"/>
              <w:spacing w:before="20"/>
              <w:jc w:val="left"/>
              <w:rPr>
                <w:i/>
              </w:rPr>
            </w:pPr>
            <w:r w:rsidRPr="00490764">
              <w:t>Synergies Consulting</w:t>
            </w:r>
          </w:p>
        </w:tc>
      </w:tr>
      <w:tr w:rsidR="00112D1C" w:rsidRPr="00112D1C" w:rsidTr="00E57D47">
        <w:tc>
          <w:tcPr>
            <w:tcW w:w="5000" w:type="pct"/>
            <w:shd w:val="clear" w:color="auto" w:fill="auto"/>
          </w:tcPr>
          <w:p w:rsidR="00112D1C" w:rsidRDefault="00112D1C" w:rsidP="00E2619B">
            <w:pPr>
              <w:pStyle w:val="TableBodyText"/>
              <w:spacing w:after="0" w:line="80" w:lineRule="exact"/>
              <w:jc w:val="left"/>
            </w:pPr>
          </w:p>
          <w:p w:rsidR="00610F82" w:rsidRPr="005D5E8B" w:rsidRDefault="00610F82" w:rsidP="00E2619B">
            <w:pPr>
              <w:pStyle w:val="TableBodyText"/>
              <w:spacing w:after="0" w:line="80" w:lineRule="exact"/>
              <w:jc w:val="left"/>
            </w:pPr>
          </w:p>
        </w:tc>
      </w:tr>
      <w:tr w:rsidR="00112D1C" w:rsidRPr="00E57D47" w:rsidTr="003D6714">
        <w:tc>
          <w:tcPr>
            <w:tcW w:w="5000" w:type="pct"/>
            <w:tcBorders>
              <w:top w:val="single" w:sz="4" w:space="0" w:color="auto"/>
              <w:bottom w:val="single" w:sz="4" w:space="0" w:color="auto"/>
            </w:tcBorders>
            <w:shd w:val="clear" w:color="auto" w:fill="auto"/>
          </w:tcPr>
          <w:p w:rsidR="00112D1C" w:rsidRDefault="00112D1C" w:rsidP="003D6714">
            <w:pPr>
              <w:pStyle w:val="TableColumnHeading"/>
              <w:ind w:right="28"/>
              <w:jc w:val="left"/>
            </w:pPr>
            <w:r>
              <w:t>Western Australia</w:t>
            </w:r>
          </w:p>
        </w:tc>
      </w:tr>
      <w:tr w:rsidR="00112D1C" w:rsidRPr="00E57D47" w:rsidTr="003D6714">
        <w:tc>
          <w:tcPr>
            <w:tcW w:w="5000" w:type="pct"/>
            <w:tcBorders>
              <w:top w:val="single" w:sz="4" w:space="0" w:color="auto"/>
            </w:tcBorders>
            <w:shd w:val="clear" w:color="auto" w:fill="auto"/>
          </w:tcPr>
          <w:p w:rsidR="00112D1C" w:rsidRPr="00A74FAC" w:rsidRDefault="00112D1C" w:rsidP="00112D1C">
            <w:pPr>
              <w:pStyle w:val="TableBodyText"/>
              <w:spacing w:before="80"/>
              <w:jc w:val="left"/>
            </w:pPr>
            <w:r>
              <w:t>Department of Agriculture and Food</w:t>
            </w:r>
          </w:p>
        </w:tc>
      </w:tr>
      <w:tr w:rsidR="00112D1C" w:rsidRPr="00112D1C" w:rsidTr="00E57D47">
        <w:tc>
          <w:tcPr>
            <w:tcW w:w="5000" w:type="pct"/>
            <w:shd w:val="clear" w:color="auto" w:fill="auto"/>
          </w:tcPr>
          <w:p w:rsidR="00112D1C" w:rsidRPr="002D670C" w:rsidRDefault="00112D1C" w:rsidP="00BC4F82">
            <w:pPr>
              <w:pStyle w:val="TableBodyText"/>
              <w:spacing w:before="20"/>
              <w:jc w:val="left"/>
              <w:rPr>
                <w:i/>
              </w:rPr>
            </w:pPr>
            <w:r w:rsidRPr="002D670C">
              <w:t>Department of Commerce</w:t>
            </w:r>
          </w:p>
        </w:tc>
      </w:tr>
      <w:tr w:rsidR="00112D1C" w:rsidRPr="00112D1C" w:rsidTr="00E57D47">
        <w:tc>
          <w:tcPr>
            <w:tcW w:w="5000" w:type="pct"/>
            <w:shd w:val="clear" w:color="auto" w:fill="auto"/>
          </w:tcPr>
          <w:p w:rsidR="00112D1C" w:rsidRPr="002D670C" w:rsidRDefault="00112D1C" w:rsidP="00BC4F82">
            <w:pPr>
              <w:pStyle w:val="TableBodyText"/>
              <w:spacing w:before="20"/>
              <w:jc w:val="left"/>
              <w:rPr>
                <w:i/>
              </w:rPr>
            </w:pPr>
            <w:r w:rsidRPr="002D670C">
              <w:t>Department of Racing, Gaming and Liquor</w:t>
            </w:r>
          </w:p>
        </w:tc>
      </w:tr>
      <w:tr w:rsidR="00112D1C" w:rsidRPr="00112D1C" w:rsidTr="00E57D47">
        <w:tc>
          <w:tcPr>
            <w:tcW w:w="5000" w:type="pct"/>
            <w:shd w:val="clear" w:color="auto" w:fill="auto"/>
          </w:tcPr>
          <w:p w:rsidR="00112D1C" w:rsidRPr="002D670C" w:rsidRDefault="00112D1C" w:rsidP="00BC4F82">
            <w:pPr>
              <w:pStyle w:val="TableBodyText"/>
              <w:spacing w:before="20"/>
              <w:jc w:val="left"/>
              <w:rPr>
                <w:i/>
              </w:rPr>
            </w:pPr>
            <w:r w:rsidRPr="002D670C">
              <w:t>Department of Transport</w:t>
            </w:r>
          </w:p>
        </w:tc>
      </w:tr>
      <w:tr w:rsidR="00112D1C" w:rsidRPr="00112D1C" w:rsidTr="00E57D47">
        <w:tc>
          <w:tcPr>
            <w:tcW w:w="5000" w:type="pct"/>
            <w:shd w:val="clear" w:color="auto" w:fill="auto"/>
          </w:tcPr>
          <w:p w:rsidR="00112D1C" w:rsidRPr="002D670C" w:rsidRDefault="00112D1C" w:rsidP="00BC4F82">
            <w:pPr>
              <w:pStyle w:val="TableBodyText"/>
              <w:spacing w:before="20"/>
              <w:jc w:val="left"/>
              <w:rPr>
                <w:i/>
              </w:rPr>
            </w:pPr>
            <w:r w:rsidRPr="002D670C">
              <w:t>Department of Treasury – Regulatory Gatekeeping Unit</w:t>
            </w:r>
          </w:p>
        </w:tc>
      </w:tr>
      <w:tr w:rsidR="00112D1C" w:rsidRPr="00112D1C" w:rsidTr="00E57D47">
        <w:tc>
          <w:tcPr>
            <w:tcW w:w="5000" w:type="pct"/>
            <w:shd w:val="clear" w:color="auto" w:fill="auto"/>
          </w:tcPr>
          <w:p w:rsidR="00112D1C" w:rsidRPr="002D670C" w:rsidRDefault="00112D1C" w:rsidP="00BC4F82">
            <w:pPr>
              <w:pStyle w:val="TableBodyText"/>
              <w:spacing w:before="20"/>
              <w:jc w:val="left"/>
              <w:rPr>
                <w:i/>
              </w:rPr>
            </w:pPr>
            <w:r w:rsidRPr="002D670C">
              <w:t>Small Business Development Corporation</w:t>
            </w:r>
          </w:p>
        </w:tc>
      </w:tr>
      <w:tr w:rsidR="00112D1C" w:rsidRPr="00112D1C" w:rsidTr="00E57D47">
        <w:tc>
          <w:tcPr>
            <w:tcW w:w="5000" w:type="pct"/>
            <w:shd w:val="clear" w:color="auto" w:fill="auto"/>
          </w:tcPr>
          <w:p w:rsidR="00112D1C" w:rsidRPr="002D670C" w:rsidRDefault="00112D1C" w:rsidP="00112D1C">
            <w:pPr>
              <w:pStyle w:val="TableBodyText"/>
              <w:spacing w:after="0" w:line="80" w:lineRule="exact"/>
              <w:jc w:val="left"/>
            </w:pPr>
          </w:p>
        </w:tc>
      </w:tr>
      <w:tr w:rsidR="00112D1C" w:rsidRPr="00E57D47" w:rsidTr="003D6714">
        <w:tc>
          <w:tcPr>
            <w:tcW w:w="5000" w:type="pct"/>
            <w:tcBorders>
              <w:top w:val="single" w:sz="4" w:space="0" w:color="auto"/>
              <w:bottom w:val="single" w:sz="4" w:space="0" w:color="auto"/>
            </w:tcBorders>
            <w:shd w:val="clear" w:color="auto" w:fill="auto"/>
          </w:tcPr>
          <w:p w:rsidR="00112D1C" w:rsidRDefault="00112D1C" w:rsidP="003D6714">
            <w:pPr>
              <w:pStyle w:val="TableColumnHeading"/>
              <w:ind w:right="28"/>
              <w:jc w:val="left"/>
            </w:pPr>
            <w:r>
              <w:t>South Australia</w:t>
            </w:r>
          </w:p>
        </w:tc>
      </w:tr>
      <w:tr w:rsidR="00112D1C" w:rsidRPr="00E57D47" w:rsidTr="003D6714">
        <w:tc>
          <w:tcPr>
            <w:tcW w:w="5000" w:type="pct"/>
            <w:tcBorders>
              <w:top w:val="single" w:sz="4" w:space="0" w:color="auto"/>
            </w:tcBorders>
            <w:shd w:val="clear" w:color="auto" w:fill="auto"/>
          </w:tcPr>
          <w:p w:rsidR="00112D1C" w:rsidRPr="00A74FAC" w:rsidRDefault="00112D1C" w:rsidP="003D6714">
            <w:pPr>
              <w:pStyle w:val="TableBodyText"/>
              <w:spacing w:before="80"/>
              <w:jc w:val="left"/>
            </w:pPr>
            <w:proofErr w:type="spellStart"/>
            <w:r>
              <w:t>Anglicare</w:t>
            </w:r>
            <w:proofErr w:type="spellEnd"/>
            <w:r>
              <w:t xml:space="preserve"> SA</w:t>
            </w:r>
          </w:p>
        </w:tc>
      </w:tr>
      <w:tr w:rsidR="00112D1C" w:rsidRPr="00112D1C" w:rsidTr="00E57D47">
        <w:tc>
          <w:tcPr>
            <w:tcW w:w="5000" w:type="pct"/>
            <w:shd w:val="clear" w:color="auto" w:fill="auto"/>
          </w:tcPr>
          <w:p w:rsidR="00112D1C" w:rsidRPr="009A4A32" w:rsidRDefault="00112D1C" w:rsidP="00BC4F82">
            <w:pPr>
              <w:pStyle w:val="TableBodyText"/>
              <w:spacing w:before="20"/>
              <w:jc w:val="left"/>
              <w:rPr>
                <w:i/>
              </w:rPr>
            </w:pPr>
            <w:r w:rsidRPr="009A4A32">
              <w:t>Attorney General’s Department</w:t>
            </w:r>
          </w:p>
        </w:tc>
      </w:tr>
      <w:tr w:rsidR="00112D1C" w:rsidRPr="00112D1C" w:rsidTr="00E57D47">
        <w:tc>
          <w:tcPr>
            <w:tcW w:w="5000" w:type="pct"/>
            <w:shd w:val="clear" w:color="auto" w:fill="auto"/>
          </w:tcPr>
          <w:p w:rsidR="00112D1C" w:rsidRPr="009A4A32" w:rsidRDefault="00112D1C" w:rsidP="00BC4F82">
            <w:pPr>
              <w:pStyle w:val="TableBodyText"/>
              <w:spacing w:before="20"/>
              <w:jc w:val="left"/>
              <w:rPr>
                <w:i/>
              </w:rPr>
            </w:pPr>
            <w:r w:rsidRPr="009A4A32">
              <w:t>Business SA</w:t>
            </w:r>
          </w:p>
        </w:tc>
      </w:tr>
      <w:tr w:rsidR="00112D1C" w:rsidRPr="00112D1C" w:rsidTr="00E57D47">
        <w:tc>
          <w:tcPr>
            <w:tcW w:w="5000" w:type="pct"/>
            <w:shd w:val="clear" w:color="auto" w:fill="auto"/>
          </w:tcPr>
          <w:p w:rsidR="00112D1C" w:rsidRPr="009A4A32" w:rsidRDefault="00112D1C" w:rsidP="00BC4F82">
            <w:pPr>
              <w:pStyle w:val="TableBodyText"/>
              <w:spacing w:before="20"/>
              <w:jc w:val="left"/>
              <w:rPr>
                <w:i/>
              </w:rPr>
            </w:pPr>
            <w:r w:rsidRPr="009A4A32">
              <w:t>Department of Premier and Cabinet – Aboriginal Affairs and Reconciliation</w:t>
            </w:r>
          </w:p>
        </w:tc>
      </w:tr>
      <w:tr w:rsidR="00112D1C" w:rsidRPr="00112D1C" w:rsidTr="00E57D47">
        <w:tc>
          <w:tcPr>
            <w:tcW w:w="5000" w:type="pct"/>
            <w:shd w:val="clear" w:color="auto" w:fill="auto"/>
          </w:tcPr>
          <w:p w:rsidR="00112D1C" w:rsidRPr="009A4A32" w:rsidRDefault="00112D1C" w:rsidP="00BC4F82">
            <w:pPr>
              <w:pStyle w:val="TableBodyText"/>
              <w:spacing w:before="20"/>
              <w:jc w:val="left"/>
              <w:rPr>
                <w:i/>
              </w:rPr>
            </w:pPr>
            <w:r w:rsidRPr="009A4A32">
              <w:t>Environment Protection Authority</w:t>
            </w:r>
          </w:p>
        </w:tc>
      </w:tr>
      <w:tr w:rsidR="000226D2" w:rsidRPr="00112D1C" w:rsidTr="000226D2">
        <w:tc>
          <w:tcPr>
            <w:tcW w:w="5000" w:type="pct"/>
            <w:shd w:val="clear" w:color="auto" w:fill="auto"/>
          </w:tcPr>
          <w:p w:rsidR="000226D2" w:rsidRPr="009A4A32" w:rsidRDefault="000226D2" w:rsidP="009A13F0">
            <w:pPr>
              <w:pStyle w:val="TableBodyText"/>
              <w:spacing w:before="20"/>
              <w:jc w:val="left"/>
              <w:rPr>
                <w:i/>
              </w:rPr>
            </w:pPr>
            <w:r>
              <w:t>Motor Trades Association</w:t>
            </w:r>
          </w:p>
        </w:tc>
      </w:tr>
      <w:tr w:rsidR="000226D2" w:rsidRPr="00112D1C" w:rsidTr="000226D2">
        <w:tc>
          <w:tcPr>
            <w:tcW w:w="5000" w:type="pct"/>
            <w:tcBorders>
              <w:bottom w:val="single" w:sz="4" w:space="0" w:color="auto"/>
            </w:tcBorders>
            <w:shd w:val="clear" w:color="auto" w:fill="auto"/>
          </w:tcPr>
          <w:p w:rsidR="000226D2" w:rsidRPr="009A4A32" w:rsidRDefault="000226D2" w:rsidP="00E2619B">
            <w:pPr>
              <w:pStyle w:val="TableBodyText"/>
              <w:spacing w:before="20" w:after="80"/>
              <w:jc w:val="left"/>
              <w:rPr>
                <w:i/>
              </w:rPr>
            </w:pPr>
            <w:r w:rsidRPr="009A4A32">
              <w:t>Restaurant and Catering South Australia</w:t>
            </w:r>
          </w:p>
        </w:tc>
      </w:tr>
      <w:tr w:rsidR="000226D2" w:rsidRPr="00112D1C" w:rsidTr="000226D2">
        <w:tc>
          <w:tcPr>
            <w:tcW w:w="5000" w:type="pct"/>
            <w:tcBorders>
              <w:top w:val="single" w:sz="4" w:space="0" w:color="auto"/>
            </w:tcBorders>
            <w:shd w:val="clear" w:color="auto" w:fill="auto"/>
          </w:tcPr>
          <w:p w:rsidR="000226D2" w:rsidRPr="005D5E8B" w:rsidRDefault="000226D2" w:rsidP="00190B28">
            <w:pPr>
              <w:pStyle w:val="TableBodyText"/>
              <w:spacing w:before="80" w:after="0" w:line="180" w:lineRule="exact"/>
            </w:pPr>
            <w:r>
              <w:t>(continued next page)</w:t>
            </w:r>
          </w:p>
        </w:tc>
      </w:tr>
    </w:tbl>
    <w:p w:rsidR="000226D2" w:rsidRDefault="000226D2">
      <w:r>
        <w:br w:type="page"/>
      </w:r>
    </w:p>
    <w:tbl>
      <w:tblPr>
        <w:tblW w:w="5000" w:type="pct"/>
        <w:tblCellMar>
          <w:left w:w="0" w:type="dxa"/>
          <w:right w:w="0" w:type="dxa"/>
        </w:tblCellMar>
        <w:tblLook w:val="0000" w:firstRow="0" w:lastRow="0" w:firstColumn="0" w:lastColumn="0" w:noHBand="0" w:noVBand="0"/>
      </w:tblPr>
      <w:tblGrid>
        <w:gridCol w:w="8789"/>
      </w:tblGrid>
      <w:tr w:rsidR="000226D2" w:rsidRPr="003F0CF7" w:rsidTr="000226D2">
        <w:tc>
          <w:tcPr>
            <w:tcW w:w="5000" w:type="pct"/>
            <w:tcBorders>
              <w:bottom w:val="single" w:sz="4" w:space="0" w:color="auto"/>
            </w:tcBorders>
            <w:shd w:val="clear" w:color="auto" w:fill="auto"/>
          </w:tcPr>
          <w:p w:rsidR="000226D2" w:rsidRPr="005D5E8B" w:rsidRDefault="009A13F0" w:rsidP="009A13F0">
            <w:pPr>
              <w:pStyle w:val="TableTitle"/>
            </w:pPr>
            <w:r w:rsidRPr="009A13F0">
              <w:rPr>
                <w:b w:val="0"/>
              </w:rPr>
              <w:lastRenderedPageBreak/>
              <w:t xml:space="preserve">Table </w:t>
            </w:r>
            <w:proofErr w:type="spellStart"/>
            <w:r w:rsidRPr="009A13F0">
              <w:rPr>
                <w:b w:val="0"/>
              </w:rPr>
              <w:t>A.2</w:t>
            </w:r>
            <w:proofErr w:type="spellEnd"/>
            <w:r w:rsidRPr="009A13F0">
              <w:rPr>
                <w:b w:val="0"/>
              </w:rPr>
              <w:t xml:space="preserve">   </w:t>
            </w:r>
            <w:r w:rsidRPr="009A13F0">
              <w:rPr>
                <w:b w:val="0"/>
                <w:sz w:val="22"/>
              </w:rPr>
              <w:t>(continued)</w:t>
            </w:r>
          </w:p>
        </w:tc>
      </w:tr>
      <w:tr w:rsidR="000226D2" w:rsidRPr="00112D1C" w:rsidTr="000226D2">
        <w:tc>
          <w:tcPr>
            <w:tcW w:w="5000" w:type="pct"/>
            <w:tcBorders>
              <w:top w:val="single" w:sz="4" w:space="0" w:color="auto"/>
            </w:tcBorders>
            <w:shd w:val="clear" w:color="auto" w:fill="auto"/>
          </w:tcPr>
          <w:p w:rsidR="000226D2" w:rsidRPr="005D5E8B" w:rsidRDefault="000226D2" w:rsidP="009A13F0">
            <w:pPr>
              <w:pStyle w:val="TableBodyText"/>
              <w:spacing w:after="0" w:line="80" w:lineRule="exact"/>
              <w:jc w:val="left"/>
            </w:pPr>
          </w:p>
        </w:tc>
      </w:tr>
      <w:tr w:rsidR="000226D2" w:rsidRPr="000226D2" w:rsidTr="000226D2">
        <w:tc>
          <w:tcPr>
            <w:tcW w:w="5000" w:type="pct"/>
            <w:tcBorders>
              <w:bottom w:val="single" w:sz="4" w:space="0" w:color="auto"/>
            </w:tcBorders>
            <w:shd w:val="clear" w:color="auto" w:fill="auto"/>
          </w:tcPr>
          <w:p w:rsidR="000226D2" w:rsidRPr="000226D2" w:rsidRDefault="000226D2" w:rsidP="00BC4F82">
            <w:pPr>
              <w:pStyle w:val="TableBodyText"/>
              <w:spacing w:before="20"/>
              <w:jc w:val="left"/>
              <w:rPr>
                <w:i/>
              </w:rPr>
            </w:pPr>
            <w:r w:rsidRPr="000226D2">
              <w:rPr>
                <w:i/>
              </w:rPr>
              <w:t>South Australia (continued)</w:t>
            </w:r>
          </w:p>
        </w:tc>
      </w:tr>
      <w:tr w:rsidR="00610F82" w:rsidRPr="00112D1C" w:rsidTr="000226D2">
        <w:tc>
          <w:tcPr>
            <w:tcW w:w="5000" w:type="pct"/>
            <w:tcBorders>
              <w:top w:val="single" w:sz="4" w:space="0" w:color="auto"/>
            </w:tcBorders>
            <w:shd w:val="clear" w:color="auto" w:fill="auto"/>
          </w:tcPr>
          <w:p w:rsidR="00610F82" w:rsidRDefault="00610F82" w:rsidP="00BC4F82">
            <w:pPr>
              <w:pStyle w:val="TableBodyText"/>
              <w:spacing w:before="20"/>
              <w:jc w:val="left"/>
              <w:rPr>
                <w:i/>
              </w:rPr>
            </w:pPr>
            <w:r>
              <w:t>Impact assessment agencies</w:t>
            </w:r>
          </w:p>
        </w:tc>
      </w:tr>
      <w:tr w:rsidR="00610F82" w:rsidRPr="00112D1C" w:rsidTr="00F20417">
        <w:tc>
          <w:tcPr>
            <w:tcW w:w="5000" w:type="pct"/>
            <w:shd w:val="clear" w:color="auto" w:fill="auto"/>
          </w:tcPr>
          <w:p w:rsidR="00610F82" w:rsidRPr="009A4A32" w:rsidRDefault="00610F82" w:rsidP="000226D2">
            <w:pPr>
              <w:pStyle w:val="TableBodyText"/>
              <w:spacing w:before="20"/>
              <w:ind w:firstLine="136"/>
              <w:jc w:val="left"/>
              <w:rPr>
                <w:i/>
              </w:rPr>
            </w:pPr>
            <w:r w:rsidRPr="009A4A32">
              <w:t xml:space="preserve">Department of Premier and Cabinet – </w:t>
            </w:r>
            <w:r>
              <w:t>Cabinet Office</w:t>
            </w:r>
          </w:p>
        </w:tc>
      </w:tr>
      <w:tr w:rsidR="00610F82" w:rsidRPr="00112D1C" w:rsidTr="00F20417">
        <w:tc>
          <w:tcPr>
            <w:tcW w:w="5000" w:type="pct"/>
            <w:shd w:val="clear" w:color="auto" w:fill="auto"/>
          </w:tcPr>
          <w:p w:rsidR="00610F82" w:rsidRPr="009A4A32" w:rsidRDefault="00610F82" w:rsidP="000226D2">
            <w:pPr>
              <w:pStyle w:val="TableBodyText"/>
              <w:spacing w:before="20"/>
              <w:ind w:firstLine="136"/>
              <w:jc w:val="left"/>
              <w:rPr>
                <w:i/>
              </w:rPr>
            </w:pPr>
            <w:r w:rsidRPr="009A4A32">
              <w:t>Department of Treasury and Finance</w:t>
            </w:r>
          </w:p>
        </w:tc>
      </w:tr>
      <w:tr w:rsidR="00610F82" w:rsidRPr="00112D1C" w:rsidTr="00F20417">
        <w:tc>
          <w:tcPr>
            <w:tcW w:w="5000" w:type="pct"/>
            <w:shd w:val="clear" w:color="auto" w:fill="auto"/>
          </w:tcPr>
          <w:p w:rsidR="00610F82" w:rsidRPr="009A4A32" w:rsidRDefault="00610F82" w:rsidP="000226D2">
            <w:pPr>
              <w:pStyle w:val="TableBodyText"/>
              <w:spacing w:before="20"/>
              <w:ind w:firstLine="136"/>
              <w:jc w:val="left"/>
              <w:rPr>
                <w:i/>
              </w:rPr>
            </w:pPr>
            <w:r w:rsidRPr="009A4A32">
              <w:t xml:space="preserve">Department </w:t>
            </w:r>
            <w:r>
              <w:t>for</w:t>
            </w:r>
            <w:r w:rsidRPr="009A4A32">
              <w:t xml:space="preserve"> Manufacturing, Innovation, Trade, Resources and Energy</w:t>
            </w:r>
          </w:p>
        </w:tc>
      </w:tr>
      <w:tr w:rsidR="00610F82" w:rsidRPr="00112D1C" w:rsidTr="00F20417">
        <w:tc>
          <w:tcPr>
            <w:tcW w:w="5000" w:type="pct"/>
            <w:shd w:val="clear" w:color="auto" w:fill="auto"/>
          </w:tcPr>
          <w:p w:rsidR="00610F82" w:rsidRPr="009A4A32" w:rsidRDefault="00610F82" w:rsidP="000226D2">
            <w:pPr>
              <w:pStyle w:val="TableBodyText"/>
              <w:spacing w:before="20"/>
              <w:ind w:firstLine="136"/>
              <w:jc w:val="left"/>
              <w:rPr>
                <w:i/>
              </w:rPr>
            </w:pPr>
            <w:r>
              <w:t>Department for Communities and Social Inclusion</w:t>
            </w:r>
          </w:p>
        </w:tc>
      </w:tr>
      <w:tr w:rsidR="00610F82" w:rsidRPr="00112D1C" w:rsidTr="00F20417">
        <w:tc>
          <w:tcPr>
            <w:tcW w:w="5000" w:type="pct"/>
            <w:shd w:val="clear" w:color="auto" w:fill="auto"/>
          </w:tcPr>
          <w:p w:rsidR="00610F82" w:rsidRPr="009A4A32" w:rsidRDefault="00610F82" w:rsidP="000226D2">
            <w:pPr>
              <w:pStyle w:val="TableBodyText"/>
              <w:spacing w:before="20"/>
              <w:ind w:firstLine="136"/>
              <w:jc w:val="left"/>
              <w:rPr>
                <w:i/>
              </w:rPr>
            </w:pPr>
            <w:r w:rsidRPr="009A4A32">
              <w:t>Department of Environment and Natural Resources</w:t>
            </w:r>
          </w:p>
        </w:tc>
      </w:tr>
      <w:tr w:rsidR="00112D1C" w:rsidRPr="00112D1C" w:rsidTr="00E57D47">
        <w:tc>
          <w:tcPr>
            <w:tcW w:w="5000" w:type="pct"/>
            <w:shd w:val="clear" w:color="auto" w:fill="auto"/>
          </w:tcPr>
          <w:p w:rsidR="00112D1C" w:rsidRPr="002D670C" w:rsidRDefault="00112D1C" w:rsidP="00E2619B">
            <w:pPr>
              <w:pStyle w:val="TableBodyText"/>
              <w:spacing w:after="0" w:line="80" w:lineRule="exact"/>
              <w:jc w:val="left"/>
              <w:rPr>
                <w:szCs w:val="24"/>
              </w:rPr>
            </w:pPr>
          </w:p>
        </w:tc>
      </w:tr>
      <w:tr w:rsidR="00BC4F82" w:rsidRPr="00E57D47" w:rsidTr="00BC4F82">
        <w:tc>
          <w:tcPr>
            <w:tcW w:w="5000" w:type="pct"/>
            <w:tcBorders>
              <w:top w:val="single" w:sz="4" w:space="0" w:color="auto"/>
              <w:bottom w:val="single" w:sz="4" w:space="0" w:color="auto"/>
            </w:tcBorders>
            <w:shd w:val="clear" w:color="auto" w:fill="auto"/>
          </w:tcPr>
          <w:p w:rsidR="00BC4F82" w:rsidRDefault="00BC4F82" w:rsidP="00E2619B">
            <w:pPr>
              <w:pStyle w:val="TableColumnHeading"/>
              <w:jc w:val="left"/>
              <w:rPr>
                <w:i w:val="0"/>
              </w:rPr>
            </w:pPr>
            <w:r>
              <w:t>Tasmania</w:t>
            </w:r>
          </w:p>
        </w:tc>
      </w:tr>
      <w:tr w:rsidR="00BC4F82" w:rsidRPr="00E57D47" w:rsidTr="00BC4F82">
        <w:tc>
          <w:tcPr>
            <w:tcW w:w="5000" w:type="pct"/>
            <w:tcBorders>
              <w:top w:val="single" w:sz="4" w:space="0" w:color="auto"/>
            </w:tcBorders>
            <w:shd w:val="clear" w:color="auto" w:fill="auto"/>
          </w:tcPr>
          <w:p w:rsidR="00BC4F82" w:rsidRPr="00A74FAC" w:rsidRDefault="00BC4F82" w:rsidP="00BC4F82">
            <w:pPr>
              <w:pStyle w:val="TableBodyText"/>
              <w:spacing w:before="80"/>
              <w:jc w:val="left"/>
            </w:pPr>
            <w:r>
              <w:t>Department of Infrastructure, Energy and Resources</w:t>
            </w:r>
          </w:p>
        </w:tc>
      </w:tr>
      <w:tr w:rsidR="00BC4F82" w:rsidRPr="00112D1C" w:rsidTr="00BC4F82">
        <w:tc>
          <w:tcPr>
            <w:tcW w:w="5000" w:type="pct"/>
            <w:shd w:val="clear" w:color="auto" w:fill="auto"/>
          </w:tcPr>
          <w:p w:rsidR="00BC4F82" w:rsidRPr="00DA3F3C" w:rsidRDefault="00BC4F82" w:rsidP="00BC4F82">
            <w:pPr>
              <w:pStyle w:val="TableBodyText"/>
              <w:spacing w:before="20"/>
              <w:jc w:val="left"/>
              <w:rPr>
                <w:i/>
              </w:rPr>
            </w:pPr>
            <w:r w:rsidRPr="00DA3F3C">
              <w:t>Department of Justice</w:t>
            </w:r>
          </w:p>
        </w:tc>
      </w:tr>
      <w:tr w:rsidR="00BC4F82" w:rsidRPr="00112D1C" w:rsidTr="00BC4F82">
        <w:tc>
          <w:tcPr>
            <w:tcW w:w="5000" w:type="pct"/>
            <w:shd w:val="clear" w:color="auto" w:fill="auto"/>
          </w:tcPr>
          <w:p w:rsidR="00BC4F82" w:rsidRPr="00DA3F3C" w:rsidRDefault="00BC4F82" w:rsidP="00BC4F82">
            <w:pPr>
              <w:pStyle w:val="TableBodyText"/>
              <w:spacing w:before="20"/>
              <w:jc w:val="left"/>
              <w:rPr>
                <w:i/>
              </w:rPr>
            </w:pPr>
            <w:r w:rsidRPr="00DA3F3C">
              <w:t>Department of Primary Industries, Water and Environment</w:t>
            </w:r>
          </w:p>
        </w:tc>
      </w:tr>
      <w:tr w:rsidR="00BC4F82" w:rsidRPr="00112D1C" w:rsidTr="00BC4F82">
        <w:tc>
          <w:tcPr>
            <w:tcW w:w="5000" w:type="pct"/>
            <w:shd w:val="clear" w:color="auto" w:fill="auto"/>
          </w:tcPr>
          <w:p w:rsidR="00BC4F82" w:rsidRPr="00DA3F3C" w:rsidRDefault="00BC4F82" w:rsidP="00BC4F82">
            <w:pPr>
              <w:pStyle w:val="TableBodyText"/>
              <w:spacing w:before="20"/>
              <w:jc w:val="left"/>
              <w:rPr>
                <w:i/>
              </w:rPr>
            </w:pPr>
            <w:r w:rsidRPr="00DA3F3C">
              <w:t>Department of Treasury and Finance</w:t>
            </w:r>
          </w:p>
        </w:tc>
      </w:tr>
      <w:tr w:rsidR="00BC4F82" w:rsidRPr="00112D1C" w:rsidTr="00BC4F82">
        <w:tc>
          <w:tcPr>
            <w:tcW w:w="5000" w:type="pct"/>
            <w:shd w:val="clear" w:color="auto" w:fill="auto"/>
          </w:tcPr>
          <w:p w:rsidR="00BC4F82" w:rsidRPr="00DA3F3C" w:rsidRDefault="00BC4F82" w:rsidP="00BC4F82">
            <w:pPr>
              <w:pStyle w:val="TableBodyText"/>
              <w:spacing w:before="20"/>
              <w:jc w:val="left"/>
              <w:rPr>
                <w:i/>
              </w:rPr>
            </w:pPr>
            <w:r w:rsidRPr="00DA3F3C">
              <w:t>Joint Standing Committee on Subordinate Legislation</w:t>
            </w:r>
          </w:p>
        </w:tc>
      </w:tr>
      <w:tr w:rsidR="00BC4F82" w:rsidRPr="00112D1C" w:rsidTr="00BC4F82">
        <w:tc>
          <w:tcPr>
            <w:tcW w:w="5000" w:type="pct"/>
            <w:shd w:val="clear" w:color="auto" w:fill="auto"/>
          </w:tcPr>
          <w:p w:rsidR="00BC4F82" w:rsidRPr="003E17CD" w:rsidRDefault="00BC4F82" w:rsidP="00BC4F82">
            <w:pPr>
              <w:pStyle w:val="TableBodyText"/>
              <w:spacing w:before="20"/>
              <w:jc w:val="left"/>
              <w:rPr>
                <w:i/>
              </w:rPr>
            </w:pPr>
            <w:r w:rsidRPr="003E17CD">
              <w:t>Tasmanian Chamber of Commerce and Industry</w:t>
            </w:r>
          </w:p>
        </w:tc>
      </w:tr>
      <w:tr w:rsidR="00BC4F82" w:rsidRPr="00112D1C" w:rsidTr="00BC4F82">
        <w:tc>
          <w:tcPr>
            <w:tcW w:w="5000" w:type="pct"/>
            <w:shd w:val="clear" w:color="auto" w:fill="auto"/>
          </w:tcPr>
          <w:p w:rsidR="00BC4F82" w:rsidRPr="003E17CD" w:rsidRDefault="00BC4F82" w:rsidP="00BC4F82">
            <w:pPr>
              <w:pStyle w:val="TableBodyText"/>
              <w:spacing w:before="20"/>
              <w:jc w:val="left"/>
              <w:rPr>
                <w:i/>
              </w:rPr>
            </w:pPr>
            <w:r w:rsidRPr="003E17CD">
              <w:t>Tasmanian Small Business Council</w:t>
            </w:r>
          </w:p>
        </w:tc>
      </w:tr>
      <w:tr w:rsidR="000226D2" w:rsidRPr="00112D1C" w:rsidTr="009A13F0">
        <w:tc>
          <w:tcPr>
            <w:tcW w:w="5000" w:type="pct"/>
            <w:shd w:val="clear" w:color="auto" w:fill="auto"/>
          </w:tcPr>
          <w:p w:rsidR="000226D2" w:rsidRPr="002D670C" w:rsidRDefault="000226D2" w:rsidP="00E2619B">
            <w:pPr>
              <w:pStyle w:val="TableBodyText"/>
              <w:spacing w:after="0" w:line="80" w:lineRule="exact"/>
              <w:jc w:val="left"/>
              <w:rPr>
                <w:szCs w:val="24"/>
              </w:rPr>
            </w:pPr>
          </w:p>
        </w:tc>
      </w:tr>
      <w:tr w:rsidR="00112D1C" w:rsidRPr="00E57D47" w:rsidTr="003D6714">
        <w:tc>
          <w:tcPr>
            <w:tcW w:w="5000" w:type="pct"/>
            <w:tcBorders>
              <w:top w:val="single" w:sz="4" w:space="0" w:color="auto"/>
              <w:bottom w:val="single" w:sz="4" w:space="0" w:color="auto"/>
            </w:tcBorders>
            <w:shd w:val="clear" w:color="auto" w:fill="auto"/>
          </w:tcPr>
          <w:p w:rsidR="00112D1C" w:rsidRDefault="00112D1C" w:rsidP="003D6714">
            <w:pPr>
              <w:pStyle w:val="TableColumnHeading"/>
              <w:ind w:right="28"/>
              <w:jc w:val="left"/>
            </w:pPr>
            <w:r>
              <w:t>Australian Capital Territory</w:t>
            </w:r>
          </w:p>
        </w:tc>
      </w:tr>
      <w:tr w:rsidR="00112D1C" w:rsidRPr="00E57D47" w:rsidTr="003D6714">
        <w:tc>
          <w:tcPr>
            <w:tcW w:w="5000" w:type="pct"/>
            <w:tcBorders>
              <w:top w:val="single" w:sz="4" w:space="0" w:color="auto"/>
            </w:tcBorders>
            <w:shd w:val="clear" w:color="auto" w:fill="auto"/>
          </w:tcPr>
          <w:p w:rsidR="00112D1C" w:rsidRPr="00BC6F08" w:rsidRDefault="00112D1C" w:rsidP="00112D1C">
            <w:pPr>
              <w:pStyle w:val="TableBodyText"/>
              <w:spacing w:before="80"/>
              <w:jc w:val="left"/>
            </w:pPr>
            <w:r w:rsidRPr="00BC6F08">
              <w:t>ACT Treasury Directorate</w:t>
            </w:r>
          </w:p>
        </w:tc>
      </w:tr>
      <w:tr w:rsidR="00112D1C" w:rsidRPr="00112D1C" w:rsidTr="000226D2">
        <w:tc>
          <w:tcPr>
            <w:tcW w:w="5000" w:type="pct"/>
            <w:shd w:val="clear" w:color="auto" w:fill="auto"/>
          </w:tcPr>
          <w:p w:rsidR="00112D1C" w:rsidRPr="00BC6F08" w:rsidRDefault="00112D1C" w:rsidP="00BC4F82">
            <w:pPr>
              <w:pStyle w:val="TableBodyText"/>
              <w:spacing w:before="20"/>
              <w:jc w:val="left"/>
              <w:rPr>
                <w:i/>
              </w:rPr>
            </w:pPr>
            <w:r w:rsidRPr="00BC6F08">
              <w:t>ACT Office of Industrial Relations</w:t>
            </w:r>
          </w:p>
        </w:tc>
      </w:tr>
      <w:tr w:rsidR="00112D1C" w:rsidRPr="00112D1C" w:rsidTr="000226D2">
        <w:tc>
          <w:tcPr>
            <w:tcW w:w="5000" w:type="pct"/>
            <w:shd w:val="clear" w:color="auto" w:fill="auto"/>
          </w:tcPr>
          <w:p w:rsidR="00112D1C" w:rsidRDefault="00112D1C" w:rsidP="00BC4F82">
            <w:pPr>
              <w:pStyle w:val="TableBodyText"/>
              <w:spacing w:before="20"/>
              <w:jc w:val="left"/>
              <w:rPr>
                <w:i/>
              </w:rPr>
            </w:pPr>
            <w:r w:rsidRPr="00BC6F08">
              <w:t>Department of Environment and Sustainable Development</w:t>
            </w:r>
          </w:p>
        </w:tc>
      </w:tr>
      <w:tr w:rsidR="000226D2" w:rsidRPr="00112D1C" w:rsidTr="000226D2">
        <w:tc>
          <w:tcPr>
            <w:tcW w:w="5000" w:type="pct"/>
            <w:shd w:val="clear" w:color="auto" w:fill="auto"/>
          </w:tcPr>
          <w:p w:rsidR="000226D2" w:rsidRPr="002D670C" w:rsidRDefault="000226D2" w:rsidP="00E2619B">
            <w:pPr>
              <w:pStyle w:val="TableBodyText"/>
              <w:spacing w:after="0" w:line="80" w:lineRule="exact"/>
              <w:jc w:val="left"/>
              <w:rPr>
                <w:szCs w:val="24"/>
              </w:rPr>
            </w:pPr>
          </w:p>
        </w:tc>
      </w:tr>
      <w:tr w:rsidR="00555882" w:rsidRPr="00E57D47" w:rsidTr="006700AB">
        <w:tc>
          <w:tcPr>
            <w:tcW w:w="5000" w:type="pct"/>
            <w:tcBorders>
              <w:top w:val="single" w:sz="4" w:space="0" w:color="auto"/>
              <w:bottom w:val="single" w:sz="4" w:space="0" w:color="auto"/>
            </w:tcBorders>
            <w:shd w:val="clear" w:color="auto" w:fill="auto"/>
          </w:tcPr>
          <w:p w:rsidR="00555882" w:rsidRDefault="00555882" w:rsidP="006700AB">
            <w:pPr>
              <w:pStyle w:val="TableColumnHeading"/>
              <w:ind w:right="28"/>
              <w:jc w:val="left"/>
            </w:pPr>
            <w:r>
              <w:t>Northern Territory</w:t>
            </w:r>
          </w:p>
        </w:tc>
      </w:tr>
      <w:tr w:rsidR="00555882" w:rsidRPr="00112D1C" w:rsidTr="006700AB">
        <w:tc>
          <w:tcPr>
            <w:tcW w:w="5000" w:type="pct"/>
            <w:shd w:val="clear" w:color="auto" w:fill="auto"/>
          </w:tcPr>
          <w:p w:rsidR="00555882" w:rsidRPr="00794500" w:rsidRDefault="00555882" w:rsidP="006700AB">
            <w:pPr>
              <w:pStyle w:val="TableBodyText"/>
              <w:spacing w:before="80"/>
              <w:jc w:val="left"/>
            </w:pPr>
            <w:r w:rsidRPr="00794500">
              <w:t>Department of Health</w:t>
            </w:r>
          </w:p>
        </w:tc>
      </w:tr>
      <w:tr w:rsidR="00555882" w:rsidRPr="00112D1C" w:rsidTr="006700AB">
        <w:tc>
          <w:tcPr>
            <w:tcW w:w="5000" w:type="pct"/>
            <w:shd w:val="clear" w:color="auto" w:fill="auto"/>
          </w:tcPr>
          <w:p w:rsidR="00555882" w:rsidRPr="00794500" w:rsidRDefault="00555882" w:rsidP="00BC4F82">
            <w:pPr>
              <w:pStyle w:val="TableBodyText"/>
              <w:spacing w:before="20"/>
              <w:jc w:val="left"/>
              <w:rPr>
                <w:i/>
              </w:rPr>
            </w:pPr>
            <w:r w:rsidRPr="00794500">
              <w:t>Department of Justice</w:t>
            </w:r>
          </w:p>
        </w:tc>
      </w:tr>
      <w:tr w:rsidR="00555882" w:rsidRPr="00112D1C" w:rsidTr="006700AB">
        <w:tc>
          <w:tcPr>
            <w:tcW w:w="5000" w:type="pct"/>
            <w:shd w:val="clear" w:color="auto" w:fill="auto"/>
          </w:tcPr>
          <w:p w:rsidR="00555882" w:rsidRPr="00794500" w:rsidRDefault="00555882" w:rsidP="00BC4F82">
            <w:pPr>
              <w:pStyle w:val="TableBodyText"/>
              <w:spacing w:before="20"/>
              <w:jc w:val="left"/>
              <w:rPr>
                <w:i/>
              </w:rPr>
            </w:pPr>
            <w:r w:rsidRPr="00794500">
              <w:t>Department of Treasury</w:t>
            </w:r>
          </w:p>
        </w:tc>
      </w:tr>
      <w:tr w:rsidR="00555882" w:rsidRPr="00112D1C" w:rsidTr="006700AB">
        <w:tc>
          <w:tcPr>
            <w:tcW w:w="5000" w:type="pct"/>
            <w:shd w:val="clear" w:color="auto" w:fill="auto"/>
          </w:tcPr>
          <w:p w:rsidR="00555882" w:rsidRPr="00794500" w:rsidRDefault="00555882" w:rsidP="00BC4F82">
            <w:pPr>
              <w:pStyle w:val="TableBodyText"/>
              <w:spacing w:before="20"/>
              <w:jc w:val="left"/>
              <w:rPr>
                <w:i/>
              </w:rPr>
            </w:pPr>
            <w:r w:rsidRPr="00794500">
              <w:t>Department of Treasury</w:t>
            </w:r>
            <w:r>
              <w:t xml:space="preserve"> – Regulation Impact Unit</w:t>
            </w:r>
          </w:p>
        </w:tc>
      </w:tr>
      <w:tr w:rsidR="00555882" w:rsidRPr="00112D1C" w:rsidTr="006700AB">
        <w:tc>
          <w:tcPr>
            <w:tcW w:w="5000" w:type="pct"/>
            <w:shd w:val="clear" w:color="auto" w:fill="auto"/>
          </w:tcPr>
          <w:p w:rsidR="00555882" w:rsidRDefault="00555882" w:rsidP="00BC4F82">
            <w:pPr>
              <w:pStyle w:val="TableBodyText"/>
              <w:spacing w:before="20"/>
              <w:jc w:val="left"/>
              <w:rPr>
                <w:i/>
              </w:rPr>
            </w:pPr>
            <w:r w:rsidRPr="00794500">
              <w:t>Regulation Impact Committee</w:t>
            </w:r>
          </w:p>
        </w:tc>
      </w:tr>
      <w:tr w:rsidR="00555882" w:rsidRPr="00112D1C" w:rsidTr="006700AB">
        <w:tc>
          <w:tcPr>
            <w:tcW w:w="5000" w:type="pct"/>
            <w:shd w:val="clear" w:color="auto" w:fill="auto"/>
          </w:tcPr>
          <w:p w:rsidR="00555882" w:rsidRPr="00794500" w:rsidRDefault="00555882" w:rsidP="000226D2">
            <w:pPr>
              <w:pStyle w:val="TableBodyText"/>
              <w:spacing w:before="20"/>
              <w:ind w:firstLine="136"/>
              <w:jc w:val="left"/>
              <w:rPr>
                <w:i/>
              </w:rPr>
            </w:pPr>
            <w:r w:rsidRPr="00794500">
              <w:t>Department of Business and Employment</w:t>
            </w:r>
          </w:p>
        </w:tc>
      </w:tr>
      <w:tr w:rsidR="00555882" w:rsidRPr="00112D1C" w:rsidTr="006700AB">
        <w:tc>
          <w:tcPr>
            <w:tcW w:w="5000" w:type="pct"/>
            <w:shd w:val="clear" w:color="auto" w:fill="auto"/>
          </w:tcPr>
          <w:p w:rsidR="00555882" w:rsidRPr="00794500" w:rsidRDefault="00555882" w:rsidP="000226D2">
            <w:pPr>
              <w:pStyle w:val="TableBodyText"/>
              <w:spacing w:before="20"/>
              <w:ind w:firstLine="136"/>
              <w:jc w:val="left"/>
              <w:rPr>
                <w:i/>
              </w:rPr>
            </w:pPr>
            <w:r w:rsidRPr="00794500">
              <w:t xml:space="preserve">Department of </w:t>
            </w:r>
            <w:r>
              <w:t xml:space="preserve">the </w:t>
            </w:r>
            <w:r w:rsidRPr="00794500">
              <w:t>Chief Minister</w:t>
            </w:r>
          </w:p>
        </w:tc>
      </w:tr>
      <w:tr w:rsidR="00555882" w:rsidRPr="00112D1C" w:rsidTr="006700AB">
        <w:tc>
          <w:tcPr>
            <w:tcW w:w="5000" w:type="pct"/>
            <w:shd w:val="clear" w:color="auto" w:fill="auto"/>
          </w:tcPr>
          <w:p w:rsidR="00555882" w:rsidRPr="00794500" w:rsidRDefault="00555882" w:rsidP="000226D2">
            <w:pPr>
              <w:pStyle w:val="TableBodyText"/>
              <w:spacing w:before="20"/>
              <w:ind w:firstLine="136"/>
              <w:jc w:val="left"/>
              <w:rPr>
                <w:i/>
              </w:rPr>
            </w:pPr>
            <w:r w:rsidRPr="00794500">
              <w:t>Department of Justice</w:t>
            </w:r>
          </w:p>
        </w:tc>
      </w:tr>
      <w:tr w:rsidR="00555882" w:rsidRPr="00112D1C" w:rsidTr="006700AB">
        <w:tc>
          <w:tcPr>
            <w:tcW w:w="5000" w:type="pct"/>
            <w:shd w:val="clear" w:color="auto" w:fill="auto"/>
          </w:tcPr>
          <w:p w:rsidR="00555882" w:rsidRPr="00794500" w:rsidRDefault="00555882" w:rsidP="000226D2">
            <w:pPr>
              <w:pStyle w:val="TableBodyText"/>
              <w:spacing w:before="20"/>
              <w:ind w:firstLine="136"/>
              <w:jc w:val="left"/>
              <w:rPr>
                <w:i/>
              </w:rPr>
            </w:pPr>
            <w:r w:rsidRPr="00794500">
              <w:t>Department of Treasury</w:t>
            </w:r>
          </w:p>
        </w:tc>
      </w:tr>
      <w:tr w:rsidR="00555882" w:rsidRPr="00112D1C" w:rsidTr="006700AB">
        <w:tc>
          <w:tcPr>
            <w:tcW w:w="5000" w:type="pct"/>
            <w:shd w:val="clear" w:color="auto" w:fill="auto"/>
          </w:tcPr>
          <w:p w:rsidR="00555882" w:rsidRPr="00BC6F08" w:rsidRDefault="00555882" w:rsidP="00E2619B">
            <w:pPr>
              <w:pStyle w:val="TableBodyText"/>
              <w:spacing w:after="0" w:line="80" w:lineRule="exact"/>
              <w:jc w:val="left"/>
            </w:pPr>
          </w:p>
        </w:tc>
      </w:tr>
      <w:tr w:rsidR="00555882" w:rsidRPr="00E57D47" w:rsidTr="006700AB">
        <w:tc>
          <w:tcPr>
            <w:tcW w:w="5000" w:type="pct"/>
            <w:tcBorders>
              <w:top w:val="single" w:sz="4" w:space="0" w:color="auto"/>
              <w:bottom w:val="single" w:sz="4" w:space="0" w:color="auto"/>
            </w:tcBorders>
            <w:shd w:val="clear" w:color="auto" w:fill="auto"/>
          </w:tcPr>
          <w:p w:rsidR="00555882" w:rsidRDefault="00555882" w:rsidP="006700AB">
            <w:pPr>
              <w:pStyle w:val="TableColumnHeading"/>
              <w:ind w:right="28"/>
              <w:jc w:val="left"/>
            </w:pPr>
            <w:r>
              <w:t>Other</w:t>
            </w:r>
          </w:p>
        </w:tc>
      </w:tr>
      <w:tr w:rsidR="00555882" w:rsidRPr="00112D1C" w:rsidTr="006700AB">
        <w:tc>
          <w:tcPr>
            <w:tcW w:w="5000" w:type="pct"/>
            <w:shd w:val="clear" w:color="auto" w:fill="auto"/>
          </w:tcPr>
          <w:p w:rsidR="00555882" w:rsidRPr="00F43A65" w:rsidRDefault="00555882" w:rsidP="006700AB">
            <w:pPr>
              <w:pStyle w:val="TableBodyText"/>
              <w:spacing w:before="80"/>
              <w:jc w:val="left"/>
            </w:pPr>
            <w:r w:rsidRPr="00F43A65">
              <w:t>PricewaterhouseCoopers (Melbourne and Perth)</w:t>
            </w:r>
          </w:p>
        </w:tc>
      </w:tr>
      <w:tr w:rsidR="00555882" w:rsidRPr="00112D1C" w:rsidTr="006700AB">
        <w:tc>
          <w:tcPr>
            <w:tcW w:w="5000" w:type="pct"/>
            <w:shd w:val="clear" w:color="auto" w:fill="auto"/>
          </w:tcPr>
          <w:p w:rsidR="00555882" w:rsidRPr="00112D1C" w:rsidRDefault="00555882" w:rsidP="00BC4F82">
            <w:pPr>
              <w:pStyle w:val="TableBodyText"/>
              <w:spacing w:before="20"/>
              <w:jc w:val="left"/>
              <w:rPr>
                <w:i/>
              </w:rPr>
            </w:pPr>
            <w:r w:rsidRPr="00112D1C">
              <w:t xml:space="preserve">Mr Rex </w:t>
            </w:r>
            <w:proofErr w:type="spellStart"/>
            <w:r w:rsidRPr="00112D1C">
              <w:t>Deighton</w:t>
            </w:r>
            <w:proofErr w:type="spellEnd"/>
            <w:r w:rsidRPr="00112D1C">
              <w:t>-Smith</w:t>
            </w:r>
            <w:r>
              <w:t>, Jaguar Consulting</w:t>
            </w:r>
          </w:p>
        </w:tc>
      </w:tr>
      <w:tr w:rsidR="00555882" w:rsidRPr="00112D1C" w:rsidTr="006700AB">
        <w:tc>
          <w:tcPr>
            <w:tcW w:w="5000" w:type="pct"/>
            <w:shd w:val="clear" w:color="auto" w:fill="auto"/>
          </w:tcPr>
          <w:p w:rsidR="00555882" w:rsidRPr="00112D1C" w:rsidRDefault="00555882" w:rsidP="00BC4F82">
            <w:pPr>
              <w:pStyle w:val="TableBodyText"/>
              <w:spacing w:before="20"/>
              <w:jc w:val="left"/>
              <w:rPr>
                <w:i/>
              </w:rPr>
            </w:pPr>
            <w:r w:rsidRPr="00112D1C">
              <w:t xml:space="preserve">Mr Robert Milliner and Mr David </w:t>
            </w:r>
            <w:proofErr w:type="spellStart"/>
            <w:r w:rsidRPr="00112D1C">
              <w:t>Borthwick</w:t>
            </w:r>
            <w:proofErr w:type="spellEnd"/>
            <w:r w:rsidRPr="00112D1C">
              <w:t xml:space="preserve"> AO </w:t>
            </w:r>
            <w:proofErr w:type="spellStart"/>
            <w:r w:rsidRPr="00112D1C">
              <w:t>PSM</w:t>
            </w:r>
            <w:proofErr w:type="spellEnd"/>
          </w:p>
        </w:tc>
      </w:tr>
      <w:tr w:rsidR="00555882" w:rsidRPr="00112D1C" w:rsidTr="006700AB">
        <w:tc>
          <w:tcPr>
            <w:tcW w:w="5000" w:type="pct"/>
            <w:shd w:val="clear" w:color="auto" w:fill="auto"/>
          </w:tcPr>
          <w:p w:rsidR="00555882" w:rsidRPr="00112D1C" w:rsidRDefault="00555882" w:rsidP="00BC4F82">
            <w:pPr>
              <w:pStyle w:val="TableBodyText"/>
              <w:spacing w:before="20"/>
              <w:jc w:val="left"/>
              <w:rPr>
                <w:i/>
              </w:rPr>
            </w:pPr>
            <w:r w:rsidRPr="00112D1C">
              <w:t>The Centre for International Economics</w:t>
            </w:r>
          </w:p>
        </w:tc>
      </w:tr>
      <w:tr w:rsidR="00555882" w:rsidRPr="00112D1C" w:rsidTr="006700AB">
        <w:tc>
          <w:tcPr>
            <w:tcW w:w="5000" w:type="pct"/>
            <w:tcBorders>
              <w:bottom w:val="single" w:sz="4" w:space="0" w:color="auto"/>
            </w:tcBorders>
            <w:shd w:val="clear" w:color="auto" w:fill="auto"/>
          </w:tcPr>
          <w:p w:rsidR="00555882" w:rsidRPr="00BC6F08" w:rsidRDefault="00555882" w:rsidP="006700AB">
            <w:pPr>
              <w:pStyle w:val="TableBodyText"/>
              <w:spacing w:after="0" w:line="80" w:lineRule="exact"/>
              <w:jc w:val="left"/>
            </w:pPr>
          </w:p>
        </w:tc>
      </w:tr>
    </w:tbl>
    <w:p w:rsidR="00555882" w:rsidRDefault="00555882" w:rsidP="00555882">
      <w:pPr>
        <w:pStyle w:val="BodyText"/>
        <w:spacing w:before="40" w:after="40"/>
      </w:pPr>
    </w:p>
    <w:p w:rsidR="00555882" w:rsidRDefault="000226D2" w:rsidP="003F0CF7">
      <w:pPr>
        <w:pStyle w:val="TableTitle"/>
      </w:pPr>
      <w:r w:rsidRPr="009A13F0">
        <w:rPr>
          <w:b w:val="0"/>
        </w:rPr>
        <w:lastRenderedPageBreak/>
        <w:t xml:space="preserve">Table </w:t>
      </w:r>
      <w:proofErr w:type="spellStart"/>
      <w:r w:rsidR="009A13F0" w:rsidRPr="009A13F0">
        <w:rPr>
          <w:b w:val="0"/>
        </w:rPr>
        <w:t>A.3</w:t>
      </w:r>
      <w:proofErr w:type="spellEnd"/>
      <w:r w:rsidR="00555882" w:rsidRPr="000226D2">
        <w:tab/>
        <w:t>Regulatory oversight bodies</w:t>
      </w:r>
    </w:p>
    <w:p w:rsidR="000226D2" w:rsidRPr="000226D2" w:rsidRDefault="000226D2" w:rsidP="000226D2">
      <w:pPr>
        <w:pStyle w:val="Subtitle"/>
      </w:pPr>
      <w:r>
        <w:t>As at January 2012</w:t>
      </w:r>
    </w:p>
    <w:tbl>
      <w:tblPr>
        <w:tblW w:w="5162" w:type="pct"/>
        <w:tblCellMar>
          <w:left w:w="0" w:type="dxa"/>
          <w:right w:w="0" w:type="dxa"/>
        </w:tblCellMar>
        <w:tblLook w:val="0000" w:firstRow="0" w:lastRow="0" w:firstColumn="0" w:lastColumn="0" w:noHBand="0" w:noVBand="0"/>
      </w:tblPr>
      <w:tblGrid>
        <w:gridCol w:w="2695"/>
        <w:gridCol w:w="6379"/>
      </w:tblGrid>
      <w:tr w:rsidR="00555882" w:rsidTr="00B23943">
        <w:tc>
          <w:tcPr>
            <w:tcW w:w="1485" w:type="pct"/>
            <w:tcBorders>
              <w:top w:val="single" w:sz="6" w:space="0" w:color="auto"/>
              <w:bottom w:val="single" w:sz="6" w:space="0" w:color="auto"/>
            </w:tcBorders>
            <w:shd w:val="clear" w:color="auto" w:fill="auto"/>
          </w:tcPr>
          <w:p w:rsidR="00555882" w:rsidRDefault="00555882" w:rsidP="006700AB">
            <w:pPr>
              <w:pStyle w:val="TableColumnHeading"/>
              <w:jc w:val="left"/>
            </w:pPr>
            <w:r>
              <w:t>Jurisdiction</w:t>
            </w:r>
          </w:p>
        </w:tc>
        <w:tc>
          <w:tcPr>
            <w:tcW w:w="3515" w:type="pct"/>
            <w:tcBorders>
              <w:top w:val="single" w:sz="6" w:space="0" w:color="auto"/>
              <w:bottom w:val="single" w:sz="6" w:space="0" w:color="auto"/>
            </w:tcBorders>
            <w:shd w:val="clear" w:color="auto" w:fill="auto"/>
          </w:tcPr>
          <w:p w:rsidR="00555882" w:rsidRDefault="00555882" w:rsidP="006700AB">
            <w:pPr>
              <w:pStyle w:val="TableColumnHeading"/>
              <w:jc w:val="left"/>
            </w:pPr>
            <w:r>
              <w:t>Regulatory oversight body</w:t>
            </w:r>
          </w:p>
        </w:tc>
      </w:tr>
      <w:tr w:rsidR="00555882" w:rsidTr="00B23943">
        <w:tc>
          <w:tcPr>
            <w:tcW w:w="1485" w:type="pct"/>
            <w:tcBorders>
              <w:top w:val="single" w:sz="6" w:space="0" w:color="auto"/>
            </w:tcBorders>
          </w:tcPr>
          <w:p w:rsidR="00555882" w:rsidRDefault="00555882" w:rsidP="006700AB">
            <w:pPr>
              <w:pStyle w:val="TableUnitsRow"/>
              <w:jc w:val="left"/>
            </w:pPr>
            <w:r>
              <w:t>Commonwealth</w:t>
            </w:r>
          </w:p>
        </w:tc>
        <w:tc>
          <w:tcPr>
            <w:tcW w:w="3515" w:type="pct"/>
            <w:tcBorders>
              <w:top w:val="single" w:sz="6" w:space="0" w:color="auto"/>
            </w:tcBorders>
          </w:tcPr>
          <w:p w:rsidR="00555882" w:rsidRDefault="00555882" w:rsidP="006700AB">
            <w:pPr>
              <w:pStyle w:val="TableUnitsRow"/>
              <w:jc w:val="left"/>
            </w:pPr>
            <w:r>
              <w:t>Australian Government Department of Finance and Deregulation – Office of Best Practice Regulation (OBPR)</w:t>
            </w:r>
          </w:p>
        </w:tc>
      </w:tr>
      <w:tr w:rsidR="00555882" w:rsidTr="00B23943">
        <w:tc>
          <w:tcPr>
            <w:tcW w:w="1485" w:type="pct"/>
            <w:shd w:val="clear" w:color="auto" w:fill="FFFFFF" w:themeFill="background1"/>
          </w:tcPr>
          <w:p w:rsidR="00555882" w:rsidRDefault="00555882" w:rsidP="006700AB">
            <w:pPr>
              <w:pStyle w:val="TableBodyText"/>
              <w:spacing w:before="20"/>
              <w:jc w:val="left"/>
            </w:pPr>
            <w:r>
              <w:t>COAG</w:t>
            </w:r>
          </w:p>
        </w:tc>
        <w:tc>
          <w:tcPr>
            <w:tcW w:w="3515" w:type="pct"/>
            <w:shd w:val="clear" w:color="auto" w:fill="FFFFFF" w:themeFill="background1"/>
          </w:tcPr>
          <w:p w:rsidR="00555882" w:rsidRDefault="00555882" w:rsidP="006700AB">
            <w:pPr>
              <w:pStyle w:val="TableBodyText"/>
              <w:spacing w:before="20"/>
              <w:jc w:val="left"/>
            </w:pPr>
            <w:r>
              <w:t>Australian Government Department of Finance and Deregulation – Office of Best Practice Regulation (OBPR)</w:t>
            </w:r>
          </w:p>
        </w:tc>
      </w:tr>
      <w:tr w:rsidR="00555882" w:rsidTr="00B23943">
        <w:tc>
          <w:tcPr>
            <w:tcW w:w="1485" w:type="pct"/>
            <w:shd w:val="clear" w:color="auto" w:fill="FFFFFF" w:themeFill="background1"/>
          </w:tcPr>
          <w:p w:rsidR="00555882" w:rsidRDefault="00555882" w:rsidP="006700AB">
            <w:pPr>
              <w:pStyle w:val="TableBodyText"/>
              <w:spacing w:before="20"/>
              <w:jc w:val="left"/>
            </w:pPr>
            <w:r>
              <w:t>New South Wales</w:t>
            </w:r>
          </w:p>
        </w:tc>
        <w:tc>
          <w:tcPr>
            <w:tcW w:w="3515" w:type="pct"/>
            <w:shd w:val="clear" w:color="auto" w:fill="FFFFFF" w:themeFill="background1"/>
          </w:tcPr>
          <w:p w:rsidR="00555882" w:rsidRDefault="00555882" w:rsidP="006700AB">
            <w:pPr>
              <w:pStyle w:val="TableBodyText"/>
              <w:spacing w:before="20"/>
              <w:jc w:val="left"/>
            </w:pPr>
            <w:r>
              <w:t>Department of Premier and Cabinet – Better Regulation Office</w:t>
            </w:r>
          </w:p>
        </w:tc>
      </w:tr>
      <w:tr w:rsidR="00555882" w:rsidTr="00B23943">
        <w:tc>
          <w:tcPr>
            <w:tcW w:w="1485" w:type="pct"/>
            <w:shd w:val="clear" w:color="auto" w:fill="FFFFFF" w:themeFill="background1"/>
          </w:tcPr>
          <w:p w:rsidR="00555882" w:rsidRDefault="00555882" w:rsidP="006700AB">
            <w:pPr>
              <w:pStyle w:val="TableBodyText"/>
              <w:spacing w:before="20"/>
              <w:jc w:val="left"/>
            </w:pPr>
            <w:r>
              <w:t>Victoria</w:t>
            </w:r>
          </w:p>
        </w:tc>
        <w:tc>
          <w:tcPr>
            <w:tcW w:w="3515" w:type="pct"/>
            <w:shd w:val="clear" w:color="auto" w:fill="FFFFFF" w:themeFill="background1"/>
          </w:tcPr>
          <w:p w:rsidR="00555882" w:rsidRDefault="00555882" w:rsidP="006700AB">
            <w:pPr>
              <w:pStyle w:val="TableBodyText"/>
              <w:spacing w:before="20"/>
              <w:jc w:val="left"/>
            </w:pPr>
            <w:r>
              <w:t>Victorian Competition and Efficiency Commission</w:t>
            </w:r>
          </w:p>
        </w:tc>
      </w:tr>
      <w:tr w:rsidR="00555882" w:rsidTr="00B23943">
        <w:tc>
          <w:tcPr>
            <w:tcW w:w="1485" w:type="pct"/>
            <w:shd w:val="clear" w:color="auto" w:fill="FFFFFF" w:themeFill="background1"/>
          </w:tcPr>
          <w:p w:rsidR="00555882" w:rsidRDefault="00555882" w:rsidP="006700AB">
            <w:pPr>
              <w:pStyle w:val="TableBodyText"/>
              <w:spacing w:before="20"/>
              <w:jc w:val="left"/>
            </w:pPr>
            <w:r>
              <w:t>Queensland</w:t>
            </w:r>
          </w:p>
        </w:tc>
        <w:tc>
          <w:tcPr>
            <w:tcW w:w="3515" w:type="pct"/>
            <w:shd w:val="clear" w:color="auto" w:fill="FFFFFF" w:themeFill="background1"/>
          </w:tcPr>
          <w:p w:rsidR="00555882" w:rsidRDefault="00555882" w:rsidP="006700AB">
            <w:pPr>
              <w:pStyle w:val="TableBodyText"/>
              <w:spacing w:before="20"/>
              <w:jc w:val="left"/>
            </w:pPr>
            <w:r>
              <w:t>Department of Treasury – Regulatory Review Branch</w:t>
            </w:r>
          </w:p>
        </w:tc>
      </w:tr>
      <w:tr w:rsidR="00555882" w:rsidTr="00B23943">
        <w:tc>
          <w:tcPr>
            <w:tcW w:w="1485" w:type="pct"/>
            <w:shd w:val="clear" w:color="auto" w:fill="FFFFFF" w:themeFill="background1"/>
          </w:tcPr>
          <w:p w:rsidR="00555882" w:rsidRDefault="00555882" w:rsidP="006700AB">
            <w:pPr>
              <w:pStyle w:val="TableBodyText"/>
              <w:spacing w:before="20"/>
              <w:jc w:val="left"/>
            </w:pPr>
            <w:r>
              <w:t>Western Australia</w:t>
            </w:r>
          </w:p>
        </w:tc>
        <w:tc>
          <w:tcPr>
            <w:tcW w:w="3515" w:type="pct"/>
            <w:shd w:val="clear" w:color="auto" w:fill="FFFFFF" w:themeFill="background1"/>
          </w:tcPr>
          <w:p w:rsidR="00555882" w:rsidRDefault="00555882" w:rsidP="006700AB">
            <w:pPr>
              <w:pStyle w:val="TableBodyText"/>
              <w:spacing w:before="20"/>
              <w:jc w:val="left"/>
            </w:pPr>
            <w:r>
              <w:t>Department of Treasury – Regulatory Gatekeeping Unit</w:t>
            </w:r>
          </w:p>
        </w:tc>
      </w:tr>
      <w:tr w:rsidR="00555882" w:rsidRPr="000B09D3" w:rsidTr="00B23943">
        <w:tc>
          <w:tcPr>
            <w:tcW w:w="1485" w:type="pct"/>
            <w:shd w:val="clear" w:color="auto" w:fill="FFFFFF" w:themeFill="background1"/>
          </w:tcPr>
          <w:p w:rsidR="00555882" w:rsidRDefault="00555882" w:rsidP="006700AB">
            <w:pPr>
              <w:pStyle w:val="TableBodyText"/>
              <w:spacing w:before="20"/>
              <w:jc w:val="left"/>
            </w:pPr>
            <w:r>
              <w:t>South Australia</w:t>
            </w:r>
          </w:p>
        </w:tc>
        <w:tc>
          <w:tcPr>
            <w:tcW w:w="3515" w:type="pct"/>
            <w:shd w:val="clear" w:color="auto" w:fill="FFFFFF" w:themeFill="background1"/>
          </w:tcPr>
          <w:p w:rsidR="00555882" w:rsidRPr="00CC1F39" w:rsidRDefault="00555882" w:rsidP="006700AB">
            <w:pPr>
              <w:pStyle w:val="TableBodyText"/>
              <w:spacing w:before="20"/>
              <w:jc w:val="left"/>
              <w:rPr>
                <w:sz w:val="18"/>
              </w:rPr>
            </w:pPr>
            <w:r>
              <w:t>Department of the Premier and Cabinet – Cabinet Office</w:t>
            </w:r>
          </w:p>
        </w:tc>
      </w:tr>
      <w:tr w:rsidR="00555882" w:rsidTr="00B23943">
        <w:tc>
          <w:tcPr>
            <w:tcW w:w="1485" w:type="pct"/>
            <w:shd w:val="clear" w:color="auto" w:fill="FFFFFF" w:themeFill="background1"/>
          </w:tcPr>
          <w:p w:rsidR="00555882" w:rsidRDefault="00555882" w:rsidP="006700AB">
            <w:pPr>
              <w:pStyle w:val="TableBodyText"/>
              <w:spacing w:before="20"/>
              <w:jc w:val="left"/>
            </w:pPr>
            <w:r>
              <w:t>Tasmania</w:t>
            </w:r>
          </w:p>
        </w:tc>
        <w:tc>
          <w:tcPr>
            <w:tcW w:w="3515" w:type="pct"/>
            <w:shd w:val="clear" w:color="auto" w:fill="FFFFFF" w:themeFill="background1"/>
          </w:tcPr>
          <w:p w:rsidR="00555882" w:rsidRDefault="00555882" w:rsidP="006700AB">
            <w:pPr>
              <w:pStyle w:val="TableBodyText"/>
              <w:spacing w:before="20"/>
              <w:jc w:val="left"/>
            </w:pPr>
            <w:r>
              <w:t>Department of Treasury and Finance – Economic Reform Unit</w:t>
            </w:r>
          </w:p>
        </w:tc>
      </w:tr>
      <w:tr w:rsidR="00555882" w:rsidTr="00B23943">
        <w:tc>
          <w:tcPr>
            <w:tcW w:w="1485" w:type="pct"/>
            <w:shd w:val="clear" w:color="auto" w:fill="FFFFFF" w:themeFill="background1"/>
          </w:tcPr>
          <w:p w:rsidR="00555882" w:rsidRDefault="00555882" w:rsidP="006700AB">
            <w:pPr>
              <w:pStyle w:val="TableBodyText"/>
              <w:spacing w:before="20"/>
              <w:jc w:val="left"/>
            </w:pPr>
            <w:r>
              <w:t>ACT</w:t>
            </w:r>
          </w:p>
        </w:tc>
        <w:tc>
          <w:tcPr>
            <w:tcW w:w="3515" w:type="pct"/>
            <w:shd w:val="clear" w:color="auto" w:fill="FFFFFF" w:themeFill="background1"/>
          </w:tcPr>
          <w:p w:rsidR="00555882" w:rsidRDefault="00555882" w:rsidP="006700AB">
            <w:pPr>
              <w:pStyle w:val="TableBodyText"/>
              <w:spacing w:before="20"/>
              <w:jc w:val="left"/>
            </w:pPr>
            <w:r>
              <w:t>Department of Treasury – Microeconomic Policy Unit</w:t>
            </w:r>
          </w:p>
        </w:tc>
      </w:tr>
      <w:tr w:rsidR="00555882" w:rsidTr="00B23943">
        <w:tc>
          <w:tcPr>
            <w:tcW w:w="1485" w:type="pct"/>
            <w:tcBorders>
              <w:bottom w:val="single" w:sz="4" w:space="0" w:color="auto"/>
            </w:tcBorders>
            <w:shd w:val="clear" w:color="auto" w:fill="FFFFFF" w:themeFill="background1"/>
          </w:tcPr>
          <w:p w:rsidR="00555882" w:rsidRDefault="00555882" w:rsidP="006700AB">
            <w:pPr>
              <w:pStyle w:val="TableBodyText"/>
              <w:spacing w:before="20"/>
              <w:jc w:val="left"/>
            </w:pPr>
            <w:r>
              <w:t>Northern Territory</w:t>
            </w:r>
          </w:p>
        </w:tc>
        <w:tc>
          <w:tcPr>
            <w:tcW w:w="3515" w:type="pct"/>
            <w:tcBorders>
              <w:bottom w:val="single" w:sz="4" w:space="0" w:color="auto"/>
            </w:tcBorders>
            <w:shd w:val="clear" w:color="auto" w:fill="FFFFFF" w:themeFill="background1"/>
          </w:tcPr>
          <w:p w:rsidR="00555882" w:rsidRDefault="00555882" w:rsidP="006700AB">
            <w:pPr>
              <w:pStyle w:val="TableBodyText"/>
              <w:spacing w:before="20"/>
              <w:jc w:val="left"/>
            </w:pPr>
            <w:r>
              <w:t>Department of Treasury – Regulation Impact Unit</w:t>
            </w:r>
          </w:p>
        </w:tc>
      </w:tr>
    </w:tbl>
    <w:p w:rsidR="00555882" w:rsidRDefault="00555882" w:rsidP="00555882">
      <w:pPr>
        <w:pStyle w:val="BodyText"/>
        <w:spacing w:before="40" w:after="40"/>
      </w:pPr>
    </w:p>
    <w:p w:rsidR="00610F82" w:rsidRDefault="00610F82"/>
    <w:sectPr w:rsidR="00610F82" w:rsidSect="00FC593A">
      <w:headerReference w:type="even" r:id="rId9"/>
      <w:headerReference w:type="default" r:id="rId10"/>
      <w:footerReference w:type="even" r:id="rId11"/>
      <w:footerReference w:type="default" r:id="rId12"/>
      <w:pgSz w:w="11907" w:h="16840" w:code="9"/>
      <w:pgMar w:top="1985" w:right="1304" w:bottom="1418" w:left="1814" w:header="1701" w:footer="567" w:gutter="0"/>
      <w:pgNumType w:start="33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3F0" w:rsidRDefault="009A13F0">
      <w:r>
        <w:separator/>
      </w:r>
    </w:p>
  </w:endnote>
  <w:endnote w:type="continuationSeparator" w:id="0">
    <w:p w:rsidR="009A13F0" w:rsidRDefault="009A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A13F0">
      <w:trPr>
        <w:trHeight w:hRule="exact" w:val="740"/>
      </w:trPr>
      <w:tc>
        <w:tcPr>
          <w:tcW w:w="510" w:type="dxa"/>
          <w:tcBorders>
            <w:top w:val="single" w:sz="6" w:space="0" w:color="auto"/>
          </w:tcBorders>
        </w:tcPr>
        <w:p w:rsidR="009A13F0" w:rsidRDefault="009A13F0"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C593A">
            <w:rPr>
              <w:rStyle w:val="PageNumber"/>
              <w:noProof/>
            </w:rPr>
            <w:t>340</w:t>
          </w:r>
          <w:r>
            <w:rPr>
              <w:rStyle w:val="PageNumber"/>
            </w:rPr>
            <w:fldChar w:fldCharType="end"/>
          </w:r>
        </w:p>
      </w:tc>
      <w:tc>
        <w:tcPr>
          <w:tcW w:w="1644" w:type="dxa"/>
          <w:tcBorders>
            <w:top w:val="single" w:sz="6" w:space="0" w:color="auto"/>
          </w:tcBorders>
        </w:tcPr>
        <w:p w:rsidR="009A13F0" w:rsidRDefault="00FC593A" w:rsidP="0019293B">
          <w:pPr>
            <w:pStyle w:val="Footer"/>
          </w:pPr>
          <w:r>
            <w:fldChar w:fldCharType="begin"/>
          </w:r>
          <w:r>
            <w:instrText xml:space="preserve"> SUBJECT  \* MERGEFORMAT </w:instrText>
          </w:r>
          <w:r>
            <w:fldChar w:fldCharType="separate"/>
          </w:r>
          <w:r w:rsidR="009A13F0">
            <w:t>RIA Benchmarking</w:t>
          </w:r>
          <w:r>
            <w:fldChar w:fldCharType="end"/>
          </w:r>
        </w:p>
      </w:tc>
      <w:tc>
        <w:tcPr>
          <w:tcW w:w="6634" w:type="dxa"/>
        </w:tcPr>
        <w:p w:rsidR="009A13F0" w:rsidRDefault="009A13F0" w:rsidP="0019293B">
          <w:pPr>
            <w:pStyle w:val="Footer"/>
          </w:pPr>
        </w:p>
      </w:tc>
    </w:tr>
  </w:tbl>
  <w:p w:rsidR="009A13F0" w:rsidRDefault="009A13F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A13F0">
      <w:trPr>
        <w:trHeight w:hRule="exact" w:val="740"/>
      </w:trPr>
      <w:tc>
        <w:tcPr>
          <w:tcW w:w="6634" w:type="dxa"/>
        </w:tcPr>
        <w:p w:rsidR="009A13F0" w:rsidRDefault="009A13F0">
          <w:pPr>
            <w:pStyle w:val="Footer"/>
            <w:ind w:right="360" w:firstLine="360"/>
          </w:pPr>
        </w:p>
      </w:tc>
      <w:tc>
        <w:tcPr>
          <w:tcW w:w="1644" w:type="dxa"/>
          <w:tcBorders>
            <w:top w:val="single" w:sz="6" w:space="0" w:color="auto"/>
          </w:tcBorders>
        </w:tcPr>
        <w:p w:rsidR="009A13F0" w:rsidRDefault="00FC593A">
          <w:pPr>
            <w:pStyle w:val="Footer"/>
          </w:pPr>
          <w:r>
            <w:fldChar w:fldCharType="begin"/>
          </w:r>
          <w:r>
            <w:instrText xml:space="preserve"> TITLE  \* MERGEFORMAT </w:instrText>
          </w:r>
          <w:r>
            <w:fldChar w:fldCharType="separate"/>
          </w:r>
          <w:r w:rsidR="009A13F0">
            <w:t>Study participants</w:t>
          </w:r>
          <w:r>
            <w:fldChar w:fldCharType="end"/>
          </w:r>
        </w:p>
      </w:tc>
      <w:tc>
        <w:tcPr>
          <w:tcW w:w="510" w:type="dxa"/>
          <w:tcBorders>
            <w:top w:val="single" w:sz="6" w:space="0" w:color="auto"/>
          </w:tcBorders>
        </w:tcPr>
        <w:p w:rsidR="009A13F0" w:rsidRDefault="009A13F0">
          <w:pPr>
            <w:pStyle w:val="Footer"/>
            <w:jc w:val="right"/>
          </w:pPr>
          <w:r>
            <w:rPr>
              <w:rStyle w:val="PageNumber"/>
            </w:rPr>
            <w:fldChar w:fldCharType="begin"/>
          </w:r>
          <w:r>
            <w:rPr>
              <w:rStyle w:val="PageNumber"/>
            </w:rPr>
            <w:instrText xml:space="preserve">PAGE  </w:instrText>
          </w:r>
          <w:r>
            <w:rPr>
              <w:rStyle w:val="PageNumber"/>
            </w:rPr>
            <w:fldChar w:fldCharType="separate"/>
          </w:r>
          <w:r w:rsidR="00FC593A">
            <w:rPr>
              <w:rStyle w:val="PageNumber"/>
              <w:noProof/>
            </w:rPr>
            <w:t>339</w:t>
          </w:r>
          <w:r>
            <w:rPr>
              <w:rStyle w:val="PageNumber"/>
            </w:rPr>
            <w:fldChar w:fldCharType="end"/>
          </w:r>
        </w:p>
      </w:tc>
    </w:tr>
  </w:tbl>
  <w:p w:rsidR="009A13F0" w:rsidRDefault="009A13F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3F0" w:rsidRDefault="009A13F0">
      <w:r>
        <w:separator/>
      </w:r>
    </w:p>
  </w:footnote>
  <w:footnote w:type="continuationSeparator" w:id="0">
    <w:p w:rsidR="009A13F0" w:rsidRDefault="009A1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A13F0">
      <w:tc>
        <w:tcPr>
          <w:tcW w:w="2155" w:type="dxa"/>
          <w:tcBorders>
            <w:top w:val="single" w:sz="24" w:space="0" w:color="auto"/>
          </w:tcBorders>
        </w:tcPr>
        <w:p w:rsidR="009A13F0" w:rsidRDefault="009A13F0" w:rsidP="0019293B">
          <w:pPr>
            <w:pStyle w:val="HeaderEven"/>
          </w:pPr>
        </w:p>
      </w:tc>
      <w:tc>
        <w:tcPr>
          <w:tcW w:w="6634" w:type="dxa"/>
          <w:tcBorders>
            <w:top w:val="single" w:sz="6" w:space="0" w:color="auto"/>
          </w:tcBorders>
        </w:tcPr>
        <w:p w:rsidR="009A13F0" w:rsidRDefault="009A13F0" w:rsidP="0019293B">
          <w:pPr>
            <w:pStyle w:val="HeaderEven"/>
          </w:pPr>
        </w:p>
      </w:tc>
    </w:tr>
  </w:tbl>
  <w:p w:rsidR="009A13F0" w:rsidRDefault="009A13F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13F0">
      <w:tc>
        <w:tcPr>
          <w:tcW w:w="6634" w:type="dxa"/>
          <w:tcBorders>
            <w:top w:val="single" w:sz="6" w:space="0" w:color="auto"/>
          </w:tcBorders>
        </w:tcPr>
        <w:p w:rsidR="009A13F0" w:rsidRDefault="009A13F0" w:rsidP="00E669E2">
          <w:pPr>
            <w:pStyle w:val="HeaderOdd"/>
          </w:pPr>
        </w:p>
      </w:tc>
      <w:tc>
        <w:tcPr>
          <w:tcW w:w="2155" w:type="dxa"/>
          <w:tcBorders>
            <w:top w:val="single" w:sz="24" w:space="0" w:color="auto"/>
          </w:tcBorders>
        </w:tcPr>
        <w:p w:rsidR="009A13F0" w:rsidRDefault="009A13F0" w:rsidP="00E669E2">
          <w:pPr>
            <w:pStyle w:val="HeaderOdd"/>
          </w:pPr>
        </w:p>
      </w:tc>
    </w:tr>
  </w:tbl>
  <w:p w:rsidR="009A13F0" w:rsidRDefault="009A13F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Study participants"/>
    <w:docVar w:name="ShortReportTitle" w:val="RIA Benchmarking"/>
  </w:docVars>
  <w:rsids>
    <w:rsidRoot w:val="0078136A"/>
    <w:rsid w:val="000226D2"/>
    <w:rsid w:val="000245AA"/>
    <w:rsid w:val="0003664B"/>
    <w:rsid w:val="0004111F"/>
    <w:rsid w:val="000526D8"/>
    <w:rsid w:val="000565B3"/>
    <w:rsid w:val="00070BD6"/>
    <w:rsid w:val="0007150B"/>
    <w:rsid w:val="00077599"/>
    <w:rsid w:val="00086F87"/>
    <w:rsid w:val="000938F5"/>
    <w:rsid w:val="000B601B"/>
    <w:rsid w:val="000C207E"/>
    <w:rsid w:val="000E6DFE"/>
    <w:rsid w:val="00110116"/>
    <w:rsid w:val="00112D1C"/>
    <w:rsid w:val="00126EB8"/>
    <w:rsid w:val="001363AA"/>
    <w:rsid w:val="00183E82"/>
    <w:rsid w:val="00190B28"/>
    <w:rsid w:val="0019293B"/>
    <w:rsid w:val="001C0865"/>
    <w:rsid w:val="001C3ABA"/>
    <w:rsid w:val="001D3CBA"/>
    <w:rsid w:val="001E7BE8"/>
    <w:rsid w:val="001F0248"/>
    <w:rsid w:val="001F3EB3"/>
    <w:rsid w:val="00202C2C"/>
    <w:rsid w:val="00233AD6"/>
    <w:rsid w:val="00242279"/>
    <w:rsid w:val="00245C82"/>
    <w:rsid w:val="00291B40"/>
    <w:rsid w:val="002B4008"/>
    <w:rsid w:val="002C36C6"/>
    <w:rsid w:val="002D0E8E"/>
    <w:rsid w:val="00301189"/>
    <w:rsid w:val="00323E09"/>
    <w:rsid w:val="00333932"/>
    <w:rsid w:val="00335011"/>
    <w:rsid w:val="00337357"/>
    <w:rsid w:val="00341361"/>
    <w:rsid w:val="003518AA"/>
    <w:rsid w:val="00352165"/>
    <w:rsid w:val="00353182"/>
    <w:rsid w:val="003565D9"/>
    <w:rsid w:val="003602E1"/>
    <w:rsid w:val="0037026F"/>
    <w:rsid w:val="00371240"/>
    <w:rsid w:val="00374731"/>
    <w:rsid w:val="003801FC"/>
    <w:rsid w:val="003919F9"/>
    <w:rsid w:val="00397574"/>
    <w:rsid w:val="003C38B5"/>
    <w:rsid w:val="003C5D99"/>
    <w:rsid w:val="003D6714"/>
    <w:rsid w:val="003E66F3"/>
    <w:rsid w:val="003F0789"/>
    <w:rsid w:val="003F0CF7"/>
    <w:rsid w:val="00401882"/>
    <w:rsid w:val="004100C8"/>
    <w:rsid w:val="00412ACE"/>
    <w:rsid w:val="00431249"/>
    <w:rsid w:val="00434C19"/>
    <w:rsid w:val="00437524"/>
    <w:rsid w:val="00442C54"/>
    <w:rsid w:val="00450810"/>
    <w:rsid w:val="00465F3B"/>
    <w:rsid w:val="00477144"/>
    <w:rsid w:val="0049459F"/>
    <w:rsid w:val="00495017"/>
    <w:rsid w:val="004A38DD"/>
    <w:rsid w:val="004B43AE"/>
    <w:rsid w:val="004C30ED"/>
    <w:rsid w:val="004D5675"/>
    <w:rsid w:val="004E5E78"/>
    <w:rsid w:val="00523639"/>
    <w:rsid w:val="00533DE8"/>
    <w:rsid w:val="00544DF1"/>
    <w:rsid w:val="005531DB"/>
    <w:rsid w:val="00555882"/>
    <w:rsid w:val="00573AFD"/>
    <w:rsid w:val="00583C39"/>
    <w:rsid w:val="005909CF"/>
    <w:rsid w:val="00591E71"/>
    <w:rsid w:val="00595496"/>
    <w:rsid w:val="005A0D41"/>
    <w:rsid w:val="005C605B"/>
    <w:rsid w:val="00607BF1"/>
    <w:rsid w:val="00610F82"/>
    <w:rsid w:val="00623A40"/>
    <w:rsid w:val="00630D4D"/>
    <w:rsid w:val="00632A74"/>
    <w:rsid w:val="0064154A"/>
    <w:rsid w:val="00666384"/>
    <w:rsid w:val="006700AB"/>
    <w:rsid w:val="006A4655"/>
    <w:rsid w:val="006B2B3C"/>
    <w:rsid w:val="006C3C39"/>
    <w:rsid w:val="006C7038"/>
    <w:rsid w:val="006E73EF"/>
    <w:rsid w:val="00712C5F"/>
    <w:rsid w:val="00714D4D"/>
    <w:rsid w:val="00721F18"/>
    <w:rsid w:val="007604BB"/>
    <w:rsid w:val="00760F9E"/>
    <w:rsid w:val="00770FB1"/>
    <w:rsid w:val="00781362"/>
    <w:rsid w:val="0078136A"/>
    <w:rsid w:val="007824C1"/>
    <w:rsid w:val="00783F61"/>
    <w:rsid w:val="00785232"/>
    <w:rsid w:val="007A21EB"/>
    <w:rsid w:val="007C36C9"/>
    <w:rsid w:val="007E01E4"/>
    <w:rsid w:val="007F7107"/>
    <w:rsid w:val="0081030F"/>
    <w:rsid w:val="0082087D"/>
    <w:rsid w:val="00825EB7"/>
    <w:rsid w:val="00842933"/>
    <w:rsid w:val="00854016"/>
    <w:rsid w:val="00856885"/>
    <w:rsid w:val="0086082C"/>
    <w:rsid w:val="00864ADC"/>
    <w:rsid w:val="00880153"/>
    <w:rsid w:val="00880F97"/>
    <w:rsid w:val="0088133A"/>
    <w:rsid w:val="0089285E"/>
    <w:rsid w:val="0089436C"/>
    <w:rsid w:val="008B4A10"/>
    <w:rsid w:val="008D365C"/>
    <w:rsid w:val="008F52D6"/>
    <w:rsid w:val="009030BF"/>
    <w:rsid w:val="00914368"/>
    <w:rsid w:val="00931076"/>
    <w:rsid w:val="009345D9"/>
    <w:rsid w:val="00934B15"/>
    <w:rsid w:val="00942B62"/>
    <w:rsid w:val="0094450C"/>
    <w:rsid w:val="0095591A"/>
    <w:rsid w:val="00956A0C"/>
    <w:rsid w:val="00956BD9"/>
    <w:rsid w:val="00962489"/>
    <w:rsid w:val="00973F8C"/>
    <w:rsid w:val="009876B8"/>
    <w:rsid w:val="00990C2C"/>
    <w:rsid w:val="009A13F0"/>
    <w:rsid w:val="009A3B02"/>
    <w:rsid w:val="009B78E0"/>
    <w:rsid w:val="009D67B1"/>
    <w:rsid w:val="009F696D"/>
    <w:rsid w:val="009F6BC6"/>
    <w:rsid w:val="00A0346E"/>
    <w:rsid w:val="00A17328"/>
    <w:rsid w:val="00A23A20"/>
    <w:rsid w:val="00A264CA"/>
    <w:rsid w:val="00A268B9"/>
    <w:rsid w:val="00A2703A"/>
    <w:rsid w:val="00A33DFF"/>
    <w:rsid w:val="00A341A6"/>
    <w:rsid w:val="00A35115"/>
    <w:rsid w:val="00A554AB"/>
    <w:rsid w:val="00A92B53"/>
    <w:rsid w:val="00A94FA6"/>
    <w:rsid w:val="00AA49A0"/>
    <w:rsid w:val="00AA6710"/>
    <w:rsid w:val="00AA67F9"/>
    <w:rsid w:val="00AB0681"/>
    <w:rsid w:val="00AB4064"/>
    <w:rsid w:val="00AD0711"/>
    <w:rsid w:val="00B04F17"/>
    <w:rsid w:val="00B23943"/>
    <w:rsid w:val="00B440AD"/>
    <w:rsid w:val="00B53E7E"/>
    <w:rsid w:val="00B6342E"/>
    <w:rsid w:val="00B7113F"/>
    <w:rsid w:val="00BA73B6"/>
    <w:rsid w:val="00BB4FCD"/>
    <w:rsid w:val="00BB75B6"/>
    <w:rsid w:val="00BC4F82"/>
    <w:rsid w:val="00BD13EA"/>
    <w:rsid w:val="00BD1840"/>
    <w:rsid w:val="00BE3808"/>
    <w:rsid w:val="00C062E9"/>
    <w:rsid w:val="00C07B64"/>
    <w:rsid w:val="00C13721"/>
    <w:rsid w:val="00C3066D"/>
    <w:rsid w:val="00C35E27"/>
    <w:rsid w:val="00C47174"/>
    <w:rsid w:val="00C543F4"/>
    <w:rsid w:val="00C6291C"/>
    <w:rsid w:val="00C633CB"/>
    <w:rsid w:val="00C8762C"/>
    <w:rsid w:val="00CA00F9"/>
    <w:rsid w:val="00CA2961"/>
    <w:rsid w:val="00CA7636"/>
    <w:rsid w:val="00CB05D5"/>
    <w:rsid w:val="00CB50D7"/>
    <w:rsid w:val="00CB7177"/>
    <w:rsid w:val="00CC1998"/>
    <w:rsid w:val="00CC1D4A"/>
    <w:rsid w:val="00CC4946"/>
    <w:rsid w:val="00CE1C77"/>
    <w:rsid w:val="00CE5BD4"/>
    <w:rsid w:val="00D270A4"/>
    <w:rsid w:val="00D329C7"/>
    <w:rsid w:val="00D34E1B"/>
    <w:rsid w:val="00D376BA"/>
    <w:rsid w:val="00D5568A"/>
    <w:rsid w:val="00D63D73"/>
    <w:rsid w:val="00D66E1E"/>
    <w:rsid w:val="00D75722"/>
    <w:rsid w:val="00DA5BBA"/>
    <w:rsid w:val="00DB67C9"/>
    <w:rsid w:val="00DC0C95"/>
    <w:rsid w:val="00DD6580"/>
    <w:rsid w:val="00E17C72"/>
    <w:rsid w:val="00E21FC6"/>
    <w:rsid w:val="00E2619B"/>
    <w:rsid w:val="00E57D47"/>
    <w:rsid w:val="00E669E2"/>
    <w:rsid w:val="00E76135"/>
    <w:rsid w:val="00E97448"/>
    <w:rsid w:val="00EC2844"/>
    <w:rsid w:val="00ED4042"/>
    <w:rsid w:val="00EE3A7B"/>
    <w:rsid w:val="00EF6C6C"/>
    <w:rsid w:val="00F056FC"/>
    <w:rsid w:val="00F10476"/>
    <w:rsid w:val="00F135D8"/>
    <w:rsid w:val="00F20417"/>
    <w:rsid w:val="00F31299"/>
    <w:rsid w:val="00F3534A"/>
    <w:rsid w:val="00F85325"/>
    <w:rsid w:val="00F86216"/>
    <w:rsid w:val="00FC593A"/>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233AD6"/>
    <w:rPr>
      <w:sz w:val="26"/>
    </w:rPr>
  </w:style>
  <w:style w:type="table" w:styleId="TableGrid">
    <w:name w:val="Table Grid"/>
    <w:basedOn w:val="TableNormal"/>
    <w:rsid w:val="00CA7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55882"/>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233AD6"/>
    <w:rPr>
      <w:sz w:val="26"/>
    </w:rPr>
  </w:style>
  <w:style w:type="table" w:styleId="TableGrid">
    <w:name w:val="Table Grid"/>
    <w:basedOn w:val="TableNormal"/>
    <w:rsid w:val="00CA7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55882"/>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16AF6-6BAE-438B-9B56-0BE4E726B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536</TotalTime>
  <Pages>6</Pages>
  <Words>1025</Words>
  <Characters>6960</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Study participants</vt:lpstr>
    </vt:vector>
  </TitlesOfParts>
  <Company>Productivity Commission</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participants</dc:title>
  <dc:subject>RIA Benchmarking</dc:subject>
  <dc:creator>Productivity Commission</dc:creator>
  <cp:keywords/>
  <dc:description>A.</dc:description>
  <cp:lastModifiedBy>Bell, Rosalyn</cp:lastModifiedBy>
  <cp:revision>63</cp:revision>
  <cp:lastPrinted>2012-08-22T22:23:00Z</cp:lastPrinted>
  <dcterms:created xsi:type="dcterms:W3CDTF">2012-03-18T22:34:00Z</dcterms:created>
  <dcterms:modified xsi:type="dcterms:W3CDTF">2012-11-26T22:59:00Z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-2081924206</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