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472A70" w:rsidP="00472A70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B</w:t>
      </w:r>
      <w:bookmarkEnd w:id="1"/>
      <w:r>
        <w:tab/>
      </w:r>
      <w:r w:rsidR="007D0A01">
        <w:t>Jurisdiction guidance material</w:t>
      </w:r>
    </w:p>
    <w:p w:rsidR="001214F7" w:rsidRDefault="001214F7" w:rsidP="001214F7">
      <w:pPr>
        <w:pStyle w:val="BodyText"/>
      </w:pPr>
      <w:bookmarkStart w:id="2" w:name="begin"/>
      <w:bookmarkEnd w:id="2"/>
      <w:r>
        <w:t xml:space="preserve">This appendix lists the primary guidance material </w:t>
      </w:r>
      <w:r w:rsidR="00525EAB">
        <w:t xml:space="preserve">(including legislation) </w:t>
      </w:r>
      <w:r>
        <w:t>in each jurisdiction that was used to generate many of the fig</w:t>
      </w:r>
      <w:r w:rsidR="00857CE3">
        <w:t>ures and tables in this report.</w:t>
      </w:r>
    </w:p>
    <w:p w:rsidR="00472A70" w:rsidRDefault="007D0A01" w:rsidP="007D0A01">
      <w:pPr>
        <w:pStyle w:val="Heading3"/>
      </w:pPr>
      <w:r>
        <w:t>Commonwealth</w:t>
      </w:r>
    </w:p>
    <w:p w:rsidR="007D0A01" w:rsidRPr="00525EAB" w:rsidRDefault="00702912" w:rsidP="00AF447D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>Australian Government</w:t>
      </w:r>
      <w:r w:rsidR="00857CE3" w:rsidRPr="00525EAB">
        <w:rPr>
          <w:sz w:val="24"/>
          <w:szCs w:val="24"/>
        </w:rPr>
        <w:t xml:space="preserve"> 2010</w:t>
      </w:r>
      <w:r w:rsidRPr="00525EAB">
        <w:rPr>
          <w:sz w:val="24"/>
          <w:szCs w:val="24"/>
        </w:rPr>
        <w:t xml:space="preserve">, </w:t>
      </w:r>
      <w:r w:rsidR="00542EC9" w:rsidRPr="00525EAB">
        <w:rPr>
          <w:i/>
          <w:sz w:val="24"/>
          <w:szCs w:val="24"/>
        </w:rPr>
        <w:t>Best Practice Regulation Handbook</w:t>
      </w:r>
    </w:p>
    <w:p w:rsidR="00F97CE9" w:rsidRPr="00525EAB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sz w:val="24"/>
          <w:szCs w:val="24"/>
        </w:rPr>
        <w:t xml:space="preserve">Australian Government </w:t>
      </w:r>
      <w:r w:rsidRPr="00525EAB">
        <w:rPr>
          <w:rFonts w:cs="Arial"/>
          <w:sz w:val="24"/>
          <w:szCs w:val="24"/>
        </w:rPr>
        <w:t xml:space="preserve">2010, </w:t>
      </w:r>
      <w:proofErr w:type="spellStart"/>
      <w:r w:rsidRPr="00525EAB">
        <w:rPr>
          <w:rFonts w:cs="Arial"/>
          <w:i/>
          <w:sz w:val="24"/>
          <w:szCs w:val="24"/>
        </w:rPr>
        <w:t>ComLaw</w:t>
      </w:r>
      <w:proofErr w:type="spellEnd"/>
      <w:r w:rsidRPr="00525EAB">
        <w:rPr>
          <w:rFonts w:cs="Arial"/>
          <w:i/>
          <w:sz w:val="24"/>
          <w:szCs w:val="24"/>
        </w:rPr>
        <w:t>: browse Acts by year/number – 2010</w:t>
      </w:r>
      <w:r w:rsidRPr="00525EAB">
        <w:rPr>
          <w:rFonts w:cs="Arial"/>
          <w:sz w:val="24"/>
          <w:szCs w:val="24"/>
        </w:rPr>
        <w:t xml:space="preserve">, </w:t>
      </w:r>
      <w:r w:rsidRPr="005501CD">
        <w:rPr>
          <w:rFonts w:cs="Arial"/>
          <w:sz w:val="24"/>
          <w:szCs w:val="24"/>
        </w:rPr>
        <w:t>http://www.comlaw.gov.au/Browse/Results/ByYearNumber/Acts/Asmade/2010/0</w:t>
      </w:r>
      <w:r w:rsidRPr="00525EAB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Pr="00525EAB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sz w:val="24"/>
          <w:szCs w:val="24"/>
        </w:rPr>
        <w:t xml:space="preserve">Australian Government </w:t>
      </w:r>
      <w:r w:rsidRPr="00525EAB">
        <w:rPr>
          <w:rFonts w:cs="Arial"/>
          <w:sz w:val="24"/>
          <w:szCs w:val="24"/>
        </w:rPr>
        <w:t xml:space="preserve">2010, </w:t>
      </w:r>
      <w:proofErr w:type="spellStart"/>
      <w:r w:rsidRPr="00525EAB">
        <w:rPr>
          <w:rFonts w:cs="Arial"/>
          <w:i/>
          <w:sz w:val="24"/>
          <w:szCs w:val="24"/>
        </w:rPr>
        <w:t>ComLaw</w:t>
      </w:r>
      <w:proofErr w:type="spellEnd"/>
      <w:r w:rsidRPr="00525EAB">
        <w:rPr>
          <w:rFonts w:cs="Arial"/>
          <w:i/>
          <w:sz w:val="24"/>
          <w:szCs w:val="24"/>
        </w:rPr>
        <w:t xml:space="preserve">: browse Legislative Instruments by registration date </w:t>
      </w:r>
      <w:r w:rsidR="00525EAB" w:rsidRPr="00525EAB">
        <w:rPr>
          <w:rFonts w:cs="Arial"/>
          <w:i/>
          <w:sz w:val="24"/>
          <w:szCs w:val="24"/>
        </w:rPr>
        <w:t>–</w:t>
      </w:r>
      <w:r w:rsidRPr="00525EAB">
        <w:rPr>
          <w:rFonts w:cs="Arial"/>
          <w:i/>
          <w:sz w:val="24"/>
          <w:szCs w:val="24"/>
        </w:rPr>
        <w:t xml:space="preserve"> 2010</w:t>
      </w:r>
      <w:r w:rsidRPr="00525EAB">
        <w:rPr>
          <w:rFonts w:cs="Arial"/>
          <w:sz w:val="24"/>
          <w:szCs w:val="24"/>
        </w:rPr>
        <w:t xml:space="preserve">, </w:t>
      </w:r>
      <w:r w:rsidRPr="005501CD">
        <w:rPr>
          <w:rFonts w:cs="Arial"/>
          <w:sz w:val="24"/>
          <w:szCs w:val="24"/>
        </w:rPr>
        <w:t>http://</w:t>
      </w:r>
      <w:proofErr w:type="spellStart"/>
      <w:r w:rsidRPr="005501CD">
        <w:rPr>
          <w:rFonts w:cs="Arial"/>
          <w:sz w:val="24"/>
          <w:szCs w:val="24"/>
        </w:rPr>
        <w:t>www.comlaw.gov.au</w:t>
      </w:r>
      <w:proofErr w:type="spellEnd"/>
      <w:r w:rsidRPr="005501CD">
        <w:rPr>
          <w:rFonts w:cs="Arial"/>
          <w:sz w:val="24"/>
          <w:szCs w:val="24"/>
        </w:rPr>
        <w:t>/Browse/Results/</w:t>
      </w:r>
      <w:proofErr w:type="spellStart"/>
      <w:r w:rsidRPr="005501CD">
        <w:rPr>
          <w:rFonts w:cs="Arial"/>
          <w:sz w:val="24"/>
          <w:szCs w:val="24"/>
        </w:rPr>
        <w:t>ByRegDate</w:t>
      </w:r>
      <w:proofErr w:type="spellEnd"/>
      <w:r w:rsidRPr="005501CD">
        <w:rPr>
          <w:rFonts w:cs="Arial"/>
          <w:sz w:val="24"/>
          <w:szCs w:val="24"/>
        </w:rPr>
        <w:t>/Legislative</w:t>
      </w:r>
      <w:r w:rsidRPr="005501CD">
        <w:rPr>
          <w:rFonts w:cs="Arial"/>
          <w:sz w:val="24"/>
          <w:szCs w:val="24"/>
        </w:rPr>
        <w:br/>
        <w:t>Instruments/</w:t>
      </w:r>
      <w:proofErr w:type="spellStart"/>
      <w:r w:rsidRPr="005501CD">
        <w:rPr>
          <w:rFonts w:cs="Arial"/>
          <w:sz w:val="24"/>
          <w:szCs w:val="24"/>
        </w:rPr>
        <w:t>Asmade</w:t>
      </w:r>
      <w:proofErr w:type="spellEnd"/>
      <w:r w:rsidRPr="005501CD">
        <w:rPr>
          <w:rFonts w:cs="Arial"/>
          <w:sz w:val="24"/>
          <w:szCs w:val="24"/>
        </w:rPr>
        <w:t>/2010/0</w:t>
      </w:r>
      <w:r w:rsidRPr="00525EAB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Pr="00525EAB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sz w:val="24"/>
          <w:szCs w:val="24"/>
        </w:rPr>
        <w:t xml:space="preserve">Australian Government </w:t>
      </w:r>
      <w:r w:rsidRPr="00525EAB">
        <w:rPr>
          <w:rFonts w:cs="Arial"/>
          <w:sz w:val="24"/>
          <w:szCs w:val="24"/>
        </w:rPr>
        <w:t xml:space="preserve">2011, </w:t>
      </w:r>
      <w:proofErr w:type="spellStart"/>
      <w:r w:rsidRPr="00525EAB">
        <w:rPr>
          <w:rFonts w:cs="Arial"/>
          <w:i/>
          <w:sz w:val="24"/>
          <w:szCs w:val="24"/>
        </w:rPr>
        <w:t>ComLaw</w:t>
      </w:r>
      <w:proofErr w:type="spellEnd"/>
      <w:r w:rsidRPr="00525EAB">
        <w:rPr>
          <w:rFonts w:cs="Arial"/>
          <w:i/>
          <w:sz w:val="24"/>
          <w:szCs w:val="24"/>
        </w:rPr>
        <w:t>: browse Acts by year/number – 2011</w:t>
      </w:r>
      <w:r w:rsidRPr="00525EAB">
        <w:rPr>
          <w:rFonts w:cs="Arial"/>
          <w:sz w:val="24"/>
          <w:szCs w:val="24"/>
        </w:rPr>
        <w:t xml:space="preserve">, </w:t>
      </w:r>
      <w:r w:rsidRPr="005501CD">
        <w:rPr>
          <w:rFonts w:cs="Arial"/>
          <w:sz w:val="24"/>
          <w:szCs w:val="24"/>
        </w:rPr>
        <w:t>http://www.comlaw.gov.au/Browse/Results/ByYearNumber/Acts/Asmade/2011/0</w:t>
      </w:r>
      <w:r w:rsidRPr="00525EAB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Pr="00525EAB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sz w:val="24"/>
          <w:szCs w:val="24"/>
        </w:rPr>
        <w:t xml:space="preserve">Australian Government </w:t>
      </w:r>
      <w:r w:rsidRPr="00525EAB">
        <w:rPr>
          <w:rFonts w:cs="Arial"/>
          <w:sz w:val="24"/>
          <w:szCs w:val="24"/>
        </w:rPr>
        <w:t xml:space="preserve">2011, </w:t>
      </w:r>
      <w:proofErr w:type="spellStart"/>
      <w:r w:rsidRPr="00525EAB">
        <w:rPr>
          <w:rFonts w:cs="Arial"/>
          <w:i/>
          <w:sz w:val="24"/>
          <w:szCs w:val="24"/>
        </w:rPr>
        <w:t>ComLaw</w:t>
      </w:r>
      <w:proofErr w:type="spellEnd"/>
      <w:r w:rsidRPr="00525EAB">
        <w:rPr>
          <w:rFonts w:cs="Arial"/>
          <w:i/>
          <w:sz w:val="24"/>
          <w:szCs w:val="24"/>
        </w:rPr>
        <w:t xml:space="preserve">: browse Legislative Instruments by registration date </w:t>
      </w:r>
      <w:r w:rsidR="00525EAB" w:rsidRPr="00525EAB">
        <w:rPr>
          <w:rFonts w:cs="Arial"/>
          <w:i/>
          <w:sz w:val="24"/>
          <w:szCs w:val="24"/>
        </w:rPr>
        <w:t>–</w:t>
      </w:r>
      <w:r w:rsidRPr="00525EAB">
        <w:rPr>
          <w:rFonts w:cs="Arial"/>
          <w:i/>
          <w:sz w:val="24"/>
          <w:szCs w:val="24"/>
        </w:rPr>
        <w:t xml:space="preserve"> 2011</w:t>
      </w:r>
      <w:r w:rsidRPr="00525EAB">
        <w:rPr>
          <w:rFonts w:cs="Arial"/>
          <w:sz w:val="24"/>
          <w:szCs w:val="24"/>
        </w:rPr>
        <w:t xml:space="preserve">, </w:t>
      </w:r>
      <w:r w:rsidRPr="005501CD">
        <w:rPr>
          <w:rFonts w:cs="Arial"/>
          <w:sz w:val="24"/>
          <w:szCs w:val="24"/>
        </w:rPr>
        <w:t>http://</w:t>
      </w:r>
      <w:proofErr w:type="spellStart"/>
      <w:r w:rsidRPr="005501CD">
        <w:rPr>
          <w:rFonts w:cs="Arial"/>
          <w:sz w:val="24"/>
          <w:szCs w:val="24"/>
        </w:rPr>
        <w:t>www.comlaw.gov.au</w:t>
      </w:r>
      <w:proofErr w:type="spellEnd"/>
      <w:r w:rsidRPr="005501CD">
        <w:rPr>
          <w:rFonts w:cs="Arial"/>
          <w:sz w:val="24"/>
          <w:szCs w:val="24"/>
        </w:rPr>
        <w:t>/Browse/Results/</w:t>
      </w:r>
      <w:proofErr w:type="spellStart"/>
      <w:r w:rsidRPr="005501CD">
        <w:rPr>
          <w:rFonts w:cs="Arial"/>
          <w:sz w:val="24"/>
          <w:szCs w:val="24"/>
        </w:rPr>
        <w:t>ByRegDate</w:t>
      </w:r>
      <w:proofErr w:type="spellEnd"/>
      <w:r w:rsidRPr="005501CD">
        <w:rPr>
          <w:rFonts w:cs="Arial"/>
          <w:sz w:val="24"/>
          <w:szCs w:val="24"/>
        </w:rPr>
        <w:t>/Legislative</w:t>
      </w:r>
      <w:r w:rsidRPr="00525EAB">
        <w:rPr>
          <w:rFonts w:cs="Arial"/>
          <w:sz w:val="24"/>
          <w:szCs w:val="24"/>
        </w:rPr>
        <w:br/>
        <w:t>Instruments/</w:t>
      </w:r>
      <w:proofErr w:type="spellStart"/>
      <w:r w:rsidRPr="00525EAB">
        <w:rPr>
          <w:rFonts w:cs="Arial"/>
          <w:sz w:val="24"/>
          <w:szCs w:val="24"/>
        </w:rPr>
        <w:t>Asmade</w:t>
      </w:r>
      <w:proofErr w:type="spellEnd"/>
      <w:r w:rsidRPr="00525EAB">
        <w:rPr>
          <w:rFonts w:cs="Arial"/>
          <w:sz w:val="24"/>
          <w:szCs w:val="24"/>
        </w:rPr>
        <w:t>/2011/0 (accessed 23 July</w:t>
      </w:r>
      <w:r w:rsidR="006542CB">
        <w:rPr>
          <w:rFonts w:cs="Arial"/>
          <w:sz w:val="24"/>
          <w:szCs w:val="24"/>
        </w:rPr>
        <w:t xml:space="preserve"> 2012</w:t>
      </w:r>
      <w:r w:rsidRPr="00525EAB">
        <w:rPr>
          <w:rFonts w:cs="Arial"/>
          <w:sz w:val="24"/>
          <w:szCs w:val="24"/>
        </w:rPr>
        <w:t>)</w:t>
      </w:r>
    </w:p>
    <w:p w:rsidR="007D0A01" w:rsidRPr="00525EAB" w:rsidRDefault="00CF74C3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the Prime Minister and Cabinet</w:t>
      </w:r>
      <w:r w:rsidR="00857CE3" w:rsidRPr="00525EA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Cabinet Handboo</w:t>
      </w:r>
      <w:r w:rsidR="00AF447D" w:rsidRPr="00525EAB">
        <w:rPr>
          <w:i/>
          <w:sz w:val="24"/>
          <w:szCs w:val="24"/>
        </w:rPr>
        <w:t>k</w:t>
      </w:r>
      <w:r w:rsidR="00AF447D" w:rsidRPr="00525EAB">
        <w:rPr>
          <w:sz w:val="24"/>
          <w:szCs w:val="24"/>
        </w:rPr>
        <w:t>,</w:t>
      </w:r>
      <w:r w:rsidRPr="00525EAB">
        <w:rPr>
          <w:sz w:val="24"/>
          <w:szCs w:val="24"/>
        </w:rPr>
        <w:t xml:space="preserve"> 7</w:t>
      </w:r>
      <w:r w:rsidRPr="00525EAB">
        <w:rPr>
          <w:sz w:val="24"/>
          <w:szCs w:val="24"/>
          <w:vertAlign w:val="superscript"/>
        </w:rPr>
        <w:t>th</w:t>
      </w:r>
      <w:r w:rsidR="00857CE3" w:rsidRPr="00525EAB">
        <w:rPr>
          <w:sz w:val="24"/>
          <w:szCs w:val="24"/>
        </w:rPr>
        <w:t xml:space="preserve"> Edition</w:t>
      </w:r>
    </w:p>
    <w:p w:rsidR="0039591A" w:rsidRPr="00525EAB" w:rsidRDefault="0039591A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Office of Best Practice Regulation</w:t>
      </w:r>
      <w:r w:rsidR="00857CE3" w:rsidRPr="00525EAB">
        <w:rPr>
          <w:sz w:val="24"/>
          <w:szCs w:val="24"/>
        </w:rPr>
        <w:t xml:space="preserve"> 2008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Annual Regulatory Plans: Guidelines for departments and agencies on preparing and publishing annual regulatory plans</w:t>
      </w:r>
    </w:p>
    <w:p w:rsidR="008F0CF1" w:rsidRPr="00525EAB" w:rsidRDefault="008F0CF1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>Office of Best Practice Regulation</w:t>
      </w:r>
      <w:r w:rsidR="00857CE3" w:rsidRPr="00525EA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Guidance Note Post-Implementation Reviews</w:t>
      </w:r>
    </w:p>
    <w:p w:rsidR="007D0A01" w:rsidRDefault="00857CE3" w:rsidP="007D0A01">
      <w:pPr>
        <w:pStyle w:val="Heading3"/>
      </w:pPr>
      <w:r>
        <w:t>COAG</w:t>
      </w:r>
    </w:p>
    <w:p w:rsidR="007D0A01" w:rsidRPr="00525EAB" w:rsidRDefault="00542EC9" w:rsidP="00BA0037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>Best Practice Regulation</w:t>
      </w:r>
      <w:r w:rsidR="00857CE3" w:rsidRPr="00525EAB">
        <w:rPr>
          <w:sz w:val="24"/>
          <w:szCs w:val="24"/>
        </w:rPr>
        <w:t xml:space="preserve"> 2007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A Guide For Ministerial Councils and N</w:t>
      </w:r>
      <w:r w:rsidR="00857CE3" w:rsidRPr="00525EAB">
        <w:rPr>
          <w:i/>
          <w:sz w:val="24"/>
          <w:szCs w:val="24"/>
        </w:rPr>
        <w:t>ational Standard Setting Bodies</w:t>
      </w:r>
    </w:p>
    <w:p w:rsidR="007D0A01" w:rsidRPr="00525EAB" w:rsidRDefault="001214F7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Handbook for </w:t>
      </w:r>
      <w:proofErr w:type="spellStart"/>
      <w:r w:rsidRPr="00525EAB">
        <w:rPr>
          <w:sz w:val="24"/>
          <w:szCs w:val="24"/>
        </w:rPr>
        <w:t>COAG</w:t>
      </w:r>
      <w:proofErr w:type="spellEnd"/>
      <w:r w:rsidRPr="00525EAB">
        <w:rPr>
          <w:sz w:val="24"/>
          <w:szCs w:val="24"/>
        </w:rPr>
        <w:t xml:space="preserve"> Councils</w:t>
      </w:r>
      <w:r w:rsidR="00857CE3" w:rsidRPr="00525EAB">
        <w:rPr>
          <w:sz w:val="24"/>
          <w:szCs w:val="24"/>
        </w:rPr>
        <w:t xml:space="preserve"> (</w:t>
      </w:r>
      <w:proofErr w:type="spellStart"/>
      <w:r w:rsidR="00857CE3" w:rsidRPr="00525EAB">
        <w:rPr>
          <w:sz w:val="24"/>
          <w:szCs w:val="24"/>
        </w:rPr>
        <w:t>nd</w:t>
      </w:r>
      <w:proofErr w:type="spellEnd"/>
      <w:r w:rsidR="00857CE3" w:rsidRPr="00525EAB">
        <w:rPr>
          <w:sz w:val="24"/>
          <w:szCs w:val="24"/>
        </w:rPr>
        <w:t>)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A Guide for Best-practice Operations for COAG Council Secretariats</w:t>
      </w:r>
    </w:p>
    <w:p w:rsidR="00DC4BC0" w:rsidRDefault="00DC4BC0">
      <w:pPr>
        <w:rPr>
          <w:rFonts w:ascii="Arial" w:hAnsi="Arial"/>
          <w:b/>
          <w:szCs w:val="20"/>
        </w:rPr>
      </w:pPr>
      <w:r>
        <w:br w:type="page"/>
      </w:r>
    </w:p>
    <w:p w:rsidR="007D0A01" w:rsidRDefault="007D0A01" w:rsidP="007D0A01">
      <w:pPr>
        <w:pStyle w:val="Heading3"/>
      </w:pPr>
      <w:r>
        <w:lastRenderedPageBreak/>
        <w:t>New South Wales</w:t>
      </w:r>
    </w:p>
    <w:p w:rsidR="00022590" w:rsidRDefault="008A5EF3" w:rsidP="00022590">
      <w:pPr>
        <w:pStyle w:val="Reference"/>
        <w:rPr>
          <w:i/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2008</w:t>
      </w:r>
      <w:r w:rsidR="000746AE" w:rsidRPr="00525EAB">
        <w:rPr>
          <w:sz w:val="24"/>
          <w:szCs w:val="24"/>
        </w:rPr>
        <w:t xml:space="preserve">, </w:t>
      </w:r>
      <w:r w:rsidR="000746AE" w:rsidRPr="00525EAB">
        <w:rPr>
          <w:i/>
          <w:sz w:val="24"/>
          <w:szCs w:val="24"/>
        </w:rPr>
        <w:t>Assessment against t</w:t>
      </w:r>
      <w:r w:rsidR="00121BC4" w:rsidRPr="00525EAB">
        <w:rPr>
          <w:i/>
          <w:sz w:val="24"/>
          <w:szCs w:val="24"/>
        </w:rPr>
        <w:t>he Competition Test</w:t>
      </w:r>
    </w:p>
    <w:p w:rsidR="00022590" w:rsidRPr="00022590" w:rsidRDefault="00022590" w:rsidP="00D526C6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 xml:space="preserve">Department of Premier and Cabinet 2008, </w:t>
      </w:r>
      <w:r w:rsidRPr="00525EAB">
        <w:rPr>
          <w:i/>
          <w:sz w:val="24"/>
          <w:szCs w:val="24"/>
        </w:rPr>
        <w:t>Measuring the Costs of Regulation</w:t>
      </w:r>
    </w:p>
    <w:p w:rsidR="00022590" w:rsidRPr="00525EAB" w:rsidRDefault="00022590" w:rsidP="00022590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Premier and Cabinet 2008, </w:t>
      </w:r>
      <w:r w:rsidRPr="00525EAB">
        <w:rPr>
          <w:i/>
          <w:sz w:val="24"/>
          <w:szCs w:val="24"/>
        </w:rPr>
        <w:t>Risk-Based Compliance</w:t>
      </w:r>
    </w:p>
    <w:p w:rsidR="0039591A" w:rsidRPr="00525EAB" w:rsidRDefault="0039591A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2009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Consultation Policy</w:t>
      </w:r>
    </w:p>
    <w:p w:rsidR="0039591A" w:rsidRPr="00525EAB" w:rsidRDefault="0039591A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2009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Guide to Better Regulation</w:t>
      </w:r>
    </w:p>
    <w:p w:rsidR="00525F72" w:rsidRPr="00525EAB" w:rsidRDefault="00936277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2011</w:t>
      </w:r>
      <w:r w:rsidRPr="00525EAB">
        <w:rPr>
          <w:sz w:val="24"/>
          <w:szCs w:val="24"/>
        </w:rPr>
        <w:t xml:space="preserve">, </w:t>
      </w:r>
      <w:r w:rsidR="00525F72" w:rsidRPr="00525EAB">
        <w:rPr>
          <w:i/>
          <w:sz w:val="24"/>
          <w:szCs w:val="24"/>
        </w:rPr>
        <w:t>Ministerial Handbook</w:t>
      </w:r>
    </w:p>
    <w:p w:rsidR="00121BC4" w:rsidRPr="00525EAB" w:rsidRDefault="00121BC4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Legislation Review Act 1987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New South Wales Government 2010, </w:t>
      </w:r>
      <w:r w:rsidRPr="00525EAB">
        <w:rPr>
          <w:i/>
          <w:sz w:val="24"/>
          <w:szCs w:val="24"/>
        </w:rPr>
        <w:t>Official notification of the making of statutory instruments and other legislative events</w:t>
      </w:r>
      <w:r w:rsidRPr="00525EAB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</w:t>
      </w:r>
      <w:proofErr w:type="spellStart"/>
      <w:r w:rsidRPr="005501CD">
        <w:rPr>
          <w:sz w:val="24"/>
          <w:szCs w:val="24"/>
        </w:rPr>
        <w:t>www.legislation.nsw.gov.au</w:t>
      </w:r>
      <w:proofErr w:type="spellEnd"/>
      <w:r w:rsidRPr="005501CD">
        <w:rPr>
          <w:sz w:val="24"/>
          <w:szCs w:val="24"/>
        </w:rPr>
        <w:t>/</w:t>
      </w:r>
      <w:r w:rsidR="00525EAB" w:rsidRPr="00525EAB">
        <w:rPr>
          <w:sz w:val="24"/>
          <w:szCs w:val="24"/>
        </w:rPr>
        <w:t xml:space="preserve"> </w:t>
      </w:r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New South Wales </w:t>
      </w:r>
      <w:r w:rsidR="00022590">
        <w:rPr>
          <w:sz w:val="24"/>
          <w:szCs w:val="24"/>
        </w:rPr>
        <w:t xml:space="preserve">Government </w:t>
      </w:r>
      <w:r w:rsidRPr="00525EAB">
        <w:rPr>
          <w:sz w:val="24"/>
          <w:szCs w:val="24"/>
        </w:rPr>
        <w:t xml:space="preserve">2011, </w:t>
      </w:r>
      <w:r w:rsidRPr="00525EAB">
        <w:rPr>
          <w:i/>
          <w:sz w:val="24"/>
          <w:szCs w:val="24"/>
        </w:rPr>
        <w:t>Official notification of the making of statutory instruments and other legislative events</w:t>
      </w:r>
      <w:r w:rsidRPr="00525EAB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</w:t>
      </w:r>
      <w:proofErr w:type="spellStart"/>
      <w:r w:rsidRPr="005501CD">
        <w:rPr>
          <w:sz w:val="24"/>
          <w:szCs w:val="24"/>
        </w:rPr>
        <w:t>www.legislation.nsw.gov.au</w:t>
      </w:r>
      <w:proofErr w:type="spellEnd"/>
      <w:r w:rsidRPr="005501CD">
        <w:rPr>
          <w:sz w:val="24"/>
          <w:szCs w:val="24"/>
        </w:rPr>
        <w:t>/</w:t>
      </w:r>
      <w:r w:rsidR="00525EAB" w:rsidRPr="00525EAB">
        <w:rPr>
          <w:sz w:val="24"/>
          <w:szCs w:val="24"/>
        </w:rPr>
        <w:t xml:space="preserve"> </w:t>
      </w:r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F97CE9" w:rsidRPr="00525EAB" w:rsidRDefault="00121BC4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Subordinate Legislation Act 1989</w:t>
      </w:r>
    </w:p>
    <w:p w:rsidR="007D0A01" w:rsidRDefault="007D0A01" w:rsidP="007D0A01">
      <w:pPr>
        <w:pStyle w:val="Heading3"/>
      </w:pPr>
      <w:r>
        <w:t>Victoria</w:t>
      </w:r>
    </w:p>
    <w:p w:rsidR="007D0A01" w:rsidRPr="00525EAB" w:rsidRDefault="00D14E29" w:rsidP="00BA0037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>Department of Treasury and Finance</w:t>
      </w:r>
      <w:r w:rsidR="00857CE3" w:rsidRPr="00525EAB">
        <w:rPr>
          <w:sz w:val="24"/>
          <w:szCs w:val="24"/>
        </w:rPr>
        <w:t xml:space="preserve"> 2011</w:t>
      </w:r>
      <w:r w:rsidRPr="00525EAB">
        <w:rPr>
          <w:sz w:val="24"/>
          <w:szCs w:val="24"/>
        </w:rPr>
        <w:t xml:space="preserve">, </w:t>
      </w:r>
      <w:r w:rsidR="00DD4575" w:rsidRPr="00525EAB">
        <w:rPr>
          <w:i/>
          <w:sz w:val="24"/>
          <w:szCs w:val="24"/>
        </w:rPr>
        <w:t>Victorian Guide to Regulation Appendices</w:t>
      </w:r>
    </w:p>
    <w:p w:rsidR="0054429A" w:rsidRPr="00525EAB" w:rsidRDefault="0054429A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Treasury and Finance</w:t>
      </w:r>
      <w:r w:rsidR="00857CE3" w:rsidRPr="00525EAB">
        <w:rPr>
          <w:sz w:val="24"/>
          <w:szCs w:val="24"/>
        </w:rPr>
        <w:t xml:space="preserve"> 2011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Victorian Guide to Regulation</w:t>
      </w:r>
      <w:r w:rsidR="00857CE3" w:rsidRPr="00525EAB">
        <w:rPr>
          <w:sz w:val="24"/>
          <w:szCs w:val="24"/>
        </w:rPr>
        <w:t>, Edition 2.1</w:t>
      </w:r>
    </w:p>
    <w:p w:rsidR="00D14E29" w:rsidRPr="00525EAB" w:rsidRDefault="00D14E29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Subordinate Legislation Act 1994</w:t>
      </w:r>
    </w:p>
    <w:p w:rsidR="00F97CE9" w:rsidRPr="00525EAB" w:rsidRDefault="00A91F01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Victorian Government </w:t>
      </w:r>
      <w:r w:rsidR="00F97CE9" w:rsidRPr="00525EAB">
        <w:rPr>
          <w:sz w:val="24"/>
          <w:szCs w:val="24"/>
        </w:rPr>
        <w:t xml:space="preserve">2010, </w:t>
      </w:r>
      <w:r w:rsidR="00F97CE9" w:rsidRPr="00525EAB">
        <w:rPr>
          <w:i/>
          <w:sz w:val="24"/>
          <w:szCs w:val="24"/>
        </w:rPr>
        <w:t>Gazette archives 2010</w:t>
      </w:r>
      <w:r w:rsidR="00F97CE9" w:rsidRPr="00525EAB">
        <w:rPr>
          <w:sz w:val="24"/>
          <w:szCs w:val="24"/>
        </w:rPr>
        <w:t xml:space="preserve">, </w:t>
      </w:r>
      <w:r w:rsidR="00F97CE9" w:rsidRPr="005501CD">
        <w:rPr>
          <w:sz w:val="24"/>
          <w:szCs w:val="24"/>
        </w:rPr>
        <w:t>http://</w:t>
      </w:r>
      <w:proofErr w:type="spellStart"/>
      <w:r w:rsidR="00F97CE9" w:rsidRPr="005501CD">
        <w:rPr>
          <w:sz w:val="24"/>
          <w:szCs w:val="24"/>
        </w:rPr>
        <w:t>www.gazette.vic.gov.au</w:t>
      </w:r>
      <w:proofErr w:type="spellEnd"/>
      <w:r w:rsidRPr="00525EAB">
        <w:rPr>
          <w:rStyle w:val="Hyperlink"/>
          <w:color w:val="auto"/>
          <w:sz w:val="24"/>
          <w:szCs w:val="24"/>
          <w:u w:val="none"/>
        </w:rPr>
        <w:t>/</w:t>
      </w:r>
      <w:r w:rsidR="006542CB">
        <w:rPr>
          <w:sz w:val="24"/>
          <w:szCs w:val="24"/>
        </w:rPr>
        <w:t xml:space="preserve"> (accessed 13 August 2012)</w:t>
      </w:r>
    </w:p>
    <w:p w:rsidR="00F97CE9" w:rsidRPr="00525EAB" w:rsidRDefault="00A91F01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Victorian Government </w:t>
      </w:r>
      <w:r w:rsidR="00F97CE9" w:rsidRPr="00525EAB">
        <w:rPr>
          <w:sz w:val="24"/>
          <w:szCs w:val="24"/>
        </w:rPr>
        <w:t xml:space="preserve">2011, </w:t>
      </w:r>
      <w:r w:rsidR="00F97CE9" w:rsidRPr="00525EAB">
        <w:rPr>
          <w:i/>
          <w:sz w:val="24"/>
          <w:szCs w:val="24"/>
        </w:rPr>
        <w:t>Gazette archives 2011</w:t>
      </w:r>
      <w:r w:rsidR="00F97CE9" w:rsidRPr="00525EAB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</w:t>
      </w:r>
      <w:proofErr w:type="spellStart"/>
      <w:r w:rsidRPr="005501CD">
        <w:rPr>
          <w:sz w:val="24"/>
          <w:szCs w:val="24"/>
        </w:rPr>
        <w:t>www.gazette.vic.gov.au</w:t>
      </w:r>
      <w:proofErr w:type="spellEnd"/>
      <w:r w:rsidRPr="005501CD">
        <w:rPr>
          <w:sz w:val="24"/>
          <w:szCs w:val="24"/>
        </w:rPr>
        <w:t>/</w:t>
      </w:r>
      <w:r w:rsidR="006542CB">
        <w:rPr>
          <w:sz w:val="24"/>
          <w:szCs w:val="24"/>
        </w:rPr>
        <w:t xml:space="preserve"> (accessed 13 August 2012)</w:t>
      </w:r>
    </w:p>
    <w:p w:rsidR="00F97CE9" w:rsidRPr="00525EAB" w:rsidRDefault="00F97CE9" w:rsidP="00DB2A6F">
      <w:pPr>
        <w:pStyle w:val="BodyText"/>
        <w:spacing w:before="40" w:after="40"/>
        <w:ind w:left="340" w:hanging="340"/>
        <w:rPr>
          <w:rFonts w:cs="Arial"/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Victorian </w:t>
      </w:r>
      <w:r w:rsidR="00BC473D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2012, </w:t>
      </w:r>
      <w:r w:rsidRPr="005501CD">
        <w:rPr>
          <w:rFonts w:cs="Arial"/>
          <w:sz w:val="24"/>
          <w:szCs w:val="24"/>
        </w:rPr>
        <w:t>http://</w:t>
      </w:r>
      <w:proofErr w:type="spellStart"/>
      <w:r w:rsidRPr="005501CD">
        <w:rPr>
          <w:rFonts w:cs="Arial"/>
          <w:sz w:val="24"/>
          <w:szCs w:val="24"/>
        </w:rPr>
        <w:t>www.legislation.vic.gov.au</w:t>
      </w:r>
      <w:proofErr w:type="spellEnd"/>
      <w:r w:rsidRPr="005501CD">
        <w:rPr>
          <w:rFonts w:cs="Arial"/>
          <w:sz w:val="24"/>
          <w:szCs w:val="24"/>
        </w:rPr>
        <w:t>/</w:t>
      </w:r>
      <w:r w:rsidR="006542CB">
        <w:rPr>
          <w:rFonts w:cs="Arial"/>
          <w:sz w:val="24"/>
          <w:szCs w:val="24"/>
        </w:rPr>
        <w:t xml:space="preserve"> (accessed 23 July 2012)</w:t>
      </w:r>
    </w:p>
    <w:p w:rsidR="007D0A01" w:rsidRDefault="007D0A01" w:rsidP="007D0A01">
      <w:pPr>
        <w:pStyle w:val="Heading3"/>
      </w:pPr>
      <w:r>
        <w:t>Queensland</w:t>
      </w:r>
    </w:p>
    <w:p w:rsidR="00F97CE9" w:rsidRPr="00525EAB" w:rsidRDefault="00F97CE9" w:rsidP="00B908E1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Local Government 2012, </w:t>
      </w:r>
      <w:r w:rsidRPr="00525EAB">
        <w:rPr>
          <w:i/>
          <w:sz w:val="24"/>
          <w:szCs w:val="24"/>
        </w:rPr>
        <w:t>Local laws online</w:t>
      </w:r>
      <w:r w:rsidRPr="00525EAB">
        <w:rPr>
          <w:sz w:val="24"/>
          <w:szCs w:val="24"/>
        </w:rPr>
        <w:t>, http://www.dsdip.qld.gov.au/local-government/local-laws-online.html</w:t>
      </w:r>
      <w:r w:rsidR="003506F2">
        <w:rPr>
          <w:sz w:val="24"/>
          <w:szCs w:val="24"/>
        </w:rPr>
        <w:br/>
        <w:t>(accessed 13 </w:t>
      </w:r>
      <w:r w:rsidRPr="00525EAB">
        <w:rPr>
          <w:sz w:val="24"/>
          <w:szCs w:val="24"/>
        </w:rPr>
        <w:t>August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B908E1" w:rsidRPr="00525EAB" w:rsidRDefault="00B908E1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2010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The Queensland Cabinet Handbook: Governing Queensland</w:t>
      </w:r>
    </w:p>
    <w:p w:rsidR="00A91F01" w:rsidRPr="00525EAB" w:rsidRDefault="00A91F01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Queensland Government 2010, </w:t>
      </w:r>
      <w:r w:rsidRPr="00525EAB">
        <w:rPr>
          <w:i/>
          <w:sz w:val="24"/>
          <w:szCs w:val="24"/>
        </w:rPr>
        <w:t>Acts as passed in 2010</w:t>
      </w:r>
      <w:r w:rsidRPr="00525EAB">
        <w:rPr>
          <w:sz w:val="24"/>
          <w:szCs w:val="24"/>
        </w:rPr>
        <w:t xml:space="preserve">, </w:t>
      </w:r>
      <w:r w:rsidR="00525EAB" w:rsidRPr="00C27933">
        <w:rPr>
          <w:sz w:val="24"/>
          <w:szCs w:val="24"/>
        </w:rPr>
        <w:t>http://</w:t>
      </w:r>
      <w:proofErr w:type="spellStart"/>
      <w:r w:rsidR="00525EAB" w:rsidRPr="00C27933">
        <w:rPr>
          <w:sz w:val="24"/>
          <w:szCs w:val="24"/>
        </w:rPr>
        <w:t>www.legislation.qld.gov.au</w:t>
      </w:r>
      <w:proofErr w:type="spellEnd"/>
      <w:r w:rsidR="00525EAB" w:rsidRPr="00C27933">
        <w:rPr>
          <w:sz w:val="24"/>
          <w:szCs w:val="24"/>
        </w:rPr>
        <w:t xml:space="preserve">/ </w:t>
      </w:r>
      <w:proofErr w:type="spellStart"/>
      <w:r w:rsidR="00525EAB" w:rsidRPr="00C27933">
        <w:rPr>
          <w:sz w:val="24"/>
          <w:szCs w:val="24"/>
        </w:rPr>
        <w:t>Acts_Passed</w:t>
      </w:r>
      <w:proofErr w:type="spellEnd"/>
      <w:r w:rsidR="00525EAB" w:rsidRPr="00C27933">
        <w:rPr>
          <w:sz w:val="24"/>
          <w:szCs w:val="24"/>
        </w:rPr>
        <w:t>/</w:t>
      </w:r>
      <w:proofErr w:type="spellStart"/>
      <w:r w:rsidR="00525EAB" w:rsidRPr="00C27933">
        <w:rPr>
          <w:sz w:val="24"/>
          <w:szCs w:val="24"/>
        </w:rPr>
        <w:t>Acts_Passed_NUM_2010.htm</w:t>
      </w:r>
      <w:proofErr w:type="spellEnd"/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A91F01" w:rsidRPr="00525EAB" w:rsidRDefault="00A91F01" w:rsidP="00F12FF3">
      <w:pPr>
        <w:pStyle w:val="BodyText"/>
        <w:spacing w:before="40"/>
        <w:ind w:left="340" w:hanging="340"/>
        <w:rPr>
          <w:sz w:val="24"/>
          <w:szCs w:val="24"/>
        </w:rPr>
      </w:pPr>
      <w:r w:rsidRPr="00525EAB">
        <w:rPr>
          <w:sz w:val="24"/>
          <w:szCs w:val="24"/>
        </w:rPr>
        <w:lastRenderedPageBreak/>
        <w:t xml:space="preserve">Queensland Government 2010, </w:t>
      </w:r>
      <w:r w:rsidRPr="00525EAB">
        <w:rPr>
          <w:i/>
          <w:sz w:val="24"/>
          <w:szCs w:val="24"/>
        </w:rPr>
        <w:t>Subordinate legislation as made in 2010</w:t>
      </w:r>
      <w:r w:rsidRPr="00525EAB">
        <w:rPr>
          <w:sz w:val="24"/>
          <w:szCs w:val="24"/>
        </w:rPr>
        <w:t xml:space="preserve">, </w:t>
      </w:r>
      <w:r w:rsidR="00525EAB" w:rsidRPr="00C27933">
        <w:rPr>
          <w:sz w:val="24"/>
          <w:szCs w:val="24"/>
        </w:rPr>
        <w:t>http://www.legislation.qld.gov.au/SL_AsMade/SL_AsMade_NUM_2010.htm</w:t>
      </w:r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A91F01" w:rsidRPr="00525EAB" w:rsidRDefault="00A91F01" w:rsidP="00F12FF3">
      <w:pPr>
        <w:pStyle w:val="BodyText"/>
        <w:spacing w:before="120"/>
        <w:ind w:left="425" w:hanging="425"/>
        <w:rPr>
          <w:sz w:val="24"/>
          <w:szCs w:val="24"/>
        </w:rPr>
      </w:pPr>
      <w:r w:rsidRPr="00525EAB">
        <w:rPr>
          <w:sz w:val="24"/>
          <w:szCs w:val="24"/>
        </w:rPr>
        <w:t xml:space="preserve">Queensland Government 2011, </w:t>
      </w:r>
      <w:r w:rsidRPr="00525EAB">
        <w:rPr>
          <w:i/>
          <w:sz w:val="24"/>
          <w:szCs w:val="24"/>
        </w:rPr>
        <w:t>Acts as passed in 2011</w:t>
      </w:r>
      <w:r w:rsidRPr="00525EAB">
        <w:rPr>
          <w:sz w:val="24"/>
          <w:szCs w:val="24"/>
        </w:rPr>
        <w:t xml:space="preserve">, </w:t>
      </w:r>
      <w:r w:rsidR="00525EAB" w:rsidRPr="00C27933">
        <w:rPr>
          <w:sz w:val="24"/>
          <w:szCs w:val="24"/>
        </w:rPr>
        <w:t>http://</w:t>
      </w:r>
      <w:proofErr w:type="spellStart"/>
      <w:r w:rsidR="00525EAB" w:rsidRPr="00C27933">
        <w:rPr>
          <w:sz w:val="24"/>
          <w:szCs w:val="24"/>
        </w:rPr>
        <w:t>www.legislation.qld.gov.au</w:t>
      </w:r>
      <w:proofErr w:type="spellEnd"/>
      <w:r w:rsidR="00525EAB" w:rsidRPr="00C27933">
        <w:rPr>
          <w:sz w:val="24"/>
          <w:szCs w:val="24"/>
        </w:rPr>
        <w:t xml:space="preserve">/ </w:t>
      </w:r>
      <w:proofErr w:type="spellStart"/>
      <w:r w:rsidR="00525EAB" w:rsidRPr="00C27933">
        <w:rPr>
          <w:sz w:val="24"/>
          <w:szCs w:val="24"/>
        </w:rPr>
        <w:t>Acts_Passed</w:t>
      </w:r>
      <w:proofErr w:type="spellEnd"/>
      <w:r w:rsidR="00525EAB" w:rsidRPr="00C27933">
        <w:rPr>
          <w:sz w:val="24"/>
          <w:szCs w:val="24"/>
        </w:rPr>
        <w:t>/</w:t>
      </w:r>
      <w:proofErr w:type="spellStart"/>
      <w:r w:rsidR="00525EAB" w:rsidRPr="00C27933">
        <w:rPr>
          <w:sz w:val="24"/>
          <w:szCs w:val="24"/>
        </w:rPr>
        <w:t>Acts_Passed_NUM_2011.htm</w:t>
      </w:r>
      <w:proofErr w:type="spellEnd"/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A91F01" w:rsidRPr="00525EAB" w:rsidRDefault="00A91F01" w:rsidP="00DB2A6F">
      <w:pPr>
        <w:pStyle w:val="BodyText"/>
        <w:spacing w:before="40" w:after="40"/>
        <w:ind w:left="340" w:hanging="340"/>
        <w:rPr>
          <w:sz w:val="24"/>
          <w:szCs w:val="24"/>
        </w:rPr>
      </w:pPr>
      <w:r w:rsidRPr="00525EAB">
        <w:rPr>
          <w:sz w:val="24"/>
          <w:szCs w:val="24"/>
        </w:rPr>
        <w:t xml:space="preserve">Queensland Government 2011, </w:t>
      </w:r>
      <w:r w:rsidRPr="00525EAB">
        <w:rPr>
          <w:i/>
          <w:sz w:val="24"/>
          <w:szCs w:val="24"/>
        </w:rPr>
        <w:t>Subordinate legislation as made in 2011</w:t>
      </w:r>
      <w:r w:rsidRPr="00525EAB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http://www.legislation.qld.gov.au/SL_AsMade/SL_AsMade_NUM_2011.htm</w:t>
      </w:r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CC030B" w:rsidRPr="00525EAB" w:rsidRDefault="00F1523A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Queensland </w:t>
      </w:r>
      <w:r w:rsidR="00B908E1" w:rsidRPr="00525EAB">
        <w:rPr>
          <w:sz w:val="24"/>
          <w:szCs w:val="24"/>
        </w:rPr>
        <w:t>Treasury</w:t>
      </w:r>
      <w:r w:rsidR="00857CE3" w:rsidRPr="00525EAB">
        <w:rPr>
          <w:sz w:val="24"/>
          <w:szCs w:val="24"/>
        </w:rPr>
        <w:t xml:space="preserve"> 2010</w:t>
      </w:r>
      <w:r w:rsidRPr="00525EAB">
        <w:rPr>
          <w:sz w:val="24"/>
          <w:szCs w:val="24"/>
        </w:rPr>
        <w:t xml:space="preserve">, </w:t>
      </w:r>
      <w:r w:rsidR="00CC030B" w:rsidRPr="00525EAB">
        <w:rPr>
          <w:i/>
          <w:sz w:val="24"/>
          <w:szCs w:val="24"/>
        </w:rPr>
        <w:t>Regulatory Assessment Statement System Guidelines</w:t>
      </w:r>
    </w:p>
    <w:p w:rsidR="00CC030B" w:rsidRPr="00525EAB" w:rsidRDefault="00CC030B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Statutory Instruments Act 1992</w:t>
      </w:r>
    </w:p>
    <w:p w:rsidR="00F97CE9" w:rsidRPr="00525EAB" w:rsidRDefault="00CC030B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Statutory Instruments Regulation 2002</w:t>
      </w:r>
    </w:p>
    <w:p w:rsidR="007D0A01" w:rsidRDefault="007D0A01" w:rsidP="007D0A01">
      <w:pPr>
        <w:pStyle w:val="Heading3"/>
      </w:pPr>
      <w:r>
        <w:t>Western Australia</w:t>
      </w:r>
    </w:p>
    <w:p w:rsidR="00022590" w:rsidRPr="00525EAB" w:rsidRDefault="00022590" w:rsidP="00022590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 xml:space="preserve">Department of Treasury 2010, </w:t>
      </w:r>
      <w:r w:rsidRPr="00525EAB">
        <w:rPr>
          <w:i/>
          <w:sz w:val="24"/>
          <w:szCs w:val="24"/>
        </w:rPr>
        <w:t>Regulatory Impact Assessment Guidelines for Western Australia</w:t>
      </w:r>
    </w:p>
    <w:p w:rsidR="00661FAE" w:rsidRPr="00525EAB" w:rsidRDefault="00661FAE" w:rsidP="00661FAE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>Department of Treasury</w:t>
      </w:r>
      <w:r w:rsidR="00857CE3" w:rsidRPr="00525EA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How to Complete a Preliminary Impact Assessment</w:t>
      </w:r>
    </w:p>
    <w:p w:rsidR="00661FAE" w:rsidRPr="00525EAB" w:rsidRDefault="00661FAE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Treasury</w:t>
      </w:r>
      <w:r w:rsidR="00857CE3" w:rsidRPr="00525EA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How to Complete a Regulatory Impact Statement</w:t>
      </w:r>
    </w:p>
    <w:p w:rsidR="00F97CE9" w:rsidRPr="00525EAB" w:rsidRDefault="00A91F01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Western Australia Government </w:t>
      </w:r>
      <w:r w:rsidR="00F97CE9" w:rsidRPr="00525EAB">
        <w:rPr>
          <w:sz w:val="24"/>
          <w:szCs w:val="24"/>
        </w:rPr>
        <w:t xml:space="preserve">2010, </w:t>
      </w:r>
      <w:r w:rsidR="00F97CE9" w:rsidRPr="00525EAB">
        <w:rPr>
          <w:i/>
          <w:sz w:val="24"/>
          <w:szCs w:val="24"/>
        </w:rPr>
        <w:t>Western Australian Legislation: Original Acts as passed</w:t>
      </w:r>
    </w:p>
    <w:p w:rsidR="00F97CE9" w:rsidRDefault="00A91F01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 xml:space="preserve">Western Australia Government </w:t>
      </w:r>
      <w:r w:rsidR="00F97CE9" w:rsidRPr="00525EAB">
        <w:rPr>
          <w:sz w:val="24"/>
          <w:szCs w:val="24"/>
        </w:rPr>
        <w:t xml:space="preserve">2011, </w:t>
      </w:r>
      <w:r w:rsidR="00F97CE9" w:rsidRPr="00525EAB">
        <w:rPr>
          <w:i/>
          <w:sz w:val="24"/>
          <w:szCs w:val="24"/>
        </w:rPr>
        <w:t>Western Australian Legislation: Original Acts as passed</w:t>
      </w:r>
    </w:p>
    <w:p w:rsidR="00AF1FD0" w:rsidRPr="00AF1FD0" w:rsidRDefault="00AF1FD0" w:rsidP="00DB2A6F">
      <w:pPr>
        <w:pStyle w:val="Reference"/>
        <w:spacing w:before="40" w:after="40"/>
        <w:rPr>
          <w:sz w:val="24"/>
          <w:szCs w:val="24"/>
        </w:rPr>
      </w:pPr>
      <w:r w:rsidRPr="00AF1FD0">
        <w:rPr>
          <w:sz w:val="24"/>
          <w:szCs w:val="24"/>
        </w:rPr>
        <w:t xml:space="preserve">Western Australia Government 2012, </w:t>
      </w:r>
      <w:r w:rsidRPr="00AF1FD0">
        <w:rPr>
          <w:i/>
          <w:sz w:val="24"/>
          <w:szCs w:val="24"/>
        </w:rPr>
        <w:t>Western Australian Government Gazette</w:t>
      </w:r>
      <w:r w:rsidRPr="00AF1FD0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</w:t>
      </w:r>
      <w:proofErr w:type="spellStart"/>
      <w:r w:rsidRPr="005501CD">
        <w:rPr>
          <w:sz w:val="24"/>
          <w:szCs w:val="24"/>
        </w:rPr>
        <w:t>www.slp.wa.gov.au</w:t>
      </w:r>
      <w:proofErr w:type="spellEnd"/>
      <w:r w:rsidRPr="005501CD">
        <w:rPr>
          <w:sz w:val="24"/>
          <w:szCs w:val="24"/>
        </w:rPr>
        <w:t>/gazette/</w:t>
      </w:r>
      <w:proofErr w:type="spellStart"/>
      <w:r w:rsidRPr="005501CD">
        <w:rPr>
          <w:sz w:val="24"/>
          <w:szCs w:val="24"/>
        </w:rPr>
        <w:t>gazette.nsf</w:t>
      </w:r>
      <w:proofErr w:type="spellEnd"/>
      <w:r w:rsidRPr="00AF1FD0">
        <w:rPr>
          <w:sz w:val="24"/>
          <w:szCs w:val="24"/>
        </w:rPr>
        <w:t xml:space="preserve"> (accessed </w:t>
      </w:r>
      <w:r>
        <w:rPr>
          <w:sz w:val="24"/>
          <w:szCs w:val="24"/>
        </w:rPr>
        <w:t>5 September</w:t>
      </w:r>
      <w:r w:rsidR="006542CB">
        <w:rPr>
          <w:sz w:val="24"/>
          <w:szCs w:val="24"/>
        </w:rPr>
        <w:t xml:space="preserve"> 2012</w:t>
      </w:r>
      <w:r>
        <w:rPr>
          <w:sz w:val="24"/>
          <w:szCs w:val="24"/>
        </w:rPr>
        <w:t>)</w:t>
      </w:r>
    </w:p>
    <w:p w:rsidR="007D0A01" w:rsidRDefault="007D0A01" w:rsidP="007D0A01">
      <w:pPr>
        <w:pStyle w:val="Heading3"/>
      </w:pPr>
      <w:r>
        <w:t>South Australia</w:t>
      </w:r>
    </w:p>
    <w:p w:rsidR="007D0A01" w:rsidRPr="00525EAB" w:rsidRDefault="0077154F" w:rsidP="00BA0037">
      <w:pPr>
        <w:pStyle w:val="Reference"/>
        <w:rPr>
          <w:i/>
          <w:sz w:val="24"/>
          <w:szCs w:val="24"/>
        </w:rPr>
      </w:pPr>
      <w:r w:rsidRPr="0077154F">
        <w:rPr>
          <w:sz w:val="24"/>
          <w:szCs w:val="24"/>
        </w:rPr>
        <w:t>Department of the Premier and Cabinet and Department of Treasury and Finance 2011</w:t>
      </w:r>
      <w:r w:rsidR="00D777CF" w:rsidRPr="0077154F">
        <w:rPr>
          <w:sz w:val="24"/>
          <w:szCs w:val="24"/>
        </w:rPr>
        <w:t>,</w:t>
      </w:r>
      <w:r w:rsidR="00D777CF" w:rsidRPr="00525EAB">
        <w:rPr>
          <w:sz w:val="24"/>
          <w:szCs w:val="24"/>
        </w:rPr>
        <w:t xml:space="preserve"> </w:t>
      </w:r>
      <w:r w:rsidR="00DB3AB4" w:rsidRPr="00525EAB">
        <w:rPr>
          <w:i/>
          <w:sz w:val="24"/>
          <w:szCs w:val="24"/>
        </w:rPr>
        <w:t>Better Regulation Handbook: How to design and review regulation, and prepare a Regulatory Impact Statement</w:t>
      </w:r>
    </w:p>
    <w:p w:rsidR="00F620AB" w:rsidRPr="00525EAB" w:rsidRDefault="00F620AB" w:rsidP="00DB2A6F">
      <w:pPr>
        <w:pStyle w:val="BodyText"/>
        <w:spacing w:before="40" w:after="40"/>
        <w:ind w:left="340" w:hanging="340"/>
        <w:rPr>
          <w:rFonts w:cs="Arial"/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South Australian </w:t>
      </w:r>
      <w:r w:rsidR="00022590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2010, </w:t>
      </w:r>
      <w:r w:rsidRPr="00525EAB">
        <w:rPr>
          <w:rFonts w:cs="Arial"/>
          <w:i/>
          <w:sz w:val="24"/>
          <w:szCs w:val="24"/>
        </w:rPr>
        <w:t>Acts of the Parliament of South Australia: 2010 Acts as enacted</w:t>
      </w:r>
      <w:r w:rsidRPr="00525EAB">
        <w:rPr>
          <w:rFonts w:cs="Arial"/>
          <w:sz w:val="24"/>
          <w:szCs w:val="24"/>
        </w:rPr>
        <w:t xml:space="preserve">, </w:t>
      </w:r>
      <w:r w:rsidRPr="005501CD">
        <w:rPr>
          <w:rFonts w:cs="Arial"/>
          <w:sz w:val="24"/>
          <w:szCs w:val="24"/>
        </w:rPr>
        <w:t>http://</w:t>
      </w:r>
      <w:proofErr w:type="spellStart"/>
      <w:r w:rsidRPr="005501CD">
        <w:rPr>
          <w:rFonts w:cs="Arial"/>
          <w:sz w:val="24"/>
          <w:szCs w:val="24"/>
        </w:rPr>
        <w:t>www.legislation.sa.gov.au</w:t>
      </w:r>
      <w:proofErr w:type="spellEnd"/>
      <w:r w:rsidRPr="005501CD">
        <w:rPr>
          <w:rFonts w:cs="Arial"/>
          <w:sz w:val="24"/>
          <w:szCs w:val="24"/>
        </w:rPr>
        <w:t>/</w:t>
      </w:r>
      <w:r w:rsidR="00525EAB">
        <w:rPr>
          <w:rStyle w:val="Hyperlink"/>
          <w:rFonts w:cs="Arial"/>
          <w:color w:val="auto"/>
          <w:sz w:val="24"/>
          <w:szCs w:val="24"/>
          <w:u w:val="none"/>
        </w:rPr>
        <w:t xml:space="preserve">, </w:t>
      </w:r>
      <w:r w:rsidRPr="00525EAB">
        <w:rPr>
          <w:rFonts w:cs="Arial"/>
          <w:sz w:val="24"/>
          <w:szCs w:val="24"/>
        </w:rPr>
        <w:t>(accessed 23 July</w:t>
      </w:r>
      <w:r w:rsidR="006542CB">
        <w:rPr>
          <w:rFonts w:cs="Arial"/>
          <w:sz w:val="24"/>
          <w:szCs w:val="24"/>
        </w:rPr>
        <w:t xml:space="preserve"> 2012</w:t>
      </w:r>
      <w:r w:rsidRPr="00525EAB">
        <w:rPr>
          <w:rFonts w:cs="Arial"/>
          <w:sz w:val="24"/>
          <w:szCs w:val="24"/>
        </w:rPr>
        <w:t>)</w:t>
      </w:r>
    </w:p>
    <w:p w:rsidR="00F620AB" w:rsidRPr="00525EAB" w:rsidRDefault="00677E69" w:rsidP="00DB2A6F">
      <w:pPr>
        <w:pStyle w:val="BodyText"/>
        <w:spacing w:before="40" w:after="40"/>
        <w:ind w:left="340" w:hanging="3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South Australian </w:t>
      </w:r>
      <w:r w:rsidR="00022590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</w:t>
      </w:r>
      <w:r w:rsidR="00F620AB" w:rsidRPr="00525EAB">
        <w:rPr>
          <w:rFonts w:cs="Arial"/>
          <w:sz w:val="24"/>
          <w:szCs w:val="24"/>
        </w:rPr>
        <w:t xml:space="preserve">2010, </w:t>
      </w:r>
      <w:r w:rsidR="00F620AB" w:rsidRPr="00525EAB">
        <w:rPr>
          <w:rFonts w:cs="Arial"/>
          <w:i/>
          <w:sz w:val="24"/>
          <w:szCs w:val="24"/>
        </w:rPr>
        <w:t>Regulations and rules made by the Governor of South Australia: 2010 regulations and rules as made</w:t>
      </w:r>
      <w:r w:rsidR="00F620AB" w:rsidRPr="00525EAB">
        <w:rPr>
          <w:rFonts w:cs="Arial"/>
          <w:sz w:val="24"/>
          <w:szCs w:val="24"/>
        </w:rPr>
        <w:t xml:space="preserve">, </w:t>
      </w:r>
      <w:r w:rsidR="00F620AB" w:rsidRPr="005501CD">
        <w:rPr>
          <w:rFonts w:cs="Arial"/>
          <w:sz w:val="24"/>
          <w:szCs w:val="24"/>
        </w:rPr>
        <w:t>http://</w:t>
      </w:r>
      <w:proofErr w:type="spellStart"/>
      <w:r w:rsidR="00F620AB" w:rsidRPr="005501CD">
        <w:rPr>
          <w:rFonts w:cs="Arial"/>
          <w:sz w:val="24"/>
          <w:szCs w:val="24"/>
        </w:rPr>
        <w:t>www.legislation.sa.gov.au</w:t>
      </w:r>
      <w:proofErr w:type="spellEnd"/>
      <w:r w:rsidR="00F620AB" w:rsidRPr="005501CD">
        <w:rPr>
          <w:rFonts w:cs="Arial"/>
          <w:sz w:val="24"/>
          <w:szCs w:val="24"/>
        </w:rPr>
        <w:t>/</w:t>
      </w:r>
      <w:r w:rsidR="00525EAB">
        <w:rPr>
          <w:rStyle w:val="Hyperlink"/>
          <w:rFonts w:cs="Arial"/>
          <w:color w:val="auto"/>
          <w:sz w:val="24"/>
          <w:szCs w:val="24"/>
          <w:u w:val="none"/>
        </w:rPr>
        <w:t xml:space="preserve">, </w:t>
      </w:r>
      <w:r w:rsidR="00F620AB" w:rsidRPr="00525EAB">
        <w:rPr>
          <w:rFonts w:cs="Arial"/>
          <w:sz w:val="24"/>
          <w:szCs w:val="24"/>
        </w:rPr>
        <w:t>(accessed 23 July</w:t>
      </w:r>
      <w:r w:rsidR="006542CB">
        <w:rPr>
          <w:rFonts w:cs="Arial"/>
          <w:sz w:val="24"/>
          <w:szCs w:val="24"/>
        </w:rPr>
        <w:t xml:space="preserve"> 2012</w:t>
      </w:r>
      <w:r w:rsidR="00F620AB" w:rsidRPr="00525EAB">
        <w:rPr>
          <w:rFonts w:cs="Arial"/>
          <w:sz w:val="24"/>
          <w:szCs w:val="24"/>
        </w:rPr>
        <w:t>)</w:t>
      </w:r>
    </w:p>
    <w:p w:rsidR="00F620AB" w:rsidRPr="00525EAB" w:rsidRDefault="00677E69" w:rsidP="00DB2A6F">
      <w:pPr>
        <w:pStyle w:val="BodyText"/>
        <w:spacing w:before="40" w:after="40"/>
        <w:ind w:left="340" w:hanging="3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South Australian </w:t>
      </w:r>
      <w:r w:rsidR="00022590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</w:t>
      </w:r>
      <w:r w:rsidR="00F620AB" w:rsidRPr="00525EAB">
        <w:rPr>
          <w:rFonts w:cs="Arial"/>
          <w:sz w:val="24"/>
          <w:szCs w:val="24"/>
        </w:rPr>
        <w:t xml:space="preserve">2011, </w:t>
      </w:r>
      <w:r w:rsidR="00F620AB" w:rsidRPr="00525EAB">
        <w:rPr>
          <w:rFonts w:cs="Arial"/>
          <w:i/>
          <w:sz w:val="24"/>
          <w:szCs w:val="24"/>
        </w:rPr>
        <w:t>Acts of the Parliament of South Australia: 2011 Acts as enacted</w:t>
      </w:r>
      <w:r w:rsidR="00F620AB" w:rsidRPr="00525EAB">
        <w:rPr>
          <w:rFonts w:cs="Arial"/>
          <w:sz w:val="24"/>
          <w:szCs w:val="24"/>
        </w:rPr>
        <w:t xml:space="preserve">, </w:t>
      </w:r>
      <w:r w:rsidR="00F620AB" w:rsidRPr="005501CD">
        <w:rPr>
          <w:rFonts w:cs="Arial"/>
          <w:sz w:val="24"/>
          <w:szCs w:val="24"/>
        </w:rPr>
        <w:t>http://</w:t>
      </w:r>
      <w:proofErr w:type="spellStart"/>
      <w:r w:rsidR="00F620AB" w:rsidRPr="005501CD">
        <w:rPr>
          <w:rFonts w:cs="Arial"/>
          <w:sz w:val="24"/>
          <w:szCs w:val="24"/>
        </w:rPr>
        <w:t>www.legislation.sa.gov.au</w:t>
      </w:r>
      <w:proofErr w:type="spellEnd"/>
      <w:r w:rsidR="00F620AB" w:rsidRPr="005501CD">
        <w:rPr>
          <w:rFonts w:cs="Arial"/>
          <w:sz w:val="24"/>
          <w:szCs w:val="24"/>
        </w:rPr>
        <w:t>/</w:t>
      </w:r>
      <w:r w:rsidR="00525EAB">
        <w:rPr>
          <w:rStyle w:val="Hyperlink"/>
          <w:rFonts w:cs="Arial"/>
          <w:color w:val="auto"/>
          <w:sz w:val="24"/>
          <w:szCs w:val="24"/>
          <w:u w:val="none"/>
        </w:rPr>
        <w:t xml:space="preserve"> </w:t>
      </w:r>
      <w:r w:rsidR="00F620AB" w:rsidRPr="00525EAB">
        <w:rPr>
          <w:rFonts w:cs="Arial"/>
          <w:sz w:val="24"/>
          <w:szCs w:val="24"/>
        </w:rPr>
        <w:t>(accessed 23 July</w:t>
      </w:r>
      <w:r w:rsidR="006542CB">
        <w:rPr>
          <w:rFonts w:cs="Arial"/>
          <w:sz w:val="24"/>
          <w:szCs w:val="24"/>
        </w:rPr>
        <w:t xml:space="preserve"> 2012</w:t>
      </w:r>
      <w:r w:rsidR="00F620AB" w:rsidRPr="00525EAB">
        <w:rPr>
          <w:rFonts w:cs="Arial"/>
          <w:sz w:val="24"/>
          <w:szCs w:val="24"/>
        </w:rPr>
        <w:t>)</w:t>
      </w:r>
    </w:p>
    <w:p w:rsidR="00F620AB" w:rsidRPr="00525EAB" w:rsidRDefault="00677E69" w:rsidP="00DB2A6F">
      <w:pPr>
        <w:pStyle w:val="BodyText"/>
        <w:spacing w:before="40" w:after="40"/>
        <w:ind w:left="340" w:hanging="340"/>
        <w:rPr>
          <w:rFonts w:cs="Arial"/>
          <w:sz w:val="24"/>
          <w:szCs w:val="24"/>
        </w:rPr>
      </w:pPr>
      <w:r w:rsidRPr="00525EAB">
        <w:rPr>
          <w:rFonts w:cs="Arial"/>
          <w:sz w:val="24"/>
          <w:szCs w:val="24"/>
        </w:rPr>
        <w:lastRenderedPageBreak/>
        <w:t xml:space="preserve">South Australian </w:t>
      </w:r>
      <w:r w:rsidR="00022590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</w:t>
      </w:r>
      <w:r w:rsidR="00F620AB" w:rsidRPr="00525EAB">
        <w:rPr>
          <w:rFonts w:cs="Arial"/>
          <w:sz w:val="24"/>
          <w:szCs w:val="24"/>
        </w:rPr>
        <w:t xml:space="preserve">2011, </w:t>
      </w:r>
      <w:r w:rsidR="00F620AB" w:rsidRPr="00525EAB">
        <w:rPr>
          <w:rFonts w:cs="Arial"/>
          <w:i/>
          <w:sz w:val="24"/>
          <w:szCs w:val="24"/>
        </w:rPr>
        <w:t>Regulations and rules made by the Governor of South Australia: 2011 regulations and rules as made</w:t>
      </w:r>
      <w:r w:rsidR="00F620AB" w:rsidRPr="00525EAB">
        <w:rPr>
          <w:rFonts w:cs="Arial"/>
          <w:sz w:val="24"/>
          <w:szCs w:val="24"/>
        </w:rPr>
        <w:t xml:space="preserve">, </w:t>
      </w:r>
      <w:r w:rsidR="00525EAB" w:rsidRPr="00C27933">
        <w:rPr>
          <w:rFonts w:cs="Arial"/>
          <w:sz w:val="24"/>
          <w:szCs w:val="24"/>
        </w:rPr>
        <w:t>ht</w:t>
      </w:r>
      <w:r w:rsidR="00022590">
        <w:rPr>
          <w:rFonts w:cs="Arial"/>
          <w:sz w:val="24"/>
          <w:szCs w:val="24"/>
        </w:rPr>
        <w:t>tp://</w:t>
      </w:r>
      <w:proofErr w:type="spellStart"/>
      <w:r w:rsidR="00022590">
        <w:rPr>
          <w:rFonts w:cs="Arial"/>
          <w:sz w:val="24"/>
          <w:szCs w:val="24"/>
        </w:rPr>
        <w:t>www.legislation.sa.gov.au</w:t>
      </w:r>
      <w:proofErr w:type="spellEnd"/>
      <w:r w:rsidR="00022590">
        <w:rPr>
          <w:rFonts w:cs="Arial"/>
          <w:sz w:val="24"/>
          <w:szCs w:val="24"/>
        </w:rPr>
        <w:t xml:space="preserve">/ </w:t>
      </w:r>
      <w:r w:rsidR="00F620AB" w:rsidRPr="00525EAB">
        <w:rPr>
          <w:rFonts w:cs="Arial"/>
          <w:sz w:val="24"/>
          <w:szCs w:val="24"/>
        </w:rPr>
        <w:t>(accessed 23 July</w:t>
      </w:r>
      <w:r w:rsidR="006542CB">
        <w:rPr>
          <w:rFonts w:cs="Arial"/>
          <w:sz w:val="24"/>
          <w:szCs w:val="24"/>
        </w:rPr>
        <w:t xml:space="preserve"> 2012</w:t>
      </w:r>
      <w:r w:rsidR="00F620AB" w:rsidRPr="00525EAB">
        <w:rPr>
          <w:rFonts w:cs="Arial"/>
          <w:sz w:val="24"/>
          <w:szCs w:val="24"/>
        </w:rPr>
        <w:t>)</w:t>
      </w:r>
    </w:p>
    <w:p w:rsidR="00F97CE9" w:rsidRPr="00525EAB" w:rsidRDefault="00DB3AB4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Subordinate Legislation Act 1978</w:t>
      </w:r>
    </w:p>
    <w:p w:rsidR="007D0A01" w:rsidRDefault="007D0A01" w:rsidP="007D0A01">
      <w:pPr>
        <w:pStyle w:val="Heading3"/>
      </w:pPr>
      <w:r>
        <w:t>Tasmania</w:t>
      </w:r>
    </w:p>
    <w:p w:rsidR="000A15E9" w:rsidRPr="00525EAB" w:rsidRDefault="000A15E9" w:rsidP="000A15E9">
      <w:pPr>
        <w:pStyle w:val="Reference"/>
        <w:ind w:left="426" w:hanging="426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Premier and Cabinet 2012, </w:t>
      </w:r>
      <w:r w:rsidRPr="00525EAB">
        <w:rPr>
          <w:i/>
          <w:sz w:val="24"/>
          <w:szCs w:val="24"/>
        </w:rPr>
        <w:t>By-law directory</w:t>
      </w:r>
      <w:r w:rsidRPr="00525EAB">
        <w:rPr>
          <w:sz w:val="24"/>
          <w:szCs w:val="24"/>
        </w:rPr>
        <w:t xml:space="preserve">, </w:t>
      </w:r>
      <w:r w:rsidRPr="005501CD">
        <w:rPr>
          <w:sz w:val="24"/>
          <w:szCs w:val="24"/>
        </w:rPr>
        <w:t>http://</w:t>
      </w:r>
      <w:proofErr w:type="spellStart"/>
      <w:r w:rsidRPr="005501CD">
        <w:rPr>
          <w:sz w:val="24"/>
          <w:szCs w:val="24"/>
        </w:rPr>
        <w:t>www.dpac.tas.gov.au</w:t>
      </w:r>
      <w:proofErr w:type="spellEnd"/>
      <w:r w:rsidRPr="005501CD">
        <w:rPr>
          <w:sz w:val="24"/>
          <w:szCs w:val="24"/>
        </w:rPr>
        <w:t>/divisions/</w:t>
      </w:r>
      <w:proofErr w:type="spellStart"/>
      <w:r w:rsidRPr="005501CD">
        <w:rPr>
          <w:sz w:val="24"/>
          <w:szCs w:val="24"/>
        </w:rPr>
        <w:t>lgd</w:t>
      </w:r>
      <w:proofErr w:type="spellEnd"/>
      <w:r w:rsidRPr="005501CD">
        <w:rPr>
          <w:sz w:val="24"/>
          <w:szCs w:val="24"/>
        </w:rPr>
        <w:t>/</w:t>
      </w:r>
      <w:proofErr w:type="spellStart"/>
      <w:r w:rsidRPr="005501CD">
        <w:rPr>
          <w:sz w:val="24"/>
          <w:szCs w:val="24"/>
        </w:rPr>
        <w:t>council_by</w:t>
      </w:r>
      <w:proofErr w:type="spellEnd"/>
      <w:r w:rsidRPr="005501CD">
        <w:rPr>
          <w:sz w:val="24"/>
          <w:szCs w:val="24"/>
        </w:rPr>
        <w:t>-laws</w:t>
      </w:r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DB3AB4" w:rsidRPr="00525EAB" w:rsidRDefault="00630E3E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Department of Premier and Cabinet</w:t>
      </w:r>
      <w:r w:rsidR="00857CE3" w:rsidRPr="00525EA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Cabinet Handbook</w:t>
      </w:r>
    </w:p>
    <w:p w:rsidR="00661FAE" w:rsidRDefault="00661FAE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>Department of Treasury and Finance</w:t>
      </w:r>
      <w:r w:rsidR="00857CE3" w:rsidRPr="00525EAB">
        <w:rPr>
          <w:sz w:val="24"/>
          <w:szCs w:val="24"/>
        </w:rPr>
        <w:t xml:space="preserve"> 2010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Subordinate Legislation Act 1992 Administrative Handbook</w:t>
      </w:r>
    </w:p>
    <w:p w:rsidR="00022590" w:rsidRPr="00525EAB" w:rsidRDefault="00022590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Treasury and Finance 2011, </w:t>
      </w:r>
      <w:r w:rsidRPr="00525EAB">
        <w:rPr>
          <w:i/>
          <w:sz w:val="24"/>
          <w:szCs w:val="24"/>
        </w:rPr>
        <w:t>Legislation Review Program: Procedures and Guidelines Manual</w:t>
      </w:r>
    </w:p>
    <w:p w:rsidR="00661FAE" w:rsidRPr="00525EAB" w:rsidRDefault="00661FAE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Subordinate Legislation Act 1992</w:t>
      </w:r>
    </w:p>
    <w:p w:rsidR="00661FAE" w:rsidRPr="00525EAB" w:rsidRDefault="00661FAE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i/>
          <w:sz w:val="24"/>
          <w:szCs w:val="24"/>
        </w:rPr>
        <w:t>Subordinate Legislation Committee Act 1969</w:t>
      </w:r>
    </w:p>
    <w:p w:rsidR="007D0A01" w:rsidRDefault="007D0A01" w:rsidP="007D0A01">
      <w:pPr>
        <w:pStyle w:val="Heading3"/>
      </w:pPr>
      <w:r>
        <w:t>Australian Capital Territory</w:t>
      </w:r>
    </w:p>
    <w:p w:rsidR="007D0A01" w:rsidRPr="00525EAB" w:rsidRDefault="007F20C3" w:rsidP="00526403">
      <w:pPr>
        <w:pStyle w:val="Reference"/>
        <w:rPr>
          <w:sz w:val="24"/>
          <w:szCs w:val="24"/>
        </w:rPr>
      </w:pPr>
      <w:r w:rsidRPr="00525EAB">
        <w:rPr>
          <w:sz w:val="24"/>
          <w:szCs w:val="24"/>
        </w:rPr>
        <w:t>ACT Government</w:t>
      </w:r>
      <w:r w:rsidR="00857CE3" w:rsidRPr="00525EAB">
        <w:rPr>
          <w:sz w:val="24"/>
          <w:szCs w:val="24"/>
        </w:rPr>
        <w:t xml:space="preserve"> 2009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Cabinet Handbook</w:t>
      </w:r>
    </w:p>
    <w:p w:rsidR="003701F0" w:rsidRPr="00525EAB" w:rsidRDefault="003701F0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ACT Government</w:t>
      </w:r>
      <w:r w:rsidR="00857CE3" w:rsidRPr="00525EAB">
        <w:rPr>
          <w:sz w:val="24"/>
          <w:szCs w:val="24"/>
        </w:rPr>
        <w:t xml:space="preserve"> 2009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Legislation Handbook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Pr="00525EAB">
        <w:rPr>
          <w:rFonts w:cs="Arial"/>
          <w:sz w:val="24"/>
          <w:szCs w:val="24"/>
        </w:rPr>
        <w:t xml:space="preserve"> 2010, </w:t>
      </w:r>
      <w:r w:rsidRPr="00525EAB">
        <w:rPr>
          <w:rFonts w:cs="Arial"/>
          <w:i/>
          <w:sz w:val="24"/>
          <w:szCs w:val="24"/>
        </w:rPr>
        <w:t>Acts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 w:rsidRPr="00BF39C1">
        <w:rPr>
          <w:rFonts w:cs="Arial"/>
          <w:sz w:val="24"/>
          <w:szCs w:val="24"/>
        </w:rPr>
        <w:br/>
        <w:t>/a/annual/</w:t>
      </w:r>
      <w:proofErr w:type="spellStart"/>
      <w:r w:rsidR="00BF39C1" w:rsidRPr="00BF39C1">
        <w:rPr>
          <w:rFonts w:cs="Arial"/>
          <w:sz w:val="24"/>
          <w:szCs w:val="24"/>
        </w:rPr>
        <w:t>2010.asp</w:t>
      </w:r>
      <w:proofErr w:type="spellEnd"/>
      <w:r w:rsidR="00022590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="00022590" w:rsidRPr="00525EAB">
        <w:rPr>
          <w:rFonts w:cs="Arial"/>
          <w:sz w:val="24"/>
          <w:szCs w:val="24"/>
        </w:rPr>
        <w:t xml:space="preserve"> </w:t>
      </w:r>
      <w:r w:rsidRPr="00525EAB">
        <w:rPr>
          <w:rFonts w:cs="Arial"/>
          <w:sz w:val="24"/>
          <w:szCs w:val="24"/>
        </w:rPr>
        <w:t xml:space="preserve">2010, </w:t>
      </w:r>
      <w:r w:rsidRPr="00525EAB">
        <w:rPr>
          <w:rFonts w:cs="Arial"/>
          <w:i/>
          <w:sz w:val="24"/>
          <w:szCs w:val="24"/>
        </w:rPr>
        <w:t>Disallowable instruments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 w:rsidRPr="00BF39C1">
        <w:rPr>
          <w:rFonts w:cs="Arial"/>
          <w:sz w:val="24"/>
          <w:szCs w:val="24"/>
        </w:rPr>
        <w:t>/di/annual/</w:t>
      </w:r>
      <w:proofErr w:type="spellStart"/>
      <w:r w:rsidR="00BF39C1" w:rsidRPr="00BF39C1">
        <w:rPr>
          <w:rFonts w:cs="Arial"/>
          <w:sz w:val="24"/>
          <w:szCs w:val="24"/>
        </w:rPr>
        <w:t>2010.asp</w:t>
      </w:r>
      <w:proofErr w:type="spellEnd"/>
      <w:r w:rsidRPr="00525EAB">
        <w:rPr>
          <w:rFonts w:cs="Arial"/>
          <w:sz w:val="24"/>
          <w:szCs w:val="24"/>
        </w:rPr>
        <w:t xml:space="preserve"> (acce</w:t>
      </w:r>
      <w:r w:rsidR="00022590">
        <w:rPr>
          <w:rFonts w:cs="Arial"/>
          <w:sz w:val="24"/>
          <w:szCs w:val="24"/>
        </w:rPr>
        <w:t>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="00022590" w:rsidRPr="00525EAB">
        <w:rPr>
          <w:rFonts w:cs="Arial"/>
          <w:sz w:val="24"/>
          <w:szCs w:val="24"/>
        </w:rPr>
        <w:t xml:space="preserve"> </w:t>
      </w:r>
      <w:r w:rsidRPr="00525EAB">
        <w:rPr>
          <w:rFonts w:cs="Arial"/>
          <w:sz w:val="24"/>
          <w:szCs w:val="24"/>
        </w:rPr>
        <w:t>2010, S</w:t>
      </w:r>
      <w:r w:rsidRPr="00525EAB">
        <w:rPr>
          <w:rFonts w:cs="Arial"/>
          <w:i/>
          <w:sz w:val="24"/>
          <w:szCs w:val="24"/>
        </w:rPr>
        <w:t>ubordinate laws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>
        <w:rPr>
          <w:rFonts w:cs="Arial"/>
          <w:sz w:val="24"/>
          <w:szCs w:val="24"/>
        </w:rPr>
        <w:br/>
      </w:r>
      <w:r w:rsidR="00525EAB" w:rsidRPr="00C27933">
        <w:rPr>
          <w:rFonts w:cs="Arial"/>
          <w:sz w:val="24"/>
          <w:szCs w:val="24"/>
        </w:rPr>
        <w:t>/</w:t>
      </w:r>
      <w:proofErr w:type="spellStart"/>
      <w:r w:rsidR="00525EAB" w:rsidRPr="00C27933">
        <w:rPr>
          <w:rFonts w:cs="Arial"/>
          <w:sz w:val="24"/>
          <w:szCs w:val="24"/>
        </w:rPr>
        <w:t>sl</w:t>
      </w:r>
      <w:proofErr w:type="spellEnd"/>
      <w:r w:rsidR="00525EAB" w:rsidRPr="00C27933">
        <w:rPr>
          <w:rFonts w:cs="Arial"/>
          <w:sz w:val="24"/>
          <w:szCs w:val="24"/>
        </w:rPr>
        <w:t>/annual/</w:t>
      </w:r>
      <w:proofErr w:type="spellStart"/>
      <w:r w:rsidR="00525EAB" w:rsidRPr="00C27933">
        <w:rPr>
          <w:rFonts w:cs="Arial"/>
          <w:sz w:val="24"/>
          <w:szCs w:val="24"/>
        </w:rPr>
        <w:t>2010.asp</w:t>
      </w:r>
      <w:proofErr w:type="spellEnd"/>
      <w:r w:rsidR="00022590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="00022590" w:rsidRPr="00525EAB">
        <w:rPr>
          <w:rFonts w:cs="Arial"/>
          <w:sz w:val="24"/>
          <w:szCs w:val="24"/>
        </w:rPr>
        <w:t xml:space="preserve"> </w:t>
      </w:r>
      <w:r w:rsidRPr="00525EAB">
        <w:rPr>
          <w:rFonts w:cs="Arial"/>
          <w:sz w:val="24"/>
          <w:szCs w:val="24"/>
        </w:rPr>
        <w:t xml:space="preserve">2011, </w:t>
      </w:r>
      <w:r w:rsidRPr="00525EAB">
        <w:rPr>
          <w:rFonts w:cs="Arial"/>
          <w:i/>
          <w:sz w:val="24"/>
          <w:szCs w:val="24"/>
        </w:rPr>
        <w:t>Acts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 w:rsidRPr="00BF39C1">
        <w:rPr>
          <w:rFonts w:cs="Arial"/>
          <w:sz w:val="24"/>
          <w:szCs w:val="24"/>
        </w:rPr>
        <w:br/>
        <w:t>/a/annual/</w:t>
      </w:r>
      <w:proofErr w:type="spellStart"/>
      <w:r w:rsidR="00BF39C1" w:rsidRPr="00BF39C1">
        <w:rPr>
          <w:rFonts w:cs="Arial"/>
          <w:sz w:val="24"/>
          <w:szCs w:val="24"/>
        </w:rPr>
        <w:t>2011.asp</w:t>
      </w:r>
      <w:proofErr w:type="spellEnd"/>
      <w:r w:rsidR="00022590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F97CE9" w:rsidRPr="00525EAB" w:rsidRDefault="00F97CE9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="00022590" w:rsidRPr="00525EAB">
        <w:rPr>
          <w:rFonts w:cs="Arial"/>
          <w:sz w:val="24"/>
          <w:szCs w:val="24"/>
        </w:rPr>
        <w:t xml:space="preserve"> </w:t>
      </w:r>
      <w:r w:rsidRPr="00525EAB">
        <w:rPr>
          <w:rFonts w:cs="Arial"/>
          <w:sz w:val="24"/>
          <w:szCs w:val="24"/>
        </w:rPr>
        <w:t xml:space="preserve">2011, </w:t>
      </w:r>
      <w:r w:rsidRPr="00525EAB">
        <w:rPr>
          <w:rFonts w:cs="Arial"/>
          <w:i/>
          <w:sz w:val="24"/>
          <w:szCs w:val="24"/>
        </w:rPr>
        <w:t>Disallowable instruments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 w:rsidRPr="00BF39C1">
        <w:rPr>
          <w:rFonts w:cs="Arial"/>
          <w:sz w:val="24"/>
          <w:szCs w:val="24"/>
        </w:rPr>
        <w:t>/di/annual/</w:t>
      </w:r>
      <w:proofErr w:type="spellStart"/>
      <w:r w:rsidR="00BF39C1" w:rsidRPr="00BF39C1">
        <w:rPr>
          <w:rFonts w:cs="Arial"/>
          <w:sz w:val="24"/>
          <w:szCs w:val="24"/>
        </w:rPr>
        <w:t>2011.asp</w:t>
      </w:r>
      <w:proofErr w:type="spellEnd"/>
      <w:r w:rsidR="00022590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F97CE9" w:rsidRDefault="00F97CE9" w:rsidP="00DB2A6F">
      <w:pPr>
        <w:pStyle w:val="Reference"/>
        <w:spacing w:before="40" w:after="40"/>
        <w:rPr>
          <w:rFonts w:cs="Arial"/>
          <w:sz w:val="24"/>
          <w:szCs w:val="24"/>
        </w:rPr>
      </w:pPr>
      <w:r w:rsidRPr="00525EAB">
        <w:rPr>
          <w:rFonts w:cs="Arial"/>
          <w:sz w:val="24"/>
          <w:szCs w:val="24"/>
        </w:rPr>
        <w:t xml:space="preserve">ACT </w:t>
      </w:r>
      <w:r w:rsidR="00022590">
        <w:rPr>
          <w:rFonts w:cs="Arial"/>
          <w:sz w:val="24"/>
          <w:szCs w:val="24"/>
        </w:rPr>
        <w:t>Government</w:t>
      </w:r>
      <w:r w:rsidR="00022590" w:rsidRPr="00525EAB">
        <w:rPr>
          <w:sz w:val="24"/>
          <w:szCs w:val="24"/>
        </w:rPr>
        <w:t xml:space="preserve"> </w:t>
      </w:r>
      <w:r w:rsidRPr="00525EAB">
        <w:rPr>
          <w:sz w:val="24"/>
          <w:szCs w:val="24"/>
        </w:rPr>
        <w:t>2011</w:t>
      </w:r>
      <w:r w:rsidRPr="00525EAB">
        <w:rPr>
          <w:rFonts w:cs="Arial"/>
          <w:sz w:val="24"/>
          <w:szCs w:val="24"/>
        </w:rPr>
        <w:t>, S</w:t>
      </w:r>
      <w:r w:rsidRPr="00525EAB">
        <w:rPr>
          <w:rFonts w:cs="Arial"/>
          <w:i/>
          <w:sz w:val="24"/>
          <w:szCs w:val="24"/>
        </w:rPr>
        <w:t>ubordinate laws as notified</w:t>
      </w:r>
      <w:r w:rsidRPr="00525EAB">
        <w:rPr>
          <w:rFonts w:cs="Arial"/>
          <w:sz w:val="24"/>
          <w:szCs w:val="24"/>
        </w:rPr>
        <w:t xml:space="preserve">, </w:t>
      </w:r>
      <w:r w:rsidR="00BF39C1" w:rsidRPr="00BF39C1">
        <w:rPr>
          <w:rFonts w:cs="Arial"/>
          <w:sz w:val="24"/>
          <w:szCs w:val="24"/>
        </w:rPr>
        <w:t>http://</w:t>
      </w:r>
      <w:proofErr w:type="spellStart"/>
      <w:r w:rsidR="00BF39C1" w:rsidRPr="00BF39C1">
        <w:rPr>
          <w:rFonts w:cs="Arial"/>
          <w:sz w:val="24"/>
          <w:szCs w:val="24"/>
        </w:rPr>
        <w:t>www.legislation.act.gov.au</w:t>
      </w:r>
      <w:proofErr w:type="spellEnd"/>
      <w:r w:rsidR="00BF39C1" w:rsidRPr="00BF39C1">
        <w:rPr>
          <w:rFonts w:cs="Arial"/>
          <w:sz w:val="24"/>
          <w:szCs w:val="24"/>
        </w:rPr>
        <w:br/>
        <w:t>/</w:t>
      </w:r>
      <w:proofErr w:type="spellStart"/>
      <w:r w:rsidR="00BF39C1" w:rsidRPr="00BF39C1">
        <w:rPr>
          <w:rFonts w:cs="Arial"/>
          <w:sz w:val="24"/>
          <w:szCs w:val="24"/>
        </w:rPr>
        <w:t>sl</w:t>
      </w:r>
      <w:proofErr w:type="spellEnd"/>
      <w:r w:rsidR="00BF39C1" w:rsidRPr="00BF39C1">
        <w:rPr>
          <w:rFonts w:cs="Arial"/>
          <w:sz w:val="24"/>
          <w:szCs w:val="24"/>
        </w:rPr>
        <w:t>/annual/</w:t>
      </w:r>
      <w:proofErr w:type="spellStart"/>
      <w:r w:rsidR="00BF39C1" w:rsidRPr="00BF39C1">
        <w:rPr>
          <w:rFonts w:cs="Arial"/>
          <w:sz w:val="24"/>
          <w:szCs w:val="24"/>
        </w:rPr>
        <w:t>2011.asp</w:t>
      </w:r>
      <w:proofErr w:type="spellEnd"/>
      <w:r w:rsidR="00022590">
        <w:rPr>
          <w:rFonts w:cs="Arial"/>
          <w:sz w:val="24"/>
          <w:szCs w:val="24"/>
        </w:rPr>
        <w:t xml:space="preserve"> (accessed 23 July</w:t>
      </w:r>
      <w:r w:rsidR="006542CB">
        <w:rPr>
          <w:rFonts w:cs="Arial"/>
          <w:sz w:val="24"/>
          <w:szCs w:val="24"/>
        </w:rPr>
        <w:t xml:space="preserve"> 2012</w:t>
      </w:r>
      <w:r w:rsidR="00022590">
        <w:rPr>
          <w:rFonts w:cs="Arial"/>
          <w:sz w:val="24"/>
          <w:szCs w:val="24"/>
        </w:rPr>
        <w:t>)</w:t>
      </w:r>
    </w:p>
    <w:p w:rsidR="00022590" w:rsidRPr="00525EAB" w:rsidRDefault="00022590" w:rsidP="00022590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Treasury 2003, </w:t>
      </w:r>
      <w:r w:rsidRPr="00525EAB">
        <w:rPr>
          <w:i/>
          <w:sz w:val="24"/>
          <w:szCs w:val="24"/>
        </w:rPr>
        <w:t>Best Practice Guide For Preparing Regulatory Impact Statements</w:t>
      </w:r>
    </w:p>
    <w:p w:rsidR="00022590" w:rsidRPr="00022590" w:rsidRDefault="00022590" w:rsidP="00DB2A6F">
      <w:pPr>
        <w:pStyle w:val="Reference"/>
        <w:spacing w:before="40" w:after="40"/>
        <w:rPr>
          <w:i/>
          <w:sz w:val="24"/>
          <w:szCs w:val="24"/>
        </w:rPr>
      </w:pPr>
      <w:r>
        <w:rPr>
          <w:i/>
          <w:sz w:val="24"/>
          <w:szCs w:val="24"/>
        </w:rPr>
        <w:t>Legislation Act 2001</w:t>
      </w:r>
      <w:bookmarkStart w:id="3" w:name="_GoBack"/>
      <w:bookmarkEnd w:id="3"/>
    </w:p>
    <w:p w:rsidR="007D0A01" w:rsidRPr="007D0A01" w:rsidRDefault="007D0A01" w:rsidP="007D0A01">
      <w:pPr>
        <w:pStyle w:val="Heading3"/>
      </w:pPr>
      <w:r>
        <w:lastRenderedPageBreak/>
        <w:t>Northern Territory</w:t>
      </w:r>
    </w:p>
    <w:p w:rsidR="00E3010B" w:rsidRPr="00525EAB" w:rsidRDefault="00E3010B" w:rsidP="00E3010B">
      <w:pPr>
        <w:pStyle w:val="Reference"/>
        <w:ind w:left="426" w:hanging="426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the Chief Minister 2012, </w:t>
      </w:r>
      <w:r w:rsidRPr="00525EAB">
        <w:rPr>
          <w:i/>
          <w:sz w:val="24"/>
          <w:szCs w:val="24"/>
        </w:rPr>
        <w:t>Acts</w:t>
      </w:r>
      <w:r w:rsidRPr="00525EAB">
        <w:rPr>
          <w:sz w:val="24"/>
          <w:szCs w:val="24"/>
        </w:rPr>
        <w:t>, http://</w:t>
      </w:r>
      <w:proofErr w:type="spellStart"/>
      <w:r w:rsidRPr="00525EAB">
        <w:rPr>
          <w:sz w:val="24"/>
          <w:szCs w:val="24"/>
        </w:rPr>
        <w:t>notes.nt.gov.au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dcm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legislat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Acts.nsf</w:t>
      </w:r>
      <w:proofErr w:type="spellEnd"/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E3010B" w:rsidRPr="00525EAB" w:rsidRDefault="00E3010B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 xml:space="preserve">Department of the Chief Minister 2012, </w:t>
      </w:r>
      <w:r w:rsidRPr="00525EAB">
        <w:rPr>
          <w:i/>
          <w:sz w:val="24"/>
          <w:szCs w:val="24"/>
        </w:rPr>
        <w:t>Subordinate – by year and number</w:t>
      </w:r>
      <w:r w:rsidRPr="00525EAB">
        <w:rPr>
          <w:sz w:val="24"/>
          <w:szCs w:val="24"/>
        </w:rPr>
        <w:t>, http://</w:t>
      </w:r>
      <w:proofErr w:type="spellStart"/>
      <w:r w:rsidRPr="00525EAB">
        <w:rPr>
          <w:sz w:val="24"/>
          <w:szCs w:val="24"/>
        </w:rPr>
        <w:t>notes.nt.gov.au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dcm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legislat</w:t>
      </w:r>
      <w:proofErr w:type="spellEnd"/>
      <w:r w:rsidRPr="00525EAB">
        <w:rPr>
          <w:sz w:val="24"/>
          <w:szCs w:val="24"/>
        </w:rPr>
        <w:t>/</w:t>
      </w:r>
      <w:proofErr w:type="spellStart"/>
      <w:r w:rsidRPr="00525EAB">
        <w:rPr>
          <w:sz w:val="24"/>
          <w:szCs w:val="24"/>
        </w:rPr>
        <w:t>Acts.nsf</w:t>
      </w:r>
      <w:proofErr w:type="spellEnd"/>
      <w:r w:rsidRPr="00525EAB">
        <w:rPr>
          <w:sz w:val="24"/>
          <w:szCs w:val="24"/>
        </w:rPr>
        <w:t xml:space="preserve"> (accessed 23 July</w:t>
      </w:r>
      <w:r w:rsidR="006542CB">
        <w:rPr>
          <w:sz w:val="24"/>
          <w:szCs w:val="24"/>
        </w:rPr>
        <w:t xml:space="preserve"> 2012</w:t>
      </w:r>
      <w:r w:rsidRPr="00525EAB">
        <w:rPr>
          <w:sz w:val="24"/>
          <w:szCs w:val="24"/>
        </w:rPr>
        <w:t>)</w:t>
      </w:r>
    </w:p>
    <w:p w:rsidR="00F056FC" w:rsidRPr="00525EAB" w:rsidRDefault="00756B6B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Northern Territory Treasury</w:t>
      </w:r>
      <w:r w:rsidR="00857CE3" w:rsidRPr="00525EAB">
        <w:rPr>
          <w:sz w:val="24"/>
          <w:szCs w:val="24"/>
        </w:rPr>
        <w:t xml:space="preserve"> 2007</w:t>
      </w:r>
      <w:r w:rsidRPr="00525EAB">
        <w:rPr>
          <w:sz w:val="24"/>
          <w:szCs w:val="24"/>
        </w:rPr>
        <w:t xml:space="preserve">, </w:t>
      </w:r>
      <w:r w:rsidR="00121BC4" w:rsidRPr="00525EAB">
        <w:rPr>
          <w:i/>
          <w:sz w:val="24"/>
          <w:szCs w:val="24"/>
        </w:rPr>
        <w:t>Regulation-Making Framework: Alternatives to Regulation</w:t>
      </w:r>
    </w:p>
    <w:p w:rsidR="005843AC" w:rsidRPr="00525EAB" w:rsidRDefault="005843AC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Northern Territory Treasury</w:t>
      </w:r>
      <w:r w:rsidR="00857CE3" w:rsidRPr="00525EAB">
        <w:rPr>
          <w:sz w:val="24"/>
          <w:szCs w:val="24"/>
        </w:rPr>
        <w:t xml:space="preserve"> 2007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Regulation-Making Framework: Assessing the Impact of Regulation</w:t>
      </w:r>
    </w:p>
    <w:p w:rsidR="005843AC" w:rsidRPr="00525EAB" w:rsidRDefault="005843AC" w:rsidP="00DB2A6F">
      <w:pPr>
        <w:pStyle w:val="Reference"/>
        <w:spacing w:before="40" w:after="40"/>
        <w:rPr>
          <w:sz w:val="24"/>
          <w:szCs w:val="24"/>
        </w:rPr>
      </w:pPr>
      <w:r w:rsidRPr="00525EAB">
        <w:rPr>
          <w:sz w:val="24"/>
          <w:szCs w:val="24"/>
        </w:rPr>
        <w:t>Northern Territory Treasury</w:t>
      </w:r>
      <w:r w:rsidR="00857CE3" w:rsidRPr="00525EAB">
        <w:rPr>
          <w:sz w:val="24"/>
          <w:szCs w:val="24"/>
        </w:rPr>
        <w:t xml:space="preserve"> 2007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Regulation-Making Framework: Best Practice Consultation Principles</w:t>
      </w:r>
    </w:p>
    <w:p w:rsidR="005843AC" w:rsidRPr="00525EAB" w:rsidRDefault="005843AC" w:rsidP="00DB2A6F">
      <w:pPr>
        <w:pStyle w:val="Reference"/>
        <w:spacing w:before="40" w:after="40"/>
        <w:rPr>
          <w:i/>
          <w:sz w:val="24"/>
          <w:szCs w:val="24"/>
        </w:rPr>
      </w:pPr>
      <w:r w:rsidRPr="00525EAB">
        <w:rPr>
          <w:sz w:val="24"/>
          <w:szCs w:val="24"/>
        </w:rPr>
        <w:t>Northern Territory Treasury</w:t>
      </w:r>
      <w:r w:rsidR="00857CE3" w:rsidRPr="00525EAB">
        <w:rPr>
          <w:sz w:val="24"/>
          <w:szCs w:val="24"/>
        </w:rPr>
        <w:t xml:space="preserve"> 2007</w:t>
      </w:r>
      <w:r w:rsidRPr="00525EAB">
        <w:rPr>
          <w:sz w:val="24"/>
          <w:szCs w:val="24"/>
        </w:rPr>
        <w:t xml:space="preserve">, </w:t>
      </w:r>
      <w:r w:rsidRPr="00525EAB">
        <w:rPr>
          <w:i/>
          <w:sz w:val="24"/>
          <w:szCs w:val="24"/>
        </w:rPr>
        <w:t>Regulation-Making Framework: Principles and Guidelines</w:t>
      </w:r>
    </w:p>
    <w:sectPr w:rsidR="005843AC" w:rsidRPr="00525EAB" w:rsidSect="007756A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345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F2" w:rsidRDefault="003506F2">
      <w:r>
        <w:separator/>
      </w:r>
    </w:p>
  </w:endnote>
  <w:endnote w:type="continuationSeparator" w:id="0">
    <w:p w:rsidR="003506F2" w:rsidRDefault="0035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3506F2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3506F2" w:rsidRDefault="003506F2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501CD">
            <w:rPr>
              <w:rStyle w:val="PageNumber"/>
              <w:noProof/>
            </w:rPr>
            <w:t>348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3506F2" w:rsidRDefault="003506F2" w:rsidP="0019293B">
          <w:pPr>
            <w:pStyle w:val="Footer"/>
          </w:pPr>
          <w:r>
            <w:t>ria benchmarking</w:t>
          </w:r>
        </w:p>
      </w:tc>
      <w:tc>
        <w:tcPr>
          <w:tcW w:w="6634" w:type="dxa"/>
        </w:tcPr>
        <w:p w:rsidR="003506F2" w:rsidRDefault="003506F2" w:rsidP="0019293B">
          <w:pPr>
            <w:pStyle w:val="Footer"/>
          </w:pPr>
        </w:p>
      </w:tc>
    </w:tr>
  </w:tbl>
  <w:p w:rsidR="003506F2" w:rsidRDefault="003506F2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3506F2">
      <w:trPr>
        <w:trHeight w:hRule="exact" w:val="740"/>
      </w:trPr>
      <w:tc>
        <w:tcPr>
          <w:tcW w:w="6634" w:type="dxa"/>
        </w:tcPr>
        <w:p w:rsidR="003506F2" w:rsidRDefault="003506F2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3506F2" w:rsidRDefault="00DC4BC0">
          <w:pPr>
            <w:pStyle w:val="Footer"/>
          </w:pPr>
          <w:r>
            <w:t>jurisdiction</w:t>
          </w:r>
          <w:r w:rsidR="003506F2">
            <w:t xml:space="preserve"> guidance material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3506F2" w:rsidRDefault="003506F2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501CD">
            <w:rPr>
              <w:rStyle w:val="PageNumber"/>
              <w:noProof/>
            </w:rPr>
            <w:t>349</w:t>
          </w:r>
          <w:r>
            <w:rPr>
              <w:rStyle w:val="PageNumber"/>
            </w:rPr>
            <w:fldChar w:fldCharType="end"/>
          </w:r>
        </w:p>
      </w:tc>
    </w:tr>
  </w:tbl>
  <w:p w:rsidR="003506F2" w:rsidRDefault="003506F2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F2" w:rsidRDefault="003506F2">
      <w:r>
        <w:separator/>
      </w:r>
    </w:p>
  </w:footnote>
  <w:footnote w:type="continuationSeparator" w:id="0">
    <w:p w:rsidR="003506F2" w:rsidRDefault="0035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3506F2">
      <w:tc>
        <w:tcPr>
          <w:tcW w:w="2155" w:type="dxa"/>
          <w:tcBorders>
            <w:top w:val="single" w:sz="24" w:space="0" w:color="auto"/>
          </w:tcBorders>
        </w:tcPr>
        <w:p w:rsidR="003506F2" w:rsidRDefault="003506F2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3506F2" w:rsidRDefault="003506F2" w:rsidP="0019293B">
          <w:pPr>
            <w:pStyle w:val="HeaderEven"/>
          </w:pPr>
        </w:p>
      </w:tc>
    </w:tr>
  </w:tbl>
  <w:p w:rsidR="003506F2" w:rsidRDefault="003506F2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3506F2">
      <w:tc>
        <w:tcPr>
          <w:tcW w:w="6634" w:type="dxa"/>
          <w:tcBorders>
            <w:top w:val="single" w:sz="6" w:space="0" w:color="auto"/>
          </w:tcBorders>
        </w:tcPr>
        <w:p w:rsidR="003506F2" w:rsidRDefault="003506F2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3506F2" w:rsidRDefault="003506F2" w:rsidP="00E669E2">
          <w:pPr>
            <w:pStyle w:val="HeaderOdd"/>
          </w:pPr>
        </w:p>
      </w:tc>
    </w:tr>
  </w:tbl>
  <w:p w:rsidR="003506F2" w:rsidRDefault="003506F2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1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5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6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7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9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1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2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1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6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2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3"/>
  </w:num>
  <w:num w:numId="21">
    <w:abstractNumId w:val="35"/>
  </w:num>
  <w:num w:numId="22">
    <w:abstractNumId w:val="24"/>
  </w:num>
  <w:num w:numId="23">
    <w:abstractNumId w:val="27"/>
  </w:num>
  <w:num w:numId="24">
    <w:abstractNumId w:val="29"/>
  </w:num>
  <w:num w:numId="25">
    <w:abstractNumId w:val="40"/>
  </w:num>
  <w:num w:numId="26">
    <w:abstractNumId w:val="32"/>
  </w:num>
  <w:num w:numId="27">
    <w:abstractNumId w:val="37"/>
  </w:num>
  <w:num w:numId="28">
    <w:abstractNumId w:val="38"/>
  </w:num>
  <w:num w:numId="29">
    <w:abstractNumId w:val="30"/>
  </w:num>
  <w:num w:numId="30">
    <w:abstractNumId w:val="21"/>
  </w:num>
  <w:num w:numId="31">
    <w:abstractNumId w:val="43"/>
  </w:num>
  <w:num w:numId="32">
    <w:abstractNumId w:val="15"/>
  </w:num>
  <w:num w:numId="33">
    <w:abstractNumId w:val="8"/>
  </w:num>
  <w:num w:numId="34">
    <w:abstractNumId w:val="18"/>
  </w:num>
  <w:num w:numId="35">
    <w:abstractNumId w:val="39"/>
  </w:num>
  <w:num w:numId="36">
    <w:abstractNumId w:val="31"/>
  </w:num>
  <w:num w:numId="37">
    <w:abstractNumId w:val="13"/>
  </w:num>
  <w:num w:numId="38">
    <w:abstractNumId w:val="34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B"/>
    <w:docVar w:name="FindingOptions" w:val="1"/>
    <w:docVar w:name="RecOptions" w:val="111"/>
    <w:docVar w:name="ShortChapterTitle" w:val="Appendix"/>
    <w:docVar w:name="ShortReportTitle" w:val="Report"/>
  </w:docVars>
  <w:rsids>
    <w:rsidRoot w:val="00472A70"/>
    <w:rsid w:val="00022590"/>
    <w:rsid w:val="000245AA"/>
    <w:rsid w:val="0003664B"/>
    <w:rsid w:val="0004111F"/>
    <w:rsid w:val="000565B3"/>
    <w:rsid w:val="0007150B"/>
    <w:rsid w:val="000746AE"/>
    <w:rsid w:val="000938F5"/>
    <w:rsid w:val="000A15E9"/>
    <w:rsid w:val="000B601B"/>
    <w:rsid w:val="000C207E"/>
    <w:rsid w:val="000F420B"/>
    <w:rsid w:val="00110116"/>
    <w:rsid w:val="00120072"/>
    <w:rsid w:val="001214F7"/>
    <w:rsid w:val="00121BC4"/>
    <w:rsid w:val="00126EB8"/>
    <w:rsid w:val="001274D4"/>
    <w:rsid w:val="001363AA"/>
    <w:rsid w:val="00183E82"/>
    <w:rsid w:val="001878BB"/>
    <w:rsid w:val="00191AE0"/>
    <w:rsid w:val="0019293B"/>
    <w:rsid w:val="001C0865"/>
    <w:rsid w:val="001C3ABA"/>
    <w:rsid w:val="001E7BE8"/>
    <w:rsid w:val="001F0248"/>
    <w:rsid w:val="001F3EB3"/>
    <w:rsid w:val="00202C2C"/>
    <w:rsid w:val="00242279"/>
    <w:rsid w:val="00245C82"/>
    <w:rsid w:val="00291B40"/>
    <w:rsid w:val="002A24B0"/>
    <w:rsid w:val="002B4008"/>
    <w:rsid w:val="002D0E8E"/>
    <w:rsid w:val="002F1249"/>
    <w:rsid w:val="00301189"/>
    <w:rsid w:val="00323E09"/>
    <w:rsid w:val="00333932"/>
    <w:rsid w:val="00343C7E"/>
    <w:rsid w:val="003506F2"/>
    <w:rsid w:val="003518AA"/>
    <w:rsid w:val="00352165"/>
    <w:rsid w:val="00353182"/>
    <w:rsid w:val="003565D9"/>
    <w:rsid w:val="003602E1"/>
    <w:rsid w:val="003701F0"/>
    <w:rsid w:val="0037026F"/>
    <w:rsid w:val="00371240"/>
    <w:rsid w:val="00374731"/>
    <w:rsid w:val="003919F9"/>
    <w:rsid w:val="0039591A"/>
    <w:rsid w:val="003C38B5"/>
    <w:rsid w:val="003C5D99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72A70"/>
    <w:rsid w:val="00477144"/>
    <w:rsid w:val="0049459F"/>
    <w:rsid w:val="004A38DD"/>
    <w:rsid w:val="004B43AE"/>
    <w:rsid w:val="004C30ED"/>
    <w:rsid w:val="004C46ED"/>
    <w:rsid w:val="004D5675"/>
    <w:rsid w:val="0051158C"/>
    <w:rsid w:val="00523639"/>
    <w:rsid w:val="00525EAB"/>
    <w:rsid w:val="00525F72"/>
    <w:rsid w:val="00526403"/>
    <w:rsid w:val="00531FE5"/>
    <w:rsid w:val="0053748C"/>
    <w:rsid w:val="00542EC9"/>
    <w:rsid w:val="0054429A"/>
    <w:rsid w:val="005501CD"/>
    <w:rsid w:val="00583C39"/>
    <w:rsid w:val="005843AC"/>
    <w:rsid w:val="005909CF"/>
    <w:rsid w:val="00591E71"/>
    <w:rsid w:val="005A0D41"/>
    <w:rsid w:val="00607BF1"/>
    <w:rsid w:val="00630D4D"/>
    <w:rsid w:val="00630E3E"/>
    <w:rsid w:val="00632A74"/>
    <w:rsid w:val="00643517"/>
    <w:rsid w:val="006542CB"/>
    <w:rsid w:val="00661FAE"/>
    <w:rsid w:val="00677E69"/>
    <w:rsid w:val="006A4655"/>
    <w:rsid w:val="006B2B3C"/>
    <w:rsid w:val="006C1D81"/>
    <w:rsid w:val="006C7038"/>
    <w:rsid w:val="006E73EF"/>
    <w:rsid w:val="00702912"/>
    <w:rsid w:val="00714D4D"/>
    <w:rsid w:val="007508D4"/>
    <w:rsid w:val="00756B6B"/>
    <w:rsid w:val="007604BB"/>
    <w:rsid w:val="0077154F"/>
    <w:rsid w:val="007756AD"/>
    <w:rsid w:val="00785232"/>
    <w:rsid w:val="007A21EB"/>
    <w:rsid w:val="007B1A93"/>
    <w:rsid w:val="007C36C9"/>
    <w:rsid w:val="007D0A01"/>
    <w:rsid w:val="007D6007"/>
    <w:rsid w:val="007D6401"/>
    <w:rsid w:val="007E01E4"/>
    <w:rsid w:val="007F20C3"/>
    <w:rsid w:val="007F7107"/>
    <w:rsid w:val="0081030F"/>
    <w:rsid w:val="0082087D"/>
    <w:rsid w:val="00842585"/>
    <w:rsid w:val="00842933"/>
    <w:rsid w:val="00857CE3"/>
    <w:rsid w:val="0086082C"/>
    <w:rsid w:val="00864ADC"/>
    <w:rsid w:val="00880153"/>
    <w:rsid w:val="00880F97"/>
    <w:rsid w:val="0088133A"/>
    <w:rsid w:val="0089285E"/>
    <w:rsid w:val="0089436C"/>
    <w:rsid w:val="008A5EF3"/>
    <w:rsid w:val="008D365C"/>
    <w:rsid w:val="008F0CF1"/>
    <w:rsid w:val="009030BF"/>
    <w:rsid w:val="0091032F"/>
    <w:rsid w:val="00914368"/>
    <w:rsid w:val="00931076"/>
    <w:rsid w:val="009345D9"/>
    <w:rsid w:val="00934B15"/>
    <w:rsid w:val="00936277"/>
    <w:rsid w:val="00942B62"/>
    <w:rsid w:val="00956A0C"/>
    <w:rsid w:val="00956BD9"/>
    <w:rsid w:val="00962489"/>
    <w:rsid w:val="009723BE"/>
    <w:rsid w:val="00990C2C"/>
    <w:rsid w:val="009F696D"/>
    <w:rsid w:val="009F6BC6"/>
    <w:rsid w:val="00A17328"/>
    <w:rsid w:val="00A23A20"/>
    <w:rsid w:val="00A268B9"/>
    <w:rsid w:val="00A2703A"/>
    <w:rsid w:val="00A31147"/>
    <w:rsid w:val="00A33DFF"/>
    <w:rsid w:val="00A35115"/>
    <w:rsid w:val="00A36D9A"/>
    <w:rsid w:val="00A554AB"/>
    <w:rsid w:val="00A90F64"/>
    <w:rsid w:val="00A91F01"/>
    <w:rsid w:val="00A92B53"/>
    <w:rsid w:val="00A94FA6"/>
    <w:rsid w:val="00AA49A0"/>
    <w:rsid w:val="00AA6710"/>
    <w:rsid w:val="00AB0681"/>
    <w:rsid w:val="00AD520B"/>
    <w:rsid w:val="00AF1FD0"/>
    <w:rsid w:val="00AF447D"/>
    <w:rsid w:val="00B440AD"/>
    <w:rsid w:val="00B53E7E"/>
    <w:rsid w:val="00B6342E"/>
    <w:rsid w:val="00B7113F"/>
    <w:rsid w:val="00B908E1"/>
    <w:rsid w:val="00BA0037"/>
    <w:rsid w:val="00BA73B6"/>
    <w:rsid w:val="00BA7E27"/>
    <w:rsid w:val="00BB2603"/>
    <w:rsid w:val="00BB4FCD"/>
    <w:rsid w:val="00BC473D"/>
    <w:rsid w:val="00BD13EA"/>
    <w:rsid w:val="00BE3808"/>
    <w:rsid w:val="00BF39C1"/>
    <w:rsid w:val="00C062E9"/>
    <w:rsid w:val="00C07B64"/>
    <w:rsid w:val="00C13721"/>
    <w:rsid w:val="00C27933"/>
    <w:rsid w:val="00C3066D"/>
    <w:rsid w:val="00C33D66"/>
    <w:rsid w:val="00C543F4"/>
    <w:rsid w:val="00C6291C"/>
    <w:rsid w:val="00C633CB"/>
    <w:rsid w:val="00C67F93"/>
    <w:rsid w:val="00C81D4A"/>
    <w:rsid w:val="00C8762C"/>
    <w:rsid w:val="00C97C09"/>
    <w:rsid w:val="00CA00F9"/>
    <w:rsid w:val="00CA2961"/>
    <w:rsid w:val="00CB50D7"/>
    <w:rsid w:val="00CB7177"/>
    <w:rsid w:val="00CC030B"/>
    <w:rsid w:val="00CC1998"/>
    <w:rsid w:val="00CC4946"/>
    <w:rsid w:val="00CF74C3"/>
    <w:rsid w:val="00D14E29"/>
    <w:rsid w:val="00D269B2"/>
    <w:rsid w:val="00D270A4"/>
    <w:rsid w:val="00D31FE9"/>
    <w:rsid w:val="00D34E1B"/>
    <w:rsid w:val="00D376BA"/>
    <w:rsid w:val="00D504BB"/>
    <w:rsid w:val="00D526C6"/>
    <w:rsid w:val="00D5568A"/>
    <w:rsid w:val="00D63D73"/>
    <w:rsid w:val="00D64452"/>
    <w:rsid w:val="00D66E1E"/>
    <w:rsid w:val="00D75722"/>
    <w:rsid w:val="00D777CF"/>
    <w:rsid w:val="00D80CF5"/>
    <w:rsid w:val="00DA2DD5"/>
    <w:rsid w:val="00DA5BBA"/>
    <w:rsid w:val="00DB2A6F"/>
    <w:rsid w:val="00DB3686"/>
    <w:rsid w:val="00DB3AB4"/>
    <w:rsid w:val="00DB67C9"/>
    <w:rsid w:val="00DC0C95"/>
    <w:rsid w:val="00DC4BC0"/>
    <w:rsid w:val="00DD4575"/>
    <w:rsid w:val="00DD6580"/>
    <w:rsid w:val="00E17C72"/>
    <w:rsid w:val="00E21FC6"/>
    <w:rsid w:val="00E3010B"/>
    <w:rsid w:val="00E410BC"/>
    <w:rsid w:val="00E431A9"/>
    <w:rsid w:val="00E564B4"/>
    <w:rsid w:val="00E669E2"/>
    <w:rsid w:val="00E76135"/>
    <w:rsid w:val="00E82F4F"/>
    <w:rsid w:val="00EC2844"/>
    <w:rsid w:val="00EF6C6C"/>
    <w:rsid w:val="00F056FC"/>
    <w:rsid w:val="00F10476"/>
    <w:rsid w:val="00F12FF3"/>
    <w:rsid w:val="00F135D8"/>
    <w:rsid w:val="00F1523A"/>
    <w:rsid w:val="00F31299"/>
    <w:rsid w:val="00F3534A"/>
    <w:rsid w:val="00F620AB"/>
    <w:rsid w:val="00F85325"/>
    <w:rsid w:val="00F97CE9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81D4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styleId="Hyperlink">
    <w:name w:val="Hyperlink"/>
    <w:basedOn w:val="DefaultParagraphFont"/>
    <w:rsid w:val="00F97CE9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F97CE9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C81D4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styleId="Hyperlink">
    <w:name w:val="Hyperlink"/>
    <w:basedOn w:val="DefaultParagraphFont"/>
    <w:rsid w:val="00F97CE9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F97CE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8812A-86F0-467E-B62E-47E921DD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155</TotalTime>
  <Pages>5</Pages>
  <Words>860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</vt:lpstr>
    </vt:vector>
  </TitlesOfParts>
  <Company>Productivity Commission</Company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</dc:title>
  <dc:subject>Report</dc:subject>
  <dc:creator>Productivity Commission</dc:creator>
  <dc:description>B.</dc:description>
  <cp:lastModifiedBy>Melissa Edwards</cp:lastModifiedBy>
  <cp:revision>70</cp:revision>
  <cp:lastPrinted>2012-08-22T22:23:00Z</cp:lastPrinted>
  <dcterms:created xsi:type="dcterms:W3CDTF">2012-07-09T23:09:00Z</dcterms:created>
  <dcterms:modified xsi:type="dcterms:W3CDTF">2012-11-27T00:02:00Z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-1330519778</vt:i4>
  </property>
  <property fmtid="{D5CDD505-2E9C-101B-9397-08002B2CF9AE}" pid="3" name="_NewReviewCycle">
    <vt:lpwstr/>
  </property>
  <property fmtid="{D5CDD505-2E9C-101B-9397-08002B2CF9AE}" pid="4" name="_EmailSubject">
    <vt:lpwstr>Web files - RIA - final research report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</Properties>
</file>