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Override2.xml" ContentType="application/vnd.openxmlformats-officedocument.themeOverride+xml"/>
  <Override PartName="/word/charts/chart2.xml" ContentType="application/vnd.openxmlformats-officedocument.drawingml.chart+xml"/>
  <Override PartName="/word/theme/themeOverride1.xml" ContentType="application/vnd.openxmlformats-officedocument.themeOverride+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C790B" w:rsidP="005C790B">
      <w:pPr>
        <w:pStyle w:val="Chapter"/>
        <w:ind w:left="907" w:hanging="907"/>
      </w:pPr>
      <w:bookmarkStart w:id="0" w:name="_AppendixNotByChapter"/>
      <w:bookmarkStart w:id="1" w:name="ChapterNumber"/>
      <w:bookmarkEnd w:id="0"/>
      <w:r>
        <w:t>E</w:t>
      </w:r>
      <w:bookmarkEnd w:id="1"/>
      <w:r>
        <w:tab/>
      </w:r>
      <w:bookmarkStart w:id="2" w:name="ChapterTitle"/>
      <w:r>
        <w:t>Analysis of regulation impact statements</w:t>
      </w:r>
      <w:bookmarkEnd w:id="2"/>
    </w:p>
    <w:p w:rsidR="003A763C" w:rsidRDefault="003A763C" w:rsidP="003A763C">
      <w:pPr>
        <w:pStyle w:val="BodyText"/>
      </w:pPr>
      <w:bookmarkStart w:id="3" w:name="begin"/>
      <w:bookmarkEnd w:id="3"/>
      <w:r w:rsidRPr="003A763C">
        <w:t xml:space="preserve">This appendix discusses the results and methodology of the Commission’s </w:t>
      </w:r>
      <w:r>
        <w:t>analysis</w:t>
      </w:r>
      <w:r w:rsidRPr="003A763C">
        <w:t xml:space="preserve"> of regul</w:t>
      </w:r>
      <w:r w:rsidR="00C710ED">
        <w:t xml:space="preserve">ation impact </w:t>
      </w:r>
      <w:bookmarkStart w:id="4" w:name="_GoBack"/>
      <w:bookmarkEnd w:id="4"/>
      <w:r w:rsidR="00C710ED">
        <w:t xml:space="preserve">statements (RISs). </w:t>
      </w:r>
      <w:r w:rsidRPr="003A763C">
        <w:t xml:space="preserve">A </w:t>
      </w:r>
      <w:r>
        <w:t>list of the questions</w:t>
      </w:r>
      <w:r w:rsidRPr="003A763C">
        <w:t xml:space="preserve"> used</w:t>
      </w:r>
      <w:r w:rsidR="00C710ED">
        <w:t xml:space="preserve"> to analyse each RIS</w:t>
      </w:r>
      <w:r w:rsidRPr="003A763C">
        <w:t xml:space="preserve"> </w:t>
      </w:r>
      <w:r>
        <w:t>is</w:t>
      </w:r>
      <w:r w:rsidRPr="003A763C">
        <w:t xml:space="preserve"> provided in the last section of the appendix</w:t>
      </w:r>
      <w:r w:rsidR="00C710ED">
        <w:t xml:space="preserve"> along with aggregated results</w:t>
      </w:r>
      <w:r w:rsidRPr="003A763C">
        <w:t>.</w:t>
      </w:r>
      <w:r w:rsidR="008B15A3">
        <w:t xml:space="preserve"> </w:t>
      </w:r>
    </w:p>
    <w:p w:rsidR="003A763C" w:rsidRDefault="005C790B" w:rsidP="003A763C">
      <w:pPr>
        <w:pStyle w:val="Heading2"/>
      </w:pPr>
      <w:proofErr w:type="spellStart"/>
      <w:r>
        <w:t>E.</w:t>
      </w:r>
      <w:r w:rsidR="00325D70">
        <w:rPr>
          <w:noProof/>
        </w:rPr>
        <w:t>1</w:t>
      </w:r>
      <w:proofErr w:type="spellEnd"/>
      <w:r w:rsidR="00395564">
        <w:tab/>
      </w:r>
      <w:r w:rsidR="007D6E16">
        <w:t>Coverage</w:t>
      </w:r>
      <w:r w:rsidR="00395564">
        <w:t xml:space="preserve"> and </w:t>
      </w:r>
      <w:r w:rsidR="003A763C">
        <w:t>methodology</w:t>
      </w:r>
    </w:p>
    <w:p w:rsidR="00105B5F" w:rsidRDefault="00105B5F" w:rsidP="00105B5F">
      <w:pPr>
        <w:pStyle w:val="Heading3"/>
      </w:pPr>
      <w:r>
        <w:t>Coverage</w:t>
      </w:r>
    </w:p>
    <w:p w:rsidR="005514B0" w:rsidRDefault="003A763C" w:rsidP="005514B0">
      <w:pPr>
        <w:pStyle w:val="BodyText"/>
      </w:pPr>
      <w:r>
        <w:t xml:space="preserve">The Commission examined </w:t>
      </w:r>
      <w:r w:rsidR="00350CCA">
        <w:t xml:space="preserve">182 </w:t>
      </w:r>
      <w:r>
        <w:t>RISs prepared in all Australian jurisdictions</w:t>
      </w:r>
      <w:r w:rsidR="008C6285">
        <w:t xml:space="preserve"> </w:t>
      </w:r>
      <w:r>
        <w:t xml:space="preserve">to identify the extent to which key analytical features were present </w:t>
      </w:r>
      <w:r w:rsidR="009A1041">
        <w:t xml:space="preserve">(table </w:t>
      </w:r>
      <w:proofErr w:type="spellStart"/>
      <w:r w:rsidR="00830A3B">
        <w:t>E.1</w:t>
      </w:r>
      <w:proofErr w:type="spellEnd"/>
      <w:r w:rsidR="009A1041">
        <w:t>)</w:t>
      </w:r>
      <w:r>
        <w:t xml:space="preserve">. </w:t>
      </w:r>
      <w:r w:rsidR="005514B0">
        <w:t>All RISs examined have been assessed as meeting the requirements of the relevant jurisdictional RIA process by the relevant oversight body (in jurisdictions where formal assessment takes place).</w:t>
      </w:r>
    </w:p>
    <w:p w:rsidR="00BA6F73" w:rsidRDefault="005514B0" w:rsidP="007A5F3C">
      <w:pPr>
        <w:pStyle w:val="BodyText"/>
      </w:pPr>
      <w:r>
        <w:t>Included in the analysis were a</w:t>
      </w:r>
      <w:r w:rsidR="009A5382">
        <w:t xml:space="preserve">ll RISs </w:t>
      </w:r>
      <w:r w:rsidR="00C659E1">
        <w:t xml:space="preserve">completed and made </w:t>
      </w:r>
      <w:r w:rsidR="009A5382">
        <w:t xml:space="preserve">publicly available in each jurisdiction </w:t>
      </w:r>
      <w:r>
        <w:t xml:space="preserve">(with the exception of the Commonwealth) </w:t>
      </w:r>
      <w:r w:rsidR="00C659E1">
        <w:t>in 2010 and 2011</w:t>
      </w:r>
      <w:r>
        <w:t>. For the Commonwealth,</w:t>
      </w:r>
      <w:r w:rsidR="00C659E1">
        <w:t xml:space="preserve"> only </w:t>
      </w:r>
      <w:r w:rsidR="00C659E1" w:rsidRPr="007A5F3C">
        <w:t xml:space="preserve">RISs </w:t>
      </w:r>
      <w:r w:rsidR="00C659E1">
        <w:t xml:space="preserve">prepared in 2011 </w:t>
      </w:r>
      <w:r w:rsidR="00C659E1" w:rsidRPr="007A5F3C">
        <w:t>were examined</w:t>
      </w:r>
      <w:r>
        <w:t>,</w:t>
      </w:r>
      <w:r w:rsidR="00C659E1" w:rsidRPr="007A5F3C">
        <w:t xml:space="preserve"> due to the large number of RISs undertaken</w:t>
      </w:r>
      <w:r w:rsidR="00BA6F73">
        <w:t xml:space="preserve">. </w:t>
      </w:r>
    </w:p>
    <w:p w:rsidR="00B13C54" w:rsidRDefault="00B13C54">
      <w:pPr>
        <w:pStyle w:val="TableTitle"/>
      </w:pPr>
      <w:r>
        <w:rPr>
          <w:b w:val="0"/>
        </w:rPr>
        <w:t xml:space="preserve">Table </w:t>
      </w:r>
      <w:bookmarkStart w:id="5" w:name="OLE_LINK1"/>
      <w:proofErr w:type="spellStart"/>
      <w:r w:rsidR="005C790B">
        <w:rPr>
          <w:b w:val="0"/>
        </w:rPr>
        <w:t>E.</w:t>
      </w:r>
      <w:r w:rsidR="00325D70">
        <w:rPr>
          <w:b w:val="0"/>
          <w:noProof/>
        </w:rPr>
        <w:t>1</w:t>
      </w:r>
      <w:bookmarkEnd w:id="5"/>
      <w:proofErr w:type="spellEnd"/>
      <w:r>
        <w:tab/>
      </w:r>
      <w:proofErr w:type="spellStart"/>
      <w:r>
        <w:t>RISs</w:t>
      </w:r>
      <w:proofErr w:type="spellEnd"/>
      <w:r>
        <w:t xml:space="preserve"> </w:t>
      </w:r>
      <w:r w:rsidR="009A1041">
        <w:t>analysed</w:t>
      </w:r>
      <w:r>
        <w:t xml:space="preserve"> by jurisdiction</w:t>
      </w:r>
    </w:p>
    <w:p w:rsidR="00F578B0" w:rsidRDefault="00B13C54">
      <w:pPr>
        <w:pStyle w:val="Subtitle"/>
      </w:pPr>
      <w:r>
        <w:t>1 January 2010 to 31 December 2011</w:t>
      </w:r>
    </w:p>
    <w:tbl>
      <w:tblPr>
        <w:tblW w:w="5000" w:type="pct"/>
        <w:tblCellMar>
          <w:left w:w="0" w:type="dxa"/>
          <w:right w:w="0" w:type="dxa"/>
        </w:tblCellMar>
        <w:tblLook w:val="0000" w:firstRow="0" w:lastRow="0" w:firstColumn="0" w:lastColumn="0" w:noHBand="0" w:noVBand="0"/>
      </w:tblPr>
      <w:tblGrid>
        <w:gridCol w:w="1704"/>
        <w:gridCol w:w="709"/>
        <w:gridCol w:w="796"/>
        <w:gridCol w:w="763"/>
        <w:gridCol w:w="635"/>
        <w:gridCol w:w="640"/>
        <w:gridCol w:w="635"/>
        <w:gridCol w:w="571"/>
        <w:gridCol w:w="577"/>
        <w:gridCol w:w="585"/>
        <w:gridCol w:w="490"/>
        <w:gridCol w:w="684"/>
      </w:tblGrid>
      <w:tr w:rsidR="00E027F8" w:rsidTr="00E027F8">
        <w:tc>
          <w:tcPr>
            <w:tcW w:w="969" w:type="pct"/>
            <w:tcBorders>
              <w:top w:val="single" w:sz="6" w:space="0" w:color="auto"/>
              <w:bottom w:val="single" w:sz="6" w:space="0" w:color="auto"/>
            </w:tcBorders>
            <w:shd w:val="clear" w:color="auto" w:fill="auto"/>
          </w:tcPr>
          <w:p w:rsidR="00F578B0" w:rsidRDefault="00F578B0" w:rsidP="00F578B0">
            <w:pPr>
              <w:pStyle w:val="TableColumnHeading"/>
              <w:jc w:val="left"/>
            </w:pPr>
          </w:p>
        </w:tc>
        <w:tc>
          <w:tcPr>
            <w:tcW w:w="403" w:type="pct"/>
            <w:tcBorders>
              <w:top w:val="single" w:sz="6" w:space="0" w:color="auto"/>
              <w:bottom w:val="single" w:sz="6" w:space="0" w:color="auto"/>
            </w:tcBorders>
          </w:tcPr>
          <w:p w:rsidR="00F578B0" w:rsidRDefault="00F578B0" w:rsidP="00F578B0">
            <w:pPr>
              <w:pStyle w:val="TableColumnHeading"/>
            </w:pPr>
            <w:proofErr w:type="spellStart"/>
            <w:r>
              <w:t>Cwlth</w:t>
            </w:r>
            <w:proofErr w:type="spellEnd"/>
          </w:p>
        </w:tc>
        <w:tc>
          <w:tcPr>
            <w:tcW w:w="453" w:type="pct"/>
            <w:tcBorders>
              <w:top w:val="single" w:sz="6" w:space="0" w:color="auto"/>
              <w:bottom w:val="single" w:sz="6" w:space="0" w:color="auto"/>
            </w:tcBorders>
          </w:tcPr>
          <w:p w:rsidR="00F578B0" w:rsidRDefault="00F578B0" w:rsidP="00F578B0">
            <w:pPr>
              <w:pStyle w:val="TableColumnHeading"/>
            </w:pPr>
            <w:r>
              <w:t>COAG</w:t>
            </w:r>
          </w:p>
        </w:tc>
        <w:tc>
          <w:tcPr>
            <w:tcW w:w="434" w:type="pct"/>
            <w:tcBorders>
              <w:top w:val="single" w:sz="6" w:space="0" w:color="auto"/>
              <w:bottom w:val="single" w:sz="6" w:space="0" w:color="auto"/>
            </w:tcBorders>
          </w:tcPr>
          <w:p w:rsidR="00F578B0" w:rsidRDefault="00F578B0" w:rsidP="00F578B0">
            <w:pPr>
              <w:pStyle w:val="TableColumnHeading"/>
            </w:pPr>
            <w:r>
              <w:t>NSW</w:t>
            </w:r>
          </w:p>
        </w:tc>
        <w:tc>
          <w:tcPr>
            <w:tcW w:w="361" w:type="pct"/>
            <w:tcBorders>
              <w:top w:val="single" w:sz="6" w:space="0" w:color="auto"/>
              <w:bottom w:val="single" w:sz="6" w:space="0" w:color="auto"/>
            </w:tcBorders>
          </w:tcPr>
          <w:p w:rsidR="00F578B0" w:rsidRDefault="00F578B0" w:rsidP="00F578B0">
            <w:pPr>
              <w:pStyle w:val="TableColumnHeading"/>
            </w:pPr>
            <w:r>
              <w:t>Vic</w:t>
            </w:r>
          </w:p>
        </w:tc>
        <w:tc>
          <w:tcPr>
            <w:tcW w:w="364" w:type="pct"/>
            <w:tcBorders>
              <w:top w:val="single" w:sz="6" w:space="0" w:color="auto"/>
              <w:bottom w:val="single" w:sz="6" w:space="0" w:color="auto"/>
            </w:tcBorders>
          </w:tcPr>
          <w:p w:rsidR="00F578B0" w:rsidRDefault="00F578B0" w:rsidP="00F578B0">
            <w:pPr>
              <w:pStyle w:val="TableColumnHeading"/>
            </w:pPr>
            <w:r>
              <w:t>Qld</w:t>
            </w:r>
          </w:p>
        </w:tc>
        <w:tc>
          <w:tcPr>
            <w:tcW w:w="361" w:type="pct"/>
            <w:tcBorders>
              <w:top w:val="single" w:sz="6" w:space="0" w:color="auto"/>
              <w:bottom w:val="single" w:sz="6" w:space="0" w:color="auto"/>
            </w:tcBorders>
          </w:tcPr>
          <w:p w:rsidR="00F578B0" w:rsidRDefault="00F578B0" w:rsidP="00F578B0">
            <w:pPr>
              <w:pStyle w:val="TableColumnHeading"/>
            </w:pPr>
            <w:r>
              <w:t>WA</w:t>
            </w:r>
          </w:p>
        </w:tc>
        <w:tc>
          <w:tcPr>
            <w:tcW w:w="325" w:type="pct"/>
            <w:tcBorders>
              <w:top w:val="single" w:sz="6" w:space="0" w:color="auto"/>
              <w:bottom w:val="single" w:sz="6" w:space="0" w:color="auto"/>
            </w:tcBorders>
          </w:tcPr>
          <w:p w:rsidR="00F578B0" w:rsidRDefault="00F578B0" w:rsidP="00F578B0">
            <w:pPr>
              <w:pStyle w:val="TableColumnHeading"/>
            </w:pPr>
            <w:r>
              <w:t>SA</w:t>
            </w:r>
          </w:p>
        </w:tc>
        <w:tc>
          <w:tcPr>
            <w:tcW w:w="328" w:type="pct"/>
            <w:tcBorders>
              <w:top w:val="single" w:sz="6" w:space="0" w:color="auto"/>
              <w:bottom w:val="single" w:sz="6" w:space="0" w:color="auto"/>
            </w:tcBorders>
          </w:tcPr>
          <w:p w:rsidR="00F578B0" w:rsidRDefault="00F578B0" w:rsidP="00F578B0">
            <w:pPr>
              <w:pStyle w:val="TableColumnHeading"/>
            </w:pPr>
            <w:proofErr w:type="spellStart"/>
            <w:r>
              <w:t>Tas</w:t>
            </w:r>
            <w:proofErr w:type="spellEnd"/>
          </w:p>
        </w:tc>
        <w:tc>
          <w:tcPr>
            <w:tcW w:w="333" w:type="pct"/>
            <w:tcBorders>
              <w:top w:val="single" w:sz="6" w:space="0" w:color="auto"/>
              <w:bottom w:val="single" w:sz="6" w:space="0" w:color="auto"/>
            </w:tcBorders>
            <w:shd w:val="clear" w:color="auto" w:fill="auto"/>
          </w:tcPr>
          <w:p w:rsidR="00F578B0" w:rsidRDefault="00F578B0" w:rsidP="00F578B0">
            <w:pPr>
              <w:pStyle w:val="TableColumnHeading"/>
            </w:pPr>
            <w:r>
              <w:t>ACT</w:t>
            </w:r>
          </w:p>
        </w:tc>
        <w:tc>
          <w:tcPr>
            <w:tcW w:w="279" w:type="pct"/>
            <w:tcBorders>
              <w:top w:val="single" w:sz="6" w:space="0" w:color="auto"/>
              <w:bottom w:val="single" w:sz="6" w:space="0" w:color="auto"/>
            </w:tcBorders>
            <w:shd w:val="clear" w:color="auto" w:fill="auto"/>
          </w:tcPr>
          <w:p w:rsidR="00F578B0" w:rsidRDefault="00F578B0" w:rsidP="00F578B0">
            <w:pPr>
              <w:pStyle w:val="TableColumnHeading"/>
            </w:pPr>
            <w:r>
              <w:t>NT</w:t>
            </w:r>
          </w:p>
        </w:tc>
        <w:tc>
          <w:tcPr>
            <w:tcW w:w="389" w:type="pct"/>
            <w:tcBorders>
              <w:top w:val="single" w:sz="6" w:space="0" w:color="auto"/>
              <w:bottom w:val="single" w:sz="6" w:space="0" w:color="auto"/>
            </w:tcBorders>
          </w:tcPr>
          <w:p w:rsidR="00F578B0" w:rsidRPr="00F578B0" w:rsidRDefault="00F578B0" w:rsidP="00F578B0">
            <w:pPr>
              <w:pStyle w:val="TableColumnHeading"/>
              <w:rPr>
                <w:b/>
              </w:rPr>
            </w:pPr>
            <w:r w:rsidRPr="00F578B0">
              <w:rPr>
                <w:b/>
              </w:rPr>
              <w:t>Total</w:t>
            </w:r>
          </w:p>
        </w:tc>
      </w:tr>
      <w:tr w:rsidR="00E027F8" w:rsidTr="00E027F8">
        <w:tc>
          <w:tcPr>
            <w:tcW w:w="969" w:type="pct"/>
            <w:tcBorders>
              <w:top w:val="single" w:sz="6" w:space="0" w:color="auto"/>
              <w:bottom w:val="single" w:sz="4" w:space="0" w:color="auto"/>
            </w:tcBorders>
          </w:tcPr>
          <w:p w:rsidR="00F578B0" w:rsidRDefault="00F578B0" w:rsidP="00F578B0">
            <w:pPr>
              <w:pStyle w:val="TableBodyText"/>
            </w:pPr>
          </w:p>
          <w:p w:rsidR="00F578B0" w:rsidRDefault="00F578B0" w:rsidP="00F578B0">
            <w:pPr>
              <w:pStyle w:val="TableBodyText"/>
              <w:jc w:val="left"/>
            </w:pPr>
            <w:r>
              <w:t>Number of RISs</w:t>
            </w:r>
          </w:p>
        </w:tc>
        <w:tc>
          <w:tcPr>
            <w:tcW w:w="403" w:type="pct"/>
            <w:tcBorders>
              <w:top w:val="single" w:sz="6" w:space="0" w:color="auto"/>
              <w:bottom w:val="single" w:sz="4" w:space="0" w:color="auto"/>
            </w:tcBorders>
          </w:tcPr>
          <w:p w:rsidR="00F578B0" w:rsidRDefault="00F578B0" w:rsidP="00F578B0">
            <w:pPr>
              <w:pStyle w:val="TableBodyText"/>
            </w:pPr>
          </w:p>
          <w:p w:rsidR="00F578B0" w:rsidRDefault="001A7A6A" w:rsidP="00F6402B">
            <w:pPr>
              <w:pStyle w:val="TableBodyText"/>
              <w:rPr>
                <w:i/>
              </w:rPr>
            </w:pPr>
            <w:r>
              <w:t>66</w:t>
            </w:r>
          </w:p>
        </w:tc>
        <w:tc>
          <w:tcPr>
            <w:tcW w:w="453" w:type="pct"/>
            <w:tcBorders>
              <w:top w:val="single" w:sz="6" w:space="0" w:color="auto"/>
              <w:bottom w:val="single" w:sz="4" w:space="0" w:color="auto"/>
            </w:tcBorders>
          </w:tcPr>
          <w:p w:rsidR="00F578B0" w:rsidRDefault="00F578B0" w:rsidP="00F578B0">
            <w:pPr>
              <w:pStyle w:val="TableBodyText"/>
            </w:pPr>
          </w:p>
          <w:p w:rsidR="00F578B0" w:rsidRDefault="00D33603" w:rsidP="00D33603">
            <w:pPr>
              <w:pStyle w:val="TableBodyText"/>
            </w:pPr>
            <w:r>
              <w:t>24</w:t>
            </w:r>
          </w:p>
        </w:tc>
        <w:tc>
          <w:tcPr>
            <w:tcW w:w="434" w:type="pct"/>
            <w:tcBorders>
              <w:top w:val="single" w:sz="6" w:space="0" w:color="auto"/>
              <w:bottom w:val="single" w:sz="4" w:space="0" w:color="auto"/>
            </w:tcBorders>
          </w:tcPr>
          <w:p w:rsidR="00F578B0" w:rsidRDefault="00F578B0" w:rsidP="00F578B0">
            <w:pPr>
              <w:pStyle w:val="TableBodyText"/>
            </w:pPr>
          </w:p>
          <w:p w:rsidR="00F578B0" w:rsidRDefault="001A7A6A" w:rsidP="00F578B0">
            <w:pPr>
              <w:pStyle w:val="TableBodyText"/>
            </w:pPr>
            <w:r>
              <w:t>40</w:t>
            </w:r>
          </w:p>
        </w:tc>
        <w:tc>
          <w:tcPr>
            <w:tcW w:w="361" w:type="pct"/>
            <w:tcBorders>
              <w:top w:val="single" w:sz="6" w:space="0" w:color="auto"/>
              <w:bottom w:val="single" w:sz="4" w:space="0" w:color="auto"/>
            </w:tcBorders>
          </w:tcPr>
          <w:p w:rsidR="00F578B0" w:rsidRDefault="00F578B0" w:rsidP="00F578B0">
            <w:pPr>
              <w:pStyle w:val="TableBodyText"/>
            </w:pPr>
          </w:p>
          <w:p w:rsidR="00F578B0" w:rsidRDefault="00E94D8E" w:rsidP="00F578B0">
            <w:pPr>
              <w:pStyle w:val="TableBodyText"/>
            </w:pPr>
            <w:r>
              <w:t>24</w:t>
            </w:r>
          </w:p>
        </w:tc>
        <w:tc>
          <w:tcPr>
            <w:tcW w:w="364" w:type="pct"/>
            <w:tcBorders>
              <w:top w:val="single" w:sz="6" w:space="0" w:color="auto"/>
              <w:bottom w:val="single" w:sz="4" w:space="0" w:color="auto"/>
            </w:tcBorders>
          </w:tcPr>
          <w:p w:rsidR="00F578B0" w:rsidRDefault="00F578B0" w:rsidP="00F578B0">
            <w:pPr>
              <w:pStyle w:val="TableBodyText"/>
            </w:pPr>
          </w:p>
          <w:p w:rsidR="00F578B0" w:rsidRDefault="00F47583" w:rsidP="00F578B0">
            <w:pPr>
              <w:pStyle w:val="TableBodyText"/>
            </w:pPr>
            <w:r>
              <w:t>6</w:t>
            </w:r>
          </w:p>
        </w:tc>
        <w:tc>
          <w:tcPr>
            <w:tcW w:w="361" w:type="pct"/>
            <w:tcBorders>
              <w:top w:val="single" w:sz="6" w:space="0" w:color="auto"/>
              <w:bottom w:val="single" w:sz="4" w:space="0" w:color="auto"/>
            </w:tcBorders>
          </w:tcPr>
          <w:p w:rsidR="00F578B0" w:rsidRDefault="00F578B0" w:rsidP="00F578B0">
            <w:pPr>
              <w:pStyle w:val="TableBodyText"/>
            </w:pPr>
          </w:p>
          <w:p w:rsidR="00F578B0" w:rsidRDefault="00F578B0" w:rsidP="00F578B0">
            <w:pPr>
              <w:pStyle w:val="TableBodyText"/>
            </w:pPr>
            <w:r>
              <w:t>3</w:t>
            </w:r>
          </w:p>
        </w:tc>
        <w:tc>
          <w:tcPr>
            <w:tcW w:w="325" w:type="pct"/>
            <w:tcBorders>
              <w:top w:val="single" w:sz="6" w:space="0" w:color="auto"/>
              <w:bottom w:val="single" w:sz="4" w:space="0" w:color="auto"/>
            </w:tcBorders>
          </w:tcPr>
          <w:p w:rsidR="00F578B0" w:rsidRDefault="00F578B0" w:rsidP="00F578B0">
            <w:pPr>
              <w:pStyle w:val="TableBodyText"/>
            </w:pPr>
          </w:p>
          <w:p w:rsidR="00F578B0" w:rsidRDefault="00CC3404" w:rsidP="00F578B0">
            <w:pPr>
              <w:pStyle w:val="TableBodyText"/>
            </w:pPr>
            <w:r>
              <w:t>2</w:t>
            </w:r>
          </w:p>
        </w:tc>
        <w:tc>
          <w:tcPr>
            <w:tcW w:w="328" w:type="pct"/>
            <w:tcBorders>
              <w:top w:val="single" w:sz="6" w:space="0" w:color="auto"/>
              <w:bottom w:val="single" w:sz="4" w:space="0" w:color="auto"/>
            </w:tcBorders>
          </w:tcPr>
          <w:p w:rsidR="00F578B0" w:rsidRDefault="00F578B0" w:rsidP="00F578B0">
            <w:pPr>
              <w:pStyle w:val="TableBodyText"/>
            </w:pPr>
          </w:p>
          <w:p w:rsidR="00F578B0" w:rsidRDefault="00F578B0" w:rsidP="00F578B0">
            <w:pPr>
              <w:pStyle w:val="TableBodyText"/>
            </w:pPr>
            <w:r>
              <w:t>7</w:t>
            </w:r>
          </w:p>
        </w:tc>
        <w:tc>
          <w:tcPr>
            <w:tcW w:w="333" w:type="pct"/>
            <w:tcBorders>
              <w:top w:val="single" w:sz="6" w:space="0" w:color="auto"/>
              <w:bottom w:val="single" w:sz="4" w:space="0" w:color="auto"/>
            </w:tcBorders>
          </w:tcPr>
          <w:p w:rsidR="00F578B0" w:rsidRDefault="00F578B0" w:rsidP="00F578B0">
            <w:pPr>
              <w:pStyle w:val="TableBodyText"/>
            </w:pPr>
          </w:p>
          <w:p w:rsidR="00F578B0" w:rsidRDefault="00154445" w:rsidP="00F578B0">
            <w:pPr>
              <w:pStyle w:val="TableBodyText"/>
            </w:pPr>
            <w:r>
              <w:t>7</w:t>
            </w:r>
          </w:p>
        </w:tc>
        <w:tc>
          <w:tcPr>
            <w:tcW w:w="279" w:type="pct"/>
            <w:tcBorders>
              <w:top w:val="single" w:sz="6" w:space="0" w:color="auto"/>
              <w:bottom w:val="single" w:sz="4" w:space="0" w:color="auto"/>
            </w:tcBorders>
          </w:tcPr>
          <w:p w:rsidR="00F578B0" w:rsidRDefault="00F578B0" w:rsidP="00F578B0">
            <w:pPr>
              <w:pStyle w:val="TableBodyText"/>
            </w:pPr>
          </w:p>
          <w:p w:rsidR="00F578B0" w:rsidRDefault="00F578B0" w:rsidP="00F578B0">
            <w:pPr>
              <w:pStyle w:val="TableBodyText"/>
            </w:pPr>
            <w:r>
              <w:t>3</w:t>
            </w:r>
          </w:p>
        </w:tc>
        <w:tc>
          <w:tcPr>
            <w:tcW w:w="389" w:type="pct"/>
            <w:tcBorders>
              <w:top w:val="single" w:sz="6" w:space="0" w:color="auto"/>
              <w:bottom w:val="single" w:sz="4" w:space="0" w:color="auto"/>
            </w:tcBorders>
          </w:tcPr>
          <w:p w:rsidR="00F578B0" w:rsidRPr="00F578B0" w:rsidRDefault="00F578B0" w:rsidP="00F578B0">
            <w:pPr>
              <w:pStyle w:val="TableBodyText"/>
              <w:rPr>
                <w:b/>
              </w:rPr>
            </w:pPr>
          </w:p>
          <w:p w:rsidR="00F578B0" w:rsidRPr="00F578B0" w:rsidRDefault="00F47583" w:rsidP="00D33603">
            <w:pPr>
              <w:pStyle w:val="TableBodyText"/>
              <w:rPr>
                <w:b/>
                <w:i/>
              </w:rPr>
            </w:pPr>
            <w:r w:rsidRPr="00F578B0">
              <w:rPr>
                <w:b/>
              </w:rPr>
              <w:t>1</w:t>
            </w:r>
            <w:r>
              <w:rPr>
                <w:b/>
              </w:rPr>
              <w:t>8</w:t>
            </w:r>
            <w:r w:rsidR="00D33603">
              <w:rPr>
                <w:b/>
              </w:rPr>
              <w:t>2</w:t>
            </w:r>
          </w:p>
        </w:tc>
      </w:tr>
    </w:tbl>
    <w:p w:rsidR="00E87E40" w:rsidRDefault="00345286" w:rsidP="00345286">
      <w:pPr>
        <w:pStyle w:val="BodyText"/>
      </w:pPr>
      <w:r>
        <w:t xml:space="preserve">To improve comparability across jurisdictions, consultation RISs for jurisdictions with two-stage RIS processes were excluded from the analysis. Hence, only the final RISs for COAG, Western Australia, and Queensland were included. However, </w:t>
      </w:r>
      <w:r w:rsidR="005514B0">
        <w:t xml:space="preserve">for New South Wales, Victoria and Tasmania, </w:t>
      </w:r>
      <w:r>
        <w:t xml:space="preserve">the analysis includes consultation RISs </w:t>
      </w:r>
      <w:r w:rsidR="005514B0">
        <w:t>as this</w:t>
      </w:r>
      <w:r>
        <w:t xml:space="preserve"> was the final document produced</w:t>
      </w:r>
      <w:r w:rsidR="005514B0">
        <w:t xml:space="preserve"> in the RIA process. T</w:t>
      </w:r>
      <w:r>
        <w:t>hat is, the</w:t>
      </w:r>
      <w:r w:rsidR="00B3201C">
        <w:t xml:space="preserve"> </w:t>
      </w:r>
      <w:r w:rsidR="00B3201C">
        <w:lastRenderedPageBreak/>
        <w:t>analysis in the</w:t>
      </w:r>
      <w:r>
        <w:t xml:space="preserve"> RIS was not </w:t>
      </w:r>
      <w:r w:rsidR="005514B0">
        <w:t>updated to include consultation outcomes</w:t>
      </w:r>
      <w:r>
        <w:t xml:space="preserve"> before it was given to decision makers</w:t>
      </w:r>
      <w:r w:rsidR="005514B0">
        <w:t>.</w:t>
      </w:r>
      <w:r>
        <w:t xml:space="preserve"> </w:t>
      </w:r>
    </w:p>
    <w:p w:rsidR="00345286" w:rsidRDefault="00345286" w:rsidP="00345286">
      <w:pPr>
        <w:pStyle w:val="BodyText"/>
      </w:pPr>
      <w:r>
        <w:t xml:space="preserve">All the RISs examined are publicly available, with the exception of three RISs for the Northern Territory — which were made available to the Commission during the course of the study. Hence, the analysis excludes RISs for primary legislation for those jurisdictions where these are not made public — namely </w:t>
      </w:r>
      <w:proofErr w:type="spellStart"/>
      <w:r>
        <w:t>BIAs</w:t>
      </w:r>
      <w:proofErr w:type="spellEnd"/>
      <w:r>
        <w:t xml:space="preserve"> in Victoria,</w:t>
      </w:r>
      <w:r w:rsidR="00BC5E87">
        <w:t xml:space="preserve"> some </w:t>
      </w:r>
      <w:proofErr w:type="spellStart"/>
      <w:r w:rsidR="00BC5E87">
        <w:t>BRSs</w:t>
      </w:r>
      <w:proofErr w:type="spellEnd"/>
      <w:r w:rsidR="00BC5E87">
        <w:t xml:space="preserve"> in New South Wales,</w:t>
      </w:r>
      <w:r>
        <w:t xml:space="preserve"> final </w:t>
      </w:r>
      <w:proofErr w:type="spellStart"/>
      <w:r>
        <w:t>RASs</w:t>
      </w:r>
      <w:proofErr w:type="spellEnd"/>
      <w:r>
        <w:t xml:space="preserve"> in Queensland and most RISs</w:t>
      </w:r>
      <w:r w:rsidR="00B3201C">
        <w:t xml:space="preserve"> for primary legislation</w:t>
      </w:r>
      <w:r>
        <w:t xml:space="preserve"> in the ACT.</w:t>
      </w:r>
    </w:p>
    <w:p w:rsidR="007A5F3C" w:rsidRDefault="00D95F6A" w:rsidP="003A763C">
      <w:pPr>
        <w:pStyle w:val="BodyText"/>
      </w:pPr>
      <w:r>
        <w:t>RISs</w:t>
      </w:r>
      <w:r w:rsidR="009A1041">
        <w:t xml:space="preserve"> covered a wide range of subject areas — including the environment</w:t>
      </w:r>
      <w:r w:rsidR="00534AEF">
        <w:t xml:space="preserve"> and energy</w:t>
      </w:r>
      <w:r w:rsidR="009A1041">
        <w:t xml:space="preserve">, </w:t>
      </w:r>
      <w:r w:rsidR="00534AEF">
        <w:t xml:space="preserve">transport, </w:t>
      </w:r>
      <w:r w:rsidR="009A1041">
        <w:t xml:space="preserve">primary industries, </w:t>
      </w:r>
      <w:r w:rsidR="0098207C">
        <w:t>legal and financial, health and building</w:t>
      </w:r>
      <w:r w:rsidR="009A1041">
        <w:t xml:space="preserve"> (</w:t>
      </w:r>
      <w:r w:rsidR="0098207C">
        <w:t>figure </w:t>
      </w:r>
      <w:proofErr w:type="spellStart"/>
      <w:r w:rsidR="00830A3B">
        <w:t>E.1</w:t>
      </w:r>
      <w:proofErr w:type="spellEnd"/>
      <w:r w:rsidR="009A1041">
        <w:t>).</w:t>
      </w:r>
      <w:r>
        <w:t xml:space="preserve"> </w:t>
      </w:r>
      <w:r w:rsidR="007A5F3C">
        <w:t>The RISs examined also covered a number of different types of regulatory instruments — including both new and amending bills and regulations as well as some quasi</w:t>
      </w:r>
      <w:r w:rsidR="00007069">
        <w:t xml:space="preserve"> </w:t>
      </w:r>
      <w:r w:rsidR="007A5F3C">
        <w:t>regulation. A number of RISs for the remaking of regulations subject to sunsetting or staged repeal were also examined</w:t>
      </w:r>
      <w:r w:rsidR="000C7362">
        <w:t xml:space="preserve">, however </w:t>
      </w:r>
      <w:r w:rsidR="00DF3FDE">
        <w:t xml:space="preserve">by far </w:t>
      </w:r>
      <w:r w:rsidR="000C7362">
        <w:t>the largest category of instruments was amending regulation</w:t>
      </w:r>
      <w:r w:rsidR="007A5F3C">
        <w:t xml:space="preserve"> (figure </w:t>
      </w:r>
      <w:proofErr w:type="spellStart"/>
      <w:r w:rsidR="00830A3B">
        <w:t>E.2</w:t>
      </w:r>
      <w:proofErr w:type="spellEnd"/>
      <w:r w:rsidR="007A5F3C">
        <w:t>).</w:t>
      </w:r>
    </w:p>
    <w:p w:rsidR="009A1041" w:rsidRDefault="009A1041" w:rsidP="00C4255C">
      <w:pPr>
        <w:pStyle w:val="FigureTitle"/>
      </w:pPr>
      <w:r>
        <w:rPr>
          <w:b w:val="0"/>
        </w:rPr>
        <w:t xml:space="preserve">Figure </w:t>
      </w:r>
      <w:bookmarkStart w:id="6" w:name="OLE_LINK2"/>
      <w:proofErr w:type="spellStart"/>
      <w:r w:rsidR="005C790B">
        <w:rPr>
          <w:b w:val="0"/>
        </w:rPr>
        <w:t>E.</w:t>
      </w:r>
      <w:r w:rsidR="00325D70">
        <w:rPr>
          <w:b w:val="0"/>
          <w:noProof/>
        </w:rPr>
        <w:t>1</w:t>
      </w:r>
      <w:bookmarkEnd w:id="6"/>
      <w:proofErr w:type="spellEnd"/>
      <w:r>
        <w:tab/>
      </w:r>
      <w:proofErr w:type="spellStart"/>
      <w:r>
        <w:t>RIS</w:t>
      </w:r>
      <w:r w:rsidR="000C7362">
        <w:t>s</w:t>
      </w:r>
      <w:proofErr w:type="spellEnd"/>
      <w:r w:rsidR="000C7362">
        <w:t xml:space="preserve"> examined by area of regulation</w:t>
      </w:r>
    </w:p>
    <w:p w:rsidR="000A6E34" w:rsidRDefault="006E19E2" w:rsidP="000A6E34">
      <w:pPr>
        <w:pStyle w:val="Subtitle"/>
      </w:pPr>
      <w:r>
        <w:t>Number</w:t>
      </w:r>
      <w:r w:rsidR="000A6E34">
        <w:t xml:space="preserve"> of RISs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A1041" w:rsidTr="001F514D">
        <w:tc>
          <w:tcPr>
            <w:tcW w:w="8777" w:type="dxa"/>
          </w:tcPr>
          <w:p w:rsidR="009A1041" w:rsidRDefault="001F514D">
            <w:pPr>
              <w:pStyle w:val="Figure"/>
            </w:pPr>
            <w:r w:rsidRPr="001F514D">
              <w:rPr>
                <w:noProof/>
              </w:rPr>
              <w:drawing>
                <wp:inline distT="0" distB="0" distL="0" distR="0" wp14:anchorId="7990B41B" wp14:editId="3F5A6645">
                  <wp:extent cx="5400000" cy="2880000"/>
                  <wp:effectExtent l="0" t="0" r="0" b="0"/>
                  <wp:docPr id="1" name="Chart 1" descr="Figure E.1 RISs examined by area of regulation. This chart shows what industry categories each of the examined RISs fell under from most frequent – environment and energy to the least frequent – food."/>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98207C" w:rsidRDefault="00D318B0" w:rsidP="0098207C">
      <w:pPr>
        <w:pStyle w:val="Note"/>
      </w:pPr>
      <w:r>
        <w:rPr>
          <w:rStyle w:val="NoteLabel"/>
        </w:rPr>
        <w:t>a</w:t>
      </w:r>
      <w:r w:rsidR="0098207C">
        <w:t xml:space="preserve"> ‘Other’ comprises a mix of mainly social regulation</w:t>
      </w:r>
      <w:r w:rsidR="005118A3">
        <w:t>. Examples include</w:t>
      </w:r>
      <w:r w:rsidR="00E03A33">
        <w:t xml:space="preserve"> regulations</w:t>
      </w:r>
      <w:r w:rsidR="0098207C">
        <w:t xml:space="preserve"> </w:t>
      </w:r>
      <w:r w:rsidR="00E03A33">
        <w:t>affecting the not-for-profit sector, childcare centres, caravan parks, student visas,</w:t>
      </w:r>
      <w:r w:rsidR="0098207C">
        <w:t xml:space="preserve"> protection of exhibited animals</w:t>
      </w:r>
      <w:r w:rsidR="00E03A33">
        <w:t xml:space="preserve"> and research using animals.</w:t>
      </w:r>
      <w:r w:rsidR="0098207C">
        <w:t xml:space="preserve"> </w:t>
      </w:r>
    </w:p>
    <w:p w:rsidR="00F6402B" w:rsidRDefault="00F6402B" w:rsidP="00F6402B">
      <w:pPr>
        <w:pStyle w:val="Source"/>
      </w:pPr>
      <w:r>
        <w:rPr>
          <w:i/>
        </w:rPr>
        <w:t>Data source</w:t>
      </w:r>
      <w:r w:rsidRPr="00167F06">
        <w:t xml:space="preserve">: </w:t>
      </w:r>
      <w:r>
        <w:t>PC RIS analysis.</w:t>
      </w:r>
    </w:p>
    <w:p w:rsidR="009A1041" w:rsidRDefault="009A1041">
      <w:pPr>
        <w:pStyle w:val="FigureTitle"/>
      </w:pPr>
      <w:r>
        <w:rPr>
          <w:b w:val="0"/>
        </w:rPr>
        <w:lastRenderedPageBreak/>
        <w:t xml:space="preserve">Figure </w:t>
      </w:r>
      <w:bookmarkStart w:id="7" w:name="OLE_LINK3"/>
      <w:proofErr w:type="spellStart"/>
      <w:r w:rsidR="005C790B">
        <w:rPr>
          <w:b w:val="0"/>
        </w:rPr>
        <w:t>E.</w:t>
      </w:r>
      <w:r w:rsidR="00325D70">
        <w:rPr>
          <w:b w:val="0"/>
          <w:noProof/>
        </w:rPr>
        <w:t>2</w:t>
      </w:r>
      <w:bookmarkEnd w:id="7"/>
      <w:proofErr w:type="spellEnd"/>
      <w:r>
        <w:tab/>
      </w:r>
      <w:r w:rsidR="007A5F3C">
        <w:t>T</w:t>
      </w:r>
      <w:r>
        <w:t>ype of regulatory instruments</w:t>
      </w:r>
      <w:r w:rsidR="007A5F3C">
        <w:t xml:space="preserve"> </w:t>
      </w:r>
      <w:r w:rsidR="006E19E2">
        <w:t>in</w:t>
      </w:r>
      <w:r w:rsidR="007A5F3C">
        <w:t xml:space="preserve"> examined</w:t>
      </w:r>
      <w:r w:rsidR="006E19E2">
        <w:t xml:space="preserve"> RISs</w:t>
      </w:r>
    </w:p>
    <w:p w:rsidR="009A1041" w:rsidRDefault="006E19E2">
      <w:pPr>
        <w:pStyle w:val="Subtitle"/>
      </w:pPr>
      <w:r>
        <w:t xml:space="preserve">Number </w:t>
      </w:r>
      <w:r w:rsidR="007A5F3C">
        <w:t>of instances</w:t>
      </w:r>
      <w:r w:rsidR="007A5F3C" w:rsidRPr="007A5F3C">
        <w:rPr>
          <w:rStyle w:val="NoteLabel"/>
          <w:szCs w:val="20"/>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A1041" w:rsidTr="001F514D">
        <w:tc>
          <w:tcPr>
            <w:tcW w:w="8777" w:type="dxa"/>
          </w:tcPr>
          <w:p w:rsidR="009A1041" w:rsidRDefault="001F514D">
            <w:pPr>
              <w:pStyle w:val="Figure"/>
            </w:pPr>
            <w:r w:rsidRPr="001F514D">
              <w:rPr>
                <w:noProof/>
              </w:rPr>
              <w:drawing>
                <wp:inline distT="0" distB="0" distL="0" distR="0" wp14:anchorId="0A1245A7" wp14:editId="7A06D04F">
                  <wp:extent cx="5400000" cy="2891723"/>
                  <wp:effectExtent l="0" t="0" r="0" b="4445"/>
                  <wp:docPr id="2" name="Chart 2" descr="Figure E.2 Type of regulatory instruments in examined RISs. This chart shows what regulatory instrument category each of the examined RISs fell under, namely a new bill, amending bill, new regulation, amending regulation, other, remaking sunsetting instrument or unspecified."/>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9A1041" w:rsidRDefault="009A1041">
      <w:pPr>
        <w:pStyle w:val="Note"/>
      </w:pPr>
      <w:proofErr w:type="spellStart"/>
      <w:r>
        <w:rPr>
          <w:rStyle w:val="NoteLabel"/>
        </w:rPr>
        <w:t>a</w:t>
      </w:r>
      <w:proofErr w:type="spellEnd"/>
      <w:r>
        <w:t xml:space="preserve"> </w:t>
      </w:r>
      <w:r w:rsidR="007A5F3C">
        <w:t xml:space="preserve">Some </w:t>
      </w:r>
      <w:proofErr w:type="spellStart"/>
      <w:r w:rsidR="007A5F3C">
        <w:t>RISs</w:t>
      </w:r>
      <w:proofErr w:type="spellEnd"/>
      <w:r w:rsidR="007A5F3C">
        <w:t xml:space="preserve"> </w:t>
      </w:r>
      <w:r w:rsidR="00D95F6A">
        <w:t>covered</w:t>
      </w:r>
      <w:r w:rsidR="007A5F3C">
        <w:t xml:space="preserve"> more than one category</w:t>
      </w:r>
      <w:r>
        <w:t>.</w:t>
      </w:r>
    </w:p>
    <w:p w:rsidR="007A5F3C" w:rsidRDefault="007A5F3C" w:rsidP="007A5F3C">
      <w:pPr>
        <w:pStyle w:val="Source"/>
      </w:pPr>
      <w:r>
        <w:rPr>
          <w:i/>
        </w:rPr>
        <w:t>Data source</w:t>
      </w:r>
      <w:r w:rsidRPr="00167F06">
        <w:t xml:space="preserve">: </w:t>
      </w:r>
      <w:r>
        <w:t>PC RIS analysis.</w:t>
      </w:r>
    </w:p>
    <w:p w:rsidR="007A5F3C" w:rsidRDefault="007A5F3C" w:rsidP="007A5F3C">
      <w:pPr>
        <w:pStyle w:val="BodyText"/>
      </w:pPr>
      <w:r>
        <w:t xml:space="preserve">RISs also varied substantially in terms of </w:t>
      </w:r>
      <w:r w:rsidR="00662819">
        <w:t xml:space="preserve">the </w:t>
      </w:r>
      <w:r>
        <w:t xml:space="preserve">significance of the issues examined, </w:t>
      </w:r>
      <w:r w:rsidR="002F2102">
        <w:t xml:space="preserve">ranging </w:t>
      </w:r>
      <w:r>
        <w:t xml:space="preserve">from regulatory proposals with </w:t>
      </w:r>
      <w:r w:rsidR="00435755">
        <w:t xml:space="preserve">highly significant and </w:t>
      </w:r>
      <w:r w:rsidR="002F2102">
        <w:t>widespread economic i</w:t>
      </w:r>
      <w:r>
        <w:t xml:space="preserve">mpacts </w:t>
      </w:r>
      <w:r w:rsidR="00662819">
        <w:t>to</w:t>
      </w:r>
      <w:r w:rsidR="002F2102">
        <w:t xml:space="preserve"> those</w:t>
      </w:r>
      <w:r>
        <w:t xml:space="preserve"> with </w:t>
      </w:r>
      <w:r w:rsidR="002F2102">
        <w:t xml:space="preserve">less significant (though still appreciable) </w:t>
      </w:r>
      <w:r>
        <w:t>impacts</w:t>
      </w:r>
      <w:r w:rsidR="002F2102">
        <w:t xml:space="preserve"> </w:t>
      </w:r>
      <w:r w:rsidR="00662819">
        <w:t>and/or</w:t>
      </w:r>
      <w:r w:rsidR="002F2102">
        <w:t xml:space="preserve"> narrower</w:t>
      </w:r>
      <w:r w:rsidR="00662819">
        <w:t xml:space="preserve"> impacts</w:t>
      </w:r>
      <w:r>
        <w:t>.</w:t>
      </w:r>
    </w:p>
    <w:p w:rsidR="00395564" w:rsidRDefault="00105B5F" w:rsidP="002F2102">
      <w:pPr>
        <w:pStyle w:val="Heading3"/>
        <w:tabs>
          <w:tab w:val="center" w:pos="4394"/>
        </w:tabs>
      </w:pPr>
      <w:r>
        <w:t>Methodology</w:t>
      </w:r>
    </w:p>
    <w:p w:rsidR="002B4A38" w:rsidRDefault="003A763C" w:rsidP="00C710ED">
      <w:pPr>
        <w:pStyle w:val="BodyText"/>
      </w:pPr>
      <w:r>
        <w:t xml:space="preserve">As far as possible, objective indicators of the presence (or absence) </w:t>
      </w:r>
      <w:r w:rsidR="00662819">
        <w:t xml:space="preserve">in RISs </w:t>
      </w:r>
      <w:r>
        <w:t xml:space="preserve">of selected analytical features were used. </w:t>
      </w:r>
      <w:r w:rsidR="00C710ED">
        <w:t xml:space="preserve">The indicators chosen </w:t>
      </w:r>
      <w:r w:rsidR="002F2102">
        <w:t>were drawn from</w:t>
      </w:r>
      <w:r w:rsidR="00C710ED" w:rsidRPr="00105B5F">
        <w:t xml:space="preserve"> criteria developed by Hahn and Dudley (2007) </w:t>
      </w:r>
      <w:r w:rsidR="00662819">
        <w:t>and various other</w:t>
      </w:r>
      <w:r w:rsidR="00C710ED" w:rsidRPr="00105B5F">
        <w:t xml:space="preserve"> studies</w:t>
      </w:r>
      <w:r w:rsidR="00662819">
        <w:t>,</w:t>
      </w:r>
      <w:r w:rsidR="00C710ED" w:rsidRPr="00105B5F">
        <w:t xml:space="preserve"> including </w:t>
      </w:r>
      <w:proofErr w:type="spellStart"/>
      <w:r w:rsidR="002B4A38">
        <w:t>Renda</w:t>
      </w:r>
      <w:proofErr w:type="spellEnd"/>
      <w:r w:rsidR="002B4A38">
        <w:t xml:space="preserve"> (2006), </w:t>
      </w:r>
      <w:proofErr w:type="spellStart"/>
      <w:r w:rsidR="002B4A38">
        <w:t>NAO</w:t>
      </w:r>
      <w:proofErr w:type="spellEnd"/>
      <w:r w:rsidR="002B4A38">
        <w:t xml:space="preserve"> (</w:t>
      </w:r>
      <w:proofErr w:type="spellStart"/>
      <w:r w:rsidR="002B4A38">
        <w:t>2010</w:t>
      </w:r>
      <w:r w:rsidR="00AC24B1">
        <w:t>a</w:t>
      </w:r>
      <w:proofErr w:type="spellEnd"/>
      <w:r w:rsidR="002B4A38">
        <w:t xml:space="preserve">), </w:t>
      </w:r>
      <w:proofErr w:type="spellStart"/>
      <w:r w:rsidR="002B4A38">
        <w:t>Cecot</w:t>
      </w:r>
      <w:proofErr w:type="spellEnd"/>
      <w:r w:rsidR="009F68C7">
        <w:t xml:space="preserve"> </w:t>
      </w:r>
      <w:r w:rsidR="002B4A38">
        <w:t>et al. (2008)</w:t>
      </w:r>
      <w:r w:rsidR="008D0F5E">
        <w:t xml:space="preserve">, </w:t>
      </w:r>
      <w:proofErr w:type="spellStart"/>
      <w:r w:rsidR="008D0F5E">
        <w:t>Ellig</w:t>
      </w:r>
      <w:proofErr w:type="spellEnd"/>
      <w:r w:rsidR="008D0F5E">
        <w:t xml:space="preserve"> and </w:t>
      </w:r>
      <w:proofErr w:type="spellStart"/>
      <w:r w:rsidR="008D0F5E">
        <w:t>Mclaughlin</w:t>
      </w:r>
      <w:proofErr w:type="spellEnd"/>
      <w:r w:rsidR="008D0F5E">
        <w:t xml:space="preserve"> (2010)</w:t>
      </w:r>
      <w:r w:rsidR="002B4A38">
        <w:t xml:space="preserve"> and the European Court of Auditors (2010).</w:t>
      </w:r>
    </w:p>
    <w:p w:rsidR="004953D8" w:rsidRDefault="002B4A38" w:rsidP="002F099D">
      <w:pPr>
        <w:pStyle w:val="BodyText"/>
      </w:pPr>
      <w:r>
        <w:t>The</w:t>
      </w:r>
      <w:r w:rsidR="00105B5F">
        <w:t xml:space="preserve"> </w:t>
      </w:r>
      <w:r w:rsidR="009A1041">
        <w:t xml:space="preserve">indicators </w:t>
      </w:r>
      <w:r>
        <w:t xml:space="preserve">used in this study </w:t>
      </w:r>
      <w:r w:rsidR="009A1041">
        <w:t>provide</w:t>
      </w:r>
      <w:r w:rsidR="00105B5F">
        <w:t xml:space="preserve"> descriptive information on the broad characteristics and coverage </w:t>
      </w:r>
      <w:r w:rsidR="00662819">
        <w:t>of</w:t>
      </w:r>
      <w:r w:rsidR="00105B5F">
        <w:t xml:space="preserve"> </w:t>
      </w:r>
      <w:r w:rsidR="000A6E34">
        <w:t>the RISs examined</w:t>
      </w:r>
      <w:r w:rsidR="000908FD">
        <w:t xml:space="preserve">. </w:t>
      </w:r>
      <w:r w:rsidR="004A10ED">
        <w:t>The i</w:t>
      </w:r>
      <w:r w:rsidR="000A6E34">
        <w:t>ndicators cover</w:t>
      </w:r>
      <w:r w:rsidR="000908FD">
        <w:t xml:space="preserve"> key elements of RIA including:</w:t>
      </w:r>
    </w:p>
    <w:p w:rsidR="004953D8" w:rsidRDefault="000A6E34" w:rsidP="004953D8">
      <w:pPr>
        <w:pStyle w:val="ListNumber"/>
      </w:pPr>
      <w:r w:rsidRPr="004953D8">
        <w:rPr>
          <w:i/>
        </w:rPr>
        <w:t>P</w:t>
      </w:r>
      <w:r w:rsidR="004953D8" w:rsidRPr="004953D8">
        <w:rPr>
          <w:i/>
        </w:rPr>
        <w:t>roblem</w:t>
      </w:r>
      <w:r>
        <w:rPr>
          <w:i/>
        </w:rPr>
        <w:t xml:space="preserve"> identification</w:t>
      </w:r>
      <w:r w:rsidR="004953D8">
        <w:t xml:space="preserve"> — including </w:t>
      </w:r>
      <w:r w:rsidR="006F7681">
        <w:t>the discussion of why government intervention was required</w:t>
      </w:r>
      <w:r w:rsidR="004953D8">
        <w:t xml:space="preserve"> and </w:t>
      </w:r>
      <w:r w:rsidR="006F7681">
        <w:t>whether aspects of the problem were quantified</w:t>
      </w:r>
      <w:r w:rsidR="000908FD">
        <w:t xml:space="preserve"> </w:t>
      </w:r>
      <w:r w:rsidR="00FC3C84">
        <w:t>(table </w:t>
      </w:r>
      <w:proofErr w:type="spellStart"/>
      <w:r w:rsidR="00830A3B">
        <w:t>E.2</w:t>
      </w:r>
      <w:proofErr w:type="spellEnd"/>
      <w:r w:rsidR="00830A3B">
        <w:t>)</w:t>
      </w:r>
    </w:p>
    <w:p w:rsidR="004953D8" w:rsidRDefault="004953D8" w:rsidP="004953D8">
      <w:pPr>
        <w:pStyle w:val="ListNumber"/>
      </w:pPr>
      <w:r w:rsidRPr="004953D8">
        <w:rPr>
          <w:i/>
        </w:rPr>
        <w:lastRenderedPageBreak/>
        <w:t>options</w:t>
      </w:r>
      <w:r>
        <w:t xml:space="preserve"> — including the number and breadth</w:t>
      </w:r>
      <w:r w:rsidR="006F7681">
        <w:t xml:space="preserve"> </w:t>
      </w:r>
      <w:r>
        <w:t xml:space="preserve">of options </w:t>
      </w:r>
      <w:r w:rsidR="006F7681">
        <w:t xml:space="preserve">(including </w:t>
      </w:r>
      <w:r w:rsidR="005210B4">
        <w:t>non</w:t>
      </w:r>
      <w:r w:rsidR="005210B4">
        <w:noBreakHyphen/>
      </w:r>
      <w:r w:rsidR="006F7681">
        <w:t xml:space="preserve">regulatory options) </w:t>
      </w:r>
      <w:r>
        <w:t>considered</w:t>
      </w:r>
    </w:p>
    <w:p w:rsidR="004953D8" w:rsidRDefault="004953D8" w:rsidP="004953D8">
      <w:pPr>
        <w:pStyle w:val="ListNumber"/>
      </w:pPr>
      <w:r w:rsidRPr="004953D8">
        <w:rPr>
          <w:i/>
        </w:rPr>
        <w:t>impact analysis</w:t>
      </w:r>
      <w:r>
        <w:t xml:space="preserve"> — including the types of impacts assessed, extent to which </w:t>
      </w:r>
      <w:r w:rsidR="00EF3AE0">
        <w:t xml:space="preserve">significant </w:t>
      </w:r>
      <w:r>
        <w:t xml:space="preserve">costs and benefits were quantified and monetised, whether costs and benefits were directly compared through calculation of a net benefit and whether discount rates and sensitivity analysis were used  </w:t>
      </w:r>
    </w:p>
    <w:p w:rsidR="006F7681" w:rsidRDefault="006F7681" w:rsidP="004953D8">
      <w:pPr>
        <w:pStyle w:val="ListNumber"/>
      </w:pPr>
      <w:r w:rsidRPr="006F7681">
        <w:rPr>
          <w:i/>
        </w:rPr>
        <w:t>consultation</w:t>
      </w:r>
      <w:r>
        <w:t xml:space="preserve"> — including how consultation was conducted</w:t>
      </w:r>
      <w:r w:rsidR="005210B4">
        <w:t xml:space="preserve">, the extent to which </w:t>
      </w:r>
      <w:r>
        <w:t xml:space="preserve">views of those consulted </w:t>
      </w:r>
      <w:r w:rsidR="00435755">
        <w:t>were</w:t>
      </w:r>
      <w:r>
        <w:t xml:space="preserve"> reflected in </w:t>
      </w:r>
      <w:r w:rsidR="005210B4">
        <w:t xml:space="preserve">RISs, </w:t>
      </w:r>
      <w:r>
        <w:t xml:space="preserve">and how </w:t>
      </w:r>
      <w:r w:rsidR="00435755">
        <w:t>stakeholder views</w:t>
      </w:r>
      <w:r>
        <w:t xml:space="preserve"> were taken into account</w:t>
      </w:r>
    </w:p>
    <w:p w:rsidR="006F7681" w:rsidRDefault="006F7681" w:rsidP="004953D8">
      <w:pPr>
        <w:pStyle w:val="ListNumber"/>
      </w:pPr>
      <w:r w:rsidRPr="006F7681">
        <w:rPr>
          <w:i/>
        </w:rPr>
        <w:t>implementation and review</w:t>
      </w:r>
      <w:r>
        <w:t xml:space="preserve"> — including information on how the proposal was to be implemented, enforced and monitored, use of risk-based approaches to design and enforcement, details on </w:t>
      </w:r>
      <w:r w:rsidR="0097566D">
        <w:t xml:space="preserve">ex post review </w:t>
      </w:r>
      <w:r w:rsidR="004A10ED">
        <w:t xml:space="preserve">timing and governance </w:t>
      </w:r>
      <w:r>
        <w:t>arrangements</w:t>
      </w:r>
    </w:p>
    <w:p w:rsidR="004953D8" w:rsidRDefault="006F7681" w:rsidP="004953D8">
      <w:pPr>
        <w:pStyle w:val="ListNumber"/>
      </w:pPr>
      <w:r>
        <w:rPr>
          <w:i/>
        </w:rPr>
        <w:t xml:space="preserve">other </w:t>
      </w:r>
      <w:r w:rsidRPr="006F7681">
        <w:t>—</w:t>
      </w:r>
      <w:r>
        <w:t xml:space="preserve"> including RIS length</w:t>
      </w:r>
      <w:r w:rsidR="00ED7BB4">
        <w:t xml:space="preserve"> and</w:t>
      </w:r>
      <w:r>
        <w:t xml:space="preserve"> whether an executive summary </w:t>
      </w:r>
      <w:r w:rsidR="000908FD">
        <w:t xml:space="preserve">was </w:t>
      </w:r>
      <w:r w:rsidR="005210B4">
        <w:t>included</w:t>
      </w:r>
      <w:r>
        <w:t xml:space="preserve">. </w:t>
      </w:r>
    </w:p>
    <w:p w:rsidR="002F099D" w:rsidRDefault="0096575C" w:rsidP="00EC7A53">
      <w:pPr>
        <w:pStyle w:val="BodyText"/>
      </w:pPr>
      <w:r>
        <w:t xml:space="preserve">Broadly speaking </w:t>
      </w:r>
      <w:r w:rsidR="008145C0">
        <w:t xml:space="preserve">the methodology can be characterised as </w:t>
      </w:r>
      <w:r w:rsidR="00F578B0">
        <w:t xml:space="preserve">a </w:t>
      </w:r>
      <w:r>
        <w:t>‘</w:t>
      </w:r>
      <w:r w:rsidR="008145C0">
        <w:t xml:space="preserve">RIS </w:t>
      </w:r>
      <w:r>
        <w:t>content analysis’ or</w:t>
      </w:r>
      <w:r w:rsidR="008145C0">
        <w:t xml:space="preserve"> </w:t>
      </w:r>
      <w:r>
        <w:t>‘scorecard’ approach</w:t>
      </w:r>
      <w:r w:rsidR="008145C0">
        <w:t xml:space="preserve">. </w:t>
      </w:r>
      <w:r w:rsidR="00FF0095">
        <w:t xml:space="preserve">No attempt was made to systematically measure or verify the </w:t>
      </w:r>
      <w:r w:rsidR="002F099D">
        <w:t>accuracy or appropriateness</w:t>
      </w:r>
      <w:r w:rsidR="00FF0095">
        <w:t xml:space="preserve"> of the analysis</w:t>
      </w:r>
      <w:r w:rsidR="002F099D">
        <w:t xml:space="preserve"> (including assumptions, methodologies and calculations)</w:t>
      </w:r>
      <w:r w:rsidR="00FF0095">
        <w:t xml:space="preserve"> present in RISs. To do so would have </w:t>
      </w:r>
      <w:r w:rsidR="003B7EB2">
        <w:t>replicat</w:t>
      </w:r>
      <w:r w:rsidR="00F6402B">
        <w:t>ed</w:t>
      </w:r>
      <w:r w:rsidR="003B7EB2">
        <w:t xml:space="preserve"> key elements </w:t>
      </w:r>
      <w:r w:rsidR="00F6402B">
        <w:t xml:space="preserve">of the </w:t>
      </w:r>
      <w:r w:rsidR="003B7EB2">
        <w:t>work of the regulatory oversight bodies. T</w:t>
      </w:r>
      <w:r w:rsidR="00FF0095">
        <w:t xml:space="preserve">he greater time </w:t>
      </w:r>
      <w:r w:rsidR="00F6402B">
        <w:t>that would be required to</w:t>
      </w:r>
      <w:r w:rsidR="00FF0095">
        <w:t xml:space="preserve"> assess each RIS</w:t>
      </w:r>
      <w:r w:rsidR="003B7EB2">
        <w:t xml:space="preserve"> in th</w:t>
      </w:r>
      <w:r w:rsidR="00F6402B">
        <w:t>at</w:t>
      </w:r>
      <w:r w:rsidR="003B7EB2">
        <w:t xml:space="preserve"> way, and the substantial information requirements </w:t>
      </w:r>
      <w:r w:rsidR="00A034CC">
        <w:t>needed to do it well, would have meant a</w:t>
      </w:r>
      <w:r w:rsidR="00FF0095">
        <w:t xml:space="preserve"> substantial reduction in the overall number of RISs </w:t>
      </w:r>
      <w:r w:rsidR="00F578B0">
        <w:t xml:space="preserve">that could be </w:t>
      </w:r>
      <w:r w:rsidR="00FF0095">
        <w:t>examined</w:t>
      </w:r>
      <w:r w:rsidR="00EC7A53">
        <w:t xml:space="preserve"> for this study</w:t>
      </w:r>
      <w:r w:rsidR="00FF0095">
        <w:t xml:space="preserve">. </w:t>
      </w:r>
    </w:p>
    <w:p w:rsidR="00B964B7" w:rsidRDefault="00EA5ECC" w:rsidP="00FF0095">
      <w:pPr>
        <w:pStyle w:val="BodyText"/>
      </w:pPr>
      <w:r>
        <w:t xml:space="preserve">While the indicators were selected </w:t>
      </w:r>
      <w:r w:rsidR="00F578B0">
        <w:t>to be</w:t>
      </w:r>
      <w:r>
        <w:t xml:space="preserve"> as objective as possible, a</w:t>
      </w:r>
      <w:r w:rsidR="00FF0095">
        <w:t xml:space="preserve"> degree of subjectivity in the analysis</w:t>
      </w:r>
      <w:r>
        <w:t xml:space="preserve"> </w:t>
      </w:r>
      <w:r w:rsidR="005B53E1">
        <w:t xml:space="preserve">was sometimes </w:t>
      </w:r>
      <w:r>
        <w:t>unavoidable</w:t>
      </w:r>
      <w:r w:rsidR="00FF0095">
        <w:t xml:space="preserve">. </w:t>
      </w:r>
      <w:r w:rsidR="008D0F5E">
        <w:t>In some cases, d</w:t>
      </w:r>
      <w:r w:rsidR="00B964B7">
        <w:t xml:space="preserve">etermining the presence or absence of </w:t>
      </w:r>
      <w:r w:rsidR="005B53E1">
        <w:t>an element</w:t>
      </w:r>
      <w:r w:rsidR="00B964B7">
        <w:t xml:space="preserve"> was a simple ‘yes/no’ decision (such as whether a net benefit was calculated or a discount rate used). However, in other cases such results were supplemented with additional information on the comprehensiveness of the analysis. In these cases, j</w:t>
      </w:r>
      <w:r w:rsidR="00FF0095">
        <w:t xml:space="preserve">udgements </w:t>
      </w:r>
      <w:r w:rsidR="00B964B7">
        <w:t>had to be</w:t>
      </w:r>
      <w:r>
        <w:t xml:space="preserve"> </w:t>
      </w:r>
      <w:r w:rsidR="00FF0095">
        <w:t xml:space="preserve">made </w:t>
      </w:r>
      <w:r>
        <w:t>on</w:t>
      </w:r>
      <w:r w:rsidR="00FF0095">
        <w:t xml:space="preserve"> the </w:t>
      </w:r>
      <w:r w:rsidR="00FF0095" w:rsidRPr="00B964B7">
        <w:rPr>
          <w:i/>
        </w:rPr>
        <w:t>extent</w:t>
      </w:r>
      <w:r w:rsidR="00FF0095">
        <w:t xml:space="preserve"> to which particular analytical features </w:t>
      </w:r>
      <w:r>
        <w:t>were</w:t>
      </w:r>
      <w:r w:rsidR="007932CD">
        <w:t xml:space="preserve"> present</w:t>
      </w:r>
      <w:r w:rsidR="00672789">
        <w:t xml:space="preserve"> (table </w:t>
      </w:r>
      <w:proofErr w:type="spellStart"/>
      <w:r w:rsidR="00830A3B">
        <w:t>E.2</w:t>
      </w:r>
      <w:proofErr w:type="spellEnd"/>
      <w:r w:rsidR="00672789">
        <w:t>)</w:t>
      </w:r>
      <w:r w:rsidR="007932CD">
        <w:t xml:space="preserve">. </w:t>
      </w:r>
    </w:p>
    <w:p w:rsidR="00200FD5" w:rsidRDefault="00D83E3B" w:rsidP="00FF0095">
      <w:pPr>
        <w:pStyle w:val="BodyText"/>
      </w:pPr>
      <w:r>
        <w:t>To assist in making such judgements as consistently as possible across the full set of RISs examined, and to keep the levels of subjectivity within acceptable bounds, t</w:t>
      </w:r>
      <w:r w:rsidR="00007069">
        <w:t xml:space="preserve">he </w:t>
      </w:r>
      <w:r w:rsidR="000A6C4E">
        <w:t>Commission employed a series of categories to reflect the different levels of content in RISs</w:t>
      </w:r>
      <w:r>
        <w:t xml:space="preserve">. </w:t>
      </w:r>
      <w:r w:rsidR="00200FD5">
        <w:t xml:space="preserve">For example, in </w:t>
      </w:r>
      <w:r w:rsidR="00B964B7">
        <w:t xml:space="preserve">assessing </w:t>
      </w:r>
      <w:r w:rsidR="007E2DE6">
        <w:t>the extent to which</w:t>
      </w:r>
      <w:r w:rsidR="00200FD5">
        <w:t xml:space="preserve"> costs </w:t>
      </w:r>
      <w:r w:rsidR="007E2DE6">
        <w:t>were quantified</w:t>
      </w:r>
      <w:r w:rsidR="00200FD5">
        <w:t xml:space="preserve">, the Commission </w:t>
      </w:r>
      <w:r w:rsidR="00B964B7">
        <w:t>made assessments as to whether analysis present</w:t>
      </w:r>
      <w:r w:rsidR="007E2DE6">
        <w:t xml:space="preserve"> in RISs</w:t>
      </w:r>
      <w:r w:rsidR="00B964B7">
        <w:t xml:space="preserve"> </w:t>
      </w:r>
      <w:r w:rsidR="007E2DE6">
        <w:t>involved</w:t>
      </w:r>
      <w:r w:rsidR="00B964B7">
        <w:t>:</w:t>
      </w:r>
    </w:p>
    <w:p w:rsidR="007932CD" w:rsidRDefault="00435755" w:rsidP="00E027F8">
      <w:pPr>
        <w:pStyle w:val="ListNumber2"/>
        <w:spacing w:before="80" w:line="280" w:lineRule="atLeast"/>
      </w:pPr>
      <w:r>
        <w:t>a</w:t>
      </w:r>
      <w:r w:rsidR="007E2DE6">
        <w:t xml:space="preserve"> s</w:t>
      </w:r>
      <w:r w:rsidR="00B964B7">
        <w:t>olely qualitative discussion</w:t>
      </w:r>
    </w:p>
    <w:p w:rsidR="00B964B7" w:rsidRDefault="00435755" w:rsidP="00E027F8">
      <w:pPr>
        <w:pStyle w:val="ListNumber2"/>
        <w:spacing w:before="80" w:line="280" w:lineRule="atLeast"/>
      </w:pPr>
      <w:r>
        <w:t>v</w:t>
      </w:r>
      <w:r w:rsidR="00B964B7">
        <w:t>ery basic quantification</w:t>
      </w:r>
    </w:p>
    <w:p w:rsidR="00B964B7" w:rsidRDefault="00435755" w:rsidP="00E027F8">
      <w:pPr>
        <w:pStyle w:val="ListNumber2"/>
        <w:spacing w:before="80" w:line="280" w:lineRule="atLeast"/>
      </w:pPr>
      <w:r>
        <w:t>q</w:t>
      </w:r>
      <w:r w:rsidR="00B964B7">
        <w:t>uantification of some aspects, but with gaps</w:t>
      </w:r>
    </w:p>
    <w:p w:rsidR="00B964B7" w:rsidRDefault="00435755" w:rsidP="00E027F8">
      <w:pPr>
        <w:pStyle w:val="ListNumber2"/>
        <w:spacing w:before="80" w:line="280" w:lineRule="atLeast"/>
      </w:pPr>
      <w:r>
        <w:t>e</w:t>
      </w:r>
      <w:r w:rsidR="00B964B7">
        <w:t>xtensive quantification for most/all aspects</w:t>
      </w:r>
    </w:p>
    <w:p w:rsidR="007E2DE6" w:rsidRDefault="00D83E3B" w:rsidP="00FF0095">
      <w:pPr>
        <w:pStyle w:val="BodyText"/>
      </w:pPr>
      <w:r>
        <w:lastRenderedPageBreak/>
        <w:t>Further, in</w:t>
      </w:r>
      <w:r w:rsidR="00200FD5">
        <w:t xml:space="preserve"> </w:t>
      </w:r>
      <w:r w:rsidR="00AC7F4B">
        <w:t xml:space="preserve">assessing </w:t>
      </w:r>
      <w:r w:rsidR="00200FD5">
        <w:t xml:space="preserve">the discussion of </w:t>
      </w:r>
      <w:r w:rsidR="00131F8A">
        <w:t xml:space="preserve">the </w:t>
      </w:r>
      <w:r w:rsidR="00200FD5">
        <w:t xml:space="preserve">intervention rationale in RISs, determining whether a discussion was present or absent was </w:t>
      </w:r>
      <w:r w:rsidR="00480952">
        <w:t>generally a</w:t>
      </w:r>
      <w:r w:rsidR="00200FD5">
        <w:t xml:space="preserve"> </w:t>
      </w:r>
      <w:r w:rsidR="00480952">
        <w:t>straightforward</w:t>
      </w:r>
      <w:r w:rsidR="00200FD5">
        <w:t xml:space="preserve"> </w:t>
      </w:r>
      <w:r w:rsidR="007932CD">
        <w:t>‘</w:t>
      </w:r>
      <w:r w:rsidR="00200FD5">
        <w:t>yes/no</w:t>
      </w:r>
      <w:r w:rsidR="007932CD">
        <w:t>’</w:t>
      </w:r>
      <w:r w:rsidR="00200FD5">
        <w:t xml:space="preserve"> decision</w:t>
      </w:r>
      <w:r w:rsidR="00480952">
        <w:t>. However</w:t>
      </w:r>
      <w:r w:rsidR="00200FD5">
        <w:t>,</w:t>
      </w:r>
      <w:r w:rsidR="007E2DE6">
        <w:t xml:space="preserve"> in many cases </w:t>
      </w:r>
      <w:r w:rsidR="0028089B">
        <w:t>the</w:t>
      </w:r>
      <w:r w:rsidR="007E2DE6">
        <w:t xml:space="preserve"> discussion was a brief or cursory statement </w:t>
      </w:r>
      <w:r w:rsidR="0028089B">
        <w:t>noting</w:t>
      </w:r>
      <w:r w:rsidR="007E2DE6">
        <w:t xml:space="preserve"> the presence of a market or government failure</w:t>
      </w:r>
      <w:r w:rsidR="008F387D">
        <w:t xml:space="preserve"> or other systemic </w:t>
      </w:r>
      <w:r w:rsidR="008112E3">
        <w:t>issue</w:t>
      </w:r>
      <w:r w:rsidR="008F387D">
        <w:t xml:space="preserve"> the regulation was supposed to solve</w:t>
      </w:r>
      <w:r w:rsidR="007E2DE6">
        <w:t xml:space="preserve">. </w:t>
      </w:r>
      <w:r w:rsidR="00131F8A">
        <w:t>I</w:t>
      </w:r>
      <w:r w:rsidR="007E2DE6">
        <w:t>n</w:t>
      </w:r>
      <w:r w:rsidR="007E2DE6" w:rsidRPr="00200FD5">
        <w:t xml:space="preserve"> </w:t>
      </w:r>
      <w:r w:rsidR="00480952">
        <w:t>a number of</w:t>
      </w:r>
      <w:r w:rsidR="007E2DE6" w:rsidRPr="00200FD5">
        <w:t xml:space="preserve"> instances the existence of ‘spillovers’, ‘externalities’, ‘information problems’ or ‘regulatory failures’ were asserted, with little </w:t>
      </w:r>
      <w:r w:rsidR="000930C2">
        <w:t>or no</w:t>
      </w:r>
      <w:r w:rsidR="007E2DE6" w:rsidRPr="00200FD5">
        <w:t xml:space="preserve"> </w:t>
      </w:r>
      <w:r w:rsidR="000F1407">
        <w:t>supporting argument</w:t>
      </w:r>
      <w:r w:rsidR="00131F8A">
        <w:t xml:space="preserve"> (see chapter 6)</w:t>
      </w:r>
      <w:r w:rsidR="007E2DE6" w:rsidRPr="00200FD5">
        <w:t>.</w:t>
      </w:r>
      <w:r w:rsidR="007E2DE6">
        <w:t xml:space="preserve"> </w:t>
      </w:r>
      <w:r w:rsidR="000F1407">
        <w:t xml:space="preserve">Hence, further delineation </w:t>
      </w:r>
      <w:r w:rsidR="008F387D">
        <w:t xml:space="preserve">in this category </w:t>
      </w:r>
      <w:r w:rsidR="000F1407">
        <w:t xml:space="preserve">was </w:t>
      </w:r>
      <w:r w:rsidR="008F387D">
        <w:t>needed</w:t>
      </w:r>
      <w:r w:rsidR="000F1407">
        <w:t xml:space="preserve">. </w:t>
      </w:r>
      <w:r w:rsidR="0028089B">
        <w:t xml:space="preserve">In these instances the RISs were </w:t>
      </w:r>
      <w:r w:rsidR="00480952">
        <w:t>recorded</w:t>
      </w:r>
      <w:r w:rsidR="000F1407">
        <w:t xml:space="preserve"> as including a ‘limited discussion of the intervention logic’, to distinguish them from RISs </w:t>
      </w:r>
      <w:r w:rsidR="00480952">
        <w:t xml:space="preserve">that included a more thorough </w:t>
      </w:r>
      <w:r w:rsidR="008112E3">
        <w:t>analysis</w:t>
      </w:r>
      <w:r w:rsidR="000F1407">
        <w:t>.</w:t>
      </w:r>
      <w:r w:rsidR="0028089B">
        <w:t xml:space="preserve"> </w:t>
      </w:r>
    </w:p>
    <w:p w:rsidR="00395564" w:rsidRDefault="00105B5F" w:rsidP="00105B5F">
      <w:pPr>
        <w:pStyle w:val="Heading3"/>
      </w:pPr>
      <w:r>
        <w:t>Factors affecting jurisdictional results</w:t>
      </w:r>
    </w:p>
    <w:p w:rsidR="006367B4" w:rsidRDefault="006367B4" w:rsidP="006367B4">
      <w:pPr>
        <w:pStyle w:val="BodyText"/>
      </w:pPr>
      <w:r>
        <w:t xml:space="preserve">Where results were presented by jurisdiction (chapter 6) the categories presented were, </w:t>
      </w:r>
      <w:r w:rsidR="00ED7BB4">
        <w:t>T</w:t>
      </w:r>
      <w:r>
        <w:t xml:space="preserve">otal, Commonwealth, COAG, New South Wales, Victoria and </w:t>
      </w:r>
      <w:r w:rsidR="00ED7BB4">
        <w:t>O</w:t>
      </w:r>
      <w:r>
        <w:t>ther — the latter</w:t>
      </w:r>
      <w:r w:rsidRPr="006367B4">
        <w:t xml:space="preserve"> </w:t>
      </w:r>
      <w:r w:rsidR="006A0FE0">
        <w:t>comprising</w:t>
      </w:r>
      <w:r w:rsidRPr="006367B4">
        <w:t xml:space="preserve"> </w:t>
      </w:r>
      <w:r w:rsidR="008D0F5E">
        <w:t xml:space="preserve">the remaining </w:t>
      </w:r>
      <w:r w:rsidRPr="006367B4">
        <w:t xml:space="preserve">jursidictions </w:t>
      </w:r>
      <w:r w:rsidR="006A0FE0">
        <w:t>with</w:t>
      </w:r>
      <w:r w:rsidRPr="006367B4">
        <w:t xml:space="preserve"> insufficient numbers of RISs to enable meaningful ana</w:t>
      </w:r>
      <w:r w:rsidR="006A0FE0">
        <w:t>lysis at a</w:t>
      </w:r>
      <w:r w:rsidR="008D0F5E">
        <w:t>n individual</w:t>
      </w:r>
      <w:r w:rsidR="006A0FE0">
        <w:t xml:space="preserve"> jurisdictional level</w:t>
      </w:r>
      <w:r>
        <w:t>.</w:t>
      </w:r>
    </w:p>
    <w:p w:rsidR="003A763C" w:rsidRDefault="00CA4623" w:rsidP="003A763C">
      <w:pPr>
        <w:pStyle w:val="BodyText"/>
      </w:pPr>
      <w:r>
        <w:t>C</w:t>
      </w:r>
      <w:r w:rsidR="003A763C">
        <w:t>are is needed in interpreting observed differences across jurisdictions</w:t>
      </w:r>
      <w:r w:rsidR="00365EF4">
        <w:t xml:space="preserve">, particularly </w:t>
      </w:r>
      <w:r w:rsidR="00ED7BB4">
        <w:t>in drawing inferences based on</w:t>
      </w:r>
      <w:r w:rsidR="00365EF4">
        <w:t xml:space="preserve"> single indicators. </w:t>
      </w:r>
      <w:r w:rsidR="003A763C">
        <w:t xml:space="preserve">A range of factors can influence jurisdictional results, including: </w:t>
      </w:r>
    </w:p>
    <w:p w:rsidR="003A763C" w:rsidRDefault="003A763C" w:rsidP="003A763C">
      <w:pPr>
        <w:pStyle w:val="ListBullet"/>
      </w:pPr>
      <w:r w:rsidRPr="00395564">
        <w:rPr>
          <w:i/>
        </w:rPr>
        <w:t>differences in RIS requirements and significan</w:t>
      </w:r>
      <w:r w:rsidR="00662819">
        <w:rPr>
          <w:i/>
        </w:rPr>
        <w:t>ce</w:t>
      </w:r>
      <w:r w:rsidRPr="00395564">
        <w:rPr>
          <w:i/>
        </w:rPr>
        <w:t xml:space="preserve"> thresholds</w:t>
      </w:r>
      <w:r>
        <w:t xml:space="preserve"> across jurisdictions — jurisdiction</w:t>
      </w:r>
      <w:r w:rsidR="00662819">
        <w:t>al</w:t>
      </w:r>
      <w:r>
        <w:t xml:space="preserve"> RIA systems </w:t>
      </w:r>
      <w:r w:rsidR="00662819">
        <w:t xml:space="preserve">that </w:t>
      </w:r>
      <w:r>
        <w:t xml:space="preserve">result in a larger number of RISs </w:t>
      </w:r>
      <w:r w:rsidR="00B15CF9">
        <w:t xml:space="preserve">for </w:t>
      </w:r>
      <w:r w:rsidR="00662819">
        <w:t>less significant</w:t>
      </w:r>
      <w:r w:rsidR="00B15CF9">
        <w:t xml:space="preserve"> issue</w:t>
      </w:r>
      <w:r w:rsidR="00662819">
        <w:t>s</w:t>
      </w:r>
      <w:r>
        <w:t xml:space="preserve"> will tend to score lower on some aspects of content analysis</w:t>
      </w:r>
    </w:p>
    <w:p w:rsidR="003A763C" w:rsidRDefault="003A763C" w:rsidP="003A763C">
      <w:pPr>
        <w:pStyle w:val="ListBullet"/>
      </w:pPr>
      <w:r>
        <w:t xml:space="preserve">the </w:t>
      </w:r>
      <w:r w:rsidRPr="00395564">
        <w:rPr>
          <w:i/>
        </w:rPr>
        <w:t>magnitude of the impacts</w:t>
      </w:r>
      <w:r>
        <w:t xml:space="preserve"> of the regulatory proposals</w:t>
      </w:r>
      <w:r w:rsidR="00662819">
        <w:t xml:space="preserve"> in the benchmark period </w:t>
      </w:r>
      <w:r>
        <w:t xml:space="preserve">— jurisdictions with a higher proportion of highly significant RISs </w:t>
      </w:r>
      <w:r w:rsidR="00662819">
        <w:t xml:space="preserve">(which could vary substantially from year-to-year) </w:t>
      </w:r>
      <w:r>
        <w:t>will, if analysis is proportionate</w:t>
      </w:r>
      <w:r w:rsidR="00060C3A">
        <w:t xml:space="preserve"> to likely impacts</w:t>
      </w:r>
      <w:r>
        <w:t xml:space="preserve">, tend to score higher </w:t>
      </w:r>
      <w:r w:rsidR="00662819">
        <w:t>for a number of aspects of</w:t>
      </w:r>
      <w:r>
        <w:t xml:space="preserve"> RIS content</w:t>
      </w:r>
    </w:p>
    <w:p w:rsidR="003A763C" w:rsidRDefault="003A763C" w:rsidP="003A763C">
      <w:pPr>
        <w:pStyle w:val="ListBullet"/>
      </w:pPr>
      <w:r>
        <w:t xml:space="preserve">the </w:t>
      </w:r>
      <w:r w:rsidRPr="00395564">
        <w:rPr>
          <w:i/>
        </w:rPr>
        <w:t>type of regulation/area of the economy</w:t>
      </w:r>
      <w:r>
        <w:t xml:space="preserve"> to which the RISs in the benchmark period relate — which can influence the availability of reliable data. For example, RISs in transport and other ‘hard’ infrastructure</w:t>
      </w:r>
      <w:r w:rsidR="005D39B9">
        <w:t xml:space="preserve"> related areas</w:t>
      </w:r>
      <w:r>
        <w:t xml:space="preserve"> often have higher levels of quantification and monetisation than </w:t>
      </w:r>
      <w:r w:rsidR="005D39B9">
        <w:t>RISs</w:t>
      </w:r>
      <w:r>
        <w:t xml:space="preserve"> for environmental or social regulation, reflecting, at least in part, the more extensive </w:t>
      </w:r>
      <w:r w:rsidR="008D0F5E">
        <w:t>quantitative</w:t>
      </w:r>
      <w:r>
        <w:t xml:space="preserve"> analysis required for the associated large investments. </w:t>
      </w:r>
    </w:p>
    <w:p w:rsidR="005B53E1" w:rsidRDefault="00CA7E72" w:rsidP="003A763C">
      <w:pPr>
        <w:pStyle w:val="BodyText"/>
      </w:pPr>
      <w:r>
        <w:t xml:space="preserve">Further, the extent to which the number and complexity of RISs prepared during the benchmark period for each jurisdiction may have a bearing on RIS quality is unknown. The amount of new regulation produced within each jurisdiction will vary from year to year depending on a range of factors including reform priorities, </w:t>
      </w:r>
      <w:r>
        <w:lastRenderedPageBreak/>
        <w:t xml:space="preserve">regulatory and electoral cycles and the operation of staged repeal and sunsetting arrangements. </w:t>
      </w:r>
      <w:r w:rsidR="00B15CF9">
        <w:t xml:space="preserve"> </w:t>
      </w:r>
    </w:p>
    <w:p w:rsidR="003A763C" w:rsidRDefault="003A763C" w:rsidP="003A763C">
      <w:pPr>
        <w:pStyle w:val="BodyText"/>
      </w:pPr>
      <w:r>
        <w:t xml:space="preserve">It is unclear to what extent these factors influenced the </w:t>
      </w:r>
      <w:r w:rsidR="00FF0095">
        <w:t>results of the content analysis</w:t>
      </w:r>
      <w:r>
        <w:t>. The limited number of RISs available meant that standardis</w:t>
      </w:r>
      <w:r w:rsidR="00105B5F">
        <w:t>ing</w:t>
      </w:r>
      <w:r>
        <w:t xml:space="preserve"> for these factors across jurisdictions was not p</w:t>
      </w:r>
      <w:r w:rsidR="006F5575">
        <w:t>ossible</w:t>
      </w:r>
      <w:r w:rsidR="00916582">
        <w:t xml:space="preserve">. </w:t>
      </w:r>
      <w:r>
        <w:t>However, to reduce problems associated with inter</w:t>
      </w:r>
      <w:r w:rsidR="00CA7E72">
        <w:t>-</w:t>
      </w:r>
      <w:r>
        <w:t xml:space="preserve">jurisdictional differences in RIA requirements, the analytical features examined in the Commission’s RIS analysis were </w:t>
      </w:r>
      <w:r w:rsidR="00724809">
        <w:t xml:space="preserve">generally </w:t>
      </w:r>
      <w:r w:rsidR="00007069">
        <w:t xml:space="preserve">based on high </w:t>
      </w:r>
      <w:r>
        <w:t>level OECD principles for leading practice RIA and COAG</w:t>
      </w:r>
      <w:r w:rsidR="008145C0">
        <w:noBreakHyphen/>
      </w:r>
      <w:r>
        <w:t>agreed best practice principles</w:t>
      </w:r>
      <w:r w:rsidR="00105B5F">
        <w:t>,</w:t>
      </w:r>
      <w:r>
        <w:t xml:space="preserve"> rather than individual RIA requirements in </w:t>
      </w:r>
      <w:r w:rsidR="00F21821">
        <w:t>particular</w:t>
      </w:r>
      <w:r>
        <w:t xml:space="preserve"> jurisdiction</w:t>
      </w:r>
      <w:r w:rsidR="00F21821">
        <w:t>s</w:t>
      </w:r>
      <w:r>
        <w:t>.</w:t>
      </w:r>
    </w:p>
    <w:p w:rsidR="005B53E1" w:rsidRDefault="005B53E1" w:rsidP="003A763C">
      <w:pPr>
        <w:pStyle w:val="BodyText"/>
      </w:pPr>
      <w:r>
        <w:t xml:space="preserve">A limitation of </w:t>
      </w:r>
      <w:r w:rsidR="00E462EE">
        <w:t xml:space="preserve">the </w:t>
      </w:r>
      <w:r>
        <w:t>approach</w:t>
      </w:r>
      <w:r w:rsidR="00E462EE">
        <w:t xml:space="preserve"> adopted</w:t>
      </w:r>
      <w:r>
        <w:t xml:space="preserve"> is that a RIS could score well in terms of comprehensiveness of content, yet still be of poor quality. Nevertheless, given that many of the indicators relate to fundamental RIA elements, RISs with few of the analytical features in the content analysis are unlikely to be of high quality. </w:t>
      </w:r>
    </w:p>
    <w:p w:rsidR="003A763C" w:rsidRDefault="005C790B" w:rsidP="003A763C">
      <w:pPr>
        <w:pStyle w:val="Heading2"/>
      </w:pPr>
      <w:proofErr w:type="spellStart"/>
      <w:r>
        <w:t>E.</w:t>
      </w:r>
      <w:r w:rsidR="00325D70">
        <w:rPr>
          <w:noProof/>
        </w:rPr>
        <w:t>2</w:t>
      </w:r>
      <w:proofErr w:type="spellEnd"/>
      <w:r w:rsidR="003A763C">
        <w:tab/>
      </w:r>
      <w:r w:rsidR="00F21821">
        <w:t>Other st</w:t>
      </w:r>
      <w:r w:rsidR="00B66AF9">
        <w:t>udies of</w:t>
      </w:r>
      <w:r w:rsidR="00B13C54">
        <w:t xml:space="preserve"> RIS content and quality</w:t>
      </w:r>
    </w:p>
    <w:p w:rsidR="00F21821" w:rsidRDefault="00A76296" w:rsidP="00B13C54">
      <w:pPr>
        <w:pStyle w:val="BodyText"/>
      </w:pPr>
      <w:r>
        <w:t>P</w:t>
      </w:r>
      <w:r w:rsidR="0070611F">
        <w:t xml:space="preserve">ublicly available </w:t>
      </w:r>
      <w:r>
        <w:t xml:space="preserve">systematic </w:t>
      </w:r>
      <w:r w:rsidR="00395564">
        <w:t>ex post assessments of RIS</w:t>
      </w:r>
      <w:r w:rsidR="00F21821">
        <w:t xml:space="preserve"> content and quality</w:t>
      </w:r>
      <w:r w:rsidR="00395564">
        <w:t xml:space="preserve"> </w:t>
      </w:r>
      <w:r w:rsidR="00F21821">
        <w:t xml:space="preserve">have </w:t>
      </w:r>
      <w:r w:rsidR="0070611F">
        <w:t>been limited</w:t>
      </w:r>
      <w:r w:rsidR="00395564">
        <w:t xml:space="preserve"> in Australia. </w:t>
      </w:r>
      <w:r w:rsidR="0070611F">
        <w:t>Regulatory oversight bodies generally undertake extensive assessment of R</w:t>
      </w:r>
      <w:r w:rsidR="00395564">
        <w:t xml:space="preserve">ISs as part of the process leading up to decision making and publication of the RIS. </w:t>
      </w:r>
      <w:r w:rsidR="0070611F">
        <w:t>However, w</w:t>
      </w:r>
      <w:r w:rsidR="00F21821">
        <w:t>hile some publish information on RIS adequacy and compliance</w:t>
      </w:r>
      <w:r w:rsidR="0070611F">
        <w:t xml:space="preserve"> rates</w:t>
      </w:r>
      <w:r w:rsidR="00F21821">
        <w:t xml:space="preserve">, they do not generally publish </w:t>
      </w:r>
      <w:r w:rsidR="0070611F">
        <w:t>systematic data on the content and quality of RISs. Nevertheless, a few studies have been made public</w:t>
      </w:r>
      <w:r w:rsidR="008057CA">
        <w:t xml:space="preserve"> and are summarised below</w:t>
      </w:r>
      <w:r w:rsidR="0070611F">
        <w:t>.</w:t>
      </w:r>
    </w:p>
    <w:p w:rsidR="00395564" w:rsidRDefault="000375C2" w:rsidP="00B13C54">
      <w:pPr>
        <w:pStyle w:val="ListBullet"/>
      </w:pPr>
      <w:r>
        <w:t xml:space="preserve">Data on overall </w:t>
      </w:r>
      <w:r w:rsidR="00395564" w:rsidRPr="00CE33DB">
        <w:t xml:space="preserve">RIS quality </w:t>
      </w:r>
      <w:r>
        <w:t>is</w:t>
      </w:r>
      <w:r w:rsidRPr="00CE33DB">
        <w:t xml:space="preserve"> </w:t>
      </w:r>
      <w:r>
        <w:t>published</w:t>
      </w:r>
      <w:r w:rsidRPr="00CE33DB">
        <w:t xml:space="preserve"> </w:t>
      </w:r>
      <w:r>
        <w:t xml:space="preserve">each year </w:t>
      </w:r>
      <w:r w:rsidR="00672789">
        <w:t>by the Victorian Competition and Efficiency Commission</w:t>
      </w:r>
      <w:r>
        <w:t>. The latest analysis examine</w:t>
      </w:r>
      <w:r w:rsidR="00B6164F">
        <w:t>d</w:t>
      </w:r>
      <w:r w:rsidR="00395564" w:rsidRPr="00CE33DB">
        <w:t xml:space="preserve"> all </w:t>
      </w:r>
      <w:r w:rsidR="00672789">
        <w:t xml:space="preserve">Victorian </w:t>
      </w:r>
      <w:r w:rsidR="00395564" w:rsidRPr="00CE33DB">
        <w:t xml:space="preserve">RISs </w:t>
      </w:r>
      <w:r w:rsidR="00395564">
        <w:t xml:space="preserve">produced </w:t>
      </w:r>
      <w:r w:rsidR="00395564" w:rsidRPr="00CE33DB">
        <w:t>ov</w:t>
      </w:r>
      <w:r w:rsidR="00007069">
        <w:t xml:space="preserve">er the period from </w:t>
      </w:r>
      <w:r w:rsidR="008C7015">
        <w:t>2007</w:t>
      </w:r>
      <w:r>
        <w:noBreakHyphen/>
      </w:r>
      <w:r w:rsidR="008C7015">
        <w:t xml:space="preserve">08 </w:t>
      </w:r>
      <w:r w:rsidR="00007069">
        <w:t>to</w:t>
      </w:r>
      <w:r w:rsidR="00395564" w:rsidRPr="00CE33DB">
        <w:t xml:space="preserve"> </w:t>
      </w:r>
      <w:r w:rsidR="008C7015" w:rsidRPr="00CE33DB">
        <w:t>20</w:t>
      </w:r>
      <w:r w:rsidR="008C7015">
        <w:t>11</w:t>
      </w:r>
      <w:r>
        <w:noBreakHyphen/>
      </w:r>
      <w:r w:rsidR="008C7015" w:rsidRPr="00CE33DB">
        <w:t>1</w:t>
      </w:r>
      <w:r w:rsidR="008C7015">
        <w:t>2</w:t>
      </w:r>
      <w:r w:rsidR="00B6164F">
        <w:t xml:space="preserve"> </w:t>
      </w:r>
      <w:r w:rsidR="00395564">
        <w:t xml:space="preserve">(VCEC </w:t>
      </w:r>
      <w:r w:rsidR="008C7015">
        <w:t>2012</w:t>
      </w:r>
      <w:r w:rsidR="00395564">
        <w:t>)</w:t>
      </w:r>
      <w:r w:rsidR="00395564" w:rsidRPr="00CE33DB">
        <w:t>.</w:t>
      </w:r>
      <w:r w:rsidR="00B6164F">
        <w:t xml:space="preserve"> </w:t>
      </w:r>
      <w:r w:rsidR="00395564" w:rsidRPr="00CE33DB">
        <w:t xml:space="preserve">Criteria employed included </w:t>
      </w:r>
      <w:r w:rsidR="00395564">
        <w:t>the extent of quantification of the magnitude</w:t>
      </w:r>
      <w:r w:rsidR="00395564" w:rsidRPr="00CE33DB">
        <w:t xml:space="preserve"> of the problem</w:t>
      </w:r>
      <w:r w:rsidR="00395564">
        <w:t xml:space="preserve">, predicted costs </w:t>
      </w:r>
      <w:r w:rsidR="00395564" w:rsidRPr="00CE33DB">
        <w:t>and predicted benefits. The criteria used were ‘solely qualitative’</w:t>
      </w:r>
      <w:r w:rsidR="00441FD8">
        <w:t xml:space="preserve"> (</w:t>
      </w:r>
      <w:r w:rsidR="00672789">
        <w:t>that is,</w:t>
      </w:r>
      <w:r w:rsidR="00395564">
        <w:t xml:space="preserve"> no quantification</w:t>
      </w:r>
      <w:r w:rsidR="00441FD8">
        <w:t>)</w:t>
      </w:r>
      <w:r w:rsidR="00395564" w:rsidRPr="00CE33DB">
        <w:t>, ‘some quantification, but with obvious gaps’, ‘</w:t>
      </w:r>
      <w:r w:rsidR="00F44478">
        <w:t xml:space="preserve">comprehensive </w:t>
      </w:r>
      <w:r w:rsidR="00395564">
        <w:t xml:space="preserve">quantification of </w:t>
      </w:r>
      <w:r w:rsidR="00395564" w:rsidRPr="00CE33DB">
        <w:t>most aspects</w:t>
      </w:r>
      <w:r w:rsidR="00F44478">
        <w:t xml:space="preserve"> using available data</w:t>
      </w:r>
      <w:r w:rsidR="00395564" w:rsidRPr="00CE33DB">
        <w:t>’, ‘</w:t>
      </w:r>
      <w:r w:rsidR="00F44478">
        <w:t xml:space="preserve">rigorous </w:t>
      </w:r>
      <w:r w:rsidR="00395564">
        <w:t xml:space="preserve">quantification of </w:t>
      </w:r>
      <w:r w:rsidR="00395564" w:rsidRPr="00CE33DB">
        <w:t>all aspects</w:t>
      </w:r>
      <w:r w:rsidR="00F44478">
        <w:t xml:space="preserve"> supported by robust data</w:t>
      </w:r>
      <w:r w:rsidR="00395564" w:rsidRPr="00CE33DB">
        <w:t xml:space="preserve">’. This analysis found that total RISs with some quantification of </w:t>
      </w:r>
      <w:r w:rsidR="00441FD8">
        <w:t xml:space="preserve">the </w:t>
      </w:r>
      <w:r w:rsidR="00395564" w:rsidRPr="00CE33DB">
        <w:t xml:space="preserve">extent of the problem </w:t>
      </w:r>
      <w:r w:rsidR="008C7015">
        <w:t>ranged from 70</w:t>
      </w:r>
      <w:r>
        <w:noBreakHyphen/>
      </w:r>
      <w:r w:rsidR="008C7015">
        <w:t>85</w:t>
      </w:r>
      <w:r w:rsidR="00395564" w:rsidRPr="00CE33DB">
        <w:t xml:space="preserve"> per cent; for quantification of predicted costs it was higher (around 90 per cent) and </w:t>
      </w:r>
      <w:r w:rsidR="00395564">
        <w:t xml:space="preserve">quantification of </w:t>
      </w:r>
      <w:r w:rsidR="00395564" w:rsidRPr="00CE33DB">
        <w:t xml:space="preserve">predicted benefits </w:t>
      </w:r>
      <w:r w:rsidR="00395564">
        <w:t xml:space="preserve">was </w:t>
      </w:r>
      <w:r w:rsidR="00395564" w:rsidRPr="00CE33DB">
        <w:t xml:space="preserve">around </w:t>
      </w:r>
      <w:r w:rsidR="00F44478">
        <w:t>70</w:t>
      </w:r>
      <w:r>
        <w:noBreakHyphen/>
      </w:r>
      <w:r w:rsidR="00F44478">
        <w:t>8</w:t>
      </w:r>
      <w:r w:rsidR="00F44478" w:rsidRPr="00CE33DB">
        <w:t>0</w:t>
      </w:r>
      <w:r w:rsidR="00F44478">
        <w:t xml:space="preserve"> </w:t>
      </w:r>
      <w:r w:rsidR="00395564">
        <w:t>per cent</w:t>
      </w:r>
      <w:r w:rsidR="00395564" w:rsidRPr="00CE33DB">
        <w:t>.</w:t>
      </w:r>
    </w:p>
    <w:p w:rsidR="00724F19" w:rsidRDefault="00D73349" w:rsidP="00724F19">
      <w:pPr>
        <w:pStyle w:val="ListBullet"/>
      </w:pPr>
      <w:r>
        <w:t>In its assessment of the effectiveness of the RIS process in Victoria</w:t>
      </w:r>
      <w:r w:rsidR="00A76296">
        <w:t>,</w:t>
      </w:r>
      <w:r>
        <w:t xml:space="preserve"> </w:t>
      </w:r>
      <w:r w:rsidRPr="00007069">
        <w:t>Access Economics</w:t>
      </w:r>
      <w:r>
        <w:t xml:space="preserve"> </w:t>
      </w:r>
      <w:r w:rsidR="00007069">
        <w:t xml:space="preserve">(2010) </w:t>
      </w:r>
      <w:r>
        <w:t xml:space="preserve">examined RISs to </w:t>
      </w:r>
      <w:r w:rsidRPr="00D73349">
        <w:t xml:space="preserve">verify </w:t>
      </w:r>
      <w:r w:rsidR="00724F19">
        <w:t>their</w:t>
      </w:r>
      <w:r w:rsidRPr="00D73349">
        <w:t xml:space="preserve"> rigour</w:t>
      </w:r>
      <w:r w:rsidR="00724F19">
        <w:t xml:space="preserve">. </w:t>
      </w:r>
      <w:r w:rsidR="00724F19" w:rsidRPr="00724F19">
        <w:t>A sample of 10 RIS documents was provided by VCEC from which Access Economics selected five.</w:t>
      </w:r>
      <w:r w:rsidR="00724F19">
        <w:t xml:space="preserve"> </w:t>
      </w:r>
      <w:r w:rsidR="00724F19">
        <w:lastRenderedPageBreak/>
        <w:t xml:space="preserve">The overall finding was that while </w:t>
      </w:r>
      <w:r w:rsidR="00724F19" w:rsidRPr="00724F19">
        <w:t xml:space="preserve">the RIS documents assessed </w:t>
      </w:r>
      <w:r w:rsidR="00724F19">
        <w:t xml:space="preserve">generally </w:t>
      </w:r>
      <w:r w:rsidR="00724F19" w:rsidRPr="00724F19">
        <w:t xml:space="preserve">satisfied </w:t>
      </w:r>
      <w:r w:rsidR="00724F19">
        <w:t>Victoria’s RIS</w:t>
      </w:r>
      <w:r w:rsidR="00724F19" w:rsidRPr="00724F19">
        <w:t xml:space="preserve"> requirements </w:t>
      </w:r>
      <w:r w:rsidR="00724F19">
        <w:t>key areas of improvement included:</w:t>
      </w:r>
    </w:p>
    <w:p w:rsidR="00724F19" w:rsidRDefault="00724F19" w:rsidP="00724F19">
      <w:pPr>
        <w:pStyle w:val="ListBullet2"/>
      </w:pPr>
      <w:r>
        <w:t>more widespread consideration of non-regulatory options</w:t>
      </w:r>
    </w:p>
    <w:p w:rsidR="00724F19" w:rsidRDefault="00724F19" w:rsidP="00724F19">
      <w:pPr>
        <w:pStyle w:val="ListBullet2"/>
      </w:pPr>
      <w:r>
        <w:t xml:space="preserve">greater efforts at improving accessibility of documents </w:t>
      </w:r>
      <w:r w:rsidR="00EC7A53">
        <w:t xml:space="preserve">(through greater use of plain language) </w:t>
      </w:r>
      <w:r>
        <w:t xml:space="preserve">would </w:t>
      </w:r>
      <w:r w:rsidR="00EC7A53">
        <w:t>improve their usefulness</w:t>
      </w:r>
      <w:r>
        <w:t xml:space="preserve"> in consultation </w:t>
      </w:r>
    </w:p>
    <w:p w:rsidR="00724F19" w:rsidRDefault="00724F19" w:rsidP="00724F19">
      <w:pPr>
        <w:pStyle w:val="ListBullet2"/>
      </w:pPr>
      <w:r>
        <w:t xml:space="preserve">better structuring of documents would help stakeholders to identify conceptual and practical shortcomings in the policy proposals. </w:t>
      </w:r>
    </w:p>
    <w:p w:rsidR="000144E0" w:rsidRDefault="00724F19" w:rsidP="00B13C54">
      <w:pPr>
        <w:pStyle w:val="ListBullet"/>
      </w:pPr>
      <w:proofErr w:type="spellStart"/>
      <w:r w:rsidRPr="00A76296">
        <w:rPr>
          <w:i/>
        </w:rPr>
        <w:t>CRA</w:t>
      </w:r>
      <w:proofErr w:type="spellEnd"/>
      <w:r w:rsidRPr="00A76296">
        <w:rPr>
          <w:i/>
        </w:rPr>
        <w:t xml:space="preserve"> International</w:t>
      </w:r>
      <w:r w:rsidR="00B13C54">
        <w:t xml:space="preserve"> (</w:t>
      </w:r>
      <w:r>
        <w:t>2006</w:t>
      </w:r>
      <w:r w:rsidR="00B13C54">
        <w:t xml:space="preserve">) </w:t>
      </w:r>
      <w:r w:rsidR="000144E0">
        <w:t xml:space="preserve">examined a sample of 32 RISs prepared by Commonwealth departments relating to regulatory proposals in 2004-05.  Key findings included: </w:t>
      </w:r>
    </w:p>
    <w:p w:rsidR="000144E0" w:rsidRDefault="000144E0" w:rsidP="000144E0">
      <w:pPr>
        <w:pStyle w:val="ListBullet2"/>
      </w:pPr>
      <w:r>
        <w:t>77 per cent of RISs in the sample did not attempt to quantify the costs of regulation and compliance costs were rarely quantified</w:t>
      </w:r>
    </w:p>
    <w:p w:rsidR="00B13C54" w:rsidRDefault="000144E0" w:rsidP="000144E0">
      <w:pPr>
        <w:pStyle w:val="ListBullet2"/>
      </w:pPr>
      <w:r>
        <w:t>there was frequent use of vague language in RISs when discussing costs and benefits</w:t>
      </w:r>
    </w:p>
    <w:p w:rsidR="000144E0" w:rsidRDefault="000144E0" w:rsidP="000144E0">
      <w:pPr>
        <w:pStyle w:val="ListBullet2"/>
      </w:pPr>
      <w:r>
        <w:t xml:space="preserve">around </w:t>
      </w:r>
      <w:r w:rsidR="00441FD8">
        <w:t>one-</w:t>
      </w:r>
      <w:r>
        <w:t>third of RISs in the sample did not analyse policy alternatives</w:t>
      </w:r>
    </w:p>
    <w:p w:rsidR="000144E0" w:rsidRDefault="000144E0" w:rsidP="000144E0">
      <w:pPr>
        <w:pStyle w:val="ListBullet2"/>
      </w:pPr>
      <w:r>
        <w:t xml:space="preserve">overall RIS quality was poor, with some </w:t>
      </w:r>
      <w:proofErr w:type="spellStart"/>
      <w:r>
        <w:t>RISs</w:t>
      </w:r>
      <w:proofErr w:type="spellEnd"/>
      <w:r>
        <w:t xml:space="preserve"> using </w:t>
      </w:r>
      <w:proofErr w:type="spellStart"/>
      <w:r>
        <w:t>outdated</w:t>
      </w:r>
      <w:proofErr w:type="spellEnd"/>
      <w:r>
        <w:t xml:space="preserve"> data, poor and/or unrealistic assumptions, biased formulation of costs and benefits and a lack of standardisation and consistency in the presentation of costs and benefits in RISs across government departments.</w:t>
      </w:r>
    </w:p>
    <w:p w:rsidR="008057CA" w:rsidRDefault="008057CA" w:rsidP="008057CA">
      <w:pPr>
        <w:pStyle w:val="Heading3"/>
      </w:pPr>
      <w:r>
        <w:t>International studies</w:t>
      </w:r>
    </w:p>
    <w:p w:rsidR="008057CA" w:rsidRDefault="008D0F5E" w:rsidP="008057CA">
      <w:pPr>
        <w:pStyle w:val="BodyText"/>
      </w:pPr>
      <w:r>
        <w:t>A</w:t>
      </w:r>
      <w:r w:rsidR="008057CA">
        <w:t xml:space="preserve"> large number of overseas studies of impact assessments have been conducted, particularly in recent years. Mostly these have been based on a scorecard approach, but some more in-depth qualitative assessments and comparisons of ex post and ex ante assessments have also been published. Examples of studies include:</w:t>
      </w:r>
    </w:p>
    <w:p w:rsidR="008057CA" w:rsidRDefault="008057CA" w:rsidP="008057CA">
      <w:pPr>
        <w:pStyle w:val="Heading4"/>
      </w:pPr>
      <w:r>
        <w:t>United Kingdom</w:t>
      </w:r>
    </w:p>
    <w:p w:rsidR="008057CA" w:rsidRDefault="008057CA" w:rsidP="008057CA">
      <w:pPr>
        <w:pStyle w:val="ListBullet"/>
      </w:pPr>
      <w:r>
        <w:t>The National Audit Office in the UK reviewed a randomly selected sample of 50 of the 196 final Impact Assessments for new le</w:t>
      </w:r>
      <w:r w:rsidR="003A67C2">
        <w:t>gislation in 2008-09 (</w:t>
      </w:r>
      <w:proofErr w:type="spellStart"/>
      <w:r w:rsidR="003A67C2">
        <w:t>NAO</w:t>
      </w:r>
      <w:proofErr w:type="spellEnd"/>
      <w:r w:rsidR="000817D1">
        <w:t> </w:t>
      </w:r>
      <w:proofErr w:type="spellStart"/>
      <w:r w:rsidR="003A67C2">
        <w:t>2010</w:t>
      </w:r>
      <w:r w:rsidR="00AC24B1">
        <w:t>a</w:t>
      </w:r>
      <w:proofErr w:type="spellEnd"/>
      <w:r w:rsidR="003A67C2">
        <w:t>).</w:t>
      </w:r>
    </w:p>
    <w:p w:rsidR="008057CA" w:rsidRDefault="008057CA" w:rsidP="00E94161">
      <w:pPr>
        <w:pStyle w:val="ListBullet"/>
      </w:pPr>
      <w:r>
        <w:t>An assessment of 499 RIAs undertaken between 1998 and 2002 and 167 in 2002</w:t>
      </w:r>
      <w:r>
        <w:noBreakHyphen/>
        <w:t xml:space="preserve">03 — </w:t>
      </w:r>
      <w:r w:rsidR="00E94161">
        <w:t xml:space="preserve">by the </w:t>
      </w:r>
      <w:r>
        <w:t>British Chamber of Commerce (</w:t>
      </w:r>
      <w:r w:rsidR="00E94161">
        <w:t xml:space="preserve">see </w:t>
      </w:r>
      <w:r w:rsidR="00E94161" w:rsidRPr="00E94161">
        <w:t>Ambler</w:t>
      </w:r>
      <w:r w:rsidR="00E94161">
        <w:t>,</w:t>
      </w:r>
      <w:r w:rsidR="00E94161" w:rsidRPr="00E94161">
        <w:t xml:space="preserve"> </w:t>
      </w:r>
      <w:proofErr w:type="spellStart"/>
      <w:r w:rsidR="00E94161" w:rsidRPr="00E94161">
        <w:t>Chittendend</w:t>
      </w:r>
      <w:proofErr w:type="spellEnd"/>
      <w:r w:rsidR="00E94161" w:rsidRPr="00E94161">
        <w:t xml:space="preserve">, and </w:t>
      </w:r>
      <w:proofErr w:type="spellStart"/>
      <w:r w:rsidR="00E94161" w:rsidRPr="00E94161">
        <w:t>Shamutkova</w:t>
      </w:r>
      <w:proofErr w:type="spellEnd"/>
      <w:r w:rsidR="00E94161" w:rsidRPr="00E94161">
        <w:t xml:space="preserve"> 2003</w:t>
      </w:r>
      <w:r w:rsidR="00E94161">
        <w:t xml:space="preserve"> and </w:t>
      </w:r>
      <w:r w:rsidR="00E94161" w:rsidRPr="00E94161">
        <w:t xml:space="preserve">Ambler, </w:t>
      </w:r>
      <w:proofErr w:type="spellStart"/>
      <w:r w:rsidR="00E94161" w:rsidRPr="00E94161">
        <w:t>Chittendend</w:t>
      </w:r>
      <w:proofErr w:type="spellEnd"/>
      <w:r w:rsidR="00E94161" w:rsidRPr="00E94161">
        <w:t xml:space="preserve">, and </w:t>
      </w:r>
      <w:proofErr w:type="spellStart"/>
      <w:r w:rsidR="00E94161" w:rsidRPr="00E94161">
        <w:t>Obodovski</w:t>
      </w:r>
      <w:proofErr w:type="spellEnd"/>
      <w:r w:rsidR="00E94161" w:rsidRPr="00E94161">
        <w:t xml:space="preserve"> 2004</w:t>
      </w:r>
      <w:r>
        <w:t>)</w:t>
      </w:r>
      <w:r w:rsidR="003A67C2">
        <w:t>.</w:t>
      </w:r>
    </w:p>
    <w:p w:rsidR="008057CA" w:rsidRDefault="008057CA" w:rsidP="008057CA">
      <w:pPr>
        <w:pStyle w:val="Heading4"/>
      </w:pPr>
      <w:r>
        <w:lastRenderedPageBreak/>
        <w:t>European Union</w:t>
      </w:r>
    </w:p>
    <w:p w:rsidR="008057CA" w:rsidRDefault="008057CA" w:rsidP="008057CA">
      <w:pPr>
        <w:pStyle w:val="ListBullet"/>
      </w:pPr>
      <w:r>
        <w:t>Analysis of the first 70 Extended Impact Assessments (</w:t>
      </w:r>
      <w:proofErr w:type="spellStart"/>
      <w:r>
        <w:t>IAs</w:t>
      </w:r>
      <w:proofErr w:type="spellEnd"/>
      <w:r>
        <w:t xml:space="preserve">) completed by the European Commission — </w:t>
      </w:r>
      <w:proofErr w:type="spellStart"/>
      <w:r>
        <w:t>Renda</w:t>
      </w:r>
      <w:proofErr w:type="spellEnd"/>
      <w:r>
        <w:t xml:space="preserve"> (2006), using a scorecard approach</w:t>
      </w:r>
      <w:r w:rsidR="003A67C2">
        <w:t>.</w:t>
      </w:r>
    </w:p>
    <w:p w:rsidR="008057CA" w:rsidRDefault="008057CA" w:rsidP="008057CA">
      <w:pPr>
        <w:pStyle w:val="ListBullet"/>
      </w:pPr>
      <w:r>
        <w:t xml:space="preserve">An examination of 111 EU </w:t>
      </w:r>
      <w:proofErr w:type="spellStart"/>
      <w:r>
        <w:t>IAs</w:t>
      </w:r>
      <w:proofErr w:type="spellEnd"/>
      <w:r>
        <w:t xml:space="preserve"> — </w:t>
      </w:r>
      <w:proofErr w:type="spellStart"/>
      <w:r>
        <w:t>Cecot</w:t>
      </w:r>
      <w:proofErr w:type="spellEnd"/>
      <w:r w:rsidR="00F1563E">
        <w:t xml:space="preserve"> </w:t>
      </w:r>
      <w:r>
        <w:t xml:space="preserve">et al. (2008) scored the assessments using a number of </w:t>
      </w:r>
      <w:r w:rsidR="003A67C2">
        <w:t>objective measures of quality.</w:t>
      </w:r>
    </w:p>
    <w:p w:rsidR="008057CA" w:rsidRDefault="008057CA" w:rsidP="008057CA">
      <w:pPr>
        <w:pStyle w:val="ListBullet"/>
      </w:pPr>
      <w:r>
        <w:t>‘Systematic research’ on over one quarter of all 2003-2008 EU IA reports by the European Court of Auditors (2010)</w:t>
      </w:r>
      <w:r w:rsidR="003A67C2">
        <w:t>.</w:t>
      </w:r>
    </w:p>
    <w:p w:rsidR="008057CA" w:rsidRDefault="008057CA" w:rsidP="008057CA">
      <w:pPr>
        <w:pStyle w:val="Heading4"/>
      </w:pPr>
      <w:r>
        <w:t>United States</w:t>
      </w:r>
    </w:p>
    <w:p w:rsidR="008057CA" w:rsidRDefault="008057CA" w:rsidP="008057CA">
      <w:pPr>
        <w:pStyle w:val="ListBullet"/>
      </w:pPr>
      <w:r>
        <w:t xml:space="preserve">Study of 48 proposed federal regulations subject to RIA between 1996 and 1999 and subsequently 55 cases of RIA performed by federal agencies — Hahn and </w:t>
      </w:r>
      <w:proofErr w:type="spellStart"/>
      <w:r>
        <w:t>Litan</w:t>
      </w:r>
      <w:proofErr w:type="spellEnd"/>
      <w:r>
        <w:t xml:space="preserve"> (2000) and Hahn and Dudley (2004)</w:t>
      </w:r>
      <w:r w:rsidR="003A67C2">
        <w:t>.</w:t>
      </w:r>
    </w:p>
    <w:p w:rsidR="008057CA" w:rsidRDefault="008057CA" w:rsidP="008057CA">
      <w:pPr>
        <w:pStyle w:val="ListBullet"/>
      </w:pPr>
      <w:r>
        <w:t xml:space="preserve">74 RIAs issued by the US </w:t>
      </w:r>
      <w:proofErr w:type="spellStart"/>
      <w:r>
        <w:t>EPA</w:t>
      </w:r>
      <w:proofErr w:type="spellEnd"/>
      <w:r>
        <w:t xml:space="preserve"> between 1982 and 1999 — Hahn and Dudley (2007)</w:t>
      </w:r>
      <w:r w:rsidR="003A67C2">
        <w:t>.</w:t>
      </w:r>
    </w:p>
    <w:p w:rsidR="008057CA" w:rsidRDefault="008057CA" w:rsidP="008057CA">
      <w:pPr>
        <w:pStyle w:val="ListBullet"/>
      </w:pPr>
      <w:r>
        <w:t xml:space="preserve">Several recent studies have attempted to measure the quality of US analysis in more detail — </w:t>
      </w:r>
      <w:proofErr w:type="spellStart"/>
      <w:r>
        <w:t>Ellig</w:t>
      </w:r>
      <w:proofErr w:type="spellEnd"/>
      <w:r>
        <w:t xml:space="preserve"> and McLaughlin (2010), from the </w:t>
      </w:r>
      <w:proofErr w:type="spellStart"/>
      <w:r>
        <w:t>Mercatus</w:t>
      </w:r>
      <w:proofErr w:type="spellEnd"/>
      <w:r>
        <w:t xml:space="preserve"> Centre, for example, go beyond the ‘yes/no’ scorecard analysis to include a qualitative evaluation of how well the RIA performed for regulations from all agencies in 2008</w:t>
      </w:r>
      <w:r w:rsidR="003A67C2">
        <w:t>.</w:t>
      </w:r>
    </w:p>
    <w:p w:rsidR="008057CA" w:rsidRDefault="008057CA" w:rsidP="008057CA">
      <w:pPr>
        <w:pStyle w:val="ListBullet"/>
      </w:pPr>
      <w:r>
        <w:t>Various assessments that compare ex ante benefits and costs in RIA with actual ex post estimates —</w:t>
      </w:r>
      <w:r w:rsidR="0075395E">
        <w:t xml:space="preserve"> </w:t>
      </w:r>
      <w:r>
        <w:t>Harrington et al. (200</w:t>
      </w:r>
      <w:r w:rsidR="009F68C7">
        <w:t>0</w:t>
      </w:r>
      <w:r>
        <w:t xml:space="preserve">); </w:t>
      </w:r>
      <w:proofErr w:type="spellStart"/>
      <w:r>
        <w:t>OMB</w:t>
      </w:r>
      <w:proofErr w:type="spellEnd"/>
      <w:r>
        <w:t xml:space="preserve"> (2005) and Harrington (2006)</w:t>
      </w:r>
      <w:r w:rsidR="003A67C2">
        <w:t>.</w:t>
      </w:r>
    </w:p>
    <w:p w:rsidR="005E10BD" w:rsidRDefault="005E10BD" w:rsidP="0096575C">
      <w:pPr>
        <w:pStyle w:val="Heading4"/>
      </w:pPr>
      <w:r>
        <w:t>Summary of findings</w:t>
      </w:r>
    </w:p>
    <w:p w:rsidR="005E10BD" w:rsidRDefault="005E10BD" w:rsidP="00D73349">
      <w:pPr>
        <w:pStyle w:val="BodyText"/>
      </w:pPr>
      <w:r>
        <w:t xml:space="preserve">Based on the Commission’s review of the findings of many of these studies, a number of observations can be made that are broadly consistent with the findings of </w:t>
      </w:r>
      <w:r w:rsidR="00EC7A53">
        <w:t>the Commission’s RIS analysis</w:t>
      </w:r>
      <w:r>
        <w:t xml:space="preserve"> and other studies of </w:t>
      </w:r>
      <w:r w:rsidR="003A67C2">
        <w:t>RISs</w:t>
      </w:r>
      <w:r>
        <w:t xml:space="preserve"> in Australia.</w:t>
      </w:r>
    </w:p>
    <w:p w:rsidR="005E10BD" w:rsidRDefault="005E10BD" w:rsidP="00D73349">
      <w:pPr>
        <w:pStyle w:val="BodyText"/>
      </w:pPr>
      <w:r>
        <w:t xml:space="preserve">There is a wide variation in the standard of </w:t>
      </w:r>
      <w:r w:rsidR="003A67C2">
        <w:t>RISs</w:t>
      </w:r>
      <w:r>
        <w:t xml:space="preserve"> but, overall, </w:t>
      </w:r>
      <w:r w:rsidR="003A67C2">
        <w:t>RIS</w:t>
      </w:r>
      <w:r>
        <w:t xml:space="preserve"> quality has been found to be </w:t>
      </w:r>
      <w:r w:rsidR="00007069">
        <w:t>low</w:t>
      </w:r>
      <w:r>
        <w:t xml:space="preserve">. Generally the analysis has fallen short of the relevant guidelines or requirements, with important components of </w:t>
      </w:r>
      <w:r w:rsidR="003A67C2">
        <w:t>RISs</w:t>
      </w:r>
      <w:r>
        <w:t xml:space="preserve"> frequently missing. Common deficiencies include:</w:t>
      </w:r>
    </w:p>
    <w:p w:rsidR="005E10BD" w:rsidRDefault="003A67C2" w:rsidP="00D73349">
      <w:pPr>
        <w:pStyle w:val="ListBullet"/>
      </w:pPr>
      <w:r>
        <w:t>i</w:t>
      </w:r>
      <w:r w:rsidR="005E10BD">
        <w:t>nadequate evaluation of alternatives (including the option of not regulating)</w:t>
      </w:r>
    </w:p>
    <w:p w:rsidR="005E10BD" w:rsidRDefault="003A67C2" w:rsidP="00D73349">
      <w:pPr>
        <w:pStyle w:val="ListBullet"/>
      </w:pPr>
      <w:r>
        <w:t>t</w:t>
      </w:r>
      <w:r w:rsidR="005E10BD">
        <w:t>he level of quantification and monetisation of costs and benefits</w:t>
      </w:r>
      <w:r w:rsidR="00EC7A53">
        <w:t xml:space="preserve"> — b</w:t>
      </w:r>
      <w:r w:rsidR="005E10BD">
        <w:t>usiness compliance costs are often not quantified and benefits are quantified less frequently than costs</w:t>
      </w:r>
    </w:p>
    <w:p w:rsidR="005E10BD" w:rsidRDefault="003A67C2" w:rsidP="00D73349">
      <w:pPr>
        <w:pStyle w:val="ListBullet"/>
      </w:pPr>
      <w:r>
        <w:lastRenderedPageBreak/>
        <w:t>c</w:t>
      </w:r>
      <w:r w:rsidR="005E10BD">
        <w:t>osts and benefits are seldom directly compared (net benefits are not usually estimated)</w:t>
      </w:r>
      <w:r>
        <w:t>.</w:t>
      </w:r>
    </w:p>
    <w:p w:rsidR="005E10BD" w:rsidRDefault="005E10BD" w:rsidP="00D73349">
      <w:pPr>
        <w:pStyle w:val="BodyText"/>
      </w:pPr>
      <w:r>
        <w:t>Some studies revealed no significant differences in quality over time (</w:t>
      </w:r>
      <w:proofErr w:type="spellStart"/>
      <w:r>
        <w:t>eg</w:t>
      </w:r>
      <w:proofErr w:type="spellEnd"/>
      <w:r>
        <w:t xml:space="preserve"> Hahn and Dudley 2007 (USA)) or even suggested impact analysis may be getting worse (</w:t>
      </w:r>
      <w:r w:rsidR="00007069">
        <w:t>for example,</w:t>
      </w:r>
      <w:r>
        <w:t xml:space="preserve"> Hahn 2010 (USA) and </w:t>
      </w:r>
      <w:proofErr w:type="spellStart"/>
      <w:r>
        <w:t>Renda</w:t>
      </w:r>
      <w:proofErr w:type="spellEnd"/>
      <w:r>
        <w:t xml:space="preserve"> 2006 (EU)), but more recent studies of EU </w:t>
      </w:r>
      <w:proofErr w:type="spellStart"/>
      <w:r>
        <w:t>IAs</w:t>
      </w:r>
      <w:proofErr w:type="spellEnd"/>
      <w:r>
        <w:t xml:space="preserve"> found evidence of improvements (</w:t>
      </w:r>
      <w:proofErr w:type="spellStart"/>
      <w:r>
        <w:t>Renda</w:t>
      </w:r>
      <w:proofErr w:type="spellEnd"/>
      <w:r>
        <w:t xml:space="preserve"> (2010), </w:t>
      </w:r>
      <w:proofErr w:type="spellStart"/>
      <w:r>
        <w:t>Cecot</w:t>
      </w:r>
      <w:proofErr w:type="spellEnd"/>
      <w:r w:rsidR="00F1563E">
        <w:t xml:space="preserve"> </w:t>
      </w:r>
      <w:r>
        <w:t>et al. (2008)).</w:t>
      </w:r>
    </w:p>
    <w:p w:rsidR="005E10BD" w:rsidRDefault="005E10BD" w:rsidP="00D73349">
      <w:pPr>
        <w:pStyle w:val="BodyText"/>
      </w:pPr>
      <w:r>
        <w:t xml:space="preserve">On a more positive note, overall a review of ex ante/ex post comparisons does not seem to reveal any clear or systematic biases in </w:t>
      </w:r>
      <w:r w:rsidR="003A67C2">
        <w:t>RIS</w:t>
      </w:r>
      <w:r>
        <w:t xml:space="preserve"> estimates of benefits relative to costs (see, for example, Hahn (2010) and Morgenstern (2011)</w:t>
      </w:r>
      <w:r w:rsidR="00007069">
        <w:t>)</w:t>
      </w:r>
      <w:r>
        <w:t>.</w:t>
      </w:r>
    </w:p>
    <w:p w:rsidR="00395564" w:rsidRDefault="005C790B" w:rsidP="00395564">
      <w:pPr>
        <w:pStyle w:val="Heading2"/>
      </w:pPr>
      <w:proofErr w:type="spellStart"/>
      <w:r>
        <w:t>E.</w:t>
      </w:r>
      <w:r w:rsidR="00325D70">
        <w:rPr>
          <w:noProof/>
        </w:rPr>
        <w:t>3</w:t>
      </w:r>
      <w:proofErr w:type="spellEnd"/>
      <w:r w:rsidR="00395564">
        <w:tab/>
        <w:t>Questions and aggregate results</w:t>
      </w:r>
      <w:r w:rsidR="00916459">
        <w:t xml:space="preserve"> </w:t>
      </w:r>
    </w:p>
    <w:p w:rsidR="00395564" w:rsidRDefault="00C710ED" w:rsidP="00395564">
      <w:pPr>
        <w:pStyle w:val="BodyText"/>
      </w:pPr>
      <w:r>
        <w:t>Key questions and the aggregated results are provided in table</w:t>
      </w:r>
      <w:r w:rsidR="00441FD8">
        <w:t> </w:t>
      </w:r>
      <w:proofErr w:type="spellStart"/>
      <w:r w:rsidR="00830A3B">
        <w:t>E.2</w:t>
      </w:r>
      <w:proofErr w:type="spellEnd"/>
      <w:r>
        <w:t>.</w:t>
      </w:r>
    </w:p>
    <w:p w:rsidR="004E6B1F" w:rsidRDefault="004E6B1F" w:rsidP="000144E0">
      <w:pPr>
        <w:pStyle w:val="TableTitle"/>
      </w:pPr>
      <w:bookmarkStart w:id="8" w:name="OLE_LINK4"/>
      <w:r>
        <w:rPr>
          <w:b w:val="0"/>
        </w:rPr>
        <w:t xml:space="preserve">Table </w:t>
      </w:r>
      <w:bookmarkStart w:id="9" w:name="OLE_LINK5"/>
      <w:proofErr w:type="spellStart"/>
      <w:r w:rsidR="005C790B">
        <w:rPr>
          <w:b w:val="0"/>
        </w:rPr>
        <w:t>E.</w:t>
      </w:r>
      <w:r w:rsidR="00325D70">
        <w:rPr>
          <w:b w:val="0"/>
          <w:noProof/>
        </w:rPr>
        <w:t>2</w:t>
      </w:r>
      <w:bookmarkEnd w:id="8"/>
      <w:bookmarkEnd w:id="9"/>
      <w:proofErr w:type="spellEnd"/>
      <w:r>
        <w:tab/>
      </w:r>
      <w:proofErr w:type="spellStart"/>
      <w:r w:rsidR="000144E0">
        <w:t>RIS</w:t>
      </w:r>
      <w:proofErr w:type="spellEnd"/>
      <w:r w:rsidR="000144E0">
        <w:t xml:space="preserve"> content analysis </w:t>
      </w:r>
      <w:r w:rsidR="00CC2046">
        <w:br/>
      </w:r>
      <w:r w:rsidR="000144E0">
        <w:t xml:space="preserve">— </w:t>
      </w:r>
      <w:r w:rsidR="003A67C2">
        <w:t xml:space="preserve">questions and </w:t>
      </w:r>
      <w:r w:rsidR="000144E0">
        <w:t>aggregate results by indicator</w:t>
      </w:r>
    </w:p>
    <w:tbl>
      <w:tblPr>
        <w:tblW w:w="5016" w:type="pct"/>
        <w:tblCellMar>
          <w:left w:w="0" w:type="dxa"/>
          <w:right w:w="0" w:type="dxa"/>
        </w:tblCellMar>
        <w:tblLook w:val="0000" w:firstRow="0" w:lastRow="0" w:firstColumn="0" w:lastColumn="0" w:noHBand="0" w:noVBand="0"/>
      </w:tblPr>
      <w:tblGrid>
        <w:gridCol w:w="1700"/>
        <w:gridCol w:w="6093"/>
        <w:gridCol w:w="712"/>
        <w:gridCol w:w="312"/>
      </w:tblGrid>
      <w:tr w:rsidR="004E6B1F" w:rsidTr="00405784">
        <w:tc>
          <w:tcPr>
            <w:tcW w:w="964" w:type="pct"/>
            <w:tcBorders>
              <w:top w:val="single" w:sz="6" w:space="0" w:color="auto"/>
              <w:bottom w:val="single" w:sz="6" w:space="0" w:color="auto"/>
            </w:tcBorders>
            <w:shd w:val="clear" w:color="auto" w:fill="auto"/>
          </w:tcPr>
          <w:p w:rsidR="004E6B1F" w:rsidRDefault="00E32627" w:rsidP="004E6B1F">
            <w:pPr>
              <w:pStyle w:val="TableColumnHeading"/>
              <w:jc w:val="left"/>
            </w:pPr>
            <w:r>
              <w:t>Question</w:t>
            </w:r>
          </w:p>
        </w:tc>
        <w:tc>
          <w:tcPr>
            <w:tcW w:w="3455" w:type="pct"/>
            <w:tcBorders>
              <w:top w:val="single" w:sz="6" w:space="0" w:color="auto"/>
              <w:bottom w:val="single" w:sz="6" w:space="0" w:color="auto"/>
            </w:tcBorders>
            <w:shd w:val="clear" w:color="auto" w:fill="auto"/>
          </w:tcPr>
          <w:p w:rsidR="004E6B1F" w:rsidRDefault="003A67C2" w:rsidP="004E6B1F">
            <w:pPr>
              <w:pStyle w:val="TableColumnHeading"/>
              <w:jc w:val="left"/>
            </w:pPr>
            <w:r>
              <w:t>Answer</w:t>
            </w:r>
          </w:p>
        </w:tc>
        <w:tc>
          <w:tcPr>
            <w:tcW w:w="581" w:type="pct"/>
            <w:gridSpan w:val="2"/>
            <w:tcBorders>
              <w:top w:val="single" w:sz="6" w:space="0" w:color="auto"/>
              <w:bottom w:val="single" w:sz="6" w:space="0" w:color="auto"/>
            </w:tcBorders>
            <w:shd w:val="clear" w:color="auto" w:fill="auto"/>
          </w:tcPr>
          <w:p w:rsidR="004E6B1F" w:rsidRDefault="00D5446D" w:rsidP="004F25A8">
            <w:pPr>
              <w:pStyle w:val="TableColumnHeading"/>
            </w:pPr>
            <w:r>
              <w:t>per cent</w:t>
            </w:r>
          </w:p>
        </w:tc>
      </w:tr>
      <w:tr w:rsidR="004E6B1F" w:rsidRPr="004E6B1F" w:rsidTr="00405784">
        <w:tc>
          <w:tcPr>
            <w:tcW w:w="964" w:type="pct"/>
            <w:tcBorders>
              <w:top w:val="single" w:sz="6" w:space="0" w:color="auto"/>
            </w:tcBorders>
          </w:tcPr>
          <w:p w:rsidR="004E6B1F" w:rsidRPr="004E6B1F" w:rsidRDefault="00E32627" w:rsidP="000144E0">
            <w:pPr>
              <w:pStyle w:val="TableUnitsRow"/>
              <w:numPr>
                <w:ilvl w:val="0"/>
                <w:numId w:val="17"/>
              </w:numPr>
              <w:jc w:val="left"/>
              <w:rPr>
                <w:b/>
              </w:rPr>
            </w:pPr>
            <w:r>
              <w:rPr>
                <w:b/>
              </w:rPr>
              <w:t>Problem</w:t>
            </w:r>
          </w:p>
        </w:tc>
        <w:tc>
          <w:tcPr>
            <w:tcW w:w="3455" w:type="pct"/>
            <w:tcBorders>
              <w:top w:val="single" w:sz="6" w:space="0" w:color="auto"/>
            </w:tcBorders>
          </w:tcPr>
          <w:p w:rsidR="004E6B1F" w:rsidRPr="004E6B1F" w:rsidRDefault="004E6B1F" w:rsidP="004E6B1F">
            <w:pPr>
              <w:pStyle w:val="TableUnitsRow"/>
              <w:jc w:val="left"/>
              <w:rPr>
                <w:b/>
              </w:rPr>
            </w:pPr>
          </w:p>
        </w:tc>
        <w:tc>
          <w:tcPr>
            <w:tcW w:w="581" w:type="pct"/>
            <w:gridSpan w:val="2"/>
            <w:tcBorders>
              <w:top w:val="single" w:sz="6" w:space="0" w:color="auto"/>
            </w:tcBorders>
          </w:tcPr>
          <w:p w:rsidR="004E6B1F" w:rsidRPr="004E6B1F" w:rsidRDefault="004E6B1F" w:rsidP="004F25A8">
            <w:pPr>
              <w:pStyle w:val="TableBodyText"/>
              <w:rPr>
                <w:b/>
              </w:rPr>
            </w:pPr>
          </w:p>
        </w:tc>
      </w:tr>
      <w:tr w:rsidR="004E6B1F" w:rsidTr="00405784">
        <w:tc>
          <w:tcPr>
            <w:tcW w:w="4419" w:type="pct"/>
            <w:gridSpan w:val="2"/>
          </w:tcPr>
          <w:p w:rsidR="004E6B1F" w:rsidRDefault="004E6B1F" w:rsidP="004E6B1F">
            <w:pPr>
              <w:pStyle w:val="TableBodyText"/>
              <w:jc w:val="left"/>
            </w:pPr>
            <w:r w:rsidRPr="004E6B1F">
              <w:t>Was the extent of the problem quantified?</w:t>
            </w:r>
          </w:p>
        </w:tc>
        <w:tc>
          <w:tcPr>
            <w:tcW w:w="581" w:type="pct"/>
            <w:gridSpan w:val="2"/>
          </w:tcPr>
          <w:p w:rsidR="004E6B1F" w:rsidRDefault="004E6B1F" w:rsidP="004F25A8">
            <w:pPr>
              <w:pStyle w:val="TableBodyText"/>
            </w:pPr>
          </w:p>
        </w:tc>
      </w:tr>
      <w:tr w:rsidR="00EC7A53" w:rsidRPr="004E6B1F" w:rsidTr="00405784">
        <w:tc>
          <w:tcPr>
            <w:tcW w:w="964" w:type="pct"/>
          </w:tcPr>
          <w:p w:rsidR="00EC7A53" w:rsidRPr="004E6B1F" w:rsidRDefault="00EC7A53" w:rsidP="004E6B1F">
            <w:pPr>
              <w:pStyle w:val="TableBodyText"/>
              <w:jc w:val="left"/>
              <w:rPr>
                <w:i/>
              </w:rPr>
            </w:pPr>
          </w:p>
        </w:tc>
        <w:tc>
          <w:tcPr>
            <w:tcW w:w="3455" w:type="pct"/>
          </w:tcPr>
          <w:p w:rsidR="00EC7A53" w:rsidRPr="00E32627" w:rsidRDefault="00EC7A53" w:rsidP="004E6B1F">
            <w:pPr>
              <w:pStyle w:val="TableBodyText"/>
              <w:jc w:val="left"/>
            </w:pPr>
            <w:r w:rsidRPr="00E32627">
              <w:t>No, solely qualitative discussion</w:t>
            </w:r>
          </w:p>
        </w:tc>
        <w:tc>
          <w:tcPr>
            <w:tcW w:w="581" w:type="pct"/>
            <w:gridSpan w:val="2"/>
          </w:tcPr>
          <w:p w:rsidR="00EC7A53" w:rsidRPr="006B1A5B" w:rsidRDefault="00C525F4" w:rsidP="00444038">
            <w:pPr>
              <w:pStyle w:val="TableBodyText"/>
            </w:pPr>
            <w:r w:rsidRPr="00423A55">
              <w:t>2</w:t>
            </w:r>
            <w:r>
              <w:t>7</w:t>
            </w:r>
          </w:p>
        </w:tc>
      </w:tr>
      <w:tr w:rsidR="00EC7A53" w:rsidRPr="004E6B1F" w:rsidTr="00405784">
        <w:tc>
          <w:tcPr>
            <w:tcW w:w="964" w:type="pct"/>
          </w:tcPr>
          <w:p w:rsidR="00EC7A53" w:rsidRPr="004E6B1F" w:rsidRDefault="00EC7A53" w:rsidP="004E6B1F">
            <w:pPr>
              <w:pStyle w:val="TableBodyText"/>
              <w:jc w:val="left"/>
              <w:rPr>
                <w:i/>
              </w:rPr>
            </w:pPr>
          </w:p>
        </w:tc>
        <w:tc>
          <w:tcPr>
            <w:tcW w:w="3455" w:type="pct"/>
          </w:tcPr>
          <w:p w:rsidR="00EC7A53" w:rsidRPr="00E32627" w:rsidRDefault="00EC7A53" w:rsidP="004E6B1F">
            <w:pPr>
              <w:pStyle w:val="TableBodyText"/>
              <w:jc w:val="left"/>
            </w:pPr>
            <w:r w:rsidRPr="00E32627">
              <w:t>Very basic quantification</w:t>
            </w:r>
          </w:p>
        </w:tc>
        <w:tc>
          <w:tcPr>
            <w:tcW w:w="581" w:type="pct"/>
            <w:gridSpan w:val="2"/>
          </w:tcPr>
          <w:p w:rsidR="00EC7A53" w:rsidRPr="006B1A5B" w:rsidRDefault="00C525F4" w:rsidP="00444038">
            <w:pPr>
              <w:pStyle w:val="TableBodyText"/>
            </w:pPr>
            <w:r w:rsidRPr="00423A55">
              <w:t>2</w:t>
            </w:r>
            <w:r>
              <w:t>9</w:t>
            </w:r>
          </w:p>
        </w:tc>
      </w:tr>
      <w:tr w:rsidR="00EC7A53" w:rsidRPr="004E6B1F" w:rsidTr="00405784">
        <w:tc>
          <w:tcPr>
            <w:tcW w:w="964" w:type="pct"/>
          </w:tcPr>
          <w:p w:rsidR="00EC7A53" w:rsidRPr="004E6B1F" w:rsidRDefault="00EC7A53" w:rsidP="004E6B1F">
            <w:pPr>
              <w:pStyle w:val="TableBodyText"/>
              <w:jc w:val="left"/>
              <w:rPr>
                <w:i/>
              </w:rPr>
            </w:pPr>
          </w:p>
        </w:tc>
        <w:tc>
          <w:tcPr>
            <w:tcW w:w="3455" w:type="pct"/>
          </w:tcPr>
          <w:p w:rsidR="00EC7A53" w:rsidRPr="00E32627" w:rsidRDefault="00EC7A53" w:rsidP="004E6B1F">
            <w:pPr>
              <w:pStyle w:val="TableBodyText"/>
              <w:jc w:val="left"/>
            </w:pPr>
            <w:r w:rsidRPr="00E32627">
              <w:t>Quantification of some aspects, but with gaps</w:t>
            </w:r>
          </w:p>
        </w:tc>
        <w:tc>
          <w:tcPr>
            <w:tcW w:w="581" w:type="pct"/>
            <w:gridSpan w:val="2"/>
          </w:tcPr>
          <w:p w:rsidR="00EC7A53" w:rsidRPr="006B1A5B" w:rsidRDefault="00C525F4" w:rsidP="00444038">
            <w:pPr>
              <w:pStyle w:val="TableBodyText"/>
            </w:pPr>
            <w:r w:rsidRPr="00423A55">
              <w:t>3</w:t>
            </w:r>
            <w:r>
              <w:t>2</w:t>
            </w:r>
          </w:p>
        </w:tc>
      </w:tr>
      <w:tr w:rsidR="00EC7A53" w:rsidRPr="004E6B1F" w:rsidTr="00405784">
        <w:tc>
          <w:tcPr>
            <w:tcW w:w="964" w:type="pct"/>
          </w:tcPr>
          <w:p w:rsidR="00EC7A53" w:rsidRPr="004E6B1F" w:rsidRDefault="00EC7A53" w:rsidP="004E6B1F">
            <w:pPr>
              <w:pStyle w:val="TableBodyText"/>
              <w:jc w:val="left"/>
              <w:rPr>
                <w:i/>
              </w:rPr>
            </w:pPr>
          </w:p>
        </w:tc>
        <w:tc>
          <w:tcPr>
            <w:tcW w:w="3455" w:type="pct"/>
          </w:tcPr>
          <w:p w:rsidR="00EC7A53" w:rsidRPr="00E32627" w:rsidRDefault="00EC7A53" w:rsidP="004E6B1F">
            <w:pPr>
              <w:pStyle w:val="TableBodyText"/>
              <w:jc w:val="left"/>
            </w:pPr>
            <w:r w:rsidRPr="00E32627">
              <w:t>Extensive quantification of most or all aspects</w:t>
            </w:r>
          </w:p>
        </w:tc>
        <w:tc>
          <w:tcPr>
            <w:tcW w:w="581" w:type="pct"/>
            <w:gridSpan w:val="2"/>
          </w:tcPr>
          <w:p w:rsidR="00EC7A53" w:rsidRDefault="00C525F4" w:rsidP="00444038">
            <w:pPr>
              <w:pStyle w:val="TableBodyText"/>
            </w:pPr>
            <w:r w:rsidRPr="00423A55">
              <w:t>1</w:t>
            </w:r>
            <w:r>
              <w:t>2</w:t>
            </w:r>
          </w:p>
        </w:tc>
      </w:tr>
      <w:tr w:rsidR="00E32627" w:rsidTr="00405784">
        <w:tc>
          <w:tcPr>
            <w:tcW w:w="4419" w:type="pct"/>
            <w:gridSpan w:val="2"/>
          </w:tcPr>
          <w:p w:rsidR="00E32627" w:rsidRDefault="001B002A" w:rsidP="005C643B">
            <w:pPr>
              <w:pStyle w:val="TableBodyText"/>
              <w:jc w:val="left"/>
            </w:pPr>
            <w:r>
              <w:t>Did</w:t>
            </w:r>
            <w:r w:rsidR="00E32627" w:rsidRPr="00E32627">
              <w:t xml:space="preserve"> the RIS discuss why government intervention </w:t>
            </w:r>
            <w:r w:rsidR="005C643B">
              <w:t>was</w:t>
            </w:r>
            <w:r w:rsidR="00E32627" w:rsidRPr="00E32627">
              <w:t xml:space="preserve"> required?</w:t>
            </w:r>
          </w:p>
        </w:tc>
        <w:tc>
          <w:tcPr>
            <w:tcW w:w="581" w:type="pct"/>
            <w:gridSpan w:val="2"/>
          </w:tcPr>
          <w:p w:rsidR="00E32627" w:rsidRDefault="00E32627" w:rsidP="004F25A8">
            <w:pPr>
              <w:pStyle w:val="TableBodyText"/>
            </w:pP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4E6B1F">
            <w:pPr>
              <w:pStyle w:val="TableBodyText"/>
              <w:jc w:val="left"/>
            </w:pPr>
            <w:r>
              <w:t>No discussion</w:t>
            </w:r>
          </w:p>
        </w:tc>
        <w:tc>
          <w:tcPr>
            <w:tcW w:w="581" w:type="pct"/>
            <w:gridSpan w:val="2"/>
          </w:tcPr>
          <w:p w:rsidR="00EC7A53" w:rsidRPr="006544A9" w:rsidRDefault="00C525F4" w:rsidP="004F25A8">
            <w:pPr>
              <w:pStyle w:val="TableBodyText"/>
            </w:pPr>
            <w:r>
              <w:t>7</w:t>
            </w: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4E6B1F">
            <w:pPr>
              <w:pStyle w:val="TableBodyText"/>
              <w:jc w:val="left"/>
            </w:pPr>
            <w:r w:rsidRPr="00E32627">
              <w:t>Yes, but limited discussion of intervention logic</w:t>
            </w:r>
          </w:p>
        </w:tc>
        <w:tc>
          <w:tcPr>
            <w:tcW w:w="581" w:type="pct"/>
            <w:gridSpan w:val="2"/>
          </w:tcPr>
          <w:p w:rsidR="00EC7A53" w:rsidRPr="006544A9" w:rsidRDefault="00C525F4" w:rsidP="004F25A8">
            <w:pPr>
              <w:pStyle w:val="TableBodyText"/>
            </w:pPr>
            <w:r>
              <w:t>41</w:t>
            </w:r>
          </w:p>
        </w:tc>
      </w:tr>
      <w:tr w:rsidR="00EC7A53" w:rsidTr="00405784">
        <w:tc>
          <w:tcPr>
            <w:tcW w:w="964" w:type="pct"/>
            <w:tcBorders>
              <w:bottom w:val="single" w:sz="4" w:space="0" w:color="auto"/>
            </w:tcBorders>
          </w:tcPr>
          <w:p w:rsidR="00EC7A53" w:rsidRDefault="00EC7A53" w:rsidP="004E6B1F">
            <w:pPr>
              <w:pStyle w:val="TableBodyText"/>
              <w:jc w:val="left"/>
            </w:pPr>
          </w:p>
        </w:tc>
        <w:tc>
          <w:tcPr>
            <w:tcW w:w="3455" w:type="pct"/>
            <w:tcBorders>
              <w:bottom w:val="single" w:sz="4" w:space="0" w:color="auto"/>
            </w:tcBorders>
          </w:tcPr>
          <w:p w:rsidR="00EC7A53" w:rsidRDefault="00EC7A53" w:rsidP="006C3C39">
            <w:pPr>
              <w:pStyle w:val="TableBodyText"/>
              <w:jc w:val="left"/>
            </w:pPr>
            <w:r w:rsidRPr="00E32627">
              <w:t>Yes, more extensive discussion</w:t>
            </w:r>
          </w:p>
        </w:tc>
        <w:tc>
          <w:tcPr>
            <w:tcW w:w="581" w:type="pct"/>
            <w:gridSpan w:val="2"/>
            <w:tcBorders>
              <w:bottom w:val="single" w:sz="4" w:space="0" w:color="auto"/>
            </w:tcBorders>
          </w:tcPr>
          <w:p w:rsidR="00EC7A53" w:rsidRDefault="00EC7A53" w:rsidP="004F25A8">
            <w:pPr>
              <w:pStyle w:val="TableBodyText"/>
            </w:pPr>
            <w:r w:rsidRPr="008A3F58">
              <w:t>53</w:t>
            </w:r>
          </w:p>
        </w:tc>
      </w:tr>
      <w:tr w:rsidR="00EC7A53" w:rsidRPr="001755F1" w:rsidTr="00405784">
        <w:tc>
          <w:tcPr>
            <w:tcW w:w="964" w:type="pct"/>
            <w:tcBorders>
              <w:top w:val="single" w:sz="4" w:space="0" w:color="auto"/>
            </w:tcBorders>
          </w:tcPr>
          <w:p w:rsidR="00EC7A53" w:rsidRPr="00B77FD6" w:rsidRDefault="00EC7A53" w:rsidP="00CE4177">
            <w:pPr>
              <w:pStyle w:val="TableBodyText"/>
              <w:numPr>
                <w:ilvl w:val="0"/>
                <w:numId w:val="17"/>
              </w:numPr>
              <w:spacing w:before="40"/>
              <w:jc w:val="left"/>
              <w:rPr>
                <w:b/>
              </w:rPr>
            </w:pPr>
            <w:r w:rsidRPr="001755F1">
              <w:rPr>
                <w:b/>
              </w:rPr>
              <w:t>Options</w:t>
            </w:r>
          </w:p>
        </w:tc>
        <w:tc>
          <w:tcPr>
            <w:tcW w:w="3455" w:type="pct"/>
            <w:tcBorders>
              <w:top w:val="single" w:sz="4" w:space="0" w:color="auto"/>
            </w:tcBorders>
          </w:tcPr>
          <w:p w:rsidR="00EC7A53" w:rsidRPr="001755F1" w:rsidRDefault="00EC7A53" w:rsidP="00CE4177">
            <w:pPr>
              <w:pStyle w:val="TableBodyText"/>
              <w:spacing w:before="40"/>
              <w:jc w:val="left"/>
              <w:rPr>
                <w:b/>
              </w:rPr>
            </w:pPr>
          </w:p>
        </w:tc>
        <w:tc>
          <w:tcPr>
            <w:tcW w:w="581" w:type="pct"/>
            <w:gridSpan w:val="2"/>
            <w:tcBorders>
              <w:top w:val="single" w:sz="4" w:space="0" w:color="auto"/>
            </w:tcBorders>
          </w:tcPr>
          <w:p w:rsidR="00EC7A53" w:rsidRPr="001755F1" w:rsidRDefault="00EC7A53" w:rsidP="00CE4177">
            <w:pPr>
              <w:pStyle w:val="TableBodyText"/>
              <w:spacing w:before="40"/>
              <w:rPr>
                <w:b/>
              </w:rPr>
            </w:pPr>
          </w:p>
        </w:tc>
      </w:tr>
      <w:tr w:rsidR="00EC7A53" w:rsidTr="009C2EA1">
        <w:tc>
          <w:tcPr>
            <w:tcW w:w="4823" w:type="pct"/>
            <w:gridSpan w:val="3"/>
          </w:tcPr>
          <w:p w:rsidR="00EC7A53" w:rsidRDefault="00EC7A53" w:rsidP="009C2EA1">
            <w:pPr>
              <w:pStyle w:val="TableBodyText"/>
              <w:ind w:left="284" w:hanging="278"/>
              <w:jc w:val="left"/>
            </w:pPr>
            <w:r w:rsidRPr="001755F1">
              <w:t xml:space="preserve">Was a ‘no action’ option </w:t>
            </w:r>
            <w:r>
              <w:t>explicitly considered</w:t>
            </w:r>
            <w:r w:rsidRPr="001755F1">
              <w:t xml:space="preserve">? </w:t>
            </w:r>
            <w:r>
              <w:t>(</w:t>
            </w:r>
            <w:r w:rsidRPr="001755F1">
              <w:t>or for sunsetting: allowing reg</w:t>
            </w:r>
            <w:r w:rsidR="009C2EA1">
              <w:t>ulatio</w:t>
            </w:r>
            <w:r w:rsidR="00C90469">
              <w:t>n</w:t>
            </w:r>
            <w:r w:rsidRPr="001755F1">
              <w:t xml:space="preserve"> to lapse</w:t>
            </w:r>
            <w:r>
              <w:t>)</w:t>
            </w:r>
          </w:p>
        </w:tc>
        <w:tc>
          <w:tcPr>
            <w:tcW w:w="177" w:type="pct"/>
          </w:tcPr>
          <w:p w:rsidR="00EC7A53" w:rsidRDefault="00EC7A53" w:rsidP="004F25A8">
            <w:pPr>
              <w:pStyle w:val="TableBodyText"/>
            </w:pP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1755F1">
            <w:pPr>
              <w:pStyle w:val="TableBodyText"/>
              <w:jc w:val="left"/>
            </w:pPr>
            <w:r>
              <w:t>No discussion</w:t>
            </w:r>
          </w:p>
        </w:tc>
        <w:tc>
          <w:tcPr>
            <w:tcW w:w="581" w:type="pct"/>
            <w:gridSpan w:val="2"/>
          </w:tcPr>
          <w:p w:rsidR="00EC7A53" w:rsidRDefault="00C525F4" w:rsidP="00444038">
            <w:pPr>
              <w:pStyle w:val="TableBodyText"/>
              <w:rPr>
                <w:rFonts w:cs="Arial"/>
                <w:color w:val="000000"/>
              </w:rPr>
            </w:pPr>
            <w:r w:rsidRPr="008A3F58">
              <w:t>3</w:t>
            </w:r>
            <w:r>
              <w:t>1</w:t>
            </w: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3A67C2">
            <w:pPr>
              <w:pStyle w:val="TableBodyText"/>
              <w:jc w:val="left"/>
            </w:pPr>
            <w:r w:rsidRPr="00E32627">
              <w:t>Yes</w:t>
            </w:r>
            <w:r>
              <w:t>,</w:t>
            </w:r>
            <w:r w:rsidRPr="00E32627">
              <w:t xml:space="preserve"> but limited discussion </w:t>
            </w:r>
            <w:r>
              <w:t>or quickly dismissed</w:t>
            </w:r>
          </w:p>
        </w:tc>
        <w:tc>
          <w:tcPr>
            <w:tcW w:w="581" w:type="pct"/>
            <w:gridSpan w:val="2"/>
          </w:tcPr>
          <w:p w:rsidR="00EC7A53" w:rsidRDefault="00EC7A53" w:rsidP="004F25A8">
            <w:pPr>
              <w:pStyle w:val="TableBodyText"/>
              <w:rPr>
                <w:rFonts w:cs="Arial"/>
                <w:color w:val="000000"/>
              </w:rPr>
            </w:pPr>
            <w:r w:rsidRPr="008A3F58">
              <w:t>27</w:t>
            </w: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3A67C2">
            <w:pPr>
              <w:pStyle w:val="TableBodyText"/>
              <w:jc w:val="left"/>
            </w:pPr>
            <w:r w:rsidRPr="00E32627">
              <w:t>Yes</w:t>
            </w:r>
            <w:r>
              <w:t xml:space="preserve">, </w:t>
            </w:r>
            <w:r w:rsidRPr="00E32627">
              <w:t>more extensive discussion</w:t>
            </w:r>
          </w:p>
        </w:tc>
        <w:tc>
          <w:tcPr>
            <w:tcW w:w="581" w:type="pct"/>
            <w:gridSpan w:val="2"/>
          </w:tcPr>
          <w:p w:rsidR="00EC7A53" w:rsidRDefault="00EC7A53" w:rsidP="004F25A8">
            <w:pPr>
              <w:pStyle w:val="TableBodyText"/>
              <w:rPr>
                <w:rFonts w:cs="Arial"/>
                <w:color w:val="000000"/>
              </w:rPr>
            </w:pPr>
            <w:r w:rsidRPr="008A3F58">
              <w:t>41</w:t>
            </w:r>
          </w:p>
        </w:tc>
      </w:tr>
      <w:tr w:rsidR="00EC7A53" w:rsidTr="00405784">
        <w:tc>
          <w:tcPr>
            <w:tcW w:w="4419" w:type="pct"/>
            <w:gridSpan w:val="2"/>
          </w:tcPr>
          <w:p w:rsidR="00EC7A53" w:rsidRDefault="00EC7A53" w:rsidP="004E6B1F">
            <w:pPr>
              <w:pStyle w:val="TableBodyText"/>
              <w:jc w:val="left"/>
            </w:pPr>
            <w:r w:rsidRPr="001755F1">
              <w:t>Were non-regulator</w:t>
            </w:r>
            <w:r>
              <w:t xml:space="preserve">y alternatives considered? </w:t>
            </w:r>
          </w:p>
        </w:tc>
        <w:tc>
          <w:tcPr>
            <w:tcW w:w="581" w:type="pct"/>
            <w:gridSpan w:val="2"/>
          </w:tcPr>
          <w:p w:rsidR="00EC7A53" w:rsidRDefault="00EC7A53" w:rsidP="004F25A8">
            <w:pPr>
              <w:pStyle w:val="TableBodyText"/>
            </w:pP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1755F1">
            <w:pPr>
              <w:pStyle w:val="TableBodyText"/>
              <w:jc w:val="left"/>
            </w:pPr>
            <w:r>
              <w:t>No discussion</w:t>
            </w:r>
          </w:p>
        </w:tc>
        <w:tc>
          <w:tcPr>
            <w:tcW w:w="581" w:type="pct"/>
            <w:gridSpan w:val="2"/>
          </w:tcPr>
          <w:p w:rsidR="00EC7A53" w:rsidRDefault="00EC7A53" w:rsidP="004F25A8">
            <w:pPr>
              <w:pStyle w:val="TableBodyText"/>
              <w:rPr>
                <w:rFonts w:cs="Arial"/>
                <w:color w:val="000000"/>
              </w:rPr>
            </w:pPr>
            <w:r w:rsidRPr="008A3F58">
              <w:t>51</w:t>
            </w: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B77FD6">
            <w:pPr>
              <w:pStyle w:val="TableBodyText"/>
              <w:jc w:val="left"/>
            </w:pPr>
            <w:r w:rsidRPr="00E32627">
              <w:t xml:space="preserve">Yes, but limited discussion </w:t>
            </w:r>
            <w:r>
              <w:t>or quickly dismissed</w:t>
            </w:r>
          </w:p>
        </w:tc>
        <w:tc>
          <w:tcPr>
            <w:tcW w:w="581" w:type="pct"/>
            <w:gridSpan w:val="2"/>
          </w:tcPr>
          <w:p w:rsidR="00EC7A53" w:rsidRDefault="00EC7A53" w:rsidP="004F25A8">
            <w:pPr>
              <w:pStyle w:val="TableBodyText"/>
              <w:rPr>
                <w:rFonts w:cs="Arial"/>
                <w:color w:val="000000"/>
              </w:rPr>
            </w:pPr>
            <w:r w:rsidRPr="008A3F58">
              <w:t>18</w:t>
            </w: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1755F1">
            <w:pPr>
              <w:pStyle w:val="TableBodyText"/>
              <w:jc w:val="left"/>
            </w:pPr>
            <w:r w:rsidRPr="00E32627">
              <w:t>Yes, more extensive discussion</w:t>
            </w:r>
          </w:p>
        </w:tc>
        <w:tc>
          <w:tcPr>
            <w:tcW w:w="581" w:type="pct"/>
            <w:gridSpan w:val="2"/>
          </w:tcPr>
          <w:p w:rsidR="00EC7A53" w:rsidRDefault="00EC7A53" w:rsidP="004F25A8">
            <w:pPr>
              <w:pStyle w:val="TableBodyText"/>
              <w:rPr>
                <w:rFonts w:cs="Arial"/>
                <w:color w:val="000000"/>
              </w:rPr>
            </w:pPr>
            <w:r w:rsidRPr="008A3F58">
              <w:t>31</w:t>
            </w:r>
          </w:p>
        </w:tc>
      </w:tr>
      <w:tr w:rsidR="00EC7A53" w:rsidTr="00405784">
        <w:tc>
          <w:tcPr>
            <w:tcW w:w="4419" w:type="pct"/>
            <w:gridSpan w:val="2"/>
          </w:tcPr>
          <w:p w:rsidR="00EC7A53" w:rsidRDefault="00EC7A53" w:rsidP="004E6B1F">
            <w:pPr>
              <w:pStyle w:val="TableBodyText"/>
              <w:jc w:val="left"/>
            </w:pPr>
            <w:r w:rsidRPr="001755F1">
              <w:t>Was more than one option presented (excluding ‘do nothing’)</w:t>
            </w:r>
            <w:r>
              <w:t>?</w:t>
            </w:r>
          </w:p>
        </w:tc>
        <w:tc>
          <w:tcPr>
            <w:tcW w:w="581" w:type="pct"/>
            <w:gridSpan w:val="2"/>
          </w:tcPr>
          <w:p w:rsidR="00EC7A53" w:rsidRDefault="00EC7A53" w:rsidP="004F25A8">
            <w:pPr>
              <w:pStyle w:val="TableBodyText"/>
            </w:pP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4E6B1F">
            <w:pPr>
              <w:pStyle w:val="TableBodyText"/>
              <w:jc w:val="left"/>
            </w:pPr>
            <w:r>
              <w:t>No</w:t>
            </w:r>
          </w:p>
        </w:tc>
        <w:tc>
          <w:tcPr>
            <w:tcW w:w="581" w:type="pct"/>
            <w:gridSpan w:val="2"/>
          </w:tcPr>
          <w:p w:rsidR="00EC7A53" w:rsidRDefault="00EC7A53" w:rsidP="004F25A8">
            <w:pPr>
              <w:pStyle w:val="TableBodyText"/>
              <w:rPr>
                <w:rFonts w:cs="Arial"/>
                <w:color w:val="000000"/>
              </w:rPr>
            </w:pPr>
            <w:r w:rsidRPr="008A3F58">
              <w:t>32</w:t>
            </w:r>
          </w:p>
        </w:tc>
      </w:tr>
      <w:tr w:rsidR="00EC7A53" w:rsidTr="00405784">
        <w:tc>
          <w:tcPr>
            <w:tcW w:w="964" w:type="pct"/>
          </w:tcPr>
          <w:p w:rsidR="00EC7A53" w:rsidRDefault="00EC7A53" w:rsidP="004E6B1F">
            <w:pPr>
              <w:pStyle w:val="TableBodyText"/>
              <w:jc w:val="left"/>
            </w:pPr>
          </w:p>
        </w:tc>
        <w:tc>
          <w:tcPr>
            <w:tcW w:w="3455" w:type="pct"/>
          </w:tcPr>
          <w:p w:rsidR="00EC7A53" w:rsidRDefault="00EC7A53" w:rsidP="00B77FD6">
            <w:pPr>
              <w:pStyle w:val="TableBodyText"/>
              <w:jc w:val="left"/>
            </w:pPr>
            <w:r>
              <w:t xml:space="preserve">Yes </w:t>
            </w:r>
          </w:p>
        </w:tc>
        <w:tc>
          <w:tcPr>
            <w:tcW w:w="581" w:type="pct"/>
            <w:gridSpan w:val="2"/>
          </w:tcPr>
          <w:p w:rsidR="00EC7A53" w:rsidRDefault="00C525F4" w:rsidP="004F25A8">
            <w:pPr>
              <w:pStyle w:val="TableBodyText"/>
              <w:rPr>
                <w:rFonts w:cs="Arial"/>
                <w:color w:val="000000"/>
              </w:rPr>
            </w:pPr>
            <w:r>
              <w:t>39</w:t>
            </w:r>
          </w:p>
        </w:tc>
      </w:tr>
      <w:tr w:rsidR="0011703B" w:rsidTr="00405784">
        <w:tc>
          <w:tcPr>
            <w:tcW w:w="964" w:type="pct"/>
            <w:tcBorders>
              <w:bottom w:val="single" w:sz="4" w:space="0" w:color="auto"/>
            </w:tcBorders>
          </w:tcPr>
          <w:p w:rsidR="0011703B" w:rsidRDefault="0011703B" w:rsidP="00B77FD6">
            <w:pPr>
              <w:pStyle w:val="TableBodyText"/>
              <w:jc w:val="left"/>
            </w:pPr>
          </w:p>
        </w:tc>
        <w:tc>
          <w:tcPr>
            <w:tcW w:w="3455" w:type="pct"/>
            <w:tcBorders>
              <w:bottom w:val="single" w:sz="4" w:space="0" w:color="auto"/>
            </w:tcBorders>
          </w:tcPr>
          <w:p w:rsidR="0011703B" w:rsidRDefault="00444038" w:rsidP="00B77FD6">
            <w:pPr>
              <w:pStyle w:val="TableBodyText"/>
              <w:jc w:val="left"/>
            </w:pPr>
            <w:r>
              <w:t>Yes,</w:t>
            </w:r>
            <w:r w:rsidRPr="00B77FD6">
              <w:t xml:space="preserve"> but essentially variations of the same option</w:t>
            </w:r>
            <w:r w:rsidRPr="00B77FD6" w:rsidDel="00444038">
              <w:t xml:space="preserve"> </w:t>
            </w:r>
          </w:p>
        </w:tc>
        <w:tc>
          <w:tcPr>
            <w:tcW w:w="581" w:type="pct"/>
            <w:gridSpan w:val="2"/>
            <w:tcBorders>
              <w:bottom w:val="single" w:sz="4" w:space="0" w:color="auto"/>
            </w:tcBorders>
          </w:tcPr>
          <w:p w:rsidR="0011703B" w:rsidRDefault="00444038" w:rsidP="004F25A8">
            <w:pPr>
              <w:pStyle w:val="TableBodyText"/>
              <w:rPr>
                <w:rFonts w:cs="Arial"/>
                <w:color w:val="000000"/>
              </w:rPr>
            </w:pPr>
            <w:r w:rsidRPr="008A3F58">
              <w:t>2</w:t>
            </w:r>
            <w:r>
              <w:t>9</w:t>
            </w:r>
          </w:p>
        </w:tc>
      </w:tr>
    </w:tbl>
    <w:p w:rsidR="00CC2046" w:rsidRDefault="00CC2046" w:rsidP="00CC2046">
      <w:pPr>
        <w:pStyle w:val="Continued"/>
        <w:spacing w:before="40"/>
      </w:pPr>
      <w:r>
        <w:t>(continued next page)</w:t>
      </w:r>
    </w:p>
    <w:p w:rsidR="006C3C39" w:rsidRDefault="006C3C39" w:rsidP="00CC2046">
      <w:pPr>
        <w:pStyle w:val="TableTitle"/>
        <w:tabs>
          <w:tab w:val="left" w:pos="7230"/>
        </w:tabs>
      </w:pPr>
      <w:r>
        <w:rPr>
          <w:b w:val="0"/>
        </w:rPr>
        <w:lastRenderedPageBreak/>
        <w:t xml:space="preserve">Table </w:t>
      </w:r>
      <w:proofErr w:type="spellStart"/>
      <w:r>
        <w:rPr>
          <w:b w:val="0"/>
        </w:rPr>
        <w:t>E.2</w:t>
      </w:r>
      <w:proofErr w:type="spellEnd"/>
      <w:r>
        <w:tab/>
      </w:r>
      <w:proofErr w:type="spellStart"/>
      <w:r>
        <w:t>RIS</w:t>
      </w:r>
      <w:proofErr w:type="spellEnd"/>
      <w:r>
        <w:t xml:space="preserve"> content analysis </w:t>
      </w:r>
      <w:r w:rsidR="00CC2046">
        <w:br/>
      </w:r>
      <w:r>
        <w:t xml:space="preserve">— questions and aggregate results by indicator </w:t>
      </w:r>
      <w:r w:rsidRPr="00CC2046">
        <w:rPr>
          <w:b w:val="0"/>
          <w:sz w:val="20"/>
        </w:rPr>
        <w:t>(cont</w:t>
      </w:r>
      <w:r w:rsidR="00CC2046" w:rsidRPr="00CC2046">
        <w:rPr>
          <w:b w:val="0"/>
          <w:sz w:val="20"/>
        </w:rPr>
        <w:t>inued</w:t>
      </w:r>
      <w:r w:rsidRPr="00CC2046">
        <w:rPr>
          <w:b w:val="0"/>
          <w:sz w:val="20"/>
        </w:rPr>
        <w:t>)</w:t>
      </w:r>
      <w:r w:rsidRPr="00CC2046">
        <w:rPr>
          <w:sz w:val="20"/>
        </w:rPr>
        <w:t xml:space="preserve"> </w:t>
      </w:r>
    </w:p>
    <w:tbl>
      <w:tblPr>
        <w:tblW w:w="5002" w:type="pct"/>
        <w:tblCellMar>
          <w:left w:w="0" w:type="dxa"/>
          <w:right w:w="0" w:type="dxa"/>
        </w:tblCellMar>
        <w:tblLook w:val="0000" w:firstRow="0" w:lastRow="0" w:firstColumn="0" w:lastColumn="0" w:noHBand="0" w:noVBand="0"/>
      </w:tblPr>
      <w:tblGrid>
        <w:gridCol w:w="1421"/>
        <w:gridCol w:w="6095"/>
        <w:gridCol w:w="1277"/>
      </w:tblGrid>
      <w:tr w:rsidR="006C3C39" w:rsidTr="00206E43">
        <w:tc>
          <w:tcPr>
            <w:tcW w:w="808" w:type="pct"/>
            <w:tcBorders>
              <w:top w:val="single" w:sz="6" w:space="0" w:color="auto"/>
              <w:bottom w:val="single" w:sz="6" w:space="0" w:color="auto"/>
            </w:tcBorders>
            <w:shd w:val="clear" w:color="auto" w:fill="auto"/>
          </w:tcPr>
          <w:p w:rsidR="006C3C39" w:rsidRDefault="006C3C39" w:rsidP="00CE4177">
            <w:pPr>
              <w:pStyle w:val="TableColumnHeading"/>
              <w:ind w:right="-282"/>
              <w:jc w:val="left"/>
            </w:pPr>
            <w:r>
              <w:t>Question</w:t>
            </w:r>
          </w:p>
        </w:tc>
        <w:tc>
          <w:tcPr>
            <w:tcW w:w="3466" w:type="pct"/>
            <w:tcBorders>
              <w:top w:val="single" w:sz="6" w:space="0" w:color="auto"/>
              <w:bottom w:val="single" w:sz="6" w:space="0" w:color="auto"/>
            </w:tcBorders>
            <w:shd w:val="clear" w:color="auto" w:fill="auto"/>
          </w:tcPr>
          <w:p w:rsidR="006C3C39" w:rsidRDefault="006C3C39" w:rsidP="00CE4177">
            <w:pPr>
              <w:pStyle w:val="TableColumnHeading"/>
              <w:ind w:right="-282"/>
              <w:jc w:val="left"/>
            </w:pPr>
            <w:r>
              <w:t>Answer</w:t>
            </w:r>
          </w:p>
        </w:tc>
        <w:tc>
          <w:tcPr>
            <w:tcW w:w="726" w:type="pct"/>
            <w:tcBorders>
              <w:top w:val="single" w:sz="6" w:space="0" w:color="auto"/>
              <w:bottom w:val="single" w:sz="6" w:space="0" w:color="auto"/>
            </w:tcBorders>
            <w:shd w:val="clear" w:color="auto" w:fill="auto"/>
          </w:tcPr>
          <w:p w:rsidR="006C3C39" w:rsidRDefault="00C07F8A" w:rsidP="00405784">
            <w:pPr>
              <w:pStyle w:val="TableColumnHeading"/>
            </w:pPr>
            <w:r>
              <w:t>per cent</w:t>
            </w:r>
            <w:r w:rsidR="006C3C39">
              <w:t xml:space="preserve"> </w:t>
            </w:r>
          </w:p>
        </w:tc>
      </w:tr>
      <w:tr w:rsidR="00444038" w:rsidRPr="001755F1" w:rsidTr="00206E43">
        <w:tc>
          <w:tcPr>
            <w:tcW w:w="4274" w:type="pct"/>
            <w:gridSpan w:val="2"/>
            <w:tcBorders>
              <w:top w:val="single" w:sz="4" w:space="0" w:color="auto"/>
            </w:tcBorders>
          </w:tcPr>
          <w:p w:rsidR="00444038" w:rsidRPr="001755F1" w:rsidRDefault="00444038" w:rsidP="00444038">
            <w:pPr>
              <w:pStyle w:val="TableBodyText"/>
              <w:numPr>
                <w:ilvl w:val="0"/>
                <w:numId w:val="17"/>
              </w:numPr>
              <w:spacing w:before="40"/>
              <w:jc w:val="left"/>
              <w:rPr>
                <w:b/>
              </w:rPr>
            </w:pPr>
            <w:r>
              <w:rPr>
                <w:b/>
              </w:rPr>
              <w:t>Impact analysis (costs and benefits)</w:t>
            </w:r>
          </w:p>
        </w:tc>
        <w:tc>
          <w:tcPr>
            <w:tcW w:w="726" w:type="pct"/>
            <w:tcBorders>
              <w:top w:val="single" w:sz="4" w:space="0" w:color="auto"/>
            </w:tcBorders>
          </w:tcPr>
          <w:p w:rsidR="00444038" w:rsidRPr="001755F1" w:rsidRDefault="00444038" w:rsidP="00444038">
            <w:pPr>
              <w:pStyle w:val="TableBodyText"/>
              <w:spacing w:before="40"/>
              <w:rPr>
                <w:b/>
              </w:rPr>
            </w:pPr>
          </w:p>
        </w:tc>
      </w:tr>
      <w:tr w:rsidR="00444038" w:rsidTr="00206E43">
        <w:tc>
          <w:tcPr>
            <w:tcW w:w="4274" w:type="pct"/>
            <w:gridSpan w:val="2"/>
          </w:tcPr>
          <w:p w:rsidR="00444038" w:rsidRDefault="00376207" w:rsidP="00376207">
            <w:pPr>
              <w:pStyle w:val="TableBodyText"/>
              <w:jc w:val="left"/>
            </w:pPr>
            <w:r>
              <w:t>Did the</w:t>
            </w:r>
            <w:r w:rsidR="005C643B">
              <w:t xml:space="preserve"> RIS contain</w:t>
            </w:r>
            <w:r>
              <w:t xml:space="preserve"> </w:t>
            </w:r>
            <w:r w:rsidRPr="00376207">
              <w:rPr>
                <w:i/>
              </w:rPr>
              <w:t>any</w:t>
            </w:r>
            <w:r w:rsidR="00444038">
              <w:t xml:space="preserve"> discussion of the following impacts</w:t>
            </w:r>
            <w:r>
              <w:t>?</w:t>
            </w:r>
          </w:p>
        </w:tc>
        <w:tc>
          <w:tcPr>
            <w:tcW w:w="726" w:type="pct"/>
          </w:tcPr>
          <w:p w:rsidR="00444038" w:rsidRDefault="00444038" w:rsidP="00444038">
            <w:pPr>
              <w:pStyle w:val="TableBodyText"/>
            </w:pPr>
          </w:p>
        </w:tc>
      </w:tr>
      <w:tr w:rsidR="00444038" w:rsidTr="00206E43">
        <w:tc>
          <w:tcPr>
            <w:tcW w:w="4274" w:type="pct"/>
            <w:gridSpan w:val="2"/>
          </w:tcPr>
          <w:p w:rsidR="00444038" w:rsidRDefault="000817D1" w:rsidP="00444038">
            <w:pPr>
              <w:pStyle w:val="TableBodyText"/>
              <w:jc w:val="left"/>
            </w:pPr>
            <w:r>
              <w:t>… i</w:t>
            </w:r>
            <w:r w:rsidR="00444038" w:rsidRPr="00B77FD6">
              <w:t>mpacts on key stakeholder groups</w:t>
            </w:r>
          </w:p>
        </w:tc>
        <w:tc>
          <w:tcPr>
            <w:tcW w:w="726" w:type="pct"/>
          </w:tcPr>
          <w:p w:rsidR="00444038" w:rsidRDefault="00444038" w:rsidP="00444038">
            <w:pPr>
              <w:pStyle w:val="TableBodyText"/>
            </w:pPr>
            <w:r>
              <w:t>97</w:t>
            </w:r>
          </w:p>
        </w:tc>
      </w:tr>
      <w:tr w:rsidR="00444038" w:rsidTr="00206E43">
        <w:tc>
          <w:tcPr>
            <w:tcW w:w="4274" w:type="pct"/>
            <w:gridSpan w:val="2"/>
          </w:tcPr>
          <w:p w:rsidR="00444038" w:rsidRDefault="00444038" w:rsidP="000817D1">
            <w:pPr>
              <w:pStyle w:val="TableBodyText"/>
              <w:jc w:val="left"/>
            </w:pPr>
            <w:r w:rsidRPr="00B77FD6">
              <w:t xml:space="preserve">… </w:t>
            </w:r>
            <w:r w:rsidR="000817D1">
              <w:t>n</w:t>
            </w:r>
            <w:r w:rsidRPr="00B77FD6">
              <w:t>ational market implications</w:t>
            </w:r>
          </w:p>
        </w:tc>
        <w:tc>
          <w:tcPr>
            <w:tcW w:w="726" w:type="pct"/>
          </w:tcPr>
          <w:p w:rsidR="00444038" w:rsidRDefault="00444038" w:rsidP="00444038">
            <w:pPr>
              <w:pStyle w:val="TableBodyText"/>
            </w:pPr>
            <w:r>
              <w:t>38</w:t>
            </w:r>
          </w:p>
        </w:tc>
      </w:tr>
      <w:tr w:rsidR="00444038" w:rsidTr="00206E43">
        <w:tc>
          <w:tcPr>
            <w:tcW w:w="4274" w:type="pct"/>
            <w:gridSpan w:val="2"/>
          </w:tcPr>
          <w:p w:rsidR="00444038" w:rsidRDefault="00444038" w:rsidP="000817D1">
            <w:pPr>
              <w:pStyle w:val="TableBodyText"/>
              <w:jc w:val="left"/>
            </w:pPr>
            <w:r w:rsidRPr="00B77FD6">
              <w:t xml:space="preserve">… </w:t>
            </w:r>
            <w:r w:rsidR="000817D1">
              <w:t>r</w:t>
            </w:r>
            <w:r w:rsidRPr="00B77FD6">
              <w:t>estrictions on competition</w:t>
            </w:r>
          </w:p>
        </w:tc>
        <w:tc>
          <w:tcPr>
            <w:tcW w:w="726" w:type="pct"/>
          </w:tcPr>
          <w:p w:rsidR="00444038" w:rsidRDefault="00444038" w:rsidP="00444038">
            <w:pPr>
              <w:pStyle w:val="TableBodyText"/>
            </w:pPr>
            <w:r>
              <w:t>42</w:t>
            </w:r>
          </w:p>
        </w:tc>
      </w:tr>
      <w:tr w:rsidR="00444038" w:rsidTr="00206E43">
        <w:tc>
          <w:tcPr>
            <w:tcW w:w="4274" w:type="pct"/>
            <w:gridSpan w:val="2"/>
          </w:tcPr>
          <w:p w:rsidR="00444038" w:rsidRDefault="00444038" w:rsidP="000817D1">
            <w:pPr>
              <w:pStyle w:val="TableBodyText"/>
              <w:jc w:val="left"/>
            </w:pPr>
            <w:r w:rsidRPr="00B77FD6">
              <w:t xml:space="preserve">… </w:t>
            </w:r>
            <w:r w:rsidR="000817D1">
              <w:t>s</w:t>
            </w:r>
            <w:r w:rsidRPr="00B77FD6">
              <w:t>ocial impacts</w:t>
            </w:r>
          </w:p>
        </w:tc>
        <w:tc>
          <w:tcPr>
            <w:tcW w:w="726" w:type="pct"/>
          </w:tcPr>
          <w:p w:rsidR="00444038" w:rsidRDefault="00444038" w:rsidP="00444038">
            <w:pPr>
              <w:pStyle w:val="TableBodyText"/>
            </w:pPr>
            <w:r>
              <w:t>61</w:t>
            </w:r>
          </w:p>
        </w:tc>
      </w:tr>
      <w:tr w:rsidR="00444038" w:rsidTr="00206E43">
        <w:tc>
          <w:tcPr>
            <w:tcW w:w="4274" w:type="pct"/>
            <w:gridSpan w:val="2"/>
          </w:tcPr>
          <w:p w:rsidR="00444038" w:rsidRDefault="00444038" w:rsidP="000817D1">
            <w:pPr>
              <w:pStyle w:val="TableBodyText"/>
              <w:jc w:val="left"/>
            </w:pPr>
            <w:r w:rsidRPr="00B77FD6">
              <w:t xml:space="preserve">… </w:t>
            </w:r>
            <w:r w:rsidR="000817D1">
              <w:t>e</w:t>
            </w:r>
            <w:r w:rsidRPr="00B77FD6">
              <w:t>nvironmental impacts</w:t>
            </w:r>
          </w:p>
        </w:tc>
        <w:tc>
          <w:tcPr>
            <w:tcW w:w="726" w:type="pct"/>
          </w:tcPr>
          <w:p w:rsidR="00444038" w:rsidRDefault="00444038" w:rsidP="00444038">
            <w:pPr>
              <w:pStyle w:val="TableBodyText"/>
            </w:pPr>
            <w:r>
              <w:t>37</w:t>
            </w:r>
          </w:p>
        </w:tc>
      </w:tr>
      <w:tr w:rsidR="00444038" w:rsidTr="00206E43">
        <w:tc>
          <w:tcPr>
            <w:tcW w:w="4274" w:type="pct"/>
            <w:gridSpan w:val="2"/>
          </w:tcPr>
          <w:p w:rsidR="00444038" w:rsidRDefault="00444038" w:rsidP="000817D1">
            <w:pPr>
              <w:pStyle w:val="TableBodyText"/>
              <w:jc w:val="left"/>
            </w:pPr>
            <w:r w:rsidRPr="00B77FD6">
              <w:t xml:space="preserve">… </w:t>
            </w:r>
            <w:r w:rsidR="000817D1">
              <w:t>s</w:t>
            </w:r>
            <w:r w:rsidRPr="00B77FD6">
              <w:t>mall business impacts</w:t>
            </w:r>
          </w:p>
        </w:tc>
        <w:tc>
          <w:tcPr>
            <w:tcW w:w="726" w:type="pct"/>
          </w:tcPr>
          <w:p w:rsidR="00444038" w:rsidRDefault="00444038" w:rsidP="00444038">
            <w:pPr>
              <w:pStyle w:val="TableBodyText"/>
            </w:pPr>
            <w:r>
              <w:t>35</w:t>
            </w:r>
          </w:p>
        </w:tc>
      </w:tr>
      <w:tr w:rsidR="00444038" w:rsidTr="00206E43">
        <w:tc>
          <w:tcPr>
            <w:tcW w:w="4274" w:type="pct"/>
            <w:gridSpan w:val="2"/>
          </w:tcPr>
          <w:p w:rsidR="00444038" w:rsidRDefault="00444038" w:rsidP="000817D1">
            <w:pPr>
              <w:pStyle w:val="TableBodyText"/>
              <w:jc w:val="left"/>
              <w:rPr>
                <w:i/>
              </w:rPr>
            </w:pPr>
            <w:r w:rsidRPr="00B77FD6">
              <w:t xml:space="preserve">… </w:t>
            </w:r>
            <w:r w:rsidR="000817D1">
              <w:t>r</w:t>
            </w:r>
            <w:r w:rsidRPr="00B77FD6">
              <w:t>egional impacts</w:t>
            </w:r>
            <w:r>
              <w:t xml:space="preserve"> </w:t>
            </w:r>
          </w:p>
        </w:tc>
        <w:tc>
          <w:tcPr>
            <w:tcW w:w="726" w:type="pct"/>
          </w:tcPr>
          <w:p w:rsidR="00444038" w:rsidRDefault="00444038" w:rsidP="00444038">
            <w:pPr>
              <w:pStyle w:val="TableBodyText"/>
            </w:pPr>
            <w:r>
              <w:t>28</w:t>
            </w:r>
          </w:p>
        </w:tc>
      </w:tr>
      <w:tr w:rsidR="005C643B" w:rsidTr="00206E43">
        <w:tc>
          <w:tcPr>
            <w:tcW w:w="4274" w:type="pct"/>
            <w:gridSpan w:val="2"/>
          </w:tcPr>
          <w:p w:rsidR="005C643B" w:rsidRDefault="005C643B" w:rsidP="005C643B">
            <w:pPr>
              <w:pStyle w:val="TableBodyText"/>
              <w:jc w:val="left"/>
            </w:pPr>
            <w:r>
              <w:br/>
              <w:t>Did the RIS include …</w:t>
            </w:r>
          </w:p>
        </w:tc>
        <w:tc>
          <w:tcPr>
            <w:tcW w:w="726" w:type="pct"/>
          </w:tcPr>
          <w:p w:rsidR="005C643B" w:rsidRDefault="005C643B" w:rsidP="00444038">
            <w:pPr>
              <w:pStyle w:val="TableBodyText"/>
              <w:rPr>
                <w:rFonts w:cs="Arial"/>
                <w:color w:val="000000"/>
              </w:rPr>
            </w:pPr>
          </w:p>
        </w:tc>
      </w:tr>
      <w:tr w:rsidR="00B77FD6" w:rsidTr="00206E43">
        <w:tc>
          <w:tcPr>
            <w:tcW w:w="4274" w:type="pct"/>
            <w:gridSpan w:val="2"/>
          </w:tcPr>
          <w:p w:rsidR="00B77FD6" w:rsidRDefault="005C643B" w:rsidP="005C643B">
            <w:pPr>
              <w:pStyle w:val="TableBodyText"/>
              <w:ind w:right="-282"/>
              <w:jc w:val="left"/>
            </w:pPr>
            <w:r>
              <w:t>…</w:t>
            </w:r>
            <w:r w:rsidR="008A6F75">
              <w:t xml:space="preserve"> </w:t>
            </w:r>
            <w:r>
              <w:t>q</w:t>
            </w:r>
            <w:r w:rsidR="0011703B" w:rsidRPr="00B77FD6">
              <w:t>uantification of predicted costs</w:t>
            </w:r>
            <w:r w:rsidR="000817D1">
              <w:t>?</w:t>
            </w:r>
          </w:p>
        </w:tc>
        <w:tc>
          <w:tcPr>
            <w:tcW w:w="726" w:type="pct"/>
          </w:tcPr>
          <w:p w:rsidR="00B77FD6" w:rsidRPr="005C643B" w:rsidRDefault="00B77FD6" w:rsidP="005C643B">
            <w:pPr>
              <w:pStyle w:val="TableBodyText"/>
              <w:ind w:right="-282"/>
              <w:jc w:val="left"/>
            </w:pPr>
          </w:p>
        </w:tc>
      </w:tr>
      <w:tr w:rsidR="00444038" w:rsidTr="00206E43">
        <w:tc>
          <w:tcPr>
            <w:tcW w:w="808" w:type="pct"/>
          </w:tcPr>
          <w:p w:rsidR="00444038" w:rsidRDefault="00444038" w:rsidP="00CE4177">
            <w:pPr>
              <w:pStyle w:val="TableBodyText"/>
              <w:ind w:right="-282"/>
              <w:jc w:val="left"/>
            </w:pPr>
          </w:p>
        </w:tc>
        <w:tc>
          <w:tcPr>
            <w:tcW w:w="3466" w:type="pct"/>
          </w:tcPr>
          <w:p w:rsidR="00444038" w:rsidRDefault="00444038" w:rsidP="00CE4177">
            <w:pPr>
              <w:pStyle w:val="TableBodyText"/>
              <w:ind w:right="-282"/>
              <w:jc w:val="left"/>
            </w:pPr>
            <w:r w:rsidRPr="00B77FD6">
              <w:t>No</w:t>
            </w:r>
            <w:r>
              <w:t xml:space="preserve">, </w:t>
            </w:r>
            <w:r w:rsidRPr="00B77FD6">
              <w:t>solely qualitative discussion</w:t>
            </w:r>
          </w:p>
        </w:tc>
        <w:tc>
          <w:tcPr>
            <w:tcW w:w="726" w:type="pct"/>
          </w:tcPr>
          <w:p w:rsidR="00444038" w:rsidRPr="00FB0E94" w:rsidRDefault="00444038" w:rsidP="002330A5">
            <w:pPr>
              <w:pStyle w:val="TableBodyText"/>
            </w:pPr>
            <w:r w:rsidRPr="00D6333A">
              <w:t>27</w:t>
            </w:r>
          </w:p>
        </w:tc>
      </w:tr>
      <w:tr w:rsidR="00444038" w:rsidTr="00206E43">
        <w:tc>
          <w:tcPr>
            <w:tcW w:w="808" w:type="pct"/>
          </w:tcPr>
          <w:p w:rsidR="00444038" w:rsidRDefault="00444038" w:rsidP="00CE4177">
            <w:pPr>
              <w:pStyle w:val="TableBodyText"/>
              <w:ind w:right="-282"/>
              <w:jc w:val="left"/>
            </w:pPr>
          </w:p>
        </w:tc>
        <w:tc>
          <w:tcPr>
            <w:tcW w:w="3466" w:type="pct"/>
          </w:tcPr>
          <w:p w:rsidR="00444038" w:rsidRDefault="00444038" w:rsidP="00CE4177">
            <w:pPr>
              <w:pStyle w:val="TableBodyText"/>
              <w:ind w:right="-282"/>
              <w:jc w:val="left"/>
            </w:pPr>
            <w:r w:rsidRPr="00B77FD6">
              <w:t>Very basic quantification</w:t>
            </w:r>
          </w:p>
        </w:tc>
        <w:tc>
          <w:tcPr>
            <w:tcW w:w="726" w:type="pct"/>
          </w:tcPr>
          <w:p w:rsidR="00444038" w:rsidRPr="00FB0E94" w:rsidRDefault="00444038" w:rsidP="002330A5">
            <w:pPr>
              <w:pStyle w:val="TableBodyText"/>
            </w:pPr>
            <w:r w:rsidRPr="00D6333A">
              <w:t>1</w:t>
            </w:r>
            <w:r>
              <w:t>9</w:t>
            </w:r>
          </w:p>
        </w:tc>
      </w:tr>
      <w:tr w:rsidR="00444038" w:rsidTr="00206E43">
        <w:tc>
          <w:tcPr>
            <w:tcW w:w="808" w:type="pct"/>
          </w:tcPr>
          <w:p w:rsidR="00444038" w:rsidRDefault="00444038" w:rsidP="00CE4177">
            <w:pPr>
              <w:pStyle w:val="TableBodyText"/>
              <w:ind w:right="-282"/>
              <w:jc w:val="left"/>
            </w:pPr>
          </w:p>
        </w:tc>
        <w:tc>
          <w:tcPr>
            <w:tcW w:w="3466" w:type="pct"/>
          </w:tcPr>
          <w:p w:rsidR="00444038" w:rsidRDefault="00444038" w:rsidP="00CE4177">
            <w:pPr>
              <w:pStyle w:val="TableBodyText"/>
              <w:ind w:right="-282"/>
              <w:jc w:val="left"/>
            </w:pPr>
            <w:r w:rsidRPr="00B77FD6">
              <w:t>Quantification of some aspects, but with gaps</w:t>
            </w:r>
          </w:p>
        </w:tc>
        <w:tc>
          <w:tcPr>
            <w:tcW w:w="726" w:type="pct"/>
          </w:tcPr>
          <w:p w:rsidR="00444038" w:rsidRPr="00FB0E94" w:rsidRDefault="00444038" w:rsidP="002330A5">
            <w:pPr>
              <w:pStyle w:val="TableBodyText"/>
            </w:pPr>
            <w:r w:rsidRPr="00D6333A">
              <w:t>3</w:t>
            </w:r>
            <w:r>
              <w:t>6</w:t>
            </w:r>
          </w:p>
        </w:tc>
      </w:tr>
      <w:tr w:rsidR="00444038" w:rsidTr="00206E43">
        <w:tc>
          <w:tcPr>
            <w:tcW w:w="808" w:type="pct"/>
          </w:tcPr>
          <w:p w:rsidR="00444038" w:rsidRDefault="00444038" w:rsidP="00CE4177">
            <w:pPr>
              <w:pStyle w:val="TableBodyText"/>
              <w:ind w:right="-282"/>
              <w:jc w:val="left"/>
            </w:pPr>
          </w:p>
        </w:tc>
        <w:tc>
          <w:tcPr>
            <w:tcW w:w="3466" w:type="pct"/>
          </w:tcPr>
          <w:p w:rsidR="00444038" w:rsidRDefault="00444038" w:rsidP="00CE4177">
            <w:pPr>
              <w:pStyle w:val="TableBodyText"/>
              <w:ind w:right="-282"/>
              <w:jc w:val="left"/>
            </w:pPr>
            <w:r w:rsidRPr="00B77FD6">
              <w:t>Extensive quantification for most/all aspects</w:t>
            </w:r>
          </w:p>
        </w:tc>
        <w:tc>
          <w:tcPr>
            <w:tcW w:w="726" w:type="pct"/>
          </w:tcPr>
          <w:p w:rsidR="00444038" w:rsidRPr="00FB0E94" w:rsidRDefault="00444038" w:rsidP="002330A5">
            <w:pPr>
              <w:pStyle w:val="TableBodyText"/>
            </w:pPr>
            <w:r w:rsidRPr="00D6333A">
              <w:t>1</w:t>
            </w:r>
            <w:r>
              <w:t>8</w:t>
            </w:r>
          </w:p>
        </w:tc>
      </w:tr>
      <w:tr w:rsidR="00916459" w:rsidTr="00206E43">
        <w:tc>
          <w:tcPr>
            <w:tcW w:w="4274" w:type="pct"/>
            <w:gridSpan w:val="2"/>
          </w:tcPr>
          <w:p w:rsidR="00916459" w:rsidRDefault="005C643B" w:rsidP="005C643B">
            <w:pPr>
              <w:pStyle w:val="TableBodyText"/>
              <w:ind w:right="-282"/>
              <w:jc w:val="left"/>
            </w:pPr>
            <w:r>
              <w:t>… m</w:t>
            </w:r>
            <w:r w:rsidR="00916459">
              <w:t>onetisation</w:t>
            </w:r>
            <w:r w:rsidR="00916459" w:rsidRPr="00B77FD6">
              <w:t xml:space="preserve"> of predicted costs</w:t>
            </w:r>
            <w:r w:rsidR="000817D1">
              <w:t>?</w:t>
            </w:r>
          </w:p>
        </w:tc>
        <w:tc>
          <w:tcPr>
            <w:tcW w:w="726" w:type="pct"/>
          </w:tcPr>
          <w:p w:rsidR="00916459" w:rsidRDefault="00916459" w:rsidP="002330A5">
            <w:pPr>
              <w:pStyle w:val="TableBodyText"/>
              <w:rPr>
                <w:szCs w:val="24"/>
              </w:rPr>
            </w:pPr>
          </w:p>
        </w:tc>
      </w:tr>
      <w:tr w:rsidR="00444038" w:rsidTr="00206E43">
        <w:tc>
          <w:tcPr>
            <w:tcW w:w="808" w:type="pct"/>
          </w:tcPr>
          <w:p w:rsidR="00444038" w:rsidRDefault="00444038" w:rsidP="00CE4177">
            <w:pPr>
              <w:pStyle w:val="TableBodyText"/>
              <w:ind w:right="-282"/>
              <w:jc w:val="left"/>
            </w:pPr>
          </w:p>
        </w:tc>
        <w:tc>
          <w:tcPr>
            <w:tcW w:w="3466" w:type="pct"/>
          </w:tcPr>
          <w:p w:rsidR="00444038" w:rsidRDefault="00444038" w:rsidP="00CE4177">
            <w:pPr>
              <w:pStyle w:val="TableBodyText"/>
              <w:ind w:right="-282"/>
              <w:jc w:val="left"/>
            </w:pPr>
            <w:r w:rsidRPr="00B77FD6">
              <w:t>No</w:t>
            </w:r>
            <w:r>
              <w:t xml:space="preserve">, </w:t>
            </w:r>
            <w:r w:rsidRPr="00B77FD6">
              <w:t>solely qualitative discussion</w:t>
            </w:r>
          </w:p>
        </w:tc>
        <w:tc>
          <w:tcPr>
            <w:tcW w:w="726" w:type="pct"/>
          </w:tcPr>
          <w:p w:rsidR="00444038" w:rsidRPr="00FB0E94" w:rsidRDefault="00444038" w:rsidP="002330A5">
            <w:pPr>
              <w:pStyle w:val="TableBodyText"/>
            </w:pPr>
            <w:r w:rsidRPr="00D6333A">
              <w:t>30</w:t>
            </w:r>
          </w:p>
        </w:tc>
      </w:tr>
      <w:tr w:rsidR="00444038" w:rsidTr="00206E43">
        <w:tc>
          <w:tcPr>
            <w:tcW w:w="808" w:type="pct"/>
          </w:tcPr>
          <w:p w:rsidR="00444038" w:rsidRDefault="00444038" w:rsidP="00CE4177">
            <w:pPr>
              <w:pStyle w:val="TableBodyText"/>
              <w:ind w:right="-282"/>
              <w:jc w:val="left"/>
            </w:pPr>
          </w:p>
        </w:tc>
        <w:tc>
          <w:tcPr>
            <w:tcW w:w="3466" w:type="pct"/>
          </w:tcPr>
          <w:p w:rsidR="00444038" w:rsidRDefault="00444038" w:rsidP="00CE4177">
            <w:pPr>
              <w:pStyle w:val="TableBodyText"/>
              <w:ind w:right="-282"/>
              <w:jc w:val="left"/>
            </w:pPr>
            <w:r w:rsidRPr="00B77FD6">
              <w:t xml:space="preserve">Very basic </w:t>
            </w:r>
            <w:r>
              <w:t>monetisation</w:t>
            </w:r>
          </w:p>
        </w:tc>
        <w:tc>
          <w:tcPr>
            <w:tcW w:w="726" w:type="pct"/>
          </w:tcPr>
          <w:p w:rsidR="00444038" w:rsidRPr="00FB0E94" w:rsidRDefault="00444038" w:rsidP="002330A5">
            <w:pPr>
              <w:pStyle w:val="TableBodyText"/>
            </w:pPr>
            <w:r w:rsidRPr="00D6333A">
              <w:t>1</w:t>
            </w:r>
            <w:r>
              <w:t>8</w:t>
            </w:r>
          </w:p>
        </w:tc>
      </w:tr>
      <w:tr w:rsidR="00444038" w:rsidTr="00206E43">
        <w:tc>
          <w:tcPr>
            <w:tcW w:w="808" w:type="pct"/>
          </w:tcPr>
          <w:p w:rsidR="00444038" w:rsidRDefault="00444038" w:rsidP="00CE4177">
            <w:pPr>
              <w:pStyle w:val="TableBodyText"/>
              <w:ind w:right="-282"/>
              <w:jc w:val="left"/>
            </w:pPr>
          </w:p>
        </w:tc>
        <w:tc>
          <w:tcPr>
            <w:tcW w:w="3466" w:type="pct"/>
          </w:tcPr>
          <w:p w:rsidR="00444038" w:rsidRDefault="00444038" w:rsidP="00CE4177">
            <w:pPr>
              <w:pStyle w:val="TableBodyText"/>
              <w:ind w:right="-282"/>
              <w:jc w:val="left"/>
            </w:pPr>
            <w:r>
              <w:t>Monetisation</w:t>
            </w:r>
            <w:r w:rsidRPr="00B77FD6">
              <w:t xml:space="preserve"> of some aspects, but with gaps</w:t>
            </w:r>
          </w:p>
        </w:tc>
        <w:tc>
          <w:tcPr>
            <w:tcW w:w="726" w:type="pct"/>
          </w:tcPr>
          <w:p w:rsidR="00444038" w:rsidRPr="00FB0E94" w:rsidRDefault="00444038" w:rsidP="002330A5">
            <w:pPr>
              <w:pStyle w:val="TableBodyText"/>
            </w:pPr>
            <w:r w:rsidRPr="00D6333A">
              <w:t>3</w:t>
            </w:r>
            <w:r>
              <w:t>5</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 xml:space="preserve">Extensive </w:t>
            </w:r>
            <w:r>
              <w:t>monetisation</w:t>
            </w:r>
            <w:r w:rsidRPr="00B77FD6">
              <w:t xml:space="preserve"> for most/all aspects</w:t>
            </w:r>
          </w:p>
        </w:tc>
        <w:tc>
          <w:tcPr>
            <w:tcW w:w="726" w:type="pct"/>
          </w:tcPr>
          <w:p w:rsidR="00916459" w:rsidRPr="00FB0E94" w:rsidRDefault="00444038" w:rsidP="002330A5">
            <w:pPr>
              <w:pStyle w:val="TableBodyText"/>
            </w:pPr>
            <w:r>
              <w:t>17</w:t>
            </w:r>
          </w:p>
        </w:tc>
      </w:tr>
      <w:tr w:rsidR="00916459" w:rsidTr="00206E43">
        <w:tc>
          <w:tcPr>
            <w:tcW w:w="4274" w:type="pct"/>
            <w:gridSpan w:val="2"/>
          </w:tcPr>
          <w:p w:rsidR="00916459" w:rsidRDefault="005C643B" w:rsidP="005C643B">
            <w:pPr>
              <w:pStyle w:val="TableBodyText"/>
              <w:ind w:right="-282"/>
              <w:jc w:val="left"/>
            </w:pPr>
            <w:r>
              <w:t>… q</w:t>
            </w:r>
            <w:r w:rsidR="00916459" w:rsidRPr="00B77FD6">
              <w:t xml:space="preserve">uantification of predicted </w:t>
            </w:r>
            <w:r w:rsidR="00916459">
              <w:t>benefits</w:t>
            </w:r>
            <w:r w:rsidR="000817D1">
              <w:t>?</w:t>
            </w:r>
          </w:p>
        </w:tc>
        <w:tc>
          <w:tcPr>
            <w:tcW w:w="726" w:type="pct"/>
          </w:tcPr>
          <w:p w:rsidR="00916459" w:rsidRDefault="00916459" w:rsidP="002330A5">
            <w:pPr>
              <w:pStyle w:val="TableBodyText"/>
              <w:rPr>
                <w:szCs w:val="24"/>
              </w:rPr>
            </w:pP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No</w:t>
            </w:r>
            <w:r>
              <w:t xml:space="preserve">, </w:t>
            </w:r>
            <w:r w:rsidRPr="00B77FD6">
              <w:t>solely qualitative discussion</w:t>
            </w:r>
          </w:p>
        </w:tc>
        <w:tc>
          <w:tcPr>
            <w:tcW w:w="726" w:type="pct"/>
          </w:tcPr>
          <w:p w:rsidR="00916459" w:rsidRPr="00FB0E94" w:rsidRDefault="00405784" w:rsidP="00405784">
            <w:pPr>
              <w:pStyle w:val="TableBodyText"/>
            </w:pPr>
            <w:r w:rsidRPr="00D6333A">
              <w:t>4</w:t>
            </w:r>
            <w:r>
              <w:t>2</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Very basic quantification</w:t>
            </w:r>
          </w:p>
        </w:tc>
        <w:tc>
          <w:tcPr>
            <w:tcW w:w="726" w:type="pct"/>
          </w:tcPr>
          <w:p w:rsidR="00916459" w:rsidRPr="00FB0E94" w:rsidRDefault="00405784" w:rsidP="00405784">
            <w:pPr>
              <w:pStyle w:val="TableBodyText"/>
            </w:pPr>
            <w:r w:rsidRPr="00D6333A">
              <w:t>1</w:t>
            </w:r>
            <w:r>
              <w:t>8</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Quantification of some aspects, but with gaps</w:t>
            </w:r>
          </w:p>
        </w:tc>
        <w:tc>
          <w:tcPr>
            <w:tcW w:w="726" w:type="pct"/>
          </w:tcPr>
          <w:p w:rsidR="00916459" w:rsidRPr="00FB0E94" w:rsidRDefault="00405784" w:rsidP="002330A5">
            <w:pPr>
              <w:pStyle w:val="TableBodyText"/>
            </w:pPr>
            <w:r>
              <w:t>30</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Extensive quantification for most/all aspects</w:t>
            </w:r>
          </w:p>
        </w:tc>
        <w:tc>
          <w:tcPr>
            <w:tcW w:w="726" w:type="pct"/>
          </w:tcPr>
          <w:p w:rsidR="00916459" w:rsidRPr="00FB0E94" w:rsidRDefault="00405784" w:rsidP="00405784">
            <w:pPr>
              <w:pStyle w:val="TableBodyText"/>
            </w:pPr>
            <w:r w:rsidRPr="00D6333A">
              <w:t>1</w:t>
            </w:r>
            <w:r>
              <w:t>0</w:t>
            </w:r>
          </w:p>
        </w:tc>
      </w:tr>
      <w:tr w:rsidR="00B77FD6" w:rsidTr="00206E43">
        <w:tc>
          <w:tcPr>
            <w:tcW w:w="4274" w:type="pct"/>
            <w:gridSpan w:val="2"/>
          </w:tcPr>
          <w:p w:rsidR="00B77FD6" w:rsidRDefault="005C643B" w:rsidP="005C643B">
            <w:pPr>
              <w:pStyle w:val="TableBodyText"/>
              <w:ind w:right="-282"/>
              <w:jc w:val="left"/>
            </w:pPr>
            <w:r>
              <w:t>… m</w:t>
            </w:r>
            <w:r w:rsidR="00B77FD6">
              <w:t>onetisation</w:t>
            </w:r>
            <w:r w:rsidR="00B77FD6" w:rsidRPr="00B77FD6">
              <w:t xml:space="preserve"> of predicted </w:t>
            </w:r>
            <w:r w:rsidR="00B77FD6">
              <w:t>benefits</w:t>
            </w:r>
            <w:r w:rsidR="000817D1">
              <w:t>?</w:t>
            </w:r>
          </w:p>
        </w:tc>
        <w:tc>
          <w:tcPr>
            <w:tcW w:w="726" w:type="pct"/>
          </w:tcPr>
          <w:p w:rsidR="00B77FD6" w:rsidRDefault="00B77FD6" w:rsidP="002330A5">
            <w:pPr>
              <w:pStyle w:val="TableBodyText"/>
              <w:rPr>
                <w:szCs w:val="24"/>
              </w:rPr>
            </w:pP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No</w:t>
            </w:r>
            <w:r>
              <w:t xml:space="preserve">, </w:t>
            </w:r>
            <w:r w:rsidRPr="00B77FD6">
              <w:t>solely qualitative discussion</w:t>
            </w:r>
          </w:p>
        </w:tc>
        <w:tc>
          <w:tcPr>
            <w:tcW w:w="726" w:type="pct"/>
          </w:tcPr>
          <w:p w:rsidR="00916459" w:rsidRPr="00FB0E94" w:rsidRDefault="00916459" w:rsidP="002330A5">
            <w:pPr>
              <w:pStyle w:val="TableBodyText"/>
            </w:pPr>
            <w:r w:rsidRPr="005F4587">
              <w:t>47</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 xml:space="preserve">Very basic </w:t>
            </w:r>
            <w:r>
              <w:t>monetisation</w:t>
            </w:r>
          </w:p>
        </w:tc>
        <w:tc>
          <w:tcPr>
            <w:tcW w:w="726" w:type="pct"/>
          </w:tcPr>
          <w:p w:rsidR="00916459" w:rsidRPr="00FB0E94" w:rsidRDefault="00405784" w:rsidP="00405784">
            <w:pPr>
              <w:pStyle w:val="TableBodyText"/>
            </w:pPr>
            <w:r w:rsidRPr="005F4587">
              <w:t>1</w:t>
            </w:r>
            <w:r>
              <w:t>8</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t>Monetisation</w:t>
            </w:r>
            <w:r w:rsidRPr="00B77FD6">
              <w:t xml:space="preserve"> of some aspects, but with gaps</w:t>
            </w:r>
          </w:p>
        </w:tc>
        <w:tc>
          <w:tcPr>
            <w:tcW w:w="726" w:type="pct"/>
          </w:tcPr>
          <w:p w:rsidR="00916459" w:rsidRPr="00FB0E94" w:rsidRDefault="00405784" w:rsidP="00405784">
            <w:pPr>
              <w:pStyle w:val="TableBodyText"/>
            </w:pPr>
            <w:r w:rsidRPr="005F4587">
              <w:t>2</w:t>
            </w:r>
            <w:r>
              <w:t>6</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 xml:space="preserve">Extensive </w:t>
            </w:r>
            <w:r>
              <w:t>monetisation</w:t>
            </w:r>
            <w:r w:rsidRPr="00B77FD6">
              <w:t xml:space="preserve"> for most/all aspects</w:t>
            </w:r>
          </w:p>
        </w:tc>
        <w:tc>
          <w:tcPr>
            <w:tcW w:w="726" w:type="pct"/>
          </w:tcPr>
          <w:p w:rsidR="00916459" w:rsidRPr="00FB0E94" w:rsidRDefault="00405784" w:rsidP="002330A5">
            <w:pPr>
              <w:pStyle w:val="TableBodyText"/>
            </w:pPr>
            <w:r>
              <w:t>9</w:t>
            </w:r>
          </w:p>
        </w:tc>
      </w:tr>
      <w:tr w:rsidR="00B77FD6" w:rsidTr="00206E43">
        <w:tc>
          <w:tcPr>
            <w:tcW w:w="4274" w:type="pct"/>
            <w:gridSpan w:val="2"/>
          </w:tcPr>
          <w:p w:rsidR="00B77FD6" w:rsidRDefault="005C643B" w:rsidP="000817D1">
            <w:pPr>
              <w:pStyle w:val="TableBodyText"/>
              <w:ind w:right="-282"/>
              <w:jc w:val="left"/>
            </w:pPr>
            <w:r>
              <w:t xml:space="preserve">… </w:t>
            </w:r>
            <w:r w:rsidR="000817D1">
              <w:t xml:space="preserve">quantified </w:t>
            </w:r>
            <w:r>
              <w:t>a</w:t>
            </w:r>
            <w:r w:rsidR="00B77FD6" w:rsidRPr="00B77FD6">
              <w:t>dmin</w:t>
            </w:r>
            <w:r w:rsidR="00B77FD6">
              <w:t xml:space="preserve">istrative and </w:t>
            </w:r>
            <w:r w:rsidR="000817D1">
              <w:t>compliance costs for business?</w:t>
            </w:r>
          </w:p>
        </w:tc>
        <w:tc>
          <w:tcPr>
            <w:tcW w:w="726" w:type="pct"/>
          </w:tcPr>
          <w:p w:rsidR="00B77FD6" w:rsidRDefault="00B77FD6" w:rsidP="002330A5">
            <w:pPr>
              <w:pStyle w:val="TableBodyText"/>
              <w:rPr>
                <w:szCs w:val="24"/>
              </w:rPr>
            </w:pP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No</w:t>
            </w:r>
            <w:r>
              <w:t xml:space="preserve">, </w:t>
            </w:r>
            <w:r w:rsidRPr="00B77FD6">
              <w:t>solely qualitative discussion</w:t>
            </w:r>
          </w:p>
        </w:tc>
        <w:tc>
          <w:tcPr>
            <w:tcW w:w="726" w:type="pct"/>
          </w:tcPr>
          <w:p w:rsidR="00916459" w:rsidRPr="00FB0E94" w:rsidRDefault="00405784" w:rsidP="00405784">
            <w:pPr>
              <w:pStyle w:val="TableBodyText"/>
            </w:pPr>
            <w:r w:rsidRPr="00932107">
              <w:t>3</w:t>
            </w:r>
            <w:r>
              <w:t>4</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Very basic quantification</w:t>
            </w:r>
          </w:p>
        </w:tc>
        <w:tc>
          <w:tcPr>
            <w:tcW w:w="726" w:type="pct"/>
          </w:tcPr>
          <w:p w:rsidR="00916459" w:rsidRPr="00FB0E94" w:rsidRDefault="00405784" w:rsidP="00405784">
            <w:pPr>
              <w:pStyle w:val="TableBodyText"/>
            </w:pPr>
            <w:r w:rsidRPr="00932107">
              <w:t>1</w:t>
            </w:r>
            <w:r>
              <w:t>7</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Quantification of some aspects, but with gaps</w:t>
            </w:r>
          </w:p>
        </w:tc>
        <w:tc>
          <w:tcPr>
            <w:tcW w:w="726" w:type="pct"/>
          </w:tcPr>
          <w:p w:rsidR="00916459" w:rsidRPr="00FB0E94" w:rsidRDefault="00405784" w:rsidP="00405784">
            <w:pPr>
              <w:pStyle w:val="TableBodyText"/>
            </w:pPr>
            <w:r w:rsidRPr="00932107">
              <w:t>3</w:t>
            </w:r>
            <w:r>
              <w:t>4</w:t>
            </w:r>
          </w:p>
        </w:tc>
      </w:tr>
      <w:tr w:rsidR="00916459" w:rsidTr="00206E43">
        <w:tc>
          <w:tcPr>
            <w:tcW w:w="808" w:type="pct"/>
          </w:tcPr>
          <w:p w:rsidR="00916459" w:rsidRDefault="00916459" w:rsidP="00CE4177">
            <w:pPr>
              <w:pStyle w:val="TableBodyText"/>
              <w:ind w:right="-282"/>
              <w:jc w:val="left"/>
            </w:pPr>
          </w:p>
        </w:tc>
        <w:tc>
          <w:tcPr>
            <w:tcW w:w="3466" w:type="pct"/>
          </w:tcPr>
          <w:p w:rsidR="00916459" w:rsidRDefault="00916459" w:rsidP="00CE4177">
            <w:pPr>
              <w:pStyle w:val="TableBodyText"/>
              <w:ind w:right="-282"/>
              <w:jc w:val="left"/>
            </w:pPr>
            <w:r w:rsidRPr="00B77FD6">
              <w:t>Extensive quantification for most/all aspects</w:t>
            </w:r>
          </w:p>
        </w:tc>
        <w:tc>
          <w:tcPr>
            <w:tcW w:w="726" w:type="pct"/>
          </w:tcPr>
          <w:p w:rsidR="00916459" w:rsidRPr="00FB0E94" w:rsidRDefault="00405784" w:rsidP="00405784">
            <w:pPr>
              <w:pStyle w:val="TableBodyText"/>
            </w:pPr>
            <w:r w:rsidRPr="00932107">
              <w:t>1</w:t>
            </w:r>
            <w:r>
              <w:t>5</w:t>
            </w:r>
          </w:p>
        </w:tc>
      </w:tr>
      <w:tr w:rsidR="009B7D7A" w:rsidTr="00206E43">
        <w:tc>
          <w:tcPr>
            <w:tcW w:w="4274" w:type="pct"/>
            <w:gridSpan w:val="2"/>
          </w:tcPr>
          <w:p w:rsidR="009B7D7A" w:rsidRDefault="005C643B" w:rsidP="00CE4177">
            <w:pPr>
              <w:pStyle w:val="TableBodyText"/>
              <w:ind w:right="-282"/>
              <w:jc w:val="left"/>
            </w:pPr>
            <w:r>
              <w:t>Did</w:t>
            </w:r>
            <w:r w:rsidR="009B7D7A" w:rsidRPr="00B77FD6">
              <w:t xml:space="preserve"> the RIS calculate a net benefit?</w:t>
            </w:r>
          </w:p>
        </w:tc>
        <w:tc>
          <w:tcPr>
            <w:tcW w:w="726" w:type="pct"/>
          </w:tcPr>
          <w:p w:rsidR="009B7D7A" w:rsidRDefault="009B7D7A" w:rsidP="002330A5">
            <w:pPr>
              <w:pStyle w:val="TableBodyText"/>
              <w:rPr>
                <w:szCs w:val="24"/>
              </w:rPr>
            </w:pPr>
          </w:p>
        </w:tc>
      </w:tr>
      <w:tr w:rsidR="009B7D7A" w:rsidTr="00206E43">
        <w:tc>
          <w:tcPr>
            <w:tcW w:w="808" w:type="pct"/>
          </w:tcPr>
          <w:p w:rsidR="009B7D7A" w:rsidRDefault="009B7D7A" w:rsidP="00CE4177">
            <w:pPr>
              <w:pStyle w:val="TableBodyText"/>
              <w:ind w:right="-282"/>
              <w:jc w:val="left"/>
            </w:pPr>
          </w:p>
        </w:tc>
        <w:tc>
          <w:tcPr>
            <w:tcW w:w="3466" w:type="pct"/>
          </w:tcPr>
          <w:p w:rsidR="009B7D7A" w:rsidRDefault="009B7D7A" w:rsidP="00CE4177">
            <w:pPr>
              <w:pStyle w:val="TableBodyText"/>
              <w:ind w:right="-282"/>
              <w:jc w:val="left"/>
            </w:pPr>
            <w:r w:rsidRPr="009B7D7A">
              <w:t>For all options or prefer</w:t>
            </w:r>
            <w:r>
              <w:t>r</w:t>
            </w:r>
            <w:r w:rsidRPr="009B7D7A">
              <w:t>ed option</w:t>
            </w:r>
          </w:p>
        </w:tc>
        <w:tc>
          <w:tcPr>
            <w:tcW w:w="726" w:type="pct"/>
          </w:tcPr>
          <w:p w:rsidR="009B7D7A" w:rsidRDefault="00405784" w:rsidP="00405784">
            <w:pPr>
              <w:pStyle w:val="TableBodyText"/>
              <w:rPr>
                <w:i/>
              </w:rPr>
            </w:pPr>
            <w:r>
              <w:t>27</w:t>
            </w:r>
          </w:p>
        </w:tc>
      </w:tr>
      <w:tr w:rsidR="0011703B" w:rsidTr="00206E43">
        <w:tc>
          <w:tcPr>
            <w:tcW w:w="4274" w:type="pct"/>
            <w:gridSpan w:val="2"/>
          </w:tcPr>
          <w:p w:rsidR="0011703B" w:rsidRDefault="005C643B" w:rsidP="006D4AA2">
            <w:pPr>
              <w:pStyle w:val="TableBodyText"/>
              <w:ind w:right="-282"/>
              <w:jc w:val="left"/>
            </w:pPr>
            <w:r>
              <w:t>Did</w:t>
            </w:r>
            <w:r w:rsidR="0011703B" w:rsidRPr="00B77FD6">
              <w:t xml:space="preserve"> the RIS </w:t>
            </w:r>
            <w:r w:rsidR="0011703B">
              <w:t>use sensitivity analysis?</w:t>
            </w:r>
          </w:p>
        </w:tc>
        <w:tc>
          <w:tcPr>
            <w:tcW w:w="726" w:type="pct"/>
          </w:tcPr>
          <w:p w:rsidR="0011703B" w:rsidRDefault="0011703B" w:rsidP="002330A5">
            <w:pPr>
              <w:pStyle w:val="TableBodyText"/>
              <w:rPr>
                <w:szCs w:val="24"/>
              </w:rPr>
            </w:pPr>
          </w:p>
        </w:tc>
      </w:tr>
      <w:tr w:rsidR="0011703B" w:rsidTr="00206E43">
        <w:tc>
          <w:tcPr>
            <w:tcW w:w="808" w:type="pct"/>
          </w:tcPr>
          <w:p w:rsidR="0011703B" w:rsidRDefault="0011703B" w:rsidP="006D4AA2">
            <w:pPr>
              <w:pStyle w:val="TableBodyText"/>
              <w:ind w:right="-282"/>
              <w:jc w:val="left"/>
            </w:pPr>
          </w:p>
        </w:tc>
        <w:tc>
          <w:tcPr>
            <w:tcW w:w="3466" w:type="pct"/>
          </w:tcPr>
          <w:p w:rsidR="0011703B" w:rsidRDefault="0011703B" w:rsidP="006D4AA2">
            <w:pPr>
              <w:pStyle w:val="TableBodyText"/>
              <w:ind w:right="-282"/>
              <w:jc w:val="left"/>
            </w:pPr>
            <w:r>
              <w:t>Yes</w:t>
            </w:r>
          </w:p>
        </w:tc>
        <w:tc>
          <w:tcPr>
            <w:tcW w:w="726" w:type="pct"/>
          </w:tcPr>
          <w:p w:rsidR="0011703B" w:rsidRDefault="00405784" w:rsidP="00405784">
            <w:pPr>
              <w:pStyle w:val="TableBodyText"/>
              <w:rPr>
                <w:i/>
              </w:rPr>
            </w:pPr>
            <w:r>
              <w:t>16</w:t>
            </w:r>
          </w:p>
        </w:tc>
      </w:tr>
      <w:tr w:rsidR="009B7D7A" w:rsidTr="00206E43">
        <w:tc>
          <w:tcPr>
            <w:tcW w:w="4274" w:type="pct"/>
            <w:gridSpan w:val="2"/>
          </w:tcPr>
          <w:p w:rsidR="009B7D7A" w:rsidRDefault="005C643B" w:rsidP="00CE4177">
            <w:pPr>
              <w:pStyle w:val="TableBodyText"/>
              <w:ind w:right="-282"/>
              <w:jc w:val="left"/>
            </w:pPr>
            <w:r>
              <w:t>Did</w:t>
            </w:r>
            <w:r w:rsidR="0011703B" w:rsidRPr="00B77FD6">
              <w:t xml:space="preserve"> the</w:t>
            </w:r>
            <w:r w:rsidR="0011703B">
              <w:t xml:space="preserve"> RIS use a discount rate?</w:t>
            </w:r>
          </w:p>
        </w:tc>
        <w:tc>
          <w:tcPr>
            <w:tcW w:w="726" w:type="pct"/>
          </w:tcPr>
          <w:p w:rsidR="009B7D7A" w:rsidRDefault="009B7D7A" w:rsidP="002330A5">
            <w:pPr>
              <w:pStyle w:val="TableBodyText"/>
              <w:rPr>
                <w:szCs w:val="24"/>
              </w:rPr>
            </w:pPr>
          </w:p>
        </w:tc>
      </w:tr>
      <w:tr w:rsidR="009B7D7A" w:rsidTr="00206E43">
        <w:tc>
          <w:tcPr>
            <w:tcW w:w="808" w:type="pct"/>
          </w:tcPr>
          <w:p w:rsidR="009B7D7A" w:rsidRDefault="009B7D7A" w:rsidP="00CE4177">
            <w:pPr>
              <w:pStyle w:val="TableBodyText"/>
              <w:ind w:right="-282"/>
              <w:jc w:val="left"/>
            </w:pPr>
          </w:p>
        </w:tc>
        <w:tc>
          <w:tcPr>
            <w:tcW w:w="3466" w:type="pct"/>
          </w:tcPr>
          <w:p w:rsidR="009B7D7A" w:rsidRDefault="009B7D7A" w:rsidP="00CE4177">
            <w:pPr>
              <w:pStyle w:val="TableBodyText"/>
              <w:ind w:right="-282"/>
              <w:jc w:val="left"/>
            </w:pPr>
            <w:r>
              <w:t>Yes</w:t>
            </w:r>
          </w:p>
        </w:tc>
        <w:tc>
          <w:tcPr>
            <w:tcW w:w="726" w:type="pct"/>
          </w:tcPr>
          <w:p w:rsidR="009B7D7A" w:rsidRDefault="00405784" w:rsidP="00405784">
            <w:pPr>
              <w:pStyle w:val="TableBodyText"/>
              <w:rPr>
                <w:i/>
              </w:rPr>
            </w:pPr>
            <w:r>
              <w:t>31</w:t>
            </w:r>
          </w:p>
        </w:tc>
      </w:tr>
      <w:tr w:rsidR="0011703B" w:rsidTr="00206E43">
        <w:tc>
          <w:tcPr>
            <w:tcW w:w="4274" w:type="pct"/>
            <w:gridSpan w:val="2"/>
          </w:tcPr>
          <w:p w:rsidR="0011703B" w:rsidRDefault="005C643B" w:rsidP="006D4AA2">
            <w:pPr>
              <w:pStyle w:val="TableBodyText"/>
              <w:ind w:right="-282"/>
              <w:jc w:val="left"/>
            </w:pPr>
            <w:r>
              <w:t>Was</w:t>
            </w:r>
            <w:r w:rsidR="0011703B" w:rsidRPr="00B77FD6">
              <w:t xml:space="preserve"> mul</w:t>
            </w:r>
            <w:r w:rsidR="0011703B">
              <w:t>ti-criteria analysis used?</w:t>
            </w:r>
          </w:p>
        </w:tc>
        <w:tc>
          <w:tcPr>
            <w:tcW w:w="726" w:type="pct"/>
          </w:tcPr>
          <w:p w:rsidR="0011703B" w:rsidRDefault="0011703B" w:rsidP="002330A5">
            <w:pPr>
              <w:pStyle w:val="TableBodyText"/>
              <w:rPr>
                <w:szCs w:val="24"/>
              </w:rPr>
            </w:pPr>
          </w:p>
        </w:tc>
      </w:tr>
      <w:tr w:rsidR="0011703B" w:rsidTr="00206E43">
        <w:tc>
          <w:tcPr>
            <w:tcW w:w="808" w:type="pct"/>
            <w:tcBorders>
              <w:bottom w:val="single" w:sz="4" w:space="0" w:color="auto"/>
            </w:tcBorders>
          </w:tcPr>
          <w:p w:rsidR="0011703B" w:rsidRDefault="0011703B" w:rsidP="006D4AA2">
            <w:pPr>
              <w:pStyle w:val="TableBodyText"/>
              <w:ind w:right="-282"/>
              <w:jc w:val="left"/>
            </w:pPr>
          </w:p>
        </w:tc>
        <w:tc>
          <w:tcPr>
            <w:tcW w:w="3466" w:type="pct"/>
            <w:tcBorders>
              <w:bottom w:val="single" w:sz="4" w:space="0" w:color="auto"/>
            </w:tcBorders>
          </w:tcPr>
          <w:p w:rsidR="0011703B" w:rsidRDefault="0009347F" w:rsidP="006D4AA2">
            <w:pPr>
              <w:pStyle w:val="TableBodyText"/>
              <w:ind w:right="-282"/>
              <w:jc w:val="left"/>
            </w:pPr>
            <w:r>
              <w:t>Yes</w:t>
            </w:r>
          </w:p>
        </w:tc>
        <w:tc>
          <w:tcPr>
            <w:tcW w:w="726" w:type="pct"/>
            <w:tcBorders>
              <w:bottom w:val="single" w:sz="4" w:space="0" w:color="auto"/>
            </w:tcBorders>
          </w:tcPr>
          <w:p w:rsidR="0011703B" w:rsidRDefault="00405784" w:rsidP="00405784">
            <w:pPr>
              <w:pStyle w:val="TableBodyText"/>
              <w:rPr>
                <w:i/>
              </w:rPr>
            </w:pPr>
            <w:r>
              <w:t>13</w:t>
            </w:r>
          </w:p>
        </w:tc>
      </w:tr>
    </w:tbl>
    <w:p w:rsidR="009B7D7A" w:rsidRDefault="00CC2046" w:rsidP="00CC2046">
      <w:pPr>
        <w:pStyle w:val="Continued"/>
        <w:spacing w:before="40"/>
      </w:pPr>
      <w:r>
        <w:t>(continued next page)</w:t>
      </w:r>
    </w:p>
    <w:p w:rsidR="009B7D7A" w:rsidRDefault="009B7D7A" w:rsidP="009B7D7A">
      <w:pPr>
        <w:pStyle w:val="TableTitle"/>
      </w:pPr>
      <w:r>
        <w:rPr>
          <w:b w:val="0"/>
        </w:rPr>
        <w:lastRenderedPageBreak/>
        <w:t xml:space="preserve">Table </w:t>
      </w:r>
      <w:proofErr w:type="spellStart"/>
      <w:r>
        <w:rPr>
          <w:b w:val="0"/>
        </w:rPr>
        <w:t>E.2</w:t>
      </w:r>
      <w:proofErr w:type="spellEnd"/>
      <w:r>
        <w:tab/>
      </w:r>
      <w:proofErr w:type="spellStart"/>
      <w:r>
        <w:t>RIS</w:t>
      </w:r>
      <w:proofErr w:type="spellEnd"/>
      <w:r>
        <w:t xml:space="preserve"> content analysis </w:t>
      </w:r>
      <w:r w:rsidR="00CC2046">
        <w:br/>
      </w:r>
      <w:r>
        <w:t xml:space="preserve">— questions and aggregate results by indicator </w:t>
      </w:r>
      <w:r w:rsidR="00CC2046" w:rsidRPr="00CC2046">
        <w:rPr>
          <w:b w:val="0"/>
          <w:sz w:val="20"/>
        </w:rPr>
        <w:t>(continued)</w:t>
      </w:r>
    </w:p>
    <w:tbl>
      <w:tblPr>
        <w:tblW w:w="5003" w:type="pct"/>
        <w:tblCellMar>
          <w:left w:w="0" w:type="dxa"/>
          <w:right w:w="0" w:type="dxa"/>
        </w:tblCellMar>
        <w:tblLook w:val="0000" w:firstRow="0" w:lastRow="0" w:firstColumn="0" w:lastColumn="0" w:noHBand="0" w:noVBand="0"/>
      </w:tblPr>
      <w:tblGrid>
        <w:gridCol w:w="1425"/>
        <w:gridCol w:w="6094"/>
        <w:gridCol w:w="1275"/>
      </w:tblGrid>
      <w:tr w:rsidR="009B7D7A" w:rsidTr="00405784">
        <w:tc>
          <w:tcPr>
            <w:tcW w:w="810" w:type="pct"/>
            <w:tcBorders>
              <w:top w:val="single" w:sz="6" w:space="0" w:color="auto"/>
              <w:bottom w:val="single" w:sz="4" w:space="0" w:color="auto"/>
            </w:tcBorders>
            <w:shd w:val="clear" w:color="auto" w:fill="auto"/>
          </w:tcPr>
          <w:p w:rsidR="009B7D7A" w:rsidRDefault="009B7D7A" w:rsidP="00C07F8A">
            <w:pPr>
              <w:pStyle w:val="TableColumnHeading"/>
              <w:jc w:val="left"/>
            </w:pPr>
            <w:r>
              <w:t>Question</w:t>
            </w:r>
          </w:p>
        </w:tc>
        <w:tc>
          <w:tcPr>
            <w:tcW w:w="3465" w:type="pct"/>
            <w:tcBorders>
              <w:top w:val="single" w:sz="6" w:space="0" w:color="auto"/>
              <w:bottom w:val="single" w:sz="4" w:space="0" w:color="auto"/>
            </w:tcBorders>
            <w:shd w:val="clear" w:color="auto" w:fill="auto"/>
          </w:tcPr>
          <w:p w:rsidR="009B7D7A" w:rsidRDefault="009B7D7A" w:rsidP="00C07F8A">
            <w:pPr>
              <w:pStyle w:val="TableColumnHeading"/>
              <w:jc w:val="left"/>
            </w:pPr>
            <w:r>
              <w:t>Answer</w:t>
            </w:r>
          </w:p>
        </w:tc>
        <w:tc>
          <w:tcPr>
            <w:tcW w:w="725" w:type="pct"/>
            <w:tcBorders>
              <w:top w:val="single" w:sz="6" w:space="0" w:color="auto"/>
              <w:bottom w:val="single" w:sz="4" w:space="0" w:color="auto"/>
            </w:tcBorders>
            <w:shd w:val="clear" w:color="auto" w:fill="auto"/>
          </w:tcPr>
          <w:p w:rsidR="009B7D7A" w:rsidRDefault="00D5446D" w:rsidP="00405784">
            <w:pPr>
              <w:pStyle w:val="TableColumnHeading"/>
            </w:pPr>
            <w:r>
              <w:t>per cent</w:t>
            </w:r>
          </w:p>
        </w:tc>
      </w:tr>
      <w:tr w:rsidR="00444038" w:rsidRPr="001755F1" w:rsidTr="00405784">
        <w:tc>
          <w:tcPr>
            <w:tcW w:w="4275" w:type="pct"/>
            <w:gridSpan w:val="2"/>
            <w:tcBorders>
              <w:top w:val="single" w:sz="4" w:space="0" w:color="auto"/>
            </w:tcBorders>
          </w:tcPr>
          <w:p w:rsidR="00444038" w:rsidRPr="001755F1" w:rsidRDefault="00444038" w:rsidP="00444038">
            <w:pPr>
              <w:pStyle w:val="TableBodyText"/>
              <w:numPr>
                <w:ilvl w:val="0"/>
                <w:numId w:val="17"/>
              </w:numPr>
              <w:spacing w:before="80"/>
              <w:jc w:val="left"/>
              <w:rPr>
                <w:b/>
                <w:i/>
              </w:rPr>
            </w:pPr>
            <w:r>
              <w:rPr>
                <w:b/>
              </w:rPr>
              <w:t>Consultation</w:t>
            </w:r>
            <w:r w:rsidRPr="003A67C2">
              <w:rPr>
                <w:rStyle w:val="NoteLabel"/>
              </w:rPr>
              <w:t>a</w:t>
            </w:r>
          </w:p>
        </w:tc>
        <w:tc>
          <w:tcPr>
            <w:tcW w:w="725" w:type="pct"/>
            <w:tcBorders>
              <w:top w:val="single" w:sz="4" w:space="0" w:color="auto"/>
            </w:tcBorders>
          </w:tcPr>
          <w:p w:rsidR="00444038" w:rsidRPr="001755F1" w:rsidRDefault="00444038" w:rsidP="00444038">
            <w:pPr>
              <w:pStyle w:val="TableBodyText"/>
              <w:spacing w:before="80"/>
              <w:ind w:right="28"/>
              <w:rPr>
                <w:b/>
              </w:rPr>
            </w:pPr>
          </w:p>
        </w:tc>
      </w:tr>
      <w:tr w:rsidR="00444038" w:rsidTr="00405784">
        <w:tc>
          <w:tcPr>
            <w:tcW w:w="4275" w:type="pct"/>
            <w:gridSpan w:val="2"/>
          </w:tcPr>
          <w:p w:rsidR="00444038" w:rsidRDefault="005C643B" w:rsidP="00444038">
            <w:pPr>
              <w:pStyle w:val="TableBodyText"/>
              <w:jc w:val="left"/>
            </w:pPr>
            <w:r>
              <w:t>Did</w:t>
            </w:r>
            <w:r w:rsidR="00444038" w:rsidRPr="005E2170">
              <w:t xml:space="preserve"> the RIS outline the views of those consulted?</w:t>
            </w:r>
          </w:p>
        </w:tc>
        <w:tc>
          <w:tcPr>
            <w:tcW w:w="725" w:type="pct"/>
          </w:tcPr>
          <w:p w:rsidR="00444038" w:rsidRDefault="00444038" w:rsidP="00444038">
            <w:pPr>
              <w:pStyle w:val="TableBodyText"/>
              <w:ind w:right="28"/>
            </w:pPr>
          </w:p>
        </w:tc>
      </w:tr>
      <w:tr w:rsidR="00444038" w:rsidTr="00405784">
        <w:tc>
          <w:tcPr>
            <w:tcW w:w="810" w:type="pct"/>
          </w:tcPr>
          <w:p w:rsidR="00444038" w:rsidRDefault="00444038" w:rsidP="00444038">
            <w:pPr>
              <w:pStyle w:val="TableBodyText"/>
              <w:jc w:val="left"/>
            </w:pPr>
          </w:p>
        </w:tc>
        <w:tc>
          <w:tcPr>
            <w:tcW w:w="3465" w:type="pct"/>
          </w:tcPr>
          <w:p w:rsidR="00444038" w:rsidRDefault="00444038" w:rsidP="00444038">
            <w:pPr>
              <w:pStyle w:val="TableBodyText"/>
              <w:jc w:val="left"/>
            </w:pPr>
            <w:r>
              <w:t>No</w:t>
            </w:r>
          </w:p>
        </w:tc>
        <w:tc>
          <w:tcPr>
            <w:tcW w:w="725" w:type="pct"/>
            <w:vAlign w:val="center"/>
          </w:tcPr>
          <w:p w:rsidR="00444038" w:rsidRPr="008124DA" w:rsidRDefault="00405784" w:rsidP="00444038">
            <w:pPr>
              <w:pStyle w:val="TableBodyText"/>
            </w:pPr>
            <w:r>
              <w:t>7</w:t>
            </w:r>
          </w:p>
        </w:tc>
      </w:tr>
      <w:tr w:rsidR="00444038" w:rsidTr="005C643B">
        <w:tc>
          <w:tcPr>
            <w:tcW w:w="810" w:type="pct"/>
          </w:tcPr>
          <w:p w:rsidR="00444038" w:rsidRDefault="00444038" w:rsidP="00444038">
            <w:pPr>
              <w:pStyle w:val="TableBodyText"/>
              <w:jc w:val="left"/>
            </w:pPr>
          </w:p>
        </w:tc>
        <w:tc>
          <w:tcPr>
            <w:tcW w:w="3465" w:type="pct"/>
          </w:tcPr>
          <w:p w:rsidR="00444038" w:rsidRDefault="00444038" w:rsidP="00444038">
            <w:pPr>
              <w:pStyle w:val="TableBodyText"/>
              <w:jc w:val="left"/>
            </w:pPr>
            <w:r>
              <w:t>Yes, limited detail</w:t>
            </w:r>
          </w:p>
        </w:tc>
        <w:tc>
          <w:tcPr>
            <w:tcW w:w="725" w:type="pct"/>
            <w:vAlign w:val="center"/>
          </w:tcPr>
          <w:p w:rsidR="00444038" w:rsidRPr="008124DA" w:rsidRDefault="00444038" w:rsidP="00444038">
            <w:pPr>
              <w:pStyle w:val="TableBodyText"/>
            </w:pPr>
            <w:r w:rsidRPr="008124DA">
              <w:t>50</w:t>
            </w:r>
          </w:p>
        </w:tc>
      </w:tr>
      <w:tr w:rsidR="00444038" w:rsidRPr="0011703B" w:rsidTr="005C643B">
        <w:tc>
          <w:tcPr>
            <w:tcW w:w="810" w:type="pct"/>
          </w:tcPr>
          <w:p w:rsidR="00444038" w:rsidRPr="00FB0E94" w:rsidRDefault="00444038" w:rsidP="00444038">
            <w:pPr>
              <w:pStyle w:val="TableBodyText"/>
              <w:ind w:right="-282"/>
              <w:jc w:val="left"/>
              <w:rPr>
                <w:b/>
              </w:rPr>
            </w:pPr>
          </w:p>
        </w:tc>
        <w:tc>
          <w:tcPr>
            <w:tcW w:w="3465" w:type="pct"/>
          </w:tcPr>
          <w:p w:rsidR="00444038" w:rsidRPr="00FB0E94" w:rsidRDefault="00444038" w:rsidP="00444038">
            <w:pPr>
              <w:pStyle w:val="TableBodyText"/>
              <w:framePr w:w="2155" w:hSpace="227" w:vSpace="181" w:wrap="around" w:vAnchor="text" w:hAnchor="page" w:xAlign="outside" w:y="1"/>
              <w:ind w:right="-282"/>
              <w:jc w:val="left"/>
              <w:rPr>
                <w:b/>
              </w:rPr>
            </w:pPr>
            <w:r>
              <w:t>Yes, more extensive discussion</w:t>
            </w:r>
            <w:r w:rsidRPr="0011703B" w:rsidDel="0011703B">
              <w:rPr>
                <w:b/>
              </w:rPr>
              <w:t xml:space="preserve"> </w:t>
            </w:r>
          </w:p>
        </w:tc>
        <w:tc>
          <w:tcPr>
            <w:tcW w:w="725" w:type="pct"/>
          </w:tcPr>
          <w:p w:rsidR="00444038" w:rsidRPr="00FB0E94" w:rsidRDefault="00405784" w:rsidP="00405784">
            <w:pPr>
              <w:pStyle w:val="TableBodyText"/>
              <w:rPr>
                <w:b/>
                <w:i/>
              </w:rPr>
            </w:pPr>
            <w:r>
              <w:rPr>
                <w:rFonts w:cs="Arial"/>
                <w:color w:val="000000"/>
              </w:rPr>
              <w:t>43</w:t>
            </w:r>
          </w:p>
        </w:tc>
      </w:tr>
      <w:tr w:rsidR="005E2170" w:rsidTr="005C643B">
        <w:tc>
          <w:tcPr>
            <w:tcW w:w="4275" w:type="pct"/>
            <w:gridSpan w:val="2"/>
          </w:tcPr>
          <w:p w:rsidR="005E2170" w:rsidRDefault="005C643B" w:rsidP="004E5CFD">
            <w:pPr>
              <w:pStyle w:val="TableBodyText"/>
              <w:jc w:val="left"/>
            </w:pPr>
            <w:r>
              <w:t>Did</w:t>
            </w:r>
            <w:r w:rsidR="005E2170" w:rsidRPr="005E2170">
              <w:t xml:space="preserve"> the RIS outline how these views were taken into account?</w:t>
            </w:r>
          </w:p>
        </w:tc>
        <w:tc>
          <w:tcPr>
            <w:tcW w:w="725" w:type="pct"/>
          </w:tcPr>
          <w:p w:rsidR="005E2170" w:rsidRDefault="005E2170" w:rsidP="004E5CFD">
            <w:pPr>
              <w:pStyle w:val="TableBodyText"/>
              <w:jc w:val="left"/>
            </w:pPr>
          </w:p>
        </w:tc>
      </w:tr>
      <w:tr w:rsidR="00084ABD" w:rsidTr="00405784">
        <w:tc>
          <w:tcPr>
            <w:tcW w:w="810" w:type="pct"/>
          </w:tcPr>
          <w:p w:rsidR="00084ABD" w:rsidRDefault="00084ABD" w:rsidP="00D73A44">
            <w:pPr>
              <w:pStyle w:val="TableBodyText"/>
              <w:jc w:val="left"/>
            </w:pPr>
          </w:p>
        </w:tc>
        <w:tc>
          <w:tcPr>
            <w:tcW w:w="3465" w:type="pct"/>
          </w:tcPr>
          <w:p w:rsidR="00084ABD" w:rsidRDefault="00084ABD" w:rsidP="00D73A44">
            <w:pPr>
              <w:pStyle w:val="TableBodyText"/>
              <w:jc w:val="left"/>
            </w:pPr>
            <w:r>
              <w:t>No</w:t>
            </w:r>
          </w:p>
        </w:tc>
        <w:tc>
          <w:tcPr>
            <w:tcW w:w="725" w:type="pct"/>
            <w:vAlign w:val="center"/>
          </w:tcPr>
          <w:p w:rsidR="00084ABD" w:rsidRPr="00444038" w:rsidRDefault="00405784" w:rsidP="00444038">
            <w:pPr>
              <w:pStyle w:val="TableBodyText"/>
            </w:pPr>
            <w:r>
              <w:t>29</w:t>
            </w:r>
          </w:p>
        </w:tc>
      </w:tr>
      <w:tr w:rsidR="00084ABD" w:rsidTr="00405784">
        <w:tc>
          <w:tcPr>
            <w:tcW w:w="810" w:type="pct"/>
          </w:tcPr>
          <w:p w:rsidR="00084ABD" w:rsidRDefault="00084ABD" w:rsidP="00D73A44">
            <w:pPr>
              <w:pStyle w:val="TableBodyText"/>
              <w:jc w:val="left"/>
            </w:pPr>
          </w:p>
        </w:tc>
        <w:tc>
          <w:tcPr>
            <w:tcW w:w="3465" w:type="pct"/>
          </w:tcPr>
          <w:p w:rsidR="00084ABD" w:rsidRDefault="00084ABD" w:rsidP="003A67C2">
            <w:pPr>
              <w:pStyle w:val="TableBodyText"/>
              <w:jc w:val="left"/>
            </w:pPr>
            <w:r>
              <w:t>Yes, limited detail</w:t>
            </w:r>
          </w:p>
        </w:tc>
        <w:tc>
          <w:tcPr>
            <w:tcW w:w="725" w:type="pct"/>
            <w:vAlign w:val="center"/>
          </w:tcPr>
          <w:p w:rsidR="00084ABD" w:rsidRPr="00444038" w:rsidRDefault="00DD3B79" w:rsidP="00405784">
            <w:pPr>
              <w:pStyle w:val="TableBodyText"/>
            </w:pPr>
            <w:r w:rsidRPr="00444038">
              <w:t>3</w:t>
            </w:r>
            <w:r w:rsidR="00405784">
              <w:t>8</w:t>
            </w:r>
          </w:p>
        </w:tc>
      </w:tr>
      <w:tr w:rsidR="00084ABD" w:rsidTr="00405784">
        <w:tc>
          <w:tcPr>
            <w:tcW w:w="810" w:type="pct"/>
          </w:tcPr>
          <w:p w:rsidR="00084ABD" w:rsidRDefault="00084ABD" w:rsidP="00D73A44">
            <w:pPr>
              <w:pStyle w:val="TableBodyText"/>
              <w:jc w:val="left"/>
            </w:pPr>
          </w:p>
        </w:tc>
        <w:tc>
          <w:tcPr>
            <w:tcW w:w="3465" w:type="pct"/>
          </w:tcPr>
          <w:p w:rsidR="00084ABD" w:rsidRDefault="00084ABD" w:rsidP="003A67C2">
            <w:pPr>
              <w:pStyle w:val="TableBodyText"/>
              <w:jc w:val="left"/>
            </w:pPr>
            <w:r>
              <w:t>Yes, more extensive discussion</w:t>
            </w:r>
          </w:p>
        </w:tc>
        <w:tc>
          <w:tcPr>
            <w:tcW w:w="725" w:type="pct"/>
            <w:vAlign w:val="center"/>
          </w:tcPr>
          <w:p w:rsidR="00084ABD" w:rsidRPr="00444038" w:rsidRDefault="00DD3B79" w:rsidP="00405784">
            <w:pPr>
              <w:pStyle w:val="TableBodyText"/>
            </w:pPr>
            <w:r w:rsidRPr="00444038">
              <w:t>3</w:t>
            </w:r>
            <w:r w:rsidR="00405784">
              <w:t>3</w:t>
            </w:r>
          </w:p>
        </w:tc>
      </w:tr>
      <w:tr w:rsidR="005E2170" w:rsidTr="00405784">
        <w:tc>
          <w:tcPr>
            <w:tcW w:w="4275" w:type="pct"/>
            <w:gridSpan w:val="2"/>
          </w:tcPr>
          <w:p w:rsidR="005E2170" w:rsidRDefault="005C643B" w:rsidP="00084ABD">
            <w:pPr>
              <w:pStyle w:val="TableBodyText"/>
              <w:jc w:val="left"/>
            </w:pPr>
            <w:r>
              <w:t>Was</w:t>
            </w:r>
            <w:r w:rsidR="005E2170" w:rsidRPr="005E2170">
              <w:t xml:space="preserve"> there evidence that outcomes and responses of public consultation in some way influenced the preferred option?</w:t>
            </w:r>
          </w:p>
        </w:tc>
        <w:tc>
          <w:tcPr>
            <w:tcW w:w="725" w:type="pct"/>
          </w:tcPr>
          <w:p w:rsidR="005E2170" w:rsidRDefault="005E2170" w:rsidP="00444038">
            <w:pPr>
              <w:pStyle w:val="TableBodyText"/>
            </w:pPr>
          </w:p>
        </w:tc>
      </w:tr>
      <w:tr w:rsidR="00084ABD" w:rsidTr="00405784">
        <w:tc>
          <w:tcPr>
            <w:tcW w:w="810" w:type="pct"/>
            <w:tcBorders>
              <w:bottom w:val="single" w:sz="4" w:space="0" w:color="auto"/>
            </w:tcBorders>
          </w:tcPr>
          <w:p w:rsidR="00084ABD" w:rsidRDefault="00084ABD" w:rsidP="00213053">
            <w:pPr>
              <w:pStyle w:val="TableBodyText"/>
              <w:jc w:val="left"/>
            </w:pPr>
          </w:p>
        </w:tc>
        <w:tc>
          <w:tcPr>
            <w:tcW w:w="3465" w:type="pct"/>
            <w:tcBorders>
              <w:bottom w:val="single" w:sz="4" w:space="0" w:color="auto"/>
            </w:tcBorders>
          </w:tcPr>
          <w:p w:rsidR="00084ABD" w:rsidRDefault="00084ABD" w:rsidP="00213053">
            <w:pPr>
              <w:pStyle w:val="TableBodyText"/>
              <w:jc w:val="left"/>
            </w:pPr>
            <w:r>
              <w:t>Yes</w:t>
            </w:r>
          </w:p>
        </w:tc>
        <w:tc>
          <w:tcPr>
            <w:tcW w:w="725" w:type="pct"/>
            <w:tcBorders>
              <w:bottom w:val="single" w:sz="4" w:space="0" w:color="auto"/>
            </w:tcBorders>
          </w:tcPr>
          <w:p w:rsidR="00084ABD" w:rsidRPr="00444038" w:rsidRDefault="00DD3B79" w:rsidP="00405784">
            <w:pPr>
              <w:pStyle w:val="TableBodyText"/>
            </w:pPr>
            <w:r>
              <w:t>5</w:t>
            </w:r>
            <w:r w:rsidR="00405784">
              <w:t>7</w:t>
            </w:r>
          </w:p>
        </w:tc>
      </w:tr>
      <w:tr w:rsidR="005E2170" w:rsidRPr="001755F1" w:rsidTr="00405784">
        <w:tc>
          <w:tcPr>
            <w:tcW w:w="4275" w:type="pct"/>
            <w:gridSpan w:val="2"/>
          </w:tcPr>
          <w:p w:rsidR="005E2170" w:rsidRPr="001755F1" w:rsidRDefault="005E2170" w:rsidP="00444038">
            <w:pPr>
              <w:pStyle w:val="TableBodyText"/>
              <w:numPr>
                <w:ilvl w:val="0"/>
                <w:numId w:val="17"/>
              </w:numPr>
              <w:spacing w:before="80"/>
              <w:jc w:val="left"/>
              <w:rPr>
                <w:b/>
                <w:i/>
              </w:rPr>
            </w:pPr>
            <w:r>
              <w:rPr>
                <w:b/>
              </w:rPr>
              <w:t>Implementation and review</w:t>
            </w:r>
          </w:p>
        </w:tc>
        <w:tc>
          <w:tcPr>
            <w:tcW w:w="725" w:type="pct"/>
          </w:tcPr>
          <w:p w:rsidR="005E2170" w:rsidRPr="001755F1" w:rsidRDefault="005E2170" w:rsidP="00444038">
            <w:pPr>
              <w:pStyle w:val="TableBodyText"/>
              <w:spacing w:before="80"/>
              <w:ind w:right="28"/>
              <w:rPr>
                <w:b/>
              </w:rPr>
            </w:pPr>
          </w:p>
        </w:tc>
      </w:tr>
      <w:tr w:rsidR="00206E43" w:rsidTr="00206E43">
        <w:tc>
          <w:tcPr>
            <w:tcW w:w="5000" w:type="pct"/>
            <w:gridSpan w:val="3"/>
          </w:tcPr>
          <w:p w:rsidR="00206E43" w:rsidRPr="00206E43" w:rsidRDefault="00206E43" w:rsidP="00206E43">
            <w:pPr>
              <w:pStyle w:val="TableBodyText"/>
              <w:jc w:val="left"/>
            </w:pPr>
            <w:r>
              <w:t>Did</w:t>
            </w:r>
            <w:r w:rsidRPr="005E2170">
              <w:t xml:space="preserve"> the RIS include information about how the proposal </w:t>
            </w:r>
            <w:r>
              <w:t>was</w:t>
            </w:r>
            <w:r w:rsidRPr="005E2170">
              <w:t xml:space="preserve"> to be implemented and enforced?</w:t>
            </w:r>
          </w:p>
        </w:tc>
      </w:tr>
      <w:tr w:rsidR="00DD3B79" w:rsidTr="00405784">
        <w:tc>
          <w:tcPr>
            <w:tcW w:w="810" w:type="pct"/>
          </w:tcPr>
          <w:p w:rsidR="00DD3B79" w:rsidRDefault="00DD3B79" w:rsidP="00D73A44">
            <w:pPr>
              <w:pStyle w:val="TableBodyText"/>
              <w:jc w:val="left"/>
            </w:pPr>
          </w:p>
        </w:tc>
        <w:tc>
          <w:tcPr>
            <w:tcW w:w="3465" w:type="pct"/>
          </w:tcPr>
          <w:p w:rsidR="00DD3B79" w:rsidRDefault="00DD3B79" w:rsidP="00D73A44">
            <w:pPr>
              <w:pStyle w:val="TableBodyText"/>
              <w:jc w:val="left"/>
            </w:pPr>
            <w:r>
              <w:t>No</w:t>
            </w:r>
          </w:p>
        </w:tc>
        <w:tc>
          <w:tcPr>
            <w:tcW w:w="725" w:type="pct"/>
          </w:tcPr>
          <w:p w:rsidR="00DD3B79" w:rsidRPr="00444038" w:rsidRDefault="00DD3B79" w:rsidP="00405784">
            <w:pPr>
              <w:pStyle w:val="TableBodyText"/>
            </w:pPr>
            <w:r w:rsidRPr="00444038">
              <w:t>2</w:t>
            </w:r>
            <w:r w:rsidR="00405784">
              <w:t>5</w:t>
            </w:r>
          </w:p>
        </w:tc>
      </w:tr>
      <w:tr w:rsidR="00DD3B79" w:rsidTr="00405784">
        <w:tc>
          <w:tcPr>
            <w:tcW w:w="810" w:type="pct"/>
          </w:tcPr>
          <w:p w:rsidR="00DD3B79" w:rsidRDefault="00DD3B79" w:rsidP="00D73A44">
            <w:pPr>
              <w:pStyle w:val="TableBodyText"/>
              <w:jc w:val="left"/>
            </w:pPr>
          </w:p>
        </w:tc>
        <w:tc>
          <w:tcPr>
            <w:tcW w:w="3465" w:type="pct"/>
          </w:tcPr>
          <w:p w:rsidR="00DD3B79" w:rsidRDefault="00DD3B79" w:rsidP="003A67C2">
            <w:pPr>
              <w:pStyle w:val="TableBodyText"/>
              <w:jc w:val="left"/>
            </w:pPr>
            <w:r>
              <w:t>Yes, limited detail</w:t>
            </w:r>
          </w:p>
        </w:tc>
        <w:tc>
          <w:tcPr>
            <w:tcW w:w="725" w:type="pct"/>
          </w:tcPr>
          <w:p w:rsidR="00DD3B79" w:rsidRPr="00444038" w:rsidRDefault="00DD3B79" w:rsidP="00405784">
            <w:pPr>
              <w:pStyle w:val="TableBodyText"/>
            </w:pPr>
            <w:r w:rsidRPr="00444038">
              <w:t>4</w:t>
            </w:r>
            <w:r w:rsidR="00405784">
              <w:t>8</w:t>
            </w:r>
          </w:p>
        </w:tc>
      </w:tr>
      <w:tr w:rsidR="00DD3B79" w:rsidTr="00405784">
        <w:tc>
          <w:tcPr>
            <w:tcW w:w="810" w:type="pct"/>
          </w:tcPr>
          <w:p w:rsidR="00DD3B79" w:rsidRDefault="00DD3B79" w:rsidP="00D73A44">
            <w:pPr>
              <w:pStyle w:val="TableBodyText"/>
              <w:jc w:val="left"/>
            </w:pPr>
          </w:p>
        </w:tc>
        <w:tc>
          <w:tcPr>
            <w:tcW w:w="3465" w:type="pct"/>
          </w:tcPr>
          <w:p w:rsidR="00DD3B79" w:rsidRDefault="00DD3B79" w:rsidP="003A67C2">
            <w:pPr>
              <w:pStyle w:val="TableBodyText"/>
              <w:jc w:val="left"/>
            </w:pPr>
            <w:r>
              <w:t>Yes, more extensive discussion</w:t>
            </w:r>
          </w:p>
        </w:tc>
        <w:tc>
          <w:tcPr>
            <w:tcW w:w="725" w:type="pct"/>
          </w:tcPr>
          <w:p w:rsidR="00DD3B79" w:rsidRPr="00444038" w:rsidRDefault="00DD3B79" w:rsidP="00405784">
            <w:pPr>
              <w:pStyle w:val="TableBodyText"/>
            </w:pPr>
            <w:r w:rsidRPr="00444038">
              <w:t>2</w:t>
            </w:r>
            <w:r w:rsidR="00405784">
              <w:t>7</w:t>
            </w:r>
          </w:p>
        </w:tc>
      </w:tr>
      <w:tr w:rsidR="00DD3B79" w:rsidTr="00405784">
        <w:tc>
          <w:tcPr>
            <w:tcW w:w="4275" w:type="pct"/>
            <w:gridSpan w:val="2"/>
          </w:tcPr>
          <w:p w:rsidR="00DD3B79" w:rsidRDefault="005C643B" w:rsidP="00D73A44">
            <w:pPr>
              <w:pStyle w:val="TableBodyText"/>
              <w:jc w:val="left"/>
            </w:pPr>
            <w:r>
              <w:t>Did</w:t>
            </w:r>
            <w:r w:rsidR="00DD3B79" w:rsidRPr="005E2170">
              <w:t xml:space="preserve"> the RIS discuss potential non-compliance? (</w:t>
            </w:r>
            <w:proofErr w:type="spellStart"/>
            <w:r w:rsidR="00DD3B79" w:rsidRPr="005E2170">
              <w:t>ie</w:t>
            </w:r>
            <w:proofErr w:type="spellEnd"/>
            <w:r w:rsidR="00DD3B79" w:rsidRPr="005E2170">
              <w:t xml:space="preserve"> incidence, likely impacts </w:t>
            </w:r>
            <w:proofErr w:type="spellStart"/>
            <w:r w:rsidR="00DD3B79" w:rsidRPr="005E2170">
              <w:t>etc</w:t>
            </w:r>
            <w:proofErr w:type="spellEnd"/>
            <w:r w:rsidR="00DD3B79" w:rsidRPr="005E2170">
              <w:t>)</w:t>
            </w:r>
          </w:p>
        </w:tc>
        <w:tc>
          <w:tcPr>
            <w:tcW w:w="725" w:type="pct"/>
          </w:tcPr>
          <w:p w:rsidR="00DD3B79" w:rsidRPr="00444038" w:rsidRDefault="00DD3B79" w:rsidP="00444038">
            <w:pPr>
              <w:pStyle w:val="TableBodyText"/>
            </w:pPr>
          </w:p>
        </w:tc>
      </w:tr>
      <w:tr w:rsidR="00DD3B79" w:rsidTr="00405784">
        <w:tc>
          <w:tcPr>
            <w:tcW w:w="810" w:type="pct"/>
          </w:tcPr>
          <w:p w:rsidR="00DD3B79" w:rsidRDefault="00DD3B79" w:rsidP="00D73A44">
            <w:pPr>
              <w:pStyle w:val="TableBodyText"/>
              <w:jc w:val="left"/>
            </w:pPr>
          </w:p>
        </w:tc>
        <w:tc>
          <w:tcPr>
            <w:tcW w:w="3465" w:type="pct"/>
          </w:tcPr>
          <w:p w:rsidR="00DD3B79" w:rsidRDefault="00DD3B79" w:rsidP="00D73A44">
            <w:pPr>
              <w:pStyle w:val="TableBodyText"/>
              <w:jc w:val="left"/>
            </w:pPr>
            <w:r>
              <w:t>No</w:t>
            </w:r>
          </w:p>
        </w:tc>
        <w:tc>
          <w:tcPr>
            <w:tcW w:w="725" w:type="pct"/>
          </w:tcPr>
          <w:p w:rsidR="00DD3B79" w:rsidRPr="00444038" w:rsidRDefault="00DD3B79" w:rsidP="00405784">
            <w:pPr>
              <w:pStyle w:val="TableBodyText"/>
            </w:pPr>
            <w:r w:rsidRPr="00444038">
              <w:t>6</w:t>
            </w:r>
            <w:r w:rsidR="00405784">
              <w:t>7</w:t>
            </w:r>
          </w:p>
        </w:tc>
      </w:tr>
      <w:tr w:rsidR="00DD3B79" w:rsidTr="00405784">
        <w:tc>
          <w:tcPr>
            <w:tcW w:w="810" w:type="pct"/>
          </w:tcPr>
          <w:p w:rsidR="00DD3B79" w:rsidRDefault="00DD3B79" w:rsidP="00D73A44">
            <w:pPr>
              <w:pStyle w:val="TableBodyText"/>
              <w:jc w:val="left"/>
            </w:pPr>
          </w:p>
        </w:tc>
        <w:tc>
          <w:tcPr>
            <w:tcW w:w="3465" w:type="pct"/>
          </w:tcPr>
          <w:p w:rsidR="00DD3B79" w:rsidRDefault="00DD3B79" w:rsidP="003A67C2">
            <w:pPr>
              <w:pStyle w:val="TableBodyText"/>
              <w:jc w:val="left"/>
            </w:pPr>
            <w:r>
              <w:t>Yes, limited detail</w:t>
            </w:r>
          </w:p>
        </w:tc>
        <w:tc>
          <w:tcPr>
            <w:tcW w:w="725" w:type="pct"/>
          </w:tcPr>
          <w:p w:rsidR="00DD3B79" w:rsidRPr="00444038" w:rsidRDefault="00DD3B79" w:rsidP="00405784">
            <w:pPr>
              <w:pStyle w:val="TableBodyText"/>
            </w:pPr>
            <w:r w:rsidRPr="00444038">
              <w:t>1</w:t>
            </w:r>
            <w:r w:rsidR="00405784">
              <w:t>7</w:t>
            </w:r>
          </w:p>
        </w:tc>
      </w:tr>
      <w:tr w:rsidR="00DD3B79" w:rsidTr="00405784">
        <w:tc>
          <w:tcPr>
            <w:tcW w:w="810" w:type="pct"/>
          </w:tcPr>
          <w:p w:rsidR="00DD3B79" w:rsidRDefault="00DD3B79" w:rsidP="00D73A44">
            <w:pPr>
              <w:pStyle w:val="TableBodyText"/>
              <w:jc w:val="left"/>
            </w:pPr>
          </w:p>
        </w:tc>
        <w:tc>
          <w:tcPr>
            <w:tcW w:w="3465" w:type="pct"/>
          </w:tcPr>
          <w:p w:rsidR="00DD3B79" w:rsidRDefault="00DD3B79" w:rsidP="003A67C2">
            <w:pPr>
              <w:pStyle w:val="TableBodyText"/>
              <w:jc w:val="left"/>
            </w:pPr>
            <w:r>
              <w:t>Yes, more extensive discussion</w:t>
            </w:r>
          </w:p>
        </w:tc>
        <w:tc>
          <w:tcPr>
            <w:tcW w:w="725" w:type="pct"/>
          </w:tcPr>
          <w:p w:rsidR="00DD3B79" w:rsidRPr="00444038" w:rsidRDefault="00DD3B79" w:rsidP="00405784">
            <w:pPr>
              <w:pStyle w:val="TableBodyText"/>
            </w:pPr>
            <w:r w:rsidRPr="00444038">
              <w:t>1</w:t>
            </w:r>
            <w:r w:rsidR="00405784">
              <w:t>6</w:t>
            </w:r>
          </w:p>
        </w:tc>
      </w:tr>
      <w:tr w:rsidR="005E2170" w:rsidTr="00405784">
        <w:tc>
          <w:tcPr>
            <w:tcW w:w="4275" w:type="pct"/>
            <w:gridSpan w:val="2"/>
          </w:tcPr>
          <w:p w:rsidR="005E2170" w:rsidRDefault="005E2170" w:rsidP="00D73A44">
            <w:pPr>
              <w:pStyle w:val="TableBodyText"/>
              <w:jc w:val="left"/>
            </w:pPr>
            <w:r w:rsidRPr="005E2170">
              <w:t>Did the RIS include any estimates of monito</w:t>
            </w:r>
            <w:r>
              <w:t>ring or enforcement costs?</w:t>
            </w:r>
          </w:p>
        </w:tc>
        <w:tc>
          <w:tcPr>
            <w:tcW w:w="725" w:type="pct"/>
          </w:tcPr>
          <w:p w:rsidR="005E2170" w:rsidRDefault="005E2170" w:rsidP="00444038">
            <w:pPr>
              <w:pStyle w:val="TableBodyText"/>
            </w:pPr>
          </w:p>
        </w:tc>
      </w:tr>
      <w:tr w:rsidR="00D5446D" w:rsidTr="00405784">
        <w:tc>
          <w:tcPr>
            <w:tcW w:w="810" w:type="pct"/>
          </w:tcPr>
          <w:p w:rsidR="00D5446D" w:rsidRDefault="00D5446D" w:rsidP="00213053">
            <w:pPr>
              <w:pStyle w:val="TableBodyText"/>
              <w:jc w:val="left"/>
            </w:pPr>
          </w:p>
        </w:tc>
        <w:tc>
          <w:tcPr>
            <w:tcW w:w="3465" w:type="pct"/>
          </w:tcPr>
          <w:p w:rsidR="00D5446D" w:rsidRDefault="00D5446D" w:rsidP="00D5446D">
            <w:pPr>
              <w:pStyle w:val="TableBodyText"/>
              <w:jc w:val="left"/>
            </w:pPr>
            <w:r>
              <w:t xml:space="preserve">Yes </w:t>
            </w:r>
          </w:p>
        </w:tc>
        <w:tc>
          <w:tcPr>
            <w:tcW w:w="725" w:type="pct"/>
            <w:vAlign w:val="center"/>
          </w:tcPr>
          <w:p w:rsidR="00D5446D" w:rsidRPr="00444038" w:rsidRDefault="009C2EA1" w:rsidP="00444038">
            <w:pPr>
              <w:pStyle w:val="TableBodyText"/>
            </w:pPr>
            <w:r>
              <w:t>34</w:t>
            </w:r>
          </w:p>
        </w:tc>
      </w:tr>
      <w:tr w:rsidR="005E2170" w:rsidTr="00405784">
        <w:tc>
          <w:tcPr>
            <w:tcW w:w="4275" w:type="pct"/>
            <w:gridSpan w:val="2"/>
          </w:tcPr>
          <w:p w:rsidR="005E2170" w:rsidRDefault="005C643B" w:rsidP="00D73A44">
            <w:pPr>
              <w:pStyle w:val="TableBodyText"/>
              <w:jc w:val="left"/>
            </w:pPr>
            <w:r>
              <w:t>Was</w:t>
            </w:r>
            <w:r w:rsidR="005E2170" w:rsidRPr="005E2170">
              <w:t xml:space="preserve"> there evidence of</w:t>
            </w:r>
            <w:r>
              <w:t xml:space="preserve"> a</w:t>
            </w:r>
            <w:r w:rsidR="005E2170" w:rsidRPr="005E2170">
              <w:t xml:space="preserve"> risk-based approach to the design and enforcement of the regu</w:t>
            </w:r>
            <w:r w:rsidR="005E2170">
              <w:t>latory compliance strategy</w:t>
            </w:r>
            <w:r w:rsidR="003A67C2">
              <w:t>?</w:t>
            </w:r>
          </w:p>
        </w:tc>
        <w:tc>
          <w:tcPr>
            <w:tcW w:w="725" w:type="pct"/>
          </w:tcPr>
          <w:p w:rsidR="005E2170" w:rsidRDefault="005E2170" w:rsidP="00444038">
            <w:pPr>
              <w:pStyle w:val="TableBodyText"/>
            </w:pPr>
          </w:p>
        </w:tc>
      </w:tr>
      <w:tr w:rsidR="00D5446D" w:rsidTr="00405784">
        <w:tc>
          <w:tcPr>
            <w:tcW w:w="810" w:type="pct"/>
          </w:tcPr>
          <w:p w:rsidR="00D5446D" w:rsidRDefault="00D5446D" w:rsidP="00213053">
            <w:pPr>
              <w:pStyle w:val="TableBodyText"/>
              <w:jc w:val="left"/>
            </w:pPr>
          </w:p>
        </w:tc>
        <w:tc>
          <w:tcPr>
            <w:tcW w:w="3465" w:type="pct"/>
          </w:tcPr>
          <w:p w:rsidR="00D5446D" w:rsidRDefault="00D5446D" w:rsidP="00213053">
            <w:pPr>
              <w:pStyle w:val="TableBodyText"/>
              <w:jc w:val="left"/>
            </w:pPr>
            <w:r>
              <w:t xml:space="preserve">Yes </w:t>
            </w:r>
          </w:p>
        </w:tc>
        <w:tc>
          <w:tcPr>
            <w:tcW w:w="725" w:type="pct"/>
            <w:vAlign w:val="center"/>
          </w:tcPr>
          <w:p w:rsidR="00D5446D" w:rsidRPr="00444038" w:rsidRDefault="009C2EA1" w:rsidP="00444038">
            <w:pPr>
              <w:pStyle w:val="TableBodyText"/>
            </w:pPr>
            <w:r>
              <w:t>27</w:t>
            </w:r>
          </w:p>
        </w:tc>
      </w:tr>
      <w:tr w:rsidR="005E2170" w:rsidTr="00405784">
        <w:tc>
          <w:tcPr>
            <w:tcW w:w="4275" w:type="pct"/>
            <w:gridSpan w:val="2"/>
          </w:tcPr>
          <w:p w:rsidR="005E2170" w:rsidRDefault="005E2170" w:rsidP="00D73A44">
            <w:pPr>
              <w:pStyle w:val="TableBodyText"/>
              <w:jc w:val="left"/>
            </w:pPr>
            <w:r w:rsidRPr="005E2170">
              <w:t>Did the proposed regulation include a review clause (e</w:t>
            </w:r>
            <w:r>
              <w:t>mbedded statutory review)?</w:t>
            </w:r>
          </w:p>
        </w:tc>
        <w:tc>
          <w:tcPr>
            <w:tcW w:w="725" w:type="pct"/>
          </w:tcPr>
          <w:p w:rsidR="005E2170" w:rsidRDefault="005E2170" w:rsidP="00444038">
            <w:pPr>
              <w:pStyle w:val="TableBodyText"/>
            </w:pPr>
          </w:p>
        </w:tc>
      </w:tr>
      <w:tr w:rsidR="00D5446D" w:rsidTr="00405784">
        <w:tc>
          <w:tcPr>
            <w:tcW w:w="810" w:type="pct"/>
          </w:tcPr>
          <w:p w:rsidR="00D5446D" w:rsidRDefault="00D5446D" w:rsidP="00213053">
            <w:pPr>
              <w:pStyle w:val="TableBodyText"/>
              <w:jc w:val="left"/>
            </w:pPr>
          </w:p>
        </w:tc>
        <w:tc>
          <w:tcPr>
            <w:tcW w:w="3465" w:type="pct"/>
          </w:tcPr>
          <w:p w:rsidR="00D5446D" w:rsidRDefault="00D5446D" w:rsidP="00213053">
            <w:pPr>
              <w:pStyle w:val="TableBodyText"/>
              <w:jc w:val="left"/>
            </w:pPr>
            <w:r>
              <w:t xml:space="preserve">Yes </w:t>
            </w:r>
          </w:p>
        </w:tc>
        <w:tc>
          <w:tcPr>
            <w:tcW w:w="725" w:type="pct"/>
            <w:vAlign w:val="center"/>
          </w:tcPr>
          <w:p w:rsidR="00D5446D" w:rsidRPr="00444038" w:rsidRDefault="00CE4177" w:rsidP="009C2EA1">
            <w:pPr>
              <w:pStyle w:val="TableBodyText"/>
            </w:pPr>
            <w:r w:rsidRPr="00444038">
              <w:t xml:space="preserve">  </w:t>
            </w:r>
            <w:r w:rsidR="009C2EA1">
              <w:t>5</w:t>
            </w:r>
          </w:p>
        </w:tc>
      </w:tr>
      <w:tr w:rsidR="005E2170" w:rsidTr="00405784">
        <w:tc>
          <w:tcPr>
            <w:tcW w:w="4275" w:type="pct"/>
            <w:gridSpan w:val="2"/>
          </w:tcPr>
          <w:p w:rsidR="005E2170" w:rsidRDefault="00376207" w:rsidP="00376207">
            <w:pPr>
              <w:pStyle w:val="TableBodyText"/>
              <w:jc w:val="left"/>
            </w:pPr>
            <w:r>
              <w:t>Did the</w:t>
            </w:r>
            <w:r w:rsidR="005C643B">
              <w:t xml:space="preserve"> RIS contain an</w:t>
            </w:r>
            <w:r w:rsidR="005E2170" w:rsidRPr="005E2170">
              <w:t xml:space="preserve"> explicit statement of</w:t>
            </w:r>
            <w:r w:rsidR="005C643B">
              <w:t xml:space="preserve"> …</w:t>
            </w:r>
          </w:p>
        </w:tc>
        <w:tc>
          <w:tcPr>
            <w:tcW w:w="725" w:type="pct"/>
          </w:tcPr>
          <w:p w:rsidR="005E2170" w:rsidRDefault="005E2170" w:rsidP="00444038">
            <w:pPr>
              <w:pStyle w:val="TableBodyText"/>
            </w:pPr>
          </w:p>
        </w:tc>
      </w:tr>
      <w:tr w:rsidR="00D5446D" w:rsidTr="00405784">
        <w:tc>
          <w:tcPr>
            <w:tcW w:w="810" w:type="pct"/>
          </w:tcPr>
          <w:p w:rsidR="00D5446D" w:rsidRDefault="00D5446D" w:rsidP="00D73A44">
            <w:pPr>
              <w:pStyle w:val="TableBodyText"/>
              <w:jc w:val="left"/>
            </w:pPr>
          </w:p>
        </w:tc>
        <w:tc>
          <w:tcPr>
            <w:tcW w:w="3465" w:type="pct"/>
          </w:tcPr>
          <w:p w:rsidR="00D5446D" w:rsidRDefault="00D5446D" w:rsidP="000817D1">
            <w:pPr>
              <w:pStyle w:val="TableBodyText"/>
              <w:jc w:val="left"/>
            </w:pPr>
            <w:r w:rsidRPr="005E2170">
              <w:t>... when a revi</w:t>
            </w:r>
            <w:r w:rsidR="000817D1">
              <w:t>ew of the regulation would occur</w:t>
            </w:r>
            <w:r w:rsidR="00376207">
              <w:t>?</w:t>
            </w:r>
          </w:p>
        </w:tc>
        <w:tc>
          <w:tcPr>
            <w:tcW w:w="725" w:type="pct"/>
            <w:vAlign w:val="center"/>
          </w:tcPr>
          <w:p w:rsidR="00D5446D" w:rsidRPr="00444038" w:rsidRDefault="00D5446D" w:rsidP="009C2EA1">
            <w:pPr>
              <w:pStyle w:val="TableBodyText"/>
            </w:pPr>
            <w:r w:rsidRPr="00444038">
              <w:t>4</w:t>
            </w:r>
            <w:r w:rsidR="009C2EA1">
              <w:t>2</w:t>
            </w:r>
          </w:p>
        </w:tc>
      </w:tr>
      <w:tr w:rsidR="00D5446D" w:rsidTr="00405784">
        <w:tc>
          <w:tcPr>
            <w:tcW w:w="810" w:type="pct"/>
          </w:tcPr>
          <w:p w:rsidR="00D5446D" w:rsidRDefault="00D5446D" w:rsidP="00D73A44">
            <w:pPr>
              <w:pStyle w:val="TableBodyText"/>
              <w:jc w:val="left"/>
            </w:pPr>
          </w:p>
        </w:tc>
        <w:tc>
          <w:tcPr>
            <w:tcW w:w="3465" w:type="pct"/>
          </w:tcPr>
          <w:p w:rsidR="00D5446D" w:rsidRDefault="00D5446D" w:rsidP="000817D1">
            <w:pPr>
              <w:pStyle w:val="TableBodyText"/>
              <w:jc w:val="left"/>
            </w:pPr>
            <w:r w:rsidRPr="005E2170">
              <w:t xml:space="preserve">... who </w:t>
            </w:r>
            <w:r w:rsidR="000817D1">
              <w:t>would undertake the review</w:t>
            </w:r>
            <w:r w:rsidR="00376207">
              <w:t>?</w:t>
            </w:r>
          </w:p>
        </w:tc>
        <w:tc>
          <w:tcPr>
            <w:tcW w:w="725" w:type="pct"/>
            <w:vAlign w:val="center"/>
          </w:tcPr>
          <w:p w:rsidR="00D5446D" w:rsidRPr="00444038" w:rsidRDefault="00DD3B79" w:rsidP="009C2EA1">
            <w:pPr>
              <w:pStyle w:val="TableBodyText"/>
            </w:pPr>
            <w:r w:rsidRPr="00444038">
              <w:t>1</w:t>
            </w:r>
            <w:r w:rsidR="009C2EA1">
              <w:t>0</w:t>
            </w:r>
          </w:p>
        </w:tc>
      </w:tr>
      <w:tr w:rsidR="00D5446D" w:rsidTr="00405784">
        <w:tc>
          <w:tcPr>
            <w:tcW w:w="810" w:type="pct"/>
          </w:tcPr>
          <w:p w:rsidR="00D5446D" w:rsidRDefault="00D5446D" w:rsidP="00D73A44">
            <w:pPr>
              <w:pStyle w:val="TableBodyText"/>
              <w:jc w:val="left"/>
            </w:pPr>
          </w:p>
        </w:tc>
        <w:tc>
          <w:tcPr>
            <w:tcW w:w="3465" w:type="pct"/>
          </w:tcPr>
          <w:p w:rsidR="00D5446D" w:rsidRDefault="00680BEF" w:rsidP="004E5CFD">
            <w:pPr>
              <w:pStyle w:val="TableBodyText"/>
              <w:jc w:val="left"/>
            </w:pPr>
            <w:r>
              <w:t xml:space="preserve">… </w:t>
            </w:r>
            <w:r w:rsidR="00D5446D" w:rsidRPr="005E2170">
              <w:t xml:space="preserve">that the review </w:t>
            </w:r>
            <w:r w:rsidR="000817D1">
              <w:t>would</w:t>
            </w:r>
            <w:r w:rsidR="00D5446D" w:rsidRPr="005E2170">
              <w:t xml:space="preserve"> be </w:t>
            </w:r>
            <w:r w:rsidR="004E5CFD">
              <w:t>public</w:t>
            </w:r>
            <w:r w:rsidR="00376207">
              <w:t>?</w:t>
            </w:r>
          </w:p>
        </w:tc>
        <w:tc>
          <w:tcPr>
            <w:tcW w:w="725" w:type="pct"/>
            <w:vAlign w:val="center"/>
          </w:tcPr>
          <w:p w:rsidR="00D5446D" w:rsidRPr="00444038" w:rsidRDefault="00CE4177" w:rsidP="004E5CFD">
            <w:pPr>
              <w:pStyle w:val="TableBodyText"/>
            </w:pPr>
            <w:r w:rsidRPr="00444038">
              <w:t xml:space="preserve">  </w:t>
            </w:r>
            <w:r w:rsidR="004E5CFD">
              <w:t>5</w:t>
            </w:r>
          </w:p>
        </w:tc>
      </w:tr>
      <w:tr w:rsidR="00D5446D" w:rsidTr="00405784">
        <w:tc>
          <w:tcPr>
            <w:tcW w:w="810" w:type="pct"/>
          </w:tcPr>
          <w:p w:rsidR="00D5446D" w:rsidRDefault="00D5446D" w:rsidP="00D73A44">
            <w:pPr>
              <w:pStyle w:val="TableBodyText"/>
              <w:jc w:val="left"/>
            </w:pPr>
          </w:p>
        </w:tc>
        <w:tc>
          <w:tcPr>
            <w:tcW w:w="3465" w:type="pct"/>
          </w:tcPr>
          <w:p w:rsidR="00D5446D" w:rsidRDefault="00680BEF" w:rsidP="004E5CFD">
            <w:pPr>
              <w:pStyle w:val="TableBodyText"/>
              <w:jc w:val="left"/>
            </w:pPr>
            <w:r>
              <w:t xml:space="preserve">… </w:t>
            </w:r>
            <w:r w:rsidR="00D5446D" w:rsidRPr="005E2170">
              <w:t>that th</w:t>
            </w:r>
            <w:r w:rsidR="004E5CFD">
              <w:t>e review would be independent</w:t>
            </w:r>
            <w:r w:rsidR="00376207">
              <w:t>?</w:t>
            </w:r>
          </w:p>
        </w:tc>
        <w:tc>
          <w:tcPr>
            <w:tcW w:w="725" w:type="pct"/>
            <w:vAlign w:val="center"/>
          </w:tcPr>
          <w:p w:rsidR="00D5446D" w:rsidRPr="00444038" w:rsidRDefault="00CE4177" w:rsidP="004E5CFD">
            <w:pPr>
              <w:pStyle w:val="TableBodyText"/>
            </w:pPr>
            <w:r w:rsidRPr="00444038">
              <w:t xml:space="preserve">  </w:t>
            </w:r>
            <w:r w:rsidR="004E5CFD">
              <w:t>4</w:t>
            </w:r>
          </w:p>
        </w:tc>
      </w:tr>
      <w:tr w:rsidR="005E2170" w:rsidTr="00405784">
        <w:tc>
          <w:tcPr>
            <w:tcW w:w="4275" w:type="pct"/>
            <w:gridSpan w:val="2"/>
          </w:tcPr>
          <w:p w:rsidR="000F1407" w:rsidRDefault="005C643B" w:rsidP="005C643B">
            <w:pPr>
              <w:pStyle w:val="TableBodyText"/>
              <w:jc w:val="left"/>
            </w:pPr>
            <w:r>
              <w:t>Did</w:t>
            </w:r>
            <w:r w:rsidR="005E2170" w:rsidRPr="005E2170">
              <w:t xml:space="preserve"> the RIS state the regulation </w:t>
            </w:r>
            <w:r>
              <w:t>would</w:t>
            </w:r>
            <w:r w:rsidR="005E2170">
              <w:t xml:space="preserve"> include a sunset clause?</w:t>
            </w:r>
          </w:p>
        </w:tc>
        <w:tc>
          <w:tcPr>
            <w:tcW w:w="725" w:type="pct"/>
          </w:tcPr>
          <w:p w:rsidR="005E2170" w:rsidRDefault="005E2170" w:rsidP="00444038">
            <w:pPr>
              <w:pStyle w:val="TableBodyText"/>
            </w:pPr>
          </w:p>
        </w:tc>
      </w:tr>
      <w:tr w:rsidR="00D5446D" w:rsidTr="00405784">
        <w:tc>
          <w:tcPr>
            <w:tcW w:w="810" w:type="pct"/>
            <w:tcBorders>
              <w:bottom w:val="single" w:sz="4" w:space="0" w:color="auto"/>
            </w:tcBorders>
          </w:tcPr>
          <w:p w:rsidR="00D5446D" w:rsidRDefault="00D5446D" w:rsidP="00213053">
            <w:pPr>
              <w:pStyle w:val="TableBodyText"/>
              <w:jc w:val="left"/>
            </w:pPr>
          </w:p>
        </w:tc>
        <w:tc>
          <w:tcPr>
            <w:tcW w:w="3465" w:type="pct"/>
            <w:tcBorders>
              <w:bottom w:val="single" w:sz="4" w:space="0" w:color="auto"/>
            </w:tcBorders>
          </w:tcPr>
          <w:p w:rsidR="00D5446D" w:rsidRDefault="00D5446D" w:rsidP="00213053">
            <w:pPr>
              <w:pStyle w:val="TableBodyText"/>
              <w:jc w:val="left"/>
            </w:pPr>
            <w:r>
              <w:t xml:space="preserve">Yes </w:t>
            </w:r>
          </w:p>
        </w:tc>
        <w:tc>
          <w:tcPr>
            <w:tcW w:w="725" w:type="pct"/>
            <w:tcBorders>
              <w:bottom w:val="single" w:sz="4" w:space="0" w:color="auto"/>
            </w:tcBorders>
            <w:vAlign w:val="center"/>
          </w:tcPr>
          <w:p w:rsidR="00D5446D" w:rsidRPr="00444038" w:rsidRDefault="00CE4177" w:rsidP="009C2EA1">
            <w:pPr>
              <w:pStyle w:val="TableBodyText"/>
            </w:pPr>
            <w:r w:rsidRPr="00444038">
              <w:t xml:space="preserve">  </w:t>
            </w:r>
            <w:r w:rsidR="009C2EA1">
              <w:t>1</w:t>
            </w:r>
          </w:p>
        </w:tc>
      </w:tr>
      <w:tr w:rsidR="005E2170" w:rsidRPr="001755F1" w:rsidTr="00405784">
        <w:tc>
          <w:tcPr>
            <w:tcW w:w="4275" w:type="pct"/>
            <w:gridSpan w:val="2"/>
            <w:tcBorders>
              <w:top w:val="single" w:sz="4" w:space="0" w:color="auto"/>
            </w:tcBorders>
          </w:tcPr>
          <w:p w:rsidR="005E2170" w:rsidRPr="001755F1" w:rsidRDefault="005E2170" w:rsidP="00444038">
            <w:pPr>
              <w:pStyle w:val="TableBodyText"/>
              <w:numPr>
                <w:ilvl w:val="0"/>
                <w:numId w:val="17"/>
              </w:numPr>
              <w:spacing w:before="80"/>
              <w:jc w:val="left"/>
              <w:rPr>
                <w:b/>
                <w:i/>
              </w:rPr>
            </w:pPr>
            <w:r>
              <w:rPr>
                <w:b/>
              </w:rPr>
              <w:t>Other</w:t>
            </w:r>
          </w:p>
        </w:tc>
        <w:tc>
          <w:tcPr>
            <w:tcW w:w="725" w:type="pct"/>
            <w:tcBorders>
              <w:top w:val="single" w:sz="4" w:space="0" w:color="auto"/>
            </w:tcBorders>
          </w:tcPr>
          <w:p w:rsidR="005E2170" w:rsidRPr="001755F1" w:rsidRDefault="005E2170" w:rsidP="00444038">
            <w:pPr>
              <w:pStyle w:val="TableBodyText"/>
              <w:spacing w:before="80"/>
              <w:ind w:right="28"/>
              <w:rPr>
                <w:b/>
              </w:rPr>
            </w:pPr>
          </w:p>
        </w:tc>
      </w:tr>
      <w:tr w:rsidR="00680BEF" w:rsidTr="00405784">
        <w:tc>
          <w:tcPr>
            <w:tcW w:w="4275" w:type="pct"/>
            <w:gridSpan w:val="2"/>
          </w:tcPr>
          <w:p w:rsidR="00680BEF" w:rsidRDefault="005C643B" w:rsidP="00680BEF">
            <w:pPr>
              <w:pStyle w:val="TableBodyText"/>
              <w:jc w:val="left"/>
            </w:pPr>
            <w:r>
              <w:t>Did</w:t>
            </w:r>
            <w:r w:rsidR="00680BEF" w:rsidRPr="005E2170">
              <w:t xml:space="preserve"> the RIS </w:t>
            </w:r>
            <w:r w:rsidR="00680BEF">
              <w:t>have an executive summary?</w:t>
            </w:r>
          </w:p>
        </w:tc>
        <w:tc>
          <w:tcPr>
            <w:tcW w:w="725" w:type="pct"/>
          </w:tcPr>
          <w:p w:rsidR="00680BEF" w:rsidRDefault="00680BEF" w:rsidP="00444038">
            <w:pPr>
              <w:pStyle w:val="TableBodyText"/>
              <w:ind w:right="28"/>
            </w:pPr>
          </w:p>
        </w:tc>
      </w:tr>
      <w:tr w:rsidR="00680BEF" w:rsidTr="00405784">
        <w:tc>
          <w:tcPr>
            <w:tcW w:w="810" w:type="pct"/>
          </w:tcPr>
          <w:p w:rsidR="00680BEF" w:rsidRDefault="00680BEF" w:rsidP="00680BEF">
            <w:pPr>
              <w:pStyle w:val="TableBodyText"/>
              <w:jc w:val="left"/>
            </w:pPr>
          </w:p>
        </w:tc>
        <w:tc>
          <w:tcPr>
            <w:tcW w:w="3465" w:type="pct"/>
          </w:tcPr>
          <w:p w:rsidR="00680BEF" w:rsidRDefault="00680BEF" w:rsidP="00680BEF">
            <w:pPr>
              <w:pStyle w:val="TableBodyText"/>
              <w:jc w:val="left"/>
            </w:pPr>
            <w:r>
              <w:t xml:space="preserve">Yes </w:t>
            </w:r>
          </w:p>
        </w:tc>
        <w:tc>
          <w:tcPr>
            <w:tcW w:w="725" w:type="pct"/>
            <w:vAlign w:val="center"/>
          </w:tcPr>
          <w:p w:rsidR="00680BEF" w:rsidRPr="00444038" w:rsidRDefault="00DD3B79" w:rsidP="009C2EA1">
            <w:pPr>
              <w:pStyle w:val="TableBodyText"/>
            </w:pPr>
            <w:r w:rsidRPr="00444038">
              <w:t>4</w:t>
            </w:r>
            <w:r w:rsidR="009C2EA1">
              <w:t>1</w:t>
            </w:r>
          </w:p>
        </w:tc>
      </w:tr>
      <w:tr w:rsidR="005E2170" w:rsidTr="00405784">
        <w:tc>
          <w:tcPr>
            <w:tcW w:w="4275" w:type="pct"/>
            <w:gridSpan w:val="2"/>
          </w:tcPr>
          <w:p w:rsidR="005E2170" w:rsidRDefault="00680BEF" w:rsidP="005C643B">
            <w:pPr>
              <w:pStyle w:val="TableBodyText"/>
              <w:jc w:val="left"/>
            </w:pPr>
            <w:r>
              <w:t xml:space="preserve">How long </w:t>
            </w:r>
            <w:r w:rsidR="005C643B">
              <w:t>was</w:t>
            </w:r>
            <w:r>
              <w:t xml:space="preserve"> the RIS?</w:t>
            </w:r>
          </w:p>
        </w:tc>
        <w:tc>
          <w:tcPr>
            <w:tcW w:w="725" w:type="pct"/>
          </w:tcPr>
          <w:p w:rsidR="005E2170" w:rsidRDefault="005E2170" w:rsidP="00444038">
            <w:pPr>
              <w:pStyle w:val="TableBodyText"/>
            </w:pPr>
          </w:p>
        </w:tc>
      </w:tr>
      <w:tr w:rsidR="00D5446D" w:rsidTr="00405784">
        <w:tc>
          <w:tcPr>
            <w:tcW w:w="810" w:type="pct"/>
            <w:tcBorders>
              <w:bottom w:val="single" w:sz="4" w:space="0" w:color="auto"/>
            </w:tcBorders>
          </w:tcPr>
          <w:p w:rsidR="00D5446D" w:rsidRDefault="00D5446D" w:rsidP="00213053">
            <w:pPr>
              <w:pStyle w:val="TableBodyText"/>
              <w:jc w:val="left"/>
            </w:pPr>
          </w:p>
        </w:tc>
        <w:tc>
          <w:tcPr>
            <w:tcW w:w="3465" w:type="pct"/>
            <w:tcBorders>
              <w:bottom w:val="single" w:sz="4" w:space="0" w:color="auto"/>
            </w:tcBorders>
          </w:tcPr>
          <w:p w:rsidR="00D5446D" w:rsidRDefault="00680BEF" w:rsidP="004624F5">
            <w:pPr>
              <w:pStyle w:val="TableBodyText"/>
              <w:jc w:val="left"/>
            </w:pPr>
            <w:r>
              <w:t>Average length, including attachments</w:t>
            </w:r>
            <w:r w:rsidR="00D5446D">
              <w:t xml:space="preserve"> </w:t>
            </w:r>
            <w:r w:rsidR="004624F5">
              <w:t>(pages)</w:t>
            </w:r>
          </w:p>
        </w:tc>
        <w:tc>
          <w:tcPr>
            <w:tcW w:w="725" w:type="pct"/>
            <w:tcBorders>
              <w:bottom w:val="single" w:sz="4" w:space="0" w:color="auto"/>
            </w:tcBorders>
            <w:vAlign w:val="center"/>
          </w:tcPr>
          <w:p w:rsidR="00D5446D" w:rsidRPr="00444038" w:rsidRDefault="00412EC8" w:rsidP="00444038">
            <w:pPr>
              <w:pStyle w:val="TableBodyText"/>
            </w:pPr>
            <w:r w:rsidRPr="00444038">
              <w:t>54</w:t>
            </w:r>
          </w:p>
        </w:tc>
      </w:tr>
    </w:tbl>
    <w:p w:rsidR="00D45827" w:rsidRDefault="00361D37" w:rsidP="00444038">
      <w:pPr>
        <w:pStyle w:val="Source"/>
      </w:pPr>
      <w:proofErr w:type="spellStart"/>
      <w:r>
        <w:rPr>
          <w:rStyle w:val="NoteLabel"/>
        </w:rPr>
        <w:t>a</w:t>
      </w:r>
      <w:proofErr w:type="spellEnd"/>
      <w:r>
        <w:t xml:space="preserve"> </w:t>
      </w:r>
      <w:r w:rsidR="00ED3CE8">
        <w:t xml:space="preserve">These estimates exclude consultation RISs and are based on data from the following jurisdictions: Commonwealth, COAG, </w:t>
      </w:r>
      <w:r>
        <w:t>NSW</w:t>
      </w:r>
      <w:r w:rsidR="008124DA">
        <w:t xml:space="preserve"> </w:t>
      </w:r>
      <w:r w:rsidR="009C2EA1">
        <w:t>(</w:t>
      </w:r>
      <w:proofErr w:type="spellStart"/>
      <w:r w:rsidR="009C2EA1">
        <w:t>BRSs</w:t>
      </w:r>
      <w:proofErr w:type="spellEnd"/>
      <w:r w:rsidR="009C2EA1">
        <w:t xml:space="preserve">, </w:t>
      </w:r>
      <w:r w:rsidR="00E87E40">
        <w:t xml:space="preserve">but not </w:t>
      </w:r>
      <w:proofErr w:type="spellStart"/>
      <w:r w:rsidR="00E87E40">
        <w:t>RISs</w:t>
      </w:r>
      <w:proofErr w:type="spellEnd"/>
      <w:r w:rsidR="008124DA">
        <w:t>)</w:t>
      </w:r>
      <w:r>
        <w:t xml:space="preserve">, </w:t>
      </w:r>
      <w:r w:rsidR="00E87E40">
        <w:t>Western Australia, South Australia and the Northern Territory</w:t>
      </w:r>
      <w:r>
        <w:t>.</w:t>
      </w:r>
      <w:r w:rsidR="00D33603">
        <w:t xml:space="preserve"> </w:t>
      </w:r>
    </w:p>
    <w:p w:rsidR="00ED3CE8" w:rsidRPr="00444038" w:rsidRDefault="00ED3CE8" w:rsidP="00444038">
      <w:pPr>
        <w:pStyle w:val="Source"/>
      </w:pPr>
    </w:p>
    <w:sectPr w:rsidR="00ED3CE8" w:rsidRPr="00444038" w:rsidSect="000817D1">
      <w:headerReference w:type="even" r:id="rId11"/>
      <w:headerReference w:type="default" r:id="rId12"/>
      <w:footerReference w:type="even" r:id="rId13"/>
      <w:footerReference w:type="default" r:id="rId14"/>
      <w:pgSz w:w="11907" w:h="16840" w:code="9"/>
      <w:pgMar w:top="1985" w:right="1304" w:bottom="1418" w:left="1814" w:header="1701" w:footer="567" w:gutter="0"/>
      <w:pgNumType w:start="35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E80" w:rsidRDefault="00493E80">
      <w:r>
        <w:separator/>
      </w:r>
    </w:p>
  </w:endnote>
  <w:endnote w:type="continuationSeparator" w:id="0">
    <w:p w:rsidR="00493E80" w:rsidRDefault="0049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93E80">
      <w:trPr>
        <w:trHeight w:hRule="exact" w:val="740"/>
      </w:trPr>
      <w:tc>
        <w:tcPr>
          <w:tcW w:w="510" w:type="dxa"/>
          <w:tcBorders>
            <w:top w:val="single" w:sz="6" w:space="0" w:color="auto"/>
          </w:tcBorders>
        </w:tcPr>
        <w:p w:rsidR="00493E80" w:rsidRDefault="00493E80"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F2608">
            <w:rPr>
              <w:rStyle w:val="PageNumber"/>
              <w:noProof/>
            </w:rPr>
            <w:t>368</w:t>
          </w:r>
          <w:r>
            <w:rPr>
              <w:rStyle w:val="PageNumber"/>
            </w:rPr>
            <w:fldChar w:fldCharType="end"/>
          </w:r>
        </w:p>
      </w:tc>
      <w:tc>
        <w:tcPr>
          <w:tcW w:w="1644" w:type="dxa"/>
          <w:tcBorders>
            <w:top w:val="single" w:sz="6" w:space="0" w:color="auto"/>
          </w:tcBorders>
        </w:tcPr>
        <w:p w:rsidR="00493E80" w:rsidRDefault="00493E80" w:rsidP="0019293B">
          <w:pPr>
            <w:pStyle w:val="Footer"/>
          </w:pPr>
          <w:r>
            <w:fldChar w:fldCharType="begin"/>
          </w:r>
          <w:r>
            <w:instrText xml:space="preserve"> SUBJECT  \* MERGEFORMAT </w:instrText>
          </w:r>
          <w:r>
            <w:fldChar w:fldCharType="separate"/>
          </w:r>
          <w:proofErr w:type="spellStart"/>
          <w:r>
            <w:t>RIA</w:t>
          </w:r>
          <w:proofErr w:type="spellEnd"/>
          <w:r>
            <w:t xml:space="preserve"> Benchmarking</w:t>
          </w:r>
          <w:r>
            <w:fldChar w:fldCharType="end"/>
          </w:r>
        </w:p>
      </w:tc>
      <w:tc>
        <w:tcPr>
          <w:tcW w:w="6634" w:type="dxa"/>
        </w:tcPr>
        <w:p w:rsidR="00493E80" w:rsidRDefault="00493E80" w:rsidP="0019293B">
          <w:pPr>
            <w:pStyle w:val="Footer"/>
          </w:pPr>
        </w:p>
      </w:tc>
    </w:tr>
  </w:tbl>
  <w:p w:rsidR="00493E80" w:rsidRDefault="00493E8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93E80">
      <w:trPr>
        <w:trHeight w:hRule="exact" w:val="740"/>
      </w:trPr>
      <w:tc>
        <w:tcPr>
          <w:tcW w:w="6634" w:type="dxa"/>
        </w:tcPr>
        <w:p w:rsidR="00493E80" w:rsidRDefault="00493E80">
          <w:pPr>
            <w:pStyle w:val="Footer"/>
            <w:ind w:right="360" w:firstLine="360"/>
          </w:pPr>
        </w:p>
      </w:tc>
      <w:tc>
        <w:tcPr>
          <w:tcW w:w="1644" w:type="dxa"/>
          <w:tcBorders>
            <w:top w:val="single" w:sz="6" w:space="0" w:color="auto"/>
          </w:tcBorders>
        </w:tcPr>
        <w:p w:rsidR="00493E80" w:rsidRDefault="00493E80">
          <w:pPr>
            <w:pStyle w:val="Footer"/>
          </w:pPr>
          <w:fldSimple w:instr=" TITLE  \* MERGEFORMAT ">
            <w:r>
              <w:t>Analysis of regulation impact statements</w:t>
            </w:r>
          </w:fldSimple>
        </w:p>
      </w:tc>
      <w:tc>
        <w:tcPr>
          <w:tcW w:w="510" w:type="dxa"/>
          <w:tcBorders>
            <w:top w:val="single" w:sz="6" w:space="0" w:color="auto"/>
          </w:tcBorders>
        </w:tcPr>
        <w:p w:rsidR="00493E80" w:rsidRDefault="00493E80">
          <w:pPr>
            <w:pStyle w:val="Footer"/>
            <w:jc w:val="right"/>
          </w:pPr>
          <w:r>
            <w:rPr>
              <w:rStyle w:val="PageNumber"/>
            </w:rPr>
            <w:fldChar w:fldCharType="begin"/>
          </w:r>
          <w:r>
            <w:rPr>
              <w:rStyle w:val="PageNumber"/>
            </w:rPr>
            <w:instrText xml:space="preserve">PAGE  </w:instrText>
          </w:r>
          <w:r>
            <w:rPr>
              <w:rStyle w:val="PageNumber"/>
            </w:rPr>
            <w:fldChar w:fldCharType="separate"/>
          </w:r>
          <w:r w:rsidR="007F2608">
            <w:rPr>
              <w:rStyle w:val="PageNumber"/>
              <w:noProof/>
            </w:rPr>
            <w:t>369</w:t>
          </w:r>
          <w:r>
            <w:rPr>
              <w:rStyle w:val="PageNumber"/>
            </w:rPr>
            <w:fldChar w:fldCharType="end"/>
          </w:r>
        </w:p>
      </w:tc>
    </w:tr>
  </w:tbl>
  <w:p w:rsidR="00493E80" w:rsidRDefault="00493E8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E80" w:rsidRDefault="00493E80">
      <w:r>
        <w:separator/>
      </w:r>
    </w:p>
  </w:footnote>
  <w:footnote w:type="continuationSeparator" w:id="0">
    <w:p w:rsidR="00493E80" w:rsidRDefault="00493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3E80">
      <w:tc>
        <w:tcPr>
          <w:tcW w:w="2155" w:type="dxa"/>
          <w:tcBorders>
            <w:top w:val="single" w:sz="24" w:space="0" w:color="auto"/>
          </w:tcBorders>
        </w:tcPr>
        <w:p w:rsidR="00493E80" w:rsidRDefault="00493E80" w:rsidP="0019293B">
          <w:pPr>
            <w:pStyle w:val="HeaderEven"/>
          </w:pPr>
        </w:p>
      </w:tc>
      <w:tc>
        <w:tcPr>
          <w:tcW w:w="6634" w:type="dxa"/>
          <w:tcBorders>
            <w:top w:val="single" w:sz="6" w:space="0" w:color="auto"/>
          </w:tcBorders>
        </w:tcPr>
        <w:p w:rsidR="00493E80" w:rsidRDefault="00493E80" w:rsidP="0019293B">
          <w:pPr>
            <w:pStyle w:val="HeaderEven"/>
          </w:pPr>
        </w:p>
      </w:tc>
    </w:tr>
  </w:tbl>
  <w:p w:rsidR="00493E80" w:rsidRDefault="00493E8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3E80">
      <w:tc>
        <w:tcPr>
          <w:tcW w:w="6634" w:type="dxa"/>
          <w:tcBorders>
            <w:top w:val="single" w:sz="6" w:space="0" w:color="auto"/>
          </w:tcBorders>
        </w:tcPr>
        <w:p w:rsidR="00493E80" w:rsidRDefault="00493E80" w:rsidP="00E669E2">
          <w:pPr>
            <w:pStyle w:val="HeaderOdd"/>
          </w:pPr>
        </w:p>
      </w:tc>
      <w:tc>
        <w:tcPr>
          <w:tcW w:w="2155" w:type="dxa"/>
          <w:tcBorders>
            <w:top w:val="single" w:sz="24" w:space="0" w:color="auto"/>
          </w:tcBorders>
        </w:tcPr>
        <w:p w:rsidR="00493E80" w:rsidRDefault="00493E80" w:rsidP="00E669E2">
          <w:pPr>
            <w:pStyle w:val="HeaderOdd"/>
          </w:pPr>
        </w:p>
      </w:tc>
    </w:tr>
  </w:tbl>
  <w:p w:rsidR="00493E80" w:rsidRDefault="00493E8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02972A3"/>
    <w:multiLevelType w:val="hybridMultilevel"/>
    <w:tmpl w:val="CC92B2F8"/>
    <w:lvl w:ilvl="0" w:tplc="789466D4">
      <w:start w:val="1"/>
      <w:numFmt w:val="decimal"/>
      <w:lvlText w:val="%1."/>
      <w:lvlJc w:val="left"/>
      <w:pPr>
        <w:ind w:left="366" w:hanging="360"/>
      </w:pPr>
      <w:rPr>
        <w:rFonts w:hint="default"/>
        <w:i w:val="0"/>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7"/>
  </w:num>
  <w:num w:numId="4">
    <w:abstractNumId w:val="2"/>
  </w:num>
  <w:num w:numId="5">
    <w:abstractNumId w:val="13"/>
  </w:num>
  <w:num w:numId="6">
    <w:abstractNumId w:val="3"/>
  </w:num>
  <w:num w:numId="7">
    <w:abstractNumId w:val="16"/>
  </w:num>
  <w:num w:numId="8">
    <w:abstractNumId w:val="15"/>
  </w:num>
  <w:num w:numId="9">
    <w:abstractNumId w:val="18"/>
  </w:num>
  <w:num w:numId="10">
    <w:abstractNumId w:val="7"/>
  </w:num>
  <w:num w:numId="11">
    <w:abstractNumId w:val="14"/>
  </w:num>
  <w:num w:numId="12">
    <w:abstractNumId w:val="6"/>
  </w:num>
  <w:num w:numId="13">
    <w:abstractNumId w:val="5"/>
  </w:num>
  <w:num w:numId="14">
    <w:abstractNumId w:val="9"/>
  </w:num>
  <w:num w:numId="15">
    <w:abstractNumId w:val="10"/>
  </w:num>
  <w:num w:numId="16">
    <w:abstractNumId w:val="12"/>
  </w:num>
  <w:num w:numId="17">
    <w:abstractNumId w:val="8"/>
  </w:num>
  <w:num w:numId="18">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Analysis of regulation impact statements"/>
    <w:docVar w:name="ShortReportTitle" w:val="RIA Benchmarking"/>
  </w:docVars>
  <w:rsids>
    <w:rsidRoot w:val="00560354"/>
    <w:rsid w:val="000043EE"/>
    <w:rsid w:val="00007069"/>
    <w:rsid w:val="00007177"/>
    <w:rsid w:val="00007E0B"/>
    <w:rsid w:val="00010796"/>
    <w:rsid w:val="000144E0"/>
    <w:rsid w:val="000228FC"/>
    <w:rsid w:val="000245AA"/>
    <w:rsid w:val="0003664B"/>
    <w:rsid w:val="000375C2"/>
    <w:rsid w:val="0004111F"/>
    <w:rsid w:val="000565B3"/>
    <w:rsid w:val="00060C3A"/>
    <w:rsid w:val="0007150B"/>
    <w:rsid w:val="000817D1"/>
    <w:rsid w:val="00084ABD"/>
    <w:rsid w:val="00084CAF"/>
    <w:rsid w:val="000908FD"/>
    <w:rsid w:val="000930C2"/>
    <w:rsid w:val="0009347F"/>
    <w:rsid w:val="000938F5"/>
    <w:rsid w:val="000A6C4E"/>
    <w:rsid w:val="000A6E34"/>
    <w:rsid w:val="000B601B"/>
    <w:rsid w:val="000B7AA4"/>
    <w:rsid w:val="000C207E"/>
    <w:rsid w:val="000C7362"/>
    <w:rsid w:val="000F1407"/>
    <w:rsid w:val="000F420B"/>
    <w:rsid w:val="0010155D"/>
    <w:rsid w:val="00105B5F"/>
    <w:rsid w:val="00110116"/>
    <w:rsid w:val="0011703B"/>
    <w:rsid w:val="00120072"/>
    <w:rsid w:val="00126EB8"/>
    <w:rsid w:val="00127252"/>
    <w:rsid w:val="001274D4"/>
    <w:rsid w:val="00131F8A"/>
    <w:rsid w:val="001363AA"/>
    <w:rsid w:val="00154445"/>
    <w:rsid w:val="00155A17"/>
    <w:rsid w:val="001755F1"/>
    <w:rsid w:val="0017695B"/>
    <w:rsid w:val="00183E82"/>
    <w:rsid w:val="001878BB"/>
    <w:rsid w:val="00191AE0"/>
    <w:rsid w:val="0019293B"/>
    <w:rsid w:val="001A7A6A"/>
    <w:rsid w:val="001B002A"/>
    <w:rsid w:val="001C0865"/>
    <w:rsid w:val="001C37A2"/>
    <w:rsid w:val="001C3ABA"/>
    <w:rsid w:val="001E7BE8"/>
    <w:rsid w:val="001F0248"/>
    <w:rsid w:val="001F1787"/>
    <w:rsid w:val="001F3EB3"/>
    <w:rsid w:val="001F514D"/>
    <w:rsid w:val="00200FD5"/>
    <w:rsid w:val="00202C2C"/>
    <w:rsid w:val="00206E43"/>
    <w:rsid w:val="00213053"/>
    <w:rsid w:val="002253C6"/>
    <w:rsid w:val="002330A5"/>
    <w:rsid w:val="00242279"/>
    <w:rsid w:val="00245C82"/>
    <w:rsid w:val="002674BA"/>
    <w:rsid w:val="002715CF"/>
    <w:rsid w:val="0028089B"/>
    <w:rsid w:val="00286545"/>
    <w:rsid w:val="00291B40"/>
    <w:rsid w:val="00293BAB"/>
    <w:rsid w:val="002A0D7D"/>
    <w:rsid w:val="002A6C3C"/>
    <w:rsid w:val="002B4008"/>
    <w:rsid w:val="002B4A38"/>
    <w:rsid w:val="002B5A36"/>
    <w:rsid w:val="002D0E8E"/>
    <w:rsid w:val="002D5502"/>
    <w:rsid w:val="002F099D"/>
    <w:rsid w:val="002F2102"/>
    <w:rsid w:val="00301189"/>
    <w:rsid w:val="00317E16"/>
    <w:rsid w:val="00323E09"/>
    <w:rsid w:val="00325D70"/>
    <w:rsid w:val="00333932"/>
    <w:rsid w:val="003362B6"/>
    <w:rsid w:val="00345286"/>
    <w:rsid w:val="003461F9"/>
    <w:rsid w:val="00350CCA"/>
    <w:rsid w:val="003518AA"/>
    <w:rsid w:val="00352165"/>
    <w:rsid w:val="00353182"/>
    <w:rsid w:val="003565D9"/>
    <w:rsid w:val="003602E1"/>
    <w:rsid w:val="00361D37"/>
    <w:rsid w:val="00365EF4"/>
    <w:rsid w:val="0037026F"/>
    <w:rsid w:val="00371240"/>
    <w:rsid w:val="00374731"/>
    <w:rsid w:val="00376207"/>
    <w:rsid w:val="003919F9"/>
    <w:rsid w:val="00392305"/>
    <w:rsid w:val="00395564"/>
    <w:rsid w:val="003A58A9"/>
    <w:rsid w:val="003A67C2"/>
    <w:rsid w:val="003A763C"/>
    <w:rsid w:val="003B15F8"/>
    <w:rsid w:val="003B7EB2"/>
    <w:rsid w:val="003C0773"/>
    <w:rsid w:val="003C38B5"/>
    <w:rsid w:val="003C5D99"/>
    <w:rsid w:val="003E2F59"/>
    <w:rsid w:val="003F0789"/>
    <w:rsid w:val="00401882"/>
    <w:rsid w:val="00405784"/>
    <w:rsid w:val="004100C8"/>
    <w:rsid w:val="00411DBD"/>
    <w:rsid w:val="00412ACE"/>
    <w:rsid w:val="00412EC8"/>
    <w:rsid w:val="00431249"/>
    <w:rsid w:val="00434C19"/>
    <w:rsid w:val="00435755"/>
    <w:rsid w:val="00441FD8"/>
    <w:rsid w:val="00444038"/>
    <w:rsid w:val="00450810"/>
    <w:rsid w:val="00451398"/>
    <w:rsid w:val="004624F5"/>
    <w:rsid w:val="00477144"/>
    <w:rsid w:val="00480952"/>
    <w:rsid w:val="00493E80"/>
    <w:rsid w:val="0049459F"/>
    <w:rsid w:val="004953D8"/>
    <w:rsid w:val="004A0526"/>
    <w:rsid w:val="004A10ED"/>
    <w:rsid w:val="004A38DD"/>
    <w:rsid w:val="004B43AE"/>
    <w:rsid w:val="004C30ED"/>
    <w:rsid w:val="004D120D"/>
    <w:rsid w:val="004D5675"/>
    <w:rsid w:val="004D6B14"/>
    <w:rsid w:val="004E5CFD"/>
    <w:rsid w:val="004E6B1F"/>
    <w:rsid w:val="004F25A8"/>
    <w:rsid w:val="00504CF9"/>
    <w:rsid w:val="005118A3"/>
    <w:rsid w:val="005210B4"/>
    <w:rsid w:val="00523639"/>
    <w:rsid w:val="00523A44"/>
    <w:rsid w:val="00526C0E"/>
    <w:rsid w:val="00531FE5"/>
    <w:rsid w:val="00534AEF"/>
    <w:rsid w:val="005514B0"/>
    <w:rsid w:val="00560354"/>
    <w:rsid w:val="0057096E"/>
    <w:rsid w:val="00583C39"/>
    <w:rsid w:val="005909CF"/>
    <w:rsid w:val="00591E71"/>
    <w:rsid w:val="005A0D41"/>
    <w:rsid w:val="005B53E1"/>
    <w:rsid w:val="005C643B"/>
    <w:rsid w:val="005C6924"/>
    <w:rsid w:val="005C790B"/>
    <w:rsid w:val="005D3549"/>
    <w:rsid w:val="005D39B9"/>
    <w:rsid w:val="005E10BD"/>
    <w:rsid w:val="005E2170"/>
    <w:rsid w:val="005F42C7"/>
    <w:rsid w:val="00607BF1"/>
    <w:rsid w:val="006215B9"/>
    <w:rsid w:val="00624DE4"/>
    <w:rsid w:val="0062517A"/>
    <w:rsid w:val="00630D4D"/>
    <w:rsid w:val="00632A74"/>
    <w:rsid w:val="006367B4"/>
    <w:rsid w:val="0064682A"/>
    <w:rsid w:val="00662819"/>
    <w:rsid w:val="00672789"/>
    <w:rsid w:val="00674122"/>
    <w:rsid w:val="00680BEF"/>
    <w:rsid w:val="006820DF"/>
    <w:rsid w:val="00691837"/>
    <w:rsid w:val="006A0FE0"/>
    <w:rsid w:val="006A4655"/>
    <w:rsid w:val="006B2B3C"/>
    <w:rsid w:val="006C1D81"/>
    <w:rsid w:val="006C3C39"/>
    <w:rsid w:val="006C7038"/>
    <w:rsid w:val="006D4AA2"/>
    <w:rsid w:val="006E19E2"/>
    <w:rsid w:val="006E73EF"/>
    <w:rsid w:val="006F5575"/>
    <w:rsid w:val="006F7681"/>
    <w:rsid w:val="0070611F"/>
    <w:rsid w:val="00706815"/>
    <w:rsid w:val="00706D86"/>
    <w:rsid w:val="00714D4D"/>
    <w:rsid w:val="00724809"/>
    <w:rsid w:val="00724F19"/>
    <w:rsid w:val="00734754"/>
    <w:rsid w:val="0075395E"/>
    <w:rsid w:val="007604BB"/>
    <w:rsid w:val="00782C34"/>
    <w:rsid w:val="00785232"/>
    <w:rsid w:val="007932CD"/>
    <w:rsid w:val="00794B97"/>
    <w:rsid w:val="007A21EB"/>
    <w:rsid w:val="007A3FDE"/>
    <w:rsid w:val="007A5F3C"/>
    <w:rsid w:val="007B01C3"/>
    <w:rsid w:val="007B1A93"/>
    <w:rsid w:val="007B74FE"/>
    <w:rsid w:val="007C36C9"/>
    <w:rsid w:val="007D5ECB"/>
    <w:rsid w:val="007D6401"/>
    <w:rsid w:val="007D6E16"/>
    <w:rsid w:val="007E01E4"/>
    <w:rsid w:val="007E15AB"/>
    <w:rsid w:val="007E2DE6"/>
    <w:rsid w:val="007F2608"/>
    <w:rsid w:val="007F7107"/>
    <w:rsid w:val="00804E65"/>
    <w:rsid w:val="008057CA"/>
    <w:rsid w:val="0081030F"/>
    <w:rsid w:val="008112E3"/>
    <w:rsid w:val="008124DA"/>
    <w:rsid w:val="008145C0"/>
    <w:rsid w:val="0082087D"/>
    <w:rsid w:val="00826511"/>
    <w:rsid w:val="00830A3B"/>
    <w:rsid w:val="00833B94"/>
    <w:rsid w:val="00842933"/>
    <w:rsid w:val="00851531"/>
    <w:rsid w:val="0086082C"/>
    <w:rsid w:val="00864ADC"/>
    <w:rsid w:val="00874929"/>
    <w:rsid w:val="00880153"/>
    <w:rsid w:val="00880F97"/>
    <w:rsid w:val="0088133A"/>
    <w:rsid w:val="0089285E"/>
    <w:rsid w:val="0089436C"/>
    <w:rsid w:val="008A6F75"/>
    <w:rsid w:val="008B15A3"/>
    <w:rsid w:val="008C6285"/>
    <w:rsid w:val="008C7015"/>
    <w:rsid w:val="008D0F5E"/>
    <w:rsid w:val="008D365C"/>
    <w:rsid w:val="008D53E2"/>
    <w:rsid w:val="008F387D"/>
    <w:rsid w:val="009030BF"/>
    <w:rsid w:val="0091032F"/>
    <w:rsid w:val="00914368"/>
    <w:rsid w:val="00916459"/>
    <w:rsid w:val="00916582"/>
    <w:rsid w:val="00931076"/>
    <w:rsid w:val="009337FE"/>
    <w:rsid w:val="009345D9"/>
    <w:rsid w:val="00934B15"/>
    <w:rsid w:val="00942B62"/>
    <w:rsid w:val="00947382"/>
    <w:rsid w:val="00953F21"/>
    <w:rsid w:val="009552B3"/>
    <w:rsid w:val="00956A0C"/>
    <w:rsid w:val="00956BD9"/>
    <w:rsid w:val="00962489"/>
    <w:rsid w:val="0096575C"/>
    <w:rsid w:val="0097566D"/>
    <w:rsid w:val="0098207C"/>
    <w:rsid w:val="0098590C"/>
    <w:rsid w:val="00990C2C"/>
    <w:rsid w:val="009A1041"/>
    <w:rsid w:val="009A5382"/>
    <w:rsid w:val="009B7D7A"/>
    <w:rsid w:val="009C07B9"/>
    <w:rsid w:val="009C2EA1"/>
    <w:rsid w:val="009D4A56"/>
    <w:rsid w:val="009F68C7"/>
    <w:rsid w:val="009F696D"/>
    <w:rsid w:val="009F6BC6"/>
    <w:rsid w:val="00A034CC"/>
    <w:rsid w:val="00A17328"/>
    <w:rsid w:val="00A23A20"/>
    <w:rsid w:val="00A268B9"/>
    <w:rsid w:val="00A2703A"/>
    <w:rsid w:val="00A33DFF"/>
    <w:rsid w:val="00A35115"/>
    <w:rsid w:val="00A36D9A"/>
    <w:rsid w:val="00A53E80"/>
    <w:rsid w:val="00A554AB"/>
    <w:rsid w:val="00A76296"/>
    <w:rsid w:val="00A86280"/>
    <w:rsid w:val="00A92B53"/>
    <w:rsid w:val="00A94137"/>
    <w:rsid w:val="00A94FA6"/>
    <w:rsid w:val="00AA49A0"/>
    <w:rsid w:val="00AA6710"/>
    <w:rsid w:val="00AB0681"/>
    <w:rsid w:val="00AB3AE7"/>
    <w:rsid w:val="00AC24B1"/>
    <w:rsid w:val="00AC7F4B"/>
    <w:rsid w:val="00AD520B"/>
    <w:rsid w:val="00AE48DC"/>
    <w:rsid w:val="00AE7C22"/>
    <w:rsid w:val="00AF30F5"/>
    <w:rsid w:val="00AF5E0A"/>
    <w:rsid w:val="00B13C54"/>
    <w:rsid w:val="00B15CF9"/>
    <w:rsid w:val="00B15DAF"/>
    <w:rsid w:val="00B3201C"/>
    <w:rsid w:val="00B440AD"/>
    <w:rsid w:val="00B53E7E"/>
    <w:rsid w:val="00B6164F"/>
    <w:rsid w:val="00B6342E"/>
    <w:rsid w:val="00B64304"/>
    <w:rsid w:val="00B66AF9"/>
    <w:rsid w:val="00B7113F"/>
    <w:rsid w:val="00B76A83"/>
    <w:rsid w:val="00B77FD6"/>
    <w:rsid w:val="00B964B7"/>
    <w:rsid w:val="00B97473"/>
    <w:rsid w:val="00BA6F73"/>
    <w:rsid w:val="00BA73B6"/>
    <w:rsid w:val="00BA7E27"/>
    <w:rsid w:val="00BB2603"/>
    <w:rsid w:val="00BB4FCD"/>
    <w:rsid w:val="00BB782D"/>
    <w:rsid w:val="00BC5E87"/>
    <w:rsid w:val="00BC64CB"/>
    <w:rsid w:val="00BD13EA"/>
    <w:rsid w:val="00BE3808"/>
    <w:rsid w:val="00C062E9"/>
    <w:rsid w:val="00C07B64"/>
    <w:rsid w:val="00C07F8A"/>
    <w:rsid w:val="00C13721"/>
    <w:rsid w:val="00C22056"/>
    <w:rsid w:val="00C3066D"/>
    <w:rsid w:val="00C4255C"/>
    <w:rsid w:val="00C4315B"/>
    <w:rsid w:val="00C525F4"/>
    <w:rsid w:val="00C543F4"/>
    <w:rsid w:val="00C61AC2"/>
    <w:rsid w:val="00C6291C"/>
    <w:rsid w:val="00C633CB"/>
    <w:rsid w:val="00C659E1"/>
    <w:rsid w:val="00C710ED"/>
    <w:rsid w:val="00C81D4A"/>
    <w:rsid w:val="00C8762C"/>
    <w:rsid w:val="00C90469"/>
    <w:rsid w:val="00CA00F9"/>
    <w:rsid w:val="00CA2961"/>
    <w:rsid w:val="00CA4623"/>
    <w:rsid w:val="00CA7E72"/>
    <w:rsid w:val="00CB50D7"/>
    <w:rsid w:val="00CB5752"/>
    <w:rsid w:val="00CB7177"/>
    <w:rsid w:val="00CC1998"/>
    <w:rsid w:val="00CC2046"/>
    <w:rsid w:val="00CC3404"/>
    <w:rsid w:val="00CC4946"/>
    <w:rsid w:val="00CD58B8"/>
    <w:rsid w:val="00CE07D5"/>
    <w:rsid w:val="00CE4177"/>
    <w:rsid w:val="00D12FE1"/>
    <w:rsid w:val="00D270A4"/>
    <w:rsid w:val="00D318B0"/>
    <w:rsid w:val="00D31FE9"/>
    <w:rsid w:val="00D33603"/>
    <w:rsid w:val="00D34E1B"/>
    <w:rsid w:val="00D376BA"/>
    <w:rsid w:val="00D44D39"/>
    <w:rsid w:val="00D45827"/>
    <w:rsid w:val="00D5270F"/>
    <w:rsid w:val="00D5446D"/>
    <w:rsid w:val="00D5568A"/>
    <w:rsid w:val="00D60667"/>
    <w:rsid w:val="00D63D73"/>
    <w:rsid w:val="00D64452"/>
    <w:rsid w:val="00D66E1E"/>
    <w:rsid w:val="00D73349"/>
    <w:rsid w:val="00D73A44"/>
    <w:rsid w:val="00D75722"/>
    <w:rsid w:val="00D80CF5"/>
    <w:rsid w:val="00D828E9"/>
    <w:rsid w:val="00D83E3B"/>
    <w:rsid w:val="00D95F6A"/>
    <w:rsid w:val="00DA4A49"/>
    <w:rsid w:val="00DA4BDC"/>
    <w:rsid w:val="00DA5BBA"/>
    <w:rsid w:val="00DB67C9"/>
    <w:rsid w:val="00DC0619"/>
    <w:rsid w:val="00DC0C95"/>
    <w:rsid w:val="00DD3B79"/>
    <w:rsid w:val="00DD6580"/>
    <w:rsid w:val="00DF3FDE"/>
    <w:rsid w:val="00E027F8"/>
    <w:rsid w:val="00E03A33"/>
    <w:rsid w:val="00E17C72"/>
    <w:rsid w:val="00E21FC6"/>
    <w:rsid w:val="00E238C3"/>
    <w:rsid w:val="00E32627"/>
    <w:rsid w:val="00E431A9"/>
    <w:rsid w:val="00E462EE"/>
    <w:rsid w:val="00E669E2"/>
    <w:rsid w:val="00E67F17"/>
    <w:rsid w:val="00E76135"/>
    <w:rsid w:val="00E82F4F"/>
    <w:rsid w:val="00E87E40"/>
    <w:rsid w:val="00E94161"/>
    <w:rsid w:val="00E94D8E"/>
    <w:rsid w:val="00EA5ECC"/>
    <w:rsid w:val="00EA7D16"/>
    <w:rsid w:val="00EC2844"/>
    <w:rsid w:val="00EC73F2"/>
    <w:rsid w:val="00EC7A53"/>
    <w:rsid w:val="00ED1094"/>
    <w:rsid w:val="00ED3CE8"/>
    <w:rsid w:val="00ED7BB4"/>
    <w:rsid w:val="00EE1D77"/>
    <w:rsid w:val="00EF3AE0"/>
    <w:rsid w:val="00EF6C6C"/>
    <w:rsid w:val="00F056FC"/>
    <w:rsid w:val="00F10476"/>
    <w:rsid w:val="00F135D8"/>
    <w:rsid w:val="00F1563E"/>
    <w:rsid w:val="00F21821"/>
    <w:rsid w:val="00F31299"/>
    <w:rsid w:val="00F3534A"/>
    <w:rsid w:val="00F44478"/>
    <w:rsid w:val="00F47583"/>
    <w:rsid w:val="00F47CE7"/>
    <w:rsid w:val="00F578B0"/>
    <w:rsid w:val="00F62E3E"/>
    <w:rsid w:val="00F6402B"/>
    <w:rsid w:val="00F71DF9"/>
    <w:rsid w:val="00F81679"/>
    <w:rsid w:val="00F84B2B"/>
    <w:rsid w:val="00F85325"/>
    <w:rsid w:val="00FA6AE5"/>
    <w:rsid w:val="00FB0E94"/>
    <w:rsid w:val="00FC3C84"/>
    <w:rsid w:val="00FD22B1"/>
    <w:rsid w:val="00FF00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B7D7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uiPriority w:val="99"/>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link w:val="BodyText"/>
    <w:locked/>
    <w:rsid w:val="002B4A38"/>
    <w:rPr>
      <w:sz w:val="26"/>
    </w:rPr>
  </w:style>
  <w:style w:type="paragraph" w:styleId="CommentSubject">
    <w:name w:val="annotation subject"/>
    <w:basedOn w:val="CommentText"/>
    <w:next w:val="CommentText"/>
    <w:link w:val="CommentSubjectChar"/>
    <w:rsid w:val="00060C3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60C3A"/>
    <w:rPr>
      <w:szCs w:val="24"/>
    </w:rPr>
  </w:style>
  <w:style w:type="character" w:customStyle="1" w:styleId="CommentSubjectChar">
    <w:name w:val="Comment Subject Char"/>
    <w:basedOn w:val="CommentTextChar"/>
    <w:link w:val="CommentSubject"/>
    <w:rsid w:val="00060C3A"/>
    <w:rPr>
      <w:b/>
      <w:bCs/>
      <w:szCs w:val="24"/>
    </w:rPr>
  </w:style>
  <w:style w:type="paragraph" w:styleId="Revision">
    <w:name w:val="Revision"/>
    <w:hidden/>
    <w:uiPriority w:val="99"/>
    <w:semiHidden/>
    <w:rsid w:val="00060C3A"/>
    <w:rPr>
      <w:sz w:val="26"/>
      <w:szCs w:val="24"/>
    </w:rPr>
  </w:style>
  <w:style w:type="table" w:styleId="TableGrid">
    <w:name w:val="Table Grid"/>
    <w:basedOn w:val="TableNormal"/>
    <w:rsid w:val="001F5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B7D7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uiPriority w:val="99"/>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link w:val="BodyText"/>
    <w:locked/>
    <w:rsid w:val="002B4A38"/>
    <w:rPr>
      <w:sz w:val="26"/>
    </w:rPr>
  </w:style>
  <w:style w:type="paragraph" w:styleId="CommentSubject">
    <w:name w:val="annotation subject"/>
    <w:basedOn w:val="CommentText"/>
    <w:next w:val="CommentText"/>
    <w:link w:val="CommentSubjectChar"/>
    <w:rsid w:val="00060C3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60C3A"/>
    <w:rPr>
      <w:szCs w:val="24"/>
    </w:rPr>
  </w:style>
  <w:style w:type="character" w:customStyle="1" w:styleId="CommentSubjectChar">
    <w:name w:val="Comment Subject Char"/>
    <w:basedOn w:val="CommentTextChar"/>
    <w:link w:val="CommentSubject"/>
    <w:rsid w:val="00060C3A"/>
    <w:rPr>
      <w:b/>
      <w:bCs/>
      <w:szCs w:val="24"/>
    </w:rPr>
  </w:style>
  <w:style w:type="paragraph" w:styleId="Revision">
    <w:name w:val="Revision"/>
    <w:hidden/>
    <w:uiPriority w:val="99"/>
    <w:semiHidden/>
    <w:rsid w:val="00060C3A"/>
    <w:rPr>
      <w:sz w:val="26"/>
      <w:szCs w:val="24"/>
    </w:rPr>
  </w:style>
  <w:style w:type="table" w:styleId="TableGrid">
    <w:name w:val="Table Grid"/>
    <w:basedOn w:val="TableNormal"/>
    <w:rsid w:val="001F5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449112">
      <w:bodyDiv w:val="1"/>
      <w:marLeft w:val="0"/>
      <w:marRight w:val="0"/>
      <w:marTop w:val="0"/>
      <w:marBottom w:val="0"/>
      <w:divBdr>
        <w:top w:val="none" w:sz="0" w:space="0" w:color="auto"/>
        <w:left w:val="none" w:sz="0" w:space="0" w:color="auto"/>
        <w:bottom w:val="none" w:sz="0" w:space="0" w:color="auto"/>
        <w:right w:val="none" w:sz="0" w:space="0" w:color="auto"/>
      </w:divBdr>
    </w:div>
    <w:div w:id="940915928">
      <w:bodyDiv w:val="1"/>
      <w:marLeft w:val="0"/>
      <w:marRight w:val="0"/>
      <w:marTop w:val="0"/>
      <w:marBottom w:val="0"/>
      <w:divBdr>
        <w:top w:val="none" w:sz="0" w:space="0" w:color="auto"/>
        <w:left w:val="none" w:sz="0" w:space="0" w:color="auto"/>
        <w:bottom w:val="none" w:sz="0" w:space="0" w:color="auto"/>
        <w:right w:val="none" w:sz="0" w:space="0" w:color="auto"/>
      </w:divBdr>
    </w:div>
    <w:div w:id="102316880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691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nch1\groups\RIA%20Benchmarking\Final%20Report\Charts%20&amp;%20Tables\Appendix%20E.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nch1\groups\RIA%20Benchmarking\Final%20Report\Charts%20&amp;%20Tables\Appendix%20E.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ysClr val="windowText" lastClr="000000"/>
            </a:solidFill>
          </c:spPr>
          <c:invertIfNegative val="0"/>
          <c:cat>
            <c:strRef>
              <c:f>Sheet1!$E$18:$E$30</c:f>
              <c:strCache>
                <c:ptCount val="13"/>
                <c:pt idx="0">
                  <c:v>Environment and energy</c:v>
                </c:pt>
                <c:pt idx="1">
                  <c:v>Transport</c:v>
                </c:pt>
                <c:pt idx="2">
                  <c:v>Otherᵃ</c:v>
                </c:pt>
                <c:pt idx="3">
                  <c:v>Primary industries</c:v>
                </c:pt>
                <c:pt idx="4">
                  <c:v>Legal and financial</c:v>
                </c:pt>
                <c:pt idx="5">
                  <c:v>Health</c:v>
                </c:pt>
                <c:pt idx="6">
                  <c:v>Building</c:v>
                </c:pt>
                <c:pt idx="7">
                  <c:v>Communications</c:v>
                </c:pt>
                <c:pt idx="8">
                  <c:v>Consumer protection</c:v>
                </c:pt>
                <c:pt idx="9">
                  <c:v>Labour market</c:v>
                </c:pt>
                <c:pt idx="10">
                  <c:v>Tax</c:v>
                </c:pt>
                <c:pt idx="11">
                  <c:v>Trade</c:v>
                </c:pt>
                <c:pt idx="12">
                  <c:v>Food</c:v>
                </c:pt>
              </c:strCache>
            </c:strRef>
          </c:cat>
          <c:val>
            <c:numRef>
              <c:f>Sheet1!$F$18:$F$30</c:f>
              <c:numCache>
                <c:formatCode>General</c:formatCode>
                <c:ptCount val="13"/>
                <c:pt idx="0">
                  <c:v>40</c:v>
                </c:pt>
                <c:pt idx="1">
                  <c:v>29</c:v>
                </c:pt>
                <c:pt idx="2">
                  <c:v>22</c:v>
                </c:pt>
                <c:pt idx="3">
                  <c:v>18</c:v>
                </c:pt>
                <c:pt idx="4">
                  <c:v>15</c:v>
                </c:pt>
                <c:pt idx="5">
                  <c:v>12</c:v>
                </c:pt>
                <c:pt idx="6">
                  <c:v>11</c:v>
                </c:pt>
                <c:pt idx="7">
                  <c:v>10</c:v>
                </c:pt>
                <c:pt idx="8">
                  <c:v>9</c:v>
                </c:pt>
                <c:pt idx="9">
                  <c:v>7</c:v>
                </c:pt>
                <c:pt idx="10">
                  <c:v>4</c:v>
                </c:pt>
                <c:pt idx="11">
                  <c:v>4</c:v>
                </c:pt>
                <c:pt idx="12">
                  <c:v>3</c:v>
                </c:pt>
              </c:numCache>
            </c:numRef>
          </c:val>
        </c:ser>
        <c:dLbls>
          <c:showLegendKey val="0"/>
          <c:showVal val="0"/>
          <c:showCatName val="0"/>
          <c:showSerName val="0"/>
          <c:showPercent val="0"/>
          <c:showBubbleSize val="0"/>
        </c:dLbls>
        <c:gapWidth val="150"/>
        <c:axId val="267952896"/>
        <c:axId val="286566656"/>
      </c:barChart>
      <c:catAx>
        <c:axId val="267952896"/>
        <c:scaling>
          <c:orientation val="minMax"/>
        </c:scaling>
        <c:delete val="0"/>
        <c:axPos val="b"/>
        <c:majorTickMark val="out"/>
        <c:minorTickMark val="none"/>
        <c:tickLblPos val="nextTo"/>
        <c:crossAx val="286566656"/>
        <c:crosses val="autoZero"/>
        <c:auto val="1"/>
        <c:lblAlgn val="ctr"/>
        <c:lblOffset val="100"/>
        <c:noMultiLvlLbl val="0"/>
      </c:catAx>
      <c:valAx>
        <c:axId val="286566656"/>
        <c:scaling>
          <c:orientation val="minMax"/>
        </c:scaling>
        <c:delete val="0"/>
        <c:axPos val="l"/>
        <c:majorGridlines/>
        <c:numFmt formatCode="General" sourceLinked="1"/>
        <c:majorTickMark val="out"/>
        <c:minorTickMark val="none"/>
        <c:tickLblPos val="nextTo"/>
        <c:spPr>
          <a:ln>
            <a:solidFill>
              <a:schemeClr val="tx1"/>
            </a:solidFill>
          </a:ln>
        </c:spPr>
        <c:crossAx val="267952896"/>
        <c:crosses val="autoZero"/>
        <c:crossBetween val="between"/>
        <c:majorUnit val="10"/>
      </c:valAx>
      <c:spPr>
        <a:noFill/>
        <a:ln>
          <a:no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6545481817446017E-2"/>
          <c:y val="5.2916666666666667E-2"/>
          <c:w val="0.91223603125559238"/>
          <c:h val="0.74550659722222223"/>
        </c:manualLayout>
      </c:layout>
      <c:barChart>
        <c:barDir val="col"/>
        <c:grouping val="clustered"/>
        <c:varyColors val="0"/>
        <c:ser>
          <c:idx val="0"/>
          <c:order val="0"/>
          <c:spPr>
            <a:solidFill>
              <a:sysClr val="windowText" lastClr="000000"/>
            </a:solidFill>
          </c:spPr>
          <c:invertIfNegative val="0"/>
          <c:cat>
            <c:strRef>
              <c:f>Sheet1!$B$6:$B$12</c:f>
              <c:strCache>
                <c:ptCount val="7"/>
                <c:pt idx="0">
                  <c:v>New Bill</c:v>
                </c:pt>
                <c:pt idx="1">
                  <c:v>Amending Bill</c:v>
                </c:pt>
                <c:pt idx="2">
                  <c:v>New regulation</c:v>
                </c:pt>
                <c:pt idx="3">
                  <c:v>Amending regulation</c:v>
                </c:pt>
                <c:pt idx="4">
                  <c:v>Remaking sunsetting instrument</c:v>
                </c:pt>
                <c:pt idx="5">
                  <c:v>Other  (quasi, etc)</c:v>
                </c:pt>
                <c:pt idx="6">
                  <c:v>Not specified in RIS</c:v>
                </c:pt>
              </c:strCache>
            </c:strRef>
          </c:cat>
          <c:val>
            <c:numRef>
              <c:f>Sheet1!$C$6:$C$12</c:f>
              <c:numCache>
                <c:formatCode>General</c:formatCode>
                <c:ptCount val="7"/>
                <c:pt idx="0">
                  <c:v>18</c:v>
                </c:pt>
                <c:pt idx="1">
                  <c:v>24</c:v>
                </c:pt>
                <c:pt idx="2">
                  <c:v>35</c:v>
                </c:pt>
                <c:pt idx="3">
                  <c:v>79</c:v>
                </c:pt>
                <c:pt idx="4">
                  <c:v>33</c:v>
                </c:pt>
                <c:pt idx="5">
                  <c:v>21</c:v>
                </c:pt>
                <c:pt idx="6">
                  <c:v>11</c:v>
                </c:pt>
              </c:numCache>
            </c:numRef>
          </c:val>
        </c:ser>
        <c:dLbls>
          <c:showLegendKey val="0"/>
          <c:showVal val="0"/>
          <c:showCatName val="0"/>
          <c:showSerName val="0"/>
          <c:showPercent val="0"/>
          <c:showBubbleSize val="0"/>
        </c:dLbls>
        <c:gapWidth val="150"/>
        <c:axId val="286857856"/>
        <c:axId val="265302784"/>
      </c:barChart>
      <c:catAx>
        <c:axId val="286857856"/>
        <c:scaling>
          <c:orientation val="minMax"/>
        </c:scaling>
        <c:delete val="0"/>
        <c:axPos val="b"/>
        <c:majorTickMark val="out"/>
        <c:minorTickMark val="none"/>
        <c:tickLblPos val="nextTo"/>
        <c:crossAx val="265302784"/>
        <c:crosses val="autoZero"/>
        <c:auto val="1"/>
        <c:lblAlgn val="ctr"/>
        <c:lblOffset val="100"/>
        <c:noMultiLvlLbl val="0"/>
      </c:catAx>
      <c:valAx>
        <c:axId val="265302784"/>
        <c:scaling>
          <c:orientation val="minMax"/>
        </c:scaling>
        <c:delete val="0"/>
        <c:axPos val="l"/>
        <c:majorGridlines/>
        <c:numFmt formatCode="General" sourceLinked="1"/>
        <c:majorTickMark val="out"/>
        <c:minorTickMark val="none"/>
        <c:tickLblPos val="nextTo"/>
        <c:spPr>
          <a:ln>
            <a:solidFill>
              <a:schemeClr val="tx1"/>
            </a:solidFill>
          </a:ln>
        </c:spPr>
        <c:crossAx val="286857856"/>
        <c:crosses val="autoZero"/>
        <c:crossBetween val="between"/>
      </c:valAx>
      <c:spPr>
        <a:noFill/>
        <a:ln>
          <a:no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081C7-4FFE-4C15-9458-7E6852B94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3545</TotalTime>
  <Pages>11</Pages>
  <Words>3202</Words>
  <Characters>17964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Analysis of regulation impact statements</vt:lpstr>
    </vt:vector>
  </TitlesOfParts>
  <Company>Productivity Commission</Company>
  <LinksUpToDate>false</LinksUpToDate>
  <CharactersWithSpaces>21124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regulation impact statements</dc:title>
  <dc:subject>RIA Benchmarking</dc:subject>
  <dc:creator>Productivity Commission</dc:creator>
  <cp:keywords/>
  <dc:description>E.</dc:description>
  <cp:lastModifiedBy>Louise Jordan</cp:lastModifiedBy>
  <cp:revision>107</cp:revision>
  <cp:lastPrinted>2012-11-27T03:44:00Z</cp:lastPrinted>
  <dcterms:created xsi:type="dcterms:W3CDTF">2012-08-08T23:35:00Z</dcterms:created>
  <dcterms:modified xsi:type="dcterms:W3CDTF">2012-11-27T05:11:00Z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1546686818</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