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B8" w:rsidRPr="00C56DEA" w:rsidRDefault="00C56DEA" w:rsidP="00C56DEA">
      <w:pPr>
        <w:jc w:val="center"/>
        <w:rPr>
          <w:rFonts w:eastAsia="Times New Roman" w:cs="Times New Roman"/>
          <w:b/>
          <w:sz w:val="26"/>
          <w:szCs w:val="20"/>
          <w:lang w:eastAsia="en-AU"/>
        </w:rPr>
      </w:pPr>
      <w:bookmarkStart w:id="0" w:name="_GoBack"/>
      <w:r w:rsidRPr="00C56DEA">
        <w:rPr>
          <w:rFonts w:eastAsia="Times New Roman" w:cs="Times New Roman"/>
          <w:b/>
          <w:sz w:val="26"/>
          <w:szCs w:val="20"/>
          <w:lang w:eastAsia="en-AU"/>
        </w:rPr>
        <w:t xml:space="preserve">PRODUCTIVITY </w:t>
      </w:r>
      <w:r w:rsidR="00CF2667" w:rsidRPr="00C56DEA">
        <w:rPr>
          <w:rFonts w:eastAsia="Times New Roman" w:cs="Times New Roman"/>
          <w:b/>
          <w:sz w:val="26"/>
          <w:szCs w:val="20"/>
          <w:lang w:eastAsia="en-AU"/>
        </w:rPr>
        <w:t>COMMISSION DRAFT</w:t>
      </w:r>
      <w:r w:rsidRPr="00C56DEA">
        <w:rPr>
          <w:rFonts w:eastAsia="Times New Roman" w:cs="Times New Roman"/>
          <w:b/>
          <w:sz w:val="26"/>
          <w:szCs w:val="20"/>
          <w:lang w:eastAsia="en-AU"/>
        </w:rPr>
        <w:t xml:space="preserve"> REPORT</w:t>
      </w:r>
    </w:p>
    <w:bookmarkEnd w:id="0"/>
    <w:p w:rsidR="00C56DEA" w:rsidRPr="00641D4E" w:rsidRDefault="00C56DEA" w:rsidP="00C56DEA">
      <w:pPr>
        <w:pStyle w:val="BodyText"/>
        <w:jc w:val="center"/>
        <w:rPr>
          <w:rFonts w:asciiTheme="minorHAnsi" w:hAnsiTheme="minorHAnsi"/>
          <w:b/>
        </w:rPr>
      </w:pPr>
      <w:r w:rsidRPr="00641D4E">
        <w:rPr>
          <w:rFonts w:asciiTheme="minorHAnsi" w:hAnsiTheme="minorHAnsi"/>
          <w:b/>
        </w:rPr>
        <w:t>REGULATORY IMPACT ANALYSIS: BENCHMARKING</w:t>
      </w:r>
    </w:p>
    <w:p w:rsidR="00C56DEA" w:rsidRDefault="00C56DEA" w:rsidP="00C56DEA">
      <w:pPr>
        <w:pStyle w:val="BodyText"/>
        <w:pBdr>
          <w:bottom w:val="single" w:sz="6" w:space="1" w:color="auto"/>
        </w:pBdr>
        <w:jc w:val="center"/>
        <w:rPr>
          <w:rFonts w:asciiTheme="minorHAnsi" w:hAnsiTheme="minorHAnsi"/>
          <w:b/>
        </w:rPr>
      </w:pPr>
      <w:r w:rsidRPr="00641D4E">
        <w:rPr>
          <w:rFonts w:asciiTheme="minorHAnsi" w:hAnsiTheme="minorHAnsi"/>
          <w:b/>
        </w:rPr>
        <w:t>A SUBMIS</w:t>
      </w:r>
      <w:r w:rsidR="00581D1F">
        <w:rPr>
          <w:rFonts w:asciiTheme="minorHAnsi" w:hAnsiTheme="minorHAnsi"/>
          <w:b/>
        </w:rPr>
        <w:t>S</w:t>
      </w:r>
      <w:r w:rsidRPr="00641D4E">
        <w:rPr>
          <w:rFonts w:asciiTheme="minorHAnsi" w:hAnsiTheme="minorHAnsi"/>
          <w:b/>
        </w:rPr>
        <w:t>ION BY THE NORTHERN TERRITORY GOVERNMENT</w:t>
      </w:r>
    </w:p>
    <w:p w:rsidR="00CF2667" w:rsidRPr="00641D4E" w:rsidRDefault="00581D1F" w:rsidP="00C56DEA">
      <w:pPr>
        <w:pStyle w:val="BodyText"/>
        <w:pBdr>
          <w:bottom w:val="single" w:sz="6" w:space="1" w:color="auto"/>
        </w:pBdr>
        <w:jc w:val="center"/>
        <w:rPr>
          <w:rFonts w:asciiTheme="minorHAnsi" w:hAnsiTheme="minorHAnsi"/>
          <w:b/>
        </w:rPr>
      </w:pPr>
      <w:r>
        <w:rPr>
          <w:rFonts w:asciiTheme="minorHAnsi" w:hAnsiTheme="minorHAnsi"/>
          <w:b/>
        </w:rPr>
        <w:t>OCTOBER</w:t>
      </w:r>
      <w:r w:rsidR="00CF2667">
        <w:rPr>
          <w:rFonts w:asciiTheme="minorHAnsi" w:hAnsiTheme="minorHAnsi"/>
          <w:b/>
        </w:rPr>
        <w:t xml:space="preserve"> 2012</w:t>
      </w:r>
    </w:p>
    <w:p w:rsidR="00CF2667" w:rsidRPr="006472B8" w:rsidRDefault="00CF2667"/>
    <w:p w:rsidR="007A1D18" w:rsidRPr="00CF2667" w:rsidRDefault="006472B8" w:rsidP="006472B8">
      <w:pPr>
        <w:pStyle w:val="ListParagraph"/>
        <w:numPr>
          <w:ilvl w:val="0"/>
          <w:numId w:val="12"/>
        </w:numPr>
        <w:ind w:left="426"/>
        <w:rPr>
          <w:rFonts w:asciiTheme="minorHAnsi" w:hAnsiTheme="minorHAnsi"/>
          <w:b/>
          <w:sz w:val="24"/>
        </w:rPr>
      </w:pPr>
      <w:r w:rsidRPr="00CF2667">
        <w:rPr>
          <w:rFonts w:asciiTheme="minorHAnsi" w:hAnsiTheme="minorHAnsi"/>
          <w:b/>
          <w:sz w:val="24"/>
        </w:rPr>
        <w:t xml:space="preserve">Introduction </w:t>
      </w:r>
    </w:p>
    <w:p w:rsidR="007A1D18" w:rsidRDefault="006472B8" w:rsidP="00C56DEA">
      <w:pPr>
        <w:pStyle w:val="BodyText"/>
        <w:rPr>
          <w:rFonts w:asciiTheme="minorHAnsi" w:hAnsiTheme="minorHAnsi"/>
          <w:sz w:val="22"/>
          <w:szCs w:val="22"/>
        </w:rPr>
      </w:pPr>
      <w:r>
        <w:rPr>
          <w:rFonts w:asciiTheme="minorHAnsi" w:hAnsiTheme="minorHAnsi"/>
          <w:sz w:val="22"/>
          <w:szCs w:val="22"/>
        </w:rPr>
        <w:t xml:space="preserve">The Northern Territory Government welcomes the opportunity to contribute to the Commission’s Draft Report </w:t>
      </w:r>
      <w:r w:rsidR="00C73C5A">
        <w:rPr>
          <w:rFonts w:asciiTheme="minorHAnsi" w:hAnsiTheme="minorHAnsi"/>
          <w:sz w:val="22"/>
          <w:szCs w:val="22"/>
        </w:rPr>
        <w:t xml:space="preserve">on the Benchmarking of Regulatory Impact Analysis. </w:t>
      </w:r>
    </w:p>
    <w:p w:rsidR="00D97E44" w:rsidRPr="00D97E44" w:rsidRDefault="00D97E44" w:rsidP="00D97E44">
      <w:pPr>
        <w:pStyle w:val="ListParagraph"/>
        <w:ind w:left="426"/>
        <w:rPr>
          <w:rFonts w:asciiTheme="minorHAnsi" w:hAnsiTheme="minorHAnsi"/>
          <w:b/>
          <w:sz w:val="24"/>
        </w:rPr>
      </w:pPr>
    </w:p>
    <w:p w:rsidR="00C56DEA" w:rsidRPr="00D97E44" w:rsidRDefault="00D97E44" w:rsidP="00D97E44">
      <w:pPr>
        <w:pStyle w:val="ListParagraph"/>
        <w:numPr>
          <w:ilvl w:val="0"/>
          <w:numId w:val="12"/>
        </w:numPr>
        <w:ind w:left="426"/>
        <w:rPr>
          <w:rFonts w:asciiTheme="minorHAnsi" w:hAnsiTheme="minorHAnsi"/>
          <w:b/>
          <w:sz w:val="24"/>
        </w:rPr>
      </w:pPr>
      <w:r>
        <w:rPr>
          <w:rFonts w:asciiTheme="minorHAnsi" w:hAnsiTheme="minorHAnsi"/>
          <w:b/>
          <w:sz w:val="24"/>
        </w:rPr>
        <w:t>Concerns with r</w:t>
      </w:r>
      <w:r w:rsidR="00C56DEA" w:rsidRPr="00D97E44">
        <w:rPr>
          <w:rFonts w:asciiTheme="minorHAnsi" w:hAnsiTheme="minorHAnsi"/>
          <w:b/>
          <w:sz w:val="24"/>
        </w:rPr>
        <w:t>eferences</w:t>
      </w:r>
      <w:r>
        <w:rPr>
          <w:rFonts w:asciiTheme="minorHAnsi" w:hAnsiTheme="minorHAnsi"/>
          <w:b/>
          <w:sz w:val="24"/>
        </w:rPr>
        <w:t xml:space="preserve"> </w:t>
      </w:r>
      <w:r w:rsidR="00C56DEA" w:rsidRPr="00D97E44">
        <w:rPr>
          <w:rFonts w:asciiTheme="minorHAnsi" w:hAnsiTheme="minorHAnsi"/>
          <w:b/>
          <w:sz w:val="24"/>
        </w:rPr>
        <w:t>to the Northern Territory</w:t>
      </w:r>
      <w:r w:rsidR="00E60CC0" w:rsidRPr="00D97E44">
        <w:rPr>
          <w:rFonts w:asciiTheme="minorHAnsi" w:hAnsiTheme="minorHAnsi"/>
          <w:b/>
          <w:sz w:val="24"/>
        </w:rPr>
        <w:t xml:space="preserve"> (NT)</w:t>
      </w:r>
    </w:p>
    <w:p w:rsidR="00C56DEA" w:rsidRPr="00CA4FE4" w:rsidRDefault="00C56DEA" w:rsidP="00C56DEA">
      <w:pPr>
        <w:pStyle w:val="BodyText"/>
        <w:spacing w:before="0"/>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3080"/>
        <w:gridCol w:w="3081"/>
        <w:gridCol w:w="3081"/>
      </w:tblGrid>
      <w:tr w:rsidR="000E4164" w:rsidTr="00BD541A">
        <w:tc>
          <w:tcPr>
            <w:tcW w:w="3080" w:type="dxa"/>
          </w:tcPr>
          <w:p w:rsidR="000E4164" w:rsidRPr="006A3DC9" w:rsidRDefault="006A3DC9" w:rsidP="006A3DC9">
            <w:pPr>
              <w:pStyle w:val="BodyText"/>
              <w:spacing w:before="0"/>
              <w:rPr>
                <w:rFonts w:asciiTheme="minorHAnsi" w:hAnsiTheme="minorHAnsi"/>
                <w:b/>
                <w:i/>
                <w:sz w:val="22"/>
                <w:szCs w:val="22"/>
              </w:rPr>
            </w:pPr>
            <w:r w:rsidRPr="006A3DC9">
              <w:rPr>
                <w:rFonts w:asciiTheme="minorHAnsi" w:hAnsiTheme="minorHAnsi"/>
                <w:b/>
                <w:i/>
                <w:sz w:val="22"/>
                <w:szCs w:val="22"/>
              </w:rPr>
              <w:t>Page no and Section</w:t>
            </w:r>
          </w:p>
        </w:tc>
        <w:tc>
          <w:tcPr>
            <w:tcW w:w="3081" w:type="dxa"/>
          </w:tcPr>
          <w:p w:rsidR="000E4164" w:rsidRPr="00CA58E2" w:rsidRDefault="00CA58E2" w:rsidP="00C56DEA">
            <w:pPr>
              <w:pStyle w:val="BodyText"/>
              <w:spacing w:before="0"/>
              <w:rPr>
                <w:rFonts w:asciiTheme="minorHAnsi" w:hAnsiTheme="minorHAnsi"/>
                <w:b/>
                <w:i/>
                <w:sz w:val="22"/>
                <w:szCs w:val="22"/>
              </w:rPr>
            </w:pPr>
            <w:r w:rsidRPr="00CA58E2">
              <w:rPr>
                <w:rFonts w:asciiTheme="minorHAnsi" w:hAnsiTheme="minorHAnsi"/>
                <w:b/>
                <w:i/>
                <w:sz w:val="22"/>
                <w:szCs w:val="22"/>
              </w:rPr>
              <w:t>NT Reference</w:t>
            </w:r>
            <w:r w:rsidR="00DB5646">
              <w:rPr>
                <w:rFonts w:asciiTheme="minorHAnsi" w:hAnsiTheme="minorHAnsi"/>
                <w:b/>
                <w:i/>
                <w:sz w:val="22"/>
                <w:szCs w:val="22"/>
              </w:rPr>
              <w:t xml:space="preserve"> in Report</w:t>
            </w:r>
          </w:p>
        </w:tc>
        <w:tc>
          <w:tcPr>
            <w:tcW w:w="3081" w:type="dxa"/>
          </w:tcPr>
          <w:p w:rsidR="000E4164" w:rsidRPr="006A3DC9" w:rsidRDefault="006A3DC9" w:rsidP="008C4884">
            <w:pPr>
              <w:pStyle w:val="BodyText"/>
              <w:spacing w:before="0"/>
              <w:rPr>
                <w:rFonts w:asciiTheme="minorHAnsi" w:hAnsiTheme="minorHAnsi"/>
                <w:b/>
                <w:i/>
                <w:sz w:val="22"/>
                <w:szCs w:val="22"/>
              </w:rPr>
            </w:pPr>
            <w:r w:rsidRPr="006A3DC9">
              <w:rPr>
                <w:rFonts w:asciiTheme="minorHAnsi" w:hAnsiTheme="minorHAnsi"/>
                <w:b/>
                <w:i/>
                <w:sz w:val="22"/>
                <w:szCs w:val="22"/>
              </w:rPr>
              <w:t>Comments</w:t>
            </w:r>
            <w:r w:rsidR="00DB5646">
              <w:rPr>
                <w:rFonts w:asciiTheme="minorHAnsi" w:hAnsiTheme="minorHAnsi"/>
                <w:b/>
                <w:i/>
                <w:sz w:val="22"/>
                <w:szCs w:val="22"/>
              </w:rPr>
              <w:t xml:space="preserve"> on </w:t>
            </w:r>
            <w:r w:rsidR="008C4884">
              <w:rPr>
                <w:rFonts w:asciiTheme="minorHAnsi" w:hAnsiTheme="minorHAnsi"/>
                <w:b/>
                <w:i/>
                <w:sz w:val="22"/>
                <w:szCs w:val="22"/>
              </w:rPr>
              <w:t>A</w:t>
            </w:r>
            <w:r w:rsidR="00DB5646">
              <w:rPr>
                <w:rFonts w:asciiTheme="minorHAnsi" w:hAnsiTheme="minorHAnsi"/>
                <w:b/>
                <w:i/>
                <w:sz w:val="22"/>
                <w:szCs w:val="22"/>
              </w:rPr>
              <w:t>ccuracy</w:t>
            </w:r>
          </w:p>
        </w:tc>
      </w:tr>
      <w:tr w:rsidR="00D60032" w:rsidTr="00BD541A">
        <w:tc>
          <w:tcPr>
            <w:tcW w:w="3080" w:type="dxa"/>
          </w:tcPr>
          <w:p w:rsidR="00D60032" w:rsidRDefault="00D60032" w:rsidP="00EC25EF">
            <w:pPr>
              <w:pStyle w:val="BodyText"/>
              <w:spacing w:before="0"/>
              <w:jc w:val="left"/>
              <w:rPr>
                <w:rFonts w:asciiTheme="minorHAnsi" w:hAnsiTheme="minorHAnsi"/>
                <w:sz w:val="22"/>
                <w:szCs w:val="22"/>
              </w:rPr>
            </w:pPr>
            <w:r>
              <w:rPr>
                <w:rFonts w:asciiTheme="minorHAnsi" w:hAnsiTheme="minorHAnsi"/>
                <w:sz w:val="22"/>
                <w:szCs w:val="22"/>
              </w:rPr>
              <w:t xml:space="preserve">Page 16: </w:t>
            </w:r>
            <w:proofErr w:type="spellStart"/>
            <w:r>
              <w:rPr>
                <w:rFonts w:asciiTheme="minorHAnsi" w:hAnsiTheme="minorHAnsi"/>
                <w:sz w:val="22"/>
                <w:szCs w:val="22"/>
              </w:rPr>
              <w:t>RIS</w:t>
            </w:r>
            <w:proofErr w:type="spellEnd"/>
            <w:r>
              <w:rPr>
                <w:rFonts w:asciiTheme="minorHAnsi" w:hAnsiTheme="minorHAnsi"/>
                <w:sz w:val="22"/>
                <w:szCs w:val="22"/>
              </w:rPr>
              <w:t xml:space="preserve"> Content</w:t>
            </w:r>
          </w:p>
        </w:tc>
        <w:tc>
          <w:tcPr>
            <w:tcW w:w="3081" w:type="dxa"/>
          </w:tcPr>
          <w:p w:rsidR="00D60032" w:rsidRPr="00D60032" w:rsidRDefault="00D60032" w:rsidP="00EC25EF">
            <w:pPr>
              <w:pStyle w:val="BodyText"/>
              <w:spacing w:before="0"/>
              <w:jc w:val="left"/>
              <w:rPr>
                <w:rFonts w:asciiTheme="minorHAnsi" w:hAnsiTheme="minorHAnsi"/>
                <w:sz w:val="22"/>
                <w:szCs w:val="22"/>
              </w:rPr>
            </w:pPr>
            <w:r w:rsidRPr="00D60032">
              <w:rPr>
                <w:rFonts w:asciiTheme="minorHAnsi" w:hAnsiTheme="minorHAnsi"/>
                <w:sz w:val="22"/>
                <w:szCs w:val="22"/>
              </w:rPr>
              <w:t xml:space="preserve">COAG-agreed best practice of nominating the option which generates the greatest net benefit for the community, is an important element of sound analysis, increasing the usefulness of </w:t>
            </w:r>
            <w:proofErr w:type="spellStart"/>
            <w:r w:rsidRPr="00D60032">
              <w:rPr>
                <w:rFonts w:asciiTheme="minorHAnsi" w:hAnsiTheme="minorHAnsi"/>
                <w:sz w:val="22"/>
                <w:szCs w:val="22"/>
              </w:rPr>
              <w:t>RISs</w:t>
            </w:r>
            <w:proofErr w:type="spellEnd"/>
            <w:r w:rsidRPr="00D60032">
              <w:rPr>
                <w:rFonts w:asciiTheme="minorHAnsi" w:hAnsiTheme="minorHAnsi"/>
                <w:sz w:val="22"/>
                <w:szCs w:val="22"/>
              </w:rPr>
              <w:t xml:space="preserve"> to decision makers. This practice has been adopted in all jurisdictions except the Commonwealth, South Australia and the Northern Territory. </w:t>
            </w:r>
          </w:p>
          <w:p w:rsidR="00D60032" w:rsidRDefault="00D60032" w:rsidP="00EC25EF">
            <w:pPr>
              <w:pStyle w:val="BodyText"/>
              <w:spacing w:before="0"/>
              <w:jc w:val="left"/>
              <w:rPr>
                <w:rFonts w:asciiTheme="minorHAnsi" w:hAnsiTheme="minorHAnsi"/>
                <w:sz w:val="22"/>
                <w:szCs w:val="22"/>
              </w:rPr>
            </w:pPr>
          </w:p>
        </w:tc>
        <w:tc>
          <w:tcPr>
            <w:tcW w:w="3081" w:type="dxa"/>
          </w:tcPr>
          <w:p w:rsidR="00D60032" w:rsidRDefault="00D60032" w:rsidP="000927C9">
            <w:pPr>
              <w:pStyle w:val="BodyText"/>
              <w:spacing w:before="0"/>
              <w:jc w:val="left"/>
              <w:rPr>
                <w:rFonts w:asciiTheme="minorHAnsi" w:hAnsiTheme="minorHAnsi"/>
                <w:sz w:val="22"/>
                <w:szCs w:val="22"/>
              </w:rPr>
            </w:pPr>
            <w:r>
              <w:rPr>
                <w:rFonts w:asciiTheme="minorHAnsi" w:hAnsiTheme="minorHAnsi"/>
                <w:sz w:val="22"/>
                <w:szCs w:val="22"/>
              </w:rPr>
              <w:t>The</w:t>
            </w:r>
            <w:r w:rsidR="00D05F35">
              <w:rPr>
                <w:rFonts w:asciiTheme="minorHAnsi" w:hAnsiTheme="minorHAnsi"/>
                <w:sz w:val="22"/>
                <w:szCs w:val="22"/>
              </w:rPr>
              <w:t xml:space="preserve"> </w:t>
            </w:r>
            <w:proofErr w:type="spellStart"/>
            <w:r w:rsidR="00D05F35">
              <w:rPr>
                <w:rFonts w:asciiTheme="minorHAnsi" w:hAnsiTheme="minorHAnsi"/>
                <w:sz w:val="22"/>
                <w:szCs w:val="22"/>
              </w:rPr>
              <w:t>RMF</w:t>
            </w:r>
            <w:proofErr w:type="spellEnd"/>
            <w:r w:rsidR="00D05F35">
              <w:rPr>
                <w:rFonts w:asciiTheme="minorHAnsi" w:hAnsiTheme="minorHAnsi"/>
                <w:sz w:val="22"/>
                <w:szCs w:val="22"/>
              </w:rPr>
              <w:t xml:space="preserve"> process requires analysis of costs and benefits of all options. While not explicit</w:t>
            </w:r>
            <w:r w:rsidR="00CB4B4D">
              <w:rPr>
                <w:rFonts w:asciiTheme="minorHAnsi" w:hAnsiTheme="minorHAnsi"/>
                <w:sz w:val="22"/>
                <w:szCs w:val="22"/>
              </w:rPr>
              <w:t>,</w:t>
            </w:r>
            <w:r w:rsidR="00D05F35">
              <w:rPr>
                <w:rFonts w:asciiTheme="minorHAnsi" w:hAnsiTheme="minorHAnsi"/>
                <w:sz w:val="22"/>
                <w:szCs w:val="22"/>
              </w:rPr>
              <w:t xml:space="preserve"> if the nominated option does not produce the greatest net benefit then clear justification is required for </w:t>
            </w:r>
            <w:r w:rsidR="00CB4B4D">
              <w:rPr>
                <w:rFonts w:asciiTheme="minorHAnsi" w:hAnsiTheme="minorHAnsi"/>
                <w:sz w:val="22"/>
                <w:szCs w:val="22"/>
              </w:rPr>
              <w:t>nominating</w:t>
            </w:r>
            <w:r w:rsidR="00D05F35">
              <w:rPr>
                <w:rFonts w:asciiTheme="minorHAnsi" w:hAnsiTheme="minorHAnsi"/>
                <w:sz w:val="22"/>
                <w:szCs w:val="22"/>
              </w:rPr>
              <w:t xml:space="preserve"> that option</w:t>
            </w:r>
            <w:r w:rsidR="008D05C0">
              <w:rPr>
                <w:rFonts w:asciiTheme="minorHAnsi" w:hAnsiTheme="minorHAnsi"/>
                <w:sz w:val="22"/>
                <w:szCs w:val="22"/>
              </w:rPr>
              <w:t xml:space="preserve"> (page 13 of </w:t>
            </w:r>
            <w:proofErr w:type="spellStart"/>
            <w:r w:rsidR="008D05C0">
              <w:rPr>
                <w:rFonts w:asciiTheme="minorHAnsi" w:hAnsiTheme="minorHAnsi"/>
                <w:sz w:val="22"/>
                <w:szCs w:val="22"/>
              </w:rPr>
              <w:t>RMF</w:t>
            </w:r>
            <w:proofErr w:type="spellEnd"/>
            <w:r w:rsidR="008D05C0">
              <w:rPr>
                <w:rFonts w:asciiTheme="minorHAnsi" w:hAnsiTheme="minorHAnsi"/>
                <w:sz w:val="22"/>
                <w:szCs w:val="22"/>
              </w:rPr>
              <w:t xml:space="preserve"> guidelines)</w:t>
            </w:r>
            <w:r w:rsidR="00D05F35">
              <w:rPr>
                <w:rFonts w:asciiTheme="minorHAnsi" w:hAnsiTheme="minorHAnsi"/>
                <w:sz w:val="22"/>
                <w:szCs w:val="22"/>
              </w:rPr>
              <w:t xml:space="preserve">. Furthermore </w:t>
            </w:r>
            <w:r w:rsidR="003621E4">
              <w:rPr>
                <w:rFonts w:asciiTheme="minorHAnsi" w:hAnsiTheme="minorHAnsi"/>
                <w:sz w:val="22"/>
                <w:szCs w:val="22"/>
              </w:rPr>
              <w:t xml:space="preserve">the </w:t>
            </w:r>
            <w:r w:rsidR="00D05F35">
              <w:rPr>
                <w:rFonts w:asciiTheme="minorHAnsi" w:hAnsiTheme="minorHAnsi"/>
                <w:sz w:val="22"/>
                <w:szCs w:val="22"/>
              </w:rPr>
              <w:t xml:space="preserve">criteria for assessing </w:t>
            </w:r>
            <w:proofErr w:type="spellStart"/>
            <w:r w:rsidR="00D05F35">
              <w:rPr>
                <w:rFonts w:asciiTheme="minorHAnsi" w:hAnsiTheme="minorHAnsi"/>
                <w:sz w:val="22"/>
                <w:szCs w:val="22"/>
              </w:rPr>
              <w:t>RIS</w:t>
            </w:r>
            <w:proofErr w:type="spellEnd"/>
            <w:r w:rsidR="00D05F35">
              <w:rPr>
                <w:rFonts w:asciiTheme="minorHAnsi" w:hAnsiTheme="minorHAnsi"/>
                <w:sz w:val="22"/>
                <w:szCs w:val="22"/>
              </w:rPr>
              <w:t xml:space="preserve">’ by the </w:t>
            </w:r>
            <w:r w:rsidR="0088346B">
              <w:rPr>
                <w:rFonts w:asciiTheme="minorHAnsi" w:hAnsiTheme="minorHAnsi"/>
                <w:sz w:val="22"/>
                <w:szCs w:val="22"/>
              </w:rPr>
              <w:t>committee</w:t>
            </w:r>
            <w:r w:rsidR="003621E4">
              <w:rPr>
                <w:rFonts w:asciiTheme="minorHAnsi" w:hAnsiTheme="minorHAnsi"/>
                <w:sz w:val="22"/>
                <w:szCs w:val="22"/>
              </w:rPr>
              <w:t xml:space="preserve"> </w:t>
            </w:r>
            <w:r w:rsidR="000927C9">
              <w:rPr>
                <w:rFonts w:asciiTheme="minorHAnsi" w:hAnsiTheme="minorHAnsi"/>
                <w:sz w:val="22"/>
                <w:szCs w:val="22"/>
              </w:rPr>
              <w:t>expressly</w:t>
            </w:r>
            <w:r w:rsidR="00D05F35">
              <w:rPr>
                <w:rFonts w:asciiTheme="minorHAnsi" w:hAnsiTheme="minorHAnsi"/>
                <w:sz w:val="22"/>
                <w:szCs w:val="22"/>
              </w:rPr>
              <w:t xml:space="preserve"> includes </w:t>
            </w:r>
            <w:r w:rsidR="00CB4B4D">
              <w:rPr>
                <w:rFonts w:asciiTheme="minorHAnsi" w:hAnsiTheme="minorHAnsi"/>
                <w:sz w:val="22"/>
                <w:szCs w:val="22"/>
              </w:rPr>
              <w:t xml:space="preserve">‘..whether it is demonstrated that the proposed regulatory response is the most efficient approach.’ </w:t>
            </w:r>
            <w:r w:rsidR="00D05F35">
              <w:rPr>
                <w:rFonts w:asciiTheme="minorHAnsi" w:hAnsiTheme="minorHAnsi"/>
                <w:sz w:val="22"/>
                <w:szCs w:val="22"/>
              </w:rPr>
              <w:t xml:space="preserve"> </w:t>
            </w:r>
          </w:p>
          <w:p w:rsidR="00A767F3" w:rsidRPr="00DB5646" w:rsidRDefault="00A767F3" w:rsidP="000927C9">
            <w:pPr>
              <w:pStyle w:val="BodyText"/>
              <w:spacing w:before="0"/>
              <w:jc w:val="left"/>
              <w:rPr>
                <w:rFonts w:asciiTheme="minorHAnsi" w:hAnsiTheme="minorHAnsi"/>
                <w:sz w:val="22"/>
                <w:szCs w:val="22"/>
              </w:rPr>
            </w:pPr>
          </w:p>
        </w:tc>
      </w:tr>
      <w:tr w:rsidR="000E4164" w:rsidTr="00B84D6B">
        <w:tc>
          <w:tcPr>
            <w:tcW w:w="3080" w:type="dxa"/>
          </w:tcPr>
          <w:p w:rsidR="007815E4" w:rsidRPr="00CA4FE4" w:rsidRDefault="007815E4" w:rsidP="00822316">
            <w:pPr>
              <w:pStyle w:val="BodyText"/>
              <w:spacing w:before="0"/>
              <w:jc w:val="left"/>
              <w:rPr>
                <w:rFonts w:asciiTheme="minorHAnsi" w:hAnsiTheme="minorHAnsi"/>
                <w:sz w:val="22"/>
                <w:szCs w:val="22"/>
              </w:rPr>
            </w:pPr>
            <w:r>
              <w:rPr>
                <w:rFonts w:asciiTheme="minorHAnsi" w:hAnsiTheme="minorHAnsi"/>
                <w:sz w:val="22"/>
                <w:szCs w:val="22"/>
              </w:rPr>
              <w:t xml:space="preserve">Page 82: </w:t>
            </w:r>
            <w:r w:rsidRPr="00CA4FE4">
              <w:rPr>
                <w:rFonts w:asciiTheme="minorHAnsi" w:hAnsiTheme="minorHAnsi"/>
                <w:sz w:val="22"/>
                <w:szCs w:val="22"/>
              </w:rPr>
              <w:t>Potential areas for improvement</w:t>
            </w:r>
            <w:r>
              <w:rPr>
                <w:rFonts w:asciiTheme="minorHAnsi" w:hAnsiTheme="minorHAnsi"/>
                <w:sz w:val="22"/>
                <w:szCs w:val="22"/>
              </w:rPr>
              <w:t xml:space="preserve"> in the NT </w:t>
            </w:r>
          </w:p>
          <w:p w:rsidR="000E4164" w:rsidRDefault="000E4164" w:rsidP="00C56DEA">
            <w:pPr>
              <w:pStyle w:val="BodyText"/>
              <w:spacing w:before="0"/>
              <w:rPr>
                <w:rFonts w:asciiTheme="minorHAnsi" w:hAnsiTheme="minorHAnsi"/>
                <w:sz w:val="22"/>
                <w:szCs w:val="22"/>
              </w:rPr>
            </w:pPr>
          </w:p>
        </w:tc>
        <w:tc>
          <w:tcPr>
            <w:tcW w:w="3081" w:type="dxa"/>
          </w:tcPr>
          <w:p w:rsidR="007E7BFC" w:rsidRDefault="007815E4" w:rsidP="007815E4">
            <w:pPr>
              <w:pStyle w:val="BodyText"/>
              <w:spacing w:before="0"/>
              <w:jc w:val="left"/>
              <w:rPr>
                <w:rFonts w:asciiTheme="minorHAnsi" w:hAnsiTheme="minorHAnsi"/>
                <w:sz w:val="22"/>
                <w:szCs w:val="22"/>
              </w:rPr>
            </w:pPr>
            <w:r w:rsidRPr="00CA4FE4">
              <w:rPr>
                <w:rFonts w:asciiTheme="minorHAnsi" w:hAnsiTheme="minorHAnsi"/>
                <w:sz w:val="22"/>
                <w:szCs w:val="22"/>
              </w:rPr>
              <w:t>Guidance material does not accord with current practice and does not include sufficient information on</w:t>
            </w:r>
            <w:r w:rsidR="007E7BFC">
              <w:rPr>
                <w:rFonts w:asciiTheme="minorHAnsi" w:hAnsiTheme="minorHAnsi"/>
                <w:sz w:val="22"/>
                <w:szCs w:val="22"/>
              </w:rPr>
              <w:t>:</w:t>
            </w:r>
          </w:p>
          <w:p w:rsidR="003259A0" w:rsidRDefault="007E7BFC" w:rsidP="003259A0">
            <w:pPr>
              <w:pStyle w:val="BodyText"/>
              <w:numPr>
                <w:ilvl w:val="0"/>
                <w:numId w:val="13"/>
              </w:numPr>
              <w:spacing w:before="0"/>
              <w:ind w:left="322" w:hanging="283"/>
              <w:jc w:val="left"/>
              <w:rPr>
                <w:rFonts w:asciiTheme="minorHAnsi" w:hAnsiTheme="minorHAnsi"/>
                <w:i/>
                <w:sz w:val="22"/>
                <w:szCs w:val="22"/>
              </w:rPr>
            </w:pPr>
            <w:r>
              <w:rPr>
                <w:rFonts w:asciiTheme="minorHAnsi" w:hAnsiTheme="minorHAnsi"/>
                <w:sz w:val="22"/>
                <w:szCs w:val="22"/>
              </w:rPr>
              <w:t>E</w:t>
            </w:r>
            <w:r w:rsidR="007815E4" w:rsidRPr="00CA4FE4">
              <w:rPr>
                <w:rFonts w:asciiTheme="minorHAnsi" w:hAnsiTheme="minorHAnsi"/>
                <w:sz w:val="22"/>
                <w:szCs w:val="22"/>
              </w:rPr>
              <w:t xml:space="preserve">xceptions/exemptions  </w:t>
            </w:r>
          </w:p>
          <w:p w:rsidR="003259A0" w:rsidRDefault="00484519" w:rsidP="003259A0">
            <w:pPr>
              <w:pStyle w:val="BodyText"/>
              <w:numPr>
                <w:ilvl w:val="0"/>
                <w:numId w:val="13"/>
              </w:numPr>
              <w:spacing w:before="0"/>
              <w:ind w:left="322" w:hanging="283"/>
              <w:jc w:val="left"/>
              <w:rPr>
                <w:rFonts w:asciiTheme="minorHAnsi" w:hAnsiTheme="minorHAnsi"/>
                <w:i/>
                <w:sz w:val="22"/>
                <w:szCs w:val="22"/>
              </w:rPr>
            </w:pPr>
            <w:r>
              <w:rPr>
                <w:rFonts w:asciiTheme="minorHAnsi" w:hAnsiTheme="minorHAnsi"/>
                <w:sz w:val="22"/>
                <w:szCs w:val="22"/>
              </w:rPr>
              <w:t>N</w:t>
            </w:r>
            <w:r w:rsidR="007815E4" w:rsidRPr="00CA4FE4">
              <w:rPr>
                <w:rFonts w:asciiTheme="minorHAnsi" w:hAnsiTheme="minorHAnsi"/>
                <w:sz w:val="22"/>
                <w:szCs w:val="22"/>
              </w:rPr>
              <w:t xml:space="preserve">o consultation </w:t>
            </w:r>
            <w:proofErr w:type="spellStart"/>
            <w:r w:rsidR="007815E4" w:rsidRPr="00CA4FE4">
              <w:rPr>
                <w:rFonts w:asciiTheme="minorHAnsi" w:hAnsiTheme="minorHAnsi"/>
                <w:sz w:val="22"/>
                <w:szCs w:val="22"/>
              </w:rPr>
              <w:t>RIS</w:t>
            </w:r>
            <w:proofErr w:type="spellEnd"/>
          </w:p>
          <w:p w:rsidR="003259A0" w:rsidRDefault="007815E4" w:rsidP="003259A0">
            <w:pPr>
              <w:pStyle w:val="BodyText"/>
              <w:numPr>
                <w:ilvl w:val="0"/>
                <w:numId w:val="13"/>
              </w:numPr>
              <w:spacing w:before="0"/>
              <w:ind w:left="322" w:hanging="283"/>
              <w:jc w:val="left"/>
              <w:rPr>
                <w:rFonts w:asciiTheme="minorHAnsi" w:hAnsiTheme="minorHAnsi"/>
                <w:i/>
                <w:sz w:val="22"/>
                <w:szCs w:val="22"/>
              </w:rPr>
            </w:pPr>
            <w:r w:rsidRPr="00CA4FE4">
              <w:rPr>
                <w:rFonts w:asciiTheme="minorHAnsi" w:hAnsiTheme="minorHAnsi"/>
                <w:sz w:val="22"/>
                <w:szCs w:val="22"/>
              </w:rPr>
              <w:t xml:space="preserve">No </w:t>
            </w:r>
            <w:proofErr w:type="spellStart"/>
            <w:r w:rsidRPr="00CA4FE4">
              <w:rPr>
                <w:rFonts w:asciiTheme="minorHAnsi" w:hAnsiTheme="minorHAnsi"/>
                <w:sz w:val="22"/>
                <w:szCs w:val="22"/>
              </w:rPr>
              <w:t>RISs</w:t>
            </w:r>
            <w:proofErr w:type="spellEnd"/>
            <w:r w:rsidRPr="00CA4FE4">
              <w:rPr>
                <w:rFonts w:asciiTheme="minorHAnsi" w:hAnsiTheme="minorHAnsi"/>
                <w:sz w:val="22"/>
                <w:szCs w:val="22"/>
              </w:rPr>
              <w:t xml:space="preserve"> are published</w:t>
            </w:r>
          </w:p>
          <w:p w:rsidR="003259A0" w:rsidRDefault="007815E4" w:rsidP="003259A0">
            <w:pPr>
              <w:pStyle w:val="BodyText"/>
              <w:numPr>
                <w:ilvl w:val="0"/>
                <w:numId w:val="13"/>
              </w:numPr>
              <w:spacing w:before="0"/>
              <w:ind w:left="322" w:hanging="283"/>
              <w:jc w:val="left"/>
              <w:rPr>
                <w:rFonts w:asciiTheme="minorHAnsi" w:hAnsiTheme="minorHAnsi"/>
                <w:i/>
                <w:sz w:val="22"/>
                <w:szCs w:val="22"/>
              </w:rPr>
            </w:pPr>
            <w:r w:rsidRPr="00CA4FE4">
              <w:rPr>
                <w:rFonts w:asciiTheme="minorHAnsi" w:hAnsiTheme="minorHAnsi"/>
                <w:sz w:val="22"/>
                <w:szCs w:val="22"/>
              </w:rPr>
              <w:t xml:space="preserve">No compliance reporting </w:t>
            </w:r>
          </w:p>
          <w:p w:rsidR="003259A0" w:rsidRDefault="007815E4" w:rsidP="003259A0">
            <w:pPr>
              <w:pStyle w:val="BodyText"/>
              <w:numPr>
                <w:ilvl w:val="0"/>
                <w:numId w:val="13"/>
              </w:numPr>
              <w:spacing w:before="0"/>
              <w:ind w:left="322" w:hanging="283"/>
              <w:jc w:val="left"/>
              <w:rPr>
                <w:rFonts w:asciiTheme="minorHAnsi" w:hAnsiTheme="minorHAnsi"/>
                <w:i/>
                <w:sz w:val="22"/>
                <w:szCs w:val="22"/>
              </w:rPr>
            </w:pPr>
            <w:r w:rsidRPr="00CA4FE4">
              <w:rPr>
                <w:rFonts w:asciiTheme="minorHAnsi" w:hAnsiTheme="minorHAnsi"/>
                <w:sz w:val="22"/>
                <w:szCs w:val="22"/>
              </w:rPr>
              <w:t xml:space="preserve">No public ministerial statement of reasons for non-compliance or </w:t>
            </w:r>
            <w:r w:rsidRPr="00CA4FE4">
              <w:rPr>
                <w:rFonts w:asciiTheme="minorHAnsi" w:hAnsiTheme="minorHAnsi"/>
                <w:sz w:val="22"/>
                <w:szCs w:val="22"/>
              </w:rPr>
              <w:lastRenderedPageBreak/>
              <w:t xml:space="preserve">exemptions </w:t>
            </w:r>
          </w:p>
          <w:p w:rsidR="003259A0" w:rsidRDefault="007815E4" w:rsidP="003259A0">
            <w:pPr>
              <w:pStyle w:val="BodyText"/>
              <w:numPr>
                <w:ilvl w:val="0"/>
                <w:numId w:val="13"/>
              </w:numPr>
              <w:spacing w:before="0"/>
              <w:ind w:left="322" w:hanging="283"/>
              <w:jc w:val="left"/>
              <w:rPr>
                <w:rFonts w:asciiTheme="minorHAnsi" w:hAnsiTheme="minorHAnsi"/>
                <w:i/>
                <w:sz w:val="22"/>
                <w:szCs w:val="22"/>
              </w:rPr>
            </w:pPr>
            <w:r w:rsidRPr="00CA4FE4">
              <w:rPr>
                <w:rFonts w:asciiTheme="minorHAnsi" w:hAnsiTheme="minorHAnsi"/>
                <w:sz w:val="22"/>
                <w:szCs w:val="22"/>
              </w:rPr>
              <w:t>Oversight body adequacy assessments not published</w:t>
            </w:r>
          </w:p>
          <w:p w:rsidR="003259A0" w:rsidRDefault="007815E4" w:rsidP="003259A0">
            <w:pPr>
              <w:pStyle w:val="BodyText"/>
              <w:numPr>
                <w:ilvl w:val="0"/>
                <w:numId w:val="13"/>
              </w:numPr>
              <w:spacing w:before="0"/>
              <w:ind w:left="322" w:hanging="283"/>
              <w:jc w:val="left"/>
              <w:rPr>
                <w:rFonts w:asciiTheme="minorHAnsi" w:hAnsiTheme="minorHAnsi"/>
                <w:i/>
                <w:sz w:val="22"/>
                <w:szCs w:val="22"/>
              </w:rPr>
            </w:pPr>
            <w:r w:rsidRPr="00CA4FE4">
              <w:rPr>
                <w:rFonts w:asciiTheme="minorHAnsi" w:hAnsiTheme="minorHAnsi"/>
                <w:sz w:val="22"/>
                <w:szCs w:val="22"/>
              </w:rPr>
              <w:t xml:space="preserve">No Post Implementation Review required for exempt and non- compliant proposals </w:t>
            </w:r>
          </w:p>
          <w:p w:rsidR="000E4164" w:rsidRDefault="000E4164" w:rsidP="00C56DEA">
            <w:pPr>
              <w:pStyle w:val="BodyText"/>
              <w:spacing w:before="0"/>
              <w:rPr>
                <w:rFonts w:asciiTheme="minorHAnsi" w:hAnsiTheme="minorHAnsi"/>
                <w:sz w:val="22"/>
                <w:szCs w:val="22"/>
              </w:rPr>
            </w:pPr>
          </w:p>
        </w:tc>
        <w:tc>
          <w:tcPr>
            <w:tcW w:w="3081" w:type="dxa"/>
          </w:tcPr>
          <w:p w:rsidR="00822316" w:rsidRDefault="000927C9" w:rsidP="00822316">
            <w:pPr>
              <w:pStyle w:val="BodyText"/>
              <w:spacing w:before="0"/>
              <w:jc w:val="left"/>
              <w:rPr>
                <w:rFonts w:asciiTheme="minorHAnsi" w:hAnsiTheme="minorHAnsi"/>
                <w:sz w:val="22"/>
                <w:szCs w:val="22"/>
              </w:rPr>
            </w:pPr>
            <w:r>
              <w:rPr>
                <w:rFonts w:asciiTheme="minorHAnsi" w:hAnsiTheme="minorHAnsi"/>
                <w:sz w:val="22"/>
                <w:szCs w:val="22"/>
              </w:rPr>
              <w:lastRenderedPageBreak/>
              <w:t>Apart from</w:t>
            </w:r>
            <w:r w:rsidR="007815E4" w:rsidRPr="00DB5646">
              <w:rPr>
                <w:rFonts w:asciiTheme="minorHAnsi" w:hAnsiTheme="minorHAnsi"/>
                <w:sz w:val="22"/>
                <w:szCs w:val="22"/>
              </w:rPr>
              <w:t xml:space="preserve"> </w:t>
            </w:r>
            <w:proofErr w:type="spellStart"/>
            <w:r w:rsidR="007815E4" w:rsidRPr="00DB5646">
              <w:rPr>
                <w:rFonts w:asciiTheme="minorHAnsi" w:hAnsiTheme="minorHAnsi"/>
                <w:sz w:val="22"/>
                <w:szCs w:val="22"/>
              </w:rPr>
              <w:t>from</w:t>
            </w:r>
            <w:proofErr w:type="spellEnd"/>
            <w:r w:rsidR="007815E4" w:rsidRPr="00DB5646">
              <w:rPr>
                <w:rFonts w:asciiTheme="minorHAnsi" w:hAnsiTheme="minorHAnsi"/>
                <w:sz w:val="22"/>
                <w:szCs w:val="22"/>
              </w:rPr>
              <w:t xml:space="preserve"> budget and tax measures</w:t>
            </w:r>
            <w:r>
              <w:rPr>
                <w:rFonts w:asciiTheme="minorHAnsi" w:hAnsiTheme="minorHAnsi"/>
                <w:sz w:val="22"/>
                <w:szCs w:val="22"/>
              </w:rPr>
              <w:t xml:space="preserve"> there are no exemptions from or exception</w:t>
            </w:r>
            <w:r w:rsidR="003966C1">
              <w:rPr>
                <w:rFonts w:asciiTheme="minorHAnsi" w:hAnsiTheme="minorHAnsi"/>
                <w:sz w:val="22"/>
                <w:szCs w:val="22"/>
              </w:rPr>
              <w:t>s</w:t>
            </w:r>
            <w:r>
              <w:rPr>
                <w:rFonts w:asciiTheme="minorHAnsi" w:hAnsiTheme="minorHAnsi"/>
                <w:sz w:val="22"/>
                <w:szCs w:val="22"/>
              </w:rPr>
              <w:t xml:space="preserve"> to the NT Regulation Making Framework requirements</w:t>
            </w:r>
            <w:r w:rsidR="002F38DE" w:rsidRPr="00DB5646">
              <w:rPr>
                <w:rFonts w:asciiTheme="minorHAnsi" w:hAnsiTheme="minorHAnsi"/>
                <w:sz w:val="22"/>
                <w:szCs w:val="22"/>
              </w:rPr>
              <w:t>.</w:t>
            </w:r>
            <w:r w:rsidR="00822316">
              <w:rPr>
                <w:rFonts w:asciiTheme="minorHAnsi" w:hAnsiTheme="minorHAnsi"/>
                <w:sz w:val="22"/>
                <w:szCs w:val="22"/>
              </w:rPr>
              <w:t xml:space="preserve"> </w:t>
            </w:r>
            <w:r w:rsidR="00F1576F">
              <w:rPr>
                <w:rFonts w:asciiTheme="minorHAnsi" w:hAnsiTheme="minorHAnsi"/>
                <w:sz w:val="22"/>
                <w:szCs w:val="22"/>
              </w:rPr>
              <w:t xml:space="preserve">All regulatory proposals are required to be subject to a Preliminary Regulation Impact Analysis.  Unless the Preliminary Regulation Impact analysis is able to demonstrate </w:t>
            </w:r>
            <w:r w:rsidR="00F1576F">
              <w:rPr>
                <w:rFonts w:asciiTheme="minorHAnsi" w:hAnsiTheme="minorHAnsi"/>
                <w:sz w:val="22"/>
                <w:szCs w:val="22"/>
              </w:rPr>
              <w:lastRenderedPageBreak/>
              <w:t>a sound case for regulatory inter</w:t>
            </w:r>
            <w:r w:rsidR="00FE7DB1">
              <w:rPr>
                <w:rFonts w:asciiTheme="minorHAnsi" w:hAnsiTheme="minorHAnsi"/>
                <w:sz w:val="22"/>
                <w:szCs w:val="22"/>
              </w:rPr>
              <w:t>vention, negligible impacts and/</w:t>
            </w:r>
            <w:r w:rsidR="00F1576F">
              <w:rPr>
                <w:rFonts w:asciiTheme="minorHAnsi" w:hAnsiTheme="minorHAnsi"/>
                <w:sz w:val="22"/>
                <w:szCs w:val="22"/>
              </w:rPr>
              <w:t xml:space="preserve">or a clear and obvious net public benefit, a full and </w:t>
            </w:r>
            <w:r w:rsidR="004F5B02">
              <w:rPr>
                <w:rFonts w:asciiTheme="minorHAnsi" w:hAnsiTheme="minorHAnsi"/>
                <w:sz w:val="22"/>
                <w:szCs w:val="22"/>
              </w:rPr>
              <w:t>d</w:t>
            </w:r>
            <w:r w:rsidR="00F1576F">
              <w:rPr>
                <w:rFonts w:asciiTheme="minorHAnsi" w:hAnsiTheme="minorHAnsi"/>
                <w:sz w:val="22"/>
                <w:szCs w:val="22"/>
              </w:rPr>
              <w:t>etailed Regulatory Impact Statement is also required.</w:t>
            </w:r>
            <w:r w:rsidR="009F18EB">
              <w:rPr>
                <w:rFonts w:asciiTheme="minorHAnsi" w:hAnsiTheme="minorHAnsi"/>
                <w:sz w:val="22"/>
                <w:szCs w:val="22"/>
              </w:rPr>
              <w:t xml:space="preserve"> (page 10 </w:t>
            </w:r>
            <w:proofErr w:type="spellStart"/>
            <w:r w:rsidR="009F18EB">
              <w:rPr>
                <w:rFonts w:asciiTheme="minorHAnsi" w:hAnsiTheme="minorHAnsi"/>
                <w:sz w:val="22"/>
                <w:szCs w:val="22"/>
              </w:rPr>
              <w:t>RMF</w:t>
            </w:r>
            <w:proofErr w:type="spellEnd"/>
            <w:r w:rsidR="009F18EB">
              <w:rPr>
                <w:rFonts w:asciiTheme="minorHAnsi" w:hAnsiTheme="minorHAnsi"/>
                <w:sz w:val="22"/>
                <w:szCs w:val="22"/>
              </w:rPr>
              <w:t xml:space="preserve"> Guidelines)</w:t>
            </w:r>
            <w:r w:rsidR="004F5B02">
              <w:rPr>
                <w:rFonts w:asciiTheme="minorHAnsi" w:hAnsiTheme="minorHAnsi"/>
                <w:sz w:val="22"/>
                <w:szCs w:val="22"/>
              </w:rPr>
              <w:t xml:space="preserve">  Although the </w:t>
            </w:r>
            <w:proofErr w:type="spellStart"/>
            <w:r w:rsidR="004F5B02">
              <w:rPr>
                <w:rFonts w:asciiTheme="minorHAnsi" w:hAnsiTheme="minorHAnsi"/>
                <w:sz w:val="22"/>
                <w:szCs w:val="22"/>
              </w:rPr>
              <w:t>RMF</w:t>
            </w:r>
            <w:proofErr w:type="spellEnd"/>
            <w:r w:rsidR="004F5B02">
              <w:rPr>
                <w:rFonts w:asciiTheme="minorHAnsi" w:hAnsiTheme="minorHAnsi"/>
                <w:sz w:val="22"/>
                <w:szCs w:val="22"/>
              </w:rPr>
              <w:t xml:space="preserve"> refers to </w:t>
            </w:r>
            <w:r w:rsidR="009F18EB">
              <w:rPr>
                <w:rFonts w:asciiTheme="minorHAnsi" w:hAnsiTheme="minorHAnsi"/>
                <w:sz w:val="22"/>
                <w:szCs w:val="22"/>
              </w:rPr>
              <w:t>“</w:t>
            </w:r>
            <w:r w:rsidR="004F5B02">
              <w:rPr>
                <w:rFonts w:asciiTheme="minorHAnsi" w:hAnsiTheme="minorHAnsi"/>
                <w:sz w:val="22"/>
                <w:szCs w:val="22"/>
              </w:rPr>
              <w:t>exemptions</w:t>
            </w:r>
            <w:r w:rsidR="009F18EB">
              <w:rPr>
                <w:rFonts w:asciiTheme="minorHAnsi" w:hAnsiTheme="minorHAnsi"/>
                <w:sz w:val="22"/>
                <w:szCs w:val="22"/>
              </w:rPr>
              <w:t>”</w:t>
            </w:r>
            <w:r w:rsidR="004F5B02">
              <w:rPr>
                <w:rFonts w:asciiTheme="minorHAnsi" w:hAnsiTheme="minorHAnsi"/>
                <w:sz w:val="22"/>
                <w:szCs w:val="22"/>
              </w:rPr>
              <w:t xml:space="preserve">, this is somewhat misleading, in its context it refers to whether the Preliminary Regulation Impact Analysis itself demonstrates sufficiently that the proposal conforms with the COAG best practice regulation principles such that </w:t>
            </w:r>
            <w:r w:rsidR="009F18EB">
              <w:rPr>
                <w:rFonts w:asciiTheme="minorHAnsi" w:hAnsiTheme="minorHAnsi"/>
                <w:sz w:val="22"/>
                <w:szCs w:val="22"/>
              </w:rPr>
              <w:t xml:space="preserve">a further full </w:t>
            </w:r>
            <w:proofErr w:type="spellStart"/>
            <w:r w:rsidR="009F18EB">
              <w:rPr>
                <w:rFonts w:asciiTheme="minorHAnsi" w:hAnsiTheme="minorHAnsi"/>
                <w:sz w:val="22"/>
                <w:szCs w:val="22"/>
              </w:rPr>
              <w:t>RIS</w:t>
            </w:r>
            <w:proofErr w:type="spellEnd"/>
            <w:r w:rsidR="009F18EB">
              <w:rPr>
                <w:rFonts w:asciiTheme="minorHAnsi" w:hAnsiTheme="minorHAnsi"/>
                <w:sz w:val="22"/>
                <w:szCs w:val="22"/>
              </w:rPr>
              <w:t xml:space="preserve"> is not required. Because the NT </w:t>
            </w:r>
            <w:proofErr w:type="spellStart"/>
            <w:r w:rsidR="009F18EB">
              <w:rPr>
                <w:rFonts w:asciiTheme="minorHAnsi" w:hAnsiTheme="minorHAnsi"/>
                <w:sz w:val="22"/>
                <w:szCs w:val="22"/>
              </w:rPr>
              <w:t>RMF</w:t>
            </w:r>
            <w:proofErr w:type="spellEnd"/>
            <w:r w:rsidR="009F18EB">
              <w:rPr>
                <w:rFonts w:asciiTheme="minorHAnsi" w:hAnsiTheme="minorHAnsi"/>
                <w:sz w:val="22"/>
                <w:szCs w:val="22"/>
              </w:rPr>
              <w:t xml:space="preserve"> process applies to all forms of regulation, without exemption, the intention is to ensure that the level </w:t>
            </w:r>
            <w:r w:rsidR="003E0659">
              <w:rPr>
                <w:rFonts w:asciiTheme="minorHAnsi" w:hAnsiTheme="minorHAnsi"/>
                <w:sz w:val="22"/>
                <w:szCs w:val="22"/>
              </w:rPr>
              <w:t xml:space="preserve">and depth </w:t>
            </w:r>
            <w:r w:rsidR="009F18EB">
              <w:rPr>
                <w:rFonts w:asciiTheme="minorHAnsi" w:hAnsiTheme="minorHAnsi"/>
                <w:sz w:val="22"/>
                <w:szCs w:val="22"/>
              </w:rPr>
              <w:t>of analysis required is commensurate with the</w:t>
            </w:r>
            <w:r w:rsidR="003E0659">
              <w:rPr>
                <w:rFonts w:asciiTheme="minorHAnsi" w:hAnsiTheme="minorHAnsi"/>
                <w:sz w:val="22"/>
                <w:szCs w:val="22"/>
              </w:rPr>
              <w:t xml:space="preserve"> magnitude of the problem and of the</w:t>
            </w:r>
            <w:r w:rsidR="009F18EB">
              <w:rPr>
                <w:rFonts w:asciiTheme="minorHAnsi" w:hAnsiTheme="minorHAnsi"/>
                <w:sz w:val="22"/>
                <w:szCs w:val="22"/>
              </w:rPr>
              <w:t xml:space="preserve"> likely impact</w:t>
            </w:r>
            <w:r w:rsidR="003E0659">
              <w:rPr>
                <w:rFonts w:asciiTheme="minorHAnsi" w:hAnsiTheme="minorHAnsi"/>
                <w:sz w:val="22"/>
                <w:szCs w:val="22"/>
              </w:rPr>
              <w:t>s,</w:t>
            </w:r>
            <w:r w:rsidR="00E95CBA">
              <w:rPr>
                <w:rFonts w:asciiTheme="minorHAnsi" w:hAnsiTheme="minorHAnsi"/>
                <w:sz w:val="22"/>
                <w:szCs w:val="22"/>
              </w:rPr>
              <w:t xml:space="preserve"> and that the </w:t>
            </w:r>
            <w:proofErr w:type="spellStart"/>
            <w:r w:rsidR="00E95CBA">
              <w:rPr>
                <w:rFonts w:asciiTheme="minorHAnsi" w:hAnsiTheme="minorHAnsi"/>
                <w:sz w:val="22"/>
                <w:szCs w:val="22"/>
              </w:rPr>
              <w:t>RMF</w:t>
            </w:r>
            <w:proofErr w:type="spellEnd"/>
            <w:r w:rsidR="00E95CBA">
              <w:rPr>
                <w:rFonts w:asciiTheme="minorHAnsi" w:hAnsiTheme="minorHAnsi"/>
                <w:sz w:val="22"/>
                <w:szCs w:val="22"/>
              </w:rPr>
              <w:t xml:space="preserve"> process itself</w:t>
            </w:r>
            <w:r w:rsidR="009F18EB">
              <w:rPr>
                <w:rFonts w:asciiTheme="minorHAnsi" w:hAnsiTheme="minorHAnsi"/>
                <w:sz w:val="22"/>
                <w:szCs w:val="22"/>
              </w:rPr>
              <w:t xml:space="preserve"> does not result in an over-allocation and inefficient </w:t>
            </w:r>
            <w:r w:rsidR="00E95CBA">
              <w:rPr>
                <w:rFonts w:asciiTheme="minorHAnsi" w:hAnsiTheme="minorHAnsi"/>
                <w:sz w:val="22"/>
                <w:szCs w:val="22"/>
              </w:rPr>
              <w:t>use</w:t>
            </w:r>
            <w:r w:rsidR="009F18EB">
              <w:rPr>
                <w:rFonts w:asciiTheme="minorHAnsi" w:hAnsiTheme="minorHAnsi"/>
                <w:sz w:val="22"/>
                <w:szCs w:val="22"/>
              </w:rPr>
              <w:t xml:space="preserve"> of resources.</w:t>
            </w:r>
          </w:p>
          <w:p w:rsidR="00822316" w:rsidRDefault="00822316" w:rsidP="00822316">
            <w:pPr>
              <w:pStyle w:val="BodyText"/>
              <w:spacing w:before="0"/>
              <w:jc w:val="left"/>
              <w:rPr>
                <w:rFonts w:asciiTheme="minorHAnsi" w:hAnsiTheme="minorHAnsi"/>
                <w:sz w:val="22"/>
                <w:szCs w:val="22"/>
              </w:rPr>
            </w:pPr>
          </w:p>
          <w:p w:rsidR="000A72F7" w:rsidRDefault="009F18EB" w:rsidP="00822316">
            <w:pPr>
              <w:pStyle w:val="BodyText"/>
              <w:spacing w:before="0"/>
              <w:jc w:val="left"/>
              <w:rPr>
                <w:rFonts w:asciiTheme="minorHAnsi" w:hAnsiTheme="minorHAnsi"/>
                <w:sz w:val="22"/>
                <w:szCs w:val="22"/>
              </w:rPr>
            </w:pPr>
            <w:r>
              <w:rPr>
                <w:rFonts w:asciiTheme="minorHAnsi" w:hAnsiTheme="minorHAnsi"/>
                <w:sz w:val="22"/>
                <w:szCs w:val="22"/>
              </w:rPr>
              <w:t xml:space="preserve">Because there are no exemptions apart from budget/taxation legislation, and there is no capacity for non-conformance with the </w:t>
            </w:r>
            <w:proofErr w:type="spellStart"/>
            <w:r>
              <w:rPr>
                <w:rFonts w:asciiTheme="minorHAnsi" w:hAnsiTheme="minorHAnsi"/>
                <w:sz w:val="22"/>
                <w:szCs w:val="22"/>
              </w:rPr>
              <w:t>RMF</w:t>
            </w:r>
            <w:proofErr w:type="spellEnd"/>
            <w:r>
              <w:rPr>
                <w:rFonts w:asciiTheme="minorHAnsi" w:hAnsiTheme="minorHAnsi"/>
                <w:sz w:val="22"/>
                <w:szCs w:val="22"/>
              </w:rPr>
              <w:t xml:space="preserve"> requirements, </w:t>
            </w:r>
            <w:r w:rsidR="00E95CBA">
              <w:rPr>
                <w:rFonts w:asciiTheme="minorHAnsi" w:hAnsiTheme="minorHAnsi"/>
                <w:sz w:val="22"/>
                <w:szCs w:val="22"/>
              </w:rPr>
              <w:t xml:space="preserve">Post Implementation reviews, </w:t>
            </w:r>
            <w:r w:rsidR="003966C1">
              <w:rPr>
                <w:rFonts w:asciiTheme="minorHAnsi" w:hAnsiTheme="minorHAnsi"/>
                <w:sz w:val="22"/>
                <w:szCs w:val="22"/>
              </w:rPr>
              <w:t>M</w:t>
            </w:r>
            <w:r w:rsidR="00E95CBA">
              <w:rPr>
                <w:rFonts w:asciiTheme="minorHAnsi" w:hAnsiTheme="minorHAnsi"/>
                <w:sz w:val="22"/>
                <w:szCs w:val="22"/>
              </w:rPr>
              <w:t xml:space="preserve">inisterial Statements of reasons, and non-compliance reporting have no relevance in the context of the NT </w:t>
            </w:r>
            <w:proofErr w:type="spellStart"/>
            <w:r w:rsidR="00E95CBA">
              <w:rPr>
                <w:rFonts w:asciiTheme="minorHAnsi" w:hAnsiTheme="minorHAnsi"/>
                <w:sz w:val="22"/>
                <w:szCs w:val="22"/>
              </w:rPr>
              <w:t>RMF</w:t>
            </w:r>
            <w:proofErr w:type="spellEnd"/>
            <w:r w:rsidR="00E95CBA">
              <w:rPr>
                <w:rFonts w:asciiTheme="minorHAnsi" w:hAnsiTheme="minorHAnsi"/>
                <w:sz w:val="22"/>
                <w:szCs w:val="22"/>
              </w:rPr>
              <w:t>.</w:t>
            </w:r>
          </w:p>
          <w:p w:rsidR="00A767F3" w:rsidRDefault="00A767F3" w:rsidP="00822316">
            <w:pPr>
              <w:pStyle w:val="BodyText"/>
              <w:spacing w:before="0"/>
              <w:jc w:val="left"/>
              <w:rPr>
                <w:rFonts w:asciiTheme="minorHAnsi" w:hAnsiTheme="minorHAnsi"/>
                <w:sz w:val="22"/>
                <w:szCs w:val="22"/>
              </w:rPr>
            </w:pPr>
          </w:p>
          <w:p w:rsidR="00A767F3" w:rsidRDefault="00A767F3" w:rsidP="00822316">
            <w:pPr>
              <w:pStyle w:val="BodyText"/>
              <w:spacing w:before="0"/>
              <w:jc w:val="left"/>
              <w:rPr>
                <w:rFonts w:asciiTheme="minorHAnsi" w:hAnsiTheme="minorHAnsi"/>
                <w:sz w:val="22"/>
                <w:szCs w:val="22"/>
              </w:rPr>
            </w:pPr>
          </w:p>
        </w:tc>
      </w:tr>
      <w:tr w:rsidR="00F73BBC" w:rsidTr="00B84D6B">
        <w:tc>
          <w:tcPr>
            <w:tcW w:w="3080" w:type="dxa"/>
          </w:tcPr>
          <w:p w:rsidR="00F73BBC" w:rsidRDefault="00F73BBC" w:rsidP="00F76919">
            <w:pPr>
              <w:pStyle w:val="BodyText"/>
              <w:spacing w:before="0"/>
              <w:jc w:val="left"/>
              <w:rPr>
                <w:rFonts w:asciiTheme="minorHAnsi" w:hAnsiTheme="minorHAnsi"/>
                <w:sz w:val="22"/>
                <w:szCs w:val="22"/>
              </w:rPr>
            </w:pPr>
            <w:r>
              <w:rPr>
                <w:rFonts w:asciiTheme="minorHAnsi" w:hAnsiTheme="minorHAnsi"/>
                <w:sz w:val="22"/>
                <w:szCs w:val="22"/>
              </w:rPr>
              <w:lastRenderedPageBreak/>
              <w:t xml:space="preserve">Page 93: </w:t>
            </w: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p>
          <w:p w:rsidR="00EA501A" w:rsidRDefault="00EA501A" w:rsidP="00EA501A">
            <w:pPr>
              <w:pStyle w:val="BodyText"/>
              <w:spacing w:before="0"/>
              <w:jc w:val="left"/>
              <w:rPr>
                <w:rFonts w:asciiTheme="minorHAnsi" w:hAnsiTheme="minorHAnsi"/>
                <w:sz w:val="22"/>
                <w:szCs w:val="22"/>
              </w:rPr>
            </w:pPr>
          </w:p>
          <w:p w:rsidR="00EA501A" w:rsidRDefault="00EA501A" w:rsidP="00EA501A">
            <w:pPr>
              <w:pStyle w:val="BodyText"/>
              <w:spacing w:before="0"/>
              <w:jc w:val="left"/>
              <w:rPr>
                <w:rFonts w:asciiTheme="minorHAnsi" w:hAnsiTheme="minorHAnsi"/>
                <w:sz w:val="22"/>
                <w:szCs w:val="22"/>
              </w:rPr>
            </w:pPr>
          </w:p>
          <w:p w:rsidR="00EA501A" w:rsidRDefault="00EA501A" w:rsidP="00EA501A">
            <w:pPr>
              <w:pStyle w:val="BodyText"/>
              <w:spacing w:before="0"/>
              <w:jc w:val="left"/>
              <w:rPr>
                <w:rFonts w:asciiTheme="minorHAnsi" w:hAnsiTheme="minorHAnsi"/>
                <w:sz w:val="22"/>
                <w:szCs w:val="22"/>
              </w:rPr>
            </w:pPr>
          </w:p>
          <w:p w:rsidR="00EA501A" w:rsidRDefault="00EA501A" w:rsidP="00EA501A">
            <w:pPr>
              <w:pStyle w:val="BodyText"/>
              <w:spacing w:before="0"/>
              <w:jc w:val="left"/>
              <w:rPr>
                <w:rFonts w:asciiTheme="minorHAnsi" w:hAnsiTheme="minorHAnsi"/>
                <w:sz w:val="22"/>
                <w:szCs w:val="22"/>
              </w:rPr>
            </w:pPr>
          </w:p>
          <w:p w:rsidR="00EA501A" w:rsidRDefault="00EA501A" w:rsidP="00EA501A">
            <w:pPr>
              <w:pStyle w:val="BodyText"/>
              <w:spacing w:before="0"/>
              <w:jc w:val="left"/>
              <w:rPr>
                <w:rFonts w:asciiTheme="minorHAnsi" w:hAnsiTheme="minorHAnsi"/>
                <w:sz w:val="22"/>
                <w:szCs w:val="22"/>
              </w:rPr>
            </w:pPr>
            <w:r>
              <w:rPr>
                <w:rFonts w:asciiTheme="minorHAnsi" w:hAnsiTheme="minorHAnsi"/>
                <w:sz w:val="22"/>
                <w:szCs w:val="22"/>
              </w:rPr>
              <w:t>Pages 231 &amp; 47</w:t>
            </w:r>
          </w:p>
        </w:tc>
        <w:tc>
          <w:tcPr>
            <w:tcW w:w="3081" w:type="dxa"/>
          </w:tcPr>
          <w:p w:rsidR="00F73BBC" w:rsidRDefault="00F73BBC" w:rsidP="00F76919">
            <w:pPr>
              <w:pStyle w:val="BodyText"/>
              <w:spacing w:before="0"/>
              <w:jc w:val="left"/>
              <w:rPr>
                <w:rFonts w:asciiTheme="minorHAnsi" w:hAnsiTheme="minorHAnsi"/>
                <w:sz w:val="22"/>
                <w:szCs w:val="22"/>
              </w:rPr>
            </w:pPr>
            <w:r w:rsidRPr="00F73BBC">
              <w:rPr>
                <w:rFonts w:asciiTheme="minorHAnsi" w:hAnsiTheme="minorHAnsi"/>
                <w:sz w:val="22"/>
                <w:szCs w:val="22"/>
              </w:rPr>
              <w:t>Regulation Impact Unit (</w:t>
            </w:r>
            <w:proofErr w:type="spellStart"/>
            <w:r w:rsidRPr="00F73BBC">
              <w:rPr>
                <w:rFonts w:asciiTheme="minorHAnsi" w:hAnsiTheme="minorHAnsi"/>
                <w:sz w:val="22"/>
                <w:szCs w:val="22"/>
              </w:rPr>
              <w:t>RIU</w:t>
            </w:r>
            <w:proofErr w:type="spellEnd"/>
            <w:r w:rsidRPr="00F73BBC">
              <w:rPr>
                <w:rFonts w:asciiTheme="minorHAnsi" w:hAnsiTheme="minorHAnsi"/>
                <w:sz w:val="22"/>
                <w:szCs w:val="22"/>
              </w:rPr>
              <w:t>) in the Department of Treasury advises agencies and provides administrative support to the Regulation Impact Committee (</w:t>
            </w:r>
            <w:proofErr w:type="spellStart"/>
            <w:r w:rsidRPr="00F73BBC">
              <w:rPr>
                <w:rFonts w:asciiTheme="minorHAnsi" w:hAnsiTheme="minorHAnsi"/>
                <w:sz w:val="22"/>
                <w:szCs w:val="22"/>
              </w:rPr>
              <w:t>RIC</w:t>
            </w:r>
            <w:proofErr w:type="spellEnd"/>
            <w:r w:rsidRPr="00F73BBC">
              <w:rPr>
                <w:rFonts w:asciiTheme="minorHAnsi" w:hAnsiTheme="minorHAnsi"/>
                <w:sz w:val="22"/>
                <w:szCs w:val="22"/>
              </w:rPr>
              <w:t xml:space="preserve">). The </w:t>
            </w:r>
            <w:proofErr w:type="spellStart"/>
            <w:r w:rsidRPr="00F73BBC">
              <w:rPr>
                <w:rFonts w:asciiTheme="minorHAnsi" w:hAnsiTheme="minorHAnsi"/>
                <w:sz w:val="22"/>
                <w:szCs w:val="22"/>
              </w:rPr>
              <w:t>RIC</w:t>
            </w:r>
            <w:proofErr w:type="spellEnd"/>
            <w:r w:rsidRPr="00F73BBC">
              <w:rPr>
                <w:rFonts w:asciiTheme="minorHAnsi" w:hAnsiTheme="minorHAnsi"/>
                <w:sz w:val="22"/>
                <w:szCs w:val="22"/>
              </w:rPr>
              <w:t xml:space="preserve"> assesses and certifies the adequacy of </w:t>
            </w:r>
            <w:proofErr w:type="spellStart"/>
            <w:r w:rsidRPr="00F73BBC">
              <w:rPr>
                <w:rFonts w:asciiTheme="minorHAnsi" w:hAnsiTheme="minorHAnsi"/>
                <w:sz w:val="22"/>
                <w:szCs w:val="22"/>
              </w:rPr>
              <w:t>RISs</w:t>
            </w:r>
            <w:proofErr w:type="spellEnd"/>
            <w:r w:rsidRPr="00F73BBC">
              <w:rPr>
                <w:rFonts w:asciiTheme="minorHAnsi" w:hAnsiTheme="minorHAnsi"/>
                <w:sz w:val="22"/>
                <w:szCs w:val="22"/>
              </w:rPr>
              <w:t>. It is chaired by a Treasury officer with additional officers from the Department of the Chief Minister, the Department of Justice and the Department of Business and Employment.</w:t>
            </w:r>
          </w:p>
        </w:tc>
        <w:tc>
          <w:tcPr>
            <w:tcW w:w="3081" w:type="dxa"/>
          </w:tcPr>
          <w:p w:rsidR="00F73BBC" w:rsidRDefault="0005309F" w:rsidP="00F76919">
            <w:pPr>
              <w:pStyle w:val="BodyText"/>
              <w:spacing w:before="0"/>
              <w:jc w:val="left"/>
              <w:rPr>
                <w:rFonts w:asciiTheme="minorHAnsi" w:hAnsiTheme="minorHAnsi"/>
                <w:sz w:val="22"/>
                <w:szCs w:val="22"/>
              </w:rPr>
            </w:pPr>
            <w:r>
              <w:rPr>
                <w:rFonts w:asciiTheme="minorHAnsi" w:hAnsiTheme="minorHAnsi"/>
                <w:sz w:val="22"/>
                <w:szCs w:val="22"/>
              </w:rPr>
              <w:t xml:space="preserve">Since the publication of the </w:t>
            </w:r>
            <w:r w:rsidR="00A53A32">
              <w:rPr>
                <w:rFonts w:asciiTheme="minorHAnsi" w:hAnsiTheme="minorHAnsi"/>
                <w:sz w:val="22"/>
                <w:szCs w:val="22"/>
              </w:rPr>
              <w:t>d</w:t>
            </w:r>
            <w:r>
              <w:rPr>
                <w:rFonts w:asciiTheme="minorHAnsi" w:hAnsiTheme="minorHAnsi"/>
                <w:sz w:val="22"/>
                <w:szCs w:val="22"/>
              </w:rPr>
              <w:t xml:space="preserve">raft report there have been amendments to the Territory’s Administrative Arrangement Orders. </w:t>
            </w:r>
          </w:p>
          <w:p w:rsidR="005F68A6" w:rsidRDefault="005F68A6" w:rsidP="00F76919">
            <w:pPr>
              <w:pStyle w:val="BodyText"/>
              <w:spacing w:before="0"/>
              <w:jc w:val="left"/>
              <w:rPr>
                <w:rFonts w:asciiTheme="minorHAnsi" w:hAnsiTheme="minorHAnsi"/>
                <w:sz w:val="22"/>
                <w:szCs w:val="22"/>
              </w:rPr>
            </w:pPr>
            <w:r>
              <w:rPr>
                <w:rFonts w:asciiTheme="minorHAnsi" w:hAnsiTheme="minorHAnsi"/>
                <w:sz w:val="22"/>
                <w:szCs w:val="22"/>
              </w:rPr>
              <w:t>Northern Territory Treasury is now the Department of Treasury and Finance.</w:t>
            </w:r>
          </w:p>
          <w:p w:rsidR="005F68A6" w:rsidRDefault="005F68A6" w:rsidP="00F76919">
            <w:pPr>
              <w:pStyle w:val="BodyText"/>
              <w:spacing w:before="0"/>
              <w:jc w:val="left"/>
              <w:rPr>
                <w:rFonts w:asciiTheme="minorHAnsi" w:hAnsiTheme="minorHAnsi"/>
                <w:sz w:val="22"/>
                <w:szCs w:val="22"/>
              </w:rPr>
            </w:pPr>
            <w:r>
              <w:rPr>
                <w:rFonts w:asciiTheme="minorHAnsi" w:hAnsiTheme="minorHAnsi"/>
                <w:sz w:val="22"/>
                <w:szCs w:val="22"/>
              </w:rPr>
              <w:t xml:space="preserve">The Department of Justice is now the Department of the Attorney-General and Justice </w:t>
            </w:r>
            <w:r w:rsidR="00506188">
              <w:rPr>
                <w:rFonts w:asciiTheme="minorHAnsi" w:hAnsiTheme="minorHAnsi"/>
                <w:sz w:val="22"/>
                <w:szCs w:val="22"/>
              </w:rPr>
              <w:t>The Department</w:t>
            </w:r>
            <w:r>
              <w:rPr>
                <w:rFonts w:asciiTheme="minorHAnsi" w:hAnsiTheme="minorHAnsi"/>
                <w:sz w:val="22"/>
                <w:szCs w:val="22"/>
              </w:rPr>
              <w:t xml:space="preserve"> of Business and Employment is now the Department of Business. </w:t>
            </w:r>
          </w:p>
          <w:p w:rsidR="005F68A6" w:rsidRDefault="005F68A6" w:rsidP="00F76919">
            <w:pPr>
              <w:pStyle w:val="BodyText"/>
              <w:spacing w:before="0"/>
              <w:jc w:val="left"/>
              <w:rPr>
                <w:rFonts w:asciiTheme="minorHAnsi" w:hAnsiTheme="minorHAnsi"/>
                <w:sz w:val="22"/>
                <w:szCs w:val="22"/>
              </w:rPr>
            </w:pPr>
            <w:r>
              <w:rPr>
                <w:rFonts w:asciiTheme="minorHAnsi" w:hAnsiTheme="minorHAnsi"/>
                <w:sz w:val="22"/>
                <w:szCs w:val="22"/>
              </w:rPr>
              <w:t>The Department of the Chief Minister has not changed its name.</w:t>
            </w:r>
          </w:p>
          <w:p w:rsidR="00EA501A" w:rsidRDefault="00EA501A" w:rsidP="00F76919">
            <w:pPr>
              <w:pStyle w:val="BodyText"/>
              <w:spacing w:before="0"/>
              <w:jc w:val="left"/>
              <w:rPr>
                <w:rFonts w:asciiTheme="minorHAnsi" w:hAnsiTheme="minorHAnsi"/>
                <w:sz w:val="22"/>
                <w:szCs w:val="22"/>
              </w:rPr>
            </w:pPr>
          </w:p>
          <w:p w:rsidR="00EA501A" w:rsidRDefault="00EA501A" w:rsidP="00F76919">
            <w:pPr>
              <w:pStyle w:val="BodyText"/>
              <w:spacing w:before="0"/>
              <w:jc w:val="left"/>
              <w:rPr>
                <w:rFonts w:asciiTheme="minorHAnsi" w:hAnsiTheme="minorHAnsi"/>
                <w:sz w:val="22"/>
                <w:szCs w:val="22"/>
              </w:rPr>
            </w:pPr>
            <w:r>
              <w:rPr>
                <w:rFonts w:asciiTheme="minorHAnsi" w:hAnsiTheme="minorHAnsi"/>
                <w:sz w:val="22"/>
                <w:szCs w:val="22"/>
              </w:rPr>
              <w:t>Update names as above</w:t>
            </w:r>
          </w:p>
          <w:p w:rsidR="00A767F3" w:rsidRPr="00DB5646" w:rsidRDefault="00A767F3" w:rsidP="00F76919">
            <w:pPr>
              <w:pStyle w:val="BodyText"/>
              <w:spacing w:before="0"/>
              <w:jc w:val="left"/>
              <w:rPr>
                <w:rFonts w:asciiTheme="minorHAnsi" w:hAnsiTheme="minorHAnsi"/>
                <w:sz w:val="22"/>
                <w:szCs w:val="22"/>
              </w:rPr>
            </w:pPr>
          </w:p>
        </w:tc>
      </w:tr>
      <w:tr w:rsidR="00895ECE" w:rsidTr="00B84D6B">
        <w:tc>
          <w:tcPr>
            <w:tcW w:w="3080" w:type="dxa"/>
          </w:tcPr>
          <w:p w:rsidR="00895ECE" w:rsidRDefault="00895ECE" w:rsidP="00F76919">
            <w:pPr>
              <w:pStyle w:val="BodyText"/>
              <w:spacing w:before="0"/>
              <w:jc w:val="left"/>
              <w:rPr>
                <w:rFonts w:asciiTheme="minorHAnsi" w:hAnsiTheme="minorHAnsi"/>
                <w:sz w:val="22"/>
                <w:szCs w:val="22"/>
              </w:rPr>
            </w:pPr>
            <w:r w:rsidRPr="00CA4FE4">
              <w:rPr>
                <w:rFonts w:asciiTheme="minorHAnsi" w:hAnsiTheme="minorHAnsi"/>
                <w:sz w:val="22"/>
                <w:szCs w:val="22"/>
              </w:rPr>
              <w:t>Page 106</w:t>
            </w:r>
            <w:r>
              <w:rPr>
                <w:rFonts w:asciiTheme="minorHAnsi" w:hAnsiTheme="minorHAnsi"/>
                <w:sz w:val="22"/>
                <w:szCs w:val="22"/>
              </w:rPr>
              <w:t xml:space="preserve">: Cabinet Offices with a formal </w:t>
            </w:r>
            <w:proofErr w:type="spellStart"/>
            <w:r>
              <w:rPr>
                <w:rFonts w:asciiTheme="minorHAnsi" w:hAnsiTheme="minorHAnsi"/>
                <w:sz w:val="22"/>
                <w:szCs w:val="22"/>
              </w:rPr>
              <w:t>RIA</w:t>
            </w:r>
            <w:proofErr w:type="spellEnd"/>
            <w:r>
              <w:rPr>
                <w:rFonts w:asciiTheme="minorHAnsi" w:hAnsiTheme="minorHAnsi"/>
                <w:sz w:val="22"/>
                <w:szCs w:val="22"/>
              </w:rPr>
              <w:t xml:space="preserve"> Gatekeeping Role</w:t>
            </w:r>
          </w:p>
        </w:tc>
        <w:tc>
          <w:tcPr>
            <w:tcW w:w="3081" w:type="dxa"/>
          </w:tcPr>
          <w:p w:rsidR="00895ECE" w:rsidRPr="00392089" w:rsidRDefault="00895ECE" w:rsidP="00F76919">
            <w:pPr>
              <w:pStyle w:val="Default"/>
              <w:rPr>
                <w:rFonts w:asciiTheme="minorHAnsi" w:eastAsia="Times New Roman" w:hAnsiTheme="minorHAnsi"/>
                <w:color w:val="auto"/>
                <w:sz w:val="22"/>
                <w:szCs w:val="22"/>
                <w:lang w:eastAsia="en-AU"/>
              </w:rPr>
            </w:pPr>
            <w:r w:rsidRPr="00392089">
              <w:rPr>
                <w:rFonts w:asciiTheme="minorHAnsi" w:eastAsia="Times New Roman" w:hAnsiTheme="minorHAnsi"/>
                <w:color w:val="auto"/>
                <w:sz w:val="22"/>
                <w:szCs w:val="22"/>
                <w:lang w:eastAsia="en-AU"/>
              </w:rPr>
              <w:t xml:space="preserve">In the Northern Territory, proposals with an inadequate </w:t>
            </w:r>
            <w:proofErr w:type="spellStart"/>
            <w:r w:rsidRPr="00392089">
              <w:rPr>
                <w:rFonts w:asciiTheme="minorHAnsi" w:eastAsia="Times New Roman" w:hAnsiTheme="minorHAnsi"/>
                <w:color w:val="auto"/>
                <w:sz w:val="22"/>
                <w:szCs w:val="22"/>
                <w:lang w:eastAsia="en-AU"/>
              </w:rPr>
              <w:t>RIS</w:t>
            </w:r>
            <w:proofErr w:type="spellEnd"/>
            <w:r w:rsidRPr="00392089">
              <w:rPr>
                <w:rFonts w:asciiTheme="minorHAnsi" w:eastAsia="Times New Roman" w:hAnsiTheme="minorHAnsi"/>
                <w:color w:val="auto"/>
                <w:sz w:val="22"/>
                <w:szCs w:val="22"/>
                <w:lang w:eastAsia="en-AU"/>
              </w:rPr>
              <w:t xml:space="preserve"> can proceed to decision makers with approval from the proponent minister: </w:t>
            </w:r>
          </w:p>
          <w:p w:rsidR="00895ECE" w:rsidRPr="00392089" w:rsidRDefault="00895ECE" w:rsidP="00F76919">
            <w:pPr>
              <w:pStyle w:val="BodyText"/>
              <w:spacing w:before="0"/>
              <w:jc w:val="left"/>
              <w:rPr>
                <w:rFonts w:asciiTheme="minorHAnsi" w:hAnsiTheme="minorHAnsi"/>
                <w:sz w:val="20"/>
              </w:rPr>
            </w:pPr>
            <w:r w:rsidRPr="00392089">
              <w:rPr>
                <w:sz w:val="20"/>
              </w:rPr>
              <w:t xml:space="preserve">The Cabinet Office will not proceed with regulatory proposals in the absence of certification from the Regulatory Impact Committee. Ministerial approval is required if regulation is to proceed to Cabinet or Executive Council in the absence of </w:t>
            </w:r>
            <w:proofErr w:type="spellStart"/>
            <w:r w:rsidRPr="00392089">
              <w:rPr>
                <w:sz w:val="20"/>
              </w:rPr>
              <w:t>RIS</w:t>
            </w:r>
            <w:proofErr w:type="spellEnd"/>
            <w:r w:rsidRPr="00392089">
              <w:rPr>
                <w:sz w:val="20"/>
              </w:rPr>
              <w:t xml:space="preserve"> certification or with certification indicating that the regulation does not comply with regulation-making principles. (NT Government 2007, p. 16)</w:t>
            </w:r>
          </w:p>
        </w:tc>
        <w:tc>
          <w:tcPr>
            <w:tcW w:w="3081" w:type="dxa"/>
          </w:tcPr>
          <w:p w:rsidR="005459A2" w:rsidRDefault="00895ECE" w:rsidP="00895ECE">
            <w:pPr>
              <w:pStyle w:val="BodyText"/>
              <w:spacing w:before="0"/>
              <w:jc w:val="left"/>
              <w:rPr>
                <w:rFonts w:asciiTheme="minorHAnsi" w:hAnsiTheme="minorHAnsi"/>
                <w:sz w:val="22"/>
                <w:szCs w:val="22"/>
              </w:rPr>
            </w:pPr>
            <w:r>
              <w:rPr>
                <w:rFonts w:asciiTheme="minorHAnsi" w:hAnsiTheme="minorHAnsi"/>
                <w:sz w:val="22"/>
                <w:szCs w:val="22"/>
              </w:rPr>
              <w:t xml:space="preserve">Cabinet acts as gatekeeper as no </w:t>
            </w:r>
            <w:r w:rsidR="005B096E">
              <w:rPr>
                <w:rFonts w:asciiTheme="minorHAnsi" w:hAnsiTheme="minorHAnsi"/>
                <w:sz w:val="22"/>
                <w:szCs w:val="22"/>
              </w:rPr>
              <w:t xml:space="preserve">regulatory </w:t>
            </w:r>
            <w:r>
              <w:rPr>
                <w:rFonts w:asciiTheme="minorHAnsi" w:hAnsiTheme="minorHAnsi"/>
                <w:sz w:val="22"/>
                <w:szCs w:val="22"/>
              </w:rPr>
              <w:t xml:space="preserve">proposals may </w:t>
            </w:r>
            <w:r w:rsidR="005B096E">
              <w:rPr>
                <w:rFonts w:asciiTheme="minorHAnsi" w:hAnsiTheme="minorHAnsi"/>
                <w:sz w:val="22"/>
                <w:szCs w:val="22"/>
              </w:rPr>
              <w:t xml:space="preserve">proceed to Cabinet </w:t>
            </w:r>
            <w:r>
              <w:rPr>
                <w:rFonts w:asciiTheme="minorHAnsi" w:hAnsiTheme="minorHAnsi"/>
                <w:sz w:val="22"/>
                <w:szCs w:val="22"/>
              </w:rPr>
              <w:t xml:space="preserve">without a </w:t>
            </w:r>
            <w:proofErr w:type="spellStart"/>
            <w:r>
              <w:rPr>
                <w:rFonts w:asciiTheme="minorHAnsi" w:hAnsiTheme="minorHAnsi"/>
                <w:sz w:val="22"/>
                <w:szCs w:val="22"/>
              </w:rPr>
              <w:t>PRIS</w:t>
            </w:r>
            <w:proofErr w:type="spellEnd"/>
            <w:r>
              <w:rPr>
                <w:rFonts w:asciiTheme="minorHAnsi" w:hAnsiTheme="minorHAnsi"/>
                <w:sz w:val="22"/>
                <w:szCs w:val="22"/>
              </w:rPr>
              <w:t>/</w:t>
            </w:r>
            <w:proofErr w:type="spellStart"/>
            <w:r>
              <w:rPr>
                <w:rFonts w:asciiTheme="minorHAnsi" w:hAnsiTheme="minorHAnsi"/>
                <w:sz w:val="22"/>
                <w:szCs w:val="22"/>
              </w:rPr>
              <w:t>RIS</w:t>
            </w:r>
            <w:proofErr w:type="spellEnd"/>
            <w:r>
              <w:rPr>
                <w:rFonts w:asciiTheme="minorHAnsi" w:hAnsiTheme="minorHAnsi"/>
                <w:sz w:val="22"/>
                <w:szCs w:val="22"/>
              </w:rPr>
              <w:t xml:space="preserve"> certificate. Note that </w:t>
            </w:r>
            <w:r w:rsidR="005B096E">
              <w:rPr>
                <w:rFonts w:asciiTheme="minorHAnsi" w:hAnsiTheme="minorHAnsi"/>
                <w:sz w:val="22"/>
                <w:szCs w:val="22"/>
              </w:rPr>
              <w:t xml:space="preserve">notwithstanding the </w:t>
            </w:r>
            <w:proofErr w:type="spellStart"/>
            <w:r w:rsidR="005B096E">
              <w:rPr>
                <w:rFonts w:asciiTheme="minorHAnsi" w:hAnsiTheme="minorHAnsi"/>
                <w:sz w:val="22"/>
                <w:szCs w:val="22"/>
              </w:rPr>
              <w:t>RMF</w:t>
            </w:r>
            <w:proofErr w:type="spellEnd"/>
            <w:r w:rsidR="005B096E">
              <w:rPr>
                <w:rFonts w:asciiTheme="minorHAnsi" w:hAnsiTheme="minorHAnsi"/>
                <w:sz w:val="22"/>
                <w:szCs w:val="22"/>
              </w:rPr>
              <w:t xml:space="preserve"> Guideline, </w:t>
            </w:r>
            <w:r w:rsidR="005459A2">
              <w:rPr>
                <w:rFonts w:asciiTheme="minorHAnsi" w:hAnsiTheme="minorHAnsi"/>
                <w:sz w:val="22"/>
                <w:szCs w:val="22"/>
              </w:rPr>
              <w:t xml:space="preserve">the </w:t>
            </w:r>
            <w:proofErr w:type="spellStart"/>
            <w:r w:rsidR="005459A2">
              <w:rPr>
                <w:rFonts w:asciiTheme="minorHAnsi" w:hAnsiTheme="minorHAnsi"/>
                <w:sz w:val="22"/>
                <w:szCs w:val="22"/>
              </w:rPr>
              <w:t>NTG</w:t>
            </w:r>
            <w:proofErr w:type="spellEnd"/>
            <w:r w:rsidR="005459A2">
              <w:rPr>
                <w:rFonts w:asciiTheme="minorHAnsi" w:hAnsiTheme="minorHAnsi"/>
                <w:sz w:val="22"/>
                <w:szCs w:val="22"/>
              </w:rPr>
              <w:t xml:space="preserve"> Cabinet Handbook (2007) provides: </w:t>
            </w:r>
          </w:p>
          <w:p w:rsidR="005459A2" w:rsidRDefault="005459A2" w:rsidP="005459A2">
            <w:pPr>
              <w:keepNext/>
              <w:tabs>
                <w:tab w:val="left" w:pos="0"/>
              </w:tabs>
              <w:ind w:firstLine="12"/>
              <w:rPr>
                <w:rFonts w:cs="Arial"/>
                <w:b/>
              </w:rPr>
            </w:pPr>
          </w:p>
          <w:p w:rsidR="005459A2" w:rsidRDefault="005459A2" w:rsidP="003966C1">
            <w:pPr>
              <w:keepNext/>
              <w:tabs>
                <w:tab w:val="left" w:pos="360"/>
              </w:tabs>
              <w:ind w:left="360" w:firstLine="12"/>
              <w:rPr>
                <w:rFonts w:cs="Arial"/>
              </w:rPr>
            </w:pPr>
            <w:r>
              <w:rPr>
                <w:rFonts w:cs="Arial"/>
                <w:b/>
              </w:rPr>
              <w:t>“Regulation Making Framework</w:t>
            </w:r>
          </w:p>
          <w:p w:rsidR="005459A2" w:rsidRDefault="005459A2" w:rsidP="003966C1">
            <w:pPr>
              <w:tabs>
                <w:tab w:val="left" w:pos="360"/>
              </w:tabs>
              <w:ind w:left="360" w:firstLine="12"/>
              <w:jc w:val="both"/>
              <w:rPr>
                <w:rFonts w:cs="Arial"/>
              </w:rPr>
            </w:pPr>
            <w:r>
              <w:rPr>
                <w:rFonts w:cs="Arial"/>
              </w:rPr>
              <w:t>Submissions seeking approval to prepare draft legislation and to present a draft Bill in the Legislative Assembly must be accompanied by a statement from the Economic Policy and Frameworks Unit in Northern Territory Treasury with regard to whether the new legislative proposal complies with Regulation Making Framework requirements.”</w:t>
            </w:r>
          </w:p>
          <w:p w:rsidR="003259A0" w:rsidRDefault="005459A2" w:rsidP="003259A0">
            <w:pPr>
              <w:pStyle w:val="BodyText"/>
              <w:spacing w:before="0"/>
              <w:jc w:val="left"/>
              <w:rPr>
                <w:rFonts w:asciiTheme="minorHAnsi" w:hAnsiTheme="minorHAnsi"/>
                <w:sz w:val="22"/>
                <w:szCs w:val="22"/>
              </w:rPr>
            </w:pPr>
            <w:r>
              <w:rPr>
                <w:rFonts w:asciiTheme="minorHAnsi" w:hAnsiTheme="minorHAnsi"/>
                <w:sz w:val="22"/>
                <w:szCs w:val="22"/>
              </w:rPr>
              <w:t xml:space="preserve">It is also necessary to </w:t>
            </w:r>
            <w:r>
              <w:rPr>
                <w:rFonts w:asciiTheme="minorHAnsi" w:hAnsiTheme="minorHAnsi"/>
                <w:sz w:val="22"/>
                <w:szCs w:val="22"/>
              </w:rPr>
              <w:lastRenderedPageBreak/>
              <w:t>distinguish between</w:t>
            </w:r>
            <w:r w:rsidR="00017DE9">
              <w:rPr>
                <w:rFonts w:asciiTheme="minorHAnsi" w:hAnsiTheme="minorHAnsi"/>
                <w:sz w:val="22"/>
                <w:szCs w:val="22"/>
              </w:rPr>
              <w:t xml:space="preserve"> “proposals with an inadequate </w:t>
            </w:r>
            <w:proofErr w:type="spellStart"/>
            <w:r w:rsidR="00017DE9">
              <w:rPr>
                <w:rFonts w:asciiTheme="minorHAnsi" w:hAnsiTheme="minorHAnsi"/>
                <w:sz w:val="22"/>
                <w:szCs w:val="22"/>
              </w:rPr>
              <w:t>RIS</w:t>
            </w:r>
            <w:proofErr w:type="spellEnd"/>
            <w:r w:rsidR="00017DE9">
              <w:rPr>
                <w:rFonts w:asciiTheme="minorHAnsi" w:hAnsiTheme="minorHAnsi"/>
                <w:sz w:val="22"/>
                <w:szCs w:val="22"/>
              </w:rPr>
              <w:t xml:space="preserve">” and proposals which the </w:t>
            </w:r>
            <w:proofErr w:type="spellStart"/>
            <w:r w:rsidR="00017DE9">
              <w:rPr>
                <w:rFonts w:asciiTheme="minorHAnsi" w:hAnsiTheme="minorHAnsi"/>
                <w:sz w:val="22"/>
                <w:szCs w:val="22"/>
              </w:rPr>
              <w:t>RIS</w:t>
            </w:r>
            <w:proofErr w:type="spellEnd"/>
            <w:r w:rsidR="00017DE9">
              <w:rPr>
                <w:rFonts w:asciiTheme="minorHAnsi" w:hAnsiTheme="minorHAnsi"/>
                <w:sz w:val="22"/>
                <w:szCs w:val="22"/>
              </w:rPr>
              <w:t xml:space="preserve"> is unable to justify as the best option.  In the case of the former, i.e. where the </w:t>
            </w:r>
            <w:proofErr w:type="spellStart"/>
            <w:r w:rsidR="00017DE9">
              <w:rPr>
                <w:rFonts w:asciiTheme="minorHAnsi" w:hAnsiTheme="minorHAnsi"/>
                <w:sz w:val="22"/>
                <w:szCs w:val="22"/>
              </w:rPr>
              <w:t>RIS</w:t>
            </w:r>
            <w:proofErr w:type="spellEnd"/>
            <w:r w:rsidR="00017DE9">
              <w:rPr>
                <w:rFonts w:asciiTheme="minorHAnsi" w:hAnsiTheme="minorHAnsi"/>
                <w:sz w:val="22"/>
                <w:szCs w:val="22"/>
              </w:rPr>
              <w:t xml:space="preserve"> itself is not of an adequate standard or adequate level of analysis or is otherwise</w:t>
            </w:r>
            <w:r w:rsidR="00833341">
              <w:rPr>
                <w:rFonts w:asciiTheme="minorHAnsi" w:hAnsiTheme="minorHAnsi"/>
                <w:sz w:val="22"/>
                <w:szCs w:val="22"/>
              </w:rPr>
              <w:t xml:space="preserve"> flawed</w:t>
            </w:r>
            <w:r w:rsidR="00017DE9">
              <w:rPr>
                <w:rFonts w:asciiTheme="minorHAnsi" w:hAnsiTheme="minorHAnsi"/>
                <w:sz w:val="22"/>
                <w:szCs w:val="22"/>
              </w:rPr>
              <w:t xml:space="preserve"> – a Certificate will not be issue</w:t>
            </w:r>
            <w:r w:rsidR="00833341">
              <w:rPr>
                <w:rFonts w:asciiTheme="minorHAnsi" w:hAnsiTheme="minorHAnsi"/>
                <w:sz w:val="22"/>
                <w:szCs w:val="22"/>
              </w:rPr>
              <w:t>d</w:t>
            </w:r>
            <w:r w:rsidR="00017DE9">
              <w:rPr>
                <w:rFonts w:asciiTheme="minorHAnsi" w:hAnsiTheme="minorHAnsi"/>
                <w:sz w:val="22"/>
                <w:szCs w:val="22"/>
              </w:rPr>
              <w:t xml:space="preserve"> by the </w:t>
            </w:r>
            <w:proofErr w:type="spellStart"/>
            <w:r w:rsidR="00017DE9">
              <w:rPr>
                <w:rFonts w:asciiTheme="minorHAnsi" w:hAnsiTheme="minorHAnsi"/>
                <w:sz w:val="22"/>
                <w:szCs w:val="22"/>
              </w:rPr>
              <w:t>RIC</w:t>
            </w:r>
            <w:proofErr w:type="spellEnd"/>
            <w:r w:rsidR="00017DE9">
              <w:rPr>
                <w:rFonts w:asciiTheme="minorHAnsi" w:hAnsiTheme="minorHAnsi"/>
                <w:sz w:val="22"/>
                <w:szCs w:val="22"/>
              </w:rPr>
              <w:t xml:space="preserve"> and the proposal cannot proceed to Cabinet.  </w:t>
            </w:r>
          </w:p>
          <w:p w:rsidR="003259A0" w:rsidRDefault="003259A0" w:rsidP="003259A0">
            <w:pPr>
              <w:pStyle w:val="BodyText"/>
              <w:spacing w:before="0"/>
              <w:jc w:val="left"/>
              <w:rPr>
                <w:rFonts w:asciiTheme="minorHAnsi" w:hAnsiTheme="minorHAnsi"/>
                <w:sz w:val="22"/>
                <w:szCs w:val="22"/>
              </w:rPr>
            </w:pPr>
          </w:p>
          <w:p w:rsidR="003259A0" w:rsidRDefault="00017DE9" w:rsidP="003259A0">
            <w:pPr>
              <w:pStyle w:val="BodyText"/>
              <w:spacing w:before="0"/>
              <w:jc w:val="left"/>
              <w:rPr>
                <w:rFonts w:asciiTheme="minorHAnsi" w:hAnsiTheme="minorHAnsi"/>
                <w:sz w:val="22"/>
                <w:szCs w:val="22"/>
              </w:rPr>
            </w:pPr>
            <w:r>
              <w:rPr>
                <w:rFonts w:asciiTheme="minorHAnsi" w:hAnsiTheme="minorHAnsi"/>
                <w:sz w:val="22"/>
                <w:szCs w:val="22"/>
              </w:rPr>
              <w:t>In the</w:t>
            </w:r>
            <w:r w:rsidR="00833341">
              <w:rPr>
                <w:rFonts w:asciiTheme="minorHAnsi" w:hAnsiTheme="minorHAnsi"/>
                <w:sz w:val="22"/>
                <w:szCs w:val="22"/>
              </w:rPr>
              <w:t xml:space="preserve"> (rare)</w:t>
            </w:r>
            <w:r>
              <w:rPr>
                <w:rFonts w:asciiTheme="minorHAnsi" w:hAnsiTheme="minorHAnsi"/>
                <w:sz w:val="22"/>
                <w:szCs w:val="22"/>
              </w:rPr>
              <w:t xml:space="preserve"> case of the latter, i.e. where the </w:t>
            </w:r>
            <w:proofErr w:type="spellStart"/>
            <w:r>
              <w:rPr>
                <w:rFonts w:asciiTheme="minorHAnsi" w:hAnsiTheme="minorHAnsi"/>
                <w:sz w:val="22"/>
                <w:szCs w:val="22"/>
              </w:rPr>
              <w:t>RIS</w:t>
            </w:r>
            <w:proofErr w:type="spellEnd"/>
            <w:r>
              <w:rPr>
                <w:rFonts w:asciiTheme="minorHAnsi" w:hAnsiTheme="minorHAnsi"/>
                <w:sz w:val="22"/>
                <w:szCs w:val="22"/>
              </w:rPr>
              <w:t xml:space="preserve"> itself is adequate but it is unable to demonstrate that the regulatory proposal is necessary</w:t>
            </w:r>
            <w:r w:rsidR="00833341">
              <w:rPr>
                <w:rFonts w:asciiTheme="minorHAnsi" w:hAnsiTheme="minorHAnsi"/>
                <w:sz w:val="22"/>
                <w:szCs w:val="22"/>
              </w:rPr>
              <w:t>, with a net public benefit</w:t>
            </w:r>
            <w:r>
              <w:rPr>
                <w:rFonts w:asciiTheme="minorHAnsi" w:hAnsiTheme="minorHAnsi"/>
                <w:sz w:val="22"/>
                <w:szCs w:val="22"/>
              </w:rPr>
              <w:t xml:space="preserve"> and is the best option, the </w:t>
            </w:r>
            <w:proofErr w:type="spellStart"/>
            <w:r>
              <w:rPr>
                <w:rFonts w:asciiTheme="minorHAnsi" w:hAnsiTheme="minorHAnsi"/>
                <w:sz w:val="22"/>
                <w:szCs w:val="22"/>
              </w:rPr>
              <w:t>RIC</w:t>
            </w:r>
            <w:proofErr w:type="spellEnd"/>
            <w:r>
              <w:rPr>
                <w:rFonts w:asciiTheme="minorHAnsi" w:hAnsiTheme="minorHAnsi"/>
                <w:sz w:val="22"/>
                <w:szCs w:val="22"/>
              </w:rPr>
              <w:t xml:space="preserve"> will issue a qualified certificate that sets out the shortcomings of the regulatory proposal.</w:t>
            </w:r>
            <w:r w:rsidR="00833341">
              <w:rPr>
                <w:rFonts w:asciiTheme="minorHAnsi" w:hAnsiTheme="minorHAnsi"/>
                <w:sz w:val="22"/>
                <w:szCs w:val="22"/>
              </w:rPr>
              <w:t xml:space="preserve">  This ensures that </w:t>
            </w:r>
            <w:r w:rsidR="0067398F">
              <w:rPr>
                <w:rFonts w:asciiTheme="minorHAnsi" w:hAnsiTheme="minorHAnsi"/>
                <w:sz w:val="22"/>
                <w:szCs w:val="22"/>
              </w:rPr>
              <w:t xml:space="preserve">Cabinet, as the ultimate decision maker, is </w:t>
            </w:r>
            <w:r w:rsidR="00833341">
              <w:rPr>
                <w:rFonts w:asciiTheme="minorHAnsi" w:hAnsiTheme="minorHAnsi"/>
                <w:sz w:val="22"/>
                <w:szCs w:val="22"/>
              </w:rPr>
              <w:t>fully informed in this context</w:t>
            </w:r>
            <w:r w:rsidR="00895ECE">
              <w:rPr>
                <w:rFonts w:asciiTheme="minorHAnsi" w:hAnsiTheme="minorHAnsi"/>
                <w:sz w:val="22"/>
                <w:szCs w:val="22"/>
              </w:rPr>
              <w:t xml:space="preserve">. </w:t>
            </w:r>
          </w:p>
          <w:p w:rsidR="003259A0" w:rsidRDefault="003259A0" w:rsidP="003259A0">
            <w:pPr>
              <w:pStyle w:val="BodyText"/>
              <w:spacing w:before="0"/>
              <w:jc w:val="left"/>
              <w:rPr>
                <w:rFonts w:asciiTheme="minorHAnsi" w:hAnsiTheme="minorHAnsi"/>
                <w:sz w:val="22"/>
                <w:szCs w:val="22"/>
              </w:rPr>
            </w:pPr>
          </w:p>
          <w:p w:rsidR="00895ECE" w:rsidRDefault="00895ECE" w:rsidP="00895ECE">
            <w:pPr>
              <w:pStyle w:val="BodyText"/>
              <w:spacing w:before="0"/>
              <w:rPr>
                <w:rFonts w:asciiTheme="minorHAnsi" w:hAnsiTheme="minorHAnsi"/>
                <w:sz w:val="22"/>
                <w:szCs w:val="22"/>
              </w:rPr>
            </w:pPr>
            <w:r>
              <w:rPr>
                <w:rFonts w:asciiTheme="minorHAnsi" w:hAnsiTheme="minorHAnsi"/>
                <w:sz w:val="22"/>
                <w:szCs w:val="22"/>
              </w:rPr>
              <w:t xml:space="preserve">Furthermore as part of the Cabinet submission process </w:t>
            </w:r>
            <w:r w:rsidR="00833341">
              <w:rPr>
                <w:rFonts w:asciiTheme="minorHAnsi" w:hAnsiTheme="minorHAnsi"/>
                <w:sz w:val="22"/>
                <w:szCs w:val="22"/>
              </w:rPr>
              <w:t xml:space="preserve">central </w:t>
            </w:r>
            <w:r>
              <w:rPr>
                <w:rFonts w:asciiTheme="minorHAnsi" w:hAnsiTheme="minorHAnsi"/>
                <w:sz w:val="22"/>
                <w:szCs w:val="22"/>
              </w:rPr>
              <w:t xml:space="preserve">agencies </w:t>
            </w:r>
            <w:r w:rsidR="0021538A">
              <w:rPr>
                <w:rFonts w:asciiTheme="minorHAnsi" w:hAnsiTheme="minorHAnsi"/>
                <w:sz w:val="22"/>
                <w:szCs w:val="22"/>
              </w:rPr>
              <w:t xml:space="preserve">may </w:t>
            </w:r>
            <w:r>
              <w:rPr>
                <w:rFonts w:asciiTheme="minorHAnsi" w:hAnsiTheme="minorHAnsi"/>
                <w:sz w:val="22"/>
                <w:szCs w:val="22"/>
              </w:rPr>
              <w:t xml:space="preserve">review </w:t>
            </w:r>
            <w:r w:rsidR="0021538A">
              <w:rPr>
                <w:rFonts w:asciiTheme="minorHAnsi" w:hAnsiTheme="minorHAnsi"/>
                <w:sz w:val="22"/>
                <w:szCs w:val="22"/>
              </w:rPr>
              <w:t>and highlight to Cabinet</w:t>
            </w:r>
            <w:r>
              <w:rPr>
                <w:rFonts w:asciiTheme="minorHAnsi" w:hAnsiTheme="minorHAnsi"/>
                <w:sz w:val="22"/>
                <w:szCs w:val="22"/>
              </w:rPr>
              <w:t xml:space="preserve"> qualification</w:t>
            </w:r>
            <w:r w:rsidR="0021538A">
              <w:rPr>
                <w:rFonts w:asciiTheme="minorHAnsi" w:hAnsiTheme="minorHAnsi"/>
                <w:sz w:val="22"/>
                <w:szCs w:val="22"/>
              </w:rPr>
              <w:t>s</w:t>
            </w:r>
            <w:r>
              <w:rPr>
                <w:rFonts w:asciiTheme="minorHAnsi" w:hAnsiTheme="minorHAnsi"/>
                <w:sz w:val="22"/>
                <w:szCs w:val="22"/>
              </w:rPr>
              <w:t xml:space="preserve"> </w:t>
            </w:r>
            <w:r w:rsidR="00833341">
              <w:rPr>
                <w:rFonts w:asciiTheme="minorHAnsi" w:hAnsiTheme="minorHAnsi"/>
                <w:sz w:val="22"/>
                <w:szCs w:val="22"/>
              </w:rPr>
              <w:t xml:space="preserve">noted </w:t>
            </w:r>
            <w:r>
              <w:rPr>
                <w:rFonts w:asciiTheme="minorHAnsi" w:hAnsiTheme="minorHAnsi"/>
                <w:sz w:val="22"/>
                <w:szCs w:val="22"/>
              </w:rPr>
              <w:t xml:space="preserve">on the </w:t>
            </w:r>
            <w:proofErr w:type="spellStart"/>
            <w:r w:rsidR="0021538A">
              <w:rPr>
                <w:rFonts w:asciiTheme="minorHAnsi" w:hAnsiTheme="minorHAnsi"/>
                <w:sz w:val="22"/>
                <w:szCs w:val="22"/>
              </w:rPr>
              <w:t>RIS</w:t>
            </w:r>
            <w:proofErr w:type="spellEnd"/>
            <w:r w:rsidR="0021538A">
              <w:rPr>
                <w:rFonts w:asciiTheme="minorHAnsi" w:hAnsiTheme="minorHAnsi"/>
                <w:sz w:val="22"/>
                <w:szCs w:val="22"/>
              </w:rPr>
              <w:t xml:space="preserve"> C</w:t>
            </w:r>
            <w:r>
              <w:rPr>
                <w:rFonts w:asciiTheme="minorHAnsi" w:hAnsiTheme="minorHAnsi"/>
                <w:sz w:val="22"/>
                <w:szCs w:val="22"/>
              </w:rPr>
              <w:t xml:space="preserve">ertificate.  </w:t>
            </w:r>
          </w:p>
          <w:p w:rsidR="00746E12" w:rsidRDefault="00746E12" w:rsidP="00895ECE">
            <w:pPr>
              <w:pStyle w:val="BodyText"/>
              <w:spacing w:before="0"/>
              <w:rPr>
                <w:rFonts w:asciiTheme="minorHAnsi" w:hAnsiTheme="minorHAnsi"/>
                <w:sz w:val="22"/>
                <w:szCs w:val="22"/>
              </w:rPr>
            </w:pPr>
          </w:p>
          <w:p w:rsidR="00746E12" w:rsidRDefault="00746E12" w:rsidP="00895ECE">
            <w:pPr>
              <w:pStyle w:val="BodyText"/>
              <w:spacing w:before="0"/>
              <w:rPr>
                <w:rFonts w:asciiTheme="minorHAnsi" w:hAnsiTheme="minorHAnsi"/>
                <w:sz w:val="22"/>
                <w:szCs w:val="22"/>
              </w:rPr>
            </w:pPr>
          </w:p>
          <w:p w:rsidR="00746E12" w:rsidRDefault="00746E12" w:rsidP="00895ECE">
            <w:pPr>
              <w:pStyle w:val="BodyText"/>
              <w:spacing w:before="0"/>
              <w:rPr>
                <w:rFonts w:asciiTheme="minorHAnsi" w:hAnsiTheme="minorHAnsi"/>
                <w:sz w:val="22"/>
                <w:szCs w:val="22"/>
              </w:rPr>
            </w:pPr>
          </w:p>
          <w:p w:rsidR="00746E12" w:rsidRDefault="00746E12" w:rsidP="00895ECE">
            <w:pPr>
              <w:pStyle w:val="BodyText"/>
              <w:spacing w:before="0"/>
              <w:rPr>
                <w:rFonts w:asciiTheme="minorHAnsi" w:hAnsiTheme="minorHAnsi"/>
                <w:sz w:val="22"/>
                <w:szCs w:val="22"/>
              </w:rPr>
            </w:pPr>
          </w:p>
          <w:p w:rsidR="00746E12" w:rsidRDefault="00746E12" w:rsidP="00895ECE">
            <w:pPr>
              <w:pStyle w:val="BodyText"/>
              <w:spacing w:before="0"/>
              <w:rPr>
                <w:rFonts w:asciiTheme="minorHAnsi" w:hAnsiTheme="minorHAnsi"/>
                <w:sz w:val="22"/>
                <w:szCs w:val="22"/>
              </w:rPr>
            </w:pPr>
          </w:p>
          <w:p w:rsidR="00746E12" w:rsidRDefault="00746E12" w:rsidP="00895ECE">
            <w:pPr>
              <w:pStyle w:val="BodyText"/>
              <w:spacing w:before="0"/>
              <w:rPr>
                <w:rFonts w:asciiTheme="minorHAnsi" w:hAnsiTheme="minorHAnsi"/>
                <w:sz w:val="22"/>
                <w:szCs w:val="22"/>
              </w:rPr>
            </w:pPr>
          </w:p>
          <w:p w:rsidR="00A241AA" w:rsidRDefault="00A241AA" w:rsidP="00895ECE">
            <w:pPr>
              <w:pStyle w:val="BodyText"/>
              <w:spacing w:before="0"/>
              <w:rPr>
                <w:rFonts w:asciiTheme="minorHAnsi" w:hAnsiTheme="minorHAnsi"/>
                <w:sz w:val="22"/>
                <w:szCs w:val="22"/>
              </w:rPr>
            </w:pPr>
          </w:p>
        </w:tc>
      </w:tr>
      <w:tr w:rsidR="004E7E2D" w:rsidTr="00B84D6B">
        <w:tc>
          <w:tcPr>
            <w:tcW w:w="3080" w:type="dxa"/>
          </w:tcPr>
          <w:p w:rsidR="004E7E2D" w:rsidRPr="00CA4FE4" w:rsidRDefault="004E7E2D" w:rsidP="00F76919">
            <w:pPr>
              <w:pStyle w:val="BodyText"/>
              <w:spacing w:before="0"/>
              <w:jc w:val="left"/>
              <w:rPr>
                <w:rFonts w:asciiTheme="minorHAnsi" w:hAnsiTheme="minorHAnsi"/>
                <w:sz w:val="22"/>
                <w:szCs w:val="22"/>
              </w:rPr>
            </w:pPr>
            <w:r>
              <w:rPr>
                <w:rFonts w:asciiTheme="minorHAnsi" w:hAnsiTheme="minorHAnsi"/>
                <w:sz w:val="22"/>
                <w:szCs w:val="22"/>
              </w:rPr>
              <w:lastRenderedPageBreak/>
              <w:t>Page 124</w:t>
            </w:r>
          </w:p>
        </w:tc>
        <w:tc>
          <w:tcPr>
            <w:tcW w:w="3081" w:type="dxa"/>
          </w:tcPr>
          <w:p w:rsidR="004E7E2D" w:rsidRDefault="004E7E2D" w:rsidP="004B195D">
            <w:pPr>
              <w:pStyle w:val="BodyText"/>
              <w:spacing w:before="0"/>
              <w:jc w:val="left"/>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PIA</w:t>
            </w:r>
            <w:proofErr w:type="spellEnd"/>
            <w:r>
              <w:rPr>
                <w:rFonts w:asciiTheme="minorHAnsi" w:hAnsiTheme="minorHAnsi"/>
                <w:sz w:val="22"/>
                <w:szCs w:val="22"/>
              </w:rPr>
              <w:t xml:space="preserve"> is used to establish whether the proposal is likely </w:t>
            </w:r>
            <w:r>
              <w:rPr>
                <w:rFonts w:asciiTheme="minorHAnsi" w:hAnsiTheme="minorHAnsi"/>
                <w:sz w:val="22"/>
                <w:szCs w:val="22"/>
              </w:rPr>
              <w:lastRenderedPageBreak/>
              <w:t xml:space="preserve">to impact significantly on the community, and therefore whether a full </w:t>
            </w:r>
            <w:proofErr w:type="spellStart"/>
            <w:r>
              <w:rPr>
                <w:rFonts w:asciiTheme="minorHAnsi" w:hAnsiTheme="minorHAnsi"/>
                <w:sz w:val="22"/>
                <w:szCs w:val="22"/>
              </w:rPr>
              <w:t>RIS</w:t>
            </w:r>
            <w:proofErr w:type="spellEnd"/>
            <w:r>
              <w:rPr>
                <w:rFonts w:asciiTheme="minorHAnsi" w:hAnsiTheme="minorHAnsi"/>
                <w:sz w:val="22"/>
                <w:szCs w:val="22"/>
              </w:rPr>
              <w:t xml:space="preserve"> or exemption is warranted.</w:t>
            </w:r>
          </w:p>
          <w:p w:rsidR="00A81EFD" w:rsidRPr="00392089" w:rsidRDefault="00A81EFD" w:rsidP="00F76919">
            <w:pPr>
              <w:pStyle w:val="Default"/>
              <w:rPr>
                <w:rFonts w:asciiTheme="minorHAnsi" w:eastAsia="Times New Roman" w:hAnsiTheme="minorHAnsi"/>
                <w:color w:val="auto"/>
                <w:sz w:val="22"/>
                <w:szCs w:val="22"/>
                <w:lang w:eastAsia="en-AU"/>
              </w:rPr>
            </w:pPr>
          </w:p>
        </w:tc>
        <w:tc>
          <w:tcPr>
            <w:tcW w:w="3081" w:type="dxa"/>
          </w:tcPr>
          <w:p w:rsidR="004E7E2D" w:rsidRDefault="00FB3BB3" w:rsidP="008F476F">
            <w:pPr>
              <w:pStyle w:val="BodyText"/>
              <w:spacing w:before="0"/>
              <w:jc w:val="left"/>
              <w:rPr>
                <w:rFonts w:asciiTheme="minorHAnsi" w:hAnsiTheme="minorHAnsi"/>
                <w:sz w:val="22"/>
                <w:szCs w:val="22"/>
              </w:rPr>
            </w:pPr>
            <w:r>
              <w:rPr>
                <w:rFonts w:asciiTheme="minorHAnsi" w:hAnsiTheme="minorHAnsi"/>
                <w:sz w:val="22"/>
                <w:szCs w:val="22"/>
              </w:rPr>
              <w:lastRenderedPageBreak/>
              <w:t xml:space="preserve">The word exemption should be </w:t>
            </w:r>
            <w:r w:rsidR="008F476F">
              <w:rPr>
                <w:rFonts w:asciiTheme="minorHAnsi" w:hAnsiTheme="minorHAnsi"/>
                <w:sz w:val="22"/>
                <w:szCs w:val="22"/>
              </w:rPr>
              <w:t>qualified</w:t>
            </w:r>
            <w:r>
              <w:rPr>
                <w:rFonts w:asciiTheme="minorHAnsi" w:hAnsiTheme="minorHAnsi"/>
                <w:sz w:val="22"/>
                <w:szCs w:val="22"/>
              </w:rPr>
              <w:t xml:space="preserve">. </w:t>
            </w:r>
            <w:r w:rsidR="00816478">
              <w:rPr>
                <w:rFonts w:asciiTheme="minorHAnsi" w:hAnsiTheme="minorHAnsi"/>
                <w:sz w:val="22"/>
                <w:szCs w:val="22"/>
              </w:rPr>
              <w:t>D</w:t>
            </w:r>
            <w:r>
              <w:rPr>
                <w:rFonts w:asciiTheme="minorHAnsi" w:hAnsiTheme="minorHAnsi"/>
                <w:sz w:val="22"/>
                <w:szCs w:val="22"/>
              </w:rPr>
              <w:t xml:space="preserve">ifferent to </w:t>
            </w:r>
            <w:r w:rsidR="00816478">
              <w:rPr>
                <w:rFonts w:asciiTheme="minorHAnsi" w:hAnsiTheme="minorHAnsi"/>
                <w:sz w:val="22"/>
                <w:szCs w:val="22"/>
              </w:rPr>
              <w:t>‘</w:t>
            </w:r>
            <w:r>
              <w:rPr>
                <w:rFonts w:asciiTheme="minorHAnsi" w:hAnsiTheme="minorHAnsi"/>
                <w:sz w:val="22"/>
                <w:szCs w:val="22"/>
              </w:rPr>
              <w:t xml:space="preserve">an </w:t>
            </w:r>
            <w:r>
              <w:rPr>
                <w:rFonts w:asciiTheme="minorHAnsi" w:hAnsiTheme="minorHAnsi"/>
                <w:sz w:val="22"/>
                <w:szCs w:val="22"/>
              </w:rPr>
              <w:lastRenderedPageBreak/>
              <w:t xml:space="preserve">exemption from the </w:t>
            </w:r>
            <w:proofErr w:type="spellStart"/>
            <w:r>
              <w:rPr>
                <w:rFonts w:asciiTheme="minorHAnsi" w:hAnsiTheme="minorHAnsi"/>
                <w:sz w:val="22"/>
                <w:szCs w:val="22"/>
              </w:rPr>
              <w:t>RMF</w:t>
            </w:r>
            <w:proofErr w:type="spellEnd"/>
            <w:r>
              <w:rPr>
                <w:rFonts w:asciiTheme="minorHAnsi" w:hAnsiTheme="minorHAnsi"/>
                <w:sz w:val="22"/>
                <w:szCs w:val="22"/>
              </w:rPr>
              <w:t xml:space="preserve"> process</w:t>
            </w:r>
            <w:r w:rsidR="00816478">
              <w:rPr>
                <w:rFonts w:asciiTheme="minorHAnsi" w:hAnsiTheme="minorHAnsi"/>
                <w:sz w:val="22"/>
                <w:szCs w:val="22"/>
              </w:rPr>
              <w:t>’</w:t>
            </w:r>
            <w:r>
              <w:rPr>
                <w:rFonts w:asciiTheme="minorHAnsi" w:hAnsiTheme="minorHAnsi"/>
                <w:sz w:val="22"/>
                <w:szCs w:val="22"/>
              </w:rPr>
              <w:t>, the Regulation Impact Committee may determine that a further full Regulatory Impact Statement is not necessary.</w:t>
            </w:r>
          </w:p>
          <w:p w:rsidR="008F476F" w:rsidRDefault="008F476F" w:rsidP="00D56981">
            <w:pPr>
              <w:pStyle w:val="BodyText"/>
              <w:spacing w:before="0"/>
              <w:jc w:val="left"/>
              <w:rPr>
                <w:rFonts w:asciiTheme="minorHAnsi" w:hAnsiTheme="minorHAnsi"/>
                <w:sz w:val="22"/>
                <w:szCs w:val="22"/>
              </w:rPr>
            </w:pPr>
            <w:r>
              <w:rPr>
                <w:rFonts w:asciiTheme="minorHAnsi" w:hAnsiTheme="minorHAnsi"/>
                <w:sz w:val="22"/>
                <w:szCs w:val="22"/>
              </w:rPr>
              <w:t xml:space="preserve">Furthermore </w:t>
            </w:r>
            <w:r w:rsidR="00D56981">
              <w:rPr>
                <w:rFonts w:asciiTheme="minorHAnsi" w:hAnsiTheme="minorHAnsi"/>
                <w:sz w:val="22"/>
                <w:szCs w:val="22"/>
              </w:rPr>
              <w:t xml:space="preserve">a secondary </w:t>
            </w:r>
            <w:r>
              <w:rPr>
                <w:rFonts w:asciiTheme="minorHAnsi" w:hAnsiTheme="minorHAnsi"/>
                <w:sz w:val="22"/>
                <w:szCs w:val="22"/>
              </w:rPr>
              <w:t xml:space="preserve">function of the </w:t>
            </w:r>
            <w:proofErr w:type="spellStart"/>
            <w:r>
              <w:rPr>
                <w:rFonts w:asciiTheme="minorHAnsi" w:hAnsiTheme="minorHAnsi"/>
                <w:sz w:val="22"/>
                <w:szCs w:val="22"/>
              </w:rPr>
              <w:t>PRIS</w:t>
            </w:r>
            <w:proofErr w:type="spellEnd"/>
            <w:r>
              <w:rPr>
                <w:rFonts w:asciiTheme="minorHAnsi" w:hAnsiTheme="minorHAnsi"/>
                <w:sz w:val="22"/>
                <w:szCs w:val="22"/>
              </w:rPr>
              <w:t xml:space="preserve"> process is for early policy consideration</w:t>
            </w:r>
            <w:r w:rsidR="00495BC5">
              <w:rPr>
                <w:rFonts w:asciiTheme="minorHAnsi" w:hAnsiTheme="minorHAnsi"/>
                <w:sz w:val="22"/>
                <w:szCs w:val="22"/>
              </w:rPr>
              <w:t xml:space="preserve"> to take place</w:t>
            </w:r>
            <w:r>
              <w:rPr>
                <w:rFonts w:asciiTheme="minorHAnsi" w:hAnsiTheme="minorHAnsi"/>
                <w:sz w:val="22"/>
                <w:szCs w:val="22"/>
              </w:rPr>
              <w:t xml:space="preserve">. </w:t>
            </w:r>
          </w:p>
        </w:tc>
      </w:tr>
      <w:tr w:rsidR="00895ECE" w:rsidTr="00B84D6B">
        <w:tc>
          <w:tcPr>
            <w:tcW w:w="3080" w:type="dxa"/>
          </w:tcPr>
          <w:p w:rsidR="00895ECE" w:rsidRDefault="00895ECE" w:rsidP="00F76919">
            <w:pPr>
              <w:pStyle w:val="BodyText"/>
              <w:spacing w:before="0"/>
              <w:jc w:val="left"/>
              <w:rPr>
                <w:rFonts w:asciiTheme="minorHAnsi" w:hAnsiTheme="minorHAnsi"/>
                <w:sz w:val="22"/>
                <w:szCs w:val="22"/>
              </w:rPr>
            </w:pPr>
            <w:r w:rsidRPr="00CA4FE4">
              <w:rPr>
                <w:rFonts w:asciiTheme="minorHAnsi" w:hAnsiTheme="minorHAnsi"/>
                <w:sz w:val="22"/>
                <w:szCs w:val="22"/>
              </w:rPr>
              <w:lastRenderedPageBreak/>
              <w:t>Page 136</w:t>
            </w:r>
            <w:r>
              <w:rPr>
                <w:rFonts w:asciiTheme="minorHAnsi" w:hAnsiTheme="minorHAnsi"/>
                <w:sz w:val="22"/>
                <w:szCs w:val="22"/>
              </w:rPr>
              <w:t>: Categories of Exceptions</w:t>
            </w:r>
          </w:p>
        </w:tc>
        <w:tc>
          <w:tcPr>
            <w:tcW w:w="3081" w:type="dxa"/>
          </w:tcPr>
          <w:p w:rsidR="00895ECE" w:rsidRDefault="00895ECE" w:rsidP="00F76919">
            <w:pPr>
              <w:pStyle w:val="BodyText"/>
              <w:spacing w:before="0"/>
              <w:jc w:val="left"/>
              <w:rPr>
                <w:rFonts w:asciiTheme="minorHAnsi" w:hAnsiTheme="minorHAnsi"/>
                <w:sz w:val="22"/>
                <w:szCs w:val="22"/>
              </w:rPr>
            </w:pPr>
            <w:r w:rsidRPr="00392089">
              <w:rPr>
                <w:rFonts w:asciiTheme="minorHAnsi" w:hAnsiTheme="minorHAnsi"/>
                <w:sz w:val="22"/>
                <w:szCs w:val="22"/>
              </w:rPr>
              <w:t>In the Northern Territory, specific exception categories are not identified, but the exceptions are granted on a case-by-case basis at the discretion of the Regulation Impact Committee.</w:t>
            </w:r>
          </w:p>
        </w:tc>
        <w:tc>
          <w:tcPr>
            <w:tcW w:w="3081" w:type="dxa"/>
          </w:tcPr>
          <w:p w:rsidR="00833DDD" w:rsidRDefault="00895ECE" w:rsidP="00833DDD">
            <w:pPr>
              <w:pStyle w:val="BodyText"/>
              <w:spacing w:before="0"/>
              <w:jc w:val="left"/>
              <w:rPr>
                <w:rFonts w:asciiTheme="minorHAnsi" w:hAnsiTheme="minorHAnsi"/>
                <w:sz w:val="22"/>
                <w:szCs w:val="22"/>
              </w:rPr>
            </w:pPr>
            <w:r>
              <w:rPr>
                <w:rFonts w:asciiTheme="minorHAnsi" w:hAnsiTheme="minorHAnsi"/>
                <w:sz w:val="22"/>
                <w:szCs w:val="22"/>
              </w:rPr>
              <w:t>A mentioned above, we do not have any</w:t>
            </w:r>
            <w:r w:rsidR="00AA2A33">
              <w:rPr>
                <w:rFonts w:asciiTheme="minorHAnsi" w:hAnsiTheme="minorHAnsi"/>
                <w:sz w:val="22"/>
                <w:szCs w:val="22"/>
              </w:rPr>
              <w:t xml:space="preserve"> </w:t>
            </w:r>
            <w:r>
              <w:rPr>
                <w:rFonts w:asciiTheme="minorHAnsi" w:hAnsiTheme="minorHAnsi"/>
                <w:sz w:val="22"/>
                <w:szCs w:val="22"/>
              </w:rPr>
              <w:t>exe</w:t>
            </w:r>
            <w:r w:rsidRPr="00DB5646">
              <w:rPr>
                <w:rFonts w:asciiTheme="minorHAnsi" w:hAnsiTheme="minorHAnsi"/>
                <w:sz w:val="22"/>
                <w:szCs w:val="22"/>
              </w:rPr>
              <w:t>mptions</w:t>
            </w:r>
            <w:r w:rsidR="00AA2A33">
              <w:rPr>
                <w:rFonts w:asciiTheme="minorHAnsi" w:hAnsiTheme="minorHAnsi"/>
                <w:sz w:val="22"/>
                <w:szCs w:val="22"/>
              </w:rPr>
              <w:t xml:space="preserve"> or </w:t>
            </w:r>
            <w:r w:rsidRPr="00DB5646">
              <w:rPr>
                <w:rFonts w:asciiTheme="minorHAnsi" w:hAnsiTheme="minorHAnsi"/>
                <w:sz w:val="22"/>
                <w:szCs w:val="22"/>
              </w:rPr>
              <w:t xml:space="preserve">exceptions </w:t>
            </w:r>
            <w:r>
              <w:rPr>
                <w:rFonts w:asciiTheme="minorHAnsi" w:hAnsiTheme="minorHAnsi"/>
                <w:sz w:val="22"/>
                <w:szCs w:val="22"/>
              </w:rPr>
              <w:t xml:space="preserve">from the </w:t>
            </w:r>
            <w:proofErr w:type="spellStart"/>
            <w:r>
              <w:rPr>
                <w:rFonts w:asciiTheme="minorHAnsi" w:hAnsiTheme="minorHAnsi"/>
                <w:sz w:val="22"/>
                <w:szCs w:val="22"/>
              </w:rPr>
              <w:t>RMF</w:t>
            </w:r>
            <w:proofErr w:type="spellEnd"/>
            <w:r>
              <w:rPr>
                <w:rFonts w:asciiTheme="minorHAnsi" w:hAnsiTheme="minorHAnsi"/>
                <w:sz w:val="22"/>
                <w:szCs w:val="22"/>
              </w:rPr>
              <w:t xml:space="preserve"> process </w:t>
            </w:r>
            <w:r w:rsidRPr="00DB5646">
              <w:rPr>
                <w:rFonts w:asciiTheme="minorHAnsi" w:hAnsiTheme="minorHAnsi"/>
                <w:sz w:val="22"/>
                <w:szCs w:val="22"/>
              </w:rPr>
              <w:t>apart from budget and tax measures.</w:t>
            </w:r>
            <w:r w:rsidR="00833DDD">
              <w:rPr>
                <w:rFonts w:asciiTheme="minorHAnsi" w:hAnsiTheme="minorHAnsi"/>
                <w:sz w:val="22"/>
                <w:szCs w:val="22"/>
              </w:rPr>
              <w:t xml:space="preserve">  However, based on the assessment of impacts and the level of analysis contained in the Preliminary Regulation Impact Analysis, the Regulation Impact Committee may determine that a further full Regulatory Impact Statement is not necessary.</w:t>
            </w:r>
          </w:p>
          <w:p w:rsidR="00A767F3" w:rsidRPr="00544114" w:rsidRDefault="00A767F3" w:rsidP="00833DDD">
            <w:pPr>
              <w:pStyle w:val="BodyText"/>
              <w:spacing w:before="0"/>
              <w:jc w:val="left"/>
              <w:rPr>
                <w:rFonts w:asciiTheme="minorHAnsi" w:hAnsiTheme="minorHAnsi"/>
                <w:sz w:val="22"/>
                <w:szCs w:val="22"/>
              </w:rPr>
            </w:pPr>
          </w:p>
        </w:tc>
      </w:tr>
      <w:tr w:rsidR="004B195D" w:rsidTr="00B84D6B">
        <w:tc>
          <w:tcPr>
            <w:tcW w:w="3080" w:type="dxa"/>
          </w:tcPr>
          <w:p w:rsidR="004B195D" w:rsidRPr="00CA4FE4" w:rsidRDefault="004B195D" w:rsidP="00F76919">
            <w:pPr>
              <w:pStyle w:val="BodyText"/>
              <w:spacing w:before="0"/>
              <w:jc w:val="left"/>
              <w:rPr>
                <w:rFonts w:asciiTheme="minorHAnsi" w:hAnsiTheme="minorHAnsi"/>
                <w:sz w:val="22"/>
                <w:szCs w:val="22"/>
              </w:rPr>
            </w:pPr>
            <w:r>
              <w:rPr>
                <w:rFonts w:asciiTheme="minorHAnsi" w:hAnsiTheme="minorHAnsi"/>
                <w:sz w:val="22"/>
                <w:szCs w:val="22"/>
              </w:rPr>
              <w:t>Page 137</w:t>
            </w:r>
            <w:r w:rsidR="00E85DB6">
              <w:rPr>
                <w:rFonts w:asciiTheme="minorHAnsi" w:hAnsiTheme="minorHAnsi"/>
                <w:sz w:val="22"/>
                <w:szCs w:val="22"/>
              </w:rPr>
              <w:t xml:space="preserve"> Table 5.1 </w:t>
            </w:r>
            <w:r>
              <w:rPr>
                <w:rFonts w:asciiTheme="minorHAnsi" w:hAnsiTheme="minorHAnsi"/>
                <w:sz w:val="22"/>
                <w:szCs w:val="22"/>
              </w:rPr>
              <w:t xml:space="preserve">: Exceptions to state and territory </w:t>
            </w:r>
            <w:proofErr w:type="spellStart"/>
            <w:r>
              <w:rPr>
                <w:rFonts w:asciiTheme="minorHAnsi" w:hAnsiTheme="minorHAnsi"/>
                <w:sz w:val="22"/>
                <w:szCs w:val="22"/>
              </w:rPr>
              <w:t>RIA</w:t>
            </w:r>
            <w:proofErr w:type="spellEnd"/>
          </w:p>
        </w:tc>
        <w:tc>
          <w:tcPr>
            <w:tcW w:w="3081" w:type="dxa"/>
          </w:tcPr>
          <w:p w:rsidR="004B195D" w:rsidRPr="00392089" w:rsidRDefault="004B195D" w:rsidP="00F76919">
            <w:pPr>
              <w:pStyle w:val="BodyText"/>
              <w:spacing w:before="0"/>
              <w:jc w:val="left"/>
              <w:rPr>
                <w:rFonts w:asciiTheme="minorHAnsi" w:hAnsiTheme="minorHAnsi"/>
                <w:sz w:val="22"/>
                <w:szCs w:val="22"/>
              </w:rPr>
            </w:pPr>
            <w:r>
              <w:rPr>
                <w:rFonts w:asciiTheme="minorHAnsi" w:hAnsiTheme="minorHAnsi"/>
                <w:sz w:val="22"/>
                <w:szCs w:val="22"/>
              </w:rPr>
              <w:t>NT’s column is labelled as unknown</w:t>
            </w:r>
          </w:p>
        </w:tc>
        <w:tc>
          <w:tcPr>
            <w:tcW w:w="3081" w:type="dxa"/>
          </w:tcPr>
          <w:p w:rsidR="004B195D" w:rsidRDefault="006C2273" w:rsidP="006C2273">
            <w:pPr>
              <w:pStyle w:val="BodyText"/>
              <w:spacing w:before="0"/>
              <w:jc w:val="left"/>
              <w:rPr>
                <w:rFonts w:asciiTheme="minorHAnsi" w:hAnsiTheme="minorHAnsi"/>
                <w:sz w:val="22"/>
                <w:szCs w:val="22"/>
              </w:rPr>
            </w:pPr>
            <w:r>
              <w:rPr>
                <w:rFonts w:asciiTheme="minorHAnsi" w:hAnsiTheme="minorHAnsi"/>
                <w:sz w:val="22"/>
                <w:szCs w:val="22"/>
              </w:rPr>
              <w:t>There should be a tick</w:t>
            </w:r>
            <w:r w:rsidR="004B195D">
              <w:rPr>
                <w:rFonts w:asciiTheme="minorHAnsi" w:hAnsiTheme="minorHAnsi"/>
                <w:sz w:val="22"/>
                <w:szCs w:val="22"/>
              </w:rPr>
              <w:t xml:space="preserve"> for taxation ( an exemption from the </w:t>
            </w:r>
            <w:proofErr w:type="spellStart"/>
            <w:r w:rsidR="004B195D">
              <w:rPr>
                <w:rFonts w:asciiTheme="minorHAnsi" w:hAnsiTheme="minorHAnsi"/>
                <w:sz w:val="22"/>
                <w:szCs w:val="22"/>
              </w:rPr>
              <w:t>RIA</w:t>
            </w:r>
            <w:proofErr w:type="spellEnd"/>
            <w:r w:rsidR="004B195D">
              <w:rPr>
                <w:rFonts w:asciiTheme="minorHAnsi" w:hAnsiTheme="minorHAnsi"/>
                <w:sz w:val="22"/>
                <w:szCs w:val="22"/>
              </w:rPr>
              <w:t xml:space="preserve"> process) and </w:t>
            </w:r>
            <w:r>
              <w:rPr>
                <w:rFonts w:asciiTheme="minorHAnsi" w:hAnsiTheme="minorHAnsi"/>
                <w:sz w:val="22"/>
                <w:szCs w:val="22"/>
              </w:rPr>
              <w:t>crosses</w:t>
            </w:r>
            <w:r w:rsidR="004B195D">
              <w:rPr>
                <w:rFonts w:asciiTheme="minorHAnsi" w:hAnsiTheme="minorHAnsi"/>
                <w:sz w:val="22"/>
                <w:szCs w:val="22"/>
              </w:rPr>
              <w:t xml:space="preserve"> for the remainder categories.</w:t>
            </w:r>
          </w:p>
          <w:p w:rsidR="00746E12" w:rsidRDefault="00746E12" w:rsidP="006C2273">
            <w:pPr>
              <w:pStyle w:val="BodyText"/>
              <w:spacing w:before="0"/>
              <w:jc w:val="left"/>
              <w:rPr>
                <w:rFonts w:asciiTheme="minorHAnsi" w:hAnsiTheme="minorHAnsi"/>
                <w:sz w:val="22"/>
                <w:szCs w:val="22"/>
              </w:rPr>
            </w:pPr>
          </w:p>
        </w:tc>
      </w:tr>
      <w:tr w:rsidR="00895ECE" w:rsidTr="00B84D6B">
        <w:tc>
          <w:tcPr>
            <w:tcW w:w="3080" w:type="dxa"/>
          </w:tcPr>
          <w:p w:rsidR="00895ECE" w:rsidRDefault="00895ECE" w:rsidP="00F76919">
            <w:pPr>
              <w:pStyle w:val="BodyText"/>
              <w:spacing w:before="0"/>
              <w:jc w:val="left"/>
              <w:rPr>
                <w:rFonts w:asciiTheme="minorHAnsi" w:hAnsiTheme="minorHAnsi"/>
                <w:sz w:val="22"/>
                <w:szCs w:val="22"/>
              </w:rPr>
            </w:pPr>
            <w:r>
              <w:rPr>
                <w:rFonts w:asciiTheme="minorHAnsi" w:hAnsiTheme="minorHAnsi"/>
                <w:sz w:val="22"/>
                <w:szCs w:val="22"/>
              </w:rPr>
              <w:t>Page 139: Categories of Exceptions</w:t>
            </w:r>
          </w:p>
        </w:tc>
        <w:tc>
          <w:tcPr>
            <w:tcW w:w="3081" w:type="dxa"/>
          </w:tcPr>
          <w:p w:rsidR="000C11D8" w:rsidRDefault="00895ECE" w:rsidP="00F76919">
            <w:pPr>
              <w:pStyle w:val="BodyText"/>
              <w:spacing w:before="0"/>
              <w:jc w:val="left"/>
              <w:rPr>
                <w:rFonts w:asciiTheme="minorHAnsi" w:hAnsiTheme="minorHAnsi"/>
                <w:sz w:val="22"/>
                <w:szCs w:val="22"/>
              </w:rPr>
            </w:pPr>
            <w:r w:rsidRPr="00A607FE">
              <w:rPr>
                <w:rFonts w:asciiTheme="minorHAnsi" w:hAnsiTheme="minorHAnsi"/>
                <w:sz w:val="22"/>
                <w:szCs w:val="22"/>
              </w:rPr>
              <w:t xml:space="preserve">In this regard, the Commission notes that the Northern Territory </w:t>
            </w:r>
            <w:proofErr w:type="spellStart"/>
            <w:r w:rsidRPr="00A607FE">
              <w:rPr>
                <w:rFonts w:asciiTheme="minorHAnsi" w:hAnsiTheme="minorHAnsi"/>
                <w:sz w:val="22"/>
                <w:szCs w:val="22"/>
              </w:rPr>
              <w:t>RIA</w:t>
            </w:r>
            <w:proofErr w:type="spellEnd"/>
            <w:r w:rsidRPr="00A607FE">
              <w:rPr>
                <w:rFonts w:asciiTheme="minorHAnsi" w:hAnsiTheme="minorHAnsi"/>
                <w:sz w:val="22"/>
                <w:szCs w:val="22"/>
              </w:rPr>
              <w:t xml:space="preserve"> system provides the Regulation Impact Committee with a very high level of discretion in the determination of exceptions.</w:t>
            </w:r>
          </w:p>
          <w:p w:rsidR="000C11D8" w:rsidRDefault="000C11D8" w:rsidP="00F76919">
            <w:pPr>
              <w:pStyle w:val="BodyText"/>
              <w:spacing w:before="0"/>
              <w:jc w:val="left"/>
              <w:rPr>
                <w:rFonts w:asciiTheme="minorHAnsi" w:hAnsiTheme="minorHAnsi"/>
                <w:sz w:val="22"/>
                <w:szCs w:val="22"/>
              </w:rPr>
            </w:pPr>
          </w:p>
          <w:p w:rsidR="000C11D8" w:rsidRDefault="000C11D8" w:rsidP="00F76919">
            <w:pPr>
              <w:pStyle w:val="BodyText"/>
              <w:spacing w:before="0"/>
              <w:jc w:val="left"/>
              <w:rPr>
                <w:rFonts w:asciiTheme="minorHAnsi" w:hAnsiTheme="minorHAnsi"/>
                <w:sz w:val="22"/>
                <w:szCs w:val="22"/>
              </w:rPr>
            </w:pPr>
          </w:p>
          <w:p w:rsidR="000C11D8" w:rsidRDefault="000C11D8" w:rsidP="00F76919">
            <w:pPr>
              <w:pStyle w:val="BodyText"/>
              <w:spacing w:before="0"/>
              <w:jc w:val="left"/>
              <w:rPr>
                <w:rFonts w:asciiTheme="minorHAnsi" w:hAnsiTheme="minorHAnsi"/>
                <w:sz w:val="22"/>
                <w:szCs w:val="22"/>
              </w:rPr>
            </w:pPr>
          </w:p>
          <w:p w:rsidR="000C11D8" w:rsidRDefault="000C11D8" w:rsidP="00F76919">
            <w:pPr>
              <w:pStyle w:val="BodyText"/>
              <w:spacing w:before="0"/>
              <w:jc w:val="left"/>
              <w:rPr>
                <w:rFonts w:asciiTheme="minorHAnsi" w:hAnsiTheme="minorHAnsi"/>
                <w:sz w:val="22"/>
                <w:szCs w:val="22"/>
              </w:rPr>
            </w:pPr>
          </w:p>
          <w:p w:rsidR="000C11D8" w:rsidRDefault="000C11D8" w:rsidP="00F76919">
            <w:pPr>
              <w:pStyle w:val="BodyText"/>
              <w:spacing w:before="0"/>
              <w:jc w:val="left"/>
              <w:rPr>
                <w:rFonts w:asciiTheme="minorHAnsi" w:hAnsiTheme="minorHAnsi"/>
                <w:sz w:val="22"/>
                <w:szCs w:val="22"/>
              </w:rPr>
            </w:pPr>
          </w:p>
          <w:p w:rsidR="00A767F3" w:rsidRDefault="00A767F3" w:rsidP="00F76919">
            <w:pPr>
              <w:pStyle w:val="BodyText"/>
              <w:spacing w:before="0"/>
              <w:jc w:val="left"/>
              <w:rPr>
                <w:rFonts w:asciiTheme="minorHAnsi" w:hAnsiTheme="minorHAnsi"/>
                <w:sz w:val="22"/>
                <w:szCs w:val="22"/>
              </w:rPr>
            </w:pPr>
          </w:p>
        </w:tc>
        <w:tc>
          <w:tcPr>
            <w:tcW w:w="3081" w:type="dxa"/>
          </w:tcPr>
          <w:p w:rsidR="00895ECE" w:rsidRDefault="00895ECE" w:rsidP="00F76919">
            <w:pPr>
              <w:pStyle w:val="BodyText"/>
              <w:spacing w:before="0"/>
              <w:jc w:val="left"/>
              <w:rPr>
                <w:rFonts w:asciiTheme="minorHAnsi" w:hAnsiTheme="minorHAnsi"/>
                <w:sz w:val="22"/>
                <w:szCs w:val="22"/>
              </w:rPr>
            </w:pPr>
            <w:r>
              <w:rPr>
                <w:rFonts w:asciiTheme="minorHAnsi" w:hAnsiTheme="minorHAnsi"/>
                <w:sz w:val="22"/>
                <w:szCs w:val="22"/>
              </w:rPr>
              <w:t>Same comment as above</w:t>
            </w:r>
          </w:p>
          <w:p w:rsidR="00895ECE" w:rsidRDefault="00895ECE" w:rsidP="00F76919">
            <w:pPr>
              <w:pStyle w:val="BodyText"/>
              <w:spacing w:before="0"/>
              <w:jc w:val="left"/>
              <w:rPr>
                <w:rFonts w:asciiTheme="minorHAnsi" w:hAnsiTheme="minorHAnsi"/>
                <w:sz w:val="22"/>
                <w:szCs w:val="22"/>
              </w:rPr>
            </w:pPr>
          </w:p>
          <w:p w:rsidR="00895ECE" w:rsidRDefault="00895ECE" w:rsidP="00F76919">
            <w:pPr>
              <w:pStyle w:val="BodyText"/>
              <w:spacing w:before="0"/>
              <w:jc w:val="left"/>
              <w:rPr>
                <w:rFonts w:asciiTheme="minorHAnsi" w:hAnsiTheme="minorHAnsi"/>
                <w:sz w:val="22"/>
                <w:szCs w:val="22"/>
              </w:rPr>
            </w:pPr>
          </w:p>
        </w:tc>
      </w:tr>
      <w:tr w:rsidR="00895ECE" w:rsidTr="00B84D6B">
        <w:tc>
          <w:tcPr>
            <w:tcW w:w="3080" w:type="dxa"/>
          </w:tcPr>
          <w:p w:rsidR="00895ECE" w:rsidRDefault="00895ECE" w:rsidP="00C56DEA">
            <w:pPr>
              <w:pStyle w:val="BodyText"/>
              <w:spacing w:before="0"/>
              <w:rPr>
                <w:rFonts w:asciiTheme="minorHAnsi" w:hAnsiTheme="minorHAnsi"/>
                <w:sz w:val="22"/>
                <w:szCs w:val="22"/>
              </w:rPr>
            </w:pPr>
            <w:r>
              <w:rPr>
                <w:rFonts w:asciiTheme="minorHAnsi" w:hAnsiTheme="minorHAnsi"/>
                <w:sz w:val="22"/>
                <w:szCs w:val="22"/>
              </w:rPr>
              <w:t>Page 140: Proposals that have been subjected to prior analysis</w:t>
            </w:r>
          </w:p>
          <w:p w:rsidR="00895ECE" w:rsidRDefault="00895ECE" w:rsidP="00C56DEA">
            <w:pPr>
              <w:pStyle w:val="BodyText"/>
              <w:spacing w:before="0"/>
              <w:rPr>
                <w:rFonts w:asciiTheme="minorHAnsi" w:hAnsiTheme="minorHAnsi"/>
                <w:sz w:val="22"/>
                <w:szCs w:val="22"/>
              </w:rPr>
            </w:pPr>
            <w:r>
              <w:rPr>
                <w:rFonts w:asciiTheme="minorHAnsi" w:hAnsiTheme="minorHAnsi"/>
                <w:sz w:val="22"/>
                <w:szCs w:val="22"/>
              </w:rPr>
              <w:lastRenderedPageBreak/>
              <w:t>(see also page 141)</w:t>
            </w:r>
          </w:p>
        </w:tc>
        <w:tc>
          <w:tcPr>
            <w:tcW w:w="3081" w:type="dxa"/>
          </w:tcPr>
          <w:p w:rsidR="00895ECE" w:rsidRPr="00E61ADE" w:rsidRDefault="00895ECE" w:rsidP="00F76919">
            <w:pPr>
              <w:pStyle w:val="Default"/>
              <w:rPr>
                <w:rFonts w:asciiTheme="minorHAnsi" w:eastAsia="Times New Roman" w:hAnsiTheme="minorHAnsi"/>
                <w:color w:val="auto"/>
                <w:sz w:val="22"/>
                <w:szCs w:val="22"/>
                <w:lang w:eastAsia="en-AU"/>
              </w:rPr>
            </w:pPr>
            <w:r w:rsidRPr="00E61ADE">
              <w:rPr>
                <w:rFonts w:asciiTheme="minorHAnsi" w:eastAsia="Times New Roman" w:hAnsiTheme="minorHAnsi"/>
                <w:color w:val="auto"/>
                <w:sz w:val="22"/>
                <w:szCs w:val="22"/>
                <w:lang w:eastAsia="en-AU"/>
              </w:rPr>
              <w:lastRenderedPageBreak/>
              <w:t xml:space="preserve">In certain cases, the </w:t>
            </w:r>
            <w:proofErr w:type="spellStart"/>
            <w:r w:rsidRPr="00E61ADE">
              <w:rPr>
                <w:rFonts w:asciiTheme="minorHAnsi" w:eastAsia="Times New Roman" w:hAnsiTheme="minorHAnsi"/>
                <w:color w:val="auto"/>
                <w:sz w:val="22"/>
                <w:szCs w:val="22"/>
                <w:lang w:eastAsia="en-AU"/>
              </w:rPr>
              <w:t>RIA</w:t>
            </w:r>
            <w:proofErr w:type="spellEnd"/>
            <w:r w:rsidRPr="00E61ADE">
              <w:rPr>
                <w:rFonts w:asciiTheme="minorHAnsi" w:eastAsia="Times New Roman" w:hAnsiTheme="minorHAnsi"/>
                <w:color w:val="auto"/>
                <w:sz w:val="22"/>
                <w:szCs w:val="22"/>
                <w:lang w:eastAsia="en-AU"/>
              </w:rPr>
              <w:t xml:space="preserve"> process may have effectively been </w:t>
            </w:r>
            <w:r w:rsidRPr="00E61ADE">
              <w:rPr>
                <w:rFonts w:asciiTheme="minorHAnsi" w:eastAsia="Times New Roman" w:hAnsiTheme="minorHAnsi"/>
                <w:color w:val="auto"/>
                <w:sz w:val="22"/>
                <w:szCs w:val="22"/>
                <w:lang w:eastAsia="en-AU"/>
              </w:rPr>
              <w:lastRenderedPageBreak/>
              <w:t xml:space="preserve">satisfied through earlier policy development processes, but as discussed above there is often a lack of clarity in guidance material around the type of assessment that would be deemed sufficient in order for a regulatory proposal to avoid </w:t>
            </w:r>
            <w:proofErr w:type="spellStart"/>
            <w:r w:rsidRPr="00E61ADE">
              <w:rPr>
                <w:rFonts w:asciiTheme="minorHAnsi" w:eastAsia="Times New Roman" w:hAnsiTheme="minorHAnsi"/>
                <w:color w:val="auto"/>
                <w:sz w:val="22"/>
                <w:szCs w:val="22"/>
                <w:lang w:eastAsia="en-AU"/>
              </w:rPr>
              <w:t>RIA</w:t>
            </w:r>
            <w:proofErr w:type="spellEnd"/>
            <w:r w:rsidRPr="00E61ADE">
              <w:rPr>
                <w:rFonts w:asciiTheme="minorHAnsi" w:eastAsia="Times New Roman" w:hAnsiTheme="minorHAnsi"/>
                <w:color w:val="auto"/>
                <w:sz w:val="22"/>
                <w:szCs w:val="22"/>
                <w:lang w:eastAsia="en-AU"/>
              </w:rPr>
              <w:t xml:space="preserve">. For example, the Northern Territory guidance material states only that: </w:t>
            </w:r>
          </w:p>
          <w:p w:rsidR="00895ECE" w:rsidRPr="00E61ADE" w:rsidRDefault="00895ECE" w:rsidP="00E61ADE">
            <w:pPr>
              <w:pStyle w:val="BodyText"/>
              <w:spacing w:before="0"/>
              <w:jc w:val="left"/>
              <w:rPr>
                <w:rFonts w:asciiTheme="minorHAnsi" w:hAnsiTheme="minorHAnsi"/>
                <w:sz w:val="18"/>
                <w:szCs w:val="18"/>
              </w:rPr>
            </w:pPr>
            <w:r w:rsidRPr="00E61ADE">
              <w:rPr>
                <w:sz w:val="18"/>
                <w:szCs w:val="18"/>
              </w:rPr>
              <w:t xml:space="preserve">… preparation of a </w:t>
            </w:r>
            <w:proofErr w:type="spellStart"/>
            <w:r w:rsidRPr="00E61ADE">
              <w:rPr>
                <w:sz w:val="18"/>
                <w:szCs w:val="18"/>
              </w:rPr>
              <w:t>RIS</w:t>
            </w:r>
            <w:proofErr w:type="spellEnd"/>
            <w:r w:rsidRPr="00E61ADE">
              <w:rPr>
                <w:sz w:val="18"/>
                <w:szCs w:val="18"/>
              </w:rPr>
              <w:t xml:space="preserve"> may not be appropriate for particular types of regulatory proposals … because a sufficient level of relevant analysis has already been undertaken through other </w:t>
            </w:r>
            <w:proofErr w:type="spellStart"/>
            <w:r w:rsidRPr="00E61ADE">
              <w:rPr>
                <w:sz w:val="18"/>
                <w:szCs w:val="18"/>
              </w:rPr>
              <w:t>fora</w:t>
            </w:r>
            <w:proofErr w:type="spellEnd"/>
            <w:r w:rsidRPr="00E61ADE">
              <w:rPr>
                <w:sz w:val="18"/>
                <w:szCs w:val="18"/>
              </w:rPr>
              <w:t>. (Northern Territory Government 2007, p. 16)</w:t>
            </w:r>
          </w:p>
        </w:tc>
        <w:tc>
          <w:tcPr>
            <w:tcW w:w="3081" w:type="dxa"/>
          </w:tcPr>
          <w:p w:rsidR="003966C1" w:rsidRDefault="00895ECE" w:rsidP="00865DB7">
            <w:pPr>
              <w:pStyle w:val="BodyText"/>
              <w:spacing w:before="0"/>
              <w:jc w:val="left"/>
              <w:rPr>
                <w:rFonts w:asciiTheme="minorHAnsi" w:hAnsiTheme="minorHAnsi"/>
                <w:sz w:val="22"/>
                <w:szCs w:val="22"/>
              </w:rPr>
            </w:pPr>
            <w:r>
              <w:rPr>
                <w:rFonts w:asciiTheme="minorHAnsi" w:hAnsiTheme="minorHAnsi"/>
                <w:sz w:val="22"/>
                <w:szCs w:val="22"/>
              </w:rPr>
              <w:lastRenderedPageBreak/>
              <w:t>This quote from our guidelines is referring to national reforms</w:t>
            </w:r>
            <w:r w:rsidR="00AA2A33">
              <w:rPr>
                <w:rFonts w:asciiTheme="minorHAnsi" w:hAnsiTheme="minorHAnsi"/>
                <w:sz w:val="22"/>
                <w:szCs w:val="22"/>
              </w:rPr>
              <w:t xml:space="preserve"> </w:t>
            </w:r>
            <w:r w:rsidR="00AA2A33">
              <w:rPr>
                <w:rFonts w:asciiTheme="minorHAnsi" w:hAnsiTheme="minorHAnsi"/>
                <w:sz w:val="22"/>
                <w:szCs w:val="22"/>
              </w:rPr>
              <w:lastRenderedPageBreak/>
              <w:t xml:space="preserve">that are subject to the </w:t>
            </w:r>
            <w:r w:rsidR="00865DB7">
              <w:rPr>
                <w:rFonts w:asciiTheme="minorHAnsi" w:hAnsiTheme="minorHAnsi"/>
                <w:sz w:val="22"/>
                <w:szCs w:val="22"/>
              </w:rPr>
              <w:t xml:space="preserve">requirements of the </w:t>
            </w:r>
            <w:r w:rsidR="003259A0" w:rsidRPr="003259A0">
              <w:rPr>
                <w:rFonts w:asciiTheme="minorHAnsi" w:hAnsiTheme="minorHAnsi"/>
                <w:i/>
                <w:sz w:val="22"/>
                <w:szCs w:val="22"/>
              </w:rPr>
              <w:t>COAG Best Practice Regulation Guide for Ministerial Councils and Standard Setting Bodies</w:t>
            </w:r>
            <w:r>
              <w:rPr>
                <w:rFonts w:asciiTheme="minorHAnsi" w:hAnsiTheme="minorHAnsi"/>
                <w:sz w:val="22"/>
                <w:szCs w:val="22"/>
              </w:rPr>
              <w:t xml:space="preserve">.  </w:t>
            </w:r>
          </w:p>
          <w:p w:rsidR="003966C1" w:rsidRDefault="003966C1" w:rsidP="00865DB7">
            <w:pPr>
              <w:pStyle w:val="BodyText"/>
              <w:spacing w:before="0"/>
              <w:jc w:val="left"/>
              <w:rPr>
                <w:rFonts w:asciiTheme="minorHAnsi" w:hAnsiTheme="minorHAnsi"/>
                <w:sz w:val="22"/>
                <w:szCs w:val="22"/>
              </w:rPr>
            </w:pPr>
          </w:p>
          <w:p w:rsidR="00895ECE" w:rsidRDefault="00895ECE" w:rsidP="00865DB7">
            <w:pPr>
              <w:pStyle w:val="BodyText"/>
              <w:spacing w:before="0"/>
              <w:jc w:val="left"/>
              <w:rPr>
                <w:rFonts w:asciiTheme="minorHAnsi" w:hAnsiTheme="minorHAnsi"/>
                <w:sz w:val="22"/>
                <w:szCs w:val="22"/>
              </w:rPr>
            </w:pPr>
            <w:r>
              <w:rPr>
                <w:rFonts w:asciiTheme="minorHAnsi" w:hAnsiTheme="minorHAnsi"/>
                <w:sz w:val="22"/>
                <w:szCs w:val="22"/>
              </w:rPr>
              <w:t xml:space="preserve">However </w:t>
            </w:r>
            <w:r w:rsidR="00865DB7">
              <w:rPr>
                <w:rFonts w:asciiTheme="minorHAnsi" w:hAnsiTheme="minorHAnsi"/>
                <w:sz w:val="22"/>
                <w:szCs w:val="22"/>
              </w:rPr>
              <w:t>in</w:t>
            </w:r>
            <w:r>
              <w:rPr>
                <w:rFonts w:asciiTheme="minorHAnsi" w:hAnsiTheme="minorHAnsi"/>
                <w:sz w:val="22"/>
                <w:szCs w:val="22"/>
              </w:rPr>
              <w:t xml:space="preserve"> practice an agency </w:t>
            </w:r>
            <w:r w:rsidR="00865DB7">
              <w:rPr>
                <w:rFonts w:asciiTheme="minorHAnsi" w:hAnsiTheme="minorHAnsi"/>
                <w:sz w:val="22"/>
                <w:szCs w:val="22"/>
              </w:rPr>
              <w:t xml:space="preserve">proposing development of legislation to implement a national reform must still prepare a Preliminary Regulation Impact Analysis that includes, where necessary </w:t>
            </w:r>
            <w:r>
              <w:rPr>
                <w:rFonts w:asciiTheme="minorHAnsi" w:hAnsiTheme="minorHAnsi"/>
                <w:sz w:val="22"/>
                <w:szCs w:val="22"/>
              </w:rPr>
              <w:t>supplementary analysis at the NT level</w:t>
            </w:r>
            <w:r w:rsidR="00865DB7">
              <w:rPr>
                <w:rFonts w:asciiTheme="minorHAnsi" w:hAnsiTheme="minorHAnsi"/>
                <w:sz w:val="22"/>
                <w:szCs w:val="22"/>
              </w:rPr>
              <w:t xml:space="preserve">.  Where the </w:t>
            </w:r>
            <w:proofErr w:type="spellStart"/>
            <w:r w:rsidR="00865DB7">
              <w:rPr>
                <w:rFonts w:asciiTheme="minorHAnsi" w:hAnsiTheme="minorHAnsi"/>
                <w:sz w:val="22"/>
                <w:szCs w:val="22"/>
              </w:rPr>
              <w:t>PRIA</w:t>
            </w:r>
            <w:proofErr w:type="spellEnd"/>
            <w:r w:rsidR="00865DB7">
              <w:rPr>
                <w:rFonts w:asciiTheme="minorHAnsi" w:hAnsiTheme="minorHAnsi"/>
                <w:sz w:val="22"/>
                <w:szCs w:val="22"/>
              </w:rPr>
              <w:t xml:space="preserve"> references a national </w:t>
            </w:r>
            <w:proofErr w:type="spellStart"/>
            <w:r w:rsidR="00865DB7">
              <w:rPr>
                <w:rFonts w:asciiTheme="minorHAnsi" w:hAnsiTheme="minorHAnsi"/>
                <w:sz w:val="22"/>
                <w:szCs w:val="22"/>
              </w:rPr>
              <w:t>RIS</w:t>
            </w:r>
            <w:proofErr w:type="spellEnd"/>
            <w:r w:rsidR="00865DB7">
              <w:rPr>
                <w:rFonts w:asciiTheme="minorHAnsi" w:hAnsiTheme="minorHAnsi"/>
                <w:sz w:val="22"/>
                <w:szCs w:val="22"/>
              </w:rPr>
              <w:t xml:space="preserve">, the Regulation Impact Committee will take that into account in assessing the overall adequacy of the </w:t>
            </w:r>
            <w:proofErr w:type="spellStart"/>
            <w:r w:rsidR="00865DB7">
              <w:rPr>
                <w:rFonts w:asciiTheme="minorHAnsi" w:hAnsiTheme="minorHAnsi"/>
                <w:sz w:val="22"/>
                <w:szCs w:val="22"/>
              </w:rPr>
              <w:t>PRIA</w:t>
            </w:r>
            <w:proofErr w:type="spellEnd"/>
            <w:r w:rsidR="00865DB7">
              <w:rPr>
                <w:rFonts w:asciiTheme="minorHAnsi" w:hAnsiTheme="minorHAnsi"/>
                <w:sz w:val="22"/>
                <w:szCs w:val="22"/>
              </w:rPr>
              <w:t xml:space="preserve"> and in determining whether a further full </w:t>
            </w:r>
            <w:proofErr w:type="spellStart"/>
            <w:r w:rsidR="00865DB7">
              <w:rPr>
                <w:rFonts w:asciiTheme="minorHAnsi" w:hAnsiTheme="minorHAnsi"/>
                <w:sz w:val="22"/>
                <w:szCs w:val="22"/>
              </w:rPr>
              <w:t>RIS</w:t>
            </w:r>
            <w:proofErr w:type="spellEnd"/>
            <w:r w:rsidR="00865DB7">
              <w:rPr>
                <w:rFonts w:asciiTheme="minorHAnsi" w:hAnsiTheme="minorHAnsi"/>
                <w:sz w:val="22"/>
                <w:szCs w:val="22"/>
              </w:rPr>
              <w:t xml:space="preserve"> is required.  A concern of the Northern Territory has been that national </w:t>
            </w:r>
            <w:proofErr w:type="spellStart"/>
            <w:r w:rsidR="00865DB7">
              <w:rPr>
                <w:rFonts w:asciiTheme="minorHAnsi" w:hAnsiTheme="minorHAnsi"/>
                <w:sz w:val="22"/>
                <w:szCs w:val="22"/>
              </w:rPr>
              <w:t>RISs</w:t>
            </w:r>
            <w:proofErr w:type="spellEnd"/>
            <w:r w:rsidR="00865DB7">
              <w:rPr>
                <w:rFonts w:asciiTheme="minorHAnsi" w:hAnsiTheme="minorHAnsi"/>
                <w:sz w:val="22"/>
                <w:szCs w:val="22"/>
              </w:rPr>
              <w:t xml:space="preserve"> frequently do not include a sufficiently adequate assessment of </w:t>
            </w:r>
            <w:r w:rsidR="00AD760C">
              <w:rPr>
                <w:rFonts w:asciiTheme="minorHAnsi" w:hAnsiTheme="minorHAnsi"/>
                <w:sz w:val="22"/>
                <w:szCs w:val="22"/>
              </w:rPr>
              <w:t xml:space="preserve">impacts at the regional or </w:t>
            </w:r>
            <w:r w:rsidR="00865DB7">
              <w:rPr>
                <w:rFonts w:asciiTheme="minorHAnsi" w:hAnsiTheme="minorHAnsi"/>
                <w:sz w:val="22"/>
                <w:szCs w:val="22"/>
              </w:rPr>
              <w:t>jurisdictional</w:t>
            </w:r>
            <w:r w:rsidR="00AD760C">
              <w:rPr>
                <w:rFonts w:asciiTheme="minorHAnsi" w:hAnsiTheme="minorHAnsi"/>
                <w:sz w:val="22"/>
                <w:szCs w:val="22"/>
              </w:rPr>
              <w:t xml:space="preserve"> level</w:t>
            </w:r>
            <w:r w:rsidR="00865DB7">
              <w:rPr>
                <w:rFonts w:asciiTheme="minorHAnsi" w:hAnsiTheme="minorHAnsi"/>
                <w:sz w:val="22"/>
                <w:szCs w:val="22"/>
              </w:rPr>
              <w:t>.</w:t>
            </w:r>
            <w:r>
              <w:rPr>
                <w:rFonts w:asciiTheme="minorHAnsi" w:hAnsiTheme="minorHAnsi"/>
                <w:sz w:val="22"/>
                <w:szCs w:val="22"/>
              </w:rPr>
              <w:t xml:space="preserve"> </w:t>
            </w:r>
          </w:p>
          <w:p w:rsidR="00746E12" w:rsidRDefault="00746E12" w:rsidP="00865DB7">
            <w:pPr>
              <w:pStyle w:val="BodyText"/>
              <w:spacing w:before="0"/>
              <w:jc w:val="left"/>
              <w:rPr>
                <w:rFonts w:asciiTheme="minorHAnsi" w:hAnsiTheme="minorHAnsi"/>
                <w:sz w:val="22"/>
                <w:szCs w:val="22"/>
              </w:rPr>
            </w:pPr>
          </w:p>
        </w:tc>
      </w:tr>
      <w:tr w:rsidR="00112450" w:rsidTr="00B84D6B">
        <w:tc>
          <w:tcPr>
            <w:tcW w:w="3080" w:type="dxa"/>
          </w:tcPr>
          <w:p w:rsidR="00112450" w:rsidRDefault="00112450" w:rsidP="00C56DEA">
            <w:pPr>
              <w:pStyle w:val="BodyText"/>
              <w:spacing w:before="0"/>
              <w:rPr>
                <w:rFonts w:asciiTheme="minorHAnsi" w:hAnsiTheme="minorHAnsi"/>
                <w:sz w:val="22"/>
                <w:szCs w:val="22"/>
              </w:rPr>
            </w:pPr>
            <w:r>
              <w:rPr>
                <w:rFonts w:asciiTheme="minorHAnsi" w:hAnsiTheme="minorHAnsi"/>
                <w:sz w:val="22"/>
                <w:szCs w:val="22"/>
              </w:rPr>
              <w:lastRenderedPageBreak/>
              <w:t>Page 142</w:t>
            </w:r>
          </w:p>
        </w:tc>
        <w:tc>
          <w:tcPr>
            <w:tcW w:w="3081" w:type="dxa"/>
          </w:tcPr>
          <w:p w:rsidR="00112450" w:rsidRDefault="00112450" w:rsidP="00F76919">
            <w:pPr>
              <w:pStyle w:val="Default"/>
              <w:rPr>
                <w:rFonts w:asciiTheme="minorHAnsi" w:eastAsia="Times New Roman" w:hAnsiTheme="minorHAnsi"/>
                <w:color w:val="auto"/>
                <w:sz w:val="22"/>
                <w:szCs w:val="22"/>
                <w:lang w:eastAsia="en-AU"/>
              </w:rPr>
            </w:pPr>
            <w:r w:rsidRPr="00112450">
              <w:rPr>
                <w:rFonts w:asciiTheme="minorHAnsi" w:eastAsia="Times New Roman" w:hAnsiTheme="minorHAnsi"/>
                <w:color w:val="auto"/>
                <w:sz w:val="22"/>
                <w:szCs w:val="22"/>
                <w:lang w:eastAsia="en-AU"/>
              </w:rPr>
              <w:t xml:space="preserve">In Queensland, South Australia, Western Australia and Tasmania, regulatory proposals relating to taxation matters are not subject to </w:t>
            </w:r>
            <w:proofErr w:type="spellStart"/>
            <w:r w:rsidRPr="00112450">
              <w:rPr>
                <w:rFonts w:asciiTheme="minorHAnsi" w:eastAsia="Times New Roman" w:hAnsiTheme="minorHAnsi"/>
                <w:color w:val="auto"/>
                <w:sz w:val="22"/>
                <w:szCs w:val="22"/>
                <w:lang w:eastAsia="en-AU"/>
              </w:rPr>
              <w:t>RIA</w:t>
            </w:r>
            <w:proofErr w:type="spellEnd"/>
            <w:r w:rsidRPr="00112450">
              <w:rPr>
                <w:rFonts w:asciiTheme="minorHAnsi" w:eastAsia="Times New Roman" w:hAnsiTheme="minorHAnsi"/>
                <w:color w:val="auto"/>
                <w:sz w:val="22"/>
                <w:szCs w:val="22"/>
                <w:lang w:eastAsia="en-AU"/>
              </w:rPr>
              <w:t>.</w:t>
            </w: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Default="00746E12" w:rsidP="00F76919">
            <w:pPr>
              <w:pStyle w:val="Default"/>
              <w:rPr>
                <w:rFonts w:asciiTheme="minorHAnsi" w:eastAsia="Times New Roman" w:hAnsiTheme="minorHAnsi"/>
                <w:color w:val="auto"/>
                <w:sz w:val="22"/>
                <w:szCs w:val="22"/>
                <w:lang w:eastAsia="en-AU"/>
              </w:rPr>
            </w:pPr>
          </w:p>
          <w:p w:rsidR="00746E12" w:rsidRPr="00E61ADE" w:rsidRDefault="00746E12" w:rsidP="00F76919">
            <w:pPr>
              <w:pStyle w:val="Default"/>
              <w:rPr>
                <w:rFonts w:asciiTheme="minorHAnsi" w:eastAsia="Times New Roman" w:hAnsiTheme="minorHAnsi"/>
                <w:color w:val="auto"/>
                <w:sz w:val="22"/>
                <w:szCs w:val="22"/>
                <w:lang w:eastAsia="en-AU"/>
              </w:rPr>
            </w:pPr>
          </w:p>
        </w:tc>
        <w:tc>
          <w:tcPr>
            <w:tcW w:w="3081" w:type="dxa"/>
          </w:tcPr>
          <w:p w:rsidR="00112450" w:rsidRDefault="00112450" w:rsidP="00865DB7">
            <w:pPr>
              <w:pStyle w:val="BodyText"/>
              <w:spacing w:before="0"/>
              <w:jc w:val="left"/>
              <w:rPr>
                <w:rFonts w:asciiTheme="minorHAnsi" w:hAnsiTheme="minorHAnsi"/>
                <w:sz w:val="22"/>
                <w:szCs w:val="22"/>
              </w:rPr>
            </w:pPr>
            <w:r>
              <w:rPr>
                <w:rFonts w:asciiTheme="minorHAnsi" w:hAnsiTheme="minorHAnsi"/>
                <w:sz w:val="22"/>
                <w:szCs w:val="22"/>
              </w:rPr>
              <w:t>The Northern Territory should be included in this list.</w:t>
            </w:r>
          </w:p>
        </w:tc>
      </w:tr>
      <w:tr w:rsidR="00895ECE" w:rsidTr="00B84D6B">
        <w:tc>
          <w:tcPr>
            <w:tcW w:w="3080" w:type="dxa"/>
          </w:tcPr>
          <w:p w:rsidR="00895ECE" w:rsidRDefault="00895ECE" w:rsidP="00C56DEA">
            <w:pPr>
              <w:pStyle w:val="BodyText"/>
              <w:spacing w:before="0"/>
              <w:rPr>
                <w:rFonts w:asciiTheme="minorHAnsi" w:hAnsiTheme="minorHAnsi"/>
                <w:sz w:val="22"/>
                <w:szCs w:val="22"/>
              </w:rPr>
            </w:pPr>
            <w:r>
              <w:rPr>
                <w:rFonts w:asciiTheme="minorHAnsi" w:hAnsiTheme="minorHAnsi"/>
                <w:sz w:val="22"/>
                <w:szCs w:val="22"/>
              </w:rPr>
              <w:t>Page 148: How is an exemption sought and granted?</w:t>
            </w:r>
          </w:p>
        </w:tc>
        <w:tc>
          <w:tcPr>
            <w:tcW w:w="3081" w:type="dxa"/>
          </w:tcPr>
          <w:p w:rsidR="00895ECE" w:rsidRDefault="00895ECE" w:rsidP="000026CC">
            <w:pPr>
              <w:pStyle w:val="BodyText"/>
              <w:spacing w:before="0"/>
              <w:jc w:val="left"/>
              <w:rPr>
                <w:sz w:val="18"/>
                <w:szCs w:val="18"/>
              </w:rPr>
            </w:pPr>
            <w:r w:rsidRPr="00394145">
              <w:rPr>
                <w:rFonts w:asciiTheme="minorHAnsi" w:hAnsiTheme="minorHAnsi"/>
                <w:sz w:val="22"/>
                <w:szCs w:val="22"/>
              </w:rPr>
              <w:t xml:space="preserve">As discussed in relation to exceptions above, the oversight </w:t>
            </w:r>
            <w:r w:rsidRPr="00394145">
              <w:rPr>
                <w:rFonts w:asciiTheme="minorHAnsi" w:hAnsiTheme="minorHAnsi"/>
                <w:sz w:val="22"/>
                <w:szCs w:val="22"/>
              </w:rPr>
              <w:lastRenderedPageBreak/>
              <w:t>body in the Northern Territory (Regulation Impact Committee) has a very broad discretion to exclude particular types of regulatory proposals on a case-by-case basis — specifically, where ‘</w:t>
            </w:r>
            <w:r w:rsidRPr="00D33D92">
              <w:rPr>
                <w:sz w:val="18"/>
                <w:szCs w:val="18"/>
              </w:rPr>
              <w:t xml:space="preserve">preparation of a </w:t>
            </w:r>
            <w:proofErr w:type="spellStart"/>
            <w:r w:rsidRPr="00D33D92">
              <w:rPr>
                <w:sz w:val="18"/>
                <w:szCs w:val="18"/>
              </w:rPr>
              <w:t>RIS</w:t>
            </w:r>
            <w:proofErr w:type="spellEnd"/>
            <w:r w:rsidRPr="00D33D92">
              <w:rPr>
                <w:sz w:val="18"/>
                <w:szCs w:val="18"/>
              </w:rPr>
              <w:t xml:space="preserve"> may not be appropriate … due to the nature of the subject matter ’ (Northern Territory Government 2007, p. 16).</w:t>
            </w:r>
          </w:p>
          <w:p w:rsidR="00A767F3" w:rsidRDefault="00A767F3" w:rsidP="000026CC">
            <w:pPr>
              <w:pStyle w:val="BodyText"/>
              <w:spacing w:before="0"/>
              <w:jc w:val="left"/>
              <w:rPr>
                <w:rFonts w:asciiTheme="minorHAnsi" w:hAnsiTheme="minorHAnsi"/>
                <w:sz w:val="22"/>
                <w:szCs w:val="22"/>
              </w:rPr>
            </w:pPr>
          </w:p>
        </w:tc>
        <w:tc>
          <w:tcPr>
            <w:tcW w:w="3081" w:type="dxa"/>
          </w:tcPr>
          <w:p w:rsidR="00895ECE" w:rsidRPr="00544114" w:rsidRDefault="00895ECE" w:rsidP="00895ECE">
            <w:pPr>
              <w:pStyle w:val="BodyText"/>
              <w:spacing w:before="0"/>
              <w:jc w:val="left"/>
              <w:rPr>
                <w:rFonts w:asciiTheme="minorHAnsi" w:hAnsiTheme="minorHAnsi"/>
                <w:sz w:val="22"/>
                <w:szCs w:val="22"/>
              </w:rPr>
            </w:pPr>
            <w:r>
              <w:rPr>
                <w:rFonts w:asciiTheme="minorHAnsi" w:hAnsiTheme="minorHAnsi"/>
                <w:sz w:val="22"/>
                <w:szCs w:val="22"/>
              </w:rPr>
              <w:lastRenderedPageBreak/>
              <w:t xml:space="preserve">A mentioned above, we do not have any </w:t>
            </w:r>
            <w:r>
              <w:rPr>
                <w:rFonts w:asciiTheme="minorHAnsi" w:hAnsiTheme="minorHAnsi"/>
                <w:sz w:val="22"/>
                <w:szCs w:val="22"/>
              </w:rPr>
              <w:lastRenderedPageBreak/>
              <w:t>exe</w:t>
            </w:r>
            <w:r w:rsidRPr="00DB5646">
              <w:rPr>
                <w:rFonts w:asciiTheme="minorHAnsi" w:hAnsiTheme="minorHAnsi"/>
                <w:sz w:val="22"/>
                <w:szCs w:val="22"/>
              </w:rPr>
              <w:t xml:space="preserve">mptions/exceptions </w:t>
            </w:r>
            <w:r>
              <w:rPr>
                <w:rFonts w:asciiTheme="minorHAnsi" w:hAnsiTheme="minorHAnsi"/>
                <w:sz w:val="22"/>
                <w:szCs w:val="22"/>
              </w:rPr>
              <w:t xml:space="preserve">from the </w:t>
            </w:r>
            <w:proofErr w:type="spellStart"/>
            <w:r>
              <w:rPr>
                <w:rFonts w:asciiTheme="minorHAnsi" w:hAnsiTheme="minorHAnsi"/>
                <w:sz w:val="22"/>
                <w:szCs w:val="22"/>
              </w:rPr>
              <w:t>RMF</w:t>
            </w:r>
            <w:proofErr w:type="spellEnd"/>
            <w:r>
              <w:rPr>
                <w:rFonts w:asciiTheme="minorHAnsi" w:hAnsiTheme="minorHAnsi"/>
                <w:sz w:val="22"/>
                <w:szCs w:val="22"/>
              </w:rPr>
              <w:t xml:space="preserve"> process </w:t>
            </w:r>
            <w:r w:rsidRPr="00DB5646">
              <w:rPr>
                <w:rFonts w:asciiTheme="minorHAnsi" w:hAnsiTheme="minorHAnsi"/>
                <w:sz w:val="22"/>
                <w:szCs w:val="22"/>
              </w:rPr>
              <w:t>apart from budget and tax measures.</w:t>
            </w:r>
          </w:p>
        </w:tc>
      </w:tr>
      <w:tr w:rsidR="00895ECE" w:rsidTr="00B84D6B">
        <w:tc>
          <w:tcPr>
            <w:tcW w:w="3080" w:type="dxa"/>
          </w:tcPr>
          <w:p w:rsidR="00895ECE" w:rsidRDefault="00895ECE" w:rsidP="00264662">
            <w:pPr>
              <w:pStyle w:val="BodyText"/>
              <w:spacing w:before="0"/>
              <w:rPr>
                <w:rFonts w:asciiTheme="minorHAnsi" w:hAnsiTheme="minorHAnsi"/>
                <w:sz w:val="22"/>
                <w:szCs w:val="22"/>
              </w:rPr>
            </w:pPr>
            <w:r>
              <w:rPr>
                <w:rFonts w:asciiTheme="minorHAnsi" w:hAnsiTheme="minorHAnsi"/>
                <w:sz w:val="22"/>
                <w:szCs w:val="22"/>
              </w:rPr>
              <w:lastRenderedPageBreak/>
              <w:t xml:space="preserve">Page 148: </w:t>
            </w:r>
          </w:p>
        </w:tc>
        <w:tc>
          <w:tcPr>
            <w:tcW w:w="3081" w:type="dxa"/>
          </w:tcPr>
          <w:p w:rsidR="00895ECE" w:rsidRPr="00264662" w:rsidRDefault="00895ECE" w:rsidP="000026CC">
            <w:pPr>
              <w:pStyle w:val="BodyText"/>
              <w:spacing w:before="0"/>
              <w:jc w:val="left"/>
              <w:rPr>
                <w:rFonts w:asciiTheme="minorHAnsi" w:hAnsiTheme="minorHAnsi"/>
                <w:b/>
                <w:sz w:val="22"/>
                <w:szCs w:val="22"/>
              </w:rPr>
            </w:pPr>
            <w:r w:rsidRPr="001740DD">
              <w:rPr>
                <w:rFonts w:asciiTheme="minorHAnsi" w:hAnsiTheme="minorHAnsi"/>
                <w:sz w:val="22"/>
                <w:szCs w:val="22"/>
              </w:rPr>
              <w:t xml:space="preserve">A post-implementation review is required within two years of implementation for proposals exempted in the Commonwealth, Queensland and Western Australia and a late </w:t>
            </w:r>
            <w:proofErr w:type="spellStart"/>
            <w:r w:rsidRPr="001740DD">
              <w:rPr>
                <w:rFonts w:asciiTheme="minorHAnsi" w:hAnsiTheme="minorHAnsi"/>
                <w:sz w:val="22"/>
                <w:szCs w:val="22"/>
              </w:rPr>
              <w:t>RIS</w:t>
            </w:r>
            <w:proofErr w:type="spellEnd"/>
            <w:r w:rsidRPr="001740DD">
              <w:rPr>
                <w:rFonts w:asciiTheme="minorHAnsi" w:hAnsiTheme="minorHAnsi"/>
                <w:sz w:val="22"/>
                <w:szCs w:val="22"/>
              </w:rPr>
              <w:t>, within 12 months of implementation for COAG and in South Australia, Northern Territory and New South Wales (regulations only).</w:t>
            </w:r>
          </w:p>
        </w:tc>
        <w:tc>
          <w:tcPr>
            <w:tcW w:w="3081" w:type="dxa"/>
          </w:tcPr>
          <w:p w:rsidR="00AD760C" w:rsidRDefault="00895ECE" w:rsidP="000026CC">
            <w:pPr>
              <w:pStyle w:val="BodyText"/>
              <w:spacing w:before="0"/>
              <w:jc w:val="left"/>
              <w:rPr>
                <w:rFonts w:asciiTheme="minorHAnsi" w:hAnsiTheme="minorHAnsi"/>
                <w:sz w:val="22"/>
                <w:szCs w:val="22"/>
              </w:rPr>
            </w:pPr>
            <w:r>
              <w:rPr>
                <w:rFonts w:asciiTheme="minorHAnsi" w:hAnsiTheme="minorHAnsi"/>
                <w:sz w:val="22"/>
                <w:szCs w:val="22"/>
              </w:rPr>
              <w:t xml:space="preserve">As mentioned above there are no exemptions to the </w:t>
            </w:r>
            <w:proofErr w:type="spellStart"/>
            <w:r>
              <w:rPr>
                <w:rFonts w:asciiTheme="minorHAnsi" w:hAnsiTheme="minorHAnsi"/>
                <w:sz w:val="22"/>
                <w:szCs w:val="22"/>
              </w:rPr>
              <w:t>PRIS</w:t>
            </w:r>
            <w:proofErr w:type="spellEnd"/>
            <w:r>
              <w:rPr>
                <w:rFonts w:asciiTheme="minorHAnsi" w:hAnsiTheme="minorHAnsi"/>
                <w:sz w:val="22"/>
                <w:szCs w:val="22"/>
              </w:rPr>
              <w:t>/</w:t>
            </w:r>
            <w:proofErr w:type="spellStart"/>
            <w:r>
              <w:rPr>
                <w:rFonts w:asciiTheme="minorHAnsi" w:hAnsiTheme="minorHAnsi"/>
                <w:sz w:val="22"/>
                <w:szCs w:val="22"/>
              </w:rPr>
              <w:t>RIS</w:t>
            </w:r>
            <w:proofErr w:type="spellEnd"/>
            <w:r>
              <w:rPr>
                <w:rFonts w:asciiTheme="minorHAnsi" w:hAnsiTheme="minorHAnsi"/>
                <w:sz w:val="22"/>
                <w:szCs w:val="22"/>
              </w:rPr>
              <w:t xml:space="preserve"> process</w:t>
            </w:r>
            <w:r w:rsidR="00AD760C">
              <w:rPr>
                <w:rFonts w:asciiTheme="minorHAnsi" w:hAnsiTheme="minorHAnsi"/>
                <w:sz w:val="22"/>
                <w:szCs w:val="22"/>
              </w:rPr>
              <w:t xml:space="preserve"> in the Northern Territory.</w:t>
            </w:r>
          </w:p>
          <w:p w:rsidR="00AD760C" w:rsidRDefault="00AD760C" w:rsidP="000026CC">
            <w:pPr>
              <w:pStyle w:val="BodyText"/>
              <w:spacing w:before="0"/>
              <w:jc w:val="left"/>
              <w:rPr>
                <w:rFonts w:asciiTheme="minorHAnsi" w:hAnsiTheme="minorHAnsi"/>
                <w:sz w:val="22"/>
                <w:szCs w:val="22"/>
              </w:rPr>
            </w:pPr>
          </w:p>
          <w:p w:rsidR="000C11D8" w:rsidRDefault="006A788C" w:rsidP="00D208BF">
            <w:pPr>
              <w:pStyle w:val="BodyText"/>
              <w:spacing w:before="0"/>
              <w:jc w:val="left"/>
              <w:rPr>
                <w:rFonts w:asciiTheme="minorHAnsi" w:hAnsiTheme="minorHAnsi"/>
                <w:sz w:val="22"/>
                <w:szCs w:val="22"/>
              </w:rPr>
            </w:pPr>
            <w:r>
              <w:rPr>
                <w:rFonts w:asciiTheme="minorHAnsi" w:hAnsiTheme="minorHAnsi"/>
                <w:sz w:val="22"/>
                <w:szCs w:val="22"/>
              </w:rPr>
              <w:t>H</w:t>
            </w:r>
            <w:r w:rsidR="00AD760C">
              <w:rPr>
                <w:rFonts w:asciiTheme="minorHAnsi" w:hAnsiTheme="minorHAnsi"/>
                <w:sz w:val="22"/>
                <w:szCs w:val="22"/>
              </w:rPr>
              <w:t xml:space="preserve">owever where legislation is required to be introduced as a matter of urgency and the Regulation Impact Committee requires more information than has been provided in the Preliminary Regulation Impact Analysis, or requires a full </w:t>
            </w:r>
            <w:proofErr w:type="spellStart"/>
            <w:r w:rsidR="00AD760C">
              <w:rPr>
                <w:rFonts w:asciiTheme="minorHAnsi" w:hAnsiTheme="minorHAnsi"/>
                <w:sz w:val="22"/>
                <w:szCs w:val="22"/>
              </w:rPr>
              <w:t>RIS</w:t>
            </w:r>
            <w:proofErr w:type="spellEnd"/>
            <w:r w:rsidR="00AD760C">
              <w:rPr>
                <w:rFonts w:asciiTheme="minorHAnsi" w:hAnsiTheme="minorHAnsi"/>
                <w:sz w:val="22"/>
                <w:szCs w:val="22"/>
              </w:rPr>
              <w:t xml:space="preserve">, the Committee may grant a postponement of the full </w:t>
            </w:r>
            <w:proofErr w:type="spellStart"/>
            <w:r w:rsidR="00AD760C">
              <w:rPr>
                <w:rFonts w:asciiTheme="minorHAnsi" w:hAnsiTheme="minorHAnsi"/>
                <w:sz w:val="22"/>
                <w:szCs w:val="22"/>
              </w:rPr>
              <w:t>RIS</w:t>
            </w:r>
            <w:proofErr w:type="spellEnd"/>
            <w:r w:rsidR="00AD760C">
              <w:rPr>
                <w:rFonts w:asciiTheme="minorHAnsi" w:hAnsiTheme="minorHAnsi"/>
                <w:sz w:val="22"/>
                <w:szCs w:val="22"/>
              </w:rPr>
              <w:t xml:space="preserve"> to enable the submission seeking approval to introduce the legislation to proceed to Cabinet.  However such postponements are </w:t>
            </w:r>
            <w:r>
              <w:rPr>
                <w:rFonts w:asciiTheme="minorHAnsi" w:hAnsiTheme="minorHAnsi"/>
                <w:sz w:val="22"/>
                <w:szCs w:val="22"/>
              </w:rPr>
              <w:t>only rarely granted and are generally</w:t>
            </w:r>
            <w:r w:rsidR="00AD760C">
              <w:rPr>
                <w:rFonts w:asciiTheme="minorHAnsi" w:hAnsiTheme="minorHAnsi"/>
                <w:sz w:val="22"/>
                <w:szCs w:val="22"/>
              </w:rPr>
              <w:t xml:space="preserve"> subject to the condition</w:t>
            </w:r>
            <w:r w:rsidR="00C8635F">
              <w:rPr>
                <w:rFonts w:asciiTheme="minorHAnsi" w:hAnsiTheme="minorHAnsi"/>
                <w:sz w:val="22"/>
                <w:szCs w:val="22"/>
              </w:rPr>
              <w:t xml:space="preserve"> (reflected on the </w:t>
            </w:r>
            <w:proofErr w:type="spellStart"/>
            <w:r w:rsidR="00C8635F">
              <w:rPr>
                <w:rFonts w:asciiTheme="minorHAnsi" w:hAnsiTheme="minorHAnsi"/>
                <w:sz w:val="22"/>
                <w:szCs w:val="22"/>
              </w:rPr>
              <w:t>RIS</w:t>
            </w:r>
            <w:proofErr w:type="spellEnd"/>
            <w:r w:rsidR="00C8635F">
              <w:rPr>
                <w:rFonts w:asciiTheme="minorHAnsi" w:hAnsiTheme="minorHAnsi"/>
                <w:sz w:val="22"/>
                <w:szCs w:val="22"/>
              </w:rPr>
              <w:t xml:space="preserve"> Certificate)</w:t>
            </w:r>
            <w:r w:rsidR="00AD760C">
              <w:rPr>
                <w:rFonts w:asciiTheme="minorHAnsi" w:hAnsiTheme="minorHAnsi"/>
                <w:sz w:val="22"/>
                <w:szCs w:val="22"/>
              </w:rPr>
              <w:t xml:space="preserve"> that the </w:t>
            </w:r>
            <w:proofErr w:type="spellStart"/>
            <w:r w:rsidR="00AD760C">
              <w:rPr>
                <w:rFonts w:asciiTheme="minorHAnsi" w:hAnsiTheme="minorHAnsi"/>
                <w:sz w:val="22"/>
                <w:szCs w:val="22"/>
              </w:rPr>
              <w:t>RIS</w:t>
            </w:r>
            <w:proofErr w:type="spellEnd"/>
            <w:r w:rsidR="00AD760C">
              <w:rPr>
                <w:rFonts w:asciiTheme="minorHAnsi" w:hAnsiTheme="minorHAnsi"/>
                <w:sz w:val="22"/>
                <w:szCs w:val="22"/>
              </w:rPr>
              <w:t xml:space="preserve"> is provided by the time the Bill reaches</w:t>
            </w:r>
            <w:r w:rsidR="00C8635F">
              <w:rPr>
                <w:rFonts w:asciiTheme="minorHAnsi" w:hAnsiTheme="minorHAnsi"/>
                <w:sz w:val="22"/>
                <w:szCs w:val="22"/>
              </w:rPr>
              <w:t xml:space="preserve"> the </w:t>
            </w:r>
            <w:r>
              <w:rPr>
                <w:rFonts w:asciiTheme="minorHAnsi" w:hAnsiTheme="minorHAnsi"/>
                <w:sz w:val="22"/>
                <w:szCs w:val="22"/>
              </w:rPr>
              <w:t>“</w:t>
            </w:r>
            <w:r w:rsidR="00C8635F">
              <w:rPr>
                <w:rFonts w:asciiTheme="minorHAnsi" w:hAnsiTheme="minorHAnsi"/>
                <w:sz w:val="22"/>
                <w:szCs w:val="22"/>
              </w:rPr>
              <w:t>committee stage</w:t>
            </w:r>
            <w:r>
              <w:rPr>
                <w:rFonts w:asciiTheme="minorHAnsi" w:hAnsiTheme="minorHAnsi"/>
                <w:sz w:val="22"/>
                <w:szCs w:val="22"/>
              </w:rPr>
              <w:t>”</w:t>
            </w:r>
            <w:r w:rsidR="00C8635F">
              <w:rPr>
                <w:rFonts w:asciiTheme="minorHAnsi" w:hAnsiTheme="minorHAnsi"/>
                <w:sz w:val="22"/>
                <w:szCs w:val="22"/>
              </w:rPr>
              <w:t xml:space="preserve"> of its passage through parliament (so that it can be subject to committee stage amendment if necessary)</w:t>
            </w:r>
            <w:r w:rsidR="00895ECE">
              <w:rPr>
                <w:rFonts w:asciiTheme="minorHAnsi" w:hAnsiTheme="minorHAnsi"/>
                <w:sz w:val="22"/>
                <w:szCs w:val="22"/>
              </w:rPr>
              <w:t>.</w:t>
            </w:r>
          </w:p>
        </w:tc>
      </w:tr>
      <w:tr w:rsidR="00BF010E" w:rsidTr="00B84D6B">
        <w:tc>
          <w:tcPr>
            <w:tcW w:w="3080" w:type="dxa"/>
          </w:tcPr>
          <w:p w:rsidR="00BF010E" w:rsidRDefault="00BF010E" w:rsidP="00BF010E">
            <w:pPr>
              <w:pStyle w:val="BodyText"/>
              <w:spacing w:before="0"/>
              <w:rPr>
                <w:rFonts w:asciiTheme="minorHAnsi" w:hAnsiTheme="minorHAnsi"/>
                <w:sz w:val="22"/>
                <w:szCs w:val="22"/>
              </w:rPr>
            </w:pPr>
            <w:r>
              <w:rPr>
                <w:rFonts w:asciiTheme="minorHAnsi" w:hAnsiTheme="minorHAnsi"/>
                <w:sz w:val="22"/>
                <w:szCs w:val="22"/>
              </w:rPr>
              <w:t xml:space="preserve">Page 201 Table 6.10: </w:t>
            </w:r>
            <w:r w:rsidRPr="00BF010E">
              <w:rPr>
                <w:iCs/>
                <w:sz w:val="23"/>
                <w:szCs w:val="23"/>
              </w:rPr>
              <w:t xml:space="preserve">State and territory content requirements </w:t>
            </w:r>
            <w:r w:rsidRPr="00BF010E">
              <w:rPr>
                <w:iCs/>
                <w:sz w:val="23"/>
                <w:szCs w:val="23"/>
              </w:rPr>
              <w:lastRenderedPageBreak/>
              <w:t xml:space="preserve">for national or COAG </w:t>
            </w:r>
            <w:proofErr w:type="spellStart"/>
            <w:r w:rsidRPr="00BF010E">
              <w:rPr>
                <w:iCs/>
                <w:sz w:val="23"/>
                <w:szCs w:val="23"/>
              </w:rPr>
              <w:t>RISs</w:t>
            </w:r>
            <w:proofErr w:type="spellEnd"/>
          </w:p>
        </w:tc>
        <w:tc>
          <w:tcPr>
            <w:tcW w:w="3081" w:type="dxa"/>
          </w:tcPr>
          <w:p w:rsidR="000C11D8" w:rsidRDefault="00E85DB6" w:rsidP="000C11D8">
            <w:pPr>
              <w:pStyle w:val="BodyText"/>
              <w:spacing w:before="0"/>
              <w:jc w:val="left"/>
              <w:rPr>
                <w:rFonts w:asciiTheme="minorHAnsi" w:hAnsiTheme="minorHAnsi"/>
                <w:sz w:val="22"/>
                <w:szCs w:val="22"/>
              </w:rPr>
            </w:pPr>
            <w:r>
              <w:rPr>
                <w:rFonts w:asciiTheme="minorHAnsi" w:hAnsiTheme="minorHAnsi"/>
                <w:sz w:val="22"/>
                <w:szCs w:val="22"/>
              </w:rPr>
              <w:lastRenderedPageBreak/>
              <w:t xml:space="preserve">NT’s column is labelled as </w:t>
            </w:r>
            <w:r w:rsidR="00F566A2">
              <w:rPr>
                <w:rFonts w:asciiTheme="minorHAnsi" w:hAnsiTheme="minorHAnsi"/>
                <w:sz w:val="22"/>
                <w:szCs w:val="22"/>
              </w:rPr>
              <w:t>not applicable</w:t>
            </w:r>
          </w:p>
          <w:p w:rsidR="000C11D8" w:rsidRDefault="000C11D8" w:rsidP="000C11D8">
            <w:pPr>
              <w:pStyle w:val="BodyText"/>
              <w:spacing w:before="0"/>
              <w:jc w:val="left"/>
              <w:rPr>
                <w:rFonts w:asciiTheme="minorHAnsi" w:hAnsiTheme="minorHAnsi"/>
                <w:sz w:val="22"/>
                <w:szCs w:val="22"/>
              </w:rPr>
            </w:pPr>
          </w:p>
          <w:p w:rsidR="00E85DB6" w:rsidRPr="000C11D8" w:rsidRDefault="00E85DB6" w:rsidP="000C11D8">
            <w:pPr>
              <w:pStyle w:val="BodyText"/>
              <w:spacing w:before="0"/>
              <w:jc w:val="left"/>
              <w:rPr>
                <w:rFonts w:asciiTheme="minorHAnsi" w:hAnsiTheme="minorHAnsi"/>
                <w:sz w:val="22"/>
                <w:szCs w:val="22"/>
              </w:rPr>
            </w:pPr>
            <w:proofErr w:type="spellStart"/>
            <w:r w:rsidRPr="00E85DB6">
              <w:rPr>
                <w:rFonts w:asciiTheme="minorHAnsi" w:hAnsiTheme="minorHAnsi"/>
                <w:b/>
                <w:sz w:val="36"/>
                <w:szCs w:val="36"/>
                <w:vertAlign w:val="superscript"/>
              </w:rPr>
              <w:t>c</w:t>
            </w:r>
            <w:r w:rsidRPr="00E85DB6">
              <w:rPr>
                <w:rFonts w:asciiTheme="minorHAnsi" w:hAnsiTheme="minorHAnsi"/>
                <w:sz w:val="22"/>
                <w:szCs w:val="22"/>
              </w:rPr>
              <w:t>The</w:t>
            </w:r>
            <w:proofErr w:type="spellEnd"/>
            <w:r w:rsidRPr="00E85DB6">
              <w:rPr>
                <w:rFonts w:asciiTheme="minorHAnsi" w:hAnsiTheme="minorHAnsi"/>
                <w:sz w:val="22"/>
                <w:szCs w:val="22"/>
              </w:rPr>
              <w:t xml:space="preserve"> Northern Territory’s requirements state that where a sufficient level of analysis has already been undertaken through other forums, the regulatory proposal will be exempted from requiring either a Preliminary Regulatory Impact Statement or a </w:t>
            </w:r>
            <w:proofErr w:type="spellStart"/>
            <w:r w:rsidRPr="00E85DB6">
              <w:rPr>
                <w:rFonts w:asciiTheme="minorHAnsi" w:hAnsiTheme="minorHAnsi"/>
                <w:sz w:val="22"/>
                <w:szCs w:val="22"/>
              </w:rPr>
              <w:t>RIS</w:t>
            </w:r>
            <w:proofErr w:type="spellEnd"/>
            <w:r w:rsidRPr="00E85DB6">
              <w:rPr>
                <w:rFonts w:asciiTheme="minorHAnsi" w:hAnsiTheme="minorHAnsi"/>
                <w:sz w:val="22"/>
                <w:szCs w:val="22"/>
              </w:rPr>
              <w:t>. This is assessed on a case-by-case basis by the Regulation Impact Committee.</w:t>
            </w:r>
          </w:p>
          <w:p w:rsidR="004975BD" w:rsidRDefault="004975BD" w:rsidP="004975BD">
            <w:pPr>
              <w:pStyle w:val="ListParagraph"/>
              <w:rPr>
                <w:rFonts w:asciiTheme="minorHAnsi" w:hAnsiTheme="minorHAnsi"/>
                <w:sz w:val="20"/>
              </w:rPr>
            </w:pPr>
          </w:p>
          <w:p w:rsidR="004975BD" w:rsidRPr="00E85DB6" w:rsidRDefault="004975BD" w:rsidP="004975BD">
            <w:pPr>
              <w:pStyle w:val="BodyText"/>
              <w:spacing w:before="0"/>
              <w:ind w:left="720"/>
              <w:jc w:val="left"/>
              <w:rPr>
                <w:rFonts w:asciiTheme="minorHAnsi" w:hAnsiTheme="minorHAnsi"/>
                <w:sz w:val="20"/>
              </w:rPr>
            </w:pPr>
          </w:p>
        </w:tc>
        <w:tc>
          <w:tcPr>
            <w:tcW w:w="3081" w:type="dxa"/>
          </w:tcPr>
          <w:p w:rsidR="000C11D8" w:rsidRDefault="00E85DB6" w:rsidP="000C11D8">
            <w:pPr>
              <w:pStyle w:val="BodyText"/>
              <w:spacing w:before="0"/>
              <w:jc w:val="left"/>
              <w:rPr>
                <w:rFonts w:asciiTheme="minorHAnsi" w:hAnsiTheme="minorHAnsi"/>
                <w:sz w:val="22"/>
                <w:szCs w:val="22"/>
              </w:rPr>
            </w:pPr>
            <w:r>
              <w:rPr>
                <w:rFonts w:asciiTheme="minorHAnsi" w:hAnsiTheme="minorHAnsi"/>
                <w:sz w:val="22"/>
                <w:szCs w:val="22"/>
              </w:rPr>
              <w:lastRenderedPageBreak/>
              <w:t>There should be ticks for all rows relating to the NT.</w:t>
            </w:r>
          </w:p>
          <w:p w:rsidR="00665EDD" w:rsidRDefault="00665EDD" w:rsidP="000C11D8">
            <w:pPr>
              <w:pStyle w:val="BodyText"/>
              <w:spacing w:before="0"/>
              <w:jc w:val="left"/>
              <w:rPr>
                <w:rFonts w:asciiTheme="minorHAnsi" w:hAnsiTheme="minorHAnsi"/>
                <w:sz w:val="22"/>
                <w:szCs w:val="22"/>
              </w:rPr>
            </w:pPr>
          </w:p>
          <w:p w:rsidR="00BF010E" w:rsidRDefault="002C26FF" w:rsidP="000C11D8">
            <w:pPr>
              <w:pStyle w:val="BodyText"/>
              <w:spacing w:before="0"/>
              <w:jc w:val="left"/>
              <w:rPr>
                <w:rFonts w:asciiTheme="minorHAnsi" w:hAnsiTheme="minorHAnsi"/>
                <w:sz w:val="22"/>
                <w:szCs w:val="22"/>
              </w:rPr>
            </w:pPr>
            <w:r>
              <w:rPr>
                <w:rFonts w:asciiTheme="minorHAnsi" w:hAnsiTheme="minorHAnsi"/>
                <w:sz w:val="22"/>
                <w:szCs w:val="22"/>
              </w:rPr>
              <w:t>See comment above re page 140</w:t>
            </w:r>
            <w:r w:rsidR="00E85DB6">
              <w:rPr>
                <w:rFonts w:asciiTheme="minorHAnsi" w:hAnsiTheme="minorHAnsi"/>
                <w:sz w:val="22"/>
                <w:szCs w:val="22"/>
              </w:rPr>
              <w:t xml:space="preserve">  </w:t>
            </w:r>
          </w:p>
          <w:p w:rsidR="00E85DB6" w:rsidRDefault="00E85DB6" w:rsidP="004975BD">
            <w:pPr>
              <w:pStyle w:val="BodyText"/>
              <w:spacing w:before="0"/>
              <w:jc w:val="left"/>
              <w:rPr>
                <w:rFonts w:asciiTheme="minorHAnsi" w:hAnsiTheme="minorHAnsi"/>
                <w:sz w:val="22"/>
                <w:szCs w:val="22"/>
              </w:rPr>
            </w:pPr>
          </w:p>
        </w:tc>
      </w:tr>
      <w:tr w:rsidR="004975BD" w:rsidTr="00B84D6B">
        <w:tc>
          <w:tcPr>
            <w:tcW w:w="3080" w:type="dxa"/>
          </w:tcPr>
          <w:p w:rsidR="004975BD" w:rsidRDefault="004975BD" w:rsidP="00BF010E">
            <w:pPr>
              <w:pStyle w:val="BodyText"/>
              <w:spacing w:before="0"/>
              <w:rPr>
                <w:rFonts w:asciiTheme="minorHAnsi" w:hAnsiTheme="minorHAnsi"/>
                <w:sz w:val="22"/>
                <w:szCs w:val="22"/>
              </w:rPr>
            </w:pPr>
            <w:r>
              <w:rPr>
                <w:rFonts w:asciiTheme="minorHAnsi" w:hAnsiTheme="minorHAnsi"/>
                <w:sz w:val="22"/>
                <w:szCs w:val="22"/>
              </w:rPr>
              <w:lastRenderedPageBreak/>
              <w:t xml:space="preserve">Page 250 </w:t>
            </w:r>
            <w:r>
              <w:rPr>
                <w:sz w:val="23"/>
                <w:szCs w:val="23"/>
              </w:rPr>
              <w:t xml:space="preserve">Table 8.1 </w:t>
            </w:r>
            <w:r w:rsidRPr="004975BD">
              <w:rPr>
                <w:rFonts w:asciiTheme="minorHAnsi" w:hAnsiTheme="minorHAnsi"/>
                <w:sz w:val="22"/>
                <w:szCs w:val="22"/>
              </w:rPr>
              <w:t xml:space="preserve">How do jurisdictions hold their agencies to account for non-compliance with </w:t>
            </w:r>
            <w:proofErr w:type="spellStart"/>
            <w:r w:rsidRPr="004975BD">
              <w:rPr>
                <w:rFonts w:asciiTheme="minorHAnsi" w:hAnsiTheme="minorHAnsi"/>
                <w:sz w:val="22"/>
                <w:szCs w:val="22"/>
              </w:rPr>
              <w:t>RIA</w:t>
            </w:r>
            <w:proofErr w:type="spellEnd"/>
            <w:r w:rsidRPr="004975BD">
              <w:rPr>
                <w:rFonts w:asciiTheme="minorHAnsi" w:hAnsiTheme="minorHAnsi"/>
                <w:sz w:val="22"/>
                <w:szCs w:val="22"/>
              </w:rPr>
              <w:t xml:space="preserve"> processes?</w:t>
            </w:r>
          </w:p>
        </w:tc>
        <w:tc>
          <w:tcPr>
            <w:tcW w:w="3081" w:type="dxa"/>
          </w:tcPr>
          <w:p w:rsidR="004975BD" w:rsidRDefault="004975BD" w:rsidP="00B37BE2">
            <w:pPr>
              <w:pStyle w:val="BodyText"/>
              <w:spacing w:before="0"/>
              <w:jc w:val="left"/>
              <w:rPr>
                <w:rFonts w:asciiTheme="minorHAnsi" w:hAnsiTheme="minorHAnsi"/>
                <w:sz w:val="22"/>
                <w:szCs w:val="22"/>
              </w:rPr>
            </w:pPr>
            <w:r w:rsidRPr="004975BD">
              <w:rPr>
                <w:rFonts w:asciiTheme="minorHAnsi" w:hAnsiTheme="minorHAnsi"/>
                <w:sz w:val="22"/>
                <w:szCs w:val="22"/>
              </w:rPr>
              <w:t xml:space="preserve">No sanctions. The Cabinet Office will not proceed with regulatory proposals in the absence of certification from the Regulatory Impact Committee. However, with ministerial approval, a regulatory proposal can still proceed to Cabinet or Executive Council in the absence of </w:t>
            </w:r>
            <w:proofErr w:type="spellStart"/>
            <w:r w:rsidRPr="004975BD">
              <w:rPr>
                <w:rFonts w:asciiTheme="minorHAnsi" w:hAnsiTheme="minorHAnsi"/>
                <w:sz w:val="22"/>
                <w:szCs w:val="22"/>
              </w:rPr>
              <w:t>RIS</w:t>
            </w:r>
            <w:proofErr w:type="spellEnd"/>
            <w:r w:rsidRPr="004975BD">
              <w:rPr>
                <w:rFonts w:asciiTheme="minorHAnsi" w:hAnsiTheme="minorHAnsi"/>
                <w:sz w:val="22"/>
                <w:szCs w:val="22"/>
              </w:rPr>
              <w:t xml:space="preserve"> certification or with certification indicating that the regulation does not comply with regulation-making principles. </w:t>
            </w:r>
          </w:p>
          <w:p w:rsidR="004975BD" w:rsidRDefault="004975BD" w:rsidP="004975BD">
            <w:pPr>
              <w:pStyle w:val="BodyText"/>
              <w:spacing w:before="0"/>
              <w:ind w:left="720"/>
              <w:jc w:val="left"/>
              <w:rPr>
                <w:rFonts w:asciiTheme="minorHAnsi" w:hAnsiTheme="minorHAnsi"/>
                <w:sz w:val="22"/>
                <w:szCs w:val="22"/>
              </w:rPr>
            </w:pPr>
          </w:p>
        </w:tc>
        <w:tc>
          <w:tcPr>
            <w:tcW w:w="3081" w:type="dxa"/>
          </w:tcPr>
          <w:p w:rsidR="004975BD" w:rsidRDefault="004975BD" w:rsidP="004975BD">
            <w:pPr>
              <w:pStyle w:val="BodyText"/>
              <w:spacing w:before="0"/>
              <w:jc w:val="left"/>
              <w:rPr>
                <w:rFonts w:asciiTheme="minorHAnsi" w:hAnsiTheme="minorHAnsi"/>
                <w:sz w:val="22"/>
                <w:szCs w:val="22"/>
              </w:rPr>
            </w:pPr>
            <w:r>
              <w:rPr>
                <w:rFonts w:asciiTheme="minorHAnsi" w:hAnsiTheme="minorHAnsi"/>
                <w:sz w:val="22"/>
                <w:szCs w:val="22"/>
              </w:rPr>
              <w:t xml:space="preserve">See comment above re page 106. </w:t>
            </w:r>
          </w:p>
        </w:tc>
      </w:tr>
      <w:tr w:rsidR="008C7C5E" w:rsidTr="00B84D6B">
        <w:tc>
          <w:tcPr>
            <w:tcW w:w="3080" w:type="dxa"/>
          </w:tcPr>
          <w:p w:rsidR="008C7C5E" w:rsidRDefault="008C7C5E" w:rsidP="00BF010E">
            <w:pPr>
              <w:pStyle w:val="BodyText"/>
              <w:spacing w:before="0"/>
              <w:rPr>
                <w:rFonts w:asciiTheme="minorHAnsi" w:hAnsiTheme="minorHAnsi"/>
                <w:sz w:val="22"/>
                <w:szCs w:val="22"/>
              </w:rPr>
            </w:pPr>
            <w:r>
              <w:rPr>
                <w:rFonts w:asciiTheme="minorHAnsi" w:hAnsiTheme="minorHAnsi"/>
                <w:sz w:val="22"/>
                <w:szCs w:val="22"/>
              </w:rPr>
              <w:t>Page 258</w:t>
            </w:r>
            <w:r w:rsidR="00357E60">
              <w:rPr>
                <w:rFonts w:asciiTheme="minorHAnsi" w:hAnsiTheme="minorHAnsi"/>
                <w:sz w:val="22"/>
                <w:szCs w:val="22"/>
              </w:rPr>
              <w:t>:</w:t>
            </w:r>
            <w:r>
              <w:rPr>
                <w:rFonts w:asciiTheme="minorHAnsi" w:hAnsiTheme="minorHAnsi"/>
                <w:sz w:val="22"/>
                <w:szCs w:val="22"/>
              </w:rPr>
              <w:t xml:space="preserve"> </w:t>
            </w:r>
            <w:r w:rsidRPr="008C7C5E">
              <w:rPr>
                <w:rFonts w:asciiTheme="minorHAnsi" w:hAnsiTheme="minorHAnsi"/>
                <w:sz w:val="22"/>
                <w:szCs w:val="22"/>
              </w:rPr>
              <w:t>Effectiveness of post implementation reviews as a sanction</w:t>
            </w: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p w:rsidR="00360E75" w:rsidRDefault="00360E75" w:rsidP="00BF010E">
            <w:pPr>
              <w:pStyle w:val="BodyText"/>
              <w:spacing w:before="0"/>
              <w:rPr>
                <w:rFonts w:asciiTheme="minorHAnsi" w:hAnsiTheme="minorHAnsi"/>
                <w:sz w:val="22"/>
                <w:szCs w:val="22"/>
              </w:rPr>
            </w:pPr>
          </w:p>
        </w:tc>
        <w:tc>
          <w:tcPr>
            <w:tcW w:w="3081" w:type="dxa"/>
          </w:tcPr>
          <w:p w:rsidR="008C7C5E" w:rsidRPr="004975BD" w:rsidRDefault="002F21A0" w:rsidP="00B37BE2">
            <w:pPr>
              <w:pStyle w:val="BodyText"/>
              <w:spacing w:before="0"/>
              <w:jc w:val="left"/>
              <w:rPr>
                <w:rFonts w:asciiTheme="minorHAnsi" w:hAnsiTheme="minorHAnsi"/>
                <w:sz w:val="22"/>
                <w:szCs w:val="22"/>
              </w:rPr>
            </w:pPr>
            <w:r w:rsidRPr="002F21A0">
              <w:rPr>
                <w:rFonts w:asciiTheme="minorHAnsi" w:hAnsiTheme="minorHAnsi"/>
                <w:sz w:val="22"/>
                <w:szCs w:val="22"/>
              </w:rPr>
              <w:t>A number of jurisdictions have a further sanction in place, in the form of a post implementation review (</w:t>
            </w:r>
            <w:proofErr w:type="spellStart"/>
            <w:r w:rsidRPr="002F21A0">
              <w:rPr>
                <w:rFonts w:asciiTheme="minorHAnsi" w:hAnsiTheme="minorHAnsi"/>
                <w:sz w:val="22"/>
                <w:szCs w:val="22"/>
              </w:rPr>
              <w:t>PIR</w:t>
            </w:r>
            <w:proofErr w:type="spellEnd"/>
            <w:r w:rsidRPr="002F21A0">
              <w:rPr>
                <w:rFonts w:asciiTheme="minorHAnsi" w:hAnsiTheme="minorHAnsi"/>
                <w:sz w:val="22"/>
                <w:szCs w:val="22"/>
              </w:rPr>
              <w:t xml:space="preserve">) in the case of the Commonwealth, Queensland and Western Australia and a ‘late’ </w:t>
            </w:r>
            <w:proofErr w:type="spellStart"/>
            <w:r w:rsidRPr="002F21A0">
              <w:rPr>
                <w:rFonts w:asciiTheme="minorHAnsi" w:hAnsiTheme="minorHAnsi"/>
                <w:sz w:val="22"/>
                <w:szCs w:val="22"/>
              </w:rPr>
              <w:t>RIS</w:t>
            </w:r>
            <w:proofErr w:type="spellEnd"/>
            <w:r w:rsidRPr="002F21A0">
              <w:rPr>
                <w:rFonts w:asciiTheme="minorHAnsi" w:hAnsiTheme="minorHAnsi"/>
                <w:sz w:val="22"/>
                <w:szCs w:val="22"/>
              </w:rPr>
              <w:t>, in the case of COAG, New South Wales, Victoria, South Australia and the Northern Territory.</w:t>
            </w:r>
          </w:p>
        </w:tc>
        <w:tc>
          <w:tcPr>
            <w:tcW w:w="3081" w:type="dxa"/>
          </w:tcPr>
          <w:p w:rsidR="008C7C5E" w:rsidRDefault="008C7C5E" w:rsidP="004975BD">
            <w:pPr>
              <w:pStyle w:val="BodyText"/>
              <w:spacing w:before="0"/>
              <w:jc w:val="left"/>
              <w:rPr>
                <w:rFonts w:asciiTheme="minorHAnsi" w:hAnsiTheme="minorHAnsi"/>
                <w:sz w:val="22"/>
                <w:szCs w:val="22"/>
              </w:rPr>
            </w:pPr>
            <w:r>
              <w:rPr>
                <w:rFonts w:asciiTheme="minorHAnsi" w:hAnsiTheme="minorHAnsi"/>
                <w:sz w:val="22"/>
                <w:szCs w:val="22"/>
              </w:rPr>
              <w:t>See comment re page 148.</w:t>
            </w:r>
          </w:p>
        </w:tc>
      </w:tr>
      <w:tr w:rsidR="00895ECE" w:rsidTr="00B84D6B">
        <w:tc>
          <w:tcPr>
            <w:tcW w:w="3080" w:type="dxa"/>
          </w:tcPr>
          <w:p w:rsidR="00895ECE" w:rsidRDefault="00895ECE" w:rsidP="00C56DEA">
            <w:pPr>
              <w:pStyle w:val="BodyText"/>
              <w:spacing w:before="0"/>
              <w:rPr>
                <w:rFonts w:asciiTheme="minorHAnsi" w:hAnsiTheme="minorHAnsi"/>
                <w:sz w:val="22"/>
                <w:szCs w:val="22"/>
              </w:rPr>
            </w:pPr>
            <w:r>
              <w:rPr>
                <w:rFonts w:asciiTheme="minorHAnsi" w:hAnsiTheme="minorHAnsi"/>
                <w:sz w:val="22"/>
                <w:szCs w:val="22"/>
              </w:rPr>
              <w:t>Page 251:</w:t>
            </w:r>
            <w:r w:rsidRPr="00264662">
              <w:rPr>
                <w:iCs/>
                <w:sz w:val="23"/>
                <w:szCs w:val="23"/>
              </w:rPr>
              <w:t xml:space="preserve"> How effective are Cabinet offices where they act </w:t>
            </w:r>
            <w:r w:rsidRPr="00264662">
              <w:rPr>
                <w:iCs/>
                <w:sz w:val="23"/>
                <w:szCs w:val="23"/>
              </w:rPr>
              <w:lastRenderedPageBreak/>
              <w:t xml:space="preserve">as </w:t>
            </w:r>
            <w:proofErr w:type="spellStart"/>
            <w:r w:rsidRPr="00264662">
              <w:rPr>
                <w:iCs/>
                <w:sz w:val="23"/>
                <w:szCs w:val="23"/>
              </w:rPr>
              <w:t>RIA</w:t>
            </w:r>
            <w:proofErr w:type="spellEnd"/>
            <w:r w:rsidRPr="00264662">
              <w:rPr>
                <w:iCs/>
                <w:sz w:val="23"/>
                <w:szCs w:val="23"/>
              </w:rPr>
              <w:t xml:space="preserve"> gatekeepers?</w:t>
            </w:r>
          </w:p>
        </w:tc>
        <w:tc>
          <w:tcPr>
            <w:tcW w:w="3081" w:type="dxa"/>
          </w:tcPr>
          <w:p w:rsidR="00895ECE" w:rsidRDefault="00895ECE" w:rsidP="000026CC">
            <w:pPr>
              <w:pStyle w:val="BodyText"/>
              <w:spacing w:before="0"/>
              <w:jc w:val="left"/>
              <w:rPr>
                <w:rFonts w:asciiTheme="minorHAnsi" w:hAnsiTheme="minorHAnsi"/>
                <w:sz w:val="22"/>
                <w:szCs w:val="22"/>
              </w:rPr>
            </w:pPr>
            <w:r w:rsidRPr="00FE54D0">
              <w:rPr>
                <w:rFonts w:asciiTheme="minorHAnsi" w:hAnsiTheme="minorHAnsi"/>
                <w:sz w:val="22"/>
                <w:szCs w:val="22"/>
              </w:rPr>
              <w:lastRenderedPageBreak/>
              <w:t xml:space="preserve">The Northern Territory Cabinet Office will not proceed with </w:t>
            </w:r>
            <w:r w:rsidRPr="00FE54D0">
              <w:rPr>
                <w:rFonts w:asciiTheme="minorHAnsi" w:hAnsiTheme="minorHAnsi"/>
                <w:sz w:val="22"/>
                <w:szCs w:val="22"/>
              </w:rPr>
              <w:lastRenderedPageBreak/>
              <w:t xml:space="preserve">regulatory proposals in the absence of certification from the </w:t>
            </w:r>
            <w:proofErr w:type="spellStart"/>
            <w:r w:rsidRPr="00FE54D0">
              <w:rPr>
                <w:rFonts w:asciiTheme="minorHAnsi" w:hAnsiTheme="minorHAnsi"/>
                <w:sz w:val="22"/>
                <w:szCs w:val="22"/>
              </w:rPr>
              <w:t>RIC</w:t>
            </w:r>
            <w:proofErr w:type="spellEnd"/>
            <w:r w:rsidRPr="00FE54D0">
              <w:rPr>
                <w:rFonts w:asciiTheme="minorHAnsi" w:hAnsiTheme="minorHAnsi"/>
                <w:sz w:val="22"/>
                <w:szCs w:val="22"/>
              </w:rPr>
              <w:t xml:space="preserve">, but it does not have a ‘veto power’. With ministerial approval a regulatory proposal can still proceed to Cabinet or Executive Council in the absence of </w:t>
            </w:r>
            <w:proofErr w:type="spellStart"/>
            <w:r w:rsidRPr="00FE54D0">
              <w:rPr>
                <w:rFonts w:asciiTheme="minorHAnsi" w:hAnsiTheme="minorHAnsi"/>
                <w:sz w:val="22"/>
                <w:szCs w:val="22"/>
              </w:rPr>
              <w:t>RIS</w:t>
            </w:r>
            <w:proofErr w:type="spellEnd"/>
            <w:r w:rsidRPr="00FE54D0">
              <w:rPr>
                <w:rFonts w:asciiTheme="minorHAnsi" w:hAnsiTheme="minorHAnsi"/>
                <w:sz w:val="22"/>
                <w:szCs w:val="22"/>
              </w:rPr>
              <w:t xml:space="preserve"> certification or with certification indicating that the proposal does not comply with regulation making principles (Northern Territory Government 2007). </w:t>
            </w:r>
          </w:p>
          <w:p w:rsidR="00895ECE" w:rsidRPr="00FE54D0" w:rsidRDefault="00895ECE" w:rsidP="000026CC">
            <w:pPr>
              <w:pStyle w:val="BodyText"/>
              <w:spacing w:before="0"/>
              <w:jc w:val="left"/>
              <w:rPr>
                <w:rFonts w:asciiTheme="minorHAnsi" w:hAnsiTheme="minorHAnsi"/>
                <w:sz w:val="22"/>
                <w:szCs w:val="22"/>
              </w:rPr>
            </w:pPr>
          </w:p>
          <w:p w:rsidR="00895ECE" w:rsidRPr="00264662" w:rsidRDefault="00895ECE" w:rsidP="002B460A">
            <w:pPr>
              <w:pStyle w:val="BodyText"/>
              <w:spacing w:before="0"/>
              <w:jc w:val="left"/>
              <w:rPr>
                <w:rFonts w:asciiTheme="minorHAnsi" w:hAnsiTheme="minorHAnsi"/>
                <w:sz w:val="22"/>
                <w:szCs w:val="22"/>
              </w:rPr>
            </w:pPr>
            <w:r w:rsidRPr="00D55E79">
              <w:rPr>
                <w:rFonts w:asciiTheme="minorHAnsi" w:hAnsiTheme="minorHAnsi"/>
                <w:sz w:val="22"/>
                <w:szCs w:val="22"/>
              </w:rPr>
              <w:t xml:space="preserve">Where a regulatory proposal proceeds to the Cabinet without an adequate </w:t>
            </w:r>
            <w:proofErr w:type="spellStart"/>
            <w:r w:rsidRPr="00D55E79">
              <w:rPr>
                <w:rFonts w:asciiTheme="minorHAnsi" w:hAnsiTheme="minorHAnsi"/>
                <w:sz w:val="22"/>
                <w:szCs w:val="22"/>
              </w:rPr>
              <w:t>RIS</w:t>
            </w:r>
            <w:proofErr w:type="spellEnd"/>
            <w:r w:rsidRPr="00D55E79">
              <w:rPr>
                <w:rFonts w:asciiTheme="minorHAnsi" w:hAnsiTheme="minorHAnsi"/>
                <w:sz w:val="22"/>
                <w:szCs w:val="22"/>
              </w:rPr>
              <w:t xml:space="preserve">, the Northern Territory Cabinet may provide approval subject to completion of the </w:t>
            </w:r>
            <w:proofErr w:type="spellStart"/>
            <w:r w:rsidRPr="00D55E79">
              <w:rPr>
                <w:rFonts w:asciiTheme="minorHAnsi" w:hAnsiTheme="minorHAnsi"/>
                <w:sz w:val="22"/>
                <w:szCs w:val="22"/>
              </w:rPr>
              <w:t>RIA</w:t>
            </w:r>
            <w:proofErr w:type="spellEnd"/>
            <w:r w:rsidRPr="00D55E79">
              <w:rPr>
                <w:rFonts w:asciiTheme="minorHAnsi" w:hAnsiTheme="minorHAnsi"/>
                <w:sz w:val="22"/>
                <w:szCs w:val="22"/>
              </w:rPr>
              <w:t xml:space="preserve"> process — either before or after the introduction of the regulation (Northern Territory </w:t>
            </w:r>
            <w:r w:rsidRPr="00FE54D0">
              <w:rPr>
                <w:rFonts w:asciiTheme="minorHAnsi" w:hAnsiTheme="minorHAnsi"/>
                <w:sz w:val="22"/>
                <w:szCs w:val="22"/>
              </w:rPr>
              <w:t>Government, pers. comm., 4 April 2012).</w:t>
            </w:r>
          </w:p>
        </w:tc>
        <w:tc>
          <w:tcPr>
            <w:tcW w:w="3081" w:type="dxa"/>
          </w:tcPr>
          <w:p w:rsidR="0067398F" w:rsidRDefault="00CC0FC2" w:rsidP="004D7CB8">
            <w:pPr>
              <w:pStyle w:val="BodyText"/>
              <w:spacing w:before="0"/>
              <w:jc w:val="left"/>
              <w:rPr>
                <w:rFonts w:asciiTheme="minorHAnsi" w:hAnsiTheme="minorHAnsi"/>
                <w:sz w:val="22"/>
                <w:szCs w:val="22"/>
              </w:rPr>
            </w:pPr>
            <w:r>
              <w:rPr>
                <w:rFonts w:asciiTheme="minorHAnsi" w:hAnsiTheme="minorHAnsi"/>
                <w:sz w:val="22"/>
                <w:szCs w:val="22"/>
              </w:rPr>
              <w:lastRenderedPageBreak/>
              <w:t>See comment above re page 106. The</w:t>
            </w:r>
            <w:r w:rsidR="004A6058">
              <w:rPr>
                <w:rFonts w:asciiTheme="minorHAnsi" w:hAnsiTheme="minorHAnsi"/>
                <w:sz w:val="22"/>
                <w:szCs w:val="22"/>
              </w:rPr>
              <w:t xml:space="preserve"> </w:t>
            </w:r>
            <w:r w:rsidR="00895ECE">
              <w:rPr>
                <w:rFonts w:asciiTheme="minorHAnsi" w:hAnsiTheme="minorHAnsi"/>
                <w:sz w:val="22"/>
                <w:szCs w:val="22"/>
              </w:rPr>
              <w:t>Cabinet</w:t>
            </w:r>
            <w:r>
              <w:rPr>
                <w:rFonts w:asciiTheme="minorHAnsi" w:hAnsiTheme="minorHAnsi"/>
                <w:sz w:val="22"/>
                <w:szCs w:val="22"/>
              </w:rPr>
              <w:t xml:space="preserve"> Office</w:t>
            </w:r>
            <w:r w:rsidR="00895ECE">
              <w:rPr>
                <w:rFonts w:asciiTheme="minorHAnsi" w:hAnsiTheme="minorHAnsi"/>
                <w:sz w:val="22"/>
                <w:szCs w:val="22"/>
              </w:rPr>
              <w:t xml:space="preserve"> as </w:t>
            </w:r>
            <w:r w:rsidR="00895ECE">
              <w:rPr>
                <w:rFonts w:asciiTheme="minorHAnsi" w:hAnsiTheme="minorHAnsi"/>
                <w:sz w:val="22"/>
                <w:szCs w:val="22"/>
              </w:rPr>
              <w:lastRenderedPageBreak/>
              <w:t>gatekeeper</w:t>
            </w:r>
            <w:r w:rsidR="004A6058">
              <w:rPr>
                <w:rFonts w:asciiTheme="minorHAnsi" w:hAnsiTheme="minorHAnsi"/>
                <w:sz w:val="22"/>
                <w:szCs w:val="22"/>
              </w:rPr>
              <w:t xml:space="preserve"> will not allow</w:t>
            </w:r>
            <w:r w:rsidR="00895ECE">
              <w:rPr>
                <w:rFonts w:asciiTheme="minorHAnsi" w:hAnsiTheme="minorHAnsi"/>
                <w:sz w:val="22"/>
                <w:szCs w:val="22"/>
              </w:rPr>
              <w:t xml:space="preserve"> proposals </w:t>
            </w:r>
            <w:r w:rsidR="004A6058">
              <w:rPr>
                <w:rFonts w:asciiTheme="minorHAnsi" w:hAnsiTheme="minorHAnsi"/>
                <w:sz w:val="22"/>
                <w:szCs w:val="22"/>
              </w:rPr>
              <w:t>to</w:t>
            </w:r>
            <w:r w:rsidR="00895ECE">
              <w:rPr>
                <w:rFonts w:asciiTheme="minorHAnsi" w:hAnsiTheme="minorHAnsi"/>
                <w:sz w:val="22"/>
                <w:szCs w:val="22"/>
              </w:rPr>
              <w:t xml:space="preserve"> go through </w:t>
            </w:r>
            <w:r w:rsidR="00615849">
              <w:rPr>
                <w:rFonts w:asciiTheme="minorHAnsi" w:hAnsiTheme="minorHAnsi"/>
                <w:sz w:val="22"/>
                <w:szCs w:val="22"/>
              </w:rPr>
              <w:t xml:space="preserve">to Cabinet </w:t>
            </w:r>
            <w:r w:rsidR="00895ECE">
              <w:rPr>
                <w:rFonts w:asciiTheme="minorHAnsi" w:hAnsiTheme="minorHAnsi"/>
                <w:sz w:val="22"/>
                <w:szCs w:val="22"/>
              </w:rPr>
              <w:t xml:space="preserve">without a </w:t>
            </w:r>
            <w:proofErr w:type="spellStart"/>
            <w:r w:rsidR="00895ECE">
              <w:rPr>
                <w:rFonts w:asciiTheme="minorHAnsi" w:hAnsiTheme="minorHAnsi"/>
                <w:sz w:val="22"/>
                <w:szCs w:val="22"/>
              </w:rPr>
              <w:t>PRIS</w:t>
            </w:r>
            <w:proofErr w:type="spellEnd"/>
            <w:r w:rsidR="00895ECE">
              <w:rPr>
                <w:rFonts w:asciiTheme="minorHAnsi" w:hAnsiTheme="minorHAnsi"/>
                <w:sz w:val="22"/>
                <w:szCs w:val="22"/>
              </w:rPr>
              <w:t>/</w:t>
            </w:r>
            <w:proofErr w:type="spellStart"/>
            <w:r w:rsidR="00895ECE">
              <w:rPr>
                <w:rFonts w:asciiTheme="minorHAnsi" w:hAnsiTheme="minorHAnsi"/>
                <w:sz w:val="22"/>
                <w:szCs w:val="22"/>
              </w:rPr>
              <w:t>RIS</w:t>
            </w:r>
            <w:proofErr w:type="spellEnd"/>
            <w:r w:rsidR="00895ECE">
              <w:rPr>
                <w:rFonts w:asciiTheme="minorHAnsi" w:hAnsiTheme="minorHAnsi"/>
                <w:sz w:val="22"/>
                <w:szCs w:val="22"/>
              </w:rPr>
              <w:t xml:space="preserve"> certificate. </w:t>
            </w:r>
            <w:r>
              <w:rPr>
                <w:rFonts w:asciiTheme="minorHAnsi" w:hAnsiTheme="minorHAnsi"/>
                <w:sz w:val="22"/>
                <w:szCs w:val="22"/>
              </w:rPr>
              <w:t xml:space="preserve"> Notwithstanding the </w:t>
            </w:r>
            <w:proofErr w:type="spellStart"/>
            <w:r>
              <w:rPr>
                <w:rFonts w:asciiTheme="minorHAnsi" w:hAnsiTheme="minorHAnsi"/>
                <w:sz w:val="22"/>
                <w:szCs w:val="22"/>
              </w:rPr>
              <w:t>RMF</w:t>
            </w:r>
            <w:proofErr w:type="spellEnd"/>
            <w:r>
              <w:rPr>
                <w:rFonts w:asciiTheme="minorHAnsi" w:hAnsiTheme="minorHAnsi"/>
                <w:sz w:val="22"/>
                <w:szCs w:val="22"/>
              </w:rPr>
              <w:t xml:space="preserve"> Guidelines, which require correction, the Cabinet Handbook gives no capacity for a Minister to approve a regulatory proposal proceeding to Cabinet in the absence of </w:t>
            </w:r>
            <w:proofErr w:type="spellStart"/>
            <w:r>
              <w:rPr>
                <w:rFonts w:asciiTheme="minorHAnsi" w:hAnsiTheme="minorHAnsi"/>
                <w:sz w:val="22"/>
                <w:szCs w:val="22"/>
              </w:rPr>
              <w:t>RIS</w:t>
            </w:r>
            <w:proofErr w:type="spellEnd"/>
            <w:r>
              <w:rPr>
                <w:rFonts w:asciiTheme="minorHAnsi" w:hAnsiTheme="minorHAnsi"/>
                <w:sz w:val="22"/>
                <w:szCs w:val="22"/>
              </w:rPr>
              <w:t xml:space="preserve"> Certification. </w:t>
            </w:r>
            <w:r w:rsidR="000D5736">
              <w:rPr>
                <w:rFonts w:asciiTheme="minorHAnsi" w:hAnsiTheme="minorHAnsi"/>
                <w:sz w:val="22"/>
                <w:szCs w:val="22"/>
              </w:rPr>
              <w:t xml:space="preserve"> If a Minister wished to bring a proposal to Cabinet </w:t>
            </w:r>
            <w:r w:rsidR="00615849">
              <w:rPr>
                <w:rFonts w:asciiTheme="minorHAnsi" w:hAnsiTheme="minorHAnsi"/>
                <w:sz w:val="22"/>
                <w:szCs w:val="22"/>
              </w:rPr>
              <w:t>without a</w:t>
            </w:r>
            <w:r w:rsidR="000D5736">
              <w:rPr>
                <w:rFonts w:asciiTheme="minorHAnsi" w:hAnsiTheme="minorHAnsi"/>
                <w:sz w:val="22"/>
                <w:szCs w:val="22"/>
              </w:rPr>
              <w:t xml:space="preserve"> </w:t>
            </w:r>
            <w:proofErr w:type="spellStart"/>
            <w:r w:rsidR="000D5736">
              <w:rPr>
                <w:rFonts w:asciiTheme="minorHAnsi" w:hAnsiTheme="minorHAnsi"/>
                <w:sz w:val="22"/>
                <w:szCs w:val="22"/>
              </w:rPr>
              <w:t>RIS</w:t>
            </w:r>
            <w:proofErr w:type="spellEnd"/>
            <w:r w:rsidR="000D5736">
              <w:rPr>
                <w:rFonts w:asciiTheme="minorHAnsi" w:hAnsiTheme="minorHAnsi"/>
                <w:sz w:val="22"/>
                <w:szCs w:val="22"/>
              </w:rPr>
              <w:t xml:space="preserve"> certificat</w:t>
            </w:r>
            <w:r w:rsidR="00615849">
              <w:rPr>
                <w:rFonts w:asciiTheme="minorHAnsi" w:hAnsiTheme="minorHAnsi"/>
                <w:sz w:val="22"/>
                <w:szCs w:val="22"/>
              </w:rPr>
              <w:t>e</w:t>
            </w:r>
            <w:r w:rsidR="000D5736">
              <w:rPr>
                <w:rFonts w:asciiTheme="minorHAnsi" w:hAnsiTheme="minorHAnsi"/>
                <w:sz w:val="22"/>
                <w:szCs w:val="22"/>
              </w:rPr>
              <w:t>, he</w:t>
            </w:r>
            <w:r w:rsidR="00615849">
              <w:rPr>
                <w:rFonts w:asciiTheme="minorHAnsi" w:hAnsiTheme="minorHAnsi"/>
                <w:sz w:val="22"/>
                <w:szCs w:val="22"/>
              </w:rPr>
              <w:t>/she</w:t>
            </w:r>
            <w:r w:rsidR="000D5736">
              <w:rPr>
                <w:rFonts w:asciiTheme="minorHAnsi" w:hAnsiTheme="minorHAnsi"/>
                <w:sz w:val="22"/>
                <w:szCs w:val="22"/>
              </w:rPr>
              <w:t xml:space="preserve"> would need to prevail upon the Chief Minister (who authorises the Cabinet business list) to overrule the Cabinet Office.</w:t>
            </w:r>
            <w:r w:rsidR="00615849">
              <w:rPr>
                <w:rFonts w:asciiTheme="minorHAnsi" w:hAnsiTheme="minorHAnsi"/>
                <w:sz w:val="22"/>
                <w:szCs w:val="22"/>
              </w:rPr>
              <w:t xml:space="preserve">  There are no known instances of this occurring.</w:t>
            </w:r>
          </w:p>
          <w:p w:rsidR="0067398F" w:rsidRDefault="0067398F" w:rsidP="004D7CB8">
            <w:pPr>
              <w:pStyle w:val="BodyText"/>
              <w:spacing w:before="0"/>
              <w:jc w:val="left"/>
              <w:rPr>
                <w:rFonts w:asciiTheme="minorHAnsi" w:hAnsiTheme="minorHAnsi"/>
                <w:sz w:val="22"/>
                <w:szCs w:val="22"/>
              </w:rPr>
            </w:pPr>
          </w:p>
          <w:p w:rsidR="003259A0" w:rsidRDefault="0067398F" w:rsidP="003259A0">
            <w:pPr>
              <w:pStyle w:val="BodyText"/>
              <w:spacing w:before="0"/>
              <w:jc w:val="left"/>
              <w:rPr>
                <w:rFonts w:asciiTheme="minorHAnsi" w:hAnsiTheme="minorHAnsi"/>
                <w:sz w:val="22"/>
                <w:szCs w:val="22"/>
              </w:rPr>
            </w:pPr>
            <w:r>
              <w:rPr>
                <w:rFonts w:asciiTheme="minorHAnsi" w:hAnsiTheme="minorHAnsi"/>
                <w:sz w:val="22"/>
                <w:szCs w:val="22"/>
              </w:rPr>
              <w:t xml:space="preserve">In relation to a </w:t>
            </w:r>
            <w:proofErr w:type="spellStart"/>
            <w:r>
              <w:rPr>
                <w:rFonts w:asciiTheme="minorHAnsi" w:hAnsiTheme="minorHAnsi"/>
                <w:sz w:val="22"/>
                <w:szCs w:val="22"/>
              </w:rPr>
              <w:t>RIS</w:t>
            </w:r>
            <w:proofErr w:type="spellEnd"/>
            <w:r>
              <w:rPr>
                <w:rFonts w:asciiTheme="minorHAnsi" w:hAnsiTheme="minorHAnsi"/>
                <w:sz w:val="22"/>
                <w:szCs w:val="22"/>
              </w:rPr>
              <w:t xml:space="preserve"> certificate issued with an annotated qualification, the discussion above re page 106 refers.</w:t>
            </w:r>
            <w:r w:rsidR="00615849">
              <w:rPr>
                <w:rFonts w:asciiTheme="minorHAnsi" w:hAnsiTheme="minorHAnsi"/>
                <w:sz w:val="22"/>
                <w:szCs w:val="22"/>
              </w:rPr>
              <w:t xml:space="preserve"> </w:t>
            </w:r>
          </w:p>
          <w:p w:rsidR="00895ECE" w:rsidRDefault="00895ECE" w:rsidP="00B627C6">
            <w:pPr>
              <w:pStyle w:val="BodyText"/>
              <w:spacing w:before="0"/>
              <w:rPr>
                <w:rFonts w:asciiTheme="minorHAnsi" w:hAnsiTheme="minorHAnsi"/>
                <w:sz w:val="22"/>
                <w:szCs w:val="22"/>
              </w:rPr>
            </w:pPr>
          </w:p>
        </w:tc>
      </w:tr>
      <w:tr w:rsidR="00895ECE" w:rsidTr="00B84D6B">
        <w:tc>
          <w:tcPr>
            <w:tcW w:w="3080" w:type="dxa"/>
          </w:tcPr>
          <w:p w:rsidR="00895ECE" w:rsidRDefault="00895ECE" w:rsidP="00C56DEA">
            <w:pPr>
              <w:pStyle w:val="BodyText"/>
              <w:spacing w:before="0"/>
              <w:rPr>
                <w:rFonts w:asciiTheme="minorHAnsi" w:hAnsiTheme="minorHAnsi"/>
                <w:sz w:val="22"/>
                <w:szCs w:val="22"/>
              </w:rPr>
            </w:pPr>
            <w:r>
              <w:rPr>
                <w:rFonts w:asciiTheme="minorHAnsi" w:hAnsiTheme="minorHAnsi"/>
                <w:sz w:val="22"/>
                <w:szCs w:val="22"/>
              </w:rPr>
              <w:lastRenderedPageBreak/>
              <w:t xml:space="preserve">Page 287:  Late </w:t>
            </w:r>
            <w:proofErr w:type="spellStart"/>
            <w:r>
              <w:rPr>
                <w:rFonts w:asciiTheme="minorHAnsi" w:hAnsiTheme="minorHAnsi"/>
                <w:sz w:val="22"/>
                <w:szCs w:val="22"/>
              </w:rPr>
              <w:t>RIS</w:t>
            </w:r>
            <w:proofErr w:type="spellEnd"/>
            <w:r>
              <w:rPr>
                <w:rFonts w:asciiTheme="minorHAnsi" w:hAnsiTheme="minorHAnsi"/>
                <w:sz w:val="22"/>
                <w:szCs w:val="22"/>
              </w:rPr>
              <w:t>’ and Post Implementation Reviews</w:t>
            </w:r>
          </w:p>
        </w:tc>
        <w:tc>
          <w:tcPr>
            <w:tcW w:w="3081" w:type="dxa"/>
          </w:tcPr>
          <w:p w:rsidR="00895ECE" w:rsidRDefault="00895ECE" w:rsidP="005A20B0">
            <w:pPr>
              <w:pStyle w:val="Default"/>
              <w:spacing w:line="276" w:lineRule="auto"/>
              <w:rPr>
                <w:rFonts w:asciiTheme="minorHAnsi" w:eastAsia="Times New Roman" w:hAnsiTheme="minorHAnsi"/>
                <w:color w:val="auto"/>
                <w:sz w:val="22"/>
                <w:szCs w:val="22"/>
                <w:lang w:eastAsia="en-AU"/>
              </w:rPr>
            </w:pPr>
            <w:r>
              <w:rPr>
                <w:rFonts w:asciiTheme="minorHAnsi" w:eastAsia="Times New Roman" w:hAnsiTheme="minorHAnsi"/>
                <w:color w:val="auto"/>
                <w:sz w:val="22"/>
                <w:szCs w:val="22"/>
                <w:lang w:eastAsia="en-AU"/>
              </w:rPr>
              <w:t>F</w:t>
            </w:r>
            <w:r w:rsidRPr="007200D5">
              <w:rPr>
                <w:rFonts w:asciiTheme="minorHAnsi" w:eastAsia="Times New Roman" w:hAnsiTheme="minorHAnsi"/>
                <w:color w:val="auto"/>
                <w:sz w:val="22"/>
                <w:szCs w:val="22"/>
                <w:lang w:eastAsia="en-AU"/>
              </w:rPr>
              <w:t xml:space="preserve">or COAG, New South Wales (for subordinate legislation), Victoria (for subordinate legislation), South Australia and the Northern Territory, a </w:t>
            </w:r>
            <w:proofErr w:type="spellStart"/>
            <w:r w:rsidRPr="007200D5">
              <w:rPr>
                <w:rFonts w:asciiTheme="minorHAnsi" w:eastAsia="Times New Roman" w:hAnsiTheme="minorHAnsi"/>
                <w:color w:val="auto"/>
                <w:sz w:val="22"/>
                <w:szCs w:val="22"/>
                <w:lang w:eastAsia="en-AU"/>
              </w:rPr>
              <w:t>RIS</w:t>
            </w:r>
            <w:proofErr w:type="spellEnd"/>
            <w:r w:rsidRPr="007200D5">
              <w:rPr>
                <w:rFonts w:asciiTheme="minorHAnsi" w:eastAsia="Times New Roman" w:hAnsiTheme="minorHAnsi"/>
                <w:color w:val="auto"/>
                <w:sz w:val="22"/>
                <w:szCs w:val="22"/>
                <w:lang w:eastAsia="en-AU"/>
              </w:rPr>
              <w:t xml:space="preserve"> has to be prepared within twelve months of making the regulation (that is, a ‘late </w:t>
            </w:r>
            <w:proofErr w:type="spellStart"/>
            <w:r w:rsidRPr="007200D5">
              <w:rPr>
                <w:rFonts w:asciiTheme="minorHAnsi" w:eastAsia="Times New Roman" w:hAnsiTheme="minorHAnsi"/>
                <w:color w:val="auto"/>
                <w:sz w:val="22"/>
                <w:szCs w:val="22"/>
                <w:lang w:eastAsia="en-AU"/>
              </w:rPr>
              <w:t>RIS</w:t>
            </w:r>
            <w:proofErr w:type="spellEnd"/>
            <w:r w:rsidRPr="007200D5">
              <w:rPr>
                <w:rFonts w:asciiTheme="minorHAnsi" w:eastAsia="Times New Roman" w:hAnsiTheme="minorHAnsi"/>
                <w:color w:val="auto"/>
                <w:sz w:val="22"/>
                <w:szCs w:val="22"/>
                <w:lang w:eastAsia="en-AU"/>
              </w:rPr>
              <w:t xml:space="preserve">’). </w:t>
            </w:r>
          </w:p>
          <w:p w:rsidR="0041386D" w:rsidRDefault="0041386D" w:rsidP="005A20B0">
            <w:pPr>
              <w:pStyle w:val="Default"/>
              <w:spacing w:line="276" w:lineRule="auto"/>
              <w:rPr>
                <w:rFonts w:asciiTheme="minorHAnsi" w:eastAsia="Times New Roman" w:hAnsiTheme="minorHAnsi"/>
                <w:color w:val="auto"/>
                <w:sz w:val="22"/>
                <w:szCs w:val="22"/>
                <w:lang w:eastAsia="en-AU"/>
              </w:rPr>
            </w:pPr>
          </w:p>
          <w:p w:rsidR="00895ECE" w:rsidRDefault="00895ECE" w:rsidP="0041386D">
            <w:pPr>
              <w:pStyle w:val="Default"/>
              <w:spacing w:line="276" w:lineRule="auto"/>
              <w:rPr>
                <w:rFonts w:asciiTheme="minorHAnsi" w:hAnsiTheme="minorHAnsi"/>
                <w:sz w:val="22"/>
                <w:szCs w:val="22"/>
              </w:rPr>
            </w:pPr>
          </w:p>
        </w:tc>
        <w:tc>
          <w:tcPr>
            <w:tcW w:w="3081" w:type="dxa"/>
          </w:tcPr>
          <w:p w:rsidR="0041386D" w:rsidRDefault="006A788C" w:rsidP="0041386D">
            <w:pPr>
              <w:pStyle w:val="Default"/>
              <w:spacing w:line="276" w:lineRule="auto"/>
              <w:rPr>
                <w:rFonts w:asciiTheme="minorHAnsi" w:hAnsiTheme="minorHAnsi"/>
                <w:sz w:val="22"/>
                <w:szCs w:val="22"/>
              </w:rPr>
            </w:pPr>
            <w:r>
              <w:rPr>
                <w:rFonts w:asciiTheme="minorHAnsi" w:hAnsiTheme="minorHAnsi"/>
                <w:sz w:val="22"/>
                <w:szCs w:val="22"/>
              </w:rPr>
              <w:t xml:space="preserve">It is not clear where this information has been taken from in relation to the NT </w:t>
            </w:r>
            <w:r w:rsidR="00895ECE">
              <w:rPr>
                <w:rFonts w:asciiTheme="minorHAnsi" w:hAnsiTheme="minorHAnsi"/>
                <w:sz w:val="22"/>
                <w:szCs w:val="22"/>
              </w:rPr>
              <w:t xml:space="preserve">(see </w:t>
            </w:r>
            <w:r>
              <w:rPr>
                <w:rFonts w:asciiTheme="minorHAnsi" w:hAnsiTheme="minorHAnsi"/>
                <w:sz w:val="22"/>
                <w:szCs w:val="22"/>
              </w:rPr>
              <w:t xml:space="preserve">comment re </w:t>
            </w:r>
            <w:r w:rsidR="00895ECE">
              <w:rPr>
                <w:rFonts w:asciiTheme="minorHAnsi" w:hAnsiTheme="minorHAnsi"/>
                <w:sz w:val="22"/>
                <w:szCs w:val="22"/>
              </w:rPr>
              <w:t xml:space="preserve">page 148 </w:t>
            </w:r>
            <w:r>
              <w:rPr>
                <w:rFonts w:asciiTheme="minorHAnsi" w:hAnsiTheme="minorHAnsi"/>
                <w:sz w:val="22"/>
                <w:szCs w:val="22"/>
              </w:rPr>
              <w:t>above</w:t>
            </w:r>
            <w:r w:rsidR="00895ECE">
              <w:rPr>
                <w:rFonts w:asciiTheme="minorHAnsi" w:hAnsiTheme="minorHAnsi"/>
                <w:sz w:val="22"/>
                <w:szCs w:val="22"/>
              </w:rPr>
              <w:t>)</w:t>
            </w:r>
            <w:r w:rsidR="00DC31BA">
              <w:rPr>
                <w:rFonts w:asciiTheme="minorHAnsi" w:hAnsiTheme="minorHAnsi"/>
                <w:sz w:val="22"/>
                <w:szCs w:val="22"/>
              </w:rPr>
              <w:t>.</w:t>
            </w:r>
            <w:r w:rsidR="008121E5">
              <w:rPr>
                <w:rFonts w:asciiTheme="minorHAnsi" w:hAnsiTheme="minorHAnsi"/>
                <w:sz w:val="22"/>
                <w:szCs w:val="22"/>
              </w:rPr>
              <w:t xml:space="preserve"> </w:t>
            </w:r>
          </w:p>
          <w:p w:rsidR="0041386D" w:rsidRDefault="0041386D" w:rsidP="0041386D">
            <w:pPr>
              <w:pStyle w:val="Default"/>
              <w:spacing w:line="276" w:lineRule="auto"/>
              <w:rPr>
                <w:rFonts w:asciiTheme="minorHAnsi" w:hAnsiTheme="minorHAnsi"/>
                <w:sz w:val="22"/>
                <w:szCs w:val="22"/>
              </w:rPr>
            </w:pPr>
          </w:p>
          <w:p w:rsidR="0041386D" w:rsidRPr="007200D5" w:rsidRDefault="0041386D" w:rsidP="0041386D">
            <w:pPr>
              <w:pStyle w:val="Default"/>
              <w:spacing w:line="276" w:lineRule="auto"/>
              <w:rPr>
                <w:rFonts w:asciiTheme="minorHAnsi" w:eastAsia="Times New Roman" w:hAnsiTheme="minorHAnsi"/>
                <w:color w:val="auto"/>
                <w:sz w:val="22"/>
                <w:szCs w:val="22"/>
                <w:lang w:eastAsia="en-AU"/>
              </w:rPr>
            </w:pPr>
            <w:r w:rsidRPr="005268E1">
              <w:rPr>
                <w:rFonts w:asciiTheme="minorHAnsi" w:eastAsia="Times New Roman" w:hAnsiTheme="minorHAnsi"/>
                <w:color w:val="auto"/>
                <w:sz w:val="22"/>
                <w:szCs w:val="22"/>
                <w:lang w:eastAsia="en-AU"/>
              </w:rPr>
              <w:t xml:space="preserve">Table 9.2 </w:t>
            </w:r>
            <w:r w:rsidR="00A51534">
              <w:rPr>
                <w:rFonts w:asciiTheme="minorHAnsi" w:eastAsia="Times New Roman" w:hAnsiTheme="minorHAnsi"/>
                <w:color w:val="auto"/>
                <w:sz w:val="22"/>
                <w:szCs w:val="22"/>
                <w:lang w:eastAsia="en-AU"/>
              </w:rPr>
              <w:t>‘</w:t>
            </w:r>
            <w:r w:rsidRPr="005268E1">
              <w:rPr>
                <w:rFonts w:asciiTheme="minorHAnsi" w:eastAsia="Times New Roman" w:hAnsiTheme="minorHAnsi"/>
                <w:color w:val="auto"/>
                <w:sz w:val="22"/>
                <w:szCs w:val="22"/>
                <w:lang w:eastAsia="en-AU"/>
              </w:rPr>
              <w:t xml:space="preserve">Processes for ex post review following </w:t>
            </w:r>
            <w:proofErr w:type="spellStart"/>
            <w:r w:rsidRPr="005268E1">
              <w:rPr>
                <w:rFonts w:asciiTheme="minorHAnsi" w:eastAsia="Times New Roman" w:hAnsiTheme="minorHAnsi"/>
                <w:color w:val="auto"/>
                <w:sz w:val="22"/>
                <w:szCs w:val="22"/>
                <w:lang w:eastAsia="en-AU"/>
              </w:rPr>
              <w:t>RIS</w:t>
            </w:r>
            <w:proofErr w:type="spellEnd"/>
            <w:r w:rsidRPr="005268E1">
              <w:rPr>
                <w:rFonts w:asciiTheme="minorHAnsi" w:eastAsia="Times New Roman" w:hAnsiTheme="minorHAnsi"/>
                <w:color w:val="auto"/>
                <w:sz w:val="22"/>
                <w:szCs w:val="22"/>
                <w:lang w:eastAsia="en-AU"/>
              </w:rPr>
              <w:t xml:space="preserve"> exemption or non-compliance</w:t>
            </w:r>
            <w:r w:rsidR="00A51534">
              <w:rPr>
                <w:rFonts w:asciiTheme="minorHAnsi" w:eastAsia="Times New Roman" w:hAnsiTheme="minorHAnsi"/>
                <w:color w:val="auto"/>
                <w:sz w:val="22"/>
                <w:szCs w:val="22"/>
                <w:lang w:eastAsia="en-AU"/>
              </w:rPr>
              <w:t>’</w:t>
            </w:r>
            <w:r>
              <w:rPr>
                <w:rFonts w:asciiTheme="minorHAnsi" w:eastAsia="Times New Roman" w:hAnsiTheme="minorHAnsi"/>
                <w:color w:val="auto"/>
                <w:sz w:val="22"/>
                <w:szCs w:val="22"/>
                <w:lang w:eastAsia="en-AU"/>
              </w:rPr>
              <w:t xml:space="preserve"> should be altered to reflect comments regarding postponements</w:t>
            </w:r>
            <w:r w:rsidR="00A51534">
              <w:rPr>
                <w:rFonts w:asciiTheme="minorHAnsi" w:eastAsia="Times New Roman" w:hAnsiTheme="minorHAnsi"/>
                <w:color w:val="auto"/>
                <w:sz w:val="22"/>
                <w:szCs w:val="22"/>
                <w:lang w:eastAsia="en-AU"/>
              </w:rPr>
              <w:t xml:space="preserve"> </w:t>
            </w:r>
            <w:r w:rsidR="000159A0">
              <w:rPr>
                <w:rFonts w:asciiTheme="minorHAnsi" w:eastAsia="Times New Roman" w:hAnsiTheme="minorHAnsi"/>
                <w:color w:val="auto"/>
                <w:sz w:val="22"/>
                <w:szCs w:val="22"/>
                <w:lang w:eastAsia="en-AU"/>
              </w:rPr>
              <w:t>(</w:t>
            </w:r>
            <w:r w:rsidR="00A51534">
              <w:rPr>
                <w:rFonts w:asciiTheme="minorHAnsi" w:eastAsia="Times New Roman" w:hAnsiTheme="minorHAnsi"/>
                <w:color w:val="auto"/>
                <w:sz w:val="22"/>
                <w:szCs w:val="22"/>
                <w:lang w:eastAsia="en-AU"/>
              </w:rPr>
              <w:t>re page 148 above)</w:t>
            </w:r>
            <w:r>
              <w:rPr>
                <w:rFonts w:asciiTheme="minorHAnsi" w:eastAsia="Times New Roman" w:hAnsiTheme="minorHAnsi"/>
                <w:color w:val="auto"/>
                <w:sz w:val="22"/>
                <w:szCs w:val="22"/>
                <w:lang w:eastAsia="en-AU"/>
              </w:rPr>
              <w:t>.</w:t>
            </w:r>
            <w:r w:rsidR="00883C66">
              <w:rPr>
                <w:rFonts w:asciiTheme="minorHAnsi" w:eastAsia="Times New Roman" w:hAnsiTheme="minorHAnsi"/>
                <w:color w:val="auto"/>
                <w:sz w:val="22"/>
                <w:szCs w:val="22"/>
                <w:lang w:eastAsia="en-AU"/>
              </w:rPr>
              <w:t xml:space="preserve"> Late </w:t>
            </w:r>
            <w:proofErr w:type="spellStart"/>
            <w:r w:rsidR="00883C66">
              <w:rPr>
                <w:rFonts w:asciiTheme="minorHAnsi" w:eastAsia="Times New Roman" w:hAnsiTheme="minorHAnsi"/>
                <w:color w:val="auto"/>
                <w:sz w:val="22"/>
                <w:szCs w:val="22"/>
                <w:lang w:eastAsia="en-AU"/>
              </w:rPr>
              <w:t>RIS</w:t>
            </w:r>
            <w:proofErr w:type="spellEnd"/>
            <w:r w:rsidR="00883C66">
              <w:rPr>
                <w:rFonts w:asciiTheme="minorHAnsi" w:eastAsia="Times New Roman" w:hAnsiTheme="minorHAnsi"/>
                <w:color w:val="auto"/>
                <w:sz w:val="22"/>
                <w:szCs w:val="22"/>
                <w:lang w:eastAsia="en-AU"/>
              </w:rPr>
              <w:t xml:space="preserve"> (exemptions) </w:t>
            </w:r>
            <w:r w:rsidR="006F5B92">
              <w:rPr>
                <w:rFonts w:asciiTheme="minorHAnsi" w:eastAsia="Times New Roman" w:hAnsiTheme="minorHAnsi"/>
                <w:color w:val="auto"/>
                <w:sz w:val="22"/>
                <w:szCs w:val="22"/>
                <w:lang w:eastAsia="en-AU"/>
              </w:rPr>
              <w:t>are not applicable to the NT.</w:t>
            </w:r>
            <w:r w:rsidR="00883C66">
              <w:rPr>
                <w:rFonts w:asciiTheme="minorHAnsi" w:eastAsia="Times New Roman" w:hAnsiTheme="minorHAnsi"/>
                <w:color w:val="auto"/>
                <w:sz w:val="22"/>
                <w:szCs w:val="22"/>
                <w:lang w:eastAsia="en-AU"/>
              </w:rPr>
              <w:t xml:space="preserve"> </w:t>
            </w:r>
          </w:p>
          <w:p w:rsidR="00895ECE" w:rsidRDefault="00895ECE" w:rsidP="006A788C">
            <w:pPr>
              <w:pStyle w:val="BodyText"/>
              <w:spacing w:before="0"/>
              <w:jc w:val="left"/>
              <w:rPr>
                <w:rFonts w:asciiTheme="minorHAnsi" w:hAnsiTheme="minorHAnsi"/>
                <w:sz w:val="22"/>
                <w:szCs w:val="22"/>
              </w:rPr>
            </w:pPr>
          </w:p>
        </w:tc>
      </w:tr>
    </w:tbl>
    <w:p w:rsidR="009037AA" w:rsidRDefault="009037AA" w:rsidP="00195961">
      <w:pPr>
        <w:pStyle w:val="ListParagraph"/>
        <w:ind w:left="426"/>
        <w:rPr>
          <w:rFonts w:asciiTheme="minorHAnsi" w:hAnsiTheme="minorHAnsi"/>
          <w:b/>
          <w:sz w:val="24"/>
        </w:rPr>
      </w:pPr>
    </w:p>
    <w:p w:rsidR="00032B2F" w:rsidRDefault="00032B2F" w:rsidP="00195961">
      <w:pPr>
        <w:pStyle w:val="ListParagraph"/>
        <w:ind w:left="426"/>
        <w:rPr>
          <w:rFonts w:asciiTheme="minorHAnsi" w:hAnsiTheme="minorHAnsi"/>
          <w:b/>
          <w:sz w:val="24"/>
        </w:rPr>
      </w:pPr>
    </w:p>
    <w:p w:rsidR="00C56DEA" w:rsidRPr="00195961" w:rsidRDefault="00C56DEA" w:rsidP="00195961">
      <w:pPr>
        <w:pStyle w:val="ListParagraph"/>
        <w:numPr>
          <w:ilvl w:val="0"/>
          <w:numId w:val="12"/>
        </w:numPr>
        <w:rPr>
          <w:rFonts w:asciiTheme="minorHAnsi" w:hAnsiTheme="minorHAnsi"/>
          <w:b/>
          <w:sz w:val="24"/>
        </w:rPr>
      </w:pPr>
      <w:r w:rsidRPr="00195961">
        <w:rPr>
          <w:rFonts w:asciiTheme="minorHAnsi" w:hAnsiTheme="minorHAnsi"/>
          <w:b/>
          <w:sz w:val="24"/>
        </w:rPr>
        <w:t xml:space="preserve">Information requests in the </w:t>
      </w:r>
      <w:proofErr w:type="spellStart"/>
      <w:r w:rsidRPr="00195961">
        <w:rPr>
          <w:rFonts w:asciiTheme="minorHAnsi" w:hAnsiTheme="minorHAnsi"/>
          <w:b/>
          <w:sz w:val="24"/>
        </w:rPr>
        <w:t>RIA</w:t>
      </w:r>
      <w:proofErr w:type="spellEnd"/>
      <w:r w:rsidRPr="00195961">
        <w:rPr>
          <w:rFonts w:asciiTheme="minorHAnsi" w:hAnsiTheme="minorHAnsi"/>
          <w:b/>
          <w:sz w:val="24"/>
        </w:rPr>
        <w:t xml:space="preserve"> Benchmarking report</w:t>
      </w:r>
    </w:p>
    <w:p w:rsidR="00543536" w:rsidRPr="00D762EF" w:rsidRDefault="00543536" w:rsidP="00543536">
      <w:pPr>
        <w:pStyle w:val="ListParagraph"/>
        <w:ind w:left="360"/>
        <w:rPr>
          <w:rFonts w:ascii="Arial" w:hAnsi="Arial" w:cs="Arial"/>
        </w:rPr>
      </w:pPr>
    </w:p>
    <w:p w:rsidR="00C56DEA" w:rsidRPr="00683195" w:rsidRDefault="00C56DEA" w:rsidP="00C56DEA">
      <w:pPr>
        <w:rPr>
          <w:rFonts w:cs="Arial"/>
          <w:sz w:val="24"/>
          <w:szCs w:val="24"/>
        </w:rPr>
      </w:pPr>
      <w:r>
        <w:rPr>
          <w:sz w:val="20"/>
          <w:szCs w:val="20"/>
        </w:rPr>
        <w:lastRenderedPageBreak/>
        <w:t> </w:t>
      </w:r>
      <w:proofErr w:type="spellStart"/>
      <w:r w:rsidRPr="00683195">
        <w:rPr>
          <w:rFonts w:cs="Arial"/>
          <w:i/>
          <w:iCs/>
          <w:sz w:val="24"/>
          <w:szCs w:val="24"/>
        </w:rPr>
        <w:t>RIA</w:t>
      </w:r>
      <w:proofErr w:type="spellEnd"/>
      <w:r w:rsidRPr="00683195">
        <w:rPr>
          <w:rFonts w:cs="Arial"/>
          <w:i/>
          <w:iCs/>
          <w:sz w:val="24"/>
          <w:szCs w:val="24"/>
        </w:rPr>
        <w:t xml:space="preserve"> scope</w:t>
      </w:r>
    </w:p>
    <w:p w:rsidR="00C56DEA" w:rsidRPr="00683195" w:rsidRDefault="00C56DEA" w:rsidP="00C56DEA">
      <w:pPr>
        <w:numPr>
          <w:ilvl w:val="0"/>
          <w:numId w:val="5"/>
        </w:numPr>
        <w:spacing w:before="100" w:beforeAutospacing="1" w:after="100" w:afterAutospacing="1" w:line="240" w:lineRule="auto"/>
        <w:ind w:firstLine="131"/>
        <w:rPr>
          <w:rFonts w:cs="Arial"/>
          <w:sz w:val="24"/>
          <w:szCs w:val="24"/>
        </w:rPr>
      </w:pPr>
      <w:r w:rsidRPr="00683195">
        <w:rPr>
          <w:rFonts w:cs="Arial"/>
          <w:sz w:val="24"/>
          <w:szCs w:val="24"/>
        </w:rPr>
        <w:t xml:space="preserve">If a proposal has already been assessed as not triggering the </w:t>
      </w:r>
      <w:proofErr w:type="spellStart"/>
      <w:r w:rsidRPr="00683195">
        <w:rPr>
          <w:rFonts w:cs="Arial"/>
          <w:sz w:val="24"/>
          <w:szCs w:val="24"/>
        </w:rPr>
        <w:t>RIS</w:t>
      </w:r>
      <w:proofErr w:type="spellEnd"/>
      <w:r w:rsidRPr="00683195">
        <w:rPr>
          <w:rFonts w:cs="Arial"/>
          <w:sz w:val="24"/>
          <w:szCs w:val="24"/>
        </w:rPr>
        <w:t xml:space="preserve"> requirements, are the benefits of requiring additional analysis and documentation for that proposal likely to outweigh the costs of satisfying such requirements?</w:t>
      </w:r>
    </w:p>
    <w:p w:rsidR="00C56DEA" w:rsidRPr="00CA25CD" w:rsidRDefault="00C56DEA" w:rsidP="00C56DEA">
      <w:pPr>
        <w:spacing w:before="100" w:beforeAutospacing="1" w:after="100" w:afterAutospacing="1"/>
        <w:rPr>
          <w:rFonts w:cs="Arial"/>
          <w:sz w:val="24"/>
          <w:szCs w:val="24"/>
        </w:rPr>
      </w:pPr>
      <w:r w:rsidRPr="00CA25CD">
        <w:rPr>
          <w:rFonts w:cs="Arial"/>
          <w:sz w:val="24"/>
          <w:szCs w:val="24"/>
        </w:rPr>
        <w:t xml:space="preserve">In the </w:t>
      </w:r>
      <w:r w:rsidR="003E0659" w:rsidRPr="00CA25CD">
        <w:rPr>
          <w:rFonts w:cs="Arial"/>
          <w:sz w:val="24"/>
          <w:szCs w:val="24"/>
        </w:rPr>
        <w:t xml:space="preserve">Northern </w:t>
      </w:r>
      <w:r w:rsidRPr="00CA25CD">
        <w:rPr>
          <w:rFonts w:cs="Arial"/>
          <w:sz w:val="24"/>
          <w:szCs w:val="24"/>
        </w:rPr>
        <w:t xml:space="preserve">Territory, for a proposal to be </w:t>
      </w:r>
      <w:r w:rsidR="006D5389" w:rsidRPr="00CA25CD">
        <w:rPr>
          <w:rFonts w:cs="Arial"/>
          <w:sz w:val="24"/>
          <w:szCs w:val="24"/>
        </w:rPr>
        <w:t>assessed as not requiring</w:t>
      </w:r>
      <w:r w:rsidRPr="00CA25CD">
        <w:rPr>
          <w:rFonts w:cs="Arial"/>
          <w:sz w:val="24"/>
          <w:szCs w:val="24"/>
        </w:rPr>
        <w:t xml:space="preserve"> a full </w:t>
      </w:r>
      <w:proofErr w:type="spellStart"/>
      <w:r w:rsidRPr="00CA25CD">
        <w:rPr>
          <w:rFonts w:cs="Arial"/>
          <w:sz w:val="24"/>
          <w:szCs w:val="24"/>
        </w:rPr>
        <w:t>RIS</w:t>
      </w:r>
      <w:proofErr w:type="spellEnd"/>
      <w:r w:rsidRPr="00CA25CD">
        <w:rPr>
          <w:rFonts w:cs="Arial"/>
          <w:sz w:val="24"/>
          <w:szCs w:val="24"/>
        </w:rPr>
        <w:t xml:space="preserve"> it would </w:t>
      </w:r>
      <w:r w:rsidR="003E0659" w:rsidRPr="00CA25CD">
        <w:rPr>
          <w:rFonts w:cs="Arial"/>
          <w:sz w:val="24"/>
          <w:szCs w:val="24"/>
        </w:rPr>
        <w:t xml:space="preserve">need </w:t>
      </w:r>
      <w:r w:rsidRPr="00CA25CD">
        <w:rPr>
          <w:rFonts w:cs="Arial"/>
          <w:sz w:val="24"/>
          <w:szCs w:val="24"/>
        </w:rPr>
        <w:t xml:space="preserve">to have </w:t>
      </w:r>
      <w:r w:rsidR="006D5389" w:rsidRPr="00CA25CD">
        <w:rPr>
          <w:rFonts w:cs="Arial"/>
          <w:sz w:val="24"/>
          <w:szCs w:val="24"/>
        </w:rPr>
        <w:t xml:space="preserve">negligible </w:t>
      </w:r>
      <w:r w:rsidRPr="00CA25CD">
        <w:rPr>
          <w:rFonts w:cs="Arial"/>
          <w:sz w:val="24"/>
          <w:szCs w:val="24"/>
        </w:rPr>
        <w:t>economic or competition impacts</w:t>
      </w:r>
      <w:r w:rsidR="006D5389" w:rsidRPr="00CA25CD">
        <w:rPr>
          <w:rFonts w:cs="Arial"/>
          <w:sz w:val="24"/>
          <w:szCs w:val="24"/>
        </w:rPr>
        <w:t xml:space="preserve"> or alternatively, a clear and obvious net public benefit</w:t>
      </w:r>
      <w:r w:rsidRPr="00CA25CD">
        <w:rPr>
          <w:rFonts w:cs="Arial"/>
          <w:sz w:val="24"/>
          <w:szCs w:val="24"/>
        </w:rPr>
        <w:t xml:space="preserve">. As such, the costs of requiring additional analysis and documentation for that proposal would in most instances significantly outweigh the benefits of satisfying such requirements. </w:t>
      </w:r>
    </w:p>
    <w:p w:rsidR="00C56DEA" w:rsidRPr="00683195" w:rsidRDefault="00C56DEA" w:rsidP="00C56DEA">
      <w:pPr>
        <w:ind w:firstLine="131"/>
        <w:rPr>
          <w:rFonts w:cs="Arial"/>
          <w:sz w:val="24"/>
          <w:szCs w:val="24"/>
        </w:rPr>
      </w:pPr>
      <w:proofErr w:type="spellStart"/>
      <w:r w:rsidRPr="00683195">
        <w:rPr>
          <w:rFonts w:cs="Arial"/>
          <w:i/>
          <w:iCs/>
          <w:sz w:val="24"/>
          <w:szCs w:val="24"/>
        </w:rPr>
        <w:t>RIA</w:t>
      </w:r>
      <w:proofErr w:type="spellEnd"/>
      <w:r w:rsidRPr="00683195">
        <w:rPr>
          <w:rFonts w:cs="Arial"/>
          <w:i/>
          <w:iCs/>
          <w:sz w:val="24"/>
          <w:szCs w:val="24"/>
        </w:rPr>
        <w:t xml:space="preserve"> exceptions and exemptions</w:t>
      </w:r>
    </w:p>
    <w:p w:rsidR="00C56DEA" w:rsidRPr="00683195" w:rsidRDefault="00C56DEA" w:rsidP="00C56DEA">
      <w:pPr>
        <w:numPr>
          <w:ilvl w:val="0"/>
          <w:numId w:val="6"/>
        </w:numPr>
        <w:spacing w:before="100" w:beforeAutospacing="1" w:after="100" w:afterAutospacing="1" w:line="240" w:lineRule="auto"/>
        <w:ind w:firstLine="131"/>
        <w:rPr>
          <w:rFonts w:cs="Arial"/>
          <w:sz w:val="24"/>
          <w:szCs w:val="24"/>
        </w:rPr>
      </w:pPr>
      <w:r w:rsidRPr="00683195">
        <w:rPr>
          <w:rFonts w:cs="Arial"/>
          <w:sz w:val="24"/>
          <w:szCs w:val="24"/>
        </w:rPr>
        <w:t xml:space="preserve">The Commission seeks further information on the extent to which clauses in enabling legislation are being used to explicitly exclude the application of </w:t>
      </w:r>
      <w:proofErr w:type="spellStart"/>
      <w:r w:rsidRPr="00683195">
        <w:rPr>
          <w:rFonts w:cs="Arial"/>
          <w:sz w:val="24"/>
          <w:szCs w:val="24"/>
        </w:rPr>
        <w:t>RIA</w:t>
      </w:r>
      <w:proofErr w:type="spellEnd"/>
      <w:r w:rsidRPr="00683195">
        <w:rPr>
          <w:rFonts w:cs="Arial"/>
          <w:sz w:val="24"/>
          <w:szCs w:val="24"/>
        </w:rPr>
        <w:t>.</w:t>
      </w:r>
    </w:p>
    <w:p w:rsidR="003B108C" w:rsidRPr="004165C5" w:rsidRDefault="003B108C" w:rsidP="003B108C">
      <w:pPr>
        <w:spacing w:before="100" w:beforeAutospacing="1" w:after="100" w:afterAutospacing="1" w:line="240" w:lineRule="auto"/>
        <w:rPr>
          <w:rFonts w:cs="Arial"/>
          <w:sz w:val="24"/>
          <w:szCs w:val="24"/>
        </w:rPr>
      </w:pPr>
      <w:r w:rsidRPr="004165C5">
        <w:rPr>
          <w:rFonts w:cs="Arial"/>
          <w:sz w:val="24"/>
          <w:szCs w:val="24"/>
        </w:rPr>
        <w:t>This does not occur in the Territory.</w:t>
      </w:r>
    </w:p>
    <w:p w:rsidR="00C56DEA" w:rsidRPr="00683195" w:rsidRDefault="00C56DEA" w:rsidP="00C56DEA">
      <w:pPr>
        <w:numPr>
          <w:ilvl w:val="0"/>
          <w:numId w:val="7"/>
        </w:numPr>
        <w:spacing w:before="100" w:beforeAutospacing="1" w:after="100" w:afterAutospacing="1" w:line="240" w:lineRule="auto"/>
        <w:ind w:firstLine="131"/>
        <w:rPr>
          <w:rFonts w:cs="Arial"/>
          <w:sz w:val="24"/>
          <w:szCs w:val="24"/>
        </w:rPr>
      </w:pPr>
      <w:r w:rsidRPr="00683195">
        <w:rPr>
          <w:rFonts w:cs="Arial"/>
          <w:sz w:val="24"/>
          <w:szCs w:val="24"/>
        </w:rPr>
        <w:t xml:space="preserve">The Commission seeks further information from jurisdictions on the extent to which such proposal-specific ‘exceptions’ to </w:t>
      </w:r>
      <w:proofErr w:type="spellStart"/>
      <w:r w:rsidRPr="00683195">
        <w:rPr>
          <w:rFonts w:cs="Arial"/>
          <w:sz w:val="24"/>
          <w:szCs w:val="24"/>
        </w:rPr>
        <w:t>RIA</w:t>
      </w:r>
      <w:proofErr w:type="spellEnd"/>
      <w:r w:rsidRPr="00683195">
        <w:rPr>
          <w:rFonts w:cs="Arial"/>
          <w:sz w:val="24"/>
          <w:szCs w:val="24"/>
        </w:rPr>
        <w:t xml:space="preserve"> exist, and where relevant, details of:</w:t>
      </w:r>
    </w:p>
    <w:p w:rsidR="00C56DEA" w:rsidRPr="00683195" w:rsidRDefault="00C56DEA" w:rsidP="00C56DEA">
      <w:pPr>
        <w:numPr>
          <w:ilvl w:val="1"/>
          <w:numId w:val="8"/>
        </w:numPr>
        <w:spacing w:before="100" w:beforeAutospacing="1" w:after="100" w:afterAutospacing="1" w:line="240" w:lineRule="auto"/>
        <w:rPr>
          <w:rFonts w:cs="Arial"/>
          <w:sz w:val="24"/>
          <w:szCs w:val="24"/>
        </w:rPr>
      </w:pPr>
      <w:r w:rsidRPr="00683195">
        <w:rPr>
          <w:sz w:val="24"/>
          <w:szCs w:val="24"/>
        </w:rPr>
        <w:t> </w:t>
      </w:r>
      <w:r w:rsidRPr="00683195">
        <w:rPr>
          <w:rFonts w:cs="Arial"/>
          <w:sz w:val="24"/>
          <w:szCs w:val="24"/>
        </w:rPr>
        <w:t>the number and types of proposals that have been excepted</w:t>
      </w:r>
    </w:p>
    <w:p w:rsidR="00C56DEA" w:rsidRPr="00683195" w:rsidRDefault="00C56DEA" w:rsidP="00C56DEA">
      <w:pPr>
        <w:numPr>
          <w:ilvl w:val="1"/>
          <w:numId w:val="8"/>
        </w:numPr>
        <w:spacing w:before="100" w:beforeAutospacing="1" w:after="100" w:afterAutospacing="1" w:line="240" w:lineRule="auto"/>
        <w:rPr>
          <w:rFonts w:cs="Arial"/>
          <w:sz w:val="24"/>
          <w:szCs w:val="24"/>
        </w:rPr>
      </w:pPr>
      <w:r w:rsidRPr="00683195">
        <w:rPr>
          <w:rFonts w:cs="Arial"/>
          <w:sz w:val="24"/>
          <w:szCs w:val="24"/>
        </w:rPr>
        <w:t>the general criteria on which the exceptions are based</w:t>
      </w:r>
    </w:p>
    <w:p w:rsidR="00C56DEA" w:rsidRPr="00683195" w:rsidRDefault="00C56DEA" w:rsidP="00C56DEA">
      <w:pPr>
        <w:numPr>
          <w:ilvl w:val="1"/>
          <w:numId w:val="8"/>
        </w:numPr>
        <w:spacing w:before="100" w:beforeAutospacing="1" w:after="100" w:afterAutospacing="1" w:line="240" w:lineRule="auto"/>
        <w:rPr>
          <w:rFonts w:cs="Arial"/>
          <w:sz w:val="24"/>
          <w:szCs w:val="24"/>
        </w:rPr>
      </w:pPr>
      <w:r w:rsidRPr="00683195">
        <w:rPr>
          <w:sz w:val="24"/>
          <w:szCs w:val="24"/>
        </w:rPr>
        <w:t> </w:t>
      </w:r>
      <w:r w:rsidRPr="00683195">
        <w:rPr>
          <w:rFonts w:cs="Arial"/>
          <w:sz w:val="24"/>
          <w:szCs w:val="24"/>
        </w:rPr>
        <w:t>the process, including the body responsible, for making determinations in relation to particular regulations.</w:t>
      </w:r>
    </w:p>
    <w:p w:rsidR="003B108C" w:rsidRPr="004165C5" w:rsidRDefault="003B108C" w:rsidP="003B108C">
      <w:pPr>
        <w:spacing w:before="100" w:beforeAutospacing="1" w:after="100" w:afterAutospacing="1" w:line="240" w:lineRule="auto"/>
        <w:rPr>
          <w:rFonts w:cs="Arial"/>
          <w:sz w:val="24"/>
          <w:szCs w:val="24"/>
        </w:rPr>
      </w:pPr>
      <w:r w:rsidRPr="004165C5">
        <w:rPr>
          <w:rFonts w:cs="Arial"/>
          <w:sz w:val="24"/>
          <w:szCs w:val="24"/>
        </w:rPr>
        <w:t>As above</w:t>
      </w:r>
    </w:p>
    <w:p w:rsidR="00C56DEA" w:rsidRPr="00683195" w:rsidRDefault="00C56DEA" w:rsidP="00C56DEA">
      <w:pPr>
        <w:ind w:firstLine="131"/>
        <w:rPr>
          <w:rFonts w:cs="Arial"/>
          <w:sz w:val="24"/>
          <w:szCs w:val="24"/>
        </w:rPr>
      </w:pPr>
      <w:r w:rsidRPr="00683195">
        <w:rPr>
          <w:rFonts w:cs="Arial"/>
          <w:i/>
          <w:iCs/>
          <w:sz w:val="24"/>
          <w:szCs w:val="24"/>
        </w:rPr>
        <w:t>Regulatory reviews</w:t>
      </w:r>
    </w:p>
    <w:p w:rsidR="00C56DEA" w:rsidRPr="00683195" w:rsidRDefault="00C56DEA" w:rsidP="00C56DEA">
      <w:pPr>
        <w:numPr>
          <w:ilvl w:val="0"/>
          <w:numId w:val="9"/>
        </w:numPr>
        <w:spacing w:before="100" w:beforeAutospacing="1" w:after="100" w:afterAutospacing="1" w:line="240" w:lineRule="auto"/>
        <w:ind w:firstLine="131"/>
        <w:rPr>
          <w:rFonts w:cs="Arial"/>
          <w:sz w:val="24"/>
          <w:szCs w:val="24"/>
        </w:rPr>
      </w:pPr>
      <w:r w:rsidRPr="00683195">
        <w:rPr>
          <w:rFonts w:cs="Arial"/>
          <w:sz w:val="24"/>
          <w:szCs w:val="24"/>
        </w:rPr>
        <w:t xml:space="preserve">The Commission seeks views on whether the production of a ‘late </w:t>
      </w:r>
      <w:proofErr w:type="spellStart"/>
      <w:r w:rsidRPr="00683195">
        <w:rPr>
          <w:rFonts w:cs="Arial"/>
          <w:sz w:val="24"/>
          <w:szCs w:val="24"/>
        </w:rPr>
        <w:t>RIS</w:t>
      </w:r>
      <w:proofErr w:type="spellEnd"/>
      <w:r w:rsidRPr="00683195">
        <w:rPr>
          <w:rFonts w:cs="Arial"/>
          <w:sz w:val="24"/>
          <w:szCs w:val="24"/>
        </w:rPr>
        <w:t xml:space="preserve">’ within 12 months after a decision is beneficial, including any strengths and weaknesses, and examples of how these late </w:t>
      </w:r>
      <w:proofErr w:type="spellStart"/>
      <w:r w:rsidRPr="00683195">
        <w:rPr>
          <w:rFonts w:cs="Arial"/>
          <w:sz w:val="24"/>
          <w:szCs w:val="24"/>
        </w:rPr>
        <w:t>RISs</w:t>
      </w:r>
      <w:proofErr w:type="spellEnd"/>
      <w:r w:rsidRPr="00683195">
        <w:rPr>
          <w:rFonts w:cs="Arial"/>
          <w:sz w:val="24"/>
          <w:szCs w:val="24"/>
        </w:rPr>
        <w:t xml:space="preserve"> have influenced regulatory policy.</w:t>
      </w:r>
    </w:p>
    <w:p w:rsidR="003259A0" w:rsidRPr="004165C5" w:rsidRDefault="006D5389" w:rsidP="003259A0">
      <w:pPr>
        <w:spacing w:before="120" w:after="120" w:line="240" w:lineRule="auto"/>
        <w:rPr>
          <w:rFonts w:cs="Arial"/>
          <w:sz w:val="24"/>
          <w:szCs w:val="24"/>
        </w:rPr>
      </w:pPr>
      <w:r w:rsidRPr="004165C5">
        <w:rPr>
          <w:rFonts w:cs="Arial"/>
          <w:sz w:val="24"/>
          <w:szCs w:val="24"/>
        </w:rPr>
        <w:t xml:space="preserve">As noted above, a postponement from the requirement to develop a </w:t>
      </w:r>
      <w:r w:rsidR="002E1C09" w:rsidRPr="004165C5">
        <w:rPr>
          <w:rFonts w:cs="Arial"/>
          <w:sz w:val="24"/>
          <w:szCs w:val="24"/>
        </w:rPr>
        <w:t xml:space="preserve">full </w:t>
      </w:r>
      <w:proofErr w:type="spellStart"/>
      <w:r w:rsidRPr="004165C5">
        <w:rPr>
          <w:rFonts w:cs="Arial"/>
          <w:sz w:val="24"/>
          <w:szCs w:val="24"/>
        </w:rPr>
        <w:t>RIS</w:t>
      </w:r>
      <w:proofErr w:type="spellEnd"/>
      <w:r w:rsidR="002E1C09" w:rsidRPr="004165C5">
        <w:rPr>
          <w:rFonts w:cs="Arial"/>
          <w:sz w:val="24"/>
          <w:szCs w:val="24"/>
        </w:rPr>
        <w:t xml:space="preserve"> (where required)</w:t>
      </w:r>
      <w:r w:rsidRPr="004165C5">
        <w:rPr>
          <w:rFonts w:cs="Arial"/>
          <w:sz w:val="24"/>
          <w:szCs w:val="24"/>
        </w:rPr>
        <w:t xml:space="preserve"> may be granted in cases of genuine urgency.</w:t>
      </w:r>
      <w:r w:rsidR="002E1C09" w:rsidRPr="004165C5">
        <w:rPr>
          <w:rFonts w:cs="Arial"/>
          <w:sz w:val="24"/>
          <w:szCs w:val="24"/>
        </w:rPr>
        <w:t xml:space="preserve">  These require exceptional circumstances and are only rarely granted in practice and where practicable the </w:t>
      </w:r>
      <w:r w:rsidR="000A57CC" w:rsidRPr="004165C5">
        <w:rPr>
          <w:rFonts w:cs="Arial"/>
          <w:sz w:val="24"/>
          <w:szCs w:val="24"/>
        </w:rPr>
        <w:t>“</w:t>
      </w:r>
      <w:r w:rsidR="002E1C09" w:rsidRPr="004165C5">
        <w:rPr>
          <w:rFonts w:cs="Arial"/>
          <w:sz w:val="24"/>
          <w:szCs w:val="24"/>
        </w:rPr>
        <w:t>Postponement Certificate</w:t>
      </w:r>
      <w:r w:rsidR="000A57CC" w:rsidRPr="004165C5">
        <w:rPr>
          <w:rFonts w:cs="Arial"/>
          <w:sz w:val="24"/>
          <w:szCs w:val="24"/>
        </w:rPr>
        <w:t>”</w:t>
      </w:r>
      <w:r w:rsidR="002E1C09" w:rsidRPr="004165C5">
        <w:rPr>
          <w:rFonts w:cs="Arial"/>
          <w:sz w:val="24"/>
          <w:szCs w:val="24"/>
        </w:rPr>
        <w:t xml:space="preserve"> is expressed to be subject to the condition that the </w:t>
      </w:r>
      <w:proofErr w:type="spellStart"/>
      <w:r w:rsidR="002E1C09" w:rsidRPr="004165C5">
        <w:rPr>
          <w:rFonts w:cs="Arial"/>
          <w:sz w:val="24"/>
          <w:szCs w:val="24"/>
        </w:rPr>
        <w:t>RIS</w:t>
      </w:r>
      <w:proofErr w:type="spellEnd"/>
      <w:r w:rsidR="002E1C09" w:rsidRPr="004165C5">
        <w:rPr>
          <w:rFonts w:cs="Arial"/>
          <w:sz w:val="24"/>
          <w:szCs w:val="24"/>
        </w:rPr>
        <w:t xml:space="preserve"> is developed by the time the Bill has reached the ‘Committee stage’ of its passage through the Parliament.</w:t>
      </w:r>
    </w:p>
    <w:p w:rsidR="003259A0" w:rsidRPr="004165C5" w:rsidRDefault="002E1C09" w:rsidP="003259A0">
      <w:pPr>
        <w:spacing w:before="120" w:after="120" w:line="240" w:lineRule="auto"/>
        <w:rPr>
          <w:rFonts w:cs="Arial"/>
          <w:sz w:val="24"/>
          <w:szCs w:val="24"/>
        </w:rPr>
      </w:pPr>
      <w:r w:rsidRPr="004165C5">
        <w:rPr>
          <w:rFonts w:cs="Arial"/>
          <w:sz w:val="24"/>
          <w:szCs w:val="24"/>
        </w:rPr>
        <w:t xml:space="preserve">The production of a delayed </w:t>
      </w:r>
      <w:proofErr w:type="spellStart"/>
      <w:r w:rsidRPr="004165C5">
        <w:rPr>
          <w:rFonts w:cs="Arial"/>
          <w:sz w:val="24"/>
          <w:szCs w:val="24"/>
        </w:rPr>
        <w:t>RIS</w:t>
      </w:r>
      <w:proofErr w:type="spellEnd"/>
      <w:r w:rsidRPr="004165C5">
        <w:rPr>
          <w:rFonts w:cs="Arial"/>
          <w:sz w:val="24"/>
          <w:szCs w:val="24"/>
        </w:rPr>
        <w:t xml:space="preserve"> on that basis is considered to be useful because:</w:t>
      </w:r>
    </w:p>
    <w:p w:rsidR="003259A0" w:rsidRPr="004165C5" w:rsidRDefault="003259A0" w:rsidP="003259A0">
      <w:pPr>
        <w:pStyle w:val="ListParagraph"/>
        <w:numPr>
          <w:ilvl w:val="0"/>
          <w:numId w:val="14"/>
        </w:numPr>
        <w:spacing w:before="120" w:after="120"/>
        <w:rPr>
          <w:rFonts w:cs="Arial"/>
          <w:sz w:val="24"/>
        </w:rPr>
      </w:pPr>
      <w:r w:rsidRPr="004165C5">
        <w:rPr>
          <w:rFonts w:asciiTheme="minorHAnsi" w:hAnsiTheme="minorHAnsi" w:cs="Arial"/>
          <w:sz w:val="24"/>
        </w:rPr>
        <w:t xml:space="preserve">the Bill may be amended in the Committee stage to address concerns that may be identified as a consequence of the </w:t>
      </w:r>
      <w:proofErr w:type="spellStart"/>
      <w:r w:rsidRPr="004165C5">
        <w:rPr>
          <w:rFonts w:asciiTheme="minorHAnsi" w:hAnsiTheme="minorHAnsi" w:cs="Arial"/>
          <w:sz w:val="24"/>
        </w:rPr>
        <w:t>RIS</w:t>
      </w:r>
      <w:proofErr w:type="spellEnd"/>
      <w:r w:rsidRPr="004165C5">
        <w:rPr>
          <w:rFonts w:asciiTheme="minorHAnsi" w:hAnsiTheme="minorHAnsi" w:cs="Arial"/>
          <w:sz w:val="24"/>
        </w:rPr>
        <w:t>; and</w:t>
      </w:r>
    </w:p>
    <w:p w:rsidR="003259A0" w:rsidRPr="004165C5" w:rsidRDefault="000A57CC" w:rsidP="003259A0">
      <w:pPr>
        <w:pStyle w:val="ListParagraph"/>
        <w:numPr>
          <w:ilvl w:val="0"/>
          <w:numId w:val="14"/>
        </w:numPr>
        <w:spacing w:before="120" w:after="120"/>
        <w:rPr>
          <w:rFonts w:cs="Arial"/>
          <w:sz w:val="24"/>
        </w:rPr>
      </w:pPr>
      <w:r w:rsidRPr="004165C5">
        <w:rPr>
          <w:rFonts w:asciiTheme="minorHAnsi" w:hAnsiTheme="minorHAnsi" w:cs="Arial"/>
          <w:sz w:val="24"/>
        </w:rPr>
        <w:lastRenderedPageBreak/>
        <w:t>i</w:t>
      </w:r>
      <w:r w:rsidR="003259A0" w:rsidRPr="004165C5">
        <w:rPr>
          <w:rFonts w:asciiTheme="minorHAnsi" w:hAnsiTheme="minorHAnsi" w:cs="Arial"/>
          <w:sz w:val="24"/>
        </w:rPr>
        <w:t xml:space="preserve">t is strategically and culturally important in reinforcing the strict </w:t>
      </w:r>
      <w:proofErr w:type="spellStart"/>
      <w:r w:rsidR="003259A0" w:rsidRPr="004165C5">
        <w:rPr>
          <w:rFonts w:asciiTheme="minorHAnsi" w:hAnsiTheme="minorHAnsi" w:cs="Arial"/>
          <w:sz w:val="24"/>
        </w:rPr>
        <w:t>NTG</w:t>
      </w:r>
      <w:proofErr w:type="spellEnd"/>
      <w:r w:rsidR="003259A0" w:rsidRPr="004165C5">
        <w:rPr>
          <w:rFonts w:asciiTheme="minorHAnsi" w:hAnsiTheme="minorHAnsi" w:cs="Arial"/>
          <w:sz w:val="24"/>
        </w:rPr>
        <w:t xml:space="preserve"> policy that all regulatory proposals are subject to the NT Regulation Making Framework disciplines without exception</w:t>
      </w:r>
      <w:r w:rsidRPr="004165C5">
        <w:rPr>
          <w:rFonts w:asciiTheme="minorHAnsi" w:hAnsiTheme="minorHAnsi" w:cs="Arial"/>
          <w:sz w:val="24"/>
        </w:rPr>
        <w:t xml:space="preserve"> (including urgency)</w:t>
      </w:r>
      <w:r w:rsidR="003259A0" w:rsidRPr="004165C5">
        <w:rPr>
          <w:rFonts w:asciiTheme="minorHAnsi" w:hAnsiTheme="minorHAnsi" w:cs="Arial"/>
          <w:sz w:val="24"/>
        </w:rPr>
        <w:t>.</w:t>
      </w:r>
    </w:p>
    <w:p w:rsidR="00C56DEA" w:rsidRPr="00683195" w:rsidRDefault="00C56DEA" w:rsidP="00C56DEA">
      <w:pPr>
        <w:numPr>
          <w:ilvl w:val="0"/>
          <w:numId w:val="10"/>
        </w:numPr>
        <w:spacing w:before="100" w:beforeAutospacing="1" w:after="100" w:afterAutospacing="1" w:line="240" w:lineRule="auto"/>
        <w:ind w:firstLine="131"/>
        <w:rPr>
          <w:rFonts w:cs="Arial"/>
          <w:sz w:val="24"/>
          <w:szCs w:val="24"/>
        </w:rPr>
      </w:pPr>
      <w:r w:rsidRPr="00683195">
        <w:rPr>
          <w:rFonts w:cs="Arial"/>
          <w:sz w:val="24"/>
          <w:szCs w:val="24"/>
        </w:rPr>
        <w:t>The Commission seeks information from jurisdictions on the share of legislation which sunsets and is subsequently remade without any, or with only minor, changes (such as updating of language and other largely ‘housekeeping’ changes).</w:t>
      </w:r>
    </w:p>
    <w:p w:rsidR="00920573" w:rsidRPr="004165C5" w:rsidRDefault="00920573" w:rsidP="005F7818">
      <w:pPr>
        <w:spacing w:before="100" w:beforeAutospacing="1" w:after="100" w:afterAutospacing="1" w:line="240" w:lineRule="auto"/>
        <w:rPr>
          <w:rFonts w:cs="Arial"/>
          <w:sz w:val="24"/>
          <w:szCs w:val="24"/>
        </w:rPr>
      </w:pPr>
      <w:r w:rsidRPr="004165C5">
        <w:rPr>
          <w:rFonts w:cs="Arial"/>
          <w:sz w:val="24"/>
          <w:szCs w:val="24"/>
        </w:rPr>
        <w:t>Sunset legislation is of limited application in the Territory</w:t>
      </w:r>
      <w:r w:rsidR="00D63B5C" w:rsidRPr="004165C5">
        <w:rPr>
          <w:rFonts w:cs="Arial"/>
          <w:sz w:val="24"/>
          <w:szCs w:val="24"/>
        </w:rPr>
        <w:t>.</w:t>
      </w:r>
    </w:p>
    <w:p w:rsidR="00C56DEA" w:rsidRPr="00683195" w:rsidRDefault="00C56DEA" w:rsidP="00C56DEA">
      <w:pPr>
        <w:numPr>
          <w:ilvl w:val="0"/>
          <w:numId w:val="11"/>
        </w:numPr>
        <w:spacing w:before="100" w:beforeAutospacing="1" w:after="100" w:afterAutospacing="1" w:line="240" w:lineRule="auto"/>
        <w:ind w:firstLine="131"/>
        <w:rPr>
          <w:rFonts w:cs="Arial"/>
          <w:sz w:val="24"/>
          <w:szCs w:val="24"/>
        </w:rPr>
      </w:pPr>
      <w:r w:rsidRPr="00683195">
        <w:rPr>
          <w:rFonts w:cs="Arial"/>
          <w:sz w:val="24"/>
          <w:szCs w:val="24"/>
        </w:rPr>
        <w:t>The Commission also seeks information on the use of individual sunset requirements for specific pieces of legislation, including how widespread their use is and when they are most effective.</w:t>
      </w:r>
    </w:p>
    <w:p w:rsidR="006F2469" w:rsidRPr="004165C5" w:rsidRDefault="00CC2B36" w:rsidP="006F2469">
      <w:pPr>
        <w:autoSpaceDE w:val="0"/>
        <w:autoSpaceDN w:val="0"/>
        <w:adjustRightInd w:val="0"/>
        <w:spacing w:after="120" w:line="300" w:lineRule="exact"/>
        <w:rPr>
          <w:rFonts w:cs="Arial"/>
          <w:sz w:val="24"/>
          <w:szCs w:val="24"/>
        </w:rPr>
      </w:pPr>
      <w:r w:rsidRPr="004165C5">
        <w:rPr>
          <w:rFonts w:cs="Arial"/>
          <w:sz w:val="24"/>
          <w:szCs w:val="24"/>
        </w:rPr>
        <w:t>As mentioned above s</w:t>
      </w:r>
      <w:r w:rsidR="006C7500" w:rsidRPr="004165C5">
        <w:rPr>
          <w:rFonts w:cs="Arial"/>
          <w:sz w:val="24"/>
          <w:szCs w:val="24"/>
        </w:rPr>
        <w:t>unset legislation is of limited application in the Territory</w:t>
      </w:r>
      <w:r w:rsidRPr="004165C5">
        <w:rPr>
          <w:rFonts w:cs="Arial"/>
          <w:sz w:val="24"/>
          <w:szCs w:val="24"/>
        </w:rPr>
        <w:t xml:space="preserve">. </w:t>
      </w:r>
      <w:r w:rsidR="006F2469" w:rsidRPr="004165C5">
        <w:rPr>
          <w:rFonts w:cs="Arial"/>
          <w:sz w:val="24"/>
          <w:szCs w:val="24"/>
        </w:rPr>
        <w:t>However</w:t>
      </w:r>
      <w:r w:rsidRPr="004165C5">
        <w:rPr>
          <w:rFonts w:cs="Arial"/>
          <w:sz w:val="24"/>
          <w:szCs w:val="24"/>
        </w:rPr>
        <w:t xml:space="preserve"> note that </w:t>
      </w:r>
      <w:r w:rsidR="006F2469" w:rsidRPr="004165C5">
        <w:rPr>
          <w:rFonts w:cs="Arial"/>
          <w:sz w:val="24"/>
          <w:szCs w:val="24"/>
        </w:rPr>
        <w:t xml:space="preserve">under the Competition Principles Agreement </w:t>
      </w:r>
      <w:proofErr w:type="spellStart"/>
      <w:r w:rsidR="006F2469" w:rsidRPr="004165C5">
        <w:rPr>
          <w:rFonts w:cs="Arial"/>
          <w:sz w:val="24"/>
          <w:szCs w:val="24"/>
        </w:rPr>
        <w:t>anti competitive</w:t>
      </w:r>
      <w:proofErr w:type="spellEnd"/>
      <w:r w:rsidR="006F2469" w:rsidRPr="004165C5">
        <w:rPr>
          <w:rFonts w:cs="Arial"/>
          <w:sz w:val="24"/>
          <w:szCs w:val="24"/>
        </w:rPr>
        <w:t xml:space="preserve"> legislation is required to be reviewed at least once every ten years.</w:t>
      </w:r>
    </w:p>
    <w:p w:rsidR="0076038D" w:rsidRDefault="0076038D">
      <w:pPr>
        <w:spacing w:before="100" w:beforeAutospacing="1" w:after="100" w:afterAutospacing="1" w:line="240" w:lineRule="auto"/>
        <w:rPr>
          <w:sz w:val="24"/>
          <w:szCs w:val="24"/>
        </w:rPr>
      </w:pPr>
    </w:p>
    <w:sectPr w:rsidR="0076038D" w:rsidSect="00F31EC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6D" w:rsidRDefault="0041386D" w:rsidP="007A1D18">
      <w:pPr>
        <w:spacing w:after="0" w:line="240" w:lineRule="auto"/>
      </w:pPr>
      <w:r>
        <w:separator/>
      </w:r>
    </w:p>
  </w:endnote>
  <w:endnote w:type="continuationSeparator" w:id="0">
    <w:p w:rsidR="0041386D" w:rsidRDefault="0041386D" w:rsidP="007A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6D" w:rsidRPr="007A1D18" w:rsidRDefault="0041386D" w:rsidP="007A1D18">
    <w:pPr>
      <w:pStyle w:val="Footer"/>
      <w:pBdr>
        <w:top w:val="single" w:sz="4" w:space="1" w:color="D9D9D9" w:themeColor="background1" w:themeShade="D9"/>
      </w:pBdr>
    </w:pPr>
    <w:r w:rsidRPr="007A1D18">
      <w:rPr>
        <w:sz w:val="16"/>
        <w:szCs w:val="16"/>
      </w:rPr>
      <w:t xml:space="preserve">Submission on Draft Report – Regulatory Impact Analysis: Benchmarking  </w:t>
    </w:r>
    <w:r>
      <w:rPr>
        <w:sz w:val="16"/>
        <w:szCs w:val="16"/>
      </w:rPr>
      <w:t xml:space="preserve"> </w:t>
    </w:r>
    <w:r w:rsidRPr="007A1D18">
      <w:rPr>
        <w:sz w:val="16"/>
        <w:szCs w:val="16"/>
      </w:rPr>
      <w:t>Northern Territory Government, September 2012</w:t>
    </w:r>
    <w:r>
      <w:rPr>
        <w:sz w:val="16"/>
        <w:szCs w:val="16"/>
      </w:rPr>
      <w:t xml:space="preserve"> </w:t>
    </w:r>
    <w:sdt>
      <w:sdtPr>
        <w:id w:val="9433665"/>
        <w:docPartObj>
          <w:docPartGallery w:val="Page Numbers (Bottom of Page)"/>
          <w:docPartUnique/>
        </w:docPartObj>
      </w:sdtPr>
      <w:sdtEndPr>
        <w:rPr>
          <w:color w:val="7F7F7F" w:themeColor="background1" w:themeShade="7F"/>
          <w:spacing w:val="60"/>
        </w:rPr>
      </w:sdtEndPr>
      <w:sdtContent>
        <w:r>
          <w:tab/>
        </w:r>
        <w:r w:rsidR="00AA67AE" w:rsidRPr="007A1D18">
          <w:rPr>
            <w:sz w:val="16"/>
            <w:szCs w:val="16"/>
          </w:rPr>
          <w:fldChar w:fldCharType="begin"/>
        </w:r>
        <w:r w:rsidRPr="007A1D18">
          <w:rPr>
            <w:sz w:val="16"/>
            <w:szCs w:val="16"/>
          </w:rPr>
          <w:instrText xml:space="preserve"> PAGE   \* MERGEFORMAT </w:instrText>
        </w:r>
        <w:r w:rsidR="00AA67AE" w:rsidRPr="007A1D18">
          <w:rPr>
            <w:sz w:val="16"/>
            <w:szCs w:val="16"/>
          </w:rPr>
          <w:fldChar w:fldCharType="separate"/>
        </w:r>
        <w:r w:rsidR="002E2AB9">
          <w:rPr>
            <w:noProof/>
            <w:sz w:val="16"/>
            <w:szCs w:val="16"/>
          </w:rPr>
          <w:t>1</w:t>
        </w:r>
        <w:r w:rsidR="00AA67AE" w:rsidRPr="007A1D18">
          <w:rPr>
            <w:sz w:val="16"/>
            <w:szCs w:val="16"/>
          </w:rPr>
          <w:fldChar w:fldCharType="end"/>
        </w:r>
        <w:r w:rsidRPr="007A1D18">
          <w:rPr>
            <w:sz w:val="16"/>
            <w:szCs w:val="16"/>
          </w:rPr>
          <w:t xml:space="preserve"> | </w:t>
        </w:r>
        <w:r w:rsidRPr="007A1D18">
          <w:rPr>
            <w:color w:val="7F7F7F" w:themeColor="background1" w:themeShade="7F"/>
            <w:spacing w:val="60"/>
            <w:sz w:val="16"/>
            <w:szCs w:val="16"/>
          </w:rPr>
          <w:t>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6D" w:rsidRDefault="0041386D" w:rsidP="007A1D18">
      <w:pPr>
        <w:spacing w:after="0" w:line="240" w:lineRule="auto"/>
      </w:pPr>
      <w:r>
        <w:separator/>
      </w:r>
    </w:p>
  </w:footnote>
  <w:footnote w:type="continuationSeparator" w:id="0">
    <w:p w:rsidR="0041386D" w:rsidRDefault="0041386D" w:rsidP="007A1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A06"/>
    <w:multiLevelType w:val="multilevel"/>
    <w:tmpl w:val="FA3A08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29704D"/>
    <w:multiLevelType w:val="hybridMultilevel"/>
    <w:tmpl w:val="B43E51D8"/>
    <w:lvl w:ilvl="0" w:tplc="B824BAB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DB4706F"/>
    <w:multiLevelType w:val="hybridMultilevel"/>
    <w:tmpl w:val="BA803C42"/>
    <w:lvl w:ilvl="0" w:tplc="D3B42D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1B34C3"/>
    <w:multiLevelType w:val="multilevel"/>
    <w:tmpl w:val="98A803D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D3620D"/>
    <w:multiLevelType w:val="hybridMultilevel"/>
    <w:tmpl w:val="B92E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C290C09"/>
    <w:multiLevelType w:val="hybridMultilevel"/>
    <w:tmpl w:val="72F0DAFC"/>
    <w:lvl w:ilvl="0" w:tplc="25A0C1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EF00506"/>
    <w:multiLevelType w:val="multilevel"/>
    <w:tmpl w:val="F2C05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48662F2"/>
    <w:multiLevelType w:val="multilevel"/>
    <w:tmpl w:val="628855E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5439A6"/>
    <w:multiLevelType w:val="hybridMultilevel"/>
    <w:tmpl w:val="4470F2D2"/>
    <w:lvl w:ilvl="0" w:tplc="22D6E44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85E352F"/>
    <w:multiLevelType w:val="hybridMultilevel"/>
    <w:tmpl w:val="998AAAF0"/>
    <w:lvl w:ilvl="0" w:tplc="04023EE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91B0902"/>
    <w:multiLevelType w:val="multilevel"/>
    <w:tmpl w:val="8144B6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0E2886"/>
    <w:multiLevelType w:val="hybridMultilevel"/>
    <w:tmpl w:val="8F647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5371BAC"/>
    <w:multiLevelType w:val="multilevel"/>
    <w:tmpl w:val="BB4E1EE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4">
    <w:nsid w:val="7DC136C4"/>
    <w:multiLevelType w:val="multilevel"/>
    <w:tmpl w:val="824ACA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5"/>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DEA"/>
    <w:rsid w:val="000026CC"/>
    <w:rsid w:val="00006FA5"/>
    <w:rsid w:val="000159A0"/>
    <w:rsid w:val="00017DE9"/>
    <w:rsid w:val="00032B2F"/>
    <w:rsid w:val="00037148"/>
    <w:rsid w:val="000441A9"/>
    <w:rsid w:val="0005163B"/>
    <w:rsid w:val="00052015"/>
    <w:rsid w:val="0005309F"/>
    <w:rsid w:val="000927C9"/>
    <w:rsid w:val="000977EC"/>
    <w:rsid w:val="000A17F0"/>
    <w:rsid w:val="000A57CC"/>
    <w:rsid w:val="000A72F7"/>
    <w:rsid w:val="000C11D8"/>
    <w:rsid w:val="000D5736"/>
    <w:rsid w:val="000D60FE"/>
    <w:rsid w:val="000D6405"/>
    <w:rsid w:val="000D7260"/>
    <w:rsid w:val="000E4164"/>
    <w:rsid w:val="000F1ACA"/>
    <w:rsid w:val="000F6689"/>
    <w:rsid w:val="00112450"/>
    <w:rsid w:val="001347C3"/>
    <w:rsid w:val="001553AD"/>
    <w:rsid w:val="00163F41"/>
    <w:rsid w:val="00166EB9"/>
    <w:rsid w:val="001740DD"/>
    <w:rsid w:val="00195961"/>
    <w:rsid w:val="001B2DBC"/>
    <w:rsid w:val="001B77D0"/>
    <w:rsid w:val="001E0B8C"/>
    <w:rsid w:val="001E7AE8"/>
    <w:rsid w:val="0021538A"/>
    <w:rsid w:val="002349EB"/>
    <w:rsid w:val="00264662"/>
    <w:rsid w:val="00272CD0"/>
    <w:rsid w:val="00274610"/>
    <w:rsid w:val="00281E8D"/>
    <w:rsid w:val="002A2379"/>
    <w:rsid w:val="002A7B58"/>
    <w:rsid w:val="002B129F"/>
    <w:rsid w:val="002B460A"/>
    <w:rsid w:val="002C26FF"/>
    <w:rsid w:val="002E1C09"/>
    <w:rsid w:val="002E2AB9"/>
    <w:rsid w:val="002E42A1"/>
    <w:rsid w:val="002F21A0"/>
    <w:rsid w:val="002F38DE"/>
    <w:rsid w:val="00304673"/>
    <w:rsid w:val="003107B4"/>
    <w:rsid w:val="003259A0"/>
    <w:rsid w:val="00334BD5"/>
    <w:rsid w:val="003432B6"/>
    <w:rsid w:val="00352B96"/>
    <w:rsid w:val="00357E60"/>
    <w:rsid w:val="00360E75"/>
    <w:rsid w:val="003621E4"/>
    <w:rsid w:val="00367F9B"/>
    <w:rsid w:val="003850AF"/>
    <w:rsid w:val="003909DB"/>
    <w:rsid w:val="00392089"/>
    <w:rsid w:val="00394145"/>
    <w:rsid w:val="003966C1"/>
    <w:rsid w:val="003B108C"/>
    <w:rsid w:val="003E0659"/>
    <w:rsid w:val="003F390A"/>
    <w:rsid w:val="00413484"/>
    <w:rsid w:val="0041386D"/>
    <w:rsid w:val="004165C5"/>
    <w:rsid w:val="00435B17"/>
    <w:rsid w:val="00443267"/>
    <w:rsid w:val="00450D78"/>
    <w:rsid w:val="00457AE0"/>
    <w:rsid w:val="00484519"/>
    <w:rsid w:val="00494960"/>
    <w:rsid w:val="00494E7E"/>
    <w:rsid w:val="00495BC5"/>
    <w:rsid w:val="004975BD"/>
    <w:rsid w:val="004A6058"/>
    <w:rsid w:val="004A72E2"/>
    <w:rsid w:val="004B195D"/>
    <w:rsid w:val="004C1596"/>
    <w:rsid w:val="004C7CF8"/>
    <w:rsid w:val="004D7CB8"/>
    <w:rsid w:val="004E7E2D"/>
    <w:rsid w:val="004F5B02"/>
    <w:rsid w:val="005010C5"/>
    <w:rsid w:val="00506188"/>
    <w:rsid w:val="0051650A"/>
    <w:rsid w:val="00517FE1"/>
    <w:rsid w:val="005268E1"/>
    <w:rsid w:val="00540180"/>
    <w:rsid w:val="00543536"/>
    <w:rsid w:val="00544114"/>
    <w:rsid w:val="005459A2"/>
    <w:rsid w:val="00553ADA"/>
    <w:rsid w:val="00561754"/>
    <w:rsid w:val="00572CEC"/>
    <w:rsid w:val="0057302B"/>
    <w:rsid w:val="00581D1F"/>
    <w:rsid w:val="00582C8B"/>
    <w:rsid w:val="00591605"/>
    <w:rsid w:val="005A20B0"/>
    <w:rsid w:val="005A5548"/>
    <w:rsid w:val="005B05FB"/>
    <w:rsid w:val="005B096E"/>
    <w:rsid w:val="005C1168"/>
    <w:rsid w:val="005F68A6"/>
    <w:rsid w:val="005F7818"/>
    <w:rsid w:val="00615849"/>
    <w:rsid w:val="0062064F"/>
    <w:rsid w:val="006472B8"/>
    <w:rsid w:val="006552F7"/>
    <w:rsid w:val="00665EDD"/>
    <w:rsid w:val="0067398F"/>
    <w:rsid w:val="0068100D"/>
    <w:rsid w:val="00683195"/>
    <w:rsid w:val="00690A03"/>
    <w:rsid w:val="006A311B"/>
    <w:rsid w:val="006A3ADB"/>
    <w:rsid w:val="006A3DC9"/>
    <w:rsid w:val="006A788C"/>
    <w:rsid w:val="006B4FDF"/>
    <w:rsid w:val="006B52B8"/>
    <w:rsid w:val="006C2273"/>
    <w:rsid w:val="006C7500"/>
    <w:rsid w:val="006D5389"/>
    <w:rsid w:val="006F2469"/>
    <w:rsid w:val="006F552A"/>
    <w:rsid w:val="006F5B92"/>
    <w:rsid w:val="00704251"/>
    <w:rsid w:val="00707412"/>
    <w:rsid w:val="00715062"/>
    <w:rsid w:val="007200D5"/>
    <w:rsid w:val="00720315"/>
    <w:rsid w:val="00746E12"/>
    <w:rsid w:val="00750943"/>
    <w:rsid w:val="0076038D"/>
    <w:rsid w:val="007723D3"/>
    <w:rsid w:val="007815E4"/>
    <w:rsid w:val="007A1D18"/>
    <w:rsid w:val="007B19BF"/>
    <w:rsid w:val="007E0182"/>
    <w:rsid w:val="007E74C6"/>
    <w:rsid w:val="007E7BFC"/>
    <w:rsid w:val="008121E5"/>
    <w:rsid w:val="00816478"/>
    <w:rsid w:val="008171BA"/>
    <w:rsid w:val="00820255"/>
    <w:rsid w:val="00822316"/>
    <w:rsid w:val="00833341"/>
    <w:rsid w:val="00833DDD"/>
    <w:rsid w:val="00854F7E"/>
    <w:rsid w:val="00865DB7"/>
    <w:rsid w:val="00866A39"/>
    <w:rsid w:val="0088346B"/>
    <w:rsid w:val="00883C66"/>
    <w:rsid w:val="00895ECE"/>
    <w:rsid w:val="008A34F5"/>
    <w:rsid w:val="008C4884"/>
    <w:rsid w:val="008C7C5E"/>
    <w:rsid w:val="008D05C0"/>
    <w:rsid w:val="008D13AC"/>
    <w:rsid w:val="008F476F"/>
    <w:rsid w:val="009037AA"/>
    <w:rsid w:val="0090613F"/>
    <w:rsid w:val="00920573"/>
    <w:rsid w:val="00920A1F"/>
    <w:rsid w:val="00952E91"/>
    <w:rsid w:val="009B035E"/>
    <w:rsid w:val="009C2CAA"/>
    <w:rsid w:val="009F18EB"/>
    <w:rsid w:val="00A241AA"/>
    <w:rsid w:val="00A51534"/>
    <w:rsid w:val="00A518CD"/>
    <w:rsid w:val="00A53A32"/>
    <w:rsid w:val="00A607FE"/>
    <w:rsid w:val="00A6310D"/>
    <w:rsid w:val="00A736B6"/>
    <w:rsid w:val="00A767F3"/>
    <w:rsid w:val="00A80F14"/>
    <w:rsid w:val="00A81EFD"/>
    <w:rsid w:val="00A9007C"/>
    <w:rsid w:val="00A921A9"/>
    <w:rsid w:val="00AA2A33"/>
    <w:rsid w:val="00AA67AE"/>
    <w:rsid w:val="00AB5BB7"/>
    <w:rsid w:val="00AC4C24"/>
    <w:rsid w:val="00AC5888"/>
    <w:rsid w:val="00AD760C"/>
    <w:rsid w:val="00B1122F"/>
    <w:rsid w:val="00B238DC"/>
    <w:rsid w:val="00B249AF"/>
    <w:rsid w:val="00B30614"/>
    <w:rsid w:val="00B37BE2"/>
    <w:rsid w:val="00B544F8"/>
    <w:rsid w:val="00B55574"/>
    <w:rsid w:val="00B627C6"/>
    <w:rsid w:val="00B65BE2"/>
    <w:rsid w:val="00B84D6B"/>
    <w:rsid w:val="00B93C0F"/>
    <w:rsid w:val="00BA5028"/>
    <w:rsid w:val="00BC769F"/>
    <w:rsid w:val="00BD541A"/>
    <w:rsid w:val="00BF010E"/>
    <w:rsid w:val="00BF41DA"/>
    <w:rsid w:val="00C1238B"/>
    <w:rsid w:val="00C566A2"/>
    <w:rsid w:val="00C56DEA"/>
    <w:rsid w:val="00C73C5A"/>
    <w:rsid w:val="00C8635F"/>
    <w:rsid w:val="00CA25CD"/>
    <w:rsid w:val="00CA4FE4"/>
    <w:rsid w:val="00CA58E2"/>
    <w:rsid w:val="00CB4B4D"/>
    <w:rsid w:val="00CC0FC2"/>
    <w:rsid w:val="00CC2B36"/>
    <w:rsid w:val="00CF091F"/>
    <w:rsid w:val="00CF201E"/>
    <w:rsid w:val="00CF2667"/>
    <w:rsid w:val="00D05F35"/>
    <w:rsid w:val="00D078E9"/>
    <w:rsid w:val="00D144F6"/>
    <w:rsid w:val="00D208BF"/>
    <w:rsid w:val="00D30225"/>
    <w:rsid w:val="00D33D92"/>
    <w:rsid w:val="00D348AC"/>
    <w:rsid w:val="00D4203C"/>
    <w:rsid w:val="00D55E79"/>
    <w:rsid w:val="00D566D4"/>
    <w:rsid w:val="00D56981"/>
    <w:rsid w:val="00D60032"/>
    <w:rsid w:val="00D63B5C"/>
    <w:rsid w:val="00D762EF"/>
    <w:rsid w:val="00D77D1C"/>
    <w:rsid w:val="00D97E44"/>
    <w:rsid w:val="00DA5B8B"/>
    <w:rsid w:val="00DB5646"/>
    <w:rsid w:val="00DC31BA"/>
    <w:rsid w:val="00DD5D15"/>
    <w:rsid w:val="00DE0E4E"/>
    <w:rsid w:val="00DE6E35"/>
    <w:rsid w:val="00E25C20"/>
    <w:rsid w:val="00E37304"/>
    <w:rsid w:val="00E56DD0"/>
    <w:rsid w:val="00E60CC0"/>
    <w:rsid w:val="00E61ADE"/>
    <w:rsid w:val="00E85DB6"/>
    <w:rsid w:val="00E95CBA"/>
    <w:rsid w:val="00EA0C2B"/>
    <w:rsid w:val="00EA501A"/>
    <w:rsid w:val="00EC25EF"/>
    <w:rsid w:val="00ED5035"/>
    <w:rsid w:val="00F1576F"/>
    <w:rsid w:val="00F31EC4"/>
    <w:rsid w:val="00F54CB4"/>
    <w:rsid w:val="00F55DB1"/>
    <w:rsid w:val="00F566A2"/>
    <w:rsid w:val="00F64076"/>
    <w:rsid w:val="00F70100"/>
    <w:rsid w:val="00F73BBC"/>
    <w:rsid w:val="00F76919"/>
    <w:rsid w:val="00FA0C59"/>
    <w:rsid w:val="00FA2EA8"/>
    <w:rsid w:val="00FB3BB3"/>
    <w:rsid w:val="00FE54D0"/>
    <w:rsid w:val="00FE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C4"/>
  </w:style>
  <w:style w:type="paragraph" w:styleId="Heading2">
    <w:name w:val="heading 2"/>
    <w:basedOn w:val="Normal"/>
    <w:next w:val="Normal"/>
    <w:link w:val="Heading2Char"/>
    <w:uiPriority w:val="9"/>
    <w:semiHidden/>
    <w:unhideWhenUsed/>
    <w:qFormat/>
    <w:rsid w:val="00C56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C56DEA"/>
    <w:pPr>
      <w:keepLines w:val="0"/>
      <w:spacing w:before="560" w:line="320" w:lineRule="exact"/>
      <w:outlineLvl w:val="2"/>
    </w:pPr>
    <w:rPr>
      <w:rFonts w:ascii="Arial" w:eastAsia="Times New Roman" w:hAnsi="Arial" w:cs="Times New Roman"/>
      <w:bCs w:val="0"/>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2 Char1 Char"/>
    <w:link w:val="BodyTextChar"/>
    <w:qFormat/>
    <w:rsid w:val="00C56DEA"/>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2 Char1 Char Char"/>
    <w:basedOn w:val="DefaultParagraphFont"/>
    <w:link w:val="BodyText"/>
    <w:rsid w:val="00C56DEA"/>
    <w:rPr>
      <w:rFonts w:ascii="Times New Roman" w:eastAsia="Times New Roman" w:hAnsi="Times New Roman" w:cs="Times New Roman"/>
      <w:sz w:val="26"/>
      <w:szCs w:val="20"/>
      <w:lang w:eastAsia="en-AU"/>
    </w:rPr>
  </w:style>
  <w:style w:type="character" w:customStyle="1" w:styleId="Heading3Char">
    <w:name w:val="Heading 3 Char"/>
    <w:basedOn w:val="DefaultParagraphFont"/>
    <w:link w:val="Heading3"/>
    <w:rsid w:val="00C56DEA"/>
    <w:rPr>
      <w:rFonts w:ascii="Arial" w:eastAsia="Times New Roman" w:hAnsi="Arial" w:cs="Times New Roman"/>
      <w:b/>
      <w:sz w:val="26"/>
      <w:szCs w:val="20"/>
      <w:lang w:eastAsia="en-AU"/>
    </w:rPr>
  </w:style>
  <w:style w:type="paragraph" w:customStyle="1" w:styleId="Finding">
    <w:name w:val="Finding"/>
    <w:basedOn w:val="BodyText"/>
    <w:rsid w:val="00C56DEA"/>
    <w:pPr>
      <w:keepLines/>
      <w:spacing w:before="180"/>
    </w:pPr>
    <w:rPr>
      <w:i/>
    </w:rPr>
  </w:style>
  <w:style w:type="paragraph" w:customStyle="1" w:styleId="FindingBullet">
    <w:name w:val="Finding Bullet"/>
    <w:basedOn w:val="Finding"/>
    <w:rsid w:val="00C56DEA"/>
    <w:pPr>
      <w:numPr>
        <w:numId w:val="1"/>
      </w:numPr>
      <w:spacing w:before="80"/>
    </w:pPr>
  </w:style>
  <w:style w:type="paragraph" w:customStyle="1" w:styleId="NTTBodyText">
    <w:name w:val="NTT Body Text"/>
    <w:uiPriority w:val="99"/>
    <w:rsid w:val="00C56DEA"/>
    <w:pPr>
      <w:spacing w:after="120" w:line="300" w:lineRule="exact"/>
    </w:pPr>
    <w:rPr>
      <w:rFonts w:ascii="Arial" w:eastAsia="Times New Roman" w:hAnsi="Arial" w:cs="Times New Roman"/>
      <w:szCs w:val="24"/>
      <w:lang w:eastAsia="en-AU"/>
    </w:rPr>
  </w:style>
  <w:style w:type="paragraph" w:styleId="ListParagraph">
    <w:name w:val="List Paragraph"/>
    <w:basedOn w:val="Normal"/>
    <w:uiPriority w:val="34"/>
    <w:qFormat/>
    <w:rsid w:val="00C56DEA"/>
    <w:pPr>
      <w:spacing w:after="0" w:line="240" w:lineRule="auto"/>
      <w:ind w:left="720"/>
      <w:contextualSpacing/>
    </w:pPr>
    <w:rPr>
      <w:rFonts w:ascii="Times New Roman" w:eastAsia="Times New Roman" w:hAnsi="Times New Roman" w:cs="Times New Roman"/>
      <w:sz w:val="26"/>
      <w:szCs w:val="24"/>
      <w:lang w:eastAsia="en-AU"/>
    </w:rPr>
  </w:style>
  <w:style w:type="character" w:customStyle="1" w:styleId="Heading2Char">
    <w:name w:val="Heading 2 Char"/>
    <w:basedOn w:val="DefaultParagraphFont"/>
    <w:link w:val="Heading2"/>
    <w:uiPriority w:val="9"/>
    <w:semiHidden/>
    <w:rsid w:val="00C56DE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7A1D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1D18"/>
  </w:style>
  <w:style w:type="paragraph" w:styleId="Footer">
    <w:name w:val="footer"/>
    <w:basedOn w:val="Normal"/>
    <w:link w:val="FooterChar"/>
    <w:uiPriority w:val="99"/>
    <w:unhideWhenUsed/>
    <w:rsid w:val="007A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D18"/>
  </w:style>
  <w:style w:type="paragraph" w:customStyle="1" w:styleId="Default">
    <w:name w:val="Default"/>
    <w:rsid w:val="00281E8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E4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5BB7"/>
    <w:rPr>
      <w:sz w:val="16"/>
      <w:szCs w:val="16"/>
    </w:rPr>
  </w:style>
  <w:style w:type="paragraph" w:styleId="CommentText">
    <w:name w:val="annotation text"/>
    <w:basedOn w:val="Normal"/>
    <w:link w:val="CommentTextChar"/>
    <w:uiPriority w:val="99"/>
    <w:semiHidden/>
    <w:unhideWhenUsed/>
    <w:rsid w:val="00AB5BB7"/>
    <w:pPr>
      <w:spacing w:line="240" w:lineRule="auto"/>
    </w:pPr>
    <w:rPr>
      <w:sz w:val="20"/>
      <w:szCs w:val="20"/>
    </w:rPr>
  </w:style>
  <w:style w:type="character" w:customStyle="1" w:styleId="CommentTextChar">
    <w:name w:val="Comment Text Char"/>
    <w:basedOn w:val="DefaultParagraphFont"/>
    <w:link w:val="CommentText"/>
    <w:uiPriority w:val="99"/>
    <w:semiHidden/>
    <w:rsid w:val="00AB5BB7"/>
    <w:rPr>
      <w:sz w:val="20"/>
      <w:szCs w:val="20"/>
    </w:rPr>
  </w:style>
  <w:style w:type="paragraph" w:styleId="CommentSubject">
    <w:name w:val="annotation subject"/>
    <w:basedOn w:val="CommentText"/>
    <w:next w:val="CommentText"/>
    <w:link w:val="CommentSubjectChar"/>
    <w:uiPriority w:val="99"/>
    <w:semiHidden/>
    <w:unhideWhenUsed/>
    <w:rsid w:val="00AB5BB7"/>
    <w:rPr>
      <w:b/>
      <w:bCs/>
    </w:rPr>
  </w:style>
  <w:style w:type="character" w:customStyle="1" w:styleId="CommentSubjectChar">
    <w:name w:val="Comment Subject Char"/>
    <w:basedOn w:val="CommentTextChar"/>
    <w:link w:val="CommentSubject"/>
    <w:uiPriority w:val="99"/>
    <w:semiHidden/>
    <w:rsid w:val="00AB5BB7"/>
    <w:rPr>
      <w:b/>
      <w:bCs/>
      <w:sz w:val="20"/>
      <w:szCs w:val="20"/>
    </w:rPr>
  </w:style>
  <w:style w:type="paragraph" w:styleId="BalloonText">
    <w:name w:val="Balloon Text"/>
    <w:basedOn w:val="Normal"/>
    <w:link w:val="BalloonTextChar"/>
    <w:uiPriority w:val="99"/>
    <w:semiHidden/>
    <w:unhideWhenUsed/>
    <w:rsid w:val="00AB5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44-C286-477E-91BA-565D232E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2731</Words>
  <Characters>15022</Characters>
  <Application>Microsoft Office Word</Application>
  <DocSecurity>0</DocSecurity>
  <Lines>682</Lines>
  <Paragraphs>132</Paragraphs>
  <ScaleCrop>false</ScaleCrop>
  <HeadingPairs>
    <vt:vector size="2" baseType="variant">
      <vt:variant>
        <vt:lpstr>Title</vt:lpstr>
      </vt:variant>
      <vt:variant>
        <vt:i4>1</vt:i4>
      </vt:variant>
    </vt:vector>
  </HeadingPairs>
  <TitlesOfParts>
    <vt:vector size="1" baseType="lpstr">
      <vt:lpstr>Submission DR30 - Northern Territory Department of Treasury and Finance - Regulatory Impact Analysis: Benchmarking - Commissioned study</vt:lpstr>
    </vt:vector>
  </TitlesOfParts>
  <Company>Northern Territory Department of Treasury and Finance</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DR30 - Northern Territory Department of Treasury and Finance - Regulatory Impact Analysis: Benchmarking - Commissioned study</dc:title>
  <dc:creator>Northern Territory Department of Treasury and Finance</dc:creator>
  <cp:lastModifiedBy>Productivity Commission</cp:lastModifiedBy>
  <cp:revision>2</cp:revision>
  <cp:lastPrinted>2012-10-02T04:24:00Z</cp:lastPrinted>
  <dcterms:created xsi:type="dcterms:W3CDTF">2012-10-09T04:44:00Z</dcterms:created>
  <dcterms:modified xsi:type="dcterms:W3CDTF">2012-10-09T04:44:00Z</dcterms:modified>
</cp:coreProperties>
</file>