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8C" w:rsidRDefault="00A71F8C">
      <w:pPr>
        <w:pStyle w:val="CompanyName"/>
        <w:framePr w:w="3946" w:h="826" w:wrap="notBeside" w:hAnchor="page" w:x="571" w:y="679"/>
        <w:spacing w:line="240" w:lineRule="auto"/>
        <w:rPr>
          <w:rFonts w:ascii="Times New Roman" w:hAnsi="Times New Roman"/>
          <w:i/>
          <w:iCs/>
          <w:sz w:val="36"/>
          <w:szCs w:val="28"/>
        </w:rPr>
      </w:pPr>
      <w:r>
        <w:rPr>
          <w:rFonts w:ascii="Times New Roman" w:hAnsi="Times New Roman"/>
          <w:i/>
          <w:iCs/>
          <w:sz w:val="36"/>
          <w:szCs w:val="28"/>
        </w:rPr>
        <w:t>Construction Material</w:t>
      </w:r>
    </w:p>
    <w:p w:rsidR="00A71F8C" w:rsidRDefault="00A71F8C">
      <w:pPr>
        <w:pStyle w:val="CompanyName"/>
        <w:framePr w:w="3946" w:h="826" w:wrap="notBeside" w:hAnchor="page" w:x="571" w:y="679"/>
        <w:spacing w:line="240" w:lineRule="auto"/>
        <w:rPr>
          <w:rFonts w:ascii="Times New Roman" w:hAnsi="Times New Roman"/>
          <w:i/>
          <w:iCs/>
          <w:sz w:val="36"/>
          <w:szCs w:val="28"/>
        </w:rPr>
      </w:pPr>
      <w:r>
        <w:rPr>
          <w:rFonts w:ascii="Times New Roman" w:hAnsi="Times New Roman"/>
          <w:i/>
          <w:iCs/>
          <w:sz w:val="36"/>
          <w:szCs w:val="28"/>
        </w:rPr>
        <w:t>Processors Association Inc.</w:t>
      </w:r>
    </w:p>
    <w:p w:rsidR="00A71F8C" w:rsidRDefault="004D7F24">
      <w:pPr>
        <w:pStyle w:val="ReturnAddress"/>
        <w:framePr w:w="0" w:hRule="auto" w:hSpace="0" w:vSpace="0" w:wrap="auto" w:vAnchor="margin" w:hAnchor="text" w:xAlign="left" w:yAlign="inline"/>
        <w:ind w:right="-567"/>
        <w:jc w:val="right"/>
      </w:pPr>
      <w:r>
        <w:rPr>
          <w:rFonts w:ascii="Times New Roman" w:hAnsi="Times New Roman"/>
          <w:i/>
          <w:iCs/>
          <w:noProof/>
          <w:sz w:val="36"/>
          <w:lang w:eastAsia="en-AU"/>
        </w:rPr>
        <w:pict>
          <v:line id="_x0000_s1031" style="position:absolute;left:0;text-align:left;flip:x;z-index:251656704;mso-position-horizontal-relative:page;mso-position-vertical-relative:page" from="31.2pt,77.7pt" to="565.3pt,78pt" o:allowoverlap="f">
            <w10:wrap anchorx="page" anchory="page"/>
          </v:line>
        </w:pict>
      </w:r>
      <w:r w:rsidR="003F0638">
        <w:rPr>
          <w:noProof/>
          <w:lang w:eastAsia="en-AU"/>
        </w:rPr>
        <w:drawing>
          <wp:anchor distT="0" distB="0" distL="114300" distR="114300" simplePos="0" relativeHeight="251657728" behindDoc="0" locked="0" layoutInCell="1" allowOverlap="1">
            <wp:simplePos x="0" y="0"/>
            <wp:positionH relativeFrom="page">
              <wp:posOffset>4754245</wp:posOffset>
            </wp:positionH>
            <wp:positionV relativeFrom="page">
              <wp:posOffset>356235</wp:posOffset>
            </wp:positionV>
            <wp:extent cx="2495550" cy="607060"/>
            <wp:effectExtent l="19050" t="0" r="0" b="0"/>
            <wp:wrapNone/>
            <wp:docPr id="14" name="Picture 14" descr="Straight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ight Logo- B&amp;W"/>
                    <pic:cNvPicPr>
                      <a:picLocks noChangeAspect="1" noChangeArrowheads="1"/>
                    </pic:cNvPicPr>
                  </pic:nvPicPr>
                  <pic:blipFill>
                    <a:blip r:embed="rId8" cstate="print"/>
                    <a:srcRect t="13081" b="13643"/>
                    <a:stretch>
                      <a:fillRect/>
                    </a:stretch>
                  </pic:blipFill>
                  <pic:spPr bwMode="auto">
                    <a:xfrm>
                      <a:off x="0" y="0"/>
                      <a:ext cx="2495550" cy="607060"/>
                    </a:xfrm>
                    <a:prstGeom prst="rect">
                      <a:avLst/>
                    </a:prstGeom>
                    <a:noFill/>
                  </pic:spPr>
                </pic:pic>
              </a:graphicData>
            </a:graphic>
          </wp:anchor>
        </w:drawing>
      </w:r>
      <w:r w:rsidR="008459C7">
        <w:t>P O Box 396</w:t>
      </w:r>
      <w:r w:rsidR="00BE1D49">
        <w:t>, Kilmore</w:t>
      </w:r>
      <w:r w:rsidR="00A71F8C">
        <w:t>, Victoria</w:t>
      </w:r>
    </w:p>
    <w:p w:rsidR="00A71F8C" w:rsidRDefault="00A71F8C">
      <w:pPr>
        <w:pStyle w:val="ReturnAddress"/>
        <w:framePr w:w="0" w:hRule="auto" w:hSpace="0" w:vSpace="0" w:wrap="auto" w:vAnchor="margin" w:hAnchor="text" w:xAlign="left" w:yAlign="inline"/>
        <w:ind w:right="-567"/>
        <w:jc w:val="right"/>
      </w:pPr>
      <w:r>
        <w:t>Australia, 37</w:t>
      </w:r>
      <w:r w:rsidR="00BE1D49">
        <w:t>64</w:t>
      </w:r>
    </w:p>
    <w:p w:rsidR="00A71F8C" w:rsidRDefault="00A71F8C">
      <w:pPr>
        <w:pStyle w:val="ReturnAddress"/>
        <w:framePr w:w="0" w:hRule="auto" w:hSpace="0" w:vSpace="0" w:wrap="auto" w:vAnchor="margin" w:hAnchor="text" w:xAlign="left" w:yAlign="inline"/>
        <w:ind w:right="-567"/>
        <w:jc w:val="right"/>
      </w:pPr>
    </w:p>
    <w:p w:rsidR="00A71F8C" w:rsidRDefault="00A71F8C">
      <w:pPr>
        <w:pStyle w:val="ReturnAddress"/>
        <w:framePr w:w="0" w:hRule="auto" w:hSpace="0" w:vSpace="0" w:wrap="auto" w:vAnchor="margin" w:hAnchor="text" w:xAlign="left" w:yAlign="inline"/>
        <w:ind w:right="-567"/>
        <w:jc w:val="right"/>
      </w:pPr>
      <w:r>
        <w:t>Inc. No. A0039304E  ABN 85 154 053 129</w:t>
      </w:r>
    </w:p>
    <w:p w:rsidR="00A71F8C" w:rsidRDefault="00A71F8C">
      <w:pPr>
        <w:pStyle w:val="ReturnAddress"/>
        <w:framePr w:w="0" w:hRule="auto" w:hSpace="0" w:vSpace="0" w:wrap="auto" w:vAnchor="margin" w:hAnchor="text" w:xAlign="left" w:yAlign="inline"/>
        <w:ind w:right="-567"/>
        <w:jc w:val="right"/>
      </w:pPr>
    </w:p>
    <w:p w:rsidR="00A71F8C" w:rsidRDefault="00A71F8C">
      <w:pPr>
        <w:ind w:left="2160" w:right="-567"/>
        <w:jc w:val="right"/>
        <w:rPr>
          <w:rFonts w:cs="Arial"/>
          <w:sz w:val="14"/>
          <w:szCs w:val="14"/>
        </w:rPr>
      </w:pPr>
      <w:bookmarkStart w:id="0" w:name="_GoBack"/>
      <w:r>
        <w:rPr>
          <w:rFonts w:cs="Arial"/>
          <w:sz w:val="14"/>
          <w:szCs w:val="14"/>
        </w:rPr>
        <w:sym w:font="Wingdings" w:char="F028"/>
      </w:r>
      <w:r w:rsidR="00BE1D49">
        <w:rPr>
          <w:rFonts w:cs="Arial"/>
          <w:sz w:val="14"/>
          <w:szCs w:val="14"/>
        </w:rPr>
        <w:t xml:space="preserve"> </w:t>
      </w:r>
      <w:r w:rsidR="008459C7">
        <w:rPr>
          <w:rFonts w:cs="Arial"/>
          <w:sz w:val="14"/>
          <w:szCs w:val="14"/>
        </w:rPr>
        <w:t xml:space="preserve"> </w:t>
      </w:r>
      <w:r w:rsidR="00BE1D49">
        <w:rPr>
          <w:rFonts w:cs="Arial"/>
          <w:sz w:val="14"/>
          <w:szCs w:val="14"/>
        </w:rPr>
        <w:t>1300 267 222</w:t>
      </w:r>
    </w:p>
    <w:bookmarkEnd w:id="0"/>
    <w:p w:rsidR="00A71F8C" w:rsidRDefault="00A71F8C">
      <w:pPr>
        <w:ind w:left="1440" w:right="-567" w:firstLine="720"/>
        <w:jc w:val="right"/>
        <w:rPr>
          <w:rFonts w:cs="Arial"/>
          <w:sz w:val="14"/>
          <w:szCs w:val="14"/>
        </w:rPr>
      </w:pPr>
      <w:r>
        <w:rPr>
          <w:rFonts w:cs="Arial"/>
          <w:sz w:val="14"/>
          <w:szCs w:val="14"/>
        </w:rPr>
        <w:sym w:font="Wingdings 2" w:char="F036"/>
      </w:r>
      <w:r>
        <w:rPr>
          <w:rFonts w:cs="Arial"/>
          <w:sz w:val="14"/>
          <w:szCs w:val="14"/>
        </w:rPr>
        <w:t xml:space="preserve"> </w:t>
      </w:r>
      <w:r w:rsidR="008459C7">
        <w:rPr>
          <w:rFonts w:cs="Arial"/>
          <w:sz w:val="14"/>
          <w:szCs w:val="14"/>
        </w:rPr>
        <w:t xml:space="preserve"> </w:t>
      </w:r>
      <w:r>
        <w:rPr>
          <w:rFonts w:cs="Arial"/>
          <w:sz w:val="14"/>
          <w:szCs w:val="14"/>
        </w:rPr>
        <w:t xml:space="preserve">(03) </w:t>
      </w:r>
      <w:r w:rsidR="00BE1D49">
        <w:rPr>
          <w:rFonts w:cs="Arial"/>
          <w:sz w:val="14"/>
          <w:szCs w:val="14"/>
        </w:rPr>
        <w:t>5782 2021</w:t>
      </w:r>
    </w:p>
    <w:p w:rsidR="00A71F8C" w:rsidRDefault="00A71F8C">
      <w:pPr>
        <w:ind w:left="2160" w:right="-567"/>
        <w:jc w:val="right"/>
        <w:rPr>
          <w:rFonts w:cs="Arial"/>
          <w:sz w:val="14"/>
          <w:szCs w:val="14"/>
        </w:rPr>
      </w:pPr>
      <w:smartTag w:uri="urn:schemas-microsoft-com:office:smarttags" w:element="PersonName">
        <w:r>
          <w:rPr>
            <w:rFonts w:cs="Arial"/>
            <w:sz w:val="14"/>
            <w:szCs w:val="14"/>
          </w:rPr>
          <w:t>enquiries@cmpavic.asn.au</w:t>
        </w:r>
      </w:smartTag>
    </w:p>
    <w:p w:rsidR="00A71F8C" w:rsidRDefault="00A71F8C">
      <w:pPr>
        <w:pStyle w:val="ReturnAddress"/>
        <w:framePr w:w="0" w:hRule="auto" w:hSpace="0" w:vSpace="0" w:wrap="auto" w:vAnchor="margin" w:hAnchor="text" w:xAlign="left" w:yAlign="inline"/>
        <w:jc w:val="right"/>
      </w:pPr>
    </w:p>
    <w:p w:rsidR="00A71F8C" w:rsidRPr="008A26AC" w:rsidRDefault="00780852">
      <w:pPr>
        <w:rPr>
          <w:rFonts w:cs="Arial"/>
          <w:sz w:val="22"/>
          <w:szCs w:val="22"/>
        </w:rPr>
      </w:pPr>
      <w:r w:rsidRPr="008A26AC">
        <w:rPr>
          <w:rFonts w:cs="Arial"/>
          <w:sz w:val="22"/>
          <w:szCs w:val="22"/>
        </w:rPr>
        <w:t>5</w:t>
      </w:r>
      <w:r w:rsidR="00A144DC" w:rsidRPr="008A26AC">
        <w:rPr>
          <w:rFonts w:cs="Arial"/>
          <w:sz w:val="22"/>
          <w:szCs w:val="22"/>
          <w:vertAlign w:val="superscript"/>
        </w:rPr>
        <w:t>th</w:t>
      </w:r>
      <w:r w:rsidR="00A144DC" w:rsidRPr="008A26AC">
        <w:rPr>
          <w:rFonts w:cs="Arial"/>
          <w:sz w:val="22"/>
          <w:szCs w:val="22"/>
        </w:rPr>
        <w:t xml:space="preserve"> </w:t>
      </w:r>
      <w:r w:rsidRPr="008A26AC">
        <w:rPr>
          <w:rFonts w:cs="Arial"/>
          <w:sz w:val="22"/>
          <w:szCs w:val="22"/>
        </w:rPr>
        <w:t>October</w:t>
      </w:r>
      <w:r w:rsidR="009949E6" w:rsidRPr="008A26AC">
        <w:rPr>
          <w:rFonts w:cs="Arial"/>
          <w:sz w:val="22"/>
          <w:szCs w:val="22"/>
        </w:rPr>
        <w:t xml:space="preserve"> </w:t>
      </w:r>
      <w:r w:rsidR="0084658C" w:rsidRPr="008A26AC">
        <w:rPr>
          <w:rFonts w:cs="Arial"/>
          <w:sz w:val="22"/>
          <w:szCs w:val="22"/>
        </w:rPr>
        <w:t>201</w:t>
      </w:r>
      <w:r w:rsidR="00935394" w:rsidRPr="008A26AC">
        <w:rPr>
          <w:rFonts w:cs="Arial"/>
          <w:sz w:val="22"/>
          <w:szCs w:val="22"/>
        </w:rPr>
        <w:t>2</w:t>
      </w:r>
    </w:p>
    <w:p w:rsidR="00F30464" w:rsidRDefault="00F30464" w:rsidP="009949E6">
      <w:pPr>
        <w:rPr>
          <w:rFonts w:cs="Arial"/>
          <w:sz w:val="22"/>
          <w:szCs w:val="22"/>
        </w:rPr>
      </w:pPr>
    </w:p>
    <w:p w:rsidR="00BF2967" w:rsidRPr="008A26AC" w:rsidRDefault="00BF2967" w:rsidP="009949E6">
      <w:pPr>
        <w:rPr>
          <w:rFonts w:cs="Arial"/>
          <w:sz w:val="22"/>
          <w:szCs w:val="22"/>
        </w:rPr>
      </w:pPr>
    </w:p>
    <w:p w:rsidR="008A26AC" w:rsidRPr="008A26AC" w:rsidRDefault="008A26AC" w:rsidP="007555F4">
      <w:pPr>
        <w:rPr>
          <w:rFonts w:cs="Arial"/>
          <w:sz w:val="22"/>
          <w:szCs w:val="22"/>
        </w:rPr>
      </w:pPr>
      <w:r w:rsidRPr="008A26AC">
        <w:rPr>
          <w:rFonts w:cs="Arial"/>
          <w:sz w:val="22"/>
          <w:szCs w:val="22"/>
        </w:rPr>
        <w:t>The Commissioners</w:t>
      </w:r>
    </w:p>
    <w:p w:rsidR="007555F4" w:rsidRPr="008A26AC" w:rsidRDefault="007555F4" w:rsidP="007555F4">
      <w:pPr>
        <w:rPr>
          <w:rFonts w:cs="Arial"/>
          <w:sz w:val="22"/>
          <w:szCs w:val="22"/>
        </w:rPr>
      </w:pPr>
      <w:r w:rsidRPr="008A26AC">
        <w:rPr>
          <w:rFonts w:cs="Arial"/>
          <w:sz w:val="22"/>
          <w:szCs w:val="22"/>
        </w:rPr>
        <w:t>R</w:t>
      </w:r>
      <w:r w:rsidR="00F20851" w:rsidRPr="008A26AC">
        <w:rPr>
          <w:rFonts w:cs="Arial"/>
          <w:sz w:val="22"/>
          <w:szCs w:val="22"/>
        </w:rPr>
        <w:t xml:space="preserve">egulatory </w:t>
      </w:r>
      <w:r w:rsidRPr="008A26AC">
        <w:rPr>
          <w:rFonts w:cs="Arial"/>
          <w:sz w:val="22"/>
          <w:szCs w:val="22"/>
        </w:rPr>
        <w:t>I</w:t>
      </w:r>
      <w:r w:rsidR="00F20851" w:rsidRPr="008A26AC">
        <w:rPr>
          <w:rFonts w:cs="Arial"/>
          <w:sz w:val="22"/>
          <w:szCs w:val="22"/>
        </w:rPr>
        <w:t xml:space="preserve">mpact Analysis: </w:t>
      </w:r>
      <w:r w:rsidRPr="008A26AC">
        <w:rPr>
          <w:rFonts w:cs="Arial"/>
          <w:sz w:val="22"/>
          <w:szCs w:val="22"/>
        </w:rPr>
        <w:t>Benchmarking Study</w:t>
      </w:r>
    </w:p>
    <w:p w:rsidR="007555F4" w:rsidRPr="008A26AC" w:rsidRDefault="007555F4" w:rsidP="007555F4">
      <w:pPr>
        <w:rPr>
          <w:rFonts w:cs="Arial"/>
          <w:sz w:val="22"/>
          <w:szCs w:val="22"/>
        </w:rPr>
      </w:pPr>
      <w:r w:rsidRPr="008A26AC">
        <w:rPr>
          <w:rFonts w:cs="Arial"/>
          <w:sz w:val="22"/>
          <w:szCs w:val="22"/>
        </w:rPr>
        <w:t>Productivity Commission</w:t>
      </w:r>
    </w:p>
    <w:p w:rsidR="007555F4" w:rsidRPr="008A26AC" w:rsidRDefault="007555F4" w:rsidP="007555F4">
      <w:pPr>
        <w:rPr>
          <w:rFonts w:cs="Arial"/>
          <w:sz w:val="22"/>
          <w:szCs w:val="22"/>
        </w:rPr>
      </w:pPr>
      <w:r w:rsidRPr="008A26AC">
        <w:rPr>
          <w:rFonts w:cs="Arial"/>
          <w:sz w:val="22"/>
          <w:szCs w:val="22"/>
        </w:rPr>
        <w:t>GPO Box 1428</w:t>
      </w:r>
    </w:p>
    <w:p w:rsidR="00780852" w:rsidRPr="008A26AC" w:rsidRDefault="007555F4" w:rsidP="007555F4">
      <w:pPr>
        <w:rPr>
          <w:rFonts w:cs="Arial"/>
          <w:sz w:val="22"/>
          <w:szCs w:val="22"/>
        </w:rPr>
      </w:pPr>
      <w:r w:rsidRPr="008A26AC">
        <w:rPr>
          <w:rFonts w:cs="Arial"/>
          <w:sz w:val="22"/>
          <w:szCs w:val="22"/>
        </w:rPr>
        <w:t xml:space="preserve">Canberra City </w:t>
      </w:r>
    </w:p>
    <w:p w:rsidR="007555F4" w:rsidRPr="008A26AC" w:rsidRDefault="007555F4" w:rsidP="007555F4">
      <w:pPr>
        <w:rPr>
          <w:rFonts w:cs="Arial"/>
          <w:sz w:val="22"/>
          <w:szCs w:val="22"/>
        </w:rPr>
      </w:pPr>
      <w:r w:rsidRPr="008A26AC">
        <w:rPr>
          <w:rFonts w:cs="Arial"/>
          <w:sz w:val="22"/>
          <w:szCs w:val="22"/>
        </w:rPr>
        <w:t>ACT 2601</w:t>
      </w:r>
    </w:p>
    <w:p w:rsidR="008A26AC" w:rsidRDefault="008A26AC" w:rsidP="007555F4">
      <w:pPr>
        <w:rPr>
          <w:rFonts w:cs="Arial"/>
          <w:sz w:val="22"/>
          <w:szCs w:val="22"/>
        </w:rPr>
      </w:pPr>
    </w:p>
    <w:p w:rsidR="00BF2967" w:rsidRPr="008A26AC" w:rsidRDefault="00BF2967" w:rsidP="007555F4">
      <w:pPr>
        <w:rPr>
          <w:rFonts w:cs="Arial"/>
          <w:sz w:val="22"/>
          <w:szCs w:val="22"/>
        </w:rPr>
      </w:pPr>
    </w:p>
    <w:p w:rsidR="008A26AC" w:rsidRPr="008A26AC" w:rsidRDefault="008A26AC" w:rsidP="007555F4">
      <w:pPr>
        <w:rPr>
          <w:rFonts w:cs="Arial"/>
          <w:sz w:val="22"/>
          <w:szCs w:val="22"/>
        </w:rPr>
      </w:pPr>
      <w:r w:rsidRPr="008A26AC">
        <w:rPr>
          <w:rFonts w:cs="Arial"/>
          <w:sz w:val="22"/>
          <w:szCs w:val="22"/>
        </w:rPr>
        <w:t>Dear Commissioners,</w:t>
      </w:r>
    </w:p>
    <w:p w:rsidR="008A26AC" w:rsidRDefault="008A26AC" w:rsidP="007555F4">
      <w:pPr>
        <w:rPr>
          <w:rFonts w:cs="Arial"/>
          <w:b/>
          <w:sz w:val="22"/>
          <w:szCs w:val="22"/>
        </w:rPr>
      </w:pPr>
    </w:p>
    <w:p w:rsidR="00BF2967" w:rsidRPr="008A26AC" w:rsidRDefault="00BF2967" w:rsidP="007555F4">
      <w:pPr>
        <w:rPr>
          <w:rFonts w:cs="Arial"/>
          <w:b/>
          <w:sz w:val="22"/>
          <w:szCs w:val="22"/>
        </w:rPr>
      </w:pPr>
    </w:p>
    <w:p w:rsidR="007555F4" w:rsidRPr="008A26AC" w:rsidRDefault="007555F4" w:rsidP="007555F4">
      <w:pPr>
        <w:rPr>
          <w:rFonts w:cs="Arial"/>
          <w:b/>
          <w:sz w:val="22"/>
          <w:szCs w:val="22"/>
        </w:rPr>
      </w:pPr>
      <w:r w:rsidRPr="008A26AC">
        <w:rPr>
          <w:rFonts w:cs="Arial"/>
          <w:b/>
          <w:sz w:val="22"/>
          <w:szCs w:val="22"/>
        </w:rPr>
        <w:t>DRAFT REPORT: REGULATORY IMPACT ANALYSIS: BENCHMARKING</w:t>
      </w:r>
    </w:p>
    <w:p w:rsidR="007555F4" w:rsidRPr="008A26AC" w:rsidRDefault="007555F4" w:rsidP="007555F4">
      <w:pPr>
        <w:rPr>
          <w:rFonts w:cs="Arial"/>
          <w:sz w:val="22"/>
          <w:szCs w:val="22"/>
        </w:rPr>
      </w:pPr>
    </w:p>
    <w:p w:rsidR="007555F4" w:rsidRDefault="007555F4" w:rsidP="007555F4">
      <w:pPr>
        <w:rPr>
          <w:rFonts w:cs="Arial"/>
          <w:sz w:val="22"/>
          <w:szCs w:val="22"/>
        </w:rPr>
      </w:pPr>
      <w:r w:rsidRPr="008A26AC">
        <w:rPr>
          <w:rFonts w:cs="Arial"/>
          <w:sz w:val="22"/>
          <w:szCs w:val="22"/>
        </w:rPr>
        <w:t>The Association notes the release of the Commission’s draft report on benchmarking of the efficiency and quality of Commonwealth, State and Territory and C</w:t>
      </w:r>
      <w:r w:rsidR="00406AB8">
        <w:rPr>
          <w:rFonts w:cs="Arial"/>
          <w:sz w:val="22"/>
          <w:szCs w:val="22"/>
        </w:rPr>
        <w:t>O</w:t>
      </w:r>
      <w:r w:rsidRPr="008A26AC">
        <w:rPr>
          <w:rFonts w:cs="Arial"/>
          <w:sz w:val="22"/>
          <w:szCs w:val="22"/>
        </w:rPr>
        <w:t>AG regulatory impact analysis processes.</w:t>
      </w:r>
    </w:p>
    <w:p w:rsidR="00BF2967" w:rsidRPr="008A26AC" w:rsidRDefault="00BF2967" w:rsidP="007555F4">
      <w:pPr>
        <w:rPr>
          <w:rFonts w:cs="Arial"/>
          <w:sz w:val="22"/>
          <w:szCs w:val="22"/>
        </w:rPr>
      </w:pPr>
    </w:p>
    <w:p w:rsidR="00BF2967" w:rsidRDefault="007555F4" w:rsidP="007555F4">
      <w:pPr>
        <w:rPr>
          <w:rFonts w:cs="Arial"/>
          <w:sz w:val="22"/>
          <w:szCs w:val="22"/>
        </w:rPr>
      </w:pPr>
      <w:r w:rsidRPr="008A26AC">
        <w:rPr>
          <w:rFonts w:cs="Arial"/>
          <w:sz w:val="22"/>
          <w:szCs w:val="22"/>
        </w:rPr>
        <w:t xml:space="preserve">Since its inception the Association has recognised the Productivity Commission’s key role in providing ‘frank and fearless’ advice to the Federal Government and, in turn, to other jurisdictional bodies. This independent advisory role is extremely important in ensuring efficient operations of the Australian economy. Regulatory reform has been on the economic efficiency agenda of all Governments in the country for decades because it is clear that for the community’s prosperity and wealth generation the costs of production of goods and services must be competitive with the best in the world. It is also clear that without efficient </w:t>
      </w:r>
      <w:r w:rsidR="00406AB8" w:rsidRPr="008A26AC">
        <w:rPr>
          <w:rFonts w:cs="Arial"/>
          <w:sz w:val="22"/>
          <w:szCs w:val="22"/>
        </w:rPr>
        <w:t>gate keeping</w:t>
      </w:r>
      <w:r w:rsidRPr="008A26AC">
        <w:rPr>
          <w:rFonts w:cs="Arial"/>
          <w:sz w:val="22"/>
          <w:szCs w:val="22"/>
        </w:rPr>
        <w:t xml:space="preserve"> processes in place that the costs of regulatory compliance will increase with a resulting negative effect on trade.</w:t>
      </w:r>
    </w:p>
    <w:p w:rsidR="007555F4" w:rsidRPr="008A26AC" w:rsidRDefault="007555F4" w:rsidP="007555F4">
      <w:pPr>
        <w:rPr>
          <w:rFonts w:cs="Arial"/>
          <w:sz w:val="22"/>
          <w:szCs w:val="22"/>
        </w:rPr>
      </w:pPr>
      <w:r w:rsidRPr="008A26AC">
        <w:rPr>
          <w:rFonts w:cs="Arial"/>
          <w:sz w:val="22"/>
          <w:szCs w:val="22"/>
        </w:rPr>
        <w:t xml:space="preserve"> </w:t>
      </w:r>
    </w:p>
    <w:p w:rsidR="008A26AC" w:rsidRDefault="007555F4" w:rsidP="007555F4">
      <w:pPr>
        <w:rPr>
          <w:rFonts w:cs="Arial"/>
          <w:sz w:val="22"/>
          <w:szCs w:val="22"/>
        </w:rPr>
      </w:pPr>
      <w:r w:rsidRPr="008A26AC">
        <w:rPr>
          <w:rFonts w:cs="Arial"/>
          <w:sz w:val="22"/>
          <w:szCs w:val="22"/>
        </w:rPr>
        <w:t>In this context the Association looked forward to the Commission’s work on the benchmarking study as a means to continue the necessary pressure on minimising regulatory costs. As recognised in the draft report the Association was one of a relatively small number of organisations that contributed to the study by way of making a written submission.</w:t>
      </w:r>
    </w:p>
    <w:p w:rsidR="007555F4" w:rsidRPr="008A26AC" w:rsidRDefault="007555F4" w:rsidP="007555F4">
      <w:pPr>
        <w:rPr>
          <w:rFonts w:cs="Arial"/>
          <w:sz w:val="22"/>
          <w:szCs w:val="22"/>
        </w:rPr>
      </w:pPr>
      <w:r w:rsidRPr="008A26AC">
        <w:rPr>
          <w:rFonts w:cs="Arial"/>
          <w:sz w:val="22"/>
          <w:szCs w:val="22"/>
        </w:rPr>
        <w:t xml:space="preserve"> </w:t>
      </w:r>
    </w:p>
    <w:p w:rsidR="007555F4" w:rsidRDefault="007555F4" w:rsidP="008A26AC">
      <w:pPr>
        <w:pStyle w:val="NormalWeb"/>
        <w:spacing w:before="0" w:beforeAutospacing="0" w:after="0" w:line="240" w:lineRule="auto"/>
        <w:rPr>
          <w:rFonts w:ascii="Arial" w:hAnsi="Arial" w:cs="Arial"/>
          <w:sz w:val="22"/>
          <w:szCs w:val="22"/>
        </w:rPr>
      </w:pPr>
      <w:r w:rsidRPr="008A26AC">
        <w:rPr>
          <w:rFonts w:ascii="Arial" w:hAnsi="Arial" w:cs="Arial"/>
          <w:sz w:val="22"/>
          <w:szCs w:val="22"/>
        </w:rPr>
        <w:t xml:space="preserve">The draft report addresses the terms of reference. It provides some useful ways for jurisdictions to improve their approaches to using the RIA process. However, these would need to be adopted by the Government agencies and Ministers currently responsible for the existing, under-performing processes. Where is the incentive for these changes? It can only be hoped that through </w:t>
      </w:r>
      <w:r w:rsidR="00406AB8" w:rsidRPr="008A26AC">
        <w:rPr>
          <w:rFonts w:ascii="Arial" w:hAnsi="Arial" w:cs="Arial"/>
          <w:sz w:val="22"/>
          <w:szCs w:val="22"/>
        </w:rPr>
        <w:t>C</w:t>
      </w:r>
      <w:r w:rsidR="00406AB8">
        <w:rPr>
          <w:rFonts w:ascii="Arial" w:hAnsi="Arial" w:cs="Arial"/>
          <w:sz w:val="22"/>
          <w:szCs w:val="22"/>
        </w:rPr>
        <w:t>O</w:t>
      </w:r>
      <w:r w:rsidR="00406AB8" w:rsidRPr="008A26AC">
        <w:rPr>
          <w:rFonts w:ascii="Arial" w:hAnsi="Arial" w:cs="Arial"/>
          <w:sz w:val="22"/>
          <w:szCs w:val="22"/>
        </w:rPr>
        <w:t>AG</w:t>
      </w:r>
      <w:r w:rsidRPr="008A26AC">
        <w:rPr>
          <w:rFonts w:ascii="Arial" w:hAnsi="Arial" w:cs="Arial"/>
          <w:sz w:val="22"/>
          <w:szCs w:val="22"/>
        </w:rPr>
        <w:t xml:space="preserve"> a nationally agreed approach to adoption of the best-practice approach to RIA will be agreed and implemented. </w:t>
      </w:r>
    </w:p>
    <w:p w:rsidR="00BF2967" w:rsidRPr="008A26AC" w:rsidRDefault="00BF2967" w:rsidP="008A26AC">
      <w:pPr>
        <w:pStyle w:val="NormalWeb"/>
        <w:spacing w:before="0" w:beforeAutospacing="0" w:after="0" w:line="240" w:lineRule="auto"/>
        <w:rPr>
          <w:rFonts w:ascii="Arial" w:hAnsi="Arial" w:cs="Arial"/>
          <w:sz w:val="22"/>
          <w:szCs w:val="22"/>
        </w:rPr>
      </w:pPr>
    </w:p>
    <w:p w:rsidR="007555F4" w:rsidRPr="008A26AC" w:rsidRDefault="007555F4" w:rsidP="00BF2967">
      <w:pPr>
        <w:pStyle w:val="NormalWeb"/>
        <w:spacing w:before="0" w:beforeAutospacing="0" w:after="0" w:line="240" w:lineRule="auto"/>
        <w:rPr>
          <w:rFonts w:ascii="Arial" w:hAnsi="Arial" w:cs="Arial"/>
          <w:sz w:val="22"/>
          <w:szCs w:val="22"/>
        </w:rPr>
      </w:pPr>
      <w:r w:rsidRPr="008A26AC">
        <w:rPr>
          <w:rFonts w:ascii="Arial" w:hAnsi="Arial" w:cs="Arial"/>
          <w:sz w:val="22"/>
          <w:szCs w:val="22"/>
        </w:rPr>
        <w:t xml:space="preserve">The Association is disappointed in the tone and strength of the report – there is no sense of urgency for reform. It encourages reform but does not exhort Governmental action. This is inherent in the media release where the presiding Commissioner Fitzgerald is quoted as stating - </w:t>
      </w:r>
      <w:r w:rsidRPr="008A26AC">
        <w:rPr>
          <w:rFonts w:ascii="Arial" w:hAnsi="Arial" w:cs="Arial"/>
          <w:i/>
          <w:sz w:val="22"/>
          <w:szCs w:val="22"/>
        </w:rPr>
        <w:t>'Adoption of the leading practices would create stronger incentives for governments to demand and officials to deliver policies that are well considered and supported by rigorous analysis of different options and their impacts.'</w:t>
      </w:r>
      <w:r w:rsidRPr="008A26AC">
        <w:rPr>
          <w:rFonts w:ascii="Arial" w:hAnsi="Arial" w:cs="Arial"/>
          <w:sz w:val="22"/>
          <w:szCs w:val="22"/>
        </w:rPr>
        <w:t xml:space="preserve"> The Association believes a much more assertive stance should be taken that recognises the urgent need for fundamental reform not merely a statement about the opportunity for change.</w:t>
      </w:r>
    </w:p>
    <w:p w:rsidR="00BF2967" w:rsidRDefault="00BF2967" w:rsidP="007555F4">
      <w:pPr>
        <w:rPr>
          <w:rFonts w:cs="Arial"/>
          <w:bCs/>
          <w:sz w:val="22"/>
          <w:szCs w:val="22"/>
        </w:rPr>
      </w:pPr>
    </w:p>
    <w:p w:rsidR="007555F4" w:rsidRDefault="007555F4" w:rsidP="007555F4">
      <w:pPr>
        <w:rPr>
          <w:rFonts w:cs="Arial"/>
          <w:bCs/>
          <w:sz w:val="22"/>
          <w:szCs w:val="22"/>
        </w:rPr>
      </w:pPr>
      <w:r w:rsidRPr="008A26AC">
        <w:rPr>
          <w:rFonts w:cs="Arial"/>
          <w:bCs/>
          <w:sz w:val="22"/>
          <w:szCs w:val="22"/>
        </w:rPr>
        <w:lastRenderedPageBreak/>
        <w:t>The following are the key points made by the Association in its submission in response to questions posed in the Commission’s Issues Paper released in March 2012.</w:t>
      </w:r>
    </w:p>
    <w:p w:rsidR="00BF2967" w:rsidRPr="008A26AC" w:rsidRDefault="00BF2967" w:rsidP="007555F4">
      <w:pPr>
        <w:rPr>
          <w:rFonts w:cs="Arial"/>
          <w:bCs/>
          <w:sz w:val="22"/>
          <w:szCs w:val="22"/>
        </w:rPr>
      </w:pPr>
    </w:p>
    <w:p w:rsidR="007555F4" w:rsidRPr="008A26AC" w:rsidRDefault="007555F4" w:rsidP="00BF2967">
      <w:pPr>
        <w:pStyle w:val="ListParagraph"/>
        <w:numPr>
          <w:ilvl w:val="0"/>
          <w:numId w:val="18"/>
        </w:numPr>
        <w:ind w:left="714" w:hanging="357"/>
        <w:contextualSpacing/>
        <w:rPr>
          <w:rFonts w:ascii="Arial" w:hAnsi="Arial" w:cs="Arial"/>
          <w:b/>
          <w:bCs/>
          <w:sz w:val="22"/>
          <w:szCs w:val="22"/>
        </w:rPr>
      </w:pPr>
      <w:r w:rsidRPr="008A26AC">
        <w:rPr>
          <w:rFonts w:ascii="Arial" w:hAnsi="Arial" w:cs="Arial"/>
          <w:b/>
          <w:bCs/>
          <w:i/>
          <w:sz w:val="22"/>
          <w:szCs w:val="22"/>
        </w:rPr>
        <w:t>The CMPA has seen</w:t>
      </w:r>
      <w:r w:rsidRPr="008A26AC">
        <w:rPr>
          <w:rFonts w:ascii="Arial" w:hAnsi="Arial" w:cs="Arial"/>
          <w:b/>
          <w:bCs/>
          <w:sz w:val="22"/>
          <w:szCs w:val="22"/>
        </w:rPr>
        <w:t xml:space="preserve"> </w:t>
      </w:r>
      <w:r w:rsidRPr="008A26AC">
        <w:rPr>
          <w:rFonts w:ascii="Arial" w:hAnsi="Arial" w:cs="Arial"/>
          <w:b/>
          <w:bCs/>
          <w:i/>
          <w:sz w:val="22"/>
          <w:szCs w:val="22"/>
        </w:rPr>
        <w:t>no evidence of the quality of regulation improving</w:t>
      </w:r>
      <w:r w:rsidR="00A151E5">
        <w:rPr>
          <w:rFonts w:ascii="Arial" w:hAnsi="Arial" w:cs="Arial"/>
          <w:b/>
          <w:bCs/>
          <w:i/>
          <w:sz w:val="22"/>
          <w:szCs w:val="22"/>
        </w:rPr>
        <w:t>.</w:t>
      </w:r>
    </w:p>
    <w:p w:rsidR="007555F4" w:rsidRPr="008A26AC" w:rsidRDefault="007555F4" w:rsidP="00BF2967">
      <w:pPr>
        <w:pStyle w:val="ListParagraph"/>
        <w:numPr>
          <w:ilvl w:val="0"/>
          <w:numId w:val="18"/>
        </w:numPr>
        <w:ind w:left="714" w:hanging="357"/>
        <w:contextualSpacing/>
        <w:rPr>
          <w:rFonts w:ascii="Arial" w:hAnsi="Arial" w:cs="Arial"/>
          <w:b/>
          <w:bCs/>
          <w:iCs/>
          <w:sz w:val="22"/>
          <w:szCs w:val="22"/>
        </w:rPr>
      </w:pPr>
      <w:r w:rsidRPr="008A26AC">
        <w:rPr>
          <w:rFonts w:ascii="Arial" w:hAnsi="Arial" w:cs="Arial"/>
          <w:b/>
          <w:bCs/>
          <w:i/>
          <w:iCs/>
          <w:sz w:val="22"/>
          <w:szCs w:val="22"/>
        </w:rPr>
        <w:t>The scope of RIA process should be directed to the development of policy at the broadest level rather than being confined to subordinate legislation</w:t>
      </w:r>
      <w:r w:rsidR="00A151E5">
        <w:rPr>
          <w:rFonts w:ascii="Arial" w:hAnsi="Arial" w:cs="Arial"/>
          <w:b/>
          <w:bCs/>
          <w:i/>
          <w:iCs/>
          <w:sz w:val="22"/>
          <w:szCs w:val="22"/>
        </w:rPr>
        <w:t>.</w:t>
      </w:r>
    </w:p>
    <w:p w:rsidR="007555F4" w:rsidRPr="008A26AC" w:rsidRDefault="007555F4" w:rsidP="00BF2967">
      <w:pPr>
        <w:pStyle w:val="ListParagraph"/>
        <w:numPr>
          <w:ilvl w:val="0"/>
          <w:numId w:val="18"/>
        </w:numPr>
        <w:ind w:left="714" w:hanging="357"/>
        <w:contextualSpacing/>
        <w:rPr>
          <w:rFonts w:ascii="Arial" w:hAnsi="Arial" w:cs="Arial"/>
          <w:b/>
          <w:sz w:val="22"/>
          <w:szCs w:val="22"/>
        </w:rPr>
      </w:pPr>
      <w:r w:rsidRPr="008A26AC">
        <w:rPr>
          <w:rFonts w:ascii="Arial" w:hAnsi="Arial" w:cs="Arial"/>
          <w:b/>
          <w:i/>
          <w:sz w:val="22"/>
          <w:szCs w:val="22"/>
        </w:rPr>
        <w:t>The costs of the RIS process should not be considered as separate from policy or regulation-making costs</w:t>
      </w:r>
      <w:r w:rsidR="00741EF4">
        <w:rPr>
          <w:rFonts w:ascii="Arial" w:hAnsi="Arial" w:cs="Arial"/>
          <w:b/>
          <w:i/>
          <w:sz w:val="22"/>
          <w:szCs w:val="22"/>
        </w:rPr>
        <w:t>.</w:t>
      </w:r>
    </w:p>
    <w:p w:rsidR="007555F4" w:rsidRPr="008A26AC" w:rsidRDefault="007555F4" w:rsidP="00BF2967">
      <w:pPr>
        <w:pStyle w:val="ListParagraph"/>
        <w:numPr>
          <w:ilvl w:val="0"/>
          <w:numId w:val="18"/>
        </w:numPr>
        <w:ind w:left="714" w:hanging="357"/>
        <w:contextualSpacing/>
        <w:rPr>
          <w:rFonts w:ascii="Arial" w:hAnsi="Arial" w:cs="Arial"/>
          <w:b/>
          <w:i/>
          <w:sz w:val="22"/>
          <w:szCs w:val="22"/>
        </w:rPr>
      </w:pPr>
      <w:r w:rsidRPr="008A26AC">
        <w:rPr>
          <w:rFonts w:ascii="Arial" w:hAnsi="Arial" w:cs="Arial"/>
          <w:b/>
          <w:i/>
          <w:sz w:val="22"/>
          <w:szCs w:val="22"/>
        </w:rPr>
        <w:t xml:space="preserve">Government agency heads should be held personally accountable for policy developments </w:t>
      </w:r>
      <w:r w:rsidRPr="008A26AC">
        <w:rPr>
          <w:rFonts w:ascii="Arial" w:hAnsi="Arial" w:cs="Arial"/>
          <w:b/>
          <w:bCs/>
          <w:i/>
          <w:iCs/>
          <w:sz w:val="22"/>
          <w:szCs w:val="22"/>
        </w:rPr>
        <w:t>and required to publicly explain the rationale used when the RIA assessment process is not undertaken</w:t>
      </w:r>
      <w:r w:rsidR="00741EF4">
        <w:rPr>
          <w:rFonts w:ascii="Arial" w:hAnsi="Arial" w:cs="Arial"/>
          <w:b/>
          <w:bCs/>
          <w:i/>
          <w:iCs/>
          <w:sz w:val="22"/>
          <w:szCs w:val="22"/>
        </w:rPr>
        <w:t>.</w:t>
      </w:r>
      <w:r w:rsidRPr="008A26AC">
        <w:rPr>
          <w:rFonts w:ascii="Arial" w:hAnsi="Arial" w:cs="Arial"/>
          <w:b/>
          <w:i/>
          <w:sz w:val="22"/>
          <w:szCs w:val="22"/>
        </w:rPr>
        <w:t xml:space="preserve"> </w:t>
      </w:r>
    </w:p>
    <w:p w:rsidR="007555F4" w:rsidRPr="008A26AC" w:rsidRDefault="007555F4" w:rsidP="00BF2967">
      <w:pPr>
        <w:pStyle w:val="ListParagraph"/>
        <w:numPr>
          <w:ilvl w:val="0"/>
          <w:numId w:val="18"/>
        </w:numPr>
        <w:ind w:left="714" w:hanging="357"/>
        <w:contextualSpacing/>
        <w:rPr>
          <w:rFonts w:ascii="Arial" w:hAnsi="Arial" w:cs="Arial"/>
          <w:b/>
          <w:sz w:val="22"/>
          <w:szCs w:val="22"/>
        </w:rPr>
      </w:pPr>
      <w:r w:rsidRPr="008A26AC">
        <w:rPr>
          <w:rFonts w:ascii="Arial" w:hAnsi="Arial" w:cs="Arial"/>
          <w:b/>
          <w:i/>
          <w:sz w:val="22"/>
          <w:szCs w:val="22"/>
        </w:rPr>
        <w:t>The CMPA has seen</w:t>
      </w:r>
      <w:r w:rsidRPr="008A26AC">
        <w:rPr>
          <w:rFonts w:ascii="Arial" w:hAnsi="Arial" w:cs="Arial"/>
          <w:b/>
          <w:sz w:val="22"/>
          <w:szCs w:val="22"/>
        </w:rPr>
        <w:t xml:space="preserve"> </w:t>
      </w:r>
      <w:r w:rsidRPr="008A26AC">
        <w:rPr>
          <w:rFonts w:ascii="Arial" w:hAnsi="Arial" w:cs="Arial"/>
          <w:b/>
          <w:i/>
          <w:sz w:val="22"/>
          <w:szCs w:val="22"/>
        </w:rPr>
        <w:t>no evidence that the RIA process has been effectively integrated into policy development</w:t>
      </w:r>
      <w:r w:rsidR="00741EF4">
        <w:rPr>
          <w:rFonts w:ascii="Arial" w:hAnsi="Arial" w:cs="Arial"/>
          <w:b/>
          <w:i/>
          <w:sz w:val="22"/>
          <w:szCs w:val="22"/>
        </w:rPr>
        <w:t>.</w:t>
      </w:r>
      <w:r w:rsidRPr="008A26AC">
        <w:rPr>
          <w:rFonts w:ascii="Arial" w:hAnsi="Arial" w:cs="Arial"/>
          <w:b/>
          <w:i/>
          <w:sz w:val="22"/>
          <w:szCs w:val="22"/>
        </w:rPr>
        <w:t xml:space="preserve"> </w:t>
      </w:r>
    </w:p>
    <w:p w:rsidR="007555F4" w:rsidRPr="008A26AC" w:rsidRDefault="007555F4" w:rsidP="00BF2967">
      <w:pPr>
        <w:pStyle w:val="ListParagraph"/>
        <w:numPr>
          <w:ilvl w:val="0"/>
          <w:numId w:val="18"/>
        </w:numPr>
        <w:ind w:left="714" w:hanging="357"/>
        <w:contextualSpacing/>
        <w:rPr>
          <w:rFonts w:ascii="Arial" w:hAnsi="Arial" w:cs="Arial"/>
          <w:b/>
          <w:sz w:val="22"/>
          <w:szCs w:val="22"/>
        </w:rPr>
      </w:pPr>
      <w:r w:rsidRPr="008A26AC">
        <w:rPr>
          <w:rFonts w:ascii="Arial" w:hAnsi="Arial" w:cs="Arial"/>
          <w:b/>
          <w:i/>
          <w:sz w:val="22"/>
          <w:szCs w:val="22"/>
        </w:rPr>
        <w:t>The argument for a lack of skills in Government agencies responsible for regulatory administration is difficult to accept especially when the same agencies obviously employ policy development staff</w:t>
      </w:r>
      <w:r w:rsidR="00741EF4">
        <w:rPr>
          <w:rFonts w:ascii="Arial" w:hAnsi="Arial" w:cs="Arial"/>
          <w:b/>
          <w:i/>
          <w:sz w:val="22"/>
          <w:szCs w:val="22"/>
        </w:rPr>
        <w:t>.</w:t>
      </w:r>
    </w:p>
    <w:p w:rsidR="007555F4" w:rsidRPr="008A26AC" w:rsidRDefault="007555F4" w:rsidP="00BF2967">
      <w:pPr>
        <w:pStyle w:val="ListParagraph"/>
        <w:numPr>
          <w:ilvl w:val="0"/>
          <w:numId w:val="18"/>
        </w:numPr>
        <w:ind w:left="714" w:hanging="357"/>
        <w:contextualSpacing/>
        <w:rPr>
          <w:rFonts w:ascii="Arial" w:hAnsi="Arial" w:cs="Arial"/>
          <w:b/>
          <w:sz w:val="22"/>
          <w:szCs w:val="22"/>
        </w:rPr>
      </w:pPr>
      <w:r w:rsidRPr="008A26AC">
        <w:rPr>
          <w:rFonts w:ascii="Arial" w:hAnsi="Arial" w:cs="Arial"/>
          <w:b/>
          <w:i/>
          <w:sz w:val="22"/>
          <w:szCs w:val="22"/>
        </w:rPr>
        <w:t>The most prevalent weakness in RIS’ reviewed by the Association is a general lack of identification of the costs associated with options for regulatory intervention</w:t>
      </w:r>
      <w:r w:rsidR="00741EF4">
        <w:rPr>
          <w:rFonts w:ascii="Arial" w:hAnsi="Arial" w:cs="Arial"/>
          <w:b/>
          <w:sz w:val="22"/>
          <w:szCs w:val="22"/>
        </w:rPr>
        <w:t>.</w:t>
      </w:r>
    </w:p>
    <w:p w:rsidR="007555F4" w:rsidRPr="008A26AC" w:rsidRDefault="007555F4" w:rsidP="00BF2967">
      <w:pPr>
        <w:pStyle w:val="ListParagraph"/>
        <w:numPr>
          <w:ilvl w:val="0"/>
          <w:numId w:val="18"/>
        </w:numPr>
        <w:ind w:left="714" w:hanging="357"/>
        <w:contextualSpacing/>
        <w:rPr>
          <w:rFonts w:ascii="Arial" w:hAnsi="Arial" w:cs="Arial"/>
          <w:b/>
          <w:i/>
          <w:sz w:val="22"/>
          <w:szCs w:val="22"/>
        </w:rPr>
      </w:pPr>
      <w:r w:rsidRPr="008A26AC">
        <w:rPr>
          <w:rFonts w:ascii="Arial" w:hAnsi="Arial" w:cs="Arial"/>
          <w:b/>
          <w:i/>
          <w:sz w:val="22"/>
          <w:szCs w:val="22"/>
        </w:rPr>
        <w:t>The draft Model Work Health and Safety Regulations Mining and associated Draft Code of Practice for the Work Health and Safety Management Systems in Mining are a recent example where the national RIS process has failed</w:t>
      </w:r>
      <w:r w:rsidR="00741EF4">
        <w:rPr>
          <w:rFonts w:ascii="Arial" w:hAnsi="Arial" w:cs="Arial"/>
          <w:b/>
          <w:i/>
          <w:sz w:val="22"/>
          <w:szCs w:val="22"/>
        </w:rPr>
        <w:t>.</w:t>
      </w:r>
    </w:p>
    <w:p w:rsidR="007555F4" w:rsidRPr="008A26AC" w:rsidRDefault="007555F4" w:rsidP="00BF2967">
      <w:pPr>
        <w:pStyle w:val="ListParagraph"/>
        <w:numPr>
          <w:ilvl w:val="0"/>
          <w:numId w:val="18"/>
        </w:numPr>
        <w:ind w:left="714" w:hanging="357"/>
        <w:contextualSpacing/>
        <w:rPr>
          <w:rFonts w:ascii="Arial" w:hAnsi="Arial" w:cs="Arial"/>
          <w:b/>
          <w:bCs/>
          <w:iCs/>
          <w:sz w:val="22"/>
          <w:szCs w:val="22"/>
        </w:rPr>
      </w:pPr>
      <w:r w:rsidRPr="008A26AC">
        <w:rPr>
          <w:rFonts w:ascii="Arial" w:hAnsi="Arial" w:cs="Arial"/>
          <w:b/>
          <w:bCs/>
          <w:i/>
          <w:iCs/>
          <w:sz w:val="22"/>
          <w:szCs w:val="22"/>
        </w:rPr>
        <w:t>Clearly the current arrangements for independent scrutiny of compliance with RIA processes are inadequate</w:t>
      </w:r>
      <w:r w:rsidR="00741EF4">
        <w:rPr>
          <w:rFonts w:ascii="Arial" w:hAnsi="Arial" w:cs="Arial"/>
          <w:b/>
          <w:bCs/>
          <w:i/>
          <w:iCs/>
          <w:sz w:val="22"/>
          <w:szCs w:val="22"/>
        </w:rPr>
        <w:t>.</w:t>
      </w:r>
    </w:p>
    <w:p w:rsidR="007555F4" w:rsidRPr="00BF2967" w:rsidRDefault="007555F4" w:rsidP="00BF2967">
      <w:pPr>
        <w:pStyle w:val="ListParagraph"/>
        <w:numPr>
          <w:ilvl w:val="0"/>
          <w:numId w:val="18"/>
        </w:numPr>
        <w:ind w:left="714" w:hanging="357"/>
        <w:contextualSpacing/>
        <w:rPr>
          <w:rFonts w:ascii="Arial" w:hAnsi="Arial" w:cs="Arial"/>
          <w:b/>
          <w:sz w:val="22"/>
          <w:szCs w:val="22"/>
        </w:rPr>
      </w:pPr>
      <w:r w:rsidRPr="008A26AC">
        <w:rPr>
          <w:rFonts w:ascii="Arial" w:hAnsi="Arial" w:cs="Arial"/>
          <w:b/>
          <w:i/>
          <w:sz w:val="22"/>
          <w:szCs w:val="22"/>
        </w:rPr>
        <w:t>Consultation documents should be precise, targeted and not be issued unless they include some evidence of cost assessment</w:t>
      </w:r>
      <w:r w:rsidR="00741EF4">
        <w:rPr>
          <w:rFonts w:ascii="Arial" w:hAnsi="Arial" w:cs="Arial"/>
          <w:b/>
          <w:i/>
          <w:sz w:val="22"/>
          <w:szCs w:val="22"/>
        </w:rPr>
        <w:t>.</w:t>
      </w:r>
    </w:p>
    <w:p w:rsidR="00BF2967" w:rsidRPr="008A26AC" w:rsidRDefault="00BF2967" w:rsidP="00BF2967">
      <w:pPr>
        <w:pStyle w:val="ListParagraph"/>
        <w:ind w:left="714"/>
        <w:contextualSpacing/>
        <w:rPr>
          <w:rFonts w:ascii="Arial" w:hAnsi="Arial" w:cs="Arial"/>
          <w:b/>
          <w:sz w:val="22"/>
          <w:szCs w:val="22"/>
        </w:rPr>
      </w:pPr>
    </w:p>
    <w:p w:rsidR="007555F4" w:rsidRDefault="007555F4" w:rsidP="007555F4">
      <w:pPr>
        <w:spacing w:after="120"/>
        <w:rPr>
          <w:rFonts w:cs="Arial"/>
          <w:bCs/>
          <w:iCs/>
          <w:sz w:val="22"/>
          <w:szCs w:val="22"/>
        </w:rPr>
      </w:pPr>
      <w:r w:rsidRPr="008A26AC">
        <w:rPr>
          <w:rFonts w:cs="Arial"/>
          <w:bCs/>
          <w:iCs/>
          <w:sz w:val="22"/>
          <w:szCs w:val="22"/>
        </w:rPr>
        <w:t>Only some of these points have been partially addressed in the draft report.</w:t>
      </w:r>
    </w:p>
    <w:p w:rsidR="00BF2967" w:rsidRPr="008A26AC" w:rsidRDefault="00BF2967" w:rsidP="007555F4">
      <w:pPr>
        <w:spacing w:after="120"/>
        <w:rPr>
          <w:rFonts w:cs="Arial"/>
          <w:bCs/>
          <w:iCs/>
          <w:sz w:val="22"/>
          <w:szCs w:val="22"/>
        </w:rPr>
      </w:pPr>
    </w:p>
    <w:p w:rsidR="00BF2967" w:rsidRDefault="007555F4" w:rsidP="00BF2967">
      <w:pPr>
        <w:rPr>
          <w:rFonts w:cs="Arial"/>
          <w:sz w:val="22"/>
          <w:szCs w:val="22"/>
        </w:rPr>
      </w:pPr>
      <w:r w:rsidRPr="008A26AC">
        <w:rPr>
          <w:rFonts w:cs="Arial"/>
          <w:sz w:val="22"/>
          <w:szCs w:val="22"/>
        </w:rPr>
        <w:t>The Association is concerned that the valuable findings of the study, referred to as draft leading practices, will not be taken up by Governments because they are presented as options rather than as clear requirements for change and better outcomes. The Commission’s ‘softly-softly’ strategy is high risk when the economy is so finely balanced and hard decisions are needed by Governments to provide the circumstances for increased investment by business in wealth-generation projects.</w:t>
      </w:r>
    </w:p>
    <w:p w:rsidR="007555F4" w:rsidRPr="008A26AC" w:rsidRDefault="007555F4" w:rsidP="00BF2967">
      <w:pPr>
        <w:rPr>
          <w:rFonts w:cs="Arial"/>
          <w:sz w:val="22"/>
          <w:szCs w:val="22"/>
        </w:rPr>
      </w:pPr>
    </w:p>
    <w:p w:rsidR="007555F4" w:rsidRPr="008A26AC" w:rsidRDefault="007555F4" w:rsidP="00BF2967">
      <w:pPr>
        <w:pStyle w:val="NormalWeb"/>
        <w:spacing w:before="0" w:beforeAutospacing="0" w:after="0" w:line="240" w:lineRule="auto"/>
        <w:rPr>
          <w:rFonts w:ascii="Arial" w:hAnsi="Arial" w:cs="Arial"/>
          <w:sz w:val="22"/>
          <w:szCs w:val="22"/>
        </w:rPr>
      </w:pPr>
      <w:r w:rsidRPr="008A26AC">
        <w:rPr>
          <w:rFonts w:ascii="Arial" w:hAnsi="Arial" w:cs="Arial"/>
          <w:sz w:val="22"/>
          <w:szCs w:val="22"/>
        </w:rPr>
        <w:t xml:space="preserve">While the Commission may have addressed its terms of reference the draft report does not </w:t>
      </w:r>
      <w:r w:rsidR="00406AB8" w:rsidRPr="008A26AC">
        <w:rPr>
          <w:rFonts w:ascii="Arial" w:hAnsi="Arial" w:cs="Arial"/>
          <w:sz w:val="22"/>
          <w:szCs w:val="22"/>
        </w:rPr>
        <w:t>instil</w:t>
      </w:r>
      <w:r w:rsidRPr="008A26AC">
        <w:rPr>
          <w:rFonts w:ascii="Arial" w:hAnsi="Arial" w:cs="Arial"/>
          <w:sz w:val="22"/>
          <w:szCs w:val="22"/>
        </w:rPr>
        <w:t xml:space="preserve"> any need for the reader to make any change and therefore it fails in its task.  The Association strongly suggests the final report be a much more assertive document that can be readily adopted by the Government and jurisdictions as a way forward in regulatory reform.</w:t>
      </w:r>
    </w:p>
    <w:p w:rsidR="007F4EF6" w:rsidRPr="008A26AC" w:rsidRDefault="00A207A9" w:rsidP="003D265D">
      <w:pPr>
        <w:rPr>
          <w:rFonts w:cs="Arial"/>
          <w:sz w:val="22"/>
          <w:szCs w:val="22"/>
        </w:rPr>
      </w:pPr>
      <w:r w:rsidRPr="008A26AC">
        <w:rPr>
          <w:rFonts w:cs="Arial"/>
          <w:sz w:val="22"/>
          <w:szCs w:val="22"/>
        </w:rPr>
        <w:t>.</w:t>
      </w:r>
    </w:p>
    <w:p w:rsidR="003D265D" w:rsidRPr="008A26AC" w:rsidRDefault="003D265D" w:rsidP="003D265D">
      <w:pPr>
        <w:rPr>
          <w:rFonts w:cs="Arial"/>
          <w:sz w:val="22"/>
          <w:szCs w:val="22"/>
        </w:rPr>
      </w:pPr>
    </w:p>
    <w:p w:rsidR="007F4EF6" w:rsidRPr="008A26AC" w:rsidRDefault="007F4EF6" w:rsidP="003D265D">
      <w:pPr>
        <w:rPr>
          <w:rFonts w:cs="Arial"/>
          <w:sz w:val="22"/>
          <w:szCs w:val="22"/>
        </w:rPr>
      </w:pPr>
    </w:p>
    <w:p w:rsidR="007F4EF6" w:rsidRPr="008A26AC" w:rsidRDefault="007F4EF6" w:rsidP="003D265D">
      <w:pPr>
        <w:rPr>
          <w:rFonts w:cs="Arial"/>
          <w:sz w:val="22"/>
          <w:szCs w:val="22"/>
        </w:rPr>
      </w:pPr>
    </w:p>
    <w:p w:rsidR="007F4EF6" w:rsidRPr="008A26AC" w:rsidRDefault="007F4EF6" w:rsidP="003D265D">
      <w:pPr>
        <w:rPr>
          <w:rFonts w:cs="Arial"/>
          <w:sz w:val="22"/>
          <w:szCs w:val="22"/>
        </w:rPr>
      </w:pPr>
    </w:p>
    <w:p w:rsidR="00F34D8C" w:rsidRPr="008A26AC" w:rsidRDefault="004D7F24" w:rsidP="00F34D8C">
      <w:pPr>
        <w:rPr>
          <w:rFonts w:cs="Arial"/>
          <w:sz w:val="22"/>
          <w:szCs w:val="22"/>
        </w:rPr>
      </w:pPr>
      <w:r>
        <w:rPr>
          <w:rFonts w:cs="Arial"/>
          <w:noProof/>
          <w:sz w:val="22"/>
          <w:szCs w:val="22"/>
        </w:rPr>
        <w:pict>
          <v:line id="_x0000_s1043" style="position:absolute;left:0;text-align:left;z-index:251660800;mso-position-horizontal-relative:page;mso-position-vertical-relative:page" from="28.35pt,275pt" to="40.35pt,275pt">
            <w10:wrap anchorx="page" anchory="page"/>
          </v:line>
        </w:pict>
      </w:r>
      <w:r w:rsidR="00F34D8C" w:rsidRPr="008A26AC">
        <w:rPr>
          <w:rFonts w:cs="Arial"/>
          <w:sz w:val="22"/>
          <w:szCs w:val="22"/>
        </w:rPr>
        <w:t>Yours sincerely</w:t>
      </w:r>
    </w:p>
    <w:p w:rsidR="00F34D8C" w:rsidRPr="003D265D" w:rsidRDefault="00F34D8C" w:rsidP="00F34D8C">
      <w:pPr>
        <w:jc w:val="left"/>
        <w:rPr>
          <w:rFonts w:asciiTheme="minorHAnsi" w:hAnsiTheme="minorHAnsi"/>
          <w:spacing w:val="0"/>
          <w:sz w:val="22"/>
          <w:szCs w:val="22"/>
        </w:rPr>
      </w:pPr>
    </w:p>
    <w:p w:rsidR="00F34D8C" w:rsidRPr="003D265D" w:rsidRDefault="00F34D8C" w:rsidP="00F34D8C">
      <w:pPr>
        <w:jc w:val="left"/>
        <w:rPr>
          <w:rFonts w:asciiTheme="minorHAnsi" w:hAnsiTheme="minorHAnsi"/>
          <w:sz w:val="22"/>
          <w:szCs w:val="22"/>
        </w:rPr>
      </w:pPr>
      <w:r w:rsidRPr="003D265D">
        <w:rPr>
          <w:rFonts w:asciiTheme="minorHAnsi" w:hAnsiTheme="minorHAnsi"/>
          <w:sz w:val="22"/>
          <w:szCs w:val="22"/>
        </w:rPr>
        <w:t>Bruce McClure RFD, psc(r)</w:t>
      </w:r>
    </w:p>
    <w:p w:rsidR="00F34D8C" w:rsidRPr="003D265D" w:rsidRDefault="00F34D8C" w:rsidP="00F34D8C">
      <w:pPr>
        <w:jc w:val="left"/>
        <w:rPr>
          <w:rFonts w:asciiTheme="minorHAnsi" w:hAnsiTheme="minorHAnsi"/>
          <w:sz w:val="22"/>
          <w:szCs w:val="22"/>
        </w:rPr>
      </w:pPr>
      <w:r w:rsidRPr="003D265D">
        <w:rPr>
          <w:rFonts w:asciiTheme="minorHAnsi" w:hAnsiTheme="minorHAnsi"/>
          <w:sz w:val="22"/>
          <w:szCs w:val="22"/>
        </w:rPr>
        <w:t>C.P. Eng., AIMM</w:t>
      </w:r>
    </w:p>
    <w:p w:rsidR="00A71F8C" w:rsidRDefault="00F34D8C" w:rsidP="00F34D8C">
      <w:pPr>
        <w:jc w:val="left"/>
      </w:pPr>
      <w:r w:rsidRPr="003D265D">
        <w:rPr>
          <w:rFonts w:asciiTheme="minorHAnsi" w:hAnsiTheme="minorHAnsi"/>
          <w:sz w:val="22"/>
          <w:szCs w:val="22"/>
        </w:rPr>
        <w:t>General Manager CMPA</w:t>
      </w:r>
    </w:p>
    <w:sectPr w:rsidR="00A71F8C" w:rsidSect="00597EDE">
      <w:headerReference w:type="default" r:id="rId9"/>
      <w:footerReference w:type="default" r:id="rId10"/>
      <w:footerReference w:type="first" r:id="rId11"/>
      <w:type w:val="continuous"/>
      <w:pgSz w:w="11907" w:h="16840" w:code="9"/>
      <w:pgMar w:top="1559" w:right="1134" w:bottom="1134" w:left="1418" w:header="958" w:footer="9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E5" w:rsidRDefault="00A151E5">
      <w:r>
        <w:separator/>
      </w:r>
    </w:p>
  </w:endnote>
  <w:endnote w:type="continuationSeparator" w:id="0">
    <w:p w:rsidR="00A151E5" w:rsidRDefault="00A1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1E5" w:rsidRPr="00597EDE" w:rsidRDefault="00A151E5" w:rsidP="00597EDE">
    <w:pPr>
      <w:pStyle w:val="Footer"/>
      <w:tabs>
        <w:tab w:val="clear" w:pos="8640"/>
        <w:tab w:val="right" w:pos="9356"/>
      </w:tabs>
      <w:rPr>
        <w:sz w:val="16"/>
        <w:szCs w:val="16"/>
      </w:rPr>
    </w:pPr>
    <w:r>
      <w:tab/>
      <w:t xml:space="preserve">- </w:t>
    </w:r>
    <w:r w:rsidR="00D2562B">
      <w:fldChar w:fldCharType="begin"/>
    </w:r>
    <w:r w:rsidR="00D2562B">
      <w:instrText xml:space="preserve"> PAGE </w:instrText>
    </w:r>
    <w:r w:rsidR="00D2562B">
      <w:fldChar w:fldCharType="separate"/>
    </w:r>
    <w:r w:rsidR="004D7F24">
      <w:rPr>
        <w:noProof/>
      </w:rPr>
      <w:t>1</w:t>
    </w:r>
    <w:r w:rsidR="00D2562B">
      <w:rPr>
        <w:noProof/>
      </w:rPr>
      <w:fldChar w:fldCharType="end"/>
    </w:r>
    <w:r>
      <w:t xml:space="preserve"> -</w:t>
    </w:r>
    <w:r>
      <w:tab/>
      <w:t xml:space="preserve"> </w:t>
    </w:r>
    <w:r w:rsidR="004D7F24">
      <w:fldChar w:fldCharType="begin"/>
    </w:r>
    <w:r w:rsidR="004D7F24">
      <w:instrText xml:space="preserve"> FILENAME </w:instrText>
    </w:r>
    <w:r w:rsidR="004D7F24">
      <w:fldChar w:fldCharType="separate"/>
    </w:r>
    <w:r w:rsidR="00B2468D">
      <w:rPr>
        <w:noProof/>
      </w:rPr>
      <w:t>lett1374 Letter on RIA Benchmarking 121005</w:t>
    </w:r>
    <w:r w:rsidR="004D7F2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1E5" w:rsidRPr="00E1702F" w:rsidRDefault="00A151E5" w:rsidP="00E1702F">
    <w:pPr>
      <w:pStyle w:val="Footer"/>
      <w:tabs>
        <w:tab w:val="clear" w:pos="8640"/>
        <w:tab w:val="right" w:pos="9356"/>
      </w:tabs>
      <w:rPr>
        <w:sz w:val="16"/>
        <w:szCs w:val="16"/>
      </w:rPr>
    </w:pPr>
    <w:r>
      <w:tab/>
      <w:t xml:space="preserve">- </w:t>
    </w:r>
    <w:r w:rsidR="00D2562B">
      <w:fldChar w:fldCharType="begin"/>
    </w:r>
    <w:r w:rsidR="00D2562B">
      <w:instrText xml:space="preserve"> PAGE </w:instrText>
    </w:r>
    <w:r w:rsidR="00D2562B">
      <w:fldChar w:fldCharType="separate"/>
    </w:r>
    <w:r>
      <w:rPr>
        <w:noProof/>
      </w:rPr>
      <w:t>1</w:t>
    </w:r>
    <w:r w:rsidR="00D2562B">
      <w:rPr>
        <w:noProof/>
      </w:rPr>
      <w:fldChar w:fldCharType="end"/>
    </w:r>
    <w:r>
      <w:t xml:space="preserve"> -</w:t>
    </w:r>
    <w:r>
      <w:tab/>
    </w:r>
    <w:r w:rsidR="004D7F24">
      <w:fldChar w:fldCharType="begin"/>
    </w:r>
    <w:r w:rsidR="004D7F24">
      <w:instrText xml:space="preserve"> FILENAME </w:instrText>
    </w:r>
    <w:r w:rsidR="004D7F24">
      <w:fldChar w:fldCharType="separate"/>
    </w:r>
    <w:r w:rsidR="00B2468D">
      <w:rPr>
        <w:noProof/>
      </w:rPr>
      <w:t>lett1374 Letter on RIA Benchmarking 121005</w:t>
    </w:r>
    <w:r w:rsidR="004D7F2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E5" w:rsidRDefault="00A151E5">
      <w:r>
        <w:separator/>
      </w:r>
    </w:p>
  </w:footnote>
  <w:footnote w:type="continuationSeparator" w:id="0">
    <w:p w:rsidR="00A151E5" w:rsidRDefault="00A15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1E5" w:rsidRDefault="00A151E5">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692"/>
    <w:multiLevelType w:val="hybridMultilevel"/>
    <w:tmpl w:val="D20CA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2C33E69"/>
    <w:multiLevelType w:val="hybridMultilevel"/>
    <w:tmpl w:val="13A85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nsid w:val="33D70604"/>
    <w:multiLevelType w:val="hybridMultilevel"/>
    <w:tmpl w:val="06902A5C"/>
    <w:lvl w:ilvl="0" w:tplc="AAD65504">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443857C0"/>
    <w:multiLevelType w:val="multilevel"/>
    <w:tmpl w:val="7270B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1144216"/>
    <w:multiLevelType w:val="hybridMultilevel"/>
    <w:tmpl w:val="8F506C52"/>
    <w:lvl w:ilvl="0" w:tplc="A070607C">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7BE56F3"/>
    <w:multiLevelType w:val="multilevel"/>
    <w:tmpl w:val="8F506C5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54A0215"/>
    <w:multiLevelType w:val="hybridMultilevel"/>
    <w:tmpl w:val="1E4241C2"/>
    <w:lvl w:ilvl="0" w:tplc="024A2F4A">
      <w:start w:val="1"/>
      <w:numFmt w:val="bullet"/>
      <w:lvlText w:val=""/>
      <w:lvlJc w:val="left"/>
      <w:pPr>
        <w:tabs>
          <w:tab w:val="num" w:pos="624"/>
        </w:tabs>
        <w:ind w:left="680" w:hanging="68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5762330"/>
    <w:multiLevelType w:val="hybridMultilevel"/>
    <w:tmpl w:val="3CBA1114"/>
    <w:lvl w:ilvl="0" w:tplc="03C86216">
      <w:start w:val="1"/>
      <w:numFmt w:val="bullet"/>
      <w:pStyle w:val="Bullet1"/>
      <w:lvlText w:val=""/>
      <w:lvlJc w:val="left"/>
      <w:pPr>
        <w:tabs>
          <w:tab w:val="num" w:pos="567"/>
        </w:tabs>
        <w:ind w:left="567" w:hanging="567"/>
      </w:pPr>
      <w:rPr>
        <w:rFonts w:ascii="Symbol" w:hAnsi="Symbol" w:hint="default"/>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10">
    <w:nsid w:val="68F416A7"/>
    <w:multiLevelType w:val="singleLevel"/>
    <w:tmpl w:val="4EB6310C"/>
    <w:lvl w:ilvl="0">
      <w:start w:val="1"/>
      <w:numFmt w:val="decimal"/>
      <w:lvlText w:val="%1."/>
      <w:lvlJc w:val="left"/>
      <w:pPr>
        <w:tabs>
          <w:tab w:val="num" w:pos="720"/>
        </w:tabs>
        <w:ind w:left="720" w:hanging="720"/>
      </w:pPr>
      <w:rPr>
        <w:rFonts w:hint="default"/>
      </w:rPr>
    </w:lvl>
  </w:abstractNum>
  <w:abstractNum w:abstractNumId="11">
    <w:nsid w:val="6DBA46EE"/>
    <w:multiLevelType w:val="hybridMultilevel"/>
    <w:tmpl w:val="9980522A"/>
    <w:lvl w:ilvl="0" w:tplc="DE3E7F08">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11"/>
  </w:num>
  <w:num w:numId="5">
    <w:abstractNumId w:val="5"/>
  </w:num>
  <w:num w:numId="6">
    <w:abstractNumId w:val="6"/>
  </w:num>
  <w:num w:numId="7">
    <w:abstractNumId w:val="7"/>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7D783A"/>
    <w:rsid w:val="000064BE"/>
    <w:rsid w:val="0005227B"/>
    <w:rsid w:val="0007192F"/>
    <w:rsid w:val="00072F97"/>
    <w:rsid w:val="00076176"/>
    <w:rsid w:val="00120053"/>
    <w:rsid w:val="001342CB"/>
    <w:rsid w:val="00141734"/>
    <w:rsid w:val="00144975"/>
    <w:rsid w:val="00175D9E"/>
    <w:rsid w:val="001C24E0"/>
    <w:rsid w:val="001C42AD"/>
    <w:rsid w:val="002143C5"/>
    <w:rsid w:val="00223305"/>
    <w:rsid w:val="00224379"/>
    <w:rsid w:val="00246DD3"/>
    <w:rsid w:val="002561EE"/>
    <w:rsid w:val="00286CAF"/>
    <w:rsid w:val="002B161A"/>
    <w:rsid w:val="00313E25"/>
    <w:rsid w:val="00341243"/>
    <w:rsid w:val="003477B4"/>
    <w:rsid w:val="00371C13"/>
    <w:rsid w:val="003845E7"/>
    <w:rsid w:val="00396C57"/>
    <w:rsid w:val="003D086C"/>
    <w:rsid w:val="003D265D"/>
    <w:rsid w:val="003F0638"/>
    <w:rsid w:val="00406AB8"/>
    <w:rsid w:val="00407D7C"/>
    <w:rsid w:val="00421059"/>
    <w:rsid w:val="004537F4"/>
    <w:rsid w:val="00473056"/>
    <w:rsid w:val="00474B38"/>
    <w:rsid w:val="00490597"/>
    <w:rsid w:val="004A2637"/>
    <w:rsid w:val="004A38B3"/>
    <w:rsid w:val="004C67AC"/>
    <w:rsid w:val="004D7F24"/>
    <w:rsid w:val="00500531"/>
    <w:rsid w:val="00502EB4"/>
    <w:rsid w:val="00511E2F"/>
    <w:rsid w:val="0054081A"/>
    <w:rsid w:val="00550194"/>
    <w:rsid w:val="0056178C"/>
    <w:rsid w:val="005621FB"/>
    <w:rsid w:val="00597EDE"/>
    <w:rsid w:val="005A43D5"/>
    <w:rsid w:val="005D1CA9"/>
    <w:rsid w:val="005D71D0"/>
    <w:rsid w:val="005D77E6"/>
    <w:rsid w:val="005E001F"/>
    <w:rsid w:val="005E2669"/>
    <w:rsid w:val="00607039"/>
    <w:rsid w:val="00611187"/>
    <w:rsid w:val="006134BA"/>
    <w:rsid w:val="00621695"/>
    <w:rsid w:val="00626806"/>
    <w:rsid w:val="006666C2"/>
    <w:rsid w:val="00681C0B"/>
    <w:rsid w:val="00696AC8"/>
    <w:rsid w:val="006B60B4"/>
    <w:rsid w:val="006D1D55"/>
    <w:rsid w:val="006D69DD"/>
    <w:rsid w:val="006F578B"/>
    <w:rsid w:val="00741EF4"/>
    <w:rsid w:val="00742797"/>
    <w:rsid w:val="00752B21"/>
    <w:rsid w:val="007555F4"/>
    <w:rsid w:val="00780852"/>
    <w:rsid w:val="007831EF"/>
    <w:rsid w:val="007A16A9"/>
    <w:rsid w:val="007A6D46"/>
    <w:rsid w:val="007A7429"/>
    <w:rsid w:val="007B51E0"/>
    <w:rsid w:val="007C7A0C"/>
    <w:rsid w:val="007D129E"/>
    <w:rsid w:val="007D783A"/>
    <w:rsid w:val="007D7CDC"/>
    <w:rsid w:val="007E0508"/>
    <w:rsid w:val="007E7182"/>
    <w:rsid w:val="007F4EF6"/>
    <w:rsid w:val="008117D3"/>
    <w:rsid w:val="00813F9D"/>
    <w:rsid w:val="00830223"/>
    <w:rsid w:val="008459C7"/>
    <w:rsid w:val="0084658C"/>
    <w:rsid w:val="008859CE"/>
    <w:rsid w:val="008A26AC"/>
    <w:rsid w:val="008A5939"/>
    <w:rsid w:val="008B3E44"/>
    <w:rsid w:val="008D1D8A"/>
    <w:rsid w:val="008F483D"/>
    <w:rsid w:val="00913AC7"/>
    <w:rsid w:val="00935394"/>
    <w:rsid w:val="00966FD8"/>
    <w:rsid w:val="0097206D"/>
    <w:rsid w:val="00973879"/>
    <w:rsid w:val="009949E6"/>
    <w:rsid w:val="009B5A1E"/>
    <w:rsid w:val="009E2175"/>
    <w:rsid w:val="00A11B77"/>
    <w:rsid w:val="00A144DC"/>
    <w:rsid w:val="00A151E5"/>
    <w:rsid w:val="00A1622E"/>
    <w:rsid w:val="00A1688A"/>
    <w:rsid w:val="00A207A9"/>
    <w:rsid w:val="00A45752"/>
    <w:rsid w:val="00A47060"/>
    <w:rsid w:val="00A513FD"/>
    <w:rsid w:val="00A714D2"/>
    <w:rsid w:val="00A71F8C"/>
    <w:rsid w:val="00AC49DC"/>
    <w:rsid w:val="00AD01B5"/>
    <w:rsid w:val="00AE3A3B"/>
    <w:rsid w:val="00AE4B55"/>
    <w:rsid w:val="00AE75DF"/>
    <w:rsid w:val="00B00160"/>
    <w:rsid w:val="00B137EF"/>
    <w:rsid w:val="00B2468D"/>
    <w:rsid w:val="00B40A1C"/>
    <w:rsid w:val="00B42AE6"/>
    <w:rsid w:val="00B54F91"/>
    <w:rsid w:val="00B64AD8"/>
    <w:rsid w:val="00B778E1"/>
    <w:rsid w:val="00BA261A"/>
    <w:rsid w:val="00BA7FED"/>
    <w:rsid w:val="00BE1D49"/>
    <w:rsid w:val="00BE6BFC"/>
    <w:rsid w:val="00BF2967"/>
    <w:rsid w:val="00BF47BC"/>
    <w:rsid w:val="00C0481D"/>
    <w:rsid w:val="00C270EB"/>
    <w:rsid w:val="00C554D0"/>
    <w:rsid w:val="00C7614D"/>
    <w:rsid w:val="00C95DDC"/>
    <w:rsid w:val="00CB021E"/>
    <w:rsid w:val="00CE0E28"/>
    <w:rsid w:val="00D03229"/>
    <w:rsid w:val="00D06715"/>
    <w:rsid w:val="00D23418"/>
    <w:rsid w:val="00D2562B"/>
    <w:rsid w:val="00D469B1"/>
    <w:rsid w:val="00D920C8"/>
    <w:rsid w:val="00DA0C42"/>
    <w:rsid w:val="00DA6C1F"/>
    <w:rsid w:val="00DC4F95"/>
    <w:rsid w:val="00E05EF9"/>
    <w:rsid w:val="00E13451"/>
    <w:rsid w:val="00E1702F"/>
    <w:rsid w:val="00E27196"/>
    <w:rsid w:val="00E32F5F"/>
    <w:rsid w:val="00E61A57"/>
    <w:rsid w:val="00E72B2D"/>
    <w:rsid w:val="00EA3F96"/>
    <w:rsid w:val="00EB7068"/>
    <w:rsid w:val="00EC19E0"/>
    <w:rsid w:val="00ED1162"/>
    <w:rsid w:val="00ED3B9D"/>
    <w:rsid w:val="00EE10D9"/>
    <w:rsid w:val="00EF1136"/>
    <w:rsid w:val="00EF4575"/>
    <w:rsid w:val="00F07DB1"/>
    <w:rsid w:val="00F140A4"/>
    <w:rsid w:val="00F20851"/>
    <w:rsid w:val="00F30464"/>
    <w:rsid w:val="00F31C41"/>
    <w:rsid w:val="00F34D8C"/>
    <w:rsid w:val="00F45F4E"/>
    <w:rsid w:val="00F52701"/>
    <w:rsid w:val="00F53851"/>
    <w:rsid w:val="00F708EE"/>
    <w:rsid w:val="00F91097"/>
    <w:rsid w:val="00FA6EA4"/>
    <w:rsid w:val="00FD0486"/>
    <w:rsid w:val="00FD5C90"/>
    <w:rsid w:val="00FF2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1F"/>
    <w:pPr>
      <w:jc w:val="both"/>
    </w:pPr>
    <w:rPr>
      <w:rFonts w:ascii="Arial" w:hAnsi="Arial"/>
      <w:spacing w:val="-5"/>
      <w:lang w:eastAsia="en-US"/>
    </w:rPr>
  </w:style>
  <w:style w:type="paragraph" w:styleId="Heading1">
    <w:name w:val="heading 1"/>
    <w:basedOn w:val="HeadingBase"/>
    <w:next w:val="BodyText"/>
    <w:qFormat/>
    <w:rsid w:val="00DA6C1F"/>
    <w:pPr>
      <w:spacing w:after="220"/>
      <w:jc w:val="left"/>
      <w:outlineLvl w:val="0"/>
    </w:pPr>
  </w:style>
  <w:style w:type="paragraph" w:styleId="Heading2">
    <w:name w:val="heading 2"/>
    <w:basedOn w:val="HeadingBase"/>
    <w:next w:val="BodyText"/>
    <w:qFormat/>
    <w:rsid w:val="00DA6C1F"/>
    <w:pPr>
      <w:jc w:val="left"/>
      <w:outlineLvl w:val="1"/>
    </w:pPr>
    <w:rPr>
      <w:sz w:val="18"/>
    </w:rPr>
  </w:style>
  <w:style w:type="paragraph" w:styleId="Heading3">
    <w:name w:val="heading 3"/>
    <w:basedOn w:val="HeadingBase"/>
    <w:next w:val="BodyText"/>
    <w:qFormat/>
    <w:rsid w:val="00DA6C1F"/>
    <w:pPr>
      <w:spacing w:after="220"/>
      <w:jc w:val="left"/>
      <w:outlineLvl w:val="2"/>
    </w:pPr>
    <w:rPr>
      <w:rFonts w:ascii="Arial" w:hAnsi="Arial"/>
      <w:sz w:val="22"/>
    </w:rPr>
  </w:style>
  <w:style w:type="paragraph" w:styleId="Heading4">
    <w:name w:val="heading 4"/>
    <w:basedOn w:val="HeadingBase"/>
    <w:next w:val="BodyText"/>
    <w:qFormat/>
    <w:rsid w:val="00DA6C1F"/>
    <w:pPr>
      <w:ind w:left="360"/>
      <w:outlineLvl w:val="3"/>
    </w:pPr>
    <w:rPr>
      <w:spacing w:val="-5"/>
      <w:sz w:val="18"/>
    </w:rPr>
  </w:style>
  <w:style w:type="paragraph" w:styleId="Heading5">
    <w:name w:val="heading 5"/>
    <w:basedOn w:val="HeadingBase"/>
    <w:next w:val="BodyText"/>
    <w:qFormat/>
    <w:rsid w:val="00DA6C1F"/>
    <w:pPr>
      <w:ind w:left="720"/>
      <w:outlineLvl w:val="4"/>
    </w:pPr>
    <w:rPr>
      <w:spacing w:val="-5"/>
      <w:sz w:val="18"/>
    </w:rPr>
  </w:style>
  <w:style w:type="paragraph" w:styleId="Heading6">
    <w:name w:val="heading 6"/>
    <w:basedOn w:val="HeadingBase"/>
    <w:next w:val="BodyText"/>
    <w:qFormat/>
    <w:rsid w:val="00DA6C1F"/>
    <w:pPr>
      <w:ind w:left="1080"/>
      <w:outlineLvl w:val="5"/>
    </w:pPr>
    <w:rPr>
      <w:spacing w:val="-5"/>
      <w:sz w:val="18"/>
    </w:rPr>
  </w:style>
  <w:style w:type="paragraph" w:styleId="Heading7">
    <w:name w:val="heading 7"/>
    <w:basedOn w:val="Normal"/>
    <w:next w:val="Normal"/>
    <w:qFormat/>
    <w:rsid w:val="00DA6C1F"/>
    <w:pPr>
      <w:keepNext/>
      <w:tabs>
        <w:tab w:val="left" w:pos="3261"/>
      </w:tabs>
      <w:spacing w:before="120"/>
      <w:outlineLvl w:val="6"/>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DA6C1F"/>
    <w:pPr>
      <w:spacing w:before="220" w:after="220" w:line="220" w:lineRule="atLeast"/>
    </w:pPr>
  </w:style>
  <w:style w:type="paragraph" w:styleId="Salutation">
    <w:name w:val="Salutation"/>
    <w:basedOn w:val="Normal"/>
    <w:next w:val="SubjectLine"/>
    <w:rsid w:val="00DA6C1F"/>
    <w:pPr>
      <w:spacing w:before="220" w:after="220" w:line="220" w:lineRule="atLeast"/>
      <w:jc w:val="left"/>
    </w:pPr>
  </w:style>
  <w:style w:type="paragraph" w:styleId="BodyText">
    <w:name w:val="Body Text"/>
    <w:basedOn w:val="Normal"/>
    <w:rsid w:val="00DA6C1F"/>
    <w:pPr>
      <w:spacing w:after="220" w:line="220" w:lineRule="atLeast"/>
    </w:pPr>
  </w:style>
  <w:style w:type="paragraph" w:customStyle="1" w:styleId="CcList">
    <w:name w:val="Cc List"/>
    <w:basedOn w:val="Normal"/>
    <w:rsid w:val="00DA6C1F"/>
    <w:pPr>
      <w:keepLines/>
      <w:spacing w:line="220" w:lineRule="atLeast"/>
      <w:ind w:left="360" w:hanging="360"/>
    </w:pPr>
  </w:style>
  <w:style w:type="paragraph" w:styleId="Closing">
    <w:name w:val="Closing"/>
    <w:basedOn w:val="Normal"/>
    <w:next w:val="Signature"/>
    <w:rsid w:val="00DA6C1F"/>
    <w:pPr>
      <w:keepNext/>
      <w:spacing w:after="60" w:line="220" w:lineRule="atLeast"/>
    </w:pPr>
  </w:style>
  <w:style w:type="paragraph" w:styleId="Signature">
    <w:name w:val="Signature"/>
    <w:basedOn w:val="Normal"/>
    <w:next w:val="SignatureJobTitle"/>
    <w:rsid w:val="00DA6C1F"/>
    <w:pPr>
      <w:keepNext/>
      <w:spacing w:before="880" w:line="220" w:lineRule="atLeast"/>
      <w:jc w:val="left"/>
    </w:pPr>
  </w:style>
  <w:style w:type="paragraph" w:customStyle="1" w:styleId="CompanyName">
    <w:name w:val="Company Name"/>
    <w:basedOn w:val="Normal"/>
    <w:rsid w:val="00DA6C1F"/>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DA6C1F"/>
    <w:pPr>
      <w:spacing w:after="220" w:line="220" w:lineRule="atLeast"/>
    </w:pPr>
  </w:style>
  <w:style w:type="character" w:styleId="Emphasis">
    <w:name w:val="Emphasis"/>
    <w:qFormat/>
    <w:rsid w:val="00DA6C1F"/>
    <w:rPr>
      <w:rFonts w:ascii="Arial Black" w:hAnsi="Arial Black"/>
      <w:sz w:val="18"/>
    </w:rPr>
  </w:style>
  <w:style w:type="paragraph" w:customStyle="1" w:styleId="Enclosure">
    <w:name w:val="Enclosure"/>
    <w:basedOn w:val="Normal"/>
    <w:next w:val="CcList"/>
    <w:rsid w:val="00DA6C1F"/>
    <w:pPr>
      <w:keepNext/>
      <w:keepLines/>
      <w:spacing w:after="220" w:line="220" w:lineRule="atLeast"/>
    </w:pPr>
  </w:style>
  <w:style w:type="paragraph" w:customStyle="1" w:styleId="HeadingBase">
    <w:name w:val="Heading Base"/>
    <w:basedOn w:val="Normal"/>
    <w:next w:val="BodyText"/>
    <w:rsid w:val="00DA6C1F"/>
    <w:pPr>
      <w:keepNext/>
      <w:keepLines/>
      <w:spacing w:line="220" w:lineRule="atLeast"/>
    </w:pPr>
    <w:rPr>
      <w:rFonts w:ascii="Arial Black" w:hAnsi="Arial Black"/>
      <w:spacing w:val="-10"/>
      <w:kern w:val="20"/>
    </w:rPr>
  </w:style>
  <w:style w:type="paragraph" w:customStyle="1" w:styleId="InsideAddress">
    <w:name w:val="Inside Address"/>
    <w:basedOn w:val="Normal"/>
    <w:rsid w:val="00DA6C1F"/>
    <w:pPr>
      <w:spacing w:line="220" w:lineRule="atLeast"/>
    </w:pPr>
  </w:style>
  <w:style w:type="paragraph" w:customStyle="1" w:styleId="InsideAddressName">
    <w:name w:val="Inside Address Name"/>
    <w:basedOn w:val="InsideAddress"/>
    <w:next w:val="InsideAddress"/>
    <w:rsid w:val="00DA6C1F"/>
    <w:pPr>
      <w:spacing w:before="220"/>
    </w:pPr>
  </w:style>
  <w:style w:type="paragraph" w:customStyle="1" w:styleId="MailingInstructions">
    <w:name w:val="Mailing Instructions"/>
    <w:basedOn w:val="Normal"/>
    <w:next w:val="InsideAddressName"/>
    <w:rsid w:val="00DA6C1F"/>
    <w:pPr>
      <w:spacing w:after="220" w:line="220" w:lineRule="atLeast"/>
    </w:pPr>
    <w:rPr>
      <w:caps/>
    </w:rPr>
  </w:style>
  <w:style w:type="paragraph" w:customStyle="1" w:styleId="ReferenceInitials">
    <w:name w:val="Reference Initials"/>
    <w:basedOn w:val="Normal"/>
    <w:next w:val="Enclosure"/>
    <w:rsid w:val="00DA6C1F"/>
    <w:pPr>
      <w:keepNext/>
      <w:keepLines/>
      <w:spacing w:before="220" w:line="220" w:lineRule="atLeast"/>
    </w:pPr>
  </w:style>
  <w:style w:type="paragraph" w:customStyle="1" w:styleId="ReferenceLine">
    <w:name w:val="Reference Line"/>
    <w:basedOn w:val="Normal"/>
    <w:next w:val="MailingInstructions"/>
    <w:rsid w:val="00DA6C1F"/>
    <w:pPr>
      <w:spacing w:after="220" w:line="220" w:lineRule="atLeast"/>
      <w:jc w:val="left"/>
    </w:pPr>
  </w:style>
  <w:style w:type="paragraph" w:customStyle="1" w:styleId="ReturnAddress">
    <w:name w:val="Return Address"/>
    <w:basedOn w:val="Normal"/>
    <w:rsid w:val="00DA6C1F"/>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DA6C1F"/>
    <w:pPr>
      <w:spacing w:before="0"/>
    </w:pPr>
  </w:style>
  <w:style w:type="paragraph" w:customStyle="1" w:styleId="SignatureJobTitle">
    <w:name w:val="Signature Job Title"/>
    <w:basedOn w:val="Signature"/>
    <w:next w:val="SignatureCompany"/>
    <w:rsid w:val="00DA6C1F"/>
    <w:pPr>
      <w:spacing w:before="0"/>
    </w:pPr>
  </w:style>
  <w:style w:type="character" w:customStyle="1" w:styleId="Slogan">
    <w:name w:val="Slogan"/>
    <w:basedOn w:val="DefaultParagraphFont"/>
    <w:rsid w:val="00DA6C1F"/>
    <w:rPr>
      <w:rFonts w:ascii="Arial Black" w:hAnsi="Arial Black"/>
      <w:sz w:val="18"/>
    </w:rPr>
  </w:style>
  <w:style w:type="paragraph" w:customStyle="1" w:styleId="SubjectLine">
    <w:name w:val="Subject Line"/>
    <w:basedOn w:val="Normal"/>
    <w:next w:val="BodyText"/>
    <w:rsid w:val="00DA6C1F"/>
    <w:pPr>
      <w:spacing w:after="220" w:line="220" w:lineRule="atLeast"/>
      <w:jc w:val="left"/>
    </w:pPr>
    <w:rPr>
      <w:rFonts w:ascii="Arial Black" w:hAnsi="Arial Black"/>
      <w:spacing w:val="-10"/>
    </w:rPr>
  </w:style>
  <w:style w:type="paragraph" w:styleId="Header">
    <w:name w:val="header"/>
    <w:basedOn w:val="Normal"/>
    <w:rsid w:val="00DA6C1F"/>
    <w:pPr>
      <w:tabs>
        <w:tab w:val="center" w:pos="4320"/>
        <w:tab w:val="right" w:pos="8640"/>
      </w:tabs>
    </w:pPr>
  </w:style>
  <w:style w:type="paragraph" w:styleId="Footer">
    <w:name w:val="footer"/>
    <w:basedOn w:val="Normal"/>
    <w:rsid w:val="00DA6C1F"/>
    <w:pPr>
      <w:tabs>
        <w:tab w:val="center" w:pos="4320"/>
        <w:tab w:val="right" w:pos="8640"/>
      </w:tabs>
    </w:pPr>
  </w:style>
  <w:style w:type="paragraph" w:styleId="BodyTextIndent">
    <w:name w:val="Body Text Indent"/>
    <w:basedOn w:val="Normal"/>
    <w:rsid w:val="00DA6C1F"/>
    <w:pPr>
      <w:spacing w:after="120"/>
      <w:ind w:left="283"/>
    </w:pPr>
  </w:style>
  <w:style w:type="paragraph" w:styleId="List">
    <w:name w:val="List"/>
    <w:basedOn w:val="BodyText"/>
    <w:rsid w:val="00DA6C1F"/>
    <w:pPr>
      <w:ind w:left="360" w:hanging="360"/>
    </w:pPr>
  </w:style>
  <w:style w:type="paragraph" w:styleId="ListBullet">
    <w:name w:val="List Bullet"/>
    <w:basedOn w:val="List"/>
    <w:autoRedefine/>
    <w:rsid w:val="00DA6C1F"/>
    <w:pPr>
      <w:numPr>
        <w:numId w:val="1"/>
      </w:numPr>
    </w:pPr>
  </w:style>
  <w:style w:type="paragraph" w:styleId="ListNumber">
    <w:name w:val="List Number"/>
    <w:basedOn w:val="BodyText"/>
    <w:rsid w:val="00DA6C1F"/>
    <w:pPr>
      <w:numPr>
        <w:numId w:val="2"/>
      </w:numPr>
    </w:pPr>
  </w:style>
  <w:style w:type="paragraph" w:customStyle="1" w:styleId="Bullet1">
    <w:name w:val="Bullet 1"/>
    <w:basedOn w:val="Normal"/>
    <w:rsid w:val="005E2669"/>
    <w:pPr>
      <w:numPr>
        <w:numId w:val="8"/>
      </w:numPr>
    </w:pPr>
  </w:style>
  <w:style w:type="paragraph" w:styleId="BalloonText">
    <w:name w:val="Balloon Text"/>
    <w:basedOn w:val="Normal"/>
    <w:semiHidden/>
    <w:rsid w:val="00F53851"/>
    <w:rPr>
      <w:rFonts w:ascii="Tahoma" w:hAnsi="Tahoma" w:cs="Tahoma"/>
      <w:sz w:val="16"/>
      <w:szCs w:val="16"/>
    </w:rPr>
  </w:style>
  <w:style w:type="paragraph" w:styleId="ListParagraph">
    <w:name w:val="List Paragraph"/>
    <w:basedOn w:val="Normal"/>
    <w:uiPriority w:val="34"/>
    <w:qFormat/>
    <w:rsid w:val="003D265D"/>
    <w:pPr>
      <w:ind w:left="720"/>
      <w:jc w:val="left"/>
    </w:pPr>
    <w:rPr>
      <w:rFonts w:ascii="Times New Roman" w:eastAsiaTheme="minorHAnsi" w:hAnsi="Times New Roman"/>
      <w:spacing w:val="0"/>
      <w:sz w:val="24"/>
      <w:szCs w:val="24"/>
      <w:lang w:val="en-US"/>
    </w:rPr>
  </w:style>
  <w:style w:type="paragraph" w:styleId="NormalWeb">
    <w:name w:val="Normal (Web)"/>
    <w:basedOn w:val="Normal"/>
    <w:uiPriority w:val="99"/>
    <w:semiHidden/>
    <w:unhideWhenUsed/>
    <w:rsid w:val="007555F4"/>
    <w:pPr>
      <w:spacing w:before="100" w:beforeAutospacing="1" w:after="225" w:line="336" w:lineRule="atLeast"/>
      <w:jc w:val="left"/>
    </w:pPr>
    <w:rPr>
      <w:rFonts w:ascii="Verdana" w:hAnsi="Verdana"/>
      <w:color w:val="000000"/>
      <w:spacing w:val="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0903">
      <w:bodyDiv w:val="1"/>
      <w:marLeft w:val="0"/>
      <w:marRight w:val="0"/>
      <w:marTop w:val="0"/>
      <w:marBottom w:val="0"/>
      <w:divBdr>
        <w:top w:val="none" w:sz="0" w:space="0" w:color="auto"/>
        <w:left w:val="none" w:sz="0" w:space="0" w:color="auto"/>
        <w:bottom w:val="none" w:sz="0" w:space="0" w:color="auto"/>
        <w:right w:val="none" w:sz="0" w:space="0" w:color="auto"/>
      </w:divBdr>
      <w:divsChild>
        <w:div w:id="235553074">
          <w:marLeft w:val="0"/>
          <w:marRight w:val="0"/>
          <w:marTop w:val="0"/>
          <w:marBottom w:val="0"/>
          <w:divBdr>
            <w:top w:val="none" w:sz="0" w:space="0" w:color="auto"/>
            <w:left w:val="none" w:sz="0" w:space="0" w:color="auto"/>
            <w:bottom w:val="none" w:sz="0" w:space="0" w:color="auto"/>
            <w:right w:val="none" w:sz="0" w:space="0" w:color="auto"/>
          </w:divBdr>
          <w:divsChild>
            <w:div w:id="2147163559">
              <w:marLeft w:val="0"/>
              <w:marRight w:val="0"/>
              <w:marTop w:val="0"/>
              <w:marBottom w:val="0"/>
              <w:divBdr>
                <w:top w:val="none" w:sz="0" w:space="0" w:color="auto"/>
                <w:left w:val="none" w:sz="0" w:space="0" w:color="auto"/>
                <w:bottom w:val="none" w:sz="0" w:space="0" w:color="auto"/>
                <w:right w:val="none" w:sz="0" w:space="0" w:color="auto"/>
              </w:divBdr>
              <w:divsChild>
                <w:div w:id="1913851144">
                  <w:marLeft w:val="0"/>
                  <w:marRight w:val="0"/>
                  <w:marTop w:val="0"/>
                  <w:marBottom w:val="0"/>
                  <w:divBdr>
                    <w:top w:val="none" w:sz="0" w:space="0" w:color="auto"/>
                    <w:left w:val="none" w:sz="0" w:space="0" w:color="auto"/>
                    <w:bottom w:val="none" w:sz="0" w:space="0" w:color="auto"/>
                    <w:right w:val="none" w:sz="0" w:space="0" w:color="auto"/>
                  </w:divBdr>
                  <w:divsChild>
                    <w:div w:id="1112633565">
                      <w:marLeft w:val="0"/>
                      <w:marRight w:val="0"/>
                      <w:marTop w:val="0"/>
                      <w:marBottom w:val="0"/>
                      <w:divBdr>
                        <w:top w:val="none" w:sz="0" w:space="0" w:color="auto"/>
                        <w:left w:val="none" w:sz="0" w:space="0" w:color="auto"/>
                        <w:bottom w:val="none" w:sz="0" w:space="0" w:color="auto"/>
                        <w:right w:val="none" w:sz="0" w:space="0" w:color="auto"/>
                      </w:divBdr>
                      <w:divsChild>
                        <w:div w:id="1221592827">
                          <w:marLeft w:val="0"/>
                          <w:marRight w:val="0"/>
                          <w:marTop w:val="0"/>
                          <w:marBottom w:val="0"/>
                          <w:divBdr>
                            <w:top w:val="none" w:sz="0" w:space="0" w:color="auto"/>
                            <w:left w:val="none" w:sz="0" w:space="0" w:color="auto"/>
                            <w:bottom w:val="none" w:sz="0" w:space="0" w:color="auto"/>
                            <w:right w:val="none" w:sz="0" w:space="0" w:color="auto"/>
                          </w:divBdr>
                          <w:divsChild>
                            <w:div w:id="3417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733955">
      <w:bodyDiv w:val="1"/>
      <w:marLeft w:val="0"/>
      <w:marRight w:val="0"/>
      <w:marTop w:val="0"/>
      <w:marBottom w:val="0"/>
      <w:divBdr>
        <w:top w:val="none" w:sz="0" w:space="0" w:color="auto"/>
        <w:left w:val="none" w:sz="0" w:space="0" w:color="auto"/>
        <w:bottom w:val="none" w:sz="0" w:space="0" w:color="auto"/>
        <w:right w:val="none" w:sz="0" w:space="0" w:color="auto"/>
      </w:divBdr>
    </w:div>
    <w:div w:id="20901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4692</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Submission DR31 - Construction Material Processors Association Inc - Regulatory Impact Analysis: Benchmarking - Commissioned study</vt:lpstr>
    </vt:vector>
  </TitlesOfParts>
  <Company>Construction Material Processors Association Inc</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DR31 - Construction Material Processors Association Inc - Regulatory Impact Analysis: Benchmarking - Commissioned study</dc:title>
  <dc:creator>Construction Material Processors Association Inc</dc:creator>
  <cp:lastModifiedBy>Productivity Commission</cp:lastModifiedBy>
  <cp:revision>2</cp:revision>
  <cp:lastPrinted>2012-10-05T01:31:00Z</cp:lastPrinted>
  <dcterms:created xsi:type="dcterms:W3CDTF">2012-10-09T04:49:00Z</dcterms:created>
  <dcterms:modified xsi:type="dcterms:W3CDTF">2012-10-09T04:49:00Z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2000062900</vt:i4>
  </property>
  <property fmtid="{D5CDD505-2E9C-101B-9397-08002B2CF9AE}" pid="4" name="LCID">
    <vt:i4>1033</vt:i4>
  </property>
</Properties>
</file>