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FDA35" w14:textId="4E67764B" w:rsidR="00D96622" w:rsidRPr="000F2024" w:rsidRDefault="000F2024" w:rsidP="000F2024">
      <w:pPr>
        <w:pStyle w:val="Heading1"/>
        <w:rPr>
          <w:color w:val="FFFFFF" w:themeColor="background1"/>
          <w:sz w:val="16"/>
          <w:szCs w:val="16"/>
        </w:rPr>
      </w:pPr>
      <w:r w:rsidRPr="000F2024">
        <w:rPr>
          <w:color w:val="FFFFFF" w:themeColor="background1"/>
          <w:sz w:val="16"/>
          <w:szCs w:val="16"/>
        </w:rPr>
        <w:t>Remote Area Tax Concessions and Payments</w:t>
      </w:r>
    </w:p>
    <w:p w14:paraId="7231EC51" w14:textId="4238951F" w:rsidR="000F2024" w:rsidRPr="000F2024" w:rsidRDefault="000F2024" w:rsidP="000F2024">
      <w:pPr>
        <w:pStyle w:val="BodyText"/>
        <w:rPr>
          <w:color w:val="FFFFFF" w:themeColor="background1"/>
          <w:sz w:val="16"/>
          <w:szCs w:val="16"/>
        </w:rPr>
      </w:pPr>
      <w:r w:rsidRPr="000F2024">
        <w:rPr>
          <w:rFonts w:cs="Arial"/>
          <w:color w:val="FFFFFF" w:themeColor="background1"/>
          <w:sz w:val="16"/>
          <w:szCs w:val="16"/>
        </w:rPr>
        <w:t>Productivity Commission Issues Paper, March 2019</w:t>
      </w:r>
      <w:r>
        <w:rPr>
          <w:noProof/>
          <w:color w:val="FFFFFF" w:themeColor="background1"/>
          <w:sz w:val="16"/>
          <w:szCs w:val="16"/>
        </w:rPr>
        <w:drawing>
          <wp:anchor distT="0" distB="0" distL="114300" distR="114300" simplePos="0" relativeHeight="251658240" behindDoc="0" locked="0" layoutInCell="1" allowOverlap="1" wp14:anchorId="68815926" wp14:editId="2715311A">
            <wp:simplePos x="828675" y="1447800"/>
            <wp:positionH relativeFrom="page">
              <wp:align>center</wp:align>
            </wp:positionH>
            <wp:positionV relativeFrom="page">
              <wp:align>center</wp:align>
            </wp:positionV>
            <wp:extent cx="7592400" cy="10738800"/>
            <wp:effectExtent l="0" t="0" r="8890" b="5715"/>
            <wp:wrapNone/>
            <wp:docPr id="2" name="Picture 2" descr="Cover for: Remote Area Tax Concessions and Payments&#10;Productivity Commission Issues Paper, March 20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sues-paper-cover-ratcap.png"/>
                    <pic:cNvPicPr/>
                  </pic:nvPicPr>
                  <pic:blipFill>
                    <a:blip r:embed="rId8">
                      <a:extLst>
                        <a:ext uri="{28A0092B-C50C-407E-A947-70E740481C1C}">
                          <a14:useLocalDpi xmlns:a14="http://schemas.microsoft.com/office/drawing/2010/main" val="0"/>
                        </a:ext>
                      </a:extLst>
                    </a:blip>
                    <a:stretch>
                      <a:fillRect/>
                    </a:stretch>
                  </pic:blipFill>
                  <pic:spPr>
                    <a:xfrm>
                      <a:off x="0" y="0"/>
                      <a:ext cx="7592400" cy="10738800"/>
                    </a:xfrm>
                    <a:prstGeom prst="rect">
                      <a:avLst/>
                    </a:prstGeom>
                  </pic:spPr>
                </pic:pic>
              </a:graphicData>
            </a:graphic>
            <wp14:sizeRelH relativeFrom="margin">
              <wp14:pctWidth>0</wp14:pctWidth>
            </wp14:sizeRelH>
            <wp14:sizeRelV relativeFrom="margin">
              <wp14:pctHeight>0</wp14:pctHeight>
            </wp14:sizeRelV>
          </wp:anchor>
        </w:drawing>
      </w:r>
    </w:p>
    <w:p w14:paraId="569FDA36" w14:textId="77777777" w:rsidR="00D96622" w:rsidRPr="00936615" w:rsidRDefault="00D96622" w:rsidP="00D96622">
      <w:pPr>
        <w:pStyle w:val="Heading1"/>
        <w:spacing w:before="0"/>
      </w:pPr>
      <w:r w:rsidRPr="00936615">
        <w:br w:type="page"/>
      </w:r>
    </w:p>
    <w:p w14:paraId="569FDA37" w14:textId="77777777" w:rsidR="00D96622" w:rsidRPr="00936615" w:rsidRDefault="00D96622" w:rsidP="00D9662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rsidRPr="00936615" w14:paraId="569FDA39" w14:textId="77777777" w:rsidTr="00C61040">
        <w:trPr>
          <w:tblHeader/>
        </w:trPr>
        <w:tc>
          <w:tcPr>
            <w:tcW w:w="8771" w:type="dxa"/>
            <w:tcBorders>
              <w:top w:val="single" w:sz="6" w:space="0" w:color="78A22F"/>
              <w:left w:val="nil"/>
              <w:bottom w:val="nil"/>
              <w:right w:val="nil"/>
            </w:tcBorders>
            <w:shd w:val="clear" w:color="auto" w:fill="F2F2F2" w:themeFill="background1" w:themeFillShade="F2"/>
          </w:tcPr>
          <w:p w14:paraId="569FDA38" w14:textId="77777777" w:rsidR="00D96622" w:rsidRPr="00936615" w:rsidRDefault="00D96622" w:rsidP="00C61040">
            <w:pPr>
              <w:pStyle w:val="BoxTitle"/>
            </w:pPr>
            <w:r w:rsidRPr="00936615">
              <w:t>The Issues Paper</w:t>
            </w:r>
          </w:p>
        </w:tc>
      </w:tr>
      <w:tr w:rsidR="00D96622" w:rsidRPr="00936615" w14:paraId="569FDA6C" w14:textId="77777777" w:rsidTr="00C61040">
        <w:tc>
          <w:tcPr>
            <w:tcW w:w="8771" w:type="dxa"/>
            <w:tcBorders>
              <w:top w:val="nil"/>
              <w:left w:val="nil"/>
              <w:bottom w:val="nil"/>
              <w:right w:val="nil"/>
            </w:tcBorders>
            <w:shd w:val="clear" w:color="auto" w:fill="F2F2F2" w:themeFill="background1" w:themeFillShade="F2"/>
          </w:tcPr>
          <w:p w14:paraId="569FDA3A" w14:textId="529A3712" w:rsidR="00D96622" w:rsidRPr="00936615" w:rsidRDefault="00D96622" w:rsidP="00C61040">
            <w:pPr>
              <w:pStyle w:val="Box"/>
            </w:pPr>
            <w:r w:rsidRPr="00936615">
              <w:t xml:space="preserve">The Commission has released this issues paper to assist individuals and organisations to prepare submissions to the </w:t>
            </w:r>
            <w:r w:rsidR="00E13614" w:rsidRPr="00936615">
              <w:t>study</w:t>
            </w:r>
            <w:r w:rsidRPr="00936615">
              <w:t>. It contains and outlines:</w:t>
            </w:r>
          </w:p>
          <w:p w14:paraId="569FDA3B" w14:textId="6BC85957" w:rsidR="00D96622" w:rsidRPr="00936615" w:rsidRDefault="00D96622" w:rsidP="00C61040">
            <w:pPr>
              <w:pStyle w:val="BoxListBullet"/>
            </w:pPr>
            <w:r w:rsidRPr="00936615">
              <w:t xml:space="preserve">the scope of the </w:t>
            </w:r>
            <w:r w:rsidR="00E13614" w:rsidRPr="00936615">
              <w:t>study</w:t>
            </w:r>
          </w:p>
          <w:p w14:paraId="569FDA3C" w14:textId="77777777" w:rsidR="00D96622" w:rsidRPr="00936615" w:rsidRDefault="00D96622" w:rsidP="00C61040">
            <w:pPr>
              <w:pStyle w:val="BoxListBullet"/>
            </w:pPr>
            <w:r w:rsidRPr="00936615">
              <w:t>the Commission’s procedures</w:t>
            </w:r>
          </w:p>
          <w:p w14:paraId="569FDA3D" w14:textId="77777777" w:rsidR="00D96622" w:rsidRPr="00936615" w:rsidRDefault="00D96622" w:rsidP="00C61040">
            <w:pPr>
              <w:pStyle w:val="BoxListBullet"/>
            </w:pPr>
            <w:r w:rsidRPr="00936615">
              <w:t>matters about which the Commission is seeking comment and information</w:t>
            </w:r>
          </w:p>
          <w:p w14:paraId="569FDA3E" w14:textId="77777777" w:rsidR="00D96622" w:rsidRPr="00936615" w:rsidRDefault="00D96622" w:rsidP="00C61040">
            <w:pPr>
              <w:pStyle w:val="BoxListBullet"/>
            </w:pPr>
            <w:r w:rsidRPr="00936615">
              <w:t>how to make a submission.</w:t>
            </w:r>
          </w:p>
          <w:p w14:paraId="569FDA3F" w14:textId="0674691B" w:rsidR="00D96622" w:rsidRPr="00936615" w:rsidRDefault="00D96622" w:rsidP="00C61040">
            <w:pPr>
              <w:pStyle w:val="Box"/>
            </w:pPr>
            <w:r w:rsidRPr="00936615">
              <w:t xml:space="preserve">Participants should not feel that they are restricted to comment only on matters raised in the issues paper. The Commission wishes to receive information and comment on issues which participants consider relevant to the </w:t>
            </w:r>
            <w:r w:rsidR="00E030DF" w:rsidRPr="00936615">
              <w:t>study’s</w:t>
            </w:r>
            <w:r w:rsidRPr="00936615">
              <w:t xml:space="preserve"> terms of reference.</w:t>
            </w:r>
          </w:p>
          <w:p w14:paraId="569FDA40" w14:textId="47F3C4DD" w:rsidR="00D96622" w:rsidRPr="00936615" w:rsidRDefault="00D96622" w:rsidP="00C61040">
            <w:pPr>
              <w:pStyle w:val="BoxHeading1"/>
            </w:pPr>
            <w:r w:rsidRPr="00936615">
              <w:t>Key study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D96622" w:rsidRPr="00936615" w14:paraId="569FDA43" w14:textId="77777777" w:rsidTr="00C61040">
              <w:trPr>
                <w:tblHeader/>
              </w:trPr>
              <w:tc>
                <w:tcPr>
                  <w:tcW w:w="3522" w:type="dxa"/>
                  <w:tcMar>
                    <w:left w:w="0" w:type="dxa"/>
                  </w:tcMar>
                </w:tcPr>
                <w:p w14:paraId="569FDA41" w14:textId="77777777" w:rsidR="00D96622" w:rsidRPr="00936615" w:rsidRDefault="00D96622" w:rsidP="00C61040">
                  <w:pPr>
                    <w:pStyle w:val="Box"/>
                  </w:pPr>
                  <w:r w:rsidRPr="00936615">
                    <w:t>Receipt of terms of reference</w:t>
                  </w:r>
                </w:p>
              </w:tc>
              <w:tc>
                <w:tcPr>
                  <w:tcW w:w="4950" w:type="dxa"/>
                </w:tcPr>
                <w:p w14:paraId="569FDA42" w14:textId="3F334D28" w:rsidR="00D96622" w:rsidRPr="00936615" w:rsidRDefault="00E13614" w:rsidP="00C61040">
                  <w:pPr>
                    <w:pStyle w:val="Box"/>
                  </w:pPr>
                  <w:r w:rsidRPr="00936615">
                    <w:t>28 November 2018</w:t>
                  </w:r>
                </w:p>
              </w:tc>
            </w:tr>
            <w:tr w:rsidR="00D96622" w:rsidRPr="00936615" w14:paraId="569FDA46" w14:textId="77777777" w:rsidTr="00C61040">
              <w:tc>
                <w:tcPr>
                  <w:tcW w:w="3522" w:type="dxa"/>
                  <w:tcMar>
                    <w:left w:w="0" w:type="dxa"/>
                  </w:tcMar>
                </w:tcPr>
                <w:p w14:paraId="569FDA44" w14:textId="6B7C26EA" w:rsidR="00D96622" w:rsidRPr="00936615" w:rsidRDefault="004F7765" w:rsidP="00C61040">
                  <w:pPr>
                    <w:pStyle w:val="Box"/>
                    <w:spacing w:before="60"/>
                  </w:pPr>
                  <w:r w:rsidRPr="00936615">
                    <w:t>Study commenced</w:t>
                  </w:r>
                </w:p>
              </w:tc>
              <w:tc>
                <w:tcPr>
                  <w:tcW w:w="4950" w:type="dxa"/>
                </w:tcPr>
                <w:p w14:paraId="569FDA45" w14:textId="095C04E5" w:rsidR="00D96622" w:rsidRPr="00936615" w:rsidRDefault="004F7765" w:rsidP="00C61040">
                  <w:pPr>
                    <w:pStyle w:val="Box"/>
                    <w:spacing w:before="60"/>
                  </w:pPr>
                  <w:r w:rsidRPr="00936615">
                    <w:t>February 2019</w:t>
                  </w:r>
                </w:p>
              </w:tc>
            </w:tr>
            <w:tr w:rsidR="00601C2E" w:rsidRPr="00936615" w14:paraId="50421FA7" w14:textId="77777777" w:rsidTr="00C61040">
              <w:tc>
                <w:tcPr>
                  <w:tcW w:w="3522" w:type="dxa"/>
                  <w:tcMar>
                    <w:left w:w="0" w:type="dxa"/>
                  </w:tcMar>
                </w:tcPr>
                <w:p w14:paraId="076BEDA3" w14:textId="114DD9FF" w:rsidR="00601C2E" w:rsidRPr="00936615" w:rsidRDefault="00601C2E" w:rsidP="00C61040">
                  <w:pPr>
                    <w:pStyle w:val="Box"/>
                    <w:spacing w:before="60"/>
                  </w:pPr>
                  <w:r w:rsidRPr="00936615">
                    <w:t>Due date for submissions</w:t>
                  </w:r>
                </w:p>
              </w:tc>
              <w:tc>
                <w:tcPr>
                  <w:tcW w:w="4950" w:type="dxa"/>
                </w:tcPr>
                <w:p w14:paraId="52884168" w14:textId="184A453C" w:rsidR="00601C2E" w:rsidRPr="00936615" w:rsidRDefault="00601C2E" w:rsidP="00C61040">
                  <w:pPr>
                    <w:pStyle w:val="Box"/>
                    <w:spacing w:before="60"/>
                  </w:pPr>
                  <w:r w:rsidRPr="00936615">
                    <w:t>29 April 2019</w:t>
                  </w:r>
                </w:p>
              </w:tc>
            </w:tr>
            <w:tr w:rsidR="00D96622" w:rsidRPr="00936615" w14:paraId="569FDA4C" w14:textId="77777777" w:rsidTr="00C61040">
              <w:tc>
                <w:tcPr>
                  <w:tcW w:w="3522" w:type="dxa"/>
                  <w:tcMar>
                    <w:left w:w="0" w:type="dxa"/>
                  </w:tcMar>
                </w:tcPr>
                <w:p w14:paraId="569FDA4A" w14:textId="77777777" w:rsidR="00D96622" w:rsidRPr="00936615" w:rsidRDefault="00D96622" w:rsidP="00C61040">
                  <w:pPr>
                    <w:pStyle w:val="Box"/>
                    <w:spacing w:before="60"/>
                  </w:pPr>
                  <w:r w:rsidRPr="00936615">
                    <w:t>Release of draft report</w:t>
                  </w:r>
                </w:p>
              </w:tc>
              <w:tc>
                <w:tcPr>
                  <w:tcW w:w="4950" w:type="dxa"/>
                </w:tcPr>
                <w:p w14:paraId="569FDA4B" w14:textId="5DDEFDAE" w:rsidR="00D96622" w:rsidRPr="00936615" w:rsidRDefault="00A83633" w:rsidP="00C61040">
                  <w:pPr>
                    <w:pStyle w:val="Box"/>
                    <w:spacing w:before="60"/>
                  </w:pPr>
                  <w:r>
                    <w:t xml:space="preserve">Late August </w:t>
                  </w:r>
                  <w:r w:rsidR="00AE5F11">
                    <w:t>2019</w:t>
                  </w:r>
                </w:p>
              </w:tc>
            </w:tr>
            <w:tr w:rsidR="00D96622" w:rsidRPr="00936615" w14:paraId="569FDA52" w14:textId="77777777" w:rsidTr="00C61040">
              <w:tc>
                <w:tcPr>
                  <w:tcW w:w="3522" w:type="dxa"/>
                  <w:tcMar>
                    <w:left w:w="0" w:type="dxa"/>
                  </w:tcMar>
                </w:tcPr>
                <w:p w14:paraId="569FDA50" w14:textId="74B51633" w:rsidR="00D96622" w:rsidRPr="00936615" w:rsidRDefault="00D96622" w:rsidP="00C61040">
                  <w:pPr>
                    <w:pStyle w:val="Box"/>
                    <w:spacing w:before="60"/>
                  </w:pPr>
                  <w:r w:rsidRPr="00936615">
                    <w:t xml:space="preserve">Final report </w:t>
                  </w:r>
                  <w:r w:rsidR="00BE0C4E">
                    <w:t>released</w:t>
                  </w:r>
                </w:p>
              </w:tc>
              <w:tc>
                <w:tcPr>
                  <w:tcW w:w="4950" w:type="dxa"/>
                </w:tcPr>
                <w:p w14:paraId="569FDA51" w14:textId="7A8A5CF3" w:rsidR="00D96622" w:rsidRPr="00936615" w:rsidRDefault="00E13614" w:rsidP="00C61040">
                  <w:pPr>
                    <w:pStyle w:val="Box"/>
                    <w:spacing w:before="60"/>
                  </w:pPr>
                  <w:r w:rsidRPr="00936615">
                    <w:t>February 2020</w:t>
                  </w:r>
                </w:p>
              </w:tc>
            </w:tr>
          </w:tbl>
          <w:p w14:paraId="569FDA53" w14:textId="77777777" w:rsidR="00D96622" w:rsidRPr="00936615" w:rsidRDefault="00D96622" w:rsidP="00C61040">
            <w:pPr>
              <w:pStyle w:val="BoxHeading1"/>
            </w:pPr>
            <w:r w:rsidRPr="00936615">
              <w:t>Submissions 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D96622" w:rsidRPr="00936615" w14:paraId="569FDA56" w14:textId="77777777" w:rsidTr="00C61040">
              <w:trPr>
                <w:tblHeader/>
              </w:trPr>
              <w:tc>
                <w:tcPr>
                  <w:tcW w:w="3522" w:type="dxa"/>
                  <w:tcMar>
                    <w:left w:w="0" w:type="dxa"/>
                  </w:tcMar>
                </w:tcPr>
                <w:p w14:paraId="569FDA54" w14:textId="77777777" w:rsidR="00D96622" w:rsidRPr="00936615" w:rsidRDefault="00D96622" w:rsidP="00C61040">
                  <w:pPr>
                    <w:pStyle w:val="Box"/>
                  </w:pPr>
                  <w:r w:rsidRPr="00936615">
                    <w:t>Online:</w:t>
                  </w:r>
                </w:p>
              </w:tc>
              <w:tc>
                <w:tcPr>
                  <w:tcW w:w="4950" w:type="dxa"/>
                </w:tcPr>
                <w:p w14:paraId="569FDA55" w14:textId="2C4223E5" w:rsidR="00D96622" w:rsidRPr="00936615" w:rsidRDefault="00D221D8" w:rsidP="00D221D8">
                  <w:pPr>
                    <w:pStyle w:val="Box"/>
                  </w:pPr>
                  <w:r>
                    <w:t>www.</w:t>
                  </w:r>
                  <w:r w:rsidR="00E13614" w:rsidRPr="00936615">
                    <w:t>pc.gov.au/remote-tax</w:t>
                  </w:r>
                </w:p>
              </w:tc>
            </w:tr>
            <w:tr w:rsidR="00D96622" w:rsidRPr="00936615" w14:paraId="569FDA59" w14:textId="77777777" w:rsidTr="00C61040">
              <w:tc>
                <w:tcPr>
                  <w:tcW w:w="3522" w:type="dxa"/>
                  <w:tcMar>
                    <w:left w:w="0" w:type="dxa"/>
                  </w:tcMar>
                </w:tcPr>
                <w:p w14:paraId="569FDA57" w14:textId="77777777" w:rsidR="00D96622" w:rsidRPr="00936615" w:rsidRDefault="00D96622" w:rsidP="00C61040">
                  <w:pPr>
                    <w:pStyle w:val="Box"/>
                    <w:spacing w:before="60"/>
                    <w:jc w:val="left"/>
                  </w:pPr>
                  <w:r w:rsidRPr="00936615">
                    <w:t>By post:</w:t>
                  </w:r>
                </w:p>
              </w:tc>
              <w:tc>
                <w:tcPr>
                  <w:tcW w:w="4950" w:type="dxa"/>
                </w:tcPr>
                <w:p w14:paraId="569FDA58" w14:textId="01E9FCA8" w:rsidR="00D96622" w:rsidRPr="00936615" w:rsidRDefault="004F7765" w:rsidP="00C61040">
                  <w:pPr>
                    <w:pStyle w:val="Box"/>
                    <w:spacing w:before="60"/>
                    <w:jc w:val="left"/>
                  </w:pPr>
                  <w:r w:rsidRPr="00936615">
                    <w:t>Remote Area Tax Concessions and Payments</w:t>
                  </w:r>
                  <w:r w:rsidR="00D96622" w:rsidRPr="00936615">
                    <w:br/>
                    <w:t>Productivity Commission</w:t>
                  </w:r>
                  <w:r w:rsidR="00D96622" w:rsidRPr="00936615">
                    <w:br/>
                  </w:r>
                  <w:r w:rsidRPr="00936615">
                    <w:t>GPO Box 1428</w:t>
                  </w:r>
                  <w:r w:rsidR="00D221D8">
                    <w:t xml:space="preserve">, </w:t>
                  </w:r>
                  <w:r w:rsidRPr="00936615">
                    <w:t>Canberra City ACT 2601, Australia</w:t>
                  </w:r>
                </w:p>
              </w:tc>
            </w:tr>
          </w:tbl>
          <w:p w14:paraId="569FDA5A" w14:textId="77777777" w:rsidR="00D96622" w:rsidRPr="00936615" w:rsidRDefault="00D96622" w:rsidP="00C61040">
            <w:pPr>
              <w:pStyle w:val="BoxHeading1"/>
            </w:pPr>
            <w:r w:rsidRPr="00936615">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D96622" w:rsidRPr="00936615" w14:paraId="569FDA5E" w14:textId="77777777" w:rsidTr="00C61040">
              <w:trPr>
                <w:tblHeader/>
              </w:trPr>
              <w:tc>
                <w:tcPr>
                  <w:tcW w:w="3522" w:type="dxa"/>
                  <w:tcMar>
                    <w:left w:w="0" w:type="dxa"/>
                  </w:tcMar>
                </w:tcPr>
                <w:p w14:paraId="569FDA5B" w14:textId="77777777" w:rsidR="00D96622" w:rsidRPr="00936615" w:rsidRDefault="00D96622" w:rsidP="00C61040">
                  <w:pPr>
                    <w:pStyle w:val="Box"/>
                  </w:pPr>
                  <w:r w:rsidRPr="00936615">
                    <w:t>Administrative matters:</w:t>
                  </w:r>
                </w:p>
              </w:tc>
              <w:tc>
                <w:tcPr>
                  <w:tcW w:w="2268" w:type="dxa"/>
                </w:tcPr>
                <w:p w14:paraId="569FDA5C" w14:textId="4601AFB2" w:rsidR="00D96622" w:rsidRPr="00936615" w:rsidRDefault="00E13614" w:rsidP="00C61040">
                  <w:pPr>
                    <w:pStyle w:val="Box"/>
                  </w:pPr>
                  <w:r w:rsidRPr="00936615">
                    <w:t>Pragya Giri</w:t>
                  </w:r>
                </w:p>
              </w:tc>
              <w:tc>
                <w:tcPr>
                  <w:tcW w:w="2682" w:type="dxa"/>
                </w:tcPr>
                <w:p w14:paraId="569FDA5D" w14:textId="77261A89" w:rsidR="00D96622" w:rsidRPr="00936615" w:rsidRDefault="00D96622" w:rsidP="00C61040">
                  <w:pPr>
                    <w:pStyle w:val="Box"/>
                  </w:pPr>
                  <w:r w:rsidRPr="00936615">
                    <w:t xml:space="preserve">Ph: </w:t>
                  </w:r>
                  <w:r w:rsidR="00E13614" w:rsidRPr="00936615">
                    <w:t>02 6240 3250</w:t>
                  </w:r>
                </w:p>
              </w:tc>
            </w:tr>
            <w:tr w:rsidR="00D96622" w:rsidRPr="00936615" w14:paraId="569FDA62" w14:textId="77777777" w:rsidTr="00C61040">
              <w:tc>
                <w:tcPr>
                  <w:tcW w:w="3522" w:type="dxa"/>
                  <w:tcMar>
                    <w:left w:w="0" w:type="dxa"/>
                  </w:tcMar>
                </w:tcPr>
                <w:p w14:paraId="569FDA5F" w14:textId="77777777" w:rsidR="00D96622" w:rsidRPr="00936615" w:rsidRDefault="00D96622" w:rsidP="00C61040">
                  <w:pPr>
                    <w:pStyle w:val="Box"/>
                    <w:spacing w:before="60"/>
                  </w:pPr>
                  <w:r w:rsidRPr="00936615">
                    <w:t>Other matters:</w:t>
                  </w:r>
                </w:p>
              </w:tc>
              <w:tc>
                <w:tcPr>
                  <w:tcW w:w="2268" w:type="dxa"/>
                </w:tcPr>
                <w:p w14:paraId="569FDA60" w14:textId="7456A46E" w:rsidR="00D96622" w:rsidRPr="00936615" w:rsidRDefault="00EE658D" w:rsidP="00C61040">
                  <w:pPr>
                    <w:pStyle w:val="Box"/>
                    <w:spacing w:before="60"/>
                  </w:pPr>
                  <w:r w:rsidRPr="00936615">
                    <w:t>Jane Melanie</w:t>
                  </w:r>
                </w:p>
              </w:tc>
              <w:tc>
                <w:tcPr>
                  <w:tcW w:w="2682" w:type="dxa"/>
                </w:tcPr>
                <w:p w14:paraId="569FDA61" w14:textId="352992D1" w:rsidR="00D96622" w:rsidRPr="00936615" w:rsidRDefault="00D96622" w:rsidP="00C61040">
                  <w:pPr>
                    <w:pStyle w:val="Box"/>
                    <w:spacing w:before="60"/>
                  </w:pPr>
                  <w:r w:rsidRPr="00936615">
                    <w:t xml:space="preserve">Ph: </w:t>
                  </w:r>
                  <w:r w:rsidR="00EE658D" w:rsidRPr="00936615">
                    <w:t>02 6240 3380</w:t>
                  </w:r>
                </w:p>
              </w:tc>
            </w:tr>
            <w:tr w:rsidR="00D96622" w:rsidRPr="00936615" w14:paraId="569FDA66" w14:textId="77777777" w:rsidTr="00C61040">
              <w:tc>
                <w:tcPr>
                  <w:tcW w:w="3522" w:type="dxa"/>
                  <w:tcMar>
                    <w:left w:w="0" w:type="dxa"/>
                  </w:tcMar>
                </w:tcPr>
                <w:p w14:paraId="569FDA63" w14:textId="77777777" w:rsidR="00D96622" w:rsidRPr="00936615" w:rsidRDefault="00D96622" w:rsidP="00C61040">
                  <w:pPr>
                    <w:pStyle w:val="Box"/>
                    <w:spacing w:before="60"/>
                  </w:pPr>
                  <w:r w:rsidRPr="00936615">
                    <w:t>Freecall number for regional areas:</w:t>
                  </w:r>
                </w:p>
              </w:tc>
              <w:tc>
                <w:tcPr>
                  <w:tcW w:w="2268" w:type="dxa"/>
                </w:tcPr>
                <w:p w14:paraId="569FDA64" w14:textId="77777777" w:rsidR="00D96622" w:rsidRPr="00936615" w:rsidRDefault="00D96622" w:rsidP="00C61040">
                  <w:pPr>
                    <w:pStyle w:val="Box"/>
                    <w:spacing w:before="60"/>
                  </w:pPr>
                  <w:r w:rsidRPr="00936615">
                    <w:t>1800 020 083</w:t>
                  </w:r>
                </w:p>
              </w:tc>
              <w:tc>
                <w:tcPr>
                  <w:tcW w:w="2682" w:type="dxa"/>
                </w:tcPr>
                <w:p w14:paraId="569FDA65" w14:textId="77777777" w:rsidR="00D96622" w:rsidRPr="00936615" w:rsidRDefault="00D96622" w:rsidP="00C61040">
                  <w:pPr>
                    <w:pStyle w:val="Box"/>
                    <w:spacing w:before="60"/>
                  </w:pPr>
                </w:p>
              </w:tc>
            </w:tr>
            <w:tr w:rsidR="00D96622" w:rsidRPr="00936615" w14:paraId="569FDA6A" w14:textId="77777777" w:rsidTr="00C61040">
              <w:tc>
                <w:tcPr>
                  <w:tcW w:w="3522" w:type="dxa"/>
                  <w:tcMar>
                    <w:left w:w="0" w:type="dxa"/>
                  </w:tcMar>
                </w:tcPr>
                <w:p w14:paraId="569FDA67" w14:textId="77777777" w:rsidR="00D96622" w:rsidRPr="00936615" w:rsidRDefault="00D96622" w:rsidP="00C61040">
                  <w:pPr>
                    <w:pStyle w:val="Box"/>
                    <w:spacing w:before="60"/>
                  </w:pPr>
                  <w:r w:rsidRPr="00936615">
                    <w:t>Website:</w:t>
                  </w:r>
                </w:p>
              </w:tc>
              <w:tc>
                <w:tcPr>
                  <w:tcW w:w="2268" w:type="dxa"/>
                </w:tcPr>
                <w:p w14:paraId="569FDA68" w14:textId="77777777" w:rsidR="00D96622" w:rsidRPr="00936615" w:rsidRDefault="00D96622" w:rsidP="00C61040">
                  <w:pPr>
                    <w:pStyle w:val="Box"/>
                    <w:spacing w:before="60"/>
                    <w:rPr>
                      <w:b/>
                    </w:rPr>
                  </w:pPr>
                  <w:r w:rsidRPr="00936615">
                    <w:rPr>
                      <w:b/>
                    </w:rPr>
                    <w:t>www.pc.gov.au</w:t>
                  </w:r>
                </w:p>
              </w:tc>
              <w:tc>
                <w:tcPr>
                  <w:tcW w:w="2682" w:type="dxa"/>
                </w:tcPr>
                <w:p w14:paraId="569FDA69" w14:textId="77777777" w:rsidR="00D96622" w:rsidRPr="00936615" w:rsidRDefault="00D96622" w:rsidP="00C61040">
                  <w:pPr>
                    <w:pStyle w:val="Box"/>
                    <w:spacing w:before="60"/>
                  </w:pPr>
                </w:p>
              </w:tc>
            </w:tr>
          </w:tbl>
          <w:p w14:paraId="569FDA6B" w14:textId="77777777" w:rsidR="00D96622" w:rsidRPr="00936615" w:rsidRDefault="00D96622" w:rsidP="00C61040">
            <w:pPr>
              <w:pStyle w:val="Box"/>
            </w:pPr>
          </w:p>
        </w:tc>
      </w:tr>
      <w:tr w:rsidR="00D96622" w:rsidRPr="00936615" w14:paraId="569FDA6E" w14:textId="77777777" w:rsidTr="00C61040">
        <w:tc>
          <w:tcPr>
            <w:tcW w:w="8771" w:type="dxa"/>
            <w:tcBorders>
              <w:top w:val="nil"/>
              <w:left w:val="nil"/>
              <w:bottom w:val="single" w:sz="6" w:space="0" w:color="78A22F"/>
              <w:right w:val="nil"/>
            </w:tcBorders>
            <w:shd w:val="clear" w:color="auto" w:fill="F2F2F2" w:themeFill="background1" w:themeFillShade="F2"/>
          </w:tcPr>
          <w:p w14:paraId="569FDA6D" w14:textId="77777777" w:rsidR="00D96622" w:rsidRPr="00936615" w:rsidRDefault="00D96622" w:rsidP="00C61040">
            <w:pPr>
              <w:pStyle w:val="Box"/>
              <w:spacing w:before="0" w:line="120" w:lineRule="exact"/>
            </w:pPr>
          </w:p>
        </w:tc>
      </w:tr>
    </w:tbl>
    <w:p w14:paraId="569FDA6F" w14:textId="77777777" w:rsidR="00D96622" w:rsidRPr="00936615" w:rsidRDefault="00D96622" w:rsidP="00D9662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rsidRPr="00936615" w14:paraId="569FDA71" w14:textId="77777777" w:rsidTr="00C61040">
        <w:trPr>
          <w:tblHeader/>
        </w:trPr>
        <w:tc>
          <w:tcPr>
            <w:tcW w:w="8771" w:type="dxa"/>
            <w:tcBorders>
              <w:top w:val="single" w:sz="6" w:space="0" w:color="78A22F"/>
              <w:left w:val="nil"/>
              <w:bottom w:val="nil"/>
              <w:right w:val="nil"/>
            </w:tcBorders>
            <w:shd w:val="clear" w:color="auto" w:fill="F2F2F2" w:themeFill="background1" w:themeFillShade="F2"/>
          </w:tcPr>
          <w:p w14:paraId="569FDA70" w14:textId="77777777" w:rsidR="00D96622" w:rsidRPr="00936615" w:rsidRDefault="00D96622" w:rsidP="00C61040">
            <w:pPr>
              <w:pStyle w:val="BoxTitle"/>
            </w:pPr>
            <w:r w:rsidRPr="00936615">
              <w:t>The Productivity Commission</w:t>
            </w:r>
          </w:p>
        </w:tc>
      </w:tr>
      <w:tr w:rsidR="00D96622" w:rsidRPr="00936615" w14:paraId="569FDA75" w14:textId="77777777" w:rsidTr="00C61040">
        <w:trPr>
          <w:cantSplit/>
        </w:trPr>
        <w:tc>
          <w:tcPr>
            <w:tcW w:w="8771" w:type="dxa"/>
            <w:tcBorders>
              <w:top w:val="nil"/>
              <w:left w:val="nil"/>
              <w:bottom w:val="nil"/>
              <w:right w:val="nil"/>
            </w:tcBorders>
            <w:shd w:val="clear" w:color="auto" w:fill="F2F2F2" w:themeFill="background1" w:themeFillShade="F2"/>
          </w:tcPr>
          <w:p w14:paraId="569FDA72" w14:textId="77777777" w:rsidR="00D96622" w:rsidRPr="00936615" w:rsidRDefault="00D96622" w:rsidP="00C61040">
            <w:pPr>
              <w:pStyle w:val="Box"/>
            </w:pPr>
            <w:r w:rsidRPr="00936615">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569FDA73" w14:textId="77777777" w:rsidR="00D96622" w:rsidRPr="00936615" w:rsidRDefault="00D96622" w:rsidP="00C61040">
            <w:pPr>
              <w:pStyle w:val="Box"/>
            </w:pPr>
            <w:r w:rsidRPr="00936615">
              <w:t>The Commission’s independence is underpinned by an Act of Parliament. Its processes and outputs are open to public scrutiny and are driven by concern for the wellbeing of the community as a whole.</w:t>
            </w:r>
          </w:p>
          <w:p w14:paraId="569FDA74" w14:textId="77777777" w:rsidR="00D96622" w:rsidRPr="00936615" w:rsidRDefault="00D96622" w:rsidP="00C61040">
            <w:pPr>
              <w:pStyle w:val="Box"/>
            </w:pPr>
            <w:r w:rsidRPr="00936615">
              <w:rPr>
                <w:szCs w:val="24"/>
              </w:rPr>
              <w:t>Further information on the Productivity Commission can be obtained from the Commission’s website (www.pc.gov.au).</w:t>
            </w:r>
          </w:p>
        </w:tc>
      </w:tr>
      <w:tr w:rsidR="00D96622" w:rsidRPr="00936615" w14:paraId="569FDA77" w14:textId="77777777" w:rsidTr="00C61040">
        <w:trPr>
          <w:cantSplit/>
        </w:trPr>
        <w:tc>
          <w:tcPr>
            <w:tcW w:w="8771" w:type="dxa"/>
            <w:tcBorders>
              <w:top w:val="nil"/>
              <w:left w:val="nil"/>
              <w:bottom w:val="single" w:sz="6" w:space="0" w:color="78A22F"/>
              <w:right w:val="nil"/>
            </w:tcBorders>
            <w:shd w:val="clear" w:color="auto" w:fill="F2F2F2" w:themeFill="background1" w:themeFillShade="F2"/>
          </w:tcPr>
          <w:p w14:paraId="569FDA76" w14:textId="77777777" w:rsidR="00D96622" w:rsidRPr="00936615" w:rsidRDefault="00D96622" w:rsidP="00C61040">
            <w:pPr>
              <w:pStyle w:val="Box"/>
              <w:spacing w:before="0" w:line="120" w:lineRule="exact"/>
            </w:pPr>
          </w:p>
        </w:tc>
      </w:tr>
    </w:tbl>
    <w:p w14:paraId="569FDA78" w14:textId="77777777" w:rsidR="00D96622" w:rsidRPr="00936615" w:rsidRDefault="00D96622" w:rsidP="00D96622">
      <w:pPr>
        <w:pStyle w:val="BodyText"/>
      </w:pPr>
    </w:p>
    <w:p w14:paraId="569FDA79" w14:textId="77777777" w:rsidR="00D96622" w:rsidRPr="00936615" w:rsidRDefault="00D96622" w:rsidP="00D96622">
      <w:pPr>
        <w:pStyle w:val="BodyText"/>
        <w:sectPr w:rsidR="00D96622" w:rsidRPr="00936615" w:rsidSect="00BC2F68">
          <w:headerReference w:type="default" r:id="rId9"/>
          <w:footerReference w:type="default" r:id="rId10"/>
          <w:footerReference w:type="first" r:id="rId11"/>
          <w:pgSz w:w="11907" w:h="16840" w:code="9"/>
          <w:pgMar w:top="1984" w:right="1304" w:bottom="1247" w:left="1814" w:header="1701" w:footer="397" w:gutter="0"/>
          <w:pgNumType w:fmt="lowerRoman" w:chapSep="period"/>
          <w:cols w:space="720"/>
          <w:docGrid w:linePitch="326"/>
        </w:sectPr>
      </w:pPr>
    </w:p>
    <w:p w14:paraId="569FDA7A" w14:textId="77777777" w:rsidR="00D96622" w:rsidRPr="00936615" w:rsidRDefault="00D96622" w:rsidP="0047463C">
      <w:pPr>
        <w:pStyle w:val="Heading2"/>
      </w:pPr>
      <w:bookmarkStart w:id="0" w:name="_Toc1739534"/>
      <w:bookmarkStart w:id="1" w:name="_Toc1742359"/>
      <w:bookmarkStart w:id="2" w:name="_Toc1742423"/>
      <w:bookmarkStart w:id="3" w:name="_Toc1744720"/>
      <w:bookmarkStart w:id="4" w:name="_Toc1744809"/>
      <w:bookmarkStart w:id="5" w:name="_Toc1746185"/>
      <w:bookmarkStart w:id="6" w:name="_Toc2093101"/>
      <w:bookmarkStart w:id="7" w:name="_Toc2152538"/>
      <w:bookmarkStart w:id="8" w:name="_Toc2773708"/>
      <w:bookmarkStart w:id="9" w:name="_Toc2774002"/>
      <w:bookmarkStart w:id="10" w:name="_Toc2855496"/>
      <w:r w:rsidRPr="00936615">
        <w:lastRenderedPageBreak/>
        <w:t>Terms of reference</w:t>
      </w:r>
      <w:bookmarkEnd w:id="0"/>
      <w:bookmarkEnd w:id="1"/>
      <w:bookmarkEnd w:id="2"/>
      <w:bookmarkEnd w:id="3"/>
      <w:bookmarkEnd w:id="4"/>
      <w:bookmarkEnd w:id="5"/>
      <w:bookmarkEnd w:id="6"/>
      <w:bookmarkEnd w:id="7"/>
      <w:bookmarkEnd w:id="8"/>
      <w:bookmarkEnd w:id="9"/>
      <w:bookmarkEnd w:id="10"/>
    </w:p>
    <w:p w14:paraId="569FDA7B" w14:textId="69973E5F" w:rsidR="00D96622" w:rsidRPr="00936615" w:rsidRDefault="0047463C" w:rsidP="00AE5F11">
      <w:pPr>
        <w:pStyle w:val="Heading3"/>
        <w:spacing w:before="280"/>
      </w:pPr>
      <w:r w:rsidRPr="00936615">
        <w:t>Remote Area Tax Concessions and Payments</w:t>
      </w:r>
    </w:p>
    <w:p w14:paraId="14421EFC" w14:textId="77777777" w:rsidR="0047463C" w:rsidRPr="00936615" w:rsidRDefault="0047463C" w:rsidP="0047463C">
      <w:pPr>
        <w:pStyle w:val="BodyText"/>
      </w:pPr>
      <w:r w:rsidRPr="00936615">
        <w:t>I, Josh Frydenberg, Treasurer, pursuant to Parts 2 and 4 of the Productivity Commission Act 1998, hereby request that the Productivity Commission undertake a study into the zone tax offset and related remote area tax concessions and payments.</w:t>
      </w:r>
    </w:p>
    <w:p w14:paraId="47AB615E" w14:textId="77777777" w:rsidR="0047463C" w:rsidRPr="00936615" w:rsidRDefault="0047463C" w:rsidP="0047463C">
      <w:pPr>
        <w:pStyle w:val="Heading3"/>
      </w:pPr>
      <w:r w:rsidRPr="00936615">
        <w:t>Background</w:t>
      </w:r>
    </w:p>
    <w:p w14:paraId="14C3395B" w14:textId="77777777" w:rsidR="0047463C" w:rsidRPr="00936615" w:rsidRDefault="0047463C" w:rsidP="0047463C">
      <w:pPr>
        <w:pStyle w:val="BodyText"/>
      </w:pPr>
      <w:r w:rsidRPr="00936615">
        <w:t>The Australian Government provides assistance to Australians who reside in specified geographic areas through the zone tax offset, the fringe benefits tax (FBT) remote area concessions and the Remote Area Allowance.</w:t>
      </w:r>
    </w:p>
    <w:p w14:paraId="207C023F" w14:textId="77777777" w:rsidR="0047463C" w:rsidRPr="00936615" w:rsidRDefault="0047463C" w:rsidP="0047463C">
      <w:pPr>
        <w:pStyle w:val="BodyText"/>
      </w:pPr>
      <w:r w:rsidRPr="00936615">
        <w:t>The eligible zones for the zone tax offset were originally established in 1945 and were based on exposure to uncongenial climatic conditions, isolation or a relatively high cost of living. The zones still largely reflect the original design in 1945, notwithstanding the demographic and infrastructure changes that have occurred in regional Australia in recent decades. The areas eligible for FBT remote area concessions are partly determined by reference to the zone tax offset boundaries, and the Remote Area Allowance is available to recipients of Australian Government income support payments who live in specified zone tax offset areas.</w:t>
      </w:r>
    </w:p>
    <w:p w14:paraId="506EE87A" w14:textId="36C61440" w:rsidR="0047463C" w:rsidRPr="00936615" w:rsidRDefault="0047463C" w:rsidP="0047463C">
      <w:pPr>
        <w:pStyle w:val="BodyText"/>
      </w:pPr>
      <w:r w:rsidRPr="00936615">
        <w:t>There have been concerns that the design of these mechanisms has not evolved to adequately reflect varying degrees of demographic, infrastructure and cost</w:t>
      </w:r>
      <w:r w:rsidR="00664900">
        <w:noBreakHyphen/>
      </w:r>
      <w:r w:rsidRPr="00936615">
        <w:t>of</w:t>
      </w:r>
      <w:r w:rsidR="00664900">
        <w:noBreakHyphen/>
      </w:r>
      <w:r w:rsidRPr="00936615">
        <w:t>living change occurring in Australia.</w:t>
      </w:r>
    </w:p>
    <w:p w14:paraId="49D975FF" w14:textId="77777777" w:rsidR="0047463C" w:rsidRPr="00936615" w:rsidRDefault="0047463C" w:rsidP="0047463C">
      <w:pPr>
        <w:pStyle w:val="Heading3"/>
      </w:pPr>
      <w:r w:rsidRPr="00936615">
        <w:t>Scope of the report</w:t>
      </w:r>
    </w:p>
    <w:p w14:paraId="3690A422" w14:textId="77777777" w:rsidR="0047463C" w:rsidRPr="00936615" w:rsidRDefault="0047463C" w:rsidP="0047463C">
      <w:pPr>
        <w:pStyle w:val="BodyText"/>
      </w:pPr>
      <w:r w:rsidRPr="00936615">
        <w:t>The Productivity Commission is asked to determine the appropriate ongoing form and function of the zone tax offset, FBT remote area concessions, and Remote Area Allowance.</w:t>
      </w:r>
    </w:p>
    <w:p w14:paraId="65F586CA" w14:textId="77777777" w:rsidR="0047463C" w:rsidRPr="00936615" w:rsidRDefault="0047463C" w:rsidP="0047463C">
      <w:pPr>
        <w:pStyle w:val="BodyText"/>
      </w:pPr>
      <w:r w:rsidRPr="00936615">
        <w:t>In conducting this review, the Productivity Commission is to:</w:t>
      </w:r>
    </w:p>
    <w:p w14:paraId="1740D671" w14:textId="011DDEBC" w:rsidR="0047463C" w:rsidRPr="00936615" w:rsidRDefault="0047463C" w:rsidP="000F186B">
      <w:pPr>
        <w:pStyle w:val="ListBullet"/>
      </w:pPr>
      <w:r w:rsidRPr="00936615">
        <w:t>examine the operation of the zone tax offset and FBT remote area concessions, including the levels of assistance provided, indexation and the boundaries of eligible areas and prescribed zones</w:t>
      </w:r>
    </w:p>
    <w:p w14:paraId="2D6F6579" w14:textId="71F68D43" w:rsidR="0047463C" w:rsidRPr="00936615" w:rsidRDefault="0047463C" w:rsidP="0047463C">
      <w:pPr>
        <w:pStyle w:val="ListBullet"/>
      </w:pPr>
      <w:r w:rsidRPr="00936615">
        <w:t>examine the economic and employment impacts of the zone tax offset, FBT remote area concessions, and Remote Area Allowance, including the effect of applying indexation, in regional Australia</w:t>
      </w:r>
    </w:p>
    <w:p w14:paraId="2594A42E" w14:textId="1A9641AC" w:rsidR="0047463C" w:rsidRPr="00936615" w:rsidRDefault="0047463C" w:rsidP="0047463C">
      <w:pPr>
        <w:pStyle w:val="ListBullet"/>
      </w:pPr>
      <w:r w:rsidRPr="00936615">
        <w:t>examine the operation of the Remote Area Allowance, which extends the benefits of the zone tax offset to income support recipients in remote zones</w:t>
      </w:r>
    </w:p>
    <w:p w14:paraId="526B4EA7" w14:textId="11622BF1" w:rsidR="0047463C" w:rsidRPr="00936615" w:rsidRDefault="0047463C" w:rsidP="0047463C">
      <w:pPr>
        <w:pStyle w:val="ListBullet"/>
      </w:pPr>
      <w:r w:rsidRPr="00936615">
        <w:lastRenderedPageBreak/>
        <w:t>consider whether the zone tax offset, FBT remote area concessions, and the Remote Area Allowance are delivering on their policy objectives and whether those objectives remain appropriate in a contemporary Australia</w:t>
      </w:r>
    </w:p>
    <w:p w14:paraId="79B5439E" w14:textId="7E3C88D3" w:rsidR="0047463C" w:rsidRPr="00936615" w:rsidRDefault="0047463C" w:rsidP="0047463C">
      <w:pPr>
        <w:pStyle w:val="ListBullet"/>
      </w:pPr>
      <w:r w:rsidRPr="00936615">
        <w:t>consider if businesses in remote areas should be provided with similar support</w:t>
      </w:r>
    </w:p>
    <w:p w14:paraId="39EFF444" w14:textId="6B95DFAA" w:rsidR="0047463C" w:rsidRPr="00936615" w:rsidRDefault="0047463C" w:rsidP="0047463C">
      <w:pPr>
        <w:pStyle w:val="ListBullet"/>
      </w:pPr>
      <w:r w:rsidRPr="00936615">
        <w:t>consider if there are alternative mechanisms to better provide this support to Australians residing in specified geographic areas.</w:t>
      </w:r>
    </w:p>
    <w:p w14:paraId="457AB5E3" w14:textId="77777777" w:rsidR="0047463C" w:rsidRPr="00936615" w:rsidRDefault="0047463C" w:rsidP="0047463C">
      <w:pPr>
        <w:pStyle w:val="Heading3"/>
      </w:pPr>
      <w:r w:rsidRPr="00936615">
        <w:t>Process</w:t>
      </w:r>
    </w:p>
    <w:p w14:paraId="0FA08F7F" w14:textId="77777777" w:rsidR="0047463C" w:rsidRPr="00936615" w:rsidRDefault="0047463C" w:rsidP="0047463C">
      <w:pPr>
        <w:pStyle w:val="BodyText"/>
      </w:pPr>
      <w:r w:rsidRPr="00936615">
        <w:t>The Productivity Commission is to undertake an appropriate public consultation process. This will include inviting public submissions in response to an issues paper and draft report. It will also involve consultation and meetings in regional communities.</w:t>
      </w:r>
    </w:p>
    <w:p w14:paraId="1DADC04C" w14:textId="77777777" w:rsidR="0047463C" w:rsidRPr="00936615" w:rsidRDefault="0047463C" w:rsidP="0047463C">
      <w:pPr>
        <w:pStyle w:val="BodyText"/>
      </w:pPr>
      <w:r w:rsidRPr="00936615">
        <w:t>The Productivity Commission is to commence this work in February 2019. A final report with recommendations should be provided to the Government within 12 months of commencement.</w:t>
      </w:r>
    </w:p>
    <w:p w14:paraId="5E292D57" w14:textId="7209D7E2" w:rsidR="0047463C" w:rsidRPr="00936615" w:rsidRDefault="0047463C" w:rsidP="006B5EB2">
      <w:pPr>
        <w:pStyle w:val="BodyText"/>
        <w:spacing w:before="360"/>
        <w:jc w:val="left"/>
      </w:pPr>
      <w:r w:rsidRPr="00936615">
        <w:t>The Hon Josh Frydenberg MP</w:t>
      </w:r>
      <w:r w:rsidR="006B5EB2">
        <w:br/>
      </w:r>
      <w:r w:rsidRPr="00936615">
        <w:t>Treasurer</w:t>
      </w:r>
    </w:p>
    <w:p w14:paraId="569FDA81" w14:textId="6F2AD0C8" w:rsidR="00D96622" w:rsidRPr="00936615" w:rsidRDefault="00D221D8" w:rsidP="0047463C">
      <w:pPr>
        <w:pStyle w:val="BodyText"/>
      </w:pPr>
      <w:r>
        <w:t>[Received</w:t>
      </w:r>
      <w:r w:rsidRPr="00936615">
        <w:t xml:space="preserve"> </w:t>
      </w:r>
      <w:r w:rsidR="0047463C" w:rsidRPr="00936615">
        <w:t>28 November 2018</w:t>
      </w:r>
      <w:r>
        <w:t>]</w:t>
      </w:r>
    </w:p>
    <w:p w14:paraId="569FDA82" w14:textId="77777777" w:rsidR="00D96622" w:rsidRPr="00936615" w:rsidRDefault="00D96622" w:rsidP="00D96622">
      <w:pPr>
        <w:pStyle w:val="BodyText"/>
      </w:pPr>
    </w:p>
    <w:p w14:paraId="569FDA83" w14:textId="77777777" w:rsidR="00D96622" w:rsidRPr="00936615" w:rsidRDefault="00D96622" w:rsidP="00D96622">
      <w:pPr>
        <w:pStyle w:val="BodyText"/>
        <w:sectPr w:rsidR="00D96622" w:rsidRPr="00936615" w:rsidSect="00BC2F68">
          <w:headerReference w:type="even" r:id="rId12"/>
          <w:headerReference w:type="default" r:id="rId13"/>
          <w:footerReference w:type="even" r:id="rId14"/>
          <w:footerReference w:type="default" r:id="rId15"/>
          <w:pgSz w:w="11907" w:h="16840" w:code="9"/>
          <w:pgMar w:top="1984" w:right="1304" w:bottom="1247" w:left="1814" w:header="1701" w:footer="397" w:gutter="0"/>
          <w:pgNumType w:fmt="lowerRoman" w:start="3" w:chapSep="period"/>
          <w:cols w:space="720"/>
          <w:docGrid w:linePitch="326"/>
        </w:sectPr>
      </w:pPr>
    </w:p>
    <w:p w14:paraId="569FDA84" w14:textId="77777777" w:rsidR="00D96622" w:rsidRPr="00936615" w:rsidRDefault="00D96622" w:rsidP="00D96622">
      <w:pPr>
        <w:pStyle w:val="Heading2nosectionno"/>
      </w:pPr>
      <w:r w:rsidRPr="00936615">
        <w:lastRenderedPageBreak/>
        <w:t>Contents</w:t>
      </w:r>
    </w:p>
    <w:p w14:paraId="1E0CACB3" w14:textId="77777777" w:rsidR="00AE5F11" w:rsidRPr="00AE5F11" w:rsidRDefault="00AE5F11" w:rsidP="00AE5F11">
      <w:pPr>
        <w:pStyle w:val="TOC1"/>
        <w:spacing w:before="360"/>
        <w:rPr>
          <w:rFonts w:asciiTheme="minorHAnsi" w:eastAsiaTheme="minorEastAsia" w:hAnsiTheme="minorHAnsi"/>
          <w:b w:val="0"/>
          <w:noProof/>
          <w:sz w:val="22"/>
          <w:szCs w:val="22"/>
          <w:lang w:eastAsia="en-AU"/>
        </w:rPr>
      </w:pPr>
      <w:r w:rsidRPr="00AE5F11">
        <w:rPr>
          <w:b w:val="0"/>
          <w:noProof/>
        </w:rPr>
        <w:t>Terms of reference</w:t>
      </w:r>
      <w:r w:rsidRPr="00AE5F11">
        <w:rPr>
          <w:b w:val="0"/>
          <w:noProof/>
        </w:rPr>
        <w:tab/>
        <w:t>iii</w:t>
      </w:r>
    </w:p>
    <w:p w14:paraId="674A07BF" w14:textId="0F0211BB" w:rsidR="00AE5F11" w:rsidRPr="00AE5F11" w:rsidRDefault="00AE5F11" w:rsidP="00AE5F11">
      <w:pPr>
        <w:pStyle w:val="TOC1"/>
        <w:rPr>
          <w:rFonts w:asciiTheme="minorHAnsi" w:eastAsiaTheme="minorEastAsia" w:hAnsiTheme="minorHAnsi"/>
          <w:b w:val="0"/>
          <w:noProof/>
          <w:sz w:val="22"/>
          <w:szCs w:val="22"/>
          <w:lang w:eastAsia="en-AU"/>
        </w:rPr>
      </w:pPr>
      <w:r w:rsidRPr="00AE5F11">
        <w:rPr>
          <w:b w:val="0"/>
          <w:noProof/>
        </w:rPr>
        <w:t>1</w:t>
      </w:r>
      <w:r w:rsidRPr="00AE5F11">
        <w:rPr>
          <w:rFonts w:asciiTheme="minorHAnsi" w:eastAsiaTheme="minorEastAsia" w:hAnsiTheme="minorHAnsi"/>
          <w:b w:val="0"/>
          <w:noProof/>
          <w:sz w:val="22"/>
          <w:szCs w:val="22"/>
          <w:lang w:eastAsia="en-AU"/>
        </w:rPr>
        <w:tab/>
      </w:r>
      <w:r w:rsidRPr="00AE5F11">
        <w:rPr>
          <w:b w:val="0"/>
          <w:noProof/>
        </w:rPr>
        <w:t>What is this study about?</w:t>
      </w:r>
      <w:r w:rsidRPr="00AE5F11">
        <w:rPr>
          <w:b w:val="0"/>
          <w:noProof/>
        </w:rPr>
        <w:tab/>
      </w:r>
      <w:r w:rsidR="00197DFA">
        <w:rPr>
          <w:b w:val="0"/>
          <w:noProof/>
        </w:rPr>
        <w:t>1</w:t>
      </w:r>
    </w:p>
    <w:p w14:paraId="1E18177C" w14:textId="05E87506" w:rsidR="00AE5F11" w:rsidRPr="00AE5F11" w:rsidRDefault="00AE5F11" w:rsidP="00AE5F11">
      <w:pPr>
        <w:pStyle w:val="TOC1"/>
        <w:rPr>
          <w:rFonts w:asciiTheme="minorHAnsi" w:eastAsiaTheme="minorEastAsia" w:hAnsiTheme="minorHAnsi"/>
          <w:b w:val="0"/>
          <w:noProof/>
          <w:sz w:val="22"/>
          <w:szCs w:val="22"/>
          <w:lang w:eastAsia="en-AU"/>
        </w:rPr>
      </w:pPr>
      <w:r w:rsidRPr="00AE5F11">
        <w:rPr>
          <w:b w:val="0"/>
          <w:noProof/>
        </w:rPr>
        <w:t>2</w:t>
      </w:r>
      <w:r w:rsidRPr="00AE5F11">
        <w:rPr>
          <w:b w:val="0"/>
          <w:noProof/>
        </w:rPr>
        <w:tab/>
        <w:t>Overview and evolution of current arrangements</w:t>
      </w:r>
      <w:r w:rsidRPr="00AE5F11">
        <w:rPr>
          <w:b w:val="0"/>
          <w:noProof/>
        </w:rPr>
        <w:tab/>
      </w:r>
      <w:r w:rsidR="00197DFA">
        <w:rPr>
          <w:b w:val="0"/>
          <w:noProof/>
        </w:rPr>
        <w:t>2</w:t>
      </w:r>
    </w:p>
    <w:p w14:paraId="1D49B582" w14:textId="7F52C07A" w:rsidR="00AE5F11" w:rsidRPr="00AE5F11" w:rsidRDefault="00AE5F11" w:rsidP="00AE5F11">
      <w:pPr>
        <w:pStyle w:val="TOC1"/>
        <w:rPr>
          <w:rFonts w:asciiTheme="minorHAnsi" w:eastAsiaTheme="minorEastAsia" w:hAnsiTheme="minorHAnsi"/>
          <w:b w:val="0"/>
          <w:noProof/>
          <w:sz w:val="22"/>
          <w:szCs w:val="22"/>
          <w:lang w:eastAsia="en-AU"/>
        </w:rPr>
      </w:pPr>
      <w:r w:rsidRPr="00AE5F11">
        <w:rPr>
          <w:b w:val="0"/>
          <w:noProof/>
        </w:rPr>
        <w:t>3</w:t>
      </w:r>
      <w:r w:rsidRPr="00AE5F11">
        <w:rPr>
          <w:rFonts w:asciiTheme="minorHAnsi" w:eastAsiaTheme="minorEastAsia" w:hAnsiTheme="minorHAnsi"/>
          <w:b w:val="0"/>
          <w:noProof/>
          <w:sz w:val="22"/>
          <w:szCs w:val="22"/>
          <w:lang w:eastAsia="en-AU"/>
        </w:rPr>
        <w:tab/>
      </w:r>
      <w:r w:rsidRPr="00AE5F11">
        <w:rPr>
          <w:b w:val="0"/>
          <w:noProof/>
        </w:rPr>
        <w:t>The Commission’s analytical approach</w:t>
      </w:r>
      <w:r w:rsidRPr="00AE5F11">
        <w:rPr>
          <w:b w:val="0"/>
          <w:noProof/>
        </w:rPr>
        <w:tab/>
      </w:r>
      <w:r w:rsidR="00197DFA">
        <w:rPr>
          <w:b w:val="0"/>
          <w:noProof/>
        </w:rPr>
        <w:t>7</w:t>
      </w:r>
    </w:p>
    <w:p w14:paraId="2FC4FE51" w14:textId="03BDE6B6" w:rsidR="00AE5F11" w:rsidRPr="00AE5F11" w:rsidRDefault="00AE5F11" w:rsidP="00AE5F11">
      <w:pPr>
        <w:pStyle w:val="TOC1"/>
        <w:rPr>
          <w:rFonts w:asciiTheme="minorHAnsi" w:eastAsiaTheme="minorEastAsia" w:hAnsiTheme="minorHAnsi"/>
          <w:b w:val="0"/>
          <w:noProof/>
          <w:sz w:val="22"/>
          <w:szCs w:val="22"/>
          <w:lang w:eastAsia="en-AU"/>
        </w:rPr>
      </w:pPr>
      <w:r w:rsidRPr="00AE5F11">
        <w:rPr>
          <w:b w:val="0"/>
          <w:noProof/>
        </w:rPr>
        <w:t>4</w:t>
      </w:r>
      <w:r w:rsidRPr="00AE5F11">
        <w:rPr>
          <w:rFonts w:asciiTheme="minorHAnsi" w:eastAsiaTheme="minorEastAsia" w:hAnsiTheme="minorHAnsi"/>
          <w:b w:val="0"/>
          <w:noProof/>
          <w:sz w:val="22"/>
          <w:szCs w:val="22"/>
          <w:lang w:eastAsia="en-AU"/>
        </w:rPr>
        <w:tab/>
      </w:r>
      <w:r w:rsidRPr="00AE5F11">
        <w:rPr>
          <w:b w:val="0"/>
          <w:noProof/>
        </w:rPr>
        <w:t>Issues for investigation</w:t>
      </w:r>
      <w:r w:rsidRPr="00AE5F11">
        <w:rPr>
          <w:b w:val="0"/>
          <w:noProof/>
        </w:rPr>
        <w:tab/>
      </w:r>
      <w:r w:rsidR="00197DFA">
        <w:rPr>
          <w:b w:val="0"/>
          <w:noProof/>
        </w:rPr>
        <w:t>10</w:t>
      </w:r>
    </w:p>
    <w:p w14:paraId="335D24D8" w14:textId="24DCE003" w:rsidR="00AE5F11" w:rsidRPr="00AE5F11" w:rsidRDefault="00AE5F11" w:rsidP="00AE5F11">
      <w:pPr>
        <w:pStyle w:val="TOC1"/>
        <w:rPr>
          <w:rFonts w:asciiTheme="minorHAnsi" w:eastAsiaTheme="minorEastAsia" w:hAnsiTheme="minorHAnsi"/>
          <w:b w:val="0"/>
          <w:noProof/>
          <w:sz w:val="22"/>
          <w:szCs w:val="22"/>
          <w:lang w:eastAsia="en-AU"/>
        </w:rPr>
      </w:pPr>
      <w:r w:rsidRPr="00AE5F11">
        <w:rPr>
          <w:b w:val="0"/>
          <w:noProof/>
        </w:rPr>
        <w:t>5</w:t>
      </w:r>
      <w:r w:rsidRPr="00AE5F11">
        <w:rPr>
          <w:rFonts w:asciiTheme="minorHAnsi" w:eastAsiaTheme="minorEastAsia" w:hAnsiTheme="minorHAnsi"/>
          <w:b w:val="0"/>
          <w:noProof/>
          <w:sz w:val="22"/>
          <w:szCs w:val="22"/>
          <w:lang w:eastAsia="en-AU"/>
        </w:rPr>
        <w:tab/>
      </w:r>
      <w:r w:rsidRPr="00AE5F11">
        <w:rPr>
          <w:b w:val="0"/>
          <w:noProof/>
        </w:rPr>
        <w:t>Options for revising current arrangements</w:t>
      </w:r>
      <w:r w:rsidRPr="00AE5F11">
        <w:rPr>
          <w:b w:val="0"/>
          <w:noProof/>
        </w:rPr>
        <w:tab/>
        <w:t>1</w:t>
      </w:r>
      <w:r w:rsidR="00197DFA">
        <w:rPr>
          <w:b w:val="0"/>
          <w:noProof/>
        </w:rPr>
        <w:t>3</w:t>
      </w:r>
    </w:p>
    <w:p w14:paraId="175B4DE2" w14:textId="09C007A8" w:rsidR="00AE5F11" w:rsidRPr="00AE5F11" w:rsidRDefault="00AE5F11" w:rsidP="00AE5F11">
      <w:pPr>
        <w:pStyle w:val="TOC1"/>
        <w:rPr>
          <w:rFonts w:asciiTheme="minorHAnsi" w:eastAsiaTheme="minorEastAsia" w:hAnsiTheme="minorHAnsi"/>
          <w:b w:val="0"/>
          <w:noProof/>
          <w:sz w:val="22"/>
          <w:szCs w:val="22"/>
          <w:lang w:eastAsia="en-AU"/>
        </w:rPr>
      </w:pPr>
      <w:r w:rsidRPr="00AE5F11">
        <w:rPr>
          <w:b w:val="0"/>
          <w:noProof/>
        </w:rPr>
        <w:t>6</w:t>
      </w:r>
      <w:r w:rsidRPr="00AE5F11">
        <w:rPr>
          <w:rFonts w:asciiTheme="minorHAnsi" w:eastAsiaTheme="minorEastAsia" w:hAnsiTheme="minorHAnsi"/>
          <w:b w:val="0"/>
          <w:noProof/>
          <w:sz w:val="22"/>
          <w:szCs w:val="22"/>
          <w:lang w:eastAsia="en-AU"/>
        </w:rPr>
        <w:tab/>
      </w:r>
      <w:r w:rsidRPr="00AE5F11">
        <w:rPr>
          <w:b w:val="0"/>
          <w:noProof/>
        </w:rPr>
        <w:t>References</w:t>
      </w:r>
      <w:r w:rsidRPr="00AE5F11">
        <w:rPr>
          <w:b w:val="0"/>
          <w:noProof/>
        </w:rPr>
        <w:tab/>
        <w:t>1</w:t>
      </w:r>
      <w:r w:rsidR="00197DFA">
        <w:rPr>
          <w:b w:val="0"/>
          <w:noProof/>
        </w:rPr>
        <w:t>7</w:t>
      </w:r>
    </w:p>
    <w:p w14:paraId="7E8060C0" w14:textId="6E7A4AB8" w:rsidR="00AE5F11" w:rsidRPr="00AE5F11" w:rsidRDefault="00AE5F11" w:rsidP="00613996">
      <w:pPr>
        <w:pStyle w:val="TOC1"/>
        <w:rPr>
          <w:rFonts w:asciiTheme="minorHAnsi" w:eastAsiaTheme="minorEastAsia" w:hAnsiTheme="minorHAnsi"/>
          <w:b w:val="0"/>
          <w:noProof/>
          <w:sz w:val="22"/>
          <w:szCs w:val="22"/>
          <w:lang w:eastAsia="en-AU"/>
        </w:rPr>
      </w:pPr>
      <w:r w:rsidRPr="00AE5F11">
        <w:rPr>
          <w:b w:val="0"/>
          <w:noProof/>
        </w:rPr>
        <w:t>Attachment A: How to make a submission</w:t>
      </w:r>
      <w:r w:rsidRPr="00AE5F11">
        <w:rPr>
          <w:b w:val="0"/>
          <w:noProof/>
        </w:rPr>
        <w:tab/>
      </w:r>
      <w:r w:rsidR="00197DFA">
        <w:rPr>
          <w:b w:val="0"/>
          <w:noProof/>
        </w:rPr>
        <w:t>19</w:t>
      </w:r>
      <w:bookmarkStart w:id="11" w:name="_GoBack"/>
      <w:bookmarkEnd w:id="11"/>
    </w:p>
    <w:p w14:paraId="0DBFCF5E" w14:textId="77777777" w:rsidR="00863D59" w:rsidRDefault="00863D59">
      <w:pPr>
        <w:sectPr w:rsidR="00863D59" w:rsidSect="00863D59">
          <w:headerReference w:type="even" r:id="rId16"/>
          <w:headerReference w:type="default" r:id="rId17"/>
          <w:footerReference w:type="even" r:id="rId18"/>
          <w:footerReference w:type="default" r:id="rId19"/>
          <w:headerReference w:type="first" r:id="rId20"/>
          <w:footerReference w:type="first" r:id="rId21"/>
          <w:pgSz w:w="11907" w:h="16840" w:code="9"/>
          <w:pgMar w:top="1984" w:right="1304" w:bottom="1247" w:left="1814" w:header="1701" w:footer="397" w:gutter="0"/>
          <w:pgNumType w:fmt="lowerRoman" w:chapSep="period"/>
          <w:cols w:space="720"/>
          <w:docGrid w:linePitch="326"/>
        </w:sectPr>
      </w:pPr>
    </w:p>
    <w:p w14:paraId="2348560E" w14:textId="4BE1A614" w:rsidR="00D648A8" w:rsidRPr="00936615" w:rsidRDefault="00AF1567" w:rsidP="00D648A8">
      <w:pPr>
        <w:pStyle w:val="Heading2"/>
      </w:pPr>
      <w:bookmarkStart w:id="13" w:name="_Toc2093102"/>
      <w:bookmarkStart w:id="14" w:name="_Toc2152539"/>
      <w:bookmarkStart w:id="15" w:name="_Toc2773709"/>
      <w:bookmarkStart w:id="16" w:name="_Toc2774003"/>
      <w:bookmarkStart w:id="17" w:name="_Toc2855497"/>
      <w:r>
        <w:rPr>
          <w:noProof/>
        </w:rPr>
        <w:lastRenderedPageBreak/>
        <w:t>1</w:t>
      </w:r>
      <w:r w:rsidR="00D648A8" w:rsidRPr="00936615">
        <w:tab/>
        <w:t>What is this study about?</w:t>
      </w:r>
      <w:bookmarkEnd w:id="13"/>
      <w:bookmarkEnd w:id="14"/>
      <w:bookmarkEnd w:id="15"/>
      <w:bookmarkEnd w:id="16"/>
      <w:bookmarkEnd w:id="17"/>
    </w:p>
    <w:p w14:paraId="4FDFBB4D" w14:textId="0F3276AB" w:rsidR="005C25A1" w:rsidRPr="00936615" w:rsidRDefault="005C25A1" w:rsidP="005C25A1">
      <w:pPr>
        <w:pStyle w:val="BodyText"/>
      </w:pPr>
      <w:r w:rsidRPr="00936615">
        <w:t>This study focuse</w:t>
      </w:r>
      <w:r w:rsidR="00D06C94" w:rsidRPr="00936615">
        <w:t>s</w:t>
      </w:r>
      <w:r w:rsidRPr="00936615">
        <w:t xml:space="preserve"> on three longstanding measures that provide support to individuals and businesses in remote areas, namely the:</w:t>
      </w:r>
    </w:p>
    <w:p w14:paraId="55214746" w14:textId="5903AB5E" w:rsidR="005C25A1" w:rsidRPr="00936615" w:rsidRDefault="005C25A1" w:rsidP="001B2A80">
      <w:pPr>
        <w:pStyle w:val="ListBullet"/>
      </w:pPr>
      <w:r w:rsidRPr="00936615">
        <w:t>zone tax offset (ZTO)</w:t>
      </w:r>
    </w:p>
    <w:p w14:paraId="78B81B26" w14:textId="0B71772C" w:rsidR="005C25A1" w:rsidRPr="00936615" w:rsidRDefault="005C25A1" w:rsidP="001B2A80">
      <w:pPr>
        <w:pStyle w:val="ListBullet"/>
      </w:pPr>
      <w:r w:rsidRPr="00936615">
        <w:t>fringe benefit</w:t>
      </w:r>
      <w:r w:rsidR="00285DD9">
        <w:t>s</w:t>
      </w:r>
      <w:r w:rsidRPr="00936615">
        <w:t xml:space="preserve"> tax (FBT) remote area concessions</w:t>
      </w:r>
    </w:p>
    <w:p w14:paraId="49F66F06" w14:textId="447507E6" w:rsidR="005C25A1" w:rsidRPr="00936615" w:rsidRDefault="00826BCD" w:rsidP="001B2A80">
      <w:pPr>
        <w:pStyle w:val="ListBullet"/>
      </w:pPr>
      <w:r w:rsidRPr="00936615">
        <w:t>R</w:t>
      </w:r>
      <w:r w:rsidR="005C25A1" w:rsidRPr="00936615">
        <w:t xml:space="preserve">emote </w:t>
      </w:r>
      <w:r w:rsidRPr="00936615">
        <w:t>A</w:t>
      </w:r>
      <w:r w:rsidR="005C25A1" w:rsidRPr="00936615">
        <w:t xml:space="preserve">rea </w:t>
      </w:r>
      <w:r w:rsidRPr="00936615">
        <w:t>A</w:t>
      </w:r>
      <w:r w:rsidR="005C25A1" w:rsidRPr="00936615">
        <w:t xml:space="preserve">llowance (RAA). </w:t>
      </w:r>
    </w:p>
    <w:p w14:paraId="569FDA8E" w14:textId="55415AC8" w:rsidR="00D96622" w:rsidRDefault="00FB599C" w:rsidP="005C25A1">
      <w:pPr>
        <w:pStyle w:val="BodyText"/>
      </w:pPr>
      <w:r>
        <w:t>There have been concerns within the community that these measures have failed to keep pace with demographic, cost of living and infrastructure changes in Australia. In response to these concerns, t</w:t>
      </w:r>
      <w:r w:rsidR="005C25A1" w:rsidRPr="00936615">
        <w:t>he Au</w:t>
      </w:r>
      <w:r w:rsidR="001B2A80" w:rsidRPr="00936615">
        <w:t>stralian Government has asked the Productivity Commission</w:t>
      </w:r>
      <w:r w:rsidR="005C25A1" w:rsidRPr="00936615">
        <w:t xml:space="preserve"> to evaluate these measures’ objectives, design, operation and effects, and to consider alternatives to them. </w:t>
      </w:r>
      <w:r w:rsidR="00193FD3" w:rsidRPr="00936615">
        <w:t>B</w:t>
      </w:r>
      <w:r w:rsidR="00314093" w:rsidRPr="00936615">
        <w:t>ox</w:t>
      </w:r>
      <w:r w:rsidR="00664900">
        <w:t> </w:t>
      </w:r>
      <w:r w:rsidR="00314093" w:rsidRPr="00936615">
        <w:t>1 outlines</w:t>
      </w:r>
      <w:r w:rsidR="00193FD3" w:rsidRPr="00936615">
        <w:t xml:space="preserve"> how you can contribute to our study. </w:t>
      </w:r>
    </w:p>
    <w:p w14:paraId="57BAF325" w14:textId="68D7F2AA" w:rsidR="00A35963" w:rsidRPr="00936615" w:rsidRDefault="00A35963" w:rsidP="005C25A1">
      <w:pPr>
        <w:pStyle w:val="BodyText"/>
      </w:pPr>
      <w:r w:rsidRPr="00936615">
        <w:t xml:space="preserve">The Commission will meet with interested parties, including in regional and remote Australia, during the course of the study. There will be further opportunity to make submissions to the study following the release of the draft report </w:t>
      </w:r>
      <w:r w:rsidR="00127066">
        <w:t xml:space="preserve">in late August </w:t>
      </w:r>
      <w:r w:rsidRPr="00936615">
        <w:t>(figure</w:t>
      </w:r>
      <w:r>
        <w:t> </w:t>
      </w:r>
      <w:r w:rsidRPr="00936615">
        <w:t>1).</w:t>
      </w:r>
    </w:p>
    <w:p w14:paraId="590C9E56" w14:textId="35A70A3D" w:rsidR="00D24F4D" w:rsidRPr="00936615" w:rsidRDefault="00D24F4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24F4D" w:rsidRPr="00936615" w14:paraId="62EBCF76" w14:textId="77777777" w:rsidTr="0079300A">
        <w:trPr>
          <w:tblHeader/>
        </w:trPr>
        <w:tc>
          <w:tcPr>
            <w:tcW w:w="5000" w:type="pct"/>
            <w:tcBorders>
              <w:top w:val="single" w:sz="6" w:space="0" w:color="78A22F"/>
              <w:left w:val="nil"/>
              <w:bottom w:val="nil"/>
              <w:right w:val="nil"/>
            </w:tcBorders>
            <w:shd w:val="clear" w:color="auto" w:fill="F2F2F2"/>
          </w:tcPr>
          <w:p w14:paraId="54232268" w14:textId="40617D7E" w:rsidR="00D24F4D" w:rsidRPr="00936615" w:rsidRDefault="00D24F4D">
            <w:pPr>
              <w:pStyle w:val="BoxTitle"/>
            </w:pPr>
            <w:r w:rsidRPr="00936615">
              <w:rPr>
                <w:b w:val="0"/>
              </w:rPr>
              <w:t xml:space="preserve">Box </w:t>
            </w:r>
            <w:r w:rsidR="00AF1567">
              <w:rPr>
                <w:b w:val="0"/>
                <w:noProof/>
              </w:rPr>
              <w:t>1</w:t>
            </w:r>
            <w:r w:rsidRPr="00936615">
              <w:tab/>
              <w:t>How you can contribute</w:t>
            </w:r>
          </w:p>
        </w:tc>
      </w:tr>
      <w:tr w:rsidR="00D24F4D" w:rsidRPr="00936615" w14:paraId="36E58130" w14:textId="77777777" w:rsidTr="0079300A">
        <w:tc>
          <w:tcPr>
            <w:tcW w:w="5000" w:type="pct"/>
            <w:tcBorders>
              <w:top w:val="nil"/>
              <w:left w:val="nil"/>
              <w:bottom w:val="nil"/>
              <w:right w:val="nil"/>
            </w:tcBorders>
            <w:shd w:val="clear" w:color="auto" w:fill="F2F2F2"/>
          </w:tcPr>
          <w:p w14:paraId="15C38B31" w14:textId="624B1CB4" w:rsidR="00D24F4D" w:rsidRPr="00936615" w:rsidRDefault="00D24F4D" w:rsidP="00D24F4D">
            <w:pPr>
              <w:pStyle w:val="Box"/>
            </w:pPr>
            <w:r w:rsidRPr="00936615">
              <w:t xml:space="preserve">The Commission is seeking input from affected individuals, communities and businesses. We want to hear your views on </w:t>
            </w:r>
            <w:r w:rsidR="00456248">
              <w:t>the rationale for these schemes,</w:t>
            </w:r>
            <w:r w:rsidR="00456248" w:rsidRPr="00936615">
              <w:t xml:space="preserve"> </w:t>
            </w:r>
            <w:r w:rsidRPr="00936615">
              <w:t>what is working well (or not so well)</w:t>
            </w:r>
            <w:r w:rsidR="00127066">
              <w:t>,</w:t>
            </w:r>
            <w:r w:rsidRPr="00936615">
              <w:t xml:space="preserve"> </w:t>
            </w:r>
            <w:r w:rsidR="00456248">
              <w:t xml:space="preserve">and </w:t>
            </w:r>
            <w:r w:rsidRPr="00936615">
              <w:t>what could be improved</w:t>
            </w:r>
            <w:r w:rsidRPr="00936615" w:rsidDel="00FB599C">
              <w:t>.</w:t>
            </w:r>
          </w:p>
          <w:p w14:paraId="09BF887B" w14:textId="77777777" w:rsidR="00D24F4D" w:rsidRPr="00936615" w:rsidRDefault="00D24F4D" w:rsidP="00D24F4D">
            <w:pPr>
              <w:pStyle w:val="Box"/>
            </w:pPr>
            <w:r w:rsidRPr="00936615">
              <w:t>We have released this issues paper to assist you in preparing a submission to this study. It sets out some of the issues and questions the Commission has identified as relevant at this early stage of the study. You do not need to comment on every issue raised in this paper and you are free to raise any other issues or ideas that are relevant to the terms of reference.</w:t>
            </w:r>
          </w:p>
          <w:p w14:paraId="13E39A92" w14:textId="77777777" w:rsidR="00D24F4D" w:rsidRPr="00936615" w:rsidRDefault="00D24F4D" w:rsidP="00D24F4D">
            <w:pPr>
              <w:pStyle w:val="Box"/>
            </w:pPr>
            <w:r w:rsidRPr="00936615">
              <w:t xml:space="preserve">Where you identify problems with the system, you should provide some indication of the nature, size and scope of the problems, why change is needed and ways the system might be improved. Where possible, you should support your views with data and other evidence. </w:t>
            </w:r>
          </w:p>
          <w:p w14:paraId="1DAD9C3F" w14:textId="793E3FA2" w:rsidR="00D24F4D" w:rsidRPr="00936615" w:rsidRDefault="00D24F4D" w:rsidP="00D24F4D">
            <w:pPr>
              <w:pStyle w:val="Box"/>
            </w:pPr>
            <w:r w:rsidRPr="00936615">
              <w:t>Submissions are due by 29</w:t>
            </w:r>
            <w:r w:rsidR="00664900">
              <w:t> </w:t>
            </w:r>
            <w:r w:rsidRPr="00936615">
              <w:t>April 2019.</w:t>
            </w:r>
          </w:p>
          <w:p w14:paraId="0B82E05A" w14:textId="7A6ABA24" w:rsidR="00D24F4D" w:rsidRPr="00936615" w:rsidRDefault="00D24F4D" w:rsidP="00607D17">
            <w:pPr>
              <w:pStyle w:val="Box"/>
            </w:pPr>
            <w:r w:rsidRPr="00936615">
              <w:t>You can also make a brief comment through the Commission’s website. We will not treat comments as formal submissions, but may use them to inform our report. Attachment A provides further details on how you can make a submission or brief comment.</w:t>
            </w:r>
          </w:p>
        </w:tc>
      </w:tr>
      <w:tr w:rsidR="00D24F4D" w:rsidRPr="00936615" w14:paraId="5C9874D2" w14:textId="77777777" w:rsidTr="0079300A">
        <w:tc>
          <w:tcPr>
            <w:tcW w:w="5000" w:type="pct"/>
            <w:tcBorders>
              <w:top w:val="nil"/>
              <w:left w:val="nil"/>
              <w:bottom w:val="single" w:sz="6" w:space="0" w:color="78A22F"/>
              <w:right w:val="nil"/>
            </w:tcBorders>
            <w:shd w:val="clear" w:color="auto" w:fill="F2F2F2"/>
          </w:tcPr>
          <w:p w14:paraId="11F0C3E9" w14:textId="77777777" w:rsidR="00D24F4D" w:rsidRPr="00936615" w:rsidRDefault="00D24F4D">
            <w:pPr>
              <w:pStyle w:val="Box"/>
              <w:spacing w:before="0" w:line="120" w:lineRule="exact"/>
            </w:pPr>
          </w:p>
        </w:tc>
      </w:tr>
      <w:tr w:rsidR="00D24F4D" w:rsidRPr="00936615" w14:paraId="5C07BDA6" w14:textId="77777777" w:rsidTr="0079300A">
        <w:tc>
          <w:tcPr>
            <w:tcW w:w="5000" w:type="pct"/>
            <w:tcBorders>
              <w:top w:val="single" w:sz="6" w:space="0" w:color="78A22F"/>
              <w:left w:val="nil"/>
              <w:bottom w:val="nil"/>
              <w:right w:val="nil"/>
            </w:tcBorders>
          </w:tcPr>
          <w:p w14:paraId="5FC67873" w14:textId="6440888B" w:rsidR="00D24F4D" w:rsidRPr="00936615" w:rsidRDefault="00D24F4D" w:rsidP="0079300A">
            <w:pPr>
              <w:pStyle w:val="BoxSpaceBelow"/>
            </w:pPr>
          </w:p>
        </w:tc>
      </w:tr>
    </w:tbl>
    <w:p w14:paraId="0DC9E91B" w14:textId="1AC33A27" w:rsidR="00D648A8" w:rsidRPr="00A35963" w:rsidRDefault="00D648A8" w:rsidP="0061399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648A8" w:rsidRPr="00936615" w14:paraId="274DBF1E" w14:textId="77777777" w:rsidTr="004B25CC">
        <w:trPr>
          <w:tblHeader/>
        </w:trPr>
        <w:tc>
          <w:tcPr>
            <w:tcW w:w="5000" w:type="pct"/>
            <w:tcBorders>
              <w:top w:val="single" w:sz="6" w:space="0" w:color="78A22F"/>
              <w:left w:val="nil"/>
              <w:bottom w:val="nil"/>
              <w:right w:val="nil"/>
            </w:tcBorders>
            <w:shd w:val="clear" w:color="auto" w:fill="auto"/>
          </w:tcPr>
          <w:p w14:paraId="16005F1E" w14:textId="602ED99B" w:rsidR="00D648A8" w:rsidRPr="00936615" w:rsidRDefault="00D648A8" w:rsidP="004B25CC">
            <w:pPr>
              <w:pStyle w:val="FigureTitle"/>
            </w:pPr>
            <w:r w:rsidRPr="00936615">
              <w:rPr>
                <w:b w:val="0"/>
              </w:rPr>
              <w:t xml:space="preserve">Figure </w:t>
            </w:r>
            <w:r w:rsidR="00AF1567">
              <w:rPr>
                <w:b w:val="0"/>
                <w:noProof/>
              </w:rPr>
              <w:t>1</w:t>
            </w:r>
            <w:r w:rsidRPr="00936615">
              <w:tab/>
              <w:t>Study process</w:t>
            </w:r>
          </w:p>
        </w:tc>
      </w:tr>
      <w:tr w:rsidR="00D648A8" w:rsidRPr="00936615" w14:paraId="346F3FEA" w14:textId="77777777" w:rsidTr="004B25C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648A8" w:rsidRPr="00936615" w14:paraId="43219B09" w14:textId="77777777" w:rsidTr="004B25CC">
              <w:trPr>
                <w:tblHeader/>
                <w:jc w:val="center"/>
              </w:trPr>
              <w:tc>
                <w:tcPr>
                  <w:tcW w:w="5000" w:type="pct"/>
                  <w:tcBorders>
                    <w:top w:val="nil"/>
                    <w:bottom w:val="nil"/>
                  </w:tcBorders>
                </w:tcPr>
                <w:p w14:paraId="6CA9A4BB" w14:textId="01629BC7" w:rsidR="00D648A8" w:rsidRPr="00936615" w:rsidRDefault="00851D44" w:rsidP="004B25CC">
                  <w:pPr>
                    <w:pStyle w:val="Figure"/>
                    <w:spacing w:before="60" w:after="60"/>
                    <w:rPr>
                      <w:rFonts w:ascii="Arial" w:hAnsi="Arial" w:cs="Arial"/>
                      <w:sz w:val="18"/>
                      <w:szCs w:val="18"/>
                    </w:rPr>
                  </w:pPr>
                  <w:r w:rsidRPr="00851D44">
                    <w:rPr>
                      <w:rFonts w:ascii="Arial" w:hAnsi="Arial" w:cs="Arial"/>
                      <w:noProof/>
                      <w:sz w:val="18"/>
                      <w:szCs w:val="18"/>
                    </w:rPr>
                    <w:drawing>
                      <wp:inline distT="0" distB="0" distL="0" distR="0" wp14:anchorId="38B8FCAE" wp14:editId="0B9F829E">
                        <wp:extent cx="5367129" cy="629147"/>
                        <wp:effectExtent l="0" t="0" r="5080" b="0"/>
                        <wp:docPr id="4" name="Picture 4" descr="This figure shows is the study timeline with milestones and dates for this study. The expected release date for the draft report is in late August 2019. The expected release date for the final report is in February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85" t="11220" r="628"/>
                                <a:stretch/>
                              </pic:blipFill>
                              <pic:spPr bwMode="auto">
                                <a:xfrm>
                                  <a:off x="0" y="0"/>
                                  <a:ext cx="5367129" cy="62914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B4580E8" w14:textId="77777777" w:rsidR="00D648A8" w:rsidRPr="00936615" w:rsidRDefault="00D648A8" w:rsidP="004B25CC">
            <w:pPr>
              <w:pStyle w:val="Figure"/>
            </w:pPr>
          </w:p>
        </w:tc>
      </w:tr>
      <w:tr w:rsidR="00D648A8" w:rsidRPr="00936615" w14:paraId="648362A4" w14:textId="77777777" w:rsidTr="004B25CC">
        <w:tc>
          <w:tcPr>
            <w:tcW w:w="5000" w:type="pct"/>
            <w:tcBorders>
              <w:top w:val="nil"/>
              <w:left w:val="nil"/>
              <w:bottom w:val="single" w:sz="6" w:space="0" w:color="78A22F"/>
              <w:right w:val="nil"/>
            </w:tcBorders>
            <w:shd w:val="clear" w:color="auto" w:fill="auto"/>
          </w:tcPr>
          <w:p w14:paraId="2AF3C2C2" w14:textId="77777777" w:rsidR="00D648A8" w:rsidRPr="00936615" w:rsidRDefault="00D648A8" w:rsidP="00613996">
            <w:pPr>
              <w:pStyle w:val="Figurespace"/>
              <w:keepNext w:val="0"/>
            </w:pPr>
          </w:p>
        </w:tc>
      </w:tr>
    </w:tbl>
    <w:p w14:paraId="569FDA8F" w14:textId="335391F3" w:rsidR="00D96622" w:rsidRPr="00936615" w:rsidRDefault="00AF1567" w:rsidP="001B2A80">
      <w:pPr>
        <w:pStyle w:val="Heading2"/>
      </w:pPr>
      <w:bookmarkStart w:id="18" w:name="_Toc1739535"/>
      <w:bookmarkStart w:id="19" w:name="_Toc1742360"/>
      <w:bookmarkStart w:id="20" w:name="_Toc1742424"/>
      <w:bookmarkStart w:id="21" w:name="_Toc1744721"/>
      <w:bookmarkStart w:id="22" w:name="_Toc1744810"/>
      <w:bookmarkStart w:id="23" w:name="_Toc1746186"/>
      <w:bookmarkStart w:id="24" w:name="_Toc2093103"/>
      <w:bookmarkStart w:id="25" w:name="_Toc2152540"/>
      <w:bookmarkStart w:id="26" w:name="_Toc2773710"/>
      <w:bookmarkStart w:id="27" w:name="_Toc2774004"/>
      <w:bookmarkStart w:id="28" w:name="_Toc2855498"/>
      <w:r>
        <w:rPr>
          <w:noProof/>
        </w:rPr>
        <w:lastRenderedPageBreak/>
        <w:t>2</w:t>
      </w:r>
      <w:r w:rsidR="001B2A80" w:rsidRPr="00936615">
        <w:tab/>
      </w:r>
      <w:r w:rsidR="007F6284" w:rsidRPr="00936615">
        <w:t xml:space="preserve">Overview and evolution of </w:t>
      </w:r>
      <w:r w:rsidR="003B254E" w:rsidRPr="00936615">
        <w:t xml:space="preserve">current </w:t>
      </w:r>
      <w:r w:rsidR="007F6284" w:rsidRPr="00936615">
        <w:t>arrangements</w:t>
      </w:r>
      <w:bookmarkEnd w:id="18"/>
      <w:bookmarkEnd w:id="19"/>
      <w:bookmarkEnd w:id="20"/>
      <w:bookmarkEnd w:id="21"/>
      <w:bookmarkEnd w:id="22"/>
      <w:bookmarkEnd w:id="23"/>
      <w:bookmarkEnd w:id="24"/>
      <w:bookmarkEnd w:id="25"/>
      <w:bookmarkEnd w:id="26"/>
      <w:bookmarkEnd w:id="27"/>
      <w:bookmarkEnd w:id="28"/>
    </w:p>
    <w:p w14:paraId="7E61F684" w14:textId="08DDC9D8" w:rsidR="007F6284" w:rsidRPr="00936615" w:rsidRDefault="00450708" w:rsidP="0088316F">
      <w:pPr>
        <w:pStyle w:val="Heading3"/>
        <w:spacing w:before="240"/>
      </w:pPr>
      <w:r w:rsidRPr="00936615">
        <w:t>P</w:t>
      </w:r>
      <w:r w:rsidR="003B254E" w:rsidRPr="00936615">
        <w:t>ost</w:t>
      </w:r>
      <w:r w:rsidR="00664900">
        <w:noBreakHyphen/>
      </w:r>
      <w:r w:rsidR="003B254E" w:rsidRPr="00936615">
        <w:t xml:space="preserve">war </w:t>
      </w:r>
      <w:r w:rsidRPr="00936615">
        <w:t>origins of remote area support</w:t>
      </w:r>
    </w:p>
    <w:p w14:paraId="112E8BEE" w14:textId="01312E04" w:rsidR="0099490C" w:rsidRPr="00936615" w:rsidRDefault="001B2A80" w:rsidP="0088316F">
      <w:pPr>
        <w:pStyle w:val="BodyText"/>
        <w:spacing w:before="280"/>
      </w:pPr>
      <w:r w:rsidRPr="00936615">
        <w:t xml:space="preserve">In </w:t>
      </w:r>
      <w:r w:rsidR="00A0041C" w:rsidRPr="00936615">
        <w:t>1945,</w:t>
      </w:r>
      <w:r w:rsidRPr="00936615">
        <w:t xml:space="preserve"> the Australian Government introduced income tax deductions for inhabitants of remote areas. The main justification </w:t>
      </w:r>
      <w:r w:rsidR="00D5663C" w:rsidRPr="00936615">
        <w:t xml:space="preserve">was </w:t>
      </w:r>
      <w:r w:rsidRPr="00936615">
        <w:t>to compensate people for the relatively high living costs, isolation and uncongenial climate in remote Australia</w:t>
      </w:r>
      <w:r w:rsidR="00D419E5" w:rsidRPr="00936615">
        <w:t xml:space="preserve"> </w:t>
      </w:r>
      <w:r w:rsidR="00B17E49" w:rsidRPr="00B17E49">
        <w:rPr>
          <w:szCs w:val="24"/>
        </w:rPr>
        <w:t>(Chifley 1945)</w:t>
      </w:r>
      <w:r w:rsidRPr="00936615">
        <w:t>.</w:t>
      </w:r>
      <w:r w:rsidR="004D7A99" w:rsidRPr="00936615">
        <w:t xml:space="preserve"> The Government considered it in Australia’s economic and strategic interests to </w:t>
      </w:r>
      <w:r w:rsidR="00FE245E" w:rsidRPr="00936615">
        <w:t>encourag</w:t>
      </w:r>
      <w:r w:rsidR="004D7A99" w:rsidRPr="00936615">
        <w:t>e</w:t>
      </w:r>
      <w:r w:rsidR="00C15F96" w:rsidRPr="00936615">
        <w:t xml:space="preserve"> people to settle in remote</w:t>
      </w:r>
      <w:r w:rsidR="00FE245E" w:rsidRPr="00936615">
        <w:t xml:space="preserve"> area</w:t>
      </w:r>
      <w:r w:rsidR="00A0041C" w:rsidRPr="00936615">
        <w:t>s</w:t>
      </w:r>
      <w:r w:rsidR="00FE245E" w:rsidRPr="00936615">
        <w:t xml:space="preserve">. </w:t>
      </w:r>
      <w:r w:rsidRPr="00936615">
        <w:t>There were two large zones — the more northern Zone A, which attracted the highest tax deduction, and, below it, Zone B</w:t>
      </w:r>
      <w:r w:rsidR="00D5663C" w:rsidRPr="00936615">
        <w:t xml:space="preserve"> (f</w:t>
      </w:r>
      <w:r w:rsidR="004B4FC7" w:rsidRPr="00936615">
        <w:t>igure 2</w:t>
      </w:r>
      <w:r w:rsidR="00D5663C" w:rsidRPr="00936615">
        <w:t>)</w:t>
      </w:r>
      <w:r w:rsidRPr="00936615">
        <w:t>. Together they covered around three</w:t>
      </w:r>
      <w:r w:rsidR="00664900">
        <w:noBreakHyphen/>
      </w:r>
      <w:r w:rsidRPr="00936615">
        <w:t>quarte</w:t>
      </w:r>
      <w:r w:rsidR="00D419E5" w:rsidRPr="00936615">
        <w:t>rs of Australia’s landmass</w:t>
      </w:r>
      <w:r w:rsidRPr="00936615">
        <w:t xml:space="preserve">. </w:t>
      </w:r>
    </w:p>
    <w:p w14:paraId="21A8B324" w14:textId="7796DC34" w:rsidR="00AD3141" w:rsidRPr="000F2792" w:rsidRDefault="00AD3141" w:rsidP="00AD3141">
      <w:pPr>
        <w:pStyle w:val="BodyText"/>
        <w:spacing w:line="264" w:lineRule="auto"/>
        <w:rPr>
          <w:spacing w:val="-2"/>
        </w:rPr>
      </w:pPr>
      <w:r w:rsidRPr="000F2792">
        <w:rPr>
          <w:spacing w:val="-2"/>
        </w:rPr>
        <w:t>At the time, people in these areas faced some particular challenges: for example, most highways and tru</w:t>
      </w:r>
      <w:r w:rsidR="00D5663C" w:rsidRPr="000F2792">
        <w:rPr>
          <w:spacing w:val="-2"/>
        </w:rPr>
        <w:t>c</w:t>
      </w:r>
      <w:r w:rsidRPr="000F2792">
        <w:rPr>
          <w:spacing w:val="-2"/>
        </w:rPr>
        <w:t xml:space="preserve">k routes were </w:t>
      </w:r>
      <w:r w:rsidR="00FB599C" w:rsidRPr="000F2792">
        <w:rPr>
          <w:spacing w:val="-2"/>
        </w:rPr>
        <w:t>unsealed</w:t>
      </w:r>
      <w:r w:rsidRPr="000F2792">
        <w:rPr>
          <w:spacing w:val="-2"/>
        </w:rPr>
        <w:t>, planes were expensive</w:t>
      </w:r>
      <w:r w:rsidRPr="000F2792" w:rsidDel="0091502C">
        <w:rPr>
          <w:spacing w:val="-2"/>
        </w:rPr>
        <w:t xml:space="preserve"> and </w:t>
      </w:r>
      <w:r w:rsidR="0023793F" w:rsidRPr="000F2792">
        <w:rPr>
          <w:spacing w:val="-2"/>
        </w:rPr>
        <w:t xml:space="preserve">relatively </w:t>
      </w:r>
      <w:r w:rsidRPr="000F2792" w:rsidDel="0091502C">
        <w:rPr>
          <w:spacing w:val="-2"/>
        </w:rPr>
        <w:t>dangerous</w:t>
      </w:r>
      <w:r w:rsidRPr="000F2792">
        <w:rPr>
          <w:spacing w:val="-2"/>
        </w:rPr>
        <w:t xml:space="preserve">, people relied on </w:t>
      </w:r>
      <w:r w:rsidR="009E572B" w:rsidRPr="000F2792">
        <w:rPr>
          <w:spacing w:val="-2"/>
        </w:rPr>
        <w:t>the post</w:t>
      </w:r>
      <w:r w:rsidRPr="000F2792">
        <w:rPr>
          <w:spacing w:val="-2"/>
        </w:rPr>
        <w:t xml:space="preserve"> rather than email,</w:t>
      </w:r>
      <w:r w:rsidR="008E6736" w:rsidRPr="000F2792">
        <w:rPr>
          <w:spacing w:val="-2"/>
        </w:rPr>
        <w:t xml:space="preserve"> and</w:t>
      </w:r>
      <w:r w:rsidRPr="000F2792">
        <w:rPr>
          <w:spacing w:val="-2"/>
        </w:rPr>
        <w:t xml:space="preserve"> there was no or limited access to</w:t>
      </w:r>
      <w:r w:rsidR="00A35963" w:rsidRPr="000F2792">
        <w:rPr>
          <w:spacing w:val="-2"/>
        </w:rPr>
        <w:t xml:space="preserve"> government services </w:t>
      </w:r>
      <w:r w:rsidR="0091502C" w:rsidRPr="000F2792">
        <w:rPr>
          <w:spacing w:val="-2"/>
        </w:rPr>
        <w:t>or</w:t>
      </w:r>
      <w:r w:rsidRPr="000F2792">
        <w:rPr>
          <w:spacing w:val="-2"/>
        </w:rPr>
        <w:t xml:space="preserve"> modern comforts such as television and air conditioning. This heightened the costs and deprivations of geographical isolation and of living on parched earth or in the tropics. </w:t>
      </w:r>
    </w:p>
    <w:p w14:paraId="338527AF" w14:textId="612BD688" w:rsidR="00A921BD" w:rsidRDefault="00A35963" w:rsidP="004A0FD2">
      <w:pPr>
        <w:pStyle w:val="BodyText"/>
      </w:pPr>
      <w:r>
        <w:t>T</w:t>
      </w:r>
      <w:r w:rsidR="00AD3141" w:rsidRPr="00936615">
        <w:t xml:space="preserve">he remote tax deductions received widespread support and indeed were increased significantly in their early years. The Zone A deduction reached 120 pounds </w:t>
      </w:r>
      <w:r w:rsidR="00D5663C" w:rsidRPr="00936615">
        <w:t xml:space="preserve">($240) </w:t>
      </w:r>
      <w:r w:rsidR="00AD3141" w:rsidRPr="00936615">
        <w:t xml:space="preserve">annually (for individuals) in 1947, </w:t>
      </w:r>
      <w:r w:rsidR="00E13614" w:rsidRPr="00936615">
        <w:t xml:space="preserve">compared to average annual </w:t>
      </w:r>
      <w:r w:rsidR="009767D2">
        <w:t>wages of about 350 pounds ($700</w:t>
      </w:r>
      <w:r w:rsidR="00E13614" w:rsidRPr="00936615">
        <w:t>) that year</w:t>
      </w:r>
      <w:r w:rsidR="00BF2FEE">
        <w:t xml:space="preserve"> </w:t>
      </w:r>
      <w:r w:rsidR="00B17E49" w:rsidRPr="00B17E49">
        <w:rPr>
          <w:szCs w:val="24"/>
        </w:rPr>
        <w:t>(ABS 1992; Cox et al. 1981)</w:t>
      </w:r>
      <w:r w:rsidR="00AD3141" w:rsidRPr="00936615">
        <w:t>.</w:t>
      </w:r>
      <w:r w:rsidR="008E6736">
        <w:t xml:space="preserve"> This </w:t>
      </w:r>
      <w:r w:rsidR="00AD66A8">
        <w:t>reduced the taxable income of recipients by about a fifth of average annual earnings in 1950</w:t>
      </w:r>
      <w:r w:rsidR="00AD66A8">
        <w:rPr>
          <w:rStyle w:val="FootnoteReference"/>
        </w:rPr>
        <w:footnoteReference w:id="2"/>
      </w:r>
      <w:r w:rsidR="00AD66A8">
        <w:t xml:space="preserve">, thereby reducing tax </w:t>
      </w:r>
      <w:r w:rsidR="00A921BD">
        <w:t xml:space="preserve">paid </w:t>
      </w:r>
      <w:r w:rsidR="00AD66A8">
        <w:t>by about 3.4 per cent of after</w:t>
      </w:r>
      <w:r w:rsidR="00DA06CD">
        <w:noBreakHyphen/>
      </w:r>
      <w:r w:rsidR="00AD66A8">
        <w:t>tax income for someone on an average salary</w:t>
      </w:r>
      <w:r w:rsidR="008A1D1A">
        <w:t xml:space="preserve"> </w:t>
      </w:r>
      <w:r w:rsidR="00B17E49" w:rsidRPr="00B17E49">
        <w:rPr>
          <w:szCs w:val="24"/>
        </w:rPr>
        <w:t>(ABS 1992; ATO 2018b)</w:t>
      </w:r>
      <w:r w:rsidR="00AD66A8">
        <w:t>.</w:t>
      </w:r>
      <w:r w:rsidR="008E6736">
        <w:t xml:space="preserve"> </w:t>
      </w:r>
    </w:p>
    <w:p w14:paraId="3F8130CA" w14:textId="1F80D896" w:rsidR="00101473" w:rsidRPr="00936615" w:rsidRDefault="00450708" w:rsidP="00FE1895">
      <w:pPr>
        <w:pStyle w:val="Heading3"/>
        <w:rPr>
          <w:b w:val="0"/>
        </w:rPr>
      </w:pPr>
      <w:r w:rsidRPr="00936615">
        <w:t>S</w:t>
      </w:r>
      <w:r w:rsidR="00FE1895" w:rsidRPr="00936615">
        <w:t>ubsequent additions and amendments</w:t>
      </w:r>
    </w:p>
    <w:p w14:paraId="2BC056BE" w14:textId="7CFF84CA" w:rsidR="00C40940" w:rsidRPr="00936615" w:rsidRDefault="00C40940" w:rsidP="00C40940">
      <w:pPr>
        <w:pStyle w:val="BodyText"/>
      </w:pPr>
      <w:r w:rsidRPr="00936615">
        <w:t>Governments added to the arrangements over the following decades. Notable changes were:</w:t>
      </w:r>
    </w:p>
    <w:p w14:paraId="0CCC7CB6" w14:textId="33A69678" w:rsidR="00C40940" w:rsidRPr="00936615" w:rsidRDefault="00C40940" w:rsidP="00C40940">
      <w:pPr>
        <w:pStyle w:val="ListBullet"/>
      </w:pPr>
      <w:r w:rsidRPr="00936615">
        <w:t xml:space="preserve">in 1958, </w:t>
      </w:r>
      <w:r w:rsidR="005D4B1C" w:rsidRPr="00936615">
        <w:t xml:space="preserve">inclusion of a </w:t>
      </w:r>
      <w:r w:rsidRPr="00936615">
        <w:t>loading for taxpayers with dependent children</w:t>
      </w:r>
    </w:p>
    <w:p w14:paraId="1BD902C0" w14:textId="127401A2" w:rsidR="00C40940" w:rsidRPr="00936615" w:rsidRDefault="00C40940" w:rsidP="00C40940">
      <w:pPr>
        <w:pStyle w:val="ListBullet"/>
      </w:pPr>
      <w:r w:rsidRPr="00936615">
        <w:t>in 1975, conversion of the (pre</w:t>
      </w:r>
      <w:r w:rsidR="00664900">
        <w:noBreakHyphen/>
      </w:r>
      <w:r w:rsidRPr="00936615">
        <w:t>tax) deductions into (post</w:t>
      </w:r>
      <w:r w:rsidR="00664900">
        <w:noBreakHyphen/>
      </w:r>
      <w:r w:rsidRPr="00936615">
        <w:t>tax) rebates — the ZTO</w:t>
      </w:r>
    </w:p>
    <w:p w14:paraId="6F4B2ECD" w14:textId="09B5200B" w:rsidR="00C40940" w:rsidRPr="00936615" w:rsidRDefault="00C40940" w:rsidP="00C40940">
      <w:pPr>
        <w:pStyle w:val="ListBullet"/>
      </w:pPr>
      <w:r w:rsidRPr="00936615">
        <w:t xml:space="preserve">in 1982, creation of ‘special </w:t>
      </w:r>
      <w:r w:rsidR="00A35963">
        <w:t xml:space="preserve">areas’ </w:t>
      </w:r>
      <w:r w:rsidRPr="00936615">
        <w:t>with higher rebates for especially remote areas (in essence, places more than 250 kilometres from a town of more than 2500 people, as measured in the 1981 census)</w:t>
      </w:r>
    </w:p>
    <w:p w14:paraId="324F7160" w14:textId="6E965BF6" w:rsidR="00C40940" w:rsidRPr="00936615" w:rsidRDefault="00C40940" w:rsidP="00C40940">
      <w:pPr>
        <w:pStyle w:val="ListBullet"/>
      </w:pPr>
      <w:r w:rsidRPr="00936615">
        <w:t xml:space="preserve">in 1984, introduction of the </w:t>
      </w:r>
      <w:r w:rsidR="00A83633">
        <w:rPr>
          <w:b/>
        </w:rPr>
        <w:t>R</w:t>
      </w:r>
      <w:r w:rsidRPr="00936615">
        <w:rPr>
          <w:b/>
        </w:rPr>
        <w:t xml:space="preserve">emote </w:t>
      </w:r>
      <w:r w:rsidR="00A83633">
        <w:rPr>
          <w:b/>
        </w:rPr>
        <w:t>A</w:t>
      </w:r>
      <w:r w:rsidRPr="00936615">
        <w:rPr>
          <w:b/>
        </w:rPr>
        <w:t xml:space="preserve">rea </w:t>
      </w:r>
      <w:r w:rsidR="00A83633">
        <w:rPr>
          <w:b/>
        </w:rPr>
        <w:t>A</w:t>
      </w:r>
      <w:r w:rsidRPr="00936615">
        <w:rPr>
          <w:b/>
        </w:rPr>
        <w:t xml:space="preserve">llowance </w:t>
      </w:r>
      <w:r w:rsidRPr="00936615">
        <w:t xml:space="preserve">(RAA), which was an equivalent payment for welfare recipients to extend the benefits of the </w:t>
      </w:r>
      <w:r w:rsidR="006A473D">
        <w:t xml:space="preserve">ZTO </w:t>
      </w:r>
      <w:r w:rsidRPr="00936615">
        <w:t>to non</w:t>
      </w:r>
      <w:r w:rsidR="00664900">
        <w:noBreakHyphen/>
      </w:r>
      <w:r w:rsidRPr="00936615" w:rsidDel="003033BE">
        <w:t>taxpayers residing in remote Australia</w:t>
      </w:r>
    </w:p>
    <w:p w14:paraId="43B59B80" w14:textId="60546831" w:rsidR="007374B7" w:rsidRPr="00613996" w:rsidRDefault="00C40940" w:rsidP="00FE1895">
      <w:pPr>
        <w:pStyle w:val="ListBullet"/>
        <w:rPr>
          <w:spacing w:val="-2"/>
        </w:rPr>
      </w:pPr>
      <w:r w:rsidRPr="00613996">
        <w:rPr>
          <w:spacing w:val="-2"/>
        </w:rPr>
        <w:t>in 1986, introduction of remote area concessions t</w:t>
      </w:r>
      <w:r w:rsidR="00CB5311" w:rsidRPr="00613996">
        <w:rPr>
          <w:spacing w:val="-2"/>
        </w:rPr>
        <w:t xml:space="preserve">o lessen the impact of the then </w:t>
      </w:r>
      <w:r w:rsidRPr="00613996">
        <w:rPr>
          <w:spacing w:val="-2"/>
        </w:rPr>
        <w:t xml:space="preserve">new FBT on </w:t>
      </w:r>
      <w:r w:rsidR="008E6736" w:rsidRPr="00613996">
        <w:rPr>
          <w:spacing w:val="-2"/>
        </w:rPr>
        <w:t xml:space="preserve">business </w:t>
      </w:r>
      <w:r w:rsidRPr="00613996">
        <w:rPr>
          <w:spacing w:val="-2"/>
        </w:rPr>
        <w:t>operations in remote locations</w:t>
      </w:r>
      <w:r w:rsidR="00FE1895" w:rsidRPr="00613996">
        <w:rPr>
          <w:spacing w:val="-2"/>
        </w:rPr>
        <w:t xml:space="preserve"> (hereafter, </w:t>
      </w:r>
      <w:r w:rsidR="00FE1895" w:rsidRPr="00613996">
        <w:rPr>
          <w:b/>
          <w:spacing w:val="-2"/>
        </w:rPr>
        <w:t xml:space="preserve">FBT </w:t>
      </w:r>
      <w:r w:rsidR="001D1FCD" w:rsidRPr="00613996">
        <w:rPr>
          <w:b/>
          <w:spacing w:val="-2"/>
        </w:rPr>
        <w:t>remote area concession</w:t>
      </w:r>
      <w:r w:rsidR="009602AB" w:rsidRPr="00613996">
        <w:rPr>
          <w:b/>
          <w:spacing w:val="-2"/>
        </w:rPr>
        <w:t>s</w:t>
      </w:r>
      <w:r w:rsidR="00FE1895" w:rsidRPr="00613996">
        <w:rPr>
          <w:spacing w:val="-2"/>
        </w:rPr>
        <w:t>)</w:t>
      </w:r>
    </w:p>
    <w:p w14:paraId="235FE432" w14:textId="653ED809" w:rsidR="00C40940" w:rsidRPr="00936615" w:rsidRDefault="00207EF2" w:rsidP="00BF191F">
      <w:pPr>
        <w:pStyle w:val="ListBullet"/>
      </w:pPr>
      <w:r w:rsidRPr="00936615">
        <w:lastRenderedPageBreak/>
        <w:t xml:space="preserve">in 2000, </w:t>
      </w:r>
      <w:r w:rsidR="00BB3D30">
        <w:t xml:space="preserve">expansion of </w:t>
      </w:r>
      <w:r w:rsidRPr="00936615">
        <w:t xml:space="preserve">the FBT remote area </w:t>
      </w:r>
      <w:r w:rsidR="00BF191F" w:rsidRPr="00BF191F">
        <w:t xml:space="preserve">housing exemption </w:t>
      </w:r>
      <w:r w:rsidR="00BB3D30">
        <w:t xml:space="preserve">to cover </w:t>
      </w:r>
      <w:r w:rsidRPr="00936615">
        <w:t>all employers in remote areas (instead of just primary producers)</w:t>
      </w:r>
      <w:r w:rsidR="006F019B" w:rsidRPr="00936615">
        <w:t>.</w:t>
      </w:r>
    </w:p>
    <w:p w14:paraId="5E47E6EB" w14:textId="46949ED4" w:rsidR="001B2A80" w:rsidRPr="00936615" w:rsidRDefault="001B2A80" w:rsidP="004F7141">
      <w:pPr>
        <w:pStyle w:val="BoxSpaceAbove"/>
      </w:pPr>
    </w:p>
    <w:tbl>
      <w:tblPr>
        <w:tblW w:w="5075"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990"/>
      </w:tblGrid>
      <w:tr w:rsidR="001B2A80" w:rsidRPr="00936615" w14:paraId="65E12FA9" w14:textId="77777777" w:rsidTr="00AD1782">
        <w:trPr>
          <w:trHeight w:val="563"/>
          <w:tblHeader/>
        </w:trPr>
        <w:tc>
          <w:tcPr>
            <w:tcW w:w="5000" w:type="pct"/>
            <w:tcBorders>
              <w:top w:val="single" w:sz="6" w:space="0" w:color="78A22F"/>
              <w:left w:val="nil"/>
              <w:bottom w:val="nil"/>
              <w:right w:val="nil"/>
            </w:tcBorders>
            <w:shd w:val="clear" w:color="auto" w:fill="auto"/>
          </w:tcPr>
          <w:p w14:paraId="57E77786" w14:textId="56469D89" w:rsidR="001B2A80" w:rsidRPr="00936615" w:rsidRDefault="008E6736" w:rsidP="00101473">
            <w:pPr>
              <w:pStyle w:val="FigureTitle"/>
            </w:pPr>
            <w:r w:rsidRPr="00936615">
              <w:rPr>
                <w:b w:val="0"/>
              </w:rPr>
              <w:t xml:space="preserve">Figure </w:t>
            </w:r>
            <w:r w:rsidR="00AF1567">
              <w:rPr>
                <w:b w:val="0"/>
                <w:noProof/>
              </w:rPr>
              <w:t>2</w:t>
            </w:r>
            <w:r w:rsidR="0006750B" w:rsidRPr="00936615">
              <w:tab/>
            </w:r>
            <w:r w:rsidR="00DC1E86" w:rsidRPr="00936615">
              <w:t>Tax offset zones</w:t>
            </w:r>
            <w:r w:rsidR="00D07DAF" w:rsidRPr="000F2792">
              <w:rPr>
                <w:rStyle w:val="NoteLabel"/>
                <w:b/>
              </w:rPr>
              <w:t>a,b</w:t>
            </w:r>
          </w:p>
        </w:tc>
      </w:tr>
      <w:tr w:rsidR="001B2A80" w:rsidRPr="00936615" w14:paraId="6F80B3AF" w14:textId="77777777" w:rsidTr="00AD1782">
        <w:trPr>
          <w:trHeight w:val="7537"/>
        </w:trPr>
        <w:tc>
          <w:tcPr>
            <w:tcW w:w="5000" w:type="pct"/>
            <w:tcBorders>
              <w:top w:val="nil"/>
              <w:left w:val="nil"/>
              <w:bottom w:val="nil"/>
              <w:right w:val="nil"/>
            </w:tcBorders>
            <w:shd w:val="clear" w:color="auto" w:fill="auto"/>
            <w:tcMar>
              <w:top w:w="28" w:type="dxa"/>
              <w:bottom w:w="28" w:type="dxa"/>
            </w:tcMar>
          </w:tcPr>
          <w:tbl>
            <w:tblPr>
              <w:tblW w:w="8706"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706"/>
            </w:tblGrid>
            <w:tr w:rsidR="001B2A80" w:rsidRPr="00936615" w14:paraId="750E4255" w14:textId="77777777" w:rsidTr="00AD1782">
              <w:trPr>
                <w:trHeight w:val="7492"/>
                <w:tblHeader/>
                <w:jc w:val="center"/>
              </w:trPr>
              <w:tc>
                <w:tcPr>
                  <w:tcW w:w="5000" w:type="pct"/>
                  <w:tcBorders>
                    <w:top w:val="nil"/>
                    <w:bottom w:val="nil"/>
                  </w:tcBorders>
                </w:tcPr>
                <w:p w14:paraId="0AEE5A63" w14:textId="52C79615" w:rsidR="001B2A80" w:rsidRPr="00936615" w:rsidRDefault="00F95838" w:rsidP="004F7141">
                  <w:pPr>
                    <w:pStyle w:val="Figure"/>
                    <w:spacing w:before="60" w:after="60"/>
                    <w:rPr>
                      <w:rFonts w:ascii="Arial" w:hAnsi="Arial" w:cs="Arial"/>
                      <w:sz w:val="18"/>
                      <w:szCs w:val="18"/>
                    </w:rPr>
                  </w:pPr>
                  <w:r w:rsidRPr="00F95838">
                    <w:rPr>
                      <w:rFonts w:ascii="Arial" w:hAnsi="Arial" w:cs="Arial"/>
                      <w:noProof/>
                      <w:sz w:val="18"/>
                      <w:szCs w:val="18"/>
                    </w:rPr>
                    <w:drawing>
                      <wp:inline distT="0" distB="0" distL="0" distR="0" wp14:anchorId="03C47979" wp14:editId="440B3D40">
                        <wp:extent cx="5394960" cy="4739640"/>
                        <wp:effectExtent l="0" t="0" r="0" b="3810"/>
                        <wp:docPr id="3" name="Picture 3" descr="This map depicts Australia segmented by the geographic areas of Zone A and B and special areas within those zones. Zone A consists of the northern half of Western Australia, all of the Northern Territory and much of northern and western Queensland. Zone B consists of central Queensland, north west NSW, most of South Australia (north of Port Augusta), most of southern Western Australia (except for the south west corner) and west Tasmania. Special areas are, in essence, places more than 250 kilometres from a town of more than 2500 people, as measured in the 1981 census.&#10;The four biggest cities in the zones (Darwin, Cairns, Townsville and Mackay) together contribute about two thirds of all zone tax offset recipient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4960" cy="4739640"/>
                                </a:xfrm>
                                <a:prstGeom prst="rect">
                                  <a:avLst/>
                                </a:prstGeom>
                                <a:noFill/>
                                <a:ln>
                                  <a:noFill/>
                                </a:ln>
                              </pic:spPr>
                            </pic:pic>
                          </a:graphicData>
                        </a:graphic>
                      </wp:inline>
                    </w:drawing>
                  </w:r>
                </w:p>
              </w:tc>
            </w:tr>
          </w:tbl>
          <w:p w14:paraId="3F13A3D3" w14:textId="77777777" w:rsidR="001B2A80" w:rsidRPr="00936615" w:rsidRDefault="001B2A80" w:rsidP="004F7141">
            <w:pPr>
              <w:pStyle w:val="Figure"/>
            </w:pPr>
          </w:p>
        </w:tc>
      </w:tr>
      <w:tr w:rsidR="001B2A80" w:rsidRPr="00936615" w14:paraId="67D786D4" w14:textId="77777777" w:rsidTr="00AD1782">
        <w:trPr>
          <w:trHeight w:val="352"/>
        </w:trPr>
        <w:tc>
          <w:tcPr>
            <w:tcW w:w="5000" w:type="pct"/>
            <w:tcBorders>
              <w:top w:val="nil"/>
              <w:left w:val="nil"/>
              <w:bottom w:val="nil"/>
              <w:right w:val="nil"/>
            </w:tcBorders>
            <w:shd w:val="clear" w:color="auto" w:fill="auto"/>
          </w:tcPr>
          <w:p w14:paraId="377A3F34" w14:textId="4F88C583" w:rsidR="001B2A80" w:rsidRPr="00936615" w:rsidRDefault="00D07DAF" w:rsidP="004F7141">
            <w:pPr>
              <w:pStyle w:val="Note"/>
            </w:pPr>
            <w:r w:rsidRPr="00936615">
              <w:t xml:space="preserve">Note: </w:t>
            </w:r>
            <w:r w:rsidRPr="00936615">
              <w:rPr>
                <w:rStyle w:val="NoteLabel"/>
              </w:rPr>
              <w:t>a </w:t>
            </w:r>
            <w:r w:rsidRPr="00936615">
              <w:t xml:space="preserve">Zone A also includes Macquarie Island, Norfolk Island, the Territory of Heard Island and McDonald Islands, the Australian Antarctic Territory, the Territory of Cocos (Keeling) Islands, The Territory of Christmas Island and Lord Howe Island. </w:t>
            </w:r>
            <w:r w:rsidR="00D85096">
              <w:t xml:space="preserve">Special areas are approximate only. </w:t>
            </w:r>
            <w:r w:rsidRPr="00936615">
              <w:rPr>
                <w:rStyle w:val="NoteLabel"/>
              </w:rPr>
              <w:t>b </w:t>
            </w:r>
            <w:r w:rsidR="00F51CC1">
              <w:t>D</w:t>
            </w:r>
            <w:r w:rsidRPr="00936615">
              <w:t xml:space="preserve">ata in this figure are from </w:t>
            </w:r>
            <w:r w:rsidR="00F51CC1">
              <w:t>unpublished</w:t>
            </w:r>
            <w:r w:rsidRPr="00936615">
              <w:t xml:space="preserve"> 201</w:t>
            </w:r>
            <w:r w:rsidR="00BE7434">
              <w:t>6</w:t>
            </w:r>
            <w:r w:rsidRPr="00936615">
              <w:noBreakHyphen/>
              <w:t>1</w:t>
            </w:r>
            <w:r w:rsidR="00BE7434">
              <w:t>7</w:t>
            </w:r>
            <w:r w:rsidRPr="00936615">
              <w:t xml:space="preserve"> </w:t>
            </w:r>
            <w:r w:rsidR="00E03467">
              <w:t>ATO data</w:t>
            </w:r>
            <w:r w:rsidRPr="00936615">
              <w:t xml:space="preserve"> </w:t>
            </w:r>
            <w:r w:rsidR="00A615AD">
              <w:t xml:space="preserve">and include </w:t>
            </w:r>
            <w:r w:rsidR="002C028A">
              <w:t xml:space="preserve">claimants of </w:t>
            </w:r>
            <w:r w:rsidR="00A615AD">
              <w:t>the overseas forces offset</w:t>
            </w:r>
            <w:r w:rsidR="00E03467">
              <w:t>.</w:t>
            </w:r>
          </w:p>
        </w:tc>
      </w:tr>
      <w:tr w:rsidR="001B2A80" w:rsidRPr="00936615" w14:paraId="2C3C42F0" w14:textId="77777777" w:rsidTr="00AD1782">
        <w:trPr>
          <w:trHeight w:val="140"/>
        </w:trPr>
        <w:tc>
          <w:tcPr>
            <w:tcW w:w="5000" w:type="pct"/>
            <w:tcBorders>
              <w:top w:val="nil"/>
              <w:left w:val="nil"/>
              <w:bottom w:val="single" w:sz="6" w:space="0" w:color="78A22F"/>
              <w:right w:val="nil"/>
            </w:tcBorders>
            <w:shd w:val="clear" w:color="auto" w:fill="auto"/>
          </w:tcPr>
          <w:p w14:paraId="3AFA37D2" w14:textId="77777777" w:rsidR="001B2A80" w:rsidRPr="00936615" w:rsidRDefault="001B2A80" w:rsidP="004F7141">
            <w:pPr>
              <w:pStyle w:val="Figurespace"/>
            </w:pPr>
          </w:p>
        </w:tc>
      </w:tr>
      <w:tr w:rsidR="001B2A80" w:rsidRPr="00936615" w14:paraId="315537A8" w14:textId="77777777" w:rsidTr="00AD1782">
        <w:trPr>
          <w:trHeight w:val="239"/>
        </w:trPr>
        <w:tc>
          <w:tcPr>
            <w:tcW w:w="5000" w:type="pct"/>
            <w:tcBorders>
              <w:top w:val="single" w:sz="6" w:space="0" w:color="78A22F"/>
              <w:left w:val="nil"/>
              <w:bottom w:val="nil"/>
              <w:right w:val="nil"/>
            </w:tcBorders>
          </w:tcPr>
          <w:p w14:paraId="1EE0CE40" w14:textId="4E9E10FE" w:rsidR="001B2A80" w:rsidRPr="00936615" w:rsidRDefault="001B2A80" w:rsidP="004F7141">
            <w:pPr>
              <w:pStyle w:val="BoxSpaceBelow"/>
            </w:pPr>
          </w:p>
        </w:tc>
      </w:tr>
    </w:tbl>
    <w:p w14:paraId="395FC1B7" w14:textId="1A314551" w:rsidR="00955ED0" w:rsidRDefault="001B2A80" w:rsidP="001D7E8F">
      <w:pPr>
        <w:pStyle w:val="BodyText"/>
      </w:pPr>
      <w:r w:rsidRPr="00936615">
        <w:t>Thus, by</w:t>
      </w:r>
      <w:r w:rsidR="00DA7A49" w:rsidRPr="00936615">
        <w:t xml:space="preserve"> 2000</w:t>
      </w:r>
      <w:r w:rsidRPr="00936615">
        <w:t>, the three sets of arrangements under reference were in pl</w:t>
      </w:r>
      <w:r w:rsidR="001D1FCD" w:rsidRPr="00936615">
        <w:t xml:space="preserve">ace, largely as they are today. </w:t>
      </w:r>
      <w:r w:rsidR="00587597">
        <w:t>Table</w:t>
      </w:r>
      <w:r w:rsidR="00DA06CD">
        <w:t> </w:t>
      </w:r>
      <w:r w:rsidR="00587597">
        <w:t>1</w:t>
      </w:r>
      <w:r w:rsidRPr="00936615">
        <w:t xml:space="preserve"> provides more details on them. </w:t>
      </w:r>
      <w:r w:rsidR="00C73B64" w:rsidRPr="00936615">
        <w:t>Notably</w:t>
      </w:r>
      <w:r w:rsidR="001D1FCD" w:rsidRPr="00936615">
        <w:t xml:space="preserve">, the </w:t>
      </w:r>
      <w:r w:rsidR="00D41DF6" w:rsidRPr="00936615">
        <w:t xml:space="preserve">FBT </w:t>
      </w:r>
      <w:r w:rsidR="00A839B9" w:rsidRPr="00936615">
        <w:t xml:space="preserve">remote area concession has a different </w:t>
      </w:r>
      <w:r w:rsidR="00A35963">
        <w:t xml:space="preserve">geographic </w:t>
      </w:r>
      <w:r w:rsidR="00A839B9" w:rsidRPr="00936615">
        <w:t xml:space="preserve">coverage to the ZTO — </w:t>
      </w:r>
      <w:r w:rsidR="00AF74CB">
        <w:t>including</w:t>
      </w:r>
      <w:r w:rsidR="00A839B9" w:rsidRPr="00936615">
        <w:t xml:space="preserve"> areas </w:t>
      </w:r>
      <w:r w:rsidR="00D41DF6" w:rsidRPr="00936615">
        <w:t xml:space="preserve">outside </w:t>
      </w:r>
      <w:r w:rsidR="00A839B9" w:rsidRPr="00936615">
        <w:t xml:space="preserve">of </w:t>
      </w:r>
      <w:r w:rsidR="00D41DF6" w:rsidRPr="00936615">
        <w:t>zone</w:t>
      </w:r>
      <w:r w:rsidR="005E0B3B" w:rsidRPr="00936615">
        <w:t>s</w:t>
      </w:r>
      <w:r w:rsidR="00D41DF6" w:rsidRPr="00936615">
        <w:t xml:space="preserve"> </w:t>
      </w:r>
      <w:r w:rsidR="00B8514F" w:rsidRPr="00936615">
        <w:t>A and B away from larger</w:t>
      </w:r>
      <w:r w:rsidR="00D41DF6" w:rsidRPr="00936615">
        <w:t xml:space="preserve"> towns</w:t>
      </w:r>
      <w:r w:rsidR="00AF74CB">
        <w:t>,</w:t>
      </w:r>
      <w:r w:rsidR="00D41DF6" w:rsidRPr="00936615">
        <w:t xml:space="preserve"> and </w:t>
      </w:r>
      <w:r w:rsidR="00AF74CB">
        <w:t>excluding areas</w:t>
      </w:r>
      <w:r w:rsidR="00960A48" w:rsidRPr="00936615" w:rsidDel="00F17BE0">
        <w:t xml:space="preserve"> around</w:t>
      </w:r>
      <w:r w:rsidR="00A839B9" w:rsidRPr="00936615">
        <w:t xml:space="preserve"> </w:t>
      </w:r>
      <w:r w:rsidR="005E0B3B" w:rsidRPr="00936615">
        <w:t xml:space="preserve">large </w:t>
      </w:r>
      <w:r w:rsidR="009C46A5" w:rsidRPr="00936615">
        <w:t>ZTO</w:t>
      </w:r>
      <w:r w:rsidR="00664900">
        <w:noBreakHyphen/>
      </w:r>
      <w:r w:rsidR="00D41DF6" w:rsidRPr="00936615">
        <w:t>recipient centres such as Darwin and Townsville</w:t>
      </w:r>
      <w:r w:rsidR="00101473" w:rsidRPr="00936615">
        <w:t>.</w:t>
      </w:r>
      <w:r w:rsidR="00C73B64" w:rsidRPr="00936615">
        <w:t xml:space="preserve"> </w:t>
      </w:r>
    </w:p>
    <w:p w14:paraId="74920C60" w14:textId="20FEC248" w:rsidR="00386592" w:rsidRDefault="00386592" w:rsidP="0038659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86592" w14:paraId="6698351B" w14:textId="77777777" w:rsidTr="00386592">
        <w:trPr>
          <w:tblHeader/>
        </w:trPr>
        <w:tc>
          <w:tcPr>
            <w:tcW w:w="5000" w:type="pct"/>
            <w:tcBorders>
              <w:top w:val="single" w:sz="6" w:space="0" w:color="78A22F"/>
              <w:left w:val="nil"/>
              <w:bottom w:val="nil"/>
              <w:right w:val="nil"/>
            </w:tcBorders>
            <w:shd w:val="clear" w:color="auto" w:fill="auto"/>
          </w:tcPr>
          <w:p w14:paraId="52E2EC83" w14:textId="50A90F47" w:rsidR="00386592" w:rsidRPr="00784A05" w:rsidRDefault="00386592" w:rsidP="00386592">
            <w:pPr>
              <w:pStyle w:val="TableTitle"/>
            </w:pPr>
            <w:r>
              <w:rPr>
                <w:b w:val="0"/>
              </w:rPr>
              <w:t xml:space="preserve">Table </w:t>
            </w:r>
            <w:r>
              <w:rPr>
                <w:b w:val="0"/>
                <w:noProof/>
              </w:rPr>
              <w:t>1</w:t>
            </w:r>
            <w:r>
              <w:tab/>
              <w:t>Key features of remote area tax concessions and payments</w:t>
            </w:r>
            <w:r w:rsidRPr="000F2792">
              <w:rPr>
                <w:rStyle w:val="NoteLabel"/>
                <w:b/>
              </w:rPr>
              <w:t>a</w:t>
            </w:r>
            <w:r w:rsidR="00D047AA" w:rsidRPr="000F2792">
              <w:rPr>
                <w:rStyle w:val="NoteLabel"/>
                <w:b/>
              </w:rPr>
              <w:t>,b</w:t>
            </w:r>
          </w:p>
        </w:tc>
      </w:tr>
      <w:tr w:rsidR="00386592" w14:paraId="4F655277" w14:textId="77777777" w:rsidTr="00386592">
        <w:tc>
          <w:tcPr>
            <w:tcW w:w="5000" w:type="pct"/>
            <w:tcBorders>
              <w:top w:val="nil"/>
              <w:left w:val="nil"/>
              <w:bottom w:val="nil"/>
              <w:right w:val="nil"/>
            </w:tcBorders>
            <w:shd w:val="clear" w:color="auto" w:fill="auto"/>
          </w:tcPr>
          <w:tbl>
            <w:tblPr>
              <w:tblW w:w="8647" w:type="dxa"/>
              <w:tblCellMar>
                <w:top w:w="57" w:type="dxa"/>
                <w:left w:w="57" w:type="dxa"/>
                <w:bottom w:w="57" w:type="dxa"/>
                <w:right w:w="57" w:type="dxa"/>
              </w:tblCellMar>
              <w:tblLook w:val="0000" w:firstRow="0" w:lastRow="0" w:firstColumn="0" w:lastColumn="0" w:noHBand="0" w:noVBand="0"/>
            </w:tblPr>
            <w:tblGrid>
              <w:gridCol w:w="1814"/>
              <w:gridCol w:w="2231"/>
              <w:gridCol w:w="2370"/>
              <w:gridCol w:w="2232"/>
            </w:tblGrid>
            <w:tr w:rsidR="00386592" w14:paraId="514C1637" w14:textId="77777777" w:rsidTr="00386592">
              <w:trPr>
                <w:tblHeader/>
              </w:trPr>
              <w:tc>
                <w:tcPr>
                  <w:tcW w:w="986" w:type="pct"/>
                  <w:shd w:val="clear" w:color="auto" w:fill="auto"/>
                  <w:tcMar>
                    <w:top w:w="28" w:type="dxa"/>
                  </w:tcMar>
                </w:tcPr>
                <w:p w14:paraId="4AA2D7B3" w14:textId="77777777" w:rsidR="00386592" w:rsidRDefault="00386592" w:rsidP="00386592">
                  <w:pPr>
                    <w:pStyle w:val="TableColumnHeading"/>
                    <w:jc w:val="left"/>
                  </w:pPr>
                </w:p>
              </w:tc>
              <w:tc>
                <w:tcPr>
                  <w:tcW w:w="1311" w:type="pct"/>
                  <w:tcBorders>
                    <w:top w:val="single" w:sz="6" w:space="0" w:color="BFBFBF"/>
                    <w:bottom w:val="single" w:sz="4" w:space="0" w:color="FFFFFF" w:themeColor="background1"/>
                    <w:right w:val="single" w:sz="8" w:space="0" w:color="FFFFFF" w:themeColor="background1"/>
                  </w:tcBorders>
                  <w:shd w:val="clear" w:color="auto" w:fill="78A22F" w:themeFill="accent1"/>
                  <w:tcMar>
                    <w:top w:w="28" w:type="dxa"/>
                  </w:tcMar>
                </w:tcPr>
                <w:p w14:paraId="6439D4E7" w14:textId="77777777" w:rsidR="00386592" w:rsidRPr="007335F4" w:rsidRDefault="00386592" w:rsidP="00386592">
                  <w:pPr>
                    <w:pStyle w:val="TableColumnHeading"/>
                    <w:jc w:val="center"/>
                    <w:rPr>
                      <w:b/>
                      <w:i w:val="0"/>
                      <w:color w:val="FFFFFF" w:themeColor="background1"/>
                    </w:rPr>
                  </w:pPr>
                  <w:r w:rsidRPr="007335F4">
                    <w:rPr>
                      <w:b/>
                      <w:i w:val="0"/>
                      <w:color w:val="FFFFFF" w:themeColor="background1"/>
                    </w:rPr>
                    <w:t xml:space="preserve">Zone Tax Offset </w:t>
                  </w:r>
                  <w:r>
                    <w:rPr>
                      <w:b/>
                      <w:i w:val="0"/>
                      <w:color w:val="FFFFFF" w:themeColor="background1"/>
                    </w:rPr>
                    <w:br/>
                  </w:r>
                  <w:r w:rsidRPr="007335F4">
                    <w:rPr>
                      <w:b/>
                      <w:i w:val="0"/>
                      <w:color w:val="FFFFFF" w:themeColor="background1"/>
                    </w:rPr>
                    <w:t>(ZTO)</w:t>
                  </w:r>
                </w:p>
              </w:tc>
              <w:tc>
                <w:tcPr>
                  <w:tcW w:w="1391" w:type="pct"/>
                  <w:tcBorders>
                    <w:top w:val="single" w:sz="6" w:space="0" w:color="BFBFBF"/>
                    <w:left w:val="single" w:sz="8" w:space="0" w:color="FFFFFF" w:themeColor="background1"/>
                    <w:bottom w:val="single" w:sz="4" w:space="0" w:color="FFFFFF" w:themeColor="background1"/>
                    <w:right w:val="single" w:sz="8" w:space="0" w:color="FFFFFF" w:themeColor="background1"/>
                  </w:tcBorders>
                  <w:shd w:val="clear" w:color="auto" w:fill="2D9AC2" w:themeFill="text2" w:themeFillShade="BF"/>
                </w:tcPr>
                <w:p w14:paraId="19A98AD2" w14:textId="77777777" w:rsidR="00386592" w:rsidRPr="007335F4" w:rsidRDefault="00386592" w:rsidP="00386592">
                  <w:pPr>
                    <w:pStyle w:val="TableColumnHeading"/>
                    <w:ind w:right="28"/>
                    <w:jc w:val="center"/>
                    <w:rPr>
                      <w:b/>
                      <w:i w:val="0"/>
                      <w:color w:val="FFFFFF" w:themeColor="background1"/>
                    </w:rPr>
                  </w:pPr>
                  <w:r w:rsidRPr="007335F4">
                    <w:rPr>
                      <w:b/>
                      <w:i w:val="0"/>
                      <w:color w:val="FFFFFF" w:themeColor="background1"/>
                    </w:rPr>
                    <w:t>FBT remote area concessions</w:t>
                  </w:r>
                </w:p>
              </w:tc>
              <w:tc>
                <w:tcPr>
                  <w:tcW w:w="1311" w:type="pct"/>
                  <w:tcBorders>
                    <w:top w:val="single" w:sz="6" w:space="0" w:color="BFBFBF"/>
                    <w:left w:val="single" w:sz="8" w:space="0" w:color="FFFFFF" w:themeColor="background1"/>
                    <w:bottom w:val="single" w:sz="4" w:space="0" w:color="FFFFFF" w:themeColor="background1"/>
                  </w:tcBorders>
                  <w:shd w:val="clear" w:color="auto" w:fill="8956A3" w:themeFill="accent6"/>
                  <w:tcMar>
                    <w:top w:w="28" w:type="dxa"/>
                  </w:tcMar>
                </w:tcPr>
                <w:p w14:paraId="183F5928" w14:textId="77777777" w:rsidR="00386592" w:rsidRPr="007335F4" w:rsidRDefault="00386592" w:rsidP="00386592">
                  <w:pPr>
                    <w:pStyle w:val="TableColumnHeading"/>
                    <w:ind w:right="28"/>
                    <w:jc w:val="center"/>
                    <w:rPr>
                      <w:b/>
                      <w:i w:val="0"/>
                    </w:rPr>
                  </w:pPr>
                  <w:r w:rsidRPr="007335F4">
                    <w:rPr>
                      <w:b/>
                      <w:i w:val="0"/>
                      <w:color w:val="FFFFFF" w:themeColor="background1"/>
                    </w:rPr>
                    <w:t xml:space="preserve">Remote Area </w:t>
                  </w:r>
                  <w:r>
                    <w:rPr>
                      <w:b/>
                      <w:i w:val="0"/>
                      <w:color w:val="FFFFFF" w:themeColor="background1"/>
                    </w:rPr>
                    <w:br/>
                  </w:r>
                  <w:r w:rsidRPr="007335F4">
                    <w:rPr>
                      <w:b/>
                      <w:i w:val="0"/>
                      <w:color w:val="FFFFFF" w:themeColor="background1"/>
                    </w:rPr>
                    <w:t>Allowance (RAA)</w:t>
                  </w:r>
                </w:p>
              </w:tc>
            </w:tr>
            <w:tr w:rsidR="00386592" w14:paraId="24570EDE" w14:textId="77777777" w:rsidTr="00386592">
              <w:tc>
                <w:tcPr>
                  <w:tcW w:w="986" w:type="pct"/>
                  <w:shd w:val="clear" w:color="auto" w:fill="F2F2F2" w:themeFill="background1" w:themeFillShade="F2"/>
                </w:tcPr>
                <w:p w14:paraId="6EFD2F25" w14:textId="77777777" w:rsidR="00386592" w:rsidRPr="00F906BC" w:rsidRDefault="00386592" w:rsidP="00386592">
                  <w:pPr>
                    <w:pStyle w:val="TableUnitsRow"/>
                    <w:rPr>
                      <w:b/>
                    </w:rPr>
                  </w:pPr>
                  <w:r w:rsidRPr="00F906BC">
                    <w:rPr>
                      <w:b/>
                    </w:rPr>
                    <w:t>Recipients</w:t>
                  </w:r>
                </w:p>
              </w:tc>
              <w:tc>
                <w:tcPr>
                  <w:tcW w:w="1311" w:type="pct"/>
                  <w:tcBorders>
                    <w:top w:val="single" w:sz="4" w:space="0" w:color="FFFFFF" w:themeColor="background1"/>
                    <w:bottom w:val="single" w:sz="4" w:space="0" w:color="FFFFFF" w:themeColor="background1"/>
                    <w:right w:val="single" w:sz="8" w:space="0" w:color="FFFFFF" w:themeColor="background1"/>
                  </w:tcBorders>
                  <w:shd w:val="clear" w:color="auto" w:fill="CBE3A1" w:themeFill="accent1" w:themeFillTint="66"/>
                </w:tcPr>
                <w:p w14:paraId="02067F41" w14:textId="77777777" w:rsidR="00386592" w:rsidRPr="007335F4" w:rsidRDefault="00386592" w:rsidP="00386592">
                  <w:pPr>
                    <w:pStyle w:val="TableUnitsRow"/>
                    <w:jc w:val="center"/>
                    <w:rPr>
                      <w:b/>
                    </w:rPr>
                  </w:pPr>
                  <w:r w:rsidRPr="007335F4">
                    <w:rPr>
                      <w:b/>
                    </w:rPr>
                    <w:t>Income taxpayers (employees)</w:t>
                  </w:r>
                </w:p>
              </w:tc>
              <w:tc>
                <w:tcPr>
                  <w:tcW w:w="1391" w:type="pct"/>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C1E4F0" w:themeFill="text2" w:themeFillTint="66"/>
                </w:tcPr>
                <w:p w14:paraId="4E4C87CD" w14:textId="77777777" w:rsidR="00386592" w:rsidRPr="007335F4" w:rsidRDefault="00386592" w:rsidP="00386592">
                  <w:pPr>
                    <w:pStyle w:val="TableUnitsRow"/>
                    <w:ind w:right="28"/>
                    <w:jc w:val="center"/>
                    <w:rPr>
                      <w:b/>
                    </w:rPr>
                  </w:pPr>
                  <w:r w:rsidRPr="007335F4">
                    <w:rPr>
                      <w:b/>
                    </w:rPr>
                    <w:t>Employers</w:t>
                  </w:r>
                </w:p>
              </w:tc>
              <w:tc>
                <w:tcPr>
                  <w:tcW w:w="1311" w:type="pct"/>
                  <w:tcBorders>
                    <w:top w:val="single" w:sz="4" w:space="0" w:color="FFFFFF" w:themeColor="background1"/>
                    <w:left w:val="single" w:sz="8" w:space="0" w:color="FFFFFF" w:themeColor="background1"/>
                    <w:bottom w:val="single" w:sz="4" w:space="0" w:color="FFFFFF" w:themeColor="background1"/>
                  </w:tcBorders>
                  <w:shd w:val="clear" w:color="auto" w:fill="CFBADB" w:themeFill="accent6" w:themeFillTint="66"/>
                </w:tcPr>
                <w:p w14:paraId="69029D3D" w14:textId="77777777" w:rsidR="00386592" w:rsidRPr="007335F4" w:rsidRDefault="00386592" w:rsidP="00386592">
                  <w:pPr>
                    <w:pStyle w:val="TableUnitsRow"/>
                    <w:ind w:right="28"/>
                    <w:jc w:val="center"/>
                    <w:rPr>
                      <w:b/>
                    </w:rPr>
                  </w:pPr>
                  <w:r w:rsidRPr="007335F4">
                    <w:rPr>
                      <w:b/>
                    </w:rPr>
                    <w:t>Income support recipients</w:t>
                  </w:r>
                </w:p>
              </w:tc>
            </w:tr>
            <w:tr w:rsidR="00386592" w14:paraId="5F02E12E" w14:textId="77777777" w:rsidTr="00386592">
              <w:tc>
                <w:tcPr>
                  <w:tcW w:w="986" w:type="pct"/>
                </w:tcPr>
                <w:p w14:paraId="3AE22F18" w14:textId="77777777" w:rsidR="00386592" w:rsidRDefault="00386592" w:rsidP="00386592">
                  <w:pPr>
                    <w:pStyle w:val="TableBodyText"/>
                  </w:pPr>
                  <w:r>
                    <w:t>Original objectives</w:t>
                  </w:r>
                </w:p>
              </w:tc>
              <w:tc>
                <w:tcPr>
                  <w:tcW w:w="1311" w:type="pct"/>
                  <w:tcBorders>
                    <w:top w:val="single" w:sz="4" w:space="0" w:color="FFFFFF" w:themeColor="background1"/>
                    <w:bottom w:val="single" w:sz="4" w:space="0" w:color="FFFFFF" w:themeColor="background1"/>
                    <w:right w:val="single" w:sz="8" w:space="0" w:color="FFFFFF" w:themeColor="background1"/>
                  </w:tcBorders>
                  <w:shd w:val="clear" w:color="auto" w:fill="E5F1D0" w:themeFill="accent1" w:themeFillTint="33"/>
                </w:tcPr>
                <w:p w14:paraId="12357A66" w14:textId="77777777" w:rsidR="00386592" w:rsidRPr="0004238F" w:rsidRDefault="00386592" w:rsidP="0004238F">
                  <w:pPr>
                    <w:pStyle w:val="TableBodyText"/>
                    <w:ind w:right="19"/>
                    <w:jc w:val="left"/>
                    <w:rPr>
                      <w:spacing w:val="-2"/>
                    </w:rPr>
                  </w:pPr>
                  <w:r w:rsidRPr="0004238F">
                    <w:rPr>
                      <w:spacing w:val="-2"/>
                    </w:rPr>
                    <w:t>Compensating employees in remote areas for the disadvantages of uncongenial climate, isolation and high cost of living.</w:t>
                  </w:r>
                </w:p>
              </w:tc>
              <w:tc>
                <w:tcPr>
                  <w:tcW w:w="1391" w:type="pct"/>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E0F1F7" w:themeFill="text2" w:themeFillTint="33"/>
                </w:tcPr>
                <w:p w14:paraId="28A543E4" w14:textId="77777777" w:rsidR="00386592" w:rsidRDefault="00386592" w:rsidP="00386592">
                  <w:pPr>
                    <w:pStyle w:val="TableBodyText"/>
                    <w:ind w:right="28"/>
                    <w:jc w:val="left"/>
                  </w:pPr>
                  <w:r>
                    <w:t>Lessening the impact of the (then new) FBT on business operations in remote locations</w:t>
                  </w:r>
                </w:p>
              </w:tc>
              <w:tc>
                <w:tcPr>
                  <w:tcW w:w="1311" w:type="pct"/>
                  <w:tcBorders>
                    <w:top w:val="single" w:sz="4" w:space="0" w:color="FFFFFF" w:themeColor="background1"/>
                    <w:left w:val="single" w:sz="8" w:space="0" w:color="FFFFFF" w:themeColor="background1"/>
                    <w:bottom w:val="single" w:sz="4" w:space="0" w:color="FFFFFF" w:themeColor="background1"/>
                  </w:tcBorders>
                  <w:shd w:val="clear" w:color="auto" w:fill="E7DCED" w:themeFill="accent6" w:themeFillTint="33"/>
                </w:tcPr>
                <w:p w14:paraId="672A5B71" w14:textId="77777777" w:rsidR="00386592" w:rsidRDefault="00386592" w:rsidP="00386592">
                  <w:pPr>
                    <w:pStyle w:val="TableBodyText"/>
                    <w:ind w:right="28"/>
                    <w:jc w:val="left"/>
                  </w:pPr>
                  <w:r>
                    <w:t>Equity with recipients of the zone tax offset</w:t>
                  </w:r>
                </w:p>
              </w:tc>
            </w:tr>
            <w:tr w:rsidR="00386592" w14:paraId="1C09AB7C" w14:textId="77777777" w:rsidTr="00386592">
              <w:tc>
                <w:tcPr>
                  <w:tcW w:w="986" w:type="pct"/>
                </w:tcPr>
                <w:p w14:paraId="0C858778" w14:textId="77777777" w:rsidR="00386592" w:rsidRDefault="00386592" w:rsidP="00386592">
                  <w:pPr>
                    <w:pStyle w:val="TableBodyText"/>
                  </w:pPr>
                  <w:r>
                    <w:t>Area</w:t>
                  </w:r>
                </w:p>
              </w:tc>
              <w:tc>
                <w:tcPr>
                  <w:tcW w:w="1311" w:type="pct"/>
                  <w:tcBorders>
                    <w:top w:val="single" w:sz="4" w:space="0" w:color="FFFFFF" w:themeColor="background1"/>
                    <w:bottom w:val="single" w:sz="4" w:space="0" w:color="FFFFFF" w:themeColor="background1"/>
                    <w:right w:val="single" w:sz="8" w:space="0" w:color="FFFFFF" w:themeColor="background1"/>
                  </w:tcBorders>
                  <w:shd w:val="clear" w:color="auto" w:fill="E5F1D0" w:themeFill="accent1" w:themeFillTint="33"/>
                </w:tcPr>
                <w:p w14:paraId="79AAAD54" w14:textId="77777777" w:rsidR="00386592" w:rsidRDefault="00386592" w:rsidP="00386592">
                  <w:pPr>
                    <w:pStyle w:val="TableBodyText"/>
                    <w:jc w:val="left"/>
                  </w:pPr>
                  <w:r>
                    <w:t>Zone A, Zone B and special areas</w:t>
                  </w:r>
                </w:p>
              </w:tc>
              <w:tc>
                <w:tcPr>
                  <w:tcW w:w="1391" w:type="pct"/>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E0F1F7" w:themeFill="text2" w:themeFillTint="33"/>
                </w:tcPr>
                <w:p w14:paraId="23C86C33" w14:textId="77777777" w:rsidR="00386592" w:rsidRDefault="00386592" w:rsidP="00386592">
                  <w:pPr>
                    <w:pStyle w:val="TableBodyText"/>
                    <w:ind w:right="28"/>
                    <w:jc w:val="left"/>
                  </w:pPr>
                  <w:r>
                    <w:t>Covers the ZTO areas (with exclusions in major towns) and regional areas outside the zones sufficiently distant from large urban centres</w:t>
                  </w:r>
                </w:p>
              </w:tc>
              <w:tc>
                <w:tcPr>
                  <w:tcW w:w="1311" w:type="pct"/>
                  <w:tcBorders>
                    <w:top w:val="single" w:sz="4" w:space="0" w:color="FFFFFF" w:themeColor="background1"/>
                    <w:left w:val="single" w:sz="8" w:space="0" w:color="FFFFFF" w:themeColor="background1"/>
                    <w:bottom w:val="single" w:sz="4" w:space="0" w:color="FFFFFF" w:themeColor="background1"/>
                  </w:tcBorders>
                  <w:shd w:val="clear" w:color="auto" w:fill="E7DCED" w:themeFill="accent6" w:themeFillTint="33"/>
                </w:tcPr>
                <w:p w14:paraId="5AEB9D98" w14:textId="77777777" w:rsidR="00386592" w:rsidRDefault="00386592" w:rsidP="00386592">
                  <w:pPr>
                    <w:pStyle w:val="TableBodyText"/>
                    <w:ind w:right="28"/>
                    <w:jc w:val="left"/>
                  </w:pPr>
                  <w:r>
                    <w:t>Zone A and special areas</w:t>
                  </w:r>
                </w:p>
              </w:tc>
            </w:tr>
            <w:tr w:rsidR="00386592" w14:paraId="732D6028" w14:textId="77777777" w:rsidTr="00386592">
              <w:tc>
                <w:tcPr>
                  <w:tcW w:w="986" w:type="pct"/>
                </w:tcPr>
                <w:p w14:paraId="3A0470AA" w14:textId="77777777" w:rsidR="00386592" w:rsidRDefault="00386592" w:rsidP="00386592">
                  <w:pPr>
                    <w:pStyle w:val="TableBodyText"/>
                  </w:pPr>
                  <w:r>
                    <w:t>Rates</w:t>
                  </w:r>
                </w:p>
              </w:tc>
              <w:tc>
                <w:tcPr>
                  <w:tcW w:w="1311" w:type="pct"/>
                  <w:tcBorders>
                    <w:top w:val="single" w:sz="4" w:space="0" w:color="FFFFFF" w:themeColor="background1"/>
                    <w:bottom w:val="single" w:sz="4" w:space="0" w:color="FFFFFF" w:themeColor="background1"/>
                    <w:right w:val="single" w:sz="8" w:space="0" w:color="FFFFFF" w:themeColor="background1"/>
                  </w:tcBorders>
                  <w:shd w:val="clear" w:color="auto" w:fill="E5F1D0" w:themeFill="accent1" w:themeFillTint="33"/>
                </w:tcPr>
                <w:p w14:paraId="57630193" w14:textId="77777777" w:rsidR="00386592" w:rsidRPr="00386592" w:rsidRDefault="00386592" w:rsidP="00386592">
                  <w:pPr>
                    <w:pStyle w:val="TableBodyText"/>
                    <w:jc w:val="left"/>
                  </w:pPr>
                  <w:r w:rsidRPr="00386592">
                    <w:t>Special areas:</w:t>
                  </w:r>
                </w:p>
                <w:p w14:paraId="0C4039C0" w14:textId="77777777" w:rsidR="00386592" w:rsidRDefault="00386592" w:rsidP="00386592">
                  <w:pPr>
                    <w:pStyle w:val="TableBodyText"/>
                    <w:jc w:val="left"/>
                  </w:pPr>
                  <w:r>
                    <w:t>$1173 + 50% of dependent rebate (max. $188 per child) a year</w:t>
                  </w:r>
                </w:p>
                <w:p w14:paraId="334616A5" w14:textId="63D76E90" w:rsidR="00386592" w:rsidRDefault="00386592" w:rsidP="000F2792">
                  <w:pPr>
                    <w:pStyle w:val="TableBodyText"/>
                    <w:spacing w:before="120"/>
                    <w:jc w:val="left"/>
                  </w:pPr>
                  <w:r w:rsidRPr="00386592">
                    <w:t>Zone A:</w:t>
                  </w:r>
                  <w:r w:rsidR="000F2792">
                    <w:br/>
                  </w:r>
                  <w:r>
                    <w:t>$338 + 50% of dependent rebate (max. $188 per child) a year</w:t>
                  </w:r>
                </w:p>
                <w:p w14:paraId="76047308" w14:textId="5CB9DAA2" w:rsidR="00386592" w:rsidRDefault="00386592" w:rsidP="000F2792">
                  <w:pPr>
                    <w:pStyle w:val="TableBodyText"/>
                    <w:spacing w:before="120"/>
                    <w:jc w:val="left"/>
                  </w:pPr>
                  <w:r w:rsidRPr="00386592">
                    <w:t>Zone B:</w:t>
                  </w:r>
                  <w:r w:rsidR="000F2792">
                    <w:br/>
                  </w:r>
                  <w:r>
                    <w:t>$57 + 20% of dependent rebate (max. $75.20 per child) a year</w:t>
                  </w:r>
                </w:p>
              </w:tc>
              <w:tc>
                <w:tcPr>
                  <w:tcW w:w="1391" w:type="pct"/>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E0F1F7" w:themeFill="text2" w:themeFillTint="33"/>
                </w:tcPr>
                <w:p w14:paraId="46C13D7E" w14:textId="0777394E" w:rsidR="00386592" w:rsidRDefault="00386592" w:rsidP="0004238F">
                  <w:pPr>
                    <w:pStyle w:val="TableBodyText"/>
                    <w:ind w:right="28"/>
                    <w:jc w:val="left"/>
                  </w:pPr>
                  <w:r>
                    <w:t>Various exemptions or concessions may apply</w:t>
                  </w:r>
                </w:p>
                <w:p w14:paraId="666B89FD" w14:textId="7DE4BD38" w:rsidR="00386592" w:rsidRDefault="00386592" w:rsidP="0004238F">
                  <w:pPr>
                    <w:pStyle w:val="TableBodyText"/>
                    <w:spacing w:before="120"/>
                    <w:ind w:right="28"/>
                    <w:jc w:val="left"/>
                  </w:pPr>
                  <w:r>
                    <w:t>Some benefits, such as employer-provided housing and fly</w:t>
                  </w:r>
                  <w:r w:rsidR="00DA06CD">
                    <w:noBreakHyphen/>
                  </w:r>
                  <w:r>
                    <w:t>in fly</w:t>
                  </w:r>
                  <w:r w:rsidR="00DA06CD">
                    <w:noBreakHyphen/>
                  </w:r>
                  <w:r>
                    <w:t>out travel, are exempt from FBT</w:t>
                  </w:r>
                </w:p>
                <w:p w14:paraId="4699A4EC" w14:textId="77777777" w:rsidR="00386592" w:rsidRDefault="00386592" w:rsidP="0004238F">
                  <w:pPr>
                    <w:pStyle w:val="TableBodyText"/>
                    <w:spacing w:before="120"/>
                    <w:ind w:right="28"/>
                    <w:jc w:val="left"/>
                  </w:pPr>
                  <w:r>
                    <w:t>For other benefits, such as housing subsidies, residential fuel and holiday travel, the taxable value may be cut by 50%</w:t>
                  </w:r>
                </w:p>
              </w:tc>
              <w:tc>
                <w:tcPr>
                  <w:tcW w:w="1311" w:type="pct"/>
                  <w:tcBorders>
                    <w:top w:val="single" w:sz="4" w:space="0" w:color="FFFFFF" w:themeColor="background1"/>
                    <w:left w:val="single" w:sz="8" w:space="0" w:color="FFFFFF" w:themeColor="background1"/>
                    <w:bottom w:val="single" w:sz="4" w:space="0" w:color="FFFFFF" w:themeColor="background1"/>
                  </w:tcBorders>
                  <w:shd w:val="clear" w:color="auto" w:fill="E7DCED" w:themeFill="accent6" w:themeFillTint="33"/>
                </w:tcPr>
                <w:p w14:paraId="5D023283" w14:textId="777DE165" w:rsidR="00386592" w:rsidRDefault="00386592" w:rsidP="0004238F">
                  <w:pPr>
                    <w:pStyle w:val="TableBodyText"/>
                    <w:spacing w:before="120"/>
                    <w:ind w:right="28"/>
                    <w:jc w:val="left"/>
                  </w:pPr>
                  <w:r>
                    <w:t>For a single person:</w:t>
                  </w:r>
                  <w:r w:rsidR="0004238F">
                    <w:br/>
                  </w:r>
                  <w:r>
                    <w:t>$18.20 per fortnight</w:t>
                  </w:r>
                  <w:r>
                    <w:br/>
                    <w:t>($47</w:t>
                  </w:r>
                  <w:r w:rsidR="00514B32">
                    <w:t>3</w:t>
                  </w:r>
                  <w:r>
                    <w:t xml:space="preserve"> as an annual rate)</w:t>
                  </w:r>
                </w:p>
                <w:p w14:paraId="029ED395" w14:textId="51144684" w:rsidR="00386592" w:rsidRDefault="00386592" w:rsidP="0004238F">
                  <w:pPr>
                    <w:pStyle w:val="TableBodyText"/>
                    <w:spacing w:before="120"/>
                    <w:ind w:right="28"/>
                    <w:jc w:val="left"/>
                  </w:pPr>
                  <w:r>
                    <w:t>For each member of a couple:</w:t>
                  </w:r>
                  <w:r w:rsidR="0004238F">
                    <w:br/>
                  </w:r>
                  <w:r>
                    <w:t>$15.60 per fortnight</w:t>
                  </w:r>
                  <w:r>
                    <w:br/>
                    <w:t>($40</w:t>
                  </w:r>
                  <w:r w:rsidR="00514B32">
                    <w:t>6</w:t>
                  </w:r>
                  <w:r>
                    <w:t xml:space="preserve"> as an annual rate)</w:t>
                  </w:r>
                </w:p>
                <w:p w14:paraId="64C1A03E" w14:textId="77777777" w:rsidR="00386592" w:rsidRDefault="00386592" w:rsidP="0004238F">
                  <w:pPr>
                    <w:pStyle w:val="TableBodyText"/>
                    <w:spacing w:before="120"/>
                    <w:ind w:right="28"/>
                    <w:jc w:val="left"/>
                  </w:pPr>
                  <w:r>
                    <w:t>Add $7.30 per fortnight</w:t>
                  </w:r>
                  <w:r>
                    <w:br/>
                    <w:t>($190 as an annual rate)</w:t>
                  </w:r>
                  <w:r>
                    <w:br/>
                    <w:t>per dependent child</w:t>
                  </w:r>
                </w:p>
              </w:tc>
            </w:tr>
            <w:tr w:rsidR="00386592" w14:paraId="402DD1AB" w14:textId="77777777" w:rsidTr="00386592">
              <w:tc>
                <w:tcPr>
                  <w:tcW w:w="986" w:type="pct"/>
                  <w:shd w:val="clear" w:color="auto" w:fill="F2F2F2" w:themeFill="background1" w:themeFillShade="F2"/>
                </w:tcPr>
                <w:p w14:paraId="2ECEE57A" w14:textId="09BEC5CA" w:rsidR="00386592" w:rsidRDefault="00386592" w:rsidP="00386592">
                  <w:pPr>
                    <w:pStyle w:val="TableBodyText"/>
                  </w:pPr>
                  <w:r>
                    <w:t>No. of recipients</w:t>
                  </w:r>
                  <w:r w:rsidR="00EA50A8">
                    <w:t>/claimants</w:t>
                  </w:r>
                </w:p>
              </w:tc>
              <w:tc>
                <w:tcPr>
                  <w:tcW w:w="1311" w:type="pct"/>
                  <w:tcBorders>
                    <w:top w:val="single" w:sz="4" w:space="0" w:color="FFFFFF" w:themeColor="background1"/>
                    <w:bottom w:val="single" w:sz="4" w:space="0" w:color="FFFFFF" w:themeColor="background1"/>
                    <w:right w:val="single" w:sz="8" w:space="0" w:color="FFFFFF" w:themeColor="background1"/>
                  </w:tcBorders>
                  <w:shd w:val="clear" w:color="auto" w:fill="CBE3A1" w:themeFill="accent1" w:themeFillTint="66"/>
                </w:tcPr>
                <w:p w14:paraId="52465867" w14:textId="5103F7E1" w:rsidR="00386592" w:rsidRDefault="00386592" w:rsidP="00386592">
                  <w:pPr>
                    <w:pStyle w:val="TableBodyText"/>
                    <w:jc w:val="left"/>
                  </w:pPr>
                  <w:r>
                    <w:t>Approx. 487 000</w:t>
                  </w:r>
                  <w:r w:rsidR="00EA50A8">
                    <w:t xml:space="preserve"> claimants</w:t>
                  </w:r>
                  <w:r>
                    <w:br/>
                    <w:t>(2016</w:t>
                  </w:r>
                  <w:r w:rsidR="00DA06CD">
                    <w:noBreakHyphen/>
                  </w:r>
                  <w:r>
                    <w:t>17)</w:t>
                  </w:r>
                </w:p>
              </w:tc>
              <w:tc>
                <w:tcPr>
                  <w:tcW w:w="1391" w:type="pct"/>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C1E4F0" w:themeFill="text2" w:themeFillTint="66"/>
                </w:tcPr>
                <w:p w14:paraId="6FBA5483" w14:textId="77777777" w:rsidR="00386592" w:rsidRDefault="00386592" w:rsidP="00386592">
                  <w:pPr>
                    <w:pStyle w:val="TableBodyText"/>
                    <w:ind w:right="28"/>
                    <w:jc w:val="left"/>
                  </w:pPr>
                  <w:r>
                    <w:t>Not available</w:t>
                  </w:r>
                </w:p>
              </w:tc>
              <w:tc>
                <w:tcPr>
                  <w:tcW w:w="1311" w:type="pct"/>
                  <w:tcBorders>
                    <w:top w:val="single" w:sz="4" w:space="0" w:color="FFFFFF" w:themeColor="background1"/>
                    <w:left w:val="single" w:sz="8" w:space="0" w:color="FFFFFF" w:themeColor="background1"/>
                    <w:bottom w:val="single" w:sz="4" w:space="0" w:color="FFFFFF" w:themeColor="background1"/>
                  </w:tcBorders>
                  <w:shd w:val="clear" w:color="auto" w:fill="CFBADB" w:themeFill="accent6" w:themeFillTint="66"/>
                </w:tcPr>
                <w:p w14:paraId="5A491169" w14:textId="335C9C0B" w:rsidR="00386592" w:rsidRDefault="00386592" w:rsidP="00386592">
                  <w:pPr>
                    <w:pStyle w:val="TableBodyText"/>
                    <w:ind w:right="28"/>
                    <w:jc w:val="left"/>
                  </w:pPr>
                  <w:r w:rsidRPr="007335F4">
                    <w:t>Approx. 105 000</w:t>
                  </w:r>
                  <w:r w:rsidR="00EA50A8">
                    <w:t xml:space="preserve"> recipients</w:t>
                  </w:r>
                  <w:r>
                    <w:br/>
                    <w:t>(2017</w:t>
                  </w:r>
                  <w:r w:rsidR="00DA06CD">
                    <w:noBreakHyphen/>
                  </w:r>
                  <w:r>
                    <w:t>18)</w:t>
                  </w:r>
                </w:p>
              </w:tc>
            </w:tr>
            <w:tr w:rsidR="00386592" w14:paraId="547DC1F7" w14:textId="77777777" w:rsidTr="00386592">
              <w:tc>
                <w:tcPr>
                  <w:tcW w:w="986" w:type="pct"/>
                  <w:tcBorders>
                    <w:bottom w:val="single" w:sz="6" w:space="0" w:color="BFBFBF"/>
                  </w:tcBorders>
                  <w:shd w:val="clear" w:color="auto" w:fill="D9D9D9" w:themeFill="background1" w:themeFillShade="D9"/>
                </w:tcPr>
                <w:p w14:paraId="38D175DF" w14:textId="77777777" w:rsidR="00386592" w:rsidRPr="00386592" w:rsidRDefault="00386592" w:rsidP="00386592">
                  <w:pPr>
                    <w:pStyle w:val="TableBodyText"/>
                  </w:pPr>
                  <w:r w:rsidRPr="00386592">
                    <w:t>Cost</w:t>
                  </w:r>
                </w:p>
              </w:tc>
              <w:tc>
                <w:tcPr>
                  <w:tcW w:w="1311" w:type="pct"/>
                  <w:tcBorders>
                    <w:top w:val="single" w:sz="4" w:space="0" w:color="FFFFFF" w:themeColor="background1"/>
                    <w:bottom w:val="single" w:sz="6" w:space="0" w:color="BFBFBF"/>
                    <w:right w:val="single" w:sz="8" w:space="0" w:color="FFFFFF" w:themeColor="background1"/>
                  </w:tcBorders>
                  <w:shd w:val="clear" w:color="auto" w:fill="CBE3A1" w:themeFill="accent1" w:themeFillTint="66"/>
                </w:tcPr>
                <w:p w14:paraId="56A3C34D" w14:textId="16E4BA2E" w:rsidR="00386592" w:rsidRDefault="00386592" w:rsidP="00386592">
                  <w:pPr>
                    <w:pStyle w:val="TableBodyText"/>
                    <w:jc w:val="left"/>
                  </w:pPr>
                  <w:r w:rsidRPr="00386592">
                    <w:t>$156m</w:t>
                  </w:r>
                  <w:r>
                    <w:br/>
                    <w:t>(2016</w:t>
                  </w:r>
                  <w:r w:rsidR="00DA06CD">
                    <w:noBreakHyphen/>
                  </w:r>
                  <w:r>
                    <w:t>17)</w:t>
                  </w:r>
                </w:p>
              </w:tc>
              <w:tc>
                <w:tcPr>
                  <w:tcW w:w="1391" w:type="pct"/>
                  <w:tcBorders>
                    <w:top w:val="single" w:sz="4" w:space="0" w:color="FFFFFF" w:themeColor="background1"/>
                    <w:left w:val="single" w:sz="8" w:space="0" w:color="FFFFFF" w:themeColor="background1"/>
                    <w:bottom w:val="single" w:sz="6" w:space="0" w:color="BFBFBF"/>
                    <w:right w:val="single" w:sz="8" w:space="0" w:color="FFFFFF" w:themeColor="background1"/>
                  </w:tcBorders>
                  <w:shd w:val="clear" w:color="auto" w:fill="C1E4F0" w:themeFill="text2" w:themeFillTint="66"/>
                </w:tcPr>
                <w:p w14:paraId="63885243" w14:textId="2AFE5A78" w:rsidR="00386592" w:rsidRDefault="00386592" w:rsidP="0035107A">
                  <w:pPr>
                    <w:pStyle w:val="TableBodyText"/>
                    <w:ind w:right="28"/>
                    <w:jc w:val="left"/>
                  </w:pPr>
                  <w:r w:rsidRPr="00386592">
                    <w:t>Est. $1</w:t>
                  </w:r>
                  <w:r w:rsidR="0035107A">
                    <w:t>2</w:t>
                  </w:r>
                  <w:r w:rsidRPr="00386592">
                    <w:t>0m–$1</w:t>
                  </w:r>
                  <w:r w:rsidR="0035107A">
                    <w:t>.2</w:t>
                  </w:r>
                  <w:r w:rsidRPr="00386592">
                    <w:t>b</w:t>
                  </w:r>
                  <w:r>
                    <w:br/>
                    <w:t>(2016</w:t>
                  </w:r>
                  <w:r w:rsidR="00DA06CD">
                    <w:noBreakHyphen/>
                  </w:r>
                  <w:r>
                    <w:t>17)</w:t>
                  </w:r>
                </w:p>
              </w:tc>
              <w:tc>
                <w:tcPr>
                  <w:tcW w:w="1311" w:type="pct"/>
                  <w:tcBorders>
                    <w:top w:val="single" w:sz="4" w:space="0" w:color="FFFFFF" w:themeColor="background1"/>
                    <w:left w:val="single" w:sz="8" w:space="0" w:color="FFFFFF" w:themeColor="background1"/>
                    <w:bottom w:val="single" w:sz="6" w:space="0" w:color="BFBFBF"/>
                  </w:tcBorders>
                  <w:shd w:val="clear" w:color="auto" w:fill="CFBADB" w:themeFill="accent6" w:themeFillTint="66"/>
                </w:tcPr>
                <w:p w14:paraId="7FC8C6C0" w14:textId="77777777" w:rsidR="00386592" w:rsidRPr="00386592" w:rsidRDefault="00386592" w:rsidP="00386592">
                  <w:pPr>
                    <w:pStyle w:val="TableBodyText"/>
                    <w:ind w:right="28"/>
                    <w:jc w:val="left"/>
                  </w:pPr>
                  <w:r w:rsidRPr="00386592">
                    <w:t>Not available</w:t>
                  </w:r>
                </w:p>
              </w:tc>
            </w:tr>
          </w:tbl>
          <w:p w14:paraId="7D9B71AF" w14:textId="77777777" w:rsidR="00386592" w:rsidRDefault="00386592" w:rsidP="00386592">
            <w:pPr>
              <w:pStyle w:val="Box"/>
            </w:pPr>
          </w:p>
        </w:tc>
      </w:tr>
      <w:tr w:rsidR="00386592" w14:paraId="55FE70EF" w14:textId="77777777" w:rsidTr="00386592">
        <w:tc>
          <w:tcPr>
            <w:tcW w:w="5000" w:type="pct"/>
            <w:tcBorders>
              <w:top w:val="nil"/>
              <w:left w:val="nil"/>
              <w:bottom w:val="nil"/>
              <w:right w:val="nil"/>
            </w:tcBorders>
            <w:shd w:val="clear" w:color="auto" w:fill="auto"/>
          </w:tcPr>
          <w:p w14:paraId="7D197DDD" w14:textId="1B3C5E69" w:rsidR="00386592" w:rsidRPr="008A0A74" w:rsidRDefault="00386592" w:rsidP="0004238F">
            <w:pPr>
              <w:pStyle w:val="Source"/>
              <w:spacing w:after="0"/>
            </w:pPr>
            <w:r w:rsidRPr="008E77FE">
              <w:rPr>
                <w:rStyle w:val="NoteLabel"/>
              </w:rPr>
              <w:t>a</w:t>
            </w:r>
            <w:r>
              <w:t xml:space="preserve"> Data for the ZTO are for the number of claimants and total value of claims, but some claimants may not utilise any or all of the claim amount due to insufficient gross tax liabilities. These data also include overseas forces tax offset claims.</w:t>
            </w:r>
            <w:r w:rsidR="00D047AA">
              <w:t xml:space="preserve"> </w:t>
            </w:r>
            <w:r w:rsidR="00D047AA">
              <w:rPr>
                <w:rStyle w:val="NoteLabel"/>
              </w:rPr>
              <w:t>b</w:t>
            </w:r>
            <w:r w:rsidR="00D047AA">
              <w:t xml:space="preserve"> The cost estimates for the FBT concessions are the sum of the upper and lower bounds of the order of magnitude estimates for the various FBT remote area concessions in Treasury’s Tax Benchmarks and Variation Statement.</w:t>
            </w:r>
          </w:p>
        </w:tc>
      </w:tr>
      <w:tr w:rsidR="00386592" w14:paraId="233275AC" w14:textId="77777777" w:rsidTr="00386592">
        <w:tc>
          <w:tcPr>
            <w:tcW w:w="5000" w:type="pct"/>
            <w:tcBorders>
              <w:top w:val="nil"/>
              <w:left w:val="nil"/>
              <w:bottom w:val="nil"/>
              <w:right w:val="nil"/>
            </w:tcBorders>
            <w:shd w:val="clear" w:color="auto" w:fill="auto"/>
          </w:tcPr>
          <w:p w14:paraId="1D3F5F29" w14:textId="48CC022B" w:rsidR="00386592" w:rsidRPr="006B5EB2" w:rsidRDefault="00386592" w:rsidP="0004238F">
            <w:pPr>
              <w:pStyle w:val="Source"/>
              <w:spacing w:after="0"/>
              <w:rPr>
                <w:spacing w:val="-4"/>
              </w:rPr>
            </w:pPr>
            <w:r w:rsidRPr="006B5EB2">
              <w:rPr>
                <w:i/>
                <w:spacing w:val="-4"/>
              </w:rPr>
              <w:t>Sources</w:t>
            </w:r>
            <w:r w:rsidRPr="006B5EB2">
              <w:rPr>
                <w:spacing w:val="-4"/>
              </w:rPr>
              <w:t xml:space="preserve">: ATO </w:t>
            </w:r>
            <w:r w:rsidR="00B17E49" w:rsidRPr="006B5EB2">
              <w:rPr>
                <w:rFonts w:cs="Arial"/>
                <w:spacing w:val="-4"/>
              </w:rPr>
              <w:t>(2018a, unpublished ATO data)</w:t>
            </w:r>
            <w:r w:rsidR="00641CD5" w:rsidRPr="006B5EB2">
              <w:rPr>
                <w:spacing w:val="-4"/>
              </w:rPr>
              <w:t>;</w:t>
            </w:r>
            <w:r w:rsidR="007138D2" w:rsidRPr="006B5EB2">
              <w:rPr>
                <w:spacing w:val="-4"/>
              </w:rPr>
              <w:t xml:space="preserve"> </w:t>
            </w:r>
            <w:r w:rsidR="002461DA" w:rsidRPr="006B5EB2">
              <w:rPr>
                <w:spacing w:val="-4"/>
              </w:rPr>
              <w:t xml:space="preserve">DHS </w:t>
            </w:r>
            <w:r w:rsidR="00B17E49" w:rsidRPr="006B5EB2">
              <w:rPr>
                <w:rFonts w:cs="Arial"/>
                <w:spacing w:val="-4"/>
              </w:rPr>
              <w:t>(2018)</w:t>
            </w:r>
            <w:r w:rsidR="002461DA" w:rsidRPr="006B5EB2">
              <w:rPr>
                <w:spacing w:val="-4"/>
              </w:rPr>
              <w:t>;</w:t>
            </w:r>
            <w:r w:rsidR="007138D2" w:rsidRPr="006B5EB2">
              <w:rPr>
                <w:spacing w:val="-4"/>
              </w:rPr>
              <w:t xml:space="preserve"> DSS (pers. comm. 7</w:t>
            </w:r>
            <w:r w:rsidR="00DA06CD" w:rsidRPr="006B5EB2">
              <w:rPr>
                <w:spacing w:val="-4"/>
              </w:rPr>
              <w:t> </w:t>
            </w:r>
            <w:r w:rsidR="007138D2" w:rsidRPr="006B5EB2">
              <w:rPr>
                <w:spacing w:val="-4"/>
              </w:rPr>
              <w:t>March 2019);</w:t>
            </w:r>
            <w:r w:rsidR="00641CD5" w:rsidRPr="006B5EB2">
              <w:rPr>
                <w:spacing w:val="-4"/>
              </w:rPr>
              <w:t xml:space="preserve"> Treasury </w:t>
            </w:r>
            <w:r w:rsidR="00B17E49" w:rsidRPr="006B5EB2">
              <w:rPr>
                <w:rFonts w:cs="Arial"/>
                <w:spacing w:val="-4"/>
              </w:rPr>
              <w:t>(2019)</w:t>
            </w:r>
            <w:r w:rsidRPr="006B5EB2">
              <w:rPr>
                <w:spacing w:val="-4"/>
              </w:rPr>
              <w:t>.</w:t>
            </w:r>
          </w:p>
        </w:tc>
      </w:tr>
      <w:tr w:rsidR="00386592" w14:paraId="5F3F9D16" w14:textId="77777777" w:rsidTr="00386592">
        <w:tc>
          <w:tcPr>
            <w:tcW w:w="5000" w:type="pct"/>
            <w:tcBorders>
              <w:top w:val="nil"/>
              <w:left w:val="nil"/>
              <w:bottom w:val="single" w:sz="6" w:space="0" w:color="78A22F"/>
              <w:right w:val="nil"/>
            </w:tcBorders>
            <w:shd w:val="clear" w:color="auto" w:fill="auto"/>
          </w:tcPr>
          <w:p w14:paraId="61D90FCA" w14:textId="77777777" w:rsidR="00386592" w:rsidRDefault="00386592" w:rsidP="00386592">
            <w:pPr>
              <w:pStyle w:val="Box"/>
              <w:spacing w:before="0" w:line="120" w:lineRule="exact"/>
            </w:pPr>
          </w:p>
        </w:tc>
      </w:tr>
      <w:tr w:rsidR="00386592" w:rsidRPr="000863A5" w14:paraId="391B6AC6" w14:textId="77777777" w:rsidTr="00386592">
        <w:tc>
          <w:tcPr>
            <w:tcW w:w="5000" w:type="pct"/>
            <w:tcBorders>
              <w:top w:val="single" w:sz="6" w:space="0" w:color="78A22F"/>
              <w:left w:val="nil"/>
              <w:bottom w:val="nil"/>
              <w:right w:val="nil"/>
            </w:tcBorders>
          </w:tcPr>
          <w:p w14:paraId="267A33A1" w14:textId="68700E1C" w:rsidR="00386592" w:rsidRPr="00626D32" w:rsidRDefault="00386592" w:rsidP="00386592">
            <w:pPr>
              <w:pStyle w:val="BoxSpaceBelow"/>
            </w:pPr>
          </w:p>
        </w:tc>
      </w:tr>
    </w:tbl>
    <w:p w14:paraId="68124919" w14:textId="77777777" w:rsidR="00B64631" w:rsidRPr="00936615" w:rsidRDefault="00B64631" w:rsidP="00751FF0">
      <w:pPr>
        <w:pStyle w:val="Heading3"/>
        <w:spacing w:before="280"/>
      </w:pPr>
      <w:r w:rsidRPr="00936615">
        <w:t>Current operation of remote area support</w:t>
      </w:r>
    </w:p>
    <w:p w14:paraId="208B34DA" w14:textId="2005D5C1" w:rsidR="00B64631" w:rsidRPr="00936615" w:rsidRDefault="00295FDC" w:rsidP="00751FF0">
      <w:pPr>
        <w:pStyle w:val="Heading4"/>
        <w:spacing w:before="280"/>
      </w:pPr>
      <w:r w:rsidRPr="00936615">
        <w:t xml:space="preserve">Some consider </w:t>
      </w:r>
      <w:r w:rsidR="000917F8">
        <w:t>that</w:t>
      </w:r>
      <w:r w:rsidRPr="00936615">
        <w:t xml:space="preserve"> the </w:t>
      </w:r>
      <w:r w:rsidR="00B64631" w:rsidRPr="00936615">
        <w:t xml:space="preserve">ZTO has </w:t>
      </w:r>
      <w:r w:rsidRPr="00936615">
        <w:t>become outdated and ineffectual</w:t>
      </w:r>
    </w:p>
    <w:p w14:paraId="55436610" w14:textId="101DCEDA" w:rsidR="00B64631" w:rsidRPr="00936615" w:rsidRDefault="00B64631" w:rsidP="00B64631">
      <w:pPr>
        <w:pStyle w:val="BodyText"/>
        <w:spacing w:line="264" w:lineRule="auto"/>
      </w:pPr>
      <w:r w:rsidRPr="00936615">
        <w:t xml:space="preserve">Apart from a 2015 amendment to the ZTO to </w:t>
      </w:r>
      <w:r w:rsidR="004C5D79" w:rsidRPr="00936615">
        <w:t>exclude fly</w:t>
      </w:r>
      <w:r w:rsidR="00664900">
        <w:noBreakHyphen/>
      </w:r>
      <w:r w:rsidR="004C5D79" w:rsidRPr="00936615">
        <w:t>in fly</w:t>
      </w:r>
      <w:r w:rsidR="00664900">
        <w:noBreakHyphen/>
      </w:r>
      <w:r w:rsidR="004C5D79" w:rsidRPr="00936615">
        <w:t>out workers who reside outside the zones</w:t>
      </w:r>
      <w:r w:rsidRPr="00936615">
        <w:t xml:space="preserve">, there has been no substantive change to the arrangements for more than thirty years. Moreover, the ZTO’s nominal value was last increased in 1993. The base </w:t>
      </w:r>
      <w:r w:rsidRPr="00936615">
        <w:lastRenderedPageBreak/>
        <w:t>payment</w:t>
      </w:r>
      <w:r w:rsidR="00550BAE">
        <w:t xml:space="preserve"> for a single person</w:t>
      </w:r>
      <w:r w:rsidRPr="00936615">
        <w:t xml:space="preserve"> has thus remained at $338 a year in Zone A, $57 in Zone B and $1173 in the </w:t>
      </w:r>
      <w:r w:rsidR="00AF648E">
        <w:t>special areas</w:t>
      </w:r>
      <w:r w:rsidRPr="00936615">
        <w:t xml:space="preserve"> for twenty</w:t>
      </w:r>
      <w:r w:rsidR="00664900">
        <w:noBreakHyphen/>
      </w:r>
      <w:r w:rsidRPr="00936615">
        <w:t>five years.</w:t>
      </w:r>
    </w:p>
    <w:p w14:paraId="3C34BD29" w14:textId="2197C6CE" w:rsidR="00B64631" w:rsidRPr="00936615" w:rsidRDefault="00B64631" w:rsidP="00B64631">
      <w:pPr>
        <w:pStyle w:val="BodyText"/>
        <w:spacing w:line="264" w:lineRule="auto"/>
      </w:pPr>
      <w:r w:rsidRPr="00936615">
        <w:t>Over time, inflation has eroded the real value of the ZTO</w:t>
      </w:r>
      <w:r w:rsidR="001163B4" w:rsidRPr="00936615">
        <w:t xml:space="preserve"> (and RAA)</w:t>
      </w:r>
      <w:r w:rsidRPr="00936615">
        <w:t xml:space="preserve">. Whereas the </w:t>
      </w:r>
      <w:r w:rsidR="00BF191F">
        <w:t>(pre</w:t>
      </w:r>
      <w:r w:rsidR="00BF191F">
        <w:noBreakHyphen/>
        <w:t>tax)</w:t>
      </w:r>
      <w:r w:rsidR="00E41C18">
        <w:t xml:space="preserve"> </w:t>
      </w:r>
      <w:r w:rsidR="008E6736" w:rsidRPr="00936615">
        <w:t xml:space="preserve">Zone A tax deduction </w:t>
      </w:r>
      <w:r w:rsidR="002E7468" w:rsidRPr="002E7468">
        <w:t>reduc</w:t>
      </w:r>
      <w:r w:rsidR="00B17D43">
        <w:t>ed</w:t>
      </w:r>
      <w:r w:rsidR="002E7468" w:rsidRPr="002E7468">
        <w:t xml:space="preserve"> tax</w:t>
      </w:r>
      <w:r w:rsidR="00DF643A">
        <w:t xml:space="preserve"> paid</w:t>
      </w:r>
      <w:r w:rsidR="002E7468" w:rsidRPr="002E7468">
        <w:t xml:space="preserve"> by about 3.4 per cent of after</w:t>
      </w:r>
      <w:r w:rsidR="00DA06CD">
        <w:noBreakHyphen/>
      </w:r>
      <w:r w:rsidR="002E7468" w:rsidRPr="002E7468">
        <w:t>tax income for someone on an average salary</w:t>
      </w:r>
      <w:r w:rsidR="00590AAF">
        <w:t xml:space="preserve"> in 1950</w:t>
      </w:r>
      <w:r w:rsidR="001C59FE">
        <w:t>,</w:t>
      </w:r>
      <w:r w:rsidRPr="00936615">
        <w:t xml:space="preserve"> the </w:t>
      </w:r>
      <w:r w:rsidR="00BF191F">
        <w:t>(post</w:t>
      </w:r>
      <w:r w:rsidR="00BF191F">
        <w:noBreakHyphen/>
        <w:t xml:space="preserve">tax) </w:t>
      </w:r>
      <w:r w:rsidRPr="00936615">
        <w:t xml:space="preserve">Zone A rebate is worth less than 1 per cent of average </w:t>
      </w:r>
      <w:r w:rsidR="00F267B6">
        <w:t>after</w:t>
      </w:r>
      <w:r w:rsidR="00DA06CD">
        <w:noBreakHyphen/>
      </w:r>
      <w:r w:rsidR="00F267B6">
        <w:t xml:space="preserve">tax </w:t>
      </w:r>
      <w:r w:rsidR="0015120E">
        <w:t>income</w:t>
      </w:r>
      <w:r w:rsidRPr="00936615">
        <w:t xml:space="preserve"> today</w:t>
      </w:r>
      <w:r w:rsidR="002D42A0">
        <w:t xml:space="preserve"> </w:t>
      </w:r>
      <w:r w:rsidR="00B17E49" w:rsidRPr="00B17E49">
        <w:rPr>
          <w:szCs w:val="24"/>
        </w:rPr>
        <w:t>(ABS 1992, 2019; table</w:t>
      </w:r>
      <w:r w:rsidR="00DA06CD">
        <w:rPr>
          <w:szCs w:val="24"/>
        </w:rPr>
        <w:t> </w:t>
      </w:r>
      <w:r w:rsidR="00B17E49" w:rsidRPr="00B17E49">
        <w:rPr>
          <w:szCs w:val="24"/>
        </w:rPr>
        <w:t>1; ATO 2018b)</w:t>
      </w:r>
      <w:r w:rsidRPr="00936615">
        <w:t xml:space="preserve">. </w:t>
      </w:r>
    </w:p>
    <w:p w14:paraId="009FC22F" w14:textId="63BF79DB" w:rsidR="00B64631" w:rsidRPr="00936615" w:rsidRDefault="00B64631" w:rsidP="00B64631">
      <w:pPr>
        <w:pStyle w:val="BodyText"/>
      </w:pPr>
      <w:r w:rsidRPr="00936615">
        <w:t xml:space="preserve">The low level of payments and the limited number of </w:t>
      </w:r>
      <w:r w:rsidR="00541143">
        <w:t>claimants</w:t>
      </w:r>
      <w:r w:rsidRPr="00936615">
        <w:t xml:space="preserve">, particularly in the ‘special’ zones and Zone A, mean that the arrangements are not </w:t>
      </w:r>
      <w:r w:rsidR="00F03A47">
        <w:t xml:space="preserve">so </w:t>
      </w:r>
      <w:r w:rsidR="009B0641" w:rsidRPr="00936615">
        <w:t>significant a budget item as they once were</w:t>
      </w:r>
      <w:r w:rsidRPr="00936615">
        <w:t xml:space="preserve">. </w:t>
      </w:r>
    </w:p>
    <w:p w14:paraId="6709F975" w14:textId="0EF4FADB" w:rsidR="00254DBB" w:rsidRPr="00936615" w:rsidRDefault="00B64631" w:rsidP="00B64631">
      <w:pPr>
        <w:pStyle w:val="ListBullet"/>
      </w:pPr>
      <w:r w:rsidRPr="00936615">
        <w:t xml:space="preserve">Fewer than 500 000 people currently claim the ZTO, which is about </w:t>
      </w:r>
      <w:r w:rsidR="00317146">
        <w:t>3</w:t>
      </w:r>
      <w:r w:rsidRPr="00936615">
        <w:t xml:space="preserve"> per cent of income taxpayers. </w:t>
      </w:r>
      <w:r w:rsidR="005F73F7">
        <w:t xml:space="preserve">In </w:t>
      </w:r>
      <w:r w:rsidR="005F73F7" w:rsidRPr="00936615">
        <w:t>201</w:t>
      </w:r>
      <w:r w:rsidR="005F73F7">
        <w:t>6</w:t>
      </w:r>
      <w:r w:rsidR="005F73F7" w:rsidRPr="00936615">
        <w:noBreakHyphen/>
        <w:t>1</w:t>
      </w:r>
      <w:r w:rsidR="005F73F7">
        <w:t>7, the total value of ZTO claims was about $156 million (table</w:t>
      </w:r>
      <w:r w:rsidR="00DA06CD">
        <w:t> </w:t>
      </w:r>
      <w:r w:rsidR="00587597">
        <w:t>1</w:t>
      </w:r>
      <w:r w:rsidR="005F73F7">
        <w:t xml:space="preserve">). </w:t>
      </w:r>
    </w:p>
    <w:p w14:paraId="0BE9394E" w14:textId="4D44B72F" w:rsidR="00B64631" w:rsidRPr="00936615" w:rsidRDefault="00254DBB" w:rsidP="00B64631">
      <w:pPr>
        <w:pStyle w:val="ListBullet"/>
      </w:pPr>
      <w:r w:rsidRPr="00936615">
        <w:t xml:space="preserve">Queensland, Western Australia and the Northern Territory account for the vast majority </w:t>
      </w:r>
      <w:r w:rsidR="00A35963">
        <w:t xml:space="preserve">of </w:t>
      </w:r>
      <w:r w:rsidRPr="00936615">
        <w:t xml:space="preserve">ZTO </w:t>
      </w:r>
      <w:r w:rsidR="004326EE">
        <w:t>claim</w:t>
      </w:r>
      <w:r w:rsidR="006E770B">
        <w:t>ant</w:t>
      </w:r>
      <w:r w:rsidR="004326EE">
        <w:t>s</w:t>
      </w:r>
      <w:r w:rsidRPr="00936615">
        <w:t xml:space="preserve"> and costs (figure</w:t>
      </w:r>
      <w:r w:rsidR="00664900">
        <w:t> </w:t>
      </w:r>
      <w:r w:rsidR="00C53654">
        <w:t>3</w:t>
      </w:r>
      <w:r w:rsidRPr="00936615">
        <w:t>)</w:t>
      </w:r>
      <w:r w:rsidR="005D4B1C" w:rsidRPr="00936615">
        <w:t>.</w:t>
      </w:r>
    </w:p>
    <w:p w14:paraId="0D48099B" w14:textId="62990031" w:rsidR="00B64631" w:rsidRPr="00936615" w:rsidRDefault="00F95838" w:rsidP="00B64631">
      <w:pPr>
        <w:pStyle w:val="ListBullet"/>
        <w:rPr>
          <w:b/>
        </w:rPr>
      </w:pPr>
      <w:r>
        <w:t>About two</w:t>
      </w:r>
      <w:r>
        <w:noBreakHyphen/>
        <w:t xml:space="preserve">thirds </w:t>
      </w:r>
      <w:r w:rsidR="00B64631" w:rsidRPr="00936615">
        <w:t xml:space="preserve">of ZTO </w:t>
      </w:r>
      <w:r w:rsidR="00541143">
        <w:t>claimants</w:t>
      </w:r>
      <w:r w:rsidR="00B64631" w:rsidRPr="00936615">
        <w:t xml:space="preserve"> (in 201</w:t>
      </w:r>
      <w:r w:rsidR="00BE7434">
        <w:t>6</w:t>
      </w:r>
      <w:r w:rsidR="00B64631" w:rsidRPr="00936615">
        <w:noBreakHyphen/>
        <w:t>1</w:t>
      </w:r>
      <w:r w:rsidR="00BE7434">
        <w:t>7</w:t>
      </w:r>
      <w:r w:rsidR="00B64631" w:rsidRPr="00936615">
        <w:t xml:space="preserve">) lived in one of the four </w:t>
      </w:r>
      <w:r w:rsidR="00F03A47">
        <w:t>largest</w:t>
      </w:r>
      <w:r w:rsidR="00F03A47" w:rsidRPr="00936615">
        <w:t xml:space="preserve"> </w:t>
      </w:r>
      <w:r w:rsidR="00B64631" w:rsidRPr="00936615">
        <w:t>cities in northern Australia: Darwin, Townsville, Cairns and Mackay</w:t>
      </w:r>
      <w:r w:rsidR="00E07527" w:rsidRPr="00936615">
        <w:t xml:space="preserve"> (figure</w:t>
      </w:r>
      <w:r w:rsidR="00664900">
        <w:t> </w:t>
      </w:r>
      <w:r w:rsidR="00E07527" w:rsidRPr="00936615">
        <w:t>2</w:t>
      </w:r>
      <w:r w:rsidR="00B74F74" w:rsidRPr="00936615">
        <w:t>)</w:t>
      </w:r>
      <w:r w:rsidR="00B64631" w:rsidRPr="00936615">
        <w:t xml:space="preserve">. </w:t>
      </w:r>
    </w:p>
    <w:p w14:paraId="7BD24E3D" w14:textId="3BD950A9" w:rsidR="001A6350" w:rsidRDefault="00B64631" w:rsidP="007C5F76">
      <w:pPr>
        <w:pStyle w:val="BodyText"/>
      </w:pPr>
      <w:r w:rsidRPr="00936615">
        <w:t xml:space="preserve">Stakeholders take different positions on the ZTO. </w:t>
      </w:r>
      <w:r w:rsidR="00C045BA" w:rsidRPr="00936615">
        <w:t>While s</w:t>
      </w:r>
      <w:r w:rsidRPr="00936615">
        <w:t xml:space="preserve">ome </w:t>
      </w:r>
      <w:r w:rsidR="009C374D" w:rsidRPr="00936615">
        <w:t xml:space="preserve">have </w:t>
      </w:r>
      <w:r w:rsidRPr="00936615">
        <w:t>question</w:t>
      </w:r>
      <w:r w:rsidR="009C374D" w:rsidRPr="00936615">
        <w:t>ed</w:t>
      </w:r>
      <w:r w:rsidRPr="00936615">
        <w:t xml:space="preserve"> the rationale for having remote area tax concessions at all</w:t>
      </w:r>
      <w:r w:rsidR="009C374D" w:rsidRPr="00936615">
        <w:t xml:space="preserve"> </w:t>
      </w:r>
      <w:r w:rsidR="009C374D" w:rsidRPr="00936615">
        <w:rPr>
          <w:szCs w:val="24"/>
        </w:rPr>
        <w:t>(see e.g. Cox et al. 1981, pp. 15–6; 29)</w:t>
      </w:r>
      <w:r w:rsidRPr="00936615">
        <w:t xml:space="preserve">, others </w:t>
      </w:r>
      <w:r w:rsidR="00C045BA" w:rsidRPr="00936615">
        <w:t xml:space="preserve">have </w:t>
      </w:r>
      <w:r w:rsidRPr="00936615">
        <w:t>advocate</w:t>
      </w:r>
      <w:r w:rsidR="00C045BA" w:rsidRPr="00936615">
        <w:t>d</w:t>
      </w:r>
      <w:r w:rsidRPr="00936615">
        <w:t xml:space="preserve"> substantially increasing the </w:t>
      </w:r>
      <w:r w:rsidR="00891E0D">
        <w:t>offset</w:t>
      </w:r>
      <w:r w:rsidRPr="00936615">
        <w:t xml:space="preserve"> to restore its value and to pursue the current Government’s </w:t>
      </w:r>
      <w:r w:rsidR="00D86980" w:rsidRPr="00936615">
        <w:t>No</w:t>
      </w:r>
      <w:r w:rsidRPr="00936615">
        <w:t xml:space="preserve">rthern Australia development agenda. Several suggest redesigning the program to better target assistance to those regions most in need. Senator </w:t>
      </w:r>
      <w:r w:rsidR="00FB599C">
        <w:t xml:space="preserve">the Hon. </w:t>
      </w:r>
      <w:r w:rsidRPr="00936615">
        <w:t>Matt</w:t>
      </w:r>
      <w:r w:rsidR="00D86980" w:rsidRPr="00936615">
        <w:t>hew</w:t>
      </w:r>
      <w:r w:rsidRPr="00936615">
        <w:t xml:space="preserve"> Canavan </w:t>
      </w:r>
      <w:r w:rsidR="00B17E49" w:rsidRPr="00B17E49">
        <w:rPr>
          <w:szCs w:val="24"/>
        </w:rPr>
        <w:t>(2014, p. 19)</w:t>
      </w:r>
      <w:r w:rsidR="005A3C89" w:rsidRPr="00936615">
        <w:t>, for example,</w:t>
      </w:r>
      <w:r w:rsidRPr="00936615">
        <w:t xml:space="preserve"> has observ</w:t>
      </w:r>
      <w:r w:rsidR="00A73A91" w:rsidRPr="00936615">
        <w:t>ed</w:t>
      </w:r>
      <w:r w:rsidRPr="00936615">
        <w:t xml:space="preserve"> that</w:t>
      </w:r>
      <w:r w:rsidR="00DA06CD">
        <w:t>:</w:t>
      </w:r>
      <w:r w:rsidRPr="00936615">
        <w:t xml:space="preserve"> </w:t>
      </w:r>
    </w:p>
    <w:p w14:paraId="2E7D87BA" w14:textId="78518019" w:rsidR="001A6350" w:rsidRDefault="00B64631" w:rsidP="001A6350">
      <w:pPr>
        <w:pStyle w:val="Quote"/>
      </w:pPr>
      <w:r w:rsidRPr="00936615">
        <w:t xml:space="preserve">People in Cairns and Townsville still get $57 a year for living in an area of </w:t>
      </w:r>
      <w:r w:rsidRPr="00936615">
        <w:rPr>
          <w:rFonts w:hint="eastAsia"/>
        </w:rPr>
        <w:t>“</w:t>
      </w:r>
      <w:r w:rsidRPr="00936615">
        <w:t>uncongenial conditions</w:t>
      </w:r>
      <w:r w:rsidRPr="00936615">
        <w:rPr>
          <w:rFonts w:hint="eastAsia"/>
        </w:rPr>
        <w:t>”</w:t>
      </w:r>
      <w:r w:rsidRPr="00936615">
        <w:t>. The zones are out of date, no one will move to Cairns for a carton of beer a year</w:t>
      </w:r>
      <w:r w:rsidR="00122F08" w:rsidRPr="00936615">
        <w:t xml:space="preserve">. </w:t>
      </w:r>
    </w:p>
    <w:p w14:paraId="2A6BE133" w14:textId="20CCAE75" w:rsidR="00BE59AE" w:rsidRPr="00936615" w:rsidRDefault="00BE59AE" w:rsidP="007C5F76">
      <w:pPr>
        <w:pStyle w:val="BodyText"/>
      </w:pPr>
      <w:r w:rsidRPr="00936615">
        <w:t>Senator</w:t>
      </w:r>
      <w:r w:rsidR="00FB599C">
        <w:t xml:space="preserve"> the Hon.</w:t>
      </w:r>
      <w:r w:rsidRPr="00936615">
        <w:t xml:space="preserve"> Ian McDonald has previously noted:</w:t>
      </w:r>
    </w:p>
    <w:p w14:paraId="75C74E5D" w14:textId="042D885F" w:rsidR="00B64631" w:rsidRPr="00936615" w:rsidRDefault="00F95838" w:rsidP="0018559C">
      <w:pPr>
        <w:pStyle w:val="Quote"/>
        <w:rPr>
          <w:sz w:val="24"/>
        </w:rPr>
      </w:pPr>
      <w:r w:rsidRPr="00F95838">
        <w:t>The proper revision and indexation of the Zone Tax Rebate, or some other form of incentive in Northern and Remote Australia, would encourage many Australians to move to the remote parts of our country to where we know the wealth is in agriculture and mining is waiting to be extracted, where what we need mo</w:t>
      </w:r>
      <w:r>
        <w:t>st is the people there to do it</w:t>
      </w:r>
      <w:r w:rsidR="00BE59AE" w:rsidRPr="00936615">
        <w:t xml:space="preserve">. </w:t>
      </w:r>
      <w:r w:rsidR="00B17E49" w:rsidRPr="00B17E49">
        <w:rPr>
          <w:szCs w:val="24"/>
        </w:rPr>
        <w:t>(Macdonald 2018)</w:t>
      </w:r>
    </w:p>
    <w:p w14:paraId="6E52284F" w14:textId="40DF6838" w:rsidR="00B64631" w:rsidRPr="00936615" w:rsidRDefault="00295FDC" w:rsidP="00951BEF">
      <w:pPr>
        <w:pStyle w:val="Heading4"/>
      </w:pPr>
      <w:r w:rsidRPr="00936615">
        <w:t xml:space="preserve">The </w:t>
      </w:r>
      <w:r w:rsidR="00DD02FA" w:rsidRPr="00936615">
        <w:t>cost</w:t>
      </w:r>
      <w:r w:rsidR="003E201D" w:rsidRPr="00936615">
        <w:t>s</w:t>
      </w:r>
      <w:r w:rsidR="00DD02FA" w:rsidRPr="00936615">
        <w:t xml:space="preserve"> </w:t>
      </w:r>
      <w:r w:rsidRPr="00936615">
        <w:t xml:space="preserve">of the RAA and FBT </w:t>
      </w:r>
      <w:r w:rsidR="00C730BB">
        <w:t xml:space="preserve">remote area </w:t>
      </w:r>
      <w:r w:rsidRPr="00936615">
        <w:t xml:space="preserve">concessions are unclear, but the latter </w:t>
      </w:r>
      <w:r w:rsidR="005855AF" w:rsidRPr="00936615">
        <w:t xml:space="preserve">could be </w:t>
      </w:r>
      <w:r w:rsidR="006D3676" w:rsidRPr="00936615">
        <w:t xml:space="preserve">substantial </w:t>
      </w:r>
    </w:p>
    <w:p w14:paraId="60444CAC" w14:textId="5FA6EA44" w:rsidR="00665FB8" w:rsidRPr="00936615" w:rsidRDefault="007B15E5" w:rsidP="00BE59AE">
      <w:pPr>
        <w:pStyle w:val="BodyText"/>
      </w:pPr>
      <w:r w:rsidRPr="00327C61">
        <w:t>In 2017</w:t>
      </w:r>
      <w:r w:rsidR="00DA06CD">
        <w:noBreakHyphen/>
      </w:r>
      <w:r w:rsidRPr="00327C61">
        <w:t>18</w:t>
      </w:r>
      <w:r>
        <w:t>,</w:t>
      </w:r>
      <w:r w:rsidRPr="00327C61">
        <w:t xml:space="preserve"> </w:t>
      </w:r>
      <w:r>
        <w:t>about 105 000</w:t>
      </w:r>
      <w:r w:rsidR="00C825EE">
        <w:t xml:space="preserve"> people</w:t>
      </w:r>
      <w:r w:rsidRPr="00327C61">
        <w:t xml:space="preserve"> received </w:t>
      </w:r>
      <w:r>
        <w:t>the</w:t>
      </w:r>
      <w:r w:rsidR="00316917">
        <w:t xml:space="preserve"> RAA</w:t>
      </w:r>
      <w:r w:rsidRPr="00327C61">
        <w:t>.</w:t>
      </w:r>
      <w:r w:rsidR="00C825EE">
        <w:t xml:space="preserve"> </w:t>
      </w:r>
      <w:r w:rsidR="00C825EE" w:rsidRPr="00C825EE">
        <w:t>There is no up</w:t>
      </w:r>
      <w:r w:rsidR="00DA06CD">
        <w:noBreakHyphen/>
      </w:r>
      <w:r w:rsidR="00C825EE" w:rsidRPr="00C825EE">
        <w:t>to</w:t>
      </w:r>
      <w:r w:rsidR="00DA06CD">
        <w:noBreakHyphen/>
      </w:r>
      <w:r w:rsidR="00C825EE" w:rsidRPr="00C825EE">
        <w:t>date information on the cost of the RAA</w:t>
      </w:r>
      <w:r w:rsidR="00B60383">
        <w:t xml:space="preserve"> (table</w:t>
      </w:r>
      <w:r w:rsidR="00DA06CD">
        <w:t> </w:t>
      </w:r>
      <w:r w:rsidR="00B60383">
        <w:t>1)</w:t>
      </w:r>
      <w:r w:rsidR="00C825EE" w:rsidRPr="00C825EE">
        <w:t xml:space="preserve">. </w:t>
      </w:r>
      <w:r w:rsidR="00B64631" w:rsidRPr="00936615">
        <w:t>When introduced in 1984, the RAA was expected to benefit 30 000 people with an annual budgetary cost of around $16 million</w:t>
      </w:r>
      <w:r w:rsidR="002667C4">
        <w:t xml:space="preserve"> </w:t>
      </w:r>
      <w:r w:rsidR="00B17E49" w:rsidRPr="00B17E49">
        <w:rPr>
          <w:szCs w:val="24"/>
        </w:rPr>
        <w:t>(Commonwealth of Australia 1983)</w:t>
      </w:r>
      <w:r w:rsidR="00B64631" w:rsidRPr="00936615">
        <w:t>.</w:t>
      </w:r>
    </w:p>
    <w:p w14:paraId="60E143DA" w14:textId="184DBF27" w:rsidR="00B64631" w:rsidRPr="0059680E" w:rsidRDefault="00B64631" w:rsidP="0059680E">
      <w:pPr>
        <w:pStyle w:val="ListBullet"/>
        <w:keepLines/>
        <w:numPr>
          <w:ilvl w:val="0"/>
          <w:numId w:val="0"/>
        </w:numPr>
      </w:pPr>
      <w:r w:rsidRPr="0059680E">
        <w:lastRenderedPageBreak/>
        <w:t>Although the size and signif</w:t>
      </w:r>
      <w:r w:rsidR="00267D03" w:rsidRPr="0059680E">
        <w:t xml:space="preserve">icance of the FBT </w:t>
      </w:r>
      <w:r w:rsidR="00C730BB" w:rsidRPr="0059680E">
        <w:t xml:space="preserve">remote area </w:t>
      </w:r>
      <w:r w:rsidR="00267D03" w:rsidRPr="0059680E">
        <w:t>concessions are</w:t>
      </w:r>
      <w:r w:rsidRPr="0059680E">
        <w:t xml:space="preserve"> unclear, the upper end of Treasury’s broad</w:t>
      </w:r>
      <w:r w:rsidR="00664900" w:rsidRPr="0059680E">
        <w:noBreakHyphen/>
      </w:r>
      <w:r w:rsidRPr="0059680E">
        <w:t>ranging estimates ($</w:t>
      </w:r>
      <w:r w:rsidR="00B54CA6" w:rsidRPr="0059680E">
        <w:t>1200 </w:t>
      </w:r>
      <w:r w:rsidRPr="0059680E">
        <w:t>million)</w:t>
      </w:r>
      <w:r w:rsidR="00F95838" w:rsidRPr="0059680E">
        <w:t xml:space="preserve"> </w:t>
      </w:r>
      <w:r w:rsidR="00B54CA6" w:rsidRPr="0059680E">
        <w:t>(table</w:t>
      </w:r>
      <w:r w:rsidR="00F95838" w:rsidRPr="0059680E">
        <w:t> </w:t>
      </w:r>
      <w:r w:rsidR="00B54CA6" w:rsidRPr="0059680E">
        <w:t>1)</w:t>
      </w:r>
      <w:r w:rsidRPr="0059680E">
        <w:t>, while equivalent to less than 1 per cent of total budget outlays, would account for one quarter of all FBT revenue collected.</w:t>
      </w:r>
    </w:p>
    <w:p w14:paraId="68F360D7" w14:textId="2DDA2CBA" w:rsidR="00EE0B7A" w:rsidRPr="00936615" w:rsidRDefault="00EE0B7A" w:rsidP="00EE0B7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E0B7A" w:rsidRPr="00936615" w14:paraId="2FB28636" w14:textId="77777777" w:rsidTr="00EE0B7A">
        <w:trPr>
          <w:tblHeader/>
        </w:trPr>
        <w:tc>
          <w:tcPr>
            <w:tcW w:w="5000" w:type="pct"/>
            <w:tcBorders>
              <w:top w:val="single" w:sz="6" w:space="0" w:color="78A22F"/>
              <w:left w:val="nil"/>
              <w:bottom w:val="nil"/>
              <w:right w:val="nil"/>
            </w:tcBorders>
            <w:shd w:val="clear" w:color="auto" w:fill="auto"/>
          </w:tcPr>
          <w:p w14:paraId="64F1EA33" w14:textId="3B58D747" w:rsidR="00EE0B7A" w:rsidRPr="00936615" w:rsidRDefault="00EE0B7A" w:rsidP="00C53654">
            <w:pPr>
              <w:pStyle w:val="FigureTitle"/>
            </w:pPr>
            <w:r w:rsidRPr="00936615">
              <w:rPr>
                <w:b w:val="0"/>
              </w:rPr>
              <w:t xml:space="preserve">Figure </w:t>
            </w:r>
            <w:r w:rsidR="00C53654">
              <w:rPr>
                <w:b w:val="0"/>
              </w:rPr>
              <w:t>3</w:t>
            </w:r>
            <w:r w:rsidRPr="00936615">
              <w:tab/>
            </w:r>
            <w:r w:rsidR="00451FFE" w:rsidRPr="00936615">
              <w:t xml:space="preserve">ZTO, </w:t>
            </w:r>
            <w:r w:rsidR="004326EE">
              <w:t>claimants</w:t>
            </w:r>
            <w:r w:rsidRPr="00936615">
              <w:t xml:space="preserve"> and </w:t>
            </w:r>
            <w:r w:rsidR="004F7E5A">
              <w:t>total claims</w:t>
            </w:r>
            <w:r w:rsidR="00D4232B" w:rsidRPr="00936615">
              <w:t>, by state</w:t>
            </w:r>
            <w:r w:rsidR="007374B7" w:rsidRPr="00936615">
              <w:t>,</w:t>
            </w:r>
            <w:r w:rsidR="00F3476B" w:rsidRPr="00936615">
              <w:t xml:space="preserve"> </w:t>
            </w:r>
            <w:r w:rsidRPr="00936615">
              <w:t>201</w:t>
            </w:r>
            <w:r w:rsidR="00DE577C">
              <w:t>6</w:t>
            </w:r>
            <w:r w:rsidRPr="00936615">
              <w:noBreakHyphen/>
              <w:t>1</w:t>
            </w:r>
            <w:r w:rsidR="00DE577C">
              <w:t>7</w:t>
            </w:r>
            <w:r w:rsidR="00A23FF5" w:rsidRPr="0004238F">
              <w:rPr>
                <w:rStyle w:val="NoteLabel"/>
                <w:b/>
                <w:position w:val="10"/>
              </w:rPr>
              <w:t>a</w:t>
            </w:r>
          </w:p>
        </w:tc>
      </w:tr>
      <w:tr w:rsidR="00EE0B7A" w:rsidRPr="00936615" w14:paraId="72796C17" w14:textId="77777777" w:rsidTr="00EE0B7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499"/>
              <w:gridCol w:w="6"/>
            </w:tblGrid>
            <w:tr w:rsidR="00105315" w:rsidRPr="00936615" w14:paraId="47570026" w14:textId="297AF79A" w:rsidTr="00D4232B">
              <w:trPr>
                <w:tblHeader/>
                <w:jc w:val="center"/>
              </w:trPr>
              <w:tc>
                <w:tcPr>
                  <w:tcW w:w="2500" w:type="pct"/>
                  <w:tcBorders>
                    <w:top w:val="nil"/>
                    <w:bottom w:val="nil"/>
                  </w:tcBorders>
                </w:tcPr>
                <w:p w14:paraId="6ED39DBB" w14:textId="44D0D26C" w:rsidR="00105315" w:rsidRPr="00936615" w:rsidRDefault="004326EE" w:rsidP="00105315">
                  <w:pPr>
                    <w:pStyle w:val="Figure"/>
                    <w:spacing w:before="60" w:after="60"/>
                    <w:rPr>
                      <w:rFonts w:ascii="Arial" w:hAnsi="Arial" w:cs="Arial"/>
                      <w:sz w:val="18"/>
                      <w:szCs w:val="18"/>
                    </w:rPr>
                  </w:pPr>
                  <w:r w:rsidRPr="004326EE">
                    <w:rPr>
                      <w:rFonts w:ascii="Arial" w:hAnsi="Arial" w:cs="Arial"/>
                      <w:noProof/>
                      <w:sz w:val="18"/>
                      <w:szCs w:val="18"/>
                    </w:rPr>
                    <w:drawing>
                      <wp:inline distT="0" distB="0" distL="0" distR="0" wp14:anchorId="1A3D5EC0" wp14:editId="00D0ED71">
                        <wp:extent cx="5402580" cy="3528060"/>
                        <wp:effectExtent l="0" t="0" r="7620" b="0"/>
                        <wp:docPr id="1" name="Picture 1" descr="This figure shows the number of zone tax offset recipients and the total amount value paid, by state. In 2016-17, the vast majority of recipients and payments were made to Queensland, Northern Territory and Western Australian resi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2580" cy="3528060"/>
                                </a:xfrm>
                                <a:prstGeom prst="rect">
                                  <a:avLst/>
                                </a:prstGeom>
                                <a:noFill/>
                                <a:ln>
                                  <a:noFill/>
                                </a:ln>
                              </pic:spPr>
                            </pic:pic>
                          </a:graphicData>
                        </a:graphic>
                      </wp:inline>
                    </w:drawing>
                  </w:r>
                </w:p>
              </w:tc>
              <w:tc>
                <w:tcPr>
                  <w:tcW w:w="2500" w:type="pct"/>
                  <w:tcBorders>
                    <w:top w:val="nil"/>
                    <w:bottom w:val="nil"/>
                  </w:tcBorders>
                </w:tcPr>
                <w:p w14:paraId="6ED80DC4" w14:textId="77777777" w:rsidR="00105315" w:rsidRPr="00936615" w:rsidRDefault="00105315" w:rsidP="00105315">
                  <w:pPr>
                    <w:pStyle w:val="Figure"/>
                    <w:spacing w:before="60" w:after="60"/>
                    <w:rPr>
                      <w:rFonts w:ascii="Arial" w:hAnsi="Arial" w:cs="Arial"/>
                      <w:sz w:val="18"/>
                      <w:szCs w:val="18"/>
                    </w:rPr>
                  </w:pPr>
                </w:p>
              </w:tc>
            </w:tr>
          </w:tbl>
          <w:p w14:paraId="6FAD9D53" w14:textId="77777777" w:rsidR="00EE0B7A" w:rsidRPr="00936615" w:rsidRDefault="00EE0B7A" w:rsidP="00EE0B7A">
            <w:pPr>
              <w:pStyle w:val="Figure"/>
            </w:pPr>
          </w:p>
        </w:tc>
      </w:tr>
      <w:tr w:rsidR="00EE0B7A" w:rsidRPr="00936615" w14:paraId="79088D7D" w14:textId="77777777" w:rsidTr="00EE0B7A">
        <w:tc>
          <w:tcPr>
            <w:tcW w:w="5000" w:type="pct"/>
            <w:tcBorders>
              <w:top w:val="nil"/>
              <w:left w:val="nil"/>
              <w:bottom w:val="nil"/>
              <w:right w:val="nil"/>
            </w:tcBorders>
            <w:shd w:val="clear" w:color="auto" w:fill="auto"/>
          </w:tcPr>
          <w:p w14:paraId="3734A0C6" w14:textId="0E3DA30E" w:rsidR="00EE0B7A" w:rsidRPr="00936615" w:rsidRDefault="00EE0B7A" w:rsidP="0069693F">
            <w:pPr>
              <w:pStyle w:val="Note"/>
            </w:pPr>
            <w:r w:rsidRPr="00936615">
              <w:rPr>
                <w:rStyle w:val="NoteLabel"/>
              </w:rPr>
              <w:t>a</w:t>
            </w:r>
            <w:r w:rsidRPr="00936615">
              <w:t xml:space="preserve"> </w:t>
            </w:r>
            <w:r w:rsidR="00FC5CA3">
              <w:t xml:space="preserve">Data </w:t>
            </w:r>
            <w:r w:rsidR="004F7E5A">
              <w:t>are</w:t>
            </w:r>
            <w:r w:rsidR="00DE577C">
              <w:t xml:space="preserve"> based on individuals</w:t>
            </w:r>
            <w:r w:rsidR="004F7E5A">
              <w:t>’</w:t>
            </w:r>
            <w:r w:rsidR="00DE577C">
              <w:t xml:space="preserve"> location at the time of lodging their tax return</w:t>
            </w:r>
            <w:r w:rsidR="004F7E5A">
              <w:t xml:space="preserve">s, so individuals </w:t>
            </w:r>
            <w:r w:rsidR="0069693F">
              <w:t xml:space="preserve">who </w:t>
            </w:r>
            <w:r w:rsidR="004F7E5A">
              <w:t>move outside the zone before lodging (including to Victoria or the ACT) are included in those jurisdictions</w:t>
            </w:r>
            <w:r w:rsidR="00375569" w:rsidRPr="00936615">
              <w:t>.</w:t>
            </w:r>
            <w:r w:rsidRPr="00936615">
              <w:t xml:space="preserve"> </w:t>
            </w:r>
            <w:r w:rsidR="004F7E5A">
              <w:t xml:space="preserve">About 2 per cent of total </w:t>
            </w:r>
            <w:r w:rsidR="00541143">
              <w:t>claimants</w:t>
            </w:r>
            <w:r w:rsidR="004F7E5A">
              <w:t xml:space="preserve"> could not be identified by location and are not included. Data also include overseas forces tax offset claims. Data are for </w:t>
            </w:r>
            <w:r w:rsidR="00DF78D0">
              <w:t xml:space="preserve">the total value of claims, but some claimants </w:t>
            </w:r>
            <w:r w:rsidR="00F322A7">
              <w:t>may</w:t>
            </w:r>
            <w:r w:rsidR="00DF78D0">
              <w:t xml:space="preserve"> not utilise any or all of the claim amount due to insufficient gross tax liabilities.</w:t>
            </w:r>
          </w:p>
        </w:tc>
      </w:tr>
      <w:tr w:rsidR="00EE0B7A" w:rsidRPr="00936615" w14:paraId="35DE2120" w14:textId="77777777" w:rsidTr="00EE0B7A">
        <w:tc>
          <w:tcPr>
            <w:tcW w:w="5000" w:type="pct"/>
            <w:tcBorders>
              <w:top w:val="nil"/>
              <w:left w:val="nil"/>
              <w:bottom w:val="nil"/>
              <w:right w:val="nil"/>
            </w:tcBorders>
            <w:shd w:val="clear" w:color="auto" w:fill="auto"/>
          </w:tcPr>
          <w:p w14:paraId="5828F224" w14:textId="55804229" w:rsidR="00EE0B7A" w:rsidRPr="00936615" w:rsidRDefault="00EE0B7A" w:rsidP="00B83739">
            <w:pPr>
              <w:pStyle w:val="Source"/>
              <w:spacing w:after="0"/>
            </w:pPr>
            <w:r w:rsidRPr="00936615">
              <w:rPr>
                <w:i/>
              </w:rPr>
              <w:t>Data source</w:t>
            </w:r>
            <w:r w:rsidRPr="00936615">
              <w:t xml:space="preserve">: </w:t>
            </w:r>
            <w:r w:rsidR="00DE577C">
              <w:t>Unpublished ATO data.</w:t>
            </w:r>
          </w:p>
        </w:tc>
      </w:tr>
      <w:tr w:rsidR="00EE0B7A" w:rsidRPr="00936615" w14:paraId="773227C1" w14:textId="77777777" w:rsidTr="00EE0B7A">
        <w:tc>
          <w:tcPr>
            <w:tcW w:w="5000" w:type="pct"/>
            <w:tcBorders>
              <w:top w:val="nil"/>
              <w:left w:val="nil"/>
              <w:bottom w:val="single" w:sz="6" w:space="0" w:color="78A22F"/>
              <w:right w:val="nil"/>
            </w:tcBorders>
            <w:shd w:val="clear" w:color="auto" w:fill="auto"/>
          </w:tcPr>
          <w:p w14:paraId="25A99E7F" w14:textId="77777777" w:rsidR="00EE0B7A" w:rsidRPr="00936615" w:rsidRDefault="00EE0B7A" w:rsidP="00EE0B7A">
            <w:pPr>
              <w:pStyle w:val="Figurespace"/>
            </w:pPr>
          </w:p>
        </w:tc>
      </w:tr>
      <w:tr w:rsidR="00EE0B7A" w:rsidRPr="00936615" w14:paraId="66B2C52D" w14:textId="77777777" w:rsidTr="00EE0B7A">
        <w:tc>
          <w:tcPr>
            <w:tcW w:w="5000" w:type="pct"/>
            <w:tcBorders>
              <w:top w:val="single" w:sz="6" w:space="0" w:color="78A22F"/>
              <w:left w:val="nil"/>
              <w:bottom w:val="nil"/>
              <w:right w:val="nil"/>
            </w:tcBorders>
          </w:tcPr>
          <w:p w14:paraId="5A2C0B1A" w14:textId="25F2AC45" w:rsidR="00EE0B7A" w:rsidRPr="00936615" w:rsidRDefault="00EE0B7A" w:rsidP="00EE0B7A">
            <w:pPr>
              <w:pStyle w:val="BoxSpaceBelow"/>
            </w:pPr>
          </w:p>
        </w:tc>
      </w:tr>
    </w:tbl>
    <w:p w14:paraId="7C53411C" w14:textId="4A2CFFA9" w:rsidR="003B254E" w:rsidRPr="00936615" w:rsidRDefault="003B254E" w:rsidP="007A26B6">
      <w:pPr>
        <w:pStyle w:val="Heading3"/>
      </w:pPr>
      <w:bookmarkStart w:id="29" w:name="_Toc1739536"/>
      <w:bookmarkStart w:id="30" w:name="_Toc1742361"/>
      <w:bookmarkStart w:id="31" w:name="_Toc1742425"/>
      <w:bookmarkStart w:id="32" w:name="_Toc1744722"/>
      <w:bookmarkStart w:id="33" w:name="_Toc1744811"/>
      <w:bookmarkStart w:id="34" w:name="_Toc1746187"/>
      <w:r w:rsidRPr="00936615">
        <w:t>Past reviews and context for this study</w:t>
      </w:r>
      <w:bookmarkEnd w:id="29"/>
      <w:bookmarkEnd w:id="30"/>
      <w:bookmarkEnd w:id="31"/>
      <w:bookmarkEnd w:id="32"/>
      <w:bookmarkEnd w:id="33"/>
      <w:bookmarkEnd w:id="34"/>
    </w:p>
    <w:p w14:paraId="5097F942" w14:textId="6D14988B" w:rsidR="00AC77B4" w:rsidRPr="00936615" w:rsidRDefault="00AC77B4" w:rsidP="00AC77B4">
      <w:pPr>
        <w:pStyle w:val="BodyText"/>
        <w:spacing w:line="264" w:lineRule="auto"/>
      </w:pPr>
      <w:r w:rsidRPr="00936615">
        <w:t>Only one dedicated review of the ZTO has been undertaken during its life — the Cox review</w:t>
      </w:r>
      <w:r w:rsidR="00B13A66" w:rsidRPr="00936615">
        <w:t xml:space="preserve"> </w:t>
      </w:r>
      <w:r w:rsidR="00B17E49" w:rsidRPr="00B17E49">
        <w:t>(1981)</w:t>
      </w:r>
      <w:r w:rsidR="00851D44">
        <w:t xml:space="preserve"> </w:t>
      </w:r>
      <w:r w:rsidRPr="00936615">
        <w:t>— although other inquiries into the tax system have commented on the arrangements. For example, the ZTO along with other offsets was covered by the Henry Tax Review</w:t>
      </w:r>
      <w:r w:rsidR="00F4317F" w:rsidRPr="00936615">
        <w:t xml:space="preserve"> </w:t>
      </w:r>
      <w:r w:rsidR="00B17E49" w:rsidRPr="00B17E49">
        <w:t>(2009)</w:t>
      </w:r>
      <w:r w:rsidRPr="00936615">
        <w:t xml:space="preserve">. It recommended that the ZTO be reviewed, with a suggestion that this could lead to its removal or replacement. However, that recommendation for a review </w:t>
      </w:r>
      <w:r w:rsidR="00A0041C" w:rsidRPr="00936615">
        <w:t>h</w:t>
      </w:r>
      <w:r w:rsidRPr="00936615">
        <w:t xml:space="preserve">as not </w:t>
      </w:r>
      <w:r w:rsidR="00A0041C" w:rsidRPr="00936615">
        <w:t xml:space="preserve">been </w:t>
      </w:r>
      <w:r w:rsidRPr="00936615">
        <w:t>acted upon</w:t>
      </w:r>
      <w:r w:rsidR="00943E9A" w:rsidRPr="00936615">
        <w:t xml:space="preserve"> until now</w:t>
      </w:r>
      <w:r w:rsidRPr="00936615">
        <w:t>.</w:t>
      </w:r>
    </w:p>
    <w:p w14:paraId="4423CF91" w14:textId="683C5DC7" w:rsidR="00F4317F" w:rsidRPr="00936615" w:rsidRDefault="00F4317F" w:rsidP="0062673F">
      <w:pPr>
        <w:pStyle w:val="BodyText"/>
        <w:spacing w:line="264" w:lineRule="auto"/>
      </w:pPr>
      <w:r w:rsidRPr="00936615">
        <w:t xml:space="preserve">To our knowledge, this </w:t>
      </w:r>
      <w:r w:rsidR="0013348C" w:rsidRPr="00936615">
        <w:t xml:space="preserve">study </w:t>
      </w:r>
      <w:r w:rsidRPr="00936615">
        <w:t xml:space="preserve">is the first </w:t>
      </w:r>
      <w:r w:rsidR="0062673F" w:rsidRPr="00936615">
        <w:t xml:space="preserve">dedicated </w:t>
      </w:r>
      <w:r w:rsidR="004E25A4" w:rsidRPr="00936615">
        <w:t>review of the FBT remote area</w:t>
      </w:r>
      <w:r w:rsidRPr="00936615">
        <w:t xml:space="preserve"> concessions and </w:t>
      </w:r>
      <w:r w:rsidR="00204F93" w:rsidRPr="00936615">
        <w:t xml:space="preserve">the </w:t>
      </w:r>
      <w:r w:rsidR="0062673F" w:rsidRPr="00936615">
        <w:t xml:space="preserve">RAA, </w:t>
      </w:r>
      <w:r w:rsidR="00A73A91" w:rsidRPr="00936615">
        <w:t>al</w:t>
      </w:r>
      <w:r w:rsidR="0062673F" w:rsidRPr="00936615">
        <w:t xml:space="preserve">though they have been </w:t>
      </w:r>
      <w:r w:rsidR="00A375B7" w:rsidRPr="00936615">
        <w:t>examined</w:t>
      </w:r>
      <w:r w:rsidR="0062673F" w:rsidRPr="00936615">
        <w:t xml:space="preserve"> in broader reviews, such as </w:t>
      </w:r>
      <w:r w:rsidR="0062673F" w:rsidRPr="00936615">
        <w:lastRenderedPageBreak/>
        <w:t xml:space="preserve">the Industry Commission’s inquiry into </w:t>
      </w:r>
      <w:r w:rsidR="0062673F" w:rsidRPr="00936615">
        <w:rPr>
          <w:i/>
        </w:rPr>
        <w:t xml:space="preserve">Impediments to Regional Industry Adjustment </w:t>
      </w:r>
      <w:r w:rsidR="00B17E49" w:rsidRPr="00B17E49">
        <w:rPr>
          <w:szCs w:val="24"/>
        </w:rPr>
        <w:t>(IC 1993)</w:t>
      </w:r>
      <w:r w:rsidR="0062673F" w:rsidRPr="00936615">
        <w:t>.</w:t>
      </w:r>
      <w:r w:rsidR="00A375B7" w:rsidRPr="00936615">
        <w:t xml:space="preserve"> </w:t>
      </w:r>
      <w:r w:rsidR="00003389" w:rsidRPr="00003389">
        <w:t xml:space="preserve">The Department of Social </w:t>
      </w:r>
      <w:r w:rsidR="009B31C1">
        <w:t>Security</w:t>
      </w:r>
      <w:r w:rsidR="009B31C1" w:rsidRPr="00003389">
        <w:t xml:space="preserve"> </w:t>
      </w:r>
      <w:r w:rsidR="00003389" w:rsidRPr="00003389">
        <w:t>prepared a discussion paper on the RAA in 1</w:t>
      </w:r>
      <w:r w:rsidR="00951BEF">
        <w:t>98</w:t>
      </w:r>
      <w:r w:rsidR="009B31C1">
        <w:t>9</w:t>
      </w:r>
      <w:r w:rsidR="004316FD">
        <w:t xml:space="preserve"> </w:t>
      </w:r>
      <w:r w:rsidR="00B17E49" w:rsidRPr="00B17E49">
        <w:rPr>
          <w:szCs w:val="24"/>
        </w:rPr>
        <w:t>(DSS 1989)</w:t>
      </w:r>
      <w:r w:rsidR="00003389" w:rsidRPr="00003389">
        <w:t>.</w:t>
      </w:r>
      <w:r w:rsidR="00A57C3E">
        <w:t xml:space="preserve"> </w:t>
      </w:r>
    </w:p>
    <w:p w14:paraId="46342437" w14:textId="19A20A42" w:rsidR="00975E2E" w:rsidRPr="00936615" w:rsidRDefault="00975E2E" w:rsidP="00506BE7">
      <w:pPr>
        <w:pStyle w:val="BodyText"/>
        <w:spacing w:line="264" w:lineRule="auto"/>
      </w:pPr>
      <w:r w:rsidRPr="00936615">
        <w:t xml:space="preserve">This study </w:t>
      </w:r>
      <w:r w:rsidR="000D6BD8" w:rsidRPr="00936615">
        <w:t xml:space="preserve">is </w:t>
      </w:r>
      <w:r w:rsidR="00B67889" w:rsidRPr="00936615">
        <w:t xml:space="preserve">one of a number of </w:t>
      </w:r>
      <w:r w:rsidR="002325DE" w:rsidRPr="00936615">
        <w:t xml:space="preserve">recent </w:t>
      </w:r>
      <w:r w:rsidR="00B67889" w:rsidRPr="00936615">
        <w:t>projects examin</w:t>
      </w:r>
      <w:r w:rsidR="00C51187" w:rsidRPr="00936615">
        <w:t>ing</w:t>
      </w:r>
      <w:r w:rsidR="00B67889" w:rsidRPr="00936615">
        <w:t xml:space="preserve"> </w:t>
      </w:r>
      <w:r w:rsidRPr="00936615">
        <w:t xml:space="preserve">economic </w:t>
      </w:r>
      <w:r w:rsidR="00A5320B" w:rsidRPr="00936615">
        <w:t>issues facing rural and regional Australia</w:t>
      </w:r>
      <w:r w:rsidRPr="00936615">
        <w:t>.</w:t>
      </w:r>
      <w:r w:rsidR="003541EE" w:rsidRPr="00936615">
        <w:t xml:space="preserve"> For example, the Australian Government released a white paper</w:t>
      </w:r>
      <w:r w:rsidR="000659B4" w:rsidRPr="00936615">
        <w:t xml:space="preserve"> in 2015</w:t>
      </w:r>
      <w:r w:rsidR="003541EE" w:rsidRPr="00936615">
        <w:t xml:space="preserve">, </w:t>
      </w:r>
      <w:r w:rsidRPr="00936615">
        <w:rPr>
          <w:i/>
        </w:rPr>
        <w:t>Our North, Our Future</w:t>
      </w:r>
      <w:r w:rsidRPr="00936615">
        <w:t>, outlining a policy framework for developing Northern Australia</w:t>
      </w:r>
      <w:r w:rsidR="00E13614" w:rsidRPr="00936615">
        <w:t xml:space="preserve"> </w:t>
      </w:r>
      <w:r w:rsidR="00B17E49" w:rsidRPr="00B17E49">
        <w:rPr>
          <w:szCs w:val="24"/>
        </w:rPr>
        <w:t>(Australian Government 2015)</w:t>
      </w:r>
      <w:r w:rsidRPr="00936615">
        <w:t xml:space="preserve">. </w:t>
      </w:r>
      <w:r w:rsidR="003541EE" w:rsidRPr="00936615">
        <w:t xml:space="preserve">More recently, </w:t>
      </w:r>
      <w:r w:rsidR="005555E5">
        <w:t xml:space="preserve">in 2018, </w:t>
      </w:r>
      <w:r w:rsidR="000D6BD8" w:rsidRPr="00936615">
        <w:t>the Australian Senate</w:t>
      </w:r>
      <w:r w:rsidR="000659B4" w:rsidRPr="00936615" w:rsidDel="005555E5">
        <w:t xml:space="preserve"> </w:t>
      </w:r>
      <w:r w:rsidR="000D6BD8" w:rsidRPr="00936615">
        <w:t>referred an inquiry into the indicators</w:t>
      </w:r>
      <w:r w:rsidR="003541EE" w:rsidRPr="00936615">
        <w:t xml:space="preserve"> and impact of</w:t>
      </w:r>
      <w:r w:rsidR="000D6BD8" w:rsidRPr="00936615">
        <w:t xml:space="preserve"> regional inequality in Australia to the Senate Economics References Committee for inquiry and report in </w:t>
      </w:r>
      <w:r w:rsidR="004167CC" w:rsidRPr="00936615">
        <w:t xml:space="preserve">June </w:t>
      </w:r>
      <w:r w:rsidR="000D6BD8" w:rsidRPr="00936615">
        <w:t>2019.</w:t>
      </w:r>
      <w:r w:rsidR="00B67889" w:rsidRPr="00936615">
        <w:t xml:space="preserve"> </w:t>
      </w:r>
    </w:p>
    <w:p w14:paraId="613F7577" w14:textId="580665FE" w:rsidR="00232913" w:rsidRPr="00936615" w:rsidRDefault="0069693F" w:rsidP="00506BE7">
      <w:pPr>
        <w:pStyle w:val="BodyText"/>
        <w:spacing w:line="264" w:lineRule="auto"/>
      </w:pPr>
      <w:r>
        <w:t>D</w:t>
      </w:r>
      <w:r w:rsidR="00232913" w:rsidRPr="00936615">
        <w:t xml:space="preserve">ue to this </w:t>
      </w:r>
      <w:r w:rsidR="00EE79E6" w:rsidRPr="00936615">
        <w:t>study</w:t>
      </w:r>
      <w:r w:rsidR="00232913" w:rsidRPr="00936615">
        <w:t xml:space="preserve">’s focus on remote areas, </w:t>
      </w:r>
      <w:r w:rsidR="00A35963">
        <w:t>we will</w:t>
      </w:r>
      <w:r w:rsidR="00232913" w:rsidRPr="00936615">
        <w:t xml:space="preserve"> evaluate the effects of </w:t>
      </w:r>
      <w:r w:rsidR="00D14544" w:rsidRPr="00936615">
        <w:t xml:space="preserve">remote area tax concessions and payments </w:t>
      </w:r>
      <w:r w:rsidR="00232913" w:rsidRPr="00936615">
        <w:t>o</w:t>
      </w:r>
      <w:r w:rsidR="00823F2F" w:rsidRPr="00936615">
        <w:t xml:space="preserve">n remote </w:t>
      </w:r>
      <w:r w:rsidR="00EE79E6" w:rsidRPr="00936615">
        <w:t>I</w:t>
      </w:r>
      <w:r w:rsidR="00823F2F" w:rsidRPr="00936615">
        <w:t>ndigenous communities,</w:t>
      </w:r>
      <w:r w:rsidR="00232913" w:rsidRPr="00936615">
        <w:t xml:space="preserve"> as well as </w:t>
      </w:r>
      <w:r w:rsidR="00EE79E6" w:rsidRPr="00936615">
        <w:t>any</w:t>
      </w:r>
      <w:r w:rsidR="00232913" w:rsidRPr="00936615">
        <w:t xml:space="preserve"> interaction with other government policies </w:t>
      </w:r>
      <w:r w:rsidR="00D14544" w:rsidRPr="00936615">
        <w:t>designed to assist</w:t>
      </w:r>
      <w:r w:rsidR="000473E1" w:rsidRPr="00936615">
        <w:t xml:space="preserve"> those communities</w:t>
      </w:r>
      <w:r w:rsidR="00232913" w:rsidRPr="00936615">
        <w:t>.</w:t>
      </w:r>
      <w:r w:rsidR="00664900">
        <w:t xml:space="preserve"> </w:t>
      </w:r>
    </w:p>
    <w:p w14:paraId="2109E18A" w14:textId="36306D8D" w:rsidR="005925B0" w:rsidRPr="00936615" w:rsidRDefault="00AF1567" w:rsidP="00A13EA3">
      <w:pPr>
        <w:pStyle w:val="Heading2"/>
        <w:rPr>
          <w:noProof/>
        </w:rPr>
      </w:pPr>
      <w:bookmarkStart w:id="35" w:name="_Toc2093104"/>
      <w:bookmarkStart w:id="36" w:name="_Toc2152541"/>
      <w:bookmarkStart w:id="37" w:name="_Toc2773711"/>
      <w:bookmarkStart w:id="38" w:name="_Toc2774005"/>
      <w:bookmarkStart w:id="39" w:name="_Toc2855499"/>
      <w:bookmarkStart w:id="40" w:name="_Toc1739537"/>
      <w:bookmarkStart w:id="41" w:name="_Toc1742362"/>
      <w:bookmarkStart w:id="42" w:name="_Toc1742426"/>
      <w:bookmarkStart w:id="43" w:name="_Toc1744723"/>
      <w:bookmarkStart w:id="44" w:name="_Toc1744812"/>
      <w:bookmarkStart w:id="45" w:name="_Toc1746188"/>
      <w:r>
        <w:rPr>
          <w:noProof/>
        </w:rPr>
        <w:t>3</w:t>
      </w:r>
      <w:r w:rsidR="00A13EA3" w:rsidRPr="00936615">
        <w:rPr>
          <w:noProof/>
        </w:rPr>
        <w:tab/>
      </w:r>
      <w:r w:rsidR="00741BE2" w:rsidRPr="00936615">
        <w:rPr>
          <w:noProof/>
        </w:rPr>
        <w:t>The Commission’s</w:t>
      </w:r>
      <w:r w:rsidR="00A35963">
        <w:rPr>
          <w:noProof/>
        </w:rPr>
        <w:t xml:space="preserve"> analytical</w:t>
      </w:r>
      <w:r w:rsidR="00741BE2" w:rsidRPr="00936615">
        <w:rPr>
          <w:noProof/>
        </w:rPr>
        <w:t xml:space="preserve"> </w:t>
      </w:r>
      <w:r w:rsidR="0079189D" w:rsidRPr="00936615">
        <w:rPr>
          <w:noProof/>
        </w:rPr>
        <w:t>approach</w:t>
      </w:r>
      <w:bookmarkEnd w:id="35"/>
      <w:bookmarkEnd w:id="36"/>
      <w:bookmarkEnd w:id="37"/>
      <w:bookmarkEnd w:id="38"/>
      <w:bookmarkEnd w:id="39"/>
      <w:r w:rsidR="000F35CD" w:rsidRPr="00936615">
        <w:rPr>
          <w:noProof/>
        </w:rPr>
        <w:t xml:space="preserve"> </w:t>
      </w:r>
      <w:bookmarkEnd w:id="40"/>
      <w:bookmarkEnd w:id="41"/>
      <w:bookmarkEnd w:id="42"/>
      <w:bookmarkEnd w:id="43"/>
      <w:bookmarkEnd w:id="44"/>
      <w:bookmarkEnd w:id="45"/>
    </w:p>
    <w:p w14:paraId="74AFF427" w14:textId="1AA38B6C" w:rsidR="00AC13F1" w:rsidRPr="00936615" w:rsidRDefault="00AC13F1" w:rsidP="00AC13F1">
      <w:pPr>
        <w:pStyle w:val="BodyText"/>
      </w:pPr>
      <w:r w:rsidRPr="00936615">
        <w:t>In essence, the terms of reference ask us to look at:</w:t>
      </w:r>
    </w:p>
    <w:p w14:paraId="67EA4DF2" w14:textId="1F6D2FA6" w:rsidR="00617AEA" w:rsidRPr="00936615" w:rsidRDefault="00617AEA" w:rsidP="00AC13F1">
      <w:pPr>
        <w:pStyle w:val="ListBullet"/>
      </w:pPr>
      <w:r w:rsidRPr="00936615">
        <w:t>the economic and employment impacts of the ZTO, FBT remote area concessions, and RAA</w:t>
      </w:r>
    </w:p>
    <w:p w14:paraId="0E274B2F" w14:textId="3AC3A515" w:rsidR="00AC13F1" w:rsidRPr="00936615" w:rsidRDefault="00AC13F1" w:rsidP="00AC13F1">
      <w:pPr>
        <w:pStyle w:val="ListBullet"/>
      </w:pPr>
      <w:r w:rsidRPr="00936615">
        <w:t xml:space="preserve">whether the </w:t>
      </w:r>
      <w:r w:rsidR="00451FFE" w:rsidRPr="00936615">
        <w:t>ZTO</w:t>
      </w:r>
      <w:r w:rsidRPr="00936615">
        <w:t xml:space="preserve">, FBT remote area concessions, and </w:t>
      </w:r>
      <w:r w:rsidR="00451FFE" w:rsidRPr="00936615">
        <w:t>RAA</w:t>
      </w:r>
      <w:r w:rsidRPr="00936615">
        <w:t xml:space="preserve"> are delivering on their policy objectives </w:t>
      </w:r>
    </w:p>
    <w:p w14:paraId="4C908E3B" w14:textId="2DA2B7CB" w:rsidR="00AC13F1" w:rsidRPr="00936615" w:rsidRDefault="00AC13F1" w:rsidP="00AC13F1">
      <w:pPr>
        <w:pStyle w:val="ListBullet"/>
      </w:pPr>
      <w:r w:rsidRPr="00936615">
        <w:t>whether those objectives remain appropriate — in other words, whether special assistance for living</w:t>
      </w:r>
      <w:r w:rsidR="006A7B78" w:rsidRPr="00936615">
        <w:t xml:space="preserve"> or </w:t>
      </w:r>
      <w:r w:rsidRPr="00936615">
        <w:t>operating in remote areas is warranted</w:t>
      </w:r>
    </w:p>
    <w:p w14:paraId="23BABEE6" w14:textId="30DC57F1" w:rsidR="00AC13F1" w:rsidRPr="00936615" w:rsidRDefault="00AC13F1" w:rsidP="000F35CD">
      <w:pPr>
        <w:pStyle w:val="ListBullet"/>
      </w:pPr>
      <w:r w:rsidRPr="00936615">
        <w:t>if it is, the appropriate form of that assistance</w:t>
      </w:r>
      <w:r w:rsidR="000B0C14" w:rsidRPr="00936615">
        <w:t>, including whether other instruments may better achieve those objectives for remote areas.</w:t>
      </w:r>
    </w:p>
    <w:p w14:paraId="3428F885" w14:textId="37AE894C" w:rsidR="00B554D6" w:rsidRDefault="00F34A38" w:rsidP="003B1781">
      <w:pPr>
        <w:pStyle w:val="BodyText"/>
        <w:spacing w:line="264" w:lineRule="auto"/>
      </w:pPr>
      <w:r w:rsidRPr="00936615">
        <w:t xml:space="preserve">In </w:t>
      </w:r>
      <w:r w:rsidR="00976EEA" w:rsidRPr="00936615">
        <w:t xml:space="preserve">making such </w:t>
      </w:r>
      <w:r w:rsidRPr="00936615">
        <w:t>assessment</w:t>
      </w:r>
      <w:r w:rsidR="00976EEA" w:rsidRPr="00936615">
        <w:t>s</w:t>
      </w:r>
      <w:r w:rsidRPr="00936615">
        <w:t>, the Commission will take a community</w:t>
      </w:r>
      <w:r w:rsidR="00664900">
        <w:noBreakHyphen/>
      </w:r>
      <w:r w:rsidRPr="00936615">
        <w:t>wide perspective</w:t>
      </w:r>
      <w:r w:rsidR="0004757D" w:rsidRPr="00936615">
        <w:t xml:space="preserve"> as required by the </w:t>
      </w:r>
      <w:r w:rsidR="0004757D" w:rsidRPr="00936615">
        <w:rPr>
          <w:i/>
          <w:iCs/>
        </w:rPr>
        <w:t>Productivity Commission Act 1998</w:t>
      </w:r>
      <w:r w:rsidRPr="00936615">
        <w:t xml:space="preserve">. </w:t>
      </w:r>
      <w:r w:rsidR="0004757D" w:rsidRPr="00936615">
        <w:t xml:space="preserve">Thus, although </w:t>
      </w:r>
      <w:r w:rsidRPr="00936615">
        <w:t xml:space="preserve">the terms of reference require that </w:t>
      </w:r>
      <w:r w:rsidR="00102338" w:rsidRPr="00936615">
        <w:t xml:space="preserve">we have </w:t>
      </w:r>
      <w:r w:rsidRPr="00936615">
        <w:t xml:space="preserve">regard to the </w:t>
      </w:r>
      <w:r w:rsidR="003A7301" w:rsidRPr="00936615">
        <w:t xml:space="preserve">economic and employment </w:t>
      </w:r>
      <w:r w:rsidR="00880709" w:rsidRPr="00936615">
        <w:t>impacts of</w:t>
      </w:r>
      <w:r w:rsidRPr="00936615">
        <w:t xml:space="preserve"> remote </w:t>
      </w:r>
      <w:r w:rsidR="00714DA9" w:rsidRPr="00936615">
        <w:t xml:space="preserve">area </w:t>
      </w:r>
      <w:r w:rsidRPr="00936615">
        <w:t xml:space="preserve">tax </w:t>
      </w:r>
      <w:r w:rsidR="00714DA9" w:rsidRPr="00936615">
        <w:t>concessions and payments</w:t>
      </w:r>
      <w:r w:rsidR="00880709" w:rsidRPr="00936615">
        <w:t xml:space="preserve"> i</w:t>
      </w:r>
      <w:r w:rsidR="00714DA9" w:rsidRPr="00936615">
        <w:t>n regional Australia</w:t>
      </w:r>
      <w:r w:rsidR="0004757D" w:rsidRPr="00936615">
        <w:t>, the Commission will</w:t>
      </w:r>
      <w:r w:rsidR="00021720" w:rsidRPr="00936615">
        <w:t xml:space="preserve"> also consider broader </w:t>
      </w:r>
      <w:r w:rsidR="005C4B37" w:rsidRPr="00936615">
        <w:t xml:space="preserve">impacts on </w:t>
      </w:r>
      <w:r w:rsidR="008E1599" w:rsidRPr="00936615">
        <w:t>other parts of the community</w:t>
      </w:r>
      <w:r w:rsidR="00021720" w:rsidRPr="00936615">
        <w:t xml:space="preserve">, </w:t>
      </w:r>
      <w:r w:rsidR="009A2821" w:rsidRPr="00936615">
        <w:t xml:space="preserve">such as </w:t>
      </w:r>
      <w:r w:rsidR="00021720" w:rsidRPr="00936615">
        <w:t>forgone tax revenue</w:t>
      </w:r>
      <w:r w:rsidR="00A37A9B" w:rsidRPr="00936615">
        <w:t xml:space="preserve"> or increase</w:t>
      </w:r>
      <w:r w:rsidR="000B2DD6" w:rsidRPr="00936615">
        <w:t>d</w:t>
      </w:r>
      <w:r w:rsidR="00A37A9B" w:rsidRPr="00936615">
        <w:t xml:space="preserve"> </w:t>
      </w:r>
      <w:r w:rsidR="000B2DD6" w:rsidRPr="00936615">
        <w:t xml:space="preserve">government </w:t>
      </w:r>
      <w:r w:rsidR="00A37A9B" w:rsidRPr="00936615">
        <w:t>outlays</w:t>
      </w:r>
      <w:r w:rsidR="00617038" w:rsidRPr="00936615">
        <w:t>.</w:t>
      </w:r>
      <w:r w:rsidR="00664900">
        <w:t xml:space="preserve"> </w:t>
      </w:r>
    </w:p>
    <w:p w14:paraId="622748A5" w14:textId="14EF2C03" w:rsidR="00387A60" w:rsidRPr="00936615" w:rsidRDefault="00387A60" w:rsidP="00387A60">
      <w:pPr>
        <w:pStyle w:val="BodyText"/>
        <w:rPr>
          <w:szCs w:val="24"/>
        </w:rPr>
      </w:pPr>
      <w:r w:rsidRPr="00936615">
        <w:t xml:space="preserve">Accurately quantifying the effects of the </w:t>
      </w:r>
      <w:r w:rsidRPr="00936615" w:rsidDel="002613D4">
        <w:t>ZTO</w:t>
      </w:r>
      <w:r w:rsidRPr="00936615">
        <w:t>, FB</w:t>
      </w:r>
      <w:r w:rsidRPr="00936615">
        <w:rPr>
          <w:szCs w:val="24"/>
        </w:rPr>
        <w:t>T concessions and RAA is not straightforward. For one thing, these arrangements are often highly localised, and in many places the value of the benefits is now quite small, making it difficult to disentangle their effects from other factors. Data</w:t>
      </w:r>
      <w:r w:rsidRPr="00936615" w:rsidDel="005555E5">
        <w:rPr>
          <w:szCs w:val="24"/>
        </w:rPr>
        <w:t xml:space="preserve"> </w:t>
      </w:r>
      <w:r w:rsidRPr="00936615">
        <w:rPr>
          <w:szCs w:val="24"/>
        </w:rPr>
        <w:t>at the level of detail required to examine these policies are also hard to come by. In undertaking some initial consultations prior to the release of this issues paper, the Commission has been struck by how little is known about the operation of these arrangements and their impacts.</w:t>
      </w:r>
    </w:p>
    <w:p w14:paraId="181AC560" w14:textId="5767AA58" w:rsidR="00387A60" w:rsidRPr="00936615" w:rsidRDefault="00387A60" w:rsidP="00387A60">
      <w:pPr>
        <w:pStyle w:val="BodyText"/>
        <w:rPr>
          <w:szCs w:val="24"/>
        </w:rPr>
      </w:pPr>
      <w:r w:rsidRPr="00936615">
        <w:rPr>
          <w:szCs w:val="24"/>
        </w:rPr>
        <w:lastRenderedPageBreak/>
        <w:t xml:space="preserve">A recent study by Kettlewell and Yerokhin </w:t>
      </w:r>
      <w:r w:rsidR="00B17E49" w:rsidRPr="00B17E49">
        <w:t>(2017)</w:t>
      </w:r>
      <w:r w:rsidRPr="00936615">
        <w:rPr>
          <w:szCs w:val="24"/>
        </w:rPr>
        <w:t xml:space="preserve"> — which to our knowledge is the first and only evaluati</w:t>
      </w:r>
      <w:r w:rsidR="00897F3C">
        <w:rPr>
          <w:szCs w:val="24"/>
        </w:rPr>
        <w:t xml:space="preserve">on of the effects of the ZTO — </w:t>
      </w:r>
      <w:r w:rsidRPr="00936615">
        <w:rPr>
          <w:szCs w:val="24"/>
        </w:rPr>
        <w:t>found that the ZTO had a positive but temporary effect on population growth in the targeted areas. However,</w:t>
      </w:r>
      <w:r w:rsidRPr="00936615" w:rsidDel="00281BD2">
        <w:rPr>
          <w:szCs w:val="24"/>
        </w:rPr>
        <w:t xml:space="preserve"> </w:t>
      </w:r>
      <w:r w:rsidRPr="00936615">
        <w:rPr>
          <w:szCs w:val="24"/>
        </w:rPr>
        <w:t>that study focused on</w:t>
      </w:r>
      <w:r w:rsidRPr="00936615" w:rsidDel="00B0141E">
        <w:rPr>
          <w:szCs w:val="24"/>
        </w:rPr>
        <w:t xml:space="preserve"> </w:t>
      </w:r>
      <w:r w:rsidRPr="00936615">
        <w:rPr>
          <w:szCs w:val="24"/>
        </w:rPr>
        <w:t>a subset of localities on the border of Zone B during the post</w:t>
      </w:r>
      <w:r>
        <w:rPr>
          <w:szCs w:val="24"/>
        </w:rPr>
        <w:noBreakHyphen/>
      </w:r>
      <w:r w:rsidRPr="00936615">
        <w:rPr>
          <w:szCs w:val="24"/>
        </w:rPr>
        <w:t xml:space="preserve">World War </w:t>
      </w:r>
      <w:r>
        <w:rPr>
          <w:szCs w:val="24"/>
        </w:rPr>
        <w:t>Two</w:t>
      </w:r>
      <w:r w:rsidRPr="00936615">
        <w:rPr>
          <w:szCs w:val="24"/>
        </w:rPr>
        <w:t xml:space="preserve"> period, when the real value of the offset in that zone was much higher than it is today.</w:t>
      </w:r>
    </w:p>
    <w:p w14:paraId="3EF47545" w14:textId="521B1CA1" w:rsidR="00387A60" w:rsidRPr="0004238F" w:rsidRDefault="00387A60" w:rsidP="003B1781">
      <w:pPr>
        <w:pStyle w:val="BodyText"/>
        <w:spacing w:line="264" w:lineRule="auto"/>
        <w:rPr>
          <w:spacing w:val="-2"/>
        </w:rPr>
      </w:pPr>
      <w:r w:rsidRPr="0004238F">
        <w:rPr>
          <w:spacing w:val="-2"/>
          <w:szCs w:val="24"/>
        </w:rPr>
        <w:t xml:space="preserve">Given these challenges, the Commission intends to investigate multiple analytical approaches to the evidence, </w:t>
      </w:r>
      <w:r w:rsidR="00F93B27" w:rsidRPr="0004238F">
        <w:rPr>
          <w:spacing w:val="-2"/>
          <w:szCs w:val="24"/>
        </w:rPr>
        <w:t>including modelling,</w:t>
      </w:r>
      <w:r w:rsidRPr="0004238F">
        <w:rPr>
          <w:spacing w:val="-2"/>
          <w:szCs w:val="24"/>
        </w:rPr>
        <w:t xml:space="preserve"> statistical </w:t>
      </w:r>
      <w:r w:rsidR="00F93B27" w:rsidRPr="0004238F">
        <w:rPr>
          <w:spacing w:val="-2"/>
          <w:szCs w:val="24"/>
        </w:rPr>
        <w:t xml:space="preserve">analyses and </w:t>
      </w:r>
      <w:r w:rsidRPr="0004238F">
        <w:rPr>
          <w:spacing w:val="-2"/>
          <w:szCs w:val="24"/>
        </w:rPr>
        <w:t xml:space="preserve">case studies. For example, the Commission’s </w:t>
      </w:r>
      <w:r w:rsidRPr="0004238F">
        <w:rPr>
          <w:i/>
          <w:spacing w:val="-2"/>
          <w:szCs w:val="24"/>
        </w:rPr>
        <w:t>Geographic Labour Mobility</w:t>
      </w:r>
      <w:r w:rsidRPr="0004238F">
        <w:rPr>
          <w:spacing w:val="-2"/>
          <w:szCs w:val="24"/>
        </w:rPr>
        <w:t xml:space="preserve"> study includes quantitative </w:t>
      </w:r>
      <w:r w:rsidRPr="0004238F">
        <w:rPr>
          <w:spacing w:val="-2"/>
        </w:rPr>
        <w:t xml:space="preserve">analysis that provides some insight into the ‘locational responsiveness’ of workers to a small increment in their wages, and/or of employers to a small reduction in their labour costs </w:t>
      </w:r>
      <w:r w:rsidR="00B17E49" w:rsidRPr="0004238F">
        <w:rPr>
          <w:spacing w:val="-2"/>
          <w:szCs w:val="24"/>
        </w:rPr>
        <w:t>(PC 2014)</w:t>
      </w:r>
      <w:r w:rsidRPr="0004238F">
        <w:rPr>
          <w:spacing w:val="-2"/>
        </w:rPr>
        <w:t>.</w:t>
      </w:r>
    </w:p>
    <w:p w14:paraId="1C2E0C48" w14:textId="7A94D861" w:rsidR="002B4960" w:rsidRDefault="005E37CC" w:rsidP="003B1781">
      <w:pPr>
        <w:pStyle w:val="BodyText"/>
        <w:spacing w:line="264" w:lineRule="auto"/>
      </w:pPr>
      <w:r w:rsidRPr="00936615">
        <w:t xml:space="preserve">In assessing specific </w:t>
      </w:r>
      <w:r w:rsidR="00A37A9B" w:rsidRPr="00936615">
        <w:t xml:space="preserve">forms of assistance and </w:t>
      </w:r>
      <w:r w:rsidR="00F54E84" w:rsidRPr="00936615">
        <w:t xml:space="preserve">reform options, </w:t>
      </w:r>
      <w:r w:rsidRPr="00936615">
        <w:t>t</w:t>
      </w:r>
      <w:r w:rsidR="00704DCD" w:rsidRPr="00936615">
        <w:t xml:space="preserve">he Commission will </w:t>
      </w:r>
      <w:r w:rsidR="00613F30">
        <w:t xml:space="preserve">also </w:t>
      </w:r>
      <w:r w:rsidRPr="00936615">
        <w:t xml:space="preserve">draw on findings from past </w:t>
      </w:r>
      <w:r w:rsidR="00A37A9B" w:rsidRPr="00936615">
        <w:t xml:space="preserve">Australian and international </w:t>
      </w:r>
      <w:r w:rsidRPr="00936615">
        <w:t>studies</w:t>
      </w:r>
      <w:r w:rsidR="00A37A9B" w:rsidRPr="00936615">
        <w:t xml:space="preserve"> on regional development</w:t>
      </w:r>
      <w:r w:rsidRPr="00936615">
        <w:t xml:space="preserve">, such as the Commission’s </w:t>
      </w:r>
      <w:r w:rsidR="00027A73" w:rsidRPr="00936615">
        <w:t xml:space="preserve">reports on </w:t>
      </w:r>
      <w:r w:rsidRPr="00936615">
        <w:rPr>
          <w:i/>
        </w:rPr>
        <w:t>Transitioning Regional Economies</w:t>
      </w:r>
      <w:r w:rsidRPr="00936615">
        <w:t xml:space="preserve"> </w:t>
      </w:r>
      <w:r w:rsidR="00B17E49" w:rsidRPr="00B17E49">
        <w:t>(2017)</w:t>
      </w:r>
      <w:r w:rsidR="00E13614" w:rsidRPr="00936615">
        <w:t xml:space="preserve"> </w:t>
      </w:r>
      <w:r w:rsidR="002A4971" w:rsidRPr="00936615">
        <w:t xml:space="preserve">and </w:t>
      </w:r>
      <w:r w:rsidR="002A4971" w:rsidRPr="00936615">
        <w:rPr>
          <w:i/>
        </w:rPr>
        <w:t>Geographic Labour Mobility</w:t>
      </w:r>
      <w:r w:rsidR="002A4971" w:rsidRPr="00936615">
        <w:t xml:space="preserve"> </w:t>
      </w:r>
      <w:r w:rsidR="00B17E49" w:rsidRPr="00B17E49">
        <w:t>(2014)</w:t>
      </w:r>
      <w:r w:rsidR="00102338" w:rsidRPr="00936615">
        <w:t>. We will also</w:t>
      </w:r>
      <w:r w:rsidRPr="00936615">
        <w:t xml:space="preserve"> </w:t>
      </w:r>
      <w:r w:rsidR="00102338" w:rsidRPr="00936615">
        <w:t xml:space="preserve">draw on </w:t>
      </w:r>
      <w:r w:rsidR="005008D4" w:rsidRPr="00936615">
        <w:t>a</w:t>
      </w:r>
      <w:r w:rsidR="00F54E84" w:rsidRPr="00936615">
        <w:t xml:space="preserve"> well</w:t>
      </w:r>
      <w:r w:rsidR="00664900">
        <w:noBreakHyphen/>
      </w:r>
      <w:r w:rsidR="00F54E84" w:rsidRPr="00936615">
        <w:t>established literature</w:t>
      </w:r>
      <w:r w:rsidRPr="00936615">
        <w:t xml:space="preserve"> </w:t>
      </w:r>
      <w:r w:rsidR="006868A0" w:rsidRPr="00936615">
        <w:t xml:space="preserve">on </w:t>
      </w:r>
      <w:r w:rsidRPr="00936615">
        <w:t xml:space="preserve">good </w:t>
      </w:r>
      <w:r w:rsidR="004A32C8" w:rsidRPr="00936615">
        <w:t xml:space="preserve">policy and tax system </w:t>
      </w:r>
      <w:r w:rsidRPr="00936615">
        <w:t>design</w:t>
      </w:r>
      <w:r w:rsidR="00B46ECD" w:rsidRPr="00936615">
        <w:t>, which emphasise</w:t>
      </w:r>
      <w:r w:rsidR="006868A0" w:rsidRPr="00936615">
        <w:t>s</w:t>
      </w:r>
      <w:r w:rsidR="00B46ECD" w:rsidRPr="00936615">
        <w:t xml:space="preserve"> principles such as </w:t>
      </w:r>
      <w:r w:rsidR="00B46ECD" w:rsidRPr="00936615">
        <w:rPr>
          <w:b/>
        </w:rPr>
        <w:t>efficiency</w:t>
      </w:r>
      <w:r w:rsidR="00B46ECD" w:rsidRPr="00936615">
        <w:t xml:space="preserve">, </w:t>
      </w:r>
      <w:r w:rsidR="00292FB9" w:rsidRPr="00936615">
        <w:rPr>
          <w:b/>
        </w:rPr>
        <w:t xml:space="preserve">equity </w:t>
      </w:r>
      <w:r w:rsidR="00B46ECD" w:rsidRPr="00936615">
        <w:t xml:space="preserve">and </w:t>
      </w:r>
      <w:r w:rsidR="00B46ECD" w:rsidRPr="00936615">
        <w:rPr>
          <w:b/>
        </w:rPr>
        <w:t>simplicity</w:t>
      </w:r>
      <w:r w:rsidR="00A37A9B" w:rsidRPr="00936615">
        <w:t xml:space="preserve"> (box</w:t>
      </w:r>
      <w:r w:rsidR="00102338" w:rsidRPr="00936615">
        <w:t> </w:t>
      </w:r>
      <w:r w:rsidR="0095280C">
        <w:t>2</w:t>
      </w:r>
      <w:r w:rsidR="00A37A9B" w:rsidRPr="00936615">
        <w:t>).</w:t>
      </w:r>
      <w:r w:rsidR="005008D4" w:rsidRPr="00936615">
        <w:t xml:space="preserve"> </w:t>
      </w:r>
    </w:p>
    <w:p w14:paraId="7E27607E" w14:textId="2A1C0AA8" w:rsidR="0095280C" w:rsidRPr="004E3B94" w:rsidRDefault="0095280C" w:rsidP="00387A6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5280C" w14:paraId="71BAB12F" w14:textId="77777777" w:rsidTr="00387A60">
        <w:trPr>
          <w:tblHeader/>
        </w:trPr>
        <w:tc>
          <w:tcPr>
            <w:tcW w:w="5000" w:type="pct"/>
            <w:tcBorders>
              <w:top w:val="single" w:sz="6" w:space="0" w:color="78A22F"/>
              <w:left w:val="nil"/>
              <w:bottom w:val="nil"/>
              <w:right w:val="nil"/>
            </w:tcBorders>
            <w:shd w:val="clear" w:color="auto" w:fill="auto"/>
          </w:tcPr>
          <w:p w14:paraId="47ADCDBD" w14:textId="77777777" w:rsidR="0095280C" w:rsidRPr="00CE4C64" w:rsidRDefault="0095280C" w:rsidP="00387A60">
            <w:pPr>
              <w:pStyle w:val="InformationRequestTitle"/>
              <w:spacing w:before="120"/>
            </w:pPr>
            <w:r w:rsidRPr="006E7EE2">
              <w:t>Information request</w:t>
            </w:r>
          </w:p>
        </w:tc>
      </w:tr>
      <w:tr w:rsidR="0095280C" w:rsidRPr="00750BE2" w14:paraId="1AF88578" w14:textId="77777777" w:rsidTr="00387A60">
        <w:tc>
          <w:tcPr>
            <w:tcW w:w="5000" w:type="pct"/>
            <w:tcBorders>
              <w:top w:val="nil"/>
              <w:left w:val="nil"/>
              <w:bottom w:val="nil"/>
              <w:right w:val="nil"/>
            </w:tcBorders>
            <w:shd w:val="clear" w:color="auto" w:fill="auto"/>
          </w:tcPr>
          <w:p w14:paraId="2D6B44EE" w14:textId="632176A1" w:rsidR="00806306" w:rsidRDefault="00806306" w:rsidP="00387A60">
            <w:pPr>
              <w:pStyle w:val="InformationRequest"/>
              <w:keepNext/>
            </w:pPr>
            <w:r w:rsidRPr="00936615">
              <w:t xml:space="preserve">The Commission </w:t>
            </w:r>
            <w:r>
              <w:t>invites feedback and input on our analytical approach including:</w:t>
            </w:r>
          </w:p>
          <w:p w14:paraId="042D703B" w14:textId="5F43B48E" w:rsidR="00806306" w:rsidRDefault="00806306" w:rsidP="00226616">
            <w:pPr>
              <w:pStyle w:val="InformationRequestBullet"/>
            </w:pPr>
            <w:r>
              <w:t xml:space="preserve">our proposed </w:t>
            </w:r>
            <w:r w:rsidR="00C71BD2">
              <w:t xml:space="preserve">approach to </w:t>
            </w:r>
            <w:r>
              <w:t xml:space="preserve">analysis </w:t>
            </w:r>
          </w:p>
          <w:p w14:paraId="222C5D00" w14:textId="027D1AC1" w:rsidR="0095280C" w:rsidRPr="006E7EE2" w:rsidRDefault="00BA56F8" w:rsidP="006548D2">
            <w:pPr>
              <w:pStyle w:val="InformationRequestBullet"/>
            </w:pPr>
            <w:r>
              <w:t>Australian or international studies that may be relevant for our analysis</w:t>
            </w:r>
            <w:r w:rsidR="007C126C">
              <w:t>.</w:t>
            </w:r>
          </w:p>
        </w:tc>
      </w:tr>
      <w:tr w:rsidR="0095280C" w14:paraId="68DBFD8A" w14:textId="77777777" w:rsidTr="00387A60">
        <w:tc>
          <w:tcPr>
            <w:tcW w:w="5000" w:type="pct"/>
            <w:tcBorders>
              <w:top w:val="nil"/>
              <w:left w:val="nil"/>
              <w:bottom w:val="single" w:sz="6" w:space="0" w:color="78A22F"/>
              <w:right w:val="nil"/>
            </w:tcBorders>
            <w:shd w:val="clear" w:color="auto" w:fill="auto"/>
          </w:tcPr>
          <w:p w14:paraId="4B251679" w14:textId="77777777" w:rsidR="0095280C" w:rsidRDefault="0095280C" w:rsidP="00B83739">
            <w:pPr>
              <w:pStyle w:val="Space"/>
              <w:keepLines/>
              <w:spacing w:after="0"/>
            </w:pPr>
          </w:p>
        </w:tc>
      </w:tr>
      <w:tr w:rsidR="0095280C" w:rsidRPr="000863A5" w14:paraId="76EBF893" w14:textId="77777777" w:rsidTr="00387A60">
        <w:tc>
          <w:tcPr>
            <w:tcW w:w="5000" w:type="pct"/>
            <w:tcBorders>
              <w:top w:val="single" w:sz="6" w:space="0" w:color="78A22F"/>
              <w:left w:val="nil"/>
              <w:bottom w:val="nil"/>
              <w:right w:val="nil"/>
            </w:tcBorders>
          </w:tcPr>
          <w:p w14:paraId="5A9A9250" w14:textId="10D195EB" w:rsidR="0095280C" w:rsidRPr="00626D32" w:rsidRDefault="0095280C" w:rsidP="00387A60">
            <w:pPr>
              <w:pStyle w:val="BoxSpaceBelow"/>
              <w:keepLines/>
            </w:pPr>
          </w:p>
        </w:tc>
      </w:tr>
    </w:tbl>
    <w:p w14:paraId="54681F72" w14:textId="53710567" w:rsidR="00FC3A5E" w:rsidRPr="00936615" w:rsidRDefault="00FC3A5E" w:rsidP="00FC3A5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2B4960" w:rsidRPr="00936615" w14:paraId="070A61CE" w14:textId="77777777" w:rsidTr="004F7141">
        <w:trPr>
          <w:tblHeader/>
        </w:trPr>
        <w:tc>
          <w:tcPr>
            <w:tcW w:w="5000" w:type="pct"/>
            <w:tcBorders>
              <w:top w:val="single" w:sz="6" w:space="0" w:color="78A22F"/>
              <w:left w:val="nil"/>
              <w:bottom w:val="nil"/>
              <w:right w:val="nil"/>
            </w:tcBorders>
            <w:shd w:val="clear" w:color="auto" w:fill="F2F2F2"/>
          </w:tcPr>
          <w:p w14:paraId="2D99F9A1" w14:textId="1ADC5FEF" w:rsidR="002B4960" w:rsidRPr="00936615" w:rsidRDefault="002B4960" w:rsidP="002357CD">
            <w:pPr>
              <w:pStyle w:val="BoxTitle"/>
            </w:pPr>
            <w:r w:rsidRPr="00936615">
              <w:rPr>
                <w:b w:val="0"/>
              </w:rPr>
              <w:t xml:space="preserve">Box </w:t>
            </w:r>
            <w:r w:rsidR="00AF1567">
              <w:rPr>
                <w:b w:val="0"/>
                <w:noProof/>
              </w:rPr>
              <w:t>2</w:t>
            </w:r>
            <w:r w:rsidRPr="00936615">
              <w:tab/>
            </w:r>
            <w:r w:rsidR="008203D7" w:rsidRPr="00936615">
              <w:t>T</w:t>
            </w:r>
            <w:r w:rsidR="00336B17" w:rsidRPr="00936615">
              <w:t xml:space="preserve">ax and transfer </w:t>
            </w:r>
            <w:r w:rsidR="006D3EA9" w:rsidRPr="00936615">
              <w:t>design</w:t>
            </w:r>
            <w:r w:rsidR="008203D7" w:rsidRPr="00936615">
              <w:t xml:space="preserve"> principles and </w:t>
            </w:r>
            <w:r w:rsidR="00F7259D" w:rsidRPr="00936615">
              <w:t>good</w:t>
            </w:r>
            <w:r w:rsidR="008203D7" w:rsidRPr="00936615">
              <w:t xml:space="preserve"> policy design</w:t>
            </w:r>
          </w:p>
        </w:tc>
      </w:tr>
      <w:tr w:rsidR="002B4960" w:rsidRPr="00936615" w14:paraId="1402ED2A" w14:textId="77777777" w:rsidTr="004F7141">
        <w:tc>
          <w:tcPr>
            <w:tcW w:w="5000" w:type="pct"/>
            <w:tcBorders>
              <w:top w:val="nil"/>
              <w:left w:val="nil"/>
              <w:bottom w:val="nil"/>
              <w:right w:val="nil"/>
            </w:tcBorders>
            <w:shd w:val="clear" w:color="auto" w:fill="F2F2F2"/>
          </w:tcPr>
          <w:p w14:paraId="1CEE51BE" w14:textId="1D3BD13B" w:rsidR="00250326" w:rsidRPr="00936615" w:rsidRDefault="00733F19" w:rsidP="00250326">
            <w:pPr>
              <w:pStyle w:val="Box"/>
            </w:pPr>
            <w:r w:rsidRPr="00936615">
              <w:t>In t</w:t>
            </w:r>
            <w:r w:rsidR="00250326" w:rsidRPr="00936615">
              <w:t>his stud</w:t>
            </w:r>
            <w:r w:rsidRPr="00936615">
              <w:t xml:space="preserve">y, </w:t>
            </w:r>
            <w:r w:rsidR="00250326" w:rsidRPr="00936615">
              <w:t xml:space="preserve">the Commission </w:t>
            </w:r>
            <w:r w:rsidRPr="00936615">
              <w:t xml:space="preserve">will need to engage with </w:t>
            </w:r>
            <w:r w:rsidR="008B16F1" w:rsidRPr="00936615">
              <w:t xml:space="preserve">fundamental questions about remote area tax concessions and payments (such as </w:t>
            </w:r>
            <w:r w:rsidR="005A3C89" w:rsidRPr="00936615">
              <w:t xml:space="preserve">the circumstances under which </w:t>
            </w:r>
            <w:r w:rsidR="002D0B13" w:rsidRPr="00936615">
              <w:t xml:space="preserve">special assistance for living or operating in remote areas is warranted) </w:t>
            </w:r>
            <w:r w:rsidRPr="00936615">
              <w:t>as well as</w:t>
            </w:r>
            <w:r w:rsidR="008B16F1" w:rsidRPr="00936615">
              <w:t xml:space="preserve"> detailed questions about </w:t>
            </w:r>
            <w:r w:rsidR="008E52B4" w:rsidRPr="00936615">
              <w:t xml:space="preserve">tax </w:t>
            </w:r>
            <w:r w:rsidR="008B16F1" w:rsidRPr="00936615">
              <w:t xml:space="preserve">design (such as </w:t>
            </w:r>
            <w:r w:rsidR="002D0B13" w:rsidRPr="00936615">
              <w:t xml:space="preserve">how to tailor </w:t>
            </w:r>
            <w:r w:rsidR="008B16F1" w:rsidRPr="00936615">
              <w:t>eligibility rules and rates</w:t>
            </w:r>
            <w:r w:rsidR="002D0B13" w:rsidRPr="00936615">
              <w:t xml:space="preserve"> so that assistance is well targeted</w:t>
            </w:r>
            <w:r w:rsidR="008B16F1" w:rsidRPr="00936615">
              <w:t xml:space="preserve">). </w:t>
            </w:r>
            <w:r w:rsidR="002D0B13" w:rsidRPr="00936615">
              <w:t xml:space="preserve">Addressing these </w:t>
            </w:r>
            <w:r w:rsidRPr="00936615">
              <w:t xml:space="preserve">types of </w:t>
            </w:r>
            <w:r w:rsidR="002D0B13" w:rsidRPr="00936615">
              <w:t xml:space="preserve">questions will require a </w:t>
            </w:r>
            <w:r w:rsidR="003A7301" w:rsidRPr="00936615">
              <w:t xml:space="preserve">flexible </w:t>
            </w:r>
            <w:r w:rsidR="002D0B13" w:rsidRPr="00936615">
              <w:t>approach</w:t>
            </w:r>
            <w:r w:rsidR="004552C5">
              <w:t xml:space="preserve"> which is</w:t>
            </w:r>
            <w:r w:rsidR="003A7301" w:rsidRPr="00936615" w:rsidDel="00034356">
              <w:t xml:space="preserve"> </w:t>
            </w:r>
            <w:r w:rsidR="002D0B13" w:rsidRPr="00936615" w:rsidDel="00034356">
              <w:t>fit for purpose</w:t>
            </w:r>
            <w:r w:rsidR="002D0B13" w:rsidRPr="00936615">
              <w:t xml:space="preserve">. </w:t>
            </w:r>
          </w:p>
          <w:p w14:paraId="25C0A71F" w14:textId="00C4E484" w:rsidR="00F744A6" w:rsidRPr="00936615" w:rsidRDefault="00F744A6" w:rsidP="00F744A6">
            <w:pPr>
              <w:pStyle w:val="BoxHeading1"/>
            </w:pPr>
            <w:r w:rsidRPr="00936615">
              <w:t>Design principles for the tax and transfer system</w:t>
            </w:r>
          </w:p>
          <w:p w14:paraId="6AD8235B" w14:textId="270793E3" w:rsidR="00F744A6" w:rsidRPr="00936615" w:rsidRDefault="002D0B13" w:rsidP="00F744A6">
            <w:pPr>
              <w:pStyle w:val="Box"/>
            </w:pPr>
            <w:r w:rsidRPr="00936615">
              <w:t xml:space="preserve">In assessing detailed tax design options, the Commission will </w:t>
            </w:r>
            <w:r w:rsidR="004A32C8" w:rsidRPr="00936615">
              <w:t xml:space="preserve">be able to </w:t>
            </w:r>
            <w:r w:rsidRPr="00936615">
              <w:t xml:space="preserve">draw on </w:t>
            </w:r>
            <w:r w:rsidR="0023530F">
              <w:t xml:space="preserve">a </w:t>
            </w:r>
            <w:r w:rsidRPr="00936615">
              <w:t>well</w:t>
            </w:r>
            <w:r w:rsidR="00664900">
              <w:noBreakHyphen/>
            </w:r>
            <w:r w:rsidRPr="00936615">
              <w:t>established literature on good</w:t>
            </w:r>
            <w:r w:rsidR="00DA06CD">
              <w:noBreakHyphen/>
            </w:r>
            <w:r w:rsidRPr="00936615">
              <w:t>practice</w:t>
            </w:r>
            <w:r w:rsidR="00102338" w:rsidRPr="00936615">
              <w:t xml:space="preserve"> tax design</w:t>
            </w:r>
            <w:r w:rsidRPr="00936615">
              <w:t>. For example, t</w:t>
            </w:r>
            <w:r w:rsidR="005A73D6" w:rsidRPr="00936615">
              <w:t>hree key d</w:t>
            </w:r>
            <w:r w:rsidR="00F744A6" w:rsidRPr="00936615">
              <w:t xml:space="preserve">esign principles </w:t>
            </w:r>
            <w:r w:rsidR="005A73D6" w:rsidRPr="00936615">
              <w:t xml:space="preserve">for </w:t>
            </w:r>
            <w:r w:rsidR="00F744A6" w:rsidRPr="00936615">
              <w:t>the tax</w:t>
            </w:r>
            <w:r w:rsidR="005A73D6" w:rsidRPr="00936615">
              <w:t xml:space="preserve"> and transfer system, a</w:t>
            </w:r>
            <w:r w:rsidR="00F744A6" w:rsidRPr="00936615">
              <w:t xml:space="preserve">s outlined in the Henry Tax Review </w:t>
            </w:r>
            <w:r w:rsidR="00B17E49" w:rsidRPr="00B17E49">
              <w:rPr>
                <w:rFonts w:cs="Arial"/>
              </w:rPr>
              <w:t>(2009)</w:t>
            </w:r>
            <w:r w:rsidR="005A73D6" w:rsidRPr="00936615">
              <w:t xml:space="preserve"> and the Asprey Review</w:t>
            </w:r>
            <w:r w:rsidR="00F53C5E" w:rsidRPr="00936615">
              <w:t xml:space="preserve"> </w:t>
            </w:r>
            <w:r w:rsidR="00B17E49" w:rsidRPr="00B17E49">
              <w:rPr>
                <w:rFonts w:cs="Arial"/>
              </w:rPr>
              <w:t>(1975)</w:t>
            </w:r>
            <w:r w:rsidR="00F744A6" w:rsidRPr="00936615">
              <w:t xml:space="preserve">, </w:t>
            </w:r>
            <w:r w:rsidR="005A73D6" w:rsidRPr="00936615">
              <w:t>are</w:t>
            </w:r>
            <w:r w:rsidR="00897F3C">
              <w:t>:</w:t>
            </w:r>
            <w:r w:rsidR="00F744A6" w:rsidRPr="00936615">
              <w:t xml:space="preserve"> </w:t>
            </w:r>
          </w:p>
          <w:p w14:paraId="3FD4E0E9" w14:textId="382B70AF" w:rsidR="002366EE" w:rsidRPr="00936615" w:rsidRDefault="00F744A6" w:rsidP="00F744A6">
            <w:pPr>
              <w:pStyle w:val="BoxListBullet"/>
            </w:pPr>
            <w:r w:rsidRPr="00936615">
              <w:rPr>
                <w:b/>
              </w:rPr>
              <w:t>Equity</w:t>
            </w:r>
            <w:r w:rsidR="00B15467">
              <w:t>: t</w:t>
            </w:r>
            <w:r w:rsidRPr="00936615">
              <w:t>he tax and transfer system should treat individuals with similar economic capacity in the same way, while those with greater capacity should bear a greater burden.</w:t>
            </w:r>
            <w:r w:rsidR="00F53C5E" w:rsidRPr="00936615">
              <w:t xml:space="preserve"> </w:t>
            </w:r>
          </w:p>
          <w:p w14:paraId="00D144C3" w14:textId="7CD02D12" w:rsidR="00F744A6" w:rsidRPr="00936615" w:rsidRDefault="003C00BD" w:rsidP="002366EE">
            <w:pPr>
              <w:pStyle w:val="BoxListBullet2"/>
            </w:pPr>
            <w:r w:rsidRPr="00936615">
              <w:t xml:space="preserve">For example, </w:t>
            </w:r>
            <w:r w:rsidR="00C82B24" w:rsidRPr="00936615">
              <w:t>a tax concession</w:t>
            </w:r>
            <w:r w:rsidR="00853B8D" w:rsidRPr="00936615">
              <w:t xml:space="preserve"> </w:t>
            </w:r>
            <w:r w:rsidR="00380A87" w:rsidRPr="00936615">
              <w:t xml:space="preserve">intended </w:t>
            </w:r>
            <w:r w:rsidR="00853B8D" w:rsidRPr="00936615">
              <w:t xml:space="preserve">to compensate for </w:t>
            </w:r>
            <w:r w:rsidR="00380A87" w:rsidRPr="00936615">
              <w:t xml:space="preserve">a particular </w:t>
            </w:r>
            <w:r w:rsidR="00DC1E6C" w:rsidRPr="00936615">
              <w:t>economic disadvantage</w:t>
            </w:r>
            <w:r w:rsidRPr="00936615">
              <w:t xml:space="preserve"> should be</w:t>
            </w:r>
            <w:r w:rsidR="00E87E45" w:rsidRPr="00936615">
              <w:t xml:space="preserve"> </w:t>
            </w:r>
            <w:r w:rsidR="00380A87" w:rsidRPr="00936615">
              <w:t xml:space="preserve">designed </w:t>
            </w:r>
            <w:r w:rsidRPr="00936615">
              <w:t>so that only</w:t>
            </w:r>
            <w:r w:rsidR="00BF04B2" w:rsidRPr="00936615">
              <w:t xml:space="preserve"> taxpayers affected by the disadvantage</w:t>
            </w:r>
            <w:r w:rsidRPr="00936615">
              <w:t xml:space="preserve"> can </w:t>
            </w:r>
            <w:r w:rsidR="00DC1E6C" w:rsidRPr="00936615">
              <w:t>benefit</w:t>
            </w:r>
            <w:r w:rsidR="00AD5F46" w:rsidRPr="00936615">
              <w:t xml:space="preserve"> from</w:t>
            </w:r>
            <w:r w:rsidRPr="00936615">
              <w:t xml:space="preserve"> it</w:t>
            </w:r>
            <w:r w:rsidR="00BF04B2" w:rsidRPr="00936615">
              <w:t>.</w:t>
            </w:r>
          </w:p>
          <w:p w14:paraId="5035DBD3" w14:textId="1C50C139" w:rsidR="002366EE" w:rsidRPr="00936615" w:rsidRDefault="00F744A6" w:rsidP="002366EE">
            <w:pPr>
              <w:pStyle w:val="BoxListBullet"/>
            </w:pPr>
            <w:r w:rsidRPr="00936615">
              <w:rPr>
                <w:b/>
              </w:rPr>
              <w:t>Efficiency</w:t>
            </w:r>
            <w:r w:rsidR="00B15467">
              <w:t>: t</w:t>
            </w:r>
            <w:r w:rsidRPr="00936615">
              <w:t xml:space="preserve">he tax and transfer system should </w:t>
            </w:r>
            <w:r w:rsidR="00815E3C" w:rsidRPr="00936615">
              <w:t>generally</w:t>
            </w:r>
            <w:r w:rsidRPr="00936615">
              <w:t xml:space="preserve"> raise and redistribute revenue at the least cost to economic efficiency and with minimal administration and compliance costs.</w:t>
            </w:r>
            <w:r w:rsidR="00005567" w:rsidRPr="00936615">
              <w:t xml:space="preserve"> </w:t>
            </w:r>
          </w:p>
          <w:p w14:paraId="5F09592C" w14:textId="4E987DDB" w:rsidR="002366EE" w:rsidRPr="00936615" w:rsidRDefault="002366EE" w:rsidP="00F7259D">
            <w:pPr>
              <w:pStyle w:val="BoxListBullet2"/>
            </w:pPr>
            <w:r w:rsidRPr="00936615">
              <w:t>T</w:t>
            </w:r>
            <w:r w:rsidR="00005567" w:rsidRPr="00936615">
              <w:t xml:space="preserve">axes and transfers affect the choices </w:t>
            </w:r>
            <w:r w:rsidR="0031193D" w:rsidRPr="00936615">
              <w:t xml:space="preserve">individuals </w:t>
            </w:r>
            <w:r w:rsidR="00005567" w:rsidRPr="00936615">
              <w:t>and businesses make by altering their incentives</w:t>
            </w:r>
            <w:r w:rsidRPr="00936615">
              <w:t xml:space="preserve">. </w:t>
            </w:r>
            <w:r w:rsidR="00751FC0" w:rsidRPr="00936615">
              <w:t>T</w:t>
            </w:r>
            <w:r w:rsidR="00815E3C" w:rsidRPr="00936615">
              <w:t xml:space="preserve">he tax and transfer system should not </w:t>
            </w:r>
            <w:r w:rsidR="00455A03" w:rsidRPr="00936615">
              <w:t xml:space="preserve">unduly </w:t>
            </w:r>
            <w:r w:rsidR="00815E3C" w:rsidRPr="00936615">
              <w:t>get in the way of individuals and businesses acting in their own interests</w:t>
            </w:r>
            <w:r w:rsidR="00272141" w:rsidRPr="00936615">
              <w:t>.</w:t>
            </w:r>
          </w:p>
          <w:p w14:paraId="7ADEB1AA" w14:textId="0E70E0F1" w:rsidR="002366EE" w:rsidRPr="0004238F" w:rsidRDefault="00F744A6" w:rsidP="002357CD">
            <w:pPr>
              <w:pStyle w:val="BoxListBullet"/>
              <w:rPr>
                <w:b/>
                <w:spacing w:val="-2"/>
              </w:rPr>
            </w:pPr>
            <w:r w:rsidRPr="0004238F">
              <w:rPr>
                <w:b/>
                <w:spacing w:val="-2"/>
              </w:rPr>
              <w:t xml:space="preserve">Simplicity: </w:t>
            </w:r>
            <w:r w:rsidR="00B15467" w:rsidRPr="0004238F">
              <w:rPr>
                <w:spacing w:val="-2"/>
              </w:rPr>
              <w:t>t</w:t>
            </w:r>
            <w:r w:rsidRPr="0004238F">
              <w:rPr>
                <w:spacing w:val="-2"/>
              </w:rPr>
              <w:t xml:space="preserve">he tax and transfer system should be easy to understand and simple to comply with. </w:t>
            </w:r>
          </w:p>
          <w:p w14:paraId="55FF7714" w14:textId="3413D0C4" w:rsidR="00F744A6" w:rsidRPr="00936615" w:rsidRDefault="00C82B24" w:rsidP="002366EE">
            <w:pPr>
              <w:pStyle w:val="BoxListBullet2"/>
              <w:rPr>
                <w:b/>
              </w:rPr>
            </w:pPr>
            <w:r w:rsidRPr="00936615">
              <w:t xml:space="preserve">If </w:t>
            </w:r>
            <w:r w:rsidR="001A0C2B" w:rsidRPr="00936615">
              <w:t xml:space="preserve">individuals and businesses understand </w:t>
            </w:r>
            <w:r w:rsidRPr="00936615">
              <w:t xml:space="preserve">the </w:t>
            </w:r>
            <w:r w:rsidR="001A0C2B" w:rsidRPr="00936615">
              <w:t>s</w:t>
            </w:r>
            <w:r w:rsidRPr="00936615">
              <w:t xml:space="preserve">ystem, </w:t>
            </w:r>
            <w:r w:rsidR="001A0C2B" w:rsidRPr="00936615">
              <w:t>they</w:t>
            </w:r>
            <w:r w:rsidR="00F744A6" w:rsidRPr="00936615">
              <w:t xml:space="preserve"> </w:t>
            </w:r>
            <w:r w:rsidRPr="00936615">
              <w:t>are</w:t>
            </w:r>
            <w:r w:rsidR="00F744A6" w:rsidRPr="00936615">
              <w:t xml:space="preserve"> more likely to </w:t>
            </w:r>
            <w:r w:rsidRPr="00936615">
              <w:t>act in their best interests</w:t>
            </w:r>
            <w:r w:rsidR="00F744A6" w:rsidRPr="00936615">
              <w:t xml:space="preserve"> and respond to intended policy signals. A simpler system may also involve lower administrative and compliance costs.</w:t>
            </w:r>
          </w:p>
          <w:p w14:paraId="3921E6E8" w14:textId="6D8A0FC0" w:rsidR="002357CD" w:rsidRPr="00936615" w:rsidRDefault="00F7259D" w:rsidP="002357CD">
            <w:pPr>
              <w:pStyle w:val="BoxHeading1"/>
            </w:pPr>
            <w:r w:rsidRPr="00936615">
              <w:t>Good</w:t>
            </w:r>
            <w:r w:rsidR="008203D7" w:rsidRPr="00936615">
              <w:t xml:space="preserve"> policy design</w:t>
            </w:r>
          </w:p>
          <w:p w14:paraId="515849BE" w14:textId="04437FE9" w:rsidR="009B65D3" w:rsidRPr="00936615" w:rsidRDefault="00DA3EB3" w:rsidP="009B65D3">
            <w:pPr>
              <w:pStyle w:val="Box"/>
            </w:pPr>
            <w:r w:rsidRPr="00936615">
              <w:t xml:space="preserve">For more fundamental questions about the ongoing case </w:t>
            </w:r>
            <w:r w:rsidR="009F098A" w:rsidRPr="00936615">
              <w:t xml:space="preserve">for, </w:t>
            </w:r>
            <w:r w:rsidRPr="00936615">
              <w:t xml:space="preserve">and </w:t>
            </w:r>
            <w:r w:rsidR="00F222EA" w:rsidRPr="00936615">
              <w:t xml:space="preserve">form </w:t>
            </w:r>
            <w:r w:rsidR="009F098A" w:rsidRPr="00936615">
              <w:t>of,</w:t>
            </w:r>
            <w:r w:rsidRPr="00936615">
              <w:t xml:space="preserve"> remote area assistance</w:t>
            </w:r>
            <w:r w:rsidR="00484D60" w:rsidRPr="00936615">
              <w:t>, t</w:t>
            </w:r>
            <w:r w:rsidRPr="00936615">
              <w:t xml:space="preserve">he Commission may need to </w:t>
            </w:r>
            <w:r w:rsidR="004A32C8" w:rsidRPr="00936615">
              <w:t xml:space="preserve">draw on </w:t>
            </w:r>
            <w:r w:rsidRPr="00936615">
              <w:t xml:space="preserve">broader principles of </w:t>
            </w:r>
            <w:r w:rsidR="00F7259D" w:rsidRPr="00936615">
              <w:t>good</w:t>
            </w:r>
            <w:r w:rsidR="008203D7" w:rsidRPr="00936615">
              <w:t xml:space="preserve"> policy design</w:t>
            </w:r>
            <w:r w:rsidR="008F4C0C" w:rsidRPr="00936615">
              <w:t xml:space="preserve"> </w:t>
            </w:r>
            <w:r w:rsidR="00B17E49" w:rsidRPr="00B17E49">
              <w:rPr>
                <w:rFonts w:cs="Arial"/>
                <w:szCs w:val="24"/>
              </w:rPr>
              <w:t>(Banks 2003; COAG 2007; PC 2001; PM&amp;C 2014)</w:t>
            </w:r>
            <w:r w:rsidR="003121AF" w:rsidRPr="00936615">
              <w:t>,</w:t>
            </w:r>
            <w:r w:rsidRPr="00936615">
              <w:t xml:space="preserve"> </w:t>
            </w:r>
            <w:r w:rsidR="00366B0B">
              <w:t>to the effect</w:t>
            </w:r>
            <w:r w:rsidRPr="00936615">
              <w:t xml:space="preserve"> that </w:t>
            </w:r>
            <w:r w:rsidR="008203D7" w:rsidRPr="00936615">
              <w:t xml:space="preserve">policy </w:t>
            </w:r>
            <w:r w:rsidR="005A3C89" w:rsidRPr="00936615">
              <w:t>interventions</w:t>
            </w:r>
            <w:r w:rsidR="008203D7" w:rsidRPr="00936615">
              <w:t xml:space="preserve"> should</w:t>
            </w:r>
            <w:r w:rsidR="009B65D3" w:rsidRPr="00936615">
              <w:t>:</w:t>
            </w:r>
          </w:p>
          <w:p w14:paraId="4E1D66E6" w14:textId="3D910091" w:rsidR="008955C7" w:rsidRPr="00936615" w:rsidRDefault="009B65D3" w:rsidP="009B65D3">
            <w:pPr>
              <w:pStyle w:val="BoxListBullet"/>
            </w:pPr>
            <w:r w:rsidRPr="00936615">
              <w:t xml:space="preserve">have a sound rationale </w:t>
            </w:r>
          </w:p>
          <w:p w14:paraId="4311DB02" w14:textId="0FEC344D" w:rsidR="009B65D3" w:rsidRPr="00936615" w:rsidRDefault="009B65D3" w:rsidP="009B65D3">
            <w:pPr>
              <w:pStyle w:val="BoxListBullet"/>
            </w:pPr>
            <w:r w:rsidRPr="00936615">
              <w:t>bring a net benefit to society</w:t>
            </w:r>
          </w:p>
          <w:p w14:paraId="1F0BC587" w14:textId="6319FB69" w:rsidR="009B65D3" w:rsidRPr="00936615" w:rsidRDefault="009B65D3" w:rsidP="009B65D3">
            <w:pPr>
              <w:pStyle w:val="BoxListBullet"/>
            </w:pPr>
            <w:r w:rsidRPr="00936615">
              <w:t xml:space="preserve">be better than </w:t>
            </w:r>
            <w:r w:rsidR="003940E9" w:rsidRPr="00936615">
              <w:t xml:space="preserve">any </w:t>
            </w:r>
            <w:r w:rsidRPr="00936615">
              <w:t>alternative</w:t>
            </w:r>
          </w:p>
          <w:p w14:paraId="21A591CE" w14:textId="02A675CA" w:rsidR="009B65D3" w:rsidRPr="00936615" w:rsidRDefault="009B65D3" w:rsidP="009B65D3">
            <w:pPr>
              <w:pStyle w:val="BoxListBullet"/>
            </w:pPr>
            <w:r w:rsidRPr="00936615">
              <w:t xml:space="preserve">be proportional to </w:t>
            </w:r>
            <w:r w:rsidR="00CB2804" w:rsidRPr="00936615">
              <w:t xml:space="preserve">the objective that </w:t>
            </w:r>
            <w:r w:rsidR="00F819E4">
              <w:t>they are</w:t>
            </w:r>
            <w:r w:rsidR="00CB2804" w:rsidRPr="00936615">
              <w:t xml:space="preserve"> designed to achieve</w:t>
            </w:r>
            <w:r w:rsidRPr="00936615">
              <w:t xml:space="preserve"> </w:t>
            </w:r>
          </w:p>
          <w:p w14:paraId="67D7436E" w14:textId="59811386" w:rsidR="009B65D3" w:rsidRPr="00936615" w:rsidRDefault="009B65D3" w:rsidP="009B65D3">
            <w:pPr>
              <w:pStyle w:val="BoxListBullet"/>
            </w:pPr>
            <w:r w:rsidRPr="00936615">
              <w:t>be evaluated over time to ensure</w:t>
            </w:r>
            <w:r w:rsidR="00CB2804" w:rsidRPr="00936615">
              <w:t xml:space="preserve"> that</w:t>
            </w:r>
            <w:r w:rsidRPr="00936615">
              <w:t xml:space="preserve"> </w:t>
            </w:r>
            <w:r w:rsidR="00F819E4">
              <w:t>they remain</w:t>
            </w:r>
            <w:r w:rsidRPr="00936615">
              <w:t xml:space="preserve"> relevant and </w:t>
            </w:r>
            <w:r w:rsidR="009B1321">
              <w:t>cost</w:t>
            </w:r>
            <w:r w:rsidR="00DA06CD">
              <w:noBreakHyphen/>
            </w:r>
            <w:r w:rsidRPr="00936615">
              <w:t>effective</w:t>
            </w:r>
          </w:p>
          <w:p w14:paraId="4842CA9F" w14:textId="1419856A" w:rsidR="009B65D3" w:rsidRPr="00936615" w:rsidRDefault="009B65D3" w:rsidP="009B65D3">
            <w:pPr>
              <w:pStyle w:val="BoxListBullet"/>
            </w:pPr>
            <w:r w:rsidRPr="00936615">
              <w:t>be transparent, clear and concise</w:t>
            </w:r>
          </w:p>
          <w:p w14:paraId="0DA5282D" w14:textId="23DED18B" w:rsidR="002D0B13" w:rsidRPr="00936615" w:rsidRDefault="009B65D3" w:rsidP="002D0B13">
            <w:pPr>
              <w:pStyle w:val="BoxListBullet"/>
            </w:pPr>
            <w:r w:rsidRPr="00936615">
              <w:t>be consistent with other laws, agreement</w:t>
            </w:r>
            <w:r w:rsidR="00CB2804" w:rsidRPr="00936615">
              <w:t>s and international obligations.</w:t>
            </w:r>
          </w:p>
        </w:tc>
      </w:tr>
      <w:tr w:rsidR="002B4960" w:rsidRPr="00936615" w14:paraId="758C9304" w14:textId="77777777" w:rsidTr="004F7141">
        <w:tc>
          <w:tcPr>
            <w:tcW w:w="5000" w:type="pct"/>
            <w:tcBorders>
              <w:top w:val="nil"/>
              <w:left w:val="nil"/>
              <w:bottom w:val="single" w:sz="6" w:space="0" w:color="78A22F"/>
              <w:right w:val="nil"/>
            </w:tcBorders>
            <w:shd w:val="clear" w:color="auto" w:fill="F2F2F2"/>
          </w:tcPr>
          <w:p w14:paraId="4F511B2E" w14:textId="77777777" w:rsidR="002B4960" w:rsidRPr="00936615" w:rsidRDefault="002B4960" w:rsidP="004F7141">
            <w:pPr>
              <w:pStyle w:val="Box"/>
              <w:spacing w:before="0" w:line="120" w:lineRule="exact"/>
            </w:pPr>
          </w:p>
        </w:tc>
      </w:tr>
      <w:tr w:rsidR="002B4960" w:rsidRPr="00936615" w14:paraId="34F7FBAD" w14:textId="77777777" w:rsidTr="004F7141">
        <w:tc>
          <w:tcPr>
            <w:tcW w:w="5000" w:type="pct"/>
            <w:tcBorders>
              <w:top w:val="single" w:sz="6" w:space="0" w:color="78A22F"/>
              <w:left w:val="nil"/>
              <w:bottom w:val="nil"/>
              <w:right w:val="nil"/>
            </w:tcBorders>
          </w:tcPr>
          <w:p w14:paraId="2CF10275" w14:textId="31E920A1" w:rsidR="002B4960" w:rsidRPr="00936615" w:rsidRDefault="002B4960" w:rsidP="004F7141">
            <w:pPr>
              <w:pStyle w:val="BoxSpaceBelow"/>
            </w:pPr>
          </w:p>
        </w:tc>
      </w:tr>
    </w:tbl>
    <w:p w14:paraId="6AA6C4B0" w14:textId="6C818AF6" w:rsidR="007F6284" w:rsidRPr="00936615" w:rsidRDefault="00AF1567" w:rsidP="00B42935">
      <w:pPr>
        <w:pStyle w:val="Heading2"/>
        <w:ind w:left="0" w:firstLine="0"/>
      </w:pPr>
      <w:bookmarkStart w:id="46" w:name="_Toc1739538"/>
      <w:bookmarkStart w:id="47" w:name="_Toc1742363"/>
      <w:bookmarkStart w:id="48" w:name="_Toc1742427"/>
      <w:bookmarkStart w:id="49" w:name="_Toc1744724"/>
      <w:bookmarkStart w:id="50" w:name="_Toc1744813"/>
      <w:bookmarkStart w:id="51" w:name="_Toc1746189"/>
      <w:bookmarkStart w:id="52" w:name="_Toc2093105"/>
      <w:bookmarkStart w:id="53" w:name="_Toc2152542"/>
      <w:bookmarkStart w:id="54" w:name="_Toc2773712"/>
      <w:bookmarkStart w:id="55" w:name="_Toc2774006"/>
      <w:bookmarkStart w:id="56" w:name="_Toc2855500"/>
      <w:r>
        <w:rPr>
          <w:noProof/>
        </w:rPr>
        <w:lastRenderedPageBreak/>
        <w:t>4</w:t>
      </w:r>
      <w:r w:rsidR="00A13EA3" w:rsidRPr="00936615">
        <w:tab/>
      </w:r>
      <w:r w:rsidR="0095280C">
        <w:t>I</w:t>
      </w:r>
      <w:r w:rsidR="002A5F36" w:rsidRPr="00936615">
        <w:t xml:space="preserve">ssues </w:t>
      </w:r>
      <w:r w:rsidR="00F220C4" w:rsidRPr="00936615">
        <w:t>for investigation</w:t>
      </w:r>
      <w:bookmarkEnd w:id="46"/>
      <w:bookmarkEnd w:id="47"/>
      <w:bookmarkEnd w:id="48"/>
      <w:bookmarkEnd w:id="49"/>
      <w:bookmarkEnd w:id="50"/>
      <w:bookmarkEnd w:id="51"/>
      <w:bookmarkEnd w:id="52"/>
      <w:bookmarkEnd w:id="53"/>
      <w:bookmarkEnd w:id="54"/>
      <w:bookmarkEnd w:id="55"/>
      <w:bookmarkEnd w:id="56"/>
    </w:p>
    <w:p w14:paraId="2CA1A2EF" w14:textId="4323F71A" w:rsidR="0044072C" w:rsidRPr="00936615" w:rsidRDefault="002A4971" w:rsidP="002A4971">
      <w:pPr>
        <w:pStyle w:val="BodyText"/>
        <w:spacing w:line="264" w:lineRule="auto"/>
      </w:pPr>
      <w:r w:rsidRPr="00936615">
        <w:t>Th</w:t>
      </w:r>
      <w:r w:rsidR="008E6736">
        <w:t>is</w:t>
      </w:r>
      <w:r w:rsidRPr="00936615">
        <w:t xml:space="preserve"> section outlines some of the issues the Commission will examine as part of this study</w:t>
      </w:r>
      <w:r w:rsidR="00961B34" w:rsidRPr="00936615">
        <w:t>, along with</w:t>
      </w:r>
      <w:r w:rsidR="007A499E" w:rsidRPr="00936615">
        <w:t xml:space="preserve"> </w:t>
      </w:r>
      <w:r w:rsidRPr="00936615">
        <w:t>rela</w:t>
      </w:r>
      <w:r w:rsidR="00F05505" w:rsidRPr="00936615">
        <w:t xml:space="preserve">ted questions. </w:t>
      </w:r>
      <w:r w:rsidR="00FB599C">
        <w:t>Participants are welcome to propose further areas consistent with the terms of reference.</w:t>
      </w:r>
    </w:p>
    <w:p w14:paraId="2E9FDA85" w14:textId="5A5ABC0A" w:rsidR="00B448BE" w:rsidRPr="00936615" w:rsidRDefault="002A5F36" w:rsidP="00B448BE">
      <w:pPr>
        <w:pStyle w:val="Heading3"/>
      </w:pPr>
      <w:r w:rsidRPr="00936615">
        <w:t>Economic and employment effects</w:t>
      </w:r>
      <w:r w:rsidR="00B448BE" w:rsidRPr="00936615">
        <w:t xml:space="preserve"> </w:t>
      </w:r>
    </w:p>
    <w:p w14:paraId="429CB17C" w14:textId="54B7F50A" w:rsidR="00F05505" w:rsidRPr="00936615" w:rsidRDefault="004F7141" w:rsidP="00856DD1">
      <w:pPr>
        <w:pStyle w:val="BodyText"/>
        <w:rPr>
          <w:szCs w:val="24"/>
        </w:rPr>
      </w:pPr>
      <w:r w:rsidRPr="00936615">
        <w:t>The terms of reference require the Commission to examine the economic and employment impacts of the</w:t>
      </w:r>
      <w:r w:rsidR="006045FF" w:rsidRPr="00936615">
        <w:t xml:space="preserve"> ZTO</w:t>
      </w:r>
      <w:r w:rsidRPr="00936615">
        <w:t>, FBT remote area concessions, and</w:t>
      </w:r>
      <w:r w:rsidR="006045FF" w:rsidRPr="00936615">
        <w:t xml:space="preserve"> RAA</w:t>
      </w:r>
      <w:r w:rsidRPr="00936615">
        <w:t>, including the effect of applying ind</w:t>
      </w:r>
      <w:r w:rsidR="00445DA1" w:rsidRPr="00936615">
        <w:t>exation, in regional Australia</w:t>
      </w:r>
      <w:r w:rsidR="00F05505" w:rsidRPr="00936615">
        <w:rPr>
          <w:szCs w:val="24"/>
        </w:rPr>
        <w:t>.</w:t>
      </w:r>
      <w:r w:rsidR="00856DD1" w:rsidRPr="00936615">
        <w:rPr>
          <w:szCs w:val="24"/>
        </w:rPr>
        <w:t xml:space="preserve"> </w:t>
      </w:r>
    </w:p>
    <w:p w14:paraId="5118B352" w14:textId="54C3C887" w:rsidR="00E57F93" w:rsidRPr="0004238F" w:rsidRDefault="00F05505" w:rsidP="00264CD6">
      <w:pPr>
        <w:pStyle w:val="BodyText"/>
        <w:rPr>
          <w:spacing w:val="-2"/>
          <w:szCs w:val="24"/>
        </w:rPr>
      </w:pPr>
      <w:r w:rsidRPr="0004238F">
        <w:rPr>
          <w:spacing w:val="-2"/>
          <w:szCs w:val="24"/>
        </w:rPr>
        <w:t>Typically, the intended effect of place</w:t>
      </w:r>
      <w:r w:rsidR="00664900" w:rsidRPr="0004238F">
        <w:rPr>
          <w:spacing w:val="-2"/>
          <w:szCs w:val="24"/>
        </w:rPr>
        <w:noBreakHyphen/>
      </w:r>
      <w:r w:rsidRPr="0004238F">
        <w:rPr>
          <w:spacing w:val="-2"/>
          <w:szCs w:val="24"/>
        </w:rPr>
        <w:t>based policies</w:t>
      </w:r>
      <w:r w:rsidR="001D35C7" w:rsidRPr="0004238F">
        <w:rPr>
          <w:spacing w:val="-2"/>
          <w:szCs w:val="24"/>
        </w:rPr>
        <w:t>,</w:t>
      </w:r>
      <w:r w:rsidRPr="0004238F">
        <w:rPr>
          <w:spacing w:val="-2"/>
          <w:szCs w:val="24"/>
        </w:rPr>
        <w:t xml:space="preserve"> such as the ZTO and</w:t>
      </w:r>
      <w:r w:rsidR="007A499E" w:rsidRPr="0004238F">
        <w:rPr>
          <w:spacing w:val="-2"/>
          <w:szCs w:val="24"/>
        </w:rPr>
        <w:t xml:space="preserve"> the</w:t>
      </w:r>
      <w:r w:rsidRPr="0004238F">
        <w:rPr>
          <w:spacing w:val="-2"/>
          <w:szCs w:val="24"/>
        </w:rPr>
        <w:t xml:space="preserve"> FBT </w:t>
      </w:r>
      <w:r w:rsidR="006045FF" w:rsidRPr="0004238F">
        <w:rPr>
          <w:spacing w:val="-2"/>
          <w:szCs w:val="24"/>
        </w:rPr>
        <w:t xml:space="preserve">remote area </w:t>
      </w:r>
      <w:r w:rsidRPr="0004238F">
        <w:rPr>
          <w:spacing w:val="-2"/>
          <w:szCs w:val="24"/>
        </w:rPr>
        <w:t>concession</w:t>
      </w:r>
      <w:r w:rsidR="007A499E" w:rsidRPr="0004238F">
        <w:rPr>
          <w:spacing w:val="-2"/>
          <w:szCs w:val="24"/>
        </w:rPr>
        <w:t>s</w:t>
      </w:r>
      <w:r w:rsidR="001D35C7" w:rsidRPr="0004238F">
        <w:rPr>
          <w:spacing w:val="-2"/>
          <w:szCs w:val="24"/>
        </w:rPr>
        <w:t>,</w:t>
      </w:r>
      <w:r w:rsidRPr="0004238F">
        <w:rPr>
          <w:spacing w:val="-2"/>
          <w:szCs w:val="24"/>
        </w:rPr>
        <w:t xml:space="preserve"> is to boost employment</w:t>
      </w:r>
      <w:r w:rsidR="009A69E4" w:rsidRPr="0004238F">
        <w:rPr>
          <w:spacing w:val="-2"/>
          <w:szCs w:val="24"/>
        </w:rPr>
        <w:t>, population,</w:t>
      </w:r>
      <w:r w:rsidRPr="0004238F">
        <w:rPr>
          <w:spacing w:val="-2"/>
          <w:szCs w:val="24"/>
        </w:rPr>
        <w:t xml:space="preserve"> and </w:t>
      </w:r>
      <w:r w:rsidR="00C47C70" w:rsidRPr="0004238F">
        <w:rPr>
          <w:spacing w:val="-2"/>
          <w:szCs w:val="24"/>
        </w:rPr>
        <w:t>output</w:t>
      </w:r>
      <w:r w:rsidR="00C47C70" w:rsidRPr="0004238F" w:rsidDel="00E009E5">
        <w:rPr>
          <w:spacing w:val="-2"/>
          <w:szCs w:val="24"/>
        </w:rPr>
        <w:t xml:space="preserve"> </w:t>
      </w:r>
      <w:r w:rsidRPr="0004238F">
        <w:rPr>
          <w:spacing w:val="-2"/>
          <w:szCs w:val="24"/>
        </w:rPr>
        <w:t xml:space="preserve">in the target regions (or reduce the rate of decline) by making </w:t>
      </w:r>
      <w:r w:rsidR="00C47C70" w:rsidRPr="0004238F">
        <w:rPr>
          <w:spacing w:val="-2"/>
          <w:szCs w:val="24"/>
        </w:rPr>
        <w:t xml:space="preserve">employment </w:t>
      </w:r>
      <w:r w:rsidRPr="0004238F">
        <w:rPr>
          <w:spacing w:val="-2"/>
          <w:szCs w:val="24"/>
        </w:rPr>
        <w:t xml:space="preserve">in those regions more </w:t>
      </w:r>
      <w:r w:rsidR="003F6103" w:rsidRPr="0004238F">
        <w:rPr>
          <w:spacing w:val="-2"/>
          <w:szCs w:val="24"/>
        </w:rPr>
        <w:t xml:space="preserve">financially </w:t>
      </w:r>
      <w:r w:rsidRPr="0004238F">
        <w:rPr>
          <w:spacing w:val="-2"/>
          <w:szCs w:val="24"/>
        </w:rPr>
        <w:t xml:space="preserve">attractive. The extent </w:t>
      </w:r>
      <w:r w:rsidR="00B0141E" w:rsidRPr="0004238F">
        <w:rPr>
          <w:spacing w:val="-2"/>
          <w:szCs w:val="24"/>
        </w:rPr>
        <w:t xml:space="preserve">to which </w:t>
      </w:r>
      <w:r w:rsidRPr="0004238F">
        <w:rPr>
          <w:spacing w:val="-2"/>
          <w:szCs w:val="24"/>
        </w:rPr>
        <w:t>they actually achieve this goal will depend on</w:t>
      </w:r>
      <w:r w:rsidR="007A073C" w:rsidRPr="0004238F">
        <w:rPr>
          <w:spacing w:val="-2"/>
          <w:szCs w:val="24"/>
        </w:rPr>
        <w:t xml:space="preserve"> such factors as the size of the incentives</w:t>
      </w:r>
      <w:r w:rsidR="00BD792F" w:rsidRPr="0004238F">
        <w:rPr>
          <w:spacing w:val="-2"/>
          <w:szCs w:val="24"/>
        </w:rPr>
        <w:t xml:space="preserve"> relative to incomes and living costs</w:t>
      </w:r>
      <w:r w:rsidR="00E009E5" w:rsidRPr="0004238F">
        <w:rPr>
          <w:spacing w:val="-2"/>
          <w:szCs w:val="24"/>
        </w:rPr>
        <w:t xml:space="preserve">, </w:t>
      </w:r>
      <w:r w:rsidR="00BD792F" w:rsidRPr="0004238F">
        <w:rPr>
          <w:spacing w:val="-2"/>
          <w:szCs w:val="24"/>
        </w:rPr>
        <w:t xml:space="preserve">public knowledge of the incentives, </w:t>
      </w:r>
      <w:r w:rsidR="00E009E5" w:rsidRPr="0004238F">
        <w:rPr>
          <w:spacing w:val="-2"/>
          <w:szCs w:val="24"/>
        </w:rPr>
        <w:t>and</w:t>
      </w:r>
      <w:r w:rsidR="00A864EF" w:rsidRPr="0004238F">
        <w:rPr>
          <w:spacing w:val="-2"/>
          <w:szCs w:val="24"/>
        </w:rPr>
        <w:t xml:space="preserve"> the </w:t>
      </w:r>
      <w:r w:rsidR="00A85022" w:rsidRPr="0004238F">
        <w:rPr>
          <w:spacing w:val="-2"/>
          <w:szCs w:val="24"/>
        </w:rPr>
        <w:t>degree to which</w:t>
      </w:r>
      <w:r w:rsidR="00162221" w:rsidRPr="0004238F">
        <w:rPr>
          <w:spacing w:val="-2"/>
          <w:szCs w:val="24"/>
        </w:rPr>
        <w:t xml:space="preserve"> </w:t>
      </w:r>
      <w:r w:rsidR="00AC12B9" w:rsidRPr="0004238F">
        <w:rPr>
          <w:spacing w:val="-2"/>
          <w:szCs w:val="24"/>
        </w:rPr>
        <w:t xml:space="preserve">employers </w:t>
      </w:r>
      <w:r w:rsidR="00A85022" w:rsidRPr="0004238F">
        <w:rPr>
          <w:spacing w:val="-2"/>
          <w:szCs w:val="24"/>
        </w:rPr>
        <w:t xml:space="preserve">are able to </w:t>
      </w:r>
      <w:r w:rsidR="00AC12B9" w:rsidRPr="0004238F">
        <w:rPr>
          <w:spacing w:val="-2"/>
          <w:szCs w:val="24"/>
        </w:rPr>
        <w:t xml:space="preserve">capture </w:t>
      </w:r>
      <w:r w:rsidR="00162221" w:rsidRPr="0004238F">
        <w:rPr>
          <w:spacing w:val="-2"/>
          <w:szCs w:val="24"/>
        </w:rPr>
        <w:t>the benefits</w:t>
      </w:r>
      <w:r w:rsidR="00A85022" w:rsidRPr="0004238F">
        <w:rPr>
          <w:spacing w:val="-2"/>
          <w:szCs w:val="24"/>
        </w:rPr>
        <w:t xml:space="preserve"> of the </w:t>
      </w:r>
      <w:r w:rsidR="00AE2B28" w:rsidRPr="0004238F">
        <w:rPr>
          <w:spacing w:val="-2"/>
          <w:szCs w:val="24"/>
        </w:rPr>
        <w:t xml:space="preserve">tax </w:t>
      </w:r>
      <w:r w:rsidR="00A85022" w:rsidRPr="0004238F">
        <w:rPr>
          <w:spacing w:val="-2"/>
          <w:szCs w:val="24"/>
        </w:rPr>
        <w:t>concessions</w:t>
      </w:r>
      <w:r w:rsidR="00162221" w:rsidRPr="0004238F">
        <w:rPr>
          <w:spacing w:val="-2"/>
          <w:szCs w:val="24"/>
        </w:rPr>
        <w:t xml:space="preserve"> </w:t>
      </w:r>
      <w:r w:rsidR="00AC12B9" w:rsidRPr="0004238F">
        <w:rPr>
          <w:spacing w:val="-2"/>
          <w:szCs w:val="24"/>
        </w:rPr>
        <w:t>by reducing wages</w:t>
      </w:r>
      <w:r w:rsidR="00CD311B" w:rsidRPr="0004238F">
        <w:rPr>
          <w:spacing w:val="-2"/>
          <w:szCs w:val="24"/>
        </w:rPr>
        <w:t xml:space="preserve"> below what they would otherwise be</w:t>
      </w:r>
      <w:r w:rsidR="00A864EF" w:rsidRPr="0004238F">
        <w:rPr>
          <w:spacing w:val="-2"/>
          <w:szCs w:val="24"/>
        </w:rPr>
        <w:t>.</w:t>
      </w:r>
      <w:r w:rsidR="00E009E5" w:rsidRPr="0004238F">
        <w:rPr>
          <w:spacing w:val="-2"/>
          <w:szCs w:val="24"/>
        </w:rPr>
        <w:t xml:space="preserve"> </w:t>
      </w:r>
      <w:r w:rsidR="002613D4" w:rsidRPr="0004238F">
        <w:rPr>
          <w:spacing w:val="-2"/>
          <w:szCs w:val="24"/>
        </w:rPr>
        <w:t xml:space="preserve">As a supplement to income support payments, the </w:t>
      </w:r>
      <w:r w:rsidR="00F87AE0" w:rsidRPr="0004238F">
        <w:rPr>
          <w:spacing w:val="-2"/>
          <w:szCs w:val="24"/>
        </w:rPr>
        <w:t>RAA</w:t>
      </w:r>
      <w:r w:rsidR="00C47C70" w:rsidRPr="0004238F">
        <w:rPr>
          <w:spacing w:val="-2"/>
          <w:szCs w:val="24"/>
        </w:rPr>
        <w:t xml:space="preserve"> will mainly affect income levels and is unlikely to </w:t>
      </w:r>
      <w:r w:rsidR="00156F66" w:rsidRPr="0004238F">
        <w:rPr>
          <w:spacing w:val="-2"/>
          <w:szCs w:val="24"/>
        </w:rPr>
        <w:t>have a significant</w:t>
      </w:r>
      <w:r w:rsidR="00850B95" w:rsidRPr="0004238F">
        <w:rPr>
          <w:spacing w:val="-2"/>
          <w:szCs w:val="24"/>
        </w:rPr>
        <w:t xml:space="preserve"> effect on employment</w:t>
      </w:r>
      <w:r w:rsidR="00162221" w:rsidRPr="0004238F">
        <w:rPr>
          <w:spacing w:val="-2"/>
          <w:szCs w:val="24"/>
        </w:rPr>
        <w:t xml:space="preserve">. That said, the RAA will tend to </w:t>
      </w:r>
      <w:r w:rsidR="00162221" w:rsidRPr="0004238F">
        <w:rPr>
          <w:spacing w:val="-2"/>
        </w:rPr>
        <w:t>increase spending in remote areas</w:t>
      </w:r>
      <w:r w:rsidR="00156F66" w:rsidRPr="0004238F">
        <w:rPr>
          <w:spacing w:val="-2"/>
          <w:szCs w:val="24"/>
        </w:rPr>
        <w:t>.</w:t>
      </w:r>
    </w:p>
    <w:p w14:paraId="0C7C3E74" w14:textId="4526E783" w:rsidR="00264CD6" w:rsidRPr="00936615" w:rsidRDefault="00492E9E" w:rsidP="00264CD6">
      <w:pPr>
        <w:pStyle w:val="BodyText"/>
      </w:pPr>
      <w:r w:rsidRPr="00936615">
        <w:rPr>
          <w:szCs w:val="24"/>
        </w:rPr>
        <w:t>R</w:t>
      </w:r>
      <w:r w:rsidR="00D5200A" w:rsidRPr="00936615">
        <w:rPr>
          <w:szCs w:val="24"/>
        </w:rPr>
        <w:t>emote area assistance</w:t>
      </w:r>
      <w:r w:rsidR="00830A6C" w:rsidRPr="00936615">
        <w:rPr>
          <w:szCs w:val="24"/>
        </w:rPr>
        <w:t xml:space="preserve"> policies</w:t>
      </w:r>
      <w:r w:rsidR="00264CD6" w:rsidRPr="00936615">
        <w:rPr>
          <w:szCs w:val="24"/>
        </w:rPr>
        <w:t xml:space="preserve"> </w:t>
      </w:r>
      <w:r w:rsidR="00830A6C" w:rsidRPr="00936615">
        <w:rPr>
          <w:szCs w:val="24"/>
        </w:rPr>
        <w:t>may</w:t>
      </w:r>
      <w:r w:rsidR="00264CD6" w:rsidRPr="00936615">
        <w:rPr>
          <w:szCs w:val="24"/>
        </w:rPr>
        <w:t xml:space="preserve"> </w:t>
      </w:r>
      <w:r w:rsidRPr="00936615">
        <w:rPr>
          <w:szCs w:val="24"/>
        </w:rPr>
        <w:t>also</w:t>
      </w:r>
      <w:r w:rsidR="00264CD6" w:rsidRPr="00936615">
        <w:rPr>
          <w:szCs w:val="24"/>
        </w:rPr>
        <w:t xml:space="preserve"> have broader implications </w:t>
      </w:r>
      <w:r w:rsidR="00830A6C" w:rsidRPr="00936615">
        <w:rPr>
          <w:szCs w:val="24"/>
        </w:rPr>
        <w:t xml:space="preserve">for the Australian economy. </w:t>
      </w:r>
      <w:r w:rsidR="00541F4D" w:rsidRPr="00936615">
        <w:rPr>
          <w:szCs w:val="24"/>
        </w:rPr>
        <w:t>T</w:t>
      </w:r>
      <w:r w:rsidR="00264CD6" w:rsidRPr="00936615">
        <w:rPr>
          <w:szCs w:val="24"/>
        </w:rPr>
        <w:t xml:space="preserve">o the extent </w:t>
      </w:r>
      <w:r w:rsidR="00541F4D" w:rsidRPr="00936615">
        <w:rPr>
          <w:szCs w:val="24"/>
        </w:rPr>
        <w:t xml:space="preserve">that </w:t>
      </w:r>
      <w:r w:rsidR="00264CD6" w:rsidRPr="00936615">
        <w:rPr>
          <w:szCs w:val="24"/>
        </w:rPr>
        <w:t xml:space="preserve">they affect </w:t>
      </w:r>
      <w:r w:rsidR="00541F4D" w:rsidRPr="00936615">
        <w:rPr>
          <w:szCs w:val="24"/>
        </w:rPr>
        <w:t xml:space="preserve">the allocation of </w:t>
      </w:r>
      <w:r w:rsidR="00264CD6" w:rsidRPr="00936615">
        <w:rPr>
          <w:szCs w:val="24"/>
        </w:rPr>
        <w:t>resources</w:t>
      </w:r>
      <w:r w:rsidR="009A69E4" w:rsidRPr="00936615">
        <w:rPr>
          <w:szCs w:val="24"/>
        </w:rPr>
        <w:t xml:space="preserve"> </w:t>
      </w:r>
      <w:r w:rsidR="00541F4D" w:rsidRPr="00936615">
        <w:rPr>
          <w:szCs w:val="24"/>
        </w:rPr>
        <w:t>(</w:t>
      </w:r>
      <w:r w:rsidR="009A69E4" w:rsidRPr="00936615">
        <w:rPr>
          <w:szCs w:val="24"/>
        </w:rPr>
        <w:t>such as labour</w:t>
      </w:r>
      <w:r w:rsidR="00541F4D" w:rsidRPr="00936615">
        <w:rPr>
          <w:szCs w:val="24"/>
        </w:rPr>
        <w:t xml:space="preserve">) </w:t>
      </w:r>
      <w:r w:rsidR="009A69E4" w:rsidRPr="00936615">
        <w:rPr>
          <w:szCs w:val="24"/>
        </w:rPr>
        <w:t xml:space="preserve">across </w:t>
      </w:r>
      <w:r w:rsidR="00541F4D" w:rsidRPr="00936615">
        <w:rPr>
          <w:szCs w:val="24"/>
        </w:rPr>
        <w:t xml:space="preserve">different </w:t>
      </w:r>
      <w:r w:rsidR="009A69E4" w:rsidRPr="00936615">
        <w:rPr>
          <w:szCs w:val="24"/>
        </w:rPr>
        <w:t xml:space="preserve">regions, </w:t>
      </w:r>
      <w:r w:rsidR="00541F4D" w:rsidRPr="00936615">
        <w:rPr>
          <w:szCs w:val="24"/>
        </w:rPr>
        <w:t xml:space="preserve">they will influence productivity in multiple regions and industries. </w:t>
      </w:r>
      <w:r w:rsidR="00D5200A" w:rsidRPr="00936615">
        <w:rPr>
          <w:szCs w:val="24"/>
        </w:rPr>
        <w:t>What’s more, the</w:t>
      </w:r>
      <w:r w:rsidR="009A69E4" w:rsidRPr="00936615">
        <w:rPr>
          <w:szCs w:val="24"/>
        </w:rPr>
        <w:t xml:space="preserve"> </w:t>
      </w:r>
      <w:r w:rsidR="00D5200A" w:rsidRPr="00936615">
        <w:rPr>
          <w:szCs w:val="24"/>
        </w:rPr>
        <w:t xml:space="preserve">cost of assistance policies </w:t>
      </w:r>
      <w:r w:rsidR="00CD311B">
        <w:rPr>
          <w:szCs w:val="24"/>
        </w:rPr>
        <w:t>leaves</w:t>
      </w:r>
      <w:r w:rsidR="00541F4D" w:rsidRPr="00936615">
        <w:rPr>
          <w:szCs w:val="24"/>
        </w:rPr>
        <w:t xml:space="preserve"> </w:t>
      </w:r>
      <w:r w:rsidR="009A69E4" w:rsidRPr="00936615">
        <w:rPr>
          <w:szCs w:val="24"/>
        </w:rPr>
        <w:t xml:space="preserve">less tax revenue </w:t>
      </w:r>
      <w:r w:rsidR="00D5200A" w:rsidRPr="00936615">
        <w:rPr>
          <w:szCs w:val="24"/>
        </w:rPr>
        <w:t>to spend on</w:t>
      </w:r>
      <w:r w:rsidR="009A69E4" w:rsidRPr="00936615">
        <w:rPr>
          <w:szCs w:val="24"/>
        </w:rPr>
        <w:t xml:space="preserve"> public goods, such as</w:t>
      </w:r>
      <w:r w:rsidR="00D5200A" w:rsidRPr="00936615">
        <w:rPr>
          <w:szCs w:val="24"/>
        </w:rPr>
        <w:t xml:space="preserve"> public</w:t>
      </w:r>
      <w:r w:rsidR="0043443D" w:rsidRPr="00936615">
        <w:rPr>
          <w:szCs w:val="24"/>
        </w:rPr>
        <w:t xml:space="preserve"> hospitals and ro</w:t>
      </w:r>
      <w:r w:rsidR="0043443D" w:rsidRPr="00936615">
        <w:t>ads.</w:t>
      </w:r>
    </w:p>
    <w:p w14:paraId="2355114A" w14:textId="1886AC20" w:rsidR="000900D9" w:rsidRPr="00936615" w:rsidRDefault="000900D9" w:rsidP="004F714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900D9" w:rsidRPr="00936615" w14:paraId="37E99560" w14:textId="77777777" w:rsidTr="004F7141">
        <w:trPr>
          <w:tblHeader/>
        </w:trPr>
        <w:tc>
          <w:tcPr>
            <w:tcW w:w="5000" w:type="pct"/>
            <w:tcBorders>
              <w:top w:val="single" w:sz="6" w:space="0" w:color="78A22F"/>
              <w:left w:val="nil"/>
              <w:bottom w:val="nil"/>
              <w:right w:val="nil"/>
            </w:tcBorders>
            <w:shd w:val="clear" w:color="auto" w:fill="auto"/>
          </w:tcPr>
          <w:p w14:paraId="11850A52" w14:textId="786CEC92" w:rsidR="000900D9" w:rsidRPr="00936615" w:rsidRDefault="000900D9" w:rsidP="004F7141">
            <w:pPr>
              <w:pStyle w:val="InformationRequestTitle"/>
              <w:spacing w:before="120"/>
            </w:pPr>
            <w:r w:rsidRPr="00936615">
              <w:t>Information request</w:t>
            </w:r>
            <w:r w:rsidR="00E24A20" w:rsidRPr="00936615">
              <w:t xml:space="preserve"> </w:t>
            </w:r>
          </w:p>
        </w:tc>
      </w:tr>
      <w:tr w:rsidR="000900D9" w:rsidRPr="00936615" w14:paraId="024533B3" w14:textId="77777777" w:rsidTr="00A7255C">
        <w:trPr>
          <w:trHeight w:val="3822"/>
        </w:trPr>
        <w:tc>
          <w:tcPr>
            <w:tcW w:w="5000" w:type="pct"/>
            <w:tcBorders>
              <w:top w:val="nil"/>
              <w:left w:val="nil"/>
              <w:bottom w:val="nil"/>
              <w:right w:val="nil"/>
            </w:tcBorders>
            <w:shd w:val="clear" w:color="auto" w:fill="auto"/>
          </w:tcPr>
          <w:p w14:paraId="0A250AA6" w14:textId="167CB2B6" w:rsidR="00C97013" w:rsidRPr="00936615" w:rsidRDefault="000900D9" w:rsidP="00C97013">
            <w:pPr>
              <w:pStyle w:val="InformationRequest"/>
              <w:keepNext/>
            </w:pPr>
            <w:r w:rsidRPr="00936615">
              <w:t>The Commission</w:t>
            </w:r>
            <w:r w:rsidR="00F62FC6" w:rsidRPr="00936615">
              <w:t xml:space="preserve"> is seeking </w:t>
            </w:r>
            <w:r w:rsidR="005A3C89" w:rsidRPr="00936615">
              <w:t>data or other evidence that could be used to assess</w:t>
            </w:r>
            <w:r w:rsidR="00281BD2" w:rsidRPr="00936615">
              <w:t xml:space="preserve"> </w:t>
            </w:r>
            <w:r w:rsidR="00F62FC6" w:rsidRPr="00936615">
              <w:t xml:space="preserve">employment and economic </w:t>
            </w:r>
            <w:r w:rsidR="00943962" w:rsidRPr="00936615">
              <w:t xml:space="preserve">effects </w:t>
            </w:r>
            <w:r w:rsidR="00F62FC6" w:rsidRPr="00936615">
              <w:t>of remote ar</w:t>
            </w:r>
            <w:r w:rsidR="00DD1631" w:rsidRPr="00936615">
              <w:t>ea tax concessions and payments on affected communities, businesses and individuals</w:t>
            </w:r>
            <w:r w:rsidR="00C97013" w:rsidRPr="00936615">
              <w:t>. In particular:</w:t>
            </w:r>
          </w:p>
          <w:p w14:paraId="5DC01F74" w14:textId="0903CE52" w:rsidR="00723D3B" w:rsidRPr="00936615" w:rsidRDefault="00723D3B" w:rsidP="0098186D">
            <w:pPr>
              <w:pStyle w:val="InformationRequestBullet"/>
            </w:pPr>
            <w:r w:rsidRPr="00936615">
              <w:t>the impact of the concessions and payments on wage and employment decisions</w:t>
            </w:r>
          </w:p>
          <w:p w14:paraId="740966F4" w14:textId="0CF76CD9" w:rsidR="00723D3B" w:rsidRPr="00936615" w:rsidRDefault="00723D3B" w:rsidP="0098186D">
            <w:pPr>
              <w:pStyle w:val="InformationRequestBullet"/>
            </w:pPr>
            <w:r w:rsidRPr="00936615">
              <w:t xml:space="preserve">the </w:t>
            </w:r>
            <w:r w:rsidR="00AE2B28" w:rsidRPr="00936615">
              <w:t>impact</w:t>
            </w:r>
            <w:r w:rsidRPr="00936615">
              <w:t xml:space="preserve"> of the concessions and payments on </w:t>
            </w:r>
            <w:r w:rsidR="005A3C89" w:rsidRPr="00936615">
              <w:t>labour mobility</w:t>
            </w:r>
            <w:r w:rsidR="00956209" w:rsidRPr="00936615">
              <w:t xml:space="preserve"> </w:t>
            </w:r>
            <w:r w:rsidRPr="00936615">
              <w:t xml:space="preserve">and </w:t>
            </w:r>
            <w:r w:rsidR="005A3C89" w:rsidRPr="00936615">
              <w:t>retention</w:t>
            </w:r>
            <w:r w:rsidR="00FB599C">
              <w:t>, and changes to these impacts as the real value has eroded</w:t>
            </w:r>
          </w:p>
          <w:p w14:paraId="3220EB14" w14:textId="283D35CE" w:rsidR="0063493F" w:rsidRPr="00936615" w:rsidRDefault="00F44166" w:rsidP="0098186D">
            <w:pPr>
              <w:pStyle w:val="InformationRequestBullet"/>
            </w:pPr>
            <w:r w:rsidRPr="00936615">
              <w:t xml:space="preserve">the extent to which </w:t>
            </w:r>
            <w:r w:rsidR="00826BCD" w:rsidRPr="00936615">
              <w:t>fringe benefits tax (FBT)</w:t>
            </w:r>
            <w:r w:rsidR="0063493F" w:rsidRPr="00936615">
              <w:t xml:space="preserve"> </w:t>
            </w:r>
            <w:r w:rsidR="00826BCD" w:rsidRPr="00936615">
              <w:t>remote area</w:t>
            </w:r>
            <w:r w:rsidR="0063493F" w:rsidRPr="00936615">
              <w:t xml:space="preserve"> concessions </w:t>
            </w:r>
            <w:r w:rsidRPr="00936615">
              <w:t xml:space="preserve">influence </w:t>
            </w:r>
            <w:r w:rsidR="0063493F" w:rsidRPr="00936615">
              <w:t>employers’ decisions between offering fly</w:t>
            </w:r>
            <w:r w:rsidR="00664900">
              <w:noBreakHyphen/>
            </w:r>
            <w:r w:rsidR="0063493F" w:rsidRPr="00936615">
              <w:t>in</w:t>
            </w:r>
            <w:r w:rsidR="00B15467">
              <w:t xml:space="preserve"> </w:t>
            </w:r>
            <w:r w:rsidR="0063493F" w:rsidRPr="00936615">
              <w:t>fly</w:t>
            </w:r>
            <w:r w:rsidR="00664900">
              <w:noBreakHyphen/>
            </w:r>
            <w:r w:rsidR="0063493F" w:rsidRPr="00936615">
              <w:t>out and regular employment</w:t>
            </w:r>
          </w:p>
          <w:p w14:paraId="790C9DB1" w14:textId="6942D51B" w:rsidR="00A7255C" w:rsidRPr="00936615" w:rsidRDefault="00A7255C" w:rsidP="0098186D">
            <w:pPr>
              <w:pStyle w:val="InformationRequestBullet"/>
            </w:pPr>
            <w:r w:rsidRPr="00936615">
              <w:t xml:space="preserve">the </w:t>
            </w:r>
            <w:r w:rsidR="00F44166" w:rsidRPr="00936615">
              <w:t>materiality</w:t>
            </w:r>
            <w:r w:rsidRPr="00936615">
              <w:t xml:space="preserve"> of the remote area FBT exemptions and concessions to business</w:t>
            </w:r>
            <w:r w:rsidR="0098186D" w:rsidRPr="00936615">
              <w:t xml:space="preserve">es and </w:t>
            </w:r>
            <w:r w:rsidRPr="00936615">
              <w:t>industry</w:t>
            </w:r>
            <w:r w:rsidR="00167190" w:rsidRPr="00936615">
              <w:t xml:space="preserve"> (for example, levels of uptake</w:t>
            </w:r>
            <w:r w:rsidR="00CE5F3F">
              <w:t xml:space="preserve"> and</w:t>
            </w:r>
            <w:r w:rsidR="00167190" w:rsidRPr="00936615">
              <w:t xml:space="preserve"> total </w:t>
            </w:r>
            <w:r w:rsidR="004A32C8" w:rsidRPr="00936615">
              <w:t xml:space="preserve">amount </w:t>
            </w:r>
            <w:r w:rsidR="00167190" w:rsidRPr="00936615">
              <w:t>claim</w:t>
            </w:r>
            <w:r w:rsidR="004A32C8" w:rsidRPr="00936615">
              <w:t>ed</w:t>
            </w:r>
            <w:r w:rsidR="00167190" w:rsidRPr="00936615">
              <w:t>)</w:t>
            </w:r>
          </w:p>
          <w:p w14:paraId="21E658DE" w14:textId="304ACAEB" w:rsidR="00AE2B28" w:rsidRPr="00936615" w:rsidRDefault="00167190" w:rsidP="00AE2B28">
            <w:pPr>
              <w:pStyle w:val="InformationRequestBullet"/>
            </w:pPr>
            <w:r w:rsidRPr="00936615">
              <w:t xml:space="preserve">the </w:t>
            </w:r>
            <w:r w:rsidR="00AE2B28" w:rsidRPr="00936615">
              <w:t>likely impost on business and industry if the concessions or exemptions were removed</w:t>
            </w:r>
          </w:p>
          <w:p w14:paraId="0A45EEB9" w14:textId="7982A770" w:rsidR="00A034CD" w:rsidRDefault="00167190" w:rsidP="0098186D">
            <w:pPr>
              <w:pStyle w:val="InformationRequestBullet"/>
            </w:pPr>
            <w:r w:rsidRPr="00936615">
              <w:t xml:space="preserve">the </w:t>
            </w:r>
            <w:r w:rsidR="00F44166" w:rsidRPr="00936615">
              <w:t xml:space="preserve">materiality </w:t>
            </w:r>
            <w:r w:rsidRPr="00936615">
              <w:t>of the Remote Area Allowance for individuals and families in remote areas</w:t>
            </w:r>
            <w:r w:rsidR="004968A5" w:rsidRPr="00936615">
              <w:t xml:space="preserve">, including </w:t>
            </w:r>
            <w:r w:rsidR="00826BCD" w:rsidRPr="00936615">
              <w:t>I</w:t>
            </w:r>
            <w:r w:rsidR="004968A5" w:rsidRPr="00936615">
              <w:t>ndigenous communities</w:t>
            </w:r>
            <w:r w:rsidRPr="00936615">
              <w:t xml:space="preserve"> (for example, levels of uptake</w:t>
            </w:r>
            <w:r w:rsidR="00CE5F3F">
              <w:t xml:space="preserve"> and</w:t>
            </w:r>
            <w:r w:rsidRPr="00936615">
              <w:t xml:space="preserve"> share of income)</w:t>
            </w:r>
          </w:p>
          <w:p w14:paraId="17145673" w14:textId="3029123E" w:rsidR="00F62FC6" w:rsidRPr="00936615" w:rsidRDefault="00A034CD" w:rsidP="0098186D">
            <w:pPr>
              <w:pStyle w:val="InformationRequestBullet"/>
            </w:pPr>
            <w:r w:rsidRPr="00A034CD">
              <w:t>evidence that employers pay more to attract and recruit labour to remote areas where there is demand for workers.</w:t>
            </w:r>
          </w:p>
        </w:tc>
      </w:tr>
      <w:tr w:rsidR="000900D9" w:rsidRPr="00936615" w14:paraId="44B4A482" w14:textId="77777777" w:rsidTr="004F7141">
        <w:tc>
          <w:tcPr>
            <w:tcW w:w="5000" w:type="pct"/>
            <w:tcBorders>
              <w:top w:val="nil"/>
              <w:left w:val="nil"/>
              <w:bottom w:val="single" w:sz="6" w:space="0" w:color="78A22F"/>
              <w:right w:val="nil"/>
            </w:tcBorders>
            <w:shd w:val="clear" w:color="auto" w:fill="auto"/>
          </w:tcPr>
          <w:p w14:paraId="33DD1D2A" w14:textId="77777777" w:rsidR="000900D9" w:rsidRPr="00936615" w:rsidRDefault="000900D9" w:rsidP="00B83739">
            <w:pPr>
              <w:pStyle w:val="Space"/>
              <w:keepLines/>
              <w:spacing w:after="0"/>
            </w:pPr>
          </w:p>
        </w:tc>
      </w:tr>
      <w:tr w:rsidR="000900D9" w:rsidRPr="00936615" w14:paraId="6E1E39CB" w14:textId="77777777" w:rsidTr="004F7141">
        <w:tc>
          <w:tcPr>
            <w:tcW w:w="5000" w:type="pct"/>
            <w:tcBorders>
              <w:top w:val="single" w:sz="6" w:space="0" w:color="78A22F"/>
              <w:left w:val="nil"/>
              <w:bottom w:val="nil"/>
              <w:right w:val="nil"/>
            </w:tcBorders>
          </w:tcPr>
          <w:p w14:paraId="6117EE4F" w14:textId="57957CA8" w:rsidR="000900D9" w:rsidRPr="00936615" w:rsidRDefault="000900D9" w:rsidP="004F7141">
            <w:pPr>
              <w:pStyle w:val="BoxSpaceBelow"/>
              <w:keepLines/>
            </w:pPr>
          </w:p>
        </w:tc>
      </w:tr>
    </w:tbl>
    <w:p w14:paraId="10E66EF5" w14:textId="6A937414" w:rsidR="00B448BE" w:rsidRPr="00936615" w:rsidRDefault="002A5F36" w:rsidP="00B448BE">
      <w:pPr>
        <w:pStyle w:val="Heading3"/>
      </w:pPr>
      <w:r w:rsidRPr="00936615">
        <w:t xml:space="preserve">Objectives </w:t>
      </w:r>
      <w:r w:rsidR="00F44166" w:rsidRPr="00936615">
        <w:t>of</w:t>
      </w:r>
      <w:r w:rsidRPr="00936615">
        <w:t xml:space="preserve"> remote area assistance</w:t>
      </w:r>
      <w:r w:rsidR="005F3A80" w:rsidRPr="00936615">
        <w:t xml:space="preserve"> programs</w:t>
      </w:r>
    </w:p>
    <w:p w14:paraId="4E665EC8" w14:textId="2FB96F54" w:rsidR="00715082" w:rsidRPr="00936615" w:rsidRDefault="00715082" w:rsidP="00715082">
      <w:pPr>
        <w:pStyle w:val="BodyText"/>
      </w:pPr>
      <w:r w:rsidRPr="00936615">
        <w:t>The</w:t>
      </w:r>
      <w:r w:rsidR="00A33900" w:rsidRPr="00936615">
        <w:t xml:space="preserve"> </w:t>
      </w:r>
      <w:r w:rsidR="00CB6173" w:rsidRPr="00936615">
        <w:t>terms of reference</w:t>
      </w:r>
      <w:r w:rsidRPr="00936615">
        <w:t xml:space="preserve"> ask whether the arrangements are delivering on their policy objectives and whether those objectives remain appropriate in a contemporary Australia. </w:t>
      </w:r>
    </w:p>
    <w:p w14:paraId="42EDECDC" w14:textId="6433D57E" w:rsidR="007A07D3" w:rsidRPr="00936615" w:rsidRDefault="00715082" w:rsidP="009B0D89">
      <w:pPr>
        <w:pStyle w:val="BodyText"/>
      </w:pPr>
      <w:r w:rsidRPr="00936615">
        <w:t xml:space="preserve">A range of justifications have been advanced for special assistance for people </w:t>
      </w:r>
      <w:r w:rsidR="0095280C">
        <w:t xml:space="preserve">living </w:t>
      </w:r>
      <w:r w:rsidR="00FB599C">
        <w:t>and/</w:t>
      </w:r>
      <w:r w:rsidR="0095280C">
        <w:t xml:space="preserve">or </w:t>
      </w:r>
      <w:r w:rsidR="00A034CD">
        <w:t>working</w:t>
      </w:r>
      <w:r w:rsidR="0095280C">
        <w:t xml:space="preserve"> </w:t>
      </w:r>
      <w:r w:rsidRPr="00936615">
        <w:t>in remote areas</w:t>
      </w:r>
      <w:r w:rsidR="000D791D">
        <w:t xml:space="preserve"> </w:t>
      </w:r>
      <w:r w:rsidR="000D791D" w:rsidRPr="00936615">
        <w:t>(box</w:t>
      </w:r>
      <w:r w:rsidR="000D791D">
        <w:t> </w:t>
      </w:r>
      <w:r w:rsidR="000D791D" w:rsidRPr="00936615">
        <w:t>3)</w:t>
      </w:r>
      <w:r w:rsidRPr="00936615">
        <w:t xml:space="preserve">, although many of these are </w:t>
      </w:r>
      <w:r w:rsidR="00E24A20" w:rsidRPr="00936615">
        <w:t>conten</w:t>
      </w:r>
      <w:r w:rsidR="002044EE" w:rsidRPr="00936615">
        <w:t>t</w:t>
      </w:r>
      <w:r w:rsidR="00E24A20" w:rsidRPr="00936615">
        <w:t>ious</w:t>
      </w:r>
      <w:r w:rsidRPr="00936615">
        <w:t xml:space="preserve">. For those justifications drawing on the isolation and arduousness of life in the outback, the changes in transport, communications and living conditions over the past seventy years mean </w:t>
      </w:r>
      <w:r w:rsidR="0088643A" w:rsidRPr="00936615">
        <w:t xml:space="preserve">that </w:t>
      </w:r>
      <w:r w:rsidRPr="00936615">
        <w:t xml:space="preserve">their strength has </w:t>
      </w:r>
      <w:r w:rsidR="000D26DE" w:rsidRPr="00936615">
        <w:t xml:space="preserve">diminished </w:t>
      </w:r>
      <w:r w:rsidR="0080032F" w:rsidRPr="00936615">
        <w:t>(at least in many parts of the country)</w:t>
      </w:r>
      <w:r w:rsidRPr="00936615">
        <w:t xml:space="preserve">. </w:t>
      </w:r>
      <w:r w:rsidR="009B0D89" w:rsidRPr="00936615">
        <w:t>Such arguments have also been challenge</w:t>
      </w:r>
      <w:r w:rsidR="000F254D" w:rsidRPr="00936615">
        <w:t>d</w:t>
      </w:r>
      <w:r w:rsidR="009B0D89" w:rsidRPr="00936615">
        <w:t xml:space="preserve"> on the basis that </w:t>
      </w:r>
      <w:r w:rsidR="000D26DE" w:rsidRPr="00936615">
        <w:t>‘</w:t>
      </w:r>
      <w:r w:rsidR="009B0D89" w:rsidRPr="00936615">
        <w:t>individuals have a free choice whether or not to live or work in remote areas and to compensate them, if they so choose, would lead to resource misallocation and reduced growth for the country as a whole</w:t>
      </w:r>
      <w:r w:rsidR="000F254D" w:rsidRPr="00936615">
        <w:t>’</w:t>
      </w:r>
      <w:r w:rsidR="00304874" w:rsidRPr="00936615">
        <w:t xml:space="preserve"> </w:t>
      </w:r>
      <w:r w:rsidR="00B17E49" w:rsidRPr="00B17E49">
        <w:rPr>
          <w:szCs w:val="24"/>
        </w:rPr>
        <w:t>(see Cox et al. 1981, p. 15)</w:t>
      </w:r>
      <w:r w:rsidR="0098186D" w:rsidRPr="00936615">
        <w:t>.</w:t>
      </w:r>
    </w:p>
    <w:p w14:paraId="7B479D1C" w14:textId="1CDC0D67" w:rsidR="001A2458" w:rsidRPr="00936615" w:rsidRDefault="001A2458" w:rsidP="001A245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A2458" w:rsidRPr="00936615" w14:paraId="489F3E01" w14:textId="77777777" w:rsidTr="00607D17">
        <w:trPr>
          <w:tblHeader/>
        </w:trPr>
        <w:tc>
          <w:tcPr>
            <w:tcW w:w="5000" w:type="pct"/>
            <w:tcBorders>
              <w:top w:val="single" w:sz="6" w:space="0" w:color="78A22F"/>
              <w:left w:val="nil"/>
              <w:bottom w:val="nil"/>
              <w:right w:val="nil"/>
            </w:tcBorders>
            <w:shd w:val="clear" w:color="auto" w:fill="F2F2F2"/>
          </w:tcPr>
          <w:p w14:paraId="05632C18" w14:textId="01144EB4" w:rsidR="001A2458" w:rsidRPr="00936615" w:rsidRDefault="001A2458" w:rsidP="0095280C">
            <w:pPr>
              <w:pStyle w:val="BoxTitle"/>
            </w:pPr>
            <w:r w:rsidRPr="00936615">
              <w:rPr>
                <w:b w:val="0"/>
              </w:rPr>
              <w:t xml:space="preserve">Box </w:t>
            </w:r>
            <w:r w:rsidR="00AF1567">
              <w:rPr>
                <w:b w:val="0"/>
                <w:noProof/>
              </w:rPr>
              <w:t>3</w:t>
            </w:r>
            <w:r w:rsidRPr="00936615">
              <w:tab/>
            </w:r>
            <w:r w:rsidR="0095280C">
              <w:t>Policy rationales given</w:t>
            </w:r>
            <w:r w:rsidRPr="00936615">
              <w:t xml:space="preserve"> for the </w:t>
            </w:r>
            <w:r w:rsidR="00A83633">
              <w:t>z</w:t>
            </w:r>
            <w:r w:rsidR="00220042">
              <w:t xml:space="preserve">one </w:t>
            </w:r>
            <w:r w:rsidR="00A83633">
              <w:t>t</w:t>
            </w:r>
            <w:r w:rsidR="00220042">
              <w:t xml:space="preserve">ax </w:t>
            </w:r>
            <w:r w:rsidR="00A83633">
              <w:t>o</w:t>
            </w:r>
            <w:r w:rsidR="00220042">
              <w:t>ffset</w:t>
            </w:r>
            <w:r w:rsidRPr="00936615">
              <w:t xml:space="preserve"> and related arrangements</w:t>
            </w:r>
          </w:p>
        </w:tc>
      </w:tr>
      <w:tr w:rsidR="001A2458" w:rsidRPr="00936615" w14:paraId="5F7EF804" w14:textId="77777777" w:rsidTr="00607D17">
        <w:tc>
          <w:tcPr>
            <w:tcW w:w="5000" w:type="pct"/>
            <w:tcBorders>
              <w:top w:val="nil"/>
              <w:left w:val="nil"/>
              <w:bottom w:val="nil"/>
              <w:right w:val="nil"/>
            </w:tcBorders>
            <w:shd w:val="clear" w:color="auto" w:fill="F2F2F2"/>
          </w:tcPr>
          <w:p w14:paraId="201A896D" w14:textId="24CE5D04" w:rsidR="001A2458" w:rsidRPr="00936615" w:rsidRDefault="001A2458" w:rsidP="00607D17">
            <w:pPr>
              <w:pStyle w:val="Box"/>
            </w:pPr>
            <w:r w:rsidRPr="00936615">
              <w:t xml:space="preserve">Different </w:t>
            </w:r>
            <w:r w:rsidR="00613F30">
              <w:t xml:space="preserve">policy </w:t>
            </w:r>
            <w:r w:rsidRPr="00936615">
              <w:t>rationales have been proposed (at times, simultaneously) to justify Australian Government support to the specified regions.</w:t>
            </w:r>
          </w:p>
          <w:p w14:paraId="3516E501" w14:textId="6C2E1D30" w:rsidR="001A2458" w:rsidRPr="00936615" w:rsidRDefault="0095280C" w:rsidP="00607D17">
            <w:pPr>
              <w:pStyle w:val="BoxListBullet"/>
            </w:pPr>
            <w:r>
              <w:rPr>
                <w:b/>
              </w:rPr>
              <w:t>E</w:t>
            </w:r>
            <w:r w:rsidR="001A2458" w:rsidRPr="00936615">
              <w:rPr>
                <w:b/>
              </w:rPr>
              <w:t>quity</w:t>
            </w:r>
            <w:r w:rsidR="001A2458" w:rsidRPr="00936615">
              <w:t xml:space="preserve">: to compensate residents of remote areas for the </w:t>
            </w:r>
            <w:r>
              <w:t xml:space="preserve">various </w:t>
            </w:r>
            <w:r w:rsidR="001A2458" w:rsidRPr="00936615">
              <w:t xml:space="preserve">disadvantages of </w:t>
            </w:r>
            <w:r>
              <w:t>living</w:t>
            </w:r>
            <w:r w:rsidRPr="00936615">
              <w:t xml:space="preserve"> </w:t>
            </w:r>
            <w:r w:rsidR="001A2458" w:rsidRPr="00936615">
              <w:t>in those areas. These were originally conceived of as uncongenial climatic conditions, isolation or high</w:t>
            </w:r>
            <w:r>
              <w:t>er</w:t>
            </w:r>
            <w:r w:rsidR="001A2458" w:rsidRPr="00936615">
              <w:t xml:space="preserve"> cost</w:t>
            </w:r>
            <w:r>
              <w:t>s</w:t>
            </w:r>
            <w:r w:rsidR="001A2458" w:rsidRPr="00936615">
              <w:t xml:space="preserve"> of living; an alternative basis for comparison may be the level of access to public services.</w:t>
            </w:r>
          </w:p>
          <w:p w14:paraId="4A5C1900" w14:textId="77777777" w:rsidR="001A2458" w:rsidRPr="00936615" w:rsidRDefault="001A2458" w:rsidP="00607D17">
            <w:pPr>
              <w:pStyle w:val="BoxListBullet"/>
            </w:pPr>
            <w:r w:rsidRPr="00936615">
              <w:rPr>
                <w:b/>
              </w:rPr>
              <w:t>Regional development</w:t>
            </w:r>
            <w:r w:rsidRPr="00936615">
              <w:t xml:space="preserve">: to actively encourage individuals to move to and work in remote regions. This includes historical justifications (an imperative to develop northern Australia’s resources, and to populate the north to shore up national security) and contemporary arguments (decentralisation). </w:t>
            </w:r>
          </w:p>
          <w:p w14:paraId="4A37F356" w14:textId="2551FFB1" w:rsidR="001A2458" w:rsidRPr="00936615" w:rsidRDefault="001A2458" w:rsidP="00607D17">
            <w:pPr>
              <w:pStyle w:val="BoxListBullet"/>
            </w:pPr>
            <w:r w:rsidRPr="00936615">
              <w:rPr>
                <w:b/>
              </w:rPr>
              <w:t>Industry</w:t>
            </w:r>
            <w:r w:rsidR="00664900">
              <w:rPr>
                <w:b/>
              </w:rPr>
              <w:noBreakHyphen/>
            </w:r>
            <w:r w:rsidRPr="00936615">
              <w:rPr>
                <w:b/>
              </w:rPr>
              <w:t>specific assistance</w:t>
            </w:r>
            <w:r w:rsidRPr="00936615">
              <w:t xml:space="preserve">: </w:t>
            </w:r>
            <w:r w:rsidR="00DB5E7D">
              <w:t>t</w:t>
            </w:r>
            <w:r w:rsidR="00A034CD" w:rsidRPr="00A034CD">
              <w:t>o support industries located in remote areas by mitigating the higher costs of doing business (for example, freight)</w:t>
            </w:r>
            <w:r w:rsidRPr="00936615">
              <w:t>.</w:t>
            </w:r>
          </w:p>
        </w:tc>
      </w:tr>
      <w:tr w:rsidR="001A2458" w:rsidRPr="00936615" w14:paraId="30F4A9F7" w14:textId="77777777" w:rsidTr="00607D17">
        <w:tc>
          <w:tcPr>
            <w:tcW w:w="5000" w:type="pct"/>
            <w:tcBorders>
              <w:top w:val="nil"/>
              <w:left w:val="nil"/>
              <w:bottom w:val="single" w:sz="6" w:space="0" w:color="78A22F"/>
              <w:right w:val="nil"/>
            </w:tcBorders>
            <w:shd w:val="clear" w:color="auto" w:fill="F2F2F2"/>
          </w:tcPr>
          <w:p w14:paraId="24FDA020" w14:textId="77777777" w:rsidR="001A2458" w:rsidRPr="00936615" w:rsidRDefault="001A2458" w:rsidP="00607D17">
            <w:pPr>
              <w:pStyle w:val="Box"/>
              <w:spacing w:before="0" w:line="120" w:lineRule="exact"/>
            </w:pPr>
          </w:p>
        </w:tc>
      </w:tr>
      <w:tr w:rsidR="001A2458" w:rsidRPr="00936615" w14:paraId="0BA3A470" w14:textId="77777777" w:rsidTr="00607D17">
        <w:tc>
          <w:tcPr>
            <w:tcW w:w="5000" w:type="pct"/>
            <w:tcBorders>
              <w:top w:val="single" w:sz="6" w:space="0" w:color="78A22F"/>
              <w:left w:val="nil"/>
              <w:bottom w:val="nil"/>
              <w:right w:val="nil"/>
            </w:tcBorders>
          </w:tcPr>
          <w:p w14:paraId="3529475E" w14:textId="40FAF020" w:rsidR="001A2458" w:rsidRPr="00936615" w:rsidRDefault="001A2458" w:rsidP="00607D17">
            <w:pPr>
              <w:pStyle w:val="BoxSpaceBelow"/>
            </w:pPr>
          </w:p>
        </w:tc>
      </w:tr>
    </w:tbl>
    <w:p w14:paraId="66559BB7" w14:textId="68AD71E7" w:rsidR="00657223" w:rsidRPr="00936615" w:rsidRDefault="00657223" w:rsidP="00657223">
      <w:pPr>
        <w:pStyle w:val="BodyText"/>
      </w:pPr>
      <w:r w:rsidRPr="00936615">
        <w:t>After considering various argument</w:t>
      </w:r>
      <w:r w:rsidR="00C8231A" w:rsidRPr="00936615">
        <w:t>s</w:t>
      </w:r>
      <w:r w:rsidRPr="00936615">
        <w:t xml:space="preserve"> for and against zone allowance</w:t>
      </w:r>
      <w:r w:rsidR="001C0921" w:rsidRPr="00936615">
        <w:t>s</w:t>
      </w:r>
      <w:r w:rsidRPr="00936615">
        <w:t xml:space="preserve">, the </w:t>
      </w:r>
      <w:r w:rsidR="000B2DD6" w:rsidRPr="00936615">
        <w:t xml:space="preserve">1981 </w:t>
      </w:r>
      <w:r w:rsidRPr="00936615">
        <w:t xml:space="preserve">Cox inquiry </w:t>
      </w:r>
      <w:r w:rsidR="00535498">
        <w:t xml:space="preserve">report </w:t>
      </w:r>
      <w:r w:rsidRPr="00936615">
        <w:t xml:space="preserve">found </w:t>
      </w:r>
      <w:r w:rsidR="007257A4" w:rsidRPr="00936615">
        <w:t xml:space="preserve">that </w:t>
      </w:r>
      <w:r w:rsidRPr="00936615">
        <w:t xml:space="preserve">the most compelling rationale for </w:t>
      </w:r>
      <w:r w:rsidR="007257A4" w:rsidRPr="00936615">
        <w:t xml:space="preserve">their </w:t>
      </w:r>
      <w:r w:rsidRPr="00936615">
        <w:t>continuation was on social ground</w:t>
      </w:r>
      <w:r w:rsidR="007257A4" w:rsidRPr="00936615">
        <w:t>s</w:t>
      </w:r>
      <w:r w:rsidRPr="00936615">
        <w:t xml:space="preserve">, but </w:t>
      </w:r>
      <w:r w:rsidR="00A93716" w:rsidRPr="00936615">
        <w:t xml:space="preserve">the panel </w:t>
      </w:r>
      <w:r w:rsidRPr="00936615">
        <w:t>caveat</w:t>
      </w:r>
      <w:r w:rsidR="00CD311B">
        <w:t>ed</w:t>
      </w:r>
      <w:r w:rsidRPr="00936615">
        <w:t xml:space="preserve"> this finding</w:t>
      </w:r>
      <w:r w:rsidR="00826BCD" w:rsidRPr="00936615">
        <w:t xml:space="preserve"> </w:t>
      </w:r>
      <w:r w:rsidR="00B17E49" w:rsidRPr="00B17E49">
        <w:rPr>
          <w:szCs w:val="24"/>
        </w:rPr>
        <w:t>(Cox et al. 1981, p. 31)</w:t>
      </w:r>
      <w:r w:rsidRPr="00936615">
        <w:t>.</w:t>
      </w:r>
    </w:p>
    <w:p w14:paraId="5067C126" w14:textId="6C37ABB5" w:rsidR="00A93716" w:rsidRPr="00936615" w:rsidRDefault="00A93716" w:rsidP="00A93716">
      <w:pPr>
        <w:pStyle w:val="Quote"/>
      </w:pPr>
      <w:r w:rsidRPr="00936615">
        <w:t>The Inquiry does, however, believe that at the present time there is justification for the continuation of zone allowances on social grounds. There is a need for some measure of relief from the disadvantages suffered as a result of isolation, climate and high costs …</w:t>
      </w:r>
    </w:p>
    <w:p w14:paraId="5E298E31" w14:textId="51DE4BD5" w:rsidR="00657223" w:rsidRPr="00936615" w:rsidRDefault="00657223" w:rsidP="00657223">
      <w:pPr>
        <w:pStyle w:val="Quote"/>
      </w:pPr>
      <w:r w:rsidRPr="00936615">
        <w:t xml:space="preserve">The cessation of what has become an accepted and expected concession would create a feeling of loss among the people concerned. However, as conditions in what are at present isolated areas improve, </w:t>
      </w:r>
      <w:r w:rsidRPr="00832BF7">
        <w:t>either by natural economic growth or as a result of government policy, the need for a special taxation concession will diminish</w:t>
      </w:r>
      <w:r w:rsidRPr="00936615">
        <w:t xml:space="preserve">. </w:t>
      </w:r>
    </w:p>
    <w:p w14:paraId="1A50DED9" w14:textId="523213B5" w:rsidR="00CF1074" w:rsidRPr="0004238F" w:rsidRDefault="004F7141" w:rsidP="004F7141">
      <w:pPr>
        <w:pStyle w:val="BodyText"/>
        <w:rPr>
          <w:spacing w:val="-2"/>
        </w:rPr>
      </w:pPr>
      <w:r w:rsidRPr="0004238F">
        <w:rPr>
          <w:spacing w:val="-2"/>
        </w:rPr>
        <w:t>The Commission will need to evaluate the merits of all the arguments put forward in support of the remote area arrangements.</w:t>
      </w:r>
      <w:r w:rsidRPr="0004238F" w:rsidDel="00CF1074">
        <w:rPr>
          <w:spacing w:val="-2"/>
        </w:rPr>
        <w:t xml:space="preserve"> </w:t>
      </w:r>
      <w:r w:rsidR="00CF1074" w:rsidRPr="0004238F">
        <w:rPr>
          <w:spacing w:val="-2"/>
        </w:rPr>
        <w:t xml:space="preserve">In doing so, we will have regard to Australia’s system of horizontal fiscal equalisation, which transfers </w:t>
      </w:r>
      <w:r w:rsidR="00C1222D" w:rsidRPr="0004238F">
        <w:rPr>
          <w:spacing w:val="-2"/>
        </w:rPr>
        <w:t>goods and services tax</w:t>
      </w:r>
      <w:r w:rsidR="00CF1074" w:rsidRPr="0004238F">
        <w:rPr>
          <w:spacing w:val="-2"/>
        </w:rPr>
        <w:t xml:space="preserve"> revenue</w:t>
      </w:r>
      <w:r w:rsidR="008E6736" w:rsidRPr="0004238F">
        <w:rPr>
          <w:spacing w:val="-2"/>
        </w:rPr>
        <w:t xml:space="preserve"> from the Commonwealth to</w:t>
      </w:r>
      <w:r w:rsidR="00CF1074" w:rsidRPr="0004238F">
        <w:rPr>
          <w:spacing w:val="-2"/>
        </w:rPr>
        <w:t xml:space="preserve"> the States and Territories with the aim of equalising their </w:t>
      </w:r>
      <w:r w:rsidR="008E6736" w:rsidRPr="0004238F">
        <w:rPr>
          <w:spacing w:val="-2"/>
        </w:rPr>
        <w:t xml:space="preserve">fiscal </w:t>
      </w:r>
      <w:r w:rsidR="00CF1074" w:rsidRPr="0004238F">
        <w:rPr>
          <w:spacing w:val="-2"/>
        </w:rPr>
        <w:t>capacit</w:t>
      </w:r>
      <w:r w:rsidR="008E6736" w:rsidRPr="0004238F">
        <w:rPr>
          <w:spacing w:val="-2"/>
        </w:rPr>
        <w:t>y</w:t>
      </w:r>
      <w:r w:rsidR="00CF1074" w:rsidRPr="0004238F">
        <w:rPr>
          <w:spacing w:val="-2"/>
        </w:rPr>
        <w:t xml:space="preserve"> to deliver public services</w:t>
      </w:r>
      <w:r w:rsidR="008E6736" w:rsidRPr="0004238F">
        <w:rPr>
          <w:spacing w:val="-2"/>
        </w:rPr>
        <w:t>, taking into account differences in the cost of providing services due to factors such as remoteness</w:t>
      </w:r>
      <w:r w:rsidR="00CF1074" w:rsidRPr="0004238F">
        <w:rPr>
          <w:spacing w:val="-2"/>
        </w:rPr>
        <w:t>. We will also have regard to relevant expenditures, activities and legislation of the Commonwealth and State and Territory governments focused on regional development and assistance, such as the Commonwealth’s Assistance for Isolated Children Scheme and the Western Australian Government’s Royalties for Regions program.</w:t>
      </w:r>
    </w:p>
    <w:p w14:paraId="6D02A140" w14:textId="5E027FB6" w:rsidR="00570ADF" w:rsidRPr="00936615" w:rsidRDefault="00570ADF" w:rsidP="004F7141">
      <w:pPr>
        <w:pStyle w:val="BodyText"/>
      </w:pPr>
      <w:r w:rsidRPr="00936615">
        <w:t xml:space="preserve">As </w:t>
      </w:r>
      <w:r w:rsidR="002044EE" w:rsidRPr="00936615">
        <w:t>the Cox inquiry predates</w:t>
      </w:r>
      <w:r w:rsidRPr="00936615">
        <w:t xml:space="preserve"> the introduction of the RAA and FBT remote are</w:t>
      </w:r>
      <w:r w:rsidR="000B3D93" w:rsidRPr="00936615">
        <w:t>a</w:t>
      </w:r>
      <w:r w:rsidRPr="00936615">
        <w:t xml:space="preserve"> concessions, and there is limited public information on either of these policies, </w:t>
      </w:r>
      <w:r w:rsidR="000B3D93" w:rsidRPr="00936615">
        <w:t xml:space="preserve">we are </w:t>
      </w:r>
      <w:r w:rsidRPr="00936615">
        <w:t>particularly interest</w:t>
      </w:r>
      <w:r w:rsidR="002044EE" w:rsidRPr="00936615">
        <w:t>ed</w:t>
      </w:r>
      <w:r w:rsidRPr="00936615">
        <w:t xml:space="preserve"> in views </w:t>
      </w:r>
      <w:r w:rsidR="00B425CE" w:rsidRPr="00936615">
        <w:t xml:space="preserve">on </w:t>
      </w:r>
      <w:r w:rsidRPr="00936615">
        <w:t xml:space="preserve">the extent to which the </w:t>
      </w:r>
      <w:r w:rsidR="00AC2974">
        <w:t xml:space="preserve">policy rationales </w:t>
      </w:r>
      <w:r w:rsidRPr="00936615">
        <w:t>used to support the ZT</w:t>
      </w:r>
      <w:r w:rsidR="002044EE" w:rsidRPr="00936615">
        <w:t>O (and its previous incarnations)</w:t>
      </w:r>
      <w:r w:rsidR="00BD4C2F" w:rsidRPr="00936615">
        <w:t xml:space="preserve"> apply to the RAA and FBT remote are</w:t>
      </w:r>
      <w:r w:rsidR="00167190" w:rsidRPr="00936615">
        <w:t>a</w:t>
      </w:r>
      <w:r w:rsidR="00BD4C2F" w:rsidRPr="00936615">
        <w:t xml:space="preserve"> concessions.</w:t>
      </w:r>
    </w:p>
    <w:p w14:paraId="42EFA422" w14:textId="6641F327" w:rsidR="007A07D3" w:rsidRPr="00936615" w:rsidRDefault="007A07D3" w:rsidP="004F714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7A07D3" w:rsidRPr="00936615" w14:paraId="6E2E9516" w14:textId="77777777" w:rsidTr="004F7141">
        <w:trPr>
          <w:tblHeader/>
        </w:trPr>
        <w:tc>
          <w:tcPr>
            <w:tcW w:w="5000" w:type="pct"/>
            <w:tcBorders>
              <w:top w:val="single" w:sz="6" w:space="0" w:color="78A22F"/>
              <w:left w:val="nil"/>
              <w:bottom w:val="nil"/>
              <w:right w:val="nil"/>
            </w:tcBorders>
            <w:shd w:val="clear" w:color="auto" w:fill="auto"/>
          </w:tcPr>
          <w:p w14:paraId="7E787507" w14:textId="77777777" w:rsidR="007A07D3" w:rsidRPr="00936615" w:rsidRDefault="007A07D3" w:rsidP="004F7141">
            <w:pPr>
              <w:pStyle w:val="InformationRequestTitle"/>
              <w:spacing w:before="120"/>
            </w:pPr>
            <w:r w:rsidRPr="00936615">
              <w:t>Information request</w:t>
            </w:r>
          </w:p>
        </w:tc>
      </w:tr>
      <w:tr w:rsidR="007A07D3" w:rsidRPr="00936615" w14:paraId="6A804411" w14:textId="77777777" w:rsidTr="004F7141">
        <w:tc>
          <w:tcPr>
            <w:tcW w:w="5000" w:type="pct"/>
            <w:tcBorders>
              <w:top w:val="nil"/>
              <w:left w:val="nil"/>
              <w:bottom w:val="nil"/>
              <w:right w:val="nil"/>
            </w:tcBorders>
            <w:shd w:val="clear" w:color="auto" w:fill="auto"/>
          </w:tcPr>
          <w:p w14:paraId="3AB1144E" w14:textId="10F2582A" w:rsidR="00DD6978" w:rsidRPr="00936615" w:rsidRDefault="00E30D77" w:rsidP="00DD6978">
            <w:pPr>
              <w:pStyle w:val="InformationRequest"/>
              <w:keepNext/>
            </w:pPr>
            <w:r w:rsidRPr="00936615">
              <w:t>The Commission is seeking</w:t>
            </w:r>
            <w:r w:rsidR="00DD6978" w:rsidRPr="00936615">
              <w:t xml:space="preserve"> </w:t>
            </w:r>
            <w:r w:rsidR="00304874" w:rsidRPr="00936615">
              <w:t xml:space="preserve">information </w:t>
            </w:r>
            <w:r w:rsidR="00DD6978" w:rsidRPr="00936615">
              <w:t xml:space="preserve">on: </w:t>
            </w:r>
          </w:p>
          <w:p w14:paraId="58117719" w14:textId="6FEC4E43" w:rsidR="00DD6978" w:rsidRPr="00936615" w:rsidRDefault="00DD6978" w:rsidP="0098186D">
            <w:pPr>
              <w:pStyle w:val="InformationRequestBullet"/>
            </w:pPr>
            <w:r w:rsidRPr="00936615">
              <w:t xml:space="preserve">which, if any, of the </w:t>
            </w:r>
            <w:r w:rsidR="0095280C">
              <w:t>policy rationales</w:t>
            </w:r>
            <w:r w:rsidR="0095280C" w:rsidRPr="00936615">
              <w:t xml:space="preserve"> </w:t>
            </w:r>
            <w:r w:rsidR="0095280C">
              <w:t>given</w:t>
            </w:r>
            <w:r w:rsidR="0095280C" w:rsidRPr="00936615">
              <w:t xml:space="preserve"> </w:t>
            </w:r>
            <w:r w:rsidRPr="00936615">
              <w:t xml:space="preserve">for special assistance for people in remote areas remain valid in </w:t>
            </w:r>
            <w:r w:rsidR="00255FBC" w:rsidRPr="00936615">
              <w:t xml:space="preserve">a </w:t>
            </w:r>
            <w:r w:rsidRPr="00936615">
              <w:t>contemporary Australia</w:t>
            </w:r>
            <w:r w:rsidR="00A01684" w:rsidRPr="00936615">
              <w:t xml:space="preserve"> and why</w:t>
            </w:r>
          </w:p>
          <w:p w14:paraId="44AB6E8F" w14:textId="00382A53" w:rsidR="001F652C" w:rsidRPr="00936615" w:rsidRDefault="00DD6978" w:rsidP="0098186D">
            <w:pPr>
              <w:pStyle w:val="InformationRequestBullet"/>
            </w:pPr>
            <w:r w:rsidRPr="00936615">
              <w:t>the</w:t>
            </w:r>
            <w:r w:rsidRPr="00936615" w:rsidDel="0095280C">
              <w:t xml:space="preserve"> </w:t>
            </w:r>
            <w:r w:rsidRPr="00936615">
              <w:t xml:space="preserve">costs of living in </w:t>
            </w:r>
            <w:r w:rsidR="0095280C">
              <w:t xml:space="preserve">regional and </w:t>
            </w:r>
            <w:r w:rsidRPr="00936615">
              <w:t>remote areas</w:t>
            </w:r>
            <w:r w:rsidR="0095280C">
              <w:t xml:space="preserve"> within the zones</w:t>
            </w:r>
            <w:r w:rsidRPr="00936615">
              <w:t xml:space="preserve"> compared to other parts of Australia (for example, </w:t>
            </w:r>
            <w:r w:rsidR="00081FA5" w:rsidRPr="00936615">
              <w:t xml:space="preserve">the costs of </w:t>
            </w:r>
            <w:r w:rsidRPr="00936615">
              <w:t xml:space="preserve">food, </w:t>
            </w:r>
            <w:r w:rsidR="00FB599C">
              <w:t>communications,</w:t>
            </w:r>
            <w:r w:rsidRPr="00936615">
              <w:t xml:space="preserve"> transport, </w:t>
            </w:r>
            <w:r w:rsidR="00FB599C">
              <w:t>education, health</w:t>
            </w:r>
            <w:r w:rsidR="00264C88">
              <w:t>care</w:t>
            </w:r>
            <w:r w:rsidRPr="00936615">
              <w:t xml:space="preserve"> </w:t>
            </w:r>
            <w:r w:rsidR="00081FA5" w:rsidRPr="00936615">
              <w:t xml:space="preserve">and </w:t>
            </w:r>
            <w:r w:rsidRPr="00936615">
              <w:t>housing)</w:t>
            </w:r>
          </w:p>
          <w:p w14:paraId="6FA5B981" w14:textId="29CDD5B5" w:rsidR="00F87AE0" w:rsidRPr="00936615" w:rsidRDefault="00F87AE0" w:rsidP="00047902">
            <w:pPr>
              <w:pStyle w:val="InformationRequestBullet"/>
            </w:pPr>
            <w:r w:rsidRPr="00936615">
              <w:t xml:space="preserve">changes in </w:t>
            </w:r>
            <w:r w:rsidR="006B1176" w:rsidRPr="00936615">
              <w:t xml:space="preserve">the </w:t>
            </w:r>
            <w:r w:rsidR="00047902" w:rsidRPr="00936615">
              <w:t xml:space="preserve">cost of living in remote areas </w:t>
            </w:r>
            <w:r w:rsidR="000E6548" w:rsidRPr="00936615">
              <w:t>over</w:t>
            </w:r>
            <w:r w:rsidR="00047902" w:rsidRPr="00936615">
              <w:t xml:space="preserve"> recent decades</w:t>
            </w:r>
          </w:p>
          <w:p w14:paraId="5AC727DE" w14:textId="79DFF148" w:rsidR="00E175DC" w:rsidRPr="00936615" w:rsidRDefault="00E175DC" w:rsidP="00A86ECD">
            <w:pPr>
              <w:pStyle w:val="InformationRequestBullet"/>
            </w:pPr>
            <w:r w:rsidRPr="00936615">
              <w:t>changes in technology</w:t>
            </w:r>
            <w:r w:rsidR="009616CB" w:rsidRPr="00936615">
              <w:t>, transport,</w:t>
            </w:r>
            <w:r w:rsidRPr="00936615">
              <w:t xml:space="preserve"> and infrastructure </w:t>
            </w:r>
            <w:r w:rsidR="006E78C7" w:rsidRPr="00936615">
              <w:t xml:space="preserve">over recent decades </w:t>
            </w:r>
            <w:r w:rsidRPr="00936615">
              <w:t xml:space="preserve">that </w:t>
            </w:r>
            <w:r w:rsidR="009C2A5F" w:rsidRPr="00936615">
              <w:t xml:space="preserve">have </w:t>
            </w:r>
            <w:r w:rsidRPr="00936615">
              <w:t>affect</w:t>
            </w:r>
            <w:r w:rsidR="009C2A5F" w:rsidRPr="00936615">
              <w:t>ed</w:t>
            </w:r>
            <w:r w:rsidRPr="00936615">
              <w:t xml:space="preserve"> the hardships of living in </w:t>
            </w:r>
            <w:r w:rsidR="00BB7C69" w:rsidRPr="00936615">
              <w:t xml:space="preserve">areas that are </w:t>
            </w:r>
            <w:r w:rsidRPr="00936615">
              <w:t xml:space="preserve">geographically isolated </w:t>
            </w:r>
            <w:r w:rsidR="00BB7C69" w:rsidRPr="00936615">
              <w:t>or have uncongenial conditions</w:t>
            </w:r>
          </w:p>
          <w:p w14:paraId="1DBEA465" w14:textId="5CC5253C" w:rsidR="00304874" w:rsidRPr="00936615" w:rsidRDefault="00304874" w:rsidP="0098186D">
            <w:pPr>
              <w:pStyle w:val="InformationRequestBullet"/>
            </w:pPr>
            <w:r w:rsidRPr="00936615">
              <w:t xml:space="preserve">any other forms of government assistance available to people living in remote areas (including </w:t>
            </w:r>
            <w:r w:rsidR="00B00C11" w:rsidRPr="00936615">
              <w:t xml:space="preserve">Indigenous </w:t>
            </w:r>
            <w:r w:rsidRPr="00936615">
              <w:t xml:space="preserve">communities) to assist </w:t>
            </w:r>
            <w:r w:rsidR="00B425CE" w:rsidRPr="00936615">
              <w:t xml:space="preserve">them </w:t>
            </w:r>
            <w:r w:rsidR="007E6B09">
              <w:t>in overcoming</w:t>
            </w:r>
            <w:r w:rsidR="00757101">
              <w:t xml:space="preserve"> disadvantages such as a</w:t>
            </w:r>
            <w:r w:rsidR="00C248DF" w:rsidRPr="00936615">
              <w:t xml:space="preserve"> </w:t>
            </w:r>
            <w:r w:rsidRPr="00936615">
              <w:t xml:space="preserve">high cost of living </w:t>
            </w:r>
            <w:r w:rsidR="00081FA5" w:rsidRPr="00936615">
              <w:t>or</w:t>
            </w:r>
            <w:r w:rsidRPr="00936615">
              <w:t xml:space="preserve"> </w:t>
            </w:r>
            <w:r w:rsidR="00C248DF" w:rsidRPr="00936615">
              <w:t xml:space="preserve">limited </w:t>
            </w:r>
            <w:r w:rsidRPr="00936615">
              <w:t xml:space="preserve">access to </w:t>
            </w:r>
            <w:r w:rsidR="0095280C">
              <w:t>government and non</w:t>
            </w:r>
            <w:r w:rsidR="0095280C">
              <w:noBreakHyphen/>
              <w:t xml:space="preserve">government </w:t>
            </w:r>
            <w:r w:rsidRPr="00936615">
              <w:t>services</w:t>
            </w:r>
          </w:p>
          <w:p w14:paraId="2EFE24B9" w14:textId="5B963008" w:rsidR="00F72B91" w:rsidRPr="00936615" w:rsidRDefault="00167190" w:rsidP="00F72B91">
            <w:pPr>
              <w:pStyle w:val="InformationRequestBullet"/>
            </w:pPr>
            <w:r w:rsidRPr="00936615">
              <w:t xml:space="preserve">whether the </w:t>
            </w:r>
            <w:r w:rsidR="0095280C">
              <w:t>policy rationales</w:t>
            </w:r>
            <w:r w:rsidR="0095280C" w:rsidRPr="00936615">
              <w:t xml:space="preserve"> </w:t>
            </w:r>
            <w:r w:rsidR="0095280C">
              <w:t xml:space="preserve">given </w:t>
            </w:r>
            <w:r w:rsidR="00F72B91" w:rsidRPr="00936615">
              <w:t xml:space="preserve">to support </w:t>
            </w:r>
            <w:r w:rsidRPr="00936615">
              <w:t xml:space="preserve">the </w:t>
            </w:r>
            <w:r w:rsidR="00810390" w:rsidRPr="00936615">
              <w:t xml:space="preserve">zone tax offset </w:t>
            </w:r>
            <w:r w:rsidRPr="00936615">
              <w:t xml:space="preserve">(and its previous incarnations) apply to the </w:t>
            </w:r>
            <w:r w:rsidR="00810390" w:rsidRPr="00936615">
              <w:t>fringe benefits tax</w:t>
            </w:r>
            <w:r w:rsidR="00C90120">
              <w:t>,</w:t>
            </w:r>
            <w:r w:rsidR="00810390" w:rsidRPr="00936615">
              <w:t xml:space="preserve"> </w:t>
            </w:r>
            <w:r w:rsidRPr="00936615">
              <w:t xml:space="preserve">remote area </w:t>
            </w:r>
            <w:r w:rsidR="00C90120">
              <w:t xml:space="preserve">FBT </w:t>
            </w:r>
            <w:r w:rsidRPr="00936615">
              <w:t>concessions</w:t>
            </w:r>
            <w:r w:rsidR="00C90120">
              <w:t>,</w:t>
            </w:r>
            <w:r w:rsidR="00810390" w:rsidRPr="00936615">
              <w:t xml:space="preserve"> or </w:t>
            </w:r>
            <w:r w:rsidR="00A83633">
              <w:t>R</w:t>
            </w:r>
            <w:r w:rsidR="00810390" w:rsidRPr="00936615">
              <w:t xml:space="preserve">emote </w:t>
            </w:r>
            <w:r w:rsidR="00A83633">
              <w:t>A</w:t>
            </w:r>
            <w:r w:rsidR="00810390" w:rsidRPr="00936615">
              <w:t xml:space="preserve">rea </w:t>
            </w:r>
            <w:r w:rsidR="00A83633">
              <w:t>A</w:t>
            </w:r>
            <w:r w:rsidR="00810390" w:rsidRPr="00936615">
              <w:t xml:space="preserve">llowance. </w:t>
            </w:r>
          </w:p>
          <w:p w14:paraId="0C1A5D77" w14:textId="13CE19C5" w:rsidR="00F72B91" w:rsidRPr="00936615" w:rsidRDefault="00F72B91" w:rsidP="00B425CE">
            <w:pPr>
              <w:pStyle w:val="InformationRequestBullet"/>
            </w:pPr>
            <w:r w:rsidRPr="00936615">
              <w:t xml:space="preserve">whether there is merit in moving away from remote area assistance based on concepts such as the </w:t>
            </w:r>
            <w:r w:rsidR="00B425CE" w:rsidRPr="00936615">
              <w:t xml:space="preserve">relative </w:t>
            </w:r>
            <w:r w:rsidRPr="00936615">
              <w:t>costs of living</w:t>
            </w:r>
            <w:r w:rsidR="00810390" w:rsidRPr="00936615">
              <w:t>,</w:t>
            </w:r>
            <w:r w:rsidRPr="00936615">
              <w:t xml:space="preserve"> </w:t>
            </w:r>
            <w:r w:rsidR="00810390" w:rsidRPr="00936615">
              <w:t xml:space="preserve">and instead </w:t>
            </w:r>
            <w:r w:rsidR="00C94CD6">
              <w:t>basing</w:t>
            </w:r>
            <w:r w:rsidRPr="00936615">
              <w:t xml:space="preserve"> assistance on more direct measures of disadvantage or need</w:t>
            </w:r>
            <w:r w:rsidR="00EE4C75" w:rsidRPr="00936615">
              <w:t>.</w:t>
            </w:r>
          </w:p>
        </w:tc>
      </w:tr>
      <w:tr w:rsidR="007A07D3" w:rsidRPr="00936615" w14:paraId="49E30CE3" w14:textId="77777777" w:rsidTr="004F7141">
        <w:tc>
          <w:tcPr>
            <w:tcW w:w="5000" w:type="pct"/>
            <w:tcBorders>
              <w:top w:val="nil"/>
              <w:left w:val="nil"/>
              <w:bottom w:val="single" w:sz="6" w:space="0" w:color="78A22F"/>
              <w:right w:val="nil"/>
            </w:tcBorders>
            <w:shd w:val="clear" w:color="auto" w:fill="auto"/>
          </w:tcPr>
          <w:p w14:paraId="55C035F6" w14:textId="77777777" w:rsidR="007A07D3" w:rsidRPr="00936615" w:rsidRDefault="007A07D3" w:rsidP="0004238F">
            <w:pPr>
              <w:pStyle w:val="Space"/>
              <w:keepLines/>
              <w:spacing w:after="0"/>
            </w:pPr>
          </w:p>
        </w:tc>
      </w:tr>
      <w:tr w:rsidR="007A07D3" w:rsidRPr="00936615" w14:paraId="06BDB950" w14:textId="77777777" w:rsidTr="004F7141">
        <w:tc>
          <w:tcPr>
            <w:tcW w:w="5000" w:type="pct"/>
            <w:tcBorders>
              <w:top w:val="single" w:sz="6" w:space="0" w:color="78A22F"/>
              <w:left w:val="nil"/>
              <w:bottom w:val="nil"/>
              <w:right w:val="nil"/>
            </w:tcBorders>
          </w:tcPr>
          <w:p w14:paraId="2672373C" w14:textId="0B1A05E6" w:rsidR="007A07D3" w:rsidRPr="00936615" w:rsidRDefault="007A07D3" w:rsidP="004F7141">
            <w:pPr>
              <w:pStyle w:val="BoxSpaceBelow"/>
              <w:keepLines/>
            </w:pPr>
          </w:p>
        </w:tc>
      </w:tr>
    </w:tbl>
    <w:p w14:paraId="771FE9E9" w14:textId="4BAFFCFE" w:rsidR="002A5F36" w:rsidRPr="00936615" w:rsidRDefault="00AF1567" w:rsidP="00134559">
      <w:pPr>
        <w:pStyle w:val="Heading2"/>
      </w:pPr>
      <w:bookmarkStart w:id="57" w:name="_Toc1739539"/>
      <w:bookmarkStart w:id="58" w:name="_Toc1742364"/>
      <w:bookmarkStart w:id="59" w:name="_Toc1742428"/>
      <w:bookmarkStart w:id="60" w:name="_Toc1744725"/>
      <w:bookmarkStart w:id="61" w:name="_Toc1744814"/>
      <w:bookmarkStart w:id="62" w:name="_Toc1746190"/>
      <w:bookmarkStart w:id="63" w:name="_Toc2093106"/>
      <w:bookmarkStart w:id="64" w:name="_Toc2152543"/>
      <w:bookmarkStart w:id="65" w:name="_Toc2773713"/>
      <w:bookmarkStart w:id="66" w:name="_Toc2774007"/>
      <w:bookmarkStart w:id="67" w:name="_Toc2855501"/>
      <w:r>
        <w:rPr>
          <w:noProof/>
        </w:rPr>
        <w:t>5</w:t>
      </w:r>
      <w:r w:rsidR="00F220C4" w:rsidRPr="00936615">
        <w:tab/>
        <w:t>Options for revising</w:t>
      </w:r>
      <w:r w:rsidR="00134559" w:rsidRPr="00936615">
        <w:t xml:space="preserve"> </w:t>
      </w:r>
      <w:r w:rsidR="00F220C4" w:rsidRPr="00936615">
        <w:t>current arrangements</w:t>
      </w:r>
      <w:bookmarkEnd w:id="57"/>
      <w:bookmarkEnd w:id="58"/>
      <w:bookmarkEnd w:id="59"/>
      <w:bookmarkEnd w:id="60"/>
      <w:bookmarkEnd w:id="61"/>
      <w:bookmarkEnd w:id="62"/>
      <w:bookmarkEnd w:id="63"/>
      <w:bookmarkEnd w:id="64"/>
      <w:bookmarkEnd w:id="65"/>
      <w:bookmarkEnd w:id="66"/>
      <w:bookmarkEnd w:id="67"/>
    </w:p>
    <w:p w14:paraId="16F69629" w14:textId="5645F103" w:rsidR="00124DC2" w:rsidRPr="00936615" w:rsidRDefault="0095280C" w:rsidP="004F3D7C">
      <w:pPr>
        <w:pStyle w:val="BodyText"/>
      </w:pPr>
      <w:r>
        <w:t>A</w:t>
      </w:r>
      <w:r w:rsidR="00083B58" w:rsidRPr="00936615">
        <w:t>nother</w:t>
      </w:r>
      <w:r w:rsidR="00F4680B" w:rsidRPr="00936615">
        <w:t xml:space="preserve"> issue</w:t>
      </w:r>
      <w:r w:rsidR="004D5FA8" w:rsidRPr="00936615">
        <w:t xml:space="preserve"> </w:t>
      </w:r>
      <w:r>
        <w:t xml:space="preserve">the Commission will need to evaluate </w:t>
      </w:r>
      <w:r w:rsidR="004D5FA8" w:rsidRPr="00936615">
        <w:t xml:space="preserve">is whether </w:t>
      </w:r>
      <w:r w:rsidR="00B00C11" w:rsidRPr="00936615">
        <w:t>the</w:t>
      </w:r>
      <w:r w:rsidR="004D5FA8" w:rsidRPr="00936615">
        <w:t xml:space="preserve"> current </w:t>
      </w:r>
      <w:r w:rsidR="00B00C11" w:rsidRPr="00936615">
        <w:t>system of</w:t>
      </w:r>
      <w:r w:rsidR="004D5FA8" w:rsidRPr="00936615">
        <w:t xml:space="preserve"> remote area tax concessions and payments </w:t>
      </w:r>
      <w:r w:rsidR="00B00C11" w:rsidRPr="00936615">
        <w:t xml:space="preserve">is </w:t>
      </w:r>
      <w:r w:rsidR="004D5FA8" w:rsidRPr="00936615">
        <w:t xml:space="preserve">the most </w:t>
      </w:r>
      <w:r w:rsidR="004D5FA8" w:rsidRPr="00936615">
        <w:rPr>
          <w:b/>
        </w:rPr>
        <w:t>efficient</w:t>
      </w:r>
      <w:r w:rsidR="00FA2F5D" w:rsidRPr="00936615">
        <w:rPr>
          <w:b/>
        </w:rPr>
        <w:t xml:space="preserve">, </w:t>
      </w:r>
      <w:r w:rsidR="008E6736">
        <w:rPr>
          <w:b/>
        </w:rPr>
        <w:t>cost</w:t>
      </w:r>
      <w:r w:rsidR="008E6736">
        <w:rPr>
          <w:b/>
        </w:rPr>
        <w:noBreakHyphen/>
        <w:t xml:space="preserve">effective, </w:t>
      </w:r>
      <w:r w:rsidR="00FA2F5D" w:rsidRPr="00936615">
        <w:rPr>
          <w:b/>
        </w:rPr>
        <w:t>equitable</w:t>
      </w:r>
      <w:r w:rsidR="002044EE" w:rsidRPr="00936615">
        <w:rPr>
          <w:b/>
        </w:rPr>
        <w:t>,</w:t>
      </w:r>
      <w:r w:rsidR="00066CEA" w:rsidRPr="00936615">
        <w:rPr>
          <w:b/>
        </w:rPr>
        <w:t xml:space="preserve"> and </w:t>
      </w:r>
      <w:r w:rsidR="00187ACC" w:rsidRPr="00936615">
        <w:rPr>
          <w:b/>
        </w:rPr>
        <w:t>simple</w:t>
      </w:r>
      <w:r w:rsidR="00DD1631" w:rsidRPr="00936615">
        <w:t xml:space="preserve"> way to provide</w:t>
      </w:r>
      <w:r w:rsidR="004D5FA8" w:rsidRPr="00936615">
        <w:t xml:space="preserve"> that assistance.</w:t>
      </w:r>
      <w:r w:rsidR="00F4680B" w:rsidRPr="00936615">
        <w:t xml:space="preserve"> As noted in section</w:t>
      </w:r>
      <w:r w:rsidR="00664900">
        <w:t> </w:t>
      </w:r>
      <w:r w:rsidR="00A01684" w:rsidRPr="00936615">
        <w:t>2</w:t>
      </w:r>
      <w:r w:rsidR="00F4680B" w:rsidRPr="00936615">
        <w:t xml:space="preserve">, some stakeholders have suggested that the current </w:t>
      </w:r>
      <w:r w:rsidR="009E179B" w:rsidRPr="00936615">
        <w:t xml:space="preserve">ZTO </w:t>
      </w:r>
      <w:r w:rsidR="00F4680B" w:rsidRPr="00936615">
        <w:t xml:space="preserve">assistance is inadequate </w:t>
      </w:r>
      <w:r w:rsidR="006968D0" w:rsidRPr="00936615">
        <w:t>and/or</w:t>
      </w:r>
      <w:r w:rsidR="00F4680B" w:rsidRPr="00936615">
        <w:t xml:space="preserve"> poorly targeted, resulting in </w:t>
      </w:r>
      <w:r w:rsidR="00066CEA" w:rsidRPr="00936615">
        <w:t>anomalous outcomes</w:t>
      </w:r>
      <w:r w:rsidR="00F10611" w:rsidRPr="00936615">
        <w:t xml:space="preserve"> </w:t>
      </w:r>
      <w:r w:rsidR="00B17E49" w:rsidRPr="00B17E49">
        <w:rPr>
          <w:szCs w:val="24"/>
        </w:rPr>
        <w:t>(Australian Government 2015, p. 104; Manning 2013)</w:t>
      </w:r>
      <w:r w:rsidR="00F4680B" w:rsidRPr="00936615">
        <w:t>.</w:t>
      </w:r>
      <w:r w:rsidR="00DD1631" w:rsidRPr="00936615">
        <w:t xml:space="preserve"> </w:t>
      </w:r>
      <w:r w:rsidR="00C92747" w:rsidRPr="00936615">
        <w:t xml:space="preserve">Others have questioned the constitutionality of the </w:t>
      </w:r>
      <w:r w:rsidR="00DB33DB">
        <w:t xml:space="preserve">ZTO </w:t>
      </w:r>
      <w:r w:rsidR="00B425CE" w:rsidRPr="00936615">
        <w:t>in its current form</w:t>
      </w:r>
      <w:r w:rsidR="00C92747" w:rsidRPr="00936615">
        <w:t xml:space="preserve"> (box</w:t>
      </w:r>
      <w:r w:rsidR="00664900">
        <w:t> </w:t>
      </w:r>
      <w:r w:rsidR="00A818AF">
        <w:t>4</w:t>
      </w:r>
      <w:r w:rsidR="00C92747" w:rsidRPr="00936615">
        <w:t>).</w:t>
      </w:r>
    </w:p>
    <w:p w14:paraId="789312DD" w14:textId="77777777" w:rsidR="00C92747" w:rsidRPr="00936615" w:rsidRDefault="00C92747" w:rsidP="00C9274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92747" w:rsidRPr="00936615" w14:paraId="7E8DF262" w14:textId="77777777" w:rsidTr="00787B45">
        <w:trPr>
          <w:tblHeader/>
        </w:trPr>
        <w:tc>
          <w:tcPr>
            <w:tcW w:w="5000" w:type="pct"/>
            <w:tcBorders>
              <w:top w:val="single" w:sz="6" w:space="0" w:color="78A22F"/>
              <w:left w:val="nil"/>
              <w:bottom w:val="nil"/>
              <w:right w:val="nil"/>
            </w:tcBorders>
            <w:shd w:val="clear" w:color="auto" w:fill="F2F2F2"/>
          </w:tcPr>
          <w:p w14:paraId="3D47978E" w14:textId="382EFB99" w:rsidR="00C92747" w:rsidRPr="00936615" w:rsidRDefault="00C92747" w:rsidP="00787B45">
            <w:pPr>
              <w:pStyle w:val="BoxTitle"/>
            </w:pPr>
            <w:r w:rsidRPr="00936615">
              <w:rPr>
                <w:b w:val="0"/>
              </w:rPr>
              <w:t xml:space="preserve">Box </w:t>
            </w:r>
            <w:r w:rsidR="00AF1567">
              <w:rPr>
                <w:b w:val="0"/>
                <w:noProof/>
              </w:rPr>
              <w:t>4</w:t>
            </w:r>
            <w:r w:rsidRPr="00936615">
              <w:tab/>
              <w:t>Constitutionality of the zone tax offset</w:t>
            </w:r>
          </w:p>
        </w:tc>
      </w:tr>
      <w:tr w:rsidR="00C92747" w:rsidRPr="00936615" w14:paraId="16BE833E" w14:textId="77777777" w:rsidTr="00787B45">
        <w:tc>
          <w:tcPr>
            <w:tcW w:w="5000" w:type="pct"/>
            <w:tcBorders>
              <w:top w:val="nil"/>
              <w:left w:val="nil"/>
              <w:bottom w:val="nil"/>
              <w:right w:val="nil"/>
            </w:tcBorders>
            <w:shd w:val="clear" w:color="auto" w:fill="F2F2F2"/>
          </w:tcPr>
          <w:p w14:paraId="2698849A" w14:textId="4430AF13" w:rsidR="00C92747" w:rsidRPr="00936615" w:rsidRDefault="00C92747" w:rsidP="00787B45">
            <w:pPr>
              <w:pStyle w:val="Box"/>
            </w:pPr>
            <w:r w:rsidRPr="00936615">
              <w:t xml:space="preserve">Since the establishment of remote area deductions in 1945, there has been ongoing debate about whether providing assistance </w:t>
            </w:r>
            <w:r w:rsidR="00CD311B">
              <w:t xml:space="preserve">through the tax system </w:t>
            </w:r>
            <w:r w:rsidR="0067306D" w:rsidRPr="00936615">
              <w:t>based on</w:t>
            </w:r>
            <w:r w:rsidR="0095280C">
              <w:t xml:space="preserve"> geographic delineations of</w:t>
            </w:r>
            <w:r w:rsidR="0067306D" w:rsidRPr="00936615">
              <w:t xml:space="preserve"> </w:t>
            </w:r>
            <w:r w:rsidRPr="00936615">
              <w:t>remoteness complies with the Constitution of Australia. Section</w:t>
            </w:r>
            <w:r w:rsidR="00664900">
              <w:t> </w:t>
            </w:r>
            <w:r w:rsidRPr="00936615">
              <w:t xml:space="preserve">51(ii) of the Constitution confers on the Commonwealth the power to make laws with respect to ‘Taxation; but </w:t>
            </w:r>
            <w:r w:rsidR="00887C70" w:rsidRPr="00936615">
              <w:t xml:space="preserve">so as </w:t>
            </w:r>
            <w:r w:rsidRPr="00936615">
              <w:t>not to discriminate between States or parts of States’. Section</w:t>
            </w:r>
            <w:r w:rsidR="00664900">
              <w:t> </w:t>
            </w:r>
            <w:r w:rsidRPr="00936615">
              <w:t xml:space="preserve">99 further states ‘The Commonwealth shall not, by any law or regulation of </w:t>
            </w:r>
            <w:r w:rsidR="00664900">
              <w:t>…</w:t>
            </w:r>
            <w:r w:rsidRPr="00936615">
              <w:t xml:space="preserve"> revenue</w:t>
            </w:r>
            <w:r w:rsidR="00887C70">
              <w:t>,</w:t>
            </w:r>
            <w:r w:rsidRPr="00936615">
              <w:t xml:space="preserve"> give preference to one State or any part thereof over another State or any part thereof’. </w:t>
            </w:r>
          </w:p>
          <w:p w14:paraId="3969BC85" w14:textId="52CB25A6" w:rsidR="005B5725" w:rsidRPr="00936615" w:rsidRDefault="00C92747" w:rsidP="00787B45">
            <w:pPr>
              <w:pStyle w:val="Box"/>
            </w:pPr>
            <w:r w:rsidRPr="00936615">
              <w:t>After seeking the advice of the Attorney</w:t>
            </w:r>
            <w:r w:rsidR="00664900">
              <w:noBreakHyphen/>
            </w:r>
            <w:r w:rsidRPr="00936615">
              <w:t>General</w:t>
            </w:r>
            <w:r w:rsidR="00664900">
              <w:t>’</w:t>
            </w:r>
            <w:r w:rsidRPr="00936615">
              <w:t xml:space="preserve">s Department on the constitutional validity of </w:t>
            </w:r>
            <w:r w:rsidR="005B5725" w:rsidRPr="00936615">
              <w:t xml:space="preserve">zone tax offset, as described in </w:t>
            </w:r>
            <w:r w:rsidRPr="00936615">
              <w:t>section</w:t>
            </w:r>
            <w:r w:rsidR="00664900">
              <w:t> </w:t>
            </w:r>
            <w:r w:rsidRPr="00936615">
              <w:t xml:space="preserve">79A of the </w:t>
            </w:r>
            <w:r w:rsidRPr="009F7D97">
              <w:rPr>
                <w:i/>
              </w:rPr>
              <w:t>Income Tax Assessment Act 1936</w:t>
            </w:r>
            <w:r w:rsidRPr="00936615">
              <w:t xml:space="preserve"> (Cwlth), the Cox review </w:t>
            </w:r>
            <w:r w:rsidR="00B17E49" w:rsidRPr="00B17E49">
              <w:rPr>
                <w:rFonts w:cs="Arial"/>
                <w:szCs w:val="24"/>
              </w:rPr>
              <w:t>(1981, p. 5)</w:t>
            </w:r>
            <w:r w:rsidR="00810390" w:rsidRPr="00936615">
              <w:t xml:space="preserve"> </w:t>
            </w:r>
            <w:r w:rsidRPr="00936615">
              <w:t>noted</w:t>
            </w:r>
            <w:r w:rsidR="00EA1067">
              <w:t xml:space="preserve"> that</w:t>
            </w:r>
            <w:r w:rsidR="005B5725" w:rsidRPr="00936615">
              <w:t>:</w:t>
            </w:r>
          </w:p>
          <w:p w14:paraId="43633C15" w14:textId="467722A9" w:rsidR="005B5725" w:rsidRPr="00936615" w:rsidRDefault="005B5725" w:rsidP="005B5725">
            <w:pPr>
              <w:pStyle w:val="BoxQuote"/>
            </w:pPr>
            <w:r w:rsidRPr="00936615">
              <w:t>t</w:t>
            </w:r>
            <w:r w:rsidR="00C92747" w:rsidRPr="00936615">
              <w:t>here was doubt about the issue and that [the reviewers] could have no assurance that the provision was constitutionally sound, notwithstanding that the arrangements had been in existence since 1945</w:t>
            </w:r>
            <w:r w:rsidR="00810390" w:rsidRPr="00936615">
              <w:t>.</w:t>
            </w:r>
          </w:p>
          <w:p w14:paraId="4423CA1B" w14:textId="5104C1E0" w:rsidR="00C92747" w:rsidRPr="00936615" w:rsidRDefault="00C92747" w:rsidP="00787B45">
            <w:pPr>
              <w:pStyle w:val="Box"/>
            </w:pPr>
            <w:r w:rsidRPr="00936615">
              <w:t>The arrangements have never been tested in the High Court.</w:t>
            </w:r>
          </w:p>
          <w:p w14:paraId="2C0D568F" w14:textId="3B11D789" w:rsidR="00C92747" w:rsidRPr="00936615" w:rsidRDefault="00C92747" w:rsidP="00120735">
            <w:pPr>
              <w:pStyle w:val="Box"/>
            </w:pPr>
            <w:r w:rsidRPr="00936615">
              <w:t xml:space="preserve">While it is not the Commission’s role to pass judgment on the constitutionality of the </w:t>
            </w:r>
            <w:r w:rsidR="00664900">
              <w:t>zone tax offset</w:t>
            </w:r>
            <w:r w:rsidRPr="00936615">
              <w:t xml:space="preserve"> and </w:t>
            </w:r>
            <w:r w:rsidR="00664900">
              <w:t xml:space="preserve">fringe benefits tax </w:t>
            </w:r>
            <w:r w:rsidRPr="00936615">
              <w:t>remote area concessions, it will consider potential constitutional risks when analysing different reform options.</w:t>
            </w:r>
          </w:p>
        </w:tc>
      </w:tr>
      <w:tr w:rsidR="00C92747" w:rsidRPr="00936615" w14:paraId="788DAA31" w14:textId="77777777" w:rsidTr="00787B45">
        <w:tc>
          <w:tcPr>
            <w:tcW w:w="5000" w:type="pct"/>
            <w:tcBorders>
              <w:top w:val="nil"/>
              <w:left w:val="nil"/>
              <w:bottom w:val="single" w:sz="6" w:space="0" w:color="78A22F"/>
              <w:right w:val="nil"/>
            </w:tcBorders>
            <w:shd w:val="clear" w:color="auto" w:fill="F2F2F2"/>
          </w:tcPr>
          <w:p w14:paraId="25BDAC74" w14:textId="77777777" w:rsidR="00C92747" w:rsidRPr="00936615" w:rsidRDefault="00C92747" w:rsidP="00787B45">
            <w:pPr>
              <w:pStyle w:val="Box"/>
              <w:spacing w:before="0" w:line="120" w:lineRule="exact"/>
            </w:pPr>
          </w:p>
        </w:tc>
      </w:tr>
      <w:tr w:rsidR="00C92747" w:rsidRPr="00936615" w14:paraId="06973438" w14:textId="77777777" w:rsidTr="00787B45">
        <w:tc>
          <w:tcPr>
            <w:tcW w:w="5000" w:type="pct"/>
            <w:tcBorders>
              <w:top w:val="single" w:sz="6" w:space="0" w:color="78A22F"/>
              <w:left w:val="nil"/>
              <w:bottom w:val="nil"/>
              <w:right w:val="nil"/>
            </w:tcBorders>
          </w:tcPr>
          <w:p w14:paraId="6DC701A6" w14:textId="0060FD29" w:rsidR="00C92747" w:rsidRPr="00936615" w:rsidRDefault="00C92747" w:rsidP="00787B45">
            <w:pPr>
              <w:pStyle w:val="BoxSpaceBelow"/>
            </w:pPr>
          </w:p>
        </w:tc>
      </w:tr>
    </w:tbl>
    <w:p w14:paraId="226F4734" w14:textId="1586B3F3" w:rsidR="0069693F" w:rsidRDefault="0069693F" w:rsidP="0069693F">
      <w:pPr>
        <w:pStyle w:val="BodyText"/>
      </w:pPr>
      <w:r>
        <w:t>The Commission is seeking participant views on the following Information Request.</w:t>
      </w:r>
    </w:p>
    <w:p w14:paraId="24DCBCB6" w14:textId="23DCAEA4" w:rsidR="0069693F" w:rsidRPr="00936615" w:rsidRDefault="0069693F" w:rsidP="0069693F">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9693F" w:rsidRPr="00936615" w14:paraId="18AB70FD" w14:textId="77777777" w:rsidTr="00F95838">
        <w:trPr>
          <w:tblHeader/>
        </w:trPr>
        <w:tc>
          <w:tcPr>
            <w:tcW w:w="5000" w:type="pct"/>
            <w:tcBorders>
              <w:top w:val="single" w:sz="6" w:space="0" w:color="78A22F"/>
              <w:left w:val="nil"/>
              <w:bottom w:val="nil"/>
              <w:right w:val="nil"/>
            </w:tcBorders>
            <w:shd w:val="clear" w:color="auto" w:fill="auto"/>
          </w:tcPr>
          <w:p w14:paraId="43406690" w14:textId="77777777" w:rsidR="0069693F" w:rsidRPr="00936615" w:rsidRDefault="0069693F" w:rsidP="00F95838">
            <w:pPr>
              <w:pStyle w:val="InformationRequestTitle"/>
              <w:spacing w:before="120"/>
            </w:pPr>
            <w:r w:rsidRPr="00936615">
              <w:t>Information request</w:t>
            </w:r>
          </w:p>
        </w:tc>
      </w:tr>
      <w:tr w:rsidR="0069693F" w:rsidRPr="00936615" w14:paraId="6DB1C00F" w14:textId="77777777" w:rsidTr="00F95838">
        <w:tc>
          <w:tcPr>
            <w:tcW w:w="5000" w:type="pct"/>
            <w:tcBorders>
              <w:top w:val="nil"/>
              <w:left w:val="nil"/>
              <w:bottom w:val="nil"/>
              <w:right w:val="nil"/>
            </w:tcBorders>
            <w:shd w:val="clear" w:color="auto" w:fill="auto"/>
          </w:tcPr>
          <w:p w14:paraId="041A691D" w14:textId="77777777" w:rsidR="0069693F" w:rsidRPr="00936615" w:rsidRDefault="0069693F" w:rsidP="00F95838">
            <w:pPr>
              <w:pStyle w:val="InformationRequest"/>
              <w:keepNext/>
            </w:pPr>
            <w:r w:rsidRPr="00936615">
              <w:t>The Commission is seeking information on:</w:t>
            </w:r>
          </w:p>
          <w:p w14:paraId="043F30CA" w14:textId="77777777" w:rsidR="0069693F" w:rsidRPr="00936615" w:rsidRDefault="0069693F" w:rsidP="00F95838">
            <w:pPr>
              <w:pStyle w:val="InformationRequestBullet"/>
            </w:pPr>
            <w:r w:rsidRPr="00936615">
              <w:t>what you consider to be the policy objectives of the ZTO, FBT remote area tax concessions and Remo</w:t>
            </w:r>
            <w:r>
              <w:t>te Area Allowance, respectively</w:t>
            </w:r>
            <w:r w:rsidRPr="00936615">
              <w:t xml:space="preserve"> </w:t>
            </w:r>
          </w:p>
          <w:p w14:paraId="073F7227" w14:textId="1D4A8468" w:rsidR="0069693F" w:rsidRPr="00936615" w:rsidRDefault="0069693F" w:rsidP="00F95838">
            <w:pPr>
              <w:pStyle w:val="InformationRequestBullet"/>
            </w:pPr>
            <w:r w:rsidRPr="00936615">
              <w:t>whether these remote area tax concession</w:t>
            </w:r>
            <w:r w:rsidR="001E48DF">
              <w:t>s</w:t>
            </w:r>
            <w:r w:rsidRPr="00936615">
              <w:t xml:space="preserve"> and payments are delivering on their policy objectives (including any quantitative evidence)</w:t>
            </w:r>
          </w:p>
          <w:p w14:paraId="280B018F" w14:textId="0FCF3BD1" w:rsidR="0069693F" w:rsidRDefault="0069693F" w:rsidP="00F95838">
            <w:pPr>
              <w:pStyle w:val="InformationRequestBullet"/>
            </w:pPr>
            <w:r>
              <w:t>whether the</w:t>
            </w:r>
            <w:r w:rsidRPr="00733A6F">
              <w:t xml:space="preserve"> ZTO, FBT remote area </w:t>
            </w:r>
            <w:r w:rsidR="001E48DF">
              <w:t xml:space="preserve">tax </w:t>
            </w:r>
            <w:r w:rsidRPr="00733A6F">
              <w:t xml:space="preserve">concessions or RAA should be kept </w:t>
            </w:r>
          </w:p>
          <w:p w14:paraId="4947980D" w14:textId="77777777" w:rsidR="0069693F" w:rsidRPr="00936615" w:rsidRDefault="0069693F" w:rsidP="00F95838">
            <w:pPr>
              <w:pStyle w:val="InformationRequestBullet"/>
            </w:pPr>
            <w:r w:rsidRPr="00936615">
              <w:t>ways to redesign the ZTO, FBT remote area tax concessions and Remote Area Allowance (collectively or individually) so they are more efficient, equitable and simple</w:t>
            </w:r>
          </w:p>
          <w:p w14:paraId="5AA1010A" w14:textId="77777777" w:rsidR="0069693F" w:rsidRPr="00936615" w:rsidRDefault="0069693F" w:rsidP="00F95838">
            <w:pPr>
              <w:pStyle w:val="InformationRequestBullet"/>
            </w:pPr>
            <w:r w:rsidRPr="00936615">
              <w:t xml:space="preserve">the anticipated benefits, costs and implementation issues associated with proposed reform options. </w:t>
            </w:r>
          </w:p>
        </w:tc>
      </w:tr>
      <w:tr w:rsidR="0069693F" w:rsidRPr="00936615" w14:paraId="4E901908" w14:textId="77777777" w:rsidTr="00F95838">
        <w:tc>
          <w:tcPr>
            <w:tcW w:w="5000" w:type="pct"/>
            <w:tcBorders>
              <w:top w:val="nil"/>
              <w:left w:val="nil"/>
              <w:bottom w:val="single" w:sz="6" w:space="0" w:color="78A22F"/>
              <w:right w:val="nil"/>
            </w:tcBorders>
            <w:shd w:val="clear" w:color="auto" w:fill="auto"/>
          </w:tcPr>
          <w:p w14:paraId="57220113" w14:textId="77777777" w:rsidR="0069693F" w:rsidRPr="00936615" w:rsidRDefault="0069693F" w:rsidP="00D13C15">
            <w:pPr>
              <w:pStyle w:val="Space"/>
              <w:keepLines/>
              <w:spacing w:after="0"/>
            </w:pPr>
          </w:p>
        </w:tc>
      </w:tr>
      <w:tr w:rsidR="0069693F" w:rsidRPr="00936615" w14:paraId="3F6D797F" w14:textId="77777777" w:rsidTr="00F95838">
        <w:tc>
          <w:tcPr>
            <w:tcW w:w="5000" w:type="pct"/>
            <w:tcBorders>
              <w:top w:val="single" w:sz="6" w:space="0" w:color="78A22F"/>
              <w:left w:val="nil"/>
              <w:bottom w:val="nil"/>
              <w:right w:val="nil"/>
            </w:tcBorders>
          </w:tcPr>
          <w:p w14:paraId="091D2DAA" w14:textId="64248B84" w:rsidR="0069693F" w:rsidRPr="00936615" w:rsidRDefault="0069693F" w:rsidP="00F95838">
            <w:pPr>
              <w:pStyle w:val="BoxSpaceBelow"/>
              <w:keepLines/>
            </w:pPr>
          </w:p>
        </w:tc>
      </w:tr>
    </w:tbl>
    <w:p w14:paraId="516DED32" w14:textId="6138C574" w:rsidR="001E3FF1" w:rsidRPr="00936615" w:rsidRDefault="0069693F" w:rsidP="005A0F8F">
      <w:pPr>
        <w:pStyle w:val="BodyText"/>
      </w:pPr>
      <w:r w:rsidRPr="0069693F">
        <w:t xml:space="preserve">There are also a number of specific questions </w:t>
      </w:r>
      <w:r w:rsidR="00065148">
        <w:t>based on</w:t>
      </w:r>
      <w:r w:rsidRPr="0069693F">
        <w:t xml:space="preserve"> the terms of reference and initial research and consultation for this study on which participants may wish to provide views, including:</w:t>
      </w:r>
      <w:r>
        <w:t xml:space="preserve"> </w:t>
      </w:r>
    </w:p>
    <w:p w14:paraId="3FEBD41A" w14:textId="7C199E70" w:rsidR="005A0F8F" w:rsidRPr="00936615" w:rsidRDefault="005A0F8F" w:rsidP="00FA7871">
      <w:pPr>
        <w:pStyle w:val="ListBullet"/>
      </w:pPr>
      <w:r w:rsidRPr="00936615">
        <w:rPr>
          <w:b/>
        </w:rPr>
        <w:t xml:space="preserve">Should the </w:t>
      </w:r>
      <w:r w:rsidR="00A35963">
        <w:rPr>
          <w:b/>
        </w:rPr>
        <w:t xml:space="preserve">ZTO </w:t>
      </w:r>
      <w:r w:rsidRPr="00936615">
        <w:rPr>
          <w:b/>
        </w:rPr>
        <w:t xml:space="preserve">special </w:t>
      </w:r>
      <w:r w:rsidR="00A35963">
        <w:rPr>
          <w:b/>
        </w:rPr>
        <w:t>area</w:t>
      </w:r>
      <w:r w:rsidR="00A35963" w:rsidRPr="00936615">
        <w:rPr>
          <w:b/>
        </w:rPr>
        <w:t xml:space="preserve"> </w:t>
      </w:r>
      <w:r w:rsidRPr="00936615">
        <w:rPr>
          <w:b/>
        </w:rPr>
        <w:t>boundaries be redrawn to reflect contemporary settlement patterns?</w:t>
      </w:r>
      <w:r w:rsidR="00FA7871" w:rsidRPr="00936615">
        <w:t xml:space="preserve"> </w:t>
      </w:r>
      <w:r w:rsidRPr="00936615">
        <w:t>The current special</w:t>
      </w:r>
      <w:r w:rsidRPr="00936615" w:rsidDel="00A35963">
        <w:t xml:space="preserve"> </w:t>
      </w:r>
      <w:r w:rsidR="00A35963">
        <w:t>areas</w:t>
      </w:r>
      <w:r w:rsidR="00A35963" w:rsidRPr="00936615">
        <w:t xml:space="preserve"> </w:t>
      </w:r>
      <w:r w:rsidRPr="00936615">
        <w:t xml:space="preserve">are based on town sizes as measured in the 1981 census. </w:t>
      </w:r>
      <w:r w:rsidR="004608F6" w:rsidRPr="00936615">
        <w:t>Would u</w:t>
      </w:r>
      <w:r w:rsidR="00156980" w:rsidRPr="00936615">
        <w:t>pdating</w:t>
      </w:r>
      <w:r w:rsidRPr="00936615">
        <w:t xml:space="preserve"> these boundaries b</w:t>
      </w:r>
      <w:r w:rsidR="00156980" w:rsidRPr="00936615">
        <w:t xml:space="preserve">ased on more recent census data increase the effectiveness </w:t>
      </w:r>
      <w:r w:rsidR="005D645F" w:rsidRPr="00936615">
        <w:t>of</w:t>
      </w:r>
      <w:r w:rsidR="00156980" w:rsidRPr="00936615">
        <w:t xml:space="preserve"> special assistance through better targeting</w:t>
      </w:r>
      <w:r w:rsidR="004608F6" w:rsidRPr="00936615">
        <w:t>?</w:t>
      </w:r>
      <w:r w:rsidR="0094611F" w:rsidRPr="00936615">
        <w:t xml:space="preserve"> If so, should the boundaries continue to be updated with each new Census?</w:t>
      </w:r>
    </w:p>
    <w:p w14:paraId="6F799B60" w14:textId="60F20C8F" w:rsidR="00A87226" w:rsidRPr="00936615" w:rsidRDefault="00A87226" w:rsidP="007A618E">
      <w:pPr>
        <w:pStyle w:val="ListBullet"/>
      </w:pPr>
      <w:r w:rsidRPr="00C60401">
        <w:rPr>
          <w:b/>
        </w:rPr>
        <w:lastRenderedPageBreak/>
        <w:t xml:space="preserve">Are there criteria that would </w:t>
      </w:r>
      <w:r w:rsidR="0094611F" w:rsidRPr="00C60401">
        <w:rPr>
          <w:b/>
        </w:rPr>
        <w:t xml:space="preserve">help better target </w:t>
      </w:r>
      <w:r w:rsidRPr="00C60401">
        <w:rPr>
          <w:b/>
        </w:rPr>
        <w:t>assistance in line with whatever objectives are deemed appropriate for remote area support?</w:t>
      </w:r>
      <w:r w:rsidRPr="00936615">
        <w:t xml:space="preserve"> The Cox inquiry </w:t>
      </w:r>
      <w:r w:rsidR="00B17E49" w:rsidRPr="00B17E49">
        <w:rPr>
          <w:szCs w:val="24"/>
        </w:rPr>
        <w:t>(1981, p. 30)</w:t>
      </w:r>
      <w:r w:rsidR="0098186D" w:rsidRPr="00936615">
        <w:t xml:space="preserve"> </w:t>
      </w:r>
      <w:r w:rsidRPr="00936615">
        <w:t>noted</w:t>
      </w:r>
      <w:r w:rsidR="005D645F" w:rsidRPr="00936615">
        <w:t xml:space="preserve"> that</w:t>
      </w:r>
      <w:r w:rsidRPr="00936615">
        <w:t xml:space="preserve"> ‘dissatisfaction with the taxation system is increased when the necessarily arbitrary nature of the zone areas is realised and individuals recognise the wide variations in conditions within the zones’. </w:t>
      </w:r>
      <w:r w:rsidR="004608F6" w:rsidRPr="00936615">
        <w:t>Would m</w:t>
      </w:r>
      <w:r w:rsidR="00156980" w:rsidRPr="00936615">
        <w:t>easures of remoteness</w:t>
      </w:r>
      <w:r w:rsidR="007A618E" w:rsidRPr="00936615">
        <w:t xml:space="preserve"> </w:t>
      </w:r>
      <w:r w:rsidR="00664900">
        <w:t>(</w:t>
      </w:r>
      <w:r w:rsidR="007A618E" w:rsidRPr="00936615">
        <w:t xml:space="preserve">such as the </w:t>
      </w:r>
      <w:r w:rsidR="00664900">
        <w:t>Australian Bureau of Statistics</w:t>
      </w:r>
      <w:r w:rsidR="00A76689" w:rsidRPr="00936615">
        <w:t xml:space="preserve"> </w:t>
      </w:r>
      <w:r w:rsidR="00664900">
        <w:t>R</w:t>
      </w:r>
      <w:r w:rsidR="00A76689" w:rsidRPr="00936615">
        <w:t xml:space="preserve">emoteness </w:t>
      </w:r>
      <w:r w:rsidR="00664900">
        <w:t>Areas)</w:t>
      </w:r>
      <w:r w:rsidR="007A618E" w:rsidRPr="00936615">
        <w:t xml:space="preserve"> </w:t>
      </w:r>
      <w:r w:rsidR="00920D18">
        <w:t>or functional economic regions</w:t>
      </w:r>
      <w:r w:rsidR="00920D18" w:rsidRPr="00936615">
        <w:t xml:space="preserve"> </w:t>
      </w:r>
      <w:r w:rsidR="004608F6" w:rsidRPr="00936615">
        <w:t xml:space="preserve">be a more </w:t>
      </w:r>
      <w:r w:rsidR="007A618E" w:rsidRPr="00936615">
        <w:t>effective and transparen</w:t>
      </w:r>
      <w:r w:rsidR="004608F6" w:rsidRPr="00936615">
        <w:t>t basis for allocating assistance?</w:t>
      </w:r>
    </w:p>
    <w:p w14:paraId="447DE308" w14:textId="3BAE8446" w:rsidR="002F26E4" w:rsidRPr="00936615" w:rsidRDefault="005A0F8F" w:rsidP="00C87E24">
      <w:pPr>
        <w:pStyle w:val="ListBullet"/>
        <w:rPr>
          <w:b/>
        </w:rPr>
      </w:pPr>
      <w:r w:rsidRPr="00936615">
        <w:rPr>
          <w:b/>
        </w:rPr>
        <w:t xml:space="preserve">Should </w:t>
      </w:r>
      <w:r w:rsidR="00810390" w:rsidRPr="00936615">
        <w:rPr>
          <w:b/>
        </w:rPr>
        <w:t>larger regional centres</w:t>
      </w:r>
      <w:r w:rsidRPr="00936615">
        <w:rPr>
          <w:b/>
        </w:rPr>
        <w:t xml:space="preserve"> continue to be included in the arrangements?</w:t>
      </w:r>
      <w:r w:rsidRPr="00936615">
        <w:t xml:space="preserve"> </w:t>
      </w:r>
      <w:r w:rsidR="00810390" w:rsidRPr="00936615">
        <w:t xml:space="preserve">The largest </w:t>
      </w:r>
      <w:r w:rsidR="0098186D" w:rsidRPr="00936615">
        <w:t xml:space="preserve">four </w:t>
      </w:r>
      <w:r w:rsidR="00C7527B" w:rsidRPr="00936615">
        <w:t xml:space="preserve">cities </w:t>
      </w:r>
      <w:r w:rsidR="00810390" w:rsidRPr="00936615">
        <w:t xml:space="preserve">in the zones (Darwin, Townsville, Cairns and Mackay) </w:t>
      </w:r>
      <w:r w:rsidRPr="00936615">
        <w:t xml:space="preserve">account for </w:t>
      </w:r>
      <w:r w:rsidR="00F95838">
        <w:t>around two</w:t>
      </w:r>
      <w:r w:rsidR="00F95838">
        <w:noBreakHyphen/>
        <w:t>thirds</w:t>
      </w:r>
      <w:r w:rsidRPr="00936615">
        <w:t xml:space="preserve"> of ZTO </w:t>
      </w:r>
      <w:r w:rsidR="00541143">
        <w:t>claimants</w:t>
      </w:r>
      <w:r w:rsidRPr="00936615">
        <w:t xml:space="preserve">. </w:t>
      </w:r>
      <w:r w:rsidR="00FA7871" w:rsidRPr="00936615">
        <w:t>Is there</w:t>
      </w:r>
      <w:r w:rsidRPr="00936615">
        <w:t xml:space="preserve"> </w:t>
      </w:r>
      <w:r w:rsidR="006776D4">
        <w:t>a</w:t>
      </w:r>
      <w:r w:rsidR="00920D18">
        <w:t xml:space="preserve"> valid</w:t>
      </w:r>
      <w:r w:rsidRPr="00936615" w:rsidDel="00613F30">
        <w:t xml:space="preserve"> </w:t>
      </w:r>
      <w:r w:rsidRPr="00936615">
        <w:t xml:space="preserve">justification for the inhabitants to receive special assistance </w:t>
      </w:r>
      <w:r w:rsidR="00B01624" w:rsidRPr="00936615">
        <w:t>relative to the</w:t>
      </w:r>
      <w:r w:rsidRPr="00936615">
        <w:t xml:space="preserve"> inhabitants </w:t>
      </w:r>
      <w:r w:rsidR="005D645F" w:rsidRPr="00936615">
        <w:t xml:space="preserve">of </w:t>
      </w:r>
      <w:r w:rsidRPr="00936615">
        <w:t>other Australian cities</w:t>
      </w:r>
      <w:r w:rsidR="008336E2" w:rsidRPr="00936615">
        <w:t xml:space="preserve"> or regional areas that are not currently eligible?</w:t>
      </w:r>
      <w:r w:rsidR="00C87E24" w:rsidRPr="00936615">
        <w:t xml:space="preserve"> </w:t>
      </w:r>
    </w:p>
    <w:p w14:paraId="4FBE476A" w14:textId="53B312F1" w:rsidR="00E83EE9" w:rsidRPr="00936615" w:rsidRDefault="005A0F8F" w:rsidP="00C87E24">
      <w:pPr>
        <w:pStyle w:val="ListBullet"/>
        <w:rPr>
          <w:b/>
        </w:rPr>
      </w:pPr>
      <w:r w:rsidRPr="00936615">
        <w:rPr>
          <w:b/>
        </w:rPr>
        <w:t>Should the payment levels be changed</w:t>
      </w:r>
      <w:r w:rsidR="00243711" w:rsidRPr="00936615">
        <w:rPr>
          <w:b/>
        </w:rPr>
        <w:t xml:space="preserve">, </w:t>
      </w:r>
      <w:r w:rsidRPr="00936615">
        <w:rPr>
          <w:b/>
        </w:rPr>
        <w:t>indexed, and/or means tested?</w:t>
      </w:r>
      <w:r w:rsidRPr="00936615">
        <w:t xml:space="preserve"> </w:t>
      </w:r>
      <w:r w:rsidR="002205F1" w:rsidRPr="00936615">
        <w:t xml:space="preserve">Is </w:t>
      </w:r>
      <w:r w:rsidRPr="00936615">
        <w:t xml:space="preserve">there a case for changes to the level of payments (or eligibility </w:t>
      </w:r>
      <w:r w:rsidR="00243711" w:rsidRPr="00936615">
        <w:t>for payments</w:t>
      </w:r>
      <w:r w:rsidR="007A618E" w:rsidRPr="00936615">
        <w:t xml:space="preserve">) </w:t>
      </w:r>
      <w:r w:rsidR="008D43B2" w:rsidRPr="00936615">
        <w:t xml:space="preserve">to ensure </w:t>
      </w:r>
      <w:r w:rsidR="00243711" w:rsidRPr="00936615">
        <w:t>that</w:t>
      </w:r>
      <w:r w:rsidR="008D43B2" w:rsidRPr="00936615">
        <w:t xml:space="preserve"> assistance is both adequate and well</w:t>
      </w:r>
      <w:r w:rsidR="00664900">
        <w:noBreakHyphen/>
      </w:r>
      <w:r w:rsidR="008D43B2" w:rsidRPr="00936615">
        <w:t>targeted?</w:t>
      </w:r>
    </w:p>
    <w:p w14:paraId="12B83BB7" w14:textId="55159699" w:rsidR="005A0F8F" w:rsidRPr="00936615" w:rsidRDefault="00C92747" w:rsidP="00C87E24">
      <w:pPr>
        <w:pStyle w:val="ListBullet"/>
        <w:rPr>
          <w:b/>
        </w:rPr>
      </w:pPr>
      <w:r w:rsidRPr="00936615">
        <w:rPr>
          <w:b/>
        </w:rPr>
        <w:t>Given</w:t>
      </w:r>
      <w:r w:rsidR="007617E0" w:rsidRPr="00936615">
        <w:rPr>
          <w:b/>
        </w:rPr>
        <w:t xml:space="preserve"> that</w:t>
      </w:r>
      <w:r w:rsidRPr="00936615">
        <w:rPr>
          <w:b/>
        </w:rPr>
        <w:t xml:space="preserve"> </w:t>
      </w:r>
      <w:r w:rsidR="00655D03">
        <w:rPr>
          <w:b/>
        </w:rPr>
        <w:t>the</w:t>
      </w:r>
      <w:r w:rsidRPr="00936615">
        <w:rPr>
          <w:b/>
        </w:rPr>
        <w:t xml:space="preserve"> </w:t>
      </w:r>
      <w:r w:rsidR="00AE788C" w:rsidRPr="00936615">
        <w:rPr>
          <w:b/>
        </w:rPr>
        <w:t xml:space="preserve">RAA was introduced as a companion </w:t>
      </w:r>
      <w:r w:rsidR="00D50B25" w:rsidRPr="00936615">
        <w:rPr>
          <w:b/>
        </w:rPr>
        <w:t>payment to the</w:t>
      </w:r>
      <w:r w:rsidR="00AE788C" w:rsidRPr="00936615">
        <w:rPr>
          <w:b/>
        </w:rPr>
        <w:t xml:space="preserve"> ZTO, should</w:t>
      </w:r>
      <w:r w:rsidR="00E83EE9" w:rsidRPr="00936615">
        <w:rPr>
          <w:b/>
        </w:rPr>
        <w:t xml:space="preserve"> eligibility </w:t>
      </w:r>
      <w:r w:rsidR="00AE788C" w:rsidRPr="00936615">
        <w:rPr>
          <w:b/>
        </w:rPr>
        <w:t>and payment rates</w:t>
      </w:r>
      <w:r w:rsidR="00E83EE9" w:rsidRPr="00936615">
        <w:rPr>
          <w:b/>
        </w:rPr>
        <w:t xml:space="preserve"> be amended to address </w:t>
      </w:r>
      <w:r w:rsidR="00613F30">
        <w:rPr>
          <w:b/>
        </w:rPr>
        <w:t>eligibility</w:t>
      </w:r>
      <w:r w:rsidR="00613F30" w:rsidRPr="00936615">
        <w:rPr>
          <w:b/>
        </w:rPr>
        <w:t xml:space="preserve"> </w:t>
      </w:r>
      <w:r w:rsidR="00E83EE9" w:rsidRPr="00936615">
        <w:rPr>
          <w:b/>
        </w:rPr>
        <w:t>anomalies</w:t>
      </w:r>
      <w:r w:rsidR="00AE788C" w:rsidRPr="00936615">
        <w:rPr>
          <w:b/>
        </w:rPr>
        <w:t xml:space="preserve"> between ZTO and RAA</w:t>
      </w:r>
      <w:r w:rsidR="002044EE" w:rsidRPr="00936615">
        <w:rPr>
          <w:b/>
        </w:rPr>
        <w:t>?</w:t>
      </w:r>
      <w:r w:rsidR="00C87E24" w:rsidRPr="00936615">
        <w:t xml:space="preserve"> </w:t>
      </w:r>
      <w:r w:rsidR="002B44A9" w:rsidRPr="00936615">
        <w:t>(</w:t>
      </w:r>
      <w:r w:rsidR="00113464" w:rsidRPr="00936615">
        <w:t>figure </w:t>
      </w:r>
      <w:r w:rsidR="00C53654">
        <w:t>4</w:t>
      </w:r>
      <w:r w:rsidR="002B44A9" w:rsidRPr="00936615">
        <w:t>)</w:t>
      </w:r>
    </w:p>
    <w:p w14:paraId="6A073B52" w14:textId="68FA3F52" w:rsidR="002205F1" w:rsidRPr="00936615" w:rsidRDefault="005A0F8F" w:rsidP="00C92747">
      <w:pPr>
        <w:pStyle w:val="ListBullet"/>
      </w:pPr>
      <w:r w:rsidRPr="00936615">
        <w:rPr>
          <w:b/>
        </w:rPr>
        <w:t>Is there scope to rationalise the three arrangements into one payment for people in remote areas?</w:t>
      </w:r>
      <w:r w:rsidR="00FA7871" w:rsidRPr="00936615">
        <w:t xml:space="preserve"> </w:t>
      </w:r>
      <w:r w:rsidRPr="00936615">
        <w:t xml:space="preserve">The Henry Tax Review </w:t>
      </w:r>
      <w:r w:rsidR="00B17E49" w:rsidRPr="00B17E49">
        <w:rPr>
          <w:szCs w:val="24"/>
        </w:rPr>
        <w:t>(2009, p. 32)</w:t>
      </w:r>
      <w:r w:rsidR="0098186D" w:rsidRPr="00936615">
        <w:t xml:space="preserve"> </w:t>
      </w:r>
      <w:r w:rsidR="00D866EF" w:rsidRPr="00936615">
        <w:t>recommended</w:t>
      </w:r>
      <w:r w:rsidRPr="00936615">
        <w:t xml:space="preserve"> </w:t>
      </w:r>
      <w:r w:rsidR="00EC18EE" w:rsidRPr="00936615">
        <w:t>that</w:t>
      </w:r>
      <w:r w:rsidRPr="00936615">
        <w:t xml:space="preserve"> ‘To remove complexity and ensure government assistance is properly targeted, concessional offsets should be removed, rationalised, or replaced by outlays’. </w:t>
      </w:r>
    </w:p>
    <w:p w14:paraId="59D54727" w14:textId="38F66872" w:rsidR="00C87E24" w:rsidRPr="00936615" w:rsidRDefault="00C87E24" w:rsidP="005059E4">
      <w:pPr>
        <w:pStyle w:val="ListBullet"/>
      </w:pPr>
      <w:r w:rsidRPr="00936615">
        <w:rPr>
          <w:b/>
        </w:rPr>
        <w:t xml:space="preserve">Should businesses in remote areas be provided with </w:t>
      </w:r>
      <w:r w:rsidR="005059E4" w:rsidRPr="00936615">
        <w:rPr>
          <w:b/>
        </w:rPr>
        <w:t>ZTO</w:t>
      </w:r>
      <w:r w:rsidR="00664900">
        <w:rPr>
          <w:b/>
        </w:rPr>
        <w:noBreakHyphen/>
      </w:r>
      <w:r w:rsidR="005059E4" w:rsidRPr="00936615">
        <w:rPr>
          <w:b/>
        </w:rPr>
        <w:t xml:space="preserve">like </w:t>
      </w:r>
      <w:r w:rsidRPr="00936615">
        <w:rPr>
          <w:b/>
        </w:rPr>
        <w:t>support</w:t>
      </w:r>
      <w:r w:rsidR="005059E4" w:rsidRPr="00936615">
        <w:rPr>
          <w:b/>
        </w:rPr>
        <w:t>?</w:t>
      </w:r>
      <w:r w:rsidR="005059E4" w:rsidRPr="00936615">
        <w:t xml:space="preserve"> </w:t>
      </w:r>
      <w:r w:rsidR="00AC068D">
        <w:t xml:space="preserve">If so, what would be an appropriate mechanism for doing so? </w:t>
      </w:r>
      <w:r w:rsidR="005059E4" w:rsidRPr="00936615">
        <w:t xml:space="preserve">What </w:t>
      </w:r>
      <w:r w:rsidR="00AE2B28" w:rsidRPr="00936615">
        <w:t>need</w:t>
      </w:r>
      <w:r w:rsidR="005059E4" w:rsidRPr="00936615">
        <w:t xml:space="preserve"> would this </w:t>
      </w:r>
      <w:r w:rsidR="00AE2B28" w:rsidRPr="00936615">
        <w:t>address</w:t>
      </w:r>
      <w:r w:rsidR="005059E4" w:rsidRPr="00936615">
        <w:t xml:space="preserve"> that is not already addressed by the </w:t>
      </w:r>
      <w:r w:rsidR="00227346" w:rsidRPr="00936615">
        <w:t>FBT remote area</w:t>
      </w:r>
      <w:r w:rsidR="005059E4" w:rsidRPr="00936615">
        <w:t xml:space="preserve"> </w:t>
      </w:r>
      <w:r w:rsidR="004B12F8">
        <w:t xml:space="preserve">tax </w:t>
      </w:r>
      <w:r w:rsidR="005059E4" w:rsidRPr="00936615">
        <w:t>concessions</w:t>
      </w:r>
      <w:r w:rsidR="00227346" w:rsidRPr="00936615">
        <w:t xml:space="preserve"> and other policies targeting businesses in remote areas</w:t>
      </w:r>
      <w:r w:rsidRPr="00936615">
        <w:t>?</w:t>
      </w:r>
      <w:r w:rsidR="005059E4" w:rsidRPr="00936615">
        <w:t xml:space="preserve"> </w:t>
      </w:r>
    </w:p>
    <w:p w14:paraId="14482CF7" w14:textId="77594789" w:rsidR="007E552E" w:rsidRPr="00936615" w:rsidRDefault="00C87E24" w:rsidP="00810390">
      <w:pPr>
        <w:pStyle w:val="ListBullet"/>
      </w:pPr>
      <w:r w:rsidRPr="00936615">
        <w:rPr>
          <w:b/>
        </w:rPr>
        <w:t xml:space="preserve">Are </w:t>
      </w:r>
      <w:r w:rsidR="00822336" w:rsidRPr="00936615">
        <w:rPr>
          <w:b/>
        </w:rPr>
        <w:t>there</w:t>
      </w:r>
      <w:r w:rsidRPr="00936615">
        <w:rPr>
          <w:b/>
        </w:rPr>
        <w:t xml:space="preserve"> alternative mechanisms to </w:t>
      </w:r>
      <w:r w:rsidR="00613F30">
        <w:rPr>
          <w:b/>
        </w:rPr>
        <w:t xml:space="preserve">more directly </w:t>
      </w:r>
      <w:r w:rsidRPr="00936615">
        <w:rPr>
          <w:b/>
        </w:rPr>
        <w:t>support Australians residing in specified geographic areas?</w:t>
      </w:r>
      <w:r w:rsidRPr="00936615">
        <w:t xml:space="preserve"> </w:t>
      </w:r>
    </w:p>
    <w:p w14:paraId="4A3C9D4B" w14:textId="66B9969F" w:rsidR="00AE2B28" w:rsidRPr="00936615" w:rsidRDefault="002B066A" w:rsidP="00810390">
      <w:pPr>
        <w:pStyle w:val="ListBullet"/>
        <w:rPr>
          <w:b/>
        </w:rPr>
      </w:pPr>
      <w:r w:rsidRPr="00936615">
        <w:rPr>
          <w:b/>
        </w:rPr>
        <w:t>Would</w:t>
      </w:r>
      <w:r w:rsidR="00054621" w:rsidRPr="00936615">
        <w:rPr>
          <w:b/>
        </w:rPr>
        <w:t xml:space="preserve"> the forgone revenue and expenditure</w:t>
      </w:r>
      <w:r w:rsidR="00BA1379" w:rsidRPr="00936615">
        <w:rPr>
          <w:b/>
        </w:rPr>
        <w:t xml:space="preserve"> from the </w:t>
      </w:r>
      <w:r w:rsidR="00810390" w:rsidRPr="00936615">
        <w:rPr>
          <w:b/>
        </w:rPr>
        <w:t xml:space="preserve">tax concessions and payments </w:t>
      </w:r>
      <w:r w:rsidRPr="00936615">
        <w:rPr>
          <w:b/>
        </w:rPr>
        <w:t xml:space="preserve">be </w:t>
      </w:r>
      <w:r w:rsidR="00054621" w:rsidRPr="00936615">
        <w:rPr>
          <w:b/>
        </w:rPr>
        <w:t xml:space="preserve">better allocated to State and Territory governments to </w:t>
      </w:r>
      <w:r w:rsidR="00132AFF" w:rsidRPr="00936615">
        <w:rPr>
          <w:b/>
        </w:rPr>
        <w:t xml:space="preserve">provide additional </w:t>
      </w:r>
      <w:r w:rsidR="00E7367C" w:rsidRPr="00936615">
        <w:rPr>
          <w:b/>
        </w:rPr>
        <w:t>funding</w:t>
      </w:r>
      <w:r w:rsidR="00132AFF" w:rsidRPr="00936615">
        <w:rPr>
          <w:b/>
        </w:rPr>
        <w:t xml:space="preserve"> for</w:t>
      </w:r>
      <w:r w:rsidR="00054621" w:rsidRPr="00936615">
        <w:rPr>
          <w:b/>
        </w:rPr>
        <w:t xml:space="preserve"> their regional development </w:t>
      </w:r>
      <w:r w:rsidR="002D2B2D" w:rsidRPr="00936615">
        <w:rPr>
          <w:b/>
        </w:rPr>
        <w:t>programs</w:t>
      </w:r>
      <w:r w:rsidR="00054621" w:rsidRPr="00936615">
        <w:rPr>
          <w:b/>
        </w:rPr>
        <w:t>?</w:t>
      </w:r>
      <w:r w:rsidR="001E3DB4" w:rsidRPr="00936615">
        <w:rPr>
          <w:b/>
        </w:rPr>
        <w:t xml:space="preserve"> </w:t>
      </w:r>
    </w:p>
    <w:p w14:paraId="2F1C22A2" w14:textId="54CC59B0" w:rsidR="00FB39A5" w:rsidRPr="00936615" w:rsidRDefault="00AE2B28" w:rsidP="00810390">
      <w:pPr>
        <w:pStyle w:val="ListBullet"/>
        <w:rPr>
          <w:b/>
        </w:rPr>
      </w:pPr>
      <w:r w:rsidRPr="00936615">
        <w:rPr>
          <w:b/>
        </w:rPr>
        <w:t>S</w:t>
      </w:r>
      <w:r w:rsidR="00132AFF" w:rsidRPr="00936615">
        <w:rPr>
          <w:b/>
        </w:rPr>
        <w:t>hould the Government seek to attract graduates possessing in</w:t>
      </w:r>
      <w:r w:rsidR="00664900">
        <w:rPr>
          <w:b/>
        </w:rPr>
        <w:noBreakHyphen/>
      </w:r>
      <w:r w:rsidR="00132AFF" w:rsidRPr="00936615">
        <w:rPr>
          <w:b/>
        </w:rPr>
        <w:t>demand skills to regional areas by forgiving their HELP debts</w:t>
      </w:r>
      <w:r w:rsidR="00761500" w:rsidRPr="00936615">
        <w:rPr>
          <w:b/>
        </w:rPr>
        <w:t>?</w:t>
      </w:r>
      <w:r w:rsidR="00893DED" w:rsidRPr="00936615">
        <w:rPr>
          <w:b/>
        </w:rPr>
        <w:t xml:space="preserve">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E15D4" w:rsidRPr="00936615" w14:paraId="78B2EB1A" w14:textId="77777777" w:rsidTr="00BE15D4">
        <w:trPr>
          <w:tblHeader/>
        </w:trPr>
        <w:tc>
          <w:tcPr>
            <w:tcW w:w="5000" w:type="pct"/>
            <w:tcBorders>
              <w:top w:val="single" w:sz="6" w:space="0" w:color="78A22F"/>
              <w:left w:val="nil"/>
              <w:bottom w:val="nil"/>
              <w:right w:val="nil"/>
            </w:tcBorders>
            <w:shd w:val="clear" w:color="auto" w:fill="auto"/>
          </w:tcPr>
          <w:p w14:paraId="0B7A9500" w14:textId="525691C1" w:rsidR="00BE15D4" w:rsidRPr="00936615" w:rsidRDefault="00BE15D4" w:rsidP="0059680E">
            <w:pPr>
              <w:pStyle w:val="FigureTitle"/>
              <w:spacing w:after="0"/>
            </w:pPr>
            <w:r w:rsidRPr="00936615">
              <w:rPr>
                <w:b w:val="0"/>
              </w:rPr>
              <w:lastRenderedPageBreak/>
              <w:t xml:space="preserve">Figure </w:t>
            </w:r>
            <w:r w:rsidR="00C53654">
              <w:rPr>
                <w:b w:val="0"/>
              </w:rPr>
              <w:t>4</w:t>
            </w:r>
            <w:r w:rsidR="007C2318">
              <w:tab/>
              <w:t>Example of</w:t>
            </w:r>
            <w:r w:rsidRPr="00936615">
              <w:t xml:space="preserve"> differences in ZTO and RAA rates</w:t>
            </w:r>
            <w:r w:rsidR="00F34BC3" w:rsidRPr="0059680E">
              <w:rPr>
                <w:rStyle w:val="NoteLabel"/>
                <w:b/>
                <w:position w:val="10"/>
              </w:rPr>
              <w:t>a</w:t>
            </w:r>
          </w:p>
        </w:tc>
      </w:tr>
      <w:tr w:rsidR="00BE15D4" w:rsidRPr="00936615" w14:paraId="2BCF04BE" w14:textId="77777777" w:rsidTr="00BE15D4">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BE15D4" w:rsidRPr="00936615" w14:paraId="21325DA5" w14:textId="77777777" w:rsidTr="00BE15D4">
              <w:trPr>
                <w:tblHeader/>
                <w:jc w:val="center"/>
              </w:trPr>
              <w:tc>
                <w:tcPr>
                  <w:tcW w:w="5000" w:type="pct"/>
                  <w:tcBorders>
                    <w:top w:val="nil"/>
                    <w:bottom w:val="nil"/>
                  </w:tcBorders>
                </w:tcPr>
                <w:p w14:paraId="02F236F1" w14:textId="754C1C3A" w:rsidR="00BE15D4" w:rsidRPr="00936615" w:rsidRDefault="00FE6D28" w:rsidP="00BE15D4">
                  <w:pPr>
                    <w:pStyle w:val="Figure"/>
                    <w:spacing w:before="0" w:after="0"/>
                    <w:rPr>
                      <w:rFonts w:ascii="Arial" w:hAnsi="Arial" w:cs="Arial"/>
                      <w:sz w:val="18"/>
                      <w:szCs w:val="18"/>
                    </w:rPr>
                  </w:pPr>
                  <w:r>
                    <w:rPr>
                      <w:rFonts w:ascii="Arial" w:hAnsi="Arial" w:cs="Arial"/>
                      <w:noProof/>
                      <w:sz w:val="18"/>
                      <w:szCs w:val="18"/>
                    </w:rPr>
                    <w:drawing>
                      <wp:inline distT="0" distB="0" distL="0" distR="0" wp14:anchorId="7177536C" wp14:editId="0DB26139">
                        <wp:extent cx="5401310" cy="7461885"/>
                        <wp:effectExtent l="0" t="0" r="8890" b="0"/>
                        <wp:docPr id="7" name="Picture 7" descr="This infographic gives three examples of individual’s income when the zone tax offset and the remote area allowance are taken into account. The figure demonstrates that an income taxpayer and an income support recipient can receive a range of benefits based on where they live and how many dependents they have; but a third group of people who earn below the tax threshold and who are not income support recipients miss out altoge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1310" cy="7461885"/>
                                </a:xfrm>
                                <a:prstGeom prst="rect">
                                  <a:avLst/>
                                </a:prstGeom>
                                <a:noFill/>
                              </pic:spPr>
                            </pic:pic>
                          </a:graphicData>
                        </a:graphic>
                      </wp:inline>
                    </w:drawing>
                  </w:r>
                </w:p>
              </w:tc>
            </w:tr>
          </w:tbl>
          <w:p w14:paraId="243F4F39" w14:textId="77777777" w:rsidR="00BE15D4" w:rsidRPr="00936615" w:rsidRDefault="00BE15D4" w:rsidP="00BE15D4">
            <w:pPr>
              <w:pStyle w:val="Figure"/>
              <w:spacing w:before="0" w:after="0"/>
            </w:pPr>
          </w:p>
        </w:tc>
      </w:tr>
      <w:tr w:rsidR="00BE15D4" w:rsidRPr="00936615" w14:paraId="4E3A933D" w14:textId="77777777" w:rsidTr="00BE15D4">
        <w:tc>
          <w:tcPr>
            <w:tcW w:w="5000" w:type="pct"/>
            <w:tcBorders>
              <w:top w:val="nil"/>
              <w:left w:val="nil"/>
              <w:bottom w:val="nil"/>
              <w:right w:val="nil"/>
            </w:tcBorders>
            <w:shd w:val="clear" w:color="auto" w:fill="auto"/>
          </w:tcPr>
          <w:p w14:paraId="3FF5A7FE" w14:textId="7973CB94" w:rsidR="00BE15D4" w:rsidRPr="00936615" w:rsidRDefault="00BE15D4" w:rsidP="0059680E">
            <w:pPr>
              <w:pStyle w:val="Note"/>
              <w:spacing w:after="80"/>
            </w:pPr>
            <w:r w:rsidRPr="00936615">
              <w:rPr>
                <w:rStyle w:val="NoteLabel"/>
              </w:rPr>
              <w:t>a</w:t>
            </w:r>
            <w:r w:rsidRPr="00936615">
              <w:t xml:space="preserve"> </w:t>
            </w:r>
            <w:r w:rsidR="00117678" w:rsidRPr="00936615">
              <w:t xml:space="preserve">The </w:t>
            </w:r>
            <w:r w:rsidR="00A83633">
              <w:t>R</w:t>
            </w:r>
            <w:r w:rsidR="00117678" w:rsidRPr="00936615">
              <w:t xml:space="preserve">emote </w:t>
            </w:r>
            <w:r w:rsidR="00A83633">
              <w:t>A</w:t>
            </w:r>
            <w:r w:rsidR="00117678" w:rsidRPr="00936615">
              <w:t xml:space="preserve">rea </w:t>
            </w:r>
            <w:r w:rsidR="00A83633">
              <w:t>A</w:t>
            </w:r>
            <w:r w:rsidR="00117678" w:rsidRPr="00936615">
              <w:t>llowance (</w:t>
            </w:r>
            <w:r w:rsidRPr="00936615">
              <w:t>RAA</w:t>
            </w:r>
            <w:r w:rsidR="00117678" w:rsidRPr="00936615">
              <w:t>)</w:t>
            </w:r>
            <w:r w:rsidR="00273DE5" w:rsidRPr="00936615">
              <w:t xml:space="preserve"> is paid fortnightly. RAA estimates have been annualised for comparative purposes</w:t>
            </w:r>
            <w:r w:rsidRPr="00936615">
              <w:t xml:space="preserve">. </w:t>
            </w:r>
            <w:r w:rsidR="00117678" w:rsidRPr="00936615">
              <w:t>The zone tax offset (</w:t>
            </w:r>
            <w:r w:rsidRPr="00936615">
              <w:t>ZTO</w:t>
            </w:r>
            <w:r w:rsidR="00117678" w:rsidRPr="00936615">
              <w:t>)</w:t>
            </w:r>
            <w:r w:rsidRPr="00936615">
              <w:t xml:space="preserve"> </w:t>
            </w:r>
            <w:r w:rsidR="00117678" w:rsidRPr="00936615">
              <w:t>refers to</w:t>
            </w:r>
            <w:r w:rsidRPr="00936615">
              <w:t xml:space="preserve"> the maximum rate</w:t>
            </w:r>
            <w:r w:rsidR="00117678" w:rsidRPr="00936615">
              <w:t>;</w:t>
            </w:r>
            <w:r w:rsidRPr="00936615">
              <w:t xml:space="preserve"> less will be pa</w:t>
            </w:r>
            <w:r w:rsidR="0035642D">
              <w:t>id if tax liability</w:t>
            </w:r>
            <w:r w:rsidRPr="00936615">
              <w:t xml:space="preserve"> is less than the maximum ZTO. Income support recipients who also pay income tax may be eligible for both RAA and ZTO, but the ZTO is reduced dollar</w:t>
            </w:r>
            <w:r w:rsidR="00664900">
              <w:noBreakHyphen/>
            </w:r>
            <w:r w:rsidRPr="00936615">
              <w:t>for</w:t>
            </w:r>
            <w:r w:rsidR="00664900">
              <w:noBreakHyphen/>
            </w:r>
            <w:r w:rsidRPr="00936615">
              <w:t>dollar by any RAA received during the assessment year.</w:t>
            </w:r>
          </w:p>
        </w:tc>
      </w:tr>
      <w:tr w:rsidR="00BE15D4" w:rsidRPr="00936615" w14:paraId="77BD6437" w14:textId="77777777" w:rsidTr="00BE15D4">
        <w:tc>
          <w:tcPr>
            <w:tcW w:w="5000" w:type="pct"/>
            <w:tcBorders>
              <w:top w:val="single" w:sz="6" w:space="0" w:color="78A22F"/>
              <w:left w:val="nil"/>
              <w:bottom w:val="nil"/>
              <w:right w:val="nil"/>
            </w:tcBorders>
          </w:tcPr>
          <w:p w14:paraId="73D2C430" w14:textId="6909292F" w:rsidR="00BE15D4" w:rsidRPr="00936615" w:rsidRDefault="00BE15D4" w:rsidP="00BE15D4">
            <w:pPr>
              <w:pStyle w:val="BoxSpaceBelow"/>
            </w:pPr>
          </w:p>
        </w:tc>
      </w:tr>
    </w:tbl>
    <w:p w14:paraId="45ED721D" w14:textId="57C24179" w:rsidR="002B066A" w:rsidRPr="00936615" w:rsidRDefault="00AF1567" w:rsidP="002B066A">
      <w:pPr>
        <w:pStyle w:val="Heading2"/>
      </w:pPr>
      <w:bookmarkStart w:id="68" w:name="_Toc1739540"/>
      <w:bookmarkStart w:id="69" w:name="_Toc1742365"/>
      <w:bookmarkStart w:id="70" w:name="_Toc1742429"/>
      <w:bookmarkStart w:id="71" w:name="_Toc1744726"/>
      <w:bookmarkStart w:id="72" w:name="_Toc1744815"/>
      <w:bookmarkStart w:id="73" w:name="_Toc1746191"/>
      <w:bookmarkStart w:id="74" w:name="_Toc2093107"/>
      <w:bookmarkStart w:id="75" w:name="_Toc2152544"/>
      <w:bookmarkStart w:id="76" w:name="_Toc2773714"/>
      <w:bookmarkStart w:id="77" w:name="_Toc2774008"/>
      <w:bookmarkStart w:id="78" w:name="_Toc2855502"/>
      <w:r>
        <w:rPr>
          <w:noProof/>
        </w:rPr>
        <w:lastRenderedPageBreak/>
        <w:t>6</w:t>
      </w:r>
      <w:r w:rsidR="00875757" w:rsidRPr="00936615">
        <w:tab/>
        <w:t>References</w:t>
      </w:r>
      <w:bookmarkEnd w:id="68"/>
      <w:bookmarkEnd w:id="69"/>
      <w:bookmarkEnd w:id="70"/>
      <w:bookmarkEnd w:id="71"/>
      <w:bookmarkEnd w:id="72"/>
      <w:bookmarkEnd w:id="73"/>
      <w:bookmarkEnd w:id="74"/>
      <w:bookmarkEnd w:id="75"/>
      <w:bookmarkEnd w:id="76"/>
      <w:bookmarkEnd w:id="77"/>
      <w:bookmarkEnd w:id="78"/>
    </w:p>
    <w:p w14:paraId="4E41E33D" w14:textId="758FA0D6" w:rsidR="00B17E49" w:rsidRPr="00B17E49" w:rsidRDefault="00B17E49" w:rsidP="00D13C15">
      <w:pPr>
        <w:pStyle w:val="Reference"/>
        <w:spacing w:before="360"/>
      </w:pPr>
      <w:r w:rsidRPr="00B17E49">
        <w:t xml:space="preserve">ABS (Australian Bureau of Statistics) 1992, </w:t>
      </w:r>
      <w:r w:rsidRPr="00B17E49">
        <w:rPr>
          <w:i/>
          <w:iCs/>
        </w:rPr>
        <w:t>Average Weekly Earnings Australia: 1941 - 1990</w:t>
      </w:r>
      <w:r w:rsidRPr="00B17E49">
        <w:t>, Catalogue no. 6350.0, Canberra.</w:t>
      </w:r>
    </w:p>
    <w:p w14:paraId="50B781D0" w14:textId="12950D5D" w:rsidR="00B17E49" w:rsidRPr="00B17E49" w:rsidRDefault="00D34FEA" w:rsidP="00D34FEA">
      <w:pPr>
        <w:pStyle w:val="Reference"/>
      </w:pPr>
      <w:r>
        <w:t>—— </w:t>
      </w:r>
      <w:r w:rsidR="00B17E49" w:rsidRPr="00B17E49">
        <w:t xml:space="preserve">2019, </w:t>
      </w:r>
      <w:r w:rsidR="00B17E49" w:rsidRPr="00B17E49">
        <w:rPr>
          <w:i/>
          <w:iCs/>
        </w:rPr>
        <w:t>Average Weekly Earnings, Australia, Nov 2018, Cat. no. 6302.0</w:t>
      </w:r>
      <w:r w:rsidR="00B17E49" w:rsidRPr="00B17E49">
        <w:t>, ABS, Canberra.</w:t>
      </w:r>
    </w:p>
    <w:p w14:paraId="2AFBDC8F" w14:textId="77777777" w:rsidR="00B17E49" w:rsidRPr="00B17E49" w:rsidRDefault="00B17E49" w:rsidP="00D34FEA">
      <w:pPr>
        <w:pStyle w:val="Reference"/>
      </w:pPr>
      <w:r w:rsidRPr="00B17E49">
        <w:t xml:space="preserve">Asprey, K.W., LLoyd, J.P.D., Parsons, R.W. and Wood, K. 1975, </w:t>
      </w:r>
      <w:r w:rsidRPr="00B17E49">
        <w:rPr>
          <w:i/>
          <w:iCs/>
        </w:rPr>
        <w:t>Report of the Taxation Review Committee</w:t>
      </w:r>
      <w:r w:rsidRPr="00B17E49">
        <w:t>.</w:t>
      </w:r>
    </w:p>
    <w:p w14:paraId="1B49252E" w14:textId="016DFC8D" w:rsidR="00B17E49" w:rsidRPr="00B17E49" w:rsidRDefault="00B17E49" w:rsidP="00D34FEA">
      <w:pPr>
        <w:pStyle w:val="Reference"/>
      </w:pPr>
      <w:r w:rsidRPr="00B17E49">
        <w:t xml:space="preserve">ATO (Australian Taxation Office) 2018a, </w:t>
      </w:r>
      <w:r w:rsidRPr="00B17E49">
        <w:rPr>
          <w:i/>
          <w:iCs/>
        </w:rPr>
        <w:t>Calculation of zone or overseas forces tax offsets</w:t>
      </w:r>
      <w:r w:rsidRPr="00B17E49">
        <w:t>, https://www.ato.gov.au/Forms/Withholding-declaration---calculating-your-tax-offset/?page=4 (accessed 3</w:t>
      </w:r>
      <w:r w:rsidR="00DA06CD">
        <w:t> </w:t>
      </w:r>
      <w:r w:rsidRPr="00B17E49">
        <w:t>January 2019).</w:t>
      </w:r>
    </w:p>
    <w:p w14:paraId="60241746" w14:textId="52564471" w:rsidR="00B17E49" w:rsidRPr="00B17E49" w:rsidRDefault="00D34FEA" w:rsidP="00D34FEA">
      <w:pPr>
        <w:pStyle w:val="Reference"/>
      </w:pPr>
      <w:r>
        <w:t>—— </w:t>
      </w:r>
      <w:r w:rsidR="00B17E49" w:rsidRPr="00B17E49">
        <w:t xml:space="preserve">2018b, </w:t>
      </w:r>
      <w:r w:rsidR="00B17E49" w:rsidRPr="00B17E49">
        <w:rPr>
          <w:i/>
          <w:iCs/>
        </w:rPr>
        <w:t>Taxation statistics 2015</w:t>
      </w:r>
      <w:r w:rsidR="00DA06CD">
        <w:rPr>
          <w:i/>
          <w:iCs/>
        </w:rPr>
        <w:noBreakHyphen/>
      </w:r>
      <w:r w:rsidR="00B17E49" w:rsidRPr="00B17E49">
        <w:rPr>
          <w:i/>
          <w:iCs/>
        </w:rPr>
        <w:t>16: Individuals</w:t>
      </w:r>
      <w:r w:rsidR="00B17E49" w:rsidRPr="00B17E49">
        <w:t>, https://www.ato.gov.au/About-ATO/Research-and-statistics/In-detail/Taxation-statistics/Taxation-statistics-2015-16/?anchor=info1#info1 (accessed 26</w:t>
      </w:r>
      <w:r w:rsidR="00DA06CD">
        <w:t> </w:t>
      </w:r>
      <w:r w:rsidR="00B17E49" w:rsidRPr="00B17E49">
        <w:t>February 2019).</w:t>
      </w:r>
    </w:p>
    <w:p w14:paraId="639DAFCB" w14:textId="77777777" w:rsidR="00B17E49" w:rsidRPr="00B17E49" w:rsidRDefault="00B17E49" w:rsidP="00D34FEA">
      <w:pPr>
        <w:pStyle w:val="Reference"/>
      </w:pPr>
      <w:r w:rsidRPr="00B17E49">
        <w:t xml:space="preserve">Australian Government 2015, </w:t>
      </w:r>
      <w:r w:rsidRPr="00B17E49">
        <w:rPr>
          <w:i/>
          <w:iCs/>
        </w:rPr>
        <w:t>Our North, Our Future: White Paper on Developing Northern Australia</w:t>
      </w:r>
      <w:r w:rsidRPr="00B17E49">
        <w:t>, Canberra.</w:t>
      </w:r>
    </w:p>
    <w:p w14:paraId="336DF702" w14:textId="77777777" w:rsidR="00B17E49" w:rsidRPr="00B17E49" w:rsidRDefault="00B17E49" w:rsidP="00D34FEA">
      <w:pPr>
        <w:pStyle w:val="Reference"/>
      </w:pPr>
      <w:r w:rsidRPr="00B17E49">
        <w:t xml:space="preserve">Banks, G. 2003, </w:t>
      </w:r>
      <w:r w:rsidRPr="00B17E49">
        <w:rPr>
          <w:i/>
          <w:iCs/>
        </w:rPr>
        <w:t>The Good, the Bad and the Ugly: Economic Perspectives On Regulation in Australia</w:t>
      </w:r>
      <w:r w:rsidRPr="00B17E49">
        <w:t>, Productivity Commission Chairman’s Speech, Canberra.</w:t>
      </w:r>
    </w:p>
    <w:p w14:paraId="1CA9CFA9" w14:textId="730D4395" w:rsidR="00B17E49" w:rsidRPr="00D13C15" w:rsidRDefault="00B17E49" w:rsidP="00D34FEA">
      <w:pPr>
        <w:pStyle w:val="Reference"/>
        <w:rPr>
          <w:spacing w:val="-2"/>
        </w:rPr>
      </w:pPr>
      <w:r w:rsidRPr="00D13C15">
        <w:rPr>
          <w:spacing w:val="-2"/>
        </w:rPr>
        <w:t xml:space="preserve">Canavan, M. 2014, </w:t>
      </w:r>
      <w:r w:rsidRPr="00D13C15">
        <w:rPr>
          <w:i/>
          <w:iCs/>
          <w:spacing w:val="-2"/>
        </w:rPr>
        <w:t>Developing Northern Australia: A Taxing Problem</w:t>
      </w:r>
      <w:r w:rsidRPr="00D13C15">
        <w:rPr>
          <w:spacing w:val="-2"/>
        </w:rPr>
        <w:t>, Senator Matt Canavan, http://www.mattcanavan.com.au/developing_northern_australia_a_taxing_problem (accessed 27</w:t>
      </w:r>
      <w:r w:rsidR="00DA06CD" w:rsidRPr="00D13C15">
        <w:rPr>
          <w:spacing w:val="-2"/>
        </w:rPr>
        <w:t> </w:t>
      </w:r>
      <w:r w:rsidRPr="00D13C15">
        <w:rPr>
          <w:spacing w:val="-2"/>
        </w:rPr>
        <w:t>February 2019).</w:t>
      </w:r>
    </w:p>
    <w:p w14:paraId="39904842" w14:textId="77777777" w:rsidR="00B17E49" w:rsidRPr="00B17E49" w:rsidRDefault="00B17E49" w:rsidP="00D34FEA">
      <w:pPr>
        <w:pStyle w:val="Reference"/>
      </w:pPr>
      <w:r w:rsidRPr="00B17E49">
        <w:t xml:space="preserve">Chifley, B. 1945, </w:t>
      </w:r>
      <w:r w:rsidRPr="00B17E49">
        <w:rPr>
          <w:i/>
          <w:iCs/>
        </w:rPr>
        <w:t>Income Tax Assessment Bill 1945: second reading speech</w:t>
      </w:r>
      <w:r w:rsidRPr="00B17E49">
        <w:t>, 19 April, 16, Debates, House of Representatives, Canberra, pp. 923–926.</w:t>
      </w:r>
    </w:p>
    <w:p w14:paraId="6F30D8DA" w14:textId="77777777" w:rsidR="00B17E49" w:rsidRPr="00B17E49" w:rsidRDefault="00B17E49" w:rsidP="00D34FEA">
      <w:pPr>
        <w:pStyle w:val="Reference"/>
      </w:pPr>
      <w:r w:rsidRPr="00B17E49">
        <w:t xml:space="preserve">COAG (Council of Australian Governments) 2007, </w:t>
      </w:r>
      <w:r w:rsidRPr="00B17E49">
        <w:rPr>
          <w:i/>
          <w:iCs/>
        </w:rPr>
        <w:t>Best practice regulation: a guide for ministerial councils and national standard setting bodies</w:t>
      </w:r>
      <w:r w:rsidRPr="00B17E49">
        <w:t>, October.</w:t>
      </w:r>
    </w:p>
    <w:p w14:paraId="3FFC0AF9" w14:textId="77777777" w:rsidR="00B17E49" w:rsidRPr="00B17E49" w:rsidRDefault="00B17E49" w:rsidP="00D34FEA">
      <w:pPr>
        <w:pStyle w:val="Reference"/>
      </w:pPr>
      <w:r w:rsidRPr="00B17E49">
        <w:t xml:space="preserve">Commonwealth of Australia 1983, </w:t>
      </w:r>
      <w:r w:rsidRPr="00B17E49">
        <w:rPr>
          <w:i/>
          <w:iCs/>
        </w:rPr>
        <w:t>House of Representatives Official Hansard</w:t>
      </w:r>
      <w:r w:rsidRPr="00B17E49">
        <w:t>, vol 133, Canberra.</w:t>
      </w:r>
    </w:p>
    <w:p w14:paraId="433DBBF6" w14:textId="77777777" w:rsidR="00B17E49" w:rsidRPr="00B17E49" w:rsidRDefault="00B17E49" w:rsidP="00D34FEA">
      <w:pPr>
        <w:pStyle w:val="Reference"/>
      </w:pPr>
      <w:r w:rsidRPr="00B17E49">
        <w:t xml:space="preserve">Cox, P., Burston, S., Kerr, A. and Slater, G. 1981, </w:t>
      </w:r>
      <w:r w:rsidRPr="00B17E49">
        <w:rPr>
          <w:i/>
          <w:iCs/>
        </w:rPr>
        <w:t>Report of the Public Inquiry into Income Tax Zone Allowances</w:t>
      </w:r>
      <w:r w:rsidRPr="00B17E49">
        <w:t>.</w:t>
      </w:r>
    </w:p>
    <w:p w14:paraId="3260AD7A" w14:textId="6B11EDD8" w:rsidR="00B17E49" w:rsidRPr="00B17E49" w:rsidRDefault="00B17E49" w:rsidP="00D34FEA">
      <w:pPr>
        <w:pStyle w:val="Reference"/>
      </w:pPr>
      <w:r w:rsidRPr="00B17E49">
        <w:t xml:space="preserve">DHS (Department of Human Services) 2018, </w:t>
      </w:r>
      <w:r w:rsidRPr="00B17E49">
        <w:rPr>
          <w:i/>
          <w:iCs/>
        </w:rPr>
        <w:t>Remote Area Allowance: How much you get</w:t>
      </w:r>
      <w:r w:rsidRPr="00B17E49">
        <w:t>, Australian Government Depart</w:t>
      </w:r>
      <w:r w:rsidR="00D13C15">
        <w:t xml:space="preserve">ment of Human Services, </w:t>
      </w:r>
      <w:r w:rsidRPr="00B17E49">
        <w:t>www.humanservices.gov.au/</w:t>
      </w:r>
      <w:r w:rsidR="00D13C15">
        <w:br/>
      </w:r>
      <w:r w:rsidRPr="00B17E49">
        <w:t>individuals/services/centrelink/remote-area-allowance/eligibility-payment-rates/how-much-you-get (accessed 7</w:t>
      </w:r>
      <w:r w:rsidR="00DA06CD">
        <w:t> </w:t>
      </w:r>
      <w:r w:rsidRPr="00B17E49">
        <w:t>March 2019).</w:t>
      </w:r>
    </w:p>
    <w:p w14:paraId="41EBE462" w14:textId="77777777" w:rsidR="00B17E49" w:rsidRPr="00B17E49" w:rsidRDefault="00B17E49" w:rsidP="00D34FEA">
      <w:pPr>
        <w:pStyle w:val="Reference"/>
      </w:pPr>
      <w:r w:rsidRPr="00B17E49">
        <w:t xml:space="preserve">DSS (Department of Social Security) 1989, </w:t>
      </w:r>
      <w:r w:rsidRPr="00B17E49">
        <w:rPr>
          <w:i/>
          <w:iCs/>
        </w:rPr>
        <w:t>Discussion Paper on Remote Area Allowance</w:t>
      </w:r>
      <w:r w:rsidRPr="00B17E49">
        <w:t>, Prepared by Bill Pennington, North Australia Development Unit.</w:t>
      </w:r>
    </w:p>
    <w:p w14:paraId="11A54CE2" w14:textId="77777777" w:rsidR="00B17E49" w:rsidRPr="00B17E49" w:rsidRDefault="00B17E49" w:rsidP="00D34FEA">
      <w:pPr>
        <w:pStyle w:val="Reference"/>
      </w:pPr>
      <w:r w:rsidRPr="00B17E49">
        <w:t xml:space="preserve">Henry, K. 2009, </w:t>
      </w:r>
      <w:r w:rsidRPr="00B17E49">
        <w:rPr>
          <w:i/>
          <w:iCs/>
        </w:rPr>
        <w:t>Australia’s future tax system - Part two: detailed analysis</w:t>
      </w:r>
      <w:r w:rsidRPr="00B17E49">
        <w:t>, Canberra.</w:t>
      </w:r>
    </w:p>
    <w:p w14:paraId="0D83464F" w14:textId="77777777" w:rsidR="00B17E49" w:rsidRPr="00D13C15" w:rsidRDefault="00B17E49" w:rsidP="00D34FEA">
      <w:pPr>
        <w:pStyle w:val="Reference"/>
        <w:rPr>
          <w:spacing w:val="-2"/>
        </w:rPr>
      </w:pPr>
      <w:r w:rsidRPr="00D13C15">
        <w:rPr>
          <w:spacing w:val="-2"/>
        </w:rPr>
        <w:t xml:space="preserve">IC (Industry Commission) 1993, </w:t>
      </w:r>
      <w:r w:rsidRPr="00D13C15">
        <w:rPr>
          <w:i/>
          <w:iCs/>
          <w:spacing w:val="-2"/>
        </w:rPr>
        <w:t>Impediments to Regional Industry Adjustment</w:t>
      </w:r>
      <w:r w:rsidRPr="00D13C15">
        <w:rPr>
          <w:spacing w:val="-2"/>
        </w:rPr>
        <w:t>, Report no. 35, Canberra.</w:t>
      </w:r>
    </w:p>
    <w:p w14:paraId="002CEDC4" w14:textId="77777777" w:rsidR="00B17E49" w:rsidRPr="00B17E49" w:rsidRDefault="00B17E49" w:rsidP="00D34FEA">
      <w:pPr>
        <w:pStyle w:val="Reference"/>
      </w:pPr>
      <w:r w:rsidRPr="00B17E49">
        <w:lastRenderedPageBreak/>
        <w:t xml:space="preserve">Kettlewell, N. and Yerokhin, O. 2017, ‘Area‐specific subsidies and population dynamics: Evidence from the Australian zone tax offset’, </w:t>
      </w:r>
      <w:r w:rsidRPr="00B17E49">
        <w:rPr>
          <w:i/>
          <w:iCs/>
        </w:rPr>
        <w:t>Pap Reg Sci.</w:t>
      </w:r>
      <w:r w:rsidRPr="00B17E49">
        <w:t>, pp. 1–26.</w:t>
      </w:r>
    </w:p>
    <w:p w14:paraId="56AA19FF" w14:textId="5F556C96" w:rsidR="00B17E49" w:rsidRPr="00D13C15" w:rsidRDefault="00B17E49" w:rsidP="00D34FEA">
      <w:pPr>
        <w:pStyle w:val="Reference"/>
        <w:rPr>
          <w:spacing w:val="-4"/>
        </w:rPr>
      </w:pPr>
      <w:r w:rsidRPr="00D13C15">
        <w:rPr>
          <w:spacing w:val="-4"/>
        </w:rPr>
        <w:t xml:space="preserve">Macdonald, I. 2018, </w:t>
      </w:r>
      <w:r w:rsidRPr="00D13C15">
        <w:rPr>
          <w:i/>
          <w:iCs/>
          <w:spacing w:val="-4"/>
        </w:rPr>
        <w:t>Speech - Central Western Local Government Association</w:t>
      </w:r>
      <w:r w:rsidRPr="00D13C15">
        <w:rPr>
          <w:spacing w:val="-4"/>
        </w:rPr>
        <w:t>, Speech - Central Western Local Government Association</w:t>
      </w:r>
      <w:r w:rsidR="00DA06CD" w:rsidRPr="00D13C15">
        <w:rPr>
          <w:spacing w:val="-4"/>
        </w:rPr>
        <w:t xml:space="preserve"> </w:t>
      </w:r>
      <w:r w:rsidRPr="00D13C15">
        <w:rPr>
          <w:spacing w:val="-4"/>
        </w:rPr>
        <w:t>| Senator Ian Macdonald</w:t>
      </w:r>
      <w:r w:rsidR="00D13C15" w:rsidRPr="00D13C15">
        <w:rPr>
          <w:spacing w:val="-4"/>
        </w:rPr>
        <w:t xml:space="preserve"> |</w:t>
      </w:r>
      <w:r w:rsidRPr="00D13C15">
        <w:rPr>
          <w:spacing w:val="-4"/>
        </w:rPr>
        <w:t xml:space="preserve"> LNP Senator for Queensland, http://www.senatormacdonald.org/speech-central-western-local-government-association/ (accessed 27</w:t>
      </w:r>
      <w:r w:rsidR="00DA06CD" w:rsidRPr="00D13C15">
        <w:rPr>
          <w:spacing w:val="-4"/>
        </w:rPr>
        <w:t> </w:t>
      </w:r>
      <w:r w:rsidRPr="00D13C15">
        <w:rPr>
          <w:spacing w:val="-4"/>
        </w:rPr>
        <w:t>February 2019).</w:t>
      </w:r>
    </w:p>
    <w:p w14:paraId="56B42267" w14:textId="77777777" w:rsidR="00B17E49" w:rsidRPr="00B17E49" w:rsidRDefault="00B17E49" w:rsidP="00D34FEA">
      <w:pPr>
        <w:pStyle w:val="Reference"/>
      </w:pPr>
      <w:r w:rsidRPr="00B17E49">
        <w:t xml:space="preserve">Manning, I. 2013, ‘Income tax zone rebates’, </w:t>
      </w:r>
      <w:r w:rsidRPr="00B17E49">
        <w:rPr>
          <w:i/>
          <w:iCs/>
        </w:rPr>
        <w:t>National Economic Review</w:t>
      </w:r>
      <w:r w:rsidRPr="00B17E49">
        <w:t>, 68, pp. 23–39.</w:t>
      </w:r>
    </w:p>
    <w:p w14:paraId="5798BEAE" w14:textId="77777777" w:rsidR="00B17E49" w:rsidRPr="00B17E49" w:rsidRDefault="00B17E49" w:rsidP="00D34FEA">
      <w:pPr>
        <w:pStyle w:val="Reference"/>
      </w:pPr>
      <w:r w:rsidRPr="00B17E49">
        <w:t xml:space="preserve">PC (Productivity Commission) 2001, </w:t>
      </w:r>
      <w:r w:rsidRPr="00B17E49">
        <w:rPr>
          <w:i/>
          <w:iCs/>
        </w:rPr>
        <w:t>Structural Adjustment: Key Policy Issues</w:t>
      </w:r>
      <w:r w:rsidRPr="00B17E49">
        <w:t>, Commission Research Paper, Canberra.</w:t>
      </w:r>
    </w:p>
    <w:p w14:paraId="19D7FD51" w14:textId="55EFD2EE" w:rsidR="00B17E49" w:rsidRPr="00B17E49" w:rsidRDefault="00D34FEA" w:rsidP="00D34FEA">
      <w:pPr>
        <w:pStyle w:val="Reference"/>
      </w:pPr>
      <w:r>
        <w:t>—— </w:t>
      </w:r>
      <w:r w:rsidR="00B17E49" w:rsidRPr="00B17E49">
        <w:t xml:space="preserve">2014, </w:t>
      </w:r>
      <w:r w:rsidR="00B17E49" w:rsidRPr="00B17E49">
        <w:rPr>
          <w:i/>
          <w:iCs/>
        </w:rPr>
        <w:t>Geographic Labour Mobility</w:t>
      </w:r>
      <w:r w:rsidR="00B17E49" w:rsidRPr="00B17E49">
        <w:t>, Research Report, Canberra.</w:t>
      </w:r>
    </w:p>
    <w:p w14:paraId="0E1DD9AE" w14:textId="6DDC4B4F" w:rsidR="00B17E49" w:rsidRPr="00B17E49" w:rsidRDefault="00D34FEA" w:rsidP="00D34FEA">
      <w:pPr>
        <w:pStyle w:val="Reference"/>
      </w:pPr>
      <w:r>
        <w:t>—— </w:t>
      </w:r>
      <w:r w:rsidR="00B17E49" w:rsidRPr="00B17E49">
        <w:t xml:space="preserve">2017, </w:t>
      </w:r>
      <w:r w:rsidR="00B17E49" w:rsidRPr="00B17E49">
        <w:rPr>
          <w:i/>
          <w:iCs/>
        </w:rPr>
        <w:t>Transitioning Regional Economies</w:t>
      </w:r>
      <w:r w:rsidR="00B17E49" w:rsidRPr="00B17E49">
        <w:t>, Study Report, Canberra.</w:t>
      </w:r>
    </w:p>
    <w:p w14:paraId="2A34A61A" w14:textId="77777777" w:rsidR="00B17E49" w:rsidRPr="00B17E49" w:rsidRDefault="00B17E49" w:rsidP="00D34FEA">
      <w:pPr>
        <w:pStyle w:val="Reference"/>
      </w:pPr>
      <w:r w:rsidRPr="00B17E49">
        <w:t xml:space="preserve">PM&amp;C (Department of the Prime Minister and Cabinet) 2014, </w:t>
      </w:r>
      <w:r w:rsidRPr="00B17E49">
        <w:rPr>
          <w:i/>
          <w:iCs/>
        </w:rPr>
        <w:t>Australian Government Guide to Regulation</w:t>
      </w:r>
      <w:r w:rsidRPr="00B17E49">
        <w:t>.</w:t>
      </w:r>
    </w:p>
    <w:p w14:paraId="40D50EA2" w14:textId="77777777" w:rsidR="00B17E49" w:rsidRPr="00B17E49" w:rsidRDefault="00B17E49" w:rsidP="00D34FEA">
      <w:pPr>
        <w:pStyle w:val="Reference"/>
      </w:pPr>
      <w:r w:rsidRPr="00B17E49">
        <w:t xml:space="preserve">Treasury (Australian Government Treasury) 2019, </w:t>
      </w:r>
      <w:r w:rsidRPr="00B17E49">
        <w:rPr>
          <w:i/>
          <w:iCs/>
        </w:rPr>
        <w:t>Tax Benchmarks and Variations Statement 2018</w:t>
      </w:r>
      <w:r w:rsidRPr="00B17E49">
        <w:t>, January, Canberra.</w:t>
      </w:r>
    </w:p>
    <w:p w14:paraId="3236B857" w14:textId="651519E7" w:rsidR="00F4680B" w:rsidRPr="00936615" w:rsidRDefault="00110B54" w:rsidP="002B066A">
      <w:pPr>
        <w:pStyle w:val="BodyText"/>
      </w:pPr>
      <w:r w:rsidRPr="00936615">
        <w:br w:type="page"/>
      </w:r>
    </w:p>
    <w:p w14:paraId="569FDA90" w14:textId="17A6491E" w:rsidR="00D96622" w:rsidRPr="00936615" w:rsidRDefault="00D96622" w:rsidP="00D96622">
      <w:pPr>
        <w:pStyle w:val="Heading2"/>
      </w:pPr>
      <w:bookmarkStart w:id="79" w:name="_Toc1739541"/>
      <w:bookmarkStart w:id="80" w:name="_Toc1742366"/>
      <w:bookmarkStart w:id="81" w:name="_Toc1742430"/>
      <w:bookmarkStart w:id="82" w:name="_Toc1744727"/>
      <w:bookmarkStart w:id="83" w:name="_Toc1744816"/>
      <w:bookmarkStart w:id="84" w:name="_Toc1746192"/>
      <w:bookmarkStart w:id="85" w:name="_Toc2093108"/>
      <w:bookmarkStart w:id="86" w:name="_Toc2152545"/>
      <w:bookmarkStart w:id="87" w:name="_Toc2773715"/>
      <w:bookmarkStart w:id="88" w:name="_Toc2774009"/>
      <w:bookmarkStart w:id="89" w:name="_Toc2855503"/>
      <w:r w:rsidRPr="00936615">
        <w:lastRenderedPageBreak/>
        <w:t>Attachment A: How to make a submission</w:t>
      </w:r>
      <w:bookmarkEnd w:id="79"/>
      <w:bookmarkEnd w:id="80"/>
      <w:bookmarkEnd w:id="81"/>
      <w:bookmarkEnd w:id="82"/>
      <w:bookmarkEnd w:id="83"/>
      <w:bookmarkEnd w:id="84"/>
      <w:bookmarkEnd w:id="85"/>
      <w:bookmarkEnd w:id="86"/>
      <w:bookmarkEnd w:id="87"/>
      <w:bookmarkEnd w:id="88"/>
      <w:bookmarkEnd w:id="89"/>
    </w:p>
    <w:p w14:paraId="569FDA91" w14:textId="77777777" w:rsidR="00D96622" w:rsidRPr="00936615" w:rsidRDefault="00D96622" w:rsidP="00D13C15">
      <w:pPr>
        <w:pStyle w:val="Heading3"/>
        <w:spacing w:before="280"/>
      </w:pPr>
      <w:r w:rsidRPr="00936615">
        <w:t>How to prepare a submission</w:t>
      </w:r>
    </w:p>
    <w:p w14:paraId="569FDA92" w14:textId="77777777" w:rsidR="00D96622" w:rsidRPr="00936615" w:rsidRDefault="00D96622" w:rsidP="00D96622">
      <w:pPr>
        <w:pStyle w:val="BodyText"/>
      </w:pPr>
      <w:r w:rsidRPr="00936615">
        <w:t>Submissions may range from a short letter outlining your views on a particular topic to a much more s</w:t>
      </w:r>
      <w:smartTag w:uri="urn:schemas-microsoft-com:office:smarttags" w:element="PersonName">
        <w:r w:rsidRPr="00936615">
          <w:t>ubs</w:t>
        </w:r>
      </w:smartTag>
      <w:r w:rsidRPr="00936615">
        <w:t>ta</w:t>
      </w:r>
      <w:smartTag w:uri="urn:schemas-microsoft-com:office:smarttags" w:element="PersonName">
        <w:r w:rsidRPr="00936615">
          <w:t>nt</w:t>
        </w:r>
      </w:smartTag>
      <w:r w:rsidRPr="00936615">
        <w:t>ial docume</w:t>
      </w:r>
      <w:smartTag w:uri="urn:schemas-microsoft-com:office:smarttags" w:element="PersonName">
        <w:r w:rsidRPr="00936615">
          <w:t>nt</w:t>
        </w:r>
      </w:smartTag>
      <w:r w:rsidRPr="00936615">
        <w:t xml:space="preserve"> covering a range of issues. Where possible, you should provide evidence, such as releva</w:t>
      </w:r>
      <w:smartTag w:uri="urn:schemas-microsoft-com:office:smarttags" w:element="PersonName">
        <w:r w:rsidRPr="00936615">
          <w:t>nt</w:t>
        </w:r>
      </w:smartTag>
      <w:r w:rsidRPr="00936615">
        <w:t xml:space="preserve"> data and docume</w:t>
      </w:r>
      <w:smartTag w:uri="urn:schemas-microsoft-com:office:smarttags" w:element="PersonName">
        <w:r w:rsidRPr="00936615">
          <w:t>nt</w:t>
        </w:r>
      </w:smartTag>
      <w:r w:rsidRPr="00936615">
        <w:t>ation, to support your views.</w:t>
      </w:r>
    </w:p>
    <w:p w14:paraId="569FDA93" w14:textId="77777777" w:rsidR="00D96622" w:rsidRPr="00936615" w:rsidRDefault="00D96622" w:rsidP="00D96622">
      <w:pPr>
        <w:pStyle w:val="Heading4"/>
      </w:pPr>
      <w:r w:rsidRPr="00936615">
        <w:t>Generally</w:t>
      </w:r>
    </w:p>
    <w:p w14:paraId="569FDA94" w14:textId="25104169" w:rsidR="00D96622" w:rsidRPr="00936615" w:rsidRDefault="00D96622" w:rsidP="00D96622">
      <w:pPr>
        <w:pStyle w:val="ListBullet"/>
      </w:pPr>
      <w:r w:rsidRPr="00936615">
        <w:t>Each submission, except for any at</w:t>
      </w:r>
      <w:r w:rsidR="00212CE6">
        <w:t>tachment supplied in confidence</w:t>
      </w:r>
      <w:r w:rsidRPr="00936615">
        <w:t>, will be published on the Commission’s website shortly after receipt, and will remain there indefinitely as a public document.</w:t>
      </w:r>
    </w:p>
    <w:p w14:paraId="569FDA95" w14:textId="77777777" w:rsidR="00D96622" w:rsidRPr="00936615" w:rsidRDefault="00D96622" w:rsidP="00D96622">
      <w:pPr>
        <w:pStyle w:val="ListBullet"/>
      </w:pPr>
      <w:r w:rsidRPr="00936615">
        <w:t>The Commission reserves the right to not publish material on its website that is offensive, potentially defamatory, or clearly out of scope for the inquiry or study in question.</w:t>
      </w:r>
    </w:p>
    <w:p w14:paraId="569FDA96" w14:textId="77777777" w:rsidR="00D96622" w:rsidRPr="00936615" w:rsidRDefault="00D96622" w:rsidP="00D96622">
      <w:pPr>
        <w:pStyle w:val="Heading4"/>
      </w:pPr>
      <w:r w:rsidRPr="00936615">
        <w:t>Copyright</w:t>
      </w:r>
    </w:p>
    <w:p w14:paraId="569FDA97" w14:textId="77777777" w:rsidR="00D96622" w:rsidRPr="00936615" w:rsidRDefault="00D96622" w:rsidP="00D96622">
      <w:pPr>
        <w:pStyle w:val="ListBullet"/>
      </w:pPr>
      <w:r w:rsidRPr="00936615">
        <w:t>Copyright in submissions sent to the Commission resides with the author(s), not with the Commission.</w:t>
      </w:r>
    </w:p>
    <w:p w14:paraId="569FDA98" w14:textId="77777777" w:rsidR="00D96622" w:rsidRPr="00936615" w:rsidRDefault="00D96622" w:rsidP="00D96622">
      <w:pPr>
        <w:pStyle w:val="ListBullet"/>
      </w:pPr>
      <w:r w:rsidRPr="00936615">
        <w:t>Do not send us material for which you are not the copyright owner — such as newspaper articles — you should just reference or link to this material in your submission.</w:t>
      </w:r>
    </w:p>
    <w:p w14:paraId="569FDA99" w14:textId="77777777" w:rsidR="00D96622" w:rsidRPr="00936615" w:rsidRDefault="00D96622" w:rsidP="00D96622">
      <w:pPr>
        <w:pStyle w:val="Heading4"/>
      </w:pPr>
      <w:r w:rsidRPr="00936615">
        <w:t>In confidence material</w:t>
      </w:r>
    </w:p>
    <w:p w14:paraId="569FDA9A" w14:textId="77777777" w:rsidR="00D96622" w:rsidRPr="00936615" w:rsidRDefault="00D96622" w:rsidP="00D96622">
      <w:pPr>
        <w:pStyle w:val="ListBullet"/>
      </w:pPr>
      <w:r w:rsidRPr="00936615">
        <w:t>This is a public review and all submissions should be provided as public documents that can be placed on the Commission’s website for others to read and comment on. However, information which is of a confidential nature or which is submitted in confidence can be treated as such by the Commission, provided the cause for such treatment is shown.</w:t>
      </w:r>
    </w:p>
    <w:p w14:paraId="569FDA9B" w14:textId="77777777" w:rsidR="00D96622" w:rsidRPr="00936615" w:rsidRDefault="00D96622" w:rsidP="00D96622">
      <w:pPr>
        <w:pStyle w:val="ListBullet"/>
      </w:pPr>
      <w:r w:rsidRPr="00936615">
        <w:t>The Commission may also request a non</w:t>
      </w:r>
      <w:r w:rsidRPr="00936615">
        <w:noBreakHyphen/>
        <w:t>confidential summary of the confidential material it is given, or the reasons why a summary cannot be provided.</w:t>
      </w:r>
    </w:p>
    <w:p w14:paraId="569FDA9C" w14:textId="77777777" w:rsidR="00D96622" w:rsidRPr="00936615" w:rsidRDefault="00D96622" w:rsidP="00D96622">
      <w:pPr>
        <w:pStyle w:val="ListBullet"/>
      </w:pPr>
      <w:r w:rsidRPr="00936615">
        <w:t>Material supplied in confidence should be clearly marked ‘IN CONFIDENCE’ and be in a separate attachment to non</w:t>
      </w:r>
      <w:r w:rsidRPr="00936615">
        <w:noBreakHyphen/>
        <w:t>confidential material.</w:t>
      </w:r>
    </w:p>
    <w:p w14:paraId="569FDA9D" w14:textId="77777777" w:rsidR="00D96622" w:rsidRPr="00936615" w:rsidRDefault="00D96622" w:rsidP="00D96622">
      <w:pPr>
        <w:pStyle w:val="ListBullet"/>
      </w:pPr>
      <w:r w:rsidRPr="00936615">
        <w:t>You are encouraged to contact the Commission for further information and advice before submitting such material.</w:t>
      </w:r>
    </w:p>
    <w:p w14:paraId="569FDA9E" w14:textId="77777777" w:rsidR="00D96622" w:rsidRPr="00936615" w:rsidRDefault="00D96622" w:rsidP="00D96622">
      <w:pPr>
        <w:pStyle w:val="Heading4"/>
      </w:pPr>
      <w:r w:rsidRPr="00936615">
        <w:t>Privacy</w:t>
      </w:r>
    </w:p>
    <w:p w14:paraId="569FDA9F" w14:textId="4F151172" w:rsidR="00D96622" w:rsidRPr="00936615" w:rsidRDefault="00D96622" w:rsidP="00D96622">
      <w:pPr>
        <w:pStyle w:val="ListBullet"/>
      </w:pPr>
      <w:r w:rsidRPr="00936615">
        <w:t xml:space="preserve">For privacy reasons, all </w:t>
      </w:r>
      <w:r w:rsidRPr="00936615">
        <w:rPr>
          <w:b/>
        </w:rPr>
        <w:t>personal</w:t>
      </w:r>
      <w:r w:rsidRPr="00936615">
        <w:t xml:space="preserve"> details (e.g. home and email address, signatures, phone, mobile and fax numbers) will be removed before they are published on the website. Please do not provide these details unless necessary.</w:t>
      </w:r>
    </w:p>
    <w:p w14:paraId="569FDAA0" w14:textId="77777777" w:rsidR="00D96622" w:rsidRPr="00936615" w:rsidRDefault="00D96622" w:rsidP="00D96622">
      <w:pPr>
        <w:pStyle w:val="ListBullet"/>
      </w:pPr>
      <w:r w:rsidRPr="00936615">
        <w:lastRenderedPageBreak/>
        <w:t>You may wish to remain anonymous or use a pseudonym. Please note that, if you choose to remain anonymous or use a pseudonym, the Commission may place less weight on your submission.</w:t>
      </w:r>
    </w:p>
    <w:p w14:paraId="569FDAA1" w14:textId="77777777" w:rsidR="00D96622" w:rsidRPr="00936615" w:rsidRDefault="00D96622" w:rsidP="00D96622">
      <w:pPr>
        <w:pStyle w:val="Heading4"/>
      </w:pPr>
      <w:r w:rsidRPr="00936615">
        <w:t>Technical tips</w:t>
      </w:r>
    </w:p>
    <w:p w14:paraId="569FDAA2" w14:textId="756752D4" w:rsidR="00D96622" w:rsidRPr="00936615" w:rsidRDefault="00D96622" w:rsidP="00D96622">
      <w:pPr>
        <w:pStyle w:val="ListBullet"/>
      </w:pPr>
      <w:r w:rsidRPr="00936615">
        <w:t>The Commission prefers to receive submissions as Microsoft Word (.docx) files. PDF files are acceptable if produced from a Word document or similar text based software. You may wish to research the Internet on how to make your documents more accessible or</w:t>
      </w:r>
      <w:r w:rsidR="0027343E">
        <w:t>,</w:t>
      </w:r>
      <w:r w:rsidRPr="00936615">
        <w:t xml:space="preserve"> for the more technical, follow advice from Web Content Accessibility Guidelines (WCAG) 2.0&lt;http://www.w3.org/TR/WCAG20/&gt;.</w:t>
      </w:r>
    </w:p>
    <w:p w14:paraId="569FDAA3" w14:textId="77777777" w:rsidR="00D96622" w:rsidRPr="00936615" w:rsidRDefault="00D96622" w:rsidP="00D96622">
      <w:pPr>
        <w:pStyle w:val="ListBullet"/>
      </w:pPr>
      <w:r w:rsidRPr="00936615">
        <w:t>Do not send password protected files.</w:t>
      </w:r>
    </w:p>
    <w:p w14:paraId="569FDAA4" w14:textId="77777777" w:rsidR="00D96622" w:rsidRPr="00936615" w:rsidRDefault="00D96622" w:rsidP="00D96622">
      <w:pPr>
        <w:pStyle w:val="ListBullet"/>
      </w:pPr>
      <w:r w:rsidRPr="00936615">
        <w:t>Track changes, editing marks, hidden text and internal links should be removed from submissions.</w:t>
      </w:r>
    </w:p>
    <w:p w14:paraId="569FDAA5" w14:textId="77777777" w:rsidR="00D96622" w:rsidRPr="00936615" w:rsidRDefault="00D96622" w:rsidP="00D96622">
      <w:pPr>
        <w:pStyle w:val="ListBullet"/>
      </w:pPr>
      <w:r w:rsidRPr="00936615">
        <w:t>To minimise linking problems, type the full web address (for example, http://www.referred</w:t>
      </w:r>
      <w:r w:rsidRPr="00936615">
        <w:noBreakHyphen/>
        <w:t>website.com/folder/file</w:t>
      </w:r>
      <w:r w:rsidRPr="00936615">
        <w:noBreakHyphen/>
        <w:t>name.html).</w:t>
      </w:r>
    </w:p>
    <w:p w14:paraId="569FDAA6" w14:textId="77777777" w:rsidR="00D96622" w:rsidRPr="00936615" w:rsidRDefault="00D96622" w:rsidP="00D96622">
      <w:pPr>
        <w:pStyle w:val="Heading3"/>
      </w:pPr>
      <w:r w:rsidRPr="00936615">
        <w:t>How to lodge a submission</w:t>
      </w:r>
    </w:p>
    <w:p w14:paraId="569FDAA7" w14:textId="77777777" w:rsidR="00D96622" w:rsidRPr="00936615" w:rsidRDefault="00D96622" w:rsidP="00D96622">
      <w:pPr>
        <w:pStyle w:val="BodyText"/>
        <w:spacing w:after="240"/>
      </w:pPr>
      <w:r w:rsidRPr="00936615">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421"/>
      </w:tblGrid>
      <w:tr w:rsidR="00D96622" w:rsidRPr="00936615" w14:paraId="569FDAAA" w14:textId="77777777" w:rsidTr="00C61040">
        <w:trPr>
          <w:tblHeader/>
        </w:trPr>
        <w:tc>
          <w:tcPr>
            <w:tcW w:w="1384" w:type="dxa"/>
          </w:tcPr>
          <w:p w14:paraId="569FDAA8" w14:textId="77777777" w:rsidR="00D96622" w:rsidRPr="00936615" w:rsidRDefault="00D96622" w:rsidP="00C61040">
            <w:pPr>
              <w:pStyle w:val="BodyText"/>
              <w:tabs>
                <w:tab w:val="left" w:pos="1701"/>
              </w:tabs>
              <w:spacing w:before="120"/>
            </w:pPr>
            <w:r w:rsidRPr="00936615">
              <w:t>Online*</w:t>
            </w:r>
          </w:p>
        </w:tc>
        <w:tc>
          <w:tcPr>
            <w:tcW w:w="7621" w:type="dxa"/>
          </w:tcPr>
          <w:p w14:paraId="569FDAA9" w14:textId="2065DD9D" w:rsidR="00D96622" w:rsidRPr="00936615" w:rsidRDefault="00435B89" w:rsidP="00C61040">
            <w:pPr>
              <w:pStyle w:val="BodyText"/>
              <w:tabs>
                <w:tab w:val="left" w:pos="1701"/>
              </w:tabs>
              <w:spacing w:before="120"/>
            </w:pPr>
            <w:r>
              <w:t>www.</w:t>
            </w:r>
            <w:r w:rsidRPr="00936615">
              <w:t>pc.gov.au/remote-tax</w:t>
            </w:r>
          </w:p>
        </w:tc>
      </w:tr>
      <w:tr w:rsidR="00D96622" w:rsidRPr="00936615" w14:paraId="569FDAAD" w14:textId="77777777" w:rsidTr="00C61040">
        <w:tc>
          <w:tcPr>
            <w:tcW w:w="1384" w:type="dxa"/>
          </w:tcPr>
          <w:p w14:paraId="569FDAAB" w14:textId="77777777" w:rsidR="00D96622" w:rsidRPr="00936615" w:rsidRDefault="00D96622" w:rsidP="00C61040">
            <w:pPr>
              <w:pStyle w:val="BodyText"/>
              <w:tabs>
                <w:tab w:val="left" w:pos="1701"/>
              </w:tabs>
              <w:spacing w:before="120"/>
            </w:pPr>
            <w:r w:rsidRPr="00936615">
              <w:t>Post*</w:t>
            </w:r>
          </w:p>
        </w:tc>
        <w:tc>
          <w:tcPr>
            <w:tcW w:w="7621" w:type="dxa"/>
          </w:tcPr>
          <w:p w14:paraId="569FDAAC" w14:textId="38132B65" w:rsidR="00D96622" w:rsidRPr="00936615" w:rsidRDefault="002B066A" w:rsidP="00C61040">
            <w:pPr>
              <w:pStyle w:val="BodyText"/>
              <w:tabs>
                <w:tab w:val="left" w:pos="1701"/>
              </w:tabs>
              <w:spacing w:before="120"/>
              <w:jc w:val="left"/>
            </w:pPr>
            <w:r w:rsidRPr="00936615">
              <w:t>Remote Area Tax Concessions and Payments</w:t>
            </w:r>
            <w:r w:rsidR="00D96622" w:rsidRPr="00936615">
              <w:br/>
              <w:t>Productivity Commission</w:t>
            </w:r>
            <w:r w:rsidR="00D96622" w:rsidRPr="00936615">
              <w:br/>
            </w:r>
            <w:r w:rsidR="002F4BEB">
              <w:t xml:space="preserve">GPO Box 1428, </w:t>
            </w:r>
            <w:r w:rsidR="00D96622" w:rsidRPr="00936615">
              <w:t xml:space="preserve">Canberra </w:t>
            </w:r>
            <w:r w:rsidR="00561A6E" w:rsidRPr="00936615">
              <w:t>City ACT 2601, Australia</w:t>
            </w:r>
          </w:p>
        </w:tc>
      </w:tr>
    </w:tbl>
    <w:p w14:paraId="569FDAAE" w14:textId="77777777" w:rsidR="00D96622" w:rsidRPr="00936615" w:rsidRDefault="00D96622" w:rsidP="00D96622">
      <w:pPr>
        <w:pStyle w:val="BodyText"/>
      </w:pPr>
      <w:r w:rsidRPr="00936615">
        <w:t>* If you do not receive notification of receipt of your submission to the Commission, please co</w:t>
      </w:r>
      <w:smartTag w:uri="urn:schemas-microsoft-com:office:smarttags" w:element="PersonName">
        <w:r w:rsidRPr="00936615">
          <w:t>nt</w:t>
        </w:r>
      </w:smartTag>
      <w:r w:rsidRPr="00936615">
        <w:t>act the Administrative Officer.</w:t>
      </w:r>
    </w:p>
    <w:p w14:paraId="569FDAAF" w14:textId="77777777" w:rsidR="00D96622" w:rsidRPr="00936615" w:rsidRDefault="00D96622" w:rsidP="00D96622">
      <w:pPr>
        <w:pStyle w:val="Heading4"/>
      </w:pPr>
      <w:r w:rsidRPr="00936615">
        <w:t>Due date for submissions</w:t>
      </w:r>
    </w:p>
    <w:p w14:paraId="569FDAB0" w14:textId="2C6B05DA" w:rsidR="00D434A0" w:rsidRDefault="00D96622" w:rsidP="00120072">
      <w:pPr>
        <w:pStyle w:val="BodyText"/>
      </w:pPr>
      <w:r w:rsidRPr="00936615">
        <w:t xml:space="preserve">Please send submissions to the Commission by </w:t>
      </w:r>
      <w:r w:rsidR="00BC24A5" w:rsidRPr="00875DF2">
        <w:rPr>
          <w:b/>
        </w:rPr>
        <w:t>Monday 29</w:t>
      </w:r>
      <w:r w:rsidR="00664900" w:rsidRPr="00875DF2">
        <w:rPr>
          <w:b/>
        </w:rPr>
        <w:t> </w:t>
      </w:r>
      <w:r w:rsidR="00BC24A5" w:rsidRPr="00875DF2">
        <w:rPr>
          <w:b/>
        </w:rPr>
        <w:t>April 2019</w:t>
      </w:r>
      <w:r w:rsidR="00BC24A5" w:rsidRPr="00936615">
        <w:t>.</w:t>
      </w:r>
    </w:p>
    <w:sectPr w:rsidR="00D434A0" w:rsidSect="00863D59">
      <w:type w:val="oddPage"/>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DBB19" w14:textId="77777777" w:rsidR="000F2792" w:rsidRDefault="000F2792">
      <w:r>
        <w:separator/>
      </w:r>
    </w:p>
  </w:endnote>
  <w:endnote w:type="continuationSeparator" w:id="0">
    <w:p w14:paraId="0CAB757F" w14:textId="77777777" w:rsidR="000F2792" w:rsidRDefault="000F2792">
      <w:r>
        <w:continuationSeparator/>
      </w:r>
    </w:p>
  </w:endnote>
  <w:endnote w:type="continuationNotice" w:id="1">
    <w:p w14:paraId="7DE32AE9" w14:textId="77777777" w:rsidR="000F2792" w:rsidRDefault="000F2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F2792" w14:paraId="569FDABC" w14:textId="77777777" w:rsidTr="005F48ED">
      <w:trPr>
        <w:trHeight w:hRule="exact" w:val="567"/>
      </w:trPr>
      <w:tc>
        <w:tcPr>
          <w:tcW w:w="510" w:type="dxa"/>
        </w:tcPr>
        <w:p w14:paraId="569FDAB9" w14:textId="77777777" w:rsidR="000F2792" w:rsidRDefault="000F2792">
          <w:pPr>
            <w:pStyle w:val="Footer"/>
            <w:ind w:right="360" w:firstLine="360"/>
          </w:pPr>
        </w:p>
      </w:tc>
      <w:tc>
        <w:tcPr>
          <w:tcW w:w="7767" w:type="dxa"/>
        </w:tcPr>
        <w:p w14:paraId="569FDABA" w14:textId="37131CAF" w:rsidR="000F2792" w:rsidRPr="00BA5B14" w:rsidRDefault="000F2792" w:rsidP="000F2024">
          <w:pPr>
            <w:pStyle w:val="Footer"/>
            <w:jc w:val="right"/>
            <w:rPr>
              <w:rFonts w:cs="Arial"/>
            </w:rPr>
          </w:pPr>
          <w:r>
            <w:rPr>
              <w:rFonts w:cs="Arial"/>
            </w:rPr>
            <w:t>Issues Paper</w:t>
          </w:r>
        </w:p>
      </w:tc>
      <w:tc>
        <w:tcPr>
          <w:tcW w:w="510" w:type="dxa"/>
        </w:tcPr>
        <w:p w14:paraId="569FDABB" w14:textId="77777777" w:rsidR="000F2792" w:rsidRPr="00A24443" w:rsidRDefault="000F2792">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CC3C2C">
            <w:rPr>
              <w:rStyle w:val="PageNumber"/>
              <w:caps w:val="0"/>
              <w:noProof/>
            </w:rPr>
            <w:t>i</w:t>
          </w:r>
          <w:r w:rsidRPr="0045783B">
            <w:rPr>
              <w:rStyle w:val="PageNumber"/>
              <w:caps w:val="0"/>
            </w:rPr>
            <w:fldChar w:fldCharType="end"/>
          </w:r>
        </w:p>
      </w:tc>
    </w:tr>
  </w:tbl>
  <w:p w14:paraId="569FDABD" w14:textId="77777777" w:rsidR="000F2792" w:rsidRDefault="000F2792">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F2792" w14:paraId="4899500A" w14:textId="77777777" w:rsidTr="005F48ED">
      <w:trPr>
        <w:trHeight w:hRule="exact" w:val="567"/>
      </w:trPr>
      <w:tc>
        <w:tcPr>
          <w:tcW w:w="510" w:type="dxa"/>
        </w:tcPr>
        <w:p w14:paraId="4147C721" w14:textId="77777777" w:rsidR="000F2792" w:rsidRDefault="000F2792">
          <w:pPr>
            <w:pStyle w:val="Footer"/>
            <w:ind w:right="360" w:firstLine="360"/>
          </w:pPr>
        </w:p>
      </w:tc>
      <w:tc>
        <w:tcPr>
          <w:tcW w:w="7767" w:type="dxa"/>
        </w:tcPr>
        <w:p w14:paraId="79AF10E8" w14:textId="77777777" w:rsidR="000F2792" w:rsidRPr="00BA5B14" w:rsidRDefault="000F2792"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CC3C2C">
            <w:rPr>
              <w:rFonts w:cs="Arial"/>
            </w:rPr>
            <w:t>Remote Area Tax Concessions and Payments - Issues Paper</w:t>
          </w:r>
          <w:r w:rsidRPr="00BA5B14">
            <w:rPr>
              <w:rFonts w:cs="Arial"/>
            </w:rPr>
            <w:fldChar w:fldCharType="end"/>
          </w:r>
        </w:p>
      </w:tc>
      <w:tc>
        <w:tcPr>
          <w:tcW w:w="510" w:type="dxa"/>
        </w:tcPr>
        <w:p w14:paraId="4C287EE7" w14:textId="77777777" w:rsidR="000F2792" w:rsidRPr="00A24443" w:rsidRDefault="000F279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w:t>
          </w:r>
          <w:r w:rsidRPr="00A24443">
            <w:rPr>
              <w:rStyle w:val="PageNumber"/>
              <w:caps w:val="0"/>
            </w:rPr>
            <w:fldChar w:fldCharType="end"/>
          </w:r>
        </w:p>
      </w:tc>
    </w:tr>
  </w:tbl>
  <w:p w14:paraId="3CA06D98" w14:textId="77777777" w:rsidR="000F2792" w:rsidRDefault="000F2792">
    <w:pPr>
      <w:pStyle w:val="FooterEnd"/>
    </w:pPr>
  </w:p>
  <w:p w14:paraId="203235D4" w14:textId="77777777" w:rsidR="000F2792" w:rsidRDefault="000F27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F2792" w14:paraId="569FDAC9" w14:textId="77777777" w:rsidTr="00C61040">
      <w:trPr>
        <w:trHeight w:hRule="exact" w:val="567"/>
      </w:trPr>
      <w:tc>
        <w:tcPr>
          <w:tcW w:w="510" w:type="dxa"/>
        </w:tcPr>
        <w:p w14:paraId="569FDAC6" w14:textId="77777777" w:rsidR="000F2792" w:rsidRPr="00A24443" w:rsidRDefault="000F2792" w:rsidP="00C61040">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C3C2C">
            <w:rPr>
              <w:rStyle w:val="PageNumber"/>
              <w:caps w:val="0"/>
              <w:noProof/>
            </w:rPr>
            <w:t>iv</w:t>
          </w:r>
          <w:r w:rsidRPr="00A24443">
            <w:rPr>
              <w:rStyle w:val="PageNumber"/>
              <w:caps w:val="0"/>
            </w:rPr>
            <w:fldChar w:fldCharType="end"/>
          </w:r>
        </w:p>
      </w:tc>
      <w:tc>
        <w:tcPr>
          <w:tcW w:w="7767" w:type="dxa"/>
        </w:tcPr>
        <w:p w14:paraId="569FDAC7" w14:textId="0FFBBB80" w:rsidR="000F2792" w:rsidRPr="0013739A" w:rsidRDefault="000F2792" w:rsidP="00C61040">
          <w:pPr>
            <w:pStyle w:val="Footer"/>
            <w:rPr>
              <w:rFonts w:cs="Arial"/>
            </w:rPr>
          </w:pPr>
          <w:r w:rsidRPr="00D81192">
            <w:rPr>
              <w:rFonts w:cs="Arial"/>
            </w:rPr>
            <w:t>Remote Area Tax Concessions and Payments</w:t>
          </w:r>
        </w:p>
      </w:tc>
      <w:tc>
        <w:tcPr>
          <w:tcW w:w="510" w:type="dxa"/>
        </w:tcPr>
        <w:p w14:paraId="569FDAC8" w14:textId="77777777" w:rsidR="000F2792" w:rsidRDefault="000F2792" w:rsidP="00C61040">
          <w:pPr>
            <w:pStyle w:val="Footer"/>
          </w:pPr>
        </w:p>
      </w:tc>
    </w:tr>
  </w:tbl>
  <w:p w14:paraId="569FDACA" w14:textId="77777777" w:rsidR="000F2792" w:rsidRDefault="000F2792" w:rsidP="00C61040">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F2792" w14:paraId="569FDACE" w14:textId="77777777" w:rsidTr="005F48ED">
      <w:trPr>
        <w:trHeight w:hRule="exact" w:val="567"/>
      </w:trPr>
      <w:tc>
        <w:tcPr>
          <w:tcW w:w="510" w:type="dxa"/>
        </w:tcPr>
        <w:p w14:paraId="569FDACB" w14:textId="77777777" w:rsidR="000F2792" w:rsidRDefault="000F2792">
          <w:pPr>
            <w:pStyle w:val="Footer"/>
            <w:ind w:right="360" w:firstLine="360"/>
          </w:pPr>
        </w:p>
      </w:tc>
      <w:tc>
        <w:tcPr>
          <w:tcW w:w="7767" w:type="dxa"/>
        </w:tcPr>
        <w:p w14:paraId="569FDACC" w14:textId="636C578C" w:rsidR="000F2792" w:rsidRPr="00BA5B14" w:rsidRDefault="000F2792" w:rsidP="000F2024">
          <w:pPr>
            <w:pStyle w:val="Footer"/>
            <w:jc w:val="right"/>
            <w:rPr>
              <w:rFonts w:cs="Arial"/>
            </w:rPr>
          </w:pPr>
          <w:r>
            <w:rPr>
              <w:rFonts w:cs="Arial"/>
            </w:rPr>
            <w:t>Issues Paper</w:t>
          </w:r>
        </w:p>
      </w:tc>
      <w:tc>
        <w:tcPr>
          <w:tcW w:w="510" w:type="dxa"/>
        </w:tcPr>
        <w:p w14:paraId="569FDACD" w14:textId="77777777" w:rsidR="000F2792" w:rsidRPr="00A24443" w:rsidRDefault="000F279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C3C2C">
            <w:rPr>
              <w:rStyle w:val="PageNumber"/>
              <w:caps w:val="0"/>
              <w:noProof/>
            </w:rPr>
            <w:t>iii</w:t>
          </w:r>
          <w:r w:rsidRPr="00A24443">
            <w:rPr>
              <w:rStyle w:val="PageNumber"/>
              <w:caps w:val="0"/>
            </w:rPr>
            <w:fldChar w:fldCharType="end"/>
          </w:r>
        </w:p>
      </w:tc>
    </w:tr>
  </w:tbl>
  <w:p w14:paraId="569FDACF" w14:textId="77777777" w:rsidR="000F2792" w:rsidRDefault="000F2792">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F2792" w14:paraId="569FDAFB" w14:textId="77777777" w:rsidTr="005F48ED">
      <w:trPr>
        <w:trHeight w:hRule="exact" w:val="567"/>
      </w:trPr>
      <w:tc>
        <w:tcPr>
          <w:tcW w:w="510" w:type="dxa"/>
        </w:tcPr>
        <w:p w14:paraId="569FDAF8" w14:textId="77777777" w:rsidR="000F2792" w:rsidRPr="00A24443" w:rsidRDefault="000F2792"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C3C2C">
            <w:rPr>
              <w:rStyle w:val="PageNumber"/>
              <w:caps w:val="0"/>
              <w:noProof/>
            </w:rPr>
            <w:t>16</w:t>
          </w:r>
          <w:r w:rsidRPr="00A24443">
            <w:rPr>
              <w:rStyle w:val="PageNumber"/>
              <w:caps w:val="0"/>
            </w:rPr>
            <w:fldChar w:fldCharType="end"/>
          </w:r>
        </w:p>
      </w:tc>
      <w:tc>
        <w:tcPr>
          <w:tcW w:w="7767" w:type="dxa"/>
        </w:tcPr>
        <w:p w14:paraId="569FDAF9" w14:textId="7F2FCB21" w:rsidR="000F2792" w:rsidRPr="0013739A" w:rsidRDefault="000F2792" w:rsidP="0013739A">
          <w:pPr>
            <w:pStyle w:val="Footer"/>
            <w:rPr>
              <w:rFonts w:cs="Arial"/>
            </w:rPr>
          </w:pPr>
          <w:r w:rsidRPr="00D81192">
            <w:rPr>
              <w:rFonts w:cs="Arial"/>
            </w:rPr>
            <w:t>Remote Area Tax Concessions and Payments</w:t>
          </w:r>
        </w:p>
      </w:tc>
      <w:tc>
        <w:tcPr>
          <w:tcW w:w="510" w:type="dxa"/>
        </w:tcPr>
        <w:p w14:paraId="569FDAFA" w14:textId="77777777" w:rsidR="000F2792" w:rsidRDefault="000F2792" w:rsidP="0019293B">
          <w:pPr>
            <w:pStyle w:val="Footer"/>
          </w:pPr>
        </w:p>
      </w:tc>
    </w:tr>
  </w:tbl>
  <w:p w14:paraId="569FDAFC" w14:textId="77777777" w:rsidR="000F2792" w:rsidRDefault="000F2792"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F2792" w14:paraId="569FDB00" w14:textId="77777777" w:rsidTr="005F48ED">
      <w:trPr>
        <w:trHeight w:hRule="exact" w:val="567"/>
      </w:trPr>
      <w:tc>
        <w:tcPr>
          <w:tcW w:w="510" w:type="dxa"/>
        </w:tcPr>
        <w:p w14:paraId="569FDAFD" w14:textId="77777777" w:rsidR="000F2792" w:rsidRDefault="000F2792">
          <w:pPr>
            <w:pStyle w:val="Footer"/>
            <w:ind w:right="360" w:firstLine="360"/>
          </w:pPr>
        </w:p>
      </w:tc>
      <w:tc>
        <w:tcPr>
          <w:tcW w:w="7767" w:type="dxa"/>
        </w:tcPr>
        <w:p w14:paraId="569FDAFE" w14:textId="20418499" w:rsidR="000F2792" w:rsidRPr="00BA5B14" w:rsidRDefault="000F2792" w:rsidP="0013739A">
          <w:pPr>
            <w:pStyle w:val="Footer"/>
            <w:jc w:val="right"/>
            <w:rPr>
              <w:rFonts w:cs="Arial"/>
            </w:rPr>
          </w:pPr>
          <w:bookmarkStart w:id="12" w:name="DraftReportOdd"/>
          <w:bookmarkEnd w:id="12"/>
          <w:r>
            <w:rPr>
              <w:rFonts w:cs="Arial"/>
            </w:rPr>
            <w:t>ISSUES PAPER</w:t>
          </w:r>
        </w:p>
      </w:tc>
      <w:tc>
        <w:tcPr>
          <w:tcW w:w="510" w:type="dxa"/>
        </w:tcPr>
        <w:p w14:paraId="569FDAFF" w14:textId="77777777" w:rsidR="000F2792" w:rsidRPr="00A24443" w:rsidRDefault="000F279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C3C2C">
            <w:rPr>
              <w:rStyle w:val="PageNumber"/>
              <w:caps w:val="0"/>
              <w:noProof/>
            </w:rPr>
            <w:t>15</w:t>
          </w:r>
          <w:r w:rsidRPr="00A24443">
            <w:rPr>
              <w:rStyle w:val="PageNumber"/>
              <w:caps w:val="0"/>
            </w:rPr>
            <w:fldChar w:fldCharType="end"/>
          </w:r>
        </w:p>
      </w:tc>
    </w:tr>
  </w:tbl>
  <w:p w14:paraId="569FDB01" w14:textId="77777777" w:rsidR="000F2792" w:rsidRDefault="000F2792">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FDB03" w14:textId="77777777" w:rsidR="000F2792" w:rsidRDefault="000F2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9374B" w14:textId="77777777" w:rsidR="000F2792" w:rsidRDefault="000F2792">
      <w:r>
        <w:separator/>
      </w:r>
    </w:p>
  </w:footnote>
  <w:footnote w:type="continuationSeparator" w:id="0">
    <w:p w14:paraId="088CF764" w14:textId="77777777" w:rsidR="000F2792" w:rsidRDefault="000F2792">
      <w:r>
        <w:continuationSeparator/>
      </w:r>
    </w:p>
  </w:footnote>
  <w:footnote w:type="continuationNotice" w:id="1">
    <w:p w14:paraId="201B0B15" w14:textId="77777777" w:rsidR="000F2792" w:rsidRDefault="000F2792"/>
  </w:footnote>
  <w:footnote w:id="2">
    <w:p w14:paraId="08D98A0F" w14:textId="54C1DF7A" w:rsidR="000F2792" w:rsidRDefault="000F2792" w:rsidP="00D13C15">
      <w:pPr>
        <w:pStyle w:val="FootnoteText"/>
        <w:spacing w:before="0"/>
      </w:pPr>
      <w:r>
        <w:rPr>
          <w:rStyle w:val="FootnoteReference"/>
        </w:rPr>
        <w:footnoteRef/>
      </w:r>
      <w:r>
        <w:tab/>
        <w:t>Income taxation rates prior to 1950 are not readily available.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F2792" w14:paraId="569FDAB7" w14:textId="77777777">
      <w:tc>
        <w:tcPr>
          <w:tcW w:w="6634" w:type="dxa"/>
          <w:tcBorders>
            <w:top w:val="single" w:sz="6" w:space="0" w:color="auto"/>
          </w:tcBorders>
        </w:tcPr>
        <w:p w14:paraId="569FDAB5" w14:textId="77777777" w:rsidR="000F2792" w:rsidRDefault="000F2792" w:rsidP="00E669E2">
          <w:pPr>
            <w:pStyle w:val="HeaderOdd"/>
          </w:pPr>
        </w:p>
      </w:tc>
      <w:tc>
        <w:tcPr>
          <w:tcW w:w="2155" w:type="dxa"/>
          <w:tcBorders>
            <w:top w:val="single" w:sz="24" w:space="0" w:color="auto"/>
          </w:tcBorders>
        </w:tcPr>
        <w:p w14:paraId="569FDAB6" w14:textId="77777777" w:rsidR="000F2792" w:rsidRDefault="000F2792" w:rsidP="00E669E2">
          <w:pPr>
            <w:pStyle w:val="HeaderOdd"/>
          </w:pPr>
        </w:p>
      </w:tc>
    </w:tr>
  </w:tbl>
  <w:p w14:paraId="569FDAB8" w14:textId="77777777" w:rsidR="000F2792" w:rsidRDefault="000F2792"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F2792" w14:paraId="569FDAC0" w14:textId="77777777" w:rsidTr="00C61040">
      <w:tc>
        <w:tcPr>
          <w:tcW w:w="2155" w:type="dxa"/>
          <w:tcBorders>
            <w:top w:val="single" w:sz="24" w:space="0" w:color="auto"/>
          </w:tcBorders>
        </w:tcPr>
        <w:p w14:paraId="569FDABE" w14:textId="77777777" w:rsidR="000F2792" w:rsidRDefault="000F2792" w:rsidP="00C61040">
          <w:pPr>
            <w:pStyle w:val="HeaderEven"/>
          </w:pPr>
        </w:p>
      </w:tc>
      <w:tc>
        <w:tcPr>
          <w:tcW w:w="6634" w:type="dxa"/>
          <w:tcBorders>
            <w:top w:val="single" w:sz="6" w:space="0" w:color="auto"/>
          </w:tcBorders>
        </w:tcPr>
        <w:p w14:paraId="569FDABF" w14:textId="77777777" w:rsidR="000F2792" w:rsidRDefault="000F2792" w:rsidP="00C61040">
          <w:pPr>
            <w:pStyle w:val="HeaderEven"/>
          </w:pPr>
        </w:p>
      </w:tc>
    </w:tr>
  </w:tbl>
  <w:p w14:paraId="569FDAC1" w14:textId="77777777" w:rsidR="000F2792" w:rsidRDefault="000F2792" w:rsidP="00C61040">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F2792" w14:paraId="569FDAC4" w14:textId="77777777">
      <w:tc>
        <w:tcPr>
          <w:tcW w:w="6634" w:type="dxa"/>
          <w:tcBorders>
            <w:top w:val="single" w:sz="6" w:space="0" w:color="auto"/>
          </w:tcBorders>
        </w:tcPr>
        <w:p w14:paraId="569FDAC2" w14:textId="77777777" w:rsidR="000F2792" w:rsidRDefault="000F2792" w:rsidP="00E669E2">
          <w:pPr>
            <w:pStyle w:val="HeaderOdd"/>
          </w:pPr>
        </w:p>
      </w:tc>
      <w:tc>
        <w:tcPr>
          <w:tcW w:w="2155" w:type="dxa"/>
          <w:tcBorders>
            <w:top w:val="single" w:sz="24" w:space="0" w:color="auto"/>
          </w:tcBorders>
        </w:tcPr>
        <w:p w14:paraId="569FDAC3" w14:textId="77777777" w:rsidR="000F2792" w:rsidRDefault="000F2792" w:rsidP="00E669E2">
          <w:pPr>
            <w:pStyle w:val="HeaderOdd"/>
          </w:pPr>
        </w:p>
      </w:tc>
    </w:tr>
  </w:tbl>
  <w:p w14:paraId="569FDAC5" w14:textId="77777777" w:rsidR="000F2792" w:rsidRDefault="000F2792"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F2792" w14:paraId="569FDAF2" w14:textId="77777777">
      <w:tc>
        <w:tcPr>
          <w:tcW w:w="2155" w:type="dxa"/>
          <w:tcBorders>
            <w:top w:val="single" w:sz="24" w:space="0" w:color="auto"/>
          </w:tcBorders>
        </w:tcPr>
        <w:p w14:paraId="569FDAF0" w14:textId="77777777" w:rsidR="000F2792" w:rsidRDefault="000F2792" w:rsidP="0019293B">
          <w:pPr>
            <w:pStyle w:val="HeaderEven"/>
          </w:pPr>
        </w:p>
      </w:tc>
      <w:tc>
        <w:tcPr>
          <w:tcW w:w="6634" w:type="dxa"/>
          <w:tcBorders>
            <w:top w:val="single" w:sz="6" w:space="0" w:color="auto"/>
          </w:tcBorders>
        </w:tcPr>
        <w:p w14:paraId="569FDAF1" w14:textId="77777777" w:rsidR="000F2792" w:rsidRDefault="000F2792" w:rsidP="0019293B">
          <w:pPr>
            <w:pStyle w:val="HeaderEven"/>
          </w:pPr>
        </w:p>
      </w:tc>
    </w:tr>
  </w:tbl>
  <w:p w14:paraId="569FDAF3" w14:textId="77777777" w:rsidR="000F2792" w:rsidRDefault="000F2792"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F2792" w14:paraId="569FDAF6" w14:textId="77777777">
      <w:tc>
        <w:tcPr>
          <w:tcW w:w="6634" w:type="dxa"/>
          <w:tcBorders>
            <w:top w:val="single" w:sz="6" w:space="0" w:color="auto"/>
          </w:tcBorders>
        </w:tcPr>
        <w:p w14:paraId="569FDAF4" w14:textId="77777777" w:rsidR="000F2792" w:rsidRDefault="000F2792" w:rsidP="00E669E2">
          <w:pPr>
            <w:pStyle w:val="HeaderOdd"/>
          </w:pPr>
        </w:p>
      </w:tc>
      <w:tc>
        <w:tcPr>
          <w:tcW w:w="2155" w:type="dxa"/>
          <w:tcBorders>
            <w:top w:val="single" w:sz="24" w:space="0" w:color="auto"/>
          </w:tcBorders>
        </w:tcPr>
        <w:p w14:paraId="569FDAF5" w14:textId="77777777" w:rsidR="000F2792" w:rsidRDefault="000F2792" w:rsidP="00E669E2">
          <w:pPr>
            <w:pStyle w:val="HeaderOdd"/>
          </w:pPr>
        </w:p>
      </w:tc>
    </w:tr>
  </w:tbl>
  <w:p w14:paraId="569FDAF7" w14:textId="77777777" w:rsidR="000F2792" w:rsidRDefault="000F2792"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FDB02" w14:textId="77777777" w:rsidR="000F2792" w:rsidRDefault="000F2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12419"/>
    <w:multiLevelType w:val="hybridMultilevel"/>
    <w:tmpl w:val="3AA07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526BF8"/>
    <w:multiLevelType w:val="hybridMultilevel"/>
    <w:tmpl w:val="755A9E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15:restartNumberingAfterBreak="0">
    <w:nsid w:val="29E334A1"/>
    <w:multiLevelType w:val="hybridMultilevel"/>
    <w:tmpl w:val="C7D02B4A"/>
    <w:lvl w:ilvl="0" w:tplc="CD886BB6">
      <w:start w:val="20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33A03365"/>
    <w:multiLevelType w:val="hybridMultilevel"/>
    <w:tmpl w:val="CDF85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B21E39"/>
    <w:multiLevelType w:val="singleLevel"/>
    <w:tmpl w:val="8B76A498"/>
    <w:name w:val="StandardNumberedParagraphList"/>
    <w:lvl w:ilvl="0">
      <w:start w:val="2"/>
      <w:numFmt w:val="decimal"/>
      <w:pStyle w:val="NumberedParagraph"/>
      <w:lvlText w:val="%1."/>
      <w:lvlJc w:val="left"/>
      <w:pPr>
        <w:tabs>
          <w:tab w:val="num" w:pos="567"/>
        </w:tabs>
        <w:ind w:left="0" w:firstLine="0"/>
      </w:pPr>
    </w:lvl>
  </w:abstractNum>
  <w:abstractNum w:abstractNumId="18" w15:restartNumberingAfterBreak="0">
    <w:nsid w:val="3D7042E1"/>
    <w:multiLevelType w:val="hybridMultilevel"/>
    <w:tmpl w:val="87925C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951A7F"/>
    <w:multiLevelType w:val="hybridMultilevel"/>
    <w:tmpl w:val="7C86BA4C"/>
    <w:lvl w:ilvl="0" w:tplc="B232A4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2"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3"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4"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7" w15:restartNumberingAfterBreak="0">
    <w:nsid w:val="6BAE40BA"/>
    <w:multiLevelType w:val="hybridMultilevel"/>
    <w:tmpl w:val="9F74BF02"/>
    <w:lvl w:ilvl="0" w:tplc="4438961C">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9"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3"/>
  </w:num>
  <w:num w:numId="3">
    <w:abstractNumId w:val="21"/>
  </w:num>
  <w:num w:numId="4">
    <w:abstractNumId w:val="5"/>
  </w:num>
  <w:num w:numId="5">
    <w:abstractNumId w:val="26"/>
  </w:num>
  <w:num w:numId="6">
    <w:abstractNumId w:val="23"/>
  </w:num>
  <w:num w:numId="7">
    <w:abstractNumId w:val="9"/>
  </w:num>
  <w:num w:numId="8">
    <w:abstractNumId w:val="22"/>
  </w:num>
  <w:num w:numId="9">
    <w:abstractNumId w:val="8"/>
  </w:num>
  <w:num w:numId="10">
    <w:abstractNumId w:val="7"/>
  </w:num>
  <w:num w:numId="11">
    <w:abstractNumId w:val="12"/>
  </w:num>
  <w:num w:numId="12">
    <w:abstractNumId w:val="14"/>
  </w:num>
  <w:num w:numId="13">
    <w:abstractNumId w:val="6"/>
  </w:num>
  <w:num w:numId="14">
    <w:abstractNumId w:val="24"/>
  </w:num>
  <w:num w:numId="15">
    <w:abstractNumId w:val="28"/>
  </w:num>
  <w:num w:numId="16">
    <w:abstractNumId w:val="20"/>
  </w:num>
  <w:num w:numId="17">
    <w:abstractNumId w:val="29"/>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5"/>
  </w:num>
  <w:num w:numId="21">
    <w:abstractNumId w:val="10"/>
  </w:num>
  <w:num w:numId="22">
    <w:abstractNumId w:val="1"/>
  </w:num>
  <w:num w:numId="23">
    <w:abstractNumId w:val="4"/>
  </w:num>
  <w:num w:numId="24">
    <w:abstractNumId w:val="27"/>
  </w:num>
  <w:num w:numId="25">
    <w:abstractNumId w:val="21"/>
  </w:num>
  <w:num w:numId="26">
    <w:abstractNumId w:val="21"/>
  </w:num>
  <w:num w:numId="27">
    <w:abstractNumId w:val="17"/>
  </w:num>
  <w:num w:numId="28">
    <w:abstractNumId w:val="21"/>
  </w:num>
  <w:num w:numId="29">
    <w:abstractNumId w:val="21"/>
  </w:num>
  <w:num w:numId="30">
    <w:abstractNumId w:val="21"/>
  </w:num>
  <w:num w:numId="31">
    <w:abstractNumId w:val="20"/>
  </w:num>
  <w:num w:numId="32">
    <w:abstractNumId w:val="20"/>
  </w:num>
  <w:num w:numId="33">
    <w:abstractNumId w:val="20"/>
  </w:num>
  <w:num w:numId="34">
    <w:abstractNumId w:val="20"/>
  </w:num>
  <w:num w:numId="35">
    <w:abstractNumId w:val="21"/>
  </w:num>
  <w:num w:numId="36">
    <w:abstractNumId w:val="21"/>
  </w:num>
  <w:num w:numId="37">
    <w:abstractNumId w:val="20"/>
  </w:num>
  <w:num w:numId="38">
    <w:abstractNumId w:val="20"/>
  </w:num>
  <w:num w:numId="39">
    <w:abstractNumId w:val="20"/>
  </w:num>
  <w:num w:numId="40">
    <w:abstractNumId w:val="20"/>
  </w:num>
  <w:num w:numId="41">
    <w:abstractNumId w:val="13"/>
  </w:num>
  <w:num w:numId="42">
    <w:abstractNumId w:val="19"/>
  </w:num>
  <w:num w:numId="43">
    <w:abstractNumId w:val="18"/>
  </w:num>
  <w:num w:numId="44">
    <w:abstractNumId w:val="21"/>
  </w:num>
  <w:num w:numId="45">
    <w:abstractNumId w:val="20"/>
  </w:num>
  <w:num w:numId="46">
    <w:abstractNumId w:val="20"/>
  </w:num>
  <w:num w:numId="47">
    <w:abstractNumId w:val="20"/>
  </w:num>
  <w:num w:numId="48">
    <w:abstractNumId w:val="20"/>
  </w:num>
  <w:num w:numId="49">
    <w:abstractNumId w:val="11"/>
  </w:num>
  <w:num w:numId="5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removePersonalInformation/>
  <w:removeDateAndTime/>
  <w:mirrorMargins/>
  <w:activeWritingStyle w:appName="MSWord" w:lang="en-AU" w:vendorID="64" w:dllVersion="131078" w:nlCheck="1" w:checkStyle="0"/>
  <w:activeWritingStyle w:appName="MSWord" w:lang="en-US" w:vendorID="64" w:dllVersion="131078" w:nlCheck="1" w:checkStyle="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B378D3"/>
    <w:rsid w:val="00000685"/>
    <w:rsid w:val="00000D0C"/>
    <w:rsid w:val="00000DAC"/>
    <w:rsid w:val="00001429"/>
    <w:rsid w:val="000023A0"/>
    <w:rsid w:val="00002528"/>
    <w:rsid w:val="00003389"/>
    <w:rsid w:val="000038E7"/>
    <w:rsid w:val="00003957"/>
    <w:rsid w:val="00003FF8"/>
    <w:rsid w:val="00004432"/>
    <w:rsid w:val="00005567"/>
    <w:rsid w:val="00006DEC"/>
    <w:rsid w:val="000070D2"/>
    <w:rsid w:val="00010071"/>
    <w:rsid w:val="00010D45"/>
    <w:rsid w:val="00014129"/>
    <w:rsid w:val="000144C5"/>
    <w:rsid w:val="000161DD"/>
    <w:rsid w:val="00020AB7"/>
    <w:rsid w:val="00021022"/>
    <w:rsid w:val="00021720"/>
    <w:rsid w:val="000227D5"/>
    <w:rsid w:val="00022D89"/>
    <w:rsid w:val="000245AA"/>
    <w:rsid w:val="000246CA"/>
    <w:rsid w:val="0002512C"/>
    <w:rsid w:val="00026220"/>
    <w:rsid w:val="00027861"/>
    <w:rsid w:val="00027A73"/>
    <w:rsid w:val="00030C59"/>
    <w:rsid w:val="00030DB1"/>
    <w:rsid w:val="00031ABD"/>
    <w:rsid w:val="00034356"/>
    <w:rsid w:val="000343F2"/>
    <w:rsid w:val="0003664B"/>
    <w:rsid w:val="000370E4"/>
    <w:rsid w:val="000405B7"/>
    <w:rsid w:val="0004111F"/>
    <w:rsid w:val="00041BA0"/>
    <w:rsid w:val="0004238F"/>
    <w:rsid w:val="000429BB"/>
    <w:rsid w:val="00042C7F"/>
    <w:rsid w:val="0004319A"/>
    <w:rsid w:val="000473E1"/>
    <w:rsid w:val="0004757D"/>
    <w:rsid w:val="00047902"/>
    <w:rsid w:val="00047F34"/>
    <w:rsid w:val="000500DB"/>
    <w:rsid w:val="00051669"/>
    <w:rsid w:val="000517FC"/>
    <w:rsid w:val="00052615"/>
    <w:rsid w:val="0005358E"/>
    <w:rsid w:val="0005424B"/>
    <w:rsid w:val="00054621"/>
    <w:rsid w:val="00054F0F"/>
    <w:rsid w:val="00055077"/>
    <w:rsid w:val="00055190"/>
    <w:rsid w:val="000555F0"/>
    <w:rsid w:val="000565B3"/>
    <w:rsid w:val="00056C0F"/>
    <w:rsid w:val="000632F2"/>
    <w:rsid w:val="00064969"/>
    <w:rsid w:val="00065148"/>
    <w:rsid w:val="0006580F"/>
    <w:rsid w:val="000659B4"/>
    <w:rsid w:val="00065B1B"/>
    <w:rsid w:val="00066CEA"/>
    <w:rsid w:val="0006750B"/>
    <w:rsid w:val="00070663"/>
    <w:rsid w:val="0007068A"/>
    <w:rsid w:val="0007150B"/>
    <w:rsid w:val="000715DB"/>
    <w:rsid w:val="000719AB"/>
    <w:rsid w:val="00071EF6"/>
    <w:rsid w:val="00072263"/>
    <w:rsid w:val="00073102"/>
    <w:rsid w:val="00076B2C"/>
    <w:rsid w:val="00076D03"/>
    <w:rsid w:val="00077220"/>
    <w:rsid w:val="00077362"/>
    <w:rsid w:val="000801D1"/>
    <w:rsid w:val="00080643"/>
    <w:rsid w:val="00081353"/>
    <w:rsid w:val="000814CB"/>
    <w:rsid w:val="000814EE"/>
    <w:rsid w:val="000816ED"/>
    <w:rsid w:val="00081FA5"/>
    <w:rsid w:val="0008259D"/>
    <w:rsid w:val="00083A52"/>
    <w:rsid w:val="00083B58"/>
    <w:rsid w:val="00083BD5"/>
    <w:rsid w:val="000843E0"/>
    <w:rsid w:val="00086B72"/>
    <w:rsid w:val="000876EE"/>
    <w:rsid w:val="00087D9B"/>
    <w:rsid w:val="000900D9"/>
    <w:rsid w:val="000904C4"/>
    <w:rsid w:val="00090753"/>
    <w:rsid w:val="000917F8"/>
    <w:rsid w:val="000920C0"/>
    <w:rsid w:val="0009290C"/>
    <w:rsid w:val="00092DAB"/>
    <w:rsid w:val="000938F5"/>
    <w:rsid w:val="00095354"/>
    <w:rsid w:val="00095663"/>
    <w:rsid w:val="00095A36"/>
    <w:rsid w:val="0009674B"/>
    <w:rsid w:val="00096A0D"/>
    <w:rsid w:val="00096A6C"/>
    <w:rsid w:val="00096E55"/>
    <w:rsid w:val="00096FF7"/>
    <w:rsid w:val="00097073"/>
    <w:rsid w:val="0009717E"/>
    <w:rsid w:val="0009783E"/>
    <w:rsid w:val="000978F9"/>
    <w:rsid w:val="000A1081"/>
    <w:rsid w:val="000A15FD"/>
    <w:rsid w:val="000A189B"/>
    <w:rsid w:val="000A25D0"/>
    <w:rsid w:val="000A3F22"/>
    <w:rsid w:val="000A44C0"/>
    <w:rsid w:val="000A489D"/>
    <w:rsid w:val="000A521D"/>
    <w:rsid w:val="000A543B"/>
    <w:rsid w:val="000A6E71"/>
    <w:rsid w:val="000B0790"/>
    <w:rsid w:val="000B0C14"/>
    <w:rsid w:val="000B0C7C"/>
    <w:rsid w:val="000B0CEC"/>
    <w:rsid w:val="000B1022"/>
    <w:rsid w:val="000B189D"/>
    <w:rsid w:val="000B20CB"/>
    <w:rsid w:val="000B2734"/>
    <w:rsid w:val="000B2DD6"/>
    <w:rsid w:val="000B3407"/>
    <w:rsid w:val="000B37C6"/>
    <w:rsid w:val="000B3D93"/>
    <w:rsid w:val="000B4DA0"/>
    <w:rsid w:val="000B5D41"/>
    <w:rsid w:val="000B601B"/>
    <w:rsid w:val="000B67AD"/>
    <w:rsid w:val="000C01D2"/>
    <w:rsid w:val="000C15CF"/>
    <w:rsid w:val="000C207E"/>
    <w:rsid w:val="000C2873"/>
    <w:rsid w:val="000C4E5A"/>
    <w:rsid w:val="000C5422"/>
    <w:rsid w:val="000C5A4B"/>
    <w:rsid w:val="000D1713"/>
    <w:rsid w:val="000D1E47"/>
    <w:rsid w:val="000D26DE"/>
    <w:rsid w:val="000D3ABB"/>
    <w:rsid w:val="000D41E9"/>
    <w:rsid w:val="000D450F"/>
    <w:rsid w:val="000D4F87"/>
    <w:rsid w:val="000D6A3D"/>
    <w:rsid w:val="000D6BD8"/>
    <w:rsid w:val="000D791D"/>
    <w:rsid w:val="000E0ADD"/>
    <w:rsid w:val="000E2037"/>
    <w:rsid w:val="000E2559"/>
    <w:rsid w:val="000E3228"/>
    <w:rsid w:val="000E3C6B"/>
    <w:rsid w:val="000E5677"/>
    <w:rsid w:val="000E6548"/>
    <w:rsid w:val="000F0035"/>
    <w:rsid w:val="000F04E7"/>
    <w:rsid w:val="000F060A"/>
    <w:rsid w:val="000F1095"/>
    <w:rsid w:val="000F186B"/>
    <w:rsid w:val="000F2024"/>
    <w:rsid w:val="000F2421"/>
    <w:rsid w:val="000F2453"/>
    <w:rsid w:val="000F254D"/>
    <w:rsid w:val="000F2792"/>
    <w:rsid w:val="000F2939"/>
    <w:rsid w:val="000F35CD"/>
    <w:rsid w:val="000F3845"/>
    <w:rsid w:val="000F3FBC"/>
    <w:rsid w:val="000F420B"/>
    <w:rsid w:val="000F5362"/>
    <w:rsid w:val="000F539C"/>
    <w:rsid w:val="000F6061"/>
    <w:rsid w:val="000F6315"/>
    <w:rsid w:val="000F7943"/>
    <w:rsid w:val="00101473"/>
    <w:rsid w:val="00101D48"/>
    <w:rsid w:val="00102338"/>
    <w:rsid w:val="00102E9F"/>
    <w:rsid w:val="00105315"/>
    <w:rsid w:val="0010579E"/>
    <w:rsid w:val="00110116"/>
    <w:rsid w:val="00110574"/>
    <w:rsid w:val="00110B54"/>
    <w:rsid w:val="001112A5"/>
    <w:rsid w:val="0011298C"/>
    <w:rsid w:val="00113324"/>
    <w:rsid w:val="00113464"/>
    <w:rsid w:val="001134EA"/>
    <w:rsid w:val="001141F3"/>
    <w:rsid w:val="0011539D"/>
    <w:rsid w:val="00115EB9"/>
    <w:rsid w:val="001160EE"/>
    <w:rsid w:val="001162C5"/>
    <w:rsid w:val="001163B4"/>
    <w:rsid w:val="00116FEB"/>
    <w:rsid w:val="00117678"/>
    <w:rsid w:val="00117B5A"/>
    <w:rsid w:val="00117DD6"/>
    <w:rsid w:val="00120072"/>
    <w:rsid w:val="00120735"/>
    <w:rsid w:val="00120880"/>
    <w:rsid w:val="00120AC0"/>
    <w:rsid w:val="0012173C"/>
    <w:rsid w:val="00121F15"/>
    <w:rsid w:val="001223A5"/>
    <w:rsid w:val="00122F08"/>
    <w:rsid w:val="00124DC2"/>
    <w:rsid w:val="001252CB"/>
    <w:rsid w:val="00125EA0"/>
    <w:rsid w:val="001260DA"/>
    <w:rsid w:val="00126170"/>
    <w:rsid w:val="00126EB8"/>
    <w:rsid w:val="00127066"/>
    <w:rsid w:val="00127482"/>
    <w:rsid w:val="001274D4"/>
    <w:rsid w:val="001303FB"/>
    <w:rsid w:val="00131071"/>
    <w:rsid w:val="001311CB"/>
    <w:rsid w:val="001314C7"/>
    <w:rsid w:val="001317BB"/>
    <w:rsid w:val="00131F22"/>
    <w:rsid w:val="00132AFF"/>
    <w:rsid w:val="00132CC5"/>
    <w:rsid w:val="00133170"/>
    <w:rsid w:val="0013348C"/>
    <w:rsid w:val="00134559"/>
    <w:rsid w:val="00134C53"/>
    <w:rsid w:val="00135C81"/>
    <w:rsid w:val="001363AA"/>
    <w:rsid w:val="0013697C"/>
    <w:rsid w:val="0013739A"/>
    <w:rsid w:val="00140AAC"/>
    <w:rsid w:val="00140E1C"/>
    <w:rsid w:val="00140E5F"/>
    <w:rsid w:val="00141140"/>
    <w:rsid w:val="00142165"/>
    <w:rsid w:val="0014221B"/>
    <w:rsid w:val="001427AC"/>
    <w:rsid w:val="001431C3"/>
    <w:rsid w:val="001432E8"/>
    <w:rsid w:val="00143930"/>
    <w:rsid w:val="001470A5"/>
    <w:rsid w:val="00147646"/>
    <w:rsid w:val="00147C16"/>
    <w:rsid w:val="00147F39"/>
    <w:rsid w:val="0015120E"/>
    <w:rsid w:val="00151D3D"/>
    <w:rsid w:val="00154996"/>
    <w:rsid w:val="00156980"/>
    <w:rsid w:val="00156F66"/>
    <w:rsid w:val="001577BC"/>
    <w:rsid w:val="00157A32"/>
    <w:rsid w:val="00162221"/>
    <w:rsid w:val="00162434"/>
    <w:rsid w:val="001632ED"/>
    <w:rsid w:val="00164364"/>
    <w:rsid w:val="00164AC7"/>
    <w:rsid w:val="0016622D"/>
    <w:rsid w:val="00166BF4"/>
    <w:rsid w:val="00167190"/>
    <w:rsid w:val="00167A8C"/>
    <w:rsid w:val="00170365"/>
    <w:rsid w:val="001710E1"/>
    <w:rsid w:val="0017167F"/>
    <w:rsid w:val="00173C56"/>
    <w:rsid w:val="00174C25"/>
    <w:rsid w:val="00176FCD"/>
    <w:rsid w:val="001805A1"/>
    <w:rsid w:val="00180F54"/>
    <w:rsid w:val="00182E93"/>
    <w:rsid w:val="00183E82"/>
    <w:rsid w:val="00184734"/>
    <w:rsid w:val="00184988"/>
    <w:rsid w:val="00185261"/>
    <w:rsid w:val="0018559C"/>
    <w:rsid w:val="001878BB"/>
    <w:rsid w:val="00187ACC"/>
    <w:rsid w:val="001900F9"/>
    <w:rsid w:val="00190458"/>
    <w:rsid w:val="00190528"/>
    <w:rsid w:val="00190BB5"/>
    <w:rsid w:val="0019132B"/>
    <w:rsid w:val="001913C3"/>
    <w:rsid w:val="001915A7"/>
    <w:rsid w:val="00191AE0"/>
    <w:rsid w:val="00192167"/>
    <w:rsid w:val="0019293B"/>
    <w:rsid w:val="00193FD3"/>
    <w:rsid w:val="0019426B"/>
    <w:rsid w:val="00196CC7"/>
    <w:rsid w:val="00197B14"/>
    <w:rsid w:val="00197DFA"/>
    <w:rsid w:val="001A0C2B"/>
    <w:rsid w:val="001A19D8"/>
    <w:rsid w:val="001A1B8D"/>
    <w:rsid w:val="001A2458"/>
    <w:rsid w:val="001A3A98"/>
    <w:rsid w:val="001A3C9C"/>
    <w:rsid w:val="001A49EC"/>
    <w:rsid w:val="001A4BD8"/>
    <w:rsid w:val="001A5118"/>
    <w:rsid w:val="001A5697"/>
    <w:rsid w:val="001A5923"/>
    <w:rsid w:val="001A59AA"/>
    <w:rsid w:val="001A6350"/>
    <w:rsid w:val="001A6A4B"/>
    <w:rsid w:val="001A7E8F"/>
    <w:rsid w:val="001B0476"/>
    <w:rsid w:val="001B1DD1"/>
    <w:rsid w:val="001B2A80"/>
    <w:rsid w:val="001B33B7"/>
    <w:rsid w:val="001B34BE"/>
    <w:rsid w:val="001B41DC"/>
    <w:rsid w:val="001B4493"/>
    <w:rsid w:val="001B4BB9"/>
    <w:rsid w:val="001B4C9D"/>
    <w:rsid w:val="001B4EFF"/>
    <w:rsid w:val="001B5124"/>
    <w:rsid w:val="001B72D8"/>
    <w:rsid w:val="001C0865"/>
    <w:rsid w:val="001C0921"/>
    <w:rsid w:val="001C0AED"/>
    <w:rsid w:val="001C2E97"/>
    <w:rsid w:val="001C3207"/>
    <w:rsid w:val="001C3388"/>
    <w:rsid w:val="001C3984"/>
    <w:rsid w:val="001C3ABA"/>
    <w:rsid w:val="001C3D41"/>
    <w:rsid w:val="001C4078"/>
    <w:rsid w:val="001C4377"/>
    <w:rsid w:val="001C4ECA"/>
    <w:rsid w:val="001C5111"/>
    <w:rsid w:val="001C5614"/>
    <w:rsid w:val="001C59FE"/>
    <w:rsid w:val="001C6CE0"/>
    <w:rsid w:val="001C7B62"/>
    <w:rsid w:val="001D07B7"/>
    <w:rsid w:val="001D107F"/>
    <w:rsid w:val="001D1FCD"/>
    <w:rsid w:val="001D35C7"/>
    <w:rsid w:val="001D3676"/>
    <w:rsid w:val="001D3A52"/>
    <w:rsid w:val="001D439D"/>
    <w:rsid w:val="001D48CE"/>
    <w:rsid w:val="001D4F72"/>
    <w:rsid w:val="001D50E6"/>
    <w:rsid w:val="001D54DC"/>
    <w:rsid w:val="001D7DC1"/>
    <w:rsid w:val="001D7E8F"/>
    <w:rsid w:val="001D7F06"/>
    <w:rsid w:val="001E2A6B"/>
    <w:rsid w:val="001E31F6"/>
    <w:rsid w:val="001E3DB4"/>
    <w:rsid w:val="001E3FF1"/>
    <w:rsid w:val="001E4262"/>
    <w:rsid w:val="001E48DF"/>
    <w:rsid w:val="001E59FD"/>
    <w:rsid w:val="001E7AC8"/>
    <w:rsid w:val="001E7BE8"/>
    <w:rsid w:val="001F0248"/>
    <w:rsid w:val="001F07A7"/>
    <w:rsid w:val="001F09E8"/>
    <w:rsid w:val="001F13C2"/>
    <w:rsid w:val="001F1993"/>
    <w:rsid w:val="001F1F1A"/>
    <w:rsid w:val="001F237C"/>
    <w:rsid w:val="001F2884"/>
    <w:rsid w:val="001F2CB4"/>
    <w:rsid w:val="001F2D81"/>
    <w:rsid w:val="001F31C1"/>
    <w:rsid w:val="001F3831"/>
    <w:rsid w:val="001F3EB3"/>
    <w:rsid w:val="001F4F86"/>
    <w:rsid w:val="001F5C1D"/>
    <w:rsid w:val="001F652C"/>
    <w:rsid w:val="00200D40"/>
    <w:rsid w:val="00202C2C"/>
    <w:rsid w:val="00203050"/>
    <w:rsid w:val="002042A3"/>
    <w:rsid w:val="002044EE"/>
    <w:rsid w:val="00204892"/>
    <w:rsid w:val="00204BED"/>
    <w:rsid w:val="00204F93"/>
    <w:rsid w:val="00206EAC"/>
    <w:rsid w:val="00207882"/>
    <w:rsid w:val="00207EF2"/>
    <w:rsid w:val="00210C45"/>
    <w:rsid w:val="0021107E"/>
    <w:rsid w:val="002115D1"/>
    <w:rsid w:val="002122CA"/>
    <w:rsid w:val="0021242D"/>
    <w:rsid w:val="00212431"/>
    <w:rsid w:val="00212CE6"/>
    <w:rsid w:val="002130F3"/>
    <w:rsid w:val="0021329F"/>
    <w:rsid w:val="002135AB"/>
    <w:rsid w:val="0021395B"/>
    <w:rsid w:val="002144BE"/>
    <w:rsid w:val="002148B6"/>
    <w:rsid w:val="00214BA4"/>
    <w:rsid w:val="00215232"/>
    <w:rsid w:val="00217080"/>
    <w:rsid w:val="0021752A"/>
    <w:rsid w:val="00220042"/>
    <w:rsid w:val="00220359"/>
    <w:rsid w:val="002205F1"/>
    <w:rsid w:val="00220FCB"/>
    <w:rsid w:val="0022450B"/>
    <w:rsid w:val="002245E7"/>
    <w:rsid w:val="0022537F"/>
    <w:rsid w:val="002253C5"/>
    <w:rsid w:val="00226616"/>
    <w:rsid w:val="00226F78"/>
    <w:rsid w:val="00227346"/>
    <w:rsid w:val="00227A40"/>
    <w:rsid w:val="00227DB2"/>
    <w:rsid w:val="002320B8"/>
    <w:rsid w:val="002325DE"/>
    <w:rsid w:val="00232913"/>
    <w:rsid w:val="00232A56"/>
    <w:rsid w:val="00232B90"/>
    <w:rsid w:val="002335A7"/>
    <w:rsid w:val="00233B53"/>
    <w:rsid w:val="00234FF5"/>
    <w:rsid w:val="0023530F"/>
    <w:rsid w:val="002357CD"/>
    <w:rsid w:val="002363AD"/>
    <w:rsid w:val="002366EE"/>
    <w:rsid w:val="00236810"/>
    <w:rsid w:val="0023793F"/>
    <w:rsid w:val="0024150E"/>
    <w:rsid w:val="00242279"/>
    <w:rsid w:val="00242B2D"/>
    <w:rsid w:val="00243711"/>
    <w:rsid w:val="00243997"/>
    <w:rsid w:val="0024516C"/>
    <w:rsid w:val="00245AB1"/>
    <w:rsid w:val="00245C82"/>
    <w:rsid w:val="002461DA"/>
    <w:rsid w:val="00247145"/>
    <w:rsid w:val="00250326"/>
    <w:rsid w:val="0025094B"/>
    <w:rsid w:val="002518AF"/>
    <w:rsid w:val="00253205"/>
    <w:rsid w:val="00254CFB"/>
    <w:rsid w:val="00254D1A"/>
    <w:rsid w:val="00254DBB"/>
    <w:rsid w:val="00254ED3"/>
    <w:rsid w:val="002551BD"/>
    <w:rsid w:val="00255FBC"/>
    <w:rsid w:val="00260D9C"/>
    <w:rsid w:val="002613D4"/>
    <w:rsid w:val="002616E9"/>
    <w:rsid w:val="00261A07"/>
    <w:rsid w:val="00261ACC"/>
    <w:rsid w:val="002623F7"/>
    <w:rsid w:val="00262413"/>
    <w:rsid w:val="002627F1"/>
    <w:rsid w:val="002632EB"/>
    <w:rsid w:val="00263B6C"/>
    <w:rsid w:val="00264C88"/>
    <w:rsid w:val="00264CD6"/>
    <w:rsid w:val="0026556D"/>
    <w:rsid w:val="002663F9"/>
    <w:rsid w:val="002667C4"/>
    <w:rsid w:val="00266A7A"/>
    <w:rsid w:val="00266D04"/>
    <w:rsid w:val="00267D03"/>
    <w:rsid w:val="00267E44"/>
    <w:rsid w:val="00267E87"/>
    <w:rsid w:val="00270934"/>
    <w:rsid w:val="00271E0D"/>
    <w:rsid w:val="00272141"/>
    <w:rsid w:val="002724BA"/>
    <w:rsid w:val="0027343E"/>
    <w:rsid w:val="00273DE5"/>
    <w:rsid w:val="00274C98"/>
    <w:rsid w:val="00277070"/>
    <w:rsid w:val="00281BD2"/>
    <w:rsid w:val="0028292B"/>
    <w:rsid w:val="00283695"/>
    <w:rsid w:val="00283E3F"/>
    <w:rsid w:val="0028466D"/>
    <w:rsid w:val="002850E2"/>
    <w:rsid w:val="002854CA"/>
    <w:rsid w:val="00285DD9"/>
    <w:rsid w:val="00286EB4"/>
    <w:rsid w:val="00287103"/>
    <w:rsid w:val="002873B3"/>
    <w:rsid w:val="002876D2"/>
    <w:rsid w:val="0028786B"/>
    <w:rsid w:val="00290478"/>
    <w:rsid w:val="00290AA4"/>
    <w:rsid w:val="00291A96"/>
    <w:rsid w:val="00291B40"/>
    <w:rsid w:val="0029206A"/>
    <w:rsid w:val="002920A7"/>
    <w:rsid w:val="00292FB9"/>
    <w:rsid w:val="002934B1"/>
    <w:rsid w:val="00294727"/>
    <w:rsid w:val="002954E8"/>
    <w:rsid w:val="00295FDC"/>
    <w:rsid w:val="002968FD"/>
    <w:rsid w:val="00297503"/>
    <w:rsid w:val="002A2493"/>
    <w:rsid w:val="002A2BAD"/>
    <w:rsid w:val="002A3270"/>
    <w:rsid w:val="002A4537"/>
    <w:rsid w:val="002A4971"/>
    <w:rsid w:val="002A4E3F"/>
    <w:rsid w:val="002A4F89"/>
    <w:rsid w:val="002A5A2A"/>
    <w:rsid w:val="002A5F36"/>
    <w:rsid w:val="002A70AE"/>
    <w:rsid w:val="002A7D29"/>
    <w:rsid w:val="002B066A"/>
    <w:rsid w:val="002B06B3"/>
    <w:rsid w:val="002B0D38"/>
    <w:rsid w:val="002B0D71"/>
    <w:rsid w:val="002B2A41"/>
    <w:rsid w:val="002B3E7A"/>
    <w:rsid w:val="002B4008"/>
    <w:rsid w:val="002B44A9"/>
    <w:rsid w:val="002B456F"/>
    <w:rsid w:val="002B492A"/>
    <w:rsid w:val="002B4960"/>
    <w:rsid w:val="002B4AC8"/>
    <w:rsid w:val="002B5EE3"/>
    <w:rsid w:val="002B6847"/>
    <w:rsid w:val="002B6ABD"/>
    <w:rsid w:val="002B6C96"/>
    <w:rsid w:val="002C028A"/>
    <w:rsid w:val="002C07C7"/>
    <w:rsid w:val="002C1253"/>
    <w:rsid w:val="002C1F95"/>
    <w:rsid w:val="002C363A"/>
    <w:rsid w:val="002C39BE"/>
    <w:rsid w:val="002C3EF6"/>
    <w:rsid w:val="002C42FC"/>
    <w:rsid w:val="002C439F"/>
    <w:rsid w:val="002C5727"/>
    <w:rsid w:val="002C5A8C"/>
    <w:rsid w:val="002C5C99"/>
    <w:rsid w:val="002C5D02"/>
    <w:rsid w:val="002C6BBC"/>
    <w:rsid w:val="002C7C80"/>
    <w:rsid w:val="002D00B8"/>
    <w:rsid w:val="002D0871"/>
    <w:rsid w:val="002D08CB"/>
    <w:rsid w:val="002D0B13"/>
    <w:rsid w:val="002D0C42"/>
    <w:rsid w:val="002D0D07"/>
    <w:rsid w:val="002D0E8E"/>
    <w:rsid w:val="002D142C"/>
    <w:rsid w:val="002D1819"/>
    <w:rsid w:val="002D1F0C"/>
    <w:rsid w:val="002D2708"/>
    <w:rsid w:val="002D2B2D"/>
    <w:rsid w:val="002D42A0"/>
    <w:rsid w:val="002D613B"/>
    <w:rsid w:val="002D618D"/>
    <w:rsid w:val="002D7F20"/>
    <w:rsid w:val="002E1857"/>
    <w:rsid w:val="002E30BD"/>
    <w:rsid w:val="002E4A80"/>
    <w:rsid w:val="002E6CDB"/>
    <w:rsid w:val="002E7468"/>
    <w:rsid w:val="002E7A59"/>
    <w:rsid w:val="002E7AEC"/>
    <w:rsid w:val="002F20D1"/>
    <w:rsid w:val="002F2633"/>
    <w:rsid w:val="002F26E4"/>
    <w:rsid w:val="002F32F4"/>
    <w:rsid w:val="002F450F"/>
    <w:rsid w:val="002F4BEB"/>
    <w:rsid w:val="002F599C"/>
    <w:rsid w:val="002F5E89"/>
    <w:rsid w:val="002F602A"/>
    <w:rsid w:val="002F7FAD"/>
    <w:rsid w:val="00300261"/>
    <w:rsid w:val="00301098"/>
    <w:rsid w:val="00301189"/>
    <w:rsid w:val="0030160C"/>
    <w:rsid w:val="0030173D"/>
    <w:rsid w:val="0030179C"/>
    <w:rsid w:val="00301E4A"/>
    <w:rsid w:val="00302549"/>
    <w:rsid w:val="003033BE"/>
    <w:rsid w:val="00304316"/>
    <w:rsid w:val="0030435F"/>
    <w:rsid w:val="00304369"/>
    <w:rsid w:val="00304874"/>
    <w:rsid w:val="003060DB"/>
    <w:rsid w:val="00307955"/>
    <w:rsid w:val="0031193D"/>
    <w:rsid w:val="003121AF"/>
    <w:rsid w:val="00314093"/>
    <w:rsid w:val="003154FC"/>
    <w:rsid w:val="003158E6"/>
    <w:rsid w:val="003168B8"/>
    <w:rsid w:val="00316917"/>
    <w:rsid w:val="00317146"/>
    <w:rsid w:val="003178B5"/>
    <w:rsid w:val="00317D39"/>
    <w:rsid w:val="00317EF9"/>
    <w:rsid w:val="003200FF"/>
    <w:rsid w:val="00321AF4"/>
    <w:rsid w:val="0032245D"/>
    <w:rsid w:val="0032297C"/>
    <w:rsid w:val="00322D64"/>
    <w:rsid w:val="00323232"/>
    <w:rsid w:val="003232C1"/>
    <w:rsid w:val="00323372"/>
    <w:rsid w:val="00323E09"/>
    <w:rsid w:val="003248FC"/>
    <w:rsid w:val="00325D0F"/>
    <w:rsid w:val="003270D1"/>
    <w:rsid w:val="00327C61"/>
    <w:rsid w:val="00330645"/>
    <w:rsid w:val="003307AE"/>
    <w:rsid w:val="003310B1"/>
    <w:rsid w:val="00331F4B"/>
    <w:rsid w:val="003322C3"/>
    <w:rsid w:val="00333932"/>
    <w:rsid w:val="003347A5"/>
    <w:rsid w:val="00335A64"/>
    <w:rsid w:val="00335E53"/>
    <w:rsid w:val="00336B17"/>
    <w:rsid w:val="00337EBF"/>
    <w:rsid w:val="003407D8"/>
    <w:rsid w:val="00340DF1"/>
    <w:rsid w:val="0034345D"/>
    <w:rsid w:val="00343703"/>
    <w:rsid w:val="00343892"/>
    <w:rsid w:val="00344E88"/>
    <w:rsid w:val="003454EC"/>
    <w:rsid w:val="00345762"/>
    <w:rsid w:val="00346048"/>
    <w:rsid w:val="0035107A"/>
    <w:rsid w:val="003512A5"/>
    <w:rsid w:val="00351489"/>
    <w:rsid w:val="003518AA"/>
    <w:rsid w:val="00351FB0"/>
    <w:rsid w:val="00352165"/>
    <w:rsid w:val="00352AD4"/>
    <w:rsid w:val="00353182"/>
    <w:rsid w:val="003541EE"/>
    <w:rsid w:val="00354726"/>
    <w:rsid w:val="0035474E"/>
    <w:rsid w:val="003549D9"/>
    <w:rsid w:val="00354C88"/>
    <w:rsid w:val="00354CB9"/>
    <w:rsid w:val="0035642D"/>
    <w:rsid w:val="003565D9"/>
    <w:rsid w:val="00357376"/>
    <w:rsid w:val="003575BA"/>
    <w:rsid w:val="00357C52"/>
    <w:rsid w:val="00357E69"/>
    <w:rsid w:val="003602E1"/>
    <w:rsid w:val="0036131F"/>
    <w:rsid w:val="0036193B"/>
    <w:rsid w:val="00361B54"/>
    <w:rsid w:val="00361F66"/>
    <w:rsid w:val="0036206A"/>
    <w:rsid w:val="0036252A"/>
    <w:rsid w:val="0036512C"/>
    <w:rsid w:val="00365EB3"/>
    <w:rsid w:val="00366B0B"/>
    <w:rsid w:val="003670A8"/>
    <w:rsid w:val="003677CD"/>
    <w:rsid w:val="00367C40"/>
    <w:rsid w:val="0037026F"/>
    <w:rsid w:val="00370C59"/>
    <w:rsid w:val="00371240"/>
    <w:rsid w:val="0037156C"/>
    <w:rsid w:val="00371B4C"/>
    <w:rsid w:val="00372733"/>
    <w:rsid w:val="00372809"/>
    <w:rsid w:val="00372A6A"/>
    <w:rsid w:val="003730D8"/>
    <w:rsid w:val="00373186"/>
    <w:rsid w:val="00373313"/>
    <w:rsid w:val="003733E3"/>
    <w:rsid w:val="003744EA"/>
    <w:rsid w:val="00374731"/>
    <w:rsid w:val="00375569"/>
    <w:rsid w:val="00375FB1"/>
    <w:rsid w:val="003762AA"/>
    <w:rsid w:val="00376B47"/>
    <w:rsid w:val="00376D60"/>
    <w:rsid w:val="00376E59"/>
    <w:rsid w:val="00377EC1"/>
    <w:rsid w:val="0038007F"/>
    <w:rsid w:val="00380340"/>
    <w:rsid w:val="0038052B"/>
    <w:rsid w:val="0038075B"/>
    <w:rsid w:val="00380A87"/>
    <w:rsid w:val="00380EF3"/>
    <w:rsid w:val="0038335D"/>
    <w:rsid w:val="00383CFB"/>
    <w:rsid w:val="00383DE1"/>
    <w:rsid w:val="00384F27"/>
    <w:rsid w:val="00386592"/>
    <w:rsid w:val="003867CF"/>
    <w:rsid w:val="00387252"/>
    <w:rsid w:val="00387A60"/>
    <w:rsid w:val="00387D3C"/>
    <w:rsid w:val="0039133F"/>
    <w:rsid w:val="003913A7"/>
    <w:rsid w:val="0039151A"/>
    <w:rsid w:val="003919F9"/>
    <w:rsid w:val="00391D9A"/>
    <w:rsid w:val="003920CF"/>
    <w:rsid w:val="003925E6"/>
    <w:rsid w:val="003927F6"/>
    <w:rsid w:val="003934EB"/>
    <w:rsid w:val="003940E9"/>
    <w:rsid w:val="00394E0F"/>
    <w:rsid w:val="00396425"/>
    <w:rsid w:val="003968E9"/>
    <w:rsid w:val="00397CBB"/>
    <w:rsid w:val="003A00A4"/>
    <w:rsid w:val="003A0D07"/>
    <w:rsid w:val="003A0DF7"/>
    <w:rsid w:val="003A1272"/>
    <w:rsid w:val="003A188C"/>
    <w:rsid w:val="003A26DD"/>
    <w:rsid w:val="003A3AD2"/>
    <w:rsid w:val="003A491D"/>
    <w:rsid w:val="003A5611"/>
    <w:rsid w:val="003A7301"/>
    <w:rsid w:val="003B05C4"/>
    <w:rsid w:val="003B0CEF"/>
    <w:rsid w:val="003B13B4"/>
    <w:rsid w:val="003B1781"/>
    <w:rsid w:val="003B23C2"/>
    <w:rsid w:val="003B254E"/>
    <w:rsid w:val="003B25B2"/>
    <w:rsid w:val="003B2EEC"/>
    <w:rsid w:val="003B383D"/>
    <w:rsid w:val="003B3844"/>
    <w:rsid w:val="003B3BC0"/>
    <w:rsid w:val="003B48BA"/>
    <w:rsid w:val="003B50B4"/>
    <w:rsid w:val="003B5B62"/>
    <w:rsid w:val="003B6F65"/>
    <w:rsid w:val="003B7030"/>
    <w:rsid w:val="003B7911"/>
    <w:rsid w:val="003C00BD"/>
    <w:rsid w:val="003C0103"/>
    <w:rsid w:val="003C0913"/>
    <w:rsid w:val="003C16DF"/>
    <w:rsid w:val="003C1A0B"/>
    <w:rsid w:val="003C2074"/>
    <w:rsid w:val="003C236E"/>
    <w:rsid w:val="003C2718"/>
    <w:rsid w:val="003C2A5F"/>
    <w:rsid w:val="003C38B5"/>
    <w:rsid w:val="003C3B03"/>
    <w:rsid w:val="003C3F0B"/>
    <w:rsid w:val="003C5080"/>
    <w:rsid w:val="003C52B2"/>
    <w:rsid w:val="003C5D99"/>
    <w:rsid w:val="003C656F"/>
    <w:rsid w:val="003C6E46"/>
    <w:rsid w:val="003C7CA9"/>
    <w:rsid w:val="003D0112"/>
    <w:rsid w:val="003D03E6"/>
    <w:rsid w:val="003D07B4"/>
    <w:rsid w:val="003D107C"/>
    <w:rsid w:val="003D1087"/>
    <w:rsid w:val="003D1807"/>
    <w:rsid w:val="003D25D0"/>
    <w:rsid w:val="003D2B54"/>
    <w:rsid w:val="003D366B"/>
    <w:rsid w:val="003D383C"/>
    <w:rsid w:val="003D3D50"/>
    <w:rsid w:val="003D3FEB"/>
    <w:rsid w:val="003D485C"/>
    <w:rsid w:val="003D570E"/>
    <w:rsid w:val="003D71F4"/>
    <w:rsid w:val="003D7370"/>
    <w:rsid w:val="003E0203"/>
    <w:rsid w:val="003E0696"/>
    <w:rsid w:val="003E201D"/>
    <w:rsid w:val="003E27B5"/>
    <w:rsid w:val="003E2F59"/>
    <w:rsid w:val="003E32C8"/>
    <w:rsid w:val="003E43C8"/>
    <w:rsid w:val="003E5F75"/>
    <w:rsid w:val="003E746B"/>
    <w:rsid w:val="003E776E"/>
    <w:rsid w:val="003F0789"/>
    <w:rsid w:val="003F0CD8"/>
    <w:rsid w:val="003F1BDF"/>
    <w:rsid w:val="003F1F17"/>
    <w:rsid w:val="003F25AD"/>
    <w:rsid w:val="003F2606"/>
    <w:rsid w:val="003F4A65"/>
    <w:rsid w:val="003F5A1B"/>
    <w:rsid w:val="003F5B57"/>
    <w:rsid w:val="003F6103"/>
    <w:rsid w:val="003F62B8"/>
    <w:rsid w:val="003F7E7F"/>
    <w:rsid w:val="00401882"/>
    <w:rsid w:val="004035C8"/>
    <w:rsid w:val="004036A3"/>
    <w:rsid w:val="00405E10"/>
    <w:rsid w:val="00407542"/>
    <w:rsid w:val="004100C8"/>
    <w:rsid w:val="004105CC"/>
    <w:rsid w:val="00411DBD"/>
    <w:rsid w:val="00412138"/>
    <w:rsid w:val="004122E5"/>
    <w:rsid w:val="00412ACE"/>
    <w:rsid w:val="00412C1D"/>
    <w:rsid w:val="004141B3"/>
    <w:rsid w:val="004145D2"/>
    <w:rsid w:val="00414BDB"/>
    <w:rsid w:val="00414E54"/>
    <w:rsid w:val="00415550"/>
    <w:rsid w:val="004161A1"/>
    <w:rsid w:val="004167CC"/>
    <w:rsid w:val="00416EE8"/>
    <w:rsid w:val="004221FC"/>
    <w:rsid w:val="004228A9"/>
    <w:rsid w:val="004234F6"/>
    <w:rsid w:val="00425128"/>
    <w:rsid w:val="00426062"/>
    <w:rsid w:val="004267F9"/>
    <w:rsid w:val="00426CB4"/>
    <w:rsid w:val="00427783"/>
    <w:rsid w:val="0043013D"/>
    <w:rsid w:val="00430AA7"/>
    <w:rsid w:val="00431249"/>
    <w:rsid w:val="004312AD"/>
    <w:rsid w:val="004312FF"/>
    <w:rsid w:val="00431498"/>
    <w:rsid w:val="004316FD"/>
    <w:rsid w:val="00431E83"/>
    <w:rsid w:val="004320C1"/>
    <w:rsid w:val="004326EE"/>
    <w:rsid w:val="004330BD"/>
    <w:rsid w:val="0043374E"/>
    <w:rsid w:val="0043443D"/>
    <w:rsid w:val="004344C2"/>
    <w:rsid w:val="004345DC"/>
    <w:rsid w:val="00434C19"/>
    <w:rsid w:val="00435313"/>
    <w:rsid w:val="00435B89"/>
    <w:rsid w:val="004367D8"/>
    <w:rsid w:val="004372C4"/>
    <w:rsid w:val="00437C96"/>
    <w:rsid w:val="0044072C"/>
    <w:rsid w:val="0044077B"/>
    <w:rsid w:val="004433C4"/>
    <w:rsid w:val="00443580"/>
    <w:rsid w:val="00443EE0"/>
    <w:rsid w:val="00444F94"/>
    <w:rsid w:val="00445DA1"/>
    <w:rsid w:val="00446056"/>
    <w:rsid w:val="00446596"/>
    <w:rsid w:val="00447194"/>
    <w:rsid w:val="00447778"/>
    <w:rsid w:val="00450154"/>
    <w:rsid w:val="00450708"/>
    <w:rsid w:val="00450810"/>
    <w:rsid w:val="00451FFE"/>
    <w:rsid w:val="0045257A"/>
    <w:rsid w:val="00452BAE"/>
    <w:rsid w:val="004530E1"/>
    <w:rsid w:val="0045412E"/>
    <w:rsid w:val="004541A4"/>
    <w:rsid w:val="00454A82"/>
    <w:rsid w:val="004552C5"/>
    <w:rsid w:val="00455A03"/>
    <w:rsid w:val="00455FF6"/>
    <w:rsid w:val="00456248"/>
    <w:rsid w:val="004565EE"/>
    <w:rsid w:val="0045674B"/>
    <w:rsid w:val="004572AA"/>
    <w:rsid w:val="004601B2"/>
    <w:rsid w:val="004608F6"/>
    <w:rsid w:val="00460F20"/>
    <w:rsid w:val="00461657"/>
    <w:rsid w:val="00461924"/>
    <w:rsid w:val="00461D04"/>
    <w:rsid w:val="00462C59"/>
    <w:rsid w:val="00462F81"/>
    <w:rsid w:val="00463235"/>
    <w:rsid w:val="004632BF"/>
    <w:rsid w:val="00465A5E"/>
    <w:rsid w:val="0047028C"/>
    <w:rsid w:val="00470737"/>
    <w:rsid w:val="00470F67"/>
    <w:rsid w:val="00471B2D"/>
    <w:rsid w:val="00472923"/>
    <w:rsid w:val="00473C86"/>
    <w:rsid w:val="0047463C"/>
    <w:rsid w:val="0047577E"/>
    <w:rsid w:val="00475C77"/>
    <w:rsid w:val="00475D2B"/>
    <w:rsid w:val="00475EB1"/>
    <w:rsid w:val="0047695A"/>
    <w:rsid w:val="00476EAF"/>
    <w:rsid w:val="00477144"/>
    <w:rsid w:val="0047764F"/>
    <w:rsid w:val="00480454"/>
    <w:rsid w:val="004808DD"/>
    <w:rsid w:val="00481089"/>
    <w:rsid w:val="00481AAD"/>
    <w:rsid w:val="00482590"/>
    <w:rsid w:val="0048292B"/>
    <w:rsid w:val="00482F19"/>
    <w:rsid w:val="004836C4"/>
    <w:rsid w:val="00484D60"/>
    <w:rsid w:val="00485816"/>
    <w:rsid w:val="00485DD7"/>
    <w:rsid w:val="00491380"/>
    <w:rsid w:val="00492428"/>
    <w:rsid w:val="00492619"/>
    <w:rsid w:val="00492E9E"/>
    <w:rsid w:val="0049459F"/>
    <w:rsid w:val="00495BD4"/>
    <w:rsid w:val="00495C8B"/>
    <w:rsid w:val="00496414"/>
    <w:rsid w:val="004968A5"/>
    <w:rsid w:val="00497631"/>
    <w:rsid w:val="004A0FD2"/>
    <w:rsid w:val="004A16AA"/>
    <w:rsid w:val="004A1E62"/>
    <w:rsid w:val="004A32C8"/>
    <w:rsid w:val="004A3365"/>
    <w:rsid w:val="004A3753"/>
    <w:rsid w:val="004A38DD"/>
    <w:rsid w:val="004A3CA8"/>
    <w:rsid w:val="004A4A03"/>
    <w:rsid w:val="004A4F35"/>
    <w:rsid w:val="004A5180"/>
    <w:rsid w:val="004A5348"/>
    <w:rsid w:val="004A5C49"/>
    <w:rsid w:val="004A5D67"/>
    <w:rsid w:val="004A6472"/>
    <w:rsid w:val="004A6A65"/>
    <w:rsid w:val="004A6AD9"/>
    <w:rsid w:val="004A6B5E"/>
    <w:rsid w:val="004A7098"/>
    <w:rsid w:val="004B12F8"/>
    <w:rsid w:val="004B1A4D"/>
    <w:rsid w:val="004B25CC"/>
    <w:rsid w:val="004B2D93"/>
    <w:rsid w:val="004B43AE"/>
    <w:rsid w:val="004B4D7E"/>
    <w:rsid w:val="004B4FC7"/>
    <w:rsid w:val="004B54A9"/>
    <w:rsid w:val="004B6A34"/>
    <w:rsid w:val="004C0DCC"/>
    <w:rsid w:val="004C1289"/>
    <w:rsid w:val="004C30ED"/>
    <w:rsid w:val="004C39D7"/>
    <w:rsid w:val="004C4785"/>
    <w:rsid w:val="004C58D1"/>
    <w:rsid w:val="004C5D79"/>
    <w:rsid w:val="004C6379"/>
    <w:rsid w:val="004C65AA"/>
    <w:rsid w:val="004D01E2"/>
    <w:rsid w:val="004D054E"/>
    <w:rsid w:val="004D0A0D"/>
    <w:rsid w:val="004D0F8E"/>
    <w:rsid w:val="004D229A"/>
    <w:rsid w:val="004D290B"/>
    <w:rsid w:val="004D45D8"/>
    <w:rsid w:val="004D4F19"/>
    <w:rsid w:val="004D5675"/>
    <w:rsid w:val="004D5FA8"/>
    <w:rsid w:val="004D620E"/>
    <w:rsid w:val="004D6271"/>
    <w:rsid w:val="004D6C33"/>
    <w:rsid w:val="004D6ECB"/>
    <w:rsid w:val="004D7A99"/>
    <w:rsid w:val="004D7F30"/>
    <w:rsid w:val="004E0291"/>
    <w:rsid w:val="004E0C31"/>
    <w:rsid w:val="004E0F47"/>
    <w:rsid w:val="004E1140"/>
    <w:rsid w:val="004E1884"/>
    <w:rsid w:val="004E1D20"/>
    <w:rsid w:val="004E1F9E"/>
    <w:rsid w:val="004E229A"/>
    <w:rsid w:val="004E25A4"/>
    <w:rsid w:val="004E26D1"/>
    <w:rsid w:val="004E3351"/>
    <w:rsid w:val="004E416E"/>
    <w:rsid w:val="004E5955"/>
    <w:rsid w:val="004E5966"/>
    <w:rsid w:val="004E6656"/>
    <w:rsid w:val="004E76AF"/>
    <w:rsid w:val="004F0118"/>
    <w:rsid w:val="004F1777"/>
    <w:rsid w:val="004F3C85"/>
    <w:rsid w:val="004F3D7C"/>
    <w:rsid w:val="004F4794"/>
    <w:rsid w:val="004F581B"/>
    <w:rsid w:val="004F7141"/>
    <w:rsid w:val="004F7547"/>
    <w:rsid w:val="004F755C"/>
    <w:rsid w:val="004F7765"/>
    <w:rsid w:val="004F7E5A"/>
    <w:rsid w:val="005008D4"/>
    <w:rsid w:val="005023E1"/>
    <w:rsid w:val="00502ACD"/>
    <w:rsid w:val="0050521A"/>
    <w:rsid w:val="005059E4"/>
    <w:rsid w:val="00506BE7"/>
    <w:rsid w:val="0051306E"/>
    <w:rsid w:val="00513B4C"/>
    <w:rsid w:val="00514B32"/>
    <w:rsid w:val="00516485"/>
    <w:rsid w:val="00517795"/>
    <w:rsid w:val="00517CA9"/>
    <w:rsid w:val="00517D61"/>
    <w:rsid w:val="00522905"/>
    <w:rsid w:val="00522C17"/>
    <w:rsid w:val="0052312B"/>
    <w:rsid w:val="00523639"/>
    <w:rsid w:val="00525034"/>
    <w:rsid w:val="0052770E"/>
    <w:rsid w:val="00527B67"/>
    <w:rsid w:val="0053028F"/>
    <w:rsid w:val="00530F1A"/>
    <w:rsid w:val="00530FDE"/>
    <w:rsid w:val="00531541"/>
    <w:rsid w:val="00531FE5"/>
    <w:rsid w:val="0053204C"/>
    <w:rsid w:val="005326D6"/>
    <w:rsid w:val="00532B29"/>
    <w:rsid w:val="005332E3"/>
    <w:rsid w:val="00533653"/>
    <w:rsid w:val="005340AD"/>
    <w:rsid w:val="00534346"/>
    <w:rsid w:val="005348B6"/>
    <w:rsid w:val="00534A5C"/>
    <w:rsid w:val="00535498"/>
    <w:rsid w:val="00536349"/>
    <w:rsid w:val="00536FC7"/>
    <w:rsid w:val="005402FA"/>
    <w:rsid w:val="00541143"/>
    <w:rsid w:val="00541E1A"/>
    <w:rsid w:val="00541F4D"/>
    <w:rsid w:val="00542834"/>
    <w:rsid w:val="00542F04"/>
    <w:rsid w:val="00543C08"/>
    <w:rsid w:val="005443D6"/>
    <w:rsid w:val="00545258"/>
    <w:rsid w:val="00547237"/>
    <w:rsid w:val="005508B6"/>
    <w:rsid w:val="00550BAE"/>
    <w:rsid w:val="00550E15"/>
    <w:rsid w:val="005511E0"/>
    <w:rsid w:val="00551218"/>
    <w:rsid w:val="00553447"/>
    <w:rsid w:val="00553724"/>
    <w:rsid w:val="005546CB"/>
    <w:rsid w:val="005547A8"/>
    <w:rsid w:val="00554F22"/>
    <w:rsid w:val="00555219"/>
    <w:rsid w:val="005555E5"/>
    <w:rsid w:val="00555CCA"/>
    <w:rsid w:val="0055604F"/>
    <w:rsid w:val="0055618C"/>
    <w:rsid w:val="005574EE"/>
    <w:rsid w:val="005607F9"/>
    <w:rsid w:val="00560C79"/>
    <w:rsid w:val="0056124F"/>
    <w:rsid w:val="00561259"/>
    <w:rsid w:val="0056191E"/>
    <w:rsid w:val="005619CE"/>
    <w:rsid w:val="00561A6E"/>
    <w:rsid w:val="0056238C"/>
    <w:rsid w:val="00562D77"/>
    <w:rsid w:val="00567375"/>
    <w:rsid w:val="005674EC"/>
    <w:rsid w:val="00567B70"/>
    <w:rsid w:val="00570ADF"/>
    <w:rsid w:val="00572643"/>
    <w:rsid w:val="005729BD"/>
    <w:rsid w:val="00572B62"/>
    <w:rsid w:val="00573437"/>
    <w:rsid w:val="00573BE3"/>
    <w:rsid w:val="005748BC"/>
    <w:rsid w:val="00576648"/>
    <w:rsid w:val="0057713A"/>
    <w:rsid w:val="00580154"/>
    <w:rsid w:val="0058063E"/>
    <w:rsid w:val="00580BB8"/>
    <w:rsid w:val="00580FAF"/>
    <w:rsid w:val="00582E24"/>
    <w:rsid w:val="00583A90"/>
    <w:rsid w:val="00583C39"/>
    <w:rsid w:val="00584A90"/>
    <w:rsid w:val="00585001"/>
    <w:rsid w:val="005855AF"/>
    <w:rsid w:val="00585787"/>
    <w:rsid w:val="00586A90"/>
    <w:rsid w:val="00586AA2"/>
    <w:rsid w:val="00587597"/>
    <w:rsid w:val="00587F28"/>
    <w:rsid w:val="005909CF"/>
    <w:rsid w:val="00590A10"/>
    <w:rsid w:val="00590AAF"/>
    <w:rsid w:val="00591E71"/>
    <w:rsid w:val="005925B0"/>
    <w:rsid w:val="00592934"/>
    <w:rsid w:val="00592B60"/>
    <w:rsid w:val="00592B67"/>
    <w:rsid w:val="00593883"/>
    <w:rsid w:val="00593B1B"/>
    <w:rsid w:val="00594F7A"/>
    <w:rsid w:val="0059516B"/>
    <w:rsid w:val="0059552E"/>
    <w:rsid w:val="0059680E"/>
    <w:rsid w:val="005970C1"/>
    <w:rsid w:val="005970E8"/>
    <w:rsid w:val="005972CB"/>
    <w:rsid w:val="00597C8C"/>
    <w:rsid w:val="005A0D41"/>
    <w:rsid w:val="005A0F8F"/>
    <w:rsid w:val="005A101F"/>
    <w:rsid w:val="005A1250"/>
    <w:rsid w:val="005A18E4"/>
    <w:rsid w:val="005A1C06"/>
    <w:rsid w:val="005A2578"/>
    <w:rsid w:val="005A3C89"/>
    <w:rsid w:val="005A4D07"/>
    <w:rsid w:val="005A5676"/>
    <w:rsid w:val="005A6455"/>
    <w:rsid w:val="005A73D6"/>
    <w:rsid w:val="005B3D3B"/>
    <w:rsid w:val="005B3DC8"/>
    <w:rsid w:val="005B4C05"/>
    <w:rsid w:val="005B5725"/>
    <w:rsid w:val="005B5C2A"/>
    <w:rsid w:val="005B5FF3"/>
    <w:rsid w:val="005B64AA"/>
    <w:rsid w:val="005B7712"/>
    <w:rsid w:val="005B7E62"/>
    <w:rsid w:val="005C0C54"/>
    <w:rsid w:val="005C1328"/>
    <w:rsid w:val="005C1BB9"/>
    <w:rsid w:val="005C25A1"/>
    <w:rsid w:val="005C297D"/>
    <w:rsid w:val="005C2E36"/>
    <w:rsid w:val="005C4B37"/>
    <w:rsid w:val="005C4DB5"/>
    <w:rsid w:val="005C67FE"/>
    <w:rsid w:val="005C76E7"/>
    <w:rsid w:val="005D0DB0"/>
    <w:rsid w:val="005D198F"/>
    <w:rsid w:val="005D329F"/>
    <w:rsid w:val="005D3964"/>
    <w:rsid w:val="005D45DF"/>
    <w:rsid w:val="005D4B1C"/>
    <w:rsid w:val="005D5F53"/>
    <w:rsid w:val="005D645F"/>
    <w:rsid w:val="005D6F3B"/>
    <w:rsid w:val="005E0B3B"/>
    <w:rsid w:val="005E1FCF"/>
    <w:rsid w:val="005E25E0"/>
    <w:rsid w:val="005E29D8"/>
    <w:rsid w:val="005E345A"/>
    <w:rsid w:val="005E3553"/>
    <w:rsid w:val="005E37CC"/>
    <w:rsid w:val="005E45CB"/>
    <w:rsid w:val="005E49E3"/>
    <w:rsid w:val="005E4AD2"/>
    <w:rsid w:val="005E5289"/>
    <w:rsid w:val="005E52C4"/>
    <w:rsid w:val="005E5565"/>
    <w:rsid w:val="005E5932"/>
    <w:rsid w:val="005E5D81"/>
    <w:rsid w:val="005E6688"/>
    <w:rsid w:val="005E7AC3"/>
    <w:rsid w:val="005F1D8F"/>
    <w:rsid w:val="005F1F8B"/>
    <w:rsid w:val="005F3A80"/>
    <w:rsid w:val="005F42D9"/>
    <w:rsid w:val="005F48ED"/>
    <w:rsid w:val="005F4C34"/>
    <w:rsid w:val="005F4E34"/>
    <w:rsid w:val="005F5421"/>
    <w:rsid w:val="005F5515"/>
    <w:rsid w:val="005F73F7"/>
    <w:rsid w:val="005F76A7"/>
    <w:rsid w:val="00601C2E"/>
    <w:rsid w:val="00602820"/>
    <w:rsid w:val="00603286"/>
    <w:rsid w:val="0060342B"/>
    <w:rsid w:val="006037FF"/>
    <w:rsid w:val="006045FF"/>
    <w:rsid w:val="00606E78"/>
    <w:rsid w:val="00607521"/>
    <w:rsid w:val="00607BF1"/>
    <w:rsid w:val="00607D17"/>
    <w:rsid w:val="00607EB4"/>
    <w:rsid w:val="00610070"/>
    <w:rsid w:val="006106D1"/>
    <w:rsid w:val="00611112"/>
    <w:rsid w:val="00611DAB"/>
    <w:rsid w:val="00611EA0"/>
    <w:rsid w:val="00611EC3"/>
    <w:rsid w:val="00612CD4"/>
    <w:rsid w:val="00613996"/>
    <w:rsid w:val="00613ACF"/>
    <w:rsid w:val="00613F30"/>
    <w:rsid w:val="00613FA1"/>
    <w:rsid w:val="00614465"/>
    <w:rsid w:val="00615AD2"/>
    <w:rsid w:val="00616178"/>
    <w:rsid w:val="00617038"/>
    <w:rsid w:val="00617AEA"/>
    <w:rsid w:val="00621BF0"/>
    <w:rsid w:val="006229D0"/>
    <w:rsid w:val="00622D38"/>
    <w:rsid w:val="00624855"/>
    <w:rsid w:val="00624C16"/>
    <w:rsid w:val="006263E5"/>
    <w:rsid w:val="0062673F"/>
    <w:rsid w:val="00626783"/>
    <w:rsid w:val="00626FE9"/>
    <w:rsid w:val="00630734"/>
    <w:rsid w:val="006309DA"/>
    <w:rsid w:val="00630ABA"/>
    <w:rsid w:val="00630D4D"/>
    <w:rsid w:val="00630FD9"/>
    <w:rsid w:val="0063112E"/>
    <w:rsid w:val="0063130A"/>
    <w:rsid w:val="006319AC"/>
    <w:rsid w:val="00632A74"/>
    <w:rsid w:val="00633CD0"/>
    <w:rsid w:val="0063446B"/>
    <w:rsid w:val="0063493F"/>
    <w:rsid w:val="00634FEC"/>
    <w:rsid w:val="006355B0"/>
    <w:rsid w:val="006359F5"/>
    <w:rsid w:val="00635A9E"/>
    <w:rsid w:val="006368DD"/>
    <w:rsid w:val="00637499"/>
    <w:rsid w:val="00641671"/>
    <w:rsid w:val="00641CD5"/>
    <w:rsid w:val="0064253F"/>
    <w:rsid w:val="00642B44"/>
    <w:rsid w:val="0064350B"/>
    <w:rsid w:val="00643CA1"/>
    <w:rsid w:val="00644660"/>
    <w:rsid w:val="006461C5"/>
    <w:rsid w:val="00646F1C"/>
    <w:rsid w:val="0064717E"/>
    <w:rsid w:val="00650264"/>
    <w:rsid w:val="00650711"/>
    <w:rsid w:val="00650CE7"/>
    <w:rsid w:val="00650E71"/>
    <w:rsid w:val="006512A1"/>
    <w:rsid w:val="006512DB"/>
    <w:rsid w:val="006513CA"/>
    <w:rsid w:val="00651587"/>
    <w:rsid w:val="00651DAA"/>
    <w:rsid w:val="00651F95"/>
    <w:rsid w:val="00652694"/>
    <w:rsid w:val="006548D2"/>
    <w:rsid w:val="00654D42"/>
    <w:rsid w:val="00655006"/>
    <w:rsid w:val="0065503E"/>
    <w:rsid w:val="0065516C"/>
    <w:rsid w:val="006555FE"/>
    <w:rsid w:val="00655D03"/>
    <w:rsid w:val="00656B6F"/>
    <w:rsid w:val="00657223"/>
    <w:rsid w:val="00662191"/>
    <w:rsid w:val="006626EE"/>
    <w:rsid w:val="006631F8"/>
    <w:rsid w:val="00663AE6"/>
    <w:rsid w:val="006648BD"/>
    <w:rsid w:val="00664900"/>
    <w:rsid w:val="00665FB8"/>
    <w:rsid w:val="00666C1B"/>
    <w:rsid w:val="00666E02"/>
    <w:rsid w:val="006672E3"/>
    <w:rsid w:val="006703B3"/>
    <w:rsid w:val="00672AE3"/>
    <w:rsid w:val="00672B2B"/>
    <w:rsid w:val="00672E7D"/>
    <w:rsid w:val="0067306D"/>
    <w:rsid w:val="00673FE3"/>
    <w:rsid w:val="0067526F"/>
    <w:rsid w:val="006761CB"/>
    <w:rsid w:val="00676BFB"/>
    <w:rsid w:val="00676F51"/>
    <w:rsid w:val="006776D4"/>
    <w:rsid w:val="00677C91"/>
    <w:rsid w:val="00684351"/>
    <w:rsid w:val="00685C45"/>
    <w:rsid w:val="006863CB"/>
    <w:rsid w:val="006868A0"/>
    <w:rsid w:val="00691D65"/>
    <w:rsid w:val="00691F78"/>
    <w:rsid w:val="00692546"/>
    <w:rsid w:val="00692BF1"/>
    <w:rsid w:val="00694C0B"/>
    <w:rsid w:val="00696561"/>
    <w:rsid w:val="006968D0"/>
    <w:rsid w:val="0069693F"/>
    <w:rsid w:val="00697355"/>
    <w:rsid w:val="006A0193"/>
    <w:rsid w:val="006A18A3"/>
    <w:rsid w:val="006A3520"/>
    <w:rsid w:val="006A3E1F"/>
    <w:rsid w:val="006A4655"/>
    <w:rsid w:val="006A473D"/>
    <w:rsid w:val="006A5A3B"/>
    <w:rsid w:val="006A7B78"/>
    <w:rsid w:val="006B0653"/>
    <w:rsid w:val="006B1176"/>
    <w:rsid w:val="006B2B3C"/>
    <w:rsid w:val="006B2F3F"/>
    <w:rsid w:val="006B33BE"/>
    <w:rsid w:val="006B46BA"/>
    <w:rsid w:val="006B5EB2"/>
    <w:rsid w:val="006B75F9"/>
    <w:rsid w:val="006B7665"/>
    <w:rsid w:val="006B7860"/>
    <w:rsid w:val="006B7CEF"/>
    <w:rsid w:val="006C0980"/>
    <w:rsid w:val="006C1D3B"/>
    <w:rsid w:val="006C1D81"/>
    <w:rsid w:val="006C3396"/>
    <w:rsid w:val="006C35A6"/>
    <w:rsid w:val="006C42E9"/>
    <w:rsid w:val="006C59E8"/>
    <w:rsid w:val="006C7038"/>
    <w:rsid w:val="006C7764"/>
    <w:rsid w:val="006D0EF7"/>
    <w:rsid w:val="006D0F39"/>
    <w:rsid w:val="006D23C1"/>
    <w:rsid w:val="006D272D"/>
    <w:rsid w:val="006D3676"/>
    <w:rsid w:val="006D3B4E"/>
    <w:rsid w:val="006D3E73"/>
    <w:rsid w:val="006D3EA9"/>
    <w:rsid w:val="006D439C"/>
    <w:rsid w:val="006D46BE"/>
    <w:rsid w:val="006D5E2E"/>
    <w:rsid w:val="006D5FFD"/>
    <w:rsid w:val="006D609F"/>
    <w:rsid w:val="006E0CCB"/>
    <w:rsid w:val="006E1717"/>
    <w:rsid w:val="006E1850"/>
    <w:rsid w:val="006E3512"/>
    <w:rsid w:val="006E444F"/>
    <w:rsid w:val="006E4C65"/>
    <w:rsid w:val="006E6FC8"/>
    <w:rsid w:val="006E73EF"/>
    <w:rsid w:val="006E770B"/>
    <w:rsid w:val="006E7873"/>
    <w:rsid w:val="006E78C7"/>
    <w:rsid w:val="006E7E87"/>
    <w:rsid w:val="006F019B"/>
    <w:rsid w:val="006F0ABE"/>
    <w:rsid w:val="006F107F"/>
    <w:rsid w:val="006F1661"/>
    <w:rsid w:val="006F21BD"/>
    <w:rsid w:val="006F2D3E"/>
    <w:rsid w:val="006F3CB3"/>
    <w:rsid w:val="006F594A"/>
    <w:rsid w:val="006F7AF0"/>
    <w:rsid w:val="00703179"/>
    <w:rsid w:val="00703A21"/>
    <w:rsid w:val="00703B48"/>
    <w:rsid w:val="00704DCD"/>
    <w:rsid w:val="00705D83"/>
    <w:rsid w:val="00705EF9"/>
    <w:rsid w:val="00706CB8"/>
    <w:rsid w:val="007079C9"/>
    <w:rsid w:val="00710AB2"/>
    <w:rsid w:val="00710D95"/>
    <w:rsid w:val="0071176B"/>
    <w:rsid w:val="00712B43"/>
    <w:rsid w:val="0071303C"/>
    <w:rsid w:val="007138D2"/>
    <w:rsid w:val="00714D4D"/>
    <w:rsid w:val="00714DA9"/>
    <w:rsid w:val="00715082"/>
    <w:rsid w:val="00716F1D"/>
    <w:rsid w:val="00723D3B"/>
    <w:rsid w:val="00724183"/>
    <w:rsid w:val="00724429"/>
    <w:rsid w:val="007257A4"/>
    <w:rsid w:val="007257AD"/>
    <w:rsid w:val="00726307"/>
    <w:rsid w:val="007266D3"/>
    <w:rsid w:val="007272AA"/>
    <w:rsid w:val="007278A1"/>
    <w:rsid w:val="00730FC8"/>
    <w:rsid w:val="00731F44"/>
    <w:rsid w:val="00732029"/>
    <w:rsid w:val="007321EA"/>
    <w:rsid w:val="00732924"/>
    <w:rsid w:val="00733A6F"/>
    <w:rsid w:val="00733F19"/>
    <w:rsid w:val="007343E9"/>
    <w:rsid w:val="0073463E"/>
    <w:rsid w:val="007358BF"/>
    <w:rsid w:val="00736110"/>
    <w:rsid w:val="007374B7"/>
    <w:rsid w:val="00741BE2"/>
    <w:rsid w:val="007424A2"/>
    <w:rsid w:val="00742968"/>
    <w:rsid w:val="00742C84"/>
    <w:rsid w:val="00743961"/>
    <w:rsid w:val="00743AD4"/>
    <w:rsid w:val="00745E5B"/>
    <w:rsid w:val="00746E19"/>
    <w:rsid w:val="00750650"/>
    <w:rsid w:val="007507DF"/>
    <w:rsid w:val="00750EAE"/>
    <w:rsid w:val="007511A5"/>
    <w:rsid w:val="00751733"/>
    <w:rsid w:val="00751FC0"/>
    <w:rsid w:val="00751FF0"/>
    <w:rsid w:val="007526EE"/>
    <w:rsid w:val="00753F8B"/>
    <w:rsid w:val="0075403B"/>
    <w:rsid w:val="00754428"/>
    <w:rsid w:val="0075535C"/>
    <w:rsid w:val="00755BFD"/>
    <w:rsid w:val="00757101"/>
    <w:rsid w:val="007604BB"/>
    <w:rsid w:val="00760715"/>
    <w:rsid w:val="00761448"/>
    <w:rsid w:val="00761500"/>
    <w:rsid w:val="007617E0"/>
    <w:rsid w:val="00762ECA"/>
    <w:rsid w:val="00762FE7"/>
    <w:rsid w:val="0076369A"/>
    <w:rsid w:val="007644CA"/>
    <w:rsid w:val="007649A1"/>
    <w:rsid w:val="00765330"/>
    <w:rsid w:val="007668D0"/>
    <w:rsid w:val="00766C4E"/>
    <w:rsid w:val="00766EDF"/>
    <w:rsid w:val="00766F82"/>
    <w:rsid w:val="007677C5"/>
    <w:rsid w:val="00770867"/>
    <w:rsid w:val="007725AC"/>
    <w:rsid w:val="00772909"/>
    <w:rsid w:val="00772B24"/>
    <w:rsid w:val="00773029"/>
    <w:rsid w:val="007748B3"/>
    <w:rsid w:val="00774FA1"/>
    <w:rsid w:val="00775136"/>
    <w:rsid w:val="00775C5A"/>
    <w:rsid w:val="00776B05"/>
    <w:rsid w:val="00776C07"/>
    <w:rsid w:val="007801F8"/>
    <w:rsid w:val="0078126F"/>
    <w:rsid w:val="007821AB"/>
    <w:rsid w:val="00782B03"/>
    <w:rsid w:val="007835DB"/>
    <w:rsid w:val="007837C0"/>
    <w:rsid w:val="00784357"/>
    <w:rsid w:val="00784E00"/>
    <w:rsid w:val="00785232"/>
    <w:rsid w:val="00785C13"/>
    <w:rsid w:val="00787591"/>
    <w:rsid w:val="00787B45"/>
    <w:rsid w:val="0079189D"/>
    <w:rsid w:val="00791FC5"/>
    <w:rsid w:val="0079300A"/>
    <w:rsid w:val="007944F0"/>
    <w:rsid w:val="007945DF"/>
    <w:rsid w:val="007946F6"/>
    <w:rsid w:val="00795B01"/>
    <w:rsid w:val="00795F80"/>
    <w:rsid w:val="0079701E"/>
    <w:rsid w:val="0079701F"/>
    <w:rsid w:val="0079717F"/>
    <w:rsid w:val="007972B2"/>
    <w:rsid w:val="007A073C"/>
    <w:rsid w:val="007A07D3"/>
    <w:rsid w:val="007A20E7"/>
    <w:rsid w:val="007A21EB"/>
    <w:rsid w:val="007A26B6"/>
    <w:rsid w:val="007A326A"/>
    <w:rsid w:val="007A3B5F"/>
    <w:rsid w:val="007A3EB1"/>
    <w:rsid w:val="007A499E"/>
    <w:rsid w:val="007A4BDA"/>
    <w:rsid w:val="007A4EBC"/>
    <w:rsid w:val="007A55B1"/>
    <w:rsid w:val="007A618E"/>
    <w:rsid w:val="007A6CF1"/>
    <w:rsid w:val="007A7DD1"/>
    <w:rsid w:val="007A7E74"/>
    <w:rsid w:val="007B15E5"/>
    <w:rsid w:val="007B16E4"/>
    <w:rsid w:val="007B1A93"/>
    <w:rsid w:val="007B1BE4"/>
    <w:rsid w:val="007B374C"/>
    <w:rsid w:val="007C126C"/>
    <w:rsid w:val="007C2318"/>
    <w:rsid w:val="007C2CE6"/>
    <w:rsid w:val="007C36C9"/>
    <w:rsid w:val="007C416F"/>
    <w:rsid w:val="007C46C9"/>
    <w:rsid w:val="007C4EC1"/>
    <w:rsid w:val="007C59EB"/>
    <w:rsid w:val="007C5C07"/>
    <w:rsid w:val="007C5F76"/>
    <w:rsid w:val="007C6DE3"/>
    <w:rsid w:val="007C7406"/>
    <w:rsid w:val="007C7BE0"/>
    <w:rsid w:val="007D00D4"/>
    <w:rsid w:val="007D092E"/>
    <w:rsid w:val="007D28D8"/>
    <w:rsid w:val="007D2ACF"/>
    <w:rsid w:val="007D367E"/>
    <w:rsid w:val="007D401B"/>
    <w:rsid w:val="007D4DA8"/>
    <w:rsid w:val="007D6269"/>
    <w:rsid w:val="007D6401"/>
    <w:rsid w:val="007D6FAF"/>
    <w:rsid w:val="007D7984"/>
    <w:rsid w:val="007E01E4"/>
    <w:rsid w:val="007E07EF"/>
    <w:rsid w:val="007E0DF8"/>
    <w:rsid w:val="007E3845"/>
    <w:rsid w:val="007E39BB"/>
    <w:rsid w:val="007E39EF"/>
    <w:rsid w:val="007E3B05"/>
    <w:rsid w:val="007E552E"/>
    <w:rsid w:val="007E5C4F"/>
    <w:rsid w:val="007E5F76"/>
    <w:rsid w:val="007E6B09"/>
    <w:rsid w:val="007E7A12"/>
    <w:rsid w:val="007F0022"/>
    <w:rsid w:val="007F06DE"/>
    <w:rsid w:val="007F0EC1"/>
    <w:rsid w:val="007F1F51"/>
    <w:rsid w:val="007F28AA"/>
    <w:rsid w:val="007F2A01"/>
    <w:rsid w:val="007F2A0D"/>
    <w:rsid w:val="007F2A1B"/>
    <w:rsid w:val="007F2AAA"/>
    <w:rsid w:val="007F2E24"/>
    <w:rsid w:val="007F452B"/>
    <w:rsid w:val="007F484F"/>
    <w:rsid w:val="007F6284"/>
    <w:rsid w:val="007F6672"/>
    <w:rsid w:val="007F6DB9"/>
    <w:rsid w:val="007F7107"/>
    <w:rsid w:val="0080032F"/>
    <w:rsid w:val="00800352"/>
    <w:rsid w:val="00800D4C"/>
    <w:rsid w:val="00800EFC"/>
    <w:rsid w:val="00800F22"/>
    <w:rsid w:val="008026DA"/>
    <w:rsid w:val="00802F6D"/>
    <w:rsid w:val="008048DA"/>
    <w:rsid w:val="00806306"/>
    <w:rsid w:val="008064ED"/>
    <w:rsid w:val="008070D4"/>
    <w:rsid w:val="00807202"/>
    <w:rsid w:val="00807A21"/>
    <w:rsid w:val="00807FED"/>
    <w:rsid w:val="0081030F"/>
    <w:rsid w:val="00810390"/>
    <w:rsid w:val="00810DAB"/>
    <w:rsid w:val="00811A6F"/>
    <w:rsid w:val="00812F4A"/>
    <w:rsid w:val="00814935"/>
    <w:rsid w:val="00814E5E"/>
    <w:rsid w:val="00815300"/>
    <w:rsid w:val="00815E3C"/>
    <w:rsid w:val="00816D56"/>
    <w:rsid w:val="00817C34"/>
    <w:rsid w:val="00817CE0"/>
    <w:rsid w:val="008203D7"/>
    <w:rsid w:val="0082087D"/>
    <w:rsid w:val="00821108"/>
    <w:rsid w:val="0082153F"/>
    <w:rsid w:val="00821B91"/>
    <w:rsid w:val="00821CEA"/>
    <w:rsid w:val="00822336"/>
    <w:rsid w:val="008226BC"/>
    <w:rsid w:val="00822719"/>
    <w:rsid w:val="00822EE5"/>
    <w:rsid w:val="00823F2F"/>
    <w:rsid w:val="008240A7"/>
    <w:rsid w:val="00824FBB"/>
    <w:rsid w:val="008266D2"/>
    <w:rsid w:val="00826BCD"/>
    <w:rsid w:val="0082727A"/>
    <w:rsid w:val="00827F96"/>
    <w:rsid w:val="00830A6C"/>
    <w:rsid w:val="00830BAC"/>
    <w:rsid w:val="008310E0"/>
    <w:rsid w:val="00831E98"/>
    <w:rsid w:val="00832BF7"/>
    <w:rsid w:val="008336E2"/>
    <w:rsid w:val="00835771"/>
    <w:rsid w:val="008357AC"/>
    <w:rsid w:val="00835AF9"/>
    <w:rsid w:val="0083696C"/>
    <w:rsid w:val="00837782"/>
    <w:rsid w:val="00840AAD"/>
    <w:rsid w:val="00840C9A"/>
    <w:rsid w:val="00842933"/>
    <w:rsid w:val="00842AAD"/>
    <w:rsid w:val="00843C3C"/>
    <w:rsid w:val="0084570E"/>
    <w:rsid w:val="00845B7A"/>
    <w:rsid w:val="00847BE4"/>
    <w:rsid w:val="008502A7"/>
    <w:rsid w:val="00850A00"/>
    <w:rsid w:val="00850B95"/>
    <w:rsid w:val="00850C41"/>
    <w:rsid w:val="00851B61"/>
    <w:rsid w:val="00851D44"/>
    <w:rsid w:val="00851F1A"/>
    <w:rsid w:val="008527AB"/>
    <w:rsid w:val="00852B4A"/>
    <w:rsid w:val="00853B8D"/>
    <w:rsid w:val="00854A3A"/>
    <w:rsid w:val="00855659"/>
    <w:rsid w:val="00856DD1"/>
    <w:rsid w:val="0085767F"/>
    <w:rsid w:val="0086082C"/>
    <w:rsid w:val="00863D59"/>
    <w:rsid w:val="00863E06"/>
    <w:rsid w:val="00864ADC"/>
    <w:rsid w:val="0086579E"/>
    <w:rsid w:val="00865FE1"/>
    <w:rsid w:val="00866B93"/>
    <w:rsid w:val="00867CB6"/>
    <w:rsid w:val="0087025D"/>
    <w:rsid w:val="00873CEF"/>
    <w:rsid w:val="00873F29"/>
    <w:rsid w:val="008748E0"/>
    <w:rsid w:val="00874DC3"/>
    <w:rsid w:val="00875728"/>
    <w:rsid w:val="00875757"/>
    <w:rsid w:val="00875954"/>
    <w:rsid w:val="00875B4A"/>
    <w:rsid w:val="00875DF2"/>
    <w:rsid w:val="008771CD"/>
    <w:rsid w:val="0087762B"/>
    <w:rsid w:val="00880153"/>
    <w:rsid w:val="00880709"/>
    <w:rsid w:val="00880F97"/>
    <w:rsid w:val="0088133A"/>
    <w:rsid w:val="00881AD3"/>
    <w:rsid w:val="0088287A"/>
    <w:rsid w:val="0088316F"/>
    <w:rsid w:val="0088376B"/>
    <w:rsid w:val="00883921"/>
    <w:rsid w:val="00883B1C"/>
    <w:rsid w:val="00885568"/>
    <w:rsid w:val="0088578B"/>
    <w:rsid w:val="0088643A"/>
    <w:rsid w:val="00886CE0"/>
    <w:rsid w:val="00887C70"/>
    <w:rsid w:val="00891D6F"/>
    <w:rsid w:val="00891E0D"/>
    <w:rsid w:val="0089285E"/>
    <w:rsid w:val="0089324D"/>
    <w:rsid w:val="00893DED"/>
    <w:rsid w:val="0089436C"/>
    <w:rsid w:val="00894744"/>
    <w:rsid w:val="00894BE3"/>
    <w:rsid w:val="008955C7"/>
    <w:rsid w:val="00895C0F"/>
    <w:rsid w:val="008965D1"/>
    <w:rsid w:val="00896A7F"/>
    <w:rsid w:val="00896CAD"/>
    <w:rsid w:val="00897394"/>
    <w:rsid w:val="008977B5"/>
    <w:rsid w:val="00897DC6"/>
    <w:rsid w:val="00897F3C"/>
    <w:rsid w:val="008A0818"/>
    <w:rsid w:val="008A0A74"/>
    <w:rsid w:val="008A151B"/>
    <w:rsid w:val="008A1C66"/>
    <w:rsid w:val="008A1D1A"/>
    <w:rsid w:val="008A270B"/>
    <w:rsid w:val="008A55AE"/>
    <w:rsid w:val="008A57F3"/>
    <w:rsid w:val="008A76BB"/>
    <w:rsid w:val="008A782D"/>
    <w:rsid w:val="008A7B48"/>
    <w:rsid w:val="008A7DFD"/>
    <w:rsid w:val="008B0DC8"/>
    <w:rsid w:val="008B137C"/>
    <w:rsid w:val="008B16F1"/>
    <w:rsid w:val="008B1F0B"/>
    <w:rsid w:val="008B4053"/>
    <w:rsid w:val="008B417A"/>
    <w:rsid w:val="008B4E03"/>
    <w:rsid w:val="008B5A6D"/>
    <w:rsid w:val="008B6C85"/>
    <w:rsid w:val="008B6D97"/>
    <w:rsid w:val="008B6E8B"/>
    <w:rsid w:val="008B78FC"/>
    <w:rsid w:val="008B7BF8"/>
    <w:rsid w:val="008C01ED"/>
    <w:rsid w:val="008C274E"/>
    <w:rsid w:val="008C3079"/>
    <w:rsid w:val="008C5104"/>
    <w:rsid w:val="008C57F7"/>
    <w:rsid w:val="008C69EC"/>
    <w:rsid w:val="008C7C64"/>
    <w:rsid w:val="008D0BE9"/>
    <w:rsid w:val="008D0D56"/>
    <w:rsid w:val="008D0F8D"/>
    <w:rsid w:val="008D2518"/>
    <w:rsid w:val="008D2D07"/>
    <w:rsid w:val="008D329D"/>
    <w:rsid w:val="008D365C"/>
    <w:rsid w:val="008D377A"/>
    <w:rsid w:val="008D43B2"/>
    <w:rsid w:val="008D56AF"/>
    <w:rsid w:val="008D59DF"/>
    <w:rsid w:val="008D5FCB"/>
    <w:rsid w:val="008D64C6"/>
    <w:rsid w:val="008D6564"/>
    <w:rsid w:val="008D6972"/>
    <w:rsid w:val="008D6AC3"/>
    <w:rsid w:val="008D6B31"/>
    <w:rsid w:val="008D7622"/>
    <w:rsid w:val="008D76C7"/>
    <w:rsid w:val="008E1599"/>
    <w:rsid w:val="008E1A9E"/>
    <w:rsid w:val="008E2213"/>
    <w:rsid w:val="008E26EA"/>
    <w:rsid w:val="008E473A"/>
    <w:rsid w:val="008E498A"/>
    <w:rsid w:val="008E52B4"/>
    <w:rsid w:val="008E6736"/>
    <w:rsid w:val="008E73B3"/>
    <w:rsid w:val="008F0FA0"/>
    <w:rsid w:val="008F16AA"/>
    <w:rsid w:val="008F1CE1"/>
    <w:rsid w:val="008F39F0"/>
    <w:rsid w:val="008F3D93"/>
    <w:rsid w:val="008F4C0C"/>
    <w:rsid w:val="008F55B0"/>
    <w:rsid w:val="008F5B27"/>
    <w:rsid w:val="008F5C8C"/>
    <w:rsid w:val="008F6A74"/>
    <w:rsid w:val="008F724C"/>
    <w:rsid w:val="008F7AB5"/>
    <w:rsid w:val="009021A6"/>
    <w:rsid w:val="009030BF"/>
    <w:rsid w:val="0090398A"/>
    <w:rsid w:val="00903B52"/>
    <w:rsid w:val="00904A3B"/>
    <w:rsid w:val="00905526"/>
    <w:rsid w:val="00905D5B"/>
    <w:rsid w:val="00906B7F"/>
    <w:rsid w:val="00906BED"/>
    <w:rsid w:val="00907135"/>
    <w:rsid w:val="0090716D"/>
    <w:rsid w:val="009101DE"/>
    <w:rsid w:val="0091032F"/>
    <w:rsid w:val="0091091D"/>
    <w:rsid w:val="00910DF8"/>
    <w:rsid w:val="0091146C"/>
    <w:rsid w:val="0091157D"/>
    <w:rsid w:val="00913C6C"/>
    <w:rsid w:val="00914368"/>
    <w:rsid w:val="0091502C"/>
    <w:rsid w:val="00916751"/>
    <w:rsid w:val="009168C0"/>
    <w:rsid w:val="009179C1"/>
    <w:rsid w:val="00917AF3"/>
    <w:rsid w:val="00920D18"/>
    <w:rsid w:val="0092159C"/>
    <w:rsid w:val="00921921"/>
    <w:rsid w:val="00921C49"/>
    <w:rsid w:val="00922D05"/>
    <w:rsid w:val="0092305C"/>
    <w:rsid w:val="009238F7"/>
    <w:rsid w:val="0092575D"/>
    <w:rsid w:val="00926077"/>
    <w:rsid w:val="009261C4"/>
    <w:rsid w:val="009300D8"/>
    <w:rsid w:val="00931076"/>
    <w:rsid w:val="00931CA6"/>
    <w:rsid w:val="00931FFF"/>
    <w:rsid w:val="00932484"/>
    <w:rsid w:val="009325F4"/>
    <w:rsid w:val="00932CCB"/>
    <w:rsid w:val="009333A2"/>
    <w:rsid w:val="009345D9"/>
    <w:rsid w:val="00934B15"/>
    <w:rsid w:val="009353F6"/>
    <w:rsid w:val="00935D1E"/>
    <w:rsid w:val="0093604A"/>
    <w:rsid w:val="00936615"/>
    <w:rsid w:val="00937023"/>
    <w:rsid w:val="00940C87"/>
    <w:rsid w:val="00941BC1"/>
    <w:rsid w:val="00942B62"/>
    <w:rsid w:val="00943522"/>
    <w:rsid w:val="00943962"/>
    <w:rsid w:val="00943C00"/>
    <w:rsid w:val="00943E9A"/>
    <w:rsid w:val="00944806"/>
    <w:rsid w:val="0094483C"/>
    <w:rsid w:val="00944FE0"/>
    <w:rsid w:val="009457FE"/>
    <w:rsid w:val="00945909"/>
    <w:rsid w:val="00946094"/>
    <w:rsid w:val="0094611F"/>
    <w:rsid w:val="00946970"/>
    <w:rsid w:val="00947CA4"/>
    <w:rsid w:val="00950C62"/>
    <w:rsid w:val="0095126F"/>
    <w:rsid w:val="009513DB"/>
    <w:rsid w:val="00951BEF"/>
    <w:rsid w:val="0095280C"/>
    <w:rsid w:val="0095323B"/>
    <w:rsid w:val="00953758"/>
    <w:rsid w:val="009537EB"/>
    <w:rsid w:val="00955E8B"/>
    <w:rsid w:val="00955ED0"/>
    <w:rsid w:val="00956209"/>
    <w:rsid w:val="00956749"/>
    <w:rsid w:val="00956A0C"/>
    <w:rsid w:val="00956BD9"/>
    <w:rsid w:val="009602AB"/>
    <w:rsid w:val="00960A48"/>
    <w:rsid w:val="00961105"/>
    <w:rsid w:val="009616CB"/>
    <w:rsid w:val="00961B34"/>
    <w:rsid w:val="00962489"/>
    <w:rsid w:val="009676D5"/>
    <w:rsid w:val="00967CD3"/>
    <w:rsid w:val="00971286"/>
    <w:rsid w:val="009753BF"/>
    <w:rsid w:val="00975857"/>
    <w:rsid w:val="00975E2E"/>
    <w:rsid w:val="0097679E"/>
    <w:rsid w:val="009767D2"/>
    <w:rsid w:val="00976EEA"/>
    <w:rsid w:val="00977AF2"/>
    <w:rsid w:val="0098186D"/>
    <w:rsid w:val="00981C2B"/>
    <w:rsid w:val="00981E67"/>
    <w:rsid w:val="0098378A"/>
    <w:rsid w:val="009848C0"/>
    <w:rsid w:val="009851D2"/>
    <w:rsid w:val="0098541B"/>
    <w:rsid w:val="00986106"/>
    <w:rsid w:val="00987726"/>
    <w:rsid w:val="00987A0D"/>
    <w:rsid w:val="00990C2C"/>
    <w:rsid w:val="00990ED4"/>
    <w:rsid w:val="0099114D"/>
    <w:rsid w:val="00991622"/>
    <w:rsid w:val="00991884"/>
    <w:rsid w:val="00991F06"/>
    <w:rsid w:val="0099299E"/>
    <w:rsid w:val="009932A0"/>
    <w:rsid w:val="00993357"/>
    <w:rsid w:val="00993C6C"/>
    <w:rsid w:val="00994262"/>
    <w:rsid w:val="00994459"/>
    <w:rsid w:val="009947BE"/>
    <w:rsid w:val="0099490C"/>
    <w:rsid w:val="00994BFB"/>
    <w:rsid w:val="00996B50"/>
    <w:rsid w:val="009A0273"/>
    <w:rsid w:val="009A03D5"/>
    <w:rsid w:val="009A07AC"/>
    <w:rsid w:val="009A09F0"/>
    <w:rsid w:val="009A1631"/>
    <w:rsid w:val="009A1A19"/>
    <w:rsid w:val="009A2424"/>
    <w:rsid w:val="009A2821"/>
    <w:rsid w:val="009A458D"/>
    <w:rsid w:val="009A5171"/>
    <w:rsid w:val="009A58FB"/>
    <w:rsid w:val="009A6258"/>
    <w:rsid w:val="009A67BE"/>
    <w:rsid w:val="009A69E4"/>
    <w:rsid w:val="009A6E0D"/>
    <w:rsid w:val="009A6E39"/>
    <w:rsid w:val="009A72C8"/>
    <w:rsid w:val="009A75F8"/>
    <w:rsid w:val="009A782D"/>
    <w:rsid w:val="009B048B"/>
    <w:rsid w:val="009B0641"/>
    <w:rsid w:val="009B0D89"/>
    <w:rsid w:val="009B1200"/>
    <w:rsid w:val="009B1321"/>
    <w:rsid w:val="009B1468"/>
    <w:rsid w:val="009B16A1"/>
    <w:rsid w:val="009B1EFB"/>
    <w:rsid w:val="009B2D31"/>
    <w:rsid w:val="009B31C1"/>
    <w:rsid w:val="009B352C"/>
    <w:rsid w:val="009B3F4B"/>
    <w:rsid w:val="009B3FDB"/>
    <w:rsid w:val="009B4E64"/>
    <w:rsid w:val="009B65D3"/>
    <w:rsid w:val="009B7AD8"/>
    <w:rsid w:val="009C15AA"/>
    <w:rsid w:val="009C1AA6"/>
    <w:rsid w:val="009C2A5F"/>
    <w:rsid w:val="009C2E1D"/>
    <w:rsid w:val="009C36E4"/>
    <w:rsid w:val="009C374D"/>
    <w:rsid w:val="009C46A5"/>
    <w:rsid w:val="009C4E6D"/>
    <w:rsid w:val="009C51BD"/>
    <w:rsid w:val="009C5685"/>
    <w:rsid w:val="009D0BAA"/>
    <w:rsid w:val="009D0E92"/>
    <w:rsid w:val="009D2D10"/>
    <w:rsid w:val="009D3747"/>
    <w:rsid w:val="009D3829"/>
    <w:rsid w:val="009D41AD"/>
    <w:rsid w:val="009D4306"/>
    <w:rsid w:val="009D5705"/>
    <w:rsid w:val="009D588B"/>
    <w:rsid w:val="009E179B"/>
    <w:rsid w:val="009E1844"/>
    <w:rsid w:val="009E2D5C"/>
    <w:rsid w:val="009E3204"/>
    <w:rsid w:val="009E320C"/>
    <w:rsid w:val="009E572B"/>
    <w:rsid w:val="009F098A"/>
    <w:rsid w:val="009F0D1B"/>
    <w:rsid w:val="009F13AC"/>
    <w:rsid w:val="009F1932"/>
    <w:rsid w:val="009F1F84"/>
    <w:rsid w:val="009F4C94"/>
    <w:rsid w:val="009F5346"/>
    <w:rsid w:val="009F53DD"/>
    <w:rsid w:val="009F5BBD"/>
    <w:rsid w:val="009F696D"/>
    <w:rsid w:val="009F6A69"/>
    <w:rsid w:val="009F6BC6"/>
    <w:rsid w:val="009F74EF"/>
    <w:rsid w:val="009F7526"/>
    <w:rsid w:val="009F7CD0"/>
    <w:rsid w:val="009F7D97"/>
    <w:rsid w:val="00A0041C"/>
    <w:rsid w:val="00A01038"/>
    <w:rsid w:val="00A01550"/>
    <w:rsid w:val="00A01684"/>
    <w:rsid w:val="00A01AFF"/>
    <w:rsid w:val="00A01F44"/>
    <w:rsid w:val="00A02826"/>
    <w:rsid w:val="00A034CD"/>
    <w:rsid w:val="00A03FD8"/>
    <w:rsid w:val="00A06057"/>
    <w:rsid w:val="00A11690"/>
    <w:rsid w:val="00A1188B"/>
    <w:rsid w:val="00A12B84"/>
    <w:rsid w:val="00A130D5"/>
    <w:rsid w:val="00A13EA3"/>
    <w:rsid w:val="00A14D97"/>
    <w:rsid w:val="00A15D5A"/>
    <w:rsid w:val="00A160CD"/>
    <w:rsid w:val="00A17328"/>
    <w:rsid w:val="00A175B0"/>
    <w:rsid w:val="00A179CB"/>
    <w:rsid w:val="00A17FF6"/>
    <w:rsid w:val="00A20FCC"/>
    <w:rsid w:val="00A21914"/>
    <w:rsid w:val="00A21C0F"/>
    <w:rsid w:val="00A227A1"/>
    <w:rsid w:val="00A23A20"/>
    <w:rsid w:val="00A23FF5"/>
    <w:rsid w:val="00A24443"/>
    <w:rsid w:val="00A249A8"/>
    <w:rsid w:val="00A251EE"/>
    <w:rsid w:val="00A252D3"/>
    <w:rsid w:val="00A25D8E"/>
    <w:rsid w:val="00A268B9"/>
    <w:rsid w:val="00A2703A"/>
    <w:rsid w:val="00A27ECD"/>
    <w:rsid w:val="00A31509"/>
    <w:rsid w:val="00A31983"/>
    <w:rsid w:val="00A32AC6"/>
    <w:rsid w:val="00A33900"/>
    <w:rsid w:val="00A33DFF"/>
    <w:rsid w:val="00A34067"/>
    <w:rsid w:val="00A341B9"/>
    <w:rsid w:val="00A34992"/>
    <w:rsid w:val="00A35115"/>
    <w:rsid w:val="00A35963"/>
    <w:rsid w:val="00A35B84"/>
    <w:rsid w:val="00A362CD"/>
    <w:rsid w:val="00A36B12"/>
    <w:rsid w:val="00A36D9A"/>
    <w:rsid w:val="00A375B7"/>
    <w:rsid w:val="00A37A9B"/>
    <w:rsid w:val="00A401E5"/>
    <w:rsid w:val="00A40434"/>
    <w:rsid w:val="00A40A40"/>
    <w:rsid w:val="00A40B83"/>
    <w:rsid w:val="00A4148F"/>
    <w:rsid w:val="00A41638"/>
    <w:rsid w:val="00A4381D"/>
    <w:rsid w:val="00A442FC"/>
    <w:rsid w:val="00A44F03"/>
    <w:rsid w:val="00A4504A"/>
    <w:rsid w:val="00A451DC"/>
    <w:rsid w:val="00A46461"/>
    <w:rsid w:val="00A46820"/>
    <w:rsid w:val="00A46ACC"/>
    <w:rsid w:val="00A519C9"/>
    <w:rsid w:val="00A5205D"/>
    <w:rsid w:val="00A529A2"/>
    <w:rsid w:val="00A52A20"/>
    <w:rsid w:val="00A5320B"/>
    <w:rsid w:val="00A53C11"/>
    <w:rsid w:val="00A5523D"/>
    <w:rsid w:val="00A554AB"/>
    <w:rsid w:val="00A55D82"/>
    <w:rsid w:val="00A55F82"/>
    <w:rsid w:val="00A57062"/>
    <w:rsid w:val="00A57C3E"/>
    <w:rsid w:val="00A613BC"/>
    <w:rsid w:val="00A614C8"/>
    <w:rsid w:val="00A6150D"/>
    <w:rsid w:val="00A615AD"/>
    <w:rsid w:val="00A61984"/>
    <w:rsid w:val="00A61A5E"/>
    <w:rsid w:val="00A62EA7"/>
    <w:rsid w:val="00A6333B"/>
    <w:rsid w:val="00A64EF7"/>
    <w:rsid w:val="00A66406"/>
    <w:rsid w:val="00A669D4"/>
    <w:rsid w:val="00A67628"/>
    <w:rsid w:val="00A67781"/>
    <w:rsid w:val="00A67C66"/>
    <w:rsid w:val="00A705EC"/>
    <w:rsid w:val="00A706D3"/>
    <w:rsid w:val="00A72010"/>
    <w:rsid w:val="00A7255C"/>
    <w:rsid w:val="00A727BE"/>
    <w:rsid w:val="00A73050"/>
    <w:rsid w:val="00A732EB"/>
    <w:rsid w:val="00A73A91"/>
    <w:rsid w:val="00A73E48"/>
    <w:rsid w:val="00A74B8B"/>
    <w:rsid w:val="00A759E4"/>
    <w:rsid w:val="00A761F9"/>
    <w:rsid w:val="00A76689"/>
    <w:rsid w:val="00A76BCE"/>
    <w:rsid w:val="00A76D47"/>
    <w:rsid w:val="00A778EE"/>
    <w:rsid w:val="00A808FD"/>
    <w:rsid w:val="00A818AF"/>
    <w:rsid w:val="00A82910"/>
    <w:rsid w:val="00A82C08"/>
    <w:rsid w:val="00A83633"/>
    <w:rsid w:val="00A839B9"/>
    <w:rsid w:val="00A83F0E"/>
    <w:rsid w:val="00A84A3F"/>
    <w:rsid w:val="00A85022"/>
    <w:rsid w:val="00A864E2"/>
    <w:rsid w:val="00A864EF"/>
    <w:rsid w:val="00A86D94"/>
    <w:rsid w:val="00A86ECD"/>
    <w:rsid w:val="00A87226"/>
    <w:rsid w:val="00A8725E"/>
    <w:rsid w:val="00A87E08"/>
    <w:rsid w:val="00A902C7"/>
    <w:rsid w:val="00A9060E"/>
    <w:rsid w:val="00A90B01"/>
    <w:rsid w:val="00A90D9C"/>
    <w:rsid w:val="00A9128A"/>
    <w:rsid w:val="00A921BD"/>
    <w:rsid w:val="00A92B53"/>
    <w:rsid w:val="00A93716"/>
    <w:rsid w:val="00A93C3C"/>
    <w:rsid w:val="00A94FA6"/>
    <w:rsid w:val="00A951E6"/>
    <w:rsid w:val="00A95B30"/>
    <w:rsid w:val="00A96CE1"/>
    <w:rsid w:val="00A96D81"/>
    <w:rsid w:val="00A9719E"/>
    <w:rsid w:val="00AA005E"/>
    <w:rsid w:val="00AA143D"/>
    <w:rsid w:val="00AA1782"/>
    <w:rsid w:val="00AA17A2"/>
    <w:rsid w:val="00AA2ADB"/>
    <w:rsid w:val="00AA301D"/>
    <w:rsid w:val="00AA3D1E"/>
    <w:rsid w:val="00AA411F"/>
    <w:rsid w:val="00AA44B2"/>
    <w:rsid w:val="00AA45C2"/>
    <w:rsid w:val="00AA4830"/>
    <w:rsid w:val="00AA49A0"/>
    <w:rsid w:val="00AA4D34"/>
    <w:rsid w:val="00AA51A2"/>
    <w:rsid w:val="00AA53C2"/>
    <w:rsid w:val="00AA6710"/>
    <w:rsid w:val="00AA67E2"/>
    <w:rsid w:val="00AB0681"/>
    <w:rsid w:val="00AB2222"/>
    <w:rsid w:val="00AB2510"/>
    <w:rsid w:val="00AB321C"/>
    <w:rsid w:val="00AB3C30"/>
    <w:rsid w:val="00AB3D22"/>
    <w:rsid w:val="00AB4D9A"/>
    <w:rsid w:val="00AB5C6B"/>
    <w:rsid w:val="00AB6DAA"/>
    <w:rsid w:val="00AB75AB"/>
    <w:rsid w:val="00AB7650"/>
    <w:rsid w:val="00AB7B2E"/>
    <w:rsid w:val="00AB7F59"/>
    <w:rsid w:val="00AC068D"/>
    <w:rsid w:val="00AC12B9"/>
    <w:rsid w:val="00AC13F1"/>
    <w:rsid w:val="00AC267A"/>
    <w:rsid w:val="00AC2974"/>
    <w:rsid w:val="00AC3A15"/>
    <w:rsid w:val="00AC3A73"/>
    <w:rsid w:val="00AC45C4"/>
    <w:rsid w:val="00AC4746"/>
    <w:rsid w:val="00AC48AC"/>
    <w:rsid w:val="00AC5989"/>
    <w:rsid w:val="00AC5D88"/>
    <w:rsid w:val="00AC6D24"/>
    <w:rsid w:val="00AC6F4E"/>
    <w:rsid w:val="00AC77B4"/>
    <w:rsid w:val="00AC79F7"/>
    <w:rsid w:val="00AC7C34"/>
    <w:rsid w:val="00AC7C3A"/>
    <w:rsid w:val="00AD0625"/>
    <w:rsid w:val="00AD0A41"/>
    <w:rsid w:val="00AD1053"/>
    <w:rsid w:val="00AD1782"/>
    <w:rsid w:val="00AD1CBA"/>
    <w:rsid w:val="00AD207E"/>
    <w:rsid w:val="00AD21BC"/>
    <w:rsid w:val="00AD240E"/>
    <w:rsid w:val="00AD3141"/>
    <w:rsid w:val="00AD3352"/>
    <w:rsid w:val="00AD3B6D"/>
    <w:rsid w:val="00AD520B"/>
    <w:rsid w:val="00AD55CF"/>
    <w:rsid w:val="00AD5B8F"/>
    <w:rsid w:val="00AD5F46"/>
    <w:rsid w:val="00AD66A8"/>
    <w:rsid w:val="00AD6E3B"/>
    <w:rsid w:val="00AD73D6"/>
    <w:rsid w:val="00AD7484"/>
    <w:rsid w:val="00AE092D"/>
    <w:rsid w:val="00AE1C98"/>
    <w:rsid w:val="00AE240E"/>
    <w:rsid w:val="00AE28F3"/>
    <w:rsid w:val="00AE2B28"/>
    <w:rsid w:val="00AE33A0"/>
    <w:rsid w:val="00AE391E"/>
    <w:rsid w:val="00AE3BCC"/>
    <w:rsid w:val="00AE5D30"/>
    <w:rsid w:val="00AE5F11"/>
    <w:rsid w:val="00AE788C"/>
    <w:rsid w:val="00AF1567"/>
    <w:rsid w:val="00AF21C8"/>
    <w:rsid w:val="00AF2651"/>
    <w:rsid w:val="00AF4460"/>
    <w:rsid w:val="00AF46EB"/>
    <w:rsid w:val="00AF4D4F"/>
    <w:rsid w:val="00AF648E"/>
    <w:rsid w:val="00AF6E61"/>
    <w:rsid w:val="00AF74CB"/>
    <w:rsid w:val="00AF7CE8"/>
    <w:rsid w:val="00AF7F14"/>
    <w:rsid w:val="00B00145"/>
    <w:rsid w:val="00B005DB"/>
    <w:rsid w:val="00B00C11"/>
    <w:rsid w:val="00B01024"/>
    <w:rsid w:val="00B0141E"/>
    <w:rsid w:val="00B01624"/>
    <w:rsid w:val="00B01784"/>
    <w:rsid w:val="00B0197E"/>
    <w:rsid w:val="00B020F1"/>
    <w:rsid w:val="00B02607"/>
    <w:rsid w:val="00B02D09"/>
    <w:rsid w:val="00B02EE5"/>
    <w:rsid w:val="00B03231"/>
    <w:rsid w:val="00B0385B"/>
    <w:rsid w:val="00B03995"/>
    <w:rsid w:val="00B04068"/>
    <w:rsid w:val="00B04458"/>
    <w:rsid w:val="00B0774C"/>
    <w:rsid w:val="00B07A9B"/>
    <w:rsid w:val="00B1087C"/>
    <w:rsid w:val="00B108EB"/>
    <w:rsid w:val="00B10E09"/>
    <w:rsid w:val="00B120FD"/>
    <w:rsid w:val="00B13078"/>
    <w:rsid w:val="00B13A66"/>
    <w:rsid w:val="00B15467"/>
    <w:rsid w:val="00B15714"/>
    <w:rsid w:val="00B15CDC"/>
    <w:rsid w:val="00B176EE"/>
    <w:rsid w:val="00B1788E"/>
    <w:rsid w:val="00B17D43"/>
    <w:rsid w:val="00B17E49"/>
    <w:rsid w:val="00B212D2"/>
    <w:rsid w:val="00B218E2"/>
    <w:rsid w:val="00B23C9A"/>
    <w:rsid w:val="00B2531B"/>
    <w:rsid w:val="00B25511"/>
    <w:rsid w:val="00B25B28"/>
    <w:rsid w:val="00B26A9E"/>
    <w:rsid w:val="00B27438"/>
    <w:rsid w:val="00B33FD8"/>
    <w:rsid w:val="00B34707"/>
    <w:rsid w:val="00B349D1"/>
    <w:rsid w:val="00B3598D"/>
    <w:rsid w:val="00B374FA"/>
    <w:rsid w:val="00B378D3"/>
    <w:rsid w:val="00B37AA9"/>
    <w:rsid w:val="00B37DC1"/>
    <w:rsid w:val="00B40106"/>
    <w:rsid w:val="00B403AD"/>
    <w:rsid w:val="00B40873"/>
    <w:rsid w:val="00B40DFB"/>
    <w:rsid w:val="00B425C3"/>
    <w:rsid w:val="00B425CE"/>
    <w:rsid w:val="00B428CC"/>
    <w:rsid w:val="00B42935"/>
    <w:rsid w:val="00B4373D"/>
    <w:rsid w:val="00B440AD"/>
    <w:rsid w:val="00B448BE"/>
    <w:rsid w:val="00B450E3"/>
    <w:rsid w:val="00B46142"/>
    <w:rsid w:val="00B4635E"/>
    <w:rsid w:val="00B46628"/>
    <w:rsid w:val="00B46ECD"/>
    <w:rsid w:val="00B46EFF"/>
    <w:rsid w:val="00B47195"/>
    <w:rsid w:val="00B47451"/>
    <w:rsid w:val="00B476CB"/>
    <w:rsid w:val="00B479BB"/>
    <w:rsid w:val="00B47D70"/>
    <w:rsid w:val="00B5068F"/>
    <w:rsid w:val="00B523E2"/>
    <w:rsid w:val="00B53560"/>
    <w:rsid w:val="00B53965"/>
    <w:rsid w:val="00B53C21"/>
    <w:rsid w:val="00B53E7E"/>
    <w:rsid w:val="00B54B62"/>
    <w:rsid w:val="00B54CA6"/>
    <w:rsid w:val="00B554D6"/>
    <w:rsid w:val="00B556A4"/>
    <w:rsid w:val="00B564FF"/>
    <w:rsid w:val="00B60383"/>
    <w:rsid w:val="00B60AC2"/>
    <w:rsid w:val="00B616B4"/>
    <w:rsid w:val="00B623B3"/>
    <w:rsid w:val="00B62CC5"/>
    <w:rsid w:val="00B6342E"/>
    <w:rsid w:val="00B64631"/>
    <w:rsid w:val="00B67889"/>
    <w:rsid w:val="00B67C3D"/>
    <w:rsid w:val="00B67D4D"/>
    <w:rsid w:val="00B7113F"/>
    <w:rsid w:val="00B7170D"/>
    <w:rsid w:val="00B74F74"/>
    <w:rsid w:val="00B75EAE"/>
    <w:rsid w:val="00B76CF6"/>
    <w:rsid w:val="00B76FD0"/>
    <w:rsid w:val="00B775C6"/>
    <w:rsid w:val="00B7782E"/>
    <w:rsid w:val="00B80621"/>
    <w:rsid w:val="00B80B2E"/>
    <w:rsid w:val="00B81E63"/>
    <w:rsid w:val="00B82AB3"/>
    <w:rsid w:val="00B82BF7"/>
    <w:rsid w:val="00B82C28"/>
    <w:rsid w:val="00B83739"/>
    <w:rsid w:val="00B84FE6"/>
    <w:rsid w:val="00B8514F"/>
    <w:rsid w:val="00B86149"/>
    <w:rsid w:val="00B871F5"/>
    <w:rsid w:val="00B924BF"/>
    <w:rsid w:val="00B932A0"/>
    <w:rsid w:val="00B93C56"/>
    <w:rsid w:val="00BA09F5"/>
    <w:rsid w:val="00BA1379"/>
    <w:rsid w:val="00BA1AD8"/>
    <w:rsid w:val="00BA2BCF"/>
    <w:rsid w:val="00BA2BF9"/>
    <w:rsid w:val="00BA3BEF"/>
    <w:rsid w:val="00BA4074"/>
    <w:rsid w:val="00BA4746"/>
    <w:rsid w:val="00BA4FB6"/>
    <w:rsid w:val="00BA56F8"/>
    <w:rsid w:val="00BA5B14"/>
    <w:rsid w:val="00BA5D7B"/>
    <w:rsid w:val="00BA611F"/>
    <w:rsid w:val="00BA64CE"/>
    <w:rsid w:val="00BA65DD"/>
    <w:rsid w:val="00BA73B6"/>
    <w:rsid w:val="00BA7E27"/>
    <w:rsid w:val="00BB2603"/>
    <w:rsid w:val="00BB2E08"/>
    <w:rsid w:val="00BB358D"/>
    <w:rsid w:val="00BB3D30"/>
    <w:rsid w:val="00BB4FCD"/>
    <w:rsid w:val="00BB51B0"/>
    <w:rsid w:val="00BB58BE"/>
    <w:rsid w:val="00BB5C10"/>
    <w:rsid w:val="00BB6DB0"/>
    <w:rsid w:val="00BB7731"/>
    <w:rsid w:val="00BB7C69"/>
    <w:rsid w:val="00BC0281"/>
    <w:rsid w:val="00BC04E9"/>
    <w:rsid w:val="00BC1DBC"/>
    <w:rsid w:val="00BC218B"/>
    <w:rsid w:val="00BC24A5"/>
    <w:rsid w:val="00BC2F68"/>
    <w:rsid w:val="00BC41A8"/>
    <w:rsid w:val="00BC4B85"/>
    <w:rsid w:val="00BC5AC4"/>
    <w:rsid w:val="00BD0581"/>
    <w:rsid w:val="00BD13EA"/>
    <w:rsid w:val="00BD13EF"/>
    <w:rsid w:val="00BD157B"/>
    <w:rsid w:val="00BD1B4D"/>
    <w:rsid w:val="00BD1BA6"/>
    <w:rsid w:val="00BD24AA"/>
    <w:rsid w:val="00BD322A"/>
    <w:rsid w:val="00BD4C2F"/>
    <w:rsid w:val="00BD5AED"/>
    <w:rsid w:val="00BD792F"/>
    <w:rsid w:val="00BE0C4E"/>
    <w:rsid w:val="00BE1033"/>
    <w:rsid w:val="00BE10EE"/>
    <w:rsid w:val="00BE1355"/>
    <w:rsid w:val="00BE15D4"/>
    <w:rsid w:val="00BE258A"/>
    <w:rsid w:val="00BE3808"/>
    <w:rsid w:val="00BE3F16"/>
    <w:rsid w:val="00BE4493"/>
    <w:rsid w:val="00BE5072"/>
    <w:rsid w:val="00BE5219"/>
    <w:rsid w:val="00BE59AE"/>
    <w:rsid w:val="00BE7434"/>
    <w:rsid w:val="00BE77D3"/>
    <w:rsid w:val="00BE79B8"/>
    <w:rsid w:val="00BF04B2"/>
    <w:rsid w:val="00BF0F81"/>
    <w:rsid w:val="00BF191F"/>
    <w:rsid w:val="00BF28AD"/>
    <w:rsid w:val="00BF2FEE"/>
    <w:rsid w:val="00BF38CA"/>
    <w:rsid w:val="00BF4006"/>
    <w:rsid w:val="00BF504D"/>
    <w:rsid w:val="00BF5500"/>
    <w:rsid w:val="00BF5CBD"/>
    <w:rsid w:val="00BF6137"/>
    <w:rsid w:val="00BF62E9"/>
    <w:rsid w:val="00C00A45"/>
    <w:rsid w:val="00C01FCF"/>
    <w:rsid w:val="00C033A2"/>
    <w:rsid w:val="00C037B7"/>
    <w:rsid w:val="00C03B88"/>
    <w:rsid w:val="00C03F91"/>
    <w:rsid w:val="00C045BA"/>
    <w:rsid w:val="00C0536E"/>
    <w:rsid w:val="00C062E9"/>
    <w:rsid w:val="00C0679D"/>
    <w:rsid w:val="00C069AA"/>
    <w:rsid w:val="00C07B64"/>
    <w:rsid w:val="00C07F42"/>
    <w:rsid w:val="00C102B4"/>
    <w:rsid w:val="00C1222D"/>
    <w:rsid w:val="00C1272C"/>
    <w:rsid w:val="00C13721"/>
    <w:rsid w:val="00C13C86"/>
    <w:rsid w:val="00C13D76"/>
    <w:rsid w:val="00C14FE4"/>
    <w:rsid w:val="00C15F96"/>
    <w:rsid w:val="00C165D7"/>
    <w:rsid w:val="00C169D2"/>
    <w:rsid w:val="00C17A17"/>
    <w:rsid w:val="00C17A51"/>
    <w:rsid w:val="00C17E8E"/>
    <w:rsid w:val="00C20B5E"/>
    <w:rsid w:val="00C20CDE"/>
    <w:rsid w:val="00C21E51"/>
    <w:rsid w:val="00C23182"/>
    <w:rsid w:val="00C23203"/>
    <w:rsid w:val="00C2378A"/>
    <w:rsid w:val="00C24672"/>
    <w:rsid w:val="00C248DF"/>
    <w:rsid w:val="00C25A31"/>
    <w:rsid w:val="00C25EC3"/>
    <w:rsid w:val="00C27FB1"/>
    <w:rsid w:val="00C3066D"/>
    <w:rsid w:val="00C3248B"/>
    <w:rsid w:val="00C33C82"/>
    <w:rsid w:val="00C34103"/>
    <w:rsid w:val="00C34F92"/>
    <w:rsid w:val="00C35067"/>
    <w:rsid w:val="00C35AF3"/>
    <w:rsid w:val="00C36F20"/>
    <w:rsid w:val="00C40013"/>
    <w:rsid w:val="00C402E3"/>
    <w:rsid w:val="00C40940"/>
    <w:rsid w:val="00C41C86"/>
    <w:rsid w:val="00C4294F"/>
    <w:rsid w:val="00C4392D"/>
    <w:rsid w:val="00C43C44"/>
    <w:rsid w:val="00C43D52"/>
    <w:rsid w:val="00C44E1E"/>
    <w:rsid w:val="00C45566"/>
    <w:rsid w:val="00C46456"/>
    <w:rsid w:val="00C46A87"/>
    <w:rsid w:val="00C47C70"/>
    <w:rsid w:val="00C505A1"/>
    <w:rsid w:val="00C51187"/>
    <w:rsid w:val="00C51387"/>
    <w:rsid w:val="00C51E8D"/>
    <w:rsid w:val="00C52416"/>
    <w:rsid w:val="00C53654"/>
    <w:rsid w:val="00C53EFA"/>
    <w:rsid w:val="00C542DF"/>
    <w:rsid w:val="00C543F4"/>
    <w:rsid w:val="00C56C17"/>
    <w:rsid w:val="00C56CC3"/>
    <w:rsid w:val="00C57644"/>
    <w:rsid w:val="00C57AC5"/>
    <w:rsid w:val="00C60401"/>
    <w:rsid w:val="00C61040"/>
    <w:rsid w:val="00C61E8D"/>
    <w:rsid w:val="00C61EDF"/>
    <w:rsid w:val="00C621CA"/>
    <w:rsid w:val="00C6291C"/>
    <w:rsid w:val="00C633CB"/>
    <w:rsid w:val="00C63A10"/>
    <w:rsid w:val="00C6412C"/>
    <w:rsid w:val="00C65939"/>
    <w:rsid w:val="00C664CD"/>
    <w:rsid w:val="00C70DC3"/>
    <w:rsid w:val="00C71BD2"/>
    <w:rsid w:val="00C723DD"/>
    <w:rsid w:val="00C72C9D"/>
    <w:rsid w:val="00C730BB"/>
    <w:rsid w:val="00C7338A"/>
    <w:rsid w:val="00C736B7"/>
    <w:rsid w:val="00C73B64"/>
    <w:rsid w:val="00C73E8E"/>
    <w:rsid w:val="00C75117"/>
    <w:rsid w:val="00C7527B"/>
    <w:rsid w:val="00C757EF"/>
    <w:rsid w:val="00C772F3"/>
    <w:rsid w:val="00C77E13"/>
    <w:rsid w:val="00C810D0"/>
    <w:rsid w:val="00C81D4A"/>
    <w:rsid w:val="00C82289"/>
    <w:rsid w:val="00C8231A"/>
    <w:rsid w:val="00C825EE"/>
    <w:rsid w:val="00C82B24"/>
    <w:rsid w:val="00C82BDD"/>
    <w:rsid w:val="00C83B65"/>
    <w:rsid w:val="00C83C43"/>
    <w:rsid w:val="00C8571F"/>
    <w:rsid w:val="00C86B0C"/>
    <w:rsid w:val="00C8762C"/>
    <w:rsid w:val="00C87E24"/>
    <w:rsid w:val="00C90120"/>
    <w:rsid w:val="00C92747"/>
    <w:rsid w:val="00C92D3D"/>
    <w:rsid w:val="00C93C62"/>
    <w:rsid w:val="00C93FDE"/>
    <w:rsid w:val="00C9412B"/>
    <w:rsid w:val="00C94CD6"/>
    <w:rsid w:val="00C97013"/>
    <w:rsid w:val="00CA00F9"/>
    <w:rsid w:val="00CA014D"/>
    <w:rsid w:val="00CA07E7"/>
    <w:rsid w:val="00CA1544"/>
    <w:rsid w:val="00CA22B5"/>
    <w:rsid w:val="00CA251B"/>
    <w:rsid w:val="00CA2961"/>
    <w:rsid w:val="00CA5FE5"/>
    <w:rsid w:val="00CA7BD2"/>
    <w:rsid w:val="00CB0200"/>
    <w:rsid w:val="00CB11BD"/>
    <w:rsid w:val="00CB207B"/>
    <w:rsid w:val="00CB2408"/>
    <w:rsid w:val="00CB2804"/>
    <w:rsid w:val="00CB2F2D"/>
    <w:rsid w:val="00CB32D9"/>
    <w:rsid w:val="00CB3394"/>
    <w:rsid w:val="00CB3D18"/>
    <w:rsid w:val="00CB50D7"/>
    <w:rsid w:val="00CB5311"/>
    <w:rsid w:val="00CB6173"/>
    <w:rsid w:val="00CB6FD5"/>
    <w:rsid w:val="00CB6FEE"/>
    <w:rsid w:val="00CB7177"/>
    <w:rsid w:val="00CB7CED"/>
    <w:rsid w:val="00CC070F"/>
    <w:rsid w:val="00CC1850"/>
    <w:rsid w:val="00CC1998"/>
    <w:rsid w:val="00CC3815"/>
    <w:rsid w:val="00CC39E1"/>
    <w:rsid w:val="00CC3C2C"/>
    <w:rsid w:val="00CC4946"/>
    <w:rsid w:val="00CC64A1"/>
    <w:rsid w:val="00CC6588"/>
    <w:rsid w:val="00CC676D"/>
    <w:rsid w:val="00CC7E38"/>
    <w:rsid w:val="00CD0993"/>
    <w:rsid w:val="00CD2E28"/>
    <w:rsid w:val="00CD311B"/>
    <w:rsid w:val="00CD3F18"/>
    <w:rsid w:val="00CD40EA"/>
    <w:rsid w:val="00CD4C1D"/>
    <w:rsid w:val="00CD602C"/>
    <w:rsid w:val="00CD6CB8"/>
    <w:rsid w:val="00CD7441"/>
    <w:rsid w:val="00CD7923"/>
    <w:rsid w:val="00CE24DE"/>
    <w:rsid w:val="00CE2FFB"/>
    <w:rsid w:val="00CE3363"/>
    <w:rsid w:val="00CE35F5"/>
    <w:rsid w:val="00CE3AB3"/>
    <w:rsid w:val="00CE5626"/>
    <w:rsid w:val="00CE5F3F"/>
    <w:rsid w:val="00CE60B5"/>
    <w:rsid w:val="00CE6F74"/>
    <w:rsid w:val="00CE71C6"/>
    <w:rsid w:val="00CE76E4"/>
    <w:rsid w:val="00CF1074"/>
    <w:rsid w:val="00CF2A1C"/>
    <w:rsid w:val="00CF3B11"/>
    <w:rsid w:val="00CF3CBC"/>
    <w:rsid w:val="00CF3EF4"/>
    <w:rsid w:val="00CF47F6"/>
    <w:rsid w:val="00CF59C2"/>
    <w:rsid w:val="00D014CD"/>
    <w:rsid w:val="00D03F10"/>
    <w:rsid w:val="00D047AA"/>
    <w:rsid w:val="00D051A3"/>
    <w:rsid w:val="00D06813"/>
    <w:rsid w:val="00D06C94"/>
    <w:rsid w:val="00D07DAF"/>
    <w:rsid w:val="00D119C0"/>
    <w:rsid w:val="00D11AD1"/>
    <w:rsid w:val="00D13AC7"/>
    <w:rsid w:val="00D13C15"/>
    <w:rsid w:val="00D13F4B"/>
    <w:rsid w:val="00D140A7"/>
    <w:rsid w:val="00D14411"/>
    <w:rsid w:val="00D14544"/>
    <w:rsid w:val="00D14ED9"/>
    <w:rsid w:val="00D20972"/>
    <w:rsid w:val="00D2199B"/>
    <w:rsid w:val="00D21A06"/>
    <w:rsid w:val="00D2213B"/>
    <w:rsid w:val="00D221D8"/>
    <w:rsid w:val="00D224DD"/>
    <w:rsid w:val="00D22AAD"/>
    <w:rsid w:val="00D23468"/>
    <w:rsid w:val="00D2497A"/>
    <w:rsid w:val="00D24F4D"/>
    <w:rsid w:val="00D25890"/>
    <w:rsid w:val="00D26AA2"/>
    <w:rsid w:val="00D26E22"/>
    <w:rsid w:val="00D270A4"/>
    <w:rsid w:val="00D27792"/>
    <w:rsid w:val="00D3107A"/>
    <w:rsid w:val="00D310E8"/>
    <w:rsid w:val="00D31FE9"/>
    <w:rsid w:val="00D3214C"/>
    <w:rsid w:val="00D33304"/>
    <w:rsid w:val="00D348F7"/>
    <w:rsid w:val="00D34E1B"/>
    <w:rsid w:val="00D34FEA"/>
    <w:rsid w:val="00D35069"/>
    <w:rsid w:val="00D35308"/>
    <w:rsid w:val="00D3565C"/>
    <w:rsid w:val="00D368A2"/>
    <w:rsid w:val="00D36F5B"/>
    <w:rsid w:val="00D376BA"/>
    <w:rsid w:val="00D37920"/>
    <w:rsid w:val="00D419E5"/>
    <w:rsid w:val="00D41D90"/>
    <w:rsid w:val="00D41DF6"/>
    <w:rsid w:val="00D4232B"/>
    <w:rsid w:val="00D42996"/>
    <w:rsid w:val="00D434A0"/>
    <w:rsid w:val="00D43725"/>
    <w:rsid w:val="00D45634"/>
    <w:rsid w:val="00D45692"/>
    <w:rsid w:val="00D45D8C"/>
    <w:rsid w:val="00D46F6F"/>
    <w:rsid w:val="00D47101"/>
    <w:rsid w:val="00D47D2C"/>
    <w:rsid w:val="00D50B25"/>
    <w:rsid w:val="00D51303"/>
    <w:rsid w:val="00D51689"/>
    <w:rsid w:val="00D51759"/>
    <w:rsid w:val="00D51D2C"/>
    <w:rsid w:val="00D5200A"/>
    <w:rsid w:val="00D54867"/>
    <w:rsid w:val="00D548A1"/>
    <w:rsid w:val="00D54F9F"/>
    <w:rsid w:val="00D5568A"/>
    <w:rsid w:val="00D562D1"/>
    <w:rsid w:val="00D5663C"/>
    <w:rsid w:val="00D56A72"/>
    <w:rsid w:val="00D5710C"/>
    <w:rsid w:val="00D57A6C"/>
    <w:rsid w:val="00D6010D"/>
    <w:rsid w:val="00D62059"/>
    <w:rsid w:val="00D62713"/>
    <w:rsid w:val="00D62806"/>
    <w:rsid w:val="00D63CCC"/>
    <w:rsid w:val="00D63D2D"/>
    <w:rsid w:val="00D63D73"/>
    <w:rsid w:val="00D63F02"/>
    <w:rsid w:val="00D64452"/>
    <w:rsid w:val="00D648A8"/>
    <w:rsid w:val="00D64C52"/>
    <w:rsid w:val="00D65528"/>
    <w:rsid w:val="00D655E4"/>
    <w:rsid w:val="00D66177"/>
    <w:rsid w:val="00D6630F"/>
    <w:rsid w:val="00D66543"/>
    <w:rsid w:val="00D66A07"/>
    <w:rsid w:val="00D66E1E"/>
    <w:rsid w:val="00D67C0E"/>
    <w:rsid w:val="00D70696"/>
    <w:rsid w:val="00D70C6A"/>
    <w:rsid w:val="00D70DBE"/>
    <w:rsid w:val="00D72194"/>
    <w:rsid w:val="00D7250F"/>
    <w:rsid w:val="00D732F5"/>
    <w:rsid w:val="00D73D3F"/>
    <w:rsid w:val="00D74675"/>
    <w:rsid w:val="00D7515D"/>
    <w:rsid w:val="00D75722"/>
    <w:rsid w:val="00D75968"/>
    <w:rsid w:val="00D765E4"/>
    <w:rsid w:val="00D76D3B"/>
    <w:rsid w:val="00D76E61"/>
    <w:rsid w:val="00D76EDB"/>
    <w:rsid w:val="00D774D8"/>
    <w:rsid w:val="00D801FE"/>
    <w:rsid w:val="00D80BDC"/>
    <w:rsid w:val="00D80CF5"/>
    <w:rsid w:val="00D81192"/>
    <w:rsid w:val="00D82637"/>
    <w:rsid w:val="00D84F7D"/>
    <w:rsid w:val="00D85096"/>
    <w:rsid w:val="00D8586B"/>
    <w:rsid w:val="00D85CFC"/>
    <w:rsid w:val="00D86306"/>
    <w:rsid w:val="00D8642B"/>
    <w:rsid w:val="00D866EF"/>
    <w:rsid w:val="00D8672C"/>
    <w:rsid w:val="00D86980"/>
    <w:rsid w:val="00D86D17"/>
    <w:rsid w:val="00D879A1"/>
    <w:rsid w:val="00D90358"/>
    <w:rsid w:val="00D903E6"/>
    <w:rsid w:val="00D91858"/>
    <w:rsid w:val="00D91E68"/>
    <w:rsid w:val="00D921C3"/>
    <w:rsid w:val="00D945C3"/>
    <w:rsid w:val="00D9466B"/>
    <w:rsid w:val="00D959D4"/>
    <w:rsid w:val="00D962D2"/>
    <w:rsid w:val="00D96622"/>
    <w:rsid w:val="00D973CF"/>
    <w:rsid w:val="00D97675"/>
    <w:rsid w:val="00D97B30"/>
    <w:rsid w:val="00DA02A4"/>
    <w:rsid w:val="00DA06CD"/>
    <w:rsid w:val="00DA0F9B"/>
    <w:rsid w:val="00DA1907"/>
    <w:rsid w:val="00DA22FD"/>
    <w:rsid w:val="00DA3148"/>
    <w:rsid w:val="00DA3EB3"/>
    <w:rsid w:val="00DA4929"/>
    <w:rsid w:val="00DA5005"/>
    <w:rsid w:val="00DA5BBA"/>
    <w:rsid w:val="00DA7A49"/>
    <w:rsid w:val="00DA7D4A"/>
    <w:rsid w:val="00DB02D7"/>
    <w:rsid w:val="00DB0B74"/>
    <w:rsid w:val="00DB17FC"/>
    <w:rsid w:val="00DB26D2"/>
    <w:rsid w:val="00DB33DB"/>
    <w:rsid w:val="00DB33F6"/>
    <w:rsid w:val="00DB3F3B"/>
    <w:rsid w:val="00DB5E7D"/>
    <w:rsid w:val="00DB6488"/>
    <w:rsid w:val="00DB64C3"/>
    <w:rsid w:val="00DB67C9"/>
    <w:rsid w:val="00DC0173"/>
    <w:rsid w:val="00DC0C95"/>
    <w:rsid w:val="00DC14E6"/>
    <w:rsid w:val="00DC1D19"/>
    <w:rsid w:val="00DC1E6C"/>
    <w:rsid w:val="00DC1E86"/>
    <w:rsid w:val="00DC2736"/>
    <w:rsid w:val="00DC2824"/>
    <w:rsid w:val="00DC39D7"/>
    <w:rsid w:val="00DC3E3F"/>
    <w:rsid w:val="00DC4943"/>
    <w:rsid w:val="00DC4F00"/>
    <w:rsid w:val="00DC4F0B"/>
    <w:rsid w:val="00DC5934"/>
    <w:rsid w:val="00DC5B14"/>
    <w:rsid w:val="00DC5F34"/>
    <w:rsid w:val="00DC7D51"/>
    <w:rsid w:val="00DD02FA"/>
    <w:rsid w:val="00DD0F69"/>
    <w:rsid w:val="00DD1631"/>
    <w:rsid w:val="00DD1959"/>
    <w:rsid w:val="00DD2215"/>
    <w:rsid w:val="00DD435D"/>
    <w:rsid w:val="00DD4F4D"/>
    <w:rsid w:val="00DD5C42"/>
    <w:rsid w:val="00DD61C7"/>
    <w:rsid w:val="00DD61FF"/>
    <w:rsid w:val="00DD62E1"/>
    <w:rsid w:val="00DD6580"/>
    <w:rsid w:val="00DD6978"/>
    <w:rsid w:val="00DD6AC9"/>
    <w:rsid w:val="00DE0672"/>
    <w:rsid w:val="00DE1A45"/>
    <w:rsid w:val="00DE2AD0"/>
    <w:rsid w:val="00DE2EB1"/>
    <w:rsid w:val="00DE355D"/>
    <w:rsid w:val="00DE3B04"/>
    <w:rsid w:val="00DE40A2"/>
    <w:rsid w:val="00DE51AC"/>
    <w:rsid w:val="00DE577C"/>
    <w:rsid w:val="00DE6B78"/>
    <w:rsid w:val="00DE6BF2"/>
    <w:rsid w:val="00DF035F"/>
    <w:rsid w:val="00DF0CAF"/>
    <w:rsid w:val="00DF0D61"/>
    <w:rsid w:val="00DF15DF"/>
    <w:rsid w:val="00DF19CB"/>
    <w:rsid w:val="00DF21C8"/>
    <w:rsid w:val="00DF2D0B"/>
    <w:rsid w:val="00DF4022"/>
    <w:rsid w:val="00DF4137"/>
    <w:rsid w:val="00DF4F30"/>
    <w:rsid w:val="00DF62C8"/>
    <w:rsid w:val="00DF643A"/>
    <w:rsid w:val="00DF75C9"/>
    <w:rsid w:val="00DF78D0"/>
    <w:rsid w:val="00E005DA"/>
    <w:rsid w:val="00E008D7"/>
    <w:rsid w:val="00E00946"/>
    <w:rsid w:val="00E009E5"/>
    <w:rsid w:val="00E019FE"/>
    <w:rsid w:val="00E01D7F"/>
    <w:rsid w:val="00E02586"/>
    <w:rsid w:val="00E02618"/>
    <w:rsid w:val="00E030DF"/>
    <w:rsid w:val="00E03467"/>
    <w:rsid w:val="00E03588"/>
    <w:rsid w:val="00E04398"/>
    <w:rsid w:val="00E04DED"/>
    <w:rsid w:val="00E0541C"/>
    <w:rsid w:val="00E057C8"/>
    <w:rsid w:val="00E05C03"/>
    <w:rsid w:val="00E05CF8"/>
    <w:rsid w:val="00E0605C"/>
    <w:rsid w:val="00E060C4"/>
    <w:rsid w:val="00E066B7"/>
    <w:rsid w:val="00E07221"/>
    <w:rsid w:val="00E07527"/>
    <w:rsid w:val="00E101E9"/>
    <w:rsid w:val="00E10AA0"/>
    <w:rsid w:val="00E125F5"/>
    <w:rsid w:val="00E13614"/>
    <w:rsid w:val="00E13C80"/>
    <w:rsid w:val="00E1509E"/>
    <w:rsid w:val="00E15D70"/>
    <w:rsid w:val="00E1700E"/>
    <w:rsid w:val="00E17432"/>
    <w:rsid w:val="00E175DC"/>
    <w:rsid w:val="00E17C72"/>
    <w:rsid w:val="00E2160F"/>
    <w:rsid w:val="00E21FC6"/>
    <w:rsid w:val="00E220AF"/>
    <w:rsid w:val="00E221E8"/>
    <w:rsid w:val="00E2242F"/>
    <w:rsid w:val="00E2404F"/>
    <w:rsid w:val="00E24A20"/>
    <w:rsid w:val="00E24F86"/>
    <w:rsid w:val="00E305AA"/>
    <w:rsid w:val="00E30D77"/>
    <w:rsid w:val="00E31263"/>
    <w:rsid w:val="00E33070"/>
    <w:rsid w:val="00E345C0"/>
    <w:rsid w:val="00E34CEE"/>
    <w:rsid w:val="00E354D0"/>
    <w:rsid w:val="00E37701"/>
    <w:rsid w:val="00E3784A"/>
    <w:rsid w:val="00E37ACE"/>
    <w:rsid w:val="00E406A1"/>
    <w:rsid w:val="00E41C0B"/>
    <w:rsid w:val="00E41C18"/>
    <w:rsid w:val="00E42C34"/>
    <w:rsid w:val="00E431A9"/>
    <w:rsid w:val="00E439C7"/>
    <w:rsid w:val="00E445FF"/>
    <w:rsid w:val="00E451D8"/>
    <w:rsid w:val="00E4561B"/>
    <w:rsid w:val="00E47716"/>
    <w:rsid w:val="00E47A04"/>
    <w:rsid w:val="00E47E09"/>
    <w:rsid w:val="00E47E1E"/>
    <w:rsid w:val="00E501B3"/>
    <w:rsid w:val="00E51843"/>
    <w:rsid w:val="00E51E1E"/>
    <w:rsid w:val="00E5221A"/>
    <w:rsid w:val="00E53450"/>
    <w:rsid w:val="00E53B47"/>
    <w:rsid w:val="00E53E25"/>
    <w:rsid w:val="00E55DCC"/>
    <w:rsid w:val="00E56204"/>
    <w:rsid w:val="00E5662E"/>
    <w:rsid w:val="00E56AAF"/>
    <w:rsid w:val="00E56D2C"/>
    <w:rsid w:val="00E57053"/>
    <w:rsid w:val="00E57426"/>
    <w:rsid w:val="00E57F93"/>
    <w:rsid w:val="00E60BF0"/>
    <w:rsid w:val="00E615DF"/>
    <w:rsid w:val="00E627A1"/>
    <w:rsid w:val="00E62B02"/>
    <w:rsid w:val="00E63431"/>
    <w:rsid w:val="00E6365D"/>
    <w:rsid w:val="00E63712"/>
    <w:rsid w:val="00E64294"/>
    <w:rsid w:val="00E6492E"/>
    <w:rsid w:val="00E669E2"/>
    <w:rsid w:val="00E66ADF"/>
    <w:rsid w:val="00E66CA9"/>
    <w:rsid w:val="00E67566"/>
    <w:rsid w:val="00E67F37"/>
    <w:rsid w:val="00E70FE8"/>
    <w:rsid w:val="00E72E8A"/>
    <w:rsid w:val="00E7367C"/>
    <w:rsid w:val="00E757AC"/>
    <w:rsid w:val="00E75D86"/>
    <w:rsid w:val="00E75FDC"/>
    <w:rsid w:val="00E76135"/>
    <w:rsid w:val="00E763E2"/>
    <w:rsid w:val="00E77192"/>
    <w:rsid w:val="00E7782D"/>
    <w:rsid w:val="00E80B25"/>
    <w:rsid w:val="00E80EE1"/>
    <w:rsid w:val="00E81439"/>
    <w:rsid w:val="00E82F4F"/>
    <w:rsid w:val="00E83D3C"/>
    <w:rsid w:val="00E83EE9"/>
    <w:rsid w:val="00E840DC"/>
    <w:rsid w:val="00E864DF"/>
    <w:rsid w:val="00E8706C"/>
    <w:rsid w:val="00E871D5"/>
    <w:rsid w:val="00E8752C"/>
    <w:rsid w:val="00E87B00"/>
    <w:rsid w:val="00E87E45"/>
    <w:rsid w:val="00E9009B"/>
    <w:rsid w:val="00E90EC1"/>
    <w:rsid w:val="00E91311"/>
    <w:rsid w:val="00E913F4"/>
    <w:rsid w:val="00E91A64"/>
    <w:rsid w:val="00E93959"/>
    <w:rsid w:val="00E9415F"/>
    <w:rsid w:val="00E9489F"/>
    <w:rsid w:val="00E94E49"/>
    <w:rsid w:val="00E96816"/>
    <w:rsid w:val="00EA06E1"/>
    <w:rsid w:val="00EA1067"/>
    <w:rsid w:val="00EA111D"/>
    <w:rsid w:val="00EA1F45"/>
    <w:rsid w:val="00EA2DF7"/>
    <w:rsid w:val="00EA3681"/>
    <w:rsid w:val="00EA4842"/>
    <w:rsid w:val="00EA50A8"/>
    <w:rsid w:val="00EA5AFA"/>
    <w:rsid w:val="00EA738B"/>
    <w:rsid w:val="00EA7B89"/>
    <w:rsid w:val="00EB04E6"/>
    <w:rsid w:val="00EB2CC3"/>
    <w:rsid w:val="00EB6A95"/>
    <w:rsid w:val="00EB7031"/>
    <w:rsid w:val="00EB754A"/>
    <w:rsid w:val="00EB78CC"/>
    <w:rsid w:val="00EC18EE"/>
    <w:rsid w:val="00EC2844"/>
    <w:rsid w:val="00EC2F54"/>
    <w:rsid w:val="00EC3E37"/>
    <w:rsid w:val="00EC4604"/>
    <w:rsid w:val="00EC494B"/>
    <w:rsid w:val="00EC4A67"/>
    <w:rsid w:val="00EC5500"/>
    <w:rsid w:val="00EC6B03"/>
    <w:rsid w:val="00EC72B1"/>
    <w:rsid w:val="00EC7E4A"/>
    <w:rsid w:val="00ED07A5"/>
    <w:rsid w:val="00ED18F8"/>
    <w:rsid w:val="00ED2AC6"/>
    <w:rsid w:val="00ED367C"/>
    <w:rsid w:val="00ED5672"/>
    <w:rsid w:val="00ED665B"/>
    <w:rsid w:val="00ED6820"/>
    <w:rsid w:val="00EE0187"/>
    <w:rsid w:val="00EE0B7A"/>
    <w:rsid w:val="00EE2014"/>
    <w:rsid w:val="00EE29EE"/>
    <w:rsid w:val="00EE4582"/>
    <w:rsid w:val="00EE4C75"/>
    <w:rsid w:val="00EE51F0"/>
    <w:rsid w:val="00EE658D"/>
    <w:rsid w:val="00EE69F7"/>
    <w:rsid w:val="00EE6EDA"/>
    <w:rsid w:val="00EE7758"/>
    <w:rsid w:val="00EE778E"/>
    <w:rsid w:val="00EE796A"/>
    <w:rsid w:val="00EE79E6"/>
    <w:rsid w:val="00EF3EE0"/>
    <w:rsid w:val="00EF5BFF"/>
    <w:rsid w:val="00EF6421"/>
    <w:rsid w:val="00EF6719"/>
    <w:rsid w:val="00EF6C6C"/>
    <w:rsid w:val="00EF7F2C"/>
    <w:rsid w:val="00F0102B"/>
    <w:rsid w:val="00F0138A"/>
    <w:rsid w:val="00F0159F"/>
    <w:rsid w:val="00F02FCD"/>
    <w:rsid w:val="00F0361A"/>
    <w:rsid w:val="00F03A47"/>
    <w:rsid w:val="00F05234"/>
    <w:rsid w:val="00F05505"/>
    <w:rsid w:val="00F056FC"/>
    <w:rsid w:val="00F057F7"/>
    <w:rsid w:val="00F0632F"/>
    <w:rsid w:val="00F06790"/>
    <w:rsid w:val="00F069AE"/>
    <w:rsid w:val="00F10476"/>
    <w:rsid w:val="00F10611"/>
    <w:rsid w:val="00F115E9"/>
    <w:rsid w:val="00F12731"/>
    <w:rsid w:val="00F12EEB"/>
    <w:rsid w:val="00F1335A"/>
    <w:rsid w:val="00F135D8"/>
    <w:rsid w:val="00F14970"/>
    <w:rsid w:val="00F16873"/>
    <w:rsid w:val="00F179B1"/>
    <w:rsid w:val="00F17BE0"/>
    <w:rsid w:val="00F2104D"/>
    <w:rsid w:val="00F21439"/>
    <w:rsid w:val="00F21919"/>
    <w:rsid w:val="00F21C5A"/>
    <w:rsid w:val="00F220C4"/>
    <w:rsid w:val="00F222EA"/>
    <w:rsid w:val="00F240EB"/>
    <w:rsid w:val="00F24959"/>
    <w:rsid w:val="00F2506C"/>
    <w:rsid w:val="00F264AA"/>
    <w:rsid w:val="00F267B6"/>
    <w:rsid w:val="00F27ECE"/>
    <w:rsid w:val="00F30AB2"/>
    <w:rsid w:val="00F3111A"/>
    <w:rsid w:val="00F31299"/>
    <w:rsid w:val="00F322A7"/>
    <w:rsid w:val="00F327CC"/>
    <w:rsid w:val="00F33659"/>
    <w:rsid w:val="00F33862"/>
    <w:rsid w:val="00F338E1"/>
    <w:rsid w:val="00F3468E"/>
    <w:rsid w:val="00F3476B"/>
    <w:rsid w:val="00F34A38"/>
    <w:rsid w:val="00F34BC3"/>
    <w:rsid w:val="00F34DCB"/>
    <w:rsid w:val="00F3534A"/>
    <w:rsid w:val="00F35910"/>
    <w:rsid w:val="00F35A71"/>
    <w:rsid w:val="00F35BFB"/>
    <w:rsid w:val="00F361CA"/>
    <w:rsid w:val="00F36ACC"/>
    <w:rsid w:val="00F36F6B"/>
    <w:rsid w:val="00F4317F"/>
    <w:rsid w:val="00F43907"/>
    <w:rsid w:val="00F439DD"/>
    <w:rsid w:val="00F44166"/>
    <w:rsid w:val="00F44318"/>
    <w:rsid w:val="00F443B6"/>
    <w:rsid w:val="00F46075"/>
    <w:rsid w:val="00F4680B"/>
    <w:rsid w:val="00F4787E"/>
    <w:rsid w:val="00F47C5F"/>
    <w:rsid w:val="00F501D9"/>
    <w:rsid w:val="00F511ED"/>
    <w:rsid w:val="00F51609"/>
    <w:rsid w:val="00F51CC1"/>
    <w:rsid w:val="00F53B2E"/>
    <w:rsid w:val="00F53C5E"/>
    <w:rsid w:val="00F5419B"/>
    <w:rsid w:val="00F54E84"/>
    <w:rsid w:val="00F55C25"/>
    <w:rsid w:val="00F5632C"/>
    <w:rsid w:val="00F5652E"/>
    <w:rsid w:val="00F565C9"/>
    <w:rsid w:val="00F56CF9"/>
    <w:rsid w:val="00F56DB7"/>
    <w:rsid w:val="00F60C45"/>
    <w:rsid w:val="00F6114C"/>
    <w:rsid w:val="00F62635"/>
    <w:rsid w:val="00F62FC6"/>
    <w:rsid w:val="00F63372"/>
    <w:rsid w:val="00F654A4"/>
    <w:rsid w:val="00F65D26"/>
    <w:rsid w:val="00F708BF"/>
    <w:rsid w:val="00F709B8"/>
    <w:rsid w:val="00F71320"/>
    <w:rsid w:val="00F72529"/>
    <w:rsid w:val="00F7259D"/>
    <w:rsid w:val="00F72B91"/>
    <w:rsid w:val="00F72D33"/>
    <w:rsid w:val="00F73171"/>
    <w:rsid w:val="00F73727"/>
    <w:rsid w:val="00F73CB0"/>
    <w:rsid w:val="00F74320"/>
    <w:rsid w:val="00F744A6"/>
    <w:rsid w:val="00F75F56"/>
    <w:rsid w:val="00F763FE"/>
    <w:rsid w:val="00F766A7"/>
    <w:rsid w:val="00F76DEF"/>
    <w:rsid w:val="00F77C43"/>
    <w:rsid w:val="00F77DF1"/>
    <w:rsid w:val="00F77F4F"/>
    <w:rsid w:val="00F80CB5"/>
    <w:rsid w:val="00F81006"/>
    <w:rsid w:val="00F81042"/>
    <w:rsid w:val="00F81578"/>
    <w:rsid w:val="00F81888"/>
    <w:rsid w:val="00F819E4"/>
    <w:rsid w:val="00F82065"/>
    <w:rsid w:val="00F85325"/>
    <w:rsid w:val="00F87AE0"/>
    <w:rsid w:val="00F90988"/>
    <w:rsid w:val="00F91FC6"/>
    <w:rsid w:val="00F92EDD"/>
    <w:rsid w:val="00F93B27"/>
    <w:rsid w:val="00F93D9C"/>
    <w:rsid w:val="00F93EE5"/>
    <w:rsid w:val="00F947C6"/>
    <w:rsid w:val="00F94CF4"/>
    <w:rsid w:val="00F95838"/>
    <w:rsid w:val="00F95AFD"/>
    <w:rsid w:val="00F9750C"/>
    <w:rsid w:val="00FA064E"/>
    <w:rsid w:val="00FA0B27"/>
    <w:rsid w:val="00FA1F4C"/>
    <w:rsid w:val="00FA293C"/>
    <w:rsid w:val="00FA2F5D"/>
    <w:rsid w:val="00FA3908"/>
    <w:rsid w:val="00FA551C"/>
    <w:rsid w:val="00FA6F40"/>
    <w:rsid w:val="00FA7612"/>
    <w:rsid w:val="00FA7871"/>
    <w:rsid w:val="00FA7F0A"/>
    <w:rsid w:val="00FB0B28"/>
    <w:rsid w:val="00FB14A7"/>
    <w:rsid w:val="00FB14B3"/>
    <w:rsid w:val="00FB1F10"/>
    <w:rsid w:val="00FB22E8"/>
    <w:rsid w:val="00FB27A4"/>
    <w:rsid w:val="00FB39A5"/>
    <w:rsid w:val="00FB405A"/>
    <w:rsid w:val="00FB4D30"/>
    <w:rsid w:val="00FB507B"/>
    <w:rsid w:val="00FB5581"/>
    <w:rsid w:val="00FB599C"/>
    <w:rsid w:val="00FB5A0A"/>
    <w:rsid w:val="00FB5C2F"/>
    <w:rsid w:val="00FB6C73"/>
    <w:rsid w:val="00FB7667"/>
    <w:rsid w:val="00FC04D6"/>
    <w:rsid w:val="00FC1732"/>
    <w:rsid w:val="00FC236B"/>
    <w:rsid w:val="00FC250E"/>
    <w:rsid w:val="00FC3A5E"/>
    <w:rsid w:val="00FC4C15"/>
    <w:rsid w:val="00FC5CA3"/>
    <w:rsid w:val="00FC689B"/>
    <w:rsid w:val="00FC7066"/>
    <w:rsid w:val="00FC78F0"/>
    <w:rsid w:val="00FD16FE"/>
    <w:rsid w:val="00FD1DD1"/>
    <w:rsid w:val="00FD22B1"/>
    <w:rsid w:val="00FD2D92"/>
    <w:rsid w:val="00FD332F"/>
    <w:rsid w:val="00FD33F1"/>
    <w:rsid w:val="00FD3566"/>
    <w:rsid w:val="00FD45EB"/>
    <w:rsid w:val="00FD4995"/>
    <w:rsid w:val="00FD5029"/>
    <w:rsid w:val="00FD77E9"/>
    <w:rsid w:val="00FD7916"/>
    <w:rsid w:val="00FE0187"/>
    <w:rsid w:val="00FE02A2"/>
    <w:rsid w:val="00FE1895"/>
    <w:rsid w:val="00FE219C"/>
    <w:rsid w:val="00FE245E"/>
    <w:rsid w:val="00FE3C71"/>
    <w:rsid w:val="00FE487E"/>
    <w:rsid w:val="00FE5160"/>
    <w:rsid w:val="00FE5397"/>
    <w:rsid w:val="00FE61F5"/>
    <w:rsid w:val="00FE6D28"/>
    <w:rsid w:val="00FE7E33"/>
    <w:rsid w:val="00FF04A1"/>
    <w:rsid w:val="00FF159F"/>
    <w:rsid w:val="00FF2349"/>
    <w:rsid w:val="00FF272C"/>
    <w:rsid w:val="00FF3959"/>
    <w:rsid w:val="00FF55E1"/>
    <w:rsid w:val="00FF5C64"/>
    <w:rsid w:val="00FF6001"/>
    <w:rsid w:val="00FF63F9"/>
    <w:rsid w:val="00FF6785"/>
    <w:rsid w:val="00FF7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569F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DFA"/>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link w:val="Heading1Char"/>
    <w:rsid w:val="000F2024"/>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0F2024"/>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0F2024"/>
    <w:pPr>
      <w:spacing w:before="560" w:line="320" w:lineRule="exact"/>
      <w:ind w:left="0" w:firstLine="0"/>
      <w:outlineLvl w:val="2"/>
    </w:pPr>
    <w:rPr>
      <w:sz w:val="26"/>
    </w:rPr>
  </w:style>
  <w:style w:type="paragraph" w:styleId="Heading4">
    <w:name w:val="heading 4"/>
    <w:basedOn w:val="Heading3"/>
    <w:next w:val="BodyText"/>
    <w:qFormat/>
    <w:rsid w:val="000F2024"/>
    <w:pPr>
      <w:spacing w:before="480"/>
      <w:outlineLvl w:val="3"/>
    </w:pPr>
    <w:rPr>
      <w:b w:val="0"/>
      <w:sz w:val="24"/>
    </w:rPr>
  </w:style>
  <w:style w:type="paragraph" w:styleId="Heading5">
    <w:name w:val="heading 5"/>
    <w:basedOn w:val="Heading4"/>
    <w:next w:val="BodyText"/>
    <w:link w:val="Heading5Char"/>
    <w:qFormat/>
    <w:rsid w:val="000F2024"/>
    <w:pPr>
      <w:outlineLvl w:val="4"/>
    </w:pPr>
    <w:rPr>
      <w:i/>
      <w:sz w:val="22"/>
    </w:rPr>
  </w:style>
  <w:style w:type="paragraph" w:styleId="Heading6">
    <w:name w:val="heading 6"/>
    <w:basedOn w:val="BodyText"/>
    <w:next w:val="BodyText"/>
    <w:semiHidden/>
    <w:rsid w:val="000F2024"/>
    <w:pPr>
      <w:spacing w:after="60"/>
      <w:jc w:val="left"/>
      <w:outlineLvl w:val="5"/>
    </w:pPr>
    <w:rPr>
      <w:i/>
      <w:sz w:val="22"/>
    </w:rPr>
  </w:style>
  <w:style w:type="paragraph" w:styleId="Heading7">
    <w:name w:val="heading 7"/>
    <w:basedOn w:val="BodyText"/>
    <w:next w:val="BodyText"/>
    <w:semiHidden/>
    <w:rsid w:val="000F2024"/>
    <w:pPr>
      <w:spacing w:after="60" w:line="240" w:lineRule="auto"/>
      <w:jc w:val="left"/>
      <w:outlineLvl w:val="6"/>
    </w:pPr>
    <w:rPr>
      <w:rFonts w:ascii="Arial" w:hAnsi="Arial"/>
      <w:sz w:val="20"/>
    </w:rPr>
  </w:style>
  <w:style w:type="paragraph" w:styleId="Heading8">
    <w:name w:val="heading 8"/>
    <w:basedOn w:val="BodyText"/>
    <w:next w:val="BodyText"/>
    <w:semiHidden/>
    <w:rsid w:val="000F2024"/>
    <w:pPr>
      <w:spacing w:after="60" w:line="240" w:lineRule="auto"/>
      <w:jc w:val="left"/>
      <w:outlineLvl w:val="7"/>
    </w:pPr>
    <w:rPr>
      <w:rFonts w:ascii="Arial" w:hAnsi="Arial"/>
      <w:i/>
      <w:sz w:val="20"/>
    </w:rPr>
  </w:style>
  <w:style w:type="paragraph" w:styleId="Heading9">
    <w:name w:val="heading 9"/>
    <w:basedOn w:val="BodyText"/>
    <w:next w:val="BodyText"/>
    <w:semiHidden/>
    <w:rsid w:val="000F2024"/>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197D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7DFA"/>
  </w:style>
  <w:style w:type="paragraph" w:styleId="BodyText">
    <w:name w:val="Body Text"/>
    <w:link w:val="BodyTextChar"/>
    <w:qFormat/>
    <w:rsid w:val="000F2024"/>
    <w:pPr>
      <w:spacing w:before="240" w:line="300" w:lineRule="atLeast"/>
      <w:jc w:val="both"/>
    </w:pPr>
    <w:rPr>
      <w:sz w:val="24"/>
    </w:rPr>
  </w:style>
  <w:style w:type="paragraph" w:styleId="Footer">
    <w:name w:val="footer"/>
    <w:basedOn w:val="BodyText"/>
    <w:link w:val="FooterChar"/>
    <w:rsid w:val="000F2024"/>
    <w:pPr>
      <w:spacing w:before="80" w:line="200" w:lineRule="exact"/>
      <w:ind w:right="6"/>
      <w:jc w:val="left"/>
    </w:pPr>
    <w:rPr>
      <w:rFonts w:ascii="Arial" w:hAnsi="Arial"/>
      <w:caps/>
      <w:spacing w:val="-4"/>
      <w:sz w:val="16"/>
    </w:rPr>
  </w:style>
  <w:style w:type="paragraph" w:customStyle="1" w:styleId="FooterEnd">
    <w:name w:val="Footer End"/>
    <w:basedOn w:val="Footer"/>
    <w:rsid w:val="000F2024"/>
    <w:pPr>
      <w:spacing w:before="0" w:line="20" w:lineRule="exact"/>
    </w:pPr>
  </w:style>
  <w:style w:type="paragraph" w:styleId="Header">
    <w:name w:val="header"/>
    <w:basedOn w:val="BodyText"/>
    <w:rsid w:val="000F2024"/>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0F2024"/>
    <w:pPr>
      <w:spacing w:line="20" w:lineRule="exact"/>
    </w:pPr>
    <w:rPr>
      <w:sz w:val="16"/>
    </w:rPr>
  </w:style>
  <w:style w:type="paragraph" w:customStyle="1" w:styleId="HeaderEven">
    <w:name w:val="Header Even"/>
    <w:basedOn w:val="Header"/>
    <w:rsid w:val="000F2024"/>
  </w:style>
  <w:style w:type="paragraph" w:customStyle="1" w:styleId="HeaderOdd">
    <w:name w:val="Header Odd"/>
    <w:basedOn w:val="Header"/>
    <w:rsid w:val="000F2024"/>
  </w:style>
  <w:style w:type="character" w:styleId="PageNumber">
    <w:name w:val="page number"/>
    <w:basedOn w:val="DefaultParagraphFont"/>
    <w:rsid w:val="000F2024"/>
    <w:rPr>
      <w:rFonts w:ascii="Arial" w:hAnsi="Arial"/>
      <w:b/>
      <w:sz w:val="16"/>
    </w:rPr>
  </w:style>
  <w:style w:type="paragraph" w:customStyle="1" w:styleId="Abbreviation">
    <w:name w:val="Abbreviation"/>
    <w:basedOn w:val="BodyText"/>
    <w:rsid w:val="000F2024"/>
    <w:pPr>
      <w:spacing w:before="120"/>
      <w:ind w:left="2381" w:hanging="2381"/>
      <w:jc w:val="left"/>
    </w:pPr>
  </w:style>
  <w:style w:type="paragraph" w:customStyle="1" w:styleId="Box">
    <w:name w:val="Box"/>
    <w:basedOn w:val="BodyText"/>
    <w:link w:val="BoxChar"/>
    <w:qFormat/>
    <w:rsid w:val="000F2024"/>
    <w:pPr>
      <w:keepNext/>
      <w:spacing w:before="120" w:line="260" w:lineRule="atLeast"/>
    </w:pPr>
    <w:rPr>
      <w:rFonts w:ascii="Arial" w:hAnsi="Arial"/>
      <w:sz w:val="20"/>
    </w:rPr>
  </w:style>
  <w:style w:type="paragraph" w:customStyle="1" w:styleId="BoxContinued">
    <w:name w:val="Box Continued"/>
    <w:basedOn w:val="BodyText"/>
    <w:next w:val="BodyText"/>
    <w:semiHidden/>
    <w:rsid w:val="000F2024"/>
    <w:pPr>
      <w:spacing w:before="180" w:line="220" w:lineRule="exact"/>
      <w:jc w:val="right"/>
    </w:pPr>
    <w:rPr>
      <w:rFonts w:ascii="Arial" w:hAnsi="Arial"/>
      <w:sz w:val="18"/>
    </w:rPr>
  </w:style>
  <w:style w:type="paragraph" w:customStyle="1" w:styleId="BoxHeading1">
    <w:name w:val="Box Heading 1"/>
    <w:basedOn w:val="BodyText"/>
    <w:next w:val="Box"/>
    <w:rsid w:val="000F2024"/>
    <w:pPr>
      <w:keepNext/>
      <w:spacing w:before="200" w:line="280" w:lineRule="atLeast"/>
    </w:pPr>
    <w:rPr>
      <w:rFonts w:ascii="Arial" w:hAnsi="Arial"/>
      <w:b/>
      <w:sz w:val="22"/>
    </w:rPr>
  </w:style>
  <w:style w:type="paragraph" w:customStyle="1" w:styleId="BoxHeading2">
    <w:name w:val="Box Heading 2"/>
    <w:basedOn w:val="BoxHeading1"/>
    <w:next w:val="Normal"/>
    <w:rsid w:val="000F2024"/>
    <w:rPr>
      <w:b w:val="0"/>
      <w:i/>
    </w:rPr>
  </w:style>
  <w:style w:type="paragraph" w:customStyle="1" w:styleId="BoxListBullet">
    <w:name w:val="Box List Bullet"/>
    <w:basedOn w:val="BodyText"/>
    <w:rsid w:val="000F2024"/>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0F2024"/>
    <w:pPr>
      <w:numPr>
        <w:numId w:val="13"/>
      </w:numPr>
      <w:ind w:left="568" w:hanging="284"/>
    </w:pPr>
  </w:style>
  <w:style w:type="paragraph" w:customStyle="1" w:styleId="BoxListNumber">
    <w:name w:val="Box List Number"/>
    <w:basedOn w:val="BodyText"/>
    <w:rsid w:val="000F2024"/>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F2024"/>
    <w:pPr>
      <w:numPr>
        <w:ilvl w:val="1"/>
      </w:numPr>
      <w:ind w:left="681" w:hanging="397"/>
    </w:pPr>
  </w:style>
  <w:style w:type="paragraph" w:customStyle="1" w:styleId="BoxQuote">
    <w:name w:val="Box Quote"/>
    <w:basedOn w:val="BodyText"/>
    <w:next w:val="Box"/>
    <w:qFormat/>
    <w:rsid w:val="000F2024"/>
    <w:pPr>
      <w:keepNext/>
      <w:spacing w:before="60" w:line="240" w:lineRule="exact"/>
      <w:ind w:left="284"/>
    </w:pPr>
    <w:rPr>
      <w:rFonts w:ascii="Arial" w:hAnsi="Arial"/>
      <w:sz w:val="18"/>
    </w:rPr>
  </w:style>
  <w:style w:type="paragraph" w:customStyle="1" w:styleId="Note">
    <w:name w:val="Note"/>
    <w:basedOn w:val="BodyText"/>
    <w:next w:val="BodyText"/>
    <w:rsid w:val="000F2024"/>
    <w:pPr>
      <w:keepLines/>
      <w:spacing w:before="80" w:line="220" w:lineRule="exact"/>
    </w:pPr>
    <w:rPr>
      <w:rFonts w:ascii="Arial" w:hAnsi="Arial"/>
      <w:sz w:val="18"/>
    </w:rPr>
  </w:style>
  <w:style w:type="paragraph" w:customStyle="1" w:styleId="Source">
    <w:name w:val="Source"/>
    <w:basedOn w:val="Normal"/>
    <w:next w:val="BodyText"/>
    <w:rsid w:val="000F2024"/>
    <w:pPr>
      <w:keepLines/>
      <w:spacing w:before="80" w:line="220" w:lineRule="exact"/>
      <w:jc w:val="both"/>
    </w:pPr>
    <w:rPr>
      <w:rFonts w:ascii="Arial" w:hAnsi="Arial"/>
      <w:sz w:val="18"/>
      <w:szCs w:val="20"/>
    </w:rPr>
  </w:style>
  <w:style w:type="paragraph" w:customStyle="1" w:styleId="BoxSource">
    <w:name w:val="Box Source"/>
    <w:basedOn w:val="Source"/>
    <w:next w:val="BodyText"/>
    <w:rsid w:val="000F2024"/>
    <w:pPr>
      <w:spacing w:before="120"/>
    </w:pPr>
  </w:style>
  <w:style w:type="paragraph" w:customStyle="1" w:styleId="BoxSpaceAbove">
    <w:name w:val="Box Space Above"/>
    <w:basedOn w:val="BodyText"/>
    <w:rsid w:val="000F2024"/>
    <w:pPr>
      <w:keepNext/>
      <w:spacing w:before="360" w:line="80" w:lineRule="exact"/>
      <w:jc w:val="left"/>
    </w:pPr>
  </w:style>
  <w:style w:type="paragraph" w:styleId="Caption">
    <w:name w:val="caption"/>
    <w:basedOn w:val="Normal"/>
    <w:next w:val="BodyText"/>
    <w:rsid w:val="000F2024"/>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0F2024"/>
    <w:pPr>
      <w:spacing w:before="120" w:after="0"/>
    </w:pPr>
  </w:style>
  <w:style w:type="paragraph" w:customStyle="1" w:styleId="BoxSubtitle">
    <w:name w:val="Box Subtitle"/>
    <w:basedOn w:val="BoxTitle"/>
    <w:next w:val="Normal"/>
    <w:rsid w:val="000F2024"/>
    <w:pPr>
      <w:spacing w:after="80" w:line="200" w:lineRule="exact"/>
      <w:ind w:firstLine="0"/>
    </w:pPr>
    <w:rPr>
      <w:b w:val="0"/>
      <w:sz w:val="20"/>
    </w:rPr>
  </w:style>
  <w:style w:type="paragraph" w:customStyle="1" w:styleId="Chapter">
    <w:name w:val="Chapter"/>
    <w:basedOn w:val="Heading1"/>
    <w:next w:val="BodyText"/>
    <w:semiHidden/>
    <w:rsid w:val="000F2024"/>
    <w:pPr>
      <w:ind w:left="0" w:firstLine="0"/>
      <w:outlineLvl w:val="9"/>
    </w:pPr>
  </w:style>
  <w:style w:type="paragraph" w:customStyle="1" w:styleId="ChapterSummary">
    <w:name w:val="Chapter Summary"/>
    <w:basedOn w:val="BodyText"/>
    <w:rsid w:val="000F2024"/>
    <w:pPr>
      <w:spacing w:line="280" w:lineRule="atLeast"/>
      <w:ind w:left="907"/>
    </w:pPr>
    <w:rPr>
      <w:rFonts w:ascii="Arial" w:hAnsi="Arial"/>
      <w:b/>
      <w:sz w:val="20"/>
    </w:rPr>
  </w:style>
  <w:style w:type="character" w:styleId="CommentReference">
    <w:name w:val="annotation reference"/>
    <w:basedOn w:val="DefaultParagraphFont"/>
    <w:semiHidden/>
    <w:rsid w:val="000F2024"/>
    <w:rPr>
      <w:b/>
      <w:vanish/>
      <w:color w:val="FF00FF"/>
      <w:sz w:val="20"/>
    </w:rPr>
  </w:style>
  <w:style w:type="paragraph" w:styleId="CommentText">
    <w:name w:val="annotation text"/>
    <w:basedOn w:val="Normal"/>
    <w:link w:val="CommentTextChar"/>
    <w:semiHidden/>
    <w:rsid w:val="000F2024"/>
    <w:pPr>
      <w:spacing w:before="120" w:line="240" w:lineRule="atLeast"/>
      <w:ind w:left="567" w:hanging="567"/>
    </w:pPr>
    <w:rPr>
      <w:sz w:val="20"/>
    </w:rPr>
  </w:style>
  <w:style w:type="paragraph" w:customStyle="1" w:styleId="Continued">
    <w:name w:val="Continued"/>
    <w:basedOn w:val="BoxContinued"/>
    <w:next w:val="BodyText"/>
    <w:rsid w:val="000F2024"/>
  </w:style>
  <w:style w:type="character" w:customStyle="1" w:styleId="DocumentInfo">
    <w:name w:val="Document Info"/>
    <w:basedOn w:val="DefaultParagraphFont"/>
    <w:semiHidden/>
    <w:rsid w:val="000F2024"/>
    <w:rPr>
      <w:rFonts w:ascii="Arial" w:hAnsi="Arial"/>
      <w:sz w:val="14"/>
    </w:rPr>
  </w:style>
  <w:style w:type="character" w:customStyle="1" w:styleId="DraftingNote">
    <w:name w:val="Drafting Note"/>
    <w:basedOn w:val="DefaultParagraphFont"/>
    <w:rsid w:val="000F2024"/>
    <w:rPr>
      <w:b/>
      <w:color w:val="FF0000"/>
      <w:sz w:val="24"/>
      <w:u w:val="dotted"/>
    </w:rPr>
  </w:style>
  <w:style w:type="paragraph" w:customStyle="1" w:styleId="Figure">
    <w:name w:val="Figure"/>
    <w:basedOn w:val="BodyText"/>
    <w:rsid w:val="000F2024"/>
    <w:pPr>
      <w:keepNext/>
      <w:spacing w:before="120" w:after="120" w:line="240" w:lineRule="atLeast"/>
      <w:jc w:val="center"/>
    </w:pPr>
  </w:style>
  <w:style w:type="paragraph" w:customStyle="1" w:styleId="FigureTitle">
    <w:name w:val="Figure Title"/>
    <w:basedOn w:val="Caption"/>
    <w:next w:val="Subtitle"/>
    <w:rsid w:val="000F2024"/>
    <w:pPr>
      <w:spacing w:before="120"/>
    </w:pPr>
  </w:style>
  <w:style w:type="paragraph" w:styleId="Subtitle">
    <w:name w:val="Subtitle"/>
    <w:basedOn w:val="Caption"/>
    <w:link w:val="SubtitleChar"/>
    <w:qFormat/>
    <w:rsid w:val="000F2024"/>
    <w:pPr>
      <w:spacing w:before="0" w:line="200" w:lineRule="exact"/>
      <w:ind w:firstLine="0"/>
    </w:pPr>
    <w:rPr>
      <w:b w:val="0"/>
      <w:sz w:val="20"/>
    </w:rPr>
  </w:style>
  <w:style w:type="paragraph" w:customStyle="1" w:styleId="Finding">
    <w:name w:val="Finding"/>
    <w:basedOn w:val="BodyText"/>
    <w:rsid w:val="000F2024"/>
    <w:pPr>
      <w:keepLines/>
      <w:spacing w:before="120" w:line="280" w:lineRule="atLeast"/>
    </w:pPr>
    <w:rPr>
      <w:rFonts w:ascii="Arial" w:hAnsi="Arial"/>
      <w:sz w:val="22"/>
    </w:rPr>
  </w:style>
  <w:style w:type="paragraph" w:customStyle="1" w:styleId="FindingBullet">
    <w:name w:val="Finding Bullet"/>
    <w:basedOn w:val="Finding"/>
    <w:rsid w:val="000F2024"/>
    <w:pPr>
      <w:numPr>
        <w:numId w:val="15"/>
      </w:numPr>
      <w:spacing w:before="80"/>
    </w:pPr>
  </w:style>
  <w:style w:type="paragraph" w:customStyle="1" w:styleId="FindingNoTitle">
    <w:name w:val="Finding NoTitle"/>
    <w:basedOn w:val="Finding"/>
    <w:semiHidden/>
    <w:rsid w:val="000F2024"/>
    <w:pPr>
      <w:spacing w:before="240"/>
    </w:pPr>
  </w:style>
  <w:style w:type="paragraph" w:customStyle="1" w:styleId="RecTitle">
    <w:name w:val="Rec Title"/>
    <w:basedOn w:val="BodyText"/>
    <w:next w:val="Rec"/>
    <w:qFormat/>
    <w:rsid w:val="000F2024"/>
    <w:pPr>
      <w:keepNext/>
      <w:keepLines/>
      <w:spacing w:line="280" w:lineRule="atLeast"/>
    </w:pPr>
    <w:rPr>
      <w:rFonts w:ascii="Arial" w:hAnsi="Arial"/>
      <w:caps/>
      <w:sz w:val="18"/>
    </w:rPr>
  </w:style>
  <w:style w:type="paragraph" w:customStyle="1" w:styleId="FindingTitle">
    <w:name w:val="Finding Title"/>
    <w:basedOn w:val="RecTitle"/>
    <w:next w:val="Finding"/>
    <w:rsid w:val="000F2024"/>
  </w:style>
  <w:style w:type="character" w:styleId="FootnoteReference">
    <w:name w:val="footnote reference"/>
    <w:basedOn w:val="DefaultParagraphFont"/>
    <w:rsid w:val="000F2024"/>
    <w:rPr>
      <w:rFonts w:ascii="Times New Roman" w:hAnsi="Times New Roman"/>
      <w:position w:val="6"/>
      <w:sz w:val="20"/>
      <w:vertAlign w:val="baseline"/>
    </w:rPr>
  </w:style>
  <w:style w:type="paragraph" w:styleId="FootnoteText">
    <w:name w:val="footnote text"/>
    <w:basedOn w:val="BodyText"/>
    <w:link w:val="FootnoteTextChar"/>
    <w:rsid w:val="000F2024"/>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0F2024"/>
    <w:rPr>
      <w:i/>
    </w:rPr>
  </w:style>
  <w:style w:type="paragraph" w:customStyle="1" w:styleId="Jurisdictioncommentsbodytext">
    <w:name w:val="Jurisdiction comments body text"/>
    <w:rsid w:val="000F2024"/>
    <w:pPr>
      <w:spacing w:after="140"/>
      <w:jc w:val="both"/>
    </w:pPr>
    <w:rPr>
      <w:rFonts w:ascii="Arial" w:hAnsi="Arial"/>
      <w:sz w:val="24"/>
      <w:lang w:eastAsia="en-US"/>
    </w:rPr>
  </w:style>
  <w:style w:type="paragraph" w:customStyle="1" w:styleId="Jurisdictioncommentsheading">
    <w:name w:val="Jurisdiction comments heading"/>
    <w:rsid w:val="000F2024"/>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0F2024"/>
    <w:pPr>
      <w:numPr>
        <w:numId w:val="2"/>
      </w:numPr>
      <w:spacing w:after="140"/>
      <w:jc w:val="both"/>
    </w:pPr>
    <w:rPr>
      <w:rFonts w:ascii="Arial" w:hAnsi="Arial"/>
      <w:sz w:val="24"/>
      <w:lang w:eastAsia="en-US"/>
    </w:rPr>
  </w:style>
  <w:style w:type="paragraph" w:styleId="ListBullet">
    <w:name w:val="List Bullet"/>
    <w:basedOn w:val="BodyText"/>
    <w:rsid w:val="000F2024"/>
    <w:pPr>
      <w:numPr>
        <w:numId w:val="3"/>
      </w:numPr>
      <w:spacing w:before="120"/>
    </w:pPr>
  </w:style>
  <w:style w:type="paragraph" w:styleId="ListBullet2">
    <w:name w:val="List Bullet 2"/>
    <w:basedOn w:val="BodyText"/>
    <w:rsid w:val="000F2024"/>
    <w:pPr>
      <w:numPr>
        <w:numId w:val="4"/>
      </w:numPr>
      <w:spacing w:before="120"/>
    </w:pPr>
  </w:style>
  <w:style w:type="paragraph" w:styleId="ListBullet3">
    <w:name w:val="List Bullet 3"/>
    <w:basedOn w:val="BodyText"/>
    <w:rsid w:val="000F2024"/>
    <w:pPr>
      <w:numPr>
        <w:numId w:val="5"/>
      </w:numPr>
      <w:spacing w:before="120"/>
      <w:ind w:left="1020" w:hanging="340"/>
    </w:pPr>
  </w:style>
  <w:style w:type="paragraph" w:styleId="ListNumber">
    <w:name w:val="List Number"/>
    <w:basedOn w:val="BodyText"/>
    <w:rsid w:val="000F2024"/>
    <w:pPr>
      <w:numPr>
        <w:numId w:val="9"/>
      </w:numPr>
      <w:spacing w:before="120"/>
    </w:pPr>
  </w:style>
  <w:style w:type="paragraph" w:styleId="ListNumber2">
    <w:name w:val="List Number 2"/>
    <w:basedOn w:val="ListNumber"/>
    <w:rsid w:val="000F2024"/>
    <w:pPr>
      <w:numPr>
        <w:ilvl w:val="1"/>
      </w:numPr>
    </w:pPr>
  </w:style>
  <w:style w:type="paragraph" w:styleId="ListNumber3">
    <w:name w:val="List Number 3"/>
    <w:basedOn w:val="ListNumber2"/>
    <w:rsid w:val="000F2024"/>
    <w:pPr>
      <w:numPr>
        <w:ilvl w:val="2"/>
      </w:numPr>
    </w:pPr>
  </w:style>
  <w:style w:type="character" w:customStyle="1" w:styleId="NoteLabel">
    <w:name w:val="Note Label"/>
    <w:basedOn w:val="DefaultParagraphFont"/>
    <w:rsid w:val="000F2024"/>
    <w:rPr>
      <w:rFonts w:ascii="Arial" w:hAnsi="Arial"/>
      <w:b/>
      <w:position w:val="6"/>
      <w:sz w:val="18"/>
    </w:rPr>
  </w:style>
  <w:style w:type="paragraph" w:customStyle="1" w:styleId="PartDivider">
    <w:name w:val="Part Divider"/>
    <w:basedOn w:val="BodyText"/>
    <w:next w:val="BodyText"/>
    <w:semiHidden/>
    <w:rsid w:val="000F2024"/>
    <w:pPr>
      <w:spacing w:before="0" w:line="40" w:lineRule="exact"/>
      <w:jc w:val="right"/>
    </w:pPr>
    <w:rPr>
      <w:smallCaps/>
      <w:sz w:val="16"/>
    </w:rPr>
  </w:style>
  <w:style w:type="paragraph" w:customStyle="1" w:styleId="PartNumber">
    <w:name w:val="Part Number"/>
    <w:basedOn w:val="BodyText"/>
    <w:next w:val="BodyText"/>
    <w:semiHidden/>
    <w:rsid w:val="000F2024"/>
    <w:pPr>
      <w:spacing w:before="4000" w:line="320" w:lineRule="exact"/>
      <w:ind w:left="6634"/>
      <w:jc w:val="right"/>
    </w:pPr>
    <w:rPr>
      <w:smallCaps/>
      <w:spacing w:val="60"/>
      <w:sz w:val="32"/>
    </w:rPr>
  </w:style>
  <w:style w:type="paragraph" w:customStyle="1" w:styleId="PartTitle">
    <w:name w:val="Part Title"/>
    <w:basedOn w:val="BodyText"/>
    <w:semiHidden/>
    <w:rsid w:val="000F2024"/>
    <w:pPr>
      <w:spacing w:before="160" w:after="1360" w:line="520" w:lineRule="exact"/>
      <w:ind w:right="2381"/>
      <w:jc w:val="right"/>
    </w:pPr>
    <w:rPr>
      <w:smallCaps/>
      <w:sz w:val="52"/>
    </w:rPr>
  </w:style>
  <w:style w:type="paragraph" w:styleId="Quote">
    <w:name w:val="Quote"/>
    <w:basedOn w:val="BodyText"/>
    <w:next w:val="BodyText"/>
    <w:link w:val="QuoteChar"/>
    <w:qFormat/>
    <w:rsid w:val="000F2024"/>
    <w:pPr>
      <w:spacing w:before="120" w:line="280" w:lineRule="exact"/>
      <w:ind w:left="340"/>
    </w:pPr>
    <w:rPr>
      <w:sz w:val="22"/>
    </w:rPr>
  </w:style>
  <w:style w:type="paragraph" w:customStyle="1" w:styleId="QuoteBullet">
    <w:name w:val="Quote Bullet"/>
    <w:basedOn w:val="Quote"/>
    <w:rsid w:val="000F2024"/>
    <w:pPr>
      <w:numPr>
        <w:numId w:val="6"/>
      </w:numPr>
    </w:pPr>
  </w:style>
  <w:style w:type="paragraph" w:customStyle="1" w:styleId="Rec">
    <w:name w:val="Rec"/>
    <w:basedOn w:val="BodyText"/>
    <w:qFormat/>
    <w:rsid w:val="000F2024"/>
    <w:pPr>
      <w:keepLines/>
      <w:spacing w:before="120" w:line="280" w:lineRule="atLeast"/>
    </w:pPr>
    <w:rPr>
      <w:rFonts w:ascii="Arial" w:hAnsi="Arial"/>
      <w:sz w:val="22"/>
    </w:rPr>
  </w:style>
  <w:style w:type="paragraph" w:customStyle="1" w:styleId="RecBullet">
    <w:name w:val="Rec Bullet"/>
    <w:basedOn w:val="Rec"/>
    <w:rsid w:val="000F2024"/>
    <w:pPr>
      <w:numPr>
        <w:numId w:val="17"/>
      </w:numPr>
      <w:spacing w:before="80"/>
    </w:pPr>
  </w:style>
  <w:style w:type="paragraph" w:customStyle="1" w:styleId="RecB">
    <w:name w:val="RecB"/>
    <w:basedOn w:val="Normal"/>
    <w:semiHidden/>
    <w:rsid w:val="000F2024"/>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0F2024"/>
    <w:pPr>
      <w:numPr>
        <w:numId w:val="11"/>
      </w:numPr>
      <w:spacing w:before="80"/>
    </w:pPr>
  </w:style>
  <w:style w:type="paragraph" w:customStyle="1" w:styleId="RecBNoTitle">
    <w:name w:val="RecB NoTitle"/>
    <w:basedOn w:val="RecB"/>
    <w:semiHidden/>
    <w:rsid w:val="000F2024"/>
    <w:pPr>
      <w:spacing w:before="240"/>
    </w:pPr>
  </w:style>
  <w:style w:type="paragraph" w:customStyle="1" w:styleId="Reference">
    <w:name w:val="Reference"/>
    <w:basedOn w:val="BodyText"/>
    <w:rsid w:val="000F2024"/>
    <w:pPr>
      <w:spacing w:before="120"/>
      <w:ind w:left="340" w:hanging="340"/>
    </w:pPr>
  </w:style>
  <w:style w:type="paragraph" w:customStyle="1" w:styleId="SequenceInfo">
    <w:name w:val="Sequence Info"/>
    <w:basedOn w:val="BodyText"/>
    <w:semiHidden/>
    <w:rsid w:val="000F2024"/>
    <w:rPr>
      <w:vanish/>
      <w:sz w:val="16"/>
    </w:rPr>
  </w:style>
  <w:style w:type="paragraph" w:customStyle="1" w:styleId="SideNote">
    <w:name w:val="Side Note"/>
    <w:basedOn w:val="BodyText"/>
    <w:next w:val="BodyText"/>
    <w:semiHidden/>
    <w:rsid w:val="000F2024"/>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0F2024"/>
    <w:pPr>
      <w:framePr w:wrap="around"/>
      <w:numPr>
        <w:numId w:val="7"/>
      </w:numPr>
      <w:tabs>
        <w:tab w:val="left" w:pos="227"/>
      </w:tabs>
    </w:pPr>
  </w:style>
  <w:style w:type="paragraph" w:customStyle="1" w:styleId="SideNoteGraphic">
    <w:name w:val="Side Note Graphic"/>
    <w:basedOn w:val="SideNote"/>
    <w:next w:val="BodyText"/>
    <w:semiHidden/>
    <w:rsid w:val="000F2024"/>
    <w:pPr>
      <w:framePr w:wrap="around"/>
    </w:pPr>
  </w:style>
  <w:style w:type="paragraph" w:customStyle="1" w:styleId="TableBodyText">
    <w:name w:val="Table Body Text"/>
    <w:basedOn w:val="BodyText"/>
    <w:rsid w:val="000F2024"/>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0F2024"/>
    <w:pPr>
      <w:numPr>
        <w:numId w:val="8"/>
      </w:numPr>
      <w:jc w:val="left"/>
    </w:pPr>
  </w:style>
  <w:style w:type="paragraph" w:customStyle="1" w:styleId="TableColumnHeading">
    <w:name w:val="Table Column Heading"/>
    <w:basedOn w:val="TableBodyText"/>
    <w:rsid w:val="000F2024"/>
    <w:pPr>
      <w:spacing w:before="80" w:after="80"/>
    </w:pPr>
    <w:rPr>
      <w:i/>
    </w:rPr>
  </w:style>
  <w:style w:type="paragraph" w:styleId="TOC2">
    <w:name w:val="toc 2"/>
    <w:basedOn w:val="TOC1"/>
    <w:rsid w:val="000F2024"/>
    <w:pPr>
      <w:ind w:left="1134" w:hanging="624"/>
    </w:pPr>
    <w:rPr>
      <w:b w:val="0"/>
    </w:rPr>
  </w:style>
  <w:style w:type="paragraph" w:styleId="TOC3">
    <w:name w:val="toc 3"/>
    <w:basedOn w:val="TOC2"/>
    <w:rsid w:val="000F2024"/>
    <w:pPr>
      <w:spacing w:before="60"/>
      <w:ind w:left="1190" w:hanging="680"/>
    </w:pPr>
  </w:style>
  <w:style w:type="paragraph" w:styleId="TableofFigures">
    <w:name w:val="table of figures"/>
    <w:basedOn w:val="TOC3"/>
    <w:next w:val="BodyText"/>
    <w:semiHidden/>
    <w:rsid w:val="000F2024"/>
    <w:pPr>
      <w:ind w:left="737" w:hanging="737"/>
    </w:pPr>
  </w:style>
  <w:style w:type="paragraph" w:customStyle="1" w:styleId="TableTitle">
    <w:name w:val="Table Title"/>
    <w:basedOn w:val="Caption"/>
    <w:next w:val="Subtitle"/>
    <w:qFormat/>
    <w:rsid w:val="000F2024"/>
    <w:pPr>
      <w:spacing w:before="120"/>
    </w:pPr>
  </w:style>
  <w:style w:type="paragraph" w:customStyle="1" w:styleId="TableUnitsRow">
    <w:name w:val="Table Units Row"/>
    <w:basedOn w:val="TableBodyText"/>
    <w:rsid w:val="000F2024"/>
    <w:pPr>
      <w:spacing w:before="40"/>
    </w:pPr>
  </w:style>
  <w:style w:type="paragraph" w:styleId="TOC1">
    <w:name w:val="toc 1"/>
    <w:basedOn w:val="Normal"/>
    <w:next w:val="TOC2"/>
    <w:link w:val="TOC1Char"/>
    <w:rsid w:val="000F2024"/>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0F2024"/>
    <w:pPr>
      <w:ind w:left="1191" w:firstLine="0"/>
    </w:pPr>
  </w:style>
  <w:style w:type="paragraph" w:customStyle="1" w:styleId="RecBBullet2">
    <w:name w:val="RecB Bullet 2"/>
    <w:basedOn w:val="ListBullet2"/>
    <w:semiHidden/>
    <w:rsid w:val="000F2024"/>
    <w:pPr>
      <w:pBdr>
        <w:left w:val="single" w:sz="24" w:space="29" w:color="C0C0C0"/>
      </w:pBdr>
    </w:pPr>
    <w:rPr>
      <w:b/>
      <w:i/>
    </w:rPr>
  </w:style>
  <w:style w:type="paragraph" w:styleId="BalloonText">
    <w:name w:val="Balloon Text"/>
    <w:basedOn w:val="Normal"/>
    <w:link w:val="BalloonTextChar"/>
    <w:rsid w:val="000F2024"/>
    <w:rPr>
      <w:rFonts w:ascii="Tahoma" w:hAnsi="Tahoma" w:cs="Tahoma"/>
      <w:sz w:val="16"/>
      <w:szCs w:val="16"/>
    </w:rPr>
  </w:style>
  <w:style w:type="character" w:customStyle="1" w:styleId="BalloonTextChar">
    <w:name w:val="Balloon Text Char"/>
    <w:basedOn w:val="DefaultParagraphFont"/>
    <w:link w:val="BalloonText"/>
    <w:rsid w:val="000F2024"/>
    <w:rPr>
      <w:rFonts w:ascii="Tahoma" w:hAnsi="Tahoma" w:cs="Tahoma"/>
      <w:sz w:val="16"/>
      <w:szCs w:val="16"/>
    </w:rPr>
  </w:style>
  <w:style w:type="character" w:customStyle="1" w:styleId="SubtitleChar">
    <w:name w:val="Subtitle Char"/>
    <w:basedOn w:val="DefaultParagraphFont"/>
    <w:link w:val="Subtitle"/>
    <w:rsid w:val="000F2024"/>
    <w:rPr>
      <w:rFonts w:ascii="Arial" w:hAnsi="Arial"/>
      <w:szCs w:val="24"/>
    </w:rPr>
  </w:style>
  <w:style w:type="paragraph" w:customStyle="1" w:styleId="BoxListBullet3">
    <w:name w:val="Box List Bullet 3"/>
    <w:basedOn w:val="ListBullet3"/>
    <w:rsid w:val="000F2024"/>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0F2024"/>
    <w:rPr>
      <w:i/>
      <w:iCs/>
    </w:rPr>
  </w:style>
  <w:style w:type="paragraph" w:customStyle="1" w:styleId="BoxQuoteBullet">
    <w:name w:val="Box Quote Bullet"/>
    <w:basedOn w:val="BoxQuote"/>
    <w:next w:val="Box"/>
    <w:rsid w:val="000F2024"/>
    <w:pPr>
      <w:numPr>
        <w:numId w:val="12"/>
      </w:numPr>
      <w:ind w:left="568" w:hanging="284"/>
    </w:pPr>
  </w:style>
  <w:style w:type="paragraph" w:customStyle="1" w:styleId="InformationRequestBullet">
    <w:name w:val="Information Request Bullet"/>
    <w:basedOn w:val="ListBullet"/>
    <w:next w:val="BodyText"/>
    <w:rsid w:val="000F2024"/>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0F2024"/>
    <w:pPr>
      <w:keepNext w:val="0"/>
      <w:spacing w:before="60" w:after="60" w:line="80" w:lineRule="exact"/>
    </w:pPr>
    <w:rPr>
      <w:sz w:val="14"/>
    </w:rPr>
  </w:style>
  <w:style w:type="paragraph" w:customStyle="1" w:styleId="KeyPointsListBullet">
    <w:name w:val="Key Points List Bullet"/>
    <w:basedOn w:val="Normal"/>
    <w:qFormat/>
    <w:rsid w:val="000F2024"/>
    <w:pPr>
      <w:keepNext/>
      <w:numPr>
        <w:numId w:val="20"/>
      </w:numPr>
      <w:spacing w:before="100" w:line="260" w:lineRule="atLeast"/>
      <w:ind w:left="357" w:hanging="357"/>
      <w:jc w:val="both"/>
    </w:pPr>
    <w:rPr>
      <w:rFonts w:ascii="Arial" w:hAnsi="Arial"/>
      <w:sz w:val="20"/>
      <w:szCs w:val="20"/>
    </w:rPr>
  </w:style>
  <w:style w:type="paragraph" w:customStyle="1" w:styleId="KeyPointsListBullet2">
    <w:name w:val="Key Points List Bullet 2"/>
    <w:basedOn w:val="BoxListBullet2"/>
    <w:rsid w:val="000F2024"/>
    <w:pPr>
      <w:numPr>
        <w:numId w:val="21"/>
      </w:numPr>
      <w:ind w:left="568" w:hanging="284"/>
    </w:pPr>
  </w:style>
  <w:style w:type="paragraph" w:customStyle="1" w:styleId="InformationRequestTitle">
    <w:name w:val="Information Request Title"/>
    <w:basedOn w:val="FindingTitle"/>
    <w:next w:val="InformationRequest"/>
    <w:rsid w:val="000F2024"/>
    <w:rPr>
      <w:i/>
    </w:rPr>
  </w:style>
  <w:style w:type="paragraph" w:customStyle="1" w:styleId="Space">
    <w:name w:val="Space"/>
    <w:basedOn w:val="Normal"/>
    <w:rsid w:val="000F2024"/>
    <w:pPr>
      <w:keepNext/>
      <w:spacing w:line="120" w:lineRule="exact"/>
      <w:jc w:val="both"/>
    </w:pPr>
    <w:rPr>
      <w:rFonts w:ascii="Arial" w:hAnsi="Arial"/>
      <w:sz w:val="20"/>
      <w:szCs w:val="20"/>
    </w:rPr>
  </w:style>
  <w:style w:type="paragraph" w:customStyle="1" w:styleId="Heading1nochapterno">
    <w:name w:val="Heading 1 (no chapter no.)"/>
    <w:basedOn w:val="Heading1"/>
    <w:rsid w:val="000F2024"/>
    <w:pPr>
      <w:spacing w:before="0"/>
      <w:ind w:left="0" w:firstLine="0"/>
    </w:pPr>
  </w:style>
  <w:style w:type="paragraph" w:customStyle="1" w:styleId="Heading2nosectionno">
    <w:name w:val="Heading 2 (no section no.)"/>
    <w:basedOn w:val="Heading2"/>
    <w:rsid w:val="000F2024"/>
    <w:pPr>
      <w:ind w:left="0" w:firstLine="0"/>
    </w:pPr>
  </w:style>
  <w:style w:type="character" w:customStyle="1" w:styleId="Heading5Char">
    <w:name w:val="Heading 5 Char"/>
    <w:basedOn w:val="DefaultParagraphFont"/>
    <w:link w:val="Heading5"/>
    <w:rsid w:val="000F2024"/>
    <w:rPr>
      <w:rFonts w:ascii="Arial" w:hAnsi="Arial"/>
      <w:i/>
      <w:sz w:val="22"/>
    </w:rPr>
  </w:style>
  <w:style w:type="paragraph" w:customStyle="1" w:styleId="Figurespace">
    <w:name w:val="Figure space"/>
    <w:basedOn w:val="Box"/>
    <w:rsid w:val="000F2024"/>
    <w:pPr>
      <w:spacing w:before="0" w:line="120" w:lineRule="exact"/>
    </w:pPr>
  </w:style>
  <w:style w:type="paragraph" w:customStyle="1" w:styleId="FooterDraftReport">
    <w:name w:val="FooterDraftReport"/>
    <w:basedOn w:val="Footer"/>
    <w:link w:val="FooterDraftReportChar"/>
    <w:rsid w:val="000F202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0F2024"/>
    <w:rPr>
      <w:sz w:val="24"/>
    </w:rPr>
  </w:style>
  <w:style w:type="character" w:customStyle="1" w:styleId="FooterChar">
    <w:name w:val="Footer Char"/>
    <w:basedOn w:val="BodyTextChar"/>
    <w:link w:val="Footer"/>
    <w:rsid w:val="000F2024"/>
    <w:rPr>
      <w:rFonts w:ascii="Arial" w:hAnsi="Arial"/>
      <w:caps/>
      <w:spacing w:val="-4"/>
      <w:sz w:val="16"/>
    </w:rPr>
  </w:style>
  <w:style w:type="character" w:customStyle="1" w:styleId="FooterDraftReportChar">
    <w:name w:val="FooterDraftReport Char"/>
    <w:basedOn w:val="FooterChar"/>
    <w:link w:val="FooterDraftReport"/>
    <w:rsid w:val="000F202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0F2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0F2024"/>
    <w:rPr>
      <w:rFonts w:ascii="Arial" w:hAnsi="Arial"/>
      <w:b/>
      <w:sz w:val="26"/>
      <w:szCs w:val="26"/>
      <w:lang w:eastAsia="en-US"/>
    </w:rPr>
  </w:style>
  <w:style w:type="character" w:customStyle="1" w:styleId="Continuedintitle">
    <w:name w:val="Continued (in title)"/>
    <w:basedOn w:val="DefaultParagraphFont"/>
    <w:rsid w:val="000F2024"/>
    <w:rPr>
      <w:rFonts w:ascii="Arial" w:hAnsi="Arial"/>
      <w:b/>
      <w:sz w:val="18"/>
    </w:rPr>
  </w:style>
  <w:style w:type="character" w:customStyle="1" w:styleId="Heading2Char">
    <w:name w:val="Heading 2 Char"/>
    <w:basedOn w:val="DefaultParagraphFont"/>
    <w:link w:val="Heading2"/>
    <w:rsid w:val="00D96622"/>
    <w:rPr>
      <w:rFonts w:ascii="Arial" w:hAnsi="Arial"/>
      <w:b/>
      <w:sz w:val="32"/>
    </w:rPr>
  </w:style>
  <w:style w:type="character" w:styleId="Hyperlink">
    <w:name w:val="Hyperlink"/>
    <w:basedOn w:val="DefaultParagraphFont"/>
    <w:rsid w:val="00D96622"/>
    <w:rPr>
      <w:color w:val="000000" w:themeColor="hyperlink"/>
      <w:u w:val="single"/>
    </w:rPr>
  </w:style>
  <w:style w:type="character" w:customStyle="1" w:styleId="Heading3Char">
    <w:name w:val="Heading 3 Char"/>
    <w:basedOn w:val="DefaultParagraphFont"/>
    <w:link w:val="Heading3"/>
    <w:rsid w:val="00D96622"/>
    <w:rPr>
      <w:rFonts w:ascii="Arial" w:hAnsi="Arial"/>
      <w:b/>
      <w:sz w:val="26"/>
    </w:rPr>
  </w:style>
  <w:style w:type="paragraph" w:customStyle="1" w:styleId="Bullet">
    <w:name w:val="Bullet"/>
    <w:aliases w:val="b,b1,b + line,level 1,Body"/>
    <w:basedOn w:val="Normal"/>
    <w:link w:val="BulletChar"/>
    <w:uiPriority w:val="99"/>
    <w:qFormat/>
    <w:rsid w:val="00743961"/>
    <w:pPr>
      <w:tabs>
        <w:tab w:val="num" w:pos="567"/>
      </w:tabs>
      <w:ind w:left="567" w:hanging="567"/>
    </w:pPr>
  </w:style>
  <w:style w:type="character" w:customStyle="1" w:styleId="BulletChar">
    <w:name w:val="Bullet Char"/>
    <w:aliases w:val="b Char,b Char Char,b + line Char Char"/>
    <w:basedOn w:val="DefaultParagraphFont"/>
    <w:link w:val="Bullet"/>
    <w:uiPriority w:val="99"/>
    <w:rsid w:val="00743961"/>
    <w:rPr>
      <w:rFonts w:asciiTheme="minorHAnsi" w:eastAsiaTheme="minorHAnsi" w:hAnsiTheme="minorHAnsi" w:cstheme="minorBidi"/>
      <w:sz w:val="24"/>
      <w:szCs w:val="22"/>
      <w:lang w:eastAsia="en-US"/>
    </w:rPr>
  </w:style>
  <w:style w:type="character" w:customStyle="1" w:styleId="QuoteChar">
    <w:name w:val="Quote Char"/>
    <w:basedOn w:val="DefaultParagraphFont"/>
    <w:link w:val="Quote"/>
    <w:rsid w:val="00AC77B4"/>
    <w:rPr>
      <w:sz w:val="22"/>
    </w:rPr>
  </w:style>
  <w:style w:type="character" w:customStyle="1" w:styleId="FootnoteTextChar">
    <w:name w:val="Footnote Text Char"/>
    <w:basedOn w:val="DefaultParagraphFont"/>
    <w:link w:val="FootnoteText"/>
    <w:rsid w:val="005A0F8F"/>
  </w:style>
  <w:style w:type="paragraph" w:customStyle="1" w:styleId="NumberedParagraph">
    <w:name w:val="Numbered Paragraph"/>
    <w:basedOn w:val="Normal"/>
    <w:rsid w:val="005A0F8F"/>
    <w:pPr>
      <w:numPr>
        <w:numId w:val="27"/>
      </w:numPr>
    </w:pPr>
  </w:style>
  <w:style w:type="character" w:customStyle="1" w:styleId="Heading1Char">
    <w:name w:val="Heading 1 Char"/>
    <w:basedOn w:val="DefaultParagraphFont"/>
    <w:link w:val="Heading1"/>
    <w:rsid w:val="0016622D"/>
    <w:rPr>
      <w:sz w:val="52"/>
    </w:rPr>
  </w:style>
  <w:style w:type="paragraph" w:customStyle="1" w:styleId="Default">
    <w:name w:val="Default"/>
    <w:rsid w:val="009168C0"/>
    <w:pPr>
      <w:autoSpaceDE w:val="0"/>
      <w:autoSpaceDN w:val="0"/>
      <w:adjustRightInd w:val="0"/>
    </w:pPr>
    <w:rPr>
      <w:color w:val="000000"/>
      <w:sz w:val="24"/>
      <w:szCs w:val="24"/>
    </w:rPr>
  </w:style>
  <w:style w:type="paragraph" w:customStyle="1" w:styleId="BoxSpaceAboveElement">
    <w:name w:val="Box Space Above Element"/>
    <w:basedOn w:val="BoxSpaceAbove"/>
    <w:link w:val="BoxSpaceAboveElementChar"/>
    <w:qFormat/>
    <w:rsid w:val="000900D9"/>
    <w:pPr>
      <w:spacing w:before="240"/>
    </w:pPr>
    <w:rPr>
      <w:b/>
      <w:vanish/>
      <w:color w:val="FF00FF"/>
      <w:sz w:val="14"/>
    </w:rPr>
  </w:style>
  <w:style w:type="character" w:customStyle="1" w:styleId="BoxSpaceAboveElementChar">
    <w:name w:val="Box Space Above Element Char"/>
    <w:basedOn w:val="DefaultParagraphFont"/>
    <w:link w:val="BoxSpaceAboveElement"/>
    <w:rsid w:val="000900D9"/>
    <w:rPr>
      <w:b/>
      <w:vanish/>
      <w:color w:val="FF00FF"/>
      <w:sz w:val="14"/>
    </w:rPr>
  </w:style>
  <w:style w:type="paragraph" w:styleId="CommentSubject">
    <w:name w:val="annotation subject"/>
    <w:basedOn w:val="CommentText"/>
    <w:next w:val="CommentText"/>
    <w:link w:val="CommentSubjectChar"/>
    <w:semiHidden/>
    <w:unhideWhenUsed/>
    <w:rsid w:val="002613D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2613D4"/>
    <w:rPr>
      <w:szCs w:val="24"/>
    </w:rPr>
  </w:style>
  <w:style w:type="character" w:customStyle="1" w:styleId="CommentSubjectChar">
    <w:name w:val="Comment Subject Char"/>
    <w:basedOn w:val="CommentTextChar"/>
    <w:link w:val="CommentSubject"/>
    <w:semiHidden/>
    <w:rsid w:val="002613D4"/>
    <w:rPr>
      <w:b/>
      <w:bCs/>
      <w:szCs w:val="24"/>
    </w:rPr>
  </w:style>
  <w:style w:type="paragraph" w:customStyle="1" w:styleId="Heading1NotTOC">
    <w:name w:val="Heading 1 Not TOC"/>
    <w:basedOn w:val="Heading1"/>
    <w:next w:val="BodyText"/>
    <w:rsid w:val="000801D1"/>
    <w:rPr>
      <w:kern w:val="28"/>
      <w:szCs w:val="26"/>
      <w:lang w:eastAsia="en-US"/>
    </w:rPr>
  </w:style>
  <w:style w:type="paragraph" w:styleId="Bibliography">
    <w:name w:val="Bibliography"/>
    <w:basedOn w:val="Normal"/>
    <w:next w:val="Normal"/>
    <w:uiPriority w:val="37"/>
    <w:unhideWhenUsed/>
    <w:rsid w:val="002B066A"/>
    <w:pPr>
      <w:spacing w:after="240"/>
      <w:ind w:left="720" w:hanging="720"/>
    </w:pPr>
  </w:style>
  <w:style w:type="character" w:customStyle="1" w:styleId="hps-membercontinuation">
    <w:name w:val="hps-membercontinuation"/>
    <w:basedOn w:val="DefaultParagraphFont"/>
    <w:rsid w:val="00637499"/>
  </w:style>
  <w:style w:type="paragraph" w:styleId="Revision">
    <w:name w:val="Revision"/>
    <w:hidden/>
    <w:uiPriority w:val="99"/>
    <w:semiHidden/>
    <w:rsid w:val="00710D95"/>
    <w:rPr>
      <w:sz w:val="24"/>
      <w:szCs w:val="24"/>
    </w:rPr>
  </w:style>
  <w:style w:type="character" w:customStyle="1" w:styleId="BoxChar">
    <w:name w:val="Box Char"/>
    <w:basedOn w:val="DefaultParagraphFont"/>
    <w:link w:val="Box"/>
    <w:locked/>
    <w:rsid w:val="00164364"/>
    <w:rPr>
      <w:rFonts w:ascii="Arial" w:hAnsi="Arial"/>
    </w:rPr>
  </w:style>
  <w:style w:type="character" w:styleId="FollowedHyperlink">
    <w:name w:val="FollowedHyperlink"/>
    <w:basedOn w:val="DefaultParagraphFont"/>
    <w:semiHidden/>
    <w:unhideWhenUsed/>
    <w:rsid w:val="00C757EF"/>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77594">
      <w:bodyDiv w:val="1"/>
      <w:marLeft w:val="0"/>
      <w:marRight w:val="0"/>
      <w:marTop w:val="0"/>
      <w:marBottom w:val="0"/>
      <w:divBdr>
        <w:top w:val="none" w:sz="0" w:space="0" w:color="auto"/>
        <w:left w:val="none" w:sz="0" w:space="0" w:color="auto"/>
        <w:bottom w:val="none" w:sz="0" w:space="0" w:color="auto"/>
        <w:right w:val="none" w:sz="0" w:space="0" w:color="auto"/>
      </w:divBdr>
      <w:divsChild>
        <w:div w:id="507599367">
          <w:marLeft w:val="0"/>
          <w:marRight w:val="0"/>
          <w:marTop w:val="0"/>
          <w:marBottom w:val="240"/>
          <w:divBdr>
            <w:top w:val="none" w:sz="0" w:space="0" w:color="auto"/>
            <w:left w:val="none" w:sz="0" w:space="0" w:color="auto"/>
            <w:bottom w:val="none" w:sz="0" w:space="0" w:color="auto"/>
            <w:right w:val="none" w:sz="0" w:space="0" w:color="auto"/>
          </w:divBdr>
        </w:div>
      </w:divsChild>
    </w:div>
    <w:div w:id="1292200957">
      <w:bodyDiv w:val="1"/>
      <w:marLeft w:val="0"/>
      <w:marRight w:val="0"/>
      <w:marTop w:val="0"/>
      <w:marBottom w:val="0"/>
      <w:divBdr>
        <w:top w:val="none" w:sz="0" w:space="0" w:color="auto"/>
        <w:left w:val="none" w:sz="0" w:space="0" w:color="auto"/>
        <w:bottom w:val="none" w:sz="0" w:space="0" w:color="auto"/>
        <w:right w:val="none" w:sz="0" w:space="0" w:color="auto"/>
      </w:divBdr>
      <w:divsChild>
        <w:div w:id="751925244">
          <w:marLeft w:val="0"/>
          <w:marRight w:val="0"/>
          <w:marTop w:val="0"/>
          <w:marBottom w:val="240"/>
          <w:divBdr>
            <w:top w:val="none" w:sz="0" w:space="0" w:color="auto"/>
            <w:left w:val="none" w:sz="0" w:space="0" w:color="auto"/>
            <w:bottom w:val="none" w:sz="0" w:space="0" w:color="auto"/>
            <w:right w:val="none" w:sz="0" w:space="0" w:color="auto"/>
          </w:divBdr>
        </w:div>
      </w:divsChild>
    </w:div>
    <w:div w:id="154281519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emf"/><Relationship Id="rId27"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3594F-EBA7-4F3F-80C7-CA51EFF1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6929</Words>
  <Characters>38306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Remote Area Tax Concessions and Payments - Issues Paper</vt:lpstr>
    </vt:vector>
  </TitlesOfParts>
  <Company/>
  <LinksUpToDate>false</LinksUpToDate>
  <CharactersWithSpaces>45145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Area Tax Concessions and Payments - Issues Paper</dc:title>
  <dc:subject/>
  <dc:creator/>
  <cp:keywords/>
  <dc:description/>
  <cp:lastModifiedBy/>
  <cp:revision>1</cp:revision>
  <dcterms:created xsi:type="dcterms:W3CDTF">2019-03-08T02:36:00Z</dcterms:created>
  <dcterms:modified xsi:type="dcterms:W3CDTF">2019-03-08T03:52:00Z</dcterms:modified>
</cp:coreProperties>
</file>