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4D19" w:rsidRDefault="00A511AE" w:rsidP="00CD5E6B">
      <w:pPr>
        <w:pStyle w:val="BodyText"/>
        <w:rPr>
          <w:b/>
          <w:szCs w:val="26"/>
        </w:rPr>
      </w:pPr>
      <w:r>
        <w:rPr>
          <w:noProof/>
          <w:lang w:eastAsia="en-AU"/>
        </w:rPr>
        <w:drawing>
          <wp:anchor distT="0" distB="0" distL="114300" distR="114300" simplePos="0" relativeHeight="251658240" behindDoc="1" locked="0" layoutInCell="1" allowOverlap="1">
            <wp:simplePos x="1155940" y="1052423"/>
            <wp:positionH relativeFrom="page">
              <wp:align>center</wp:align>
            </wp:positionH>
            <wp:positionV relativeFrom="page">
              <wp:align>bottom</wp:align>
            </wp:positionV>
            <wp:extent cx="7560000" cy="10126800"/>
            <wp:effectExtent l="0" t="0" r="3175" b="8255"/>
            <wp:wrapNone/>
            <wp:docPr id="2" name="Picture 2" descr="Cover image for Australian Government Productivity Commission inquiry report titled ‘Mineral and Energy Resource Exploration’. Report Number 65, 27 September 2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eb-cover-minerals-final-inquiry.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7560000" cy="10126800"/>
                    </a:xfrm>
                    <a:prstGeom prst="rect">
                      <a:avLst/>
                    </a:prstGeom>
                  </pic:spPr>
                </pic:pic>
              </a:graphicData>
            </a:graphic>
            <wp14:sizeRelH relativeFrom="margin">
              <wp14:pctWidth>0</wp14:pctWidth>
            </wp14:sizeRelH>
            <wp14:sizeRelV relativeFrom="margin">
              <wp14:pctHeight>0</wp14:pctHeight>
            </wp14:sizeRelV>
          </wp:anchor>
        </w:drawing>
      </w:r>
      <w:r w:rsidR="00B04D19">
        <w:br w:type="page"/>
      </w:r>
    </w:p>
    <w:p w:rsidR="003E7802" w:rsidRDefault="003E7802" w:rsidP="001D4B1F">
      <w:pPr>
        <w:pStyle w:val="TOC1"/>
      </w:pPr>
      <w:r w:rsidRPr="008C305F">
        <w:lastRenderedPageBreak/>
        <w:fldChar w:fldCharType="begin"/>
      </w:r>
      <w:r w:rsidRPr="008C305F">
        <w:instrText>SYMBOL 227 \f "Symbol"</w:instrText>
      </w:r>
      <w:r w:rsidRPr="008C305F">
        <w:fldChar w:fldCharType="end"/>
      </w:r>
      <w:r w:rsidRPr="008C305F">
        <w:t xml:space="preserve"> Commonwealth of Australia </w:t>
      </w:r>
      <w:r w:rsidR="00766DFB">
        <w:t>2013</w:t>
      </w:r>
    </w:p>
    <w:p w:rsidR="00F85265" w:rsidRPr="007809B8" w:rsidRDefault="00F85265">
      <w:pPr>
        <w:pStyle w:val="BodyText"/>
        <w:tabs>
          <w:tab w:val="left" w:pos="851"/>
        </w:tabs>
        <w:spacing w:before="200" w:after="120"/>
        <w:jc w:val="left"/>
        <w:rPr>
          <w:b/>
          <w:sz w:val="24"/>
        </w:rPr>
      </w:pPr>
      <w:bookmarkStart w:id="0" w:name="ISSN"/>
      <w:bookmarkEnd w:id="0"/>
      <w:r w:rsidRPr="00C5747E">
        <w:rPr>
          <w:b/>
          <w:sz w:val="24"/>
        </w:rPr>
        <w:t>ISSN</w:t>
      </w:r>
      <w:r w:rsidRPr="00C5747E">
        <w:rPr>
          <w:b/>
          <w:sz w:val="24"/>
        </w:rPr>
        <w:tab/>
      </w:r>
      <w:r w:rsidR="0061235E" w:rsidRPr="00C5747E">
        <w:rPr>
          <w:b/>
          <w:sz w:val="24"/>
        </w:rPr>
        <w:t>1447-1329</w:t>
      </w:r>
      <w:r w:rsidRPr="00C5747E">
        <w:rPr>
          <w:b/>
          <w:sz w:val="24"/>
        </w:rPr>
        <w:br/>
        <w:t>ISBN</w:t>
      </w:r>
      <w:r w:rsidRPr="00C5747E">
        <w:rPr>
          <w:b/>
          <w:sz w:val="24"/>
        </w:rPr>
        <w:tab/>
      </w:r>
      <w:r w:rsidR="0061235E">
        <w:rPr>
          <w:b/>
          <w:sz w:val="24"/>
        </w:rPr>
        <w:t>978-1-74037-450-7</w:t>
      </w:r>
    </w:p>
    <w:p w:rsidR="003E7802" w:rsidRPr="00F4234E" w:rsidRDefault="003E7802" w:rsidP="00F4234E">
      <w:pPr>
        <w:pStyle w:val="BodyText"/>
      </w:pPr>
      <w:r w:rsidRPr="00F4234E">
        <w:t>This work is copyright. Apart from any use as permitted under the</w:t>
      </w:r>
      <w:r w:rsidR="00766DFB">
        <w:rPr>
          <w:i/>
        </w:rPr>
        <w:t xml:space="preserve"> Copyright Act </w:t>
      </w:r>
      <w:r w:rsidRPr="00F4234E">
        <w:rPr>
          <w:i/>
        </w:rPr>
        <w:t>1968</w:t>
      </w:r>
      <w:r w:rsidRPr="00F4234E">
        <w:t xml:space="preserve">, the work may be reproduced in whole or in part for study or training purposes, subject to the inclusion of an acknowledgment of the source. Reproduction for commercial use or sale requires prior written permission from the </w:t>
      </w:r>
      <w:r w:rsidR="009B12EF" w:rsidRPr="00F4234E">
        <w:t>Productivity Commission</w:t>
      </w:r>
      <w:r w:rsidRPr="00F4234E">
        <w:t xml:space="preserve">. Requests and inquiries concerning reproduction and rights should be addressed to </w:t>
      </w:r>
      <w:r w:rsidR="009B12EF" w:rsidRPr="00F4234E">
        <w:t>Media and Publications (see below)</w:t>
      </w:r>
      <w:r w:rsidR="00734127" w:rsidRPr="00F4234E">
        <w:t>.</w:t>
      </w:r>
    </w:p>
    <w:p w:rsidR="003E7802" w:rsidRPr="00F4234E" w:rsidRDefault="003E7802" w:rsidP="00F4234E">
      <w:pPr>
        <w:pStyle w:val="BodyText"/>
        <w:rPr>
          <w:i/>
        </w:rPr>
      </w:pPr>
      <w:r w:rsidRPr="00F4234E">
        <w:rPr>
          <w:i/>
        </w:rPr>
        <w:t>This publication is available from the Productivity Commission website at www.pc.gov.au. If you require part or all of this publication in a different format, please contact Me</w:t>
      </w:r>
      <w:r w:rsidR="00734127" w:rsidRPr="00F4234E">
        <w:rPr>
          <w:i/>
        </w:rPr>
        <w:t>dia and Publications.</w:t>
      </w:r>
    </w:p>
    <w:p w:rsidR="003E7802" w:rsidRDefault="003E7802" w:rsidP="003E7802">
      <w:pPr>
        <w:pStyle w:val="BodyText"/>
        <w:spacing w:before="320"/>
        <w:rPr>
          <w:b/>
          <w:sz w:val="24"/>
        </w:rPr>
      </w:pPr>
      <w:r>
        <w:rPr>
          <w:b/>
          <w:sz w:val="24"/>
        </w:rPr>
        <w:t xml:space="preserve">Publications </w:t>
      </w:r>
      <w:r w:rsidR="00560A8F">
        <w:rPr>
          <w:b/>
          <w:sz w:val="24"/>
        </w:rPr>
        <w:t>e</w:t>
      </w:r>
      <w:r>
        <w:rPr>
          <w:b/>
          <w:sz w:val="24"/>
        </w:rPr>
        <w:t>nquiries:</w:t>
      </w:r>
    </w:p>
    <w:p w:rsidR="003E7802" w:rsidRDefault="003E7802" w:rsidP="003E7802">
      <w:pPr>
        <w:pStyle w:val="BodyText"/>
        <w:spacing w:before="0" w:line="240" w:lineRule="auto"/>
        <w:rPr>
          <w:sz w:val="24"/>
        </w:rPr>
      </w:pPr>
      <w:r>
        <w:rPr>
          <w:sz w:val="24"/>
        </w:rPr>
        <w:t xml:space="preserve">Media and </w:t>
      </w:r>
      <w:r w:rsidRPr="00FD4728">
        <w:rPr>
          <w:snapToGrid w:val="0"/>
          <w:sz w:val="24"/>
        </w:rPr>
        <w:t>Publications</w:t>
      </w:r>
    </w:p>
    <w:p w:rsidR="003E7802" w:rsidRDefault="003E7802" w:rsidP="003E7802">
      <w:pPr>
        <w:pStyle w:val="BodyText"/>
        <w:spacing w:before="0" w:line="240" w:lineRule="auto"/>
        <w:rPr>
          <w:sz w:val="24"/>
        </w:rPr>
      </w:pPr>
      <w:r>
        <w:rPr>
          <w:sz w:val="24"/>
        </w:rPr>
        <w:t xml:space="preserve">Productivity </w:t>
      </w:r>
      <w:r w:rsidRPr="00FD4728">
        <w:rPr>
          <w:snapToGrid w:val="0"/>
          <w:sz w:val="24"/>
        </w:rPr>
        <w:t>Commission</w:t>
      </w:r>
    </w:p>
    <w:p w:rsidR="003E7802" w:rsidRDefault="003E7802" w:rsidP="003E7802">
      <w:pPr>
        <w:pStyle w:val="BodyText"/>
        <w:spacing w:before="0" w:line="240" w:lineRule="auto"/>
        <w:rPr>
          <w:sz w:val="24"/>
        </w:rPr>
      </w:pPr>
      <w:r>
        <w:rPr>
          <w:sz w:val="24"/>
        </w:rPr>
        <w:t xml:space="preserve">Locked Bag </w:t>
      </w:r>
      <w:smartTag w:uri="urn:schemas-microsoft-com:office:smarttags" w:element="Street">
        <w:smartTag w:uri="urn:schemas-microsoft-com:office:smarttags" w:element="address">
          <w:r>
            <w:rPr>
              <w:sz w:val="24"/>
            </w:rPr>
            <w:t xml:space="preserve">2 Collins </w:t>
          </w:r>
          <w:r w:rsidRPr="00FD4728">
            <w:rPr>
              <w:snapToGrid w:val="0"/>
              <w:sz w:val="24"/>
            </w:rPr>
            <w:t>Street</w:t>
          </w:r>
          <w:r>
            <w:rPr>
              <w:sz w:val="24"/>
            </w:rPr>
            <w:t xml:space="preserve"> East</w:t>
          </w:r>
        </w:smartTag>
      </w:smartTag>
    </w:p>
    <w:p w:rsidR="003E7802" w:rsidRDefault="003E7802" w:rsidP="003E7802">
      <w:pPr>
        <w:pStyle w:val="BodyText"/>
        <w:spacing w:before="0" w:after="120" w:line="240" w:lineRule="auto"/>
        <w:rPr>
          <w:sz w:val="24"/>
        </w:rPr>
      </w:pPr>
      <w:smartTag w:uri="urn:schemas-microsoft-com:office:smarttags" w:element="City">
        <w:smartTag w:uri="urn:schemas-microsoft-com:office:smarttags" w:element="place">
          <w:r>
            <w:rPr>
              <w:sz w:val="24"/>
            </w:rPr>
            <w:t>Melbourne</w:t>
          </w:r>
        </w:smartTag>
      </w:smartTag>
      <w:r>
        <w:rPr>
          <w:sz w:val="24"/>
        </w:rPr>
        <w:t xml:space="preserve">    VIC    </w:t>
      </w:r>
      <w:r w:rsidRPr="00FD4728">
        <w:rPr>
          <w:snapToGrid w:val="0"/>
          <w:sz w:val="24"/>
        </w:rPr>
        <w:t>8003</w:t>
      </w:r>
    </w:p>
    <w:p w:rsidR="003E7802" w:rsidRPr="00FD4728" w:rsidRDefault="003E7802" w:rsidP="003E7802">
      <w:pPr>
        <w:pStyle w:val="BodyText"/>
        <w:tabs>
          <w:tab w:val="left" w:pos="1134"/>
        </w:tabs>
        <w:spacing w:before="0" w:line="240" w:lineRule="auto"/>
        <w:rPr>
          <w:sz w:val="24"/>
          <w:szCs w:val="24"/>
        </w:rPr>
      </w:pPr>
      <w:r w:rsidRPr="00FD4728">
        <w:rPr>
          <w:sz w:val="24"/>
          <w:szCs w:val="24"/>
        </w:rPr>
        <w:t>Tel:</w:t>
      </w:r>
      <w:r w:rsidRPr="00FD4728">
        <w:rPr>
          <w:sz w:val="24"/>
          <w:szCs w:val="24"/>
        </w:rPr>
        <w:tab/>
        <w:t>(03) 9653 2244</w:t>
      </w:r>
    </w:p>
    <w:p w:rsidR="003E7802" w:rsidRDefault="003E7802" w:rsidP="003E7802">
      <w:pPr>
        <w:pStyle w:val="BodyText"/>
        <w:tabs>
          <w:tab w:val="left" w:pos="1134"/>
        </w:tabs>
        <w:spacing w:before="0" w:line="240" w:lineRule="auto"/>
        <w:jc w:val="left"/>
      </w:pPr>
      <w:r w:rsidRPr="00FD4728">
        <w:rPr>
          <w:sz w:val="24"/>
          <w:szCs w:val="24"/>
        </w:rPr>
        <w:t>Fax:</w:t>
      </w:r>
      <w:r w:rsidRPr="00FD4728">
        <w:rPr>
          <w:sz w:val="24"/>
          <w:szCs w:val="24"/>
        </w:rPr>
        <w:tab/>
        <w:t>(03) 9653 2303</w:t>
      </w:r>
      <w:r w:rsidRPr="00FD4728">
        <w:rPr>
          <w:sz w:val="24"/>
          <w:szCs w:val="24"/>
        </w:rPr>
        <w:br/>
      </w:r>
      <w:r w:rsidRPr="008F04C9">
        <w:rPr>
          <w:sz w:val="24"/>
          <w:szCs w:val="24"/>
        </w:rPr>
        <w:t>Email:</w:t>
      </w:r>
      <w:r w:rsidRPr="008F04C9">
        <w:rPr>
          <w:sz w:val="24"/>
          <w:szCs w:val="24"/>
        </w:rPr>
        <w:tab/>
      </w:r>
      <w:proofErr w:type="spellStart"/>
      <w:r w:rsidRPr="008F04C9">
        <w:rPr>
          <w:sz w:val="24"/>
          <w:szCs w:val="24"/>
        </w:rPr>
        <w:t>maps@pc.gov.au</w:t>
      </w:r>
      <w:proofErr w:type="spellEnd"/>
    </w:p>
    <w:p w:rsidR="003E7802" w:rsidRDefault="003E7802" w:rsidP="003E7802">
      <w:pPr>
        <w:pStyle w:val="BodyText"/>
        <w:spacing w:before="320"/>
        <w:rPr>
          <w:b/>
          <w:sz w:val="24"/>
        </w:rPr>
      </w:pPr>
      <w:r>
        <w:rPr>
          <w:b/>
          <w:sz w:val="24"/>
        </w:rPr>
        <w:t xml:space="preserve">General </w:t>
      </w:r>
      <w:r w:rsidR="00560A8F">
        <w:rPr>
          <w:b/>
          <w:sz w:val="24"/>
        </w:rPr>
        <w:t>e</w:t>
      </w:r>
      <w:r>
        <w:rPr>
          <w:b/>
          <w:sz w:val="24"/>
        </w:rPr>
        <w:t>nquiries:</w:t>
      </w:r>
    </w:p>
    <w:p w:rsidR="003E7802" w:rsidRPr="008F04C9" w:rsidRDefault="003E7802" w:rsidP="003E7802">
      <w:pPr>
        <w:pStyle w:val="BodyText"/>
        <w:tabs>
          <w:tab w:val="left" w:pos="1134"/>
        </w:tabs>
        <w:spacing w:before="0" w:line="240" w:lineRule="auto"/>
        <w:rPr>
          <w:sz w:val="24"/>
          <w:szCs w:val="24"/>
        </w:rPr>
      </w:pPr>
      <w:r w:rsidRPr="008F04C9">
        <w:rPr>
          <w:sz w:val="24"/>
          <w:szCs w:val="24"/>
        </w:rPr>
        <w:t>Tel:</w:t>
      </w:r>
      <w:r w:rsidRPr="008F04C9">
        <w:rPr>
          <w:sz w:val="24"/>
          <w:szCs w:val="24"/>
        </w:rPr>
        <w:tab/>
        <w:t>(03) 9653 2100 or (02) 6240 3200</w:t>
      </w:r>
    </w:p>
    <w:p w:rsidR="003E7802" w:rsidRPr="008F04C9" w:rsidRDefault="003E7802" w:rsidP="003E7802">
      <w:pPr>
        <w:pStyle w:val="BodyText"/>
        <w:spacing w:before="360" w:line="240" w:lineRule="auto"/>
        <w:rPr>
          <w:b/>
          <w:sz w:val="24"/>
          <w:szCs w:val="24"/>
        </w:rPr>
      </w:pPr>
      <w:r w:rsidRPr="008F04C9">
        <w:rPr>
          <w:b/>
          <w:sz w:val="24"/>
          <w:szCs w:val="24"/>
        </w:rPr>
        <w:t>An appropriate citation for this paper is:</w:t>
      </w:r>
    </w:p>
    <w:p w:rsidR="003E7802" w:rsidRPr="001D79E6" w:rsidRDefault="001D79E6" w:rsidP="003E7802">
      <w:pPr>
        <w:pStyle w:val="BodyText"/>
        <w:spacing w:before="160" w:after="120" w:line="240" w:lineRule="auto"/>
        <w:rPr>
          <w:sz w:val="24"/>
          <w:szCs w:val="24"/>
        </w:rPr>
      </w:pPr>
      <w:r w:rsidRPr="001D79E6">
        <w:rPr>
          <w:sz w:val="24"/>
          <w:szCs w:val="24"/>
        </w:rPr>
        <w:t>Productivity Commission</w:t>
      </w:r>
      <w:r>
        <w:rPr>
          <w:sz w:val="24"/>
          <w:szCs w:val="24"/>
        </w:rPr>
        <w:t xml:space="preserve"> 2013, </w:t>
      </w:r>
      <w:r>
        <w:rPr>
          <w:i/>
          <w:sz w:val="24"/>
          <w:szCs w:val="24"/>
        </w:rPr>
        <w:t>Mineral and Energy Resource Exploration</w:t>
      </w:r>
      <w:r>
        <w:rPr>
          <w:sz w:val="24"/>
          <w:szCs w:val="24"/>
        </w:rPr>
        <w:t>, Inquiry Report</w:t>
      </w:r>
      <w:r w:rsidR="000A6542">
        <w:rPr>
          <w:sz w:val="24"/>
          <w:szCs w:val="24"/>
        </w:rPr>
        <w:t xml:space="preserve"> No. 65</w:t>
      </w:r>
      <w:r>
        <w:rPr>
          <w:sz w:val="24"/>
          <w:szCs w:val="24"/>
        </w:rPr>
        <w:t>, Canberra.</w:t>
      </w:r>
    </w:p>
    <w:p w:rsidR="001D79E6" w:rsidRPr="00551FB8" w:rsidRDefault="001D79E6" w:rsidP="003E7802">
      <w:pPr>
        <w:pStyle w:val="BodyText"/>
        <w:spacing w:before="160" w:after="120" w:line="240" w:lineRule="auto"/>
        <w:rPr>
          <w:sz w:val="24"/>
          <w:szCs w:val="24"/>
        </w:rPr>
      </w:pPr>
    </w:p>
    <w:p w:rsidR="003E7802" w:rsidRPr="00DC75C7" w:rsidRDefault="003E7802" w:rsidP="00F4234E">
      <w:pPr>
        <w:pStyle w:val="PCBoxHeading"/>
      </w:pPr>
      <w:bookmarkStart w:id="1" w:name="JEL"/>
      <w:bookmarkEnd w:id="1"/>
      <w:r w:rsidRPr="00DC75C7">
        <w:t>The Productivity Commission</w:t>
      </w:r>
    </w:p>
    <w:p w:rsidR="003E7802" w:rsidRPr="00BB5DCF" w:rsidRDefault="003E7802" w:rsidP="00F4234E">
      <w:pPr>
        <w:pStyle w:val="PCBoxtext"/>
      </w:pPr>
      <w:r w:rsidRPr="00BB5DCF">
        <w:t>The Productivity Commission is the Australian Government’s independent research and advisory body on a range of economic, social and environmental issues affecting the welfare of Australians. Its role, expressed most simply, is to help governments make better policies, in the long term interest of the Australian community.</w:t>
      </w:r>
    </w:p>
    <w:p w:rsidR="003E7802" w:rsidRPr="00BB5DCF" w:rsidRDefault="003E7802" w:rsidP="00F4234E">
      <w:pPr>
        <w:pStyle w:val="PCBoxtext"/>
      </w:pPr>
      <w:r w:rsidRPr="00BB5DCF">
        <w:t>The Commission’s independence is underpinned by an Act of Parliament. Its processes and outputs are open to public scrutiny and are driven by concern for the wellbeing of the community as a whole.</w:t>
      </w:r>
    </w:p>
    <w:p w:rsidR="00735FEA" w:rsidRPr="00BB5DCF" w:rsidRDefault="003E7802" w:rsidP="003E7802">
      <w:pPr>
        <w:pStyle w:val="BodyText"/>
        <w:pBdr>
          <w:top w:val="single" w:sz="4" w:space="5" w:color="auto"/>
          <w:left w:val="single" w:sz="4" w:space="8" w:color="auto"/>
          <w:bottom w:val="single" w:sz="4" w:space="14" w:color="auto"/>
          <w:right w:val="single" w:sz="4" w:space="8" w:color="auto"/>
        </w:pBdr>
        <w:spacing w:before="160" w:line="240" w:lineRule="auto"/>
        <w:ind w:left="284" w:right="284"/>
        <w:rPr>
          <w:sz w:val="24"/>
          <w:szCs w:val="24"/>
        </w:rPr>
      </w:pPr>
      <w:r w:rsidRPr="00BB5DCF">
        <w:rPr>
          <w:sz w:val="24"/>
          <w:szCs w:val="24"/>
        </w:rPr>
        <w:t xml:space="preserve">Further information on the Productivity Commission can be obtained from the Commission’s website (www.pc.gov.au) or by contacting Media and Publications on (03) 9653 2244 or email: </w:t>
      </w:r>
      <w:proofErr w:type="spellStart"/>
      <w:r w:rsidRPr="00BB5DCF">
        <w:rPr>
          <w:sz w:val="24"/>
          <w:szCs w:val="24"/>
        </w:rPr>
        <w:t>maps@pc.gov.au</w:t>
      </w:r>
      <w:proofErr w:type="spellEnd"/>
    </w:p>
    <w:p w:rsidR="00F85265" w:rsidRDefault="00F85265">
      <w:bookmarkStart w:id="2" w:name="cov"/>
      <w:bookmarkEnd w:id="2"/>
      <w:r>
        <w:br w:type="page"/>
      </w:r>
    </w:p>
    <w:tbl>
      <w:tblPr>
        <w:tblW w:w="9073" w:type="dxa"/>
        <w:tblInd w:w="-34" w:type="dxa"/>
        <w:tblLayout w:type="fixed"/>
        <w:tblLook w:val="0000" w:firstRow="0" w:lastRow="0" w:firstColumn="0" w:lastColumn="0" w:noHBand="0" w:noVBand="0"/>
      </w:tblPr>
      <w:tblGrid>
        <w:gridCol w:w="2434"/>
        <w:gridCol w:w="1824"/>
        <w:gridCol w:w="1696"/>
        <w:gridCol w:w="3119"/>
      </w:tblGrid>
      <w:tr w:rsidR="00F85265" w:rsidTr="00537BB4">
        <w:trPr>
          <w:cantSplit/>
          <w:trHeight w:hRule="exact" w:val="996"/>
        </w:trPr>
        <w:tc>
          <w:tcPr>
            <w:tcW w:w="2434" w:type="dxa"/>
          </w:tcPr>
          <w:p w:rsidR="00F85265" w:rsidRPr="00205C77" w:rsidRDefault="00F85265">
            <w:pPr>
              <w:pStyle w:val="PCAddress"/>
              <w:ind w:left="709"/>
              <w:rPr>
                <w:rFonts w:ascii="Goudy Old Style" w:hAnsi="Goudy Old Style"/>
                <w:b/>
                <w:i/>
              </w:rPr>
            </w:pPr>
          </w:p>
        </w:tc>
        <w:tc>
          <w:tcPr>
            <w:tcW w:w="1824" w:type="dxa"/>
          </w:tcPr>
          <w:p w:rsidR="00F85265" w:rsidRPr="00205C77" w:rsidRDefault="00F85265">
            <w:pPr>
              <w:pStyle w:val="PCAddress"/>
              <w:ind w:left="709"/>
              <w:rPr>
                <w:rFonts w:ascii="Goudy Old Style" w:hAnsi="Goudy Old Style"/>
                <w:b/>
                <w:i/>
              </w:rPr>
            </w:pPr>
          </w:p>
        </w:tc>
        <w:tc>
          <w:tcPr>
            <w:tcW w:w="4815" w:type="dxa"/>
            <w:gridSpan w:val="2"/>
          </w:tcPr>
          <w:p w:rsidR="00F85265" w:rsidRPr="00205C77" w:rsidRDefault="00F85265" w:rsidP="00537BB4">
            <w:pPr>
              <w:pStyle w:val="PCAddress"/>
              <w:ind w:left="709" w:right="176"/>
              <w:jc w:val="right"/>
              <w:rPr>
                <w:rFonts w:ascii="Goudy Old Style" w:hAnsi="Goudy Old Style"/>
                <w:b/>
                <w:i/>
              </w:rPr>
            </w:pPr>
            <w:r w:rsidRPr="00205C77">
              <w:rPr>
                <w:rFonts w:ascii="Goudy Old Style" w:hAnsi="Goudy Old Style"/>
                <w:noProof/>
                <w:sz w:val="20"/>
              </w:rPr>
              <w:drawing>
                <wp:inline distT="0" distB="0" distL="0" distR="0" wp14:anchorId="668149BB" wp14:editId="08F670EA">
                  <wp:extent cx="2057400" cy="600075"/>
                  <wp:effectExtent l="0" t="0" r="0" b="9525"/>
                  <wp:docPr id="1" name="Picture 1" descr="Australian Government Productivity Commission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C_inline"/>
                          <pic:cNvPicPr>
                            <a:picLocks noChangeAspect="1" noChangeArrowheads="1"/>
                          </pic:cNvPicPr>
                        </pic:nvPicPr>
                        <pic:blipFill>
                          <a:blip r:embed="rId9" cstate="print">
                            <a:extLst>
                              <a:ext uri="{28A0092B-C50C-407E-A947-70E740481C1C}">
                                <a14:useLocalDpi xmlns:a14="http://schemas.microsoft.com/office/drawing/2010/main" val="0"/>
                              </a:ext>
                            </a:extLst>
                          </a:blip>
                          <a:srcRect r="2438"/>
                          <a:stretch>
                            <a:fillRect/>
                          </a:stretch>
                        </pic:blipFill>
                        <pic:spPr bwMode="auto">
                          <a:xfrm>
                            <a:off x="0" y="0"/>
                            <a:ext cx="2057400" cy="600075"/>
                          </a:xfrm>
                          <a:prstGeom prst="rect">
                            <a:avLst/>
                          </a:prstGeom>
                          <a:noFill/>
                          <a:ln>
                            <a:noFill/>
                          </a:ln>
                        </pic:spPr>
                      </pic:pic>
                    </a:graphicData>
                  </a:graphic>
                </wp:inline>
              </w:drawing>
            </w:r>
          </w:p>
        </w:tc>
      </w:tr>
      <w:tr w:rsidR="00F85265" w:rsidTr="00537BB4">
        <w:trPr>
          <w:cantSplit/>
          <w:trHeight w:hRule="exact" w:val="2793"/>
        </w:trPr>
        <w:tc>
          <w:tcPr>
            <w:tcW w:w="5954" w:type="dxa"/>
            <w:gridSpan w:val="3"/>
            <w:vAlign w:val="bottom"/>
          </w:tcPr>
          <w:p w:rsidR="00F85265" w:rsidRPr="00E61DA2" w:rsidRDefault="00DC5C5F" w:rsidP="00537BB4">
            <w:pPr>
              <w:pStyle w:val="LetterAddress"/>
              <w:ind w:left="-113"/>
            </w:pPr>
            <w:bookmarkStart w:id="3" w:name="YourRef"/>
            <w:bookmarkStart w:id="4" w:name="OurRef"/>
            <w:bookmarkStart w:id="5" w:name="graphics" w:colFirst="1" w:colLast="1"/>
            <w:bookmarkEnd w:id="3"/>
            <w:bookmarkEnd w:id="4"/>
            <w:r>
              <w:tab/>
            </w:r>
            <w:bookmarkStart w:id="6" w:name="_GoBack"/>
            <w:bookmarkEnd w:id="6"/>
            <w:r w:rsidR="001D79E6">
              <w:t>27 September 2013</w:t>
            </w:r>
          </w:p>
        </w:tc>
        <w:tc>
          <w:tcPr>
            <w:tcW w:w="3119" w:type="dxa"/>
            <w:vAlign w:val="center"/>
          </w:tcPr>
          <w:p w:rsidR="00F85265" w:rsidRPr="00205C77" w:rsidRDefault="001D79E6">
            <w:pPr>
              <w:pStyle w:val="PCAddress"/>
              <w:ind w:left="709"/>
              <w:rPr>
                <w:rFonts w:ascii="Goudy Old Style" w:hAnsi="Goudy Old Style"/>
                <w:b/>
                <w:i/>
              </w:rPr>
            </w:pPr>
            <w:r>
              <w:rPr>
                <w:rFonts w:ascii="Goudy Old Style" w:hAnsi="Goudy Old Style"/>
                <w:b/>
                <w:i/>
              </w:rPr>
              <w:t>Canberra</w:t>
            </w:r>
            <w:r w:rsidR="00F85265" w:rsidRPr="00205C77">
              <w:rPr>
                <w:rFonts w:ascii="Goudy Old Style" w:hAnsi="Goudy Old Style"/>
                <w:b/>
                <w:i/>
              </w:rPr>
              <w:t xml:space="preserve"> Office</w:t>
            </w:r>
          </w:p>
          <w:p w:rsidR="00F85265" w:rsidRPr="00205C77" w:rsidRDefault="00F85265">
            <w:pPr>
              <w:pStyle w:val="PCAddress"/>
              <w:spacing w:after="0"/>
              <w:ind w:left="709"/>
              <w:rPr>
                <w:rFonts w:ascii="Goudy Old Style" w:hAnsi="Goudy Old Style"/>
              </w:rPr>
            </w:pPr>
            <w:r w:rsidRPr="00205C77">
              <w:rPr>
                <w:rFonts w:ascii="Goudy Old Style" w:hAnsi="Goudy Old Style"/>
              </w:rPr>
              <w:t>Level 2,</w:t>
            </w:r>
            <w:r w:rsidR="001D79E6">
              <w:rPr>
                <w:rFonts w:ascii="Goudy Old Style" w:hAnsi="Goudy Old Style"/>
              </w:rPr>
              <w:t xml:space="preserve"> 15 Moore</w:t>
            </w:r>
            <w:r w:rsidRPr="00205C77">
              <w:rPr>
                <w:rFonts w:ascii="Goudy Old Style" w:hAnsi="Goudy Old Style"/>
              </w:rPr>
              <w:t xml:space="preserve"> Street</w:t>
            </w:r>
          </w:p>
          <w:p w:rsidR="00F85265" w:rsidRPr="00205C77" w:rsidRDefault="001D79E6">
            <w:pPr>
              <w:pStyle w:val="PCAddress"/>
              <w:ind w:left="709"/>
              <w:rPr>
                <w:rFonts w:ascii="Goudy Old Style" w:hAnsi="Goudy Old Style"/>
              </w:rPr>
            </w:pPr>
            <w:r>
              <w:rPr>
                <w:rFonts w:ascii="Goudy Old Style" w:hAnsi="Goudy Old Style"/>
              </w:rPr>
              <w:t>Canberra City</w:t>
            </w:r>
            <w:r w:rsidR="00F85265" w:rsidRPr="00205C77">
              <w:rPr>
                <w:rFonts w:ascii="Goudy Old Style" w:hAnsi="Goudy Old Style"/>
              </w:rPr>
              <w:t xml:space="preserve"> </w:t>
            </w:r>
            <w:r>
              <w:rPr>
                <w:rFonts w:ascii="Goudy Old Style" w:hAnsi="Goudy Old Style"/>
              </w:rPr>
              <w:t xml:space="preserve"> ACT</w:t>
            </w:r>
            <w:r w:rsidR="00F85265" w:rsidRPr="00205C77">
              <w:rPr>
                <w:rFonts w:ascii="Goudy Old Style" w:hAnsi="Goudy Old Style"/>
              </w:rPr>
              <w:t xml:space="preserve">  </w:t>
            </w:r>
            <w:r>
              <w:rPr>
                <w:rFonts w:ascii="Goudy Old Style" w:hAnsi="Goudy Old Style"/>
              </w:rPr>
              <w:t>2600</w:t>
            </w:r>
          </w:p>
          <w:p w:rsidR="00F85265" w:rsidRPr="00205C77" w:rsidRDefault="001D79E6">
            <w:pPr>
              <w:pStyle w:val="PCAddress"/>
              <w:spacing w:after="0"/>
              <w:ind w:left="709"/>
              <w:rPr>
                <w:rFonts w:ascii="Goudy Old Style" w:hAnsi="Goudy Old Style"/>
              </w:rPr>
            </w:pPr>
            <w:r>
              <w:rPr>
                <w:rFonts w:ascii="Goudy Old Style" w:hAnsi="Goudy Old Style"/>
              </w:rPr>
              <w:t>GPO Box 1428</w:t>
            </w:r>
            <w:r w:rsidR="00F85265" w:rsidRPr="00205C77">
              <w:rPr>
                <w:rFonts w:ascii="Goudy Old Style" w:hAnsi="Goudy Old Style"/>
              </w:rPr>
              <w:t xml:space="preserve"> </w:t>
            </w:r>
          </w:p>
          <w:p w:rsidR="00F85265" w:rsidRPr="00205C77" w:rsidRDefault="001D79E6">
            <w:pPr>
              <w:pStyle w:val="PCAddress"/>
              <w:ind w:left="709"/>
              <w:rPr>
                <w:rFonts w:ascii="Goudy Old Style" w:hAnsi="Goudy Old Style"/>
              </w:rPr>
            </w:pPr>
            <w:r>
              <w:rPr>
                <w:rFonts w:ascii="Goudy Old Style" w:hAnsi="Goudy Old Style"/>
              </w:rPr>
              <w:t>Canberra City  ACT</w:t>
            </w:r>
            <w:r w:rsidR="00F85265" w:rsidRPr="00205C77">
              <w:rPr>
                <w:rFonts w:ascii="Goudy Old Style" w:hAnsi="Goudy Old Style"/>
              </w:rPr>
              <w:t xml:space="preserve"> </w:t>
            </w:r>
            <w:r>
              <w:rPr>
                <w:rFonts w:ascii="Goudy Old Style" w:hAnsi="Goudy Old Style"/>
              </w:rPr>
              <w:t xml:space="preserve"> 2601</w:t>
            </w:r>
          </w:p>
          <w:p w:rsidR="00F85265" w:rsidRPr="00205C77" w:rsidRDefault="00F85265">
            <w:pPr>
              <w:pStyle w:val="PCAddress"/>
              <w:spacing w:after="0"/>
              <w:ind w:left="709"/>
              <w:rPr>
                <w:rFonts w:ascii="Goudy Old Style" w:hAnsi="Goudy Old Style"/>
              </w:rPr>
            </w:pPr>
            <w:r w:rsidRPr="00205C77">
              <w:rPr>
                <w:rFonts w:ascii="Goudy Old Style" w:hAnsi="Goudy Old Style"/>
              </w:rPr>
              <w:t>Telephone</w:t>
            </w:r>
            <w:r w:rsidRPr="00205C77">
              <w:rPr>
                <w:rFonts w:ascii="Goudy Old Style" w:hAnsi="Goudy Old Style"/>
              </w:rPr>
              <w:tab/>
            </w:r>
            <w:r w:rsidR="001D79E6" w:rsidRPr="00205C77">
              <w:rPr>
                <w:rFonts w:ascii="Goudy Old Style" w:hAnsi="Goudy Old Style"/>
              </w:rPr>
              <w:t>02 6240 3200</w:t>
            </w:r>
          </w:p>
          <w:p w:rsidR="00F85265" w:rsidRPr="00205C77" w:rsidRDefault="00F85265">
            <w:pPr>
              <w:pStyle w:val="PCAddress"/>
              <w:ind w:left="709"/>
              <w:rPr>
                <w:rFonts w:ascii="Goudy Old Style" w:hAnsi="Goudy Old Style"/>
              </w:rPr>
            </w:pPr>
            <w:r w:rsidRPr="00205C77">
              <w:rPr>
                <w:rFonts w:ascii="Goudy Old Style" w:hAnsi="Goudy Old Style"/>
              </w:rPr>
              <w:t>Facsimile</w:t>
            </w:r>
            <w:r w:rsidRPr="00205C77">
              <w:rPr>
                <w:rFonts w:ascii="Goudy Old Style" w:hAnsi="Goudy Old Style"/>
              </w:rPr>
              <w:tab/>
              <w:t>0</w:t>
            </w:r>
            <w:r w:rsidR="001D79E6">
              <w:rPr>
                <w:rFonts w:ascii="Goudy Old Style" w:hAnsi="Goudy Old Style"/>
              </w:rPr>
              <w:t>2</w:t>
            </w:r>
            <w:r w:rsidRPr="00205C77">
              <w:rPr>
                <w:rFonts w:ascii="Goudy Old Style" w:hAnsi="Goudy Old Style"/>
              </w:rPr>
              <w:t xml:space="preserve"> </w:t>
            </w:r>
            <w:r w:rsidR="001D79E6">
              <w:rPr>
                <w:rFonts w:ascii="Goudy Old Style" w:hAnsi="Goudy Old Style"/>
              </w:rPr>
              <w:t>6240</w:t>
            </w:r>
            <w:r w:rsidRPr="00205C77">
              <w:rPr>
                <w:rFonts w:ascii="Goudy Old Style" w:hAnsi="Goudy Old Style"/>
              </w:rPr>
              <w:t xml:space="preserve"> </w:t>
            </w:r>
            <w:r w:rsidR="001D79E6">
              <w:rPr>
                <w:rFonts w:ascii="Goudy Old Style" w:hAnsi="Goudy Old Style"/>
              </w:rPr>
              <w:t>3399</w:t>
            </w:r>
          </w:p>
          <w:p w:rsidR="00F85265" w:rsidRPr="00205C77" w:rsidRDefault="001D79E6">
            <w:pPr>
              <w:pStyle w:val="PCAddress"/>
              <w:ind w:left="709"/>
              <w:rPr>
                <w:rFonts w:ascii="Goudy Old Style" w:hAnsi="Goudy Old Style"/>
                <w:b/>
                <w:i/>
              </w:rPr>
            </w:pPr>
            <w:r>
              <w:rPr>
                <w:rFonts w:ascii="Goudy Old Style" w:hAnsi="Goudy Old Style"/>
                <w:b/>
                <w:i/>
              </w:rPr>
              <w:t>Melbourne</w:t>
            </w:r>
            <w:r w:rsidR="00F85265" w:rsidRPr="00205C77">
              <w:rPr>
                <w:rFonts w:ascii="Goudy Old Style" w:hAnsi="Goudy Old Style"/>
                <w:b/>
                <w:i/>
              </w:rPr>
              <w:t xml:space="preserve"> Office</w:t>
            </w:r>
          </w:p>
          <w:p w:rsidR="001D79E6" w:rsidRPr="00205C77" w:rsidRDefault="001D79E6" w:rsidP="001D79E6">
            <w:pPr>
              <w:pStyle w:val="PCAddress"/>
              <w:spacing w:after="0"/>
              <w:ind w:left="709"/>
              <w:rPr>
                <w:rFonts w:ascii="Goudy Old Style" w:hAnsi="Goudy Old Style"/>
              </w:rPr>
            </w:pPr>
            <w:r>
              <w:rPr>
                <w:rFonts w:ascii="Goudy Old Style" w:hAnsi="Goudy Old Style"/>
              </w:rPr>
              <w:t>Telep</w:t>
            </w:r>
            <w:r w:rsidRPr="00205C77">
              <w:rPr>
                <w:rFonts w:ascii="Goudy Old Style" w:hAnsi="Goudy Old Style"/>
              </w:rPr>
              <w:t>hone</w:t>
            </w:r>
            <w:r w:rsidRPr="00205C77">
              <w:rPr>
                <w:rFonts w:ascii="Goudy Old Style" w:hAnsi="Goudy Old Style"/>
              </w:rPr>
              <w:tab/>
              <w:t>03 9653 2100</w:t>
            </w:r>
          </w:p>
          <w:p w:rsidR="00F85265" w:rsidRPr="00205C77" w:rsidRDefault="00F85265">
            <w:pPr>
              <w:pStyle w:val="PCAddress"/>
              <w:ind w:left="709"/>
              <w:rPr>
                <w:rFonts w:ascii="Goudy Old Style" w:hAnsi="Goudy Old Style"/>
              </w:rPr>
            </w:pPr>
            <w:r w:rsidRPr="00205C77">
              <w:rPr>
                <w:rFonts w:ascii="Goudy Old Style" w:hAnsi="Goudy Old Style"/>
              </w:rPr>
              <w:t>www.pc.gov.au</w:t>
            </w:r>
          </w:p>
        </w:tc>
      </w:tr>
      <w:bookmarkEnd w:id="5"/>
    </w:tbl>
    <w:p w:rsidR="00F85265" w:rsidRPr="00C76C25" w:rsidRDefault="00F85265" w:rsidP="00537BB4">
      <w:pPr>
        <w:pStyle w:val="LetterAddress"/>
      </w:pPr>
    </w:p>
    <w:p w:rsidR="00F85265" w:rsidRPr="00C5747E" w:rsidRDefault="004636B6">
      <w:pPr>
        <w:pStyle w:val="LetterAddress"/>
      </w:pPr>
      <w:r w:rsidRPr="00C5747E">
        <w:t>Senator Arthur Sinodinos AO</w:t>
      </w:r>
      <w:r w:rsidR="00F85265" w:rsidRPr="00C5747E">
        <w:br/>
        <w:t>Assistant Treasurer</w:t>
      </w:r>
    </w:p>
    <w:p w:rsidR="00F85265" w:rsidRPr="00C5747E" w:rsidRDefault="00F85265">
      <w:pPr>
        <w:pStyle w:val="LetterAddress"/>
      </w:pPr>
      <w:r w:rsidRPr="00C5747E">
        <w:t>Parliament House</w:t>
      </w:r>
    </w:p>
    <w:p w:rsidR="00F85265" w:rsidRPr="00C76C25" w:rsidRDefault="00F85265">
      <w:pPr>
        <w:pStyle w:val="LetterAddress"/>
      </w:pPr>
      <w:r w:rsidRPr="00C5747E">
        <w:t>CANBERRA  ACT  2600</w:t>
      </w:r>
    </w:p>
    <w:p w:rsidR="00F85265" w:rsidRDefault="00F85265">
      <w:pPr>
        <w:pStyle w:val="Salutation"/>
      </w:pPr>
      <w:bookmarkStart w:id="7" w:name="Salutation"/>
      <w:bookmarkEnd w:id="7"/>
    </w:p>
    <w:p w:rsidR="00F85265" w:rsidRPr="00C76C25" w:rsidRDefault="00F85265">
      <w:pPr>
        <w:pStyle w:val="Salutation"/>
      </w:pPr>
      <w:r w:rsidRPr="00C76C25">
        <w:t>Dear Assistant Treasurer</w:t>
      </w:r>
    </w:p>
    <w:p w:rsidR="00F85265" w:rsidRPr="00C76C25" w:rsidRDefault="00F85265" w:rsidP="00537BB4">
      <w:pPr>
        <w:pStyle w:val="BodyText"/>
        <w:ind w:right="142"/>
        <w:rPr>
          <w:sz w:val="24"/>
          <w:szCs w:val="24"/>
        </w:rPr>
      </w:pPr>
      <w:bookmarkStart w:id="8" w:name="Body"/>
      <w:bookmarkEnd w:id="8"/>
      <w:r w:rsidRPr="00C76C25">
        <w:rPr>
          <w:sz w:val="24"/>
          <w:szCs w:val="24"/>
        </w:rPr>
        <w:t xml:space="preserve">In accordance with Section 11 of the </w:t>
      </w:r>
      <w:r w:rsidRPr="00C76C25">
        <w:rPr>
          <w:i/>
          <w:sz w:val="24"/>
          <w:szCs w:val="24"/>
        </w:rPr>
        <w:t>Productivity Commission Act 1998</w:t>
      </w:r>
      <w:r w:rsidRPr="00C76C25">
        <w:rPr>
          <w:sz w:val="24"/>
          <w:szCs w:val="24"/>
        </w:rPr>
        <w:t>, we have pleasure in submitting to you the Commi</w:t>
      </w:r>
      <w:r w:rsidR="00817F67">
        <w:rPr>
          <w:sz w:val="24"/>
          <w:szCs w:val="24"/>
        </w:rPr>
        <w:t>ssion’s final report into N</w:t>
      </w:r>
      <w:r w:rsidR="001D79E6">
        <w:rPr>
          <w:sz w:val="24"/>
          <w:szCs w:val="24"/>
        </w:rPr>
        <w:t>on-</w:t>
      </w:r>
      <w:r w:rsidR="00817F67">
        <w:rPr>
          <w:sz w:val="24"/>
          <w:szCs w:val="24"/>
        </w:rPr>
        <w:t>F</w:t>
      </w:r>
      <w:r w:rsidR="001D79E6">
        <w:rPr>
          <w:sz w:val="24"/>
          <w:szCs w:val="24"/>
        </w:rPr>
        <w:t xml:space="preserve">inancial </w:t>
      </w:r>
      <w:r w:rsidR="00817F67">
        <w:rPr>
          <w:sz w:val="24"/>
          <w:szCs w:val="24"/>
        </w:rPr>
        <w:t>B</w:t>
      </w:r>
      <w:r w:rsidR="001D79E6">
        <w:rPr>
          <w:sz w:val="24"/>
          <w:szCs w:val="24"/>
        </w:rPr>
        <w:t xml:space="preserve">arriers to </w:t>
      </w:r>
      <w:r w:rsidR="00817F67">
        <w:rPr>
          <w:sz w:val="24"/>
          <w:szCs w:val="24"/>
        </w:rPr>
        <w:t>M</w:t>
      </w:r>
      <w:r w:rsidR="001D79E6">
        <w:rPr>
          <w:sz w:val="24"/>
          <w:szCs w:val="24"/>
        </w:rPr>
        <w:t xml:space="preserve">ineral and </w:t>
      </w:r>
      <w:r w:rsidR="00817F67">
        <w:rPr>
          <w:sz w:val="24"/>
          <w:szCs w:val="24"/>
        </w:rPr>
        <w:t>E</w:t>
      </w:r>
      <w:r w:rsidR="001D79E6">
        <w:rPr>
          <w:sz w:val="24"/>
          <w:szCs w:val="24"/>
        </w:rPr>
        <w:t xml:space="preserve">nergy </w:t>
      </w:r>
      <w:r w:rsidR="00817F67">
        <w:rPr>
          <w:sz w:val="24"/>
          <w:szCs w:val="24"/>
        </w:rPr>
        <w:t>R</w:t>
      </w:r>
      <w:r w:rsidR="001D79E6">
        <w:rPr>
          <w:sz w:val="24"/>
          <w:szCs w:val="24"/>
        </w:rPr>
        <w:t xml:space="preserve">esource </w:t>
      </w:r>
      <w:r w:rsidR="00817F67">
        <w:rPr>
          <w:sz w:val="24"/>
          <w:szCs w:val="24"/>
        </w:rPr>
        <w:t>E</w:t>
      </w:r>
      <w:r w:rsidR="001D79E6">
        <w:rPr>
          <w:sz w:val="24"/>
          <w:szCs w:val="24"/>
        </w:rPr>
        <w:t>xploration</w:t>
      </w:r>
      <w:r w:rsidRPr="00C76C25">
        <w:rPr>
          <w:sz w:val="24"/>
          <w:szCs w:val="24"/>
        </w:rPr>
        <w:t>.</w:t>
      </w:r>
    </w:p>
    <w:p w:rsidR="00F85265" w:rsidRPr="00C76C25" w:rsidRDefault="00F85265">
      <w:pPr>
        <w:pStyle w:val="Signoff"/>
        <w:rPr>
          <w:szCs w:val="24"/>
        </w:rPr>
      </w:pPr>
      <w:bookmarkStart w:id="9" w:name="signoff"/>
      <w:bookmarkEnd w:id="9"/>
      <w:r w:rsidRPr="00C76C25">
        <w:rPr>
          <w:szCs w:val="24"/>
        </w:rPr>
        <w:t>Yours sincerely</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01"/>
        <w:gridCol w:w="3002"/>
        <w:gridCol w:w="3002"/>
      </w:tblGrid>
      <w:tr w:rsidR="00F85265" w:rsidTr="006817C9">
        <w:tc>
          <w:tcPr>
            <w:tcW w:w="3001" w:type="dxa"/>
          </w:tcPr>
          <w:p w:rsidR="00F85265" w:rsidRPr="00C76C25" w:rsidRDefault="001D79E6" w:rsidP="00537BB4">
            <w:pPr>
              <w:pStyle w:val="BodyText"/>
              <w:rPr>
                <w:sz w:val="24"/>
                <w:szCs w:val="24"/>
              </w:rPr>
            </w:pPr>
            <w:bookmarkStart w:id="10" w:name="author"/>
            <w:bookmarkEnd w:id="10"/>
            <w:r>
              <w:rPr>
                <w:sz w:val="24"/>
                <w:szCs w:val="24"/>
              </w:rPr>
              <w:t>Michael Woods</w:t>
            </w:r>
          </w:p>
          <w:p w:rsidR="00F85265" w:rsidRDefault="00F85265" w:rsidP="00537BB4">
            <w:pPr>
              <w:pStyle w:val="LetterAddress"/>
              <w:rPr>
                <w:szCs w:val="24"/>
              </w:rPr>
            </w:pPr>
            <w:r w:rsidRPr="00C76C25">
              <w:t>Presiding Commissioner</w:t>
            </w:r>
          </w:p>
        </w:tc>
        <w:tc>
          <w:tcPr>
            <w:tcW w:w="3002" w:type="dxa"/>
          </w:tcPr>
          <w:p w:rsidR="00F85265" w:rsidRPr="00C76C25" w:rsidRDefault="001D79E6" w:rsidP="00537BB4">
            <w:pPr>
              <w:pStyle w:val="BodyText"/>
              <w:rPr>
                <w:sz w:val="24"/>
                <w:szCs w:val="24"/>
              </w:rPr>
            </w:pPr>
            <w:r>
              <w:rPr>
                <w:sz w:val="24"/>
                <w:szCs w:val="24"/>
              </w:rPr>
              <w:t>Jonathan Coppel</w:t>
            </w:r>
          </w:p>
          <w:p w:rsidR="00F85265" w:rsidRDefault="00F85265" w:rsidP="00537BB4">
            <w:pPr>
              <w:pStyle w:val="LetterAddress"/>
              <w:rPr>
                <w:szCs w:val="24"/>
              </w:rPr>
            </w:pPr>
            <w:r w:rsidRPr="00C76C25">
              <w:t>Commissioner</w:t>
            </w:r>
          </w:p>
        </w:tc>
        <w:tc>
          <w:tcPr>
            <w:tcW w:w="3002" w:type="dxa"/>
          </w:tcPr>
          <w:p w:rsidR="00F85265" w:rsidRDefault="00F85265" w:rsidP="00537BB4">
            <w:pPr>
              <w:pStyle w:val="LetterAddress"/>
              <w:rPr>
                <w:szCs w:val="24"/>
              </w:rPr>
            </w:pPr>
          </w:p>
        </w:tc>
      </w:tr>
    </w:tbl>
    <w:p w:rsidR="00735FEA" w:rsidRDefault="00735FEA">
      <w:pPr>
        <w:pStyle w:val="BodyText"/>
        <w:sectPr w:rsidR="00735FEA" w:rsidSect="008F7C50">
          <w:type w:val="oddPage"/>
          <w:pgSz w:w="11907" w:h="16840" w:code="9"/>
          <w:pgMar w:top="1418" w:right="1304" w:bottom="567" w:left="1814" w:header="1701" w:footer="567" w:gutter="0"/>
          <w:pgNumType w:fmt="lowerRoman" w:start="1"/>
          <w:cols w:space="720"/>
          <w:titlePg/>
        </w:sectPr>
      </w:pPr>
    </w:p>
    <w:p w:rsidR="00F85265" w:rsidRDefault="00F85265" w:rsidP="00537BB4">
      <w:pPr>
        <w:pStyle w:val="Heading1"/>
      </w:pPr>
      <w:bookmarkStart w:id="11" w:name="_Toc367371281"/>
      <w:bookmarkStart w:id="12" w:name="_Toc367459079"/>
      <w:bookmarkStart w:id="13" w:name="_Toc367699755"/>
      <w:r>
        <w:lastRenderedPageBreak/>
        <w:t>Terms of reference</w:t>
      </w:r>
      <w:bookmarkEnd w:id="11"/>
      <w:bookmarkEnd w:id="12"/>
      <w:bookmarkEnd w:id="13"/>
    </w:p>
    <w:p w:rsidR="001D79E6" w:rsidRPr="00B33DC9" w:rsidRDefault="001D79E6" w:rsidP="001D79E6">
      <w:pPr>
        <w:pStyle w:val="Heading3"/>
      </w:pPr>
      <w:r w:rsidRPr="00B33DC9">
        <w:t>Inquiry into Non-financial barriers to mineral and energy resource exploration</w:t>
      </w:r>
    </w:p>
    <w:p w:rsidR="001D79E6" w:rsidRPr="00B33DC9" w:rsidRDefault="001D79E6" w:rsidP="001D79E6">
      <w:pPr>
        <w:pStyle w:val="BodyText"/>
      </w:pPr>
      <w:r w:rsidRPr="00B33DC9">
        <w:t xml:space="preserve">I, David Bradbury, Assistant Treasurer, pursuant to Parts 2 and 3 of the </w:t>
      </w:r>
      <w:r w:rsidRPr="00B33DC9">
        <w:rPr>
          <w:i/>
        </w:rPr>
        <w:t>Productivity Commission Act 1998</w:t>
      </w:r>
      <w:r w:rsidRPr="00B33DC9">
        <w:t xml:space="preserve">, hereby request that the Productivity Commission undertake an inquiry into the </w:t>
      </w:r>
      <w:r w:rsidRPr="00B33DC9">
        <w:rPr>
          <w:i/>
        </w:rPr>
        <w:t>Non-financial barriers to mineral and energy resource exploration</w:t>
      </w:r>
      <w:r w:rsidRPr="00B33DC9">
        <w:t>.</w:t>
      </w:r>
    </w:p>
    <w:p w:rsidR="001D79E6" w:rsidRPr="00B33DC9" w:rsidRDefault="001D79E6" w:rsidP="001D79E6">
      <w:pPr>
        <w:pStyle w:val="BodyText"/>
        <w:rPr>
          <w:b/>
          <w:i/>
        </w:rPr>
      </w:pPr>
      <w:r w:rsidRPr="00B33DC9">
        <w:rPr>
          <w:b/>
          <w:i/>
        </w:rPr>
        <w:t>BACKGROUND</w:t>
      </w:r>
    </w:p>
    <w:p w:rsidR="001D79E6" w:rsidRPr="00B33DC9" w:rsidRDefault="001D79E6" w:rsidP="001D79E6">
      <w:pPr>
        <w:pStyle w:val="BodyText"/>
      </w:pPr>
      <w:r w:rsidRPr="00B33DC9">
        <w:t>The Policy Transition Group (</w:t>
      </w:r>
      <w:proofErr w:type="spellStart"/>
      <w:r w:rsidRPr="00B33DC9">
        <w:t>PTG</w:t>
      </w:r>
      <w:proofErr w:type="spellEnd"/>
      <w:r w:rsidRPr="00B33DC9">
        <w:t xml:space="preserve">) was established to advise on the implementation and technical design elements of the new resource taxation reforms, and minerals and petroleum exploration. In its report to the Australian Government in December 2010, the </w:t>
      </w:r>
      <w:proofErr w:type="spellStart"/>
      <w:r w:rsidRPr="00B33DC9">
        <w:t>PTG</w:t>
      </w:r>
      <w:proofErr w:type="spellEnd"/>
      <w:r w:rsidRPr="00B33DC9">
        <w:t xml:space="preserve"> recommended that the Productivity Commission be tasked with undertaking an examination of the regulatory barriers faced by exploration companies. The report noted that ‘a range of approvals are required before exploration can begin, including land access, native title, indigenous and non-indigenous heritage, environmental, conservation estate, and planning and infrastructure approvals’. </w:t>
      </w:r>
    </w:p>
    <w:p w:rsidR="001D79E6" w:rsidRPr="00B33DC9" w:rsidRDefault="001D79E6" w:rsidP="001D79E6">
      <w:pPr>
        <w:pStyle w:val="BodyText"/>
        <w:rPr>
          <w:b/>
          <w:i/>
        </w:rPr>
      </w:pPr>
      <w:r w:rsidRPr="00B33DC9">
        <w:rPr>
          <w:b/>
          <w:i/>
        </w:rPr>
        <w:t>PURPOSE</w:t>
      </w:r>
    </w:p>
    <w:p w:rsidR="001D79E6" w:rsidRPr="00B33DC9" w:rsidRDefault="001D79E6" w:rsidP="001D79E6">
      <w:pPr>
        <w:pStyle w:val="BodyText"/>
      </w:pPr>
      <w:r w:rsidRPr="00B33DC9">
        <w:t xml:space="preserve">This review will examine exploration approvals systems and processes, within and across jurisdictions, to assess their effectiveness and efficiency. The Commission will also assess areas of duplication between State, Territory and Commonwealth regulation for potential streamlining and further review. The Commission will also assess costs associated with government processes and broader economic costs such as that associated with regulatory duplication but not related to taxation, financial incentives, fees, charges and royalties. </w:t>
      </w:r>
    </w:p>
    <w:p w:rsidR="001D79E6" w:rsidRPr="00B33DC9" w:rsidRDefault="001D79E6" w:rsidP="001D79E6">
      <w:pPr>
        <w:pStyle w:val="BodyText"/>
        <w:rPr>
          <w:b/>
          <w:i/>
        </w:rPr>
      </w:pPr>
      <w:r w:rsidRPr="00B33DC9">
        <w:rPr>
          <w:b/>
          <w:i/>
        </w:rPr>
        <w:t>SCOPE OF THE INQUIRY</w:t>
      </w:r>
    </w:p>
    <w:p w:rsidR="001D79E6" w:rsidRPr="00B33DC9" w:rsidRDefault="001D79E6" w:rsidP="001D79E6">
      <w:pPr>
        <w:pStyle w:val="BodyText"/>
      </w:pPr>
      <w:r w:rsidRPr="00B33DC9">
        <w:t>The Commission is requested to outline high priority reform options to address non-financial barriers to exploration for mineral and energy resources in Australia. In order to achieve this, the Commission should:</w:t>
      </w:r>
    </w:p>
    <w:p w:rsidR="001D79E6" w:rsidRPr="00B33DC9" w:rsidRDefault="001D79E6" w:rsidP="001D79E6">
      <w:pPr>
        <w:pStyle w:val="ListBullet"/>
      </w:pPr>
      <w:r w:rsidRPr="00B33DC9">
        <w:lastRenderedPageBreak/>
        <w:t>determine if there is evidence of unnecessary regulatory burden and if there is, make recommendations on how to reduce or eliminate these burdens;</w:t>
      </w:r>
    </w:p>
    <w:p w:rsidR="001D79E6" w:rsidRPr="00B33DC9" w:rsidRDefault="001D79E6" w:rsidP="001D79E6">
      <w:pPr>
        <w:pStyle w:val="ListBullet"/>
      </w:pPr>
      <w:r w:rsidRPr="00B33DC9">
        <w:t xml:space="preserve">examine the complexity and time frames of government approvals processes for exploration, and potential for delay due to appeals both within and across jurisdictions; </w:t>
      </w:r>
    </w:p>
    <w:p w:rsidR="001D79E6" w:rsidRPr="00B33DC9" w:rsidRDefault="001D79E6" w:rsidP="001D79E6">
      <w:pPr>
        <w:pStyle w:val="ListBullet"/>
      </w:pPr>
      <w:r w:rsidRPr="00B33DC9">
        <w:t xml:space="preserve">examine areas of duplication between and within Local, State, Territory and Commonwealth regulation that can be triggered throughout an exploration project; </w:t>
      </w:r>
    </w:p>
    <w:p w:rsidR="001D79E6" w:rsidRPr="00B33DC9" w:rsidRDefault="001D79E6" w:rsidP="001D79E6">
      <w:pPr>
        <w:pStyle w:val="ListBullet"/>
      </w:pPr>
      <w:r w:rsidRPr="00B33DC9">
        <w:t xml:space="preserve">examine costs of non-financial barriers (including regulatory and related costs); </w:t>
      </w:r>
    </w:p>
    <w:p w:rsidR="001D79E6" w:rsidRPr="00B33DC9" w:rsidRDefault="001D79E6" w:rsidP="001D79E6">
      <w:pPr>
        <w:pStyle w:val="ListBullet"/>
      </w:pPr>
      <w:r w:rsidRPr="00B33DC9">
        <w:t>consider options to improve the regulatory environment for exploration activities, having regard to regulatory objectives; and</w:t>
      </w:r>
    </w:p>
    <w:p w:rsidR="001D79E6" w:rsidRPr="00B33DC9" w:rsidRDefault="001D79E6" w:rsidP="001D79E6">
      <w:pPr>
        <w:pStyle w:val="ListBullet"/>
      </w:pPr>
      <w:r w:rsidRPr="00B33DC9">
        <w:t xml:space="preserve">assess the impact of non-financial barriers on international competitiveness and economic performance of Australia’s exploration sector. </w:t>
      </w:r>
    </w:p>
    <w:p w:rsidR="001D79E6" w:rsidRPr="00B33DC9" w:rsidRDefault="001D79E6" w:rsidP="001D79E6">
      <w:pPr>
        <w:pStyle w:val="BodyText"/>
      </w:pPr>
      <w:r w:rsidRPr="00B33DC9">
        <w:t>Local, state, territory and Commonwealth taxation and fiscal policy is not to be examined.</w:t>
      </w:r>
    </w:p>
    <w:p w:rsidR="001D79E6" w:rsidRPr="00B33DC9" w:rsidRDefault="001D79E6" w:rsidP="001D79E6">
      <w:pPr>
        <w:pStyle w:val="BodyText"/>
      </w:pPr>
      <w:r w:rsidRPr="00B33DC9">
        <w:t xml:space="preserve">The inquiry is not to re-examine the Government’s response to the Report of the Independent Review of the </w:t>
      </w:r>
      <w:r w:rsidRPr="00B33DC9">
        <w:rPr>
          <w:i/>
        </w:rPr>
        <w:t>Environment Protection and Biodiversity Conservation Act 1999</w:t>
      </w:r>
      <w:r w:rsidRPr="00B33DC9">
        <w:t>.</w:t>
      </w:r>
    </w:p>
    <w:p w:rsidR="001D79E6" w:rsidRPr="00B33DC9" w:rsidRDefault="001D79E6" w:rsidP="001D79E6">
      <w:pPr>
        <w:pStyle w:val="BodyText"/>
      </w:pPr>
      <w:r w:rsidRPr="00B33DC9">
        <w:t xml:space="preserve">The inquiry is not to examine processes under the Commonwealth’s </w:t>
      </w:r>
      <w:r w:rsidRPr="00B33DC9">
        <w:rPr>
          <w:i/>
        </w:rPr>
        <w:t>Native Title Act 1993</w:t>
      </w:r>
      <w:r w:rsidRPr="00B33DC9">
        <w:t xml:space="preserve">, the </w:t>
      </w:r>
      <w:r w:rsidRPr="00B33DC9">
        <w:rPr>
          <w:i/>
        </w:rPr>
        <w:t>Aboriginal Land Rights (Northern Territory) Act 1976</w:t>
      </w:r>
      <w:r w:rsidRPr="00B33DC9">
        <w:t xml:space="preserve"> or state Indigenous land rights regimes.</w:t>
      </w:r>
    </w:p>
    <w:p w:rsidR="001D79E6" w:rsidRPr="00B33DC9" w:rsidRDefault="001D79E6" w:rsidP="001D79E6">
      <w:pPr>
        <w:pStyle w:val="BodyText"/>
      </w:pPr>
      <w:r w:rsidRPr="00B33DC9">
        <w:t xml:space="preserve">In undertaking this inquiry, the Commission should take into account current or recent reviews commissioned by state, territory and the Commonwealth Governments regarding regulatory approval processes for exploration. </w:t>
      </w:r>
    </w:p>
    <w:p w:rsidR="001D79E6" w:rsidRPr="00B33DC9" w:rsidRDefault="001D79E6" w:rsidP="001D79E6">
      <w:pPr>
        <w:pStyle w:val="BodyText"/>
      </w:pPr>
      <w:r w:rsidRPr="00B33DC9">
        <w:t>There is a continued need for government involvement in pre-competitive geoscience to attract exploration investment. As such, the Exploration Investment and Geoscience (</w:t>
      </w:r>
      <w:proofErr w:type="spellStart"/>
      <w:r w:rsidRPr="00B33DC9">
        <w:t>EIG</w:t>
      </w:r>
      <w:proofErr w:type="spellEnd"/>
      <w:r w:rsidRPr="00B33DC9">
        <w:t xml:space="preserve">) working group’s report to the Standing Council on Energy and Resources on options that may be used to improve Australia’s global position for attracting resource exploration investment should inform this inquiry. This inquiry will also consider the work the </w:t>
      </w:r>
      <w:proofErr w:type="spellStart"/>
      <w:r w:rsidRPr="00B33DC9">
        <w:t>EIG</w:t>
      </w:r>
      <w:proofErr w:type="spellEnd"/>
      <w:r w:rsidRPr="00B33DC9">
        <w:t xml:space="preserve"> working group is undertaking on resource reserve disclosure by non-Australian Stock Exchange (</w:t>
      </w:r>
      <w:proofErr w:type="spellStart"/>
      <w:r w:rsidRPr="00B33DC9">
        <w:t>ASX</w:t>
      </w:r>
      <w:proofErr w:type="spellEnd"/>
      <w:r w:rsidRPr="00B33DC9">
        <w:t xml:space="preserve">) companies. </w:t>
      </w:r>
    </w:p>
    <w:p w:rsidR="001D79E6" w:rsidRPr="00B33DC9" w:rsidRDefault="001D79E6" w:rsidP="001D79E6">
      <w:pPr>
        <w:pStyle w:val="BodyText"/>
      </w:pPr>
      <w:r w:rsidRPr="00B33DC9">
        <w:t xml:space="preserve">The Commission should consult with all relevant state, territory and Commonwealth government agencies and other key stakeholders. The Commission will report within 12 months of receipt of this reference and will hold public </w:t>
      </w:r>
      <w:r w:rsidRPr="00B33DC9">
        <w:lastRenderedPageBreak/>
        <w:t xml:space="preserve">hearings for the purpose of this inquiry. The Commission is to provide a draft and final report to the Australian Government, both of which will be published. </w:t>
      </w:r>
    </w:p>
    <w:p w:rsidR="001D79E6" w:rsidRPr="00B33DC9" w:rsidRDefault="001D79E6" w:rsidP="001D79E6">
      <w:pPr>
        <w:pStyle w:val="BodyText"/>
      </w:pPr>
      <w:r w:rsidRPr="00B33DC9">
        <w:t xml:space="preserve">The Government will consider the Commission’s recommendations, and its response will be announced as soon as possible after the receipt of the Commission’s final report. </w:t>
      </w:r>
    </w:p>
    <w:p w:rsidR="001D79E6" w:rsidRPr="00B33DC9" w:rsidRDefault="001D79E6" w:rsidP="001D79E6">
      <w:pPr>
        <w:pStyle w:val="BodyText"/>
      </w:pPr>
      <w:r w:rsidRPr="00B33DC9">
        <w:t>The Australian Government will refer the final report to the Council of Australian Governments for action by Australian jurisdictions after the inquiry report has been tabled in Parliament.</w:t>
      </w:r>
    </w:p>
    <w:p w:rsidR="001D79E6" w:rsidRDefault="001D79E6" w:rsidP="001D79E6">
      <w:pPr>
        <w:pStyle w:val="BodyText"/>
      </w:pPr>
      <w:r>
        <w:t>DAVID BRADBURY</w:t>
      </w:r>
    </w:p>
    <w:p w:rsidR="001D79E6" w:rsidRDefault="001D79E6" w:rsidP="001D79E6">
      <w:pPr>
        <w:pStyle w:val="BodyText"/>
      </w:pPr>
      <w:r>
        <w:t>[Received 27 September 2012]</w:t>
      </w:r>
    </w:p>
    <w:p w:rsidR="00F85265" w:rsidRDefault="00F85265" w:rsidP="006817C9">
      <w:pPr>
        <w:pStyle w:val="BodyText"/>
      </w:pPr>
    </w:p>
    <w:p w:rsidR="00F85265" w:rsidRDefault="00F85265" w:rsidP="006817C9">
      <w:pPr>
        <w:pStyle w:val="BodyText"/>
      </w:pPr>
    </w:p>
    <w:p w:rsidR="00F85265" w:rsidRDefault="00F85265" w:rsidP="006817C9">
      <w:pPr>
        <w:pStyle w:val="BodyText"/>
        <w:sectPr w:rsidR="00F85265" w:rsidSect="006817C9">
          <w:headerReference w:type="even" r:id="rId10"/>
          <w:headerReference w:type="default" r:id="rId11"/>
          <w:footerReference w:type="even" r:id="rId12"/>
          <w:footerReference w:type="default" r:id="rId13"/>
          <w:type w:val="oddPage"/>
          <w:pgSz w:w="11907" w:h="16840" w:code="9"/>
          <w:pgMar w:top="1985" w:right="1304" w:bottom="1418" w:left="1814" w:header="1701" w:footer="567" w:gutter="0"/>
          <w:pgNumType w:fmt="lowerRoman"/>
          <w:cols w:space="720"/>
        </w:sectPr>
      </w:pPr>
    </w:p>
    <w:p w:rsidR="00002C2E" w:rsidRDefault="00735FEA" w:rsidP="00002C2E">
      <w:pPr>
        <w:pStyle w:val="Heading1NotTOC"/>
        <w:rPr>
          <w:noProof/>
        </w:rPr>
      </w:pPr>
      <w:bookmarkStart w:id="14" w:name="Contents"/>
      <w:bookmarkEnd w:id="14"/>
      <w:r w:rsidRPr="00B153C3">
        <w:lastRenderedPageBreak/>
        <w:t>Contents</w:t>
      </w:r>
      <w:bookmarkStart w:id="15" w:name="InsertContents"/>
      <w:bookmarkEnd w:id="15"/>
    </w:p>
    <w:p w:rsidR="00002C2E" w:rsidRDefault="00002C2E">
      <w:pPr>
        <w:pStyle w:val="TOC1"/>
        <w:rPr>
          <w:rFonts w:asciiTheme="minorHAnsi" w:eastAsiaTheme="minorEastAsia" w:hAnsiTheme="minorHAnsi" w:cstheme="minorBidi"/>
          <w:b w:val="0"/>
          <w:noProof/>
          <w:sz w:val="22"/>
          <w:szCs w:val="22"/>
          <w:lang w:eastAsia="en-AU"/>
        </w:rPr>
      </w:pPr>
      <w:r>
        <w:rPr>
          <w:noProof/>
        </w:rPr>
        <w:t>Terms of reference</w:t>
      </w:r>
      <w:r>
        <w:rPr>
          <w:noProof/>
        </w:rPr>
        <w:tab/>
        <w:t>v</w:t>
      </w:r>
    </w:p>
    <w:p w:rsidR="00002C2E" w:rsidRDefault="00002C2E">
      <w:pPr>
        <w:pStyle w:val="TOC1"/>
        <w:rPr>
          <w:rFonts w:asciiTheme="minorHAnsi" w:eastAsiaTheme="minorEastAsia" w:hAnsiTheme="minorHAnsi" w:cstheme="minorBidi"/>
          <w:b w:val="0"/>
          <w:noProof/>
          <w:sz w:val="22"/>
          <w:szCs w:val="22"/>
          <w:lang w:eastAsia="en-AU"/>
        </w:rPr>
      </w:pPr>
      <w:r>
        <w:rPr>
          <w:noProof/>
        </w:rPr>
        <w:t>Abbreviations and explanations</w:t>
      </w:r>
      <w:r>
        <w:rPr>
          <w:noProof/>
        </w:rPr>
        <w:tab/>
        <w:t>xii</w:t>
      </w:r>
    </w:p>
    <w:p w:rsidR="00002C2E" w:rsidRDefault="00002C2E">
      <w:pPr>
        <w:pStyle w:val="TOC1"/>
        <w:rPr>
          <w:rFonts w:asciiTheme="minorHAnsi" w:eastAsiaTheme="minorEastAsia" w:hAnsiTheme="minorHAnsi" w:cstheme="minorBidi"/>
          <w:b w:val="0"/>
          <w:noProof/>
          <w:sz w:val="22"/>
          <w:szCs w:val="22"/>
          <w:lang w:eastAsia="en-AU"/>
        </w:rPr>
      </w:pPr>
      <w:r>
        <w:rPr>
          <w:noProof/>
        </w:rPr>
        <w:t>Overview</w:t>
      </w:r>
      <w:r>
        <w:rPr>
          <w:noProof/>
        </w:rPr>
        <w:tab/>
        <w:t>1</w:t>
      </w:r>
    </w:p>
    <w:p w:rsidR="00002C2E" w:rsidRDefault="00002C2E">
      <w:pPr>
        <w:pStyle w:val="TOC2"/>
        <w:rPr>
          <w:rFonts w:asciiTheme="minorHAnsi" w:eastAsiaTheme="minorEastAsia" w:hAnsiTheme="minorHAnsi" w:cstheme="minorBidi"/>
          <w:noProof/>
          <w:sz w:val="22"/>
          <w:szCs w:val="22"/>
          <w:lang w:eastAsia="en-AU"/>
        </w:rPr>
      </w:pPr>
      <w:r>
        <w:rPr>
          <w:noProof/>
        </w:rPr>
        <w:t>About the inquiry</w:t>
      </w:r>
      <w:r>
        <w:rPr>
          <w:noProof/>
        </w:rPr>
        <w:tab/>
        <w:t>3</w:t>
      </w:r>
    </w:p>
    <w:p w:rsidR="00002C2E" w:rsidRDefault="00002C2E">
      <w:pPr>
        <w:pStyle w:val="TOC2"/>
        <w:rPr>
          <w:rFonts w:asciiTheme="minorHAnsi" w:eastAsiaTheme="minorEastAsia" w:hAnsiTheme="minorHAnsi" w:cstheme="minorBidi"/>
          <w:noProof/>
          <w:sz w:val="22"/>
          <w:szCs w:val="22"/>
          <w:lang w:eastAsia="en-AU"/>
        </w:rPr>
      </w:pPr>
      <w:r>
        <w:rPr>
          <w:noProof/>
        </w:rPr>
        <w:t>Background</w:t>
      </w:r>
      <w:r>
        <w:rPr>
          <w:noProof/>
        </w:rPr>
        <w:tab/>
        <w:t>3</w:t>
      </w:r>
    </w:p>
    <w:p w:rsidR="00002C2E" w:rsidRDefault="00002C2E">
      <w:pPr>
        <w:pStyle w:val="TOC2"/>
        <w:rPr>
          <w:rFonts w:asciiTheme="minorHAnsi" w:eastAsiaTheme="minorEastAsia" w:hAnsiTheme="minorHAnsi" w:cstheme="minorBidi"/>
          <w:noProof/>
          <w:sz w:val="22"/>
          <w:szCs w:val="22"/>
          <w:lang w:eastAsia="en-AU"/>
        </w:rPr>
      </w:pPr>
      <w:r>
        <w:rPr>
          <w:noProof/>
        </w:rPr>
        <w:t>Non</w:t>
      </w:r>
      <w:r>
        <w:rPr>
          <w:noProof/>
        </w:rPr>
        <w:noBreakHyphen/>
        <w:t>regulatory issues</w:t>
      </w:r>
      <w:r>
        <w:rPr>
          <w:noProof/>
        </w:rPr>
        <w:tab/>
        <w:t>27</w:t>
      </w:r>
    </w:p>
    <w:p w:rsidR="00002C2E" w:rsidRDefault="00002C2E">
      <w:pPr>
        <w:pStyle w:val="TOC1"/>
        <w:rPr>
          <w:rFonts w:asciiTheme="minorHAnsi" w:eastAsiaTheme="minorEastAsia" w:hAnsiTheme="minorHAnsi" w:cstheme="minorBidi"/>
          <w:b w:val="0"/>
          <w:noProof/>
          <w:sz w:val="22"/>
          <w:szCs w:val="22"/>
          <w:lang w:eastAsia="en-AU"/>
        </w:rPr>
      </w:pPr>
      <w:r>
        <w:rPr>
          <w:noProof/>
        </w:rPr>
        <w:t>1</w:t>
      </w:r>
      <w:r>
        <w:rPr>
          <w:rFonts w:asciiTheme="minorHAnsi" w:eastAsiaTheme="minorEastAsia" w:hAnsiTheme="minorHAnsi" w:cstheme="minorBidi"/>
          <w:b w:val="0"/>
          <w:noProof/>
          <w:sz w:val="22"/>
          <w:szCs w:val="22"/>
          <w:lang w:eastAsia="en-AU"/>
        </w:rPr>
        <w:tab/>
      </w:r>
      <w:r>
        <w:rPr>
          <w:noProof/>
        </w:rPr>
        <w:t>Recommendation List</w:t>
      </w:r>
      <w:r>
        <w:rPr>
          <w:noProof/>
        </w:rPr>
        <w:tab/>
        <w:t>29</w:t>
      </w:r>
    </w:p>
    <w:p w:rsidR="00002C2E" w:rsidRDefault="00002C2E">
      <w:pPr>
        <w:pStyle w:val="TOC1"/>
        <w:rPr>
          <w:rFonts w:asciiTheme="minorHAnsi" w:eastAsiaTheme="minorEastAsia" w:hAnsiTheme="minorHAnsi" w:cstheme="minorBidi"/>
          <w:b w:val="0"/>
          <w:noProof/>
          <w:sz w:val="22"/>
          <w:szCs w:val="22"/>
          <w:lang w:eastAsia="en-AU"/>
        </w:rPr>
      </w:pPr>
      <w:r>
        <w:rPr>
          <w:noProof/>
        </w:rPr>
        <w:t>1</w:t>
      </w:r>
      <w:r>
        <w:rPr>
          <w:rFonts w:asciiTheme="minorHAnsi" w:eastAsiaTheme="minorEastAsia" w:hAnsiTheme="minorHAnsi" w:cstheme="minorBidi"/>
          <w:b w:val="0"/>
          <w:noProof/>
          <w:sz w:val="22"/>
          <w:szCs w:val="22"/>
          <w:lang w:eastAsia="en-AU"/>
        </w:rPr>
        <w:tab/>
      </w:r>
      <w:r>
        <w:rPr>
          <w:noProof/>
        </w:rPr>
        <w:t>About the inquiry</w:t>
      </w:r>
      <w:r>
        <w:rPr>
          <w:noProof/>
        </w:rPr>
        <w:tab/>
        <w:t>35</w:t>
      </w:r>
    </w:p>
    <w:p w:rsidR="00002C2E" w:rsidRDefault="00002C2E">
      <w:pPr>
        <w:pStyle w:val="TOC2"/>
        <w:tabs>
          <w:tab w:val="left" w:pos="1190"/>
        </w:tabs>
        <w:rPr>
          <w:rFonts w:asciiTheme="minorHAnsi" w:eastAsiaTheme="minorEastAsia" w:hAnsiTheme="minorHAnsi" w:cstheme="minorBidi"/>
          <w:noProof/>
          <w:sz w:val="22"/>
          <w:szCs w:val="22"/>
          <w:lang w:eastAsia="en-AU"/>
        </w:rPr>
      </w:pPr>
      <w:r>
        <w:rPr>
          <w:noProof/>
        </w:rPr>
        <w:t>1.1</w:t>
      </w:r>
      <w:r>
        <w:rPr>
          <w:rFonts w:asciiTheme="minorHAnsi" w:eastAsiaTheme="minorEastAsia" w:hAnsiTheme="minorHAnsi" w:cstheme="minorBidi"/>
          <w:noProof/>
          <w:sz w:val="22"/>
          <w:szCs w:val="22"/>
          <w:lang w:eastAsia="en-AU"/>
        </w:rPr>
        <w:tab/>
      </w:r>
      <w:r>
        <w:rPr>
          <w:noProof/>
        </w:rPr>
        <w:t>Background to the inquiry</w:t>
      </w:r>
      <w:r>
        <w:rPr>
          <w:noProof/>
        </w:rPr>
        <w:tab/>
        <w:t>35</w:t>
      </w:r>
    </w:p>
    <w:p w:rsidR="00002C2E" w:rsidRDefault="00002C2E">
      <w:pPr>
        <w:pStyle w:val="TOC2"/>
        <w:tabs>
          <w:tab w:val="left" w:pos="1190"/>
        </w:tabs>
        <w:rPr>
          <w:rFonts w:asciiTheme="minorHAnsi" w:eastAsiaTheme="minorEastAsia" w:hAnsiTheme="minorHAnsi" w:cstheme="minorBidi"/>
          <w:noProof/>
          <w:sz w:val="22"/>
          <w:szCs w:val="22"/>
          <w:lang w:eastAsia="en-AU"/>
        </w:rPr>
      </w:pPr>
      <w:r>
        <w:rPr>
          <w:noProof/>
        </w:rPr>
        <w:t>1.2</w:t>
      </w:r>
      <w:r>
        <w:rPr>
          <w:rFonts w:asciiTheme="minorHAnsi" w:eastAsiaTheme="minorEastAsia" w:hAnsiTheme="minorHAnsi" w:cstheme="minorBidi"/>
          <w:noProof/>
          <w:sz w:val="22"/>
          <w:szCs w:val="22"/>
          <w:lang w:eastAsia="en-AU"/>
        </w:rPr>
        <w:tab/>
      </w:r>
      <w:r>
        <w:rPr>
          <w:noProof/>
        </w:rPr>
        <w:t>What the Commission has been asked to do</w:t>
      </w:r>
      <w:r>
        <w:rPr>
          <w:noProof/>
        </w:rPr>
        <w:tab/>
        <w:t>35</w:t>
      </w:r>
    </w:p>
    <w:p w:rsidR="00002C2E" w:rsidRDefault="00002C2E">
      <w:pPr>
        <w:pStyle w:val="TOC2"/>
        <w:tabs>
          <w:tab w:val="left" w:pos="1190"/>
        </w:tabs>
        <w:rPr>
          <w:rFonts w:asciiTheme="minorHAnsi" w:eastAsiaTheme="minorEastAsia" w:hAnsiTheme="minorHAnsi" w:cstheme="minorBidi"/>
          <w:noProof/>
          <w:sz w:val="22"/>
          <w:szCs w:val="22"/>
          <w:lang w:eastAsia="en-AU"/>
        </w:rPr>
      </w:pPr>
      <w:r>
        <w:rPr>
          <w:noProof/>
        </w:rPr>
        <w:t>1.3</w:t>
      </w:r>
      <w:r>
        <w:rPr>
          <w:rFonts w:asciiTheme="minorHAnsi" w:eastAsiaTheme="minorEastAsia" w:hAnsiTheme="minorHAnsi" w:cstheme="minorBidi"/>
          <w:noProof/>
          <w:sz w:val="22"/>
          <w:szCs w:val="22"/>
          <w:lang w:eastAsia="en-AU"/>
        </w:rPr>
        <w:tab/>
      </w:r>
      <w:r>
        <w:rPr>
          <w:noProof/>
        </w:rPr>
        <w:t>Conduct of the inquiry</w:t>
      </w:r>
      <w:r>
        <w:rPr>
          <w:noProof/>
        </w:rPr>
        <w:tab/>
        <w:t>39</w:t>
      </w:r>
    </w:p>
    <w:p w:rsidR="00002C2E" w:rsidRDefault="00002C2E">
      <w:pPr>
        <w:pStyle w:val="TOC2"/>
        <w:tabs>
          <w:tab w:val="left" w:pos="1190"/>
        </w:tabs>
        <w:rPr>
          <w:rFonts w:asciiTheme="minorHAnsi" w:eastAsiaTheme="minorEastAsia" w:hAnsiTheme="minorHAnsi" w:cstheme="minorBidi"/>
          <w:noProof/>
          <w:sz w:val="22"/>
          <w:szCs w:val="22"/>
          <w:lang w:eastAsia="en-AU"/>
        </w:rPr>
      </w:pPr>
      <w:r>
        <w:rPr>
          <w:noProof/>
        </w:rPr>
        <w:t>1.4</w:t>
      </w:r>
      <w:r>
        <w:rPr>
          <w:rFonts w:asciiTheme="minorHAnsi" w:eastAsiaTheme="minorEastAsia" w:hAnsiTheme="minorHAnsi" w:cstheme="minorBidi"/>
          <w:noProof/>
          <w:sz w:val="22"/>
          <w:szCs w:val="22"/>
          <w:lang w:eastAsia="en-AU"/>
        </w:rPr>
        <w:tab/>
      </w:r>
      <w:r>
        <w:rPr>
          <w:noProof/>
        </w:rPr>
        <w:t>Structure of the report</w:t>
      </w:r>
      <w:r>
        <w:rPr>
          <w:noProof/>
        </w:rPr>
        <w:tab/>
        <w:t>40</w:t>
      </w:r>
    </w:p>
    <w:p w:rsidR="00002C2E" w:rsidRDefault="00002C2E">
      <w:pPr>
        <w:pStyle w:val="TOC1"/>
        <w:rPr>
          <w:rFonts w:asciiTheme="minorHAnsi" w:eastAsiaTheme="minorEastAsia" w:hAnsiTheme="minorHAnsi" w:cstheme="minorBidi"/>
          <w:b w:val="0"/>
          <w:noProof/>
          <w:sz w:val="22"/>
          <w:szCs w:val="22"/>
          <w:lang w:eastAsia="en-AU"/>
        </w:rPr>
      </w:pPr>
      <w:r>
        <w:rPr>
          <w:noProof/>
        </w:rPr>
        <w:t>2</w:t>
      </w:r>
      <w:r>
        <w:rPr>
          <w:rFonts w:asciiTheme="minorHAnsi" w:eastAsiaTheme="minorEastAsia" w:hAnsiTheme="minorHAnsi" w:cstheme="minorBidi"/>
          <w:b w:val="0"/>
          <w:noProof/>
          <w:sz w:val="22"/>
          <w:szCs w:val="22"/>
          <w:lang w:eastAsia="en-AU"/>
        </w:rPr>
        <w:tab/>
      </w:r>
      <w:r>
        <w:rPr>
          <w:noProof/>
        </w:rPr>
        <w:t>The nature of resource exploration and the role of government</w:t>
      </w:r>
      <w:r>
        <w:rPr>
          <w:noProof/>
        </w:rPr>
        <w:tab/>
        <w:t>41</w:t>
      </w:r>
    </w:p>
    <w:p w:rsidR="00002C2E" w:rsidRDefault="00002C2E">
      <w:pPr>
        <w:pStyle w:val="TOC2"/>
        <w:tabs>
          <w:tab w:val="left" w:pos="1190"/>
        </w:tabs>
        <w:rPr>
          <w:rFonts w:asciiTheme="minorHAnsi" w:eastAsiaTheme="minorEastAsia" w:hAnsiTheme="minorHAnsi" w:cstheme="minorBidi"/>
          <w:noProof/>
          <w:sz w:val="22"/>
          <w:szCs w:val="22"/>
          <w:lang w:eastAsia="en-AU"/>
        </w:rPr>
      </w:pPr>
      <w:r>
        <w:rPr>
          <w:noProof/>
        </w:rPr>
        <w:t>2.1</w:t>
      </w:r>
      <w:r>
        <w:rPr>
          <w:rFonts w:asciiTheme="minorHAnsi" w:eastAsiaTheme="minorEastAsia" w:hAnsiTheme="minorHAnsi" w:cstheme="minorBidi"/>
          <w:noProof/>
          <w:sz w:val="22"/>
          <w:szCs w:val="22"/>
          <w:lang w:eastAsia="en-AU"/>
        </w:rPr>
        <w:tab/>
      </w:r>
      <w:r>
        <w:rPr>
          <w:noProof/>
        </w:rPr>
        <w:t>The importance and scope of resource exploration</w:t>
      </w:r>
      <w:r>
        <w:rPr>
          <w:noProof/>
        </w:rPr>
        <w:tab/>
        <w:t>42</w:t>
      </w:r>
    </w:p>
    <w:p w:rsidR="00002C2E" w:rsidRDefault="00002C2E">
      <w:pPr>
        <w:pStyle w:val="TOC2"/>
        <w:tabs>
          <w:tab w:val="left" w:pos="1190"/>
        </w:tabs>
        <w:rPr>
          <w:rFonts w:asciiTheme="minorHAnsi" w:eastAsiaTheme="minorEastAsia" w:hAnsiTheme="minorHAnsi" w:cstheme="minorBidi"/>
          <w:noProof/>
          <w:sz w:val="22"/>
          <w:szCs w:val="22"/>
          <w:lang w:eastAsia="en-AU"/>
        </w:rPr>
      </w:pPr>
      <w:r>
        <w:rPr>
          <w:noProof/>
        </w:rPr>
        <w:t>2.2</w:t>
      </w:r>
      <w:r>
        <w:rPr>
          <w:rFonts w:asciiTheme="minorHAnsi" w:eastAsiaTheme="minorEastAsia" w:hAnsiTheme="minorHAnsi" w:cstheme="minorBidi"/>
          <w:noProof/>
          <w:sz w:val="22"/>
          <w:szCs w:val="22"/>
          <w:lang w:eastAsia="en-AU"/>
        </w:rPr>
        <w:tab/>
      </w:r>
      <w:r>
        <w:rPr>
          <w:noProof/>
        </w:rPr>
        <w:t>The resource exploration process</w:t>
      </w:r>
      <w:r>
        <w:rPr>
          <w:noProof/>
        </w:rPr>
        <w:tab/>
        <w:t>46</w:t>
      </w:r>
    </w:p>
    <w:p w:rsidR="00002C2E" w:rsidRDefault="00002C2E">
      <w:pPr>
        <w:pStyle w:val="TOC2"/>
        <w:tabs>
          <w:tab w:val="left" w:pos="1190"/>
        </w:tabs>
        <w:rPr>
          <w:rFonts w:asciiTheme="minorHAnsi" w:eastAsiaTheme="minorEastAsia" w:hAnsiTheme="minorHAnsi" w:cstheme="minorBidi"/>
          <w:noProof/>
          <w:sz w:val="22"/>
          <w:szCs w:val="22"/>
          <w:lang w:eastAsia="en-AU"/>
        </w:rPr>
      </w:pPr>
      <w:r>
        <w:rPr>
          <w:noProof/>
        </w:rPr>
        <w:t>2.3</w:t>
      </w:r>
      <w:r>
        <w:rPr>
          <w:rFonts w:asciiTheme="minorHAnsi" w:eastAsiaTheme="minorEastAsia" w:hAnsiTheme="minorHAnsi" w:cstheme="minorBidi"/>
          <w:noProof/>
          <w:sz w:val="22"/>
          <w:szCs w:val="22"/>
          <w:lang w:eastAsia="en-AU"/>
        </w:rPr>
        <w:tab/>
      </w:r>
      <w:r>
        <w:rPr>
          <w:noProof/>
        </w:rPr>
        <w:t>Performance of resource explorers</w:t>
      </w:r>
      <w:r>
        <w:rPr>
          <w:noProof/>
        </w:rPr>
        <w:tab/>
        <w:t>47</w:t>
      </w:r>
    </w:p>
    <w:p w:rsidR="00002C2E" w:rsidRDefault="00002C2E">
      <w:pPr>
        <w:pStyle w:val="TOC2"/>
        <w:tabs>
          <w:tab w:val="left" w:pos="1190"/>
        </w:tabs>
        <w:rPr>
          <w:rFonts w:asciiTheme="minorHAnsi" w:eastAsiaTheme="minorEastAsia" w:hAnsiTheme="minorHAnsi" w:cstheme="minorBidi"/>
          <w:noProof/>
          <w:sz w:val="22"/>
          <w:szCs w:val="22"/>
          <w:lang w:eastAsia="en-AU"/>
        </w:rPr>
      </w:pPr>
      <w:r>
        <w:rPr>
          <w:noProof/>
        </w:rPr>
        <w:t>2.4</w:t>
      </w:r>
      <w:r>
        <w:rPr>
          <w:rFonts w:asciiTheme="minorHAnsi" w:eastAsiaTheme="minorEastAsia" w:hAnsiTheme="minorHAnsi" w:cstheme="minorBidi"/>
          <w:noProof/>
          <w:sz w:val="22"/>
          <w:szCs w:val="22"/>
          <w:lang w:eastAsia="en-AU"/>
        </w:rPr>
        <w:tab/>
      </w:r>
      <w:r>
        <w:rPr>
          <w:noProof/>
        </w:rPr>
        <w:t>Government involvement in the exploration sector</w:t>
      </w:r>
      <w:r>
        <w:rPr>
          <w:noProof/>
        </w:rPr>
        <w:tab/>
        <w:t>55</w:t>
      </w:r>
    </w:p>
    <w:p w:rsidR="00002C2E" w:rsidRDefault="00002C2E">
      <w:pPr>
        <w:pStyle w:val="TOC1"/>
        <w:rPr>
          <w:rFonts w:asciiTheme="minorHAnsi" w:eastAsiaTheme="minorEastAsia" w:hAnsiTheme="minorHAnsi" w:cstheme="minorBidi"/>
          <w:b w:val="0"/>
          <w:noProof/>
          <w:sz w:val="22"/>
          <w:szCs w:val="22"/>
          <w:lang w:eastAsia="en-AU"/>
        </w:rPr>
      </w:pPr>
      <w:r>
        <w:rPr>
          <w:noProof/>
        </w:rPr>
        <w:t>3</w:t>
      </w:r>
      <w:r>
        <w:rPr>
          <w:rFonts w:asciiTheme="minorHAnsi" w:eastAsiaTheme="minorEastAsia" w:hAnsiTheme="minorHAnsi" w:cstheme="minorBidi"/>
          <w:b w:val="0"/>
          <w:noProof/>
          <w:sz w:val="22"/>
          <w:szCs w:val="22"/>
          <w:lang w:eastAsia="en-AU"/>
        </w:rPr>
        <w:tab/>
      </w:r>
      <w:r>
        <w:rPr>
          <w:noProof/>
        </w:rPr>
        <w:t>Exploration licensing and approvals</w:t>
      </w:r>
      <w:r>
        <w:rPr>
          <w:noProof/>
        </w:rPr>
        <w:tab/>
        <w:t>59</w:t>
      </w:r>
    </w:p>
    <w:p w:rsidR="00002C2E" w:rsidRDefault="00002C2E">
      <w:pPr>
        <w:pStyle w:val="TOC2"/>
        <w:tabs>
          <w:tab w:val="left" w:pos="1190"/>
        </w:tabs>
        <w:rPr>
          <w:rFonts w:asciiTheme="minorHAnsi" w:eastAsiaTheme="minorEastAsia" w:hAnsiTheme="minorHAnsi" w:cstheme="minorBidi"/>
          <w:noProof/>
          <w:sz w:val="22"/>
          <w:szCs w:val="22"/>
          <w:lang w:eastAsia="en-AU"/>
        </w:rPr>
      </w:pPr>
      <w:r>
        <w:rPr>
          <w:noProof/>
        </w:rPr>
        <w:t>3.1</w:t>
      </w:r>
      <w:r>
        <w:rPr>
          <w:rFonts w:asciiTheme="minorHAnsi" w:eastAsiaTheme="minorEastAsia" w:hAnsiTheme="minorHAnsi" w:cstheme="minorBidi"/>
          <w:noProof/>
          <w:sz w:val="22"/>
          <w:szCs w:val="22"/>
          <w:lang w:eastAsia="en-AU"/>
        </w:rPr>
        <w:tab/>
      </w:r>
      <w:r>
        <w:rPr>
          <w:noProof/>
        </w:rPr>
        <w:t>The regulatory framework</w:t>
      </w:r>
      <w:r>
        <w:rPr>
          <w:noProof/>
        </w:rPr>
        <w:tab/>
        <w:t>60</w:t>
      </w:r>
    </w:p>
    <w:p w:rsidR="00002C2E" w:rsidRDefault="00002C2E">
      <w:pPr>
        <w:pStyle w:val="TOC2"/>
        <w:tabs>
          <w:tab w:val="left" w:pos="1190"/>
        </w:tabs>
        <w:rPr>
          <w:rFonts w:asciiTheme="minorHAnsi" w:eastAsiaTheme="minorEastAsia" w:hAnsiTheme="minorHAnsi" w:cstheme="minorBidi"/>
          <w:noProof/>
          <w:sz w:val="22"/>
          <w:szCs w:val="22"/>
          <w:lang w:eastAsia="en-AU"/>
        </w:rPr>
      </w:pPr>
      <w:r>
        <w:rPr>
          <w:noProof/>
        </w:rPr>
        <w:t>3.2</w:t>
      </w:r>
      <w:r>
        <w:rPr>
          <w:rFonts w:asciiTheme="minorHAnsi" w:eastAsiaTheme="minorEastAsia" w:hAnsiTheme="minorHAnsi" w:cstheme="minorBidi"/>
          <w:noProof/>
          <w:sz w:val="22"/>
          <w:szCs w:val="22"/>
          <w:lang w:eastAsia="en-AU"/>
        </w:rPr>
        <w:tab/>
      </w:r>
      <w:r>
        <w:rPr>
          <w:noProof/>
        </w:rPr>
        <w:t>Issues relating to the allocation of licences</w:t>
      </w:r>
      <w:r>
        <w:rPr>
          <w:noProof/>
        </w:rPr>
        <w:tab/>
        <w:t>68</w:t>
      </w:r>
    </w:p>
    <w:p w:rsidR="00002C2E" w:rsidRDefault="00002C2E">
      <w:pPr>
        <w:pStyle w:val="TOC2"/>
        <w:tabs>
          <w:tab w:val="left" w:pos="1190"/>
        </w:tabs>
        <w:rPr>
          <w:rFonts w:asciiTheme="minorHAnsi" w:eastAsiaTheme="minorEastAsia" w:hAnsiTheme="minorHAnsi" w:cstheme="minorBidi"/>
          <w:noProof/>
          <w:sz w:val="22"/>
          <w:szCs w:val="22"/>
          <w:lang w:eastAsia="en-AU"/>
        </w:rPr>
      </w:pPr>
      <w:r>
        <w:rPr>
          <w:noProof/>
        </w:rPr>
        <w:t>3.3</w:t>
      </w:r>
      <w:r>
        <w:rPr>
          <w:rFonts w:asciiTheme="minorHAnsi" w:eastAsiaTheme="minorEastAsia" w:hAnsiTheme="minorHAnsi" w:cstheme="minorBidi"/>
          <w:noProof/>
          <w:sz w:val="22"/>
          <w:szCs w:val="22"/>
          <w:lang w:eastAsia="en-AU"/>
        </w:rPr>
        <w:tab/>
      </w:r>
      <w:r>
        <w:rPr>
          <w:noProof/>
        </w:rPr>
        <w:t>Uranium</w:t>
      </w:r>
      <w:r>
        <w:rPr>
          <w:noProof/>
        </w:rPr>
        <w:tab/>
        <w:t>76</w:t>
      </w:r>
    </w:p>
    <w:p w:rsidR="00002C2E" w:rsidRDefault="00002C2E">
      <w:pPr>
        <w:pStyle w:val="TOC1"/>
        <w:rPr>
          <w:rFonts w:asciiTheme="minorHAnsi" w:eastAsiaTheme="minorEastAsia" w:hAnsiTheme="minorHAnsi" w:cstheme="minorBidi"/>
          <w:b w:val="0"/>
          <w:noProof/>
          <w:sz w:val="22"/>
          <w:szCs w:val="22"/>
          <w:lang w:eastAsia="en-AU"/>
        </w:rPr>
      </w:pPr>
      <w:r>
        <w:rPr>
          <w:noProof/>
        </w:rPr>
        <w:t>4</w:t>
      </w:r>
      <w:r>
        <w:rPr>
          <w:rFonts w:asciiTheme="minorHAnsi" w:eastAsiaTheme="minorEastAsia" w:hAnsiTheme="minorHAnsi" w:cstheme="minorBidi"/>
          <w:b w:val="0"/>
          <w:noProof/>
          <w:sz w:val="22"/>
          <w:szCs w:val="22"/>
          <w:lang w:eastAsia="en-AU"/>
        </w:rPr>
        <w:tab/>
      </w:r>
      <w:r>
        <w:rPr>
          <w:noProof/>
        </w:rPr>
        <w:t>Regulatory practices</w:t>
      </w:r>
      <w:r>
        <w:rPr>
          <w:noProof/>
        </w:rPr>
        <w:tab/>
        <w:t>81</w:t>
      </w:r>
    </w:p>
    <w:p w:rsidR="00002C2E" w:rsidRDefault="00002C2E">
      <w:pPr>
        <w:pStyle w:val="TOC2"/>
        <w:tabs>
          <w:tab w:val="left" w:pos="1190"/>
        </w:tabs>
        <w:rPr>
          <w:rFonts w:asciiTheme="minorHAnsi" w:eastAsiaTheme="minorEastAsia" w:hAnsiTheme="minorHAnsi" w:cstheme="minorBidi"/>
          <w:noProof/>
          <w:sz w:val="22"/>
          <w:szCs w:val="22"/>
          <w:lang w:eastAsia="en-AU"/>
        </w:rPr>
      </w:pPr>
      <w:r>
        <w:rPr>
          <w:noProof/>
        </w:rPr>
        <w:t>4.1</w:t>
      </w:r>
      <w:r>
        <w:rPr>
          <w:rFonts w:asciiTheme="minorHAnsi" w:eastAsiaTheme="minorEastAsia" w:hAnsiTheme="minorHAnsi" w:cstheme="minorBidi"/>
          <w:noProof/>
          <w:sz w:val="22"/>
          <w:szCs w:val="22"/>
          <w:lang w:eastAsia="en-AU"/>
        </w:rPr>
        <w:tab/>
      </w:r>
      <w:r>
        <w:rPr>
          <w:noProof/>
        </w:rPr>
        <w:t>What constitutes unnecessary regulatory burden</w:t>
      </w:r>
      <w:r>
        <w:rPr>
          <w:noProof/>
        </w:rPr>
        <w:tab/>
        <w:t>82</w:t>
      </w:r>
    </w:p>
    <w:p w:rsidR="00002C2E" w:rsidRDefault="00002C2E">
      <w:pPr>
        <w:pStyle w:val="TOC2"/>
        <w:tabs>
          <w:tab w:val="left" w:pos="1190"/>
        </w:tabs>
        <w:rPr>
          <w:rFonts w:asciiTheme="minorHAnsi" w:eastAsiaTheme="minorEastAsia" w:hAnsiTheme="minorHAnsi" w:cstheme="minorBidi"/>
          <w:noProof/>
          <w:sz w:val="22"/>
          <w:szCs w:val="22"/>
          <w:lang w:eastAsia="en-AU"/>
        </w:rPr>
      </w:pPr>
      <w:r>
        <w:rPr>
          <w:noProof/>
        </w:rPr>
        <w:t>4.2</w:t>
      </w:r>
      <w:r>
        <w:rPr>
          <w:rFonts w:asciiTheme="minorHAnsi" w:eastAsiaTheme="minorEastAsia" w:hAnsiTheme="minorHAnsi" w:cstheme="minorBidi"/>
          <w:noProof/>
          <w:sz w:val="22"/>
          <w:szCs w:val="22"/>
          <w:lang w:eastAsia="en-AU"/>
        </w:rPr>
        <w:tab/>
      </w:r>
      <w:r>
        <w:rPr>
          <w:noProof/>
        </w:rPr>
        <w:t>Issues with regulatory practices</w:t>
      </w:r>
      <w:r>
        <w:rPr>
          <w:noProof/>
        </w:rPr>
        <w:tab/>
        <w:t>86</w:t>
      </w:r>
    </w:p>
    <w:p w:rsidR="00002C2E" w:rsidRDefault="00002C2E">
      <w:pPr>
        <w:pStyle w:val="TOC2"/>
        <w:tabs>
          <w:tab w:val="left" w:pos="1190"/>
        </w:tabs>
        <w:rPr>
          <w:rFonts w:asciiTheme="minorHAnsi" w:eastAsiaTheme="minorEastAsia" w:hAnsiTheme="minorHAnsi" w:cstheme="minorBidi"/>
          <w:noProof/>
          <w:sz w:val="22"/>
          <w:szCs w:val="22"/>
          <w:lang w:eastAsia="en-AU"/>
        </w:rPr>
      </w:pPr>
      <w:r>
        <w:rPr>
          <w:noProof/>
        </w:rPr>
        <w:t>4.3</w:t>
      </w:r>
      <w:r>
        <w:rPr>
          <w:rFonts w:asciiTheme="minorHAnsi" w:eastAsiaTheme="minorEastAsia" w:hAnsiTheme="minorHAnsi" w:cstheme="minorBidi"/>
          <w:noProof/>
          <w:sz w:val="22"/>
          <w:szCs w:val="22"/>
          <w:lang w:eastAsia="en-AU"/>
        </w:rPr>
        <w:tab/>
      </w:r>
      <w:r>
        <w:rPr>
          <w:noProof/>
        </w:rPr>
        <w:t>Concerns with regulator performance</w:t>
      </w:r>
      <w:r>
        <w:rPr>
          <w:noProof/>
        </w:rPr>
        <w:tab/>
        <w:t>98</w:t>
      </w:r>
    </w:p>
    <w:p w:rsidR="00002C2E" w:rsidRDefault="00002C2E">
      <w:pPr>
        <w:pStyle w:val="TOC1"/>
        <w:rPr>
          <w:rFonts w:asciiTheme="minorHAnsi" w:eastAsiaTheme="minorEastAsia" w:hAnsiTheme="minorHAnsi" w:cstheme="minorBidi"/>
          <w:b w:val="0"/>
          <w:noProof/>
          <w:sz w:val="22"/>
          <w:szCs w:val="22"/>
          <w:lang w:eastAsia="en-AU"/>
        </w:rPr>
      </w:pPr>
      <w:r>
        <w:rPr>
          <w:noProof/>
        </w:rPr>
        <w:lastRenderedPageBreak/>
        <w:t>5</w:t>
      </w:r>
      <w:r>
        <w:rPr>
          <w:rFonts w:asciiTheme="minorHAnsi" w:eastAsiaTheme="minorEastAsia" w:hAnsiTheme="minorHAnsi" w:cstheme="minorBidi"/>
          <w:b w:val="0"/>
          <w:noProof/>
          <w:sz w:val="22"/>
          <w:szCs w:val="22"/>
          <w:lang w:eastAsia="en-AU"/>
        </w:rPr>
        <w:tab/>
      </w:r>
      <w:r>
        <w:rPr>
          <w:noProof/>
        </w:rPr>
        <w:t>Land access issues</w:t>
      </w:r>
      <w:r>
        <w:rPr>
          <w:noProof/>
        </w:rPr>
        <w:tab/>
        <w:t>113</w:t>
      </w:r>
    </w:p>
    <w:p w:rsidR="00002C2E" w:rsidRDefault="00002C2E">
      <w:pPr>
        <w:pStyle w:val="TOC2"/>
        <w:tabs>
          <w:tab w:val="left" w:pos="1190"/>
        </w:tabs>
        <w:rPr>
          <w:rFonts w:asciiTheme="minorHAnsi" w:eastAsiaTheme="minorEastAsia" w:hAnsiTheme="minorHAnsi" w:cstheme="minorBidi"/>
          <w:noProof/>
          <w:sz w:val="22"/>
          <w:szCs w:val="22"/>
          <w:lang w:eastAsia="en-AU"/>
        </w:rPr>
      </w:pPr>
      <w:r>
        <w:rPr>
          <w:noProof/>
        </w:rPr>
        <w:t>5.1</w:t>
      </w:r>
      <w:r>
        <w:rPr>
          <w:rFonts w:asciiTheme="minorHAnsi" w:eastAsiaTheme="minorEastAsia" w:hAnsiTheme="minorHAnsi" w:cstheme="minorBidi"/>
          <w:noProof/>
          <w:sz w:val="22"/>
          <w:szCs w:val="22"/>
          <w:lang w:eastAsia="en-AU"/>
        </w:rPr>
        <w:tab/>
      </w:r>
      <w:r>
        <w:rPr>
          <w:noProof/>
        </w:rPr>
        <w:t>Land access regimes</w:t>
      </w:r>
      <w:r>
        <w:rPr>
          <w:noProof/>
        </w:rPr>
        <w:tab/>
        <w:t>114</w:t>
      </w:r>
    </w:p>
    <w:p w:rsidR="00002C2E" w:rsidRDefault="00002C2E">
      <w:pPr>
        <w:pStyle w:val="TOC2"/>
        <w:tabs>
          <w:tab w:val="left" w:pos="1190"/>
        </w:tabs>
        <w:rPr>
          <w:rFonts w:asciiTheme="minorHAnsi" w:eastAsiaTheme="minorEastAsia" w:hAnsiTheme="minorHAnsi" w:cstheme="minorBidi"/>
          <w:noProof/>
          <w:sz w:val="22"/>
          <w:szCs w:val="22"/>
          <w:lang w:eastAsia="en-AU"/>
        </w:rPr>
      </w:pPr>
      <w:r>
        <w:rPr>
          <w:noProof/>
        </w:rPr>
        <w:t>5.2</w:t>
      </w:r>
      <w:r>
        <w:rPr>
          <w:rFonts w:asciiTheme="minorHAnsi" w:eastAsiaTheme="minorEastAsia" w:hAnsiTheme="minorHAnsi" w:cstheme="minorBidi"/>
          <w:noProof/>
          <w:sz w:val="22"/>
          <w:szCs w:val="22"/>
          <w:lang w:eastAsia="en-AU"/>
        </w:rPr>
        <w:tab/>
      </w:r>
      <w:r w:rsidRPr="00FB5460">
        <w:rPr>
          <w:noProof/>
          <w:lang w:val="en"/>
        </w:rPr>
        <w:t>National parks and conservation reserves</w:t>
      </w:r>
      <w:r>
        <w:rPr>
          <w:noProof/>
        </w:rPr>
        <w:tab/>
        <w:t>122</w:t>
      </w:r>
    </w:p>
    <w:p w:rsidR="00002C2E" w:rsidRDefault="00002C2E">
      <w:pPr>
        <w:pStyle w:val="TOC2"/>
        <w:tabs>
          <w:tab w:val="left" w:pos="1190"/>
        </w:tabs>
        <w:rPr>
          <w:rFonts w:asciiTheme="minorHAnsi" w:eastAsiaTheme="minorEastAsia" w:hAnsiTheme="minorHAnsi" w:cstheme="minorBidi"/>
          <w:noProof/>
          <w:sz w:val="22"/>
          <w:szCs w:val="22"/>
          <w:lang w:eastAsia="en-AU"/>
        </w:rPr>
      </w:pPr>
      <w:r>
        <w:rPr>
          <w:noProof/>
        </w:rPr>
        <w:t>5.3</w:t>
      </w:r>
      <w:r>
        <w:rPr>
          <w:rFonts w:asciiTheme="minorHAnsi" w:eastAsiaTheme="minorEastAsia" w:hAnsiTheme="minorHAnsi" w:cstheme="minorBidi"/>
          <w:noProof/>
          <w:sz w:val="22"/>
          <w:szCs w:val="22"/>
          <w:lang w:eastAsia="en-AU"/>
        </w:rPr>
        <w:tab/>
      </w:r>
      <w:r>
        <w:rPr>
          <w:noProof/>
        </w:rPr>
        <w:t>Native title and Aboriginal freehold land</w:t>
      </w:r>
      <w:r>
        <w:rPr>
          <w:noProof/>
        </w:rPr>
        <w:tab/>
        <w:t>127</w:t>
      </w:r>
    </w:p>
    <w:p w:rsidR="00002C2E" w:rsidRDefault="00002C2E">
      <w:pPr>
        <w:pStyle w:val="TOC2"/>
        <w:tabs>
          <w:tab w:val="left" w:pos="1190"/>
        </w:tabs>
        <w:rPr>
          <w:rFonts w:asciiTheme="minorHAnsi" w:eastAsiaTheme="minorEastAsia" w:hAnsiTheme="minorHAnsi" w:cstheme="minorBidi"/>
          <w:noProof/>
          <w:sz w:val="22"/>
          <w:szCs w:val="22"/>
          <w:lang w:eastAsia="en-AU"/>
        </w:rPr>
      </w:pPr>
      <w:r>
        <w:rPr>
          <w:noProof/>
        </w:rPr>
        <w:t>5.4</w:t>
      </w:r>
      <w:r>
        <w:rPr>
          <w:rFonts w:asciiTheme="minorHAnsi" w:eastAsiaTheme="minorEastAsia" w:hAnsiTheme="minorHAnsi" w:cstheme="minorBidi"/>
          <w:noProof/>
          <w:sz w:val="22"/>
          <w:szCs w:val="22"/>
          <w:lang w:eastAsia="en-AU"/>
        </w:rPr>
        <w:tab/>
      </w:r>
      <w:r>
        <w:rPr>
          <w:noProof/>
        </w:rPr>
        <w:t>Managing competing land uses</w:t>
      </w:r>
      <w:r>
        <w:rPr>
          <w:noProof/>
        </w:rPr>
        <w:tab/>
        <w:t>129</w:t>
      </w:r>
    </w:p>
    <w:p w:rsidR="00002C2E" w:rsidRDefault="00002C2E">
      <w:pPr>
        <w:pStyle w:val="TOC2"/>
        <w:tabs>
          <w:tab w:val="left" w:pos="1190"/>
        </w:tabs>
        <w:rPr>
          <w:rFonts w:asciiTheme="minorHAnsi" w:eastAsiaTheme="minorEastAsia" w:hAnsiTheme="minorHAnsi" w:cstheme="minorBidi"/>
          <w:noProof/>
          <w:sz w:val="22"/>
          <w:szCs w:val="22"/>
          <w:lang w:eastAsia="en-AU"/>
        </w:rPr>
      </w:pPr>
      <w:r>
        <w:rPr>
          <w:noProof/>
        </w:rPr>
        <w:t>5.5</w:t>
      </w:r>
      <w:r>
        <w:rPr>
          <w:rFonts w:asciiTheme="minorHAnsi" w:eastAsiaTheme="minorEastAsia" w:hAnsiTheme="minorHAnsi" w:cstheme="minorBidi"/>
          <w:noProof/>
          <w:sz w:val="22"/>
          <w:szCs w:val="22"/>
          <w:lang w:eastAsia="en-AU"/>
        </w:rPr>
        <w:tab/>
      </w:r>
      <w:r>
        <w:rPr>
          <w:noProof/>
        </w:rPr>
        <w:t>Social licence to operate</w:t>
      </w:r>
      <w:r>
        <w:rPr>
          <w:noProof/>
        </w:rPr>
        <w:tab/>
        <w:t>141</w:t>
      </w:r>
    </w:p>
    <w:p w:rsidR="00002C2E" w:rsidRDefault="00002C2E">
      <w:pPr>
        <w:pStyle w:val="TOC1"/>
        <w:rPr>
          <w:rFonts w:asciiTheme="minorHAnsi" w:eastAsiaTheme="minorEastAsia" w:hAnsiTheme="minorHAnsi" w:cstheme="minorBidi"/>
          <w:b w:val="0"/>
          <w:noProof/>
          <w:sz w:val="22"/>
          <w:szCs w:val="22"/>
          <w:lang w:eastAsia="en-AU"/>
        </w:rPr>
      </w:pPr>
      <w:r>
        <w:rPr>
          <w:noProof/>
        </w:rPr>
        <w:t>6</w:t>
      </w:r>
      <w:r>
        <w:rPr>
          <w:rFonts w:asciiTheme="minorHAnsi" w:eastAsiaTheme="minorEastAsia" w:hAnsiTheme="minorHAnsi" w:cstheme="minorBidi"/>
          <w:b w:val="0"/>
          <w:noProof/>
          <w:sz w:val="22"/>
          <w:szCs w:val="22"/>
          <w:lang w:eastAsia="en-AU"/>
        </w:rPr>
        <w:tab/>
      </w:r>
      <w:r>
        <w:rPr>
          <w:noProof/>
        </w:rPr>
        <w:t>Heritage protection</w:t>
      </w:r>
      <w:r>
        <w:rPr>
          <w:noProof/>
        </w:rPr>
        <w:tab/>
        <w:t>145</w:t>
      </w:r>
    </w:p>
    <w:p w:rsidR="00002C2E" w:rsidRDefault="00002C2E">
      <w:pPr>
        <w:pStyle w:val="TOC2"/>
        <w:tabs>
          <w:tab w:val="left" w:pos="1190"/>
        </w:tabs>
        <w:rPr>
          <w:rFonts w:asciiTheme="minorHAnsi" w:eastAsiaTheme="minorEastAsia" w:hAnsiTheme="minorHAnsi" w:cstheme="minorBidi"/>
          <w:noProof/>
          <w:sz w:val="22"/>
          <w:szCs w:val="22"/>
          <w:lang w:eastAsia="en-AU"/>
        </w:rPr>
      </w:pPr>
      <w:r>
        <w:rPr>
          <w:noProof/>
        </w:rPr>
        <w:t>6.1</w:t>
      </w:r>
      <w:r>
        <w:rPr>
          <w:rFonts w:asciiTheme="minorHAnsi" w:eastAsiaTheme="minorEastAsia" w:hAnsiTheme="minorHAnsi" w:cstheme="minorBidi"/>
          <w:noProof/>
          <w:sz w:val="22"/>
          <w:szCs w:val="22"/>
          <w:lang w:eastAsia="en-AU"/>
        </w:rPr>
        <w:tab/>
      </w:r>
      <w:r>
        <w:rPr>
          <w:noProof/>
        </w:rPr>
        <w:t>The regulatory framework</w:t>
      </w:r>
      <w:r>
        <w:rPr>
          <w:noProof/>
        </w:rPr>
        <w:tab/>
        <w:t>146</w:t>
      </w:r>
    </w:p>
    <w:p w:rsidR="00002C2E" w:rsidRDefault="00002C2E">
      <w:pPr>
        <w:pStyle w:val="TOC2"/>
        <w:tabs>
          <w:tab w:val="left" w:pos="1190"/>
        </w:tabs>
        <w:rPr>
          <w:rFonts w:asciiTheme="minorHAnsi" w:eastAsiaTheme="minorEastAsia" w:hAnsiTheme="minorHAnsi" w:cstheme="minorBidi"/>
          <w:noProof/>
          <w:sz w:val="22"/>
          <w:szCs w:val="22"/>
          <w:lang w:eastAsia="en-AU"/>
        </w:rPr>
      </w:pPr>
      <w:r>
        <w:rPr>
          <w:noProof/>
        </w:rPr>
        <w:t>6.2</w:t>
      </w:r>
      <w:r>
        <w:rPr>
          <w:rFonts w:asciiTheme="minorHAnsi" w:eastAsiaTheme="minorEastAsia" w:hAnsiTheme="minorHAnsi" w:cstheme="minorBidi"/>
          <w:noProof/>
          <w:sz w:val="22"/>
          <w:szCs w:val="22"/>
          <w:lang w:eastAsia="en-AU"/>
        </w:rPr>
        <w:tab/>
      </w:r>
      <w:r>
        <w:rPr>
          <w:noProof/>
        </w:rPr>
        <w:t>Indigenous heritage requirements and processes</w:t>
      </w:r>
      <w:r>
        <w:rPr>
          <w:noProof/>
        </w:rPr>
        <w:tab/>
        <w:t>151</w:t>
      </w:r>
    </w:p>
    <w:p w:rsidR="00002C2E" w:rsidRDefault="00002C2E">
      <w:pPr>
        <w:pStyle w:val="TOC2"/>
        <w:tabs>
          <w:tab w:val="left" w:pos="1190"/>
        </w:tabs>
        <w:rPr>
          <w:rFonts w:asciiTheme="minorHAnsi" w:eastAsiaTheme="minorEastAsia" w:hAnsiTheme="minorHAnsi" w:cstheme="minorBidi"/>
          <w:noProof/>
          <w:sz w:val="22"/>
          <w:szCs w:val="22"/>
          <w:lang w:eastAsia="en-AU"/>
        </w:rPr>
      </w:pPr>
      <w:r>
        <w:rPr>
          <w:noProof/>
        </w:rPr>
        <w:t>6.3</w:t>
      </w:r>
      <w:r>
        <w:rPr>
          <w:rFonts w:asciiTheme="minorHAnsi" w:eastAsiaTheme="minorEastAsia" w:hAnsiTheme="minorHAnsi" w:cstheme="minorBidi"/>
          <w:noProof/>
          <w:sz w:val="22"/>
          <w:szCs w:val="22"/>
          <w:lang w:eastAsia="en-AU"/>
        </w:rPr>
        <w:tab/>
      </w:r>
      <w:r>
        <w:rPr>
          <w:noProof/>
        </w:rPr>
        <w:t>Explora</w:t>
      </w:r>
      <w:r w:rsidR="009C3B56">
        <w:rPr>
          <w:noProof/>
        </w:rPr>
        <w:t>tion and Indigenous heritage</w:t>
      </w:r>
      <w:r w:rsidR="009C3B56">
        <w:rPr>
          <w:noProof/>
        </w:rPr>
        <w:tab/>
        <w:t>162</w:t>
      </w:r>
    </w:p>
    <w:p w:rsidR="00002C2E" w:rsidRDefault="00002C2E">
      <w:pPr>
        <w:pStyle w:val="TOC1"/>
        <w:rPr>
          <w:rFonts w:asciiTheme="minorHAnsi" w:eastAsiaTheme="minorEastAsia" w:hAnsiTheme="minorHAnsi" w:cstheme="minorBidi"/>
          <w:b w:val="0"/>
          <w:noProof/>
          <w:sz w:val="22"/>
          <w:szCs w:val="22"/>
          <w:lang w:eastAsia="en-AU"/>
        </w:rPr>
      </w:pPr>
      <w:r>
        <w:rPr>
          <w:noProof/>
        </w:rPr>
        <w:t>7</w:t>
      </w:r>
      <w:r>
        <w:rPr>
          <w:rFonts w:asciiTheme="minorHAnsi" w:eastAsiaTheme="minorEastAsia" w:hAnsiTheme="minorHAnsi" w:cstheme="minorBidi"/>
          <w:b w:val="0"/>
          <w:noProof/>
          <w:sz w:val="22"/>
          <w:szCs w:val="22"/>
          <w:lang w:eastAsia="en-AU"/>
        </w:rPr>
        <w:tab/>
      </w:r>
      <w:r>
        <w:rPr>
          <w:noProof/>
        </w:rPr>
        <w:t>Environmental management</w:t>
      </w:r>
      <w:r>
        <w:rPr>
          <w:noProof/>
        </w:rPr>
        <w:tab/>
        <w:t>195</w:t>
      </w:r>
    </w:p>
    <w:p w:rsidR="00002C2E" w:rsidRDefault="00002C2E">
      <w:pPr>
        <w:pStyle w:val="TOC2"/>
        <w:tabs>
          <w:tab w:val="left" w:pos="1190"/>
        </w:tabs>
        <w:rPr>
          <w:rFonts w:asciiTheme="minorHAnsi" w:eastAsiaTheme="minorEastAsia" w:hAnsiTheme="minorHAnsi" w:cstheme="minorBidi"/>
          <w:noProof/>
          <w:sz w:val="22"/>
          <w:szCs w:val="22"/>
          <w:lang w:eastAsia="en-AU"/>
        </w:rPr>
      </w:pPr>
      <w:r>
        <w:rPr>
          <w:noProof/>
        </w:rPr>
        <w:t>7.1</w:t>
      </w:r>
      <w:r>
        <w:rPr>
          <w:rFonts w:asciiTheme="minorHAnsi" w:eastAsiaTheme="minorEastAsia" w:hAnsiTheme="minorHAnsi" w:cstheme="minorBidi"/>
          <w:noProof/>
          <w:sz w:val="22"/>
          <w:szCs w:val="22"/>
          <w:lang w:eastAsia="en-AU"/>
        </w:rPr>
        <w:tab/>
      </w:r>
      <w:r>
        <w:rPr>
          <w:noProof/>
        </w:rPr>
        <w:t>Potential environmental impacts of exploration</w:t>
      </w:r>
      <w:r>
        <w:rPr>
          <w:noProof/>
        </w:rPr>
        <w:tab/>
        <w:t>196</w:t>
      </w:r>
    </w:p>
    <w:p w:rsidR="00002C2E" w:rsidRDefault="00002C2E">
      <w:pPr>
        <w:pStyle w:val="TOC2"/>
        <w:tabs>
          <w:tab w:val="left" w:pos="1190"/>
        </w:tabs>
        <w:rPr>
          <w:rFonts w:asciiTheme="minorHAnsi" w:eastAsiaTheme="minorEastAsia" w:hAnsiTheme="minorHAnsi" w:cstheme="minorBidi"/>
          <w:noProof/>
          <w:sz w:val="22"/>
          <w:szCs w:val="22"/>
          <w:lang w:eastAsia="en-AU"/>
        </w:rPr>
      </w:pPr>
      <w:r>
        <w:rPr>
          <w:noProof/>
        </w:rPr>
        <w:t>7.2</w:t>
      </w:r>
      <w:r>
        <w:rPr>
          <w:rFonts w:asciiTheme="minorHAnsi" w:eastAsiaTheme="minorEastAsia" w:hAnsiTheme="minorHAnsi" w:cstheme="minorBidi"/>
          <w:noProof/>
          <w:sz w:val="22"/>
          <w:szCs w:val="22"/>
          <w:lang w:eastAsia="en-AU"/>
        </w:rPr>
        <w:tab/>
      </w:r>
      <w:r>
        <w:rPr>
          <w:noProof/>
        </w:rPr>
        <w:t>The regulatory frameworks for managing the environmental impacts of exploration</w:t>
      </w:r>
      <w:r>
        <w:rPr>
          <w:noProof/>
        </w:rPr>
        <w:tab/>
        <w:t>198</w:t>
      </w:r>
    </w:p>
    <w:p w:rsidR="00002C2E" w:rsidRDefault="00002C2E">
      <w:pPr>
        <w:pStyle w:val="TOC2"/>
        <w:tabs>
          <w:tab w:val="left" w:pos="1190"/>
        </w:tabs>
        <w:rPr>
          <w:rFonts w:asciiTheme="minorHAnsi" w:eastAsiaTheme="minorEastAsia" w:hAnsiTheme="minorHAnsi" w:cstheme="minorBidi"/>
          <w:noProof/>
          <w:sz w:val="22"/>
          <w:szCs w:val="22"/>
          <w:lang w:eastAsia="en-AU"/>
        </w:rPr>
      </w:pPr>
      <w:r>
        <w:rPr>
          <w:noProof/>
        </w:rPr>
        <w:t>7.3</w:t>
      </w:r>
      <w:r>
        <w:rPr>
          <w:rFonts w:asciiTheme="minorHAnsi" w:eastAsiaTheme="minorEastAsia" w:hAnsiTheme="minorHAnsi" w:cstheme="minorBidi"/>
          <w:noProof/>
          <w:sz w:val="22"/>
          <w:szCs w:val="22"/>
          <w:lang w:eastAsia="en-AU"/>
        </w:rPr>
        <w:tab/>
      </w:r>
      <w:r>
        <w:rPr>
          <w:noProof/>
        </w:rPr>
        <w:t>The Australian Government’s regulatory framework — duplication and excessive referrals</w:t>
      </w:r>
      <w:r>
        <w:rPr>
          <w:noProof/>
        </w:rPr>
        <w:tab/>
        <w:t>208</w:t>
      </w:r>
    </w:p>
    <w:p w:rsidR="00002C2E" w:rsidRDefault="00002C2E">
      <w:pPr>
        <w:pStyle w:val="TOC2"/>
        <w:tabs>
          <w:tab w:val="left" w:pos="1190"/>
        </w:tabs>
        <w:rPr>
          <w:rFonts w:asciiTheme="minorHAnsi" w:eastAsiaTheme="minorEastAsia" w:hAnsiTheme="minorHAnsi" w:cstheme="minorBidi"/>
          <w:noProof/>
          <w:sz w:val="22"/>
          <w:szCs w:val="22"/>
          <w:lang w:eastAsia="en-AU"/>
        </w:rPr>
      </w:pPr>
      <w:r>
        <w:rPr>
          <w:noProof/>
        </w:rPr>
        <w:t>7.4</w:t>
      </w:r>
      <w:r>
        <w:rPr>
          <w:rFonts w:asciiTheme="minorHAnsi" w:eastAsiaTheme="minorEastAsia" w:hAnsiTheme="minorHAnsi" w:cstheme="minorBidi"/>
          <w:noProof/>
          <w:sz w:val="22"/>
          <w:szCs w:val="22"/>
          <w:lang w:eastAsia="en-AU"/>
        </w:rPr>
        <w:tab/>
      </w:r>
      <w:r>
        <w:rPr>
          <w:noProof/>
        </w:rPr>
        <w:t>Duplication between the states and the Commonwealth</w:t>
      </w:r>
      <w:r>
        <w:rPr>
          <w:noProof/>
        </w:rPr>
        <w:tab/>
        <w:t>213</w:t>
      </w:r>
    </w:p>
    <w:p w:rsidR="00002C2E" w:rsidRDefault="00002C2E">
      <w:pPr>
        <w:pStyle w:val="TOC2"/>
        <w:tabs>
          <w:tab w:val="left" w:pos="1190"/>
        </w:tabs>
        <w:rPr>
          <w:rFonts w:asciiTheme="minorHAnsi" w:eastAsiaTheme="minorEastAsia" w:hAnsiTheme="minorHAnsi" w:cstheme="minorBidi"/>
          <w:noProof/>
          <w:sz w:val="22"/>
          <w:szCs w:val="22"/>
          <w:lang w:eastAsia="en-AU"/>
        </w:rPr>
      </w:pPr>
      <w:r>
        <w:rPr>
          <w:noProof/>
        </w:rPr>
        <w:t>7.5</w:t>
      </w:r>
      <w:r>
        <w:rPr>
          <w:rFonts w:asciiTheme="minorHAnsi" w:eastAsiaTheme="minorEastAsia" w:hAnsiTheme="minorHAnsi" w:cstheme="minorBidi"/>
          <w:noProof/>
          <w:sz w:val="22"/>
          <w:szCs w:val="22"/>
          <w:lang w:eastAsia="en-AU"/>
        </w:rPr>
        <w:tab/>
      </w:r>
      <w:r>
        <w:rPr>
          <w:noProof/>
        </w:rPr>
        <w:t>Proportionate regulation</w:t>
      </w:r>
      <w:r>
        <w:rPr>
          <w:noProof/>
        </w:rPr>
        <w:tab/>
        <w:t>227</w:t>
      </w:r>
    </w:p>
    <w:p w:rsidR="00002C2E" w:rsidRDefault="00002C2E">
      <w:pPr>
        <w:pStyle w:val="TOC2"/>
        <w:tabs>
          <w:tab w:val="left" w:pos="1190"/>
        </w:tabs>
        <w:rPr>
          <w:rFonts w:asciiTheme="minorHAnsi" w:eastAsiaTheme="minorEastAsia" w:hAnsiTheme="minorHAnsi" w:cstheme="minorBidi"/>
          <w:noProof/>
          <w:sz w:val="22"/>
          <w:szCs w:val="22"/>
          <w:lang w:eastAsia="en-AU"/>
        </w:rPr>
      </w:pPr>
      <w:r>
        <w:rPr>
          <w:noProof/>
        </w:rPr>
        <w:t>7.6</w:t>
      </w:r>
      <w:r>
        <w:rPr>
          <w:rFonts w:asciiTheme="minorHAnsi" w:eastAsiaTheme="minorEastAsia" w:hAnsiTheme="minorHAnsi" w:cstheme="minorBidi"/>
          <w:noProof/>
          <w:sz w:val="22"/>
          <w:szCs w:val="22"/>
          <w:lang w:eastAsia="en-AU"/>
        </w:rPr>
        <w:tab/>
      </w:r>
      <w:r>
        <w:rPr>
          <w:noProof/>
        </w:rPr>
        <w:t>Improving the administration of assessment and approval processes</w:t>
      </w:r>
      <w:r>
        <w:rPr>
          <w:noProof/>
        </w:rPr>
        <w:tab/>
        <w:t>241</w:t>
      </w:r>
    </w:p>
    <w:p w:rsidR="00002C2E" w:rsidRDefault="00002C2E">
      <w:pPr>
        <w:pStyle w:val="TOC1"/>
        <w:rPr>
          <w:rFonts w:asciiTheme="minorHAnsi" w:eastAsiaTheme="minorEastAsia" w:hAnsiTheme="minorHAnsi" w:cstheme="minorBidi"/>
          <w:b w:val="0"/>
          <w:noProof/>
          <w:sz w:val="22"/>
          <w:szCs w:val="22"/>
          <w:lang w:eastAsia="en-AU"/>
        </w:rPr>
      </w:pPr>
      <w:r>
        <w:rPr>
          <w:noProof/>
        </w:rPr>
        <w:t>8</w:t>
      </w:r>
      <w:r>
        <w:rPr>
          <w:rFonts w:asciiTheme="minorHAnsi" w:eastAsiaTheme="minorEastAsia" w:hAnsiTheme="minorHAnsi" w:cstheme="minorBidi"/>
          <w:b w:val="0"/>
          <w:noProof/>
          <w:sz w:val="22"/>
          <w:szCs w:val="22"/>
          <w:lang w:eastAsia="en-AU"/>
        </w:rPr>
        <w:tab/>
      </w:r>
      <w:r>
        <w:rPr>
          <w:noProof/>
        </w:rPr>
        <w:t>Pre</w:t>
      </w:r>
      <w:r>
        <w:rPr>
          <w:noProof/>
        </w:rPr>
        <w:noBreakHyphen/>
        <w:t>competitive geoscience information</w:t>
      </w:r>
      <w:r>
        <w:rPr>
          <w:noProof/>
        </w:rPr>
        <w:tab/>
        <w:t>245</w:t>
      </w:r>
    </w:p>
    <w:p w:rsidR="00002C2E" w:rsidRDefault="00002C2E">
      <w:pPr>
        <w:pStyle w:val="TOC2"/>
        <w:tabs>
          <w:tab w:val="left" w:pos="1190"/>
        </w:tabs>
        <w:rPr>
          <w:rFonts w:asciiTheme="minorHAnsi" w:eastAsiaTheme="minorEastAsia" w:hAnsiTheme="minorHAnsi" w:cstheme="minorBidi"/>
          <w:noProof/>
          <w:sz w:val="22"/>
          <w:szCs w:val="22"/>
          <w:lang w:eastAsia="en-AU"/>
        </w:rPr>
      </w:pPr>
      <w:r>
        <w:rPr>
          <w:noProof/>
        </w:rPr>
        <w:t>8.1</w:t>
      </w:r>
      <w:r>
        <w:rPr>
          <w:rFonts w:asciiTheme="minorHAnsi" w:eastAsiaTheme="minorEastAsia" w:hAnsiTheme="minorHAnsi" w:cstheme="minorBidi"/>
          <w:noProof/>
          <w:sz w:val="22"/>
          <w:szCs w:val="22"/>
          <w:lang w:eastAsia="en-AU"/>
        </w:rPr>
        <w:tab/>
      </w:r>
      <w:r>
        <w:rPr>
          <w:noProof/>
        </w:rPr>
        <w:t>Government involvement in pre</w:t>
      </w:r>
      <w:r>
        <w:rPr>
          <w:noProof/>
        </w:rPr>
        <w:noBreakHyphen/>
        <w:t>competitive information</w:t>
      </w:r>
      <w:r>
        <w:rPr>
          <w:noProof/>
        </w:rPr>
        <w:tab/>
        <w:t>246</w:t>
      </w:r>
    </w:p>
    <w:p w:rsidR="00002C2E" w:rsidRDefault="00002C2E">
      <w:pPr>
        <w:pStyle w:val="TOC2"/>
        <w:tabs>
          <w:tab w:val="left" w:pos="1190"/>
        </w:tabs>
        <w:rPr>
          <w:rFonts w:asciiTheme="minorHAnsi" w:eastAsiaTheme="minorEastAsia" w:hAnsiTheme="minorHAnsi" w:cstheme="minorBidi"/>
          <w:noProof/>
          <w:sz w:val="22"/>
          <w:szCs w:val="22"/>
          <w:lang w:eastAsia="en-AU"/>
        </w:rPr>
      </w:pPr>
      <w:r>
        <w:rPr>
          <w:noProof/>
        </w:rPr>
        <w:t>8.2</w:t>
      </w:r>
      <w:r>
        <w:rPr>
          <w:rFonts w:asciiTheme="minorHAnsi" w:eastAsiaTheme="minorEastAsia" w:hAnsiTheme="minorHAnsi" w:cstheme="minorBidi"/>
          <w:noProof/>
          <w:sz w:val="22"/>
          <w:szCs w:val="22"/>
          <w:lang w:eastAsia="en-AU"/>
        </w:rPr>
        <w:tab/>
      </w:r>
      <w:r>
        <w:rPr>
          <w:noProof/>
        </w:rPr>
        <w:t>The quality of Australia’s geological database</w:t>
      </w:r>
      <w:r>
        <w:rPr>
          <w:noProof/>
        </w:rPr>
        <w:tab/>
        <w:t>247</w:t>
      </w:r>
    </w:p>
    <w:p w:rsidR="00002C2E" w:rsidRDefault="00002C2E">
      <w:pPr>
        <w:pStyle w:val="TOC2"/>
        <w:tabs>
          <w:tab w:val="left" w:pos="1190"/>
        </w:tabs>
        <w:rPr>
          <w:rFonts w:asciiTheme="minorHAnsi" w:eastAsiaTheme="minorEastAsia" w:hAnsiTheme="minorHAnsi" w:cstheme="minorBidi"/>
          <w:noProof/>
          <w:sz w:val="22"/>
          <w:szCs w:val="22"/>
          <w:lang w:eastAsia="en-AU"/>
        </w:rPr>
      </w:pPr>
      <w:r>
        <w:rPr>
          <w:noProof/>
        </w:rPr>
        <w:t>8.3</w:t>
      </w:r>
      <w:r>
        <w:rPr>
          <w:rFonts w:asciiTheme="minorHAnsi" w:eastAsiaTheme="minorEastAsia" w:hAnsiTheme="minorHAnsi" w:cstheme="minorBidi"/>
          <w:noProof/>
          <w:sz w:val="22"/>
          <w:szCs w:val="22"/>
          <w:lang w:eastAsia="en-AU"/>
        </w:rPr>
        <w:tab/>
      </w:r>
      <w:r>
        <w:rPr>
          <w:noProof/>
        </w:rPr>
        <w:t>Opportunities to improve pre</w:t>
      </w:r>
      <w:r>
        <w:rPr>
          <w:noProof/>
        </w:rPr>
        <w:noBreakHyphen/>
        <w:t>competitive geoscience information</w:t>
      </w:r>
      <w:r>
        <w:rPr>
          <w:noProof/>
        </w:rPr>
        <w:tab/>
        <w:t>252</w:t>
      </w:r>
    </w:p>
    <w:p w:rsidR="00002C2E" w:rsidRDefault="00002C2E">
      <w:pPr>
        <w:pStyle w:val="TOC1"/>
        <w:rPr>
          <w:rFonts w:asciiTheme="minorHAnsi" w:eastAsiaTheme="minorEastAsia" w:hAnsiTheme="minorHAnsi" w:cstheme="minorBidi"/>
          <w:b w:val="0"/>
          <w:noProof/>
          <w:sz w:val="22"/>
          <w:szCs w:val="22"/>
          <w:lang w:eastAsia="en-AU"/>
        </w:rPr>
      </w:pPr>
      <w:r>
        <w:rPr>
          <w:noProof/>
        </w:rPr>
        <w:t>9</w:t>
      </w:r>
      <w:r>
        <w:rPr>
          <w:rFonts w:asciiTheme="minorHAnsi" w:eastAsiaTheme="minorEastAsia" w:hAnsiTheme="minorHAnsi" w:cstheme="minorBidi"/>
          <w:b w:val="0"/>
          <w:noProof/>
          <w:sz w:val="22"/>
          <w:szCs w:val="22"/>
          <w:lang w:eastAsia="en-AU"/>
        </w:rPr>
        <w:tab/>
      </w:r>
      <w:r>
        <w:rPr>
          <w:noProof/>
        </w:rPr>
        <w:t>Workforce Issues</w:t>
      </w:r>
      <w:r>
        <w:rPr>
          <w:noProof/>
        </w:rPr>
        <w:tab/>
        <w:t>267</w:t>
      </w:r>
    </w:p>
    <w:p w:rsidR="00002C2E" w:rsidRDefault="00002C2E">
      <w:pPr>
        <w:pStyle w:val="TOC2"/>
        <w:tabs>
          <w:tab w:val="left" w:pos="1190"/>
        </w:tabs>
        <w:rPr>
          <w:rFonts w:asciiTheme="minorHAnsi" w:eastAsiaTheme="minorEastAsia" w:hAnsiTheme="minorHAnsi" w:cstheme="minorBidi"/>
          <w:noProof/>
          <w:sz w:val="22"/>
          <w:szCs w:val="22"/>
          <w:lang w:eastAsia="en-AU"/>
        </w:rPr>
      </w:pPr>
      <w:r>
        <w:rPr>
          <w:noProof/>
        </w:rPr>
        <w:t>9.1</w:t>
      </w:r>
      <w:r>
        <w:rPr>
          <w:rFonts w:asciiTheme="minorHAnsi" w:eastAsiaTheme="minorEastAsia" w:hAnsiTheme="minorHAnsi" w:cstheme="minorBidi"/>
          <w:noProof/>
          <w:sz w:val="22"/>
          <w:szCs w:val="22"/>
          <w:lang w:eastAsia="en-AU"/>
        </w:rPr>
        <w:tab/>
      </w:r>
      <w:r>
        <w:rPr>
          <w:noProof/>
        </w:rPr>
        <w:t>Skills shortages</w:t>
      </w:r>
      <w:r>
        <w:rPr>
          <w:noProof/>
        </w:rPr>
        <w:tab/>
        <w:t>268</w:t>
      </w:r>
    </w:p>
    <w:p w:rsidR="00002C2E" w:rsidRDefault="00002C2E">
      <w:pPr>
        <w:pStyle w:val="TOC2"/>
        <w:tabs>
          <w:tab w:val="left" w:pos="1190"/>
        </w:tabs>
        <w:rPr>
          <w:rFonts w:asciiTheme="minorHAnsi" w:eastAsiaTheme="minorEastAsia" w:hAnsiTheme="minorHAnsi" w:cstheme="minorBidi"/>
          <w:noProof/>
          <w:sz w:val="22"/>
          <w:szCs w:val="22"/>
          <w:lang w:eastAsia="en-AU"/>
        </w:rPr>
      </w:pPr>
      <w:r>
        <w:rPr>
          <w:noProof/>
        </w:rPr>
        <w:t>9.2</w:t>
      </w:r>
      <w:r>
        <w:rPr>
          <w:rFonts w:asciiTheme="minorHAnsi" w:eastAsiaTheme="minorEastAsia" w:hAnsiTheme="minorHAnsi" w:cstheme="minorBidi"/>
          <w:noProof/>
          <w:sz w:val="22"/>
          <w:szCs w:val="22"/>
          <w:lang w:eastAsia="en-AU"/>
        </w:rPr>
        <w:tab/>
      </w:r>
      <w:r>
        <w:rPr>
          <w:noProof/>
        </w:rPr>
        <w:t>Workplace health and safety</w:t>
      </w:r>
      <w:r>
        <w:rPr>
          <w:noProof/>
        </w:rPr>
        <w:tab/>
        <w:t>277</w:t>
      </w:r>
    </w:p>
    <w:p w:rsidR="00002C2E" w:rsidRDefault="00002C2E">
      <w:pPr>
        <w:pStyle w:val="TOC2"/>
        <w:tabs>
          <w:tab w:val="left" w:pos="1190"/>
        </w:tabs>
        <w:rPr>
          <w:rFonts w:asciiTheme="minorHAnsi" w:eastAsiaTheme="minorEastAsia" w:hAnsiTheme="minorHAnsi" w:cstheme="minorBidi"/>
          <w:noProof/>
          <w:sz w:val="22"/>
          <w:szCs w:val="22"/>
          <w:lang w:eastAsia="en-AU"/>
        </w:rPr>
      </w:pPr>
      <w:r>
        <w:rPr>
          <w:noProof/>
        </w:rPr>
        <w:t>9.3</w:t>
      </w:r>
      <w:r>
        <w:rPr>
          <w:rFonts w:asciiTheme="minorHAnsi" w:eastAsiaTheme="minorEastAsia" w:hAnsiTheme="minorHAnsi" w:cstheme="minorBidi"/>
          <w:noProof/>
          <w:sz w:val="22"/>
          <w:szCs w:val="22"/>
          <w:lang w:eastAsia="en-AU"/>
        </w:rPr>
        <w:tab/>
      </w:r>
      <w:r>
        <w:rPr>
          <w:noProof/>
        </w:rPr>
        <w:t>Workplace relations</w:t>
      </w:r>
      <w:r>
        <w:rPr>
          <w:noProof/>
        </w:rPr>
        <w:tab/>
        <w:t>278</w:t>
      </w:r>
    </w:p>
    <w:p w:rsidR="00002C2E" w:rsidRDefault="00002C2E">
      <w:pPr>
        <w:pStyle w:val="TOC1"/>
        <w:rPr>
          <w:rFonts w:asciiTheme="minorHAnsi" w:eastAsiaTheme="minorEastAsia" w:hAnsiTheme="minorHAnsi" w:cstheme="minorBidi"/>
          <w:b w:val="0"/>
          <w:noProof/>
          <w:sz w:val="22"/>
          <w:szCs w:val="22"/>
          <w:lang w:eastAsia="en-AU"/>
        </w:rPr>
      </w:pPr>
      <w:r>
        <w:rPr>
          <w:noProof/>
        </w:rPr>
        <w:t>A</w:t>
      </w:r>
      <w:r>
        <w:rPr>
          <w:rFonts w:asciiTheme="minorHAnsi" w:eastAsiaTheme="minorEastAsia" w:hAnsiTheme="minorHAnsi" w:cstheme="minorBidi"/>
          <w:b w:val="0"/>
          <w:noProof/>
          <w:sz w:val="22"/>
          <w:szCs w:val="22"/>
          <w:lang w:eastAsia="en-AU"/>
        </w:rPr>
        <w:tab/>
      </w:r>
      <w:r>
        <w:rPr>
          <w:noProof/>
        </w:rPr>
        <w:t>Conduct of the inquiry</w:t>
      </w:r>
      <w:r>
        <w:rPr>
          <w:noProof/>
        </w:rPr>
        <w:tab/>
        <w:t>281</w:t>
      </w:r>
    </w:p>
    <w:p w:rsidR="00D47208" w:rsidRDefault="00002C2E" w:rsidP="006532D4">
      <w:pPr>
        <w:pStyle w:val="TOC1"/>
      </w:pPr>
      <w:r>
        <w:rPr>
          <w:noProof/>
        </w:rPr>
        <w:t>References</w:t>
      </w:r>
      <w:r>
        <w:rPr>
          <w:noProof/>
        </w:rPr>
        <w:tab/>
        <w:t>287</w:t>
      </w:r>
    </w:p>
    <w:p w:rsidR="00735FEA" w:rsidRDefault="00735FEA">
      <w:pPr>
        <w:pStyle w:val="BodyText"/>
      </w:pPr>
    </w:p>
    <w:p w:rsidR="00975A65" w:rsidRDefault="00975A65">
      <w:pPr>
        <w:pStyle w:val="BodyText"/>
        <w:sectPr w:rsidR="00975A65" w:rsidSect="005537F6">
          <w:headerReference w:type="even" r:id="rId14"/>
          <w:headerReference w:type="default" r:id="rId15"/>
          <w:footerReference w:type="even" r:id="rId16"/>
          <w:footerReference w:type="default" r:id="rId17"/>
          <w:type w:val="oddPage"/>
          <w:pgSz w:w="11907" w:h="16840" w:code="9"/>
          <w:pgMar w:top="1985" w:right="1304" w:bottom="1418" w:left="1814" w:header="1701" w:footer="567" w:gutter="0"/>
          <w:pgNumType w:fmt="lowerRoman"/>
          <w:cols w:space="720"/>
        </w:sectPr>
      </w:pPr>
    </w:p>
    <w:p w:rsidR="00735FEA" w:rsidRDefault="00735FEA" w:rsidP="00F7477E">
      <w:pPr>
        <w:pStyle w:val="Heading1"/>
      </w:pPr>
      <w:bookmarkStart w:id="16" w:name="Abbreviations"/>
      <w:bookmarkStart w:id="17" w:name="EndContents"/>
      <w:bookmarkStart w:id="18" w:name="RDnote"/>
      <w:bookmarkStart w:id="19" w:name="_Toc367371282"/>
      <w:bookmarkStart w:id="20" w:name="_Toc367459080"/>
      <w:bookmarkStart w:id="21" w:name="_Toc367699756"/>
      <w:bookmarkEnd w:id="16"/>
      <w:bookmarkEnd w:id="17"/>
      <w:bookmarkEnd w:id="18"/>
      <w:r>
        <w:lastRenderedPageBreak/>
        <w:t>Abbreviations and explanations</w:t>
      </w:r>
      <w:bookmarkEnd w:id="19"/>
      <w:bookmarkEnd w:id="20"/>
      <w:bookmarkEnd w:id="21"/>
    </w:p>
    <w:p w:rsidR="00735FEA" w:rsidRDefault="00735FEA" w:rsidP="00F7477E">
      <w:pPr>
        <w:pStyle w:val="Heading2NotTOC"/>
      </w:pPr>
      <w:r>
        <w:t>Abbrevia</w:t>
      </w:r>
      <w:r w:rsidRPr="00F85393">
        <w:t>t</w:t>
      </w:r>
      <w:r>
        <w:t>ions</w:t>
      </w:r>
    </w:p>
    <w:p w:rsidR="00F27BEE" w:rsidRDefault="00F27BEE" w:rsidP="00F27BEE">
      <w:pPr>
        <w:pStyle w:val="Abbreviation"/>
      </w:pPr>
      <w:r>
        <w:t>AAPA</w:t>
      </w:r>
      <w:r>
        <w:tab/>
        <w:t>Aboriginal Areas Protection Authority</w:t>
      </w:r>
    </w:p>
    <w:p w:rsidR="00F27BEE" w:rsidRDefault="00F27BEE" w:rsidP="00F27BEE">
      <w:pPr>
        <w:pStyle w:val="Abbreviation"/>
      </w:pPr>
      <w:r>
        <w:t>ABS</w:t>
      </w:r>
      <w:r>
        <w:tab/>
        <w:t>Australian Bureau of Statistics</w:t>
      </w:r>
    </w:p>
    <w:p w:rsidR="00F27BEE" w:rsidRDefault="00F27BEE" w:rsidP="00F27BEE">
      <w:pPr>
        <w:pStyle w:val="Abbreviation"/>
      </w:pPr>
      <w:proofErr w:type="spellStart"/>
      <w:r>
        <w:t>ACF</w:t>
      </w:r>
      <w:proofErr w:type="spellEnd"/>
      <w:r>
        <w:tab/>
        <w:t>Australian Conservation Foundation</w:t>
      </w:r>
    </w:p>
    <w:p w:rsidR="00F27BEE" w:rsidRDefault="00F27BEE" w:rsidP="00F27BEE">
      <w:pPr>
        <w:pStyle w:val="Abbreviation"/>
      </w:pPr>
      <w:r>
        <w:t>AMEC</w:t>
      </w:r>
      <w:r>
        <w:tab/>
        <w:t>Association of Mining and Exploration Companies</w:t>
      </w:r>
    </w:p>
    <w:p w:rsidR="00F27BEE" w:rsidRDefault="00F27BEE" w:rsidP="00F27BEE">
      <w:pPr>
        <w:pStyle w:val="Abbreviation"/>
      </w:pPr>
      <w:proofErr w:type="spellStart"/>
      <w:r>
        <w:t>AMMA</w:t>
      </w:r>
      <w:proofErr w:type="spellEnd"/>
      <w:r>
        <w:tab/>
        <w:t>Australian Mines and Metals Association</w:t>
      </w:r>
    </w:p>
    <w:p w:rsidR="00F27BEE" w:rsidRDefault="00F27BEE" w:rsidP="00F27BEE">
      <w:pPr>
        <w:pStyle w:val="Abbreviation"/>
      </w:pPr>
      <w:proofErr w:type="spellStart"/>
      <w:r>
        <w:t>ANEDO</w:t>
      </w:r>
      <w:proofErr w:type="spellEnd"/>
      <w:r>
        <w:tab/>
        <w:t>Australian Network of Environmental Defender’s Offices</w:t>
      </w:r>
    </w:p>
    <w:p w:rsidR="00F27BEE" w:rsidRDefault="00F27BEE" w:rsidP="00F27BEE">
      <w:pPr>
        <w:pStyle w:val="Abbreviation"/>
      </w:pPr>
      <w:proofErr w:type="spellStart"/>
      <w:r>
        <w:t>APPEA</w:t>
      </w:r>
      <w:proofErr w:type="spellEnd"/>
      <w:r>
        <w:tab/>
        <w:t>Australian Petroleum Production and Exploration Association</w:t>
      </w:r>
    </w:p>
    <w:p w:rsidR="00F27BEE" w:rsidRDefault="00F27BEE" w:rsidP="00F27BEE">
      <w:pPr>
        <w:pStyle w:val="Abbreviation"/>
      </w:pPr>
      <w:r>
        <w:t>ATSIHP Act</w:t>
      </w:r>
      <w:r>
        <w:tab/>
        <w:t>Aboriginal and Torres Strait Islander Heritage Protection Act</w:t>
      </w:r>
    </w:p>
    <w:p w:rsidR="00F27BEE" w:rsidRDefault="00F27BEE" w:rsidP="00F27BEE">
      <w:pPr>
        <w:pStyle w:val="Abbreviation"/>
      </w:pPr>
      <w:proofErr w:type="spellStart"/>
      <w:r>
        <w:t>AUA</w:t>
      </w:r>
      <w:proofErr w:type="spellEnd"/>
      <w:r>
        <w:tab/>
        <w:t>Australian Uranium Association</w:t>
      </w:r>
    </w:p>
    <w:p w:rsidR="00F27BEE" w:rsidRDefault="00F27BEE" w:rsidP="00F27BEE">
      <w:pPr>
        <w:pStyle w:val="Abbreviation"/>
      </w:pPr>
      <w:proofErr w:type="spellStart"/>
      <w:r>
        <w:t>AusIMM</w:t>
      </w:r>
      <w:proofErr w:type="spellEnd"/>
      <w:r>
        <w:tab/>
        <w:t>Australasian Institute of Mining and Metallurgy</w:t>
      </w:r>
    </w:p>
    <w:p w:rsidR="00F27BEE" w:rsidRDefault="00F27BEE" w:rsidP="00F27BEE">
      <w:pPr>
        <w:pStyle w:val="Abbreviation"/>
      </w:pPr>
      <w:proofErr w:type="spellStart"/>
      <w:r>
        <w:t>CHMP</w:t>
      </w:r>
      <w:proofErr w:type="spellEnd"/>
      <w:r>
        <w:tab/>
        <w:t>Cultural Heritage Management Plan</w:t>
      </w:r>
    </w:p>
    <w:p w:rsidR="00F27BEE" w:rsidRDefault="00F27BEE" w:rsidP="00F27BEE">
      <w:pPr>
        <w:pStyle w:val="Abbreviation"/>
      </w:pPr>
      <w:r>
        <w:t>COAG</w:t>
      </w:r>
      <w:r>
        <w:tab/>
        <w:t>Council of Australian Governments</w:t>
      </w:r>
    </w:p>
    <w:p w:rsidR="00F27BEE" w:rsidRDefault="00F27BEE" w:rsidP="00F27BEE">
      <w:pPr>
        <w:pStyle w:val="Abbreviation"/>
      </w:pPr>
      <w:r>
        <w:t>CSG</w:t>
      </w:r>
      <w:r>
        <w:tab/>
        <w:t>Coal seam gas</w:t>
      </w:r>
    </w:p>
    <w:p w:rsidR="00F27BEE" w:rsidRDefault="00F27BEE" w:rsidP="00F27BEE">
      <w:pPr>
        <w:pStyle w:val="Abbreviation"/>
      </w:pPr>
      <w:r>
        <w:t>CSIRO</w:t>
      </w:r>
      <w:r>
        <w:tab/>
        <w:t>Commonwealth Scientific and Industrial Research Organisation</w:t>
      </w:r>
    </w:p>
    <w:p w:rsidR="00F27BEE" w:rsidRDefault="00F27BEE" w:rsidP="00F27BEE">
      <w:pPr>
        <w:pStyle w:val="Abbreviation"/>
      </w:pPr>
      <w:proofErr w:type="spellStart"/>
      <w:r>
        <w:t>DoFD</w:t>
      </w:r>
      <w:proofErr w:type="spellEnd"/>
      <w:r>
        <w:tab/>
        <w:t>Department of Finance and Deregulation</w:t>
      </w:r>
    </w:p>
    <w:p w:rsidR="00F27BEE" w:rsidRDefault="00F27BEE" w:rsidP="00F27BEE">
      <w:pPr>
        <w:pStyle w:val="Abbreviation"/>
      </w:pPr>
      <w:proofErr w:type="spellStart"/>
      <w:r>
        <w:t>DRET</w:t>
      </w:r>
      <w:proofErr w:type="spellEnd"/>
      <w:r>
        <w:tab/>
        <w:t>Department of Resources, Energy and Tourism</w:t>
      </w:r>
    </w:p>
    <w:p w:rsidR="00F27BEE" w:rsidRDefault="00F27BEE" w:rsidP="00F27BEE">
      <w:pPr>
        <w:pStyle w:val="Abbreviation"/>
      </w:pPr>
      <w:proofErr w:type="spellStart"/>
      <w:r>
        <w:t>EIGWG</w:t>
      </w:r>
      <w:proofErr w:type="spellEnd"/>
      <w:r>
        <w:tab/>
        <w:t>Exploration Investment and Geoscience Working Group</w:t>
      </w:r>
    </w:p>
    <w:p w:rsidR="00F27BEE" w:rsidRDefault="00F27BEE" w:rsidP="00F27BEE">
      <w:pPr>
        <w:pStyle w:val="Abbreviation"/>
      </w:pPr>
      <w:proofErr w:type="spellStart"/>
      <w:r>
        <w:t>EPBC</w:t>
      </w:r>
      <w:proofErr w:type="spellEnd"/>
      <w:r>
        <w:t xml:space="preserve"> Act</w:t>
      </w:r>
      <w:r>
        <w:tab/>
        <w:t>Environmental Protection and Biodiversity Conservation Act</w:t>
      </w:r>
    </w:p>
    <w:p w:rsidR="00F27BEE" w:rsidRDefault="00F27BEE" w:rsidP="00F27BEE">
      <w:pPr>
        <w:pStyle w:val="Abbreviation"/>
      </w:pPr>
      <w:r>
        <w:t>GA</w:t>
      </w:r>
      <w:r>
        <w:tab/>
        <w:t>Geoscience Australia</w:t>
      </w:r>
    </w:p>
    <w:p w:rsidR="00F27BEE" w:rsidRDefault="00F27BEE" w:rsidP="00F27BEE">
      <w:pPr>
        <w:pStyle w:val="Abbreviation"/>
      </w:pPr>
      <w:r>
        <w:t>IC</w:t>
      </w:r>
      <w:r>
        <w:tab/>
        <w:t>Industry Commission</w:t>
      </w:r>
    </w:p>
    <w:p w:rsidR="00F27BEE" w:rsidRDefault="00F27BEE" w:rsidP="00F27BEE">
      <w:pPr>
        <w:pStyle w:val="Abbreviation"/>
      </w:pPr>
      <w:r>
        <w:t>MCA</w:t>
      </w:r>
      <w:r>
        <w:tab/>
        <w:t>Minerals Council of Australia</w:t>
      </w:r>
    </w:p>
    <w:p w:rsidR="00F27BEE" w:rsidRDefault="00F27BEE" w:rsidP="00F27BEE">
      <w:pPr>
        <w:pStyle w:val="Abbreviation"/>
      </w:pPr>
      <w:proofErr w:type="spellStart"/>
      <w:r>
        <w:t>NOPSEMA</w:t>
      </w:r>
      <w:proofErr w:type="spellEnd"/>
      <w:r>
        <w:tab/>
        <w:t>National Offshore Petroleum Safety and Environmental Management Authority</w:t>
      </w:r>
    </w:p>
    <w:p w:rsidR="00F27BEE" w:rsidRDefault="00F27BEE" w:rsidP="00F27BEE">
      <w:pPr>
        <w:pStyle w:val="Abbreviation"/>
      </w:pPr>
      <w:proofErr w:type="spellStart"/>
      <w:r>
        <w:lastRenderedPageBreak/>
        <w:t>NTA</w:t>
      </w:r>
      <w:proofErr w:type="spellEnd"/>
      <w:r>
        <w:tab/>
        <w:t>Native Title Act</w:t>
      </w:r>
    </w:p>
    <w:p w:rsidR="00F27BEE" w:rsidRDefault="00F27BEE" w:rsidP="00F27BEE">
      <w:pPr>
        <w:pStyle w:val="Abbreviation"/>
      </w:pPr>
      <w:proofErr w:type="spellStart"/>
      <w:r>
        <w:t>OPGGS</w:t>
      </w:r>
      <w:proofErr w:type="spellEnd"/>
      <w:r>
        <w:t xml:space="preserve"> Act </w:t>
      </w:r>
      <w:r>
        <w:tab/>
        <w:t>Offshore Petroleum and Greenhouse Gas Storage Act</w:t>
      </w:r>
    </w:p>
    <w:p w:rsidR="00F27BEE" w:rsidRDefault="00F27BEE" w:rsidP="00F27BEE">
      <w:pPr>
        <w:pStyle w:val="Abbreviation"/>
      </w:pPr>
      <w:r>
        <w:t>PC</w:t>
      </w:r>
      <w:r>
        <w:tab/>
        <w:t>Productivity Commission</w:t>
      </w:r>
    </w:p>
    <w:p w:rsidR="00F27BEE" w:rsidRDefault="00F27BEE" w:rsidP="00F27BEE">
      <w:pPr>
        <w:pStyle w:val="Abbreviation"/>
      </w:pPr>
      <w:proofErr w:type="spellStart"/>
      <w:r>
        <w:t>PTG</w:t>
      </w:r>
      <w:proofErr w:type="spellEnd"/>
      <w:r>
        <w:tab/>
        <w:t>Policy Transition Group</w:t>
      </w:r>
    </w:p>
    <w:p w:rsidR="00F27BEE" w:rsidRDefault="00F27BEE" w:rsidP="00F27BEE">
      <w:pPr>
        <w:pStyle w:val="Abbreviation"/>
      </w:pPr>
      <w:proofErr w:type="spellStart"/>
      <w:r>
        <w:t>QEC</w:t>
      </w:r>
      <w:proofErr w:type="spellEnd"/>
      <w:r>
        <w:tab/>
        <w:t>Queensland Exploration Council</w:t>
      </w:r>
    </w:p>
    <w:p w:rsidR="00F27BEE" w:rsidRDefault="00F27BEE" w:rsidP="00F27BEE">
      <w:pPr>
        <w:pStyle w:val="Abbreviation"/>
      </w:pPr>
      <w:proofErr w:type="spellStart"/>
      <w:r>
        <w:t>QRC</w:t>
      </w:r>
      <w:proofErr w:type="spellEnd"/>
      <w:r>
        <w:tab/>
        <w:t>Queensland Resources Council</w:t>
      </w:r>
    </w:p>
    <w:p w:rsidR="00F27BEE" w:rsidRDefault="00F27BEE" w:rsidP="00F27BEE">
      <w:pPr>
        <w:pStyle w:val="Abbreviation"/>
      </w:pPr>
      <w:r>
        <w:t>SACOME</w:t>
      </w:r>
      <w:r>
        <w:tab/>
        <w:t>South Australian Chamber of Mines and Energy</w:t>
      </w:r>
    </w:p>
    <w:p w:rsidR="00F27BEE" w:rsidRDefault="00F27BEE" w:rsidP="00F27BEE">
      <w:pPr>
        <w:pStyle w:val="Abbreviation"/>
      </w:pPr>
      <w:proofErr w:type="spellStart"/>
      <w:r>
        <w:t>SCER</w:t>
      </w:r>
      <w:proofErr w:type="spellEnd"/>
      <w:r>
        <w:tab/>
        <w:t>Standing Council on Energy and Resources</w:t>
      </w:r>
    </w:p>
    <w:p w:rsidR="00F27BEE" w:rsidRDefault="00F27BEE" w:rsidP="00F27BEE">
      <w:pPr>
        <w:pStyle w:val="Abbreviation"/>
      </w:pPr>
      <w:r>
        <w:t>SEWPaC</w:t>
      </w:r>
      <w:r>
        <w:tab/>
        <w:t>Department of Sustainability, Environment, Water, Population and Communities</w:t>
      </w:r>
    </w:p>
    <w:p w:rsidR="00F27BEE" w:rsidRDefault="00F27BEE" w:rsidP="00F27BEE">
      <w:pPr>
        <w:pStyle w:val="Abbreviation"/>
      </w:pPr>
      <w:proofErr w:type="spellStart"/>
      <w:r>
        <w:t>SLO</w:t>
      </w:r>
      <w:proofErr w:type="spellEnd"/>
      <w:r>
        <w:tab/>
        <w:t>Social licence to operate</w:t>
      </w:r>
    </w:p>
    <w:p w:rsidR="00735FEA" w:rsidRDefault="00735FEA" w:rsidP="00F7477E">
      <w:pPr>
        <w:pStyle w:val="Heading2NotTOC"/>
      </w:pPr>
      <w:r>
        <w:t>Explanations</w:t>
      </w:r>
    </w:p>
    <w:tbl>
      <w:tblPr>
        <w:tblW w:w="0" w:type="auto"/>
        <w:tblLayout w:type="fixed"/>
        <w:tblCellMar>
          <w:left w:w="0" w:type="dxa"/>
          <w:right w:w="0" w:type="dxa"/>
        </w:tblCellMar>
        <w:tblLook w:val="0000" w:firstRow="0" w:lastRow="0" w:firstColumn="0" w:lastColumn="0" w:noHBand="0" w:noVBand="0"/>
      </w:tblPr>
      <w:tblGrid>
        <w:gridCol w:w="2155"/>
        <w:gridCol w:w="6634"/>
      </w:tblGrid>
      <w:tr w:rsidR="00735FEA" w:rsidTr="001D79E6">
        <w:trPr>
          <w:cantSplit/>
        </w:trPr>
        <w:tc>
          <w:tcPr>
            <w:tcW w:w="2155" w:type="dxa"/>
          </w:tcPr>
          <w:p w:rsidR="00735FEA" w:rsidRDefault="00735FEA">
            <w:pPr>
              <w:pStyle w:val="BodyText"/>
              <w:spacing w:before="120"/>
              <w:ind w:right="6"/>
            </w:pPr>
            <w:r>
              <w:t>Billion</w:t>
            </w:r>
          </w:p>
        </w:tc>
        <w:tc>
          <w:tcPr>
            <w:tcW w:w="6634" w:type="dxa"/>
          </w:tcPr>
          <w:p w:rsidR="00735FEA" w:rsidRDefault="00735FEA">
            <w:pPr>
              <w:pStyle w:val="BodyText"/>
              <w:spacing w:before="120"/>
              <w:ind w:left="227" w:right="6"/>
            </w:pPr>
            <w:r>
              <w:t>The convention used for a billion is a thousand million (10</w:t>
            </w:r>
            <w:r>
              <w:rPr>
                <w:position w:val="6"/>
                <w:sz w:val="22"/>
              </w:rPr>
              <w:t>9</w:t>
            </w:r>
            <w:r>
              <w:t>).</w:t>
            </w:r>
          </w:p>
        </w:tc>
      </w:tr>
      <w:tr w:rsidR="00735FEA" w:rsidTr="001D79E6">
        <w:trPr>
          <w:cantSplit/>
        </w:trPr>
        <w:tc>
          <w:tcPr>
            <w:tcW w:w="2155" w:type="dxa"/>
          </w:tcPr>
          <w:p w:rsidR="00735FEA" w:rsidRDefault="00735FEA">
            <w:pPr>
              <w:pStyle w:val="BodyText"/>
              <w:spacing w:before="120"/>
              <w:ind w:right="6"/>
            </w:pPr>
            <w:r>
              <w:t>Findings</w:t>
            </w:r>
          </w:p>
        </w:tc>
        <w:tc>
          <w:tcPr>
            <w:tcW w:w="6634" w:type="dxa"/>
          </w:tcPr>
          <w:p w:rsidR="00735FEA" w:rsidRDefault="00735FEA">
            <w:pPr>
              <w:pStyle w:val="BodyText"/>
              <w:spacing w:before="120"/>
              <w:ind w:left="227" w:right="6"/>
              <w:rPr>
                <w:i/>
              </w:rPr>
            </w:pPr>
            <w:r>
              <w:rPr>
                <w:i/>
              </w:rPr>
              <w:t>Findings in the body of the report are paragraphs high</w:t>
            </w:r>
            <w:r>
              <w:rPr>
                <w:i/>
              </w:rPr>
              <w:softHyphen/>
              <w:t>lighted using italics, as this is.</w:t>
            </w:r>
          </w:p>
        </w:tc>
      </w:tr>
      <w:tr w:rsidR="00735FEA" w:rsidTr="001D79E6">
        <w:trPr>
          <w:cantSplit/>
        </w:trPr>
        <w:tc>
          <w:tcPr>
            <w:tcW w:w="2155" w:type="dxa"/>
          </w:tcPr>
          <w:p w:rsidR="00735FEA" w:rsidRDefault="00735FEA">
            <w:pPr>
              <w:pStyle w:val="BodyText"/>
              <w:spacing w:before="120"/>
              <w:ind w:right="6"/>
            </w:pPr>
            <w:r>
              <w:t>Recommendations</w:t>
            </w:r>
          </w:p>
        </w:tc>
        <w:tc>
          <w:tcPr>
            <w:tcW w:w="6634" w:type="dxa"/>
          </w:tcPr>
          <w:p w:rsidR="00735FEA" w:rsidRDefault="00735FEA" w:rsidP="00CE5D96">
            <w:pPr>
              <w:pStyle w:val="BodyText"/>
              <w:spacing w:before="120"/>
              <w:ind w:left="227" w:right="255"/>
              <w:rPr>
                <w:b/>
                <w:i/>
              </w:rPr>
            </w:pPr>
            <w:r>
              <w:rPr>
                <w:b/>
                <w:i/>
              </w:rPr>
              <w:t>Recommendations in the body of the report are high</w:t>
            </w:r>
            <w:r>
              <w:rPr>
                <w:b/>
                <w:i/>
              </w:rPr>
              <w:softHyphen/>
              <w:t>lighted using bold italics, as this is.</w:t>
            </w:r>
          </w:p>
        </w:tc>
      </w:tr>
      <w:tr w:rsidR="001D79E6" w:rsidTr="001D79E6">
        <w:trPr>
          <w:cantSplit/>
        </w:trPr>
        <w:tc>
          <w:tcPr>
            <w:tcW w:w="2155" w:type="dxa"/>
          </w:tcPr>
          <w:p w:rsidR="001D79E6" w:rsidRDefault="001D79E6" w:rsidP="0047555D">
            <w:pPr>
              <w:pStyle w:val="BodyText"/>
              <w:spacing w:before="120"/>
              <w:ind w:right="6"/>
            </w:pPr>
            <w:r>
              <w:t>Base metals</w:t>
            </w:r>
          </w:p>
        </w:tc>
        <w:tc>
          <w:tcPr>
            <w:tcW w:w="6634" w:type="dxa"/>
          </w:tcPr>
          <w:p w:rsidR="001D79E6" w:rsidRPr="00726ECE" w:rsidRDefault="001D79E6" w:rsidP="0047555D">
            <w:pPr>
              <w:pStyle w:val="BodyText"/>
              <w:spacing w:before="120"/>
              <w:ind w:left="227" w:right="142"/>
            </w:pPr>
            <w:r w:rsidRPr="00726ECE">
              <w:t>Are non-ferrous (</w:t>
            </w:r>
            <w:proofErr w:type="spellStart"/>
            <w:r w:rsidRPr="00726ECE">
              <w:t>ie</w:t>
            </w:r>
            <w:proofErr w:type="spellEnd"/>
            <w:r w:rsidRPr="00726ECE">
              <w:t xml:space="preserve"> not containing iron) metals used in industrial products. they include copper, lead, nickel and zinc.</w:t>
            </w:r>
          </w:p>
        </w:tc>
      </w:tr>
      <w:tr w:rsidR="001D79E6" w:rsidTr="001D79E6">
        <w:trPr>
          <w:cantSplit/>
        </w:trPr>
        <w:tc>
          <w:tcPr>
            <w:tcW w:w="2155" w:type="dxa"/>
          </w:tcPr>
          <w:p w:rsidR="001D79E6" w:rsidRDefault="001D79E6" w:rsidP="0047555D">
            <w:pPr>
              <w:pStyle w:val="BodyText"/>
              <w:spacing w:before="120"/>
              <w:ind w:right="6"/>
            </w:pPr>
            <w:r>
              <w:t>Brownfield</w:t>
            </w:r>
          </w:p>
        </w:tc>
        <w:tc>
          <w:tcPr>
            <w:tcW w:w="6634" w:type="dxa"/>
          </w:tcPr>
          <w:p w:rsidR="001D79E6" w:rsidRPr="00726ECE" w:rsidRDefault="001D79E6" w:rsidP="0047555D">
            <w:pPr>
              <w:pStyle w:val="BodyText"/>
              <w:spacing w:before="120"/>
              <w:ind w:left="227" w:right="142"/>
            </w:pPr>
            <w:r w:rsidRPr="00726ECE">
              <w:t>Locations close to existing or historical mines or wells or known resource locations.</w:t>
            </w:r>
          </w:p>
        </w:tc>
      </w:tr>
      <w:tr w:rsidR="00F27BEE" w:rsidTr="001D79E6">
        <w:trPr>
          <w:cantSplit/>
        </w:trPr>
        <w:tc>
          <w:tcPr>
            <w:tcW w:w="2155" w:type="dxa"/>
          </w:tcPr>
          <w:p w:rsidR="00F27BEE" w:rsidRDefault="00F27BEE" w:rsidP="00DC23E3">
            <w:pPr>
              <w:pStyle w:val="BodyText"/>
              <w:spacing w:before="120"/>
              <w:ind w:right="6"/>
            </w:pPr>
            <w:r>
              <w:t>Coastal waters</w:t>
            </w:r>
          </w:p>
        </w:tc>
        <w:tc>
          <w:tcPr>
            <w:tcW w:w="6634" w:type="dxa"/>
          </w:tcPr>
          <w:p w:rsidR="00F27BEE" w:rsidRPr="00726ECE" w:rsidRDefault="00F27BEE" w:rsidP="00DC23E3">
            <w:pPr>
              <w:pStyle w:val="BodyText"/>
              <w:spacing w:before="120"/>
              <w:ind w:left="227" w:right="142"/>
            </w:pPr>
            <w:r>
              <w:t>The waters between the territorial sea baseline (which is generally situated at the lowest astronomical tide line along the coast) and the line that is three nautical miles seaward of the territorial sea baseline, as well as any waters landward of the baseline that are outside the limits of a state or territory.</w:t>
            </w:r>
          </w:p>
        </w:tc>
      </w:tr>
      <w:tr w:rsidR="001D79E6" w:rsidTr="001D79E6">
        <w:trPr>
          <w:cantSplit/>
        </w:trPr>
        <w:tc>
          <w:tcPr>
            <w:tcW w:w="2155" w:type="dxa"/>
          </w:tcPr>
          <w:p w:rsidR="001D79E6" w:rsidRDefault="001D79E6" w:rsidP="0047555D">
            <w:pPr>
              <w:pStyle w:val="BodyText"/>
              <w:spacing w:before="120"/>
              <w:ind w:right="6"/>
            </w:pPr>
            <w:r>
              <w:t>Energy resources</w:t>
            </w:r>
          </w:p>
        </w:tc>
        <w:tc>
          <w:tcPr>
            <w:tcW w:w="6634" w:type="dxa"/>
          </w:tcPr>
          <w:p w:rsidR="001D79E6" w:rsidRPr="00726ECE" w:rsidRDefault="001D79E6" w:rsidP="0047555D">
            <w:pPr>
              <w:pStyle w:val="BodyText"/>
              <w:spacing w:before="120"/>
              <w:ind w:left="227" w:right="142"/>
            </w:pPr>
            <w:r w:rsidRPr="00726ECE">
              <w:t>Includes petroleum, coal and coal seam gas.</w:t>
            </w:r>
          </w:p>
        </w:tc>
      </w:tr>
      <w:tr w:rsidR="001D79E6" w:rsidTr="001D79E6">
        <w:trPr>
          <w:cantSplit/>
        </w:trPr>
        <w:tc>
          <w:tcPr>
            <w:tcW w:w="2155" w:type="dxa"/>
          </w:tcPr>
          <w:p w:rsidR="001D79E6" w:rsidRDefault="001D79E6" w:rsidP="0047555D">
            <w:pPr>
              <w:pStyle w:val="BodyText"/>
              <w:spacing w:before="120"/>
              <w:ind w:right="6"/>
            </w:pPr>
            <w:r>
              <w:t>Exploration</w:t>
            </w:r>
          </w:p>
        </w:tc>
        <w:tc>
          <w:tcPr>
            <w:tcW w:w="6634" w:type="dxa"/>
          </w:tcPr>
          <w:p w:rsidR="001D79E6" w:rsidRPr="00726ECE" w:rsidRDefault="001D79E6" w:rsidP="0047555D">
            <w:pPr>
              <w:pStyle w:val="BodyText"/>
              <w:spacing w:before="120"/>
              <w:ind w:left="227" w:right="142"/>
            </w:pPr>
            <w:r w:rsidRPr="00726ECE">
              <w:t>Activities that relate to the gathering of knowledge as to the location, quantity and quality of mineral and energy resource deposits.</w:t>
            </w:r>
          </w:p>
        </w:tc>
      </w:tr>
      <w:tr w:rsidR="001D79E6" w:rsidTr="001D79E6">
        <w:trPr>
          <w:cantSplit/>
        </w:trPr>
        <w:tc>
          <w:tcPr>
            <w:tcW w:w="2155" w:type="dxa"/>
          </w:tcPr>
          <w:p w:rsidR="001D79E6" w:rsidRDefault="001D79E6" w:rsidP="0047555D">
            <w:pPr>
              <w:pStyle w:val="BodyText"/>
              <w:spacing w:before="120"/>
              <w:ind w:right="6"/>
            </w:pPr>
            <w:r>
              <w:lastRenderedPageBreak/>
              <w:t>Extraction</w:t>
            </w:r>
          </w:p>
        </w:tc>
        <w:tc>
          <w:tcPr>
            <w:tcW w:w="6634" w:type="dxa"/>
          </w:tcPr>
          <w:p w:rsidR="001D79E6" w:rsidRPr="00726ECE" w:rsidRDefault="001D79E6" w:rsidP="0047555D">
            <w:pPr>
              <w:pStyle w:val="BodyText"/>
              <w:spacing w:before="120"/>
              <w:ind w:left="227" w:right="142"/>
            </w:pPr>
            <w:r w:rsidRPr="00726ECE">
              <w:t>The process of removing mineral and energy resources. This includes mining and oil and gas wells.</w:t>
            </w:r>
          </w:p>
        </w:tc>
      </w:tr>
      <w:tr w:rsidR="001D79E6" w:rsidTr="001D79E6">
        <w:trPr>
          <w:cantSplit/>
        </w:trPr>
        <w:tc>
          <w:tcPr>
            <w:tcW w:w="2155" w:type="dxa"/>
          </w:tcPr>
          <w:p w:rsidR="001D79E6" w:rsidRDefault="001D79E6" w:rsidP="0047555D">
            <w:pPr>
              <w:pStyle w:val="BodyText"/>
              <w:spacing w:before="120"/>
              <w:ind w:right="6"/>
            </w:pPr>
            <w:r>
              <w:t>Geoscience</w:t>
            </w:r>
          </w:p>
        </w:tc>
        <w:tc>
          <w:tcPr>
            <w:tcW w:w="6634" w:type="dxa"/>
          </w:tcPr>
          <w:p w:rsidR="001D79E6" w:rsidRPr="00726ECE" w:rsidRDefault="001D79E6" w:rsidP="0047555D">
            <w:pPr>
              <w:pStyle w:val="BodyText"/>
              <w:spacing w:before="120"/>
              <w:ind w:left="227" w:right="142"/>
            </w:pPr>
            <w:r w:rsidRPr="00726ECE">
              <w:t>The study of the structure and evolution of geology and mineral and energy resources.</w:t>
            </w:r>
          </w:p>
        </w:tc>
      </w:tr>
      <w:tr w:rsidR="001D79E6" w:rsidTr="001D79E6">
        <w:trPr>
          <w:cantSplit/>
        </w:trPr>
        <w:tc>
          <w:tcPr>
            <w:tcW w:w="2155" w:type="dxa"/>
          </w:tcPr>
          <w:p w:rsidR="001D79E6" w:rsidRDefault="001D79E6" w:rsidP="0047555D">
            <w:pPr>
              <w:pStyle w:val="BodyText"/>
              <w:spacing w:before="120"/>
              <w:ind w:right="6"/>
            </w:pPr>
            <w:r>
              <w:t>Greenfield</w:t>
            </w:r>
          </w:p>
        </w:tc>
        <w:tc>
          <w:tcPr>
            <w:tcW w:w="6634" w:type="dxa"/>
          </w:tcPr>
          <w:p w:rsidR="001D79E6" w:rsidRPr="00726ECE" w:rsidRDefault="001D79E6" w:rsidP="0047555D">
            <w:pPr>
              <w:pStyle w:val="BodyText"/>
              <w:spacing w:before="120"/>
              <w:ind w:left="227" w:right="142"/>
            </w:pPr>
            <w:r w:rsidRPr="00726ECE">
              <w:t>Locations remote from existing or historical mines or wells or known resource locations.</w:t>
            </w:r>
          </w:p>
        </w:tc>
      </w:tr>
      <w:tr w:rsidR="00F27BEE" w:rsidTr="00DC23E3">
        <w:tc>
          <w:tcPr>
            <w:tcW w:w="2155" w:type="dxa"/>
          </w:tcPr>
          <w:p w:rsidR="00F27BEE" w:rsidRDefault="00F27BEE" w:rsidP="00DC23E3">
            <w:pPr>
              <w:pStyle w:val="BodyText"/>
              <w:spacing w:before="120"/>
              <w:ind w:right="6"/>
              <w:jc w:val="left"/>
            </w:pPr>
            <w:r>
              <w:t>Internal waters of a state or territory</w:t>
            </w:r>
          </w:p>
        </w:tc>
        <w:tc>
          <w:tcPr>
            <w:tcW w:w="6634" w:type="dxa"/>
          </w:tcPr>
          <w:p w:rsidR="00F27BEE" w:rsidRPr="00726ECE" w:rsidRDefault="00F27BEE" w:rsidP="00DC23E3">
            <w:pPr>
              <w:pStyle w:val="BodyText"/>
              <w:spacing w:before="120"/>
              <w:ind w:left="227" w:right="142"/>
            </w:pPr>
            <w:r>
              <w:t>The waters on the landward side of the territorial sea baseline that fall within the Constitutional boundaries of a state or territory. They may include bays, gulfs, estuaries, rivers, creeks, inlets, ports or harbours.</w:t>
            </w:r>
          </w:p>
        </w:tc>
      </w:tr>
      <w:tr w:rsidR="001D79E6" w:rsidTr="001D79E6">
        <w:trPr>
          <w:cantSplit/>
        </w:trPr>
        <w:tc>
          <w:tcPr>
            <w:tcW w:w="2155" w:type="dxa"/>
          </w:tcPr>
          <w:p w:rsidR="001D79E6" w:rsidRDefault="001D79E6" w:rsidP="0047555D">
            <w:pPr>
              <w:pStyle w:val="BodyText"/>
              <w:spacing w:before="120"/>
              <w:ind w:right="6"/>
            </w:pPr>
            <w:r>
              <w:t>Junior explorer</w:t>
            </w:r>
          </w:p>
        </w:tc>
        <w:tc>
          <w:tcPr>
            <w:tcW w:w="6634" w:type="dxa"/>
          </w:tcPr>
          <w:p w:rsidR="001D79E6" w:rsidRPr="00726ECE" w:rsidRDefault="001D79E6" w:rsidP="0047555D">
            <w:pPr>
              <w:pStyle w:val="BodyText"/>
              <w:spacing w:before="120"/>
              <w:ind w:left="227" w:right="142"/>
            </w:pPr>
            <w:r w:rsidRPr="00726ECE">
              <w:t>A company whose principal activities are exploring for mineral or energy reserves and whose main income is derived from selling the rights to any such discoveries. They have little or no involvement in operating mines or wells.</w:t>
            </w:r>
          </w:p>
        </w:tc>
      </w:tr>
      <w:tr w:rsidR="001D79E6" w:rsidTr="001D79E6">
        <w:trPr>
          <w:cantSplit/>
        </w:trPr>
        <w:tc>
          <w:tcPr>
            <w:tcW w:w="2155" w:type="dxa"/>
          </w:tcPr>
          <w:p w:rsidR="001D79E6" w:rsidRDefault="001D79E6" w:rsidP="0047555D">
            <w:pPr>
              <w:pStyle w:val="BodyText"/>
              <w:spacing w:before="120"/>
              <w:ind w:right="6"/>
            </w:pPr>
            <w:r>
              <w:t>Mineral resources</w:t>
            </w:r>
          </w:p>
        </w:tc>
        <w:tc>
          <w:tcPr>
            <w:tcW w:w="6634" w:type="dxa"/>
          </w:tcPr>
          <w:p w:rsidR="001D79E6" w:rsidRPr="00726ECE" w:rsidRDefault="001D79E6" w:rsidP="0047555D">
            <w:pPr>
              <w:pStyle w:val="BodyText"/>
              <w:spacing w:before="120"/>
              <w:ind w:left="227" w:right="142"/>
            </w:pPr>
            <w:r w:rsidRPr="00726ECE">
              <w:t xml:space="preserve">Naturally occurring materials that cannot be renewed. </w:t>
            </w:r>
          </w:p>
        </w:tc>
      </w:tr>
      <w:tr w:rsidR="001D79E6" w:rsidTr="001D79E6">
        <w:trPr>
          <w:cantSplit/>
        </w:trPr>
        <w:tc>
          <w:tcPr>
            <w:tcW w:w="2155" w:type="dxa"/>
          </w:tcPr>
          <w:p w:rsidR="001D79E6" w:rsidRDefault="001D79E6" w:rsidP="0047555D">
            <w:pPr>
              <w:pStyle w:val="BodyText"/>
              <w:spacing w:before="120"/>
              <w:ind w:right="6"/>
            </w:pPr>
            <w:r>
              <w:t>Petroleum</w:t>
            </w:r>
          </w:p>
        </w:tc>
        <w:tc>
          <w:tcPr>
            <w:tcW w:w="6634" w:type="dxa"/>
          </w:tcPr>
          <w:p w:rsidR="001D79E6" w:rsidRPr="00726ECE" w:rsidRDefault="001D79E6" w:rsidP="0047555D">
            <w:pPr>
              <w:pStyle w:val="BodyText"/>
              <w:spacing w:before="120"/>
              <w:ind w:left="227" w:right="142"/>
            </w:pPr>
            <w:r w:rsidRPr="00726ECE">
              <w:t>Naturally occurring hydrocarbons including crude oil, natural gas, oil shale and similar products.</w:t>
            </w:r>
          </w:p>
        </w:tc>
      </w:tr>
      <w:tr w:rsidR="001D79E6" w:rsidTr="001D79E6">
        <w:trPr>
          <w:cantSplit/>
        </w:trPr>
        <w:tc>
          <w:tcPr>
            <w:tcW w:w="2155" w:type="dxa"/>
          </w:tcPr>
          <w:p w:rsidR="001D79E6" w:rsidRDefault="001D79E6" w:rsidP="0047555D">
            <w:pPr>
              <w:pStyle w:val="BodyText"/>
              <w:spacing w:before="120"/>
              <w:ind w:right="6"/>
            </w:pPr>
            <w:r>
              <w:t>Pre-competitive geoscience</w:t>
            </w:r>
          </w:p>
        </w:tc>
        <w:tc>
          <w:tcPr>
            <w:tcW w:w="6634" w:type="dxa"/>
          </w:tcPr>
          <w:p w:rsidR="001D79E6" w:rsidRPr="00726ECE" w:rsidRDefault="001D79E6" w:rsidP="0047555D">
            <w:pPr>
              <w:pStyle w:val="BodyText"/>
              <w:spacing w:before="120"/>
              <w:ind w:left="227" w:right="142"/>
            </w:pPr>
            <w:r w:rsidRPr="00726ECE">
              <w:t>Government provided information about the broad geology of a region which is then used by private explorers to select areas for more intensive exploration.</w:t>
            </w:r>
          </w:p>
        </w:tc>
      </w:tr>
      <w:tr w:rsidR="001D79E6" w:rsidTr="001D79E6">
        <w:trPr>
          <w:cantSplit/>
        </w:trPr>
        <w:tc>
          <w:tcPr>
            <w:tcW w:w="2155" w:type="dxa"/>
          </w:tcPr>
          <w:p w:rsidR="001D79E6" w:rsidRDefault="001D79E6" w:rsidP="0047555D">
            <w:pPr>
              <w:pStyle w:val="BodyText"/>
              <w:spacing w:before="120"/>
              <w:ind w:right="6"/>
            </w:pPr>
            <w:r>
              <w:t>Prospectivity</w:t>
            </w:r>
          </w:p>
        </w:tc>
        <w:tc>
          <w:tcPr>
            <w:tcW w:w="6634" w:type="dxa"/>
          </w:tcPr>
          <w:p w:rsidR="001D79E6" w:rsidRPr="00726ECE" w:rsidRDefault="001D79E6" w:rsidP="0047555D">
            <w:pPr>
              <w:pStyle w:val="BodyText"/>
              <w:spacing w:before="120"/>
              <w:ind w:left="227" w:right="142"/>
            </w:pPr>
            <w:r w:rsidRPr="00726ECE">
              <w:t>The relative geological potential of different possible exploration locations. The probability that a given area will contain mineral or energy deposits.</w:t>
            </w:r>
          </w:p>
        </w:tc>
      </w:tr>
      <w:tr w:rsidR="001D79E6" w:rsidTr="001D79E6">
        <w:trPr>
          <w:cantSplit/>
        </w:trPr>
        <w:tc>
          <w:tcPr>
            <w:tcW w:w="2155" w:type="dxa"/>
          </w:tcPr>
          <w:p w:rsidR="001D79E6" w:rsidRDefault="001D79E6" w:rsidP="0047555D">
            <w:pPr>
              <w:pStyle w:val="BodyText"/>
              <w:spacing w:before="120"/>
              <w:ind w:right="6"/>
            </w:pPr>
            <w:r>
              <w:t>Senior explorer/miner</w:t>
            </w:r>
          </w:p>
        </w:tc>
        <w:tc>
          <w:tcPr>
            <w:tcW w:w="6634" w:type="dxa"/>
          </w:tcPr>
          <w:p w:rsidR="001D79E6" w:rsidRPr="00726ECE" w:rsidRDefault="001D79E6" w:rsidP="0047555D">
            <w:pPr>
              <w:pStyle w:val="BodyText"/>
              <w:spacing w:before="120"/>
              <w:ind w:left="227" w:right="142"/>
            </w:pPr>
            <w:r w:rsidRPr="00726ECE">
              <w:t>A company that is involved in operating mines or wells. While they may undertake exploration activities, exploration would be a small component of their expenditure.</w:t>
            </w:r>
          </w:p>
        </w:tc>
      </w:tr>
      <w:tr w:rsidR="001D79E6" w:rsidTr="001D79E6">
        <w:trPr>
          <w:cantSplit/>
        </w:trPr>
        <w:tc>
          <w:tcPr>
            <w:tcW w:w="2155" w:type="dxa"/>
          </w:tcPr>
          <w:p w:rsidR="001D79E6" w:rsidRDefault="001D79E6" w:rsidP="0047555D">
            <w:pPr>
              <w:pStyle w:val="BodyText"/>
              <w:spacing w:before="120"/>
              <w:ind w:right="6"/>
            </w:pPr>
            <w:r>
              <w:t>Social Licence to Operate</w:t>
            </w:r>
          </w:p>
        </w:tc>
        <w:tc>
          <w:tcPr>
            <w:tcW w:w="6634" w:type="dxa"/>
          </w:tcPr>
          <w:p w:rsidR="001D79E6" w:rsidRPr="00726ECE" w:rsidRDefault="001D79E6" w:rsidP="0047555D">
            <w:pPr>
              <w:pStyle w:val="BodyText"/>
              <w:spacing w:before="120"/>
              <w:ind w:left="227" w:right="142"/>
            </w:pPr>
            <w:r w:rsidRPr="00726ECE">
              <w:t>Achieved when an organisation has ongoing acceptance from the local community or other relevant stakeholders.</w:t>
            </w:r>
          </w:p>
        </w:tc>
      </w:tr>
      <w:tr w:rsidR="00F27BEE" w:rsidTr="001D79E6">
        <w:trPr>
          <w:cantSplit/>
        </w:trPr>
        <w:tc>
          <w:tcPr>
            <w:tcW w:w="2155" w:type="dxa"/>
          </w:tcPr>
          <w:p w:rsidR="00F27BEE" w:rsidRDefault="00F27BEE" w:rsidP="00DC23E3">
            <w:pPr>
              <w:pStyle w:val="BodyText"/>
              <w:spacing w:before="120"/>
              <w:ind w:right="6"/>
              <w:jc w:val="left"/>
            </w:pPr>
            <w:r>
              <w:t>Territorial sea baseline</w:t>
            </w:r>
          </w:p>
        </w:tc>
        <w:tc>
          <w:tcPr>
            <w:tcW w:w="6634" w:type="dxa"/>
          </w:tcPr>
          <w:p w:rsidR="00F27BEE" w:rsidRPr="00726ECE" w:rsidRDefault="00F27BEE" w:rsidP="00DC23E3">
            <w:pPr>
              <w:pStyle w:val="BodyText"/>
              <w:spacing w:before="120"/>
              <w:ind w:left="227" w:right="142"/>
            </w:pPr>
            <w:r>
              <w:t>Generally is the line of lowest astronomical tide along the coast, but it also encompasses straight lines across bays, across rivers and between islands, as well as along heavily indented areas of coastline under certain circumstances.</w:t>
            </w:r>
          </w:p>
        </w:tc>
      </w:tr>
      <w:tr w:rsidR="00F27BEE" w:rsidTr="001D79E6">
        <w:trPr>
          <w:cantSplit/>
        </w:trPr>
        <w:tc>
          <w:tcPr>
            <w:tcW w:w="2155" w:type="dxa"/>
          </w:tcPr>
          <w:p w:rsidR="00F27BEE" w:rsidRDefault="00F27BEE">
            <w:pPr>
              <w:pStyle w:val="BodyText"/>
              <w:spacing w:before="120"/>
              <w:ind w:right="6"/>
            </w:pPr>
          </w:p>
        </w:tc>
        <w:tc>
          <w:tcPr>
            <w:tcW w:w="6634" w:type="dxa"/>
          </w:tcPr>
          <w:p w:rsidR="00F27BEE" w:rsidRDefault="00F27BEE">
            <w:pPr>
              <w:pStyle w:val="BodyText"/>
              <w:spacing w:before="120"/>
              <w:ind w:left="227" w:right="6"/>
              <w:rPr>
                <w:rFonts w:ascii="Arial" w:hAnsi="Arial"/>
                <w:i/>
                <w:sz w:val="24"/>
              </w:rPr>
            </w:pPr>
          </w:p>
        </w:tc>
      </w:tr>
    </w:tbl>
    <w:p w:rsidR="006B1FF0" w:rsidRPr="002A2BEB" w:rsidRDefault="006B1FF0" w:rsidP="002A2BEB">
      <w:pPr>
        <w:pStyle w:val="BodyText"/>
        <w:rPr>
          <w:rStyle w:val="CommentReference"/>
          <w:vanish w:val="0"/>
          <w:color w:val="auto"/>
        </w:rPr>
      </w:pPr>
      <w:bookmarkStart w:id="22" w:name="Glossary"/>
      <w:bookmarkEnd w:id="22"/>
    </w:p>
    <w:sectPr w:rsidR="006B1FF0" w:rsidRPr="002A2BEB" w:rsidSect="00C55A45">
      <w:headerReference w:type="even" r:id="rId18"/>
      <w:headerReference w:type="default" r:id="rId19"/>
      <w:footerReference w:type="even" r:id="rId20"/>
      <w:footerReference w:type="default" r:id="rId21"/>
      <w:pgSz w:w="11907" w:h="16840" w:code="9"/>
      <w:pgMar w:top="1332" w:right="1304" w:bottom="1418" w:left="1814" w:header="1701" w:footer="567" w:gutter="0"/>
      <w:pgNumType w:fmt="lowerRoman"/>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85265" w:rsidRDefault="00F85265">
      <w:r>
        <w:separator/>
      </w:r>
    </w:p>
    <w:p w:rsidR="00F85265" w:rsidRDefault="00F85265"/>
    <w:p w:rsidR="00F85265" w:rsidRDefault="00F85265"/>
  </w:endnote>
  <w:endnote w:type="continuationSeparator" w:id="0">
    <w:p w:rsidR="00F85265" w:rsidRDefault="00F85265">
      <w:r>
        <w:continuationSeparator/>
      </w:r>
    </w:p>
    <w:p w:rsidR="00F85265" w:rsidRDefault="00F85265"/>
    <w:p w:rsidR="00F85265" w:rsidRDefault="00F8526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oudyOlSt BT">
    <w:altName w:val="Georgia"/>
    <w:charset w:val="00"/>
    <w:family w:val="roman"/>
    <w:pitch w:val="variable"/>
    <w:sig w:usb0="00000087" w:usb1="00000000" w:usb2="00000000" w:usb3="00000000" w:csb0="0000001B" w:csb1="00000000"/>
  </w:font>
  <w:font w:name="Goudy Old Style">
    <w:panose1 w:val="02020502050305020303"/>
    <w:charset w:val="00"/>
    <w:family w:val="roman"/>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F85265">
      <w:trPr>
        <w:trHeight w:hRule="exact" w:val="740"/>
      </w:trPr>
      <w:tc>
        <w:tcPr>
          <w:tcW w:w="510" w:type="dxa"/>
          <w:tcBorders>
            <w:top w:val="single" w:sz="6" w:space="0" w:color="auto"/>
          </w:tcBorders>
        </w:tcPr>
        <w:p w:rsidR="00F85265" w:rsidRPr="008206EE" w:rsidRDefault="00F85265">
          <w:pPr>
            <w:pStyle w:val="Footer"/>
            <w:rPr>
              <w:rStyle w:val="PageNumber"/>
              <w:caps w:val="0"/>
            </w:rPr>
          </w:pPr>
          <w:r w:rsidRPr="008206EE">
            <w:rPr>
              <w:rStyle w:val="PageNumber"/>
              <w:caps w:val="0"/>
            </w:rPr>
            <w:fldChar w:fldCharType="begin"/>
          </w:r>
          <w:r w:rsidRPr="008206EE">
            <w:rPr>
              <w:rStyle w:val="PageNumber"/>
              <w:caps w:val="0"/>
            </w:rPr>
            <w:instrText xml:space="preserve"> PAGE   \* MERGEFORMAT </w:instrText>
          </w:r>
          <w:r w:rsidRPr="008206EE">
            <w:rPr>
              <w:rStyle w:val="PageNumber"/>
              <w:caps w:val="0"/>
            </w:rPr>
            <w:fldChar w:fldCharType="separate"/>
          </w:r>
          <w:r w:rsidR="00DC5C5F">
            <w:rPr>
              <w:rStyle w:val="PageNumber"/>
              <w:caps w:val="0"/>
              <w:noProof/>
            </w:rPr>
            <w:t>iv</w:t>
          </w:r>
          <w:r w:rsidRPr="008206EE">
            <w:rPr>
              <w:rStyle w:val="PageNumber"/>
              <w:caps w:val="0"/>
              <w:noProof/>
            </w:rPr>
            <w:fldChar w:fldCharType="end"/>
          </w:r>
        </w:p>
      </w:tc>
      <w:tc>
        <w:tcPr>
          <w:tcW w:w="1644" w:type="dxa"/>
          <w:tcBorders>
            <w:top w:val="single" w:sz="6" w:space="0" w:color="auto"/>
          </w:tcBorders>
        </w:tcPr>
        <w:p w:rsidR="00F85265" w:rsidRPr="00603344" w:rsidRDefault="00B86562" w:rsidP="006817C9">
          <w:pPr>
            <w:pStyle w:val="Footer"/>
          </w:pPr>
          <w:fldSimple w:instr=" STYLEREF &quot;Heading 1&quot; \* MERGEFORMAT ">
            <w:r w:rsidR="00DC5C5F" w:rsidRPr="00DC5C5F">
              <w:rPr>
                <w:bCs/>
                <w:noProof/>
                <w:lang w:val="en-US"/>
              </w:rPr>
              <w:t>Terms of reference</w:t>
            </w:r>
          </w:fldSimple>
        </w:p>
      </w:tc>
      <w:tc>
        <w:tcPr>
          <w:tcW w:w="6634" w:type="dxa"/>
        </w:tcPr>
        <w:p w:rsidR="00F85265" w:rsidRPr="00603344" w:rsidRDefault="00F85265">
          <w:pPr>
            <w:pStyle w:val="Footer"/>
            <w:rPr>
              <w:caps w:val="0"/>
            </w:rPr>
          </w:pPr>
        </w:p>
      </w:tc>
    </w:tr>
  </w:tbl>
  <w:p w:rsidR="00F85265" w:rsidRDefault="00F85265">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F85265" w:rsidTr="006817C9">
      <w:trPr>
        <w:trHeight w:hRule="exact" w:val="740"/>
      </w:trPr>
      <w:tc>
        <w:tcPr>
          <w:tcW w:w="6634" w:type="dxa"/>
        </w:tcPr>
        <w:p w:rsidR="00F85265" w:rsidRPr="00B3203C" w:rsidRDefault="00F85265">
          <w:pPr>
            <w:pStyle w:val="Footer"/>
          </w:pPr>
        </w:p>
      </w:tc>
      <w:tc>
        <w:tcPr>
          <w:tcW w:w="1644" w:type="dxa"/>
          <w:tcBorders>
            <w:top w:val="single" w:sz="6" w:space="0" w:color="auto"/>
          </w:tcBorders>
        </w:tcPr>
        <w:p w:rsidR="00F85265" w:rsidRPr="00B3203C" w:rsidRDefault="00F85265" w:rsidP="006817C9">
          <w:pPr>
            <w:pStyle w:val="Footer"/>
            <w:rPr>
              <w:rStyle w:val="PageNumber"/>
              <w:noProof/>
            </w:rPr>
          </w:pPr>
          <w:r w:rsidRPr="00B3203C">
            <w:rPr>
              <w:noProof/>
            </w:rPr>
            <w:fldChar w:fldCharType="begin"/>
          </w:r>
          <w:r w:rsidRPr="00B3203C">
            <w:rPr>
              <w:noProof/>
            </w:rPr>
            <w:instrText xml:space="preserve"> STYLEREF "Heading 1" \* MERGEFORMAT </w:instrText>
          </w:r>
          <w:r w:rsidRPr="00B3203C">
            <w:rPr>
              <w:noProof/>
            </w:rPr>
            <w:fldChar w:fldCharType="separate"/>
          </w:r>
          <w:r w:rsidR="00DC5C5F" w:rsidRPr="00DC5C5F">
            <w:rPr>
              <w:bCs/>
              <w:noProof/>
              <w:lang w:val="en-US"/>
            </w:rPr>
            <w:t>Terms of reference</w:t>
          </w:r>
          <w:r w:rsidRPr="00B3203C">
            <w:rPr>
              <w:noProof/>
            </w:rPr>
            <w:fldChar w:fldCharType="end"/>
          </w:r>
        </w:p>
      </w:tc>
      <w:tc>
        <w:tcPr>
          <w:tcW w:w="510" w:type="dxa"/>
          <w:tcBorders>
            <w:top w:val="single" w:sz="6" w:space="0" w:color="auto"/>
          </w:tcBorders>
        </w:tcPr>
        <w:p w:rsidR="00F85265" w:rsidRPr="00C55A45" w:rsidRDefault="00F85265">
          <w:pPr>
            <w:pStyle w:val="Footer"/>
            <w:jc w:val="right"/>
            <w:rPr>
              <w:rStyle w:val="PageNumber"/>
              <w:caps w:val="0"/>
              <w:noProof/>
            </w:rPr>
          </w:pPr>
          <w:r w:rsidRPr="00C55A45">
            <w:rPr>
              <w:rStyle w:val="PageNumber"/>
              <w:caps w:val="0"/>
              <w:noProof/>
            </w:rPr>
            <w:fldChar w:fldCharType="begin"/>
          </w:r>
          <w:r w:rsidRPr="00C55A45">
            <w:rPr>
              <w:rStyle w:val="PageNumber"/>
              <w:caps w:val="0"/>
              <w:noProof/>
            </w:rPr>
            <w:instrText xml:space="preserve"> PAGE   \* MERGEFORMAT </w:instrText>
          </w:r>
          <w:r w:rsidRPr="00C55A45">
            <w:rPr>
              <w:rStyle w:val="PageNumber"/>
              <w:caps w:val="0"/>
              <w:noProof/>
            </w:rPr>
            <w:fldChar w:fldCharType="separate"/>
          </w:r>
          <w:r w:rsidR="00DC5C5F">
            <w:rPr>
              <w:rStyle w:val="PageNumber"/>
              <w:caps w:val="0"/>
              <w:noProof/>
            </w:rPr>
            <w:t>vii</w:t>
          </w:r>
          <w:r w:rsidRPr="00C55A45">
            <w:rPr>
              <w:rStyle w:val="PageNumber"/>
              <w:caps w:val="0"/>
              <w:noProof/>
            </w:rPr>
            <w:fldChar w:fldCharType="end"/>
          </w:r>
        </w:p>
      </w:tc>
    </w:tr>
  </w:tbl>
  <w:p w:rsidR="00F85265" w:rsidRDefault="00F85265">
    <w:pPr>
      <w:pStyle w:val="FooterEn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D37AC2">
      <w:trPr>
        <w:trHeight w:hRule="exact" w:val="740"/>
      </w:trPr>
      <w:tc>
        <w:tcPr>
          <w:tcW w:w="510" w:type="dxa"/>
          <w:tcBorders>
            <w:top w:val="single" w:sz="6" w:space="0" w:color="auto"/>
          </w:tcBorders>
        </w:tcPr>
        <w:p w:rsidR="00D37AC2" w:rsidRPr="008206EE" w:rsidRDefault="00D37AC2">
          <w:pPr>
            <w:pStyle w:val="Footer"/>
            <w:rPr>
              <w:rStyle w:val="PageNumber"/>
              <w:caps w:val="0"/>
            </w:rPr>
          </w:pPr>
          <w:r w:rsidRPr="008206EE">
            <w:rPr>
              <w:rStyle w:val="PageNumber"/>
              <w:caps w:val="0"/>
            </w:rPr>
            <w:fldChar w:fldCharType="begin"/>
          </w:r>
          <w:r w:rsidRPr="008206EE">
            <w:rPr>
              <w:rStyle w:val="PageNumber"/>
              <w:caps w:val="0"/>
            </w:rPr>
            <w:instrText xml:space="preserve"> PAGE   \* MERGEFORMAT </w:instrText>
          </w:r>
          <w:r w:rsidRPr="008206EE">
            <w:rPr>
              <w:rStyle w:val="PageNumber"/>
              <w:caps w:val="0"/>
            </w:rPr>
            <w:fldChar w:fldCharType="separate"/>
          </w:r>
          <w:r w:rsidR="00DC5C5F">
            <w:rPr>
              <w:rStyle w:val="PageNumber"/>
              <w:caps w:val="0"/>
              <w:noProof/>
            </w:rPr>
            <w:t>x</w:t>
          </w:r>
          <w:r w:rsidRPr="008206EE">
            <w:rPr>
              <w:rStyle w:val="PageNumber"/>
              <w:caps w:val="0"/>
              <w:noProof/>
            </w:rPr>
            <w:fldChar w:fldCharType="end"/>
          </w:r>
        </w:p>
      </w:tc>
      <w:tc>
        <w:tcPr>
          <w:tcW w:w="1644" w:type="dxa"/>
          <w:tcBorders>
            <w:top w:val="single" w:sz="6" w:space="0" w:color="auto"/>
          </w:tcBorders>
        </w:tcPr>
        <w:p w:rsidR="00D37AC2" w:rsidRDefault="00B86562">
          <w:pPr>
            <w:pStyle w:val="Footer"/>
          </w:pPr>
          <w:fldSimple w:instr=" STYLEREF &quot;Heading 1 Not TOC&quot; \* MERGEFORMAT ">
            <w:r w:rsidR="00DC5C5F">
              <w:rPr>
                <w:noProof/>
              </w:rPr>
              <w:t>Contents</w:t>
            </w:r>
          </w:fldSimple>
        </w:p>
      </w:tc>
      <w:tc>
        <w:tcPr>
          <w:tcW w:w="6634" w:type="dxa"/>
        </w:tcPr>
        <w:p w:rsidR="00D37AC2" w:rsidRDefault="00D37AC2">
          <w:pPr>
            <w:pStyle w:val="Footer"/>
            <w:rPr>
              <w:caps w:val="0"/>
            </w:rPr>
          </w:pPr>
        </w:p>
      </w:tc>
    </w:tr>
  </w:tbl>
  <w:p w:rsidR="00D37AC2" w:rsidRDefault="00D37AC2">
    <w:pPr>
      <w:pStyle w:val="FooterEnd"/>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D37AC2" w:rsidTr="008F7DB7">
      <w:trPr>
        <w:trHeight w:hRule="exact" w:val="740"/>
      </w:trPr>
      <w:tc>
        <w:tcPr>
          <w:tcW w:w="6634" w:type="dxa"/>
        </w:tcPr>
        <w:p w:rsidR="00D37AC2" w:rsidRDefault="00D37AC2">
          <w:pPr>
            <w:pStyle w:val="Footer"/>
          </w:pPr>
        </w:p>
      </w:tc>
      <w:tc>
        <w:tcPr>
          <w:tcW w:w="1644" w:type="dxa"/>
          <w:tcBorders>
            <w:top w:val="single" w:sz="6" w:space="0" w:color="auto"/>
          </w:tcBorders>
        </w:tcPr>
        <w:p w:rsidR="00D37AC2" w:rsidRPr="008F7DB7" w:rsidRDefault="00D37AC2">
          <w:pPr>
            <w:pStyle w:val="Footer"/>
            <w:rPr>
              <w:rStyle w:val="PageNumber"/>
              <w:noProof/>
            </w:rPr>
          </w:pPr>
          <w:r w:rsidRPr="008F7DB7">
            <w:rPr>
              <w:noProof/>
            </w:rPr>
            <w:fldChar w:fldCharType="begin"/>
          </w:r>
          <w:r w:rsidRPr="008F7DB7">
            <w:rPr>
              <w:noProof/>
            </w:rPr>
            <w:instrText xml:space="preserve"> STYLEREF "Heading 1 Not TOC" \* MERGEFORMAT </w:instrText>
          </w:r>
          <w:r w:rsidRPr="008F7DB7">
            <w:rPr>
              <w:noProof/>
            </w:rPr>
            <w:fldChar w:fldCharType="separate"/>
          </w:r>
          <w:r w:rsidR="00DC5C5F">
            <w:rPr>
              <w:noProof/>
            </w:rPr>
            <w:t>Contents</w:t>
          </w:r>
          <w:r w:rsidRPr="008F7DB7">
            <w:rPr>
              <w:noProof/>
            </w:rPr>
            <w:fldChar w:fldCharType="end"/>
          </w:r>
        </w:p>
      </w:tc>
      <w:tc>
        <w:tcPr>
          <w:tcW w:w="510" w:type="dxa"/>
          <w:tcBorders>
            <w:top w:val="single" w:sz="6" w:space="0" w:color="auto"/>
          </w:tcBorders>
        </w:tcPr>
        <w:p w:rsidR="00D37AC2" w:rsidRPr="00C55A45" w:rsidRDefault="00D37AC2">
          <w:pPr>
            <w:pStyle w:val="Footer"/>
            <w:jc w:val="right"/>
            <w:rPr>
              <w:rStyle w:val="PageNumber"/>
              <w:caps w:val="0"/>
              <w:noProof/>
            </w:rPr>
          </w:pPr>
          <w:r w:rsidRPr="00C55A45">
            <w:rPr>
              <w:rStyle w:val="PageNumber"/>
              <w:caps w:val="0"/>
              <w:noProof/>
            </w:rPr>
            <w:fldChar w:fldCharType="begin"/>
          </w:r>
          <w:r w:rsidRPr="00C55A45">
            <w:rPr>
              <w:rStyle w:val="PageNumber"/>
              <w:caps w:val="0"/>
              <w:noProof/>
            </w:rPr>
            <w:instrText xml:space="preserve"> PAGE   \* MERGEFORMAT </w:instrText>
          </w:r>
          <w:r w:rsidRPr="00C55A45">
            <w:rPr>
              <w:rStyle w:val="PageNumber"/>
              <w:caps w:val="0"/>
              <w:noProof/>
            </w:rPr>
            <w:fldChar w:fldCharType="separate"/>
          </w:r>
          <w:r w:rsidR="00DC5C5F">
            <w:rPr>
              <w:rStyle w:val="PageNumber"/>
              <w:caps w:val="0"/>
              <w:noProof/>
            </w:rPr>
            <w:t>ix</w:t>
          </w:r>
          <w:r w:rsidRPr="00C55A45">
            <w:rPr>
              <w:rStyle w:val="PageNumber"/>
              <w:caps w:val="0"/>
              <w:noProof/>
            </w:rPr>
            <w:fldChar w:fldCharType="end"/>
          </w:r>
        </w:p>
      </w:tc>
    </w:tr>
  </w:tbl>
  <w:p w:rsidR="00D37AC2" w:rsidRDefault="00D37AC2">
    <w:pPr>
      <w:pStyle w:val="FooterEnd"/>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758"/>
      <w:gridCol w:w="6634"/>
    </w:tblGrid>
    <w:tr w:rsidR="00D37AC2" w:rsidTr="008F7DB7">
      <w:trPr>
        <w:trHeight w:hRule="exact" w:val="740"/>
      </w:trPr>
      <w:tc>
        <w:tcPr>
          <w:tcW w:w="510" w:type="dxa"/>
          <w:tcBorders>
            <w:top w:val="single" w:sz="6" w:space="0" w:color="auto"/>
          </w:tcBorders>
        </w:tcPr>
        <w:p w:rsidR="00D37AC2" w:rsidRPr="00C55A45" w:rsidRDefault="00D37AC2">
          <w:pPr>
            <w:pStyle w:val="Footer"/>
            <w:rPr>
              <w:rStyle w:val="PageNumber"/>
              <w:caps w:val="0"/>
              <w:noProof/>
            </w:rPr>
          </w:pPr>
          <w:r w:rsidRPr="00C55A45">
            <w:rPr>
              <w:rStyle w:val="PageNumber"/>
              <w:caps w:val="0"/>
              <w:noProof/>
            </w:rPr>
            <w:fldChar w:fldCharType="begin"/>
          </w:r>
          <w:r w:rsidRPr="00C55A45">
            <w:rPr>
              <w:rStyle w:val="PageNumber"/>
              <w:caps w:val="0"/>
              <w:noProof/>
            </w:rPr>
            <w:instrText xml:space="preserve"> PAGE   \* MERGEFORMAT </w:instrText>
          </w:r>
          <w:r w:rsidRPr="00C55A45">
            <w:rPr>
              <w:rStyle w:val="PageNumber"/>
              <w:caps w:val="0"/>
              <w:noProof/>
            </w:rPr>
            <w:fldChar w:fldCharType="separate"/>
          </w:r>
          <w:r w:rsidR="00DC5C5F">
            <w:rPr>
              <w:rStyle w:val="PageNumber"/>
              <w:caps w:val="0"/>
              <w:noProof/>
            </w:rPr>
            <w:t>xii</w:t>
          </w:r>
          <w:r w:rsidRPr="00C55A45">
            <w:rPr>
              <w:rStyle w:val="PageNumber"/>
              <w:caps w:val="0"/>
              <w:noProof/>
            </w:rPr>
            <w:fldChar w:fldCharType="end"/>
          </w:r>
        </w:p>
      </w:tc>
      <w:tc>
        <w:tcPr>
          <w:tcW w:w="1758" w:type="dxa"/>
          <w:tcBorders>
            <w:top w:val="single" w:sz="6" w:space="0" w:color="auto"/>
          </w:tcBorders>
        </w:tcPr>
        <w:p w:rsidR="00D37AC2" w:rsidRDefault="00D37AC2">
          <w:pPr>
            <w:pStyle w:val="Footer"/>
            <w:rPr>
              <w:noProof/>
            </w:rPr>
          </w:pPr>
          <w:r>
            <w:rPr>
              <w:noProof/>
            </w:rPr>
            <w:fldChar w:fldCharType="begin"/>
          </w:r>
          <w:r>
            <w:rPr>
              <w:noProof/>
            </w:rPr>
            <w:instrText xml:space="preserve"> STYLEREF "Heading 1" \* MERGEFORMAT </w:instrText>
          </w:r>
          <w:r>
            <w:rPr>
              <w:noProof/>
            </w:rPr>
            <w:fldChar w:fldCharType="separate"/>
          </w:r>
          <w:r w:rsidR="00DC5C5F">
            <w:rPr>
              <w:noProof/>
            </w:rPr>
            <w:t>Abbreviations and explanations</w:t>
          </w:r>
          <w:r>
            <w:rPr>
              <w:noProof/>
            </w:rPr>
            <w:fldChar w:fldCharType="end"/>
          </w:r>
        </w:p>
      </w:tc>
      <w:tc>
        <w:tcPr>
          <w:tcW w:w="6634" w:type="dxa"/>
        </w:tcPr>
        <w:p w:rsidR="00D37AC2" w:rsidRDefault="00D37AC2">
          <w:pPr>
            <w:pStyle w:val="Footer"/>
            <w:rPr>
              <w:caps w:val="0"/>
            </w:rPr>
          </w:pPr>
        </w:p>
      </w:tc>
    </w:tr>
  </w:tbl>
  <w:p w:rsidR="00D37AC2" w:rsidRDefault="00D37AC2">
    <w:pPr>
      <w:pStyle w:val="FooterEnd"/>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63"/>
      <w:gridCol w:w="1615"/>
      <w:gridCol w:w="510"/>
    </w:tblGrid>
    <w:tr w:rsidR="00D37AC2">
      <w:trPr>
        <w:trHeight w:hRule="exact" w:val="740"/>
      </w:trPr>
      <w:tc>
        <w:tcPr>
          <w:tcW w:w="6663" w:type="dxa"/>
        </w:tcPr>
        <w:p w:rsidR="00D37AC2" w:rsidRDefault="00D37AC2">
          <w:pPr>
            <w:pStyle w:val="Footer"/>
          </w:pPr>
        </w:p>
      </w:tc>
      <w:tc>
        <w:tcPr>
          <w:tcW w:w="1615" w:type="dxa"/>
          <w:tcBorders>
            <w:top w:val="single" w:sz="6" w:space="0" w:color="auto"/>
          </w:tcBorders>
        </w:tcPr>
        <w:p w:rsidR="00D37AC2" w:rsidRDefault="00B86562">
          <w:pPr>
            <w:pStyle w:val="Footer"/>
            <w:rPr>
              <w:rStyle w:val="PageNumber"/>
              <w:b w:val="0"/>
            </w:rPr>
          </w:pPr>
          <w:fldSimple w:instr=" STYLEREF &quot;Heading 1&quot; \* MERGEFORMAT ">
            <w:r w:rsidR="00DC5C5F">
              <w:rPr>
                <w:noProof/>
              </w:rPr>
              <w:t>Abbreviations and explanations</w:t>
            </w:r>
          </w:fldSimple>
        </w:p>
      </w:tc>
      <w:tc>
        <w:tcPr>
          <w:tcW w:w="510" w:type="dxa"/>
          <w:tcBorders>
            <w:top w:val="single" w:sz="6" w:space="0" w:color="auto"/>
          </w:tcBorders>
        </w:tcPr>
        <w:p w:rsidR="00D37AC2" w:rsidRPr="00E15FDC" w:rsidRDefault="00D37AC2">
          <w:pPr>
            <w:pStyle w:val="Footer"/>
            <w:jc w:val="right"/>
            <w:rPr>
              <w:rStyle w:val="PageNumber"/>
              <w:caps w:val="0"/>
            </w:rPr>
          </w:pPr>
          <w:r w:rsidRPr="00E15FDC">
            <w:rPr>
              <w:rStyle w:val="PageNumber"/>
              <w:caps w:val="0"/>
            </w:rPr>
            <w:fldChar w:fldCharType="begin"/>
          </w:r>
          <w:r w:rsidRPr="00E15FDC">
            <w:rPr>
              <w:rStyle w:val="PageNumber"/>
              <w:caps w:val="0"/>
            </w:rPr>
            <w:instrText xml:space="preserve"> PAGE   \* MERGEFORMAT </w:instrText>
          </w:r>
          <w:r w:rsidRPr="00E15FDC">
            <w:rPr>
              <w:rStyle w:val="PageNumber"/>
              <w:caps w:val="0"/>
            </w:rPr>
            <w:fldChar w:fldCharType="separate"/>
          </w:r>
          <w:r w:rsidR="00DC5C5F">
            <w:rPr>
              <w:rStyle w:val="PageNumber"/>
              <w:caps w:val="0"/>
              <w:noProof/>
            </w:rPr>
            <w:t>xiii</w:t>
          </w:r>
          <w:r w:rsidRPr="00E15FDC">
            <w:rPr>
              <w:rStyle w:val="PageNumber"/>
              <w:caps w:val="0"/>
              <w:noProof/>
            </w:rPr>
            <w:fldChar w:fldCharType="end"/>
          </w:r>
        </w:p>
      </w:tc>
    </w:tr>
  </w:tbl>
  <w:p w:rsidR="00D37AC2" w:rsidRDefault="00D37AC2" w:rsidP="00B95339">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85265" w:rsidRDefault="00F85265">
      <w:r>
        <w:separator/>
      </w:r>
    </w:p>
    <w:p w:rsidR="00F85265" w:rsidRDefault="00F85265"/>
    <w:p w:rsidR="00F85265" w:rsidRDefault="00F85265"/>
  </w:footnote>
  <w:footnote w:type="continuationSeparator" w:id="0">
    <w:p w:rsidR="00F85265" w:rsidRDefault="00F85265">
      <w:r>
        <w:continuationSeparator/>
      </w:r>
    </w:p>
    <w:p w:rsidR="00F85265" w:rsidRDefault="00F85265"/>
    <w:p w:rsidR="00F85265" w:rsidRDefault="00F8526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2" w:space="0" w:color="auto"/>
      </w:tblBorders>
      <w:tblLayout w:type="fixed"/>
      <w:tblCellMar>
        <w:left w:w="0" w:type="dxa"/>
        <w:right w:w="0" w:type="dxa"/>
      </w:tblCellMar>
      <w:tblLook w:val="0000" w:firstRow="0" w:lastRow="0" w:firstColumn="0" w:lastColumn="0" w:noHBand="0" w:noVBand="0"/>
    </w:tblPr>
    <w:tblGrid>
      <w:gridCol w:w="2155"/>
      <w:gridCol w:w="6634"/>
    </w:tblGrid>
    <w:tr w:rsidR="00F85265">
      <w:tc>
        <w:tcPr>
          <w:tcW w:w="2155" w:type="dxa"/>
          <w:tcBorders>
            <w:top w:val="single" w:sz="24" w:space="0" w:color="auto"/>
          </w:tcBorders>
        </w:tcPr>
        <w:p w:rsidR="00F85265" w:rsidRDefault="00F85265">
          <w:pPr>
            <w:pStyle w:val="Header"/>
          </w:pPr>
        </w:p>
      </w:tc>
      <w:tc>
        <w:tcPr>
          <w:tcW w:w="6634" w:type="dxa"/>
          <w:tcBorders>
            <w:top w:val="single" w:sz="6" w:space="0" w:color="auto"/>
          </w:tcBorders>
        </w:tcPr>
        <w:p w:rsidR="00F85265" w:rsidRDefault="00F85265">
          <w:pPr>
            <w:pStyle w:val="Header"/>
          </w:pPr>
        </w:p>
      </w:tc>
    </w:tr>
  </w:tbl>
  <w:p w:rsidR="00F85265" w:rsidRDefault="00F85265">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F85265" w:rsidTr="006817C9">
      <w:tc>
        <w:tcPr>
          <w:tcW w:w="6634" w:type="dxa"/>
          <w:tcBorders>
            <w:top w:val="single" w:sz="6" w:space="0" w:color="auto"/>
          </w:tcBorders>
        </w:tcPr>
        <w:p w:rsidR="00F85265" w:rsidRDefault="00F85265" w:rsidP="006817C9">
          <w:pPr>
            <w:pStyle w:val="HeaderOdd"/>
          </w:pPr>
        </w:p>
      </w:tc>
      <w:tc>
        <w:tcPr>
          <w:tcW w:w="2155" w:type="dxa"/>
          <w:tcBorders>
            <w:top w:val="single" w:sz="24" w:space="0" w:color="auto"/>
          </w:tcBorders>
        </w:tcPr>
        <w:p w:rsidR="00F85265" w:rsidRDefault="00F85265" w:rsidP="006817C9">
          <w:pPr>
            <w:pStyle w:val="HeaderOdd"/>
          </w:pPr>
        </w:p>
      </w:tc>
    </w:tr>
  </w:tbl>
  <w:p w:rsidR="00F85265" w:rsidRPr="005C68FE" w:rsidRDefault="00F85265" w:rsidP="006817C9">
    <w:pPr>
      <w:pStyle w:val="HeaderEn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2" w:space="0" w:color="auto"/>
      </w:tblBorders>
      <w:tblLayout w:type="fixed"/>
      <w:tblCellMar>
        <w:left w:w="0" w:type="dxa"/>
        <w:right w:w="0" w:type="dxa"/>
      </w:tblCellMar>
      <w:tblLook w:val="0000" w:firstRow="0" w:lastRow="0" w:firstColumn="0" w:lastColumn="0" w:noHBand="0" w:noVBand="0"/>
    </w:tblPr>
    <w:tblGrid>
      <w:gridCol w:w="2155"/>
      <w:gridCol w:w="6634"/>
    </w:tblGrid>
    <w:tr w:rsidR="00D37AC2">
      <w:tc>
        <w:tcPr>
          <w:tcW w:w="2155" w:type="dxa"/>
          <w:tcBorders>
            <w:top w:val="single" w:sz="24" w:space="0" w:color="auto"/>
          </w:tcBorders>
        </w:tcPr>
        <w:p w:rsidR="00D37AC2" w:rsidRDefault="00D37AC2">
          <w:pPr>
            <w:pStyle w:val="Header"/>
          </w:pPr>
        </w:p>
      </w:tc>
      <w:tc>
        <w:tcPr>
          <w:tcW w:w="6634" w:type="dxa"/>
          <w:tcBorders>
            <w:top w:val="single" w:sz="6" w:space="0" w:color="auto"/>
          </w:tcBorders>
        </w:tcPr>
        <w:p w:rsidR="00D37AC2" w:rsidRDefault="00D37AC2">
          <w:pPr>
            <w:pStyle w:val="Header"/>
          </w:pPr>
        </w:p>
      </w:tc>
    </w:tr>
  </w:tbl>
  <w:p w:rsidR="00D37AC2" w:rsidRDefault="00D37AC2">
    <w:pPr>
      <w:pStyle w:val="HeaderEn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D37AC2" w:rsidTr="005C68FE">
      <w:tc>
        <w:tcPr>
          <w:tcW w:w="6634" w:type="dxa"/>
          <w:tcBorders>
            <w:top w:val="single" w:sz="6" w:space="0" w:color="auto"/>
          </w:tcBorders>
        </w:tcPr>
        <w:p w:rsidR="00D37AC2" w:rsidRDefault="00D37AC2" w:rsidP="005C68FE">
          <w:pPr>
            <w:pStyle w:val="HeaderOdd"/>
          </w:pPr>
        </w:p>
      </w:tc>
      <w:tc>
        <w:tcPr>
          <w:tcW w:w="2155" w:type="dxa"/>
          <w:tcBorders>
            <w:top w:val="single" w:sz="24" w:space="0" w:color="auto"/>
          </w:tcBorders>
        </w:tcPr>
        <w:p w:rsidR="00D37AC2" w:rsidRDefault="00D37AC2" w:rsidP="005C68FE">
          <w:pPr>
            <w:pStyle w:val="HeaderOdd"/>
          </w:pPr>
        </w:p>
      </w:tc>
    </w:tr>
  </w:tbl>
  <w:p w:rsidR="00D37AC2" w:rsidRPr="005C68FE" w:rsidRDefault="00D37AC2" w:rsidP="005C68FE">
    <w:pPr>
      <w:pStyle w:val="HeaderEnd"/>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D37AC2" w:rsidTr="005C68FE">
      <w:tc>
        <w:tcPr>
          <w:tcW w:w="2155" w:type="dxa"/>
          <w:tcBorders>
            <w:top w:val="single" w:sz="24" w:space="0" w:color="auto"/>
          </w:tcBorders>
        </w:tcPr>
        <w:p w:rsidR="00D37AC2" w:rsidRDefault="00D37AC2" w:rsidP="005C68FE">
          <w:pPr>
            <w:pStyle w:val="HeaderEven"/>
          </w:pPr>
        </w:p>
      </w:tc>
      <w:tc>
        <w:tcPr>
          <w:tcW w:w="6634" w:type="dxa"/>
          <w:tcBorders>
            <w:top w:val="single" w:sz="6" w:space="0" w:color="auto"/>
          </w:tcBorders>
        </w:tcPr>
        <w:p w:rsidR="00D37AC2" w:rsidRDefault="00D37AC2" w:rsidP="005C68FE">
          <w:pPr>
            <w:pStyle w:val="HeaderEven"/>
          </w:pPr>
        </w:p>
      </w:tc>
    </w:tr>
  </w:tbl>
  <w:p w:rsidR="00D37AC2" w:rsidRDefault="00D37AC2" w:rsidP="00D732FE">
    <w:pPr>
      <w:pStyle w:val="HeaderEnd"/>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D37AC2">
      <w:tc>
        <w:tcPr>
          <w:tcW w:w="6634" w:type="dxa"/>
          <w:tcBorders>
            <w:top w:val="single" w:sz="6" w:space="0" w:color="auto"/>
          </w:tcBorders>
        </w:tcPr>
        <w:p w:rsidR="00D37AC2" w:rsidRDefault="00D37AC2">
          <w:pPr>
            <w:pStyle w:val="HeaderOdd"/>
          </w:pPr>
        </w:p>
      </w:tc>
      <w:tc>
        <w:tcPr>
          <w:tcW w:w="2155" w:type="dxa"/>
          <w:tcBorders>
            <w:top w:val="single" w:sz="24" w:space="0" w:color="auto"/>
          </w:tcBorders>
        </w:tcPr>
        <w:p w:rsidR="00D37AC2" w:rsidRDefault="00D37AC2">
          <w:pPr>
            <w:pStyle w:val="HeaderOdd"/>
          </w:pPr>
        </w:p>
      </w:tc>
    </w:tr>
  </w:tbl>
  <w:p w:rsidR="00D37AC2" w:rsidRDefault="00D37AC2" w:rsidP="00B95339">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92E4A210"/>
    <w:lvl w:ilvl="0">
      <w:start w:val="1"/>
      <w:numFmt w:val="decimal"/>
      <w:lvlText w:val="%1."/>
      <w:lvlJc w:val="left"/>
      <w:pPr>
        <w:tabs>
          <w:tab w:val="num" w:pos="926"/>
        </w:tabs>
        <w:ind w:left="926" w:hanging="360"/>
      </w:pPr>
    </w:lvl>
  </w:abstractNum>
  <w:abstractNum w:abstractNumId="1">
    <w:nsid w:val="FFFFFF7F"/>
    <w:multiLevelType w:val="singleLevel"/>
    <w:tmpl w:val="A3C2DCF6"/>
    <w:lvl w:ilvl="0">
      <w:start w:val="1"/>
      <w:numFmt w:val="decimal"/>
      <w:lvlText w:val="%1."/>
      <w:lvlJc w:val="left"/>
      <w:pPr>
        <w:tabs>
          <w:tab w:val="num" w:pos="643"/>
        </w:tabs>
        <w:ind w:left="643" w:hanging="360"/>
      </w:pPr>
    </w:lvl>
  </w:abstractNum>
  <w:abstractNum w:abstractNumId="2">
    <w:nsid w:val="FFFFFF82"/>
    <w:multiLevelType w:val="singleLevel"/>
    <w:tmpl w:val="695EB052"/>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43DA5D68"/>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B58078F8"/>
    <w:lvl w:ilvl="0">
      <w:start w:val="1"/>
      <w:numFmt w:val="decimal"/>
      <w:lvlText w:val="%1."/>
      <w:lvlJc w:val="left"/>
      <w:pPr>
        <w:tabs>
          <w:tab w:val="num" w:pos="360"/>
        </w:tabs>
        <w:ind w:left="360" w:hanging="360"/>
      </w:pPr>
    </w:lvl>
  </w:abstractNum>
  <w:abstractNum w:abstractNumId="5">
    <w:nsid w:val="FFFFFF89"/>
    <w:multiLevelType w:val="singleLevel"/>
    <w:tmpl w:val="6AD25FCC"/>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47A7C39"/>
    <w:multiLevelType w:val="singleLevel"/>
    <w:tmpl w:val="DEC02068"/>
    <w:lvl w:ilvl="0">
      <w:numFmt w:val="bullet"/>
      <w:pStyle w:val="ListBullet2"/>
      <w:lvlText w:val="–"/>
      <w:lvlJc w:val="left"/>
      <w:pPr>
        <w:tabs>
          <w:tab w:val="num" w:pos="644"/>
        </w:tabs>
        <w:ind w:left="340" w:hanging="56"/>
      </w:pPr>
      <w:rPr>
        <w:rFonts w:ascii="Times New Roman" w:hAnsi="Times New Roman" w:hint="default"/>
      </w:rPr>
    </w:lvl>
  </w:abstractNum>
  <w:abstractNum w:abstractNumId="8">
    <w:nsid w:val="06214B87"/>
    <w:multiLevelType w:val="singleLevel"/>
    <w:tmpl w:val="E7705C56"/>
    <w:lvl w:ilvl="0">
      <w:numFmt w:val="bullet"/>
      <w:pStyle w:val="BoxListBullet2"/>
      <w:lvlText w:val="–"/>
      <w:lvlJc w:val="left"/>
      <w:pPr>
        <w:tabs>
          <w:tab w:val="num" w:pos="360"/>
        </w:tabs>
        <w:ind w:left="284" w:hanging="284"/>
      </w:pPr>
      <w:rPr>
        <w:rFonts w:ascii="Times New Roman" w:hAnsi="Times New Roman" w:hint="default"/>
      </w:rPr>
    </w:lvl>
  </w:abstractNum>
  <w:abstractNum w:abstractNumId="9">
    <w:nsid w:val="0E116344"/>
    <w:multiLevelType w:val="multilevel"/>
    <w:tmpl w:val="3B188B36"/>
    <w:lvl w:ilvl="0">
      <w:start w:val="1"/>
      <w:numFmt w:val="decimal"/>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2">
    <w:nsid w:val="1AB25CDE"/>
    <w:multiLevelType w:val="singleLevel"/>
    <w:tmpl w:val="3086CA22"/>
    <w:lvl w:ilvl="0">
      <w:start w:val="1"/>
      <w:numFmt w:val="decimal"/>
      <w:lvlText w:val="%1."/>
      <w:legacy w:legacy="1" w:legacySpace="0" w:legacyIndent="340"/>
      <w:lvlJc w:val="left"/>
      <w:pPr>
        <w:ind w:left="340" w:hanging="340"/>
      </w:pPr>
    </w:lvl>
  </w:abstractNum>
  <w:abstractNum w:abstractNumId="13">
    <w:nsid w:val="23FF358D"/>
    <w:multiLevelType w:val="singleLevel"/>
    <w:tmpl w:val="849CD80E"/>
    <w:lvl w:ilvl="0">
      <w:start w:val="1"/>
      <w:numFmt w:val="bullet"/>
      <w:pStyle w:val="RecBBullet"/>
      <w:lvlText w:val=""/>
      <w:lvlJc w:val="left"/>
      <w:pPr>
        <w:tabs>
          <w:tab w:val="num" w:pos="360"/>
        </w:tabs>
        <w:ind w:left="340" w:hanging="340"/>
      </w:pPr>
      <w:rPr>
        <w:rFonts w:ascii="Symbol" w:hAnsi="Symbol" w:hint="default"/>
        <w:b w:val="0"/>
        <w:i w:val="0"/>
        <w:sz w:val="18"/>
      </w:rPr>
    </w:lvl>
  </w:abstractNum>
  <w:abstractNum w:abstractNumId="14">
    <w:nsid w:val="2F1F7586"/>
    <w:multiLevelType w:val="hybridMultilevel"/>
    <w:tmpl w:val="C956622A"/>
    <w:lvl w:ilvl="0" w:tplc="8D90534E">
      <w:start w:val="1"/>
      <w:numFmt w:val="decimal"/>
      <w:pStyle w:val="BoxListNumber"/>
      <w:lvlText w:val="%1"/>
      <w:lvlJc w:val="left"/>
      <w:pPr>
        <w:ind w:left="720" w:hanging="360"/>
      </w:pPr>
      <w:rPr>
        <w:rFonts w:hint="default"/>
        <w:b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nsid w:val="30E90CE4"/>
    <w:multiLevelType w:val="singleLevel"/>
    <w:tmpl w:val="5FA21F84"/>
    <w:lvl w:ilvl="0">
      <w:start w:val="1"/>
      <w:numFmt w:val="bullet"/>
      <w:pStyle w:val="BoxListBullet"/>
      <w:lvlText w:val=""/>
      <w:lvlJc w:val="left"/>
      <w:pPr>
        <w:tabs>
          <w:tab w:val="num" w:pos="360"/>
        </w:tabs>
        <w:ind w:left="284" w:hanging="284"/>
      </w:pPr>
      <w:rPr>
        <w:rFonts w:ascii="Symbol" w:hAnsi="Symbol" w:hint="default"/>
        <w:sz w:val="18"/>
      </w:rPr>
    </w:lvl>
  </w:abstractNum>
  <w:abstractNum w:abstractNumId="16">
    <w:nsid w:val="54382D6E"/>
    <w:multiLevelType w:val="singleLevel"/>
    <w:tmpl w:val="B7BC21DE"/>
    <w:lvl w:ilvl="0">
      <w:numFmt w:val="bullet"/>
      <w:pStyle w:val="ListBullet"/>
      <w:lvlText w:val=""/>
      <w:lvlJc w:val="left"/>
      <w:pPr>
        <w:tabs>
          <w:tab w:val="num" w:pos="360"/>
        </w:tabs>
        <w:ind w:left="340" w:hanging="340"/>
      </w:pPr>
      <w:rPr>
        <w:rFonts w:ascii="Symbol" w:hAnsi="Symbol" w:hint="default"/>
        <w:sz w:val="18"/>
      </w:rPr>
    </w:lvl>
  </w:abstractNum>
  <w:abstractNum w:abstractNumId="17">
    <w:nsid w:val="543E1FD6"/>
    <w:multiLevelType w:val="singleLevel"/>
    <w:tmpl w:val="D4A092D6"/>
    <w:lvl w:ilvl="0">
      <w:start w:val="1"/>
      <w:numFmt w:val="bullet"/>
      <w:pStyle w:val="TableBullet"/>
      <w:lvlText w:val=""/>
      <w:lvlJc w:val="left"/>
      <w:pPr>
        <w:tabs>
          <w:tab w:val="num" w:pos="360"/>
        </w:tabs>
        <w:ind w:left="170" w:hanging="170"/>
      </w:pPr>
      <w:rPr>
        <w:rFonts w:ascii="Symbol" w:hAnsi="Symbol" w:hint="default"/>
        <w:b w:val="0"/>
        <w:i w:val="0"/>
        <w:sz w:val="18"/>
      </w:rPr>
    </w:lvl>
  </w:abstractNum>
  <w:abstractNum w:abstractNumId="18">
    <w:nsid w:val="56107838"/>
    <w:multiLevelType w:val="singleLevel"/>
    <w:tmpl w:val="98765266"/>
    <w:lvl w:ilvl="0">
      <w:start w:val="1"/>
      <w:numFmt w:val="bullet"/>
      <w:pStyle w:val="QuoteBullet"/>
      <w:lvlText w:val=""/>
      <w:lvlJc w:val="left"/>
      <w:pPr>
        <w:tabs>
          <w:tab w:val="num" w:pos="360"/>
        </w:tabs>
        <w:ind w:left="360" w:hanging="360"/>
      </w:pPr>
      <w:rPr>
        <w:rFonts w:ascii="Symbol" w:hAnsi="Symbol" w:hint="default"/>
        <w:sz w:val="18"/>
      </w:rPr>
    </w:lvl>
  </w:abstractNum>
  <w:abstractNum w:abstractNumId="19">
    <w:nsid w:val="643516F3"/>
    <w:multiLevelType w:val="singleLevel"/>
    <w:tmpl w:val="456CB25C"/>
    <w:lvl w:ilvl="0">
      <w:start w:val="1"/>
      <w:numFmt w:val="bullet"/>
      <w:pStyle w:val="ListBullet3"/>
      <w:lvlText w:val=""/>
      <w:lvlJc w:val="left"/>
      <w:pPr>
        <w:tabs>
          <w:tab w:val="num" w:pos="360"/>
        </w:tabs>
        <w:ind w:left="340" w:hanging="340"/>
      </w:pPr>
      <w:rPr>
        <w:rFonts w:ascii="MT Extra" w:hAnsi="MT Extra" w:hint="default"/>
        <w:b w:val="0"/>
        <w:i w:val="0"/>
        <w:sz w:val="16"/>
      </w:rPr>
    </w:lvl>
  </w:abstractNum>
  <w:abstractNum w:abstractNumId="20">
    <w:nsid w:val="6B740744"/>
    <w:multiLevelType w:val="singleLevel"/>
    <w:tmpl w:val="B4744B66"/>
    <w:lvl w:ilvl="0">
      <w:start w:val="1"/>
      <w:numFmt w:val="decimal"/>
      <w:lvlText w:val="%1."/>
      <w:legacy w:legacy="1" w:legacySpace="0" w:legacyIndent="340"/>
      <w:lvlJc w:val="left"/>
      <w:pPr>
        <w:ind w:left="340" w:hanging="340"/>
      </w:pPr>
    </w:lvl>
  </w:abstractNum>
  <w:abstractNum w:abstractNumId="21">
    <w:nsid w:val="7A1373DF"/>
    <w:multiLevelType w:val="singleLevel"/>
    <w:tmpl w:val="798200E0"/>
    <w:lvl w:ilvl="0">
      <w:start w:val="1"/>
      <w:numFmt w:val="bullet"/>
      <w:pStyle w:val="FindingBullet"/>
      <w:lvlText w:val=""/>
      <w:lvlJc w:val="left"/>
      <w:pPr>
        <w:tabs>
          <w:tab w:val="num" w:pos="360"/>
        </w:tabs>
        <w:ind w:left="340" w:hanging="340"/>
      </w:pPr>
      <w:rPr>
        <w:rFonts w:ascii="Symbol" w:hAnsi="Symbol" w:hint="default"/>
        <w:b w:val="0"/>
        <w:i w:val="0"/>
        <w:sz w:val="18"/>
      </w:rPr>
    </w:lvl>
  </w:abstractNum>
  <w:abstractNum w:abstractNumId="22">
    <w:nsid w:val="7BFA7D75"/>
    <w:multiLevelType w:val="singleLevel"/>
    <w:tmpl w:val="FE48DC38"/>
    <w:lvl w:ilvl="0">
      <w:start w:val="1"/>
      <w:numFmt w:val="bullet"/>
      <w:pStyle w:val="RecBullet"/>
      <w:lvlText w:val=""/>
      <w:lvlJc w:val="left"/>
      <w:pPr>
        <w:tabs>
          <w:tab w:val="num" w:pos="360"/>
        </w:tabs>
        <w:ind w:left="340" w:hanging="340"/>
      </w:pPr>
      <w:rPr>
        <w:rFonts w:ascii="Symbol" w:hAnsi="Symbol" w:hint="default"/>
        <w:b w:val="0"/>
        <w:i w:val="0"/>
        <w:sz w:val="18"/>
      </w:rPr>
    </w:lvl>
  </w:abstractNum>
  <w:num w:numId="1">
    <w:abstractNumId w:val="5"/>
  </w:num>
  <w:num w:numId="2">
    <w:abstractNumId w:val="3"/>
  </w:num>
  <w:num w:numId="3">
    <w:abstractNumId w:val="2"/>
  </w:num>
  <w:num w:numId="4">
    <w:abstractNumId w:val="4"/>
  </w:num>
  <w:num w:numId="5">
    <w:abstractNumId w:val="1"/>
  </w:num>
  <w:num w:numId="6">
    <w:abstractNumId w:val="0"/>
  </w:num>
  <w:num w:numId="7">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8">
    <w:abstractNumId w:val="6"/>
    <w:lvlOverride w:ilvl="0">
      <w:lvl w:ilvl="0">
        <w:start w:val="1"/>
        <w:numFmt w:val="bullet"/>
        <w:lvlText w:val=""/>
        <w:legacy w:legacy="1" w:legacySpace="0" w:legacyIndent="340"/>
        <w:lvlJc w:val="left"/>
        <w:pPr>
          <w:ind w:left="680" w:hanging="340"/>
        </w:pPr>
        <w:rPr>
          <w:rFonts w:ascii="Symbol" w:hAnsi="Symbol" w:hint="default"/>
        </w:rPr>
      </w:lvl>
    </w:lvlOverride>
  </w:num>
  <w:num w:numId="9">
    <w:abstractNumId w:val="6"/>
    <w:lvlOverride w:ilvl="0">
      <w:lvl w:ilvl="0">
        <w:start w:val="1"/>
        <w:numFmt w:val="bullet"/>
        <w:lvlText w:val=""/>
        <w:legacy w:legacy="1" w:legacySpace="0" w:legacyIndent="340"/>
        <w:lvlJc w:val="left"/>
        <w:pPr>
          <w:ind w:left="1020" w:hanging="340"/>
        </w:pPr>
        <w:rPr>
          <w:rFonts w:ascii="MT Extra" w:hAnsi="MT Extra" w:hint="default"/>
        </w:rPr>
      </w:lvl>
    </w:lvlOverride>
  </w:num>
  <w:num w:numId="10">
    <w:abstractNumId w:val="6"/>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11">
    <w:abstractNumId w:val="6"/>
    <w:lvlOverride w:ilvl="0">
      <w:lvl w:ilvl="0">
        <w:start w:val="1"/>
        <w:numFmt w:val="bullet"/>
        <w:lvlText w:val=""/>
        <w:legacy w:legacy="1" w:legacySpace="0" w:legacyIndent="283"/>
        <w:lvlJc w:val="left"/>
        <w:pPr>
          <w:ind w:left="283" w:hanging="283"/>
        </w:pPr>
        <w:rPr>
          <w:rFonts w:ascii="Symbol" w:hAnsi="Symbol" w:hint="default"/>
        </w:rPr>
      </w:lvl>
    </w:lvlOverride>
  </w:num>
  <w:num w:numId="12">
    <w:abstractNumId w:val="20"/>
  </w:num>
  <w:num w:numId="13">
    <w:abstractNumId w:val="15"/>
  </w:num>
  <w:num w:numId="14">
    <w:abstractNumId w:val="8"/>
  </w:num>
  <w:num w:numId="15">
    <w:abstractNumId w:val="21"/>
  </w:num>
  <w:num w:numId="16">
    <w:abstractNumId w:val="16"/>
  </w:num>
  <w:num w:numId="17">
    <w:abstractNumId w:val="7"/>
  </w:num>
  <w:num w:numId="18">
    <w:abstractNumId w:val="19"/>
  </w:num>
  <w:num w:numId="19">
    <w:abstractNumId w:val="18"/>
  </w:num>
  <w:num w:numId="20">
    <w:abstractNumId w:val="22"/>
  </w:num>
  <w:num w:numId="21">
    <w:abstractNumId w:val="13"/>
  </w:num>
  <w:num w:numId="22">
    <w:abstractNumId w:val="11"/>
  </w:num>
  <w:num w:numId="23">
    <w:abstractNumId w:val="17"/>
  </w:num>
  <w:num w:numId="24">
    <w:abstractNumId w:val="12"/>
  </w:num>
  <w:num w:numId="25">
    <w:abstractNumId w:val="10"/>
  </w:num>
  <w:num w:numId="26">
    <w:abstractNumId w:val="10"/>
  </w:num>
  <w:num w:numId="27">
    <w:abstractNumId w:val="10"/>
  </w:num>
  <w:num w:numId="28">
    <w:abstractNumId w:val="10"/>
  </w:num>
  <w:num w:numId="29">
    <w:abstractNumId w:val="14"/>
  </w:num>
  <w:num w:numId="30">
    <w:abstractNumId w:val="9"/>
  </w:num>
  <w:num w:numId="3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mirrorMargins/>
  <w:proofState w:spelling="clean"/>
  <w:attachedTemplate r:id="rId1"/>
  <w:stylePaneFormatFilter w:val="2801" w:allStyles="1" w:customStyles="0" w:latentStyles="0" w:stylesInUse="0" w:headingStyles="0" w:numberingStyles="0" w:tableStyles="0" w:directFormattingOnRuns="0" w:directFormattingOnParagraphs="0" w:directFormattingOnNumbering="0" w:directFormattingOnTables="1" w:clearFormatting="0" w:top3HeadingStyles="1" w:visibleStyles="0" w:alternateStyleNames="0"/>
  <w:defaultTabStop w:val="567"/>
  <w:evenAndOddHeaders/>
  <w:displayHorizontalDrawingGridEvery w:val="0"/>
  <w:displayVerticalDrawingGridEvery w:val="0"/>
  <w:doNotUseMarginsForDrawingGridOrigin/>
  <w:noPunctuationKerning/>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5265"/>
    <w:rsid w:val="00002C2E"/>
    <w:rsid w:val="00017AFC"/>
    <w:rsid w:val="00025878"/>
    <w:rsid w:val="00026B38"/>
    <w:rsid w:val="000502D3"/>
    <w:rsid w:val="000623BF"/>
    <w:rsid w:val="00095EEA"/>
    <w:rsid w:val="00097C15"/>
    <w:rsid w:val="000A6542"/>
    <w:rsid w:val="000B416E"/>
    <w:rsid w:val="000F185F"/>
    <w:rsid w:val="000F2F5F"/>
    <w:rsid w:val="00106041"/>
    <w:rsid w:val="0013399B"/>
    <w:rsid w:val="00181F4B"/>
    <w:rsid w:val="00196FB3"/>
    <w:rsid w:val="001A5071"/>
    <w:rsid w:val="001B4E73"/>
    <w:rsid w:val="001B7F1E"/>
    <w:rsid w:val="001D4B1F"/>
    <w:rsid w:val="001D6629"/>
    <w:rsid w:val="001D79E6"/>
    <w:rsid w:val="001E72BC"/>
    <w:rsid w:val="001F2270"/>
    <w:rsid w:val="00205A82"/>
    <w:rsid w:val="002075ED"/>
    <w:rsid w:val="00211BEE"/>
    <w:rsid w:val="002179C6"/>
    <w:rsid w:val="00261607"/>
    <w:rsid w:val="00263DD1"/>
    <w:rsid w:val="00264D3B"/>
    <w:rsid w:val="00265685"/>
    <w:rsid w:val="00281D5F"/>
    <w:rsid w:val="002923AD"/>
    <w:rsid w:val="00296592"/>
    <w:rsid w:val="002A0A4B"/>
    <w:rsid w:val="002A2BEB"/>
    <w:rsid w:val="002B636E"/>
    <w:rsid w:val="002B64D6"/>
    <w:rsid w:val="002C12F5"/>
    <w:rsid w:val="002D6FCE"/>
    <w:rsid w:val="003B41E0"/>
    <w:rsid w:val="003D624D"/>
    <w:rsid w:val="003E7802"/>
    <w:rsid w:val="004177B2"/>
    <w:rsid w:val="00421BED"/>
    <w:rsid w:val="00433C81"/>
    <w:rsid w:val="00446D6B"/>
    <w:rsid w:val="00457B3F"/>
    <w:rsid w:val="00463022"/>
    <w:rsid w:val="004636B6"/>
    <w:rsid w:val="00481CF0"/>
    <w:rsid w:val="004B492A"/>
    <w:rsid w:val="004C0B0C"/>
    <w:rsid w:val="004D5A9A"/>
    <w:rsid w:val="004E52E2"/>
    <w:rsid w:val="004E6BB4"/>
    <w:rsid w:val="004F538C"/>
    <w:rsid w:val="00515D43"/>
    <w:rsid w:val="0052544D"/>
    <w:rsid w:val="00551FB8"/>
    <w:rsid w:val="005537F6"/>
    <w:rsid w:val="00560A8F"/>
    <w:rsid w:val="00560F43"/>
    <w:rsid w:val="005654D0"/>
    <w:rsid w:val="005B17AB"/>
    <w:rsid w:val="005C68FE"/>
    <w:rsid w:val="00602523"/>
    <w:rsid w:val="00604351"/>
    <w:rsid w:val="00607D8A"/>
    <w:rsid w:val="0061235E"/>
    <w:rsid w:val="0061590F"/>
    <w:rsid w:val="00636497"/>
    <w:rsid w:val="00641AE2"/>
    <w:rsid w:val="0064456A"/>
    <w:rsid w:val="00650DDA"/>
    <w:rsid w:val="0065126A"/>
    <w:rsid w:val="006532D4"/>
    <w:rsid w:val="006802D4"/>
    <w:rsid w:val="00683849"/>
    <w:rsid w:val="00691AB5"/>
    <w:rsid w:val="006B1FF0"/>
    <w:rsid w:val="006E1E6B"/>
    <w:rsid w:val="006F0EAC"/>
    <w:rsid w:val="006F6A85"/>
    <w:rsid w:val="007011EB"/>
    <w:rsid w:val="0070328D"/>
    <w:rsid w:val="0072377D"/>
    <w:rsid w:val="00731F96"/>
    <w:rsid w:val="00734127"/>
    <w:rsid w:val="00735FEA"/>
    <w:rsid w:val="00743460"/>
    <w:rsid w:val="00743A27"/>
    <w:rsid w:val="00753DC6"/>
    <w:rsid w:val="0075578C"/>
    <w:rsid w:val="00766DFB"/>
    <w:rsid w:val="007734B5"/>
    <w:rsid w:val="007809B8"/>
    <w:rsid w:val="00806E54"/>
    <w:rsid w:val="00817F67"/>
    <w:rsid w:val="008206EE"/>
    <w:rsid w:val="008214B1"/>
    <w:rsid w:val="00836ED7"/>
    <w:rsid w:val="008453AC"/>
    <w:rsid w:val="00860D09"/>
    <w:rsid w:val="00862044"/>
    <w:rsid w:val="008C305F"/>
    <w:rsid w:val="008C3AD2"/>
    <w:rsid w:val="008C7C3D"/>
    <w:rsid w:val="008D6F66"/>
    <w:rsid w:val="008E1BEA"/>
    <w:rsid w:val="008E43D2"/>
    <w:rsid w:val="008F04C9"/>
    <w:rsid w:val="008F7C50"/>
    <w:rsid w:val="008F7DB7"/>
    <w:rsid w:val="009064D3"/>
    <w:rsid w:val="00915300"/>
    <w:rsid w:val="00933B0C"/>
    <w:rsid w:val="00935676"/>
    <w:rsid w:val="00975A65"/>
    <w:rsid w:val="0098401D"/>
    <w:rsid w:val="009A789F"/>
    <w:rsid w:val="009B12EF"/>
    <w:rsid w:val="009B6185"/>
    <w:rsid w:val="009C3B56"/>
    <w:rsid w:val="009E1E78"/>
    <w:rsid w:val="00A1597D"/>
    <w:rsid w:val="00A46989"/>
    <w:rsid w:val="00A511AE"/>
    <w:rsid w:val="00A71CE9"/>
    <w:rsid w:val="00A72A19"/>
    <w:rsid w:val="00A75A30"/>
    <w:rsid w:val="00A93C82"/>
    <w:rsid w:val="00AB2A48"/>
    <w:rsid w:val="00AC3236"/>
    <w:rsid w:val="00AD4874"/>
    <w:rsid w:val="00AE1F8A"/>
    <w:rsid w:val="00B036B2"/>
    <w:rsid w:val="00B04D19"/>
    <w:rsid w:val="00B153C3"/>
    <w:rsid w:val="00B22087"/>
    <w:rsid w:val="00B722F2"/>
    <w:rsid w:val="00B86562"/>
    <w:rsid w:val="00B95339"/>
    <w:rsid w:val="00BB334E"/>
    <w:rsid w:val="00BB5DCF"/>
    <w:rsid w:val="00BF59EA"/>
    <w:rsid w:val="00BF79CD"/>
    <w:rsid w:val="00C0721B"/>
    <w:rsid w:val="00C34C8C"/>
    <w:rsid w:val="00C50792"/>
    <w:rsid w:val="00C55A45"/>
    <w:rsid w:val="00C5747E"/>
    <w:rsid w:val="00C904D9"/>
    <w:rsid w:val="00C94C06"/>
    <w:rsid w:val="00CA48BF"/>
    <w:rsid w:val="00CB3ACC"/>
    <w:rsid w:val="00CB4745"/>
    <w:rsid w:val="00CD2163"/>
    <w:rsid w:val="00CD4FE7"/>
    <w:rsid w:val="00CD5E6B"/>
    <w:rsid w:val="00CE5D96"/>
    <w:rsid w:val="00CE7344"/>
    <w:rsid w:val="00CF26EE"/>
    <w:rsid w:val="00D00BB1"/>
    <w:rsid w:val="00D310F0"/>
    <w:rsid w:val="00D37AC2"/>
    <w:rsid w:val="00D47208"/>
    <w:rsid w:val="00D500A9"/>
    <w:rsid w:val="00D64121"/>
    <w:rsid w:val="00D732FE"/>
    <w:rsid w:val="00D772E9"/>
    <w:rsid w:val="00DA31AB"/>
    <w:rsid w:val="00DA3281"/>
    <w:rsid w:val="00DA6D3E"/>
    <w:rsid w:val="00DC02E8"/>
    <w:rsid w:val="00DC5C5F"/>
    <w:rsid w:val="00DC75C7"/>
    <w:rsid w:val="00DC78D3"/>
    <w:rsid w:val="00DF4592"/>
    <w:rsid w:val="00E04D22"/>
    <w:rsid w:val="00E15FDC"/>
    <w:rsid w:val="00E25510"/>
    <w:rsid w:val="00E2651B"/>
    <w:rsid w:val="00E6632E"/>
    <w:rsid w:val="00E66BED"/>
    <w:rsid w:val="00E90CF2"/>
    <w:rsid w:val="00EC07C9"/>
    <w:rsid w:val="00ED0F61"/>
    <w:rsid w:val="00EE73E1"/>
    <w:rsid w:val="00F12107"/>
    <w:rsid w:val="00F13165"/>
    <w:rsid w:val="00F27BEE"/>
    <w:rsid w:val="00F4234E"/>
    <w:rsid w:val="00F7477E"/>
    <w:rsid w:val="00F85265"/>
    <w:rsid w:val="00F85393"/>
    <w:rsid w:val="00FA4A24"/>
    <w:rsid w:val="00FC41B4"/>
    <w:rsid w:val="00FC5A6B"/>
    <w:rsid w:val="00FD4728"/>
    <w:rsid w:val="00FF67E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martTagType w:namespaceuri="urn:schemas-microsoft-com:office:smarttags" w:name="Street"/>
  <w:smartTagType w:namespaceuri="urn:schemas-microsoft-com:office:smarttags" w:name="address"/>
  <w:shapeDefaults>
    <o:shapedefaults v:ext="edit" spidmax="4096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6"/>
      <w:lang w:eastAsia="en-US"/>
    </w:rPr>
  </w:style>
  <w:style w:type="paragraph" w:styleId="Heading1">
    <w:name w:val="heading 1"/>
    <w:basedOn w:val="Normal"/>
    <w:next w:val="BodyText"/>
    <w:link w:val="Heading1Char"/>
    <w:qFormat/>
    <w:rsid w:val="00F7477E"/>
    <w:pPr>
      <w:keepNext/>
      <w:spacing w:before="160" w:after="1360" w:line="600" w:lineRule="exact"/>
      <w:ind w:left="907" w:hanging="907"/>
      <w:outlineLvl w:val="0"/>
    </w:pPr>
    <w:rPr>
      <w:kern w:val="28"/>
      <w:sz w:val="52"/>
    </w:rPr>
  </w:style>
  <w:style w:type="paragraph" w:styleId="Heading2">
    <w:name w:val="heading 2"/>
    <w:basedOn w:val="Chapter"/>
    <w:next w:val="BodyText"/>
    <w:qFormat/>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pPr>
      <w:spacing w:before="560" w:line="320" w:lineRule="exact"/>
      <w:ind w:left="0" w:firstLine="0"/>
      <w:outlineLvl w:val="2"/>
    </w:pPr>
    <w:rPr>
      <w:sz w:val="26"/>
    </w:rPr>
  </w:style>
  <w:style w:type="paragraph" w:styleId="Heading4">
    <w:name w:val="heading 4"/>
    <w:basedOn w:val="Heading3"/>
    <w:next w:val="BodyText"/>
    <w:qFormat/>
    <w:pPr>
      <w:spacing w:before="480"/>
      <w:outlineLvl w:val="3"/>
    </w:pPr>
    <w:rPr>
      <w:b w:val="0"/>
      <w:i/>
      <w:sz w:val="24"/>
    </w:rPr>
  </w:style>
  <w:style w:type="paragraph" w:styleId="Heading5">
    <w:name w:val="heading 5"/>
    <w:basedOn w:val="Heading4"/>
    <w:next w:val="BodyText"/>
    <w:qFormat/>
    <w:pPr>
      <w:outlineLvl w:val="4"/>
    </w:pPr>
    <w:rPr>
      <w:rFonts w:ascii="Times New Roman" w:hAnsi="Times New Roman"/>
      <w:sz w:val="26"/>
    </w:rPr>
  </w:style>
  <w:style w:type="paragraph" w:styleId="Heading6">
    <w:name w:val="heading 6"/>
    <w:basedOn w:val="Normal"/>
    <w:next w:val="Normal"/>
    <w:qFormat/>
    <w:pPr>
      <w:spacing w:before="240" w:after="60"/>
      <w:outlineLvl w:val="5"/>
    </w:pPr>
    <w:rPr>
      <w:i/>
      <w:sz w:val="22"/>
    </w:rPr>
  </w:style>
  <w:style w:type="paragraph" w:styleId="Heading7">
    <w:name w:val="heading 7"/>
    <w:basedOn w:val="Normal"/>
    <w:next w:val="Normal"/>
    <w:qFormat/>
    <w:pPr>
      <w:spacing w:before="240" w:after="60"/>
      <w:outlineLvl w:val="6"/>
    </w:pPr>
    <w:rPr>
      <w:rFonts w:ascii="Arial" w:hAnsi="Arial"/>
      <w:sz w:val="20"/>
    </w:rPr>
  </w:style>
  <w:style w:type="paragraph" w:styleId="Heading8">
    <w:name w:val="heading 8"/>
    <w:basedOn w:val="Normal"/>
    <w:next w:val="Normal"/>
    <w:qFormat/>
    <w:pPr>
      <w:spacing w:before="240" w:after="60"/>
      <w:outlineLvl w:val="7"/>
    </w:pPr>
    <w:rPr>
      <w:rFonts w:ascii="Arial" w:hAnsi="Arial"/>
      <w:i/>
      <w:sz w:val="20"/>
    </w:rPr>
  </w:style>
  <w:style w:type="paragraph" w:styleId="Heading9">
    <w:name w:val="heading 9"/>
    <w:basedOn w:val="Normal"/>
    <w:next w:val="Normal"/>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rsid w:val="00D37AC2"/>
    <w:pPr>
      <w:spacing w:before="240" w:line="320" w:lineRule="atLeast"/>
      <w:jc w:val="both"/>
    </w:pPr>
    <w:rPr>
      <w:sz w:val="26"/>
      <w:lang w:eastAsia="en-US"/>
    </w:rPr>
  </w:style>
  <w:style w:type="paragraph" w:customStyle="1" w:styleId="Abbreviation">
    <w:name w:val="Abbreviation"/>
    <w:basedOn w:val="BodyText"/>
    <w:pPr>
      <w:spacing w:before="120"/>
      <w:ind w:left="2381" w:hanging="2381"/>
      <w:jc w:val="left"/>
    </w:pPr>
  </w:style>
  <w:style w:type="paragraph" w:customStyle="1" w:styleId="Box">
    <w:name w:val="Box"/>
    <w:basedOn w:val="BodyText"/>
    <w:pPr>
      <w:keepNext/>
      <w:spacing w:before="120" w:line="280" w:lineRule="atLeast"/>
    </w:pPr>
    <w:rPr>
      <w:rFonts w:ascii="Arial" w:hAnsi="Arial"/>
      <w:sz w:val="22"/>
    </w:rPr>
  </w:style>
  <w:style w:type="paragraph" w:customStyle="1" w:styleId="Note">
    <w:name w:val="Note"/>
    <w:basedOn w:val="BodyText"/>
    <w:next w:val="Normal"/>
    <w:pPr>
      <w:keepLines/>
      <w:spacing w:before="80" w:line="220" w:lineRule="exact"/>
    </w:pPr>
    <w:rPr>
      <w:rFonts w:ascii="Arial" w:hAnsi="Arial"/>
      <w:sz w:val="18"/>
    </w:rPr>
  </w:style>
  <w:style w:type="paragraph" w:customStyle="1" w:styleId="Source">
    <w:name w:val="Source"/>
    <w:basedOn w:val="Note"/>
    <w:next w:val="BodyText"/>
    <w:pPr>
      <w:spacing w:after="120"/>
    </w:pPr>
  </w:style>
  <w:style w:type="paragraph" w:customStyle="1" w:styleId="BoxSource">
    <w:name w:val="Box Source"/>
    <w:basedOn w:val="Source"/>
    <w:next w:val="BodyText"/>
    <w:pPr>
      <w:spacing w:before="180" w:after="0"/>
    </w:pPr>
  </w:style>
  <w:style w:type="paragraph" w:customStyle="1" w:styleId="BoxContinued">
    <w:name w:val="Box Continued"/>
    <w:basedOn w:val="Normal"/>
    <w:next w:val="BodyText"/>
    <w:pPr>
      <w:spacing w:before="180" w:line="220" w:lineRule="exact"/>
      <w:jc w:val="right"/>
    </w:pPr>
    <w:rPr>
      <w:rFonts w:ascii="Arial" w:hAnsi="Arial"/>
      <w:sz w:val="18"/>
    </w:rPr>
  </w:style>
  <w:style w:type="paragraph" w:customStyle="1" w:styleId="BoxHeading1">
    <w:name w:val="Box Heading 1"/>
    <w:basedOn w:val="Box"/>
    <w:next w:val="Box"/>
    <w:pPr>
      <w:spacing w:before="200"/>
    </w:pPr>
    <w:rPr>
      <w:b/>
    </w:rPr>
  </w:style>
  <w:style w:type="paragraph" w:customStyle="1" w:styleId="BoxHeading2">
    <w:name w:val="Box Heading 2"/>
    <w:basedOn w:val="BoxHeading1"/>
    <w:next w:val="Box"/>
    <w:rPr>
      <w:b w:val="0"/>
      <w:i/>
    </w:rPr>
  </w:style>
  <w:style w:type="paragraph" w:customStyle="1" w:styleId="BoxListBullet">
    <w:name w:val="Box List Bullet"/>
    <w:basedOn w:val="Box"/>
    <w:rsid w:val="00DC78D3"/>
    <w:pPr>
      <w:numPr>
        <w:numId w:val="13"/>
      </w:numPr>
      <w:tabs>
        <w:tab w:val="clear" w:pos="360"/>
        <w:tab w:val="left" w:pos="284"/>
      </w:tabs>
      <w:spacing w:before="60"/>
    </w:pPr>
  </w:style>
  <w:style w:type="paragraph" w:customStyle="1" w:styleId="BoxListBullet2">
    <w:name w:val="Box List Bullet 2"/>
    <w:basedOn w:val="Box"/>
    <w:pPr>
      <w:numPr>
        <w:numId w:val="14"/>
      </w:numPr>
      <w:tabs>
        <w:tab w:val="left" w:pos="284"/>
        <w:tab w:val="left" w:pos="567"/>
      </w:tabs>
      <w:spacing w:before="60"/>
      <w:ind w:left="568"/>
    </w:pPr>
  </w:style>
  <w:style w:type="paragraph" w:customStyle="1" w:styleId="BoxListNumber">
    <w:name w:val="Box List Number"/>
    <w:basedOn w:val="Box"/>
    <w:rsid w:val="00DC78D3"/>
    <w:pPr>
      <w:numPr>
        <w:numId w:val="29"/>
      </w:numPr>
      <w:spacing w:before="60"/>
      <w:ind w:left="357" w:hanging="357"/>
    </w:pPr>
  </w:style>
  <w:style w:type="paragraph" w:customStyle="1" w:styleId="BoxListNumber2">
    <w:name w:val="Box List Number 2"/>
    <w:basedOn w:val="Normal"/>
    <w:rsid w:val="00743A27"/>
    <w:pPr>
      <w:keepNext/>
      <w:numPr>
        <w:ilvl w:val="1"/>
        <w:numId w:val="30"/>
      </w:numPr>
      <w:spacing w:before="60" w:line="280" w:lineRule="atLeast"/>
      <w:jc w:val="both"/>
    </w:pPr>
    <w:rPr>
      <w:rFonts w:ascii="Arial" w:hAnsi="Arial"/>
      <w:sz w:val="22"/>
      <w:lang w:eastAsia="en-AU"/>
    </w:rPr>
  </w:style>
  <w:style w:type="paragraph" w:customStyle="1" w:styleId="BoxQuote">
    <w:name w:val="Box Quote"/>
    <w:basedOn w:val="Box"/>
    <w:next w:val="Box"/>
    <w:pPr>
      <w:spacing w:before="60" w:line="260" w:lineRule="exact"/>
      <w:ind w:left="284"/>
    </w:pPr>
    <w:rPr>
      <w:sz w:val="20"/>
    </w:rPr>
  </w:style>
  <w:style w:type="paragraph" w:customStyle="1" w:styleId="BoxSpace">
    <w:name w:val="Box Space"/>
    <w:basedOn w:val="Normal"/>
    <w:pPr>
      <w:keepNext/>
      <w:spacing w:before="360" w:line="80" w:lineRule="exact"/>
    </w:pPr>
  </w:style>
  <w:style w:type="paragraph" w:styleId="Caption">
    <w:name w:val="caption"/>
    <w:basedOn w:val="Normal"/>
    <w:next w:val="BodyText"/>
    <w:qFormat/>
    <w:pPr>
      <w:keepNext/>
      <w:keepLines/>
      <w:spacing w:before="360" w:after="80" w:line="280" w:lineRule="exact"/>
      <w:ind w:left="1474" w:hanging="1474"/>
    </w:pPr>
    <w:rPr>
      <w:rFonts w:ascii="Arial" w:hAnsi="Arial"/>
      <w:b/>
      <w:sz w:val="24"/>
    </w:rPr>
  </w:style>
  <w:style w:type="paragraph" w:customStyle="1" w:styleId="BoxTitle">
    <w:name w:val="Box Title"/>
    <w:basedOn w:val="Caption"/>
    <w:next w:val="Normal"/>
    <w:rsid w:val="00106041"/>
    <w:pPr>
      <w:spacing w:before="120" w:after="0"/>
      <w:ind w:left="1304" w:hanging="1304"/>
    </w:pPr>
    <w:rPr>
      <w:b w:val="0"/>
    </w:rPr>
  </w:style>
  <w:style w:type="paragraph" w:customStyle="1" w:styleId="BoxSubtitle">
    <w:name w:val="Box Subtitle"/>
    <w:basedOn w:val="BoxTitle"/>
    <w:next w:val="Box"/>
    <w:pPr>
      <w:spacing w:after="80" w:line="200" w:lineRule="exact"/>
      <w:ind w:firstLine="0"/>
    </w:pPr>
    <w:rPr>
      <w:b/>
      <w:sz w:val="20"/>
    </w:rPr>
  </w:style>
  <w:style w:type="paragraph" w:customStyle="1" w:styleId="Chapter">
    <w:name w:val="Chapter"/>
    <w:basedOn w:val="Heading1"/>
    <w:next w:val="BodyText"/>
    <w:semiHidden/>
    <w:pPr>
      <w:ind w:left="0" w:firstLine="0"/>
      <w:outlineLvl w:val="9"/>
    </w:pPr>
  </w:style>
  <w:style w:type="paragraph" w:customStyle="1" w:styleId="ChapterSummary">
    <w:name w:val="Chapter Summary"/>
    <w:basedOn w:val="BodyText"/>
    <w:semiHidden/>
    <w:pPr>
      <w:ind w:left="907"/>
    </w:pPr>
    <w:rPr>
      <w:rFonts w:ascii="Arial" w:hAnsi="Arial"/>
      <w:b/>
      <w:sz w:val="22"/>
    </w:rPr>
  </w:style>
  <w:style w:type="character" w:styleId="CommentReference">
    <w:name w:val="annotation reference"/>
    <w:semiHidden/>
    <w:rPr>
      <w:b/>
      <w:vanish/>
      <w:color w:val="FF00FF"/>
      <w:sz w:val="20"/>
    </w:rPr>
  </w:style>
  <w:style w:type="paragraph" w:styleId="CommentText">
    <w:name w:val="annotation text"/>
    <w:basedOn w:val="Normal"/>
    <w:semiHidden/>
    <w:pPr>
      <w:spacing w:before="120" w:line="240" w:lineRule="atLeast"/>
      <w:ind w:left="567" w:hanging="567"/>
    </w:pPr>
    <w:rPr>
      <w:sz w:val="20"/>
    </w:rPr>
  </w:style>
  <w:style w:type="paragraph" w:customStyle="1" w:styleId="Continued">
    <w:name w:val="Continued"/>
    <w:basedOn w:val="BoxContinued"/>
    <w:next w:val="BodyText"/>
  </w:style>
  <w:style w:type="paragraph" w:customStyle="1" w:styleId="DocInfo">
    <w:name w:val="Doc Info"/>
    <w:basedOn w:val="Normal"/>
    <w:next w:val="Normal"/>
    <w:semiHidden/>
    <w:pPr>
      <w:jc w:val="center"/>
    </w:pPr>
    <w:rPr>
      <w:rFonts w:ascii="Arial" w:hAnsi="Arial"/>
      <w:sz w:val="14"/>
    </w:rPr>
  </w:style>
  <w:style w:type="paragraph" w:styleId="Footer">
    <w:name w:val="footer"/>
    <w:basedOn w:val="Normal"/>
    <w:link w:val="FooterChar"/>
    <w:pPr>
      <w:spacing w:before="80" w:line="200" w:lineRule="exact"/>
      <w:ind w:right="6"/>
    </w:pPr>
    <w:rPr>
      <w:caps/>
      <w:spacing w:val="-4"/>
      <w:sz w:val="16"/>
    </w:rPr>
  </w:style>
  <w:style w:type="character" w:customStyle="1" w:styleId="DocumentInfo">
    <w:name w:val="Document Info"/>
    <w:semiHidden/>
    <w:rPr>
      <w:rFonts w:ascii="Arial" w:hAnsi="Arial"/>
      <w:sz w:val="14"/>
    </w:rPr>
  </w:style>
  <w:style w:type="character" w:customStyle="1" w:styleId="DraftingNote">
    <w:name w:val="Drafting Note"/>
    <w:rPr>
      <w:b/>
      <w:color w:val="FF0000"/>
      <w:sz w:val="24"/>
      <w:u w:val="dotted"/>
    </w:rPr>
  </w:style>
  <w:style w:type="paragraph" w:customStyle="1" w:styleId="Figure">
    <w:name w:val="Figure"/>
    <w:basedOn w:val="BodyText"/>
    <w:pPr>
      <w:keepNext/>
      <w:spacing w:before="120" w:after="120" w:line="240" w:lineRule="atLeast"/>
      <w:jc w:val="center"/>
    </w:pPr>
  </w:style>
  <w:style w:type="paragraph" w:customStyle="1" w:styleId="FigureTitle">
    <w:name w:val="Figure Title"/>
    <w:basedOn w:val="Caption"/>
    <w:next w:val="Subtitle"/>
    <w:rsid w:val="00106041"/>
    <w:rPr>
      <w:b w:val="0"/>
    </w:rPr>
  </w:style>
  <w:style w:type="paragraph" w:styleId="Subtitle">
    <w:name w:val="Subtitle"/>
    <w:basedOn w:val="Caption"/>
    <w:qFormat/>
    <w:pPr>
      <w:spacing w:before="0" w:line="200" w:lineRule="exact"/>
      <w:ind w:firstLine="0"/>
    </w:pPr>
    <w:rPr>
      <w:b w:val="0"/>
      <w:sz w:val="20"/>
    </w:rPr>
  </w:style>
  <w:style w:type="paragraph" w:customStyle="1" w:styleId="Finding">
    <w:name w:val="Finding"/>
    <w:basedOn w:val="BodyText"/>
    <w:pPr>
      <w:spacing w:before="180"/>
    </w:pPr>
    <w:rPr>
      <w:i/>
    </w:rPr>
  </w:style>
  <w:style w:type="paragraph" w:customStyle="1" w:styleId="FindingBullet">
    <w:name w:val="Finding Bullet"/>
    <w:basedOn w:val="Finding"/>
    <w:pPr>
      <w:numPr>
        <w:numId w:val="15"/>
      </w:numPr>
      <w:spacing w:before="80"/>
    </w:pPr>
  </w:style>
  <w:style w:type="paragraph" w:customStyle="1" w:styleId="FindingNoTitle">
    <w:name w:val="Finding NoTitle"/>
    <w:basedOn w:val="Finding"/>
    <w:pPr>
      <w:spacing w:before="240"/>
    </w:pPr>
  </w:style>
  <w:style w:type="paragraph" w:customStyle="1" w:styleId="RecTitle">
    <w:name w:val="Rec Title"/>
    <w:basedOn w:val="BodyText"/>
    <w:next w:val="Normal"/>
    <w:pPr>
      <w:keepNext/>
      <w:framePr w:hSpace="181" w:wrap="notBeside" w:vAnchor="text" w:hAnchor="text" w:xAlign="outside" w:y="1"/>
    </w:pPr>
    <w:rPr>
      <w:caps/>
      <w:sz w:val="16"/>
    </w:rPr>
  </w:style>
  <w:style w:type="paragraph" w:customStyle="1" w:styleId="FindingTitle">
    <w:name w:val="Finding Title"/>
    <w:basedOn w:val="RecTitle"/>
    <w:next w:val="Finding"/>
    <w:pPr>
      <w:framePr w:wrap="notBeside"/>
    </w:pPr>
  </w:style>
  <w:style w:type="paragraph" w:customStyle="1" w:styleId="FooterEnd">
    <w:name w:val="Footer End"/>
    <w:basedOn w:val="Footer"/>
    <w:pPr>
      <w:spacing w:before="0" w:line="20" w:lineRule="exact"/>
    </w:pPr>
  </w:style>
  <w:style w:type="character" w:styleId="FootnoteReference">
    <w:name w:val="footnote reference"/>
    <w:semiHidden/>
    <w:rPr>
      <w:rFonts w:ascii="Times New Roman" w:hAnsi="Times New Roman"/>
      <w:position w:val="6"/>
      <w:sz w:val="22"/>
      <w:vertAlign w:val="baseline"/>
    </w:rPr>
  </w:style>
  <w:style w:type="paragraph" w:styleId="FootnoteText">
    <w:name w:val="footnote text"/>
    <w:basedOn w:val="BodyText"/>
    <w:semiHidden/>
    <w:pPr>
      <w:tabs>
        <w:tab w:val="left" w:pos="284"/>
      </w:tabs>
      <w:spacing w:before="80" w:line="260" w:lineRule="exact"/>
      <w:ind w:left="170" w:hanging="170"/>
    </w:pPr>
    <w:rPr>
      <w:sz w:val="22"/>
    </w:rPr>
  </w:style>
  <w:style w:type="paragraph" w:customStyle="1" w:styleId="Heading2NotTOC">
    <w:name w:val="Heading 2 Not TOC"/>
    <w:basedOn w:val="Heading2"/>
    <w:next w:val="BodyText"/>
    <w:rsid w:val="000B416E"/>
  </w:style>
  <w:style w:type="paragraph" w:customStyle="1" w:styleId="HeaderEnd">
    <w:name w:val="Header End"/>
    <w:basedOn w:val="Header"/>
    <w:rsid w:val="005C68FE"/>
    <w:pPr>
      <w:spacing w:line="20" w:lineRule="exact"/>
    </w:pPr>
  </w:style>
  <w:style w:type="paragraph" w:customStyle="1" w:styleId="HeaderEven">
    <w:name w:val="Header Even"/>
    <w:basedOn w:val="Header"/>
  </w:style>
  <w:style w:type="paragraph" w:customStyle="1" w:styleId="HeaderOdd">
    <w:name w:val="Header Odd"/>
    <w:basedOn w:val="Header"/>
    <w:rsid w:val="00181F4B"/>
  </w:style>
  <w:style w:type="paragraph" w:customStyle="1" w:styleId="InformationRequest">
    <w:name w:val="Information Request"/>
    <w:basedOn w:val="Finding"/>
    <w:next w:val="BodyText"/>
    <w:semiHidden/>
    <w:pPr>
      <w:spacing w:before="360" w:after="120"/>
    </w:pPr>
    <w:rPr>
      <w:rFonts w:ascii="Arial" w:hAnsi="Arial"/>
      <w:sz w:val="24"/>
    </w:rPr>
  </w:style>
  <w:style w:type="paragraph" w:styleId="ListBullet">
    <w:name w:val="List Bullet"/>
    <w:basedOn w:val="BodyText"/>
    <w:rsid w:val="00D37AC2"/>
    <w:pPr>
      <w:numPr>
        <w:numId w:val="16"/>
      </w:numPr>
      <w:spacing w:before="120"/>
    </w:pPr>
  </w:style>
  <w:style w:type="paragraph" w:styleId="ListBullet2">
    <w:name w:val="List Bullet 2"/>
    <w:basedOn w:val="BodyText"/>
    <w:rsid w:val="00D37AC2"/>
    <w:pPr>
      <w:numPr>
        <w:numId w:val="17"/>
      </w:numPr>
      <w:tabs>
        <w:tab w:val="clear" w:pos="644"/>
        <w:tab w:val="left" w:pos="680"/>
      </w:tabs>
      <w:spacing w:before="120"/>
      <w:ind w:left="680" w:hanging="340"/>
    </w:pPr>
  </w:style>
  <w:style w:type="paragraph" w:styleId="ListBullet3">
    <w:name w:val="List Bullet 3"/>
    <w:basedOn w:val="BodyText"/>
    <w:rsid w:val="00D37AC2"/>
    <w:pPr>
      <w:numPr>
        <w:numId w:val="18"/>
      </w:numPr>
      <w:tabs>
        <w:tab w:val="clear" w:pos="360"/>
        <w:tab w:val="left" w:pos="1021"/>
      </w:tabs>
      <w:spacing w:before="120"/>
      <w:ind w:left="1020"/>
    </w:pPr>
  </w:style>
  <w:style w:type="paragraph" w:styleId="ListNumber">
    <w:name w:val="List Number"/>
    <w:basedOn w:val="BodyText"/>
    <w:rsid w:val="005654D0"/>
    <w:pPr>
      <w:numPr>
        <w:numId w:val="28"/>
      </w:numPr>
      <w:spacing w:before="120"/>
    </w:pPr>
    <w:rPr>
      <w:lang w:eastAsia="en-AU"/>
    </w:rPr>
  </w:style>
  <w:style w:type="paragraph" w:styleId="ListNumber2">
    <w:name w:val="List Number 2"/>
    <w:basedOn w:val="ListNumber"/>
    <w:rsid w:val="000F2F5F"/>
    <w:pPr>
      <w:numPr>
        <w:ilvl w:val="1"/>
      </w:numPr>
      <w:tabs>
        <w:tab w:val="left" w:pos="794"/>
      </w:tabs>
    </w:pPr>
  </w:style>
  <w:style w:type="paragraph" w:styleId="ListNumber3">
    <w:name w:val="List Number 3"/>
    <w:basedOn w:val="ListNumber2"/>
    <w:rsid w:val="00D37AC2"/>
    <w:pPr>
      <w:numPr>
        <w:ilvl w:val="2"/>
      </w:numPr>
      <w:tabs>
        <w:tab w:val="clear" w:pos="794"/>
      </w:tabs>
    </w:pPr>
  </w:style>
  <w:style w:type="character" w:customStyle="1" w:styleId="NoteLabel">
    <w:name w:val="Note Label"/>
    <w:rPr>
      <w:rFonts w:ascii="Arial" w:hAnsi="Arial"/>
      <w:b/>
      <w:position w:val="6"/>
      <w:sz w:val="18"/>
    </w:rPr>
  </w:style>
  <w:style w:type="character" w:styleId="PageNumber">
    <w:name w:val="page number"/>
    <w:rsid w:val="00C0721B"/>
    <w:rPr>
      <w:rFonts w:ascii="Arial" w:hAnsi="Arial"/>
      <w:b/>
      <w:caps w:val="0"/>
      <w:smallCaps w:val="0"/>
      <w:sz w:val="16"/>
    </w:rPr>
  </w:style>
  <w:style w:type="paragraph" w:customStyle="1" w:styleId="PartDivider">
    <w:name w:val="Part Divider"/>
    <w:basedOn w:val="Normal"/>
    <w:next w:val="Normal"/>
    <w:pPr>
      <w:spacing w:line="40" w:lineRule="exact"/>
      <w:jc w:val="right"/>
    </w:pPr>
    <w:rPr>
      <w:smallCaps/>
      <w:sz w:val="16"/>
    </w:rPr>
  </w:style>
  <w:style w:type="paragraph" w:customStyle="1" w:styleId="PartNumber">
    <w:name w:val="Part Number"/>
    <w:basedOn w:val="Normal"/>
    <w:next w:val="Normal"/>
    <w:pPr>
      <w:spacing w:before="4000" w:line="320" w:lineRule="exact"/>
      <w:ind w:left="6634"/>
      <w:jc w:val="right"/>
    </w:pPr>
    <w:rPr>
      <w:smallCaps/>
      <w:spacing w:val="60"/>
      <w:sz w:val="32"/>
    </w:rPr>
  </w:style>
  <w:style w:type="paragraph" w:customStyle="1" w:styleId="PartTitle">
    <w:name w:val="Part Title"/>
    <w:basedOn w:val="Normal"/>
    <w:pPr>
      <w:spacing w:before="160" w:after="1360" w:line="520" w:lineRule="exact"/>
      <w:ind w:right="2381"/>
      <w:jc w:val="right"/>
    </w:pPr>
    <w:rPr>
      <w:smallCaps/>
      <w:sz w:val="52"/>
    </w:rPr>
  </w:style>
  <w:style w:type="paragraph" w:styleId="Quote">
    <w:name w:val="Quote"/>
    <w:basedOn w:val="BodyText"/>
    <w:next w:val="BodyText"/>
    <w:qFormat/>
    <w:pPr>
      <w:spacing w:before="120" w:line="280" w:lineRule="exact"/>
      <w:ind w:left="340"/>
    </w:pPr>
    <w:rPr>
      <w:sz w:val="24"/>
    </w:rPr>
  </w:style>
  <w:style w:type="paragraph" w:customStyle="1" w:styleId="Rec">
    <w:name w:val="Rec"/>
    <w:basedOn w:val="BodyText"/>
    <w:pPr>
      <w:spacing w:before="180"/>
    </w:pPr>
    <w:rPr>
      <w:b/>
      <w:i/>
    </w:rPr>
  </w:style>
  <w:style w:type="paragraph" w:customStyle="1" w:styleId="RecBullet">
    <w:name w:val="Rec Bullet"/>
    <w:basedOn w:val="Rec"/>
    <w:pPr>
      <w:numPr>
        <w:numId w:val="20"/>
      </w:numPr>
      <w:spacing w:before="80"/>
    </w:pPr>
  </w:style>
  <w:style w:type="paragraph" w:customStyle="1" w:styleId="RecB">
    <w:name w:val="RecB"/>
    <w:basedOn w:val="Rec"/>
    <w:pPr>
      <w:pBdr>
        <w:left w:val="single" w:sz="24" w:space="12" w:color="C0C0C0"/>
      </w:pBdr>
    </w:pPr>
  </w:style>
  <w:style w:type="paragraph" w:customStyle="1" w:styleId="RecBBullet">
    <w:name w:val="RecB Bullet"/>
    <w:basedOn w:val="RecB"/>
    <w:pPr>
      <w:numPr>
        <w:numId w:val="21"/>
      </w:numPr>
      <w:spacing w:before="80"/>
    </w:pPr>
  </w:style>
  <w:style w:type="paragraph" w:customStyle="1" w:styleId="RecBNoTitle">
    <w:name w:val="RecB NoTitle"/>
    <w:basedOn w:val="RecB"/>
    <w:pPr>
      <w:spacing w:before="240"/>
    </w:pPr>
  </w:style>
  <w:style w:type="paragraph" w:customStyle="1" w:styleId="Reference">
    <w:name w:val="Reference"/>
    <w:basedOn w:val="BodyText"/>
    <w:pPr>
      <w:spacing w:before="120"/>
      <w:ind w:left="340" w:hanging="340"/>
    </w:pPr>
  </w:style>
  <w:style w:type="paragraph" w:customStyle="1" w:styleId="SequenceInfo">
    <w:name w:val="Sequence Info"/>
    <w:basedOn w:val="Normal"/>
    <w:rPr>
      <w:vanish/>
      <w:sz w:val="16"/>
    </w:rPr>
  </w:style>
  <w:style w:type="paragraph" w:customStyle="1" w:styleId="SideNote">
    <w:name w:val="Side Note"/>
    <w:basedOn w:val="BodyText"/>
    <w:next w:val="BodyText"/>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pPr>
      <w:framePr w:wrap="around"/>
      <w:numPr>
        <w:numId w:val="22"/>
      </w:numPr>
      <w:tabs>
        <w:tab w:val="left" w:pos="227"/>
      </w:tabs>
    </w:pPr>
  </w:style>
  <w:style w:type="paragraph" w:customStyle="1" w:styleId="SideNoteGraphic">
    <w:name w:val="Side Note Graphic"/>
    <w:basedOn w:val="SideNote"/>
    <w:next w:val="BodyText"/>
    <w:pPr>
      <w:framePr w:wrap="around"/>
    </w:pPr>
  </w:style>
  <w:style w:type="paragraph" w:customStyle="1" w:styleId="TableBodyText">
    <w:name w:val="Table Body Text"/>
    <w:basedOn w:val="BodyText"/>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pPr>
      <w:numPr>
        <w:numId w:val="23"/>
      </w:numPr>
      <w:tabs>
        <w:tab w:val="left" w:pos="170"/>
      </w:tabs>
      <w:jc w:val="left"/>
    </w:pPr>
  </w:style>
  <w:style w:type="paragraph" w:customStyle="1" w:styleId="TableColumnHeading">
    <w:name w:val="Table Column Heading"/>
    <w:basedOn w:val="TableBodyText"/>
    <w:pPr>
      <w:spacing w:before="80" w:after="80"/>
    </w:pPr>
    <w:rPr>
      <w:i/>
    </w:rPr>
  </w:style>
  <w:style w:type="paragraph" w:styleId="TOC2">
    <w:name w:val="toc 2"/>
    <w:basedOn w:val="TOC1"/>
    <w:uiPriority w:val="39"/>
    <w:rsid w:val="00433C81"/>
    <w:pPr>
      <w:ind w:left="1020"/>
    </w:pPr>
    <w:rPr>
      <w:b w:val="0"/>
    </w:rPr>
  </w:style>
  <w:style w:type="paragraph" w:styleId="TOC3">
    <w:name w:val="toc 3"/>
    <w:basedOn w:val="TOC2"/>
    <w:rsid w:val="00D772E9"/>
    <w:pPr>
      <w:spacing w:before="60"/>
      <w:ind w:left="1190" w:hanging="680"/>
    </w:pPr>
  </w:style>
  <w:style w:type="paragraph" w:styleId="TableofFigures">
    <w:name w:val="table of figures"/>
    <w:basedOn w:val="TOC3"/>
    <w:next w:val="BodyText"/>
    <w:rsid w:val="00B722F2"/>
    <w:pPr>
      <w:tabs>
        <w:tab w:val="left" w:pos="1191"/>
      </w:tabs>
      <w:ind w:left="737" w:hanging="737"/>
    </w:pPr>
  </w:style>
  <w:style w:type="paragraph" w:customStyle="1" w:styleId="TableTitle">
    <w:name w:val="Table Title"/>
    <w:basedOn w:val="Caption"/>
    <w:next w:val="Subtitle"/>
    <w:rsid w:val="00106041"/>
    <w:rPr>
      <w:b w:val="0"/>
    </w:rPr>
  </w:style>
  <w:style w:type="paragraph" w:customStyle="1" w:styleId="TableUnitsRow">
    <w:name w:val="Table Units Row"/>
    <w:basedOn w:val="TableBodyText"/>
    <w:pPr>
      <w:spacing w:before="80" w:after="80"/>
    </w:pPr>
  </w:style>
  <w:style w:type="paragraph" w:styleId="TOC1">
    <w:name w:val="toc 1"/>
    <w:basedOn w:val="Normal"/>
    <w:next w:val="TOC2"/>
    <w:uiPriority w:val="39"/>
    <w:rsid w:val="00D772E9"/>
    <w:pPr>
      <w:tabs>
        <w:tab w:val="right" w:pos="8789"/>
      </w:tabs>
      <w:spacing w:before="120" w:line="320" w:lineRule="exact"/>
      <w:ind w:left="510" w:right="851" w:hanging="510"/>
    </w:pPr>
    <w:rPr>
      <w:b/>
      <w:szCs w:val="26"/>
    </w:rPr>
  </w:style>
  <w:style w:type="paragraph" w:styleId="TOC4">
    <w:name w:val="toc 4"/>
    <w:basedOn w:val="TOC3"/>
    <w:autoRedefine/>
    <w:semiHidden/>
    <w:rsid w:val="00DA3281"/>
    <w:pPr>
      <w:ind w:left="765" w:firstLine="0"/>
    </w:pPr>
  </w:style>
  <w:style w:type="paragraph" w:styleId="Header">
    <w:name w:val="header"/>
    <w:basedOn w:val="Normal"/>
    <w:rsid w:val="00181F4B"/>
    <w:pPr>
      <w:tabs>
        <w:tab w:val="center" w:pos="4394"/>
        <w:tab w:val="right" w:pos="8789"/>
      </w:tabs>
      <w:spacing w:line="240" w:lineRule="atLeast"/>
    </w:pPr>
    <w:rPr>
      <w:rFonts w:ascii="Arial" w:hAnsi="Arial"/>
      <w:caps/>
      <w:sz w:val="16"/>
    </w:rPr>
  </w:style>
  <w:style w:type="paragraph" w:customStyle="1" w:styleId="QuoteBullet">
    <w:name w:val="Quote Bullet"/>
    <w:basedOn w:val="Quote"/>
    <w:pPr>
      <w:numPr>
        <w:numId w:val="19"/>
      </w:numPr>
    </w:pPr>
  </w:style>
  <w:style w:type="paragraph" w:styleId="BalloonText">
    <w:name w:val="Balloon Text"/>
    <w:basedOn w:val="Normal"/>
    <w:semiHidden/>
    <w:rsid w:val="002B64D6"/>
    <w:rPr>
      <w:rFonts w:ascii="Tahoma" w:hAnsi="Tahoma" w:cs="Tahoma"/>
      <w:sz w:val="16"/>
      <w:szCs w:val="16"/>
    </w:rPr>
  </w:style>
  <w:style w:type="character" w:customStyle="1" w:styleId="BodyTextChar">
    <w:name w:val="Body Text Char"/>
    <w:link w:val="BodyText"/>
    <w:locked/>
    <w:rsid w:val="00D37AC2"/>
    <w:rPr>
      <w:sz w:val="26"/>
      <w:lang w:eastAsia="en-US"/>
    </w:rPr>
  </w:style>
  <w:style w:type="paragraph" w:customStyle="1" w:styleId="Heading1NotTOC">
    <w:name w:val="Heading 1 Not TOC"/>
    <w:basedOn w:val="Heading1"/>
    <w:next w:val="BodyText"/>
    <w:rsid w:val="00F7477E"/>
    <w:rPr>
      <w:szCs w:val="26"/>
    </w:rPr>
  </w:style>
  <w:style w:type="paragraph" w:customStyle="1" w:styleId="PCAddress">
    <w:name w:val="PC Address"/>
    <w:basedOn w:val="Normal"/>
    <w:rsid w:val="003B41E0"/>
    <w:pPr>
      <w:tabs>
        <w:tab w:val="left" w:pos="866"/>
      </w:tabs>
      <w:spacing w:after="60"/>
    </w:pPr>
    <w:rPr>
      <w:rFonts w:ascii="GoudyOlSt BT" w:hAnsi="GoudyOlSt BT"/>
      <w:sz w:val="16"/>
      <w:lang w:eastAsia="en-AU"/>
    </w:rPr>
  </w:style>
  <w:style w:type="paragraph" w:styleId="Salutation">
    <w:name w:val="Salutation"/>
    <w:basedOn w:val="Normal"/>
    <w:next w:val="Normal"/>
    <w:link w:val="SalutationChar"/>
    <w:autoRedefine/>
    <w:rsid w:val="003B41E0"/>
    <w:rPr>
      <w:noProof/>
      <w:sz w:val="24"/>
      <w:lang w:eastAsia="en-AU"/>
    </w:rPr>
  </w:style>
  <w:style w:type="character" w:customStyle="1" w:styleId="SalutationChar">
    <w:name w:val="Salutation Char"/>
    <w:basedOn w:val="DefaultParagraphFont"/>
    <w:link w:val="Salutation"/>
    <w:rsid w:val="003B41E0"/>
    <w:rPr>
      <w:noProof/>
      <w:sz w:val="24"/>
    </w:rPr>
  </w:style>
  <w:style w:type="paragraph" w:customStyle="1" w:styleId="Signoff">
    <w:name w:val="Signoff"/>
    <w:basedOn w:val="Normal"/>
    <w:autoRedefine/>
    <w:rsid w:val="003B41E0"/>
    <w:pPr>
      <w:spacing w:before="480" w:after="1000"/>
    </w:pPr>
    <w:rPr>
      <w:sz w:val="24"/>
      <w:lang w:eastAsia="en-AU"/>
    </w:rPr>
  </w:style>
  <w:style w:type="paragraph" w:customStyle="1" w:styleId="LetterDate">
    <w:name w:val="Letter Date"/>
    <w:basedOn w:val="BodyText"/>
    <w:rsid w:val="003B41E0"/>
    <w:pPr>
      <w:spacing w:before="0" w:after="240" w:line="240" w:lineRule="auto"/>
      <w:ind w:left="-108"/>
      <w:jc w:val="left"/>
    </w:pPr>
    <w:rPr>
      <w:sz w:val="24"/>
      <w:lang w:eastAsia="en-AU"/>
    </w:rPr>
  </w:style>
  <w:style w:type="paragraph" w:customStyle="1" w:styleId="LetterAddress">
    <w:name w:val="Letter Address"/>
    <w:basedOn w:val="BodyText"/>
    <w:rsid w:val="003B41E0"/>
    <w:pPr>
      <w:spacing w:before="0" w:line="240" w:lineRule="auto"/>
      <w:jc w:val="left"/>
    </w:pPr>
    <w:rPr>
      <w:sz w:val="24"/>
      <w:lang w:eastAsia="en-AU"/>
    </w:rPr>
  </w:style>
  <w:style w:type="paragraph" w:customStyle="1" w:styleId="PCBoxHeading">
    <w:name w:val="PC Box Heading"/>
    <w:basedOn w:val="BodyText"/>
    <w:link w:val="PCBoxHeadingChar"/>
    <w:qFormat/>
    <w:rsid w:val="00F4234E"/>
    <w:pPr>
      <w:pBdr>
        <w:top w:val="single" w:sz="4" w:space="5" w:color="auto"/>
        <w:left w:val="single" w:sz="4" w:space="8" w:color="auto"/>
        <w:bottom w:val="single" w:sz="4" w:space="14" w:color="auto"/>
        <w:right w:val="single" w:sz="4" w:space="8" w:color="auto"/>
      </w:pBdr>
      <w:spacing w:before="120" w:line="240" w:lineRule="auto"/>
      <w:ind w:left="284" w:right="284"/>
    </w:pPr>
    <w:rPr>
      <w:b/>
      <w:i/>
      <w:sz w:val="24"/>
      <w:szCs w:val="24"/>
    </w:rPr>
  </w:style>
  <w:style w:type="paragraph" w:customStyle="1" w:styleId="PCBoxtext">
    <w:name w:val="PC Box text"/>
    <w:basedOn w:val="BodyText"/>
    <w:link w:val="PCBoxtextChar"/>
    <w:rsid w:val="00F4234E"/>
    <w:pPr>
      <w:pBdr>
        <w:top w:val="single" w:sz="4" w:space="5" w:color="auto"/>
        <w:left w:val="single" w:sz="4" w:space="8" w:color="auto"/>
        <w:bottom w:val="single" w:sz="4" w:space="14" w:color="auto"/>
        <w:right w:val="single" w:sz="4" w:space="8" w:color="auto"/>
      </w:pBdr>
      <w:spacing w:before="160" w:line="240" w:lineRule="auto"/>
      <w:ind w:left="284" w:right="284"/>
    </w:pPr>
    <w:rPr>
      <w:sz w:val="24"/>
      <w:szCs w:val="24"/>
    </w:rPr>
  </w:style>
  <w:style w:type="character" w:customStyle="1" w:styleId="PCBoxHeadingChar">
    <w:name w:val="PC Box Heading Char"/>
    <w:basedOn w:val="BodyTextChar"/>
    <w:link w:val="PCBoxHeading"/>
    <w:rsid w:val="00F4234E"/>
    <w:rPr>
      <w:b/>
      <w:i/>
      <w:sz w:val="24"/>
      <w:szCs w:val="24"/>
      <w:lang w:eastAsia="en-US"/>
    </w:rPr>
  </w:style>
  <w:style w:type="character" w:customStyle="1" w:styleId="PCBoxtextChar">
    <w:name w:val="PC Box text Char"/>
    <w:basedOn w:val="BodyTextChar"/>
    <w:link w:val="PCBoxtext"/>
    <w:rsid w:val="00F4234E"/>
    <w:rPr>
      <w:sz w:val="24"/>
      <w:szCs w:val="24"/>
      <w:lang w:eastAsia="en-US"/>
    </w:rPr>
  </w:style>
  <w:style w:type="character" w:styleId="Hyperlink">
    <w:name w:val="Hyperlink"/>
    <w:basedOn w:val="DefaultParagraphFont"/>
    <w:unhideWhenUsed/>
    <w:rsid w:val="00CD5E6B"/>
    <w:rPr>
      <w:rFonts w:ascii="Times New Roman" w:hAnsi="Times New Roman" w:cs="Times New Roman" w:hint="default"/>
      <w:color w:val="000000"/>
      <w:u w:val="single"/>
    </w:rPr>
  </w:style>
  <w:style w:type="table" w:styleId="TableGrid">
    <w:name w:val="Table Grid"/>
    <w:basedOn w:val="TableNormal"/>
    <w:rsid w:val="00F8526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oterChar">
    <w:name w:val="Footer Char"/>
    <w:basedOn w:val="DefaultParagraphFont"/>
    <w:link w:val="Footer"/>
    <w:rsid w:val="00F85265"/>
    <w:rPr>
      <w:caps/>
      <w:spacing w:val="-4"/>
      <w:sz w:val="16"/>
      <w:lang w:eastAsia="en-US"/>
    </w:rPr>
  </w:style>
  <w:style w:type="character" w:customStyle="1" w:styleId="Heading1Char">
    <w:name w:val="Heading 1 Char"/>
    <w:basedOn w:val="DefaultParagraphFont"/>
    <w:link w:val="Heading1"/>
    <w:rsid w:val="00F85265"/>
    <w:rPr>
      <w:kern w:val="28"/>
      <w:sz w:val="5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6"/>
      <w:lang w:eastAsia="en-US"/>
    </w:rPr>
  </w:style>
  <w:style w:type="paragraph" w:styleId="Heading1">
    <w:name w:val="heading 1"/>
    <w:basedOn w:val="Normal"/>
    <w:next w:val="BodyText"/>
    <w:link w:val="Heading1Char"/>
    <w:qFormat/>
    <w:rsid w:val="00F7477E"/>
    <w:pPr>
      <w:keepNext/>
      <w:spacing w:before="160" w:after="1360" w:line="600" w:lineRule="exact"/>
      <w:ind w:left="907" w:hanging="907"/>
      <w:outlineLvl w:val="0"/>
    </w:pPr>
    <w:rPr>
      <w:kern w:val="28"/>
      <w:sz w:val="52"/>
    </w:rPr>
  </w:style>
  <w:style w:type="paragraph" w:styleId="Heading2">
    <w:name w:val="heading 2"/>
    <w:basedOn w:val="Chapter"/>
    <w:next w:val="BodyText"/>
    <w:qFormat/>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pPr>
      <w:spacing w:before="560" w:line="320" w:lineRule="exact"/>
      <w:ind w:left="0" w:firstLine="0"/>
      <w:outlineLvl w:val="2"/>
    </w:pPr>
    <w:rPr>
      <w:sz w:val="26"/>
    </w:rPr>
  </w:style>
  <w:style w:type="paragraph" w:styleId="Heading4">
    <w:name w:val="heading 4"/>
    <w:basedOn w:val="Heading3"/>
    <w:next w:val="BodyText"/>
    <w:qFormat/>
    <w:pPr>
      <w:spacing w:before="480"/>
      <w:outlineLvl w:val="3"/>
    </w:pPr>
    <w:rPr>
      <w:b w:val="0"/>
      <w:i/>
      <w:sz w:val="24"/>
    </w:rPr>
  </w:style>
  <w:style w:type="paragraph" w:styleId="Heading5">
    <w:name w:val="heading 5"/>
    <w:basedOn w:val="Heading4"/>
    <w:next w:val="BodyText"/>
    <w:qFormat/>
    <w:pPr>
      <w:outlineLvl w:val="4"/>
    </w:pPr>
    <w:rPr>
      <w:rFonts w:ascii="Times New Roman" w:hAnsi="Times New Roman"/>
      <w:sz w:val="26"/>
    </w:rPr>
  </w:style>
  <w:style w:type="paragraph" w:styleId="Heading6">
    <w:name w:val="heading 6"/>
    <w:basedOn w:val="Normal"/>
    <w:next w:val="Normal"/>
    <w:qFormat/>
    <w:pPr>
      <w:spacing w:before="240" w:after="60"/>
      <w:outlineLvl w:val="5"/>
    </w:pPr>
    <w:rPr>
      <w:i/>
      <w:sz w:val="22"/>
    </w:rPr>
  </w:style>
  <w:style w:type="paragraph" w:styleId="Heading7">
    <w:name w:val="heading 7"/>
    <w:basedOn w:val="Normal"/>
    <w:next w:val="Normal"/>
    <w:qFormat/>
    <w:pPr>
      <w:spacing w:before="240" w:after="60"/>
      <w:outlineLvl w:val="6"/>
    </w:pPr>
    <w:rPr>
      <w:rFonts w:ascii="Arial" w:hAnsi="Arial"/>
      <w:sz w:val="20"/>
    </w:rPr>
  </w:style>
  <w:style w:type="paragraph" w:styleId="Heading8">
    <w:name w:val="heading 8"/>
    <w:basedOn w:val="Normal"/>
    <w:next w:val="Normal"/>
    <w:qFormat/>
    <w:pPr>
      <w:spacing w:before="240" w:after="60"/>
      <w:outlineLvl w:val="7"/>
    </w:pPr>
    <w:rPr>
      <w:rFonts w:ascii="Arial" w:hAnsi="Arial"/>
      <w:i/>
      <w:sz w:val="20"/>
    </w:rPr>
  </w:style>
  <w:style w:type="paragraph" w:styleId="Heading9">
    <w:name w:val="heading 9"/>
    <w:basedOn w:val="Normal"/>
    <w:next w:val="Normal"/>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rsid w:val="00D37AC2"/>
    <w:pPr>
      <w:spacing w:before="240" w:line="320" w:lineRule="atLeast"/>
      <w:jc w:val="both"/>
    </w:pPr>
    <w:rPr>
      <w:sz w:val="26"/>
      <w:lang w:eastAsia="en-US"/>
    </w:rPr>
  </w:style>
  <w:style w:type="paragraph" w:customStyle="1" w:styleId="Abbreviation">
    <w:name w:val="Abbreviation"/>
    <w:basedOn w:val="BodyText"/>
    <w:pPr>
      <w:spacing w:before="120"/>
      <w:ind w:left="2381" w:hanging="2381"/>
      <w:jc w:val="left"/>
    </w:pPr>
  </w:style>
  <w:style w:type="paragraph" w:customStyle="1" w:styleId="Box">
    <w:name w:val="Box"/>
    <w:basedOn w:val="BodyText"/>
    <w:pPr>
      <w:keepNext/>
      <w:spacing w:before="120" w:line="280" w:lineRule="atLeast"/>
    </w:pPr>
    <w:rPr>
      <w:rFonts w:ascii="Arial" w:hAnsi="Arial"/>
      <w:sz w:val="22"/>
    </w:rPr>
  </w:style>
  <w:style w:type="paragraph" w:customStyle="1" w:styleId="Note">
    <w:name w:val="Note"/>
    <w:basedOn w:val="BodyText"/>
    <w:next w:val="Normal"/>
    <w:pPr>
      <w:keepLines/>
      <w:spacing w:before="80" w:line="220" w:lineRule="exact"/>
    </w:pPr>
    <w:rPr>
      <w:rFonts w:ascii="Arial" w:hAnsi="Arial"/>
      <w:sz w:val="18"/>
    </w:rPr>
  </w:style>
  <w:style w:type="paragraph" w:customStyle="1" w:styleId="Source">
    <w:name w:val="Source"/>
    <w:basedOn w:val="Note"/>
    <w:next w:val="BodyText"/>
    <w:pPr>
      <w:spacing w:after="120"/>
    </w:pPr>
  </w:style>
  <w:style w:type="paragraph" w:customStyle="1" w:styleId="BoxSource">
    <w:name w:val="Box Source"/>
    <w:basedOn w:val="Source"/>
    <w:next w:val="BodyText"/>
    <w:pPr>
      <w:spacing w:before="180" w:after="0"/>
    </w:pPr>
  </w:style>
  <w:style w:type="paragraph" w:customStyle="1" w:styleId="BoxContinued">
    <w:name w:val="Box Continued"/>
    <w:basedOn w:val="Normal"/>
    <w:next w:val="BodyText"/>
    <w:pPr>
      <w:spacing w:before="180" w:line="220" w:lineRule="exact"/>
      <w:jc w:val="right"/>
    </w:pPr>
    <w:rPr>
      <w:rFonts w:ascii="Arial" w:hAnsi="Arial"/>
      <w:sz w:val="18"/>
    </w:rPr>
  </w:style>
  <w:style w:type="paragraph" w:customStyle="1" w:styleId="BoxHeading1">
    <w:name w:val="Box Heading 1"/>
    <w:basedOn w:val="Box"/>
    <w:next w:val="Box"/>
    <w:pPr>
      <w:spacing w:before="200"/>
    </w:pPr>
    <w:rPr>
      <w:b/>
    </w:rPr>
  </w:style>
  <w:style w:type="paragraph" w:customStyle="1" w:styleId="BoxHeading2">
    <w:name w:val="Box Heading 2"/>
    <w:basedOn w:val="BoxHeading1"/>
    <w:next w:val="Box"/>
    <w:rPr>
      <w:b w:val="0"/>
      <w:i/>
    </w:rPr>
  </w:style>
  <w:style w:type="paragraph" w:customStyle="1" w:styleId="BoxListBullet">
    <w:name w:val="Box List Bullet"/>
    <w:basedOn w:val="Box"/>
    <w:rsid w:val="00DC78D3"/>
    <w:pPr>
      <w:numPr>
        <w:numId w:val="13"/>
      </w:numPr>
      <w:tabs>
        <w:tab w:val="clear" w:pos="360"/>
        <w:tab w:val="left" w:pos="284"/>
      </w:tabs>
      <w:spacing w:before="60"/>
    </w:pPr>
  </w:style>
  <w:style w:type="paragraph" w:customStyle="1" w:styleId="BoxListBullet2">
    <w:name w:val="Box List Bullet 2"/>
    <w:basedOn w:val="Box"/>
    <w:pPr>
      <w:numPr>
        <w:numId w:val="14"/>
      </w:numPr>
      <w:tabs>
        <w:tab w:val="left" w:pos="284"/>
        <w:tab w:val="left" w:pos="567"/>
      </w:tabs>
      <w:spacing w:before="60"/>
      <w:ind w:left="568"/>
    </w:pPr>
  </w:style>
  <w:style w:type="paragraph" w:customStyle="1" w:styleId="BoxListNumber">
    <w:name w:val="Box List Number"/>
    <w:basedOn w:val="Box"/>
    <w:rsid w:val="00DC78D3"/>
    <w:pPr>
      <w:numPr>
        <w:numId w:val="29"/>
      </w:numPr>
      <w:spacing w:before="60"/>
      <w:ind w:left="357" w:hanging="357"/>
    </w:pPr>
  </w:style>
  <w:style w:type="paragraph" w:customStyle="1" w:styleId="BoxListNumber2">
    <w:name w:val="Box List Number 2"/>
    <w:basedOn w:val="Normal"/>
    <w:rsid w:val="00743A27"/>
    <w:pPr>
      <w:keepNext/>
      <w:numPr>
        <w:ilvl w:val="1"/>
        <w:numId w:val="30"/>
      </w:numPr>
      <w:spacing w:before="60" w:line="280" w:lineRule="atLeast"/>
      <w:jc w:val="both"/>
    </w:pPr>
    <w:rPr>
      <w:rFonts w:ascii="Arial" w:hAnsi="Arial"/>
      <w:sz w:val="22"/>
      <w:lang w:eastAsia="en-AU"/>
    </w:rPr>
  </w:style>
  <w:style w:type="paragraph" w:customStyle="1" w:styleId="BoxQuote">
    <w:name w:val="Box Quote"/>
    <w:basedOn w:val="Box"/>
    <w:next w:val="Box"/>
    <w:pPr>
      <w:spacing w:before="60" w:line="260" w:lineRule="exact"/>
      <w:ind w:left="284"/>
    </w:pPr>
    <w:rPr>
      <w:sz w:val="20"/>
    </w:rPr>
  </w:style>
  <w:style w:type="paragraph" w:customStyle="1" w:styleId="BoxSpace">
    <w:name w:val="Box Space"/>
    <w:basedOn w:val="Normal"/>
    <w:pPr>
      <w:keepNext/>
      <w:spacing w:before="360" w:line="80" w:lineRule="exact"/>
    </w:pPr>
  </w:style>
  <w:style w:type="paragraph" w:styleId="Caption">
    <w:name w:val="caption"/>
    <w:basedOn w:val="Normal"/>
    <w:next w:val="BodyText"/>
    <w:qFormat/>
    <w:pPr>
      <w:keepNext/>
      <w:keepLines/>
      <w:spacing w:before="360" w:after="80" w:line="280" w:lineRule="exact"/>
      <w:ind w:left="1474" w:hanging="1474"/>
    </w:pPr>
    <w:rPr>
      <w:rFonts w:ascii="Arial" w:hAnsi="Arial"/>
      <w:b/>
      <w:sz w:val="24"/>
    </w:rPr>
  </w:style>
  <w:style w:type="paragraph" w:customStyle="1" w:styleId="BoxTitle">
    <w:name w:val="Box Title"/>
    <w:basedOn w:val="Caption"/>
    <w:next w:val="Normal"/>
    <w:rsid w:val="00106041"/>
    <w:pPr>
      <w:spacing w:before="120" w:after="0"/>
      <w:ind w:left="1304" w:hanging="1304"/>
    </w:pPr>
    <w:rPr>
      <w:b w:val="0"/>
    </w:rPr>
  </w:style>
  <w:style w:type="paragraph" w:customStyle="1" w:styleId="BoxSubtitle">
    <w:name w:val="Box Subtitle"/>
    <w:basedOn w:val="BoxTitle"/>
    <w:next w:val="Box"/>
    <w:pPr>
      <w:spacing w:after="80" w:line="200" w:lineRule="exact"/>
      <w:ind w:firstLine="0"/>
    </w:pPr>
    <w:rPr>
      <w:b/>
      <w:sz w:val="20"/>
    </w:rPr>
  </w:style>
  <w:style w:type="paragraph" w:customStyle="1" w:styleId="Chapter">
    <w:name w:val="Chapter"/>
    <w:basedOn w:val="Heading1"/>
    <w:next w:val="BodyText"/>
    <w:semiHidden/>
    <w:pPr>
      <w:ind w:left="0" w:firstLine="0"/>
      <w:outlineLvl w:val="9"/>
    </w:pPr>
  </w:style>
  <w:style w:type="paragraph" w:customStyle="1" w:styleId="ChapterSummary">
    <w:name w:val="Chapter Summary"/>
    <w:basedOn w:val="BodyText"/>
    <w:semiHidden/>
    <w:pPr>
      <w:ind w:left="907"/>
    </w:pPr>
    <w:rPr>
      <w:rFonts w:ascii="Arial" w:hAnsi="Arial"/>
      <w:b/>
      <w:sz w:val="22"/>
    </w:rPr>
  </w:style>
  <w:style w:type="character" w:styleId="CommentReference">
    <w:name w:val="annotation reference"/>
    <w:semiHidden/>
    <w:rPr>
      <w:b/>
      <w:vanish/>
      <w:color w:val="FF00FF"/>
      <w:sz w:val="20"/>
    </w:rPr>
  </w:style>
  <w:style w:type="paragraph" w:styleId="CommentText">
    <w:name w:val="annotation text"/>
    <w:basedOn w:val="Normal"/>
    <w:semiHidden/>
    <w:pPr>
      <w:spacing w:before="120" w:line="240" w:lineRule="atLeast"/>
      <w:ind w:left="567" w:hanging="567"/>
    </w:pPr>
    <w:rPr>
      <w:sz w:val="20"/>
    </w:rPr>
  </w:style>
  <w:style w:type="paragraph" w:customStyle="1" w:styleId="Continued">
    <w:name w:val="Continued"/>
    <w:basedOn w:val="BoxContinued"/>
    <w:next w:val="BodyText"/>
  </w:style>
  <w:style w:type="paragraph" w:customStyle="1" w:styleId="DocInfo">
    <w:name w:val="Doc Info"/>
    <w:basedOn w:val="Normal"/>
    <w:next w:val="Normal"/>
    <w:semiHidden/>
    <w:pPr>
      <w:jc w:val="center"/>
    </w:pPr>
    <w:rPr>
      <w:rFonts w:ascii="Arial" w:hAnsi="Arial"/>
      <w:sz w:val="14"/>
    </w:rPr>
  </w:style>
  <w:style w:type="paragraph" w:styleId="Footer">
    <w:name w:val="footer"/>
    <w:basedOn w:val="Normal"/>
    <w:link w:val="FooterChar"/>
    <w:pPr>
      <w:spacing w:before="80" w:line="200" w:lineRule="exact"/>
      <w:ind w:right="6"/>
    </w:pPr>
    <w:rPr>
      <w:caps/>
      <w:spacing w:val="-4"/>
      <w:sz w:val="16"/>
    </w:rPr>
  </w:style>
  <w:style w:type="character" w:customStyle="1" w:styleId="DocumentInfo">
    <w:name w:val="Document Info"/>
    <w:semiHidden/>
    <w:rPr>
      <w:rFonts w:ascii="Arial" w:hAnsi="Arial"/>
      <w:sz w:val="14"/>
    </w:rPr>
  </w:style>
  <w:style w:type="character" w:customStyle="1" w:styleId="DraftingNote">
    <w:name w:val="Drafting Note"/>
    <w:rPr>
      <w:b/>
      <w:color w:val="FF0000"/>
      <w:sz w:val="24"/>
      <w:u w:val="dotted"/>
    </w:rPr>
  </w:style>
  <w:style w:type="paragraph" w:customStyle="1" w:styleId="Figure">
    <w:name w:val="Figure"/>
    <w:basedOn w:val="BodyText"/>
    <w:pPr>
      <w:keepNext/>
      <w:spacing w:before="120" w:after="120" w:line="240" w:lineRule="atLeast"/>
      <w:jc w:val="center"/>
    </w:pPr>
  </w:style>
  <w:style w:type="paragraph" w:customStyle="1" w:styleId="FigureTitle">
    <w:name w:val="Figure Title"/>
    <w:basedOn w:val="Caption"/>
    <w:next w:val="Subtitle"/>
    <w:rsid w:val="00106041"/>
    <w:rPr>
      <w:b w:val="0"/>
    </w:rPr>
  </w:style>
  <w:style w:type="paragraph" w:styleId="Subtitle">
    <w:name w:val="Subtitle"/>
    <w:basedOn w:val="Caption"/>
    <w:qFormat/>
    <w:pPr>
      <w:spacing w:before="0" w:line="200" w:lineRule="exact"/>
      <w:ind w:firstLine="0"/>
    </w:pPr>
    <w:rPr>
      <w:b w:val="0"/>
      <w:sz w:val="20"/>
    </w:rPr>
  </w:style>
  <w:style w:type="paragraph" w:customStyle="1" w:styleId="Finding">
    <w:name w:val="Finding"/>
    <w:basedOn w:val="BodyText"/>
    <w:pPr>
      <w:spacing w:before="180"/>
    </w:pPr>
    <w:rPr>
      <w:i/>
    </w:rPr>
  </w:style>
  <w:style w:type="paragraph" w:customStyle="1" w:styleId="FindingBullet">
    <w:name w:val="Finding Bullet"/>
    <w:basedOn w:val="Finding"/>
    <w:pPr>
      <w:numPr>
        <w:numId w:val="15"/>
      </w:numPr>
      <w:spacing w:before="80"/>
    </w:pPr>
  </w:style>
  <w:style w:type="paragraph" w:customStyle="1" w:styleId="FindingNoTitle">
    <w:name w:val="Finding NoTitle"/>
    <w:basedOn w:val="Finding"/>
    <w:pPr>
      <w:spacing w:before="240"/>
    </w:pPr>
  </w:style>
  <w:style w:type="paragraph" w:customStyle="1" w:styleId="RecTitle">
    <w:name w:val="Rec Title"/>
    <w:basedOn w:val="BodyText"/>
    <w:next w:val="Normal"/>
    <w:pPr>
      <w:keepNext/>
      <w:framePr w:hSpace="181" w:wrap="notBeside" w:vAnchor="text" w:hAnchor="text" w:xAlign="outside" w:y="1"/>
    </w:pPr>
    <w:rPr>
      <w:caps/>
      <w:sz w:val="16"/>
    </w:rPr>
  </w:style>
  <w:style w:type="paragraph" w:customStyle="1" w:styleId="FindingTitle">
    <w:name w:val="Finding Title"/>
    <w:basedOn w:val="RecTitle"/>
    <w:next w:val="Finding"/>
    <w:pPr>
      <w:framePr w:wrap="notBeside"/>
    </w:pPr>
  </w:style>
  <w:style w:type="paragraph" w:customStyle="1" w:styleId="FooterEnd">
    <w:name w:val="Footer End"/>
    <w:basedOn w:val="Footer"/>
    <w:pPr>
      <w:spacing w:before="0" w:line="20" w:lineRule="exact"/>
    </w:pPr>
  </w:style>
  <w:style w:type="character" w:styleId="FootnoteReference">
    <w:name w:val="footnote reference"/>
    <w:semiHidden/>
    <w:rPr>
      <w:rFonts w:ascii="Times New Roman" w:hAnsi="Times New Roman"/>
      <w:position w:val="6"/>
      <w:sz w:val="22"/>
      <w:vertAlign w:val="baseline"/>
    </w:rPr>
  </w:style>
  <w:style w:type="paragraph" w:styleId="FootnoteText">
    <w:name w:val="footnote text"/>
    <w:basedOn w:val="BodyText"/>
    <w:semiHidden/>
    <w:pPr>
      <w:tabs>
        <w:tab w:val="left" w:pos="284"/>
      </w:tabs>
      <w:spacing w:before="80" w:line="260" w:lineRule="exact"/>
      <w:ind w:left="170" w:hanging="170"/>
    </w:pPr>
    <w:rPr>
      <w:sz w:val="22"/>
    </w:rPr>
  </w:style>
  <w:style w:type="paragraph" w:customStyle="1" w:styleId="Heading2NotTOC">
    <w:name w:val="Heading 2 Not TOC"/>
    <w:basedOn w:val="Heading2"/>
    <w:next w:val="BodyText"/>
    <w:rsid w:val="000B416E"/>
  </w:style>
  <w:style w:type="paragraph" w:customStyle="1" w:styleId="HeaderEnd">
    <w:name w:val="Header End"/>
    <w:basedOn w:val="Header"/>
    <w:rsid w:val="005C68FE"/>
    <w:pPr>
      <w:spacing w:line="20" w:lineRule="exact"/>
    </w:pPr>
  </w:style>
  <w:style w:type="paragraph" w:customStyle="1" w:styleId="HeaderEven">
    <w:name w:val="Header Even"/>
    <w:basedOn w:val="Header"/>
  </w:style>
  <w:style w:type="paragraph" w:customStyle="1" w:styleId="HeaderOdd">
    <w:name w:val="Header Odd"/>
    <w:basedOn w:val="Header"/>
    <w:rsid w:val="00181F4B"/>
  </w:style>
  <w:style w:type="paragraph" w:customStyle="1" w:styleId="InformationRequest">
    <w:name w:val="Information Request"/>
    <w:basedOn w:val="Finding"/>
    <w:next w:val="BodyText"/>
    <w:semiHidden/>
    <w:pPr>
      <w:spacing w:before="360" w:after="120"/>
    </w:pPr>
    <w:rPr>
      <w:rFonts w:ascii="Arial" w:hAnsi="Arial"/>
      <w:sz w:val="24"/>
    </w:rPr>
  </w:style>
  <w:style w:type="paragraph" w:styleId="ListBullet">
    <w:name w:val="List Bullet"/>
    <w:basedOn w:val="BodyText"/>
    <w:rsid w:val="00D37AC2"/>
    <w:pPr>
      <w:numPr>
        <w:numId w:val="16"/>
      </w:numPr>
      <w:spacing w:before="120"/>
    </w:pPr>
  </w:style>
  <w:style w:type="paragraph" w:styleId="ListBullet2">
    <w:name w:val="List Bullet 2"/>
    <w:basedOn w:val="BodyText"/>
    <w:rsid w:val="00D37AC2"/>
    <w:pPr>
      <w:numPr>
        <w:numId w:val="17"/>
      </w:numPr>
      <w:tabs>
        <w:tab w:val="clear" w:pos="644"/>
        <w:tab w:val="left" w:pos="680"/>
      </w:tabs>
      <w:spacing w:before="120"/>
      <w:ind w:left="680" w:hanging="340"/>
    </w:pPr>
  </w:style>
  <w:style w:type="paragraph" w:styleId="ListBullet3">
    <w:name w:val="List Bullet 3"/>
    <w:basedOn w:val="BodyText"/>
    <w:rsid w:val="00D37AC2"/>
    <w:pPr>
      <w:numPr>
        <w:numId w:val="18"/>
      </w:numPr>
      <w:tabs>
        <w:tab w:val="clear" w:pos="360"/>
        <w:tab w:val="left" w:pos="1021"/>
      </w:tabs>
      <w:spacing w:before="120"/>
      <w:ind w:left="1020"/>
    </w:pPr>
  </w:style>
  <w:style w:type="paragraph" w:styleId="ListNumber">
    <w:name w:val="List Number"/>
    <w:basedOn w:val="BodyText"/>
    <w:rsid w:val="005654D0"/>
    <w:pPr>
      <w:numPr>
        <w:numId w:val="28"/>
      </w:numPr>
      <w:spacing w:before="120"/>
    </w:pPr>
    <w:rPr>
      <w:lang w:eastAsia="en-AU"/>
    </w:rPr>
  </w:style>
  <w:style w:type="paragraph" w:styleId="ListNumber2">
    <w:name w:val="List Number 2"/>
    <w:basedOn w:val="ListNumber"/>
    <w:rsid w:val="000F2F5F"/>
    <w:pPr>
      <w:numPr>
        <w:ilvl w:val="1"/>
      </w:numPr>
      <w:tabs>
        <w:tab w:val="left" w:pos="794"/>
      </w:tabs>
    </w:pPr>
  </w:style>
  <w:style w:type="paragraph" w:styleId="ListNumber3">
    <w:name w:val="List Number 3"/>
    <w:basedOn w:val="ListNumber2"/>
    <w:rsid w:val="00D37AC2"/>
    <w:pPr>
      <w:numPr>
        <w:ilvl w:val="2"/>
      </w:numPr>
      <w:tabs>
        <w:tab w:val="clear" w:pos="794"/>
      </w:tabs>
    </w:pPr>
  </w:style>
  <w:style w:type="character" w:customStyle="1" w:styleId="NoteLabel">
    <w:name w:val="Note Label"/>
    <w:rPr>
      <w:rFonts w:ascii="Arial" w:hAnsi="Arial"/>
      <w:b/>
      <w:position w:val="6"/>
      <w:sz w:val="18"/>
    </w:rPr>
  </w:style>
  <w:style w:type="character" w:styleId="PageNumber">
    <w:name w:val="page number"/>
    <w:rsid w:val="00C0721B"/>
    <w:rPr>
      <w:rFonts w:ascii="Arial" w:hAnsi="Arial"/>
      <w:b/>
      <w:caps w:val="0"/>
      <w:smallCaps w:val="0"/>
      <w:sz w:val="16"/>
    </w:rPr>
  </w:style>
  <w:style w:type="paragraph" w:customStyle="1" w:styleId="PartDivider">
    <w:name w:val="Part Divider"/>
    <w:basedOn w:val="Normal"/>
    <w:next w:val="Normal"/>
    <w:pPr>
      <w:spacing w:line="40" w:lineRule="exact"/>
      <w:jc w:val="right"/>
    </w:pPr>
    <w:rPr>
      <w:smallCaps/>
      <w:sz w:val="16"/>
    </w:rPr>
  </w:style>
  <w:style w:type="paragraph" w:customStyle="1" w:styleId="PartNumber">
    <w:name w:val="Part Number"/>
    <w:basedOn w:val="Normal"/>
    <w:next w:val="Normal"/>
    <w:pPr>
      <w:spacing w:before="4000" w:line="320" w:lineRule="exact"/>
      <w:ind w:left="6634"/>
      <w:jc w:val="right"/>
    </w:pPr>
    <w:rPr>
      <w:smallCaps/>
      <w:spacing w:val="60"/>
      <w:sz w:val="32"/>
    </w:rPr>
  </w:style>
  <w:style w:type="paragraph" w:customStyle="1" w:styleId="PartTitle">
    <w:name w:val="Part Title"/>
    <w:basedOn w:val="Normal"/>
    <w:pPr>
      <w:spacing w:before="160" w:after="1360" w:line="520" w:lineRule="exact"/>
      <w:ind w:right="2381"/>
      <w:jc w:val="right"/>
    </w:pPr>
    <w:rPr>
      <w:smallCaps/>
      <w:sz w:val="52"/>
    </w:rPr>
  </w:style>
  <w:style w:type="paragraph" w:styleId="Quote">
    <w:name w:val="Quote"/>
    <w:basedOn w:val="BodyText"/>
    <w:next w:val="BodyText"/>
    <w:qFormat/>
    <w:pPr>
      <w:spacing w:before="120" w:line="280" w:lineRule="exact"/>
      <w:ind w:left="340"/>
    </w:pPr>
    <w:rPr>
      <w:sz w:val="24"/>
    </w:rPr>
  </w:style>
  <w:style w:type="paragraph" w:customStyle="1" w:styleId="Rec">
    <w:name w:val="Rec"/>
    <w:basedOn w:val="BodyText"/>
    <w:pPr>
      <w:spacing w:before="180"/>
    </w:pPr>
    <w:rPr>
      <w:b/>
      <w:i/>
    </w:rPr>
  </w:style>
  <w:style w:type="paragraph" w:customStyle="1" w:styleId="RecBullet">
    <w:name w:val="Rec Bullet"/>
    <w:basedOn w:val="Rec"/>
    <w:pPr>
      <w:numPr>
        <w:numId w:val="20"/>
      </w:numPr>
      <w:spacing w:before="80"/>
    </w:pPr>
  </w:style>
  <w:style w:type="paragraph" w:customStyle="1" w:styleId="RecB">
    <w:name w:val="RecB"/>
    <w:basedOn w:val="Rec"/>
    <w:pPr>
      <w:pBdr>
        <w:left w:val="single" w:sz="24" w:space="12" w:color="C0C0C0"/>
      </w:pBdr>
    </w:pPr>
  </w:style>
  <w:style w:type="paragraph" w:customStyle="1" w:styleId="RecBBullet">
    <w:name w:val="RecB Bullet"/>
    <w:basedOn w:val="RecB"/>
    <w:pPr>
      <w:numPr>
        <w:numId w:val="21"/>
      </w:numPr>
      <w:spacing w:before="80"/>
    </w:pPr>
  </w:style>
  <w:style w:type="paragraph" w:customStyle="1" w:styleId="RecBNoTitle">
    <w:name w:val="RecB NoTitle"/>
    <w:basedOn w:val="RecB"/>
    <w:pPr>
      <w:spacing w:before="240"/>
    </w:pPr>
  </w:style>
  <w:style w:type="paragraph" w:customStyle="1" w:styleId="Reference">
    <w:name w:val="Reference"/>
    <w:basedOn w:val="BodyText"/>
    <w:pPr>
      <w:spacing w:before="120"/>
      <w:ind w:left="340" w:hanging="340"/>
    </w:pPr>
  </w:style>
  <w:style w:type="paragraph" w:customStyle="1" w:styleId="SequenceInfo">
    <w:name w:val="Sequence Info"/>
    <w:basedOn w:val="Normal"/>
    <w:rPr>
      <w:vanish/>
      <w:sz w:val="16"/>
    </w:rPr>
  </w:style>
  <w:style w:type="paragraph" w:customStyle="1" w:styleId="SideNote">
    <w:name w:val="Side Note"/>
    <w:basedOn w:val="BodyText"/>
    <w:next w:val="BodyText"/>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pPr>
      <w:framePr w:wrap="around"/>
      <w:numPr>
        <w:numId w:val="22"/>
      </w:numPr>
      <w:tabs>
        <w:tab w:val="left" w:pos="227"/>
      </w:tabs>
    </w:pPr>
  </w:style>
  <w:style w:type="paragraph" w:customStyle="1" w:styleId="SideNoteGraphic">
    <w:name w:val="Side Note Graphic"/>
    <w:basedOn w:val="SideNote"/>
    <w:next w:val="BodyText"/>
    <w:pPr>
      <w:framePr w:wrap="around"/>
    </w:pPr>
  </w:style>
  <w:style w:type="paragraph" w:customStyle="1" w:styleId="TableBodyText">
    <w:name w:val="Table Body Text"/>
    <w:basedOn w:val="BodyText"/>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pPr>
      <w:numPr>
        <w:numId w:val="23"/>
      </w:numPr>
      <w:tabs>
        <w:tab w:val="left" w:pos="170"/>
      </w:tabs>
      <w:jc w:val="left"/>
    </w:pPr>
  </w:style>
  <w:style w:type="paragraph" w:customStyle="1" w:styleId="TableColumnHeading">
    <w:name w:val="Table Column Heading"/>
    <w:basedOn w:val="TableBodyText"/>
    <w:pPr>
      <w:spacing w:before="80" w:after="80"/>
    </w:pPr>
    <w:rPr>
      <w:i/>
    </w:rPr>
  </w:style>
  <w:style w:type="paragraph" w:styleId="TOC2">
    <w:name w:val="toc 2"/>
    <w:basedOn w:val="TOC1"/>
    <w:uiPriority w:val="39"/>
    <w:rsid w:val="00433C81"/>
    <w:pPr>
      <w:ind w:left="1020"/>
    </w:pPr>
    <w:rPr>
      <w:b w:val="0"/>
    </w:rPr>
  </w:style>
  <w:style w:type="paragraph" w:styleId="TOC3">
    <w:name w:val="toc 3"/>
    <w:basedOn w:val="TOC2"/>
    <w:rsid w:val="00D772E9"/>
    <w:pPr>
      <w:spacing w:before="60"/>
      <w:ind w:left="1190" w:hanging="680"/>
    </w:pPr>
  </w:style>
  <w:style w:type="paragraph" w:styleId="TableofFigures">
    <w:name w:val="table of figures"/>
    <w:basedOn w:val="TOC3"/>
    <w:next w:val="BodyText"/>
    <w:rsid w:val="00B722F2"/>
    <w:pPr>
      <w:tabs>
        <w:tab w:val="left" w:pos="1191"/>
      </w:tabs>
      <w:ind w:left="737" w:hanging="737"/>
    </w:pPr>
  </w:style>
  <w:style w:type="paragraph" w:customStyle="1" w:styleId="TableTitle">
    <w:name w:val="Table Title"/>
    <w:basedOn w:val="Caption"/>
    <w:next w:val="Subtitle"/>
    <w:rsid w:val="00106041"/>
    <w:rPr>
      <w:b w:val="0"/>
    </w:rPr>
  </w:style>
  <w:style w:type="paragraph" w:customStyle="1" w:styleId="TableUnitsRow">
    <w:name w:val="Table Units Row"/>
    <w:basedOn w:val="TableBodyText"/>
    <w:pPr>
      <w:spacing w:before="80" w:after="80"/>
    </w:pPr>
  </w:style>
  <w:style w:type="paragraph" w:styleId="TOC1">
    <w:name w:val="toc 1"/>
    <w:basedOn w:val="Normal"/>
    <w:next w:val="TOC2"/>
    <w:uiPriority w:val="39"/>
    <w:rsid w:val="00D772E9"/>
    <w:pPr>
      <w:tabs>
        <w:tab w:val="right" w:pos="8789"/>
      </w:tabs>
      <w:spacing w:before="120" w:line="320" w:lineRule="exact"/>
      <w:ind w:left="510" w:right="851" w:hanging="510"/>
    </w:pPr>
    <w:rPr>
      <w:b/>
      <w:szCs w:val="26"/>
    </w:rPr>
  </w:style>
  <w:style w:type="paragraph" w:styleId="TOC4">
    <w:name w:val="toc 4"/>
    <w:basedOn w:val="TOC3"/>
    <w:autoRedefine/>
    <w:semiHidden/>
    <w:rsid w:val="00DA3281"/>
    <w:pPr>
      <w:ind w:left="765" w:firstLine="0"/>
    </w:pPr>
  </w:style>
  <w:style w:type="paragraph" w:styleId="Header">
    <w:name w:val="header"/>
    <w:basedOn w:val="Normal"/>
    <w:rsid w:val="00181F4B"/>
    <w:pPr>
      <w:tabs>
        <w:tab w:val="center" w:pos="4394"/>
        <w:tab w:val="right" w:pos="8789"/>
      </w:tabs>
      <w:spacing w:line="240" w:lineRule="atLeast"/>
    </w:pPr>
    <w:rPr>
      <w:rFonts w:ascii="Arial" w:hAnsi="Arial"/>
      <w:caps/>
      <w:sz w:val="16"/>
    </w:rPr>
  </w:style>
  <w:style w:type="paragraph" w:customStyle="1" w:styleId="QuoteBullet">
    <w:name w:val="Quote Bullet"/>
    <w:basedOn w:val="Quote"/>
    <w:pPr>
      <w:numPr>
        <w:numId w:val="19"/>
      </w:numPr>
    </w:pPr>
  </w:style>
  <w:style w:type="paragraph" w:styleId="BalloonText">
    <w:name w:val="Balloon Text"/>
    <w:basedOn w:val="Normal"/>
    <w:semiHidden/>
    <w:rsid w:val="002B64D6"/>
    <w:rPr>
      <w:rFonts w:ascii="Tahoma" w:hAnsi="Tahoma" w:cs="Tahoma"/>
      <w:sz w:val="16"/>
      <w:szCs w:val="16"/>
    </w:rPr>
  </w:style>
  <w:style w:type="character" w:customStyle="1" w:styleId="BodyTextChar">
    <w:name w:val="Body Text Char"/>
    <w:link w:val="BodyText"/>
    <w:locked/>
    <w:rsid w:val="00D37AC2"/>
    <w:rPr>
      <w:sz w:val="26"/>
      <w:lang w:eastAsia="en-US"/>
    </w:rPr>
  </w:style>
  <w:style w:type="paragraph" w:customStyle="1" w:styleId="Heading1NotTOC">
    <w:name w:val="Heading 1 Not TOC"/>
    <w:basedOn w:val="Heading1"/>
    <w:next w:val="BodyText"/>
    <w:rsid w:val="00F7477E"/>
    <w:rPr>
      <w:szCs w:val="26"/>
    </w:rPr>
  </w:style>
  <w:style w:type="paragraph" w:customStyle="1" w:styleId="PCAddress">
    <w:name w:val="PC Address"/>
    <w:basedOn w:val="Normal"/>
    <w:rsid w:val="003B41E0"/>
    <w:pPr>
      <w:tabs>
        <w:tab w:val="left" w:pos="866"/>
      </w:tabs>
      <w:spacing w:after="60"/>
    </w:pPr>
    <w:rPr>
      <w:rFonts w:ascii="GoudyOlSt BT" w:hAnsi="GoudyOlSt BT"/>
      <w:sz w:val="16"/>
      <w:lang w:eastAsia="en-AU"/>
    </w:rPr>
  </w:style>
  <w:style w:type="paragraph" w:styleId="Salutation">
    <w:name w:val="Salutation"/>
    <w:basedOn w:val="Normal"/>
    <w:next w:val="Normal"/>
    <w:link w:val="SalutationChar"/>
    <w:autoRedefine/>
    <w:rsid w:val="003B41E0"/>
    <w:rPr>
      <w:noProof/>
      <w:sz w:val="24"/>
      <w:lang w:eastAsia="en-AU"/>
    </w:rPr>
  </w:style>
  <w:style w:type="character" w:customStyle="1" w:styleId="SalutationChar">
    <w:name w:val="Salutation Char"/>
    <w:basedOn w:val="DefaultParagraphFont"/>
    <w:link w:val="Salutation"/>
    <w:rsid w:val="003B41E0"/>
    <w:rPr>
      <w:noProof/>
      <w:sz w:val="24"/>
    </w:rPr>
  </w:style>
  <w:style w:type="paragraph" w:customStyle="1" w:styleId="Signoff">
    <w:name w:val="Signoff"/>
    <w:basedOn w:val="Normal"/>
    <w:autoRedefine/>
    <w:rsid w:val="003B41E0"/>
    <w:pPr>
      <w:spacing w:before="480" w:after="1000"/>
    </w:pPr>
    <w:rPr>
      <w:sz w:val="24"/>
      <w:lang w:eastAsia="en-AU"/>
    </w:rPr>
  </w:style>
  <w:style w:type="paragraph" w:customStyle="1" w:styleId="LetterDate">
    <w:name w:val="Letter Date"/>
    <w:basedOn w:val="BodyText"/>
    <w:rsid w:val="003B41E0"/>
    <w:pPr>
      <w:spacing w:before="0" w:after="240" w:line="240" w:lineRule="auto"/>
      <w:ind w:left="-108"/>
      <w:jc w:val="left"/>
    </w:pPr>
    <w:rPr>
      <w:sz w:val="24"/>
      <w:lang w:eastAsia="en-AU"/>
    </w:rPr>
  </w:style>
  <w:style w:type="paragraph" w:customStyle="1" w:styleId="LetterAddress">
    <w:name w:val="Letter Address"/>
    <w:basedOn w:val="BodyText"/>
    <w:rsid w:val="003B41E0"/>
    <w:pPr>
      <w:spacing w:before="0" w:line="240" w:lineRule="auto"/>
      <w:jc w:val="left"/>
    </w:pPr>
    <w:rPr>
      <w:sz w:val="24"/>
      <w:lang w:eastAsia="en-AU"/>
    </w:rPr>
  </w:style>
  <w:style w:type="paragraph" w:customStyle="1" w:styleId="PCBoxHeading">
    <w:name w:val="PC Box Heading"/>
    <w:basedOn w:val="BodyText"/>
    <w:link w:val="PCBoxHeadingChar"/>
    <w:qFormat/>
    <w:rsid w:val="00F4234E"/>
    <w:pPr>
      <w:pBdr>
        <w:top w:val="single" w:sz="4" w:space="5" w:color="auto"/>
        <w:left w:val="single" w:sz="4" w:space="8" w:color="auto"/>
        <w:bottom w:val="single" w:sz="4" w:space="14" w:color="auto"/>
        <w:right w:val="single" w:sz="4" w:space="8" w:color="auto"/>
      </w:pBdr>
      <w:spacing w:before="120" w:line="240" w:lineRule="auto"/>
      <w:ind w:left="284" w:right="284"/>
    </w:pPr>
    <w:rPr>
      <w:b/>
      <w:i/>
      <w:sz w:val="24"/>
      <w:szCs w:val="24"/>
    </w:rPr>
  </w:style>
  <w:style w:type="paragraph" w:customStyle="1" w:styleId="PCBoxtext">
    <w:name w:val="PC Box text"/>
    <w:basedOn w:val="BodyText"/>
    <w:link w:val="PCBoxtextChar"/>
    <w:rsid w:val="00F4234E"/>
    <w:pPr>
      <w:pBdr>
        <w:top w:val="single" w:sz="4" w:space="5" w:color="auto"/>
        <w:left w:val="single" w:sz="4" w:space="8" w:color="auto"/>
        <w:bottom w:val="single" w:sz="4" w:space="14" w:color="auto"/>
        <w:right w:val="single" w:sz="4" w:space="8" w:color="auto"/>
      </w:pBdr>
      <w:spacing w:before="160" w:line="240" w:lineRule="auto"/>
      <w:ind w:left="284" w:right="284"/>
    </w:pPr>
    <w:rPr>
      <w:sz w:val="24"/>
      <w:szCs w:val="24"/>
    </w:rPr>
  </w:style>
  <w:style w:type="character" w:customStyle="1" w:styleId="PCBoxHeadingChar">
    <w:name w:val="PC Box Heading Char"/>
    <w:basedOn w:val="BodyTextChar"/>
    <w:link w:val="PCBoxHeading"/>
    <w:rsid w:val="00F4234E"/>
    <w:rPr>
      <w:b/>
      <w:i/>
      <w:sz w:val="24"/>
      <w:szCs w:val="24"/>
      <w:lang w:eastAsia="en-US"/>
    </w:rPr>
  </w:style>
  <w:style w:type="character" w:customStyle="1" w:styleId="PCBoxtextChar">
    <w:name w:val="PC Box text Char"/>
    <w:basedOn w:val="BodyTextChar"/>
    <w:link w:val="PCBoxtext"/>
    <w:rsid w:val="00F4234E"/>
    <w:rPr>
      <w:sz w:val="24"/>
      <w:szCs w:val="24"/>
      <w:lang w:eastAsia="en-US"/>
    </w:rPr>
  </w:style>
  <w:style w:type="character" w:styleId="Hyperlink">
    <w:name w:val="Hyperlink"/>
    <w:basedOn w:val="DefaultParagraphFont"/>
    <w:unhideWhenUsed/>
    <w:rsid w:val="00CD5E6B"/>
    <w:rPr>
      <w:rFonts w:ascii="Times New Roman" w:hAnsi="Times New Roman" w:cs="Times New Roman" w:hint="default"/>
      <w:color w:val="000000"/>
      <w:u w:val="single"/>
    </w:rPr>
  </w:style>
  <w:style w:type="table" w:styleId="TableGrid">
    <w:name w:val="Table Grid"/>
    <w:basedOn w:val="TableNormal"/>
    <w:rsid w:val="00F8526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oterChar">
    <w:name w:val="Footer Char"/>
    <w:basedOn w:val="DefaultParagraphFont"/>
    <w:link w:val="Footer"/>
    <w:rsid w:val="00F85265"/>
    <w:rPr>
      <w:caps/>
      <w:spacing w:val="-4"/>
      <w:sz w:val="16"/>
      <w:lang w:eastAsia="en-US"/>
    </w:rPr>
  </w:style>
  <w:style w:type="character" w:customStyle="1" w:styleId="Heading1Char">
    <w:name w:val="Heading 1 Char"/>
    <w:basedOn w:val="DefaultParagraphFont"/>
    <w:link w:val="Heading1"/>
    <w:rsid w:val="00F85265"/>
    <w:rPr>
      <w:kern w:val="28"/>
      <w:sz w:val="5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478255">
      <w:bodyDiv w:val="1"/>
      <w:marLeft w:val="0"/>
      <w:marRight w:val="0"/>
      <w:marTop w:val="0"/>
      <w:marBottom w:val="0"/>
      <w:divBdr>
        <w:top w:val="none" w:sz="0" w:space="0" w:color="auto"/>
        <w:left w:val="none" w:sz="0" w:space="0" w:color="auto"/>
        <w:bottom w:val="none" w:sz="0" w:space="0" w:color="auto"/>
        <w:right w:val="none" w:sz="0" w:space="0" w:color="auto"/>
      </w:divBdr>
    </w:div>
    <w:div w:id="7395184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header" Target="header5.xml"/><Relationship Id="rId3" Type="http://schemas.microsoft.com/office/2007/relationships/stylesWithEffects" Target="stylesWithEffects.xml"/><Relationship Id="rId21" Type="http://schemas.openxmlformats.org/officeDocument/2006/relationships/footer" Target="footer6.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oter" Target="footer4.xml"/><Relationship Id="rId2" Type="http://schemas.openxmlformats.org/officeDocument/2006/relationships/styles" Target="styles.xml"/><Relationship Id="rId16" Type="http://schemas.openxmlformats.org/officeDocument/2006/relationships/footer" Target="footer3.xml"/><Relationship Id="rId20" Type="http://schemas.openxmlformats.org/officeDocument/2006/relationships/footer" Target="footer5.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prelim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prelims.dotm</Template>
  <TotalTime>0</TotalTime>
  <Pages>13</Pages>
  <Words>1964</Words>
  <Characters>11799</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Productivity Commission</vt:lpstr>
    </vt:vector>
  </TitlesOfParts>
  <Company>Productivity Commission</Company>
  <LinksUpToDate>false</LinksUpToDate>
  <CharactersWithSpaces>13736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Productivity Commission</dc:title>
  <dc:creator>Productivity Commission</dc:creator>
  <cp:lastModifiedBy>Productivity Commission</cp:lastModifiedBy>
  <cp:revision>2</cp:revision>
  <cp:lastPrinted>2013-09-23T23:15:00Z</cp:lastPrinted>
  <dcterms:created xsi:type="dcterms:W3CDTF">2013-10-10T02:56:00Z</dcterms:created>
  <dcterms:modified xsi:type="dcterms:W3CDTF">2013-10-10T02:56:00Z</dcterms:modified>
</cp:coreProperties>
</file>