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74E" w:rsidRDefault="005B174E" w:rsidP="00071327">
      <w:pPr>
        <w:tabs>
          <w:tab w:val="left" w:pos="2268"/>
        </w:tabs>
        <w:spacing w:line="260" w:lineRule="atLeast"/>
        <w:rPr>
          <w:rFonts w:ascii="Arial" w:hAnsi="Arial" w:cs="Arial"/>
          <w:sz w:val="20"/>
          <w:lang w:val="en-US"/>
        </w:rPr>
      </w:pPr>
      <w:bookmarkStart w:id="0" w:name="_GoBack"/>
      <w:bookmarkEnd w:id="0"/>
      <w:r>
        <w:rPr>
          <w:rFonts w:ascii="Arial" w:hAnsi="Arial" w:cs="Arial"/>
          <w:sz w:val="20"/>
          <w:lang w:val="en-US"/>
        </w:rPr>
        <w:t>Friday 1</w:t>
      </w:r>
      <w:r w:rsidR="00917A18">
        <w:rPr>
          <w:rFonts w:ascii="Arial" w:hAnsi="Arial" w:cs="Arial"/>
          <w:sz w:val="20"/>
          <w:lang w:val="en-US"/>
        </w:rPr>
        <w:t xml:space="preserve">5 </w:t>
      </w:r>
      <w:r>
        <w:rPr>
          <w:rFonts w:ascii="Arial" w:hAnsi="Arial" w:cs="Arial"/>
          <w:sz w:val="20"/>
          <w:lang w:val="en-US"/>
        </w:rPr>
        <w:t>March 2013</w:t>
      </w:r>
    </w:p>
    <w:p w:rsidR="005B174E" w:rsidRDefault="005B174E" w:rsidP="005B174E">
      <w:pPr>
        <w:pStyle w:val="NormalWeb"/>
        <w:shd w:val="clear" w:color="auto" w:fill="FFFFFF"/>
        <w:spacing w:before="0" w:beforeAutospacing="0" w:after="0" w:line="260" w:lineRule="atLeast"/>
        <w:rPr>
          <w:rFonts w:ascii="Arial" w:hAnsi="Arial" w:cs="Arial"/>
          <w:color w:val="000000"/>
          <w:sz w:val="20"/>
          <w:szCs w:val="20"/>
          <w:lang w:val="en-AU"/>
        </w:rPr>
      </w:pPr>
    </w:p>
    <w:p w:rsidR="005B174E" w:rsidRDefault="005B174E" w:rsidP="005B174E">
      <w:pPr>
        <w:pStyle w:val="NormalWeb"/>
        <w:shd w:val="clear" w:color="auto" w:fill="FFFFFF"/>
        <w:spacing w:before="0" w:beforeAutospacing="0" w:after="0" w:line="260" w:lineRule="atLeast"/>
        <w:rPr>
          <w:rFonts w:ascii="Arial" w:hAnsi="Arial" w:cs="Arial"/>
          <w:color w:val="000000"/>
          <w:sz w:val="20"/>
          <w:szCs w:val="20"/>
          <w:lang w:val="en-AU"/>
        </w:rPr>
      </w:pPr>
    </w:p>
    <w:p w:rsidR="00790F59" w:rsidRDefault="00790F59" w:rsidP="005B174E">
      <w:pPr>
        <w:pStyle w:val="NormalWeb"/>
        <w:shd w:val="clear" w:color="auto" w:fill="FFFFFF"/>
        <w:spacing w:before="0" w:beforeAutospacing="0" w:after="0" w:line="260" w:lineRule="atLeast"/>
        <w:rPr>
          <w:rFonts w:ascii="Arial" w:hAnsi="Arial" w:cs="Arial"/>
          <w:color w:val="000000"/>
          <w:sz w:val="20"/>
          <w:szCs w:val="20"/>
          <w:lang w:val="en-AU"/>
        </w:rPr>
      </w:pPr>
    </w:p>
    <w:p w:rsidR="00D04E1C" w:rsidRDefault="00D04E1C" w:rsidP="005B174E">
      <w:pPr>
        <w:pStyle w:val="NormalWeb"/>
        <w:shd w:val="clear" w:color="auto" w:fill="FFFFFF"/>
        <w:spacing w:before="0" w:beforeAutospacing="0" w:after="0" w:line="260" w:lineRule="atLeast"/>
        <w:rPr>
          <w:rFonts w:ascii="Arial" w:hAnsi="Arial" w:cs="Arial"/>
          <w:sz w:val="20"/>
          <w:szCs w:val="20"/>
        </w:rPr>
      </w:pPr>
      <w:r>
        <w:rPr>
          <w:rFonts w:ascii="Arial" w:hAnsi="Arial" w:cs="Arial"/>
          <w:sz w:val="20"/>
          <w:szCs w:val="20"/>
        </w:rPr>
        <w:t>Mike Woods</w:t>
      </w:r>
    </w:p>
    <w:p w:rsidR="00D04E1C" w:rsidRDefault="00D04E1C" w:rsidP="005B174E">
      <w:pPr>
        <w:pStyle w:val="NormalWeb"/>
        <w:shd w:val="clear" w:color="auto" w:fill="FFFFFF"/>
        <w:spacing w:before="0" w:beforeAutospacing="0" w:after="0" w:line="260" w:lineRule="atLeast"/>
        <w:rPr>
          <w:rFonts w:ascii="Arial" w:hAnsi="Arial" w:cs="Arial"/>
          <w:sz w:val="20"/>
          <w:szCs w:val="20"/>
        </w:rPr>
      </w:pPr>
      <w:r>
        <w:rPr>
          <w:rFonts w:ascii="Arial" w:hAnsi="Arial" w:cs="Arial"/>
          <w:sz w:val="20"/>
          <w:szCs w:val="20"/>
        </w:rPr>
        <w:t xml:space="preserve">Presiding Commissioner </w:t>
      </w:r>
    </w:p>
    <w:p w:rsidR="00D04E1C" w:rsidRPr="00D04E1C" w:rsidRDefault="00D04E1C" w:rsidP="005B174E">
      <w:pPr>
        <w:pStyle w:val="NormalWeb"/>
        <w:shd w:val="clear" w:color="auto" w:fill="FFFFFF"/>
        <w:spacing w:before="0" w:beforeAutospacing="0" w:after="0" w:line="260" w:lineRule="atLeast"/>
        <w:rPr>
          <w:rFonts w:ascii="Arial" w:hAnsi="Arial" w:cs="Arial"/>
          <w:sz w:val="20"/>
          <w:szCs w:val="20"/>
        </w:rPr>
      </w:pPr>
      <w:r w:rsidRPr="00D04E1C">
        <w:rPr>
          <w:rFonts w:ascii="Arial" w:hAnsi="Arial" w:cs="Arial"/>
          <w:sz w:val="20"/>
          <w:szCs w:val="20"/>
        </w:rPr>
        <w:t>Resource Exploration Inquiry</w:t>
      </w:r>
    </w:p>
    <w:p w:rsidR="00D04E1C" w:rsidRPr="00D04E1C" w:rsidRDefault="00D04E1C" w:rsidP="005B174E">
      <w:pPr>
        <w:pStyle w:val="NormalWeb"/>
        <w:shd w:val="clear" w:color="auto" w:fill="FFFFFF"/>
        <w:spacing w:before="0" w:beforeAutospacing="0" w:after="0" w:line="260" w:lineRule="atLeast"/>
        <w:rPr>
          <w:rFonts w:ascii="Arial" w:hAnsi="Arial" w:cs="Arial"/>
          <w:sz w:val="20"/>
          <w:szCs w:val="20"/>
        </w:rPr>
      </w:pPr>
      <w:r w:rsidRPr="00D04E1C">
        <w:rPr>
          <w:rFonts w:ascii="Arial" w:hAnsi="Arial" w:cs="Arial"/>
          <w:sz w:val="20"/>
          <w:szCs w:val="20"/>
        </w:rPr>
        <w:t>Productivity Commission</w:t>
      </w:r>
      <w:r w:rsidRPr="00D04E1C">
        <w:rPr>
          <w:rFonts w:ascii="Arial" w:hAnsi="Arial" w:cs="Arial"/>
          <w:sz w:val="20"/>
          <w:szCs w:val="20"/>
        </w:rPr>
        <w:tab/>
      </w:r>
    </w:p>
    <w:p w:rsidR="00D04E1C" w:rsidRPr="00D04E1C" w:rsidRDefault="00D04E1C" w:rsidP="005B174E">
      <w:pPr>
        <w:pStyle w:val="NormalWeb"/>
        <w:shd w:val="clear" w:color="auto" w:fill="FFFFFF"/>
        <w:spacing w:before="0" w:beforeAutospacing="0" w:after="0" w:line="260" w:lineRule="atLeast"/>
        <w:rPr>
          <w:rFonts w:ascii="Arial" w:hAnsi="Arial" w:cs="Arial"/>
          <w:sz w:val="20"/>
          <w:szCs w:val="20"/>
        </w:rPr>
      </w:pPr>
      <w:r w:rsidRPr="00D04E1C">
        <w:rPr>
          <w:rFonts w:ascii="Arial" w:hAnsi="Arial" w:cs="Arial"/>
          <w:sz w:val="20"/>
          <w:szCs w:val="20"/>
        </w:rPr>
        <w:t>GPO Box 1428</w:t>
      </w:r>
    </w:p>
    <w:p w:rsidR="00D04E1C" w:rsidRPr="00D04E1C" w:rsidRDefault="009C0256" w:rsidP="005B174E">
      <w:pPr>
        <w:pStyle w:val="NormalWeb"/>
        <w:shd w:val="clear" w:color="auto" w:fill="FFFFFF"/>
        <w:spacing w:before="0" w:beforeAutospacing="0" w:after="0" w:line="260" w:lineRule="atLeast"/>
        <w:rPr>
          <w:rFonts w:ascii="Arial" w:hAnsi="Arial" w:cs="Arial"/>
          <w:sz w:val="20"/>
          <w:szCs w:val="20"/>
        </w:rPr>
      </w:pPr>
      <w:r>
        <w:rPr>
          <w:rFonts w:ascii="Arial" w:hAnsi="Arial" w:cs="Arial"/>
          <w:sz w:val="20"/>
          <w:szCs w:val="20"/>
        </w:rPr>
        <w:t xml:space="preserve">Canberra City  ACT </w:t>
      </w:r>
      <w:r w:rsidR="00D04E1C" w:rsidRPr="00D04E1C">
        <w:rPr>
          <w:rFonts w:ascii="Arial" w:hAnsi="Arial" w:cs="Arial"/>
          <w:sz w:val="20"/>
          <w:szCs w:val="20"/>
        </w:rPr>
        <w:t>2601</w:t>
      </w:r>
    </w:p>
    <w:p w:rsidR="00D04E1C" w:rsidRPr="00D04E1C" w:rsidRDefault="00D04E1C" w:rsidP="005B174E">
      <w:pPr>
        <w:pStyle w:val="NormalWeb"/>
        <w:shd w:val="clear" w:color="auto" w:fill="FFFFFF"/>
        <w:spacing w:before="0" w:beforeAutospacing="0" w:after="0" w:line="260" w:lineRule="atLeast"/>
        <w:rPr>
          <w:rFonts w:ascii="Arial" w:hAnsi="Arial" w:cs="Arial"/>
          <w:sz w:val="20"/>
          <w:szCs w:val="20"/>
        </w:rPr>
      </w:pPr>
      <w:r w:rsidRPr="00D04E1C">
        <w:rPr>
          <w:rFonts w:ascii="Arial" w:hAnsi="Arial" w:cs="Arial"/>
          <w:sz w:val="20"/>
          <w:szCs w:val="20"/>
        </w:rPr>
        <w:t xml:space="preserve">Email </w:t>
      </w:r>
      <w:hyperlink r:id="rId9" w:history="1">
        <w:r w:rsidRPr="00D04E1C">
          <w:rPr>
            <w:rStyle w:val="Hyperlink"/>
            <w:rFonts w:ascii="Arial" w:hAnsi="Arial" w:cs="Arial"/>
            <w:sz w:val="20"/>
            <w:szCs w:val="20"/>
          </w:rPr>
          <w:t>resourceexploration@pc.gov.au</w:t>
        </w:r>
      </w:hyperlink>
    </w:p>
    <w:p w:rsidR="00206BA1" w:rsidRPr="00CB5DF5" w:rsidRDefault="00206BA1" w:rsidP="005B174E">
      <w:pPr>
        <w:spacing w:line="260" w:lineRule="atLeast"/>
        <w:rPr>
          <w:rFonts w:ascii="Arial" w:hAnsi="Arial" w:cs="Arial"/>
          <w:sz w:val="20"/>
        </w:rPr>
      </w:pPr>
    </w:p>
    <w:p w:rsidR="00206BA1" w:rsidRDefault="00206BA1" w:rsidP="005B174E">
      <w:pPr>
        <w:spacing w:line="260" w:lineRule="atLeast"/>
        <w:jc w:val="both"/>
        <w:rPr>
          <w:rFonts w:ascii="Arial" w:hAnsi="Arial" w:cs="Arial"/>
          <w:sz w:val="20"/>
        </w:rPr>
      </w:pPr>
    </w:p>
    <w:p w:rsidR="00790F59" w:rsidRPr="00CB5DF5" w:rsidRDefault="00790F59" w:rsidP="005B174E">
      <w:pPr>
        <w:spacing w:line="260" w:lineRule="atLeast"/>
        <w:jc w:val="both"/>
        <w:rPr>
          <w:rFonts w:ascii="Arial" w:hAnsi="Arial" w:cs="Arial"/>
          <w:sz w:val="20"/>
        </w:rPr>
      </w:pPr>
    </w:p>
    <w:p w:rsidR="00547B34" w:rsidRPr="00CB5DF5" w:rsidRDefault="00547B34" w:rsidP="005B174E">
      <w:pPr>
        <w:pStyle w:val="Salutation"/>
        <w:spacing w:line="260" w:lineRule="atLeast"/>
        <w:jc w:val="both"/>
        <w:rPr>
          <w:rFonts w:ascii="Arial" w:hAnsi="Arial" w:cs="Arial"/>
          <w:sz w:val="20"/>
          <w:szCs w:val="20"/>
          <w:lang w:val="en-GB"/>
        </w:rPr>
      </w:pPr>
      <w:r w:rsidRPr="00CB5DF5">
        <w:rPr>
          <w:rFonts w:ascii="Arial" w:hAnsi="Arial" w:cs="Arial"/>
          <w:sz w:val="20"/>
          <w:szCs w:val="20"/>
          <w:lang w:val="en-GB"/>
        </w:rPr>
        <w:t>Dear</w:t>
      </w:r>
      <w:r w:rsidR="00EA43FC" w:rsidRPr="00CB5DF5">
        <w:rPr>
          <w:rFonts w:ascii="Arial" w:hAnsi="Arial" w:cs="Arial"/>
          <w:sz w:val="20"/>
          <w:szCs w:val="20"/>
          <w:lang w:val="en-GB"/>
        </w:rPr>
        <w:t xml:space="preserve"> </w:t>
      </w:r>
      <w:r w:rsidR="00D04E1C">
        <w:rPr>
          <w:rFonts w:ascii="Arial" w:hAnsi="Arial" w:cs="Arial"/>
          <w:sz w:val="20"/>
          <w:szCs w:val="20"/>
          <w:lang w:val="en-GB"/>
        </w:rPr>
        <w:t>Mike</w:t>
      </w:r>
    </w:p>
    <w:p w:rsidR="00547B34" w:rsidRPr="00CB5DF5" w:rsidRDefault="00547B34" w:rsidP="005B174E">
      <w:pPr>
        <w:spacing w:line="260" w:lineRule="atLeast"/>
        <w:jc w:val="both"/>
        <w:rPr>
          <w:rFonts w:ascii="Arial" w:hAnsi="Arial" w:cs="Arial"/>
          <w:b/>
          <w:sz w:val="20"/>
        </w:rPr>
      </w:pPr>
    </w:p>
    <w:p w:rsidR="00547B34" w:rsidRDefault="002151D5"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 xml:space="preserve">Thank you for the opportunity to provide a submission </w:t>
      </w:r>
      <w:r w:rsidR="00D6125D">
        <w:rPr>
          <w:rFonts w:ascii="Arial" w:hAnsi="Arial" w:cs="Arial"/>
          <w:sz w:val="20"/>
          <w:szCs w:val="20"/>
          <w:lang w:val="en-GB"/>
        </w:rPr>
        <w:t>to</w:t>
      </w:r>
      <w:r w:rsidR="00D04E1C">
        <w:rPr>
          <w:rFonts w:ascii="Arial" w:hAnsi="Arial" w:cs="Arial"/>
          <w:sz w:val="20"/>
          <w:szCs w:val="20"/>
          <w:lang w:val="en-GB"/>
        </w:rPr>
        <w:t xml:space="preserve"> the Productivity Commission’s inquiry into </w:t>
      </w:r>
      <w:r w:rsidR="00F165E8">
        <w:rPr>
          <w:rFonts w:ascii="Arial" w:hAnsi="Arial" w:cs="Arial"/>
          <w:i/>
          <w:sz w:val="20"/>
          <w:szCs w:val="20"/>
          <w:lang w:val="en-GB"/>
        </w:rPr>
        <w:t>M</w:t>
      </w:r>
      <w:r w:rsidR="00D04E1C">
        <w:rPr>
          <w:rFonts w:ascii="Arial" w:hAnsi="Arial" w:cs="Arial"/>
          <w:i/>
          <w:sz w:val="20"/>
          <w:szCs w:val="20"/>
          <w:lang w:val="en-GB"/>
        </w:rPr>
        <w:t xml:space="preserve">ineral and </w:t>
      </w:r>
      <w:r w:rsidR="009C0256">
        <w:rPr>
          <w:rFonts w:ascii="Arial" w:hAnsi="Arial" w:cs="Arial"/>
          <w:i/>
          <w:sz w:val="20"/>
          <w:szCs w:val="20"/>
          <w:lang w:val="en-GB"/>
        </w:rPr>
        <w:t>Energy Resource Exploration</w:t>
      </w:r>
      <w:r w:rsidR="00F165E8">
        <w:rPr>
          <w:rFonts w:ascii="Arial" w:hAnsi="Arial" w:cs="Arial"/>
          <w:sz w:val="20"/>
          <w:szCs w:val="20"/>
          <w:lang w:val="en-GB"/>
        </w:rPr>
        <w:t xml:space="preserve">, </w:t>
      </w:r>
      <w:r w:rsidR="009C0256">
        <w:rPr>
          <w:rFonts w:ascii="Arial" w:hAnsi="Arial" w:cs="Arial"/>
          <w:sz w:val="20"/>
          <w:szCs w:val="20"/>
          <w:lang w:val="en-GB"/>
        </w:rPr>
        <w:t xml:space="preserve">in particular in response to the issues paper, </w:t>
      </w:r>
      <w:r w:rsidR="00CC4A02">
        <w:rPr>
          <w:rFonts w:ascii="Arial" w:hAnsi="Arial" w:cs="Arial"/>
          <w:sz w:val="20"/>
          <w:szCs w:val="20"/>
          <w:lang w:val="en-GB"/>
        </w:rPr>
        <w:t xml:space="preserve">dated </w:t>
      </w:r>
      <w:r w:rsidR="009C0256">
        <w:rPr>
          <w:rFonts w:ascii="Arial" w:hAnsi="Arial" w:cs="Arial"/>
          <w:sz w:val="20"/>
          <w:szCs w:val="20"/>
          <w:lang w:val="en-GB"/>
        </w:rPr>
        <w:t xml:space="preserve">14 December 2012. </w:t>
      </w:r>
    </w:p>
    <w:p w:rsidR="00071327" w:rsidRDefault="00071327" w:rsidP="00071327">
      <w:pPr>
        <w:pStyle w:val="List"/>
        <w:spacing w:line="260" w:lineRule="atLeast"/>
        <w:ind w:left="0" w:firstLine="0"/>
        <w:rPr>
          <w:rFonts w:ascii="Arial" w:hAnsi="Arial" w:cs="Arial"/>
          <w:sz w:val="20"/>
          <w:szCs w:val="20"/>
          <w:lang w:val="en-GB"/>
        </w:rPr>
      </w:pPr>
    </w:p>
    <w:p w:rsidR="009C0256" w:rsidRDefault="009C0256"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 xml:space="preserve">This submission is being made as a joint submission between the Queensland Resources Council </w:t>
      </w:r>
      <w:r w:rsidR="004F418A">
        <w:rPr>
          <w:rFonts w:ascii="Arial" w:hAnsi="Arial" w:cs="Arial"/>
          <w:sz w:val="20"/>
          <w:szCs w:val="20"/>
          <w:lang w:val="en-GB"/>
        </w:rPr>
        <w:t xml:space="preserve">(QRC) </w:t>
      </w:r>
      <w:r>
        <w:rPr>
          <w:rFonts w:ascii="Arial" w:hAnsi="Arial" w:cs="Arial"/>
          <w:sz w:val="20"/>
          <w:szCs w:val="20"/>
          <w:lang w:val="en-GB"/>
        </w:rPr>
        <w:t>and the Queensland Exploration Council</w:t>
      </w:r>
      <w:r w:rsidR="004F418A">
        <w:rPr>
          <w:rFonts w:ascii="Arial" w:hAnsi="Arial" w:cs="Arial"/>
          <w:sz w:val="20"/>
          <w:szCs w:val="20"/>
          <w:lang w:val="en-GB"/>
        </w:rPr>
        <w:t xml:space="preserve"> (QEC)</w:t>
      </w:r>
      <w:r>
        <w:rPr>
          <w:rFonts w:ascii="Arial" w:hAnsi="Arial" w:cs="Arial"/>
          <w:sz w:val="20"/>
          <w:szCs w:val="20"/>
          <w:lang w:val="en-GB"/>
        </w:rPr>
        <w:t>.</w:t>
      </w:r>
    </w:p>
    <w:p w:rsidR="009C0256" w:rsidRPr="00CB5DF5" w:rsidRDefault="009C0256" w:rsidP="00071327">
      <w:pPr>
        <w:pStyle w:val="List"/>
        <w:spacing w:line="260" w:lineRule="atLeast"/>
        <w:ind w:left="0" w:firstLine="0"/>
        <w:rPr>
          <w:rFonts w:ascii="Arial" w:hAnsi="Arial" w:cs="Arial"/>
          <w:sz w:val="20"/>
          <w:szCs w:val="20"/>
          <w:lang w:val="en-GB"/>
        </w:rPr>
      </w:pPr>
    </w:p>
    <w:p w:rsidR="002151D5" w:rsidRPr="00DF1342" w:rsidRDefault="004F418A" w:rsidP="00071327">
      <w:pPr>
        <w:spacing w:line="260" w:lineRule="atLeast"/>
        <w:outlineLvl w:val="0"/>
        <w:rPr>
          <w:rFonts w:ascii="Arial" w:eastAsia="Arial Unicode MS" w:hAnsi="Arial" w:cs="Arial"/>
          <w:color w:val="000000"/>
          <w:sz w:val="20"/>
          <w:u w:color="000000"/>
        </w:rPr>
      </w:pPr>
      <w:r>
        <w:rPr>
          <w:rFonts w:ascii="Arial" w:eastAsia="Arial Unicode MS" w:hAnsi="Arial" w:cs="Arial"/>
          <w:color w:val="000000"/>
          <w:sz w:val="20"/>
          <w:u w:color="000000"/>
        </w:rPr>
        <w:t>QRC</w:t>
      </w:r>
      <w:r w:rsidR="002151D5" w:rsidRPr="00E809B5">
        <w:rPr>
          <w:rFonts w:ascii="Arial" w:eastAsia="Arial Unicode MS" w:hAnsi="Arial" w:cs="Arial"/>
          <w:color w:val="000000"/>
          <w:sz w:val="20"/>
          <w:u w:color="000000"/>
        </w:rPr>
        <w:t xml:space="preserve"> is the peak representative organisation of the Queensland minerals and energy sector.</w:t>
      </w:r>
      <w:r w:rsidR="00E508FF">
        <w:rPr>
          <w:rFonts w:ascii="Arial" w:eastAsia="Arial Unicode MS" w:hAnsi="Arial" w:cs="Arial"/>
          <w:color w:val="000000"/>
          <w:sz w:val="20"/>
          <w:u w:color="000000"/>
        </w:rPr>
        <w:t xml:space="preserve"> </w:t>
      </w:r>
      <w:r w:rsidR="002151D5">
        <w:rPr>
          <w:rFonts w:ascii="Arial" w:eastAsia="Arial Unicode MS" w:hAnsi="Arial" w:cs="Arial"/>
          <w:color w:val="000000"/>
          <w:sz w:val="20"/>
          <w:u w:color="000000"/>
        </w:rPr>
        <w:t xml:space="preserve"> </w:t>
      </w:r>
      <w:r w:rsidR="002151D5" w:rsidRPr="00E809B5">
        <w:rPr>
          <w:rFonts w:ascii="Arial" w:hAnsi="Arial" w:cs="Arial"/>
          <w:sz w:val="20"/>
        </w:rPr>
        <w:t xml:space="preserve">QRC’s membership encompasses </w:t>
      </w:r>
      <w:r w:rsidR="00384F5B">
        <w:rPr>
          <w:rFonts w:ascii="Arial" w:hAnsi="Arial" w:cs="Arial"/>
          <w:sz w:val="20"/>
        </w:rPr>
        <w:t xml:space="preserve">minerals and energy </w:t>
      </w:r>
      <w:r w:rsidR="002151D5" w:rsidRPr="00E809B5">
        <w:rPr>
          <w:rFonts w:ascii="Arial" w:hAnsi="Arial" w:cs="Arial"/>
          <w:sz w:val="20"/>
        </w:rPr>
        <w:t>exploration, production, and processing companies, and associated service companies. The QRC works on behalf of members to ensure Queensland’s resources are developed profitably and competitively, in a socially and environmentally sustainable way.</w:t>
      </w:r>
    </w:p>
    <w:p w:rsidR="00547B34" w:rsidRDefault="00547B34" w:rsidP="00071327">
      <w:pPr>
        <w:pStyle w:val="List"/>
        <w:spacing w:line="260" w:lineRule="atLeast"/>
        <w:ind w:left="0" w:firstLine="0"/>
        <w:rPr>
          <w:rFonts w:ascii="Arial" w:hAnsi="Arial" w:cs="Arial"/>
          <w:sz w:val="20"/>
          <w:szCs w:val="20"/>
          <w:lang w:val="en-GB"/>
        </w:rPr>
      </w:pPr>
    </w:p>
    <w:p w:rsidR="00632E3F" w:rsidRDefault="009C0256" w:rsidP="009C0256">
      <w:pPr>
        <w:spacing w:line="260" w:lineRule="atLeast"/>
        <w:outlineLvl w:val="0"/>
        <w:rPr>
          <w:rFonts w:ascii="Arial" w:hAnsi="Arial" w:cs="Arial"/>
          <w:sz w:val="20"/>
          <w:lang w:val="en-GB"/>
        </w:rPr>
      </w:pPr>
      <w:r>
        <w:rPr>
          <w:rFonts w:ascii="Arial" w:hAnsi="Arial" w:cs="Arial"/>
          <w:sz w:val="20"/>
          <w:lang w:val="en-GB"/>
        </w:rPr>
        <w:t xml:space="preserve">QEC </w:t>
      </w:r>
      <w:r w:rsidRPr="009C0256">
        <w:rPr>
          <w:rFonts w:ascii="Arial" w:hAnsi="Arial" w:cs="Arial"/>
          <w:sz w:val="20"/>
          <w:lang w:val="en-GB"/>
        </w:rPr>
        <w:t>aims to have Queensland acknowledged as the minerals and energy exploration leader by 2020 and with Brisbane confirmed as its heart.</w:t>
      </w:r>
      <w:r>
        <w:rPr>
          <w:rFonts w:ascii="Arial" w:hAnsi="Arial" w:cs="Arial"/>
          <w:sz w:val="20"/>
          <w:lang w:val="en-GB"/>
        </w:rPr>
        <w:t xml:space="preserve">  </w:t>
      </w:r>
      <w:r w:rsidRPr="009C0256">
        <w:rPr>
          <w:rFonts w:ascii="Arial" w:hAnsi="Arial" w:cs="Arial"/>
          <w:sz w:val="20"/>
          <w:lang w:val="en-GB"/>
        </w:rPr>
        <w:t>With membership comprising a who’s who of the resources sector, together with members drawn from finance, events and marketing, research and government, the QEC endeavours to influence perceptions about the importance of exploration, and promote Queensland’s prospectivity to investors and businesses that support the exploration sector.</w:t>
      </w:r>
      <w:r w:rsidR="00CC4A02">
        <w:rPr>
          <w:rFonts w:ascii="Arial" w:hAnsi="Arial" w:cs="Arial"/>
          <w:sz w:val="20"/>
          <w:lang w:val="en-GB"/>
        </w:rPr>
        <w:t xml:space="preserve">  </w:t>
      </w:r>
    </w:p>
    <w:p w:rsidR="00632E3F" w:rsidRDefault="00632E3F" w:rsidP="009C0256">
      <w:pPr>
        <w:spacing w:line="260" w:lineRule="atLeast"/>
        <w:outlineLvl w:val="0"/>
        <w:rPr>
          <w:rFonts w:ascii="Arial" w:hAnsi="Arial" w:cs="Arial"/>
          <w:sz w:val="20"/>
          <w:lang w:val="en-GB"/>
        </w:rPr>
      </w:pPr>
    </w:p>
    <w:p w:rsidR="009C0256" w:rsidRDefault="00CC4A02" w:rsidP="009C0256">
      <w:pPr>
        <w:spacing w:line="260" w:lineRule="atLeast"/>
        <w:outlineLvl w:val="0"/>
        <w:rPr>
          <w:rFonts w:ascii="Arial" w:hAnsi="Arial" w:cs="Arial"/>
          <w:sz w:val="20"/>
          <w:lang w:val="en-GB"/>
        </w:rPr>
      </w:pPr>
      <w:r w:rsidRPr="00CC4A02">
        <w:rPr>
          <w:rFonts w:ascii="Arial" w:hAnsi="Arial" w:cs="Arial"/>
          <w:sz w:val="20"/>
          <w:lang w:val="en-US"/>
        </w:rPr>
        <w:t xml:space="preserve">Complementing the policy work of the </w:t>
      </w:r>
      <w:r w:rsidR="004F418A">
        <w:rPr>
          <w:rFonts w:ascii="Arial" w:hAnsi="Arial" w:cs="Arial"/>
          <w:sz w:val="20"/>
          <w:lang w:val="en-US"/>
        </w:rPr>
        <w:t>QRC</w:t>
      </w:r>
      <w:r w:rsidRPr="00CC4A02">
        <w:rPr>
          <w:rFonts w:ascii="Arial" w:hAnsi="Arial" w:cs="Arial"/>
          <w:sz w:val="20"/>
          <w:lang w:val="en-US"/>
        </w:rPr>
        <w:t>, the QEC is seeking to promote the natural advantages of Queensland and Brisbane as a home to minerals and energy companies and the wide range of essential service companies.</w:t>
      </w:r>
    </w:p>
    <w:p w:rsidR="007B7AA6" w:rsidRDefault="007B7AA6" w:rsidP="0036275A">
      <w:pPr>
        <w:spacing w:line="260" w:lineRule="atLeast"/>
        <w:rPr>
          <w:rFonts w:ascii="Arial" w:hAnsi="Arial" w:cs="Arial"/>
          <w:sz w:val="20"/>
        </w:rPr>
      </w:pPr>
    </w:p>
    <w:p w:rsidR="0036275A" w:rsidRDefault="0036275A" w:rsidP="0036275A">
      <w:pPr>
        <w:spacing w:line="260" w:lineRule="atLeast"/>
        <w:rPr>
          <w:rFonts w:ascii="Arial" w:hAnsi="Arial" w:cs="Arial"/>
          <w:sz w:val="20"/>
        </w:rPr>
      </w:pPr>
      <w:r w:rsidRPr="00AC6D3B">
        <w:rPr>
          <w:rFonts w:ascii="Arial" w:hAnsi="Arial" w:cs="Arial"/>
          <w:sz w:val="20"/>
        </w:rPr>
        <w:lastRenderedPageBreak/>
        <w:t xml:space="preserve">Minerals and energy are the most important source of export income for Australia, and in Queensland, the backbone of the state’s economy. </w:t>
      </w:r>
      <w:r>
        <w:rPr>
          <w:rFonts w:ascii="Arial" w:hAnsi="Arial" w:cs="Arial"/>
          <w:sz w:val="20"/>
        </w:rPr>
        <w:t xml:space="preserve"> </w:t>
      </w:r>
      <w:r w:rsidRPr="00AC6D3B">
        <w:rPr>
          <w:rFonts w:ascii="Arial" w:hAnsi="Arial" w:cs="Arial"/>
          <w:sz w:val="20"/>
        </w:rPr>
        <w:t>Today, the resources sector continues to play a fundamental role in shaping the future of Australia by contributing to economic growth, creating high-paying jobs, and supporting research and development, regional infrastructure, new services and investment.</w:t>
      </w:r>
    </w:p>
    <w:p w:rsidR="0036275A" w:rsidRPr="00AC6D3B" w:rsidRDefault="0036275A" w:rsidP="0036275A">
      <w:pPr>
        <w:spacing w:line="260" w:lineRule="atLeast"/>
        <w:rPr>
          <w:rFonts w:ascii="Arial" w:hAnsi="Arial" w:cs="Arial"/>
          <w:sz w:val="20"/>
        </w:rPr>
      </w:pPr>
    </w:p>
    <w:p w:rsidR="0036275A" w:rsidRDefault="00591EF0"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 xml:space="preserve">Both </w:t>
      </w:r>
      <w:r w:rsidR="00506678">
        <w:rPr>
          <w:rFonts w:ascii="Arial" w:hAnsi="Arial" w:cs="Arial"/>
          <w:sz w:val="20"/>
          <w:szCs w:val="20"/>
          <w:lang w:val="en-GB"/>
        </w:rPr>
        <w:t>Councils note that the Inquiry’s terms of reference preclude examination of local, state, territory and Commonwealth taxation and fiscal policy</w:t>
      </w:r>
      <w:r>
        <w:rPr>
          <w:rFonts w:ascii="Arial" w:hAnsi="Arial" w:cs="Arial"/>
          <w:sz w:val="20"/>
          <w:szCs w:val="20"/>
          <w:lang w:val="en-GB"/>
        </w:rPr>
        <w:t>.  Given the genesis of the inquiry in the Policy Transition Group’s recommendation, it is understandable that the Assistant Treasurer doesn’</w:t>
      </w:r>
      <w:r w:rsidR="00C26A08">
        <w:rPr>
          <w:rFonts w:ascii="Arial" w:hAnsi="Arial" w:cs="Arial"/>
          <w:sz w:val="20"/>
          <w:szCs w:val="20"/>
          <w:lang w:val="en-GB"/>
        </w:rPr>
        <w:t>t want to see the issue of flow-through-</w:t>
      </w:r>
      <w:r>
        <w:rPr>
          <w:rFonts w:ascii="Arial" w:hAnsi="Arial" w:cs="Arial"/>
          <w:sz w:val="20"/>
          <w:szCs w:val="20"/>
          <w:lang w:val="en-GB"/>
        </w:rPr>
        <w:t>share</w:t>
      </w:r>
      <w:r w:rsidR="0036275A">
        <w:rPr>
          <w:rFonts w:ascii="Arial" w:hAnsi="Arial" w:cs="Arial"/>
          <w:sz w:val="20"/>
          <w:szCs w:val="20"/>
          <w:lang w:val="en-GB"/>
        </w:rPr>
        <w:t>s re-prosecuted by the industry;</w:t>
      </w:r>
      <w:r>
        <w:rPr>
          <w:rFonts w:ascii="Arial" w:hAnsi="Arial" w:cs="Arial"/>
          <w:sz w:val="20"/>
          <w:szCs w:val="20"/>
          <w:lang w:val="en-GB"/>
        </w:rPr>
        <w:t xml:space="preserve"> but it is a shame that a consideration of fees, charges and royalties has been </w:t>
      </w:r>
      <w:r w:rsidR="0036275A">
        <w:rPr>
          <w:rFonts w:ascii="Arial" w:hAnsi="Arial" w:cs="Arial"/>
          <w:sz w:val="20"/>
          <w:szCs w:val="20"/>
          <w:lang w:val="en-GB"/>
        </w:rPr>
        <w:t>precluded</w:t>
      </w:r>
      <w:r w:rsidR="00C26A08">
        <w:rPr>
          <w:rFonts w:ascii="Arial" w:hAnsi="Arial" w:cs="Arial"/>
          <w:sz w:val="20"/>
          <w:szCs w:val="20"/>
          <w:lang w:val="en-GB"/>
        </w:rPr>
        <w:t>,</w:t>
      </w:r>
      <w:r w:rsidR="0036275A">
        <w:rPr>
          <w:rFonts w:ascii="Arial" w:hAnsi="Arial" w:cs="Arial"/>
          <w:sz w:val="20"/>
          <w:szCs w:val="20"/>
          <w:lang w:val="en-GB"/>
        </w:rPr>
        <w:t xml:space="preserve"> as a perennial issue for the exploration industry is steady increase of costs, fees, rents and the like.  </w:t>
      </w:r>
    </w:p>
    <w:p w:rsidR="0036275A" w:rsidRDefault="0036275A" w:rsidP="00071327">
      <w:pPr>
        <w:pStyle w:val="List"/>
        <w:spacing w:line="260" w:lineRule="atLeast"/>
        <w:ind w:left="0" w:firstLine="0"/>
        <w:rPr>
          <w:rFonts w:ascii="Arial" w:hAnsi="Arial" w:cs="Arial"/>
          <w:sz w:val="20"/>
          <w:szCs w:val="20"/>
          <w:lang w:val="en-GB"/>
        </w:rPr>
      </w:pPr>
    </w:p>
    <w:p w:rsidR="00C77862" w:rsidRDefault="00C77862" w:rsidP="00C77862">
      <w:pPr>
        <w:pStyle w:val="List"/>
        <w:spacing w:line="260" w:lineRule="atLeast"/>
        <w:ind w:left="0" w:firstLine="0"/>
        <w:rPr>
          <w:rFonts w:ascii="Arial" w:hAnsi="Arial" w:cs="Arial"/>
          <w:sz w:val="20"/>
          <w:szCs w:val="20"/>
          <w:lang w:val="en-GB"/>
        </w:rPr>
      </w:pPr>
      <w:r>
        <w:rPr>
          <w:rFonts w:ascii="Arial" w:hAnsi="Arial" w:cs="Arial"/>
          <w:sz w:val="20"/>
          <w:szCs w:val="20"/>
          <w:lang w:val="en-GB"/>
        </w:rPr>
        <w:t xml:space="preserve">Exploration expenditure and increasing the efficiency of exploration activity </w:t>
      </w:r>
      <w:r w:rsidRPr="00C77862">
        <w:rPr>
          <w:rFonts w:ascii="Arial" w:hAnsi="Arial" w:cs="Arial"/>
          <w:sz w:val="20"/>
          <w:szCs w:val="20"/>
          <w:lang w:val="en-GB"/>
        </w:rPr>
        <w:t xml:space="preserve">is highly dependent on capital and the ability to raise capital.  </w:t>
      </w:r>
      <w:r>
        <w:rPr>
          <w:rFonts w:ascii="Arial" w:hAnsi="Arial" w:cs="Arial"/>
          <w:sz w:val="20"/>
          <w:szCs w:val="20"/>
          <w:lang w:val="en-GB"/>
        </w:rPr>
        <w:t>Even though flow-through-</w:t>
      </w:r>
      <w:r w:rsidRPr="00C77862">
        <w:rPr>
          <w:rFonts w:ascii="Arial" w:hAnsi="Arial" w:cs="Arial"/>
          <w:sz w:val="20"/>
          <w:szCs w:val="20"/>
          <w:lang w:val="en-GB"/>
        </w:rPr>
        <w:t xml:space="preserve">shares are </w:t>
      </w:r>
      <w:r>
        <w:rPr>
          <w:rFonts w:ascii="Arial" w:hAnsi="Arial" w:cs="Arial"/>
          <w:sz w:val="20"/>
          <w:szCs w:val="20"/>
          <w:lang w:val="en-GB"/>
        </w:rPr>
        <w:t xml:space="preserve">explicitly out of scope, the availability of finance </w:t>
      </w:r>
      <w:r w:rsidRPr="00C77862">
        <w:rPr>
          <w:rFonts w:ascii="Arial" w:hAnsi="Arial" w:cs="Arial"/>
          <w:sz w:val="20"/>
          <w:szCs w:val="20"/>
          <w:lang w:val="en-GB"/>
        </w:rPr>
        <w:t xml:space="preserve">is a very important part of </w:t>
      </w:r>
      <w:r>
        <w:rPr>
          <w:rFonts w:ascii="Arial" w:hAnsi="Arial" w:cs="Arial"/>
          <w:sz w:val="20"/>
          <w:szCs w:val="20"/>
          <w:lang w:val="en-GB"/>
        </w:rPr>
        <w:t xml:space="preserve">exploration </w:t>
      </w:r>
      <w:r w:rsidRPr="00C77862">
        <w:rPr>
          <w:rFonts w:ascii="Arial" w:hAnsi="Arial" w:cs="Arial"/>
          <w:sz w:val="20"/>
          <w:szCs w:val="20"/>
          <w:lang w:val="en-GB"/>
        </w:rPr>
        <w:t>policy</w:t>
      </w:r>
      <w:r>
        <w:rPr>
          <w:rFonts w:ascii="Arial" w:hAnsi="Arial" w:cs="Arial"/>
          <w:sz w:val="20"/>
          <w:szCs w:val="20"/>
          <w:lang w:val="en-GB"/>
        </w:rPr>
        <w:t xml:space="preserve"> and should be carefully examined by the Commission</w:t>
      </w:r>
      <w:r w:rsidRPr="00C77862">
        <w:rPr>
          <w:rFonts w:ascii="Arial" w:hAnsi="Arial" w:cs="Arial"/>
          <w:sz w:val="20"/>
          <w:szCs w:val="20"/>
          <w:lang w:val="en-GB"/>
        </w:rPr>
        <w:t xml:space="preserve">.  </w:t>
      </w:r>
    </w:p>
    <w:p w:rsidR="00C77862" w:rsidRDefault="00C77862" w:rsidP="00C77862">
      <w:pPr>
        <w:pStyle w:val="List"/>
        <w:spacing w:line="260" w:lineRule="atLeast"/>
        <w:ind w:left="0" w:firstLine="0"/>
        <w:rPr>
          <w:rFonts w:ascii="Arial" w:hAnsi="Arial" w:cs="Arial"/>
          <w:sz w:val="20"/>
          <w:szCs w:val="20"/>
          <w:lang w:val="en-GB"/>
        </w:rPr>
      </w:pPr>
    </w:p>
    <w:p w:rsidR="00C77862" w:rsidRPr="00C77862" w:rsidRDefault="00C77862" w:rsidP="00C77862">
      <w:pPr>
        <w:pStyle w:val="List"/>
        <w:spacing w:line="260" w:lineRule="atLeast"/>
        <w:ind w:left="0" w:firstLine="0"/>
        <w:rPr>
          <w:rFonts w:ascii="Arial" w:hAnsi="Arial" w:cs="Arial"/>
          <w:sz w:val="20"/>
          <w:szCs w:val="20"/>
          <w:lang w:val="en-GB"/>
        </w:rPr>
      </w:pPr>
      <w:r>
        <w:rPr>
          <w:rFonts w:ascii="Arial" w:hAnsi="Arial" w:cs="Arial"/>
          <w:sz w:val="20"/>
          <w:szCs w:val="20"/>
          <w:lang w:val="en-GB"/>
        </w:rPr>
        <w:t xml:space="preserve">Australia’s </w:t>
      </w:r>
      <w:r w:rsidRPr="00C77862">
        <w:rPr>
          <w:rFonts w:ascii="Arial" w:hAnsi="Arial" w:cs="Arial"/>
          <w:sz w:val="20"/>
          <w:szCs w:val="20"/>
          <w:lang w:val="en-GB"/>
        </w:rPr>
        <w:t xml:space="preserve">capital markets are </w:t>
      </w:r>
      <w:r w:rsidR="002F62A6">
        <w:rPr>
          <w:rFonts w:ascii="Arial" w:hAnsi="Arial" w:cs="Arial"/>
          <w:sz w:val="20"/>
          <w:szCs w:val="20"/>
          <w:lang w:val="en-GB"/>
        </w:rPr>
        <w:t xml:space="preserve">reasonably </w:t>
      </w:r>
      <w:r w:rsidRPr="00C77862">
        <w:rPr>
          <w:rFonts w:ascii="Arial" w:hAnsi="Arial" w:cs="Arial"/>
          <w:sz w:val="20"/>
          <w:szCs w:val="20"/>
          <w:lang w:val="en-GB"/>
        </w:rPr>
        <w:t xml:space="preserve">efficient and we </w:t>
      </w:r>
      <w:r w:rsidR="002F62A6">
        <w:rPr>
          <w:rFonts w:ascii="Arial" w:hAnsi="Arial" w:cs="Arial"/>
          <w:sz w:val="20"/>
          <w:szCs w:val="20"/>
          <w:lang w:val="en-GB"/>
        </w:rPr>
        <w:t xml:space="preserve">also </w:t>
      </w:r>
      <w:r w:rsidRPr="00C77862">
        <w:rPr>
          <w:rFonts w:ascii="Arial" w:hAnsi="Arial" w:cs="Arial"/>
          <w:sz w:val="20"/>
          <w:szCs w:val="20"/>
          <w:lang w:val="en-GB"/>
        </w:rPr>
        <w:t>have reasonable access to overseas capital markets</w:t>
      </w:r>
      <w:r>
        <w:rPr>
          <w:rFonts w:ascii="Arial" w:hAnsi="Arial" w:cs="Arial"/>
          <w:sz w:val="20"/>
          <w:szCs w:val="20"/>
          <w:lang w:val="en-GB"/>
        </w:rPr>
        <w:t xml:space="preserve">, however the </w:t>
      </w:r>
      <w:r w:rsidRPr="00C77862">
        <w:rPr>
          <w:rFonts w:ascii="Arial" w:hAnsi="Arial" w:cs="Arial"/>
          <w:sz w:val="20"/>
          <w:szCs w:val="20"/>
          <w:lang w:val="en-GB"/>
        </w:rPr>
        <w:t xml:space="preserve">issue is that the ability </w:t>
      </w:r>
      <w:r>
        <w:rPr>
          <w:rFonts w:ascii="Arial" w:hAnsi="Arial" w:cs="Arial"/>
          <w:sz w:val="20"/>
          <w:szCs w:val="20"/>
          <w:lang w:val="en-GB"/>
        </w:rPr>
        <w:t xml:space="preserve">of the exploration sector </w:t>
      </w:r>
      <w:r w:rsidRPr="00C77862">
        <w:rPr>
          <w:rFonts w:ascii="Arial" w:hAnsi="Arial" w:cs="Arial"/>
          <w:sz w:val="20"/>
          <w:szCs w:val="20"/>
          <w:lang w:val="en-GB"/>
        </w:rPr>
        <w:t>to raise capital fluctuates throughout time, primarily because risk taking and investors' appetite for risk is not a constant.  The cyclical nature of the availability of high risk capital does not sit comfortably with the long time frames involved in exploration.  Th</w:t>
      </w:r>
      <w:r w:rsidR="002F62A6">
        <w:rPr>
          <w:rFonts w:ascii="Arial" w:hAnsi="Arial" w:cs="Arial"/>
          <w:sz w:val="20"/>
          <w:szCs w:val="20"/>
          <w:lang w:val="en-GB"/>
        </w:rPr>
        <w:t>at</w:t>
      </w:r>
      <w:r w:rsidRPr="00C77862">
        <w:rPr>
          <w:rFonts w:ascii="Arial" w:hAnsi="Arial" w:cs="Arial"/>
          <w:sz w:val="20"/>
          <w:szCs w:val="20"/>
          <w:lang w:val="en-GB"/>
        </w:rPr>
        <w:t xml:space="preserve"> is why this </w:t>
      </w:r>
      <w:r w:rsidR="002F62A6">
        <w:rPr>
          <w:rFonts w:ascii="Arial" w:hAnsi="Arial" w:cs="Arial"/>
          <w:sz w:val="20"/>
          <w:szCs w:val="20"/>
          <w:lang w:val="en-GB"/>
        </w:rPr>
        <w:t xml:space="preserve">issue of impediments to capital raising </w:t>
      </w:r>
      <w:r w:rsidRPr="00C77862">
        <w:rPr>
          <w:rFonts w:ascii="Arial" w:hAnsi="Arial" w:cs="Arial"/>
          <w:sz w:val="20"/>
          <w:szCs w:val="20"/>
          <w:lang w:val="en-GB"/>
        </w:rPr>
        <w:t>should still remain a focus of policy.</w:t>
      </w:r>
    </w:p>
    <w:p w:rsidR="00C77862" w:rsidRPr="00C77862" w:rsidRDefault="00C77862" w:rsidP="00C77862">
      <w:pPr>
        <w:pStyle w:val="List"/>
        <w:spacing w:line="260" w:lineRule="atLeast"/>
        <w:ind w:left="0" w:firstLine="0"/>
        <w:rPr>
          <w:rFonts w:ascii="Arial" w:hAnsi="Arial" w:cs="Arial"/>
          <w:sz w:val="20"/>
          <w:szCs w:val="20"/>
          <w:lang w:val="en-GB"/>
        </w:rPr>
      </w:pPr>
      <w:r w:rsidRPr="00C77862">
        <w:rPr>
          <w:rFonts w:ascii="Arial" w:hAnsi="Arial" w:cs="Arial"/>
          <w:sz w:val="20"/>
          <w:szCs w:val="20"/>
          <w:lang w:val="en-GB"/>
        </w:rPr>
        <w:t> </w:t>
      </w:r>
    </w:p>
    <w:p w:rsidR="00C77862" w:rsidRPr="00C77862" w:rsidRDefault="00C77862" w:rsidP="00C77862">
      <w:pPr>
        <w:pStyle w:val="List"/>
        <w:spacing w:line="260" w:lineRule="atLeast"/>
        <w:ind w:left="0" w:firstLine="0"/>
        <w:rPr>
          <w:rFonts w:ascii="Arial" w:hAnsi="Arial" w:cs="Arial"/>
          <w:sz w:val="20"/>
          <w:szCs w:val="20"/>
          <w:lang w:val="en-GB"/>
        </w:rPr>
      </w:pPr>
      <w:r w:rsidRPr="00C77862">
        <w:rPr>
          <w:rFonts w:ascii="Arial" w:hAnsi="Arial" w:cs="Arial"/>
          <w:sz w:val="20"/>
          <w:szCs w:val="20"/>
          <w:lang w:val="en-GB"/>
        </w:rPr>
        <w:t xml:space="preserve">The availability of capital is not restricted </w:t>
      </w:r>
      <w:r>
        <w:rPr>
          <w:rFonts w:ascii="Arial" w:hAnsi="Arial" w:cs="Arial"/>
          <w:sz w:val="20"/>
          <w:szCs w:val="20"/>
          <w:lang w:val="en-GB"/>
        </w:rPr>
        <w:t xml:space="preserve">simply </w:t>
      </w:r>
      <w:r w:rsidRPr="00C77862">
        <w:rPr>
          <w:rFonts w:ascii="Arial" w:hAnsi="Arial" w:cs="Arial"/>
          <w:sz w:val="20"/>
          <w:szCs w:val="20"/>
          <w:lang w:val="en-GB"/>
        </w:rPr>
        <w:t xml:space="preserve">to fiscal and taxation policy.  </w:t>
      </w:r>
      <w:r>
        <w:rPr>
          <w:rFonts w:ascii="Arial" w:hAnsi="Arial" w:cs="Arial"/>
          <w:sz w:val="20"/>
          <w:szCs w:val="20"/>
          <w:lang w:val="en-GB"/>
        </w:rPr>
        <w:t xml:space="preserve">As such </w:t>
      </w:r>
      <w:r w:rsidRPr="00C77862">
        <w:rPr>
          <w:rFonts w:ascii="Arial" w:hAnsi="Arial" w:cs="Arial"/>
          <w:sz w:val="20"/>
          <w:szCs w:val="20"/>
          <w:lang w:val="en-GB"/>
        </w:rPr>
        <w:t>the QEC seeks to grow investment into exploration by other means</w:t>
      </w:r>
      <w:r>
        <w:rPr>
          <w:rFonts w:ascii="Arial" w:hAnsi="Arial" w:cs="Arial"/>
          <w:sz w:val="20"/>
          <w:szCs w:val="20"/>
          <w:lang w:val="en-GB"/>
        </w:rPr>
        <w:t>;</w:t>
      </w:r>
      <w:r w:rsidRPr="00C77862">
        <w:rPr>
          <w:rFonts w:ascii="Arial" w:hAnsi="Arial" w:cs="Arial"/>
          <w:sz w:val="20"/>
          <w:szCs w:val="20"/>
          <w:lang w:val="en-GB"/>
        </w:rPr>
        <w:t xml:space="preserve"> primarily focused on availability of information, education of investors, and increased knowledge.  </w:t>
      </w:r>
      <w:r>
        <w:rPr>
          <w:rFonts w:ascii="Arial" w:hAnsi="Arial" w:cs="Arial"/>
          <w:sz w:val="20"/>
          <w:szCs w:val="20"/>
          <w:lang w:val="en-GB"/>
        </w:rPr>
        <w:t xml:space="preserve">Governments at both the State and Commonwealth level have </w:t>
      </w:r>
      <w:r w:rsidRPr="00C77862">
        <w:rPr>
          <w:rFonts w:ascii="Arial" w:hAnsi="Arial" w:cs="Arial"/>
          <w:sz w:val="20"/>
          <w:szCs w:val="20"/>
          <w:lang w:val="en-GB"/>
        </w:rPr>
        <w:t xml:space="preserve">an important role in </w:t>
      </w:r>
      <w:r>
        <w:rPr>
          <w:rFonts w:ascii="Arial" w:hAnsi="Arial" w:cs="Arial"/>
          <w:sz w:val="20"/>
          <w:szCs w:val="20"/>
          <w:lang w:val="en-GB"/>
        </w:rPr>
        <w:t>providing an environment which is more conducive to investing in exploration.  QRC and Q</w:t>
      </w:r>
      <w:r w:rsidR="002F62A6">
        <w:rPr>
          <w:rFonts w:ascii="Arial" w:hAnsi="Arial" w:cs="Arial"/>
          <w:sz w:val="20"/>
          <w:szCs w:val="20"/>
          <w:lang w:val="en-GB"/>
        </w:rPr>
        <w:t>E</w:t>
      </w:r>
      <w:r>
        <w:rPr>
          <w:rFonts w:ascii="Arial" w:hAnsi="Arial" w:cs="Arial"/>
          <w:sz w:val="20"/>
          <w:szCs w:val="20"/>
          <w:lang w:val="en-GB"/>
        </w:rPr>
        <w:t xml:space="preserve">C recommend that the Commission’s benchmarking of overseas practices should encompass the economic benefits which accrue from the more </w:t>
      </w:r>
      <w:r w:rsidRPr="00C77862">
        <w:rPr>
          <w:rFonts w:ascii="Arial" w:hAnsi="Arial" w:cs="Arial"/>
          <w:sz w:val="20"/>
          <w:szCs w:val="20"/>
          <w:lang w:val="en-GB"/>
        </w:rPr>
        <w:t xml:space="preserve">proactive hands-on role </w:t>
      </w:r>
      <w:r>
        <w:rPr>
          <w:rFonts w:ascii="Arial" w:hAnsi="Arial" w:cs="Arial"/>
          <w:sz w:val="20"/>
          <w:szCs w:val="20"/>
          <w:lang w:val="en-GB"/>
        </w:rPr>
        <w:t xml:space="preserve">played by Governments </w:t>
      </w:r>
      <w:r w:rsidRPr="00C77862">
        <w:rPr>
          <w:rFonts w:ascii="Arial" w:hAnsi="Arial" w:cs="Arial"/>
          <w:sz w:val="20"/>
          <w:szCs w:val="20"/>
          <w:lang w:val="en-GB"/>
        </w:rPr>
        <w:t xml:space="preserve">in </w:t>
      </w:r>
      <w:r>
        <w:rPr>
          <w:rFonts w:ascii="Arial" w:hAnsi="Arial" w:cs="Arial"/>
          <w:sz w:val="20"/>
          <w:szCs w:val="20"/>
          <w:lang w:val="en-GB"/>
        </w:rPr>
        <w:t xml:space="preserve">overseas jurisdictions in </w:t>
      </w:r>
      <w:r w:rsidRPr="00C77862">
        <w:rPr>
          <w:rFonts w:ascii="Arial" w:hAnsi="Arial" w:cs="Arial"/>
          <w:sz w:val="20"/>
          <w:szCs w:val="20"/>
          <w:lang w:val="en-GB"/>
        </w:rPr>
        <w:t>fostering exploration activity</w:t>
      </w:r>
      <w:r>
        <w:rPr>
          <w:rFonts w:ascii="Arial" w:hAnsi="Arial" w:cs="Arial"/>
          <w:sz w:val="20"/>
          <w:szCs w:val="20"/>
          <w:lang w:val="en-GB"/>
        </w:rPr>
        <w:t>.</w:t>
      </w:r>
    </w:p>
    <w:p w:rsidR="00C77862" w:rsidRDefault="00C77862" w:rsidP="00071327">
      <w:pPr>
        <w:pStyle w:val="List"/>
        <w:spacing w:line="260" w:lineRule="atLeast"/>
        <w:ind w:left="0" w:firstLine="0"/>
        <w:rPr>
          <w:rFonts w:ascii="Arial" w:hAnsi="Arial" w:cs="Arial"/>
          <w:sz w:val="20"/>
          <w:szCs w:val="20"/>
          <w:lang w:val="en-GB"/>
        </w:rPr>
      </w:pPr>
    </w:p>
    <w:p w:rsidR="00C77862" w:rsidRDefault="0036275A"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 xml:space="preserve">Many in the exploration industry feel that Governments (at all three levels) fail to adequately differentiate between the very limited financial capability of the exploration </w:t>
      </w:r>
      <w:r w:rsidR="00C26A08">
        <w:rPr>
          <w:rFonts w:ascii="Arial" w:hAnsi="Arial" w:cs="Arial"/>
          <w:sz w:val="20"/>
          <w:szCs w:val="20"/>
          <w:lang w:val="en-GB"/>
        </w:rPr>
        <w:t>industry</w:t>
      </w:r>
      <w:r>
        <w:rPr>
          <w:rFonts w:ascii="Arial" w:hAnsi="Arial" w:cs="Arial"/>
          <w:sz w:val="20"/>
          <w:szCs w:val="20"/>
          <w:lang w:val="en-GB"/>
        </w:rPr>
        <w:t xml:space="preserve"> in contrast with the cash flows generated by resource operations.  </w:t>
      </w:r>
      <w:r w:rsidR="00C77862">
        <w:rPr>
          <w:rFonts w:ascii="Arial" w:hAnsi="Arial" w:cs="Arial"/>
          <w:sz w:val="20"/>
          <w:szCs w:val="20"/>
          <w:lang w:val="en-GB"/>
        </w:rPr>
        <w:t xml:space="preserve">This homogenous view of resource activity fails to recognise the huge up-front investments which are made in </w:t>
      </w:r>
      <w:r w:rsidR="007B7AA6">
        <w:rPr>
          <w:rFonts w:ascii="Arial" w:hAnsi="Arial" w:cs="Arial"/>
          <w:sz w:val="20"/>
          <w:szCs w:val="20"/>
          <w:lang w:val="en-GB"/>
        </w:rPr>
        <w:t>developing a min</w:t>
      </w:r>
      <w:r w:rsidR="002F62A6">
        <w:rPr>
          <w:rFonts w:ascii="Arial" w:hAnsi="Arial" w:cs="Arial"/>
          <w:sz w:val="20"/>
          <w:szCs w:val="20"/>
          <w:lang w:val="en-GB"/>
        </w:rPr>
        <w:t>ing</w:t>
      </w:r>
      <w:r w:rsidR="007B7AA6">
        <w:rPr>
          <w:rFonts w:ascii="Arial" w:hAnsi="Arial" w:cs="Arial"/>
          <w:sz w:val="20"/>
          <w:szCs w:val="20"/>
          <w:lang w:val="en-GB"/>
        </w:rPr>
        <w:t xml:space="preserve"> or energy pro</w:t>
      </w:r>
      <w:r w:rsidR="002F62A6">
        <w:rPr>
          <w:rFonts w:ascii="Arial" w:hAnsi="Arial" w:cs="Arial"/>
          <w:sz w:val="20"/>
          <w:szCs w:val="20"/>
          <w:lang w:val="en-GB"/>
        </w:rPr>
        <w:t>ject</w:t>
      </w:r>
      <w:r w:rsidR="007B7AA6">
        <w:rPr>
          <w:rFonts w:ascii="Arial" w:hAnsi="Arial" w:cs="Arial"/>
          <w:sz w:val="20"/>
          <w:szCs w:val="20"/>
          <w:lang w:val="en-GB"/>
        </w:rPr>
        <w:t>.</w:t>
      </w:r>
    </w:p>
    <w:p w:rsidR="00C77862" w:rsidRDefault="00C77862" w:rsidP="00071327">
      <w:pPr>
        <w:pStyle w:val="List"/>
        <w:spacing w:line="260" w:lineRule="atLeast"/>
        <w:ind w:left="0" w:firstLine="0"/>
        <w:rPr>
          <w:rFonts w:ascii="Arial" w:hAnsi="Arial" w:cs="Arial"/>
          <w:sz w:val="20"/>
          <w:szCs w:val="20"/>
          <w:lang w:val="en-GB"/>
        </w:rPr>
      </w:pPr>
    </w:p>
    <w:p w:rsidR="00506678" w:rsidRDefault="0036275A"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While the extraction of resources – minerals and energy – ultimately depend</w:t>
      </w:r>
      <w:r w:rsidR="002F62A6">
        <w:rPr>
          <w:rFonts w:ascii="Arial" w:hAnsi="Arial" w:cs="Arial"/>
          <w:sz w:val="20"/>
          <w:szCs w:val="20"/>
          <w:lang w:val="en-GB"/>
        </w:rPr>
        <w:t>s</w:t>
      </w:r>
      <w:r>
        <w:rPr>
          <w:rFonts w:ascii="Arial" w:hAnsi="Arial" w:cs="Arial"/>
          <w:sz w:val="20"/>
          <w:szCs w:val="20"/>
          <w:lang w:val="en-GB"/>
        </w:rPr>
        <w:t xml:space="preserve"> on successful exploration programs, many Government policies fail to recognise the very different financial capability </w:t>
      </w:r>
      <w:r w:rsidR="007B7AA6">
        <w:rPr>
          <w:rFonts w:ascii="Arial" w:hAnsi="Arial" w:cs="Arial"/>
          <w:sz w:val="20"/>
          <w:szCs w:val="20"/>
          <w:lang w:val="en-GB"/>
        </w:rPr>
        <w:t xml:space="preserve">between exploration and production.  Exploration projects have a very definite </w:t>
      </w:r>
      <w:r>
        <w:rPr>
          <w:rFonts w:ascii="Arial" w:hAnsi="Arial" w:cs="Arial"/>
          <w:sz w:val="20"/>
          <w:szCs w:val="20"/>
          <w:lang w:val="en-GB"/>
        </w:rPr>
        <w:t>lifecycle, whereby any revenues accrue several years after tenure has been awarded.</w:t>
      </w:r>
    </w:p>
    <w:p w:rsidR="00506678" w:rsidRDefault="00506678" w:rsidP="00071327">
      <w:pPr>
        <w:pStyle w:val="List"/>
        <w:spacing w:line="260" w:lineRule="atLeast"/>
        <w:ind w:left="0" w:firstLine="0"/>
        <w:rPr>
          <w:rFonts w:ascii="Arial" w:hAnsi="Arial" w:cs="Arial"/>
          <w:sz w:val="20"/>
          <w:szCs w:val="20"/>
          <w:lang w:val="en-GB"/>
        </w:rPr>
      </w:pPr>
    </w:p>
    <w:p w:rsidR="0084273A" w:rsidRDefault="007B7AA6"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br w:type="page"/>
      </w:r>
      <w:r w:rsidR="0036275A">
        <w:rPr>
          <w:rFonts w:ascii="Arial" w:hAnsi="Arial" w:cs="Arial"/>
          <w:sz w:val="20"/>
          <w:szCs w:val="20"/>
          <w:lang w:val="en-GB"/>
        </w:rPr>
        <w:lastRenderedPageBreak/>
        <w:t>By way of providing some empirical inputs, QEC commends the exploration scorecard to the Commission</w:t>
      </w:r>
      <w:r w:rsidR="0084273A">
        <w:rPr>
          <w:rFonts w:ascii="Arial" w:hAnsi="Arial" w:cs="Arial"/>
          <w:sz w:val="20"/>
          <w:szCs w:val="20"/>
          <w:lang w:val="en-GB"/>
        </w:rPr>
        <w:t xml:space="preserve"> (</w:t>
      </w:r>
      <w:hyperlink r:id="rId10" w:history="1">
        <w:r w:rsidR="0084273A" w:rsidRPr="0084273A">
          <w:rPr>
            <w:rStyle w:val="Hyperlink"/>
            <w:rFonts w:ascii="Arial" w:hAnsi="Arial" w:cs="Arial"/>
            <w:sz w:val="20"/>
            <w:szCs w:val="20"/>
            <w:lang w:val="en-GB"/>
          </w:rPr>
          <w:t>link</w:t>
        </w:r>
      </w:hyperlink>
      <w:r w:rsidR="0084273A">
        <w:rPr>
          <w:rFonts w:ascii="Arial" w:hAnsi="Arial" w:cs="Arial"/>
          <w:sz w:val="20"/>
          <w:szCs w:val="20"/>
          <w:lang w:val="en-GB"/>
        </w:rPr>
        <w:t>)</w:t>
      </w:r>
      <w:r w:rsidR="0036275A">
        <w:rPr>
          <w:rFonts w:ascii="Arial" w:hAnsi="Arial" w:cs="Arial"/>
          <w:sz w:val="20"/>
          <w:szCs w:val="20"/>
          <w:lang w:val="en-GB"/>
        </w:rPr>
        <w:t xml:space="preserve">. </w:t>
      </w:r>
      <w:r w:rsidR="0084273A">
        <w:rPr>
          <w:rFonts w:ascii="Arial" w:hAnsi="Arial" w:cs="Arial"/>
          <w:sz w:val="20"/>
          <w:szCs w:val="20"/>
          <w:lang w:val="en-GB"/>
        </w:rPr>
        <w:t>The scorecard provides an opportunity for the industry to provide structured feedback on the industry outlook.  Typical of recent feedback is the comment below:</w:t>
      </w:r>
    </w:p>
    <w:p w:rsidR="0084273A" w:rsidRDefault="0084273A" w:rsidP="00071327">
      <w:pPr>
        <w:pStyle w:val="List"/>
        <w:spacing w:line="260" w:lineRule="atLeast"/>
        <w:ind w:left="0" w:firstLine="0"/>
        <w:rPr>
          <w:rFonts w:ascii="Arial" w:hAnsi="Arial" w:cs="Arial"/>
          <w:sz w:val="20"/>
          <w:szCs w:val="20"/>
          <w:lang w:val="en-GB"/>
        </w:rPr>
      </w:pPr>
    </w:p>
    <w:p w:rsidR="0084273A" w:rsidRPr="0084273A" w:rsidRDefault="0084273A" w:rsidP="0084273A">
      <w:pPr>
        <w:pStyle w:val="List"/>
        <w:spacing w:line="260" w:lineRule="atLeast"/>
        <w:ind w:left="567" w:firstLine="0"/>
        <w:rPr>
          <w:rFonts w:ascii="Verdana" w:hAnsi="Verdana" w:cs="Arial"/>
          <w:i/>
          <w:color w:val="76923C" w:themeColor="accent3" w:themeShade="BF"/>
          <w:sz w:val="22"/>
          <w:szCs w:val="22"/>
          <w:lang w:val="en-GB"/>
        </w:rPr>
      </w:pPr>
      <w:r w:rsidRPr="0084273A">
        <w:rPr>
          <w:rFonts w:ascii="Verdana" w:hAnsi="Verdana" w:cs="Arial"/>
          <w:i/>
          <w:color w:val="76923C" w:themeColor="accent3" w:themeShade="BF"/>
          <w:sz w:val="22"/>
          <w:szCs w:val="22"/>
          <w:lang w:val="en-GB"/>
        </w:rPr>
        <w:t>“We need a much more streamlin</w:t>
      </w:r>
      <w:r w:rsidR="00C26A08">
        <w:rPr>
          <w:rFonts w:ascii="Verdana" w:hAnsi="Verdana" w:cs="Arial"/>
          <w:i/>
          <w:color w:val="76923C" w:themeColor="accent3" w:themeShade="BF"/>
          <w:sz w:val="22"/>
          <w:szCs w:val="22"/>
          <w:lang w:val="en-GB"/>
        </w:rPr>
        <w:t>ed</w:t>
      </w:r>
      <w:r w:rsidRPr="0084273A">
        <w:rPr>
          <w:rFonts w:ascii="Verdana" w:hAnsi="Verdana" w:cs="Arial"/>
          <w:i/>
          <w:color w:val="76923C" w:themeColor="accent3" w:themeShade="BF"/>
          <w:sz w:val="22"/>
          <w:szCs w:val="22"/>
          <w:lang w:val="en-GB"/>
        </w:rPr>
        <w:t xml:space="preserve"> process for exploration permits, from grant all the way through to relinquishment.  We need better staffed agencies that are able to respond to queries in shorter timeframes”</w:t>
      </w:r>
      <w:r>
        <w:rPr>
          <w:rFonts w:ascii="Verdana" w:hAnsi="Verdana" w:cs="Arial"/>
          <w:i/>
          <w:color w:val="76923C" w:themeColor="accent3" w:themeShade="BF"/>
          <w:sz w:val="22"/>
          <w:szCs w:val="22"/>
          <w:lang w:val="en-GB"/>
        </w:rPr>
        <w:t xml:space="preserve">. </w:t>
      </w:r>
      <w:r w:rsidRPr="0084273A">
        <w:rPr>
          <w:rFonts w:ascii="Verdana" w:hAnsi="Verdana" w:cs="Arial"/>
          <w:i/>
          <w:color w:val="76923C" w:themeColor="accent3" w:themeShade="BF"/>
          <w:sz w:val="22"/>
          <w:szCs w:val="22"/>
          <w:lang w:val="en-GB"/>
        </w:rPr>
        <w:t>Queensland Explorer.</w:t>
      </w:r>
    </w:p>
    <w:p w:rsidR="0084273A" w:rsidRDefault="0084273A" w:rsidP="00071327">
      <w:pPr>
        <w:pStyle w:val="List"/>
        <w:spacing w:line="260" w:lineRule="atLeast"/>
        <w:ind w:left="0" w:firstLine="0"/>
        <w:rPr>
          <w:rFonts w:ascii="Arial" w:hAnsi="Arial" w:cs="Arial"/>
          <w:sz w:val="20"/>
          <w:szCs w:val="20"/>
          <w:lang w:val="en-GB"/>
        </w:rPr>
      </w:pPr>
    </w:p>
    <w:p w:rsidR="0084273A" w:rsidRDefault="00AA48CA"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Specific c</w:t>
      </w:r>
      <w:r w:rsidR="0084273A">
        <w:rPr>
          <w:rFonts w:ascii="Arial" w:hAnsi="Arial" w:cs="Arial"/>
          <w:sz w:val="20"/>
          <w:szCs w:val="20"/>
          <w:lang w:val="en-GB"/>
        </w:rPr>
        <w:t xml:space="preserve">oncerns raised by Queensland explorers during </w:t>
      </w:r>
      <w:r>
        <w:rPr>
          <w:rFonts w:ascii="Arial" w:hAnsi="Arial" w:cs="Arial"/>
          <w:sz w:val="20"/>
          <w:szCs w:val="20"/>
          <w:lang w:val="en-GB"/>
        </w:rPr>
        <w:t xml:space="preserve">the development of the </w:t>
      </w:r>
      <w:r w:rsidR="0084273A">
        <w:rPr>
          <w:rFonts w:ascii="Arial" w:hAnsi="Arial" w:cs="Arial"/>
          <w:sz w:val="20"/>
          <w:szCs w:val="20"/>
          <w:lang w:val="en-GB"/>
        </w:rPr>
        <w:t xml:space="preserve">2012 </w:t>
      </w:r>
      <w:r>
        <w:rPr>
          <w:rFonts w:ascii="Arial" w:hAnsi="Arial" w:cs="Arial"/>
          <w:sz w:val="20"/>
          <w:szCs w:val="20"/>
          <w:lang w:val="en-GB"/>
        </w:rPr>
        <w:t xml:space="preserve">scorecard </w:t>
      </w:r>
      <w:r w:rsidR="0084273A">
        <w:rPr>
          <w:rFonts w:ascii="Arial" w:hAnsi="Arial" w:cs="Arial"/>
          <w:sz w:val="20"/>
          <w:szCs w:val="20"/>
          <w:lang w:val="en-GB"/>
        </w:rPr>
        <w:t>include:</w:t>
      </w:r>
    </w:p>
    <w:p w:rsidR="00203858" w:rsidRPr="00203858" w:rsidRDefault="00203858" w:rsidP="00203858">
      <w:pPr>
        <w:pStyle w:val="List"/>
        <w:tabs>
          <w:tab w:val="left" w:pos="567"/>
        </w:tabs>
        <w:spacing w:line="260" w:lineRule="atLeast"/>
        <w:ind w:left="0" w:firstLine="0"/>
        <w:rPr>
          <w:rFonts w:ascii="Arial" w:hAnsi="Arial" w:cs="Arial"/>
          <w:sz w:val="20"/>
          <w:lang w:val="en-GB"/>
        </w:rPr>
      </w:pPr>
    </w:p>
    <w:p w:rsidR="002A60C0" w:rsidRDefault="00E45A32" w:rsidP="00DA40EB">
      <w:pPr>
        <w:pStyle w:val="List"/>
        <w:numPr>
          <w:ilvl w:val="0"/>
          <w:numId w:val="28"/>
        </w:numPr>
        <w:tabs>
          <w:tab w:val="left" w:pos="567"/>
        </w:tabs>
        <w:spacing w:line="260" w:lineRule="atLeast"/>
        <w:ind w:left="567" w:hanging="567"/>
        <w:rPr>
          <w:rFonts w:ascii="Arial" w:hAnsi="Arial" w:cs="Arial"/>
          <w:sz w:val="20"/>
          <w:lang w:val="en-AU"/>
        </w:rPr>
      </w:pPr>
      <w:r w:rsidRPr="00AA48CA">
        <w:rPr>
          <w:rFonts w:ascii="Arial" w:hAnsi="Arial" w:cs="Arial"/>
          <w:b/>
          <w:sz w:val="20"/>
          <w:lang w:val="en-AU"/>
        </w:rPr>
        <w:t xml:space="preserve">Queensland’s Statutory </w:t>
      </w:r>
      <w:r w:rsidR="0084273A" w:rsidRPr="00AA48CA">
        <w:rPr>
          <w:rFonts w:ascii="Arial" w:hAnsi="Arial" w:cs="Arial"/>
          <w:b/>
          <w:sz w:val="20"/>
          <w:lang w:val="en-AU"/>
        </w:rPr>
        <w:t>Regional Planning</w:t>
      </w:r>
      <w:r w:rsidRPr="00DA40EB">
        <w:rPr>
          <w:rFonts w:ascii="Arial" w:hAnsi="Arial" w:cs="Arial"/>
          <w:sz w:val="20"/>
          <w:lang w:val="en-AU"/>
        </w:rPr>
        <w:t xml:space="preserve"> </w:t>
      </w:r>
    </w:p>
    <w:p w:rsidR="0084273A" w:rsidRPr="00DA40EB" w:rsidRDefault="002A60C0" w:rsidP="00CF7A0B">
      <w:pPr>
        <w:pStyle w:val="List"/>
        <w:tabs>
          <w:tab w:val="left" w:pos="567"/>
        </w:tabs>
        <w:spacing w:line="260" w:lineRule="atLeast"/>
        <w:ind w:left="0" w:firstLine="0"/>
        <w:rPr>
          <w:rFonts w:ascii="Arial" w:hAnsi="Arial" w:cs="Arial"/>
          <w:sz w:val="20"/>
          <w:lang w:val="en-AU"/>
        </w:rPr>
      </w:pPr>
      <w:r>
        <w:rPr>
          <w:rFonts w:ascii="Arial" w:hAnsi="Arial" w:cs="Arial"/>
          <w:sz w:val="20"/>
          <w:lang w:val="en-AU"/>
        </w:rPr>
        <w:t xml:space="preserve">These new planning </w:t>
      </w:r>
      <w:r w:rsidR="00E45A32" w:rsidRPr="00DA40EB">
        <w:rPr>
          <w:rFonts w:ascii="Arial" w:hAnsi="Arial" w:cs="Arial"/>
          <w:sz w:val="20"/>
          <w:lang w:val="en-AU"/>
        </w:rPr>
        <w:t>proc</w:t>
      </w:r>
      <w:r w:rsidR="00F73DB9">
        <w:rPr>
          <w:rFonts w:ascii="Arial" w:hAnsi="Arial" w:cs="Arial"/>
          <w:sz w:val="20"/>
          <w:lang w:val="en-AU"/>
        </w:rPr>
        <w:t>ess</w:t>
      </w:r>
      <w:r>
        <w:rPr>
          <w:rFonts w:ascii="Arial" w:hAnsi="Arial" w:cs="Arial"/>
          <w:sz w:val="20"/>
          <w:lang w:val="en-AU"/>
        </w:rPr>
        <w:t>es</w:t>
      </w:r>
      <w:r w:rsidR="00F73DB9">
        <w:rPr>
          <w:rFonts w:ascii="Arial" w:hAnsi="Arial" w:cs="Arial"/>
          <w:sz w:val="20"/>
          <w:lang w:val="en-AU"/>
        </w:rPr>
        <w:t xml:space="preserve"> is to be implemented in 2013</w:t>
      </w:r>
      <w:r w:rsidR="00E45A32" w:rsidRPr="00DA40EB">
        <w:rPr>
          <w:rFonts w:ascii="Arial" w:hAnsi="Arial" w:cs="Arial"/>
          <w:sz w:val="20"/>
          <w:lang w:val="en-AU"/>
        </w:rPr>
        <w:t xml:space="preserve"> </w:t>
      </w:r>
      <w:r>
        <w:rPr>
          <w:rFonts w:ascii="Arial" w:hAnsi="Arial" w:cs="Arial"/>
          <w:sz w:val="20"/>
          <w:lang w:val="en-AU"/>
        </w:rPr>
        <w:t>across three regions – Central Queensland, the Darling Downs and Cape York.  A</w:t>
      </w:r>
      <w:r w:rsidR="002F62A6">
        <w:rPr>
          <w:rFonts w:ascii="Arial" w:hAnsi="Arial" w:cs="Arial"/>
          <w:sz w:val="20"/>
          <w:lang w:val="en-AU"/>
        </w:rPr>
        <w:t>s currently proposed,</w:t>
      </w:r>
      <w:r w:rsidR="00E45A32" w:rsidRPr="00DA40EB">
        <w:rPr>
          <w:rFonts w:ascii="Arial" w:hAnsi="Arial" w:cs="Arial"/>
          <w:sz w:val="20"/>
          <w:lang w:val="en-AU"/>
        </w:rPr>
        <w:t xml:space="preserve"> </w:t>
      </w:r>
      <w:r>
        <w:rPr>
          <w:rFonts w:ascii="Arial" w:hAnsi="Arial" w:cs="Arial"/>
          <w:sz w:val="20"/>
          <w:lang w:val="en-AU"/>
        </w:rPr>
        <w:t xml:space="preserve">these statutory plans </w:t>
      </w:r>
      <w:r w:rsidR="00E45A32" w:rsidRPr="00DA40EB">
        <w:rPr>
          <w:rFonts w:ascii="Arial" w:hAnsi="Arial" w:cs="Arial"/>
          <w:sz w:val="20"/>
          <w:lang w:val="en-AU"/>
        </w:rPr>
        <w:t>will include two new ca</w:t>
      </w:r>
      <w:r w:rsidR="00AA48CA">
        <w:rPr>
          <w:rFonts w:ascii="Arial" w:hAnsi="Arial" w:cs="Arial"/>
          <w:sz w:val="20"/>
          <w:lang w:val="en-AU"/>
        </w:rPr>
        <w:t>tegories of restriction to land, which will affect exploration.</w:t>
      </w:r>
    </w:p>
    <w:p w:rsidR="00E45A32" w:rsidRPr="00E45A32" w:rsidRDefault="00E45A32" w:rsidP="00CF7A0B">
      <w:pPr>
        <w:pStyle w:val="List"/>
        <w:numPr>
          <w:ilvl w:val="1"/>
          <w:numId w:val="27"/>
        </w:numPr>
        <w:tabs>
          <w:tab w:val="left" w:pos="1134"/>
        </w:tabs>
        <w:spacing w:before="120" w:line="260" w:lineRule="atLeast"/>
        <w:ind w:left="1134" w:hanging="567"/>
        <w:rPr>
          <w:rFonts w:ascii="Arial" w:hAnsi="Arial" w:cs="Arial"/>
          <w:sz w:val="20"/>
          <w:lang w:val="en-GB"/>
        </w:rPr>
      </w:pPr>
      <w:r w:rsidRPr="00CF7A0B">
        <w:rPr>
          <w:rFonts w:ascii="Arial" w:hAnsi="Arial" w:cs="Arial"/>
          <w:i/>
          <w:sz w:val="20"/>
        </w:rPr>
        <w:t>Priority Agricultural Areas</w:t>
      </w:r>
      <w:r>
        <w:rPr>
          <w:rFonts w:ascii="Arial" w:hAnsi="Arial" w:cs="Arial"/>
          <w:sz w:val="20"/>
        </w:rPr>
        <w:t xml:space="preserve"> – resource activities will have to comply with coexistence criteria to demonstrate that they can coexist with</w:t>
      </w:r>
      <w:r w:rsidR="007B7AA6">
        <w:rPr>
          <w:rFonts w:ascii="Arial" w:hAnsi="Arial" w:cs="Arial"/>
          <w:sz w:val="20"/>
        </w:rPr>
        <w:t>out affecting</w:t>
      </w:r>
      <w:r>
        <w:rPr>
          <w:rFonts w:ascii="Arial" w:hAnsi="Arial" w:cs="Arial"/>
          <w:sz w:val="20"/>
        </w:rPr>
        <w:t xml:space="preserve"> agricultural land uses.</w:t>
      </w:r>
    </w:p>
    <w:p w:rsidR="00E45A32" w:rsidRPr="00F73DB9" w:rsidRDefault="00E45A32" w:rsidP="00CF7A0B">
      <w:pPr>
        <w:pStyle w:val="List"/>
        <w:numPr>
          <w:ilvl w:val="1"/>
          <w:numId w:val="27"/>
        </w:numPr>
        <w:tabs>
          <w:tab w:val="left" w:pos="1134"/>
        </w:tabs>
        <w:spacing w:before="120" w:line="260" w:lineRule="atLeast"/>
        <w:ind w:left="1134" w:hanging="567"/>
        <w:rPr>
          <w:rFonts w:ascii="Arial" w:hAnsi="Arial" w:cs="Arial"/>
          <w:sz w:val="20"/>
          <w:lang w:val="en-GB"/>
        </w:rPr>
      </w:pPr>
      <w:r w:rsidRPr="00CF7A0B">
        <w:rPr>
          <w:rFonts w:ascii="Arial" w:hAnsi="Arial" w:cs="Arial"/>
          <w:i/>
          <w:sz w:val="20"/>
        </w:rPr>
        <w:t>Priority Living Areas</w:t>
      </w:r>
      <w:r>
        <w:rPr>
          <w:rFonts w:ascii="Arial" w:hAnsi="Arial" w:cs="Arial"/>
          <w:sz w:val="20"/>
        </w:rPr>
        <w:t xml:space="preserve"> – a two </w:t>
      </w:r>
      <w:proofErr w:type="spellStart"/>
      <w:r>
        <w:rPr>
          <w:rFonts w:ascii="Arial" w:hAnsi="Arial" w:cs="Arial"/>
          <w:sz w:val="20"/>
        </w:rPr>
        <w:t>kilomet</w:t>
      </w:r>
      <w:r w:rsidR="002F62A6">
        <w:rPr>
          <w:rFonts w:ascii="Arial" w:hAnsi="Arial" w:cs="Arial"/>
          <w:sz w:val="20"/>
        </w:rPr>
        <w:t>re</w:t>
      </w:r>
      <w:proofErr w:type="spellEnd"/>
      <w:r>
        <w:rPr>
          <w:rFonts w:ascii="Arial" w:hAnsi="Arial" w:cs="Arial"/>
          <w:sz w:val="20"/>
        </w:rPr>
        <w:t xml:space="preserve"> zone around towns of more than 200 people</w:t>
      </w:r>
      <w:r w:rsidR="00203858">
        <w:rPr>
          <w:rFonts w:ascii="Arial" w:hAnsi="Arial" w:cs="Arial"/>
          <w:sz w:val="20"/>
        </w:rPr>
        <w:t xml:space="preserve"> which will require an additional level of scrutiny for any operations </w:t>
      </w:r>
      <w:r w:rsidR="007B7AA6">
        <w:rPr>
          <w:rFonts w:ascii="Arial" w:hAnsi="Arial" w:cs="Arial"/>
          <w:sz w:val="20"/>
        </w:rPr>
        <w:t xml:space="preserve">in </w:t>
      </w:r>
      <w:r w:rsidR="00203858">
        <w:rPr>
          <w:rFonts w:ascii="Arial" w:hAnsi="Arial" w:cs="Arial"/>
          <w:sz w:val="20"/>
        </w:rPr>
        <w:t>the area.</w:t>
      </w:r>
    </w:p>
    <w:p w:rsidR="0070436B" w:rsidRDefault="0070436B" w:rsidP="00CF7A0B">
      <w:pPr>
        <w:pStyle w:val="List"/>
        <w:tabs>
          <w:tab w:val="left" w:pos="1134"/>
        </w:tabs>
        <w:spacing w:line="260" w:lineRule="atLeast"/>
        <w:ind w:left="0" w:firstLine="0"/>
        <w:rPr>
          <w:rFonts w:ascii="Arial" w:hAnsi="Arial" w:cs="Arial"/>
          <w:sz w:val="20"/>
          <w:lang w:val="en-GB"/>
        </w:rPr>
      </w:pPr>
    </w:p>
    <w:p w:rsidR="00F73DB9" w:rsidRPr="0084273A" w:rsidRDefault="00F73DB9" w:rsidP="00CF7A0B">
      <w:pPr>
        <w:pStyle w:val="List"/>
        <w:tabs>
          <w:tab w:val="left" w:pos="1134"/>
        </w:tabs>
        <w:spacing w:line="260" w:lineRule="atLeast"/>
        <w:ind w:left="0" w:firstLine="0"/>
        <w:rPr>
          <w:rFonts w:ascii="Arial" w:hAnsi="Arial" w:cs="Arial"/>
          <w:sz w:val="20"/>
          <w:lang w:val="en-GB"/>
        </w:rPr>
      </w:pPr>
      <w:r>
        <w:rPr>
          <w:rFonts w:ascii="Arial" w:hAnsi="Arial" w:cs="Arial"/>
          <w:sz w:val="20"/>
          <w:lang w:val="en-GB"/>
        </w:rPr>
        <w:t xml:space="preserve">Key details are yet to emerge as to the specifics of these policies, but even a preliminary analysis suggests that the opportunity cost of these policies </w:t>
      </w:r>
      <w:r w:rsidR="002A60C0">
        <w:rPr>
          <w:rFonts w:ascii="Arial" w:hAnsi="Arial" w:cs="Arial"/>
          <w:sz w:val="20"/>
          <w:lang w:val="en-GB"/>
        </w:rPr>
        <w:t xml:space="preserve">could </w:t>
      </w:r>
      <w:r>
        <w:rPr>
          <w:rFonts w:ascii="Arial" w:hAnsi="Arial" w:cs="Arial"/>
          <w:sz w:val="20"/>
          <w:lang w:val="en-GB"/>
        </w:rPr>
        <w:t>be extraordinarily high.</w:t>
      </w:r>
      <w:r w:rsidR="002A60C0">
        <w:rPr>
          <w:rFonts w:ascii="Arial" w:hAnsi="Arial" w:cs="Arial"/>
          <w:sz w:val="20"/>
          <w:lang w:val="en-GB"/>
        </w:rPr>
        <w:t xml:space="preserve">  However, the Cape York regional plan will replace the process of river declarations under the </w:t>
      </w:r>
      <w:r w:rsidR="002A60C0" w:rsidRPr="00CF7A0B">
        <w:rPr>
          <w:rFonts w:ascii="Arial" w:hAnsi="Arial" w:cs="Arial"/>
          <w:i/>
          <w:sz w:val="20"/>
          <w:lang w:val="en-GB"/>
        </w:rPr>
        <w:t>Wild Rivers Act 2005</w:t>
      </w:r>
      <w:r w:rsidR="002A60C0">
        <w:rPr>
          <w:rFonts w:ascii="Arial" w:hAnsi="Arial" w:cs="Arial"/>
          <w:i/>
          <w:sz w:val="20"/>
          <w:lang w:val="en-GB"/>
        </w:rPr>
        <w:t xml:space="preserve">, </w:t>
      </w:r>
      <w:r w:rsidR="002A60C0" w:rsidRPr="00CF7A0B">
        <w:rPr>
          <w:rFonts w:ascii="Arial" w:hAnsi="Arial" w:cs="Arial"/>
          <w:sz w:val="20"/>
          <w:lang w:val="en-GB"/>
        </w:rPr>
        <w:t>which</w:t>
      </w:r>
      <w:r w:rsidR="002A60C0">
        <w:rPr>
          <w:rFonts w:ascii="Arial" w:hAnsi="Arial" w:cs="Arial"/>
          <w:sz w:val="20"/>
          <w:lang w:val="en-GB"/>
        </w:rPr>
        <w:t xml:space="preserve"> may unlock a substantial area for exploration activity.</w:t>
      </w:r>
      <w:r w:rsidR="002A60C0">
        <w:rPr>
          <w:rFonts w:ascii="Arial" w:hAnsi="Arial" w:cs="Arial"/>
          <w:i/>
          <w:sz w:val="20"/>
          <w:lang w:val="en-GB"/>
        </w:rPr>
        <w:t xml:space="preserve"> </w:t>
      </w:r>
    </w:p>
    <w:p w:rsidR="00203858" w:rsidRPr="00203858" w:rsidRDefault="00203858" w:rsidP="00203858">
      <w:pPr>
        <w:pStyle w:val="List"/>
        <w:tabs>
          <w:tab w:val="left" w:pos="567"/>
        </w:tabs>
        <w:spacing w:line="260" w:lineRule="atLeast"/>
        <w:ind w:left="0" w:firstLine="0"/>
        <w:rPr>
          <w:rFonts w:ascii="Arial" w:hAnsi="Arial" w:cs="Arial"/>
          <w:sz w:val="20"/>
          <w:lang w:val="en-GB"/>
        </w:rPr>
      </w:pPr>
    </w:p>
    <w:p w:rsidR="00C26A08" w:rsidRDefault="0084273A" w:rsidP="00DA40EB">
      <w:pPr>
        <w:pStyle w:val="List"/>
        <w:numPr>
          <w:ilvl w:val="0"/>
          <w:numId w:val="28"/>
        </w:numPr>
        <w:tabs>
          <w:tab w:val="left" w:pos="567"/>
        </w:tabs>
        <w:spacing w:line="260" w:lineRule="atLeast"/>
        <w:ind w:left="567" w:hanging="567"/>
        <w:rPr>
          <w:rFonts w:ascii="Arial" w:hAnsi="Arial" w:cs="Arial"/>
          <w:sz w:val="20"/>
          <w:lang w:val="en-AU"/>
        </w:rPr>
      </w:pPr>
      <w:r w:rsidRPr="00AA48CA">
        <w:rPr>
          <w:rFonts w:ascii="Arial" w:hAnsi="Arial" w:cs="Arial"/>
          <w:b/>
          <w:sz w:val="20"/>
          <w:lang w:val="en-AU"/>
        </w:rPr>
        <w:t xml:space="preserve">Strategic </w:t>
      </w:r>
      <w:r w:rsidR="00203858" w:rsidRPr="00AA48CA">
        <w:rPr>
          <w:rFonts w:ascii="Arial" w:hAnsi="Arial" w:cs="Arial"/>
          <w:b/>
          <w:sz w:val="20"/>
          <w:lang w:val="en-AU"/>
        </w:rPr>
        <w:t>C</w:t>
      </w:r>
      <w:r w:rsidRPr="00AA48CA">
        <w:rPr>
          <w:rFonts w:ascii="Arial" w:hAnsi="Arial" w:cs="Arial"/>
          <w:b/>
          <w:sz w:val="20"/>
          <w:lang w:val="en-AU"/>
        </w:rPr>
        <w:t xml:space="preserve">ropping </w:t>
      </w:r>
      <w:r w:rsidR="00203858" w:rsidRPr="00AA48CA">
        <w:rPr>
          <w:rFonts w:ascii="Arial" w:hAnsi="Arial" w:cs="Arial"/>
          <w:b/>
          <w:sz w:val="20"/>
          <w:lang w:val="en-AU"/>
        </w:rPr>
        <w:t>L</w:t>
      </w:r>
      <w:r w:rsidRPr="00AA48CA">
        <w:rPr>
          <w:rFonts w:ascii="Arial" w:hAnsi="Arial" w:cs="Arial"/>
          <w:b/>
          <w:sz w:val="20"/>
          <w:lang w:val="en-AU"/>
        </w:rPr>
        <w:t>and</w:t>
      </w:r>
      <w:r w:rsidRPr="00DA40EB">
        <w:rPr>
          <w:rFonts w:ascii="Arial" w:hAnsi="Arial" w:cs="Arial"/>
          <w:sz w:val="20"/>
          <w:lang w:val="en-AU"/>
        </w:rPr>
        <w:t xml:space="preserve"> </w:t>
      </w:r>
      <w:r w:rsidR="00C26A08">
        <w:rPr>
          <w:rFonts w:ascii="Arial" w:hAnsi="Arial" w:cs="Arial"/>
          <w:sz w:val="20"/>
          <w:lang w:val="en-AU"/>
        </w:rPr>
        <w:t>(SCL)</w:t>
      </w:r>
    </w:p>
    <w:p w:rsidR="00E45A32" w:rsidRPr="00DA40EB" w:rsidRDefault="00C26A08" w:rsidP="00C26A08">
      <w:pPr>
        <w:pStyle w:val="List"/>
        <w:tabs>
          <w:tab w:val="left" w:pos="567"/>
        </w:tabs>
        <w:spacing w:line="260" w:lineRule="atLeast"/>
        <w:ind w:left="0" w:firstLine="0"/>
        <w:rPr>
          <w:rFonts w:ascii="Arial" w:hAnsi="Arial" w:cs="Arial"/>
          <w:sz w:val="20"/>
          <w:lang w:val="en-AU"/>
        </w:rPr>
      </w:pPr>
      <w:r>
        <w:rPr>
          <w:rFonts w:ascii="Arial" w:hAnsi="Arial" w:cs="Arial"/>
          <w:sz w:val="20"/>
          <w:lang w:val="en-AU"/>
        </w:rPr>
        <w:t xml:space="preserve">Strategic cropping land is </w:t>
      </w:r>
      <w:r w:rsidR="00203858" w:rsidRPr="00DA40EB">
        <w:rPr>
          <w:rFonts w:ascii="Arial" w:hAnsi="Arial" w:cs="Arial"/>
          <w:sz w:val="20"/>
          <w:lang w:val="en-AU"/>
        </w:rPr>
        <w:t>a complex system of recognizing Queen</w:t>
      </w:r>
      <w:r>
        <w:rPr>
          <w:rFonts w:ascii="Arial" w:hAnsi="Arial" w:cs="Arial"/>
          <w:sz w:val="20"/>
          <w:lang w:val="en-AU"/>
        </w:rPr>
        <w:t>s</w:t>
      </w:r>
      <w:r w:rsidR="00203858" w:rsidRPr="00DA40EB">
        <w:rPr>
          <w:rFonts w:ascii="Arial" w:hAnsi="Arial" w:cs="Arial"/>
          <w:sz w:val="20"/>
          <w:lang w:val="en-AU"/>
        </w:rPr>
        <w:t>land’s best cropping soils which prevents any permanent alienation of the soil, including prohibiting any open cut mini</w:t>
      </w:r>
      <w:r w:rsidR="00AA48CA">
        <w:rPr>
          <w:rFonts w:ascii="Arial" w:hAnsi="Arial" w:cs="Arial"/>
          <w:sz w:val="20"/>
          <w:lang w:val="en-AU"/>
        </w:rPr>
        <w:t xml:space="preserve">ng within the </w:t>
      </w:r>
      <w:r w:rsidR="007B7AA6">
        <w:rPr>
          <w:rFonts w:ascii="Arial" w:hAnsi="Arial" w:cs="Arial"/>
          <w:sz w:val="20"/>
          <w:lang w:val="en-AU"/>
        </w:rPr>
        <w:t xml:space="preserve">two designated </w:t>
      </w:r>
      <w:r w:rsidR="00AA48CA">
        <w:rPr>
          <w:rFonts w:ascii="Arial" w:hAnsi="Arial" w:cs="Arial"/>
          <w:sz w:val="20"/>
          <w:lang w:val="en-AU"/>
        </w:rPr>
        <w:t>protection zones. The process</w:t>
      </w:r>
      <w:r w:rsidR="00FC1EA7">
        <w:rPr>
          <w:rFonts w:ascii="Arial" w:hAnsi="Arial" w:cs="Arial"/>
          <w:sz w:val="20"/>
          <w:lang w:val="en-AU"/>
        </w:rPr>
        <w:t>es</w:t>
      </w:r>
      <w:r w:rsidR="00AA48CA">
        <w:rPr>
          <w:rFonts w:ascii="Arial" w:hAnsi="Arial" w:cs="Arial"/>
          <w:sz w:val="20"/>
          <w:lang w:val="en-AU"/>
        </w:rPr>
        <w:t xml:space="preserve"> are slow, cumbersome and complex – many explorers have opted to quarantine any area of potential strategic cropping land from their tenure, rather than bear the expense and uncertainty of this Act.</w:t>
      </w:r>
      <w:r w:rsidR="0070436B">
        <w:rPr>
          <w:rFonts w:ascii="Arial" w:hAnsi="Arial" w:cs="Arial"/>
          <w:sz w:val="20"/>
          <w:lang w:val="en-AU"/>
        </w:rPr>
        <w:t xml:space="preserve">  There is a prospect of the Statutory Regional Plans either replacing or substantially modifying the areas of strategic cropping which fall within the regional planning area.</w:t>
      </w:r>
    </w:p>
    <w:p w:rsidR="00203858" w:rsidRDefault="00203858" w:rsidP="00203858">
      <w:pPr>
        <w:pStyle w:val="List"/>
        <w:tabs>
          <w:tab w:val="left" w:pos="567"/>
        </w:tabs>
        <w:spacing w:line="260" w:lineRule="atLeast"/>
        <w:ind w:left="0" w:firstLine="0"/>
        <w:rPr>
          <w:rFonts w:ascii="Arial" w:hAnsi="Arial" w:cs="Arial"/>
          <w:sz w:val="20"/>
          <w:lang w:val="en-GB"/>
        </w:rPr>
      </w:pPr>
    </w:p>
    <w:p w:rsidR="0084273A" w:rsidRPr="00C26A08" w:rsidRDefault="0084273A" w:rsidP="00C26A08">
      <w:pPr>
        <w:pStyle w:val="List"/>
        <w:numPr>
          <w:ilvl w:val="0"/>
          <w:numId w:val="28"/>
        </w:numPr>
        <w:tabs>
          <w:tab w:val="left" w:pos="567"/>
        </w:tabs>
        <w:spacing w:line="260" w:lineRule="atLeast"/>
        <w:ind w:left="567" w:hanging="567"/>
        <w:rPr>
          <w:rFonts w:ascii="Arial" w:hAnsi="Arial" w:cs="Arial"/>
          <w:b/>
          <w:sz w:val="20"/>
          <w:lang w:val="en-AU"/>
        </w:rPr>
      </w:pPr>
      <w:r w:rsidRPr="00AA48CA">
        <w:rPr>
          <w:rFonts w:ascii="Arial" w:hAnsi="Arial" w:cs="Arial"/>
          <w:b/>
          <w:sz w:val="20"/>
          <w:lang w:val="en-AU"/>
        </w:rPr>
        <w:t xml:space="preserve">Land access </w:t>
      </w:r>
    </w:p>
    <w:p w:rsidR="00203858" w:rsidRPr="008335BF" w:rsidRDefault="00DA67FF" w:rsidP="007B7AA6">
      <w:pPr>
        <w:autoSpaceDE w:val="0"/>
        <w:autoSpaceDN w:val="0"/>
        <w:adjustRightInd w:val="0"/>
        <w:spacing w:line="260" w:lineRule="atLeast"/>
        <w:ind w:right="37"/>
        <w:rPr>
          <w:rFonts w:ascii="Arial" w:hAnsi="Arial" w:cs="Arial"/>
          <w:sz w:val="20"/>
          <w:lang w:val="en-GB" w:eastAsia="en-GB"/>
        </w:rPr>
      </w:pPr>
      <w:r>
        <w:rPr>
          <w:rFonts w:ascii="Arial" w:hAnsi="Arial" w:cs="Arial"/>
          <w:sz w:val="20"/>
          <w:lang w:val="en-GB" w:eastAsia="en-GB"/>
        </w:rPr>
        <w:t xml:space="preserve">In 2011 as part of the formal review of the new land access provisions in Queensland, </w:t>
      </w:r>
      <w:r w:rsidR="00DA40EB">
        <w:rPr>
          <w:rFonts w:ascii="Arial" w:hAnsi="Arial" w:cs="Arial"/>
          <w:sz w:val="20"/>
          <w:lang w:val="en-GB" w:eastAsia="en-GB"/>
        </w:rPr>
        <w:t xml:space="preserve">QRC conducted a survey </w:t>
      </w:r>
      <w:r w:rsidR="00C26A08">
        <w:rPr>
          <w:rFonts w:ascii="Arial" w:hAnsi="Arial" w:cs="Arial"/>
          <w:sz w:val="20"/>
          <w:lang w:val="en-GB" w:eastAsia="en-GB"/>
        </w:rPr>
        <w:t xml:space="preserve">which </w:t>
      </w:r>
      <w:r w:rsidR="00DA40EB">
        <w:rPr>
          <w:rFonts w:ascii="Arial" w:hAnsi="Arial" w:cs="Arial"/>
          <w:sz w:val="20"/>
          <w:lang w:val="en-GB" w:eastAsia="en-GB"/>
        </w:rPr>
        <w:t xml:space="preserve">found that </w:t>
      </w:r>
      <w:r w:rsidR="00203858" w:rsidRPr="008335BF">
        <w:rPr>
          <w:rFonts w:ascii="Arial" w:hAnsi="Arial" w:cs="Arial"/>
          <w:sz w:val="20"/>
          <w:lang w:val="en-GB" w:eastAsia="en-GB"/>
        </w:rPr>
        <w:t xml:space="preserve">over 70 per cent of </w:t>
      </w:r>
      <w:r w:rsidR="00DA40EB">
        <w:rPr>
          <w:rFonts w:ascii="Arial" w:hAnsi="Arial" w:cs="Arial"/>
          <w:sz w:val="20"/>
          <w:lang w:val="en-GB" w:eastAsia="en-GB"/>
        </w:rPr>
        <w:t>respondents (</w:t>
      </w:r>
      <w:r w:rsidR="00C26A08">
        <w:rPr>
          <w:rFonts w:ascii="Arial" w:hAnsi="Arial" w:cs="Arial"/>
          <w:sz w:val="20"/>
          <w:lang w:val="en-GB" w:eastAsia="en-GB"/>
        </w:rPr>
        <w:t xml:space="preserve">55 </w:t>
      </w:r>
      <w:r w:rsidR="00DA40EB">
        <w:rPr>
          <w:rFonts w:ascii="Arial" w:hAnsi="Arial" w:cs="Arial"/>
          <w:sz w:val="20"/>
          <w:lang w:val="en-GB" w:eastAsia="en-GB"/>
        </w:rPr>
        <w:t xml:space="preserve">explorers with active interests in Queensland) </w:t>
      </w:r>
      <w:r w:rsidR="00203858" w:rsidRPr="008335BF">
        <w:rPr>
          <w:rFonts w:ascii="Arial" w:hAnsi="Arial" w:cs="Arial"/>
          <w:sz w:val="20"/>
          <w:lang w:val="en-GB" w:eastAsia="en-GB"/>
        </w:rPr>
        <w:t>disagreed or strongly disagreed with the statement ‘</w:t>
      </w:r>
      <w:r w:rsidR="00203858" w:rsidRPr="00DA67FF">
        <w:rPr>
          <w:rFonts w:ascii="Arial" w:hAnsi="Arial" w:cs="Arial"/>
          <w:bCs/>
          <w:i/>
          <w:sz w:val="20"/>
        </w:rPr>
        <w:t>the new land access policy in Queensland has improved my company’s relationships with our landholders’</w:t>
      </w:r>
      <w:r w:rsidR="00203858" w:rsidRPr="008335BF">
        <w:rPr>
          <w:rFonts w:ascii="Arial" w:hAnsi="Arial" w:cs="Arial"/>
          <w:bCs/>
          <w:sz w:val="20"/>
        </w:rPr>
        <w:t>.</w:t>
      </w:r>
      <w:r w:rsidR="00203858" w:rsidRPr="008335BF">
        <w:rPr>
          <w:rFonts w:ascii="Arial" w:hAnsi="Arial" w:cs="Arial"/>
          <w:sz w:val="20"/>
          <w:lang w:val="en-GB" w:eastAsia="en-GB"/>
        </w:rPr>
        <w:t xml:space="preserve"> </w:t>
      </w:r>
      <w:r w:rsidR="00DA40EB">
        <w:rPr>
          <w:rFonts w:ascii="Arial" w:hAnsi="Arial" w:cs="Arial"/>
          <w:sz w:val="20"/>
          <w:lang w:val="en-GB" w:eastAsia="en-GB"/>
        </w:rPr>
        <w:t xml:space="preserve">The general view </w:t>
      </w:r>
      <w:r>
        <w:rPr>
          <w:rFonts w:ascii="Arial" w:hAnsi="Arial" w:cs="Arial"/>
          <w:sz w:val="20"/>
          <w:lang w:val="en-GB" w:eastAsia="en-GB"/>
        </w:rPr>
        <w:t xml:space="preserve">of explorers </w:t>
      </w:r>
      <w:r w:rsidR="00DA40EB">
        <w:rPr>
          <w:rFonts w:ascii="Arial" w:hAnsi="Arial" w:cs="Arial"/>
          <w:sz w:val="20"/>
          <w:lang w:val="en-GB" w:eastAsia="en-GB"/>
        </w:rPr>
        <w:t xml:space="preserve">was </w:t>
      </w:r>
      <w:r w:rsidR="00203858" w:rsidRPr="008335BF">
        <w:rPr>
          <w:rFonts w:ascii="Arial" w:hAnsi="Arial" w:cs="Arial"/>
          <w:sz w:val="20"/>
          <w:lang w:val="en-GB" w:eastAsia="en-GB"/>
        </w:rPr>
        <w:t>that the introduction of a legalistic framework to negotiate access to land has diminished relationships between landholders and resources companies. The intent of the framework has merit; however it must be able to focus primarily on building relationships between the landholder and resource company to ensure sustainable coexistence.</w:t>
      </w:r>
    </w:p>
    <w:p w:rsidR="00203858" w:rsidRPr="008335BF" w:rsidRDefault="00203858" w:rsidP="00203858">
      <w:pPr>
        <w:autoSpaceDE w:val="0"/>
        <w:autoSpaceDN w:val="0"/>
        <w:adjustRightInd w:val="0"/>
        <w:spacing w:line="260" w:lineRule="atLeast"/>
        <w:ind w:right="850"/>
        <w:rPr>
          <w:rFonts w:ascii="Arial" w:hAnsi="Arial" w:cs="Arial"/>
          <w:sz w:val="20"/>
          <w:lang w:val="en-GB" w:eastAsia="en-GB"/>
        </w:rPr>
      </w:pPr>
    </w:p>
    <w:p w:rsidR="0070436B" w:rsidRDefault="00203858" w:rsidP="007B7AA6">
      <w:pPr>
        <w:autoSpaceDE w:val="0"/>
        <w:autoSpaceDN w:val="0"/>
        <w:adjustRightInd w:val="0"/>
        <w:spacing w:line="260" w:lineRule="atLeast"/>
        <w:ind w:right="37"/>
        <w:rPr>
          <w:rFonts w:ascii="Arial" w:hAnsi="Arial" w:cs="Arial"/>
          <w:sz w:val="20"/>
          <w:lang w:val="en-GB" w:eastAsia="en-GB"/>
        </w:rPr>
      </w:pPr>
      <w:r w:rsidRPr="008335BF">
        <w:rPr>
          <w:rFonts w:ascii="Arial" w:hAnsi="Arial" w:cs="Arial"/>
          <w:sz w:val="20"/>
        </w:rPr>
        <w:t xml:space="preserve">Unfortunately, a perverse outcome of </w:t>
      </w:r>
      <w:r w:rsidR="00DA67FF">
        <w:rPr>
          <w:rFonts w:ascii="Arial" w:hAnsi="Arial" w:cs="Arial"/>
          <w:sz w:val="20"/>
        </w:rPr>
        <w:t xml:space="preserve">Queensland’s land access </w:t>
      </w:r>
      <w:r w:rsidRPr="008335BF">
        <w:rPr>
          <w:rFonts w:ascii="Arial" w:hAnsi="Arial" w:cs="Arial"/>
          <w:sz w:val="20"/>
        </w:rPr>
        <w:t>laws is that the land access process has become focussed on maximizing compensation</w:t>
      </w:r>
      <w:r w:rsidRPr="008335BF">
        <w:rPr>
          <w:rFonts w:ascii="Arial" w:hAnsi="Arial" w:cs="Arial"/>
          <w:sz w:val="20"/>
          <w:lang w:val="en-GB" w:eastAsia="en-GB"/>
        </w:rPr>
        <w:t xml:space="preserve"> with little priority on building effective working relationships to ensure there is a minim</w:t>
      </w:r>
      <w:r w:rsidR="00DA67FF">
        <w:rPr>
          <w:rFonts w:ascii="Arial" w:hAnsi="Arial" w:cs="Arial"/>
          <w:sz w:val="20"/>
          <w:lang w:val="en-GB" w:eastAsia="en-GB"/>
        </w:rPr>
        <w:t xml:space="preserve">al </w:t>
      </w:r>
      <w:r w:rsidRPr="008335BF">
        <w:rPr>
          <w:rFonts w:ascii="Arial" w:hAnsi="Arial" w:cs="Arial"/>
          <w:sz w:val="20"/>
          <w:lang w:val="en-GB" w:eastAsia="en-GB"/>
        </w:rPr>
        <w:t xml:space="preserve">impact on the landholder business or enjoyment of the land. </w:t>
      </w:r>
    </w:p>
    <w:p w:rsidR="00203858" w:rsidRDefault="00203858" w:rsidP="007B7AA6">
      <w:pPr>
        <w:autoSpaceDE w:val="0"/>
        <w:autoSpaceDN w:val="0"/>
        <w:adjustRightInd w:val="0"/>
        <w:spacing w:line="260" w:lineRule="atLeast"/>
        <w:ind w:right="37"/>
        <w:rPr>
          <w:rFonts w:ascii="Arial" w:hAnsi="Arial" w:cs="Arial"/>
          <w:sz w:val="20"/>
          <w:lang w:val="en-GB" w:eastAsia="en-GB"/>
        </w:rPr>
      </w:pPr>
      <w:r>
        <w:rPr>
          <w:rFonts w:ascii="Arial" w:hAnsi="Arial" w:cs="Arial"/>
          <w:sz w:val="20"/>
          <w:lang w:val="en-GB" w:eastAsia="en-GB"/>
        </w:rPr>
        <w:lastRenderedPageBreak/>
        <w:t>As one survey respondent wrote:</w:t>
      </w:r>
    </w:p>
    <w:p w:rsidR="00203858" w:rsidRDefault="00203858" w:rsidP="00DA40EB">
      <w:pPr>
        <w:autoSpaceDE w:val="0"/>
        <w:autoSpaceDN w:val="0"/>
        <w:adjustRightInd w:val="0"/>
        <w:spacing w:line="260" w:lineRule="atLeast"/>
        <w:ind w:left="360" w:right="850"/>
        <w:rPr>
          <w:rFonts w:ascii="Arial" w:hAnsi="Arial" w:cs="Arial"/>
          <w:sz w:val="20"/>
          <w:lang w:val="en-GB" w:eastAsia="en-GB"/>
        </w:rPr>
      </w:pPr>
    </w:p>
    <w:p w:rsidR="00203858" w:rsidRPr="00203858" w:rsidRDefault="00203858" w:rsidP="00203858">
      <w:pPr>
        <w:pStyle w:val="List"/>
        <w:spacing w:line="260" w:lineRule="atLeast"/>
        <w:ind w:left="567" w:firstLine="0"/>
        <w:rPr>
          <w:rFonts w:ascii="Verdana" w:hAnsi="Verdana" w:cs="Arial"/>
          <w:i/>
          <w:color w:val="76923C" w:themeColor="accent3" w:themeShade="BF"/>
          <w:sz w:val="22"/>
          <w:szCs w:val="22"/>
          <w:lang w:val="en-GB"/>
        </w:rPr>
      </w:pPr>
      <w:r w:rsidRPr="00203858">
        <w:rPr>
          <w:rFonts w:ascii="Verdana" w:hAnsi="Verdana" w:cs="Arial"/>
          <w:i/>
          <w:color w:val="76923C" w:themeColor="accent3" w:themeShade="BF"/>
          <w:sz w:val="22"/>
          <w:szCs w:val="22"/>
          <w:lang w:val="en-GB"/>
        </w:rPr>
        <w:t>‘Under the new Framework especially with the activities of some professional advisors, has meant a more adversarial relationship aimed at maximising compensation not minimising exploration impact and benefits to farming operations, and less certain, slower and more costly land access. This is contrary to the policy objectives and will make Queensland a less attractive place to explore.’</w:t>
      </w:r>
    </w:p>
    <w:p w:rsidR="00203858" w:rsidRDefault="00203858" w:rsidP="00DA40EB">
      <w:pPr>
        <w:shd w:val="clear" w:color="auto" w:fill="FFFFFF"/>
        <w:spacing w:before="30" w:after="30" w:line="260" w:lineRule="atLeast"/>
        <w:ind w:left="360" w:right="850"/>
        <w:rPr>
          <w:rFonts w:ascii="Arial" w:eastAsia="Times New Roman" w:hAnsi="Arial" w:cs="Arial"/>
          <w:i/>
          <w:color w:val="4F6228"/>
          <w:sz w:val="20"/>
          <w:lang w:val="en-GB" w:eastAsia="en-GB"/>
        </w:rPr>
      </w:pPr>
    </w:p>
    <w:p w:rsidR="00203858" w:rsidRDefault="00203858" w:rsidP="00DA40EB">
      <w:pPr>
        <w:pStyle w:val="List"/>
        <w:tabs>
          <w:tab w:val="left" w:pos="567"/>
        </w:tabs>
        <w:spacing w:line="260" w:lineRule="atLeast"/>
        <w:ind w:left="0" w:firstLine="0"/>
        <w:rPr>
          <w:rFonts w:ascii="Arial" w:hAnsi="Arial" w:cs="Arial"/>
          <w:sz w:val="20"/>
        </w:rPr>
      </w:pPr>
      <w:r w:rsidRPr="009E38D3">
        <w:rPr>
          <w:rFonts w:ascii="Arial" w:hAnsi="Arial" w:cs="Arial"/>
          <w:sz w:val="20"/>
        </w:rPr>
        <w:t xml:space="preserve">The </w:t>
      </w:r>
      <w:r>
        <w:rPr>
          <w:rFonts w:ascii="Arial" w:hAnsi="Arial" w:cs="Arial"/>
          <w:sz w:val="20"/>
        </w:rPr>
        <w:t xml:space="preserve">impact of the new land access laws on small explorers is not one to be ignored. </w:t>
      </w:r>
      <w:r w:rsidR="00DA67FF">
        <w:rPr>
          <w:rFonts w:ascii="Arial" w:hAnsi="Arial" w:cs="Arial"/>
          <w:sz w:val="20"/>
        </w:rPr>
        <w:t>The a</w:t>
      </w:r>
      <w:r>
        <w:rPr>
          <w:rFonts w:ascii="Arial" w:hAnsi="Arial" w:cs="Arial"/>
          <w:sz w:val="20"/>
        </w:rPr>
        <w:t>dditional administrative burden is most cumbersome to small companies that rely on a small n</w:t>
      </w:r>
      <w:r w:rsidR="00DA67FF">
        <w:rPr>
          <w:rFonts w:ascii="Arial" w:hAnsi="Arial" w:cs="Arial"/>
          <w:sz w:val="20"/>
        </w:rPr>
        <w:t>umber of staff to run the every</w:t>
      </w:r>
      <w:r>
        <w:rPr>
          <w:rFonts w:ascii="Arial" w:hAnsi="Arial" w:cs="Arial"/>
          <w:sz w:val="20"/>
        </w:rPr>
        <w:t xml:space="preserve">day operations. </w:t>
      </w:r>
      <w:r w:rsidR="00FC1EA7">
        <w:rPr>
          <w:rFonts w:ascii="Arial" w:hAnsi="Arial" w:cs="Arial"/>
          <w:sz w:val="20"/>
        </w:rPr>
        <w:t xml:space="preserve">A </w:t>
      </w:r>
      <w:r>
        <w:rPr>
          <w:rFonts w:ascii="Arial" w:hAnsi="Arial" w:cs="Arial"/>
          <w:sz w:val="20"/>
        </w:rPr>
        <w:t xml:space="preserve">QRC survey found since the introduction of the new land access </w:t>
      </w:r>
      <w:r w:rsidR="00DA67FF">
        <w:rPr>
          <w:rFonts w:ascii="Arial" w:hAnsi="Arial" w:cs="Arial"/>
          <w:sz w:val="20"/>
        </w:rPr>
        <w:t>laws;</w:t>
      </w:r>
      <w:r>
        <w:rPr>
          <w:rFonts w:ascii="Arial" w:hAnsi="Arial" w:cs="Arial"/>
          <w:sz w:val="20"/>
        </w:rPr>
        <w:t xml:space="preserve"> 1-2 new staff members were required. This is monumental impact for small explorers. </w:t>
      </w:r>
    </w:p>
    <w:p w:rsidR="00F116A9" w:rsidRDefault="00F116A9" w:rsidP="00DA40EB">
      <w:pPr>
        <w:pStyle w:val="List"/>
        <w:tabs>
          <w:tab w:val="left" w:pos="567"/>
        </w:tabs>
        <w:spacing w:line="260" w:lineRule="atLeast"/>
        <w:ind w:left="0" w:firstLine="0"/>
        <w:rPr>
          <w:rFonts w:ascii="Arial" w:hAnsi="Arial" w:cs="Arial"/>
          <w:sz w:val="20"/>
        </w:rPr>
      </w:pPr>
    </w:p>
    <w:p w:rsidR="00F116A9" w:rsidRDefault="00F116A9" w:rsidP="00F116A9">
      <w:pPr>
        <w:pStyle w:val="List"/>
        <w:tabs>
          <w:tab w:val="left" w:pos="567"/>
        </w:tabs>
        <w:spacing w:line="260" w:lineRule="atLeast"/>
        <w:ind w:left="0" w:firstLine="0"/>
        <w:rPr>
          <w:rFonts w:ascii="Arial" w:hAnsi="Arial" w:cs="Arial"/>
          <w:sz w:val="20"/>
        </w:rPr>
      </w:pPr>
      <w:bookmarkStart w:id="1" w:name="15458"/>
      <w:bookmarkEnd w:id="1"/>
      <w:r w:rsidRPr="00F116A9">
        <w:rPr>
          <w:rFonts w:ascii="Arial" w:hAnsi="Arial" w:cs="Arial"/>
          <w:sz w:val="20"/>
        </w:rPr>
        <w:t>In 201</w:t>
      </w:r>
      <w:r>
        <w:rPr>
          <w:rFonts w:ascii="Arial" w:hAnsi="Arial" w:cs="Arial"/>
          <w:sz w:val="20"/>
        </w:rPr>
        <w:t>2</w:t>
      </w:r>
      <w:r w:rsidRPr="00F116A9">
        <w:rPr>
          <w:rFonts w:ascii="Arial" w:hAnsi="Arial" w:cs="Arial"/>
          <w:sz w:val="20"/>
        </w:rPr>
        <w:t xml:space="preserve">, the previous </w:t>
      </w:r>
      <w:r>
        <w:rPr>
          <w:rFonts w:ascii="Arial" w:hAnsi="Arial" w:cs="Arial"/>
          <w:sz w:val="20"/>
        </w:rPr>
        <w:t xml:space="preserve">Queensland </w:t>
      </w:r>
      <w:r w:rsidRPr="00F116A9">
        <w:rPr>
          <w:rFonts w:ascii="Arial" w:hAnsi="Arial" w:cs="Arial"/>
          <w:sz w:val="20"/>
        </w:rPr>
        <w:t>government commissioned a</w:t>
      </w:r>
      <w:r>
        <w:rPr>
          <w:rFonts w:ascii="Arial" w:hAnsi="Arial" w:cs="Arial"/>
          <w:sz w:val="20"/>
        </w:rPr>
        <w:t xml:space="preserve">n independent </w:t>
      </w:r>
      <w:r w:rsidRPr="00F116A9">
        <w:rPr>
          <w:rFonts w:ascii="Arial" w:hAnsi="Arial" w:cs="Arial"/>
          <w:sz w:val="20"/>
        </w:rPr>
        <w:t xml:space="preserve">review of the </w:t>
      </w:r>
      <w:r>
        <w:rPr>
          <w:rFonts w:ascii="Arial" w:hAnsi="Arial" w:cs="Arial"/>
          <w:sz w:val="20"/>
        </w:rPr>
        <w:t xml:space="preserve">land access </w:t>
      </w:r>
      <w:r w:rsidRPr="00F116A9">
        <w:rPr>
          <w:rFonts w:ascii="Arial" w:hAnsi="Arial" w:cs="Arial"/>
          <w:sz w:val="20"/>
        </w:rPr>
        <w:t>framework by an independent panel. The panel found that while the introduction of the framework had improved land access negotiation processes, it had not achieved its policy objectives to the extent it had anticipated. The panel made 12 recommendations to amend the land access framework.</w:t>
      </w:r>
      <w:r w:rsidRPr="00F116A9">
        <w:rPr>
          <w:rFonts w:ascii="Arial" w:hAnsi="Arial" w:cs="Arial"/>
          <w:sz w:val="20"/>
        </w:rPr>
        <w:br/>
      </w:r>
    </w:p>
    <w:p w:rsidR="00F116A9" w:rsidRPr="00F116A9" w:rsidRDefault="00F116A9" w:rsidP="00F116A9">
      <w:pPr>
        <w:pStyle w:val="List"/>
        <w:tabs>
          <w:tab w:val="left" w:pos="567"/>
        </w:tabs>
        <w:spacing w:line="260" w:lineRule="atLeast"/>
        <w:ind w:left="0" w:firstLine="0"/>
        <w:rPr>
          <w:rFonts w:ascii="Arial" w:hAnsi="Arial" w:cs="Arial"/>
          <w:sz w:val="20"/>
        </w:rPr>
      </w:pPr>
      <w:r w:rsidRPr="00F116A9">
        <w:rPr>
          <w:rFonts w:ascii="Arial" w:hAnsi="Arial" w:cs="Arial"/>
          <w:sz w:val="20"/>
        </w:rPr>
        <w:t xml:space="preserve">The new </w:t>
      </w:r>
      <w:r>
        <w:rPr>
          <w:rFonts w:ascii="Arial" w:hAnsi="Arial" w:cs="Arial"/>
          <w:sz w:val="20"/>
        </w:rPr>
        <w:t xml:space="preserve">LNP </w:t>
      </w:r>
      <w:r w:rsidRPr="00F116A9">
        <w:rPr>
          <w:rFonts w:ascii="Arial" w:hAnsi="Arial" w:cs="Arial"/>
          <w:sz w:val="20"/>
        </w:rPr>
        <w:t xml:space="preserve">government responded to these recommendations with a six point action plan. The action plan sets out a series of short and </w:t>
      </w:r>
      <w:r>
        <w:rPr>
          <w:rFonts w:ascii="Arial" w:hAnsi="Arial" w:cs="Arial"/>
          <w:sz w:val="20"/>
        </w:rPr>
        <w:t>medium</w:t>
      </w:r>
      <w:r w:rsidRPr="00F116A9">
        <w:rPr>
          <w:rFonts w:ascii="Arial" w:hAnsi="Arial" w:cs="Arial"/>
          <w:sz w:val="20"/>
        </w:rPr>
        <w:t xml:space="preserve"> term actions for government, and in some cases stakeholders, to be implemented as a matter of priority.</w:t>
      </w:r>
      <w:r>
        <w:rPr>
          <w:rFonts w:ascii="Arial" w:hAnsi="Arial" w:cs="Arial"/>
          <w:sz w:val="20"/>
        </w:rPr>
        <w:t xml:space="preserve"> The plan includes a number of measures </w:t>
      </w:r>
      <w:r w:rsidR="002A60C0">
        <w:rPr>
          <w:rFonts w:ascii="Arial" w:hAnsi="Arial" w:cs="Arial"/>
          <w:sz w:val="20"/>
        </w:rPr>
        <w:t xml:space="preserve">designed </w:t>
      </w:r>
      <w:r>
        <w:rPr>
          <w:rFonts w:ascii="Arial" w:hAnsi="Arial" w:cs="Arial"/>
          <w:sz w:val="20"/>
        </w:rPr>
        <w:t xml:space="preserve">to improve the process and provide greater flexibility </w:t>
      </w:r>
      <w:r w:rsidR="002A60C0">
        <w:rPr>
          <w:rFonts w:ascii="Arial" w:hAnsi="Arial" w:cs="Arial"/>
          <w:sz w:val="20"/>
        </w:rPr>
        <w:t>to parties involved in land access negotiations.</w:t>
      </w:r>
    </w:p>
    <w:p w:rsidR="00203858" w:rsidRPr="0084273A" w:rsidRDefault="00203858" w:rsidP="00203858">
      <w:pPr>
        <w:pStyle w:val="List"/>
        <w:tabs>
          <w:tab w:val="left" w:pos="567"/>
        </w:tabs>
        <w:spacing w:line="260" w:lineRule="atLeast"/>
        <w:ind w:left="0" w:firstLine="0"/>
        <w:rPr>
          <w:rFonts w:ascii="Arial" w:hAnsi="Arial" w:cs="Arial"/>
          <w:sz w:val="20"/>
          <w:lang w:val="en-GB"/>
        </w:rPr>
      </w:pPr>
    </w:p>
    <w:p w:rsidR="0084273A" w:rsidRPr="00AA48CA" w:rsidRDefault="0084273A" w:rsidP="00DA40EB">
      <w:pPr>
        <w:pStyle w:val="List"/>
        <w:numPr>
          <w:ilvl w:val="0"/>
          <w:numId w:val="28"/>
        </w:numPr>
        <w:tabs>
          <w:tab w:val="left" w:pos="567"/>
        </w:tabs>
        <w:spacing w:line="260" w:lineRule="atLeast"/>
        <w:ind w:left="567" w:hanging="567"/>
        <w:rPr>
          <w:rFonts w:ascii="Arial" w:hAnsi="Arial" w:cs="Arial"/>
          <w:b/>
          <w:sz w:val="20"/>
          <w:lang w:val="en-AU"/>
        </w:rPr>
      </w:pPr>
      <w:r w:rsidRPr="00AA48CA">
        <w:rPr>
          <w:rFonts w:ascii="Arial" w:hAnsi="Arial" w:cs="Arial"/>
          <w:b/>
          <w:sz w:val="20"/>
          <w:lang w:val="en-AU"/>
        </w:rPr>
        <w:t>Wild Rivers legislation</w:t>
      </w:r>
    </w:p>
    <w:p w:rsidR="00DA67FF" w:rsidRPr="00DA67FF" w:rsidRDefault="00DA67FF" w:rsidP="00DA67FF">
      <w:pPr>
        <w:pStyle w:val="List"/>
        <w:tabs>
          <w:tab w:val="left" w:pos="567"/>
        </w:tabs>
        <w:spacing w:line="260" w:lineRule="atLeast"/>
        <w:ind w:left="0" w:firstLine="0"/>
        <w:rPr>
          <w:rFonts w:ascii="Arial" w:hAnsi="Arial" w:cs="Arial"/>
          <w:sz w:val="20"/>
        </w:rPr>
      </w:pPr>
      <w:r w:rsidRPr="000B663E">
        <w:rPr>
          <w:rFonts w:ascii="Arial" w:hAnsi="Arial" w:cs="Arial"/>
          <w:sz w:val="20"/>
        </w:rPr>
        <w:t>Since the development of the Wild Rivers Act in 2005, QRC has consistently maintained a position</w:t>
      </w:r>
      <w:r>
        <w:rPr>
          <w:rFonts w:ascii="Arial" w:hAnsi="Arial" w:cs="Arial"/>
          <w:sz w:val="20"/>
        </w:rPr>
        <w:t xml:space="preserve"> of</w:t>
      </w:r>
      <w:r w:rsidRPr="000B663E">
        <w:rPr>
          <w:rFonts w:ascii="Arial" w:hAnsi="Arial" w:cs="Arial"/>
          <w:sz w:val="20"/>
        </w:rPr>
        <w:t xml:space="preserve"> no</w:t>
      </w:r>
      <w:r>
        <w:rPr>
          <w:rFonts w:ascii="Arial" w:hAnsi="Arial" w:cs="Arial"/>
          <w:sz w:val="20"/>
        </w:rPr>
        <w:t>t objecting</w:t>
      </w:r>
      <w:r w:rsidRPr="000B663E">
        <w:rPr>
          <w:rFonts w:ascii="Arial" w:hAnsi="Arial" w:cs="Arial"/>
          <w:sz w:val="20"/>
        </w:rPr>
        <w:t xml:space="preserve"> to the concept of identifying Wild Rivers.  The existence of a Wild River should be treated as </w:t>
      </w:r>
      <w:r w:rsidRPr="00DA67FF">
        <w:rPr>
          <w:rFonts w:ascii="Arial" w:hAnsi="Arial" w:cs="Arial"/>
          <w:sz w:val="20"/>
        </w:rPr>
        <w:t xml:space="preserve">a requirement to ensure a high standard of environmental control, under appropriate approval conditions. However the resources industry has continued to strongly reject the use of Wild Rivers as a trigger for blanket prohibition of use.  </w:t>
      </w:r>
    </w:p>
    <w:p w:rsidR="00DA67FF" w:rsidRDefault="00DA67FF" w:rsidP="00DA67FF">
      <w:pPr>
        <w:pStyle w:val="List"/>
        <w:tabs>
          <w:tab w:val="left" w:pos="567"/>
        </w:tabs>
        <w:spacing w:line="260" w:lineRule="atLeast"/>
        <w:ind w:left="0" w:firstLine="0"/>
        <w:rPr>
          <w:rFonts w:ascii="Arial" w:hAnsi="Arial" w:cs="Arial"/>
          <w:sz w:val="20"/>
        </w:rPr>
      </w:pPr>
    </w:p>
    <w:p w:rsidR="00DA67FF" w:rsidRDefault="002A60C0" w:rsidP="00DA67FF">
      <w:pPr>
        <w:pStyle w:val="List"/>
        <w:tabs>
          <w:tab w:val="left" w:pos="567"/>
        </w:tabs>
        <w:spacing w:line="260" w:lineRule="atLeast"/>
        <w:ind w:left="0" w:firstLine="0"/>
        <w:rPr>
          <w:rFonts w:ascii="Arial" w:hAnsi="Arial" w:cs="Arial"/>
          <w:sz w:val="20"/>
        </w:rPr>
      </w:pPr>
      <w:r>
        <w:rPr>
          <w:rFonts w:ascii="Arial" w:hAnsi="Arial" w:cs="Arial"/>
          <w:sz w:val="20"/>
        </w:rPr>
        <w:t xml:space="preserve">The new </w:t>
      </w:r>
      <w:proofErr w:type="spellStart"/>
      <w:r>
        <w:rPr>
          <w:rFonts w:ascii="Arial" w:hAnsi="Arial" w:cs="Arial"/>
          <w:sz w:val="20"/>
        </w:rPr>
        <w:t>LNP</w:t>
      </w:r>
      <w:proofErr w:type="spellEnd"/>
      <w:r>
        <w:rPr>
          <w:rFonts w:ascii="Arial" w:hAnsi="Arial" w:cs="Arial"/>
          <w:sz w:val="20"/>
        </w:rPr>
        <w:t xml:space="preserve"> Government has </w:t>
      </w:r>
      <w:proofErr w:type="spellStart"/>
      <w:r>
        <w:rPr>
          <w:rFonts w:ascii="Arial" w:hAnsi="Arial" w:cs="Arial"/>
          <w:sz w:val="20"/>
        </w:rPr>
        <w:t>recognised</w:t>
      </w:r>
      <w:proofErr w:type="spellEnd"/>
      <w:r>
        <w:rPr>
          <w:rFonts w:ascii="Arial" w:hAnsi="Arial" w:cs="Arial"/>
          <w:sz w:val="20"/>
        </w:rPr>
        <w:t xml:space="preserve"> the shortcomings of the Wild Rivers Act 2005 and committed to not making any further declarations of wild rivers.  The statutory regional plan for Cape York (discussed above) will replace these declarations, which could provide an important fillip to exploration.</w:t>
      </w:r>
    </w:p>
    <w:p w:rsidR="002A60C0" w:rsidRDefault="002A60C0" w:rsidP="00DA67FF">
      <w:pPr>
        <w:pStyle w:val="List"/>
        <w:tabs>
          <w:tab w:val="left" w:pos="567"/>
        </w:tabs>
        <w:spacing w:line="260" w:lineRule="atLeast"/>
        <w:ind w:left="0" w:firstLine="0"/>
        <w:rPr>
          <w:rFonts w:ascii="Arial" w:hAnsi="Arial" w:cs="Arial"/>
          <w:sz w:val="20"/>
        </w:rPr>
      </w:pPr>
    </w:p>
    <w:p w:rsidR="002A60C0" w:rsidRDefault="002A60C0" w:rsidP="00DA67FF">
      <w:pPr>
        <w:pStyle w:val="List"/>
        <w:tabs>
          <w:tab w:val="left" w:pos="567"/>
        </w:tabs>
        <w:spacing w:line="260" w:lineRule="atLeast"/>
        <w:ind w:left="0" w:firstLine="0"/>
        <w:rPr>
          <w:rFonts w:ascii="Arial" w:hAnsi="Arial" w:cs="Arial"/>
          <w:sz w:val="20"/>
        </w:rPr>
      </w:pPr>
      <w:r>
        <w:rPr>
          <w:rFonts w:ascii="Arial" w:hAnsi="Arial" w:cs="Arial"/>
          <w:sz w:val="20"/>
        </w:rPr>
        <w:t>The Department of Natural Resources and Mines is developing alternative strategies for the protection of Western Queensland’s Lake Eyre Basin rivers, which more appropriately balance river protection and sustainable development opportunities.</w:t>
      </w:r>
      <w:r w:rsidR="0070436B">
        <w:rPr>
          <w:rFonts w:ascii="Arial" w:hAnsi="Arial" w:cs="Arial"/>
          <w:sz w:val="20"/>
        </w:rPr>
        <w:t xml:space="preserve">  The Government is also developing a suite of alternative strategies to wild river declarations, which is expected to be released by the end of 2013.</w:t>
      </w:r>
    </w:p>
    <w:p w:rsidR="007B7AA6" w:rsidRPr="00DA67FF" w:rsidRDefault="007B7AA6" w:rsidP="00DA67FF">
      <w:pPr>
        <w:pStyle w:val="List"/>
        <w:tabs>
          <w:tab w:val="left" w:pos="567"/>
        </w:tabs>
        <w:spacing w:line="260" w:lineRule="atLeast"/>
        <w:ind w:left="0" w:firstLine="0"/>
        <w:rPr>
          <w:rFonts w:ascii="Arial" w:hAnsi="Arial" w:cs="Arial"/>
          <w:sz w:val="20"/>
        </w:rPr>
      </w:pPr>
    </w:p>
    <w:p w:rsidR="00735DB9" w:rsidRPr="00AA48CA" w:rsidRDefault="00735DB9" w:rsidP="00C26A08">
      <w:pPr>
        <w:pStyle w:val="List"/>
        <w:numPr>
          <w:ilvl w:val="0"/>
          <w:numId w:val="28"/>
        </w:numPr>
        <w:tabs>
          <w:tab w:val="left" w:pos="567"/>
        </w:tabs>
        <w:spacing w:line="260" w:lineRule="atLeast"/>
        <w:ind w:left="567" w:hanging="567"/>
        <w:rPr>
          <w:rFonts w:ascii="Arial" w:hAnsi="Arial" w:cs="Arial"/>
          <w:b/>
          <w:sz w:val="20"/>
          <w:lang w:val="en-AU"/>
        </w:rPr>
      </w:pPr>
      <w:r w:rsidRPr="00AA48CA">
        <w:rPr>
          <w:rFonts w:ascii="Arial" w:hAnsi="Arial" w:cs="Arial"/>
          <w:b/>
          <w:sz w:val="20"/>
          <w:lang w:val="en-AU"/>
        </w:rPr>
        <w:t>Cash bidding</w:t>
      </w:r>
    </w:p>
    <w:p w:rsidR="00500FCA" w:rsidRDefault="00500FCA" w:rsidP="006623F7">
      <w:pPr>
        <w:pStyle w:val="List"/>
        <w:tabs>
          <w:tab w:val="left" w:pos="567"/>
        </w:tabs>
        <w:spacing w:line="260" w:lineRule="atLeast"/>
        <w:ind w:left="0" w:firstLine="0"/>
        <w:rPr>
          <w:rFonts w:ascii="Arial" w:hAnsi="Arial" w:cs="Arial"/>
          <w:sz w:val="20"/>
        </w:rPr>
      </w:pPr>
      <w:r>
        <w:rPr>
          <w:rFonts w:ascii="Arial" w:hAnsi="Arial" w:cs="Arial"/>
          <w:sz w:val="20"/>
        </w:rPr>
        <w:t>On 9 October 2012, the Queensland Minister for Natural Resources and Mines</w:t>
      </w:r>
      <w:r w:rsidR="004F418A">
        <w:rPr>
          <w:rFonts w:ascii="Arial" w:hAnsi="Arial" w:cs="Arial"/>
          <w:sz w:val="20"/>
        </w:rPr>
        <w:t xml:space="preserve">, </w:t>
      </w:r>
      <w:r w:rsidR="00632E3F">
        <w:rPr>
          <w:rFonts w:ascii="Arial" w:hAnsi="Arial" w:cs="Arial"/>
          <w:sz w:val="20"/>
        </w:rPr>
        <w:t xml:space="preserve">the Honourable </w:t>
      </w:r>
      <w:r w:rsidR="004F418A">
        <w:rPr>
          <w:rFonts w:ascii="Arial" w:hAnsi="Arial" w:cs="Arial"/>
          <w:sz w:val="20"/>
        </w:rPr>
        <w:t>Andrew Cripps MP,</w:t>
      </w:r>
      <w:r>
        <w:rPr>
          <w:rFonts w:ascii="Arial" w:hAnsi="Arial" w:cs="Arial"/>
          <w:sz w:val="20"/>
        </w:rPr>
        <w:t xml:space="preserve"> announced a new policy for </w:t>
      </w:r>
      <w:r w:rsidR="006623F7">
        <w:rPr>
          <w:rFonts w:ascii="Arial" w:hAnsi="Arial" w:cs="Arial"/>
          <w:sz w:val="20"/>
        </w:rPr>
        <w:t xml:space="preserve">cash bidding for highly </w:t>
      </w:r>
      <w:r w:rsidR="00FC1EA7">
        <w:rPr>
          <w:rFonts w:ascii="Arial" w:hAnsi="Arial" w:cs="Arial"/>
          <w:sz w:val="20"/>
        </w:rPr>
        <w:t>prospective</w:t>
      </w:r>
      <w:r w:rsidR="006623F7">
        <w:rPr>
          <w:rFonts w:ascii="Arial" w:hAnsi="Arial" w:cs="Arial"/>
          <w:sz w:val="20"/>
        </w:rPr>
        <w:t xml:space="preserve"> coal, petroleum and gas tenements in Queensland.  What was not announced was that the legislative </w:t>
      </w:r>
      <w:r w:rsidR="006623F7">
        <w:rPr>
          <w:rFonts w:ascii="Arial" w:hAnsi="Arial" w:cs="Arial"/>
          <w:sz w:val="20"/>
        </w:rPr>
        <w:lastRenderedPageBreak/>
        <w:t xml:space="preserve">reforms would also apply to mineral tenures as well.  </w:t>
      </w:r>
      <w:r w:rsidRPr="00500FCA">
        <w:rPr>
          <w:rFonts w:ascii="Arial" w:hAnsi="Arial" w:cs="Arial"/>
          <w:sz w:val="20"/>
        </w:rPr>
        <w:t xml:space="preserve">QRC does not support a cash bidding process for exploration tenures. Accepting payments for tenure generates moral hazard, compromising the Government’s ability to be seen to impartially regulate these projects.  </w:t>
      </w:r>
    </w:p>
    <w:p w:rsidR="00500FCA" w:rsidRDefault="00500FCA" w:rsidP="005C48A1">
      <w:pPr>
        <w:pStyle w:val="Dateline"/>
        <w:spacing w:line="260" w:lineRule="atLeast"/>
        <w:ind w:left="360"/>
        <w:jc w:val="both"/>
        <w:rPr>
          <w:rFonts w:cs="Arial"/>
          <w:b w:val="0"/>
        </w:rPr>
      </w:pPr>
    </w:p>
    <w:p w:rsidR="00500FCA" w:rsidRPr="005C48A1" w:rsidRDefault="00500FCA" w:rsidP="005C48A1">
      <w:pPr>
        <w:pStyle w:val="List"/>
        <w:tabs>
          <w:tab w:val="left" w:pos="567"/>
        </w:tabs>
        <w:spacing w:line="260" w:lineRule="atLeast"/>
        <w:ind w:left="0" w:firstLine="0"/>
        <w:rPr>
          <w:rFonts w:ascii="Arial" w:hAnsi="Arial" w:cs="Arial"/>
          <w:sz w:val="20"/>
        </w:rPr>
      </w:pPr>
      <w:r w:rsidRPr="005C48A1">
        <w:rPr>
          <w:rFonts w:ascii="Arial" w:hAnsi="Arial" w:cs="Arial"/>
          <w:sz w:val="20"/>
        </w:rPr>
        <w:t xml:space="preserve">QRC is concerned the cash bidding changes will adversely affect smaller explorers who do not have the up-front capital to bid for tenure. QRC understands the </w:t>
      </w:r>
      <w:r w:rsidR="00450CDA">
        <w:rPr>
          <w:rFonts w:ascii="Arial" w:hAnsi="Arial" w:cs="Arial"/>
          <w:sz w:val="20"/>
        </w:rPr>
        <w:t xml:space="preserve">Government’s </w:t>
      </w:r>
      <w:r w:rsidRPr="005C48A1">
        <w:rPr>
          <w:rFonts w:ascii="Arial" w:hAnsi="Arial" w:cs="Arial"/>
          <w:sz w:val="20"/>
        </w:rPr>
        <w:t>current intention is that only areas known to be highly prospective will be selected for cash bidding. The explanatory notes state that land releases will still happen for areas which are “under-explored”, which suggests a two-tier system of tenure in Queensland where the small innovative entrepreneurial exploration companies are effectively precluded from the most prospective country.</w:t>
      </w:r>
    </w:p>
    <w:p w:rsidR="00500FCA" w:rsidRDefault="00500FCA" w:rsidP="005C48A1">
      <w:pPr>
        <w:pStyle w:val="Dateline"/>
        <w:spacing w:line="260" w:lineRule="atLeast"/>
        <w:ind w:left="360"/>
        <w:jc w:val="both"/>
        <w:rPr>
          <w:rFonts w:cs="Arial"/>
          <w:b w:val="0"/>
        </w:rPr>
      </w:pPr>
    </w:p>
    <w:p w:rsidR="00500FCA" w:rsidRDefault="00500FCA" w:rsidP="005C48A1">
      <w:pPr>
        <w:pStyle w:val="List"/>
        <w:tabs>
          <w:tab w:val="left" w:pos="567"/>
        </w:tabs>
        <w:spacing w:line="260" w:lineRule="atLeast"/>
        <w:ind w:left="0" w:firstLine="0"/>
        <w:rPr>
          <w:rFonts w:ascii="Arial" w:hAnsi="Arial" w:cs="Arial"/>
          <w:sz w:val="20"/>
        </w:rPr>
      </w:pPr>
      <w:r w:rsidRPr="005C48A1">
        <w:rPr>
          <w:rFonts w:ascii="Arial" w:hAnsi="Arial" w:cs="Arial"/>
          <w:sz w:val="20"/>
        </w:rPr>
        <w:t xml:space="preserve">QRC continues to be very concerned about the development of this policy, which emerged as part of the mid-year fiscal and economic review under the previous </w:t>
      </w:r>
      <w:r w:rsidR="00450CDA">
        <w:rPr>
          <w:rFonts w:ascii="Arial" w:hAnsi="Arial" w:cs="Arial"/>
          <w:sz w:val="20"/>
        </w:rPr>
        <w:t xml:space="preserve">Queensland </w:t>
      </w:r>
      <w:r w:rsidRPr="005C48A1">
        <w:rPr>
          <w:rFonts w:ascii="Arial" w:hAnsi="Arial" w:cs="Arial"/>
          <w:sz w:val="20"/>
        </w:rPr>
        <w:t>Government in January 2012.  When the policy was announced, QRC publicly described the proposal as:</w:t>
      </w:r>
    </w:p>
    <w:p w:rsidR="00F73DB9" w:rsidRPr="005C48A1" w:rsidRDefault="00F73DB9" w:rsidP="005C48A1">
      <w:pPr>
        <w:pStyle w:val="List"/>
        <w:tabs>
          <w:tab w:val="left" w:pos="567"/>
        </w:tabs>
        <w:spacing w:line="260" w:lineRule="atLeast"/>
        <w:ind w:left="0" w:firstLine="0"/>
        <w:rPr>
          <w:rFonts w:ascii="Arial" w:hAnsi="Arial" w:cs="Arial"/>
          <w:sz w:val="20"/>
        </w:rPr>
      </w:pPr>
    </w:p>
    <w:p w:rsidR="00500FCA" w:rsidRPr="005C48A1" w:rsidRDefault="00500FCA" w:rsidP="005C48A1">
      <w:pPr>
        <w:pStyle w:val="List"/>
        <w:spacing w:line="260" w:lineRule="atLeast"/>
        <w:ind w:left="567" w:firstLine="0"/>
        <w:rPr>
          <w:rFonts w:ascii="Verdana" w:hAnsi="Verdana" w:cs="Arial"/>
          <w:i/>
          <w:color w:val="76923C" w:themeColor="accent3" w:themeShade="BF"/>
          <w:sz w:val="22"/>
          <w:szCs w:val="22"/>
          <w:lang w:val="en-GB"/>
        </w:rPr>
      </w:pPr>
      <w:r w:rsidRPr="005C48A1">
        <w:rPr>
          <w:rFonts w:ascii="Verdana" w:hAnsi="Verdana" w:cs="Arial"/>
          <w:i/>
          <w:color w:val="76923C" w:themeColor="accent3" w:themeShade="BF"/>
          <w:sz w:val="22"/>
          <w:szCs w:val="22"/>
          <w:lang w:val="en-GB"/>
        </w:rPr>
        <w:t>“Predicated on a flawed assumption that minerals and energy companies are bottomless cash pits. Most small to medium explorers and developers operate on shoestring budgets because of the high-risk nature of their activities''.</w:t>
      </w:r>
    </w:p>
    <w:p w:rsidR="00500FCA" w:rsidRPr="005C48A1" w:rsidRDefault="00500FCA" w:rsidP="005C48A1">
      <w:pPr>
        <w:pStyle w:val="List"/>
        <w:tabs>
          <w:tab w:val="left" w:pos="567"/>
        </w:tabs>
        <w:spacing w:line="260" w:lineRule="atLeast"/>
        <w:ind w:left="0" w:firstLine="0"/>
        <w:rPr>
          <w:rFonts w:ascii="Arial" w:hAnsi="Arial" w:cs="Arial"/>
          <w:sz w:val="20"/>
        </w:rPr>
      </w:pPr>
    </w:p>
    <w:p w:rsidR="00500FCA" w:rsidRDefault="00500FCA" w:rsidP="005C48A1">
      <w:pPr>
        <w:pStyle w:val="List"/>
        <w:tabs>
          <w:tab w:val="left" w:pos="567"/>
        </w:tabs>
        <w:spacing w:line="260" w:lineRule="atLeast"/>
        <w:ind w:left="0" w:firstLine="0"/>
        <w:rPr>
          <w:rFonts w:ascii="Arial" w:hAnsi="Arial" w:cs="Arial"/>
          <w:sz w:val="20"/>
        </w:rPr>
      </w:pPr>
      <w:r w:rsidRPr="005C48A1">
        <w:rPr>
          <w:rFonts w:ascii="Arial" w:hAnsi="Arial" w:cs="Arial"/>
          <w:sz w:val="20"/>
        </w:rPr>
        <w:t xml:space="preserve">When the new </w:t>
      </w:r>
      <w:r w:rsidR="00450CDA">
        <w:rPr>
          <w:rFonts w:ascii="Arial" w:hAnsi="Arial" w:cs="Arial"/>
          <w:sz w:val="20"/>
        </w:rPr>
        <w:t xml:space="preserve">Queensland </w:t>
      </w:r>
      <w:r w:rsidRPr="005C48A1">
        <w:rPr>
          <w:rFonts w:ascii="Arial" w:hAnsi="Arial" w:cs="Arial"/>
          <w:sz w:val="20"/>
        </w:rPr>
        <w:t xml:space="preserve">Government announced in October 2012 that they would implement the previous Government’s policy of cash </w:t>
      </w:r>
      <w:r w:rsidR="00FC1EA7">
        <w:rPr>
          <w:rFonts w:ascii="Arial" w:hAnsi="Arial" w:cs="Arial"/>
          <w:sz w:val="20"/>
        </w:rPr>
        <w:t>bidding</w:t>
      </w:r>
      <w:r w:rsidRPr="005C48A1">
        <w:rPr>
          <w:rFonts w:ascii="Arial" w:hAnsi="Arial" w:cs="Arial"/>
          <w:sz w:val="20"/>
        </w:rPr>
        <w:t xml:space="preserve">, </w:t>
      </w:r>
      <w:proofErr w:type="spellStart"/>
      <w:r w:rsidRPr="005C48A1">
        <w:rPr>
          <w:rFonts w:ascii="Arial" w:hAnsi="Arial" w:cs="Arial"/>
          <w:sz w:val="20"/>
        </w:rPr>
        <w:t>QRC</w:t>
      </w:r>
      <w:proofErr w:type="spellEnd"/>
      <w:r w:rsidRPr="005C48A1">
        <w:rPr>
          <w:rFonts w:ascii="Arial" w:hAnsi="Arial" w:cs="Arial"/>
          <w:sz w:val="20"/>
        </w:rPr>
        <w:t xml:space="preserve"> </w:t>
      </w:r>
      <w:proofErr w:type="spellStart"/>
      <w:r w:rsidRPr="005C48A1">
        <w:rPr>
          <w:rFonts w:ascii="Arial" w:hAnsi="Arial" w:cs="Arial"/>
          <w:sz w:val="20"/>
        </w:rPr>
        <w:t>emphasised</w:t>
      </w:r>
      <w:proofErr w:type="spellEnd"/>
      <w:r w:rsidRPr="005C48A1">
        <w:rPr>
          <w:rFonts w:ascii="Arial" w:hAnsi="Arial" w:cs="Arial"/>
          <w:sz w:val="20"/>
        </w:rPr>
        <w:t xml:space="preserve"> that smaller exploration companies are crucial to the future of the industry and that these exploration companies will be outbid by larger mining companies.  QRC said:</w:t>
      </w:r>
    </w:p>
    <w:p w:rsidR="00F73DB9" w:rsidRPr="005C48A1" w:rsidRDefault="00F73DB9" w:rsidP="005C48A1">
      <w:pPr>
        <w:pStyle w:val="List"/>
        <w:tabs>
          <w:tab w:val="left" w:pos="567"/>
        </w:tabs>
        <w:spacing w:line="260" w:lineRule="atLeast"/>
        <w:ind w:left="0" w:firstLine="0"/>
        <w:rPr>
          <w:rFonts w:ascii="Arial" w:hAnsi="Arial" w:cs="Arial"/>
          <w:sz w:val="20"/>
        </w:rPr>
      </w:pPr>
    </w:p>
    <w:p w:rsidR="00500FCA" w:rsidRPr="005C48A1" w:rsidRDefault="00500FCA" w:rsidP="005C48A1">
      <w:pPr>
        <w:pStyle w:val="List"/>
        <w:spacing w:line="260" w:lineRule="atLeast"/>
        <w:ind w:left="567" w:firstLine="0"/>
        <w:rPr>
          <w:rFonts w:ascii="Verdana" w:hAnsi="Verdana" w:cs="Arial"/>
          <w:i/>
          <w:color w:val="76923C" w:themeColor="accent3" w:themeShade="BF"/>
          <w:sz w:val="22"/>
          <w:szCs w:val="22"/>
          <w:lang w:val="en-GB"/>
        </w:rPr>
      </w:pPr>
      <w:r w:rsidRPr="005C48A1">
        <w:rPr>
          <w:rFonts w:ascii="Verdana" w:hAnsi="Verdana" w:cs="Arial"/>
          <w:i/>
          <w:color w:val="76923C" w:themeColor="accent3" w:themeShade="BF"/>
          <w:sz w:val="22"/>
          <w:szCs w:val="22"/>
          <w:lang w:val="en-GB"/>
        </w:rPr>
        <w:t>“History has shown that the small explorers are the best at making discoveries, the best at juggling the risks. They have the best track record of delivering discoveries of new deposits.  This policy is disenfranchising that smaller explorer because this is all about the big cheque book and the early return to the Treasury.”</w:t>
      </w:r>
    </w:p>
    <w:p w:rsidR="00500FCA" w:rsidRDefault="00500FCA" w:rsidP="00500FCA">
      <w:pPr>
        <w:pStyle w:val="List"/>
        <w:tabs>
          <w:tab w:val="left" w:pos="567"/>
        </w:tabs>
        <w:spacing w:line="260" w:lineRule="atLeast"/>
        <w:rPr>
          <w:rFonts w:ascii="Arial" w:hAnsi="Arial" w:cs="Arial"/>
          <w:sz w:val="20"/>
          <w:lang w:val="en-AU"/>
        </w:rPr>
      </w:pPr>
    </w:p>
    <w:p w:rsidR="0084273A" w:rsidRPr="00CF1B72" w:rsidRDefault="0084273A" w:rsidP="00DA40EB">
      <w:pPr>
        <w:pStyle w:val="List"/>
        <w:numPr>
          <w:ilvl w:val="0"/>
          <w:numId w:val="28"/>
        </w:numPr>
        <w:tabs>
          <w:tab w:val="left" w:pos="567"/>
        </w:tabs>
        <w:spacing w:line="260" w:lineRule="atLeast"/>
        <w:ind w:left="567" w:hanging="567"/>
        <w:rPr>
          <w:rFonts w:ascii="Arial" w:hAnsi="Arial" w:cs="Arial"/>
          <w:b/>
          <w:sz w:val="20"/>
          <w:lang w:val="en-AU"/>
        </w:rPr>
      </w:pPr>
      <w:r w:rsidRPr="00CF1B72">
        <w:rPr>
          <w:rFonts w:ascii="Arial" w:hAnsi="Arial" w:cs="Arial"/>
          <w:b/>
          <w:sz w:val="20"/>
          <w:lang w:val="en-AU"/>
        </w:rPr>
        <w:t>Overlapping tenures</w:t>
      </w:r>
    </w:p>
    <w:p w:rsidR="00450CDA" w:rsidRDefault="00450CDA" w:rsidP="00450CDA">
      <w:pPr>
        <w:pStyle w:val="List"/>
        <w:tabs>
          <w:tab w:val="left" w:pos="567"/>
        </w:tabs>
        <w:spacing w:line="260" w:lineRule="atLeast"/>
        <w:ind w:left="0" w:firstLine="0"/>
        <w:rPr>
          <w:rFonts w:ascii="Arial" w:hAnsi="Arial" w:cs="Arial"/>
          <w:sz w:val="20"/>
        </w:rPr>
      </w:pPr>
      <w:r w:rsidRPr="00450CDA">
        <w:rPr>
          <w:rFonts w:ascii="Arial" w:hAnsi="Arial" w:cs="Arial"/>
          <w:sz w:val="20"/>
        </w:rPr>
        <w:t xml:space="preserve">The current legislative framework for managing overlapping coal and </w:t>
      </w:r>
      <w:r>
        <w:rPr>
          <w:rFonts w:ascii="Arial" w:hAnsi="Arial" w:cs="Arial"/>
          <w:sz w:val="20"/>
        </w:rPr>
        <w:t>coal seam gas (</w:t>
      </w:r>
      <w:r w:rsidRPr="00450CDA">
        <w:rPr>
          <w:rFonts w:ascii="Arial" w:hAnsi="Arial" w:cs="Arial"/>
          <w:sz w:val="20"/>
        </w:rPr>
        <w:t>CSG</w:t>
      </w:r>
      <w:r>
        <w:rPr>
          <w:rFonts w:ascii="Arial" w:hAnsi="Arial" w:cs="Arial"/>
          <w:sz w:val="20"/>
        </w:rPr>
        <w:t>)</w:t>
      </w:r>
      <w:r w:rsidRPr="00450CDA">
        <w:rPr>
          <w:rFonts w:ascii="Arial" w:hAnsi="Arial" w:cs="Arial"/>
          <w:sz w:val="20"/>
        </w:rPr>
        <w:t xml:space="preserve"> tenure </w:t>
      </w:r>
      <w:r>
        <w:rPr>
          <w:rFonts w:ascii="Arial" w:hAnsi="Arial" w:cs="Arial"/>
          <w:sz w:val="20"/>
        </w:rPr>
        <w:t xml:space="preserve">in Queensland </w:t>
      </w:r>
      <w:r w:rsidRPr="00450CDA">
        <w:rPr>
          <w:rFonts w:ascii="Arial" w:hAnsi="Arial" w:cs="Arial"/>
          <w:sz w:val="20"/>
        </w:rPr>
        <w:t xml:space="preserve">was first introduced in 2004 with the passage of the </w:t>
      </w:r>
      <w:r w:rsidRPr="00450CDA">
        <w:rPr>
          <w:rFonts w:ascii="Arial" w:hAnsi="Arial" w:cs="Arial"/>
          <w:i/>
          <w:sz w:val="20"/>
        </w:rPr>
        <w:t>Petroleum and Gas (Production and Safety)</w:t>
      </w:r>
      <w:r w:rsidRPr="00450CDA">
        <w:rPr>
          <w:rFonts w:ascii="Arial" w:hAnsi="Arial" w:cs="Arial"/>
          <w:sz w:val="20"/>
        </w:rPr>
        <w:t xml:space="preserve"> </w:t>
      </w:r>
      <w:r w:rsidR="003A31A1" w:rsidRPr="003A31A1">
        <w:rPr>
          <w:rFonts w:ascii="Arial" w:hAnsi="Arial" w:cs="Arial"/>
          <w:i/>
          <w:sz w:val="20"/>
        </w:rPr>
        <w:t xml:space="preserve">Act 2004 </w:t>
      </w:r>
      <w:r w:rsidRPr="00450CDA">
        <w:rPr>
          <w:rFonts w:ascii="Arial" w:hAnsi="Arial" w:cs="Arial"/>
          <w:sz w:val="20"/>
        </w:rPr>
        <w:t xml:space="preserve">and associated amendments to the </w:t>
      </w:r>
      <w:r w:rsidRPr="00450CDA">
        <w:rPr>
          <w:rFonts w:ascii="Arial" w:hAnsi="Arial" w:cs="Arial"/>
          <w:i/>
          <w:sz w:val="20"/>
        </w:rPr>
        <w:t>Mineral Resources Act 1989</w:t>
      </w:r>
      <w:r w:rsidRPr="00450CDA">
        <w:rPr>
          <w:rFonts w:ascii="Arial" w:hAnsi="Arial" w:cs="Arial"/>
          <w:sz w:val="20"/>
        </w:rPr>
        <w:t xml:space="preserve"> and the </w:t>
      </w:r>
      <w:r w:rsidR="003A31A1" w:rsidRPr="003A31A1">
        <w:rPr>
          <w:rFonts w:ascii="Arial" w:hAnsi="Arial" w:cs="Arial"/>
          <w:i/>
          <w:sz w:val="20"/>
        </w:rPr>
        <w:t>Petroleum Act 1923</w:t>
      </w:r>
      <w:r w:rsidRPr="00450CDA">
        <w:rPr>
          <w:rFonts w:ascii="Arial" w:hAnsi="Arial" w:cs="Arial"/>
          <w:sz w:val="20"/>
        </w:rPr>
        <w:t xml:space="preserve">. </w:t>
      </w:r>
    </w:p>
    <w:p w:rsidR="00450CDA" w:rsidRPr="00450CDA" w:rsidRDefault="00450CDA" w:rsidP="00450CDA">
      <w:pPr>
        <w:pStyle w:val="List"/>
        <w:tabs>
          <w:tab w:val="left" w:pos="567"/>
        </w:tabs>
        <w:spacing w:line="260" w:lineRule="atLeast"/>
        <w:ind w:left="0" w:firstLine="0"/>
        <w:rPr>
          <w:rFonts w:ascii="Arial" w:hAnsi="Arial" w:cs="Arial"/>
          <w:sz w:val="20"/>
        </w:rPr>
      </w:pPr>
    </w:p>
    <w:p w:rsidR="00450CDA" w:rsidRPr="00450CDA" w:rsidRDefault="00450CDA" w:rsidP="00450CDA">
      <w:pPr>
        <w:pStyle w:val="List"/>
        <w:tabs>
          <w:tab w:val="left" w:pos="567"/>
        </w:tabs>
        <w:spacing w:line="260" w:lineRule="atLeast"/>
        <w:ind w:left="0" w:firstLine="0"/>
        <w:rPr>
          <w:rFonts w:ascii="Arial" w:hAnsi="Arial" w:cs="Arial"/>
          <w:sz w:val="20"/>
        </w:rPr>
      </w:pPr>
      <w:r w:rsidRPr="00450CDA">
        <w:rPr>
          <w:rFonts w:ascii="Arial" w:hAnsi="Arial" w:cs="Arial"/>
          <w:sz w:val="20"/>
        </w:rPr>
        <w:t>In the period since the framework was first introduced, there have been substantial developments in the nature and scope of both the CSG and conventional coal mining industries in Queensland. These developments, to both the technical and economic landscape, have placed pressure on the existing overlapping tenure regime while presenting both industries with a number of concerns and barriers to future development.</w:t>
      </w:r>
    </w:p>
    <w:p w:rsidR="00500FCA" w:rsidRDefault="00500FCA" w:rsidP="00500FCA">
      <w:pPr>
        <w:pStyle w:val="List"/>
        <w:tabs>
          <w:tab w:val="left" w:pos="567"/>
        </w:tabs>
        <w:spacing w:line="260" w:lineRule="atLeast"/>
        <w:ind w:left="0" w:firstLine="0"/>
        <w:rPr>
          <w:rFonts w:ascii="Arial" w:hAnsi="Arial" w:cs="Arial"/>
          <w:sz w:val="20"/>
          <w:lang w:val="en-AU"/>
        </w:rPr>
      </w:pPr>
    </w:p>
    <w:p w:rsidR="003355DC" w:rsidRDefault="003355DC" w:rsidP="003355DC">
      <w:pPr>
        <w:pStyle w:val="List"/>
        <w:tabs>
          <w:tab w:val="left" w:pos="567"/>
        </w:tabs>
        <w:spacing w:line="260" w:lineRule="atLeast"/>
        <w:ind w:left="0" w:firstLine="0"/>
        <w:rPr>
          <w:rFonts w:ascii="Arial" w:hAnsi="Arial" w:cs="Arial"/>
          <w:sz w:val="20"/>
        </w:rPr>
      </w:pPr>
      <w:r>
        <w:rPr>
          <w:rFonts w:ascii="Arial" w:hAnsi="Arial" w:cs="Arial"/>
          <w:sz w:val="20"/>
        </w:rPr>
        <w:t xml:space="preserve">In April 2012, QRC’s coal seam gas and coal members presented Government with a report, </w:t>
      </w:r>
    </w:p>
    <w:p w:rsidR="003355DC" w:rsidRPr="003355DC" w:rsidRDefault="003355DC" w:rsidP="003355DC">
      <w:pPr>
        <w:pStyle w:val="List"/>
        <w:tabs>
          <w:tab w:val="left" w:pos="567"/>
        </w:tabs>
        <w:spacing w:line="260" w:lineRule="atLeast"/>
        <w:ind w:left="0" w:firstLine="0"/>
        <w:rPr>
          <w:rFonts w:ascii="Arial" w:hAnsi="Arial" w:cs="Arial"/>
          <w:sz w:val="20"/>
        </w:rPr>
      </w:pPr>
      <w:r w:rsidRPr="003355DC">
        <w:rPr>
          <w:rFonts w:ascii="Arial" w:hAnsi="Arial" w:cs="Arial"/>
          <w:i/>
          <w:sz w:val="20"/>
        </w:rPr>
        <w:t>A New Approach to Overlapping Tenure in Queensland</w:t>
      </w:r>
      <w:r>
        <w:rPr>
          <w:rFonts w:ascii="Arial" w:hAnsi="Arial" w:cs="Arial"/>
          <w:i/>
          <w:sz w:val="20"/>
        </w:rPr>
        <w:t xml:space="preserve">, </w:t>
      </w:r>
      <w:r w:rsidRPr="003355DC">
        <w:rPr>
          <w:rFonts w:ascii="Arial" w:hAnsi="Arial" w:cs="Arial"/>
          <w:sz w:val="20"/>
        </w:rPr>
        <w:t>which sought to</w:t>
      </w:r>
      <w:r>
        <w:rPr>
          <w:rFonts w:ascii="Arial" w:hAnsi="Arial" w:cs="Arial"/>
          <w:i/>
          <w:sz w:val="20"/>
        </w:rPr>
        <w:t xml:space="preserve"> </w:t>
      </w:r>
      <w:r>
        <w:rPr>
          <w:rFonts w:ascii="Arial" w:hAnsi="Arial" w:cs="Arial"/>
          <w:sz w:val="20"/>
        </w:rPr>
        <w:t xml:space="preserve">identify a series of reforms to give effect to </w:t>
      </w:r>
      <w:r w:rsidRPr="003355DC">
        <w:rPr>
          <w:rFonts w:ascii="Arial" w:hAnsi="Arial" w:cs="Arial"/>
          <w:sz w:val="20"/>
        </w:rPr>
        <w:t>both coal and coal seam gas have a clear path to production</w:t>
      </w:r>
      <w:r>
        <w:rPr>
          <w:rFonts w:ascii="Arial" w:hAnsi="Arial" w:cs="Arial"/>
          <w:sz w:val="20"/>
        </w:rPr>
        <w:t xml:space="preserve">, providing </w:t>
      </w:r>
      <w:r w:rsidRPr="003355DC">
        <w:rPr>
          <w:rFonts w:ascii="Arial" w:hAnsi="Arial" w:cs="Arial"/>
          <w:sz w:val="20"/>
        </w:rPr>
        <w:t xml:space="preserve">both parties </w:t>
      </w:r>
      <w:r>
        <w:rPr>
          <w:rFonts w:ascii="Arial" w:hAnsi="Arial" w:cs="Arial"/>
          <w:sz w:val="20"/>
        </w:rPr>
        <w:t xml:space="preserve">with </w:t>
      </w:r>
      <w:r w:rsidRPr="003355DC">
        <w:rPr>
          <w:rFonts w:ascii="Arial" w:hAnsi="Arial" w:cs="Arial"/>
          <w:sz w:val="20"/>
        </w:rPr>
        <w:t>an incentive to negotiate outcomes which suit them</w:t>
      </w:r>
      <w:r>
        <w:rPr>
          <w:rFonts w:ascii="Arial" w:hAnsi="Arial" w:cs="Arial"/>
          <w:sz w:val="20"/>
        </w:rPr>
        <w:t xml:space="preserve">.  The process of fleshing </w:t>
      </w:r>
      <w:r>
        <w:rPr>
          <w:rFonts w:ascii="Arial" w:hAnsi="Arial" w:cs="Arial"/>
          <w:sz w:val="20"/>
        </w:rPr>
        <w:lastRenderedPageBreak/>
        <w:t>out these suggestions is still underway, but the principles are already been applied voluntarily in the field.</w:t>
      </w:r>
    </w:p>
    <w:p w:rsidR="00450CDA" w:rsidRPr="00DA40EB" w:rsidRDefault="00450CDA" w:rsidP="00500FCA">
      <w:pPr>
        <w:pStyle w:val="List"/>
        <w:tabs>
          <w:tab w:val="left" w:pos="567"/>
        </w:tabs>
        <w:spacing w:line="260" w:lineRule="atLeast"/>
        <w:ind w:left="0" w:firstLine="0"/>
        <w:rPr>
          <w:rFonts w:ascii="Arial" w:hAnsi="Arial" w:cs="Arial"/>
          <w:sz w:val="20"/>
          <w:lang w:val="en-AU"/>
        </w:rPr>
      </w:pPr>
    </w:p>
    <w:p w:rsidR="0084273A" w:rsidRPr="004C17A0" w:rsidRDefault="0084273A" w:rsidP="00DA40EB">
      <w:pPr>
        <w:pStyle w:val="List"/>
        <w:numPr>
          <w:ilvl w:val="0"/>
          <w:numId w:val="28"/>
        </w:numPr>
        <w:tabs>
          <w:tab w:val="left" w:pos="567"/>
        </w:tabs>
        <w:spacing w:line="260" w:lineRule="atLeast"/>
        <w:ind w:left="567" w:hanging="567"/>
        <w:rPr>
          <w:rFonts w:ascii="Arial" w:hAnsi="Arial" w:cs="Arial"/>
          <w:b/>
          <w:sz w:val="20"/>
          <w:lang w:val="en-AU"/>
        </w:rPr>
      </w:pPr>
      <w:r w:rsidRPr="004C17A0">
        <w:rPr>
          <w:rFonts w:ascii="Arial" w:hAnsi="Arial" w:cs="Arial"/>
          <w:b/>
          <w:sz w:val="20"/>
          <w:lang w:val="en-AU"/>
        </w:rPr>
        <w:t xml:space="preserve">Geological Survey of Queensland </w:t>
      </w:r>
      <w:r w:rsidR="00FC1EA7">
        <w:rPr>
          <w:rFonts w:ascii="Arial" w:hAnsi="Arial" w:cs="Arial"/>
          <w:b/>
          <w:sz w:val="20"/>
          <w:lang w:val="en-AU"/>
        </w:rPr>
        <w:t>and GeoScience Australia</w:t>
      </w:r>
    </w:p>
    <w:p w:rsidR="004C17A0" w:rsidRDefault="00632E3F" w:rsidP="004C17A0">
      <w:pPr>
        <w:pStyle w:val="List"/>
        <w:tabs>
          <w:tab w:val="left" w:pos="567"/>
        </w:tabs>
        <w:spacing w:line="260" w:lineRule="atLeast"/>
        <w:ind w:left="0" w:firstLine="0"/>
        <w:rPr>
          <w:rFonts w:ascii="Arial" w:hAnsi="Arial" w:cs="Arial"/>
          <w:sz w:val="20"/>
          <w:szCs w:val="20"/>
          <w:lang w:val="en-GB"/>
        </w:rPr>
      </w:pPr>
      <w:r>
        <w:rPr>
          <w:rFonts w:ascii="Arial" w:hAnsi="Arial" w:cs="Arial"/>
          <w:sz w:val="20"/>
          <w:szCs w:val="20"/>
          <w:lang w:val="en-GB"/>
        </w:rPr>
        <w:t>‘</w:t>
      </w:r>
      <w:r w:rsidR="004C17A0" w:rsidRPr="004C17A0">
        <w:rPr>
          <w:rFonts w:ascii="Arial" w:hAnsi="Arial" w:cs="Arial"/>
          <w:sz w:val="20"/>
          <w:szCs w:val="20"/>
          <w:lang w:val="en-GB"/>
        </w:rPr>
        <w:t>Australia’s resources industry is based on large, high-quality deposits discovered in the</w:t>
      </w:r>
      <w:r w:rsidR="004C17A0">
        <w:rPr>
          <w:rFonts w:ascii="Arial" w:hAnsi="Arial" w:cs="Arial"/>
          <w:sz w:val="20"/>
          <w:szCs w:val="20"/>
          <w:lang w:val="en-GB"/>
        </w:rPr>
        <w:t xml:space="preserve"> </w:t>
      </w:r>
      <w:r w:rsidR="004C17A0" w:rsidRPr="004C17A0">
        <w:rPr>
          <w:rFonts w:ascii="Arial" w:hAnsi="Arial" w:cs="Arial"/>
          <w:sz w:val="20"/>
          <w:szCs w:val="20"/>
          <w:lang w:val="en-GB"/>
        </w:rPr>
        <w:t>late 19th Century and the 20th Century - an exploration endeavour that was supported</w:t>
      </w:r>
      <w:r w:rsidR="004C17A0">
        <w:rPr>
          <w:rFonts w:ascii="Arial" w:hAnsi="Arial" w:cs="Arial"/>
          <w:sz w:val="20"/>
          <w:szCs w:val="20"/>
          <w:lang w:val="en-GB"/>
        </w:rPr>
        <w:t xml:space="preserve"> </w:t>
      </w:r>
      <w:r w:rsidR="004C17A0" w:rsidRPr="004C17A0">
        <w:rPr>
          <w:rFonts w:ascii="Arial" w:hAnsi="Arial" w:cs="Arial"/>
          <w:sz w:val="20"/>
          <w:szCs w:val="20"/>
          <w:lang w:val="en-GB"/>
        </w:rPr>
        <w:t>by high-quality pre-competitive research that mapped the surface of Australia. While</w:t>
      </w:r>
      <w:r w:rsidR="004C17A0">
        <w:rPr>
          <w:rFonts w:ascii="Arial" w:hAnsi="Arial" w:cs="Arial"/>
          <w:sz w:val="20"/>
          <w:szCs w:val="20"/>
          <w:lang w:val="en-GB"/>
        </w:rPr>
        <w:t xml:space="preserve"> </w:t>
      </w:r>
      <w:r w:rsidR="004C17A0" w:rsidRPr="004C17A0">
        <w:rPr>
          <w:rFonts w:ascii="Arial" w:hAnsi="Arial" w:cs="Arial"/>
          <w:sz w:val="20"/>
          <w:szCs w:val="20"/>
          <w:lang w:val="en-GB"/>
        </w:rPr>
        <w:t>demand for Australian minerals remains strong, it is of serious concern that discovery</w:t>
      </w:r>
      <w:r w:rsidR="004C17A0">
        <w:rPr>
          <w:rFonts w:ascii="Arial" w:hAnsi="Arial" w:cs="Arial"/>
          <w:sz w:val="20"/>
          <w:szCs w:val="20"/>
          <w:lang w:val="en-GB"/>
        </w:rPr>
        <w:t xml:space="preserve"> </w:t>
      </w:r>
      <w:r w:rsidR="004C17A0" w:rsidRPr="004C17A0">
        <w:rPr>
          <w:rFonts w:ascii="Arial" w:hAnsi="Arial" w:cs="Arial"/>
          <w:sz w:val="20"/>
          <w:szCs w:val="20"/>
          <w:lang w:val="en-GB"/>
        </w:rPr>
        <w:t>of new deposits has not kept pace with depletion, despite ongoing competitive</w:t>
      </w:r>
      <w:r w:rsidR="004C17A0">
        <w:rPr>
          <w:rFonts w:ascii="Arial" w:hAnsi="Arial" w:cs="Arial"/>
          <w:sz w:val="20"/>
          <w:szCs w:val="20"/>
          <w:lang w:val="en-GB"/>
        </w:rPr>
        <w:t xml:space="preserve"> </w:t>
      </w:r>
      <w:r w:rsidR="004C17A0" w:rsidRPr="004C17A0">
        <w:rPr>
          <w:rFonts w:ascii="Arial" w:hAnsi="Arial" w:cs="Arial"/>
          <w:sz w:val="20"/>
          <w:szCs w:val="20"/>
          <w:lang w:val="en-GB"/>
        </w:rPr>
        <w:t>exploration efforts.</w:t>
      </w:r>
    </w:p>
    <w:p w:rsidR="004C17A0" w:rsidRPr="004C17A0" w:rsidRDefault="004C17A0" w:rsidP="004C17A0">
      <w:pPr>
        <w:pStyle w:val="List"/>
        <w:tabs>
          <w:tab w:val="left" w:pos="567"/>
        </w:tabs>
        <w:spacing w:line="260" w:lineRule="atLeast"/>
        <w:ind w:left="0" w:firstLine="0"/>
        <w:rPr>
          <w:rFonts w:ascii="Arial" w:hAnsi="Arial" w:cs="Arial"/>
          <w:sz w:val="20"/>
          <w:szCs w:val="20"/>
          <w:lang w:val="en-GB"/>
        </w:rPr>
      </w:pPr>
    </w:p>
    <w:p w:rsidR="004C17A0" w:rsidRDefault="00632E3F" w:rsidP="004C17A0">
      <w:pPr>
        <w:pStyle w:val="List"/>
        <w:tabs>
          <w:tab w:val="left" w:pos="567"/>
        </w:tabs>
        <w:spacing w:line="260" w:lineRule="atLeast"/>
        <w:ind w:left="0" w:firstLine="0"/>
        <w:rPr>
          <w:rFonts w:ascii="Arial" w:hAnsi="Arial" w:cs="Arial"/>
          <w:sz w:val="20"/>
          <w:szCs w:val="20"/>
          <w:lang w:val="en-GB"/>
        </w:rPr>
      </w:pPr>
      <w:r>
        <w:rPr>
          <w:rFonts w:ascii="Arial" w:hAnsi="Arial" w:cs="Arial"/>
          <w:sz w:val="20"/>
          <w:szCs w:val="20"/>
          <w:lang w:val="en-GB"/>
        </w:rPr>
        <w:t>‘</w:t>
      </w:r>
      <w:r w:rsidR="004C17A0" w:rsidRPr="004C17A0">
        <w:rPr>
          <w:rFonts w:ascii="Arial" w:hAnsi="Arial" w:cs="Arial"/>
          <w:sz w:val="20"/>
          <w:szCs w:val="20"/>
          <w:lang w:val="en-GB"/>
        </w:rPr>
        <w:t>The decline in exploration success is in large part due to the difficulty in exploring what</w:t>
      </w:r>
      <w:r w:rsidR="004C17A0">
        <w:rPr>
          <w:rFonts w:ascii="Arial" w:hAnsi="Arial" w:cs="Arial"/>
          <w:sz w:val="20"/>
          <w:szCs w:val="20"/>
          <w:lang w:val="en-GB"/>
        </w:rPr>
        <w:t xml:space="preserve"> </w:t>
      </w:r>
      <w:r w:rsidR="004C17A0" w:rsidRPr="004C17A0">
        <w:rPr>
          <w:rFonts w:ascii="Arial" w:hAnsi="Arial" w:cs="Arial"/>
          <w:sz w:val="20"/>
          <w:szCs w:val="20"/>
          <w:lang w:val="en-GB"/>
        </w:rPr>
        <w:t>lies beneath the regions of highly weathered rock and sedimentary basins that cover</w:t>
      </w:r>
      <w:r w:rsidR="004C17A0">
        <w:rPr>
          <w:rFonts w:ascii="Arial" w:hAnsi="Arial" w:cs="Arial"/>
          <w:sz w:val="20"/>
          <w:szCs w:val="20"/>
          <w:lang w:val="en-GB"/>
        </w:rPr>
        <w:t xml:space="preserve"> </w:t>
      </w:r>
      <w:r w:rsidR="004C17A0" w:rsidRPr="004C17A0">
        <w:rPr>
          <w:rFonts w:ascii="Arial" w:hAnsi="Arial" w:cs="Arial"/>
          <w:sz w:val="20"/>
          <w:szCs w:val="20"/>
          <w:lang w:val="en-GB"/>
        </w:rPr>
        <w:t xml:space="preserve">approximately 80 per cent of Australia. There is no reason to believe </w:t>
      </w:r>
      <w:r w:rsidR="00FC1EA7">
        <w:rPr>
          <w:rFonts w:ascii="Arial" w:hAnsi="Arial" w:cs="Arial"/>
          <w:sz w:val="20"/>
          <w:szCs w:val="20"/>
          <w:lang w:val="en-GB"/>
        </w:rPr>
        <w:t xml:space="preserve">that </w:t>
      </w:r>
      <w:r w:rsidR="004C17A0" w:rsidRPr="004C17A0">
        <w:rPr>
          <w:rFonts w:ascii="Arial" w:hAnsi="Arial" w:cs="Arial"/>
          <w:sz w:val="20"/>
          <w:szCs w:val="20"/>
          <w:lang w:val="en-GB"/>
        </w:rPr>
        <w:t>the resource potential of this 80 per</w:t>
      </w:r>
      <w:r w:rsidR="004C17A0">
        <w:rPr>
          <w:rFonts w:ascii="Arial" w:hAnsi="Arial" w:cs="Arial"/>
          <w:sz w:val="20"/>
          <w:szCs w:val="20"/>
          <w:lang w:val="en-GB"/>
        </w:rPr>
        <w:t xml:space="preserve"> </w:t>
      </w:r>
      <w:r w:rsidR="004C17A0" w:rsidRPr="004C17A0">
        <w:rPr>
          <w:rFonts w:ascii="Arial" w:hAnsi="Arial" w:cs="Arial"/>
          <w:sz w:val="20"/>
          <w:szCs w:val="20"/>
          <w:lang w:val="en-GB"/>
        </w:rPr>
        <w:t>cent which lies under cover would be less than the exposed 20 per cent that has provided so much wealth.</w:t>
      </w:r>
    </w:p>
    <w:p w:rsidR="004C17A0" w:rsidRPr="004C17A0" w:rsidRDefault="004C17A0" w:rsidP="004C17A0">
      <w:pPr>
        <w:pStyle w:val="List"/>
        <w:tabs>
          <w:tab w:val="left" w:pos="567"/>
        </w:tabs>
        <w:spacing w:line="260" w:lineRule="atLeast"/>
        <w:ind w:left="0" w:firstLine="0"/>
        <w:rPr>
          <w:rFonts w:ascii="Arial" w:hAnsi="Arial" w:cs="Arial"/>
          <w:sz w:val="20"/>
          <w:szCs w:val="20"/>
          <w:lang w:val="en-GB"/>
        </w:rPr>
      </w:pPr>
    </w:p>
    <w:p w:rsidR="004C17A0" w:rsidRDefault="00632E3F" w:rsidP="004C17A0">
      <w:pPr>
        <w:pStyle w:val="List"/>
        <w:tabs>
          <w:tab w:val="left" w:pos="567"/>
        </w:tabs>
        <w:spacing w:line="260" w:lineRule="atLeast"/>
        <w:ind w:left="0" w:firstLine="0"/>
        <w:rPr>
          <w:rFonts w:ascii="Arial" w:hAnsi="Arial" w:cs="Arial"/>
          <w:sz w:val="20"/>
          <w:szCs w:val="20"/>
          <w:lang w:val="en-GB"/>
        </w:rPr>
      </w:pPr>
      <w:r>
        <w:rPr>
          <w:rFonts w:ascii="Arial" w:hAnsi="Arial" w:cs="Arial"/>
          <w:sz w:val="20"/>
          <w:szCs w:val="20"/>
          <w:lang w:val="en-GB"/>
        </w:rPr>
        <w:t>‘</w:t>
      </w:r>
      <w:r w:rsidR="004C17A0" w:rsidRPr="004C17A0">
        <w:rPr>
          <w:rFonts w:ascii="Arial" w:hAnsi="Arial" w:cs="Arial"/>
          <w:sz w:val="20"/>
          <w:szCs w:val="20"/>
          <w:lang w:val="en-GB"/>
        </w:rPr>
        <w:t>New knowledge is needed to underpin future exploration; just as the work of State Geological Surveys and</w:t>
      </w:r>
      <w:r w:rsidR="004C17A0">
        <w:rPr>
          <w:rFonts w:ascii="Arial" w:hAnsi="Arial" w:cs="Arial"/>
          <w:sz w:val="20"/>
          <w:szCs w:val="20"/>
          <w:lang w:val="en-GB"/>
        </w:rPr>
        <w:t xml:space="preserve"> </w:t>
      </w:r>
      <w:r w:rsidR="004C17A0" w:rsidRPr="004C17A0">
        <w:rPr>
          <w:rFonts w:ascii="Arial" w:hAnsi="Arial" w:cs="Arial"/>
          <w:sz w:val="20"/>
          <w:szCs w:val="20"/>
          <w:lang w:val="en-GB"/>
        </w:rPr>
        <w:t>our universities in the second half of the 19th Century and 20th Century underpins today’s mining boom.</w:t>
      </w:r>
      <w:r w:rsidR="00CF1B72">
        <w:rPr>
          <w:rFonts w:ascii="Arial" w:hAnsi="Arial" w:cs="Arial"/>
          <w:sz w:val="20"/>
          <w:szCs w:val="20"/>
          <w:lang w:val="en-GB"/>
        </w:rPr>
        <w:t>’ Australian Academy of Science (</w:t>
      </w:r>
      <w:hyperlink r:id="rId11" w:history="1">
        <w:r w:rsidR="00CF1B72" w:rsidRPr="00CF1B72">
          <w:rPr>
            <w:rStyle w:val="Hyperlink"/>
            <w:rFonts w:ascii="Arial" w:hAnsi="Arial" w:cs="Arial"/>
            <w:sz w:val="20"/>
            <w:szCs w:val="20"/>
            <w:lang w:val="en-GB"/>
          </w:rPr>
          <w:t>link</w:t>
        </w:r>
      </w:hyperlink>
      <w:r w:rsidR="00CF1B72">
        <w:rPr>
          <w:rFonts w:ascii="Arial" w:hAnsi="Arial" w:cs="Arial"/>
          <w:sz w:val="20"/>
          <w:szCs w:val="20"/>
          <w:lang w:val="en-GB"/>
        </w:rPr>
        <w:t>)</w:t>
      </w:r>
    </w:p>
    <w:p w:rsidR="004C17A0" w:rsidRDefault="004C17A0" w:rsidP="00735DB9">
      <w:pPr>
        <w:pStyle w:val="List"/>
        <w:tabs>
          <w:tab w:val="left" w:pos="567"/>
        </w:tabs>
        <w:spacing w:line="260" w:lineRule="atLeast"/>
        <w:ind w:left="0" w:firstLine="0"/>
        <w:rPr>
          <w:rFonts w:ascii="Arial" w:hAnsi="Arial" w:cs="Arial"/>
          <w:sz w:val="20"/>
          <w:szCs w:val="20"/>
          <w:lang w:val="en-GB"/>
        </w:rPr>
      </w:pPr>
    </w:p>
    <w:p w:rsidR="00735DB9" w:rsidRDefault="00500FCA" w:rsidP="00735DB9">
      <w:pPr>
        <w:pStyle w:val="List"/>
        <w:tabs>
          <w:tab w:val="left" w:pos="567"/>
        </w:tabs>
        <w:spacing w:line="260" w:lineRule="atLeast"/>
        <w:ind w:left="0" w:firstLine="0"/>
        <w:rPr>
          <w:rFonts w:ascii="Arial" w:hAnsi="Arial" w:cs="Arial"/>
          <w:sz w:val="20"/>
          <w:szCs w:val="20"/>
          <w:lang w:val="en-GB"/>
        </w:rPr>
      </w:pPr>
      <w:r>
        <w:rPr>
          <w:rFonts w:ascii="Arial" w:hAnsi="Arial" w:cs="Arial"/>
          <w:sz w:val="20"/>
          <w:szCs w:val="20"/>
          <w:lang w:val="en-GB"/>
        </w:rPr>
        <w:t xml:space="preserve">Owing to the importance of geological information as a public good and which underpins </w:t>
      </w:r>
      <w:r w:rsidR="00735DB9" w:rsidRPr="00201C6C">
        <w:rPr>
          <w:rFonts w:ascii="Arial" w:hAnsi="Arial" w:cs="Arial"/>
          <w:sz w:val="20"/>
          <w:szCs w:val="20"/>
          <w:lang w:val="en-GB"/>
        </w:rPr>
        <w:t>Queensland’s pre-competitive exploration capability</w:t>
      </w:r>
      <w:r>
        <w:rPr>
          <w:rFonts w:ascii="Arial" w:hAnsi="Arial" w:cs="Arial"/>
          <w:sz w:val="20"/>
          <w:szCs w:val="20"/>
          <w:lang w:val="en-GB"/>
        </w:rPr>
        <w:t xml:space="preserve">, QRC would like to see more realistic funding for </w:t>
      </w:r>
      <w:r w:rsidR="00FC1EA7">
        <w:rPr>
          <w:rFonts w:ascii="Arial" w:hAnsi="Arial" w:cs="Arial"/>
          <w:sz w:val="20"/>
          <w:szCs w:val="20"/>
          <w:lang w:val="en-GB"/>
        </w:rPr>
        <w:t xml:space="preserve">GeoScience Australia and </w:t>
      </w:r>
      <w:r>
        <w:rPr>
          <w:rFonts w:ascii="Arial" w:hAnsi="Arial" w:cs="Arial"/>
          <w:sz w:val="20"/>
          <w:szCs w:val="20"/>
          <w:lang w:val="en-GB"/>
        </w:rPr>
        <w:t xml:space="preserve">the </w:t>
      </w:r>
      <w:r w:rsidR="00735DB9" w:rsidRPr="00201C6C">
        <w:rPr>
          <w:rFonts w:ascii="Arial" w:hAnsi="Arial" w:cs="Arial"/>
          <w:sz w:val="20"/>
          <w:szCs w:val="20"/>
          <w:lang w:val="en-GB"/>
        </w:rPr>
        <w:t>Geological Survey of Queensland with base funding commensurate with the resource sector's economic importance.</w:t>
      </w:r>
    </w:p>
    <w:p w:rsidR="00500FCA" w:rsidRPr="00DA40EB" w:rsidRDefault="00500FCA" w:rsidP="00735DB9">
      <w:pPr>
        <w:pStyle w:val="List"/>
        <w:tabs>
          <w:tab w:val="left" w:pos="567"/>
        </w:tabs>
        <w:spacing w:line="260" w:lineRule="atLeast"/>
        <w:ind w:left="0" w:firstLine="0"/>
        <w:rPr>
          <w:rFonts w:ascii="Arial" w:hAnsi="Arial" w:cs="Arial"/>
          <w:sz w:val="20"/>
          <w:lang w:val="en-AU"/>
        </w:rPr>
      </w:pPr>
    </w:p>
    <w:p w:rsidR="0084273A" w:rsidRPr="00CF1B72" w:rsidRDefault="0084273A" w:rsidP="00CF1B72">
      <w:pPr>
        <w:pStyle w:val="List"/>
        <w:numPr>
          <w:ilvl w:val="0"/>
          <w:numId w:val="28"/>
        </w:numPr>
        <w:tabs>
          <w:tab w:val="left" w:pos="567"/>
        </w:tabs>
        <w:spacing w:line="260" w:lineRule="atLeast"/>
        <w:ind w:left="567" w:hanging="567"/>
        <w:rPr>
          <w:rFonts w:ascii="Arial" w:hAnsi="Arial" w:cs="Arial"/>
          <w:b/>
          <w:sz w:val="20"/>
          <w:lang w:val="en-AU"/>
        </w:rPr>
      </w:pPr>
      <w:r w:rsidRPr="00CF1B72">
        <w:rPr>
          <w:rFonts w:ascii="Arial" w:hAnsi="Arial" w:cs="Arial"/>
          <w:b/>
          <w:sz w:val="20"/>
          <w:lang w:val="en-AU"/>
        </w:rPr>
        <w:t>Open access data</w:t>
      </w:r>
    </w:p>
    <w:p w:rsidR="0084273A" w:rsidRDefault="00CF1B72"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 xml:space="preserve">A policy question which is not addressed in the issues paper is the regulation around the treatment of geological data.  While the general principle in Queensland is that </w:t>
      </w:r>
      <w:r w:rsidR="007B7AA6">
        <w:rPr>
          <w:rFonts w:ascii="Arial" w:hAnsi="Arial" w:cs="Arial"/>
          <w:sz w:val="20"/>
          <w:szCs w:val="20"/>
          <w:lang w:val="en-GB"/>
        </w:rPr>
        <w:t>almost all</w:t>
      </w:r>
      <w:r>
        <w:rPr>
          <w:rFonts w:ascii="Arial" w:hAnsi="Arial" w:cs="Arial"/>
          <w:sz w:val="20"/>
          <w:szCs w:val="20"/>
          <w:lang w:val="en-GB"/>
        </w:rPr>
        <w:t xml:space="preserve"> drilling results are </w:t>
      </w:r>
      <w:r w:rsidR="00816F31">
        <w:rPr>
          <w:rFonts w:ascii="Arial" w:hAnsi="Arial" w:cs="Arial"/>
          <w:sz w:val="20"/>
          <w:szCs w:val="20"/>
          <w:lang w:val="en-GB"/>
        </w:rPr>
        <w:t xml:space="preserve">eventually </w:t>
      </w:r>
      <w:r>
        <w:rPr>
          <w:rFonts w:ascii="Arial" w:hAnsi="Arial" w:cs="Arial"/>
          <w:sz w:val="20"/>
          <w:szCs w:val="20"/>
          <w:lang w:val="en-GB"/>
        </w:rPr>
        <w:t>supplied to the Government and b</w:t>
      </w:r>
      <w:r w:rsidR="007B7AA6">
        <w:rPr>
          <w:rFonts w:ascii="Arial" w:hAnsi="Arial" w:cs="Arial"/>
          <w:sz w:val="20"/>
          <w:szCs w:val="20"/>
          <w:lang w:val="en-GB"/>
        </w:rPr>
        <w:t>ecome open access (public) data; with</w:t>
      </w:r>
      <w:r>
        <w:rPr>
          <w:rFonts w:ascii="Arial" w:hAnsi="Arial" w:cs="Arial"/>
          <w:sz w:val="20"/>
          <w:szCs w:val="20"/>
          <w:lang w:val="en-GB"/>
        </w:rPr>
        <w:t xml:space="preserve"> the time for which this data is protected as commercially confidential depends on the tenure (production versus exploration) as well as commodity type (typically CSG data is released more rapidly than minerals or coal).  </w:t>
      </w:r>
    </w:p>
    <w:p w:rsidR="00CF1B72" w:rsidRDefault="00CF1B72" w:rsidP="00071327">
      <w:pPr>
        <w:pStyle w:val="List"/>
        <w:spacing w:line="260" w:lineRule="atLeast"/>
        <w:ind w:left="0" w:firstLine="0"/>
        <w:rPr>
          <w:rFonts w:ascii="Arial" w:hAnsi="Arial" w:cs="Arial"/>
          <w:sz w:val="20"/>
          <w:szCs w:val="20"/>
          <w:lang w:val="en-GB"/>
        </w:rPr>
      </w:pPr>
    </w:p>
    <w:p w:rsidR="00CF1B72" w:rsidRDefault="00CF1B72"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An emerging practice is to provide this data in advance to the Geological Survey, so that it can be accessed by their researchers prior to the information becoming available.  This also provides some protection against the data being lost, corrupted or compromised in some manner (akin to an off-site backup).  QRC suggests that the Commission considers whether there is a case for greater national harmonisation of these reporting requirements, to ensure that the public good benefits of exploration activity aren’t inadvertently eroded.</w:t>
      </w:r>
    </w:p>
    <w:p w:rsidR="00CF1B72" w:rsidRDefault="00CF1B72" w:rsidP="00071327">
      <w:pPr>
        <w:pStyle w:val="List"/>
        <w:spacing w:line="260" w:lineRule="atLeast"/>
        <w:ind w:left="0" w:firstLine="0"/>
        <w:rPr>
          <w:rFonts w:ascii="Arial" w:hAnsi="Arial" w:cs="Arial"/>
          <w:sz w:val="20"/>
          <w:szCs w:val="20"/>
          <w:lang w:val="en-GB"/>
        </w:rPr>
      </w:pPr>
    </w:p>
    <w:p w:rsidR="00F73DB9" w:rsidRPr="00CF1B72" w:rsidRDefault="00CF1B72" w:rsidP="00F73DB9">
      <w:pPr>
        <w:pStyle w:val="List"/>
        <w:numPr>
          <w:ilvl w:val="0"/>
          <w:numId w:val="28"/>
        </w:numPr>
        <w:tabs>
          <w:tab w:val="left" w:pos="567"/>
        </w:tabs>
        <w:spacing w:line="260" w:lineRule="atLeast"/>
        <w:ind w:left="567" w:hanging="567"/>
        <w:rPr>
          <w:rFonts w:ascii="Arial" w:hAnsi="Arial" w:cs="Arial"/>
          <w:b/>
          <w:sz w:val="20"/>
          <w:lang w:val="en-AU"/>
        </w:rPr>
      </w:pPr>
      <w:r w:rsidRPr="00CF1B72">
        <w:rPr>
          <w:rFonts w:ascii="Arial" w:hAnsi="Arial" w:cs="Arial"/>
          <w:b/>
          <w:sz w:val="20"/>
          <w:lang w:val="en-AU"/>
        </w:rPr>
        <w:t>Benefits from reform</w:t>
      </w:r>
    </w:p>
    <w:p w:rsidR="00816F31" w:rsidRDefault="00CF1B72" w:rsidP="00F73DB9">
      <w:pPr>
        <w:pStyle w:val="List"/>
        <w:spacing w:line="260" w:lineRule="atLeast"/>
        <w:ind w:left="0" w:firstLine="0"/>
        <w:rPr>
          <w:rFonts w:ascii="Arial" w:hAnsi="Arial" w:cs="Arial"/>
          <w:sz w:val="20"/>
          <w:szCs w:val="20"/>
          <w:lang w:val="en-GB"/>
        </w:rPr>
      </w:pPr>
      <w:r>
        <w:rPr>
          <w:rFonts w:ascii="Arial" w:hAnsi="Arial" w:cs="Arial"/>
          <w:sz w:val="20"/>
          <w:szCs w:val="20"/>
          <w:lang w:val="en-GB"/>
        </w:rPr>
        <w:t>A recently commission</w:t>
      </w:r>
      <w:r w:rsidR="00F116A9">
        <w:rPr>
          <w:rFonts w:ascii="Arial" w:hAnsi="Arial" w:cs="Arial"/>
          <w:sz w:val="20"/>
          <w:szCs w:val="20"/>
          <w:lang w:val="en-GB"/>
        </w:rPr>
        <w:t>ed</w:t>
      </w:r>
      <w:r>
        <w:rPr>
          <w:rFonts w:ascii="Arial" w:hAnsi="Arial" w:cs="Arial"/>
          <w:sz w:val="20"/>
          <w:szCs w:val="20"/>
          <w:lang w:val="en-GB"/>
        </w:rPr>
        <w:t xml:space="preserve"> report from the </w:t>
      </w:r>
      <w:hyperlink r:id="rId12" w:history="1">
        <w:r w:rsidRPr="00432B19">
          <w:rPr>
            <w:rStyle w:val="Hyperlink"/>
            <w:rFonts w:ascii="Arial" w:hAnsi="Arial" w:cs="Arial"/>
            <w:sz w:val="20"/>
            <w:szCs w:val="20"/>
            <w:lang w:val="en-GB"/>
          </w:rPr>
          <w:t>Centre for International Economics</w:t>
        </w:r>
      </w:hyperlink>
      <w:r>
        <w:rPr>
          <w:rFonts w:ascii="Arial" w:hAnsi="Arial" w:cs="Arial"/>
          <w:sz w:val="20"/>
          <w:szCs w:val="20"/>
          <w:lang w:val="en-GB"/>
        </w:rPr>
        <w:t xml:space="preserve"> (CIE) estimated the benefit from reforming just the mining side of development regulation as having a net present value of $2 billion.  </w:t>
      </w:r>
      <w:r w:rsidR="00F73DB9">
        <w:rPr>
          <w:rFonts w:ascii="Arial" w:hAnsi="Arial" w:cs="Arial"/>
          <w:sz w:val="20"/>
          <w:szCs w:val="20"/>
          <w:lang w:val="en-GB"/>
        </w:rPr>
        <w:t xml:space="preserve">QRC regards the arguments presented as equally applicable to the other resources legislation identified in the Department’s discussion paper.  The estimates would presumably show an even larger net present value from reform if the reform encompassed </w:t>
      </w:r>
      <w:r w:rsidR="00F73DB9" w:rsidRPr="001361AF">
        <w:rPr>
          <w:rFonts w:ascii="Arial" w:hAnsi="Arial" w:cs="Arial"/>
          <w:i/>
          <w:sz w:val="20"/>
          <w:szCs w:val="20"/>
          <w:lang w:val="en-GB"/>
        </w:rPr>
        <w:t>all</w:t>
      </w:r>
      <w:r w:rsidR="00F73DB9">
        <w:rPr>
          <w:rFonts w:ascii="Arial" w:hAnsi="Arial" w:cs="Arial"/>
          <w:sz w:val="20"/>
          <w:szCs w:val="20"/>
          <w:lang w:val="en-GB"/>
        </w:rPr>
        <w:t xml:space="preserve"> resource tenures, but particularly CSG.</w:t>
      </w:r>
    </w:p>
    <w:p w:rsidR="007B7AA6" w:rsidRDefault="007B7AA6" w:rsidP="00F73DB9">
      <w:pPr>
        <w:pStyle w:val="List"/>
        <w:spacing w:line="260" w:lineRule="atLeast"/>
        <w:ind w:left="0" w:firstLine="0"/>
        <w:rPr>
          <w:rFonts w:ascii="Arial" w:hAnsi="Arial" w:cs="Arial"/>
          <w:sz w:val="20"/>
          <w:szCs w:val="20"/>
          <w:lang w:val="en-GB"/>
        </w:rPr>
      </w:pPr>
    </w:p>
    <w:p w:rsidR="0070436B" w:rsidRDefault="0070436B" w:rsidP="00F73DB9">
      <w:pPr>
        <w:pStyle w:val="List"/>
        <w:spacing w:line="260" w:lineRule="atLeast"/>
        <w:ind w:left="0" w:firstLine="0"/>
        <w:rPr>
          <w:rFonts w:ascii="Arial" w:hAnsi="Arial" w:cs="Arial"/>
          <w:sz w:val="20"/>
          <w:szCs w:val="20"/>
          <w:lang w:val="en-GB"/>
        </w:rPr>
      </w:pPr>
      <w:r>
        <w:rPr>
          <w:rFonts w:ascii="Arial" w:hAnsi="Arial" w:cs="Arial"/>
          <w:sz w:val="20"/>
          <w:szCs w:val="20"/>
          <w:lang w:val="en-GB"/>
        </w:rPr>
        <w:br w:type="page"/>
      </w:r>
    </w:p>
    <w:p w:rsidR="00F73DB9" w:rsidRPr="00CF1B72" w:rsidRDefault="00F73DB9" w:rsidP="00816F31">
      <w:pPr>
        <w:pStyle w:val="List"/>
        <w:numPr>
          <w:ilvl w:val="0"/>
          <w:numId w:val="28"/>
        </w:numPr>
        <w:tabs>
          <w:tab w:val="left" w:pos="567"/>
        </w:tabs>
        <w:spacing w:line="260" w:lineRule="atLeast"/>
        <w:ind w:left="567" w:hanging="567"/>
        <w:rPr>
          <w:rFonts w:ascii="Arial" w:hAnsi="Arial" w:cs="Arial"/>
          <w:b/>
          <w:sz w:val="20"/>
          <w:lang w:val="en-AU"/>
        </w:rPr>
      </w:pPr>
      <w:r w:rsidRPr="00CF1B72">
        <w:rPr>
          <w:rFonts w:ascii="Arial" w:hAnsi="Arial" w:cs="Arial"/>
          <w:b/>
          <w:sz w:val="20"/>
          <w:lang w:val="en-AU"/>
        </w:rPr>
        <w:lastRenderedPageBreak/>
        <w:t>Streamlined tenure processes in Queensland</w:t>
      </w:r>
    </w:p>
    <w:p w:rsidR="00506678" w:rsidRDefault="00506678" w:rsidP="00506678">
      <w:pPr>
        <w:pStyle w:val="List"/>
        <w:spacing w:line="260" w:lineRule="atLeast"/>
        <w:ind w:left="0" w:firstLine="0"/>
        <w:rPr>
          <w:rFonts w:ascii="Arial" w:hAnsi="Arial" w:cs="Arial"/>
          <w:sz w:val="20"/>
          <w:szCs w:val="20"/>
          <w:lang w:val="en-GB"/>
        </w:rPr>
      </w:pPr>
      <w:r>
        <w:rPr>
          <w:rFonts w:ascii="Arial" w:hAnsi="Arial" w:cs="Arial"/>
          <w:sz w:val="20"/>
          <w:szCs w:val="20"/>
          <w:lang w:val="en-GB"/>
        </w:rPr>
        <w:t xml:space="preserve">The exploration sector, across all resources, has a distinct need for clarity and certainty around tenure processes.  Industry feedback continues to point to a reputational effect when exploration companies are making investment decisions between jurisdictions.  Geology will always be the overriding consideration, but perceptions of the regulatory process are increasingly considered as part of the mix.    </w:t>
      </w:r>
    </w:p>
    <w:p w:rsidR="00506678" w:rsidRDefault="00506678" w:rsidP="00506678">
      <w:pPr>
        <w:pStyle w:val="List"/>
        <w:spacing w:line="260" w:lineRule="atLeast"/>
        <w:ind w:left="0" w:firstLine="0"/>
        <w:rPr>
          <w:rFonts w:ascii="Arial" w:hAnsi="Arial" w:cs="Arial"/>
          <w:sz w:val="20"/>
          <w:szCs w:val="20"/>
          <w:lang w:val="en-GB"/>
        </w:rPr>
      </w:pPr>
    </w:p>
    <w:p w:rsidR="00506678" w:rsidRDefault="00506678" w:rsidP="00506678">
      <w:pPr>
        <w:pStyle w:val="List"/>
        <w:spacing w:line="260" w:lineRule="atLeast"/>
        <w:ind w:left="0" w:firstLine="0"/>
        <w:rPr>
          <w:rFonts w:ascii="Arial" w:hAnsi="Arial" w:cs="Arial"/>
          <w:sz w:val="20"/>
          <w:szCs w:val="20"/>
          <w:lang w:val="en-GB"/>
        </w:rPr>
      </w:pPr>
      <w:r>
        <w:rPr>
          <w:rFonts w:ascii="Arial" w:hAnsi="Arial" w:cs="Arial"/>
          <w:sz w:val="20"/>
          <w:szCs w:val="20"/>
          <w:lang w:val="en-GB"/>
        </w:rPr>
        <w:t>Exploration activity is inherently adaptive, because exploration is a process of wrestling with unknowns and uncertainty.  QRC members emphasise that sometimes the decisions made in the field, in response to an unexpected result, are those that ultimately generate the most interesting exploration results. A</w:t>
      </w:r>
      <w:r w:rsidRPr="00733630">
        <w:rPr>
          <w:rFonts w:ascii="Arial" w:hAnsi="Arial" w:cs="Arial"/>
          <w:sz w:val="20"/>
          <w:szCs w:val="20"/>
          <w:lang w:val="en-GB"/>
        </w:rPr>
        <w:t xml:space="preserve"> change in the perceived success of an exploration </w:t>
      </w:r>
      <w:r>
        <w:rPr>
          <w:rFonts w:ascii="Arial" w:hAnsi="Arial" w:cs="Arial"/>
          <w:sz w:val="20"/>
          <w:szCs w:val="20"/>
          <w:lang w:val="en-GB"/>
        </w:rPr>
        <w:t>campaign</w:t>
      </w:r>
      <w:r w:rsidRPr="00733630">
        <w:rPr>
          <w:rFonts w:ascii="Arial" w:hAnsi="Arial" w:cs="Arial"/>
          <w:sz w:val="20"/>
          <w:szCs w:val="20"/>
          <w:lang w:val="en-GB"/>
        </w:rPr>
        <w:t xml:space="preserve"> can sometimes hang on the </w:t>
      </w:r>
      <w:r>
        <w:rPr>
          <w:rFonts w:ascii="Arial" w:hAnsi="Arial" w:cs="Arial"/>
          <w:sz w:val="20"/>
          <w:szCs w:val="20"/>
          <w:lang w:val="en-GB"/>
        </w:rPr>
        <w:t>results from a single</w:t>
      </w:r>
      <w:r w:rsidRPr="00733630">
        <w:rPr>
          <w:rFonts w:ascii="Arial" w:hAnsi="Arial" w:cs="Arial"/>
          <w:sz w:val="20"/>
          <w:szCs w:val="20"/>
          <w:lang w:val="en-GB"/>
        </w:rPr>
        <w:t xml:space="preserve"> drill hole</w:t>
      </w:r>
      <w:r>
        <w:rPr>
          <w:rFonts w:ascii="Arial" w:hAnsi="Arial" w:cs="Arial"/>
          <w:sz w:val="20"/>
          <w:szCs w:val="20"/>
          <w:lang w:val="en-GB"/>
        </w:rPr>
        <w:t>.</w:t>
      </w:r>
    </w:p>
    <w:p w:rsidR="00506678" w:rsidRDefault="00506678" w:rsidP="00506678">
      <w:pPr>
        <w:pStyle w:val="List"/>
        <w:spacing w:line="260" w:lineRule="atLeast"/>
        <w:ind w:left="0" w:firstLine="0"/>
        <w:rPr>
          <w:rFonts w:ascii="Arial" w:hAnsi="Arial" w:cs="Arial"/>
          <w:sz w:val="20"/>
          <w:szCs w:val="20"/>
          <w:lang w:val="en-GB"/>
        </w:rPr>
      </w:pPr>
      <w:r>
        <w:rPr>
          <w:rFonts w:ascii="Arial" w:hAnsi="Arial" w:cs="Arial"/>
          <w:sz w:val="20"/>
          <w:szCs w:val="20"/>
          <w:lang w:val="en-GB"/>
        </w:rPr>
        <w:t xml:space="preserve"> </w:t>
      </w:r>
    </w:p>
    <w:p w:rsidR="00506678" w:rsidRDefault="00506678" w:rsidP="00506678">
      <w:pPr>
        <w:pStyle w:val="List"/>
        <w:spacing w:line="260" w:lineRule="atLeast"/>
        <w:ind w:left="0" w:firstLine="0"/>
        <w:rPr>
          <w:rFonts w:ascii="Arial" w:hAnsi="Arial" w:cs="Arial"/>
          <w:sz w:val="20"/>
          <w:szCs w:val="20"/>
          <w:lang w:val="en-GB"/>
        </w:rPr>
      </w:pPr>
      <w:r>
        <w:rPr>
          <w:rFonts w:ascii="Arial" w:hAnsi="Arial" w:cs="Arial"/>
          <w:sz w:val="20"/>
          <w:szCs w:val="20"/>
          <w:lang w:val="en-GB"/>
        </w:rPr>
        <w:t>There are two ultimate goals of exploration; an economic discovery for the company, and</w:t>
      </w:r>
      <w:r>
        <w:rPr>
          <w:rFonts w:ascii="Arial" w:hAnsi="Arial" w:cs="Arial"/>
          <w:sz w:val="20"/>
          <w:szCs w:val="20"/>
          <w:lang w:val="en-GB"/>
        </w:rPr>
        <w:tab/>
        <w:t xml:space="preserve">the generation of new geological knowledge for the State.  Administering tenure successfully needs to provide for a degree of flexibility to allow for early discovery success together with the occasional serendipitous results.  </w:t>
      </w:r>
    </w:p>
    <w:p w:rsidR="00506678" w:rsidRDefault="00506678" w:rsidP="00506678">
      <w:pPr>
        <w:pStyle w:val="List"/>
        <w:spacing w:line="260" w:lineRule="atLeast"/>
        <w:ind w:left="0" w:firstLine="0"/>
        <w:rPr>
          <w:rFonts w:ascii="Arial" w:hAnsi="Arial" w:cs="Arial"/>
          <w:sz w:val="20"/>
          <w:szCs w:val="20"/>
          <w:lang w:val="en-GB"/>
        </w:rPr>
      </w:pPr>
    </w:p>
    <w:p w:rsidR="009C0256" w:rsidRDefault="00506678"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 xml:space="preserve">QRC suggests that in the same way that the regulatory framework for small miners in Queensland has been fundamentally reworked so the regulatory requirements are better tailored to match the underlying risk of these activities, so too might a rethink of exploration tenures prove to be productive in increasing the attractiveness of investing in exploration tenures in Queensland.  </w:t>
      </w:r>
    </w:p>
    <w:p w:rsidR="009C0256" w:rsidRDefault="009C0256" w:rsidP="00071327">
      <w:pPr>
        <w:pStyle w:val="List"/>
        <w:spacing w:line="260" w:lineRule="atLeast"/>
        <w:ind w:left="0" w:firstLine="0"/>
        <w:rPr>
          <w:rFonts w:ascii="Arial" w:hAnsi="Arial" w:cs="Arial"/>
          <w:sz w:val="20"/>
          <w:szCs w:val="20"/>
          <w:lang w:val="en-GB"/>
        </w:rPr>
      </w:pPr>
    </w:p>
    <w:p w:rsidR="00206E73" w:rsidRDefault="002D4F75"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 xml:space="preserve">Thank you again for the opportunity to comment on the </w:t>
      </w:r>
      <w:r w:rsidR="00506678">
        <w:rPr>
          <w:rFonts w:ascii="Arial" w:hAnsi="Arial" w:cs="Arial"/>
          <w:sz w:val="20"/>
          <w:szCs w:val="20"/>
          <w:lang w:val="en-GB"/>
        </w:rPr>
        <w:t>issues</w:t>
      </w:r>
      <w:r w:rsidR="00AC1C98">
        <w:rPr>
          <w:rFonts w:ascii="Arial" w:hAnsi="Arial" w:cs="Arial"/>
          <w:sz w:val="20"/>
          <w:szCs w:val="20"/>
          <w:lang w:val="en-GB"/>
        </w:rPr>
        <w:t xml:space="preserve"> paper</w:t>
      </w:r>
      <w:r>
        <w:rPr>
          <w:rFonts w:ascii="Arial" w:hAnsi="Arial" w:cs="Arial"/>
          <w:sz w:val="20"/>
          <w:szCs w:val="20"/>
          <w:lang w:val="en-GB"/>
        </w:rPr>
        <w:t>.</w:t>
      </w:r>
      <w:r w:rsidR="00617D12">
        <w:rPr>
          <w:rFonts w:ascii="Arial" w:hAnsi="Arial" w:cs="Arial"/>
          <w:sz w:val="20"/>
          <w:szCs w:val="20"/>
          <w:lang w:val="en-GB"/>
        </w:rPr>
        <w:t xml:space="preserve"> </w:t>
      </w:r>
      <w:r>
        <w:rPr>
          <w:rFonts w:ascii="Arial" w:hAnsi="Arial" w:cs="Arial"/>
          <w:sz w:val="20"/>
          <w:szCs w:val="20"/>
          <w:lang w:val="en-GB"/>
        </w:rPr>
        <w:t xml:space="preserve"> If you require any further information, the contact on this matter is </w:t>
      </w:r>
      <w:r w:rsidR="00AC1C98">
        <w:rPr>
          <w:rFonts w:ascii="Arial" w:hAnsi="Arial" w:cs="Arial"/>
          <w:sz w:val="20"/>
          <w:szCs w:val="20"/>
          <w:lang w:val="en-GB"/>
        </w:rPr>
        <w:t xml:space="preserve">Andrew Barger, </w:t>
      </w:r>
      <w:r>
        <w:rPr>
          <w:rFonts w:ascii="Arial" w:hAnsi="Arial" w:cs="Arial"/>
          <w:sz w:val="20"/>
          <w:szCs w:val="20"/>
          <w:lang w:val="en-GB"/>
        </w:rPr>
        <w:t xml:space="preserve">who can be contacted on </w:t>
      </w:r>
      <w:r w:rsidR="00506678">
        <w:rPr>
          <w:rFonts w:ascii="Arial" w:hAnsi="Arial" w:cs="Arial"/>
          <w:sz w:val="20"/>
          <w:szCs w:val="20"/>
          <w:lang w:val="en-GB"/>
        </w:rPr>
        <w:t xml:space="preserve">(07) </w:t>
      </w:r>
      <w:r>
        <w:rPr>
          <w:rFonts w:ascii="Arial" w:hAnsi="Arial" w:cs="Arial"/>
          <w:sz w:val="20"/>
          <w:szCs w:val="20"/>
          <w:lang w:val="en-GB"/>
        </w:rPr>
        <w:t>3316 25</w:t>
      </w:r>
      <w:r w:rsidR="00AC1C98">
        <w:rPr>
          <w:rFonts w:ascii="Arial" w:hAnsi="Arial" w:cs="Arial"/>
          <w:sz w:val="20"/>
          <w:szCs w:val="20"/>
          <w:lang w:val="en-GB"/>
        </w:rPr>
        <w:t xml:space="preserve">02 </w:t>
      </w:r>
      <w:r>
        <w:rPr>
          <w:rFonts w:ascii="Arial" w:hAnsi="Arial" w:cs="Arial"/>
          <w:sz w:val="20"/>
          <w:szCs w:val="20"/>
          <w:lang w:val="en-GB"/>
        </w:rPr>
        <w:t xml:space="preserve">or alternatively via email at </w:t>
      </w:r>
      <w:hyperlink r:id="rId13" w:history="1">
        <w:r w:rsidR="006719A6" w:rsidRPr="009C7E50">
          <w:rPr>
            <w:rStyle w:val="Hyperlink"/>
            <w:rFonts w:ascii="Arial" w:hAnsi="Arial" w:cs="Arial"/>
            <w:sz w:val="20"/>
            <w:szCs w:val="20"/>
            <w:lang w:val="en-GB"/>
          </w:rPr>
          <w:t>andrewb@qrc.org.au</w:t>
        </w:r>
      </w:hyperlink>
      <w:r w:rsidR="00AC1C98">
        <w:rPr>
          <w:rFonts w:ascii="Arial" w:hAnsi="Arial" w:cs="Arial"/>
          <w:sz w:val="20"/>
          <w:szCs w:val="20"/>
          <w:lang w:val="en-GB"/>
        </w:rPr>
        <w:t xml:space="preserve"> </w:t>
      </w:r>
    </w:p>
    <w:p w:rsidR="00206E73" w:rsidRDefault="00206E73" w:rsidP="00071327">
      <w:pPr>
        <w:pStyle w:val="List"/>
        <w:spacing w:line="260" w:lineRule="atLeast"/>
        <w:ind w:left="0" w:firstLine="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70436B" w:rsidTr="00CF7A0B">
        <w:tc>
          <w:tcPr>
            <w:tcW w:w="4379" w:type="dxa"/>
          </w:tcPr>
          <w:p w:rsidR="0070436B" w:rsidRPr="0070436B" w:rsidRDefault="0070436B" w:rsidP="0070436B">
            <w:pPr>
              <w:spacing w:line="260" w:lineRule="atLeast"/>
              <w:rPr>
                <w:rFonts w:ascii="Arial" w:hAnsi="Arial" w:cs="Arial"/>
                <w:sz w:val="20"/>
              </w:rPr>
            </w:pPr>
            <w:r w:rsidRPr="0070436B">
              <w:rPr>
                <w:rFonts w:ascii="Arial" w:hAnsi="Arial" w:cs="Arial"/>
                <w:sz w:val="20"/>
              </w:rPr>
              <w:t>Yours sincerely</w:t>
            </w:r>
          </w:p>
          <w:p w:rsidR="0070436B" w:rsidRPr="0070436B" w:rsidRDefault="0070436B" w:rsidP="0070436B">
            <w:pPr>
              <w:pStyle w:val="List"/>
              <w:spacing w:line="260" w:lineRule="atLeast"/>
              <w:ind w:left="0" w:firstLine="0"/>
              <w:rPr>
                <w:rFonts w:ascii="Arial" w:hAnsi="Arial" w:cs="Arial"/>
                <w:sz w:val="20"/>
                <w:szCs w:val="20"/>
                <w:lang w:val="en-GB"/>
              </w:rPr>
            </w:pPr>
          </w:p>
          <w:p w:rsidR="0070436B" w:rsidRPr="0070436B" w:rsidRDefault="0070436B" w:rsidP="0070436B">
            <w:pPr>
              <w:pStyle w:val="List"/>
              <w:spacing w:line="260" w:lineRule="atLeast"/>
              <w:ind w:left="0" w:firstLine="0"/>
              <w:rPr>
                <w:rFonts w:ascii="Arial" w:hAnsi="Arial" w:cs="Arial"/>
                <w:sz w:val="20"/>
                <w:szCs w:val="20"/>
                <w:lang w:val="en-GB"/>
              </w:rPr>
            </w:pPr>
          </w:p>
          <w:p w:rsidR="0070436B" w:rsidRPr="0070436B" w:rsidRDefault="0070436B" w:rsidP="0070436B">
            <w:pPr>
              <w:pStyle w:val="List"/>
              <w:spacing w:line="260" w:lineRule="atLeast"/>
              <w:ind w:left="0" w:firstLine="0"/>
              <w:rPr>
                <w:rFonts w:ascii="Arial" w:hAnsi="Arial" w:cs="Arial"/>
                <w:sz w:val="20"/>
                <w:szCs w:val="20"/>
                <w:lang w:val="en-GB"/>
              </w:rPr>
            </w:pPr>
          </w:p>
          <w:p w:rsidR="0070436B" w:rsidRPr="0070436B" w:rsidRDefault="0070436B" w:rsidP="0070436B">
            <w:pPr>
              <w:pStyle w:val="List"/>
              <w:spacing w:line="260" w:lineRule="atLeast"/>
              <w:ind w:left="0" w:firstLine="0"/>
              <w:rPr>
                <w:rFonts w:ascii="Arial" w:hAnsi="Arial" w:cs="Arial"/>
                <w:sz w:val="20"/>
                <w:szCs w:val="20"/>
                <w:lang w:val="en-GB"/>
              </w:rPr>
            </w:pPr>
            <w:r w:rsidRPr="0070436B">
              <w:rPr>
                <w:rFonts w:ascii="Arial" w:hAnsi="Arial" w:cs="Arial"/>
                <w:sz w:val="20"/>
                <w:szCs w:val="20"/>
                <w:lang w:val="en-GB"/>
              </w:rPr>
              <w:t>Michael Roche</w:t>
            </w:r>
          </w:p>
          <w:p w:rsidR="0070436B" w:rsidRPr="0070436B" w:rsidRDefault="0070436B" w:rsidP="0070436B">
            <w:pPr>
              <w:pStyle w:val="List"/>
              <w:spacing w:line="260" w:lineRule="atLeast"/>
              <w:ind w:left="0" w:firstLine="0"/>
              <w:rPr>
                <w:rFonts w:ascii="Arial" w:hAnsi="Arial" w:cs="Arial"/>
                <w:b/>
                <w:sz w:val="20"/>
                <w:szCs w:val="20"/>
                <w:lang w:val="en-GB"/>
              </w:rPr>
            </w:pPr>
            <w:r w:rsidRPr="0070436B">
              <w:rPr>
                <w:rFonts w:ascii="Arial" w:hAnsi="Arial" w:cs="Arial"/>
                <w:b/>
                <w:sz w:val="20"/>
                <w:szCs w:val="20"/>
                <w:lang w:val="en-GB"/>
              </w:rPr>
              <w:t>Chief Executive</w:t>
            </w:r>
          </w:p>
          <w:p w:rsidR="0070436B" w:rsidRDefault="0070436B"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Queensland Resources Council</w:t>
            </w:r>
          </w:p>
        </w:tc>
        <w:tc>
          <w:tcPr>
            <w:tcW w:w="4379" w:type="dxa"/>
          </w:tcPr>
          <w:p w:rsidR="0070436B" w:rsidRPr="0070436B" w:rsidRDefault="0070436B" w:rsidP="0070436B">
            <w:pPr>
              <w:spacing w:line="260" w:lineRule="atLeast"/>
              <w:rPr>
                <w:rFonts w:ascii="Arial" w:hAnsi="Arial" w:cs="Arial"/>
                <w:sz w:val="20"/>
              </w:rPr>
            </w:pPr>
            <w:r w:rsidRPr="0070436B">
              <w:rPr>
                <w:rFonts w:ascii="Arial" w:hAnsi="Arial" w:cs="Arial"/>
                <w:sz w:val="20"/>
              </w:rPr>
              <w:t>Yours sincerely</w:t>
            </w:r>
          </w:p>
          <w:p w:rsidR="0070436B" w:rsidRPr="0070436B" w:rsidRDefault="0070436B" w:rsidP="0070436B">
            <w:pPr>
              <w:pStyle w:val="List"/>
              <w:spacing w:line="260" w:lineRule="atLeast"/>
              <w:ind w:left="0" w:firstLine="0"/>
              <w:rPr>
                <w:rFonts w:ascii="Arial" w:hAnsi="Arial" w:cs="Arial"/>
                <w:sz w:val="20"/>
                <w:szCs w:val="20"/>
                <w:lang w:val="en-GB"/>
              </w:rPr>
            </w:pPr>
          </w:p>
          <w:p w:rsidR="0070436B" w:rsidRPr="0070436B" w:rsidRDefault="0070436B" w:rsidP="0070436B">
            <w:pPr>
              <w:pStyle w:val="List"/>
              <w:spacing w:line="260" w:lineRule="atLeast"/>
              <w:ind w:left="0" w:firstLine="0"/>
              <w:rPr>
                <w:rFonts w:ascii="Arial" w:hAnsi="Arial" w:cs="Arial"/>
                <w:sz w:val="20"/>
                <w:szCs w:val="20"/>
                <w:lang w:val="en-GB"/>
              </w:rPr>
            </w:pPr>
          </w:p>
          <w:p w:rsidR="0070436B" w:rsidRPr="0070436B" w:rsidRDefault="0070436B" w:rsidP="0070436B">
            <w:pPr>
              <w:pStyle w:val="List"/>
              <w:spacing w:line="260" w:lineRule="atLeast"/>
              <w:ind w:left="0" w:firstLine="0"/>
              <w:rPr>
                <w:rFonts w:ascii="Arial" w:hAnsi="Arial" w:cs="Arial"/>
                <w:sz w:val="20"/>
                <w:szCs w:val="20"/>
                <w:lang w:val="en-GB"/>
              </w:rPr>
            </w:pPr>
          </w:p>
          <w:p w:rsidR="0070436B" w:rsidRPr="0070436B" w:rsidRDefault="0070436B" w:rsidP="0070436B">
            <w:pPr>
              <w:pStyle w:val="List"/>
              <w:spacing w:line="260" w:lineRule="atLeast"/>
              <w:ind w:left="0" w:firstLine="0"/>
              <w:rPr>
                <w:rFonts w:ascii="Arial" w:hAnsi="Arial" w:cs="Arial"/>
                <w:sz w:val="20"/>
                <w:szCs w:val="20"/>
                <w:lang w:val="en-GB"/>
              </w:rPr>
            </w:pPr>
            <w:r>
              <w:rPr>
                <w:rFonts w:ascii="Arial" w:hAnsi="Arial" w:cs="Arial"/>
                <w:sz w:val="20"/>
                <w:szCs w:val="20"/>
                <w:lang w:val="en-GB"/>
              </w:rPr>
              <w:t>Dr Geoff Dickie</w:t>
            </w:r>
          </w:p>
          <w:p w:rsidR="0070436B" w:rsidRPr="0070436B" w:rsidRDefault="0070436B" w:rsidP="0070436B">
            <w:pPr>
              <w:pStyle w:val="List"/>
              <w:spacing w:line="260" w:lineRule="atLeast"/>
              <w:ind w:left="0" w:firstLine="0"/>
              <w:rPr>
                <w:rFonts w:ascii="Arial" w:hAnsi="Arial" w:cs="Arial"/>
                <w:b/>
                <w:sz w:val="20"/>
                <w:szCs w:val="20"/>
                <w:lang w:val="en-GB"/>
              </w:rPr>
            </w:pPr>
            <w:r>
              <w:rPr>
                <w:rFonts w:ascii="Arial" w:hAnsi="Arial" w:cs="Arial"/>
                <w:b/>
                <w:sz w:val="20"/>
                <w:szCs w:val="20"/>
                <w:lang w:val="en-GB"/>
              </w:rPr>
              <w:t>Chair</w:t>
            </w:r>
          </w:p>
          <w:p w:rsidR="0070436B" w:rsidRDefault="0070436B" w:rsidP="00071327">
            <w:pPr>
              <w:pStyle w:val="List"/>
              <w:spacing w:line="260" w:lineRule="atLeast"/>
              <w:ind w:left="0" w:firstLine="0"/>
              <w:rPr>
                <w:rFonts w:ascii="Arial" w:hAnsi="Arial" w:cs="Arial"/>
                <w:sz w:val="20"/>
                <w:szCs w:val="20"/>
                <w:lang w:val="en-GB"/>
              </w:rPr>
            </w:pPr>
            <w:r>
              <w:rPr>
                <w:rFonts w:ascii="Arial" w:hAnsi="Arial" w:cs="Arial"/>
                <w:sz w:val="20"/>
                <w:szCs w:val="20"/>
                <w:lang w:val="en-GB"/>
              </w:rPr>
              <w:t>Queensland Exploration Council</w:t>
            </w:r>
          </w:p>
        </w:tc>
      </w:tr>
    </w:tbl>
    <w:p w:rsidR="00206E73" w:rsidRDefault="00206E73" w:rsidP="005B174E">
      <w:pPr>
        <w:pStyle w:val="List"/>
        <w:spacing w:line="260" w:lineRule="atLeast"/>
        <w:ind w:left="0" w:firstLine="0"/>
        <w:rPr>
          <w:rFonts w:ascii="Arial" w:hAnsi="Arial" w:cs="Arial"/>
          <w:b/>
          <w:sz w:val="20"/>
          <w:szCs w:val="20"/>
          <w:lang w:val="en-GB"/>
        </w:rPr>
      </w:pPr>
    </w:p>
    <w:p w:rsidR="0084273A" w:rsidRDefault="0084273A" w:rsidP="005B174E">
      <w:pPr>
        <w:pStyle w:val="List"/>
        <w:spacing w:line="260" w:lineRule="atLeast"/>
        <w:ind w:left="0" w:firstLine="0"/>
        <w:rPr>
          <w:rFonts w:ascii="Arial" w:hAnsi="Arial" w:cs="Arial"/>
          <w:b/>
          <w:sz w:val="20"/>
          <w:szCs w:val="20"/>
          <w:lang w:val="en-GB"/>
        </w:rPr>
      </w:pPr>
    </w:p>
    <w:p w:rsidR="0084273A" w:rsidRDefault="0084273A" w:rsidP="005B174E">
      <w:pPr>
        <w:pStyle w:val="List"/>
        <w:spacing w:line="260" w:lineRule="atLeast"/>
        <w:ind w:left="0" w:firstLine="0"/>
        <w:rPr>
          <w:rFonts w:ascii="Arial" w:hAnsi="Arial" w:cs="Arial"/>
          <w:sz w:val="20"/>
          <w:szCs w:val="20"/>
          <w:lang w:val="en-GB"/>
        </w:rPr>
      </w:pPr>
      <w:r w:rsidRPr="0084273A">
        <w:rPr>
          <w:rFonts w:ascii="Arial" w:hAnsi="Arial" w:cs="Arial"/>
          <w:sz w:val="20"/>
          <w:szCs w:val="20"/>
          <w:lang w:val="en-GB"/>
        </w:rPr>
        <w:t>List of full hyperlinks in document</w:t>
      </w:r>
    </w:p>
    <w:p w:rsidR="0084273A" w:rsidRDefault="0084273A" w:rsidP="00860A8A">
      <w:pPr>
        <w:pStyle w:val="List"/>
        <w:numPr>
          <w:ilvl w:val="0"/>
          <w:numId w:val="26"/>
        </w:numPr>
        <w:tabs>
          <w:tab w:val="left" w:pos="567"/>
        </w:tabs>
        <w:spacing w:before="120" w:line="260" w:lineRule="atLeast"/>
        <w:ind w:left="567" w:hanging="567"/>
        <w:rPr>
          <w:rFonts w:ascii="Arial" w:hAnsi="Arial" w:cs="Arial"/>
          <w:sz w:val="20"/>
          <w:szCs w:val="20"/>
          <w:lang w:val="en-GB"/>
        </w:rPr>
      </w:pPr>
      <w:r>
        <w:rPr>
          <w:rFonts w:ascii="Arial" w:hAnsi="Arial" w:cs="Arial"/>
          <w:sz w:val="20"/>
          <w:szCs w:val="20"/>
          <w:lang w:val="en-GB"/>
        </w:rPr>
        <w:t xml:space="preserve">QEC Exploration Scorecard 2012 – please see </w:t>
      </w:r>
      <w:hyperlink r:id="rId14" w:history="1">
        <w:r w:rsidRPr="00E23D11">
          <w:rPr>
            <w:rStyle w:val="Hyperlink"/>
            <w:rFonts w:ascii="Arial" w:hAnsi="Arial" w:cs="Arial"/>
            <w:sz w:val="20"/>
            <w:szCs w:val="20"/>
            <w:lang w:val="en-GB"/>
          </w:rPr>
          <w:t>http://www.queenslandexploration.com.au/wp-content/uploads/2011/05/QEC-Exploration-Scorecard-2012-Final.pdf</w:t>
        </w:r>
      </w:hyperlink>
    </w:p>
    <w:p w:rsidR="00F73DB9" w:rsidRDefault="00F73DB9" w:rsidP="00860A8A">
      <w:pPr>
        <w:pStyle w:val="List"/>
        <w:numPr>
          <w:ilvl w:val="0"/>
          <w:numId w:val="26"/>
        </w:numPr>
        <w:tabs>
          <w:tab w:val="left" w:pos="567"/>
        </w:tabs>
        <w:spacing w:before="120" w:line="260" w:lineRule="atLeast"/>
        <w:ind w:left="567" w:hanging="567"/>
        <w:rPr>
          <w:rFonts w:ascii="Arial" w:hAnsi="Arial" w:cs="Arial"/>
          <w:sz w:val="20"/>
          <w:szCs w:val="20"/>
          <w:lang w:val="en-GB"/>
        </w:rPr>
      </w:pPr>
      <w:r>
        <w:rPr>
          <w:rFonts w:ascii="Arial" w:hAnsi="Arial" w:cs="Arial"/>
          <w:sz w:val="20"/>
          <w:szCs w:val="20"/>
          <w:lang w:val="en-GB"/>
        </w:rPr>
        <w:t xml:space="preserve">Centre for International Economics, </w:t>
      </w:r>
      <w:r w:rsidRPr="00F73DB9">
        <w:rPr>
          <w:rFonts w:ascii="Arial" w:hAnsi="Arial" w:cs="Arial"/>
          <w:i/>
          <w:sz w:val="20"/>
          <w:szCs w:val="20"/>
          <w:lang w:val="en-GB"/>
        </w:rPr>
        <w:t>Prioritisation of Regulatory Reforms</w:t>
      </w:r>
      <w:r>
        <w:rPr>
          <w:rFonts w:ascii="Arial" w:hAnsi="Arial" w:cs="Arial"/>
          <w:sz w:val="20"/>
          <w:szCs w:val="20"/>
          <w:lang w:val="en-GB"/>
        </w:rPr>
        <w:t xml:space="preserve">, October 2012 for the Queensland Office of Best Practice Regulation </w:t>
      </w:r>
      <w:hyperlink r:id="rId15" w:history="1">
        <w:r w:rsidRPr="00E23D11">
          <w:rPr>
            <w:rStyle w:val="Hyperlink"/>
            <w:rFonts w:ascii="Arial" w:hAnsi="Arial" w:cs="Arial"/>
            <w:sz w:val="20"/>
            <w:szCs w:val="20"/>
            <w:lang w:val="en-GB"/>
          </w:rPr>
          <w:t>http://www.qca.org.au/files/OBPR-CIE-FinalReport-InterimMRBurdenofRegulation-1112.pdf</w:t>
        </w:r>
      </w:hyperlink>
    </w:p>
    <w:p w:rsidR="0084273A" w:rsidRPr="00CF1B72" w:rsidRDefault="00D252C0" w:rsidP="00860A8A">
      <w:pPr>
        <w:pStyle w:val="List"/>
        <w:numPr>
          <w:ilvl w:val="0"/>
          <w:numId w:val="26"/>
        </w:numPr>
        <w:tabs>
          <w:tab w:val="left" w:pos="567"/>
        </w:tabs>
        <w:spacing w:before="120" w:line="260" w:lineRule="atLeast"/>
        <w:ind w:left="567" w:hanging="567"/>
        <w:rPr>
          <w:rFonts w:ascii="Arial" w:hAnsi="Arial" w:cs="Arial"/>
          <w:sz w:val="20"/>
          <w:szCs w:val="20"/>
          <w:lang w:val="en-GB"/>
        </w:rPr>
      </w:pPr>
      <w:r w:rsidRPr="00CF1B72">
        <w:rPr>
          <w:rFonts w:ascii="Arial" w:hAnsi="Arial" w:cs="Arial"/>
          <w:i/>
          <w:sz w:val="20"/>
          <w:szCs w:val="20"/>
          <w:lang w:val="en-GB"/>
        </w:rPr>
        <w:t>Searching the Deep Earth</w:t>
      </w:r>
      <w:r w:rsidRPr="00CF1B72">
        <w:rPr>
          <w:rFonts w:ascii="Arial" w:hAnsi="Arial" w:cs="Arial"/>
          <w:sz w:val="20"/>
          <w:szCs w:val="20"/>
          <w:lang w:val="en-GB"/>
        </w:rPr>
        <w:t xml:space="preserve">, A vision for exploration geoscience in Australia, </w:t>
      </w:r>
      <w:r w:rsidR="00CF1B72" w:rsidRPr="00CF1B72">
        <w:rPr>
          <w:rFonts w:ascii="Arial" w:hAnsi="Arial" w:cs="Arial"/>
          <w:sz w:val="20"/>
          <w:szCs w:val="20"/>
          <w:lang w:val="en-GB"/>
        </w:rPr>
        <w:t>Academy</w:t>
      </w:r>
      <w:r w:rsidRPr="00CF1B72">
        <w:rPr>
          <w:rFonts w:ascii="Arial" w:hAnsi="Arial" w:cs="Arial"/>
          <w:sz w:val="20"/>
          <w:szCs w:val="20"/>
          <w:lang w:val="en-GB"/>
        </w:rPr>
        <w:t xml:space="preserve"> of Science 2012</w:t>
      </w:r>
      <w:r w:rsidR="00CF1B72" w:rsidRPr="00CF1B72">
        <w:rPr>
          <w:rFonts w:ascii="Arial" w:hAnsi="Arial" w:cs="Arial"/>
          <w:sz w:val="20"/>
          <w:szCs w:val="20"/>
          <w:lang w:val="en-GB"/>
        </w:rPr>
        <w:t xml:space="preserve"> </w:t>
      </w:r>
      <w:hyperlink r:id="rId16" w:history="1">
        <w:r w:rsidRPr="00CF1B72">
          <w:rPr>
            <w:rStyle w:val="Hyperlink"/>
            <w:rFonts w:ascii="Arial" w:hAnsi="Arial" w:cs="Arial"/>
            <w:sz w:val="20"/>
            <w:szCs w:val="20"/>
            <w:lang w:val="en-GB"/>
          </w:rPr>
          <w:t>http://www.science.org.au/policy/documents/uncover-report.pdf</w:t>
        </w:r>
      </w:hyperlink>
    </w:p>
    <w:p w:rsidR="00D252C0" w:rsidRPr="0084273A" w:rsidRDefault="00D252C0" w:rsidP="005B174E">
      <w:pPr>
        <w:pStyle w:val="List"/>
        <w:spacing w:line="260" w:lineRule="atLeast"/>
        <w:ind w:left="0" w:firstLine="0"/>
        <w:rPr>
          <w:rFonts w:ascii="Arial" w:hAnsi="Arial" w:cs="Arial"/>
          <w:sz w:val="20"/>
          <w:szCs w:val="20"/>
          <w:lang w:val="en-GB"/>
        </w:rPr>
      </w:pPr>
    </w:p>
    <w:sectPr w:rsidR="00D252C0" w:rsidRPr="0084273A" w:rsidSect="0068656E">
      <w:footerReference w:type="default" r:id="rId17"/>
      <w:headerReference w:type="first" r:id="rId18"/>
      <w:footerReference w:type="first" r:id="rId19"/>
      <w:pgSz w:w="11899" w:h="16838" w:code="9"/>
      <w:pgMar w:top="1985" w:right="1939" w:bottom="1843"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0C0" w:rsidRDefault="002A60C0">
      <w:r>
        <w:separator/>
      </w:r>
    </w:p>
  </w:endnote>
  <w:endnote w:type="continuationSeparator" w:id="0">
    <w:p w:rsidR="002A60C0" w:rsidRDefault="002A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DINMittelschrift">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C0" w:rsidRDefault="00791685">
    <w:pPr>
      <w:pStyle w:val="Footer"/>
      <w:tabs>
        <w:tab w:val="clear" w:pos="4320"/>
        <w:tab w:val="clear" w:pos="8640"/>
        <w:tab w:val="left" w:pos="3510"/>
      </w:tabs>
    </w:pPr>
    <w:r>
      <w:rPr>
        <w:noProof/>
        <w:lang w:eastAsia="en-AU"/>
      </w:rPr>
      <w:drawing>
        <wp:anchor distT="0" distB="0" distL="114300" distR="114300" simplePos="0" relativeHeight="251658240" behindDoc="1" locked="1" layoutInCell="1" allowOverlap="1">
          <wp:simplePos x="0" y="0"/>
          <wp:positionH relativeFrom="column">
            <wp:posOffset>3723005</wp:posOffset>
          </wp:positionH>
          <wp:positionV relativeFrom="page">
            <wp:posOffset>9603740</wp:posOffset>
          </wp:positionV>
          <wp:extent cx="2731770" cy="822960"/>
          <wp:effectExtent l="0" t="0" r="0" b="0"/>
          <wp:wrapNone/>
          <wp:docPr id="3" name="Picture 2" descr="QRC addre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C addre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1770" cy="822960"/>
                  </a:xfrm>
                  <a:prstGeom prst="rect">
                    <a:avLst/>
                  </a:prstGeom>
                  <a:noFill/>
                </pic:spPr>
              </pic:pic>
            </a:graphicData>
          </a:graphic>
          <wp14:sizeRelH relativeFrom="page">
            <wp14:pctWidth>0</wp14:pctWidth>
          </wp14:sizeRelH>
          <wp14:sizeRelV relativeFrom="page">
            <wp14:pctHeight>0</wp14:pctHeight>
          </wp14:sizeRelV>
        </wp:anchor>
      </w:drawing>
    </w:r>
    <w:r w:rsidR="002A60C0">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C0" w:rsidRPr="00282CAE" w:rsidRDefault="00791685">
    <w:pPr>
      <w:pStyle w:val="Footer"/>
      <w:rPr>
        <w:rFonts w:ascii="DINMittelschrift" w:hAnsi="DINMittelschrift"/>
        <w:sz w:val="20"/>
      </w:rPr>
    </w:pPr>
    <w:r>
      <w:rPr>
        <w:rFonts w:ascii="DINMittelschrift" w:hAnsi="DINMittelschrift"/>
        <w:noProof/>
        <w:sz w:val="20"/>
        <w:lang w:eastAsia="en-AU"/>
      </w:rPr>
      <w:drawing>
        <wp:anchor distT="0" distB="0" distL="114300" distR="114300" simplePos="0" relativeHeight="251657216" behindDoc="1" locked="1" layoutInCell="1" allowOverlap="1">
          <wp:simplePos x="0" y="0"/>
          <wp:positionH relativeFrom="column">
            <wp:posOffset>3723005</wp:posOffset>
          </wp:positionH>
          <wp:positionV relativeFrom="page">
            <wp:posOffset>9603740</wp:posOffset>
          </wp:positionV>
          <wp:extent cx="2731770" cy="822960"/>
          <wp:effectExtent l="0" t="0" r="0" b="0"/>
          <wp:wrapNone/>
          <wp:docPr id="2" name="Picture 1" descr="QRC addre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 addre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1770" cy="822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0C0" w:rsidRDefault="002A60C0">
      <w:r>
        <w:separator/>
      </w:r>
    </w:p>
  </w:footnote>
  <w:footnote w:type="continuationSeparator" w:id="0">
    <w:p w:rsidR="002A60C0" w:rsidRDefault="002A6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C0" w:rsidRPr="00282CAE" w:rsidRDefault="002A60C0" w:rsidP="00206E73">
    <w:pPr>
      <w:tabs>
        <w:tab w:val="left" w:pos="2475"/>
      </w:tabs>
      <w:ind w:right="682"/>
      <w:rPr>
        <w:rFonts w:ascii="DINMittelschrift" w:hAnsi="DINMittelschrift" w:cs="Arial"/>
        <w:color w:val="808080"/>
        <w:sz w:val="20"/>
      </w:rPr>
    </w:pPr>
  </w:p>
  <w:p w:rsidR="002A60C0" w:rsidRPr="00282CAE" w:rsidRDefault="00791685" w:rsidP="00206E73">
    <w:pPr>
      <w:ind w:right="-698"/>
      <w:jc w:val="right"/>
      <w:rPr>
        <w:rFonts w:ascii="DINMittelschrift" w:hAnsi="DINMittelschrift" w:cs="Arial"/>
        <w:color w:val="808080"/>
        <w:sz w:val="20"/>
      </w:rPr>
    </w:pPr>
    <w:r>
      <w:rPr>
        <w:rFonts w:ascii="DINMittelschrift" w:hAnsi="DINMittelschrift"/>
        <w:noProof/>
        <w:sz w:val="20"/>
        <w:lang w:eastAsia="en-AU"/>
      </w:rPr>
      <w:drawing>
        <wp:inline distT="0" distB="0" distL="0" distR="0">
          <wp:extent cx="1790700" cy="1390650"/>
          <wp:effectExtent l="0" t="0" r="0" b="0"/>
          <wp:docPr id="1" name="Picture 1" descr="QRC logo SPOT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 logo SPOT_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390650"/>
                  </a:xfrm>
                  <a:prstGeom prst="rect">
                    <a:avLst/>
                  </a:prstGeom>
                  <a:noFill/>
                  <a:ln>
                    <a:noFill/>
                  </a:ln>
                </pic:spPr>
              </pic:pic>
            </a:graphicData>
          </a:graphic>
        </wp:inline>
      </w:drawing>
    </w:r>
  </w:p>
  <w:p w:rsidR="002A60C0" w:rsidRPr="00282CAE" w:rsidRDefault="002A60C0" w:rsidP="00B87F47">
    <w:pPr>
      <w:jc w:val="right"/>
      <w:rPr>
        <w:rFonts w:ascii="DINMittelschrift" w:hAnsi="DINMittelschrift" w:cs="Arial"/>
        <w:color w:val="808080"/>
        <w:sz w:val="20"/>
      </w:rPr>
    </w:pPr>
  </w:p>
  <w:p w:rsidR="002A60C0" w:rsidRPr="00282CAE" w:rsidRDefault="002A60C0" w:rsidP="00B87F47">
    <w:pPr>
      <w:jc w:val="right"/>
      <w:rPr>
        <w:rFonts w:ascii="DINMittelschrift" w:hAnsi="DINMittelschrift" w:cs="Arial"/>
        <w:color w:val="808080"/>
        <w:sz w:val="20"/>
      </w:rPr>
    </w:pPr>
  </w:p>
  <w:p w:rsidR="002A60C0" w:rsidRPr="00282CAE" w:rsidRDefault="002A60C0">
    <w:pPr>
      <w:pStyle w:val="Header"/>
      <w:rPr>
        <w:rFonts w:ascii="DINMittelschrift" w:hAnsi="DINMittelschrift"/>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5045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B242F"/>
    <w:multiLevelType w:val="hybridMultilevel"/>
    <w:tmpl w:val="3FA630E8"/>
    <w:lvl w:ilvl="0" w:tplc="C7F81D1C">
      <w:start w:val="5"/>
      <w:numFmt w:val="decimal"/>
      <w:lvlText w:val="%1"/>
      <w:lvlJc w:val="left"/>
      <w:pPr>
        <w:tabs>
          <w:tab w:val="num" w:pos="420"/>
        </w:tabs>
        <w:ind w:left="420" w:hanging="4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nsid w:val="072A778B"/>
    <w:multiLevelType w:val="hybridMultilevel"/>
    <w:tmpl w:val="C7AC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480802"/>
    <w:multiLevelType w:val="hybridMultilevel"/>
    <w:tmpl w:val="A5986970"/>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4">
    <w:nsid w:val="0CE25D8F"/>
    <w:multiLevelType w:val="multilevel"/>
    <w:tmpl w:val="0F5A47A4"/>
    <w:lvl w:ilvl="0">
      <w:start w:val="1"/>
      <w:numFmt w:val="decimal"/>
      <w:lvlText w:val="%1"/>
      <w:lvlJc w:val="left"/>
      <w:pPr>
        <w:tabs>
          <w:tab w:val="num" w:pos="360"/>
        </w:tabs>
        <w:ind w:left="360" w:hanging="360"/>
      </w:pPr>
      <w:rPr>
        <w:rFonts w:ascii="Arial" w:hAnsi="Arial" w:hint="default"/>
        <w:b/>
        <w:i w:val="0"/>
        <w:sz w:val="19"/>
      </w:rPr>
    </w:lvl>
    <w:lvl w:ilvl="1">
      <w:start w:val="1"/>
      <w:numFmt w:val="decimal"/>
      <w:lvlText w:val="%1.%2"/>
      <w:lvlJc w:val="left"/>
      <w:pPr>
        <w:tabs>
          <w:tab w:val="num" w:pos="981"/>
        </w:tabs>
        <w:ind w:left="981" w:hanging="621"/>
      </w:pPr>
      <w:rPr>
        <w:rFonts w:ascii="Arial" w:hAnsi="Arial" w:hint="default"/>
        <w:b/>
        <w:i w:val="0"/>
        <w:sz w:val="19"/>
      </w:rPr>
    </w:lvl>
    <w:lvl w:ilvl="2">
      <w:start w:val="1"/>
      <w:numFmt w:val="decimal"/>
      <w:lvlText w:val="%1.%2.%3"/>
      <w:lvlJc w:val="left"/>
      <w:pPr>
        <w:tabs>
          <w:tab w:val="num" w:pos="1718"/>
        </w:tabs>
        <w:ind w:left="1718" w:hanging="737"/>
      </w:pPr>
      <w:rPr>
        <w:rFonts w:ascii="Arial" w:hAnsi="Arial" w:hint="default"/>
        <w:b w:val="0"/>
        <w:i w:val="0"/>
        <w:sz w:val="19"/>
      </w:rPr>
    </w:lvl>
    <w:lvl w:ilvl="3">
      <w:start w:val="1"/>
      <w:numFmt w:val="decimal"/>
      <w:lvlText w:val="%1.%2.%3.%4"/>
      <w:lvlJc w:val="left"/>
      <w:pPr>
        <w:tabs>
          <w:tab w:val="num" w:pos="1728"/>
        </w:tabs>
        <w:ind w:left="1728" w:hanging="648"/>
      </w:pPr>
      <w:rPr>
        <w:rFonts w:ascii="Arial" w:hAnsi="Arial" w:hint="default"/>
        <w:b w:val="0"/>
        <w:i w:val="0"/>
        <w:sz w:val="19"/>
      </w:rPr>
    </w:lvl>
    <w:lvl w:ilvl="4">
      <w:start w:val="1"/>
      <w:numFmt w:val="decimal"/>
      <w:lvlText w:val="%1.%2.%3.%4.%5"/>
      <w:lvlJc w:val="left"/>
      <w:pPr>
        <w:tabs>
          <w:tab w:val="num" w:pos="2232"/>
        </w:tabs>
        <w:ind w:left="2232" w:hanging="792"/>
      </w:pPr>
      <w:rPr>
        <w:rFonts w:ascii="Arial" w:hAnsi="Arial" w:hint="default"/>
        <w:b w:val="0"/>
        <w:i w:val="0"/>
        <w:sz w:val="19"/>
      </w:rPr>
    </w:lvl>
    <w:lvl w:ilvl="5">
      <w:start w:val="1"/>
      <w:numFmt w:val="decimal"/>
      <w:lvlText w:val="%1.%2.%3.%4.%5.%6"/>
      <w:lvlJc w:val="left"/>
      <w:pPr>
        <w:tabs>
          <w:tab w:val="num" w:pos="2736"/>
        </w:tabs>
        <w:ind w:left="2736" w:hanging="936"/>
      </w:pPr>
      <w:rPr>
        <w:rFonts w:ascii="Arial" w:hAnsi="Arial" w:hint="default"/>
        <w:b w:val="0"/>
        <w:i w:val="0"/>
        <w:sz w:val="19"/>
      </w:rPr>
    </w:lvl>
    <w:lvl w:ilvl="6">
      <w:start w:val="1"/>
      <w:numFmt w:val="decimal"/>
      <w:lvlText w:val="%1.%2.%3.%4.%5.%6.%7"/>
      <w:lvlJc w:val="left"/>
      <w:pPr>
        <w:tabs>
          <w:tab w:val="num" w:pos="3240"/>
        </w:tabs>
        <w:ind w:left="3240" w:hanging="1080"/>
      </w:pPr>
      <w:rPr>
        <w:rFonts w:ascii="Arial" w:hAnsi="Arial" w:hint="default"/>
        <w:b w:val="0"/>
        <w:i w:val="0"/>
        <w:sz w:val="19"/>
      </w:rPr>
    </w:lvl>
    <w:lvl w:ilvl="7">
      <w:start w:val="1"/>
      <w:numFmt w:val="decimal"/>
      <w:lvlText w:val="%1.%2.%3.%4.%5.%6.%7.%8"/>
      <w:lvlJc w:val="left"/>
      <w:pPr>
        <w:tabs>
          <w:tab w:val="num" w:pos="3744"/>
        </w:tabs>
        <w:ind w:left="3744" w:hanging="1224"/>
      </w:pPr>
      <w:rPr>
        <w:rFonts w:ascii="Arial" w:hAnsi="Arial" w:hint="default"/>
        <w:b w:val="0"/>
        <w:i w:val="0"/>
        <w:sz w:val="19"/>
      </w:rPr>
    </w:lvl>
    <w:lvl w:ilvl="8">
      <w:start w:val="1"/>
      <w:numFmt w:val="decimal"/>
      <w:lvlText w:val="%1.%2.%3.%4.%5.%6.%7.%8.%9"/>
      <w:lvlJc w:val="left"/>
      <w:pPr>
        <w:tabs>
          <w:tab w:val="num" w:pos="4320"/>
        </w:tabs>
        <w:ind w:left="4320" w:hanging="1440"/>
      </w:pPr>
      <w:rPr>
        <w:rFonts w:ascii="Arial" w:hAnsi="Arial" w:hint="default"/>
        <w:b w:val="0"/>
        <w:i w:val="0"/>
        <w:sz w:val="19"/>
      </w:rPr>
    </w:lvl>
  </w:abstractNum>
  <w:abstractNum w:abstractNumId="5">
    <w:nsid w:val="0CFD7498"/>
    <w:multiLevelType w:val="hybridMultilevel"/>
    <w:tmpl w:val="BCBACD60"/>
    <w:lvl w:ilvl="0" w:tplc="51163552">
      <w:start w:val="3"/>
      <w:numFmt w:val="decimal"/>
      <w:lvlText w:val="%1."/>
      <w:lvlJc w:val="left"/>
      <w:pPr>
        <w:tabs>
          <w:tab w:val="num" w:pos="360"/>
        </w:tabs>
        <w:ind w:left="360" w:hanging="360"/>
      </w:pPr>
      <w:rPr>
        <w:rFonts w:hint="default"/>
        <w:b/>
        <w:i w:val="0"/>
      </w:rPr>
    </w:lvl>
    <w:lvl w:ilvl="1" w:tplc="0C090003">
      <w:start w:val="1"/>
      <w:numFmt w:val="bullet"/>
      <w:lvlText w:val="o"/>
      <w:lvlJc w:val="left"/>
      <w:pPr>
        <w:tabs>
          <w:tab w:val="num" w:pos="1440"/>
        </w:tabs>
        <w:ind w:left="1440" w:hanging="360"/>
      </w:pPr>
      <w:rPr>
        <w:rFonts w:ascii="Courier New" w:hAnsi="Courier New" w:cs="Courier New" w:hint="default"/>
        <w:b/>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7B7012E"/>
    <w:multiLevelType w:val="multilevel"/>
    <w:tmpl w:val="E3DA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9D3564"/>
    <w:multiLevelType w:val="hybridMultilevel"/>
    <w:tmpl w:val="E05A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472294"/>
    <w:multiLevelType w:val="hybridMultilevel"/>
    <w:tmpl w:val="DCD6B6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F6718"/>
    <w:multiLevelType w:val="hybridMultilevel"/>
    <w:tmpl w:val="A152335E"/>
    <w:lvl w:ilvl="0" w:tplc="A470CFD4">
      <w:start w:val="1"/>
      <w:numFmt w:val="bullet"/>
      <w:lvlText w:val="-"/>
      <w:lvlJc w:val="left"/>
      <w:pPr>
        <w:tabs>
          <w:tab w:val="num" w:pos="1080"/>
        </w:tabs>
        <w:ind w:left="1080" w:hanging="360"/>
      </w:pPr>
      <w:rPr>
        <w:rFonts w:ascii="Arial" w:hAnsi="Aria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25CE1949"/>
    <w:multiLevelType w:val="hybridMultilevel"/>
    <w:tmpl w:val="555C3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39116E"/>
    <w:multiLevelType w:val="hybridMultilevel"/>
    <w:tmpl w:val="CA4C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083978"/>
    <w:multiLevelType w:val="multilevel"/>
    <w:tmpl w:val="ABEE7B48"/>
    <w:lvl w:ilvl="0">
      <w:start w:val="3"/>
      <w:numFmt w:val="decimal"/>
      <w:lvlText w:val="%1"/>
      <w:lvlJc w:val="left"/>
      <w:pPr>
        <w:tabs>
          <w:tab w:val="num" w:pos="360"/>
        </w:tabs>
        <w:ind w:left="360" w:hanging="360"/>
      </w:pPr>
      <w:rPr>
        <w:rFonts w:ascii="Arial" w:hAnsi="Arial" w:hint="default"/>
        <w:b/>
        <w:i w:val="0"/>
        <w:sz w:val="19"/>
      </w:rPr>
    </w:lvl>
    <w:lvl w:ilvl="1">
      <w:start w:val="1"/>
      <w:numFmt w:val="decimal"/>
      <w:lvlText w:val="%1.%2"/>
      <w:lvlJc w:val="left"/>
      <w:pPr>
        <w:tabs>
          <w:tab w:val="num" w:pos="981"/>
        </w:tabs>
        <w:ind w:left="981" w:hanging="621"/>
      </w:pPr>
      <w:rPr>
        <w:rFonts w:ascii="Arial" w:hAnsi="Arial" w:hint="default"/>
        <w:b/>
        <w:i w:val="0"/>
        <w:sz w:val="19"/>
      </w:rPr>
    </w:lvl>
    <w:lvl w:ilvl="2">
      <w:start w:val="1"/>
      <w:numFmt w:val="decimal"/>
      <w:lvlText w:val="%1.%2.%3"/>
      <w:lvlJc w:val="left"/>
      <w:pPr>
        <w:tabs>
          <w:tab w:val="num" w:pos="1718"/>
        </w:tabs>
        <w:ind w:left="1718" w:hanging="737"/>
      </w:pPr>
      <w:rPr>
        <w:rFonts w:ascii="Arial" w:hAnsi="Arial" w:hint="default"/>
        <w:b w:val="0"/>
        <w:i w:val="0"/>
        <w:sz w:val="19"/>
      </w:rPr>
    </w:lvl>
    <w:lvl w:ilvl="3">
      <w:start w:val="1"/>
      <w:numFmt w:val="decimal"/>
      <w:lvlText w:val="%1.%2.%3.%4"/>
      <w:lvlJc w:val="left"/>
      <w:pPr>
        <w:tabs>
          <w:tab w:val="num" w:pos="1728"/>
        </w:tabs>
        <w:ind w:left="1728" w:hanging="648"/>
      </w:pPr>
      <w:rPr>
        <w:rFonts w:ascii="Arial" w:hAnsi="Arial" w:hint="default"/>
        <w:b w:val="0"/>
        <w:i w:val="0"/>
        <w:sz w:val="19"/>
      </w:rPr>
    </w:lvl>
    <w:lvl w:ilvl="4">
      <w:start w:val="1"/>
      <w:numFmt w:val="decimal"/>
      <w:lvlText w:val="%1.%2.%3.%4.%5"/>
      <w:lvlJc w:val="left"/>
      <w:pPr>
        <w:tabs>
          <w:tab w:val="num" w:pos="2232"/>
        </w:tabs>
        <w:ind w:left="2232" w:hanging="792"/>
      </w:pPr>
      <w:rPr>
        <w:rFonts w:ascii="Arial" w:hAnsi="Arial" w:hint="default"/>
        <w:b w:val="0"/>
        <w:i w:val="0"/>
        <w:sz w:val="19"/>
      </w:rPr>
    </w:lvl>
    <w:lvl w:ilvl="5">
      <w:start w:val="1"/>
      <w:numFmt w:val="decimal"/>
      <w:lvlText w:val="%1.%2.%3.%4.%5.%6"/>
      <w:lvlJc w:val="left"/>
      <w:pPr>
        <w:tabs>
          <w:tab w:val="num" w:pos="2736"/>
        </w:tabs>
        <w:ind w:left="2736" w:hanging="936"/>
      </w:pPr>
      <w:rPr>
        <w:rFonts w:ascii="Arial" w:hAnsi="Arial" w:hint="default"/>
        <w:b w:val="0"/>
        <w:i w:val="0"/>
        <w:sz w:val="19"/>
      </w:rPr>
    </w:lvl>
    <w:lvl w:ilvl="6">
      <w:start w:val="1"/>
      <w:numFmt w:val="decimal"/>
      <w:lvlText w:val="%1.%2.%3.%4.%5.%6.%7"/>
      <w:lvlJc w:val="left"/>
      <w:pPr>
        <w:tabs>
          <w:tab w:val="num" w:pos="3240"/>
        </w:tabs>
        <w:ind w:left="3240" w:hanging="1080"/>
      </w:pPr>
      <w:rPr>
        <w:rFonts w:ascii="Arial" w:hAnsi="Arial" w:hint="default"/>
        <w:b w:val="0"/>
        <w:i w:val="0"/>
        <w:sz w:val="19"/>
      </w:rPr>
    </w:lvl>
    <w:lvl w:ilvl="7">
      <w:start w:val="1"/>
      <w:numFmt w:val="decimal"/>
      <w:lvlText w:val="%1.%2.%3.%4.%5.%6.%7.%8"/>
      <w:lvlJc w:val="left"/>
      <w:pPr>
        <w:tabs>
          <w:tab w:val="num" w:pos="3744"/>
        </w:tabs>
        <w:ind w:left="3744" w:hanging="1224"/>
      </w:pPr>
      <w:rPr>
        <w:rFonts w:ascii="Arial" w:hAnsi="Arial" w:hint="default"/>
        <w:b w:val="0"/>
        <w:i w:val="0"/>
        <w:sz w:val="19"/>
      </w:rPr>
    </w:lvl>
    <w:lvl w:ilvl="8">
      <w:start w:val="1"/>
      <w:numFmt w:val="decimal"/>
      <w:lvlText w:val="%1.%2.%3.%4.%5.%6.%7.%8.%9"/>
      <w:lvlJc w:val="left"/>
      <w:pPr>
        <w:tabs>
          <w:tab w:val="num" w:pos="4320"/>
        </w:tabs>
        <w:ind w:left="4320" w:hanging="1440"/>
      </w:pPr>
      <w:rPr>
        <w:rFonts w:ascii="Arial" w:hAnsi="Arial" w:hint="default"/>
        <w:b w:val="0"/>
        <w:i w:val="0"/>
        <w:sz w:val="19"/>
      </w:rPr>
    </w:lvl>
  </w:abstractNum>
  <w:abstractNum w:abstractNumId="13">
    <w:nsid w:val="2B8E2828"/>
    <w:multiLevelType w:val="hybridMultilevel"/>
    <w:tmpl w:val="719C05D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nsid w:val="2E36768A"/>
    <w:multiLevelType w:val="hybridMultilevel"/>
    <w:tmpl w:val="D4D8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C03CD5"/>
    <w:multiLevelType w:val="hybridMultilevel"/>
    <w:tmpl w:val="EAC42042"/>
    <w:lvl w:ilvl="0" w:tplc="7FAEAE68">
      <w:start w:val="1"/>
      <w:numFmt w:val="bullet"/>
      <w:lvlText w:val=""/>
      <w:lvlJc w:val="left"/>
      <w:pPr>
        <w:tabs>
          <w:tab w:val="num" w:pos="1440"/>
        </w:tabs>
        <w:ind w:left="1193" w:hanging="113"/>
      </w:pPr>
      <w:rPr>
        <w:rFonts w:ascii="Wingdings" w:hAnsi="Wingdings" w:hint="default"/>
        <w:b/>
        <w:i w:val="0"/>
        <w:sz w:val="22"/>
      </w:rPr>
    </w:lvl>
    <w:lvl w:ilvl="1" w:tplc="7804AD5C">
      <w:start w:val="1"/>
      <w:numFmt w:val="bullet"/>
      <w:lvlText w:val="o"/>
      <w:lvlJc w:val="left"/>
      <w:pPr>
        <w:tabs>
          <w:tab w:val="num" w:pos="1440"/>
        </w:tabs>
        <w:ind w:left="1440" w:hanging="360"/>
      </w:pPr>
      <w:rPr>
        <w:rFonts w:ascii="Courier New" w:hAnsi="Courier New" w:hint="default"/>
      </w:rPr>
    </w:lvl>
    <w:lvl w:ilvl="2" w:tplc="39C0C686">
      <w:start w:val="1"/>
      <w:numFmt w:val="bullet"/>
      <w:lvlText w:val=""/>
      <w:lvlJc w:val="left"/>
      <w:pPr>
        <w:tabs>
          <w:tab w:val="num" w:pos="2160"/>
        </w:tabs>
        <w:ind w:left="2160" w:hanging="360"/>
      </w:pPr>
      <w:rPr>
        <w:rFonts w:ascii="Wingdings" w:hAnsi="Wingdings" w:hint="default"/>
      </w:rPr>
    </w:lvl>
    <w:lvl w:ilvl="3" w:tplc="7B084500" w:tentative="1">
      <w:start w:val="1"/>
      <w:numFmt w:val="bullet"/>
      <w:lvlText w:val=""/>
      <w:lvlJc w:val="left"/>
      <w:pPr>
        <w:tabs>
          <w:tab w:val="num" w:pos="2880"/>
        </w:tabs>
        <w:ind w:left="2880" w:hanging="360"/>
      </w:pPr>
      <w:rPr>
        <w:rFonts w:ascii="Symbol" w:hAnsi="Symbol" w:hint="default"/>
      </w:rPr>
    </w:lvl>
    <w:lvl w:ilvl="4" w:tplc="79C4B7A6" w:tentative="1">
      <w:start w:val="1"/>
      <w:numFmt w:val="bullet"/>
      <w:lvlText w:val="o"/>
      <w:lvlJc w:val="left"/>
      <w:pPr>
        <w:tabs>
          <w:tab w:val="num" w:pos="3600"/>
        </w:tabs>
        <w:ind w:left="3600" w:hanging="360"/>
      </w:pPr>
      <w:rPr>
        <w:rFonts w:ascii="Courier New" w:hAnsi="Courier New" w:hint="default"/>
      </w:rPr>
    </w:lvl>
    <w:lvl w:ilvl="5" w:tplc="CBF2ABA2" w:tentative="1">
      <w:start w:val="1"/>
      <w:numFmt w:val="bullet"/>
      <w:lvlText w:val=""/>
      <w:lvlJc w:val="left"/>
      <w:pPr>
        <w:tabs>
          <w:tab w:val="num" w:pos="4320"/>
        </w:tabs>
        <w:ind w:left="4320" w:hanging="360"/>
      </w:pPr>
      <w:rPr>
        <w:rFonts w:ascii="Wingdings" w:hAnsi="Wingdings" w:hint="default"/>
      </w:rPr>
    </w:lvl>
    <w:lvl w:ilvl="6" w:tplc="F44A4B00" w:tentative="1">
      <w:start w:val="1"/>
      <w:numFmt w:val="bullet"/>
      <w:lvlText w:val=""/>
      <w:lvlJc w:val="left"/>
      <w:pPr>
        <w:tabs>
          <w:tab w:val="num" w:pos="5040"/>
        </w:tabs>
        <w:ind w:left="5040" w:hanging="360"/>
      </w:pPr>
      <w:rPr>
        <w:rFonts w:ascii="Symbol" w:hAnsi="Symbol" w:hint="default"/>
      </w:rPr>
    </w:lvl>
    <w:lvl w:ilvl="7" w:tplc="9C2255E0" w:tentative="1">
      <w:start w:val="1"/>
      <w:numFmt w:val="bullet"/>
      <w:lvlText w:val="o"/>
      <w:lvlJc w:val="left"/>
      <w:pPr>
        <w:tabs>
          <w:tab w:val="num" w:pos="5760"/>
        </w:tabs>
        <w:ind w:left="5760" w:hanging="360"/>
      </w:pPr>
      <w:rPr>
        <w:rFonts w:ascii="Courier New" w:hAnsi="Courier New" w:hint="default"/>
      </w:rPr>
    </w:lvl>
    <w:lvl w:ilvl="8" w:tplc="F3EE9648" w:tentative="1">
      <w:start w:val="1"/>
      <w:numFmt w:val="bullet"/>
      <w:lvlText w:val=""/>
      <w:lvlJc w:val="left"/>
      <w:pPr>
        <w:tabs>
          <w:tab w:val="num" w:pos="6480"/>
        </w:tabs>
        <w:ind w:left="6480" w:hanging="360"/>
      </w:pPr>
      <w:rPr>
        <w:rFonts w:ascii="Wingdings" w:hAnsi="Wingdings" w:hint="default"/>
      </w:rPr>
    </w:lvl>
  </w:abstractNum>
  <w:abstractNum w:abstractNumId="16">
    <w:nsid w:val="33A621BE"/>
    <w:multiLevelType w:val="hybridMultilevel"/>
    <w:tmpl w:val="7E4ED60A"/>
    <w:lvl w:ilvl="0" w:tplc="0C090003">
      <w:start w:val="1"/>
      <w:numFmt w:val="bullet"/>
      <w:lvlText w:val="o"/>
      <w:lvlJc w:val="left"/>
      <w:pPr>
        <w:tabs>
          <w:tab w:val="num" w:pos="786"/>
        </w:tabs>
        <w:ind w:left="786" w:hanging="360"/>
      </w:pPr>
      <w:rPr>
        <w:rFonts w:ascii="Courier New" w:hAnsi="Courier New" w:cs="Courier New" w:hint="default"/>
      </w:rPr>
    </w:lvl>
    <w:lvl w:ilvl="1" w:tplc="0C090003" w:tentative="1">
      <w:start w:val="1"/>
      <w:numFmt w:val="bullet"/>
      <w:lvlText w:val="o"/>
      <w:lvlJc w:val="left"/>
      <w:pPr>
        <w:tabs>
          <w:tab w:val="num" w:pos="1506"/>
        </w:tabs>
        <w:ind w:left="1506" w:hanging="360"/>
      </w:pPr>
      <w:rPr>
        <w:rFonts w:ascii="Courier New" w:hAnsi="Courier New" w:cs="Courier New" w:hint="default"/>
      </w:rPr>
    </w:lvl>
    <w:lvl w:ilvl="2" w:tplc="0C090005" w:tentative="1">
      <w:start w:val="1"/>
      <w:numFmt w:val="bullet"/>
      <w:lvlText w:val=""/>
      <w:lvlJc w:val="left"/>
      <w:pPr>
        <w:tabs>
          <w:tab w:val="num" w:pos="2226"/>
        </w:tabs>
        <w:ind w:left="2226" w:hanging="360"/>
      </w:pPr>
      <w:rPr>
        <w:rFonts w:ascii="Wingdings" w:hAnsi="Wingdings" w:hint="default"/>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7">
    <w:nsid w:val="34A96D1F"/>
    <w:multiLevelType w:val="hybridMultilevel"/>
    <w:tmpl w:val="12EAF770"/>
    <w:lvl w:ilvl="0" w:tplc="A470CFD4">
      <w:start w:val="1"/>
      <w:numFmt w:val="bullet"/>
      <w:lvlText w:val="-"/>
      <w:lvlJc w:val="left"/>
      <w:pPr>
        <w:tabs>
          <w:tab w:val="num" w:pos="1080"/>
        </w:tabs>
        <w:ind w:left="1080" w:hanging="360"/>
      </w:pPr>
      <w:rPr>
        <w:rFonts w:ascii="Arial" w:hAnsi="Aria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F100D25"/>
    <w:multiLevelType w:val="hybridMultilevel"/>
    <w:tmpl w:val="D6F644EC"/>
    <w:lvl w:ilvl="0" w:tplc="23806B30">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2086CD8"/>
    <w:multiLevelType w:val="hybridMultilevel"/>
    <w:tmpl w:val="DF08D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nsid w:val="46F02E46"/>
    <w:multiLevelType w:val="hybridMultilevel"/>
    <w:tmpl w:val="EBE0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CF4997"/>
    <w:multiLevelType w:val="hybridMultilevel"/>
    <w:tmpl w:val="CCC2B0B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53995FBC"/>
    <w:multiLevelType w:val="hybridMultilevel"/>
    <w:tmpl w:val="DCD6B6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1D1E45"/>
    <w:multiLevelType w:val="hybridMultilevel"/>
    <w:tmpl w:val="D2685FEE"/>
    <w:lvl w:ilvl="0" w:tplc="0409000F">
      <w:start w:val="1"/>
      <w:numFmt w:val="decimal"/>
      <w:lvlText w:val="%1."/>
      <w:lvlJc w:val="left"/>
      <w:pPr>
        <w:tabs>
          <w:tab w:val="num" w:pos="786"/>
        </w:tabs>
        <w:ind w:left="786" w:hanging="360"/>
      </w:pPr>
    </w:lvl>
    <w:lvl w:ilvl="1" w:tplc="0C090019" w:tentative="1">
      <w:start w:val="1"/>
      <w:numFmt w:val="lowerLetter"/>
      <w:lvlText w:val="%2."/>
      <w:lvlJc w:val="left"/>
      <w:pPr>
        <w:tabs>
          <w:tab w:val="num" w:pos="1506"/>
        </w:tabs>
        <w:ind w:left="1506" w:hanging="360"/>
      </w:pPr>
    </w:lvl>
    <w:lvl w:ilvl="2" w:tplc="0C09001B" w:tentative="1">
      <w:start w:val="1"/>
      <w:numFmt w:val="lowerRoman"/>
      <w:lvlText w:val="%3."/>
      <w:lvlJc w:val="right"/>
      <w:pPr>
        <w:tabs>
          <w:tab w:val="num" w:pos="2226"/>
        </w:tabs>
        <w:ind w:left="2226" w:hanging="180"/>
      </w:pPr>
    </w:lvl>
    <w:lvl w:ilvl="3" w:tplc="0C09000F" w:tentative="1">
      <w:start w:val="1"/>
      <w:numFmt w:val="decimal"/>
      <w:lvlText w:val="%4."/>
      <w:lvlJc w:val="left"/>
      <w:pPr>
        <w:tabs>
          <w:tab w:val="num" w:pos="2946"/>
        </w:tabs>
        <w:ind w:left="2946" w:hanging="360"/>
      </w:pPr>
    </w:lvl>
    <w:lvl w:ilvl="4" w:tplc="0C090019" w:tentative="1">
      <w:start w:val="1"/>
      <w:numFmt w:val="lowerLetter"/>
      <w:lvlText w:val="%5."/>
      <w:lvlJc w:val="left"/>
      <w:pPr>
        <w:tabs>
          <w:tab w:val="num" w:pos="3666"/>
        </w:tabs>
        <w:ind w:left="3666" w:hanging="360"/>
      </w:pPr>
    </w:lvl>
    <w:lvl w:ilvl="5" w:tplc="0C09001B" w:tentative="1">
      <w:start w:val="1"/>
      <w:numFmt w:val="lowerRoman"/>
      <w:lvlText w:val="%6."/>
      <w:lvlJc w:val="right"/>
      <w:pPr>
        <w:tabs>
          <w:tab w:val="num" w:pos="4386"/>
        </w:tabs>
        <w:ind w:left="4386" w:hanging="180"/>
      </w:pPr>
    </w:lvl>
    <w:lvl w:ilvl="6" w:tplc="0C09000F" w:tentative="1">
      <w:start w:val="1"/>
      <w:numFmt w:val="decimal"/>
      <w:lvlText w:val="%7."/>
      <w:lvlJc w:val="left"/>
      <w:pPr>
        <w:tabs>
          <w:tab w:val="num" w:pos="5106"/>
        </w:tabs>
        <w:ind w:left="5106" w:hanging="360"/>
      </w:pPr>
    </w:lvl>
    <w:lvl w:ilvl="7" w:tplc="0C090019" w:tentative="1">
      <w:start w:val="1"/>
      <w:numFmt w:val="lowerLetter"/>
      <w:lvlText w:val="%8."/>
      <w:lvlJc w:val="left"/>
      <w:pPr>
        <w:tabs>
          <w:tab w:val="num" w:pos="5826"/>
        </w:tabs>
        <w:ind w:left="5826" w:hanging="360"/>
      </w:pPr>
    </w:lvl>
    <w:lvl w:ilvl="8" w:tplc="0C09001B" w:tentative="1">
      <w:start w:val="1"/>
      <w:numFmt w:val="lowerRoman"/>
      <w:lvlText w:val="%9."/>
      <w:lvlJc w:val="right"/>
      <w:pPr>
        <w:tabs>
          <w:tab w:val="num" w:pos="6546"/>
        </w:tabs>
        <w:ind w:left="6546" w:hanging="180"/>
      </w:pPr>
    </w:lvl>
  </w:abstractNum>
  <w:abstractNum w:abstractNumId="24">
    <w:nsid w:val="63812911"/>
    <w:multiLevelType w:val="hybridMultilevel"/>
    <w:tmpl w:val="327E7EF8"/>
    <w:lvl w:ilvl="0" w:tplc="55D89C82">
      <w:start w:val="1"/>
      <w:numFmt w:val="bullet"/>
      <w:lvlText w:val="&gt;"/>
      <w:lvlJc w:val="left"/>
      <w:pPr>
        <w:tabs>
          <w:tab w:val="num" w:pos="720"/>
        </w:tabs>
        <w:ind w:left="720" w:hanging="360"/>
      </w:pPr>
      <w:rPr>
        <w:rFonts w:ascii="Arial" w:hAnsi="Arial" w:hint="default"/>
      </w:rPr>
    </w:lvl>
    <w:lvl w:ilvl="1" w:tplc="98208108" w:tentative="1">
      <w:start w:val="1"/>
      <w:numFmt w:val="bullet"/>
      <w:lvlText w:val="&gt;"/>
      <w:lvlJc w:val="left"/>
      <w:pPr>
        <w:tabs>
          <w:tab w:val="num" w:pos="1440"/>
        </w:tabs>
        <w:ind w:left="1440" w:hanging="360"/>
      </w:pPr>
      <w:rPr>
        <w:rFonts w:ascii="Arial" w:hAnsi="Arial" w:hint="default"/>
      </w:rPr>
    </w:lvl>
    <w:lvl w:ilvl="2" w:tplc="82D80EA2" w:tentative="1">
      <w:start w:val="1"/>
      <w:numFmt w:val="bullet"/>
      <w:lvlText w:val="&gt;"/>
      <w:lvlJc w:val="left"/>
      <w:pPr>
        <w:tabs>
          <w:tab w:val="num" w:pos="2160"/>
        </w:tabs>
        <w:ind w:left="2160" w:hanging="360"/>
      </w:pPr>
      <w:rPr>
        <w:rFonts w:ascii="Arial" w:hAnsi="Arial" w:hint="default"/>
      </w:rPr>
    </w:lvl>
    <w:lvl w:ilvl="3" w:tplc="A3EAF684" w:tentative="1">
      <w:start w:val="1"/>
      <w:numFmt w:val="bullet"/>
      <w:lvlText w:val="&gt;"/>
      <w:lvlJc w:val="left"/>
      <w:pPr>
        <w:tabs>
          <w:tab w:val="num" w:pos="2880"/>
        </w:tabs>
        <w:ind w:left="2880" w:hanging="360"/>
      </w:pPr>
      <w:rPr>
        <w:rFonts w:ascii="Arial" w:hAnsi="Arial" w:hint="default"/>
      </w:rPr>
    </w:lvl>
    <w:lvl w:ilvl="4" w:tplc="ED4C2A0E" w:tentative="1">
      <w:start w:val="1"/>
      <w:numFmt w:val="bullet"/>
      <w:lvlText w:val="&gt;"/>
      <w:lvlJc w:val="left"/>
      <w:pPr>
        <w:tabs>
          <w:tab w:val="num" w:pos="3600"/>
        </w:tabs>
        <w:ind w:left="3600" w:hanging="360"/>
      </w:pPr>
      <w:rPr>
        <w:rFonts w:ascii="Arial" w:hAnsi="Arial" w:hint="default"/>
      </w:rPr>
    </w:lvl>
    <w:lvl w:ilvl="5" w:tplc="D06AEC9A" w:tentative="1">
      <w:start w:val="1"/>
      <w:numFmt w:val="bullet"/>
      <w:lvlText w:val="&gt;"/>
      <w:lvlJc w:val="left"/>
      <w:pPr>
        <w:tabs>
          <w:tab w:val="num" w:pos="4320"/>
        </w:tabs>
        <w:ind w:left="4320" w:hanging="360"/>
      </w:pPr>
      <w:rPr>
        <w:rFonts w:ascii="Arial" w:hAnsi="Arial" w:hint="default"/>
      </w:rPr>
    </w:lvl>
    <w:lvl w:ilvl="6" w:tplc="5AAE216C" w:tentative="1">
      <w:start w:val="1"/>
      <w:numFmt w:val="bullet"/>
      <w:lvlText w:val="&gt;"/>
      <w:lvlJc w:val="left"/>
      <w:pPr>
        <w:tabs>
          <w:tab w:val="num" w:pos="5040"/>
        </w:tabs>
        <w:ind w:left="5040" w:hanging="360"/>
      </w:pPr>
      <w:rPr>
        <w:rFonts w:ascii="Arial" w:hAnsi="Arial" w:hint="default"/>
      </w:rPr>
    </w:lvl>
    <w:lvl w:ilvl="7" w:tplc="793C9790" w:tentative="1">
      <w:start w:val="1"/>
      <w:numFmt w:val="bullet"/>
      <w:lvlText w:val="&gt;"/>
      <w:lvlJc w:val="left"/>
      <w:pPr>
        <w:tabs>
          <w:tab w:val="num" w:pos="5760"/>
        </w:tabs>
        <w:ind w:left="5760" w:hanging="360"/>
      </w:pPr>
      <w:rPr>
        <w:rFonts w:ascii="Arial" w:hAnsi="Arial" w:hint="default"/>
      </w:rPr>
    </w:lvl>
    <w:lvl w:ilvl="8" w:tplc="D3E8086E" w:tentative="1">
      <w:start w:val="1"/>
      <w:numFmt w:val="bullet"/>
      <w:lvlText w:val="&gt;"/>
      <w:lvlJc w:val="left"/>
      <w:pPr>
        <w:tabs>
          <w:tab w:val="num" w:pos="6480"/>
        </w:tabs>
        <w:ind w:left="6480" w:hanging="360"/>
      </w:pPr>
      <w:rPr>
        <w:rFonts w:ascii="Arial" w:hAnsi="Arial" w:hint="default"/>
      </w:rPr>
    </w:lvl>
  </w:abstractNum>
  <w:abstractNum w:abstractNumId="25">
    <w:nsid w:val="64623E63"/>
    <w:multiLevelType w:val="multilevel"/>
    <w:tmpl w:val="4BD8FB4E"/>
    <w:lvl w:ilvl="0">
      <w:start w:val="2"/>
      <w:numFmt w:val="decimal"/>
      <w:lvlText w:val="%1"/>
      <w:lvlJc w:val="left"/>
      <w:pPr>
        <w:tabs>
          <w:tab w:val="num" w:pos="360"/>
        </w:tabs>
        <w:ind w:left="360" w:hanging="360"/>
      </w:pPr>
      <w:rPr>
        <w:rFonts w:ascii="Arial" w:hAnsi="Arial" w:hint="default"/>
        <w:b/>
        <w:i w:val="0"/>
        <w:sz w:val="19"/>
      </w:rPr>
    </w:lvl>
    <w:lvl w:ilvl="1">
      <w:start w:val="1"/>
      <w:numFmt w:val="decimal"/>
      <w:lvlText w:val="%1.%2"/>
      <w:lvlJc w:val="left"/>
      <w:pPr>
        <w:tabs>
          <w:tab w:val="num" w:pos="981"/>
        </w:tabs>
        <w:ind w:left="981" w:hanging="621"/>
      </w:pPr>
      <w:rPr>
        <w:rFonts w:ascii="Arial" w:hAnsi="Arial" w:hint="default"/>
        <w:b/>
        <w:i w:val="0"/>
        <w:sz w:val="19"/>
      </w:rPr>
    </w:lvl>
    <w:lvl w:ilvl="2">
      <w:start w:val="1"/>
      <w:numFmt w:val="decimal"/>
      <w:lvlText w:val="%1.%2.%3"/>
      <w:lvlJc w:val="left"/>
      <w:pPr>
        <w:tabs>
          <w:tab w:val="num" w:pos="1718"/>
        </w:tabs>
        <w:ind w:left="1718" w:hanging="737"/>
      </w:pPr>
      <w:rPr>
        <w:rFonts w:ascii="Arial" w:hAnsi="Arial" w:hint="default"/>
        <w:b w:val="0"/>
        <w:i w:val="0"/>
        <w:sz w:val="19"/>
      </w:rPr>
    </w:lvl>
    <w:lvl w:ilvl="3">
      <w:start w:val="1"/>
      <w:numFmt w:val="decimal"/>
      <w:lvlText w:val="%1.%2.%3.%4"/>
      <w:lvlJc w:val="left"/>
      <w:pPr>
        <w:tabs>
          <w:tab w:val="num" w:pos="1728"/>
        </w:tabs>
        <w:ind w:left="1728" w:hanging="648"/>
      </w:pPr>
      <w:rPr>
        <w:rFonts w:ascii="Arial" w:hAnsi="Arial" w:hint="default"/>
        <w:b w:val="0"/>
        <w:i w:val="0"/>
        <w:sz w:val="19"/>
      </w:rPr>
    </w:lvl>
    <w:lvl w:ilvl="4">
      <w:start w:val="1"/>
      <w:numFmt w:val="decimal"/>
      <w:lvlText w:val="%1.%2.%3.%4.%5"/>
      <w:lvlJc w:val="left"/>
      <w:pPr>
        <w:tabs>
          <w:tab w:val="num" w:pos="2232"/>
        </w:tabs>
        <w:ind w:left="2232" w:hanging="792"/>
      </w:pPr>
      <w:rPr>
        <w:rFonts w:ascii="Arial" w:hAnsi="Arial" w:hint="default"/>
        <w:b w:val="0"/>
        <w:i w:val="0"/>
        <w:sz w:val="19"/>
      </w:rPr>
    </w:lvl>
    <w:lvl w:ilvl="5">
      <w:start w:val="1"/>
      <w:numFmt w:val="decimal"/>
      <w:lvlText w:val="%1.%2.%3.%4.%5.%6"/>
      <w:lvlJc w:val="left"/>
      <w:pPr>
        <w:tabs>
          <w:tab w:val="num" w:pos="2736"/>
        </w:tabs>
        <w:ind w:left="2736" w:hanging="936"/>
      </w:pPr>
      <w:rPr>
        <w:rFonts w:ascii="Arial" w:hAnsi="Arial" w:hint="default"/>
        <w:b w:val="0"/>
        <w:i w:val="0"/>
        <w:sz w:val="19"/>
      </w:rPr>
    </w:lvl>
    <w:lvl w:ilvl="6">
      <w:start w:val="1"/>
      <w:numFmt w:val="decimal"/>
      <w:lvlText w:val="%1.%2.%3.%4.%5.%6.%7"/>
      <w:lvlJc w:val="left"/>
      <w:pPr>
        <w:tabs>
          <w:tab w:val="num" w:pos="3240"/>
        </w:tabs>
        <w:ind w:left="3240" w:hanging="1080"/>
      </w:pPr>
      <w:rPr>
        <w:rFonts w:ascii="Arial" w:hAnsi="Arial" w:hint="default"/>
        <w:b w:val="0"/>
        <w:i w:val="0"/>
        <w:sz w:val="19"/>
      </w:rPr>
    </w:lvl>
    <w:lvl w:ilvl="7">
      <w:start w:val="1"/>
      <w:numFmt w:val="decimal"/>
      <w:lvlText w:val="%1.%2.%3.%4.%5.%6.%7.%8"/>
      <w:lvlJc w:val="left"/>
      <w:pPr>
        <w:tabs>
          <w:tab w:val="num" w:pos="3744"/>
        </w:tabs>
        <w:ind w:left="3744" w:hanging="1224"/>
      </w:pPr>
      <w:rPr>
        <w:rFonts w:ascii="Arial" w:hAnsi="Arial" w:hint="default"/>
        <w:b w:val="0"/>
        <w:i w:val="0"/>
        <w:sz w:val="19"/>
      </w:rPr>
    </w:lvl>
    <w:lvl w:ilvl="8">
      <w:start w:val="1"/>
      <w:numFmt w:val="decimal"/>
      <w:lvlText w:val="%1.%2.%3.%4.%5.%6.%7.%8.%9"/>
      <w:lvlJc w:val="left"/>
      <w:pPr>
        <w:tabs>
          <w:tab w:val="num" w:pos="4320"/>
        </w:tabs>
        <w:ind w:left="4320" w:hanging="1440"/>
      </w:pPr>
      <w:rPr>
        <w:rFonts w:ascii="Arial" w:hAnsi="Arial" w:hint="default"/>
        <w:b w:val="0"/>
        <w:i w:val="0"/>
        <w:sz w:val="19"/>
      </w:rPr>
    </w:lvl>
  </w:abstractNum>
  <w:abstractNum w:abstractNumId="26">
    <w:nsid w:val="67BC5D6B"/>
    <w:multiLevelType w:val="hybridMultilevel"/>
    <w:tmpl w:val="20BE71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B134E9B"/>
    <w:multiLevelType w:val="hybridMultilevel"/>
    <w:tmpl w:val="ABFA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
  </w:num>
  <w:num w:numId="4">
    <w:abstractNumId w:val="5"/>
  </w:num>
  <w:num w:numId="5">
    <w:abstractNumId w:val="12"/>
  </w:num>
  <w:num w:numId="6">
    <w:abstractNumId w:val="17"/>
  </w:num>
  <w:num w:numId="7">
    <w:abstractNumId w:val="9"/>
  </w:num>
  <w:num w:numId="8">
    <w:abstractNumId w:val="23"/>
  </w:num>
  <w:num w:numId="9">
    <w:abstractNumId w:val="16"/>
  </w:num>
  <w:num w:numId="10">
    <w:abstractNumId w:val="3"/>
  </w:num>
  <w:num w:numId="11">
    <w:abstractNumId w:val="10"/>
  </w:num>
  <w:num w:numId="12">
    <w:abstractNumId w:val="27"/>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2"/>
  </w:num>
  <w:num w:numId="16">
    <w:abstractNumId w:val="11"/>
  </w:num>
  <w:num w:numId="17">
    <w:abstractNumId w:val="0"/>
  </w:num>
  <w:num w:numId="18">
    <w:abstractNumId w:val="14"/>
  </w:num>
  <w:num w:numId="19">
    <w:abstractNumId w:val="13"/>
  </w:num>
  <w:num w:numId="20">
    <w:abstractNumId w:val="15"/>
  </w:num>
  <w:num w:numId="21">
    <w:abstractNumId w:val="8"/>
  </w:num>
  <w:num w:numId="2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0"/>
  </w:num>
  <w:num w:numId="25">
    <w:abstractNumId w:val="24"/>
  </w:num>
  <w:num w:numId="26">
    <w:abstractNumId w:val="7"/>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24B"/>
    <w:rsid w:val="000126B9"/>
    <w:rsid w:val="000228C4"/>
    <w:rsid w:val="00027209"/>
    <w:rsid w:val="0003353A"/>
    <w:rsid w:val="00071327"/>
    <w:rsid w:val="0008399B"/>
    <w:rsid w:val="00087E57"/>
    <w:rsid w:val="00095906"/>
    <w:rsid w:val="000A0D16"/>
    <w:rsid w:val="000A0F6E"/>
    <w:rsid w:val="000A5E75"/>
    <w:rsid w:val="000B0709"/>
    <w:rsid w:val="000C05A7"/>
    <w:rsid w:val="000D6DAE"/>
    <w:rsid w:val="000D7520"/>
    <w:rsid w:val="000F216B"/>
    <w:rsid w:val="00101076"/>
    <w:rsid w:val="00105358"/>
    <w:rsid w:val="001116CE"/>
    <w:rsid w:val="001361AF"/>
    <w:rsid w:val="00144317"/>
    <w:rsid w:val="00152254"/>
    <w:rsid w:val="00156C3C"/>
    <w:rsid w:val="00163410"/>
    <w:rsid w:val="001B6EE0"/>
    <w:rsid w:val="001C5E7F"/>
    <w:rsid w:val="001E313A"/>
    <w:rsid w:val="001E5A9C"/>
    <w:rsid w:val="001E6CF4"/>
    <w:rsid w:val="001F5527"/>
    <w:rsid w:val="00203858"/>
    <w:rsid w:val="00206BA1"/>
    <w:rsid w:val="00206E73"/>
    <w:rsid w:val="002151D5"/>
    <w:rsid w:val="00226884"/>
    <w:rsid w:val="00226B26"/>
    <w:rsid w:val="00231EB2"/>
    <w:rsid w:val="002326A2"/>
    <w:rsid w:val="00242B34"/>
    <w:rsid w:val="00265959"/>
    <w:rsid w:val="002808B5"/>
    <w:rsid w:val="00282CAE"/>
    <w:rsid w:val="00284F6D"/>
    <w:rsid w:val="00287462"/>
    <w:rsid w:val="00293E6D"/>
    <w:rsid w:val="002A60C0"/>
    <w:rsid w:val="002D4F75"/>
    <w:rsid w:val="002D5CB1"/>
    <w:rsid w:val="002E3EDD"/>
    <w:rsid w:val="002F14B5"/>
    <w:rsid w:val="002F62A6"/>
    <w:rsid w:val="002F710A"/>
    <w:rsid w:val="003066C1"/>
    <w:rsid w:val="00323EF0"/>
    <w:rsid w:val="003267D3"/>
    <w:rsid w:val="00333D81"/>
    <w:rsid w:val="00333FEC"/>
    <w:rsid w:val="003355DC"/>
    <w:rsid w:val="00342E1E"/>
    <w:rsid w:val="0035004E"/>
    <w:rsid w:val="0036275A"/>
    <w:rsid w:val="00384F5B"/>
    <w:rsid w:val="00391722"/>
    <w:rsid w:val="00391CC0"/>
    <w:rsid w:val="003A31A1"/>
    <w:rsid w:val="003A36D8"/>
    <w:rsid w:val="003A5751"/>
    <w:rsid w:val="003A6274"/>
    <w:rsid w:val="003A7DB5"/>
    <w:rsid w:val="003B377B"/>
    <w:rsid w:val="003E2E50"/>
    <w:rsid w:val="003E5370"/>
    <w:rsid w:val="00415451"/>
    <w:rsid w:val="00432B19"/>
    <w:rsid w:val="004405DD"/>
    <w:rsid w:val="00441F77"/>
    <w:rsid w:val="00450CDA"/>
    <w:rsid w:val="00451D88"/>
    <w:rsid w:val="00461256"/>
    <w:rsid w:val="004741F2"/>
    <w:rsid w:val="00477593"/>
    <w:rsid w:val="004C17A0"/>
    <w:rsid w:val="004C7D27"/>
    <w:rsid w:val="004E0D1B"/>
    <w:rsid w:val="004E3A02"/>
    <w:rsid w:val="004F418A"/>
    <w:rsid w:val="00500FCA"/>
    <w:rsid w:val="00506678"/>
    <w:rsid w:val="00533C89"/>
    <w:rsid w:val="00535A04"/>
    <w:rsid w:val="00547B34"/>
    <w:rsid w:val="0057604B"/>
    <w:rsid w:val="00591EF0"/>
    <w:rsid w:val="005B174E"/>
    <w:rsid w:val="005B68A0"/>
    <w:rsid w:val="005C48A1"/>
    <w:rsid w:val="005E08FE"/>
    <w:rsid w:val="00610AD0"/>
    <w:rsid w:val="006112D5"/>
    <w:rsid w:val="00617759"/>
    <w:rsid w:val="00617D12"/>
    <w:rsid w:val="00632E3F"/>
    <w:rsid w:val="00647CF3"/>
    <w:rsid w:val="006623F7"/>
    <w:rsid w:val="006719A6"/>
    <w:rsid w:val="0068656E"/>
    <w:rsid w:val="006A2F74"/>
    <w:rsid w:val="006A6400"/>
    <w:rsid w:val="006B3355"/>
    <w:rsid w:val="006C4313"/>
    <w:rsid w:val="006C520B"/>
    <w:rsid w:val="006D1BD4"/>
    <w:rsid w:val="006D4953"/>
    <w:rsid w:val="006E0C3A"/>
    <w:rsid w:val="006E4082"/>
    <w:rsid w:val="006F19E4"/>
    <w:rsid w:val="0070436B"/>
    <w:rsid w:val="00706C92"/>
    <w:rsid w:val="00731F43"/>
    <w:rsid w:val="00735DB9"/>
    <w:rsid w:val="00736ADB"/>
    <w:rsid w:val="007439E3"/>
    <w:rsid w:val="00750284"/>
    <w:rsid w:val="00790F59"/>
    <w:rsid w:val="00791685"/>
    <w:rsid w:val="00795E66"/>
    <w:rsid w:val="007B7AA6"/>
    <w:rsid w:val="007C541B"/>
    <w:rsid w:val="007C60EC"/>
    <w:rsid w:val="007D1ECA"/>
    <w:rsid w:val="007F7B10"/>
    <w:rsid w:val="008142DC"/>
    <w:rsid w:val="0081568A"/>
    <w:rsid w:val="00816F31"/>
    <w:rsid w:val="0082395D"/>
    <w:rsid w:val="00824023"/>
    <w:rsid w:val="0083440F"/>
    <w:rsid w:val="0084273A"/>
    <w:rsid w:val="008479A7"/>
    <w:rsid w:val="008607FB"/>
    <w:rsid w:val="00860A8A"/>
    <w:rsid w:val="00863D26"/>
    <w:rsid w:val="0086524D"/>
    <w:rsid w:val="0087478F"/>
    <w:rsid w:val="00885C42"/>
    <w:rsid w:val="008B482B"/>
    <w:rsid w:val="008B54B2"/>
    <w:rsid w:val="008D6423"/>
    <w:rsid w:val="008E3CA9"/>
    <w:rsid w:val="00917A18"/>
    <w:rsid w:val="009202C7"/>
    <w:rsid w:val="009227EB"/>
    <w:rsid w:val="0093132A"/>
    <w:rsid w:val="0093474B"/>
    <w:rsid w:val="00936422"/>
    <w:rsid w:val="00943B38"/>
    <w:rsid w:val="00945A0A"/>
    <w:rsid w:val="0096147A"/>
    <w:rsid w:val="0096424B"/>
    <w:rsid w:val="009728E8"/>
    <w:rsid w:val="00976E00"/>
    <w:rsid w:val="009845AA"/>
    <w:rsid w:val="00992E94"/>
    <w:rsid w:val="009C0256"/>
    <w:rsid w:val="009E2BE3"/>
    <w:rsid w:val="009E77BF"/>
    <w:rsid w:val="00A157D9"/>
    <w:rsid w:val="00A217CB"/>
    <w:rsid w:val="00A22F1B"/>
    <w:rsid w:val="00A45577"/>
    <w:rsid w:val="00A6388B"/>
    <w:rsid w:val="00A741A2"/>
    <w:rsid w:val="00A75ADA"/>
    <w:rsid w:val="00A76CB1"/>
    <w:rsid w:val="00AA48CA"/>
    <w:rsid w:val="00AB75D7"/>
    <w:rsid w:val="00AC1C98"/>
    <w:rsid w:val="00AC4715"/>
    <w:rsid w:val="00AC7EB2"/>
    <w:rsid w:val="00AE7D93"/>
    <w:rsid w:val="00B31A4A"/>
    <w:rsid w:val="00B334EA"/>
    <w:rsid w:val="00B54217"/>
    <w:rsid w:val="00B87F47"/>
    <w:rsid w:val="00B94E25"/>
    <w:rsid w:val="00B9535D"/>
    <w:rsid w:val="00B97AA2"/>
    <w:rsid w:val="00BB3413"/>
    <w:rsid w:val="00BB3E77"/>
    <w:rsid w:val="00BC6561"/>
    <w:rsid w:val="00C1133E"/>
    <w:rsid w:val="00C131C2"/>
    <w:rsid w:val="00C24509"/>
    <w:rsid w:val="00C26A08"/>
    <w:rsid w:val="00C36D9E"/>
    <w:rsid w:val="00C508B3"/>
    <w:rsid w:val="00C74298"/>
    <w:rsid w:val="00C77862"/>
    <w:rsid w:val="00CA49FD"/>
    <w:rsid w:val="00CB229C"/>
    <w:rsid w:val="00CB5DF5"/>
    <w:rsid w:val="00CB77FA"/>
    <w:rsid w:val="00CC4A02"/>
    <w:rsid w:val="00CD00B8"/>
    <w:rsid w:val="00CF1B72"/>
    <w:rsid w:val="00CF5A7D"/>
    <w:rsid w:val="00CF7A0B"/>
    <w:rsid w:val="00D04E1C"/>
    <w:rsid w:val="00D15792"/>
    <w:rsid w:val="00D250C3"/>
    <w:rsid w:val="00D252C0"/>
    <w:rsid w:val="00D33B69"/>
    <w:rsid w:val="00D51E21"/>
    <w:rsid w:val="00D6125D"/>
    <w:rsid w:val="00D62055"/>
    <w:rsid w:val="00D70E59"/>
    <w:rsid w:val="00DA40EB"/>
    <w:rsid w:val="00DA67FF"/>
    <w:rsid w:val="00DC1DB4"/>
    <w:rsid w:val="00DE203A"/>
    <w:rsid w:val="00E00F52"/>
    <w:rsid w:val="00E02D83"/>
    <w:rsid w:val="00E23BFA"/>
    <w:rsid w:val="00E24AB0"/>
    <w:rsid w:val="00E45A32"/>
    <w:rsid w:val="00E508FF"/>
    <w:rsid w:val="00E651E8"/>
    <w:rsid w:val="00E73F2B"/>
    <w:rsid w:val="00E80D78"/>
    <w:rsid w:val="00E92B9A"/>
    <w:rsid w:val="00E96804"/>
    <w:rsid w:val="00EA1E31"/>
    <w:rsid w:val="00EA43FC"/>
    <w:rsid w:val="00EB33D4"/>
    <w:rsid w:val="00EC703C"/>
    <w:rsid w:val="00EE45D5"/>
    <w:rsid w:val="00F116A9"/>
    <w:rsid w:val="00F12653"/>
    <w:rsid w:val="00F165E8"/>
    <w:rsid w:val="00F24BBF"/>
    <w:rsid w:val="00F360E5"/>
    <w:rsid w:val="00F7154A"/>
    <w:rsid w:val="00F71804"/>
    <w:rsid w:val="00F73DB9"/>
    <w:rsid w:val="00F8033D"/>
    <w:rsid w:val="00FC1EA7"/>
    <w:rsid w:val="00FD2844"/>
    <w:rsid w:val="00FD606A"/>
    <w:rsid w:val="00FF3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355"/>
    <w:rPr>
      <w:sz w:val="24"/>
      <w:lang w:val="en-AU" w:eastAsia="en-US"/>
    </w:rPr>
  </w:style>
  <w:style w:type="paragraph" w:styleId="Heading4">
    <w:name w:val="heading 4"/>
    <w:basedOn w:val="Normal"/>
    <w:next w:val="Normal"/>
    <w:qFormat/>
    <w:rsid w:val="007F7B10"/>
    <w:pPr>
      <w:keepNext/>
      <w:spacing w:line="200" w:lineRule="atLeast"/>
      <w:outlineLvl w:val="3"/>
    </w:pPr>
    <w:rPr>
      <w:rFonts w:ascii="Arial" w:eastAsia="Times New Roman"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355"/>
    <w:pPr>
      <w:tabs>
        <w:tab w:val="center" w:pos="4320"/>
        <w:tab w:val="right" w:pos="8640"/>
      </w:tabs>
    </w:pPr>
  </w:style>
  <w:style w:type="paragraph" w:styleId="Footer">
    <w:name w:val="footer"/>
    <w:basedOn w:val="Normal"/>
    <w:rsid w:val="006B3355"/>
    <w:pPr>
      <w:tabs>
        <w:tab w:val="center" w:pos="4320"/>
        <w:tab w:val="right" w:pos="8640"/>
      </w:tabs>
    </w:pPr>
  </w:style>
  <w:style w:type="paragraph" w:styleId="BodyText">
    <w:name w:val="Body Text"/>
    <w:basedOn w:val="Normal"/>
    <w:rsid w:val="006B3355"/>
    <w:pPr>
      <w:widowControl w:val="0"/>
      <w:autoSpaceDE w:val="0"/>
      <w:autoSpaceDN w:val="0"/>
      <w:adjustRightInd w:val="0"/>
      <w:spacing w:line="230" w:lineRule="exact"/>
      <w:ind w:right="-23"/>
    </w:pPr>
    <w:rPr>
      <w:rFonts w:ascii="Arial" w:eastAsia="Times New Roman" w:hAnsi="Arial"/>
      <w:color w:val="181512"/>
      <w:sz w:val="19"/>
    </w:rPr>
  </w:style>
  <w:style w:type="paragraph" w:customStyle="1" w:styleId="Heading">
    <w:name w:val="Heading"/>
    <w:basedOn w:val="Normal"/>
    <w:rsid w:val="007F7B10"/>
    <w:pPr>
      <w:spacing w:line="280" w:lineRule="atLeast"/>
    </w:pPr>
    <w:rPr>
      <w:rFonts w:ascii="Arial" w:eastAsia="Times New Roman" w:hAnsi="Arial"/>
      <w:b/>
      <w:sz w:val="19"/>
    </w:rPr>
  </w:style>
  <w:style w:type="table" w:styleId="TableGrid">
    <w:name w:val="Table Grid"/>
    <w:basedOn w:val="TableNormal"/>
    <w:rsid w:val="007F7B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E3CA9"/>
    <w:rPr>
      <w:rFonts w:ascii="Tahoma" w:hAnsi="Tahoma" w:cs="Tahoma"/>
      <w:sz w:val="16"/>
      <w:szCs w:val="16"/>
    </w:rPr>
  </w:style>
  <w:style w:type="character" w:styleId="Hyperlink">
    <w:name w:val="Hyperlink"/>
    <w:rsid w:val="00206BA1"/>
    <w:rPr>
      <w:color w:val="0000FF"/>
      <w:u w:val="single"/>
    </w:rPr>
  </w:style>
  <w:style w:type="paragraph" w:styleId="List">
    <w:name w:val="List"/>
    <w:basedOn w:val="Normal"/>
    <w:rsid w:val="00547B34"/>
    <w:pPr>
      <w:ind w:left="283" w:hanging="283"/>
    </w:pPr>
    <w:rPr>
      <w:rFonts w:ascii="Times New Roman" w:eastAsia="Times New Roman" w:hAnsi="Times New Roman"/>
      <w:szCs w:val="24"/>
      <w:lang w:val="en-US"/>
    </w:rPr>
  </w:style>
  <w:style w:type="paragraph" w:styleId="Salutation">
    <w:name w:val="Salutation"/>
    <w:basedOn w:val="Normal"/>
    <w:next w:val="Normal"/>
    <w:rsid w:val="00547B34"/>
    <w:rPr>
      <w:rFonts w:ascii="Times New Roman" w:eastAsia="Times New Roman" w:hAnsi="Times New Roman"/>
      <w:szCs w:val="24"/>
      <w:lang w:val="en-US"/>
    </w:rPr>
  </w:style>
  <w:style w:type="character" w:styleId="CommentReference">
    <w:name w:val="annotation reference"/>
    <w:semiHidden/>
    <w:rsid w:val="00B97AA2"/>
    <w:rPr>
      <w:sz w:val="16"/>
      <w:szCs w:val="16"/>
    </w:rPr>
  </w:style>
  <w:style w:type="paragraph" w:styleId="CommentText">
    <w:name w:val="annotation text"/>
    <w:basedOn w:val="Normal"/>
    <w:semiHidden/>
    <w:rsid w:val="00B97AA2"/>
    <w:rPr>
      <w:sz w:val="20"/>
    </w:rPr>
  </w:style>
  <w:style w:type="paragraph" w:styleId="CommentSubject">
    <w:name w:val="annotation subject"/>
    <w:basedOn w:val="CommentText"/>
    <w:next w:val="CommentText"/>
    <w:semiHidden/>
    <w:rsid w:val="00B97AA2"/>
    <w:rPr>
      <w:b/>
      <w:bCs/>
    </w:rPr>
  </w:style>
  <w:style w:type="paragraph" w:styleId="NormalWeb">
    <w:name w:val="Normal (Web)"/>
    <w:basedOn w:val="Normal"/>
    <w:uiPriority w:val="99"/>
    <w:unhideWhenUsed/>
    <w:rsid w:val="002151D5"/>
    <w:pPr>
      <w:spacing w:before="100" w:beforeAutospacing="1" w:after="150"/>
    </w:pPr>
    <w:rPr>
      <w:rFonts w:ascii="Times New Roman" w:eastAsia="Times New Roman" w:hAnsi="Times New Roman"/>
      <w:szCs w:val="24"/>
      <w:lang w:val="en-GB" w:eastAsia="en-GB"/>
    </w:rPr>
  </w:style>
  <w:style w:type="character" w:styleId="FollowedHyperlink">
    <w:name w:val="FollowedHyperlink"/>
    <w:uiPriority w:val="99"/>
    <w:semiHidden/>
    <w:unhideWhenUsed/>
    <w:rsid w:val="00E92B9A"/>
    <w:rPr>
      <w:color w:val="800080"/>
      <w:u w:val="single"/>
    </w:rPr>
  </w:style>
  <w:style w:type="paragraph" w:customStyle="1" w:styleId="StyleListArial10ptLeft0mmFirstline0mmLinespa">
    <w:name w:val="Style List + Arial 10 pt Left:  0 mm First line:  0 mm Line spa..."/>
    <w:basedOn w:val="List"/>
    <w:rsid w:val="002F14B5"/>
    <w:pPr>
      <w:keepLines/>
      <w:spacing w:line="260" w:lineRule="atLeast"/>
      <w:ind w:left="0" w:firstLine="0"/>
    </w:pPr>
    <w:rPr>
      <w:rFonts w:ascii="Arial" w:hAnsi="Arial"/>
      <w:sz w:val="20"/>
      <w:szCs w:val="20"/>
    </w:rPr>
  </w:style>
  <w:style w:type="paragraph" w:styleId="PlainText">
    <w:name w:val="Plain Text"/>
    <w:basedOn w:val="Normal"/>
    <w:link w:val="PlainTextChar"/>
    <w:uiPriority w:val="99"/>
    <w:semiHidden/>
    <w:unhideWhenUsed/>
    <w:rsid w:val="006D4953"/>
    <w:rPr>
      <w:rFonts w:ascii="Consolas" w:eastAsia="Calibri" w:hAnsi="Consolas"/>
      <w:sz w:val="21"/>
      <w:szCs w:val="21"/>
    </w:rPr>
  </w:style>
  <w:style w:type="character" w:customStyle="1" w:styleId="PlainTextChar">
    <w:name w:val="Plain Text Char"/>
    <w:basedOn w:val="DefaultParagraphFont"/>
    <w:link w:val="PlainText"/>
    <w:uiPriority w:val="99"/>
    <w:semiHidden/>
    <w:rsid w:val="006D4953"/>
    <w:rPr>
      <w:rFonts w:ascii="Consolas" w:eastAsia="Calibri" w:hAnsi="Consolas" w:cs="Times New Roman"/>
      <w:sz w:val="21"/>
      <w:szCs w:val="21"/>
      <w:lang w:val="en-AU" w:eastAsia="en-US"/>
    </w:rPr>
  </w:style>
  <w:style w:type="paragraph" w:styleId="ListParagraph">
    <w:name w:val="List Paragraph"/>
    <w:basedOn w:val="Normal"/>
    <w:uiPriority w:val="34"/>
    <w:qFormat/>
    <w:rsid w:val="006A2F74"/>
    <w:pPr>
      <w:ind w:left="720"/>
    </w:pPr>
    <w:rPr>
      <w:rFonts w:ascii="Calibri" w:eastAsia="Calibri" w:hAnsi="Calibri"/>
      <w:sz w:val="22"/>
      <w:szCs w:val="22"/>
      <w:lang w:val="en-GB"/>
    </w:rPr>
  </w:style>
  <w:style w:type="paragraph" w:styleId="FootnoteText">
    <w:name w:val="footnote text"/>
    <w:basedOn w:val="Normal"/>
    <w:link w:val="FootnoteTextChar"/>
    <w:uiPriority w:val="99"/>
    <w:semiHidden/>
    <w:unhideWhenUsed/>
    <w:rsid w:val="00885C42"/>
    <w:rPr>
      <w:sz w:val="20"/>
    </w:rPr>
  </w:style>
  <w:style w:type="character" w:customStyle="1" w:styleId="FootnoteTextChar">
    <w:name w:val="Footnote Text Char"/>
    <w:basedOn w:val="DefaultParagraphFont"/>
    <w:link w:val="FootnoteText"/>
    <w:uiPriority w:val="99"/>
    <w:semiHidden/>
    <w:rsid w:val="00885C42"/>
    <w:rPr>
      <w:lang w:eastAsia="en-US"/>
    </w:rPr>
  </w:style>
  <w:style w:type="character" w:styleId="FootnoteReference">
    <w:name w:val="footnote reference"/>
    <w:basedOn w:val="DefaultParagraphFont"/>
    <w:uiPriority w:val="99"/>
    <w:semiHidden/>
    <w:unhideWhenUsed/>
    <w:rsid w:val="00885C42"/>
    <w:rPr>
      <w:vertAlign w:val="superscript"/>
    </w:rPr>
  </w:style>
  <w:style w:type="paragraph" w:styleId="Revision">
    <w:name w:val="Revision"/>
    <w:hidden/>
    <w:uiPriority w:val="99"/>
    <w:semiHidden/>
    <w:rsid w:val="00384F5B"/>
    <w:rPr>
      <w:sz w:val="24"/>
      <w:lang w:val="en-AU" w:eastAsia="en-US"/>
    </w:rPr>
  </w:style>
  <w:style w:type="paragraph" w:customStyle="1" w:styleId="Dateline">
    <w:name w:val="Dateline"/>
    <w:basedOn w:val="Normal"/>
    <w:rsid w:val="00500FCA"/>
    <w:pPr>
      <w:spacing w:line="240" w:lineRule="atLeast"/>
    </w:pPr>
    <w:rPr>
      <w:rFonts w:ascii="Arial" w:hAnsi="Arial"/>
      <w:b/>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355"/>
    <w:rPr>
      <w:sz w:val="24"/>
      <w:lang w:val="en-AU" w:eastAsia="en-US"/>
    </w:rPr>
  </w:style>
  <w:style w:type="paragraph" w:styleId="Heading4">
    <w:name w:val="heading 4"/>
    <w:basedOn w:val="Normal"/>
    <w:next w:val="Normal"/>
    <w:qFormat/>
    <w:rsid w:val="007F7B10"/>
    <w:pPr>
      <w:keepNext/>
      <w:spacing w:line="200" w:lineRule="atLeast"/>
      <w:outlineLvl w:val="3"/>
    </w:pPr>
    <w:rPr>
      <w:rFonts w:ascii="Arial" w:eastAsia="Times New Roman"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355"/>
    <w:pPr>
      <w:tabs>
        <w:tab w:val="center" w:pos="4320"/>
        <w:tab w:val="right" w:pos="8640"/>
      </w:tabs>
    </w:pPr>
  </w:style>
  <w:style w:type="paragraph" w:styleId="Footer">
    <w:name w:val="footer"/>
    <w:basedOn w:val="Normal"/>
    <w:rsid w:val="006B3355"/>
    <w:pPr>
      <w:tabs>
        <w:tab w:val="center" w:pos="4320"/>
        <w:tab w:val="right" w:pos="8640"/>
      </w:tabs>
    </w:pPr>
  </w:style>
  <w:style w:type="paragraph" w:styleId="BodyText">
    <w:name w:val="Body Text"/>
    <w:basedOn w:val="Normal"/>
    <w:rsid w:val="006B3355"/>
    <w:pPr>
      <w:widowControl w:val="0"/>
      <w:autoSpaceDE w:val="0"/>
      <w:autoSpaceDN w:val="0"/>
      <w:adjustRightInd w:val="0"/>
      <w:spacing w:line="230" w:lineRule="exact"/>
      <w:ind w:right="-23"/>
    </w:pPr>
    <w:rPr>
      <w:rFonts w:ascii="Arial" w:eastAsia="Times New Roman" w:hAnsi="Arial"/>
      <w:color w:val="181512"/>
      <w:sz w:val="19"/>
    </w:rPr>
  </w:style>
  <w:style w:type="paragraph" w:customStyle="1" w:styleId="Heading">
    <w:name w:val="Heading"/>
    <w:basedOn w:val="Normal"/>
    <w:rsid w:val="007F7B10"/>
    <w:pPr>
      <w:spacing w:line="280" w:lineRule="atLeast"/>
    </w:pPr>
    <w:rPr>
      <w:rFonts w:ascii="Arial" w:eastAsia="Times New Roman" w:hAnsi="Arial"/>
      <w:b/>
      <w:sz w:val="19"/>
    </w:rPr>
  </w:style>
  <w:style w:type="table" w:styleId="TableGrid">
    <w:name w:val="Table Grid"/>
    <w:basedOn w:val="TableNormal"/>
    <w:rsid w:val="007F7B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E3CA9"/>
    <w:rPr>
      <w:rFonts w:ascii="Tahoma" w:hAnsi="Tahoma" w:cs="Tahoma"/>
      <w:sz w:val="16"/>
      <w:szCs w:val="16"/>
    </w:rPr>
  </w:style>
  <w:style w:type="character" w:styleId="Hyperlink">
    <w:name w:val="Hyperlink"/>
    <w:rsid w:val="00206BA1"/>
    <w:rPr>
      <w:color w:val="0000FF"/>
      <w:u w:val="single"/>
    </w:rPr>
  </w:style>
  <w:style w:type="paragraph" w:styleId="List">
    <w:name w:val="List"/>
    <w:basedOn w:val="Normal"/>
    <w:rsid w:val="00547B34"/>
    <w:pPr>
      <w:ind w:left="283" w:hanging="283"/>
    </w:pPr>
    <w:rPr>
      <w:rFonts w:ascii="Times New Roman" w:eastAsia="Times New Roman" w:hAnsi="Times New Roman"/>
      <w:szCs w:val="24"/>
      <w:lang w:val="en-US"/>
    </w:rPr>
  </w:style>
  <w:style w:type="paragraph" w:styleId="Salutation">
    <w:name w:val="Salutation"/>
    <w:basedOn w:val="Normal"/>
    <w:next w:val="Normal"/>
    <w:rsid w:val="00547B34"/>
    <w:rPr>
      <w:rFonts w:ascii="Times New Roman" w:eastAsia="Times New Roman" w:hAnsi="Times New Roman"/>
      <w:szCs w:val="24"/>
      <w:lang w:val="en-US"/>
    </w:rPr>
  </w:style>
  <w:style w:type="character" w:styleId="CommentReference">
    <w:name w:val="annotation reference"/>
    <w:semiHidden/>
    <w:rsid w:val="00B97AA2"/>
    <w:rPr>
      <w:sz w:val="16"/>
      <w:szCs w:val="16"/>
    </w:rPr>
  </w:style>
  <w:style w:type="paragraph" w:styleId="CommentText">
    <w:name w:val="annotation text"/>
    <w:basedOn w:val="Normal"/>
    <w:semiHidden/>
    <w:rsid w:val="00B97AA2"/>
    <w:rPr>
      <w:sz w:val="20"/>
    </w:rPr>
  </w:style>
  <w:style w:type="paragraph" w:styleId="CommentSubject">
    <w:name w:val="annotation subject"/>
    <w:basedOn w:val="CommentText"/>
    <w:next w:val="CommentText"/>
    <w:semiHidden/>
    <w:rsid w:val="00B97AA2"/>
    <w:rPr>
      <w:b/>
      <w:bCs/>
    </w:rPr>
  </w:style>
  <w:style w:type="paragraph" w:styleId="NormalWeb">
    <w:name w:val="Normal (Web)"/>
    <w:basedOn w:val="Normal"/>
    <w:uiPriority w:val="99"/>
    <w:unhideWhenUsed/>
    <w:rsid w:val="002151D5"/>
    <w:pPr>
      <w:spacing w:before="100" w:beforeAutospacing="1" w:after="150"/>
    </w:pPr>
    <w:rPr>
      <w:rFonts w:ascii="Times New Roman" w:eastAsia="Times New Roman" w:hAnsi="Times New Roman"/>
      <w:szCs w:val="24"/>
      <w:lang w:val="en-GB" w:eastAsia="en-GB"/>
    </w:rPr>
  </w:style>
  <w:style w:type="character" w:styleId="FollowedHyperlink">
    <w:name w:val="FollowedHyperlink"/>
    <w:uiPriority w:val="99"/>
    <w:semiHidden/>
    <w:unhideWhenUsed/>
    <w:rsid w:val="00E92B9A"/>
    <w:rPr>
      <w:color w:val="800080"/>
      <w:u w:val="single"/>
    </w:rPr>
  </w:style>
  <w:style w:type="paragraph" w:customStyle="1" w:styleId="StyleListArial10ptLeft0mmFirstline0mmLinespa">
    <w:name w:val="Style List + Arial 10 pt Left:  0 mm First line:  0 mm Line spa..."/>
    <w:basedOn w:val="List"/>
    <w:rsid w:val="002F14B5"/>
    <w:pPr>
      <w:keepLines/>
      <w:spacing w:line="260" w:lineRule="atLeast"/>
      <w:ind w:left="0" w:firstLine="0"/>
    </w:pPr>
    <w:rPr>
      <w:rFonts w:ascii="Arial" w:hAnsi="Arial"/>
      <w:sz w:val="20"/>
      <w:szCs w:val="20"/>
    </w:rPr>
  </w:style>
  <w:style w:type="paragraph" w:styleId="PlainText">
    <w:name w:val="Plain Text"/>
    <w:basedOn w:val="Normal"/>
    <w:link w:val="PlainTextChar"/>
    <w:uiPriority w:val="99"/>
    <w:semiHidden/>
    <w:unhideWhenUsed/>
    <w:rsid w:val="006D4953"/>
    <w:rPr>
      <w:rFonts w:ascii="Consolas" w:eastAsia="Calibri" w:hAnsi="Consolas"/>
      <w:sz w:val="21"/>
      <w:szCs w:val="21"/>
    </w:rPr>
  </w:style>
  <w:style w:type="character" w:customStyle="1" w:styleId="PlainTextChar">
    <w:name w:val="Plain Text Char"/>
    <w:basedOn w:val="DefaultParagraphFont"/>
    <w:link w:val="PlainText"/>
    <w:uiPriority w:val="99"/>
    <w:semiHidden/>
    <w:rsid w:val="006D4953"/>
    <w:rPr>
      <w:rFonts w:ascii="Consolas" w:eastAsia="Calibri" w:hAnsi="Consolas" w:cs="Times New Roman"/>
      <w:sz w:val="21"/>
      <w:szCs w:val="21"/>
      <w:lang w:val="en-AU" w:eastAsia="en-US"/>
    </w:rPr>
  </w:style>
  <w:style w:type="paragraph" w:styleId="ListParagraph">
    <w:name w:val="List Paragraph"/>
    <w:basedOn w:val="Normal"/>
    <w:uiPriority w:val="34"/>
    <w:qFormat/>
    <w:rsid w:val="006A2F74"/>
    <w:pPr>
      <w:ind w:left="720"/>
    </w:pPr>
    <w:rPr>
      <w:rFonts w:ascii="Calibri" w:eastAsia="Calibri" w:hAnsi="Calibri"/>
      <w:sz w:val="22"/>
      <w:szCs w:val="22"/>
      <w:lang w:val="en-GB"/>
    </w:rPr>
  </w:style>
  <w:style w:type="paragraph" w:styleId="FootnoteText">
    <w:name w:val="footnote text"/>
    <w:basedOn w:val="Normal"/>
    <w:link w:val="FootnoteTextChar"/>
    <w:uiPriority w:val="99"/>
    <w:semiHidden/>
    <w:unhideWhenUsed/>
    <w:rsid w:val="00885C42"/>
    <w:rPr>
      <w:sz w:val="20"/>
    </w:rPr>
  </w:style>
  <w:style w:type="character" w:customStyle="1" w:styleId="FootnoteTextChar">
    <w:name w:val="Footnote Text Char"/>
    <w:basedOn w:val="DefaultParagraphFont"/>
    <w:link w:val="FootnoteText"/>
    <w:uiPriority w:val="99"/>
    <w:semiHidden/>
    <w:rsid w:val="00885C42"/>
    <w:rPr>
      <w:lang w:eastAsia="en-US"/>
    </w:rPr>
  </w:style>
  <w:style w:type="character" w:styleId="FootnoteReference">
    <w:name w:val="footnote reference"/>
    <w:basedOn w:val="DefaultParagraphFont"/>
    <w:uiPriority w:val="99"/>
    <w:semiHidden/>
    <w:unhideWhenUsed/>
    <w:rsid w:val="00885C42"/>
    <w:rPr>
      <w:vertAlign w:val="superscript"/>
    </w:rPr>
  </w:style>
  <w:style w:type="paragraph" w:styleId="Revision">
    <w:name w:val="Revision"/>
    <w:hidden/>
    <w:uiPriority w:val="99"/>
    <w:semiHidden/>
    <w:rsid w:val="00384F5B"/>
    <w:rPr>
      <w:sz w:val="24"/>
      <w:lang w:val="en-AU" w:eastAsia="en-US"/>
    </w:rPr>
  </w:style>
  <w:style w:type="paragraph" w:customStyle="1" w:styleId="Dateline">
    <w:name w:val="Dateline"/>
    <w:basedOn w:val="Normal"/>
    <w:rsid w:val="00500FCA"/>
    <w:pPr>
      <w:spacing w:line="240" w:lineRule="atLeast"/>
    </w:pPr>
    <w:rPr>
      <w:rFonts w:ascii="Arial" w:hAnsi="Arial"/>
      <w:b/>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339">
      <w:bodyDiv w:val="1"/>
      <w:marLeft w:val="0"/>
      <w:marRight w:val="0"/>
      <w:marTop w:val="0"/>
      <w:marBottom w:val="0"/>
      <w:divBdr>
        <w:top w:val="none" w:sz="0" w:space="0" w:color="auto"/>
        <w:left w:val="none" w:sz="0" w:space="0" w:color="auto"/>
        <w:bottom w:val="none" w:sz="0" w:space="0" w:color="auto"/>
        <w:right w:val="none" w:sz="0" w:space="0" w:color="auto"/>
      </w:divBdr>
    </w:div>
    <w:div w:id="16586436">
      <w:bodyDiv w:val="1"/>
      <w:marLeft w:val="0"/>
      <w:marRight w:val="0"/>
      <w:marTop w:val="0"/>
      <w:marBottom w:val="0"/>
      <w:divBdr>
        <w:top w:val="none" w:sz="0" w:space="0" w:color="auto"/>
        <w:left w:val="none" w:sz="0" w:space="0" w:color="auto"/>
        <w:bottom w:val="none" w:sz="0" w:space="0" w:color="auto"/>
        <w:right w:val="none" w:sz="0" w:space="0" w:color="auto"/>
      </w:divBdr>
    </w:div>
    <w:div w:id="67582698">
      <w:bodyDiv w:val="1"/>
      <w:marLeft w:val="0"/>
      <w:marRight w:val="0"/>
      <w:marTop w:val="0"/>
      <w:marBottom w:val="0"/>
      <w:divBdr>
        <w:top w:val="none" w:sz="0" w:space="0" w:color="auto"/>
        <w:left w:val="none" w:sz="0" w:space="0" w:color="auto"/>
        <w:bottom w:val="none" w:sz="0" w:space="0" w:color="auto"/>
        <w:right w:val="none" w:sz="0" w:space="0" w:color="auto"/>
      </w:divBdr>
      <w:divsChild>
        <w:div w:id="1511024347">
          <w:marLeft w:val="0"/>
          <w:marRight w:val="0"/>
          <w:marTop w:val="0"/>
          <w:marBottom w:val="0"/>
          <w:divBdr>
            <w:top w:val="none" w:sz="0" w:space="0" w:color="auto"/>
            <w:left w:val="none" w:sz="0" w:space="0" w:color="auto"/>
            <w:bottom w:val="none" w:sz="0" w:space="0" w:color="auto"/>
            <w:right w:val="none" w:sz="0" w:space="0" w:color="auto"/>
          </w:divBdr>
          <w:divsChild>
            <w:div w:id="126163281">
              <w:marLeft w:val="0"/>
              <w:marRight w:val="0"/>
              <w:marTop w:val="0"/>
              <w:marBottom w:val="0"/>
              <w:divBdr>
                <w:top w:val="none" w:sz="0" w:space="0" w:color="auto"/>
                <w:left w:val="none" w:sz="0" w:space="0" w:color="auto"/>
                <w:bottom w:val="none" w:sz="0" w:space="0" w:color="auto"/>
                <w:right w:val="none" w:sz="0" w:space="0" w:color="auto"/>
              </w:divBdr>
              <w:divsChild>
                <w:div w:id="9243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93416">
      <w:bodyDiv w:val="1"/>
      <w:marLeft w:val="0"/>
      <w:marRight w:val="0"/>
      <w:marTop w:val="0"/>
      <w:marBottom w:val="0"/>
      <w:divBdr>
        <w:top w:val="none" w:sz="0" w:space="0" w:color="auto"/>
        <w:left w:val="none" w:sz="0" w:space="0" w:color="auto"/>
        <w:bottom w:val="none" w:sz="0" w:space="0" w:color="auto"/>
        <w:right w:val="none" w:sz="0" w:space="0" w:color="auto"/>
      </w:divBdr>
    </w:div>
    <w:div w:id="379981456">
      <w:bodyDiv w:val="1"/>
      <w:marLeft w:val="0"/>
      <w:marRight w:val="0"/>
      <w:marTop w:val="0"/>
      <w:marBottom w:val="0"/>
      <w:divBdr>
        <w:top w:val="none" w:sz="0" w:space="0" w:color="auto"/>
        <w:left w:val="none" w:sz="0" w:space="0" w:color="auto"/>
        <w:bottom w:val="none" w:sz="0" w:space="0" w:color="auto"/>
        <w:right w:val="none" w:sz="0" w:space="0" w:color="auto"/>
      </w:divBdr>
      <w:divsChild>
        <w:div w:id="423189084">
          <w:marLeft w:val="0"/>
          <w:marRight w:val="0"/>
          <w:marTop w:val="0"/>
          <w:marBottom w:val="0"/>
          <w:divBdr>
            <w:top w:val="none" w:sz="0" w:space="0" w:color="auto"/>
            <w:left w:val="none" w:sz="0" w:space="0" w:color="auto"/>
            <w:bottom w:val="none" w:sz="0" w:space="0" w:color="auto"/>
            <w:right w:val="none" w:sz="0" w:space="0" w:color="auto"/>
          </w:divBdr>
          <w:divsChild>
            <w:div w:id="429620674">
              <w:marLeft w:val="0"/>
              <w:marRight w:val="0"/>
              <w:marTop w:val="0"/>
              <w:marBottom w:val="0"/>
              <w:divBdr>
                <w:top w:val="none" w:sz="0" w:space="0" w:color="auto"/>
                <w:left w:val="none" w:sz="0" w:space="0" w:color="auto"/>
                <w:bottom w:val="none" w:sz="0" w:space="0" w:color="auto"/>
                <w:right w:val="none" w:sz="0" w:space="0" w:color="auto"/>
              </w:divBdr>
              <w:divsChild>
                <w:div w:id="1034235861">
                  <w:marLeft w:val="0"/>
                  <w:marRight w:val="0"/>
                  <w:marTop w:val="0"/>
                  <w:marBottom w:val="0"/>
                  <w:divBdr>
                    <w:top w:val="none" w:sz="0" w:space="0" w:color="auto"/>
                    <w:left w:val="none" w:sz="0" w:space="0" w:color="auto"/>
                    <w:bottom w:val="none" w:sz="0" w:space="0" w:color="auto"/>
                    <w:right w:val="none" w:sz="0" w:space="0" w:color="auto"/>
                  </w:divBdr>
                  <w:divsChild>
                    <w:div w:id="27342960">
                      <w:marLeft w:val="0"/>
                      <w:marRight w:val="0"/>
                      <w:marTop w:val="0"/>
                      <w:marBottom w:val="300"/>
                      <w:divBdr>
                        <w:top w:val="single" w:sz="6" w:space="0" w:color="CCCCCC"/>
                        <w:left w:val="single" w:sz="6" w:space="0" w:color="CCCCCC"/>
                        <w:bottom w:val="single" w:sz="6" w:space="0" w:color="CCCCCC"/>
                        <w:right w:val="single" w:sz="6" w:space="0" w:color="CCCCCC"/>
                      </w:divBdr>
                      <w:divsChild>
                        <w:div w:id="14711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900330">
      <w:bodyDiv w:val="1"/>
      <w:marLeft w:val="0"/>
      <w:marRight w:val="0"/>
      <w:marTop w:val="0"/>
      <w:marBottom w:val="0"/>
      <w:divBdr>
        <w:top w:val="none" w:sz="0" w:space="0" w:color="auto"/>
        <w:left w:val="none" w:sz="0" w:space="0" w:color="auto"/>
        <w:bottom w:val="none" w:sz="0" w:space="0" w:color="auto"/>
        <w:right w:val="none" w:sz="0" w:space="0" w:color="auto"/>
      </w:divBdr>
    </w:div>
    <w:div w:id="761798281">
      <w:bodyDiv w:val="1"/>
      <w:marLeft w:val="0"/>
      <w:marRight w:val="0"/>
      <w:marTop w:val="0"/>
      <w:marBottom w:val="0"/>
      <w:divBdr>
        <w:top w:val="none" w:sz="0" w:space="0" w:color="auto"/>
        <w:left w:val="none" w:sz="0" w:space="0" w:color="auto"/>
        <w:bottom w:val="none" w:sz="0" w:space="0" w:color="auto"/>
        <w:right w:val="none" w:sz="0" w:space="0" w:color="auto"/>
      </w:divBdr>
      <w:divsChild>
        <w:div w:id="2038000665">
          <w:marLeft w:val="0"/>
          <w:marRight w:val="0"/>
          <w:marTop w:val="0"/>
          <w:marBottom w:val="0"/>
          <w:divBdr>
            <w:top w:val="none" w:sz="0" w:space="0" w:color="auto"/>
            <w:left w:val="none" w:sz="0" w:space="0" w:color="auto"/>
            <w:bottom w:val="none" w:sz="0" w:space="0" w:color="auto"/>
            <w:right w:val="none" w:sz="0" w:space="0" w:color="auto"/>
          </w:divBdr>
          <w:divsChild>
            <w:div w:id="1750031239">
              <w:marLeft w:val="0"/>
              <w:marRight w:val="0"/>
              <w:marTop w:val="0"/>
              <w:marBottom w:val="0"/>
              <w:divBdr>
                <w:top w:val="none" w:sz="0" w:space="0" w:color="auto"/>
                <w:left w:val="none" w:sz="0" w:space="0" w:color="auto"/>
                <w:bottom w:val="none" w:sz="0" w:space="0" w:color="auto"/>
                <w:right w:val="none" w:sz="0" w:space="0" w:color="auto"/>
              </w:divBdr>
              <w:divsChild>
                <w:div w:id="985400540">
                  <w:marLeft w:val="0"/>
                  <w:marRight w:val="0"/>
                  <w:marTop w:val="0"/>
                  <w:marBottom w:val="0"/>
                  <w:divBdr>
                    <w:top w:val="none" w:sz="0" w:space="0" w:color="auto"/>
                    <w:left w:val="none" w:sz="0" w:space="0" w:color="auto"/>
                    <w:bottom w:val="none" w:sz="0" w:space="0" w:color="auto"/>
                    <w:right w:val="none" w:sz="0" w:space="0" w:color="auto"/>
                  </w:divBdr>
                  <w:divsChild>
                    <w:div w:id="1257786291">
                      <w:marLeft w:val="0"/>
                      <w:marRight w:val="0"/>
                      <w:marTop w:val="0"/>
                      <w:marBottom w:val="300"/>
                      <w:divBdr>
                        <w:top w:val="single" w:sz="6" w:space="0" w:color="CCCCCC"/>
                        <w:left w:val="single" w:sz="6" w:space="0" w:color="CCCCCC"/>
                        <w:bottom w:val="single" w:sz="6" w:space="0" w:color="CCCCCC"/>
                        <w:right w:val="single" w:sz="6" w:space="0" w:color="CCCCCC"/>
                      </w:divBdr>
                      <w:divsChild>
                        <w:div w:id="11537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482474">
      <w:bodyDiv w:val="1"/>
      <w:marLeft w:val="0"/>
      <w:marRight w:val="0"/>
      <w:marTop w:val="0"/>
      <w:marBottom w:val="0"/>
      <w:divBdr>
        <w:top w:val="none" w:sz="0" w:space="0" w:color="auto"/>
        <w:left w:val="none" w:sz="0" w:space="0" w:color="auto"/>
        <w:bottom w:val="none" w:sz="0" w:space="0" w:color="auto"/>
        <w:right w:val="none" w:sz="0" w:space="0" w:color="auto"/>
      </w:divBdr>
    </w:div>
    <w:div w:id="1130824599">
      <w:bodyDiv w:val="1"/>
      <w:marLeft w:val="0"/>
      <w:marRight w:val="0"/>
      <w:marTop w:val="0"/>
      <w:marBottom w:val="0"/>
      <w:divBdr>
        <w:top w:val="none" w:sz="0" w:space="0" w:color="auto"/>
        <w:left w:val="none" w:sz="0" w:space="0" w:color="auto"/>
        <w:bottom w:val="none" w:sz="0" w:space="0" w:color="auto"/>
        <w:right w:val="none" w:sz="0" w:space="0" w:color="auto"/>
      </w:divBdr>
    </w:div>
    <w:div w:id="1234194604">
      <w:bodyDiv w:val="1"/>
      <w:marLeft w:val="0"/>
      <w:marRight w:val="0"/>
      <w:marTop w:val="0"/>
      <w:marBottom w:val="0"/>
      <w:divBdr>
        <w:top w:val="none" w:sz="0" w:space="0" w:color="auto"/>
        <w:left w:val="none" w:sz="0" w:space="0" w:color="auto"/>
        <w:bottom w:val="none" w:sz="0" w:space="0" w:color="auto"/>
        <w:right w:val="none" w:sz="0" w:space="0" w:color="auto"/>
      </w:divBdr>
    </w:div>
    <w:div w:id="1283918106">
      <w:bodyDiv w:val="1"/>
      <w:marLeft w:val="0"/>
      <w:marRight w:val="0"/>
      <w:marTop w:val="0"/>
      <w:marBottom w:val="0"/>
      <w:divBdr>
        <w:top w:val="none" w:sz="0" w:space="0" w:color="auto"/>
        <w:left w:val="none" w:sz="0" w:space="0" w:color="auto"/>
        <w:bottom w:val="none" w:sz="0" w:space="0" w:color="auto"/>
        <w:right w:val="none" w:sz="0" w:space="0" w:color="auto"/>
      </w:divBdr>
    </w:div>
    <w:div w:id="1392342663">
      <w:bodyDiv w:val="1"/>
      <w:marLeft w:val="0"/>
      <w:marRight w:val="0"/>
      <w:marTop w:val="0"/>
      <w:marBottom w:val="0"/>
      <w:divBdr>
        <w:top w:val="none" w:sz="0" w:space="0" w:color="auto"/>
        <w:left w:val="none" w:sz="0" w:space="0" w:color="auto"/>
        <w:bottom w:val="none" w:sz="0" w:space="0" w:color="auto"/>
        <w:right w:val="none" w:sz="0" w:space="0" w:color="auto"/>
      </w:divBdr>
    </w:div>
    <w:div w:id="1439909150">
      <w:bodyDiv w:val="1"/>
      <w:marLeft w:val="0"/>
      <w:marRight w:val="0"/>
      <w:marTop w:val="0"/>
      <w:marBottom w:val="0"/>
      <w:divBdr>
        <w:top w:val="none" w:sz="0" w:space="0" w:color="auto"/>
        <w:left w:val="none" w:sz="0" w:space="0" w:color="auto"/>
        <w:bottom w:val="none" w:sz="0" w:space="0" w:color="auto"/>
        <w:right w:val="none" w:sz="0" w:space="0" w:color="auto"/>
      </w:divBdr>
    </w:div>
    <w:div w:id="1487820143">
      <w:bodyDiv w:val="1"/>
      <w:marLeft w:val="0"/>
      <w:marRight w:val="0"/>
      <w:marTop w:val="0"/>
      <w:marBottom w:val="0"/>
      <w:divBdr>
        <w:top w:val="none" w:sz="0" w:space="0" w:color="auto"/>
        <w:left w:val="none" w:sz="0" w:space="0" w:color="auto"/>
        <w:bottom w:val="none" w:sz="0" w:space="0" w:color="auto"/>
        <w:right w:val="none" w:sz="0" w:space="0" w:color="auto"/>
      </w:divBdr>
    </w:div>
    <w:div w:id="1645771785">
      <w:bodyDiv w:val="1"/>
      <w:marLeft w:val="0"/>
      <w:marRight w:val="0"/>
      <w:marTop w:val="0"/>
      <w:marBottom w:val="0"/>
      <w:divBdr>
        <w:top w:val="none" w:sz="0" w:space="0" w:color="auto"/>
        <w:left w:val="none" w:sz="0" w:space="0" w:color="auto"/>
        <w:bottom w:val="none" w:sz="0" w:space="0" w:color="auto"/>
        <w:right w:val="none" w:sz="0" w:space="0" w:color="auto"/>
      </w:divBdr>
    </w:div>
    <w:div w:id="1691377268">
      <w:bodyDiv w:val="1"/>
      <w:marLeft w:val="0"/>
      <w:marRight w:val="0"/>
      <w:marTop w:val="0"/>
      <w:marBottom w:val="0"/>
      <w:divBdr>
        <w:top w:val="none" w:sz="0" w:space="0" w:color="auto"/>
        <w:left w:val="none" w:sz="0" w:space="0" w:color="auto"/>
        <w:bottom w:val="none" w:sz="0" w:space="0" w:color="auto"/>
        <w:right w:val="none" w:sz="0" w:space="0" w:color="auto"/>
      </w:divBdr>
      <w:divsChild>
        <w:div w:id="1949772773">
          <w:marLeft w:val="562"/>
          <w:marRight w:val="0"/>
          <w:marTop w:val="60"/>
          <w:marBottom w:val="0"/>
          <w:divBdr>
            <w:top w:val="none" w:sz="0" w:space="0" w:color="auto"/>
            <w:left w:val="none" w:sz="0" w:space="0" w:color="auto"/>
            <w:bottom w:val="none" w:sz="0" w:space="0" w:color="auto"/>
            <w:right w:val="none" w:sz="0" w:space="0" w:color="auto"/>
          </w:divBdr>
        </w:div>
        <w:div w:id="137386563">
          <w:marLeft w:val="562"/>
          <w:marRight w:val="0"/>
          <w:marTop w:val="60"/>
          <w:marBottom w:val="0"/>
          <w:divBdr>
            <w:top w:val="none" w:sz="0" w:space="0" w:color="auto"/>
            <w:left w:val="none" w:sz="0" w:space="0" w:color="auto"/>
            <w:bottom w:val="none" w:sz="0" w:space="0" w:color="auto"/>
            <w:right w:val="none" w:sz="0" w:space="0" w:color="auto"/>
          </w:divBdr>
        </w:div>
        <w:div w:id="1557352605">
          <w:marLeft w:val="562"/>
          <w:marRight w:val="0"/>
          <w:marTop w:val="60"/>
          <w:marBottom w:val="0"/>
          <w:divBdr>
            <w:top w:val="none" w:sz="0" w:space="0" w:color="auto"/>
            <w:left w:val="none" w:sz="0" w:space="0" w:color="auto"/>
            <w:bottom w:val="none" w:sz="0" w:space="0" w:color="auto"/>
            <w:right w:val="none" w:sz="0" w:space="0" w:color="auto"/>
          </w:divBdr>
        </w:div>
        <w:div w:id="887112304">
          <w:marLeft w:val="562"/>
          <w:marRight w:val="0"/>
          <w:marTop w:val="60"/>
          <w:marBottom w:val="0"/>
          <w:divBdr>
            <w:top w:val="none" w:sz="0" w:space="0" w:color="auto"/>
            <w:left w:val="none" w:sz="0" w:space="0" w:color="auto"/>
            <w:bottom w:val="none" w:sz="0" w:space="0" w:color="auto"/>
            <w:right w:val="none" w:sz="0" w:space="0" w:color="auto"/>
          </w:divBdr>
        </w:div>
        <w:div w:id="1574004855">
          <w:marLeft w:val="562"/>
          <w:marRight w:val="0"/>
          <w:marTop w:val="60"/>
          <w:marBottom w:val="0"/>
          <w:divBdr>
            <w:top w:val="none" w:sz="0" w:space="0" w:color="auto"/>
            <w:left w:val="none" w:sz="0" w:space="0" w:color="auto"/>
            <w:bottom w:val="none" w:sz="0" w:space="0" w:color="auto"/>
            <w:right w:val="none" w:sz="0" w:space="0" w:color="auto"/>
          </w:divBdr>
        </w:div>
        <w:div w:id="1311910203">
          <w:marLeft w:val="562"/>
          <w:marRight w:val="0"/>
          <w:marTop w:val="60"/>
          <w:marBottom w:val="0"/>
          <w:divBdr>
            <w:top w:val="none" w:sz="0" w:space="0" w:color="auto"/>
            <w:left w:val="none" w:sz="0" w:space="0" w:color="auto"/>
            <w:bottom w:val="none" w:sz="0" w:space="0" w:color="auto"/>
            <w:right w:val="none" w:sz="0" w:space="0" w:color="auto"/>
          </w:divBdr>
        </w:div>
        <w:div w:id="1254702025">
          <w:marLeft w:val="562"/>
          <w:marRight w:val="0"/>
          <w:marTop w:val="60"/>
          <w:marBottom w:val="0"/>
          <w:divBdr>
            <w:top w:val="none" w:sz="0" w:space="0" w:color="auto"/>
            <w:left w:val="none" w:sz="0" w:space="0" w:color="auto"/>
            <w:bottom w:val="none" w:sz="0" w:space="0" w:color="auto"/>
            <w:right w:val="none" w:sz="0" w:space="0" w:color="auto"/>
          </w:divBdr>
        </w:div>
        <w:div w:id="461731023">
          <w:marLeft w:val="562"/>
          <w:marRight w:val="0"/>
          <w:marTop w:val="60"/>
          <w:marBottom w:val="0"/>
          <w:divBdr>
            <w:top w:val="none" w:sz="0" w:space="0" w:color="auto"/>
            <w:left w:val="none" w:sz="0" w:space="0" w:color="auto"/>
            <w:bottom w:val="none" w:sz="0" w:space="0" w:color="auto"/>
            <w:right w:val="none" w:sz="0" w:space="0" w:color="auto"/>
          </w:divBdr>
        </w:div>
        <w:div w:id="1666930265">
          <w:marLeft w:val="562"/>
          <w:marRight w:val="0"/>
          <w:marTop w:val="60"/>
          <w:marBottom w:val="0"/>
          <w:divBdr>
            <w:top w:val="none" w:sz="0" w:space="0" w:color="auto"/>
            <w:left w:val="none" w:sz="0" w:space="0" w:color="auto"/>
            <w:bottom w:val="none" w:sz="0" w:space="0" w:color="auto"/>
            <w:right w:val="none" w:sz="0" w:space="0" w:color="auto"/>
          </w:divBdr>
        </w:div>
        <w:div w:id="645012489">
          <w:marLeft w:val="562"/>
          <w:marRight w:val="0"/>
          <w:marTop w:val="60"/>
          <w:marBottom w:val="0"/>
          <w:divBdr>
            <w:top w:val="none" w:sz="0" w:space="0" w:color="auto"/>
            <w:left w:val="none" w:sz="0" w:space="0" w:color="auto"/>
            <w:bottom w:val="none" w:sz="0" w:space="0" w:color="auto"/>
            <w:right w:val="none" w:sz="0" w:space="0" w:color="auto"/>
          </w:divBdr>
        </w:div>
        <w:div w:id="49808604">
          <w:marLeft w:val="562"/>
          <w:marRight w:val="0"/>
          <w:marTop w:val="60"/>
          <w:marBottom w:val="0"/>
          <w:divBdr>
            <w:top w:val="none" w:sz="0" w:space="0" w:color="auto"/>
            <w:left w:val="none" w:sz="0" w:space="0" w:color="auto"/>
            <w:bottom w:val="none" w:sz="0" w:space="0" w:color="auto"/>
            <w:right w:val="none" w:sz="0" w:space="0" w:color="auto"/>
          </w:divBdr>
        </w:div>
      </w:divsChild>
    </w:div>
    <w:div w:id="1757094228">
      <w:bodyDiv w:val="1"/>
      <w:marLeft w:val="0"/>
      <w:marRight w:val="0"/>
      <w:marTop w:val="0"/>
      <w:marBottom w:val="0"/>
      <w:divBdr>
        <w:top w:val="none" w:sz="0" w:space="0" w:color="auto"/>
        <w:left w:val="none" w:sz="0" w:space="0" w:color="auto"/>
        <w:bottom w:val="none" w:sz="0" w:space="0" w:color="auto"/>
        <w:right w:val="none" w:sz="0" w:space="0" w:color="auto"/>
      </w:divBdr>
    </w:div>
    <w:div w:id="1810515275">
      <w:bodyDiv w:val="1"/>
      <w:marLeft w:val="0"/>
      <w:marRight w:val="0"/>
      <w:marTop w:val="0"/>
      <w:marBottom w:val="0"/>
      <w:divBdr>
        <w:top w:val="none" w:sz="0" w:space="0" w:color="auto"/>
        <w:left w:val="none" w:sz="0" w:space="0" w:color="auto"/>
        <w:bottom w:val="none" w:sz="0" w:space="0" w:color="auto"/>
        <w:right w:val="none" w:sz="0" w:space="0" w:color="auto"/>
      </w:divBdr>
    </w:div>
    <w:div w:id="1904295355">
      <w:bodyDiv w:val="1"/>
      <w:marLeft w:val="0"/>
      <w:marRight w:val="0"/>
      <w:marTop w:val="0"/>
      <w:marBottom w:val="0"/>
      <w:divBdr>
        <w:top w:val="none" w:sz="0" w:space="0" w:color="auto"/>
        <w:left w:val="none" w:sz="0" w:space="0" w:color="auto"/>
        <w:bottom w:val="none" w:sz="0" w:space="0" w:color="auto"/>
        <w:right w:val="none" w:sz="0" w:space="0" w:color="auto"/>
      </w:divBdr>
    </w:div>
    <w:div w:id="19153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wb@qrc.org.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qca.org.au/files/OBPR-CIE-FinalReport-InterimMRBurdenofRegulation-111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cience.org.au/policy/documents/uncover-repor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org.au/policy/documents/uncover-report.pdf" TargetMode="External"/><Relationship Id="rId5" Type="http://schemas.openxmlformats.org/officeDocument/2006/relationships/settings" Target="settings.xml"/><Relationship Id="rId15" Type="http://schemas.openxmlformats.org/officeDocument/2006/relationships/hyperlink" Target="http://www.qca.org.au/files/OBPR-CIE-FinalReport-InterimMRBurdenofRegulation-1112.pdf" TargetMode="External"/><Relationship Id="rId10" Type="http://schemas.openxmlformats.org/officeDocument/2006/relationships/hyperlink" Target="file:///C:\Users\andrewb\AppData\Local\Microsoft\Windows\Temporary%20Internet%20Files\Content.Outlook\ZCON2QYH\See%20http:\www.queenslandexploration.com.au\wp-content\uploads\2011\05\QEC-Exploration-Scorecard-2012-Final.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resourceexploration@pc.gov.au" TargetMode="External"/><Relationship Id="rId14" Type="http://schemas.openxmlformats.org/officeDocument/2006/relationships/hyperlink" Target="http://www.queenslandexploration.com.au/wp-content/uploads/2011/05/QEC-Exploration-Scorecard-2012-Fina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2BA9D-4CD0-4B01-8B85-F7201B459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2983</Words>
  <Characters>17974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Caroline Morrissey</vt:lpstr>
    </vt:vector>
  </TitlesOfParts>
  <Company>..</Company>
  <LinksUpToDate>false</LinksUpToDate>
  <CharactersWithSpaces>20916</CharactersWithSpaces>
  <SharedDoc>false</SharedDoc>
  <HLinks>
    <vt:vector size="30" baseType="variant">
      <vt:variant>
        <vt:i4>1769569</vt:i4>
      </vt:variant>
      <vt:variant>
        <vt:i4>12</vt:i4>
      </vt:variant>
      <vt:variant>
        <vt:i4>0</vt:i4>
      </vt:variant>
      <vt:variant>
        <vt:i4>5</vt:i4>
      </vt:variant>
      <vt:variant>
        <vt:lpwstr>mailto:andrewb@qrc.org.au</vt:lpwstr>
      </vt:variant>
      <vt:variant>
        <vt:lpwstr/>
      </vt:variant>
      <vt:variant>
        <vt:i4>458823</vt:i4>
      </vt:variant>
      <vt:variant>
        <vt:i4>9</vt:i4>
      </vt:variant>
      <vt:variant>
        <vt:i4>0</vt:i4>
      </vt:variant>
      <vt:variant>
        <vt:i4>5</vt:i4>
      </vt:variant>
      <vt:variant>
        <vt:lpwstr>http://www.qca.org.au/files/OBPR-CIE-FinalReport-InterimMRBurdenofRegulation-1112.pdf</vt:lpwstr>
      </vt:variant>
      <vt:variant>
        <vt:lpwstr/>
      </vt:variant>
      <vt:variant>
        <vt:i4>4980762</vt:i4>
      </vt:variant>
      <vt:variant>
        <vt:i4>6</vt:i4>
      </vt:variant>
      <vt:variant>
        <vt:i4>0</vt:i4>
      </vt:variant>
      <vt:variant>
        <vt:i4>5</vt:i4>
      </vt:variant>
      <vt:variant>
        <vt:lpwstr>http://www.qca.org.au/files/OBPR-QCA-Report-InterimMRBurdenofRegulation-1112.pdf</vt:lpwstr>
      </vt:variant>
      <vt:variant>
        <vt:lpwstr/>
      </vt:variant>
      <vt:variant>
        <vt:i4>589850</vt:i4>
      </vt:variant>
      <vt:variant>
        <vt:i4>3</vt:i4>
      </vt:variant>
      <vt:variant>
        <vt:i4>0</vt:i4>
      </vt:variant>
      <vt:variant>
        <vt:i4>5</vt:i4>
      </vt:variant>
      <vt:variant>
        <vt:lpwstr>http://mines.industry.qld.gov.au/assets/mines-pdf/report_industry_response.pdf</vt:lpwstr>
      </vt:variant>
      <vt:variant>
        <vt:lpwstr/>
      </vt:variant>
      <vt:variant>
        <vt:i4>4718655</vt:i4>
      </vt:variant>
      <vt:variant>
        <vt:i4>0</vt:i4>
      </vt:variant>
      <vt:variant>
        <vt:i4>0</vt:i4>
      </vt:variant>
      <vt:variant>
        <vt:i4>5</vt:i4>
      </vt:variant>
      <vt:variant>
        <vt:lpwstr>mailto:dan.hunt@dnrm.qld.gov.au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Queensland Resources Council and Queensland Exploration Council - Mineral and Energy Resouce Exploration - Public inquiry</dc:title>
  <dc:creator>Queensland Resources Council and Queensland Exploration Council</dc:creator>
  <cp:lastModifiedBy>Productivity Commission</cp:lastModifiedBy>
  <cp:revision>3</cp:revision>
  <cp:lastPrinted>2013-03-12T03:44:00Z</cp:lastPrinted>
  <dcterms:created xsi:type="dcterms:W3CDTF">2013-03-18T00:42:00Z</dcterms:created>
  <dcterms:modified xsi:type="dcterms:W3CDTF">2013-03-18T04:10:00Z</dcterms:modified>
</cp:coreProperties>
</file>