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91" w:rsidRPr="00FA3E40" w:rsidRDefault="002D0291" w:rsidP="00FA3E40">
      <w:pPr>
        <w:pStyle w:val="Heading1"/>
        <w:rPr>
          <w:color w:val="FFFFFF" w:themeColor="background1"/>
          <w:sz w:val="16"/>
          <w:szCs w:val="16"/>
        </w:rPr>
      </w:pPr>
      <w:r w:rsidRPr="00FA3E40">
        <w:rPr>
          <w:color w:val="FFFFFF" w:themeColor="background1"/>
          <w:sz w:val="16"/>
          <w:szCs w:val="16"/>
        </w:rPr>
        <w:t>Resources Sector Regulation</w:t>
      </w:r>
      <w:bookmarkStart w:id="0" w:name="_GoBack"/>
      <w:bookmarkEnd w:id="0"/>
    </w:p>
    <w:p w:rsidR="002D0291" w:rsidRPr="00FA3E40" w:rsidRDefault="002D0291" w:rsidP="00FA3E40">
      <w:pPr>
        <w:pStyle w:val="BodyText"/>
        <w:rPr>
          <w:color w:val="FFFFFF" w:themeColor="background1"/>
          <w:sz w:val="16"/>
          <w:szCs w:val="16"/>
        </w:rPr>
      </w:pPr>
      <w:r w:rsidRPr="00FA3E40">
        <w:rPr>
          <w:color w:val="FFFFFF" w:themeColor="background1"/>
          <w:sz w:val="16"/>
          <w:szCs w:val="16"/>
        </w:rPr>
        <w:t>Productivity Commission Issues Paper</w:t>
      </w:r>
      <w:r w:rsidR="00FA3E40">
        <w:rPr>
          <w:noProof/>
        </w:rPr>
        <w:drawing>
          <wp:anchor distT="0" distB="0" distL="114300" distR="114300" simplePos="0" relativeHeight="251659264" behindDoc="0" locked="0" layoutInCell="1" allowOverlap="1" wp14:anchorId="022B170C" wp14:editId="41F5E29C">
            <wp:simplePos x="0" y="0"/>
            <wp:positionH relativeFrom="page">
              <wp:align>center</wp:align>
            </wp:positionH>
            <wp:positionV relativeFrom="page">
              <wp:align>center</wp:align>
            </wp:positionV>
            <wp:extent cx="7560000" cy="10692000"/>
            <wp:effectExtent l="0" t="0" r="3175" b="0"/>
            <wp:wrapNone/>
            <wp:docPr id="2" name="Picture 2" descr="Cover for: Resources Sector Regulation, Productivity Commission Issues Paper, Sept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s-paper-cover-resources.png"/>
                    <pic:cNvPicPr/>
                  </pic:nvPicPr>
                  <pic:blipFill>
                    <a:blip r:embed="rId7">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2D0291" w:rsidRDefault="002D0291" w:rsidP="00FA3E40">
      <w:pPr>
        <w:pStyle w:val="BodyText"/>
      </w:pPr>
      <w:r>
        <w:br w:type="page"/>
      </w:r>
    </w:p>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E37F12">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E37F12">
            <w:pPr>
              <w:pStyle w:val="BoxTitle"/>
              <w:rPr>
                <w:sz w:val="22"/>
                <w:szCs w:val="22"/>
              </w:rPr>
            </w:pPr>
            <w:r w:rsidRPr="008A3857">
              <w:rPr>
                <w:sz w:val="22"/>
                <w:szCs w:val="22"/>
              </w:rPr>
              <w:t xml:space="preserve">The </w:t>
            </w:r>
            <w:r>
              <w:rPr>
                <w:sz w:val="22"/>
                <w:szCs w:val="22"/>
              </w:rPr>
              <w:t>Issues Paper</w:t>
            </w:r>
          </w:p>
        </w:tc>
      </w:tr>
      <w:tr w:rsidR="00D96622" w:rsidTr="00E37F12">
        <w:tc>
          <w:tcPr>
            <w:tcW w:w="8771" w:type="dxa"/>
            <w:tcBorders>
              <w:top w:val="nil"/>
              <w:left w:val="nil"/>
              <w:bottom w:val="nil"/>
              <w:right w:val="nil"/>
            </w:tcBorders>
            <w:shd w:val="clear" w:color="auto" w:fill="F2F2F2" w:themeFill="background1" w:themeFillShade="F2"/>
          </w:tcPr>
          <w:p w:rsidR="00D96622" w:rsidRDefault="00D96622" w:rsidP="00E37F12">
            <w:pPr>
              <w:pStyle w:val="Box"/>
            </w:pPr>
            <w:r>
              <w:t xml:space="preserve">The Commission has released this issues paper to assist individuals and organisations to prepare submissions to the </w:t>
            </w:r>
            <w:r w:rsidR="00E32399">
              <w:t xml:space="preserve">Resources Sector Regulation </w:t>
            </w:r>
            <w:r>
              <w:t>study. It contains and outlines:</w:t>
            </w:r>
          </w:p>
          <w:p w:rsidR="00D96622" w:rsidRDefault="00D96622" w:rsidP="00E37F12">
            <w:pPr>
              <w:pStyle w:val="BoxListBullet"/>
            </w:pPr>
            <w:r>
              <w:t>the scope of the study</w:t>
            </w:r>
          </w:p>
          <w:p w:rsidR="00D96622" w:rsidRDefault="00D96622" w:rsidP="00E37F12">
            <w:pPr>
              <w:pStyle w:val="BoxListBullet"/>
            </w:pPr>
            <w:r>
              <w:t>the Commission’s procedures</w:t>
            </w:r>
          </w:p>
          <w:p w:rsidR="00D96622" w:rsidRDefault="00D96622" w:rsidP="00E37F12">
            <w:pPr>
              <w:pStyle w:val="BoxListBullet"/>
            </w:pPr>
            <w:r>
              <w:t>matters about which the Commission is seeking comment and information</w:t>
            </w:r>
          </w:p>
          <w:p w:rsidR="00D96622" w:rsidRDefault="00D96622" w:rsidP="00E37F12">
            <w:pPr>
              <w:pStyle w:val="BoxListBullet"/>
            </w:pPr>
            <w:r>
              <w:t>how to make a submission.</w:t>
            </w:r>
          </w:p>
          <w:p w:rsidR="00D96622" w:rsidRDefault="00D96622" w:rsidP="00E37F12">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rsidR="00D96622" w:rsidRDefault="00D96622" w:rsidP="00E37F12">
            <w:pPr>
              <w:pStyle w:val="BoxHeading1"/>
            </w:pPr>
            <w:r>
              <w:t>Key study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E37F12">
              <w:trPr>
                <w:tblHeader/>
              </w:trPr>
              <w:tc>
                <w:tcPr>
                  <w:tcW w:w="3522" w:type="dxa"/>
                  <w:tcMar>
                    <w:left w:w="0" w:type="dxa"/>
                  </w:tcMar>
                </w:tcPr>
                <w:p w:rsidR="00D96622" w:rsidRDefault="00D96622" w:rsidP="00E37F12">
                  <w:pPr>
                    <w:pStyle w:val="Box"/>
                  </w:pPr>
                  <w:r>
                    <w:t>Receipt of terms of reference</w:t>
                  </w:r>
                </w:p>
              </w:tc>
              <w:tc>
                <w:tcPr>
                  <w:tcW w:w="4950" w:type="dxa"/>
                </w:tcPr>
                <w:p w:rsidR="00D96622" w:rsidRDefault="00A57942" w:rsidP="00E37F12">
                  <w:pPr>
                    <w:pStyle w:val="Box"/>
                  </w:pPr>
                  <w:r>
                    <w:t>6</w:t>
                  </w:r>
                  <w:r w:rsidR="00F27DAA">
                    <w:t> </w:t>
                  </w:r>
                  <w:r>
                    <w:t>August 2019</w:t>
                  </w:r>
                </w:p>
              </w:tc>
            </w:tr>
            <w:tr w:rsidR="00D96622" w:rsidTr="00E37F12">
              <w:tc>
                <w:tcPr>
                  <w:tcW w:w="3522" w:type="dxa"/>
                  <w:tcMar>
                    <w:left w:w="0" w:type="dxa"/>
                  </w:tcMar>
                </w:tcPr>
                <w:p w:rsidR="00D96622" w:rsidRDefault="00D96622" w:rsidP="00E37F12">
                  <w:pPr>
                    <w:pStyle w:val="Box"/>
                    <w:spacing w:before="60"/>
                  </w:pPr>
                  <w:r>
                    <w:t>Due date for submissions</w:t>
                  </w:r>
                </w:p>
              </w:tc>
              <w:tc>
                <w:tcPr>
                  <w:tcW w:w="4950" w:type="dxa"/>
                </w:tcPr>
                <w:p w:rsidR="00D96622" w:rsidRDefault="00A57942" w:rsidP="00E37F12">
                  <w:pPr>
                    <w:pStyle w:val="Box"/>
                    <w:spacing w:before="60"/>
                  </w:pPr>
                  <w:r>
                    <w:t>31</w:t>
                  </w:r>
                  <w:r w:rsidR="00F27DAA">
                    <w:t> </w:t>
                  </w:r>
                  <w:r>
                    <w:t>October 2019</w:t>
                  </w:r>
                </w:p>
              </w:tc>
            </w:tr>
            <w:tr w:rsidR="00D96622" w:rsidTr="00E37F12">
              <w:tc>
                <w:tcPr>
                  <w:tcW w:w="3522" w:type="dxa"/>
                  <w:tcMar>
                    <w:left w:w="0" w:type="dxa"/>
                  </w:tcMar>
                </w:tcPr>
                <w:p w:rsidR="00D96622" w:rsidRDefault="00D96622" w:rsidP="00E37F12">
                  <w:pPr>
                    <w:pStyle w:val="Box"/>
                    <w:spacing w:before="60"/>
                  </w:pPr>
                  <w:r>
                    <w:t>Release of draft report</w:t>
                  </w:r>
                </w:p>
              </w:tc>
              <w:tc>
                <w:tcPr>
                  <w:tcW w:w="4950" w:type="dxa"/>
                </w:tcPr>
                <w:p w:rsidR="00D96622" w:rsidRDefault="00A57942" w:rsidP="00E37F12">
                  <w:pPr>
                    <w:pStyle w:val="Box"/>
                    <w:spacing w:before="60"/>
                  </w:pPr>
                  <w:r>
                    <w:t>March 2020</w:t>
                  </w:r>
                </w:p>
              </w:tc>
            </w:tr>
            <w:tr w:rsidR="00D96622" w:rsidTr="00E37F12">
              <w:tc>
                <w:tcPr>
                  <w:tcW w:w="3522" w:type="dxa"/>
                  <w:tcMar>
                    <w:left w:w="0" w:type="dxa"/>
                  </w:tcMar>
                </w:tcPr>
                <w:p w:rsidR="00D96622" w:rsidRDefault="00D96622" w:rsidP="00E37F12">
                  <w:pPr>
                    <w:pStyle w:val="Box"/>
                    <w:spacing w:before="60"/>
                  </w:pPr>
                  <w:r>
                    <w:t>Draft report public hearings</w:t>
                  </w:r>
                </w:p>
              </w:tc>
              <w:tc>
                <w:tcPr>
                  <w:tcW w:w="4950" w:type="dxa"/>
                </w:tcPr>
                <w:p w:rsidR="00D96622" w:rsidRDefault="00E140E8" w:rsidP="00000203">
                  <w:pPr>
                    <w:pStyle w:val="Box"/>
                    <w:spacing w:before="60"/>
                  </w:pPr>
                  <w:r>
                    <w:t>To be</w:t>
                  </w:r>
                  <w:r w:rsidR="00000203">
                    <w:t xml:space="preserve"> determined</w:t>
                  </w:r>
                </w:p>
              </w:tc>
            </w:tr>
            <w:tr w:rsidR="00D96622" w:rsidTr="00E37F12">
              <w:tc>
                <w:tcPr>
                  <w:tcW w:w="3522" w:type="dxa"/>
                  <w:tcMar>
                    <w:left w:w="0" w:type="dxa"/>
                  </w:tcMar>
                </w:tcPr>
                <w:p w:rsidR="00D96622" w:rsidRDefault="00D96622" w:rsidP="00E37F12">
                  <w:pPr>
                    <w:pStyle w:val="Box"/>
                    <w:spacing w:before="60"/>
                  </w:pPr>
                  <w:r>
                    <w:t>Final report to Government</w:t>
                  </w:r>
                </w:p>
              </w:tc>
              <w:tc>
                <w:tcPr>
                  <w:tcW w:w="4950" w:type="dxa"/>
                </w:tcPr>
                <w:p w:rsidR="00D96622" w:rsidRDefault="00A57942" w:rsidP="00E37F12">
                  <w:pPr>
                    <w:pStyle w:val="Box"/>
                    <w:spacing w:before="60"/>
                  </w:pPr>
                  <w:r>
                    <w:t>August 2020</w:t>
                  </w:r>
                </w:p>
              </w:tc>
            </w:tr>
          </w:tbl>
          <w:p w:rsidR="00D96622" w:rsidRDefault="00D96622" w:rsidP="00E37F12">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E37F12">
              <w:trPr>
                <w:tblHeader/>
              </w:trPr>
              <w:tc>
                <w:tcPr>
                  <w:tcW w:w="3522" w:type="dxa"/>
                  <w:tcMar>
                    <w:left w:w="0" w:type="dxa"/>
                  </w:tcMar>
                </w:tcPr>
                <w:p w:rsidR="00D96622" w:rsidRDefault="00D96622" w:rsidP="00E37F12">
                  <w:pPr>
                    <w:pStyle w:val="Box"/>
                  </w:pPr>
                  <w:r>
                    <w:t>Online:</w:t>
                  </w:r>
                </w:p>
              </w:tc>
              <w:tc>
                <w:tcPr>
                  <w:tcW w:w="4950" w:type="dxa"/>
                </w:tcPr>
                <w:p w:rsidR="00D96622" w:rsidRPr="00B4700B" w:rsidRDefault="007D5BD8" w:rsidP="00E37F12">
                  <w:pPr>
                    <w:pStyle w:val="Box"/>
                    <w:rPr>
                      <w:b/>
                    </w:rPr>
                  </w:pPr>
                  <w:hyperlink r:id="rId8" w:history="1">
                    <w:r w:rsidR="00A57942" w:rsidRPr="00B4700B">
                      <w:rPr>
                        <w:rStyle w:val="Hyperlink"/>
                        <w:b/>
                        <w:u w:val="none"/>
                      </w:rPr>
                      <w:t>www.pc.gov.au/resources</w:t>
                    </w:r>
                  </w:hyperlink>
                </w:p>
              </w:tc>
            </w:tr>
            <w:tr w:rsidR="00D96622" w:rsidTr="00E37F12">
              <w:tc>
                <w:tcPr>
                  <w:tcW w:w="3522" w:type="dxa"/>
                  <w:tcMar>
                    <w:left w:w="0" w:type="dxa"/>
                  </w:tcMar>
                </w:tcPr>
                <w:p w:rsidR="00D96622" w:rsidRDefault="00D96622" w:rsidP="00E37F12">
                  <w:pPr>
                    <w:pStyle w:val="Box"/>
                    <w:spacing w:before="60"/>
                    <w:jc w:val="left"/>
                  </w:pPr>
                  <w:r>
                    <w:t>By post:</w:t>
                  </w:r>
                </w:p>
              </w:tc>
              <w:tc>
                <w:tcPr>
                  <w:tcW w:w="4950" w:type="dxa"/>
                </w:tcPr>
                <w:p w:rsidR="00E67841" w:rsidRDefault="00A57942" w:rsidP="00E67841">
                  <w:pPr>
                    <w:pStyle w:val="Box"/>
                    <w:spacing w:before="60"/>
                    <w:jc w:val="left"/>
                  </w:pPr>
                  <w:r>
                    <w:t>Resources Sector Regulation</w:t>
                  </w:r>
                  <w:r w:rsidR="00D96622">
                    <w:br/>
                    <w:t>Productivity Commission</w:t>
                  </w:r>
                  <w:r w:rsidR="00D96622">
                    <w:br/>
                  </w:r>
                  <w:r w:rsidR="00E67841">
                    <w:t>Locked Bag 2, Collins Street East</w:t>
                  </w:r>
                </w:p>
                <w:p w:rsidR="00D96622" w:rsidRDefault="00E67841" w:rsidP="00E37F12">
                  <w:pPr>
                    <w:pStyle w:val="Box"/>
                    <w:spacing w:before="60"/>
                    <w:jc w:val="left"/>
                  </w:pPr>
                  <w:r>
                    <w:t>Melbourne VIC 8003</w:t>
                  </w:r>
                </w:p>
              </w:tc>
            </w:tr>
          </w:tbl>
          <w:p w:rsidR="00D96622" w:rsidRDefault="00D96622" w:rsidP="00E37F12">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rsidTr="00E37F12">
              <w:trPr>
                <w:tblHeader/>
              </w:trPr>
              <w:tc>
                <w:tcPr>
                  <w:tcW w:w="3522" w:type="dxa"/>
                  <w:tcMar>
                    <w:left w:w="0" w:type="dxa"/>
                  </w:tcMar>
                </w:tcPr>
                <w:p w:rsidR="00D96622" w:rsidRDefault="00D96622" w:rsidP="00E37F12">
                  <w:pPr>
                    <w:pStyle w:val="Box"/>
                  </w:pPr>
                  <w:r>
                    <w:t>Administrative matters:</w:t>
                  </w:r>
                </w:p>
              </w:tc>
              <w:tc>
                <w:tcPr>
                  <w:tcW w:w="2268" w:type="dxa"/>
                </w:tcPr>
                <w:p w:rsidR="00D96622" w:rsidRDefault="00E67841" w:rsidP="00E37F12">
                  <w:pPr>
                    <w:pStyle w:val="Box"/>
                  </w:pPr>
                  <w:r>
                    <w:t>Karen Carmichael</w:t>
                  </w:r>
                </w:p>
              </w:tc>
              <w:tc>
                <w:tcPr>
                  <w:tcW w:w="2682" w:type="dxa"/>
                </w:tcPr>
                <w:p w:rsidR="00D96622" w:rsidRDefault="00D96622" w:rsidP="00E37F12">
                  <w:pPr>
                    <w:pStyle w:val="Box"/>
                  </w:pPr>
                  <w:r>
                    <w:t xml:space="preserve">Ph: </w:t>
                  </w:r>
                  <w:r w:rsidR="00E67841">
                    <w:t>03 9653 2356</w:t>
                  </w:r>
                </w:p>
              </w:tc>
            </w:tr>
            <w:tr w:rsidR="00D96622" w:rsidTr="00E37F12">
              <w:tc>
                <w:tcPr>
                  <w:tcW w:w="3522" w:type="dxa"/>
                  <w:tcMar>
                    <w:left w:w="0" w:type="dxa"/>
                  </w:tcMar>
                </w:tcPr>
                <w:p w:rsidR="00D96622" w:rsidRDefault="00D96622" w:rsidP="00E37F12">
                  <w:pPr>
                    <w:pStyle w:val="Box"/>
                    <w:spacing w:before="60"/>
                  </w:pPr>
                  <w:r>
                    <w:t>Other matters:</w:t>
                  </w:r>
                </w:p>
              </w:tc>
              <w:tc>
                <w:tcPr>
                  <w:tcW w:w="2268" w:type="dxa"/>
                </w:tcPr>
                <w:p w:rsidR="00D96622" w:rsidRDefault="00E67841" w:rsidP="00E37F12">
                  <w:pPr>
                    <w:pStyle w:val="Box"/>
                    <w:spacing w:before="60"/>
                  </w:pPr>
                  <w:r>
                    <w:t>Lou Will</w:t>
                  </w:r>
                </w:p>
              </w:tc>
              <w:tc>
                <w:tcPr>
                  <w:tcW w:w="2682" w:type="dxa"/>
                </w:tcPr>
                <w:p w:rsidR="00D96622" w:rsidRDefault="00D96622" w:rsidP="00E37F12">
                  <w:pPr>
                    <w:pStyle w:val="Box"/>
                    <w:spacing w:before="60"/>
                  </w:pPr>
                  <w:r>
                    <w:t xml:space="preserve">Ph: </w:t>
                  </w:r>
                  <w:r w:rsidR="00E67841">
                    <w:t>03 9653 2224</w:t>
                  </w:r>
                </w:p>
              </w:tc>
            </w:tr>
            <w:tr w:rsidR="00D96622" w:rsidTr="00E37F12">
              <w:tc>
                <w:tcPr>
                  <w:tcW w:w="3522" w:type="dxa"/>
                  <w:tcMar>
                    <w:left w:w="0" w:type="dxa"/>
                  </w:tcMar>
                </w:tcPr>
                <w:p w:rsidR="00D96622" w:rsidRDefault="00D96622" w:rsidP="00E37F12">
                  <w:pPr>
                    <w:pStyle w:val="Box"/>
                    <w:spacing w:before="60"/>
                  </w:pPr>
                  <w:r>
                    <w:t>Freecall number for regional areas:</w:t>
                  </w:r>
                </w:p>
              </w:tc>
              <w:tc>
                <w:tcPr>
                  <w:tcW w:w="2268" w:type="dxa"/>
                </w:tcPr>
                <w:p w:rsidR="00D96622" w:rsidRDefault="00D96622" w:rsidP="00E37F12">
                  <w:pPr>
                    <w:pStyle w:val="Box"/>
                    <w:spacing w:before="60"/>
                  </w:pPr>
                  <w:r>
                    <w:t>1800 020 083</w:t>
                  </w:r>
                </w:p>
              </w:tc>
              <w:tc>
                <w:tcPr>
                  <w:tcW w:w="2682" w:type="dxa"/>
                </w:tcPr>
                <w:p w:rsidR="00D96622" w:rsidRDefault="00D96622" w:rsidP="00E37F12">
                  <w:pPr>
                    <w:pStyle w:val="Box"/>
                    <w:spacing w:before="60"/>
                  </w:pPr>
                </w:p>
              </w:tc>
            </w:tr>
            <w:tr w:rsidR="00D96622" w:rsidTr="00E37F12">
              <w:tc>
                <w:tcPr>
                  <w:tcW w:w="3522" w:type="dxa"/>
                  <w:tcMar>
                    <w:left w:w="0" w:type="dxa"/>
                  </w:tcMar>
                </w:tcPr>
                <w:p w:rsidR="00D96622" w:rsidRDefault="00D96622" w:rsidP="00E37F12">
                  <w:pPr>
                    <w:pStyle w:val="Box"/>
                    <w:spacing w:before="60"/>
                  </w:pPr>
                  <w:r>
                    <w:t>Website:</w:t>
                  </w:r>
                </w:p>
              </w:tc>
              <w:tc>
                <w:tcPr>
                  <w:tcW w:w="2268" w:type="dxa"/>
                </w:tcPr>
                <w:p w:rsidR="00D96622" w:rsidRPr="00BA025F" w:rsidRDefault="007D5BD8" w:rsidP="00E37F12">
                  <w:pPr>
                    <w:pStyle w:val="Box"/>
                    <w:spacing w:before="60"/>
                    <w:rPr>
                      <w:b/>
                    </w:rPr>
                  </w:pPr>
                  <w:hyperlink r:id="rId9" w:history="1">
                    <w:r w:rsidR="00D96622" w:rsidRPr="00BA025F">
                      <w:rPr>
                        <w:rStyle w:val="Hyperlink"/>
                        <w:b/>
                        <w:u w:val="none"/>
                      </w:rPr>
                      <w:t>www.pc.gov.au</w:t>
                    </w:r>
                  </w:hyperlink>
                </w:p>
              </w:tc>
              <w:tc>
                <w:tcPr>
                  <w:tcW w:w="2682" w:type="dxa"/>
                </w:tcPr>
                <w:p w:rsidR="00D96622" w:rsidRDefault="00D96622" w:rsidP="00E37F12">
                  <w:pPr>
                    <w:pStyle w:val="Box"/>
                    <w:spacing w:before="60"/>
                  </w:pPr>
                </w:p>
              </w:tc>
            </w:tr>
          </w:tbl>
          <w:p w:rsidR="00D96622" w:rsidRDefault="00D96622" w:rsidP="00E37F12">
            <w:pPr>
              <w:pStyle w:val="Box"/>
            </w:pPr>
          </w:p>
        </w:tc>
      </w:tr>
      <w:tr w:rsidR="00D96622" w:rsidTr="00E37F12">
        <w:tc>
          <w:tcPr>
            <w:tcW w:w="8771" w:type="dxa"/>
            <w:tcBorders>
              <w:top w:val="nil"/>
              <w:left w:val="nil"/>
              <w:bottom w:val="single" w:sz="6" w:space="0" w:color="78A22F"/>
              <w:right w:val="nil"/>
            </w:tcBorders>
            <w:shd w:val="clear" w:color="auto" w:fill="F2F2F2" w:themeFill="background1" w:themeFillShade="F2"/>
          </w:tcPr>
          <w:p w:rsidR="00D96622" w:rsidRDefault="00D96622" w:rsidP="00E37F12">
            <w:pPr>
              <w:pStyle w:val="Box"/>
              <w:spacing w:before="0" w:line="120" w:lineRule="exact"/>
            </w:pPr>
          </w:p>
        </w:tc>
      </w:tr>
    </w:tbl>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E37F12">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E37F12">
            <w:pPr>
              <w:pStyle w:val="BoxTitle"/>
              <w:rPr>
                <w:sz w:val="22"/>
                <w:szCs w:val="22"/>
              </w:rPr>
            </w:pPr>
            <w:r w:rsidRPr="008A3857">
              <w:rPr>
                <w:sz w:val="22"/>
                <w:szCs w:val="22"/>
              </w:rPr>
              <w:t>The Productivity Commission</w:t>
            </w:r>
          </w:p>
        </w:tc>
      </w:tr>
      <w:tr w:rsidR="00D96622" w:rsidTr="00E37F12">
        <w:trPr>
          <w:cantSplit/>
        </w:trPr>
        <w:tc>
          <w:tcPr>
            <w:tcW w:w="8771" w:type="dxa"/>
            <w:tcBorders>
              <w:top w:val="nil"/>
              <w:left w:val="nil"/>
              <w:bottom w:val="nil"/>
              <w:right w:val="nil"/>
            </w:tcBorders>
            <w:shd w:val="clear" w:color="auto" w:fill="F2F2F2" w:themeFill="background1" w:themeFillShade="F2"/>
          </w:tcPr>
          <w:p w:rsidR="00D96622" w:rsidRDefault="00D96622" w:rsidP="00E37F1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96622" w:rsidRDefault="00D96622" w:rsidP="00E37F12">
            <w:pPr>
              <w:pStyle w:val="Box"/>
            </w:pPr>
            <w:r w:rsidRPr="00BB5DCF">
              <w:t>The Commission’s independence is underpinned by an Act of Parliament. Its processes and outputs are open to public scrutiny and are driven by concern for the wellbeing of the community as a whole.</w:t>
            </w:r>
          </w:p>
          <w:p w:rsidR="00D96622" w:rsidRDefault="00D96622" w:rsidP="00E37F12">
            <w:pPr>
              <w:pStyle w:val="Box"/>
            </w:pPr>
            <w:r w:rsidRPr="00BB5DCF">
              <w:rPr>
                <w:szCs w:val="24"/>
              </w:rPr>
              <w:t>Further information on the Productivity Commission can be obtained from the Commission’s website (www.pc.gov.au)</w:t>
            </w:r>
            <w:r>
              <w:rPr>
                <w:szCs w:val="24"/>
              </w:rPr>
              <w:t>.</w:t>
            </w:r>
          </w:p>
        </w:tc>
      </w:tr>
      <w:tr w:rsidR="00D96622" w:rsidTr="00E37F12">
        <w:trPr>
          <w:cantSplit/>
        </w:trPr>
        <w:tc>
          <w:tcPr>
            <w:tcW w:w="8771" w:type="dxa"/>
            <w:tcBorders>
              <w:top w:val="nil"/>
              <w:left w:val="nil"/>
              <w:bottom w:val="single" w:sz="6" w:space="0" w:color="78A22F"/>
              <w:right w:val="nil"/>
            </w:tcBorders>
            <w:shd w:val="clear" w:color="auto" w:fill="F2F2F2" w:themeFill="background1" w:themeFillShade="F2"/>
          </w:tcPr>
          <w:p w:rsidR="00D96622" w:rsidRDefault="00D96622" w:rsidP="00E37F12">
            <w:pPr>
              <w:pStyle w:val="Box"/>
              <w:spacing w:before="0" w:line="120" w:lineRule="exact"/>
            </w:pPr>
          </w:p>
        </w:tc>
      </w:tr>
    </w:tbl>
    <w:p w:rsidR="00D96622" w:rsidRDefault="00D96622" w:rsidP="00D96622">
      <w:pPr>
        <w:pStyle w:val="BodyText"/>
      </w:pPr>
    </w:p>
    <w:p w:rsidR="00D96622" w:rsidRPr="00415F39" w:rsidRDefault="00D96622" w:rsidP="00D96622">
      <w:pPr>
        <w:pStyle w:val="BodyText"/>
        <w:sectPr w:rsidR="00D96622" w:rsidRPr="00415F39" w:rsidSect="00D96622">
          <w:headerReference w:type="default" r:id="rId10"/>
          <w:footerReference w:type="default" r:id="rId11"/>
          <w:pgSz w:w="11907" w:h="16840" w:code="9"/>
          <w:pgMar w:top="1560" w:right="1304" w:bottom="851" w:left="1814" w:header="1276" w:footer="397" w:gutter="0"/>
          <w:pgNumType w:fmt="lowerRoman" w:chapSep="period"/>
          <w:cols w:space="720"/>
          <w:titlePg/>
        </w:sectPr>
      </w:pPr>
    </w:p>
    <w:p w:rsidR="00D96622" w:rsidRDefault="00D96622" w:rsidP="00D96622">
      <w:pPr>
        <w:pStyle w:val="Heading2"/>
      </w:pPr>
      <w:bookmarkStart w:id="1" w:name="_Toc18489677"/>
      <w:bookmarkStart w:id="2" w:name="_Toc18590486"/>
      <w:bookmarkStart w:id="3" w:name="_Toc19188647"/>
      <w:bookmarkStart w:id="4" w:name="_Toc19189838"/>
      <w:r>
        <w:lastRenderedPageBreak/>
        <w:t>Terms of reference</w:t>
      </w:r>
      <w:bookmarkEnd w:id="1"/>
      <w:bookmarkEnd w:id="2"/>
      <w:bookmarkEnd w:id="3"/>
      <w:bookmarkEnd w:id="4"/>
    </w:p>
    <w:p w:rsidR="005E3C19" w:rsidRPr="008216F5" w:rsidRDefault="004E2375" w:rsidP="00D96622">
      <w:pPr>
        <w:pStyle w:val="BodyText"/>
        <w:rPr>
          <w:spacing w:val="2"/>
          <w:lang w:eastAsia="en-US"/>
        </w:rPr>
      </w:pPr>
      <w:r w:rsidRPr="008216F5">
        <w:rPr>
          <w:spacing w:val="2"/>
          <w:lang w:eastAsia="en-US"/>
        </w:rPr>
        <w:t>I, the Hon Josh Frydenberg MP, Treasurer, pursuant to Parts 2 and 4 of the</w:t>
      </w:r>
      <w:r w:rsidR="008216F5" w:rsidRPr="008216F5">
        <w:rPr>
          <w:spacing w:val="2"/>
          <w:lang w:eastAsia="en-US"/>
        </w:rPr>
        <w:t xml:space="preserve"> </w:t>
      </w:r>
      <w:r w:rsidRPr="008216F5">
        <w:rPr>
          <w:spacing w:val="2"/>
          <w:lang w:eastAsia="en-US"/>
        </w:rPr>
        <w:t>Productivity Commission Act 1998</w:t>
      </w:r>
      <w:r w:rsidR="008216F5" w:rsidRPr="008216F5">
        <w:rPr>
          <w:spacing w:val="2"/>
          <w:lang w:eastAsia="en-US"/>
        </w:rPr>
        <w:t xml:space="preserve"> </w:t>
      </w:r>
      <w:r w:rsidRPr="008216F5">
        <w:rPr>
          <w:spacing w:val="2"/>
          <w:lang w:eastAsia="en-US"/>
        </w:rPr>
        <w:t>hereby request the Productivity Commission to examine regulation affecting the resources sector and highlight best practice.</w:t>
      </w:r>
    </w:p>
    <w:p w:rsidR="005E3C19" w:rsidRDefault="005E3C19" w:rsidP="00B659CC">
      <w:pPr>
        <w:pStyle w:val="Heading3"/>
        <w:rPr>
          <w:sz w:val="27"/>
          <w:szCs w:val="27"/>
        </w:rPr>
      </w:pPr>
      <w:r w:rsidRPr="00B659CC">
        <w:t>Background</w:t>
      </w:r>
    </w:p>
    <w:p w:rsidR="005E3C19" w:rsidRPr="00532029" w:rsidRDefault="005E3C19" w:rsidP="00B659CC">
      <w:pPr>
        <w:pStyle w:val="BodyText"/>
        <w:rPr>
          <w:lang w:eastAsia="en-US"/>
        </w:rPr>
      </w:pPr>
      <w:r w:rsidRPr="00B659CC">
        <w:rPr>
          <w:lang w:eastAsia="en-US"/>
        </w:rPr>
        <w:t>Commonwealth, state and territory governments are responsible for managing resources in their jurisdictions and are all involved in the regulation of the sector. For example, states and territories reg</w:t>
      </w:r>
      <w:r w:rsidRPr="00532029">
        <w:rPr>
          <w:lang w:eastAsia="en-US"/>
        </w:rPr>
        <w:t>ulate health and safety, employment, community engagement and environmental management, while the Commonwealth has constitutional powers over many of these aspects of law, and in some instances overrides any legislative inconsistencies. Additionally, States negotiate contractual agreements with individual operators that are subsequently ratified by state parliaments.</w:t>
      </w:r>
    </w:p>
    <w:p w:rsidR="005E3C19" w:rsidRPr="00532029" w:rsidRDefault="005E3C19" w:rsidP="00532029">
      <w:pPr>
        <w:pStyle w:val="BodyText"/>
        <w:rPr>
          <w:lang w:eastAsia="en-US"/>
        </w:rPr>
      </w:pPr>
      <w:r w:rsidRPr="00532029">
        <w:rPr>
          <w:lang w:eastAsia="en-US"/>
        </w:rPr>
        <w:t>Regulation plays a critical role in ensuring that resources projects across Australia meet community and environmental management expectations. However, regulations may pose unnecessary burdens or impediments on resources companies operating, or seeking to operate and invest, in Australia.</w:t>
      </w:r>
    </w:p>
    <w:p w:rsidR="005E3C19" w:rsidRDefault="005E3C19" w:rsidP="00532029">
      <w:pPr>
        <w:pStyle w:val="Heading3"/>
        <w:rPr>
          <w:rFonts w:cs="Arial"/>
          <w:b w:val="0"/>
          <w:color w:val="2C2C2C"/>
          <w:spacing w:val="7"/>
          <w:sz w:val="27"/>
          <w:szCs w:val="27"/>
        </w:rPr>
      </w:pPr>
      <w:r w:rsidRPr="00532029">
        <w:t>Scope</w:t>
      </w:r>
    </w:p>
    <w:p w:rsidR="005E3C19" w:rsidRPr="00DE4FA3" w:rsidRDefault="005E3C19" w:rsidP="00532029">
      <w:pPr>
        <w:pStyle w:val="BodyText"/>
      </w:pPr>
      <w:r w:rsidRPr="00DE4FA3">
        <w:t>This study will focus on regulation with a material impact on business investment in the resources sector. The Commission is asked to identify effective regulatory approaches to the resources sector and highlight examples of best–practice regulation across the Australian resources sector and internationally, taking into account the unique regulatory challenges facing individual jurisdictions.</w:t>
      </w:r>
    </w:p>
    <w:p w:rsidR="005E3C19" w:rsidRPr="00DE4FA3" w:rsidRDefault="005E3C19" w:rsidP="00532029">
      <w:pPr>
        <w:pStyle w:val="BodyText"/>
      </w:pPr>
      <w:r w:rsidRPr="00DE4FA3">
        <w:t>This will provide opportunities for individual jurisdictions to assess their own regulatory environments, and to draw on leading practice.</w:t>
      </w:r>
    </w:p>
    <w:p w:rsidR="005E3C19" w:rsidRPr="00DE4FA3" w:rsidRDefault="005E3C19" w:rsidP="00532029">
      <w:pPr>
        <w:pStyle w:val="BodyText"/>
      </w:pPr>
      <w:r w:rsidRPr="00DE4FA3">
        <w:t>In undertaking this study, the Commission should:</w:t>
      </w:r>
    </w:p>
    <w:p w:rsidR="005E3C19" w:rsidRDefault="005E3C19" w:rsidP="005E3C19">
      <w:pPr>
        <w:pStyle w:val="ListNumber"/>
      </w:pPr>
      <w:r>
        <w:t>Assess best–practice project approval processes across Australia and internationally and identify any broader impediments to the timing, nature and extent of business investment in the Australian resources sector.</w:t>
      </w:r>
    </w:p>
    <w:p w:rsidR="005E3C19" w:rsidRPr="00DE4FA3" w:rsidRDefault="005E3C19" w:rsidP="00DE4FA3">
      <w:pPr>
        <w:pStyle w:val="ListNumber"/>
      </w:pPr>
      <w:r>
        <w:t xml:space="preserve">Identify regulatory </w:t>
      </w:r>
      <w:r w:rsidRPr="00DE4FA3">
        <w:t>practices that have achieved evidence</w:t>
      </w:r>
      <w:r w:rsidR="00723B1F">
        <w:noBreakHyphen/>
      </w:r>
      <w:r w:rsidRPr="00DE4FA3">
        <w:t>based goals without imposing additional costs or regulatory burdens on industry, as well identifying jurisdictions’ successful efforts to streamline or augment processes to reduce complexity and duplication and improve transparency for current and future investors.</w:t>
      </w:r>
    </w:p>
    <w:p w:rsidR="005E3C19" w:rsidRPr="00DE4FA3" w:rsidRDefault="005E3C19" w:rsidP="00DE4FA3">
      <w:pPr>
        <w:pStyle w:val="ListNumber"/>
      </w:pPr>
      <w:r w:rsidRPr="00DE4FA3">
        <w:lastRenderedPageBreak/>
        <w:t>Identify leading environmental management and compliance arrangements that have resulted in the removal of unnecessary costs for business while ensuring robust protections for the environment are maintained.</w:t>
      </w:r>
    </w:p>
    <w:p w:rsidR="005E3C19" w:rsidRPr="00DE4FA3" w:rsidRDefault="005E3C19" w:rsidP="00DE4FA3">
      <w:pPr>
        <w:pStyle w:val="ListNumber"/>
      </w:pPr>
      <w:r w:rsidRPr="00DE4FA3">
        <w:t>Identify best–practice examples of government involvement in the resources approvals process – taking into account the context of each development – to expedite project approvals without compromising community or environmental standards, based on sound risk</w:t>
      </w:r>
      <w:r w:rsidR="00723B1F">
        <w:noBreakHyphen/>
      </w:r>
      <w:r w:rsidRPr="00DE4FA3">
        <w:t>management approaches.</w:t>
      </w:r>
    </w:p>
    <w:p w:rsidR="005E3C19" w:rsidRPr="008216F5" w:rsidRDefault="005E3C19" w:rsidP="00DE4FA3">
      <w:pPr>
        <w:pStyle w:val="ListNumber"/>
        <w:rPr>
          <w:spacing w:val="-2"/>
        </w:rPr>
      </w:pPr>
      <w:r w:rsidRPr="008216F5">
        <w:rPr>
          <w:spacing w:val="-2"/>
        </w:rPr>
        <w:t>Examine regulatory and non</w:t>
      </w:r>
      <w:r w:rsidR="00723B1F" w:rsidRPr="008216F5">
        <w:rPr>
          <w:spacing w:val="-2"/>
        </w:rPr>
        <w:noBreakHyphen/>
      </w:r>
      <w:r w:rsidRPr="008216F5">
        <w:rPr>
          <w:spacing w:val="-2"/>
        </w:rPr>
        <w:t>regulatory examples of effective community engagement and benefit–sharing practices, and establish best–practice examples of where mutually</w:t>
      </w:r>
      <w:r w:rsidR="00723B1F" w:rsidRPr="008216F5">
        <w:rPr>
          <w:spacing w:val="-2"/>
        </w:rPr>
        <w:noBreakHyphen/>
      </w:r>
      <w:r w:rsidRPr="008216F5">
        <w:rPr>
          <w:spacing w:val="-2"/>
        </w:rPr>
        <w:t>agreeable relationships were successfully developed between the resources sector and the communities in which they operate, including with Indigenous communities.</w:t>
      </w:r>
    </w:p>
    <w:p w:rsidR="005E3C19" w:rsidRDefault="005E3C19" w:rsidP="005E3C19">
      <w:pPr>
        <w:pStyle w:val="Heading3"/>
        <w:rPr>
          <w:rFonts w:cs="Arial"/>
          <w:b w:val="0"/>
          <w:color w:val="2C2C2C"/>
          <w:spacing w:val="7"/>
          <w:sz w:val="27"/>
          <w:szCs w:val="27"/>
        </w:rPr>
      </w:pPr>
      <w:r w:rsidRPr="005E3C19">
        <w:t>Process</w:t>
      </w:r>
    </w:p>
    <w:p w:rsidR="005E3C19" w:rsidRPr="00DE4FA3" w:rsidRDefault="005E3C19" w:rsidP="00DE4FA3">
      <w:pPr>
        <w:pStyle w:val="BodyText"/>
      </w:pPr>
      <w:r w:rsidRPr="00DE4FA3">
        <w:t>The Commission is to consult with key interest groups and affected parties, invite public submissions and release a draft report to the public.</w:t>
      </w:r>
    </w:p>
    <w:p w:rsidR="005E3C19" w:rsidRPr="00DE4FA3" w:rsidRDefault="005E3C19" w:rsidP="00DE4FA3">
      <w:pPr>
        <w:pStyle w:val="BodyText"/>
      </w:pPr>
      <w:r w:rsidRPr="00DE4FA3">
        <w:t>The Commission is to consult with COAG Energy Council working groups on existing studies related to land access, community engagement and regulatory benchmarking.</w:t>
      </w:r>
    </w:p>
    <w:p w:rsidR="00DE4FA3" w:rsidRPr="008216F5" w:rsidRDefault="005E3C19" w:rsidP="00DE4FA3">
      <w:pPr>
        <w:pStyle w:val="BodyText"/>
        <w:rPr>
          <w:spacing w:val="-4"/>
        </w:rPr>
      </w:pPr>
      <w:r w:rsidRPr="008216F5">
        <w:rPr>
          <w:spacing w:val="-4"/>
        </w:rPr>
        <w:t>The final report should be provided within 12 months of the receipt of these Terms of Reference.</w:t>
      </w:r>
    </w:p>
    <w:p w:rsidR="005E3C19" w:rsidRPr="00DE4FA3" w:rsidRDefault="005E3C19" w:rsidP="008216F5">
      <w:pPr>
        <w:pStyle w:val="BodyText"/>
        <w:spacing w:before="480"/>
        <w:rPr>
          <w:b/>
        </w:rPr>
      </w:pPr>
      <w:r w:rsidRPr="00DE4FA3">
        <w:rPr>
          <w:b/>
        </w:rPr>
        <w:t>The Hon Josh Frydenberg MP</w:t>
      </w:r>
    </w:p>
    <w:p w:rsidR="005E3C19" w:rsidRPr="00DE4FA3" w:rsidRDefault="005E3C19" w:rsidP="00B659CC">
      <w:pPr>
        <w:pStyle w:val="BodyText"/>
        <w:spacing w:before="0"/>
        <w:rPr>
          <w:b/>
        </w:rPr>
      </w:pPr>
      <w:r w:rsidRPr="00DE4FA3">
        <w:rPr>
          <w:b/>
        </w:rPr>
        <w:t>Treasurer</w:t>
      </w:r>
    </w:p>
    <w:p w:rsidR="005E3C19" w:rsidRDefault="00E140E8" w:rsidP="008216F5">
      <w:pPr>
        <w:pStyle w:val="BodyText"/>
        <w:spacing w:before="120"/>
        <w:rPr>
          <w:lang w:eastAsia="en-US"/>
        </w:rPr>
      </w:pPr>
      <w:r>
        <w:rPr>
          <w:lang w:eastAsia="en-US"/>
        </w:rPr>
        <w:t xml:space="preserve">[Received </w:t>
      </w:r>
      <w:r w:rsidR="005E3C19">
        <w:rPr>
          <w:lang w:eastAsia="en-US"/>
        </w:rPr>
        <w:t>6 August 2019</w:t>
      </w:r>
      <w:r>
        <w:rPr>
          <w:lang w:eastAsia="en-US"/>
        </w:rPr>
        <w:t>]</w:t>
      </w:r>
    </w:p>
    <w:p w:rsidR="00D96622" w:rsidRDefault="00D96622" w:rsidP="00D96622">
      <w:pPr>
        <w:pStyle w:val="BodyText"/>
      </w:pPr>
    </w:p>
    <w:p w:rsidR="00D96622" w:rsidRDefault="00D96622" w:rsidP="00D96622">
      <w:pPr>
        <w:pStyle w:val="BodyText"/>
        <w:sectPr w:rsidR="00D96622" w:rsidSect="00E37F12">
          <w:headerReference w:type="even" r:id="rId12"/>
          <w:headerReference w:type="default" r:id="rId13"/>
          <w:footerReference w:type="even" r:id="rId14"/>
          <w:footerReference w:type="default" r:id="rId15"/>
          <w:type w:val="continuous"/>
          <w:pgSz w:w="11907" w:h="16840" w:code="9"/>
          <w:pgMar w:top="1985" w:right="1304" w:bottom="1247" w:left="1814" w:header="1701" w:footer="397" w:gutter="0"/>
          <w:pgNumType w:fmt="lowerRoman" w:start="3" w:chapSep="period"/>
          <w:cols w:space="720"/>
        </w:sectPr>
      </w:pPr>
    </w:p>
    <w:p w:rsidR="00D96622" w:rsidRDefault="00D96622" w:rsidP="00D96622">
      <w:pPr>
        <w:pStyle w:val="Heading2nosectionno"/>
      </w:pPr>
      <w:r>
        <w:lastRenderedPageBreak/>
        <w:t>Contents</w:t>
      </w:r>
    </w:p>
    <w:sdt>
      <w:sdtPr>
        <w:rPr>
          <w:rFonts w:ascii="Times New Roman" w:hAnsi="Times New Roman"/>
          <w:b w:val="0"/>
          <w:kern w:val="28"/>
          <w:sz w:val="52"/>
          <w:szCs w:val="20"/>
          <w:lang w:eastAsia="en-AU"/>
        </w:rPr>
        <w:id w:val="-353728883"/>
        <w:docPartObj>
          <w:docPartGallery w:val="Table of Contents"/>
          <w:docPartUnique/>
        </w:docPartObj>
      </w:sdtPr>
      <w:sdtEndPr>
        <w:rPr>
          <w:rFonts w:ascii="Arial" w:hAnsi="Arial"/>
          <w:kern w:val="0"/>
          <w:sz w:val="26"/>
          <w:szCs w:val="26"/>
          <w:lang w:eastAsia="en-US"/>
        </w:rPr>
      </w:sdtEndPr>
      <w:sdtContent>
        <w:p w:rsidR="00812367" w:rsidRPr="007C10C8" w:rsidRDefault="00812367" w:rsidP="008216F5">
          <w:pPr>
            <w:pStyle w:val="TOC1"/>
            <w:spacing w:before="360"/>
            <w:rPr>
              <w:rFonts w:asciiTheme="minorHAnsi" w:eastAsiaTheme="minorEastAsia" w:hAnsiTheme="minorHAnsi" w:cstheme="minorBidi"/>
              <w:b w:val="0"/>
              <w:noProof/>
              <w:sz w:val="22"/>
              <w:szCs w:val="22"/>
              <w:lang w:eastAsia="en-AU"/>
            </w:rPr>
          </w:pPr>
          <w:r w:rsidRPr="007C10C8">
            <w:rPr>
              <w:b w:val="0"/>
              <w:noProof/>
            </w:rPr>
            <w:t>Terms of reference</w:t>
          </w:r>
          <w:r w:rsidRPr="007C10C8">
            <w:rPr>
              <w:b w:val="0"/>
              <w:noProof/>
            </w:rPr>
            <w:tab/>
          </w:r>
          <w:r w:rsidR="00403C61" w:rsidRPr="007C10C8">
            <w:rPr>
              <w:b w:val="0"/>
              <w:noProof/>
            </w:rPr>
            <w:t>iii</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rPr>
            <w:t>1</w:t>
          </w:r>
          <w:r w:rsidRPr="007C10C8">
            <w:rPr>
              <w:rFonts w:asciiTheme="minorHAnsi" w:eastAsiaTheme="minorEastAsia" w:hAnsiTheme="minorHAnsi" w:cstheme="minorBidi"/>
              <w:b w:val="0"/>
              <w:noProof/>
              <w:sz w:val="22"/>
              <w:szCs w:val="22"/>
              <w:lang w:eastAsia="en-AU"/>
            </w:rPr>
            <w:tab/>
          </w:r>
          <w:r w:rsidRPr="007C10C8">
            <w:rPr>
              <w:b w:val="0"/>
              <w:noProof/>
            </w:rPr>
            <w:t>What the Commission has been asked to do</w:t>
          </w:r>
          <w:r w:rsidRPr="007C10C8">
            <w:rPr>
              <w:b w:val="0"/>
              <w:noProof/>
            </w:rPr>
            <w:tab/>
          </w:r>
          <w:r w:rsidR="00403C61" w:rsidRPr="007C10C8">
            <w:rPr>
              <w:b w:val="0"/>
              <w:noProof/>
            </w:rPr>
            <w:t>1</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rPr>
            <w:t>2</w:t>
          </w:r>
          <w:r w:rsidRPr="007C10C8">
            <w:rPr>
              <w:rFonts w:asciiTheme="minorHAnsi" w:eastAsiaTheme="minorEastAsia" w:hAnsiTheme="minorHAnsi" w:cstheme="minorBidi"/>
              <w:b w:val="0"/>
              <w:noProof/>
              <w:sz w:val="22"/>
              <w:szCs w:val="22"/>
              <w:lang w:eastAsia="en-AU"/>
            </w:rPr>
            <w:tab/>
          </w:r>
          <w:r w:rsidRPr="007C10C8">
            <w:rPr>
              <w:b w:val="0"/>
              <w:noProof/>
            </w:rPr>
            <w:t>Scoping the study and defining key concepts</w:t>
          </w:r>
          <w:r w:rsidRPr="007C10C8">
            <w:rPr>
              <w:b w:val="0"/>
              <w:noProof/>
            </w:rPr>
            <w:tab/>
          </w:r>
          <w:r w:rsidR="00403C61" w:rsidRPr="007C10C8">
            <w:rPr>
              <w:b w:val="0"/>
              <w:noProof/>
            </w:rPr>
            <w:t>2</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rPr>
            <w:t>3</w:t>
          </w:r>
          <w:r w:rsidRPr="007C10C8">
            <w:rPr>
              <w:rFonts w:asciiTheme="minorHAnsi" w:eastAsiaTheme="minorEastAsia" w:hAnsiTheme="minorHAnsi" w:cstheme="minorBidi"/>
              <w:b w:val="0"/>
              <w:noProof/>
              <w:sz w:val="22"/>
              <w:szCs w:val="22"/>
              <w:lang w:eastAsia="en-AU"/>
            </w:rPr>
            <w:tab/>
          </w:r>
          <w:r w:rsidRPr="007C10C8">
            <w:rPr>
              <w:b w:val="0"/>
              <w:noProof/>
            </w:rPr>
            <w:t>Identifying best</w:t>
          </w:r>
          <w:r w:rsidRPr="007C10C8">
            <w:rPr>
              <w:b w:val="0"/>
              <w:noProof/>
            </w:rPr>
            <w:noBreakHyphen/>
            <w:t>practice regulatory approaches</w:t>
          </w:r>
          <w:r w:rsidRPr="007C10C8">
            <w:rPr>
              <w:b w:val="0"/>
              <w:noProof/>
            </w:rPr>
            <w:tab/>
          </w:r>
          <w:r w:rsidR="00403C61" w:rsidRPr="007C10C8">
            <w:rPr>
              <w:b w:val="0"/>
              <w:noProof/>
            </w:rPr>
            <w:t>7</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rPr>
            <w:t>4</w:t>
          </w:r>
          <w:r w:rsidRPr="007C10C8">
            <w:rPr>
              <w:rFonts w:asciiTheme="minorHAnsi" w:eastAsiaTheme="minorEastAsia" w:hAnsiTheme="minorHAnsi" w:cstheme="minorBidi"/>
              <w:b w:val="0"/>
              <w:noProof/>
              <w:sz w:val="22"/>
              <w:szCs w:val="22"/>
              <w:lang w:eastAsia="en-AU"/>
            </w:rPr>
            <w:tab/>
          </w:r>
          <w:r w:rsidRPr="007C10C8">
            <w:rPr>
              <w:b w:val="0"/>
              <w:noProof/>
            </w:rPr>
            <w:t>To what extent are current regulatory processes consistent with best practice?</w:t>
          </w:r>
          <w:r w:rsidRPr="007C10C8">
            <w:rPr>
              <w:b w:val="0"/>
              <w:noProof/>
            </w:rPr>
            <w:tab/>
          </w:r>
          <w:r w:rsidR="00403C61" w:rsidRPr="007C10C8">
            <w:rPr>
              <w:b w:val="0"/>
              <w:noProof/>
            </w:rPr>
            <w:t>9</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rPr>
            <w:t>5</w:t>
          </w:r>
          <w:r w:rsidRPr="007C10C8">
            <w:rPr>
              <w:rFonts w:asciiTheme="minorHAnsi" w:eastAsiaTheme="minorEastAsia" w:hAnsiTheme="minorHAnsi" w:cstheme="minorBidi"/>
              <w:b w:val="0"/>
              <w:noProof/>
              <w:sz w:val="22"/>
              <w:szCs w:val="22"/>
              <w:lang w:eastAsia="en-AU"/>
            </w:rPr>
            <w:tab/>
          </w:r>
          <w:r w:rsidRPr="007C10C8">
            <w:rPr>
              <w:b w:val="0"/>
              <w:noProof/>
            </w:rPr>
            <w:t>What are broader impediments materially affecting investment?</w:t>
          </w:r>
          <w:r w:rsidRPr="007C10C8">
            <w:rPr>
              <w:b w:val="0"/>
              <w:noProof/>
            </w:rPr>
            <w:tab/>
          </w:r>
          <w:r w:rsidR="00403C61" w:rsidRPr="007C10C8">
            <w:rPr>
              <w:b w:val="0"/>
              <w:noProof/>
            </w:rPr>
            <w:t>16</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spacing w:val="-4"/>
            </w:rPr>
            <w:t>6</w:t>
          </w:r>
          <w:r w:rsidRPr="007C10C8">
            <w:rPr>
              <w:rFonts w:asciiTheme="minorHAnsi" w:eastAsiaTheme="minorEastAsia" w:hAnsiTheme="minorHAnsi" w:cstheme="minorBidi"/>
              <w:b w:val="0"/>
              <w:noProof/>
              <w:sz w:val="22"/>
              <w:szCs w:val="22"/>
              <w:lang w:eastAsia="en-AU"/>
            </w:rPr>
            <w:tab/>
          </w:r>
          <w:r w:rsidRPr="007C10C8">
            <w:rPr>
              <w:b w:val="0"/>
              <w:noProof/>
              <w:spacing w:val="-4"/>
            </w:rPr>
            <w:t>Best</w:t>
          </w:r>
          <w:r w:rsidRPr="007C10C8">
            <w:rPr>
              <w:b w:val="0"/>
              <w:noProof/>
              <w:spacing w:val="-4"/>
            </w:rPr>
            <w:noBreakHyphen/>
            <w:t>practice community engagement and benefit sharing</w:t>
          </w:r>
          <w:r w:rsidRPr="007C10C8">
            <w:rPr>
              <w:b w:val="0"/>
              <w:noProof/>
            </w:rPr>
            <w:tab/>
          </w:r>
          <w:r w:rsidR="00403C61" w:rsidRPr="007C10C8">
            <w:rPr>
              <w:b w:val="0"/>
              <w:noProof/>
            </w:rPr>
            <w:t>18</w:t>
          </w:r>
        </w:p>
        <w:p w:rsidR="00812367" w:rsidRPr="007C10C8" w:rsidRDefault="00812367" w:rsidP="008216F5">
          <w:pPr>
            <w:pStyle w:val="TOC1"/>
            <w:spacing w:before="240"/>
            <w:rPr>
              <w:rFonts w:asciiTheme="minorHAnsi" w:eastAsiaTheme="minorEastAsia" w:hAnsiTheme="minorHAnsi" w:cstheme="minorBidi"/>
              <w:b w:val="0"/>
              <w:noProof/>
              <w:sz w:val="22"/>
              <w:szCs w:val="22"/>
              <w:lang w:eastAsia="en-AU"/>
            </w:rPr>
          </w:pPr>
          <w:r w:rsidRPr="007C10C8">
            <w:rPr>
              <w:b w:val="0"/>
              <w:noProof/>
              <w:spacing w:val="-4"/>
            </w:rPr>
            <w:t>References</w:t>
          </w:r>
          <w:r w:rsidRPr="007C10C8">
            <w:rPr>
              <w:b w:val="0"/>
              <w:noProof/>
            </w:rPr>
            <w:tab/>
          </w:r>
          <w:r w:rsidR="00403C61" w:rsidRPr="007C10C8">
            <w:rPr>
              <w:b w:val="0"/>
              <w:noProof/>
            </w:rPr>
            <w:t>21</w:t>
          </w:r>
        </w:p>
        <w:p w:rsidR="00D96622" w:rsidRPr="007C10C8" w:rsidRDefault="00812367" w:rsidP="008216F5">
          <w:pPr>
            <w:pStyle w:val="TOC1"/>
            <w:spacing w:before="240"/>
            <w:rPr>
              <w:b w:val="0"/>
            </w:rPr>
          </w:pPr>
          <w:r w:rsidRPr="007C10C8">
            <w:rPr>
              <w:b w:val="0"/>
              <w:noProof/>
            </w:rPr>
            <w:t>Attachment A: How to make a submission</w:t>
          </w:r>
          <w:r w:rsidRPr="007C10C8">
            <w:rPr>
              <w:b w:val="0"/>
              <w:noProof/>
            </w:rPr>
            <w:tab/>
          </w:r>
          <w:r w:rsidR="00403C61" w:rsidRPr="007C10C8">
            <w:rPr>
              <w:b w:val="0"/>
              <w:noProof/>
            </w:rPr>
            <w:t>23</w:t>
          </w:r>
        </w:p>
      </w:sdtContent>
    </w:sdt>
    <w:p w:rsidR="00D96622" w:rsidRDefault="00D96622" w:rsidP="00D96622">
      <w:pPr>
        <w:pStyle w:val="BodyText"/>
      </w:pPr>
    </w:p>
    <w:p w:rsidR="00D96622" w:rsidRDefault="00D96622" w:rsidP="00D96622">
      <w:pPr>
        <w:pStyle w:val="BodyText"/>
        <w:sectPr w:rsidR="00D96622" w:rsidSect="00E37F12">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rsidR="00D96622" w:rsidRDefault="00403C61" w:rsidP="00407CD0">
      <w:pPr>
        <w:pStyle w:val="Heading2"/>
        <w:spacing w:before="240"/>
      </w:pPr>
      <w:bookmarkStart w:id="5" w:name="_Toc18489678"/>
      <w:bookmarkStart w:id="6" w:name="_Toc18590487"/>
      <w:bookmarkStart w:id="7" w:name="_Toc19188648"/>
      <w:bookmarkStart w:id="8" w:name="_Toc19189839"/>
      <w:r>
        <w:rPr>
          <w:noProof/>
        </w:rPr>
        <w:lastRenderedPageBreak/>
        <w:t>1</w:t>
      </w:r>
      <w:r w:rsidR="00BC33DA">
        <w:tab/>
        <w:t xml:space="preserve">What the Commission </w:t>
      </w:r>
      <w:r w:rsidR="0083374A">
        <w:t xml:space="preserve">has </w:t>
      </w:r>
      <w:r w:rsidR="00BC33DA">
        <w:t>been asked to do</w:t>
      </w:r>
      <w:bookmarkEnd w:id="5"/>
      <w:bookmarkEnd w:id="6"/>
      <w:bookmarkEnd w:id="7"/>
      <w:bookmarkEnd w:id="8"/>
    </w:p>
    <w:p w:rsidR="001B6767" w:rsidRPr="00E96878" w:rsidRDefault="001B6767" w:rsidP="006D7AB5">
      <w:pPr>
        <w:pStyle w:val="Heading3"/>
        <w:spacing w:before="280"/>
      </w:pPr>
      <w:r>
        <w:t>Background to the study</w:t>
      </w:r>
    </w:p>
    <w:p w:rsidR="005A2D3B" w:rsidRDefault="00DD1105" w:rsidP="00035E42">
      <w:pPr>
        <w:pStyle w:val="BodyText"/>
      </w:pPr>
      <w:r>
        <w:t>Australia’s resources sector makes a significant contribution to economic activity, accounting for nearly 250 000 jobs</w:t>
      </w:r>
      <w:r w:rsidR="004313B2">
        <w:t xml:space="preserve"> at May 2019</w:t>
      </w:r>
      <w:r w:rsidR="003E1928">
        <w:t xml:space="preserve"> </w:t>
      </w:r>
      <w:r w:rsidR="003E1928" w:rsidRPr="003E1928">
        <w:rPr>
          <w:szCs w:val="24"/>
        </w:rPr>
        <w:t>(ABS 2019a)</w:t>
      </w:r>
      <w:r>
        <w:t xml:space="preserve"> and</w:t>
      </w:r>
      <w:r w:rsidR="004C3DFC">
        <w:t xml:space="preserve"> about</w:t>
      </w:r>
      <w:r>
        <w:t xml:space="preserve"> three quarters of</w:t>
      </w:r>
      <w:r w:rsidR="004313B2">
        <w:t xml:space="preserve"> the value</w:t>
      </w:r>
      <w:r>
        <w:t xml:space="preserve"> </w:t>
      </w:r>
      <w:r w:rsidR="00977CAA">
        <w:t xml:space="preserve">of </w:t>
      </w:r>
      <w:r w:rsidR="007D7969">
        <w:t>good</w:t>
      </w:r>
      <w:r w:rsidR="00977CAA">
        <w:t>s</w:t>
      </w:r>
      <w:r w:rsidR="007D7969">
        <w:t xml:space="preserve"> </w:t>
      </w:r>
      <w:r>
        <w:t xml:space="preserve">exports in 2018 </w:t>
      </w:r>
      <w:r w:rsidR="004C3DFC" w:rsidRPr="004C3DFC">
        <w:rPr>
          <w:szCs w:val="24"/>
        </w:rPr>
        <w:t>(DIIS 2019)</w:t>
      </w:r>
      <w:r>
        <w:t>.</w:t>
      </w:r>
      <w:r w:rsidR="006D6C2A">
        <w:t xml:space="preserve"> </w:t>
      </w:r>
      <w:r w:rsidR="00856ECA">
        <w:t>T</w:t>
      </w:r>
      <w:r w:rsidR="005A2D3B">
        <w:t xml:space="preserve">he sector has </w:t>
      </w:r>
      <w:r w:rsidR="00856ECA">
        <w:t xml:space="preserve">also </w:t>
      </w:r>
      <w:r w:rsidR="005A2D3B">
        <w:t>been a major destination for investment, attracting more than $600 billion over the past decade</w:t>
      </w:r>
      <w:r w:rsidR="003E1928">
        <w:t xml:space="preserve"> </w:t>
      </w:r>
      <w:r w:rsidR="003E1928" w:rsidRPr="003E1928">
        <w:rPr>
          <w:szCs w:val="24"/>
        </w:rPr>
        <w:t>(ABS 2019b)</w:t>
      </w:r>
      <w:r w:rsidR="005A2D3B">
        <w:t>.</w:t>
      </w:r>
    </w:p>
    <w:p w:rsidR="00856ECA" w:rsidRDefault="00AD039D" w:rsidP="00AD039D">
      <w:pPr>
        <w:pStyle w:val="BodyText"/>
      </w:pPr>
      <w:r>
        <w:t xml:space="preserve">Alongside </w:t>
      </w:r>
      <w:r w:rsidR="004B789D">
        <w:t xml:space="preserve">the </w:t>
      </w:r>
      <w:r>
        <w:t>economic benefits</w:t>
      </w:r>
      <w:r w:rsidR="004B789D">
        <w:t xml:space="preserve">, </w:t>
      </w:r>
      <w:r w:rsidR="00856ECA">
        <w:t xml:space="preserve">however, </w:t>
      </w:r>
      <w:r>
        <w:t xml:space="preserve">resources activities </w:t>
      </w:r>
      <w:r w:rsidR="0083374A">
        <w:t xml:space="preserve">often </w:t>
      </w:r>
      <w:r>
        <w:t>have potentially significant social and environmental impacts.</w:t>
      </w:r>
    </w:p>
    <w:p w:rsidR="00AD039D" w:rsidRDefault="00734E9B" w:rsidP="00AD039D">
      <w:pPr>
        <w:pStyle w:val="BodyText"/>
      </w:pPr>
      <w:r>
        <w:t xml:space="preserve">As a consequence, </w:t>
      </w:r>
      <w:r w:rsidR="00AD039D">
        <w:t>the sector is heavily regulated. All levels of government are involved in this process, with multiple agencies in each jurisdiction playing a role in administering and enforcing resources sector regulation. While this regulatory activity is essential, there is a risk that</w:t>
      </w:r>
      <w:r w:rsidR="00980689">
        <w:t>,</w:t>
      </w:r>
      <w:r w:rsidR="00AD039D">
        <w:t xml:space="preserve"> </w:t>
      </w:r>
      <w:r>
        <w:t xml:space="preserve">if not done well, </w:t>
      </w:r>
      <w:r w:rsidR="00AD039D">
        <w:t xml:space="preserve">it imposes burdens on industry beyond those necessary </w:t>
      </w:r>
      <w:r w:rsidR="003E0C0A">
        <w:t>to</w:t>
      </w:r>
      <w:r w:rsidR="00AD039D">
        <w:t xml:space="preserve"> </w:t>
      </w:r>
      <w:r>
        <w:t xml:space="preserve">maximise </w:t>
      </w:r>
      <w:r w:rsidR="003E0C0A">
        <w:t xml:space="preserve">the </w:t>
      </w:r>
      <w:r>
        <w:t xml:space="preserve">net benefits </w:t>
      </w:r>
      <w:r w:rsidR="00637E70">
        <w:t xml:space="preserve">accruing </w:t>
      </w:r>
      <w:r>
        <w:t>to the Australian community</w:t>
      </w:r>
      <w:r w:rsidR="00AD039D">
        <w:t>.</w:t>
      </w:r>
    </w:p>
    <w:p w:rsidR="00EC05B2" w:rsidRDefault="00EC05B2" w:rsidP="000416C4">
      <w:pPr>
        <w:pStyle w:val="BodyText"/>
      </w:pPr>
      <w:r>
        <w:t>The Australian Government has recently developed a reform agenda for the sector. Recommendations from the Resources 2030 Taskforce informed a National Resources Statement, released in February 2019. Among the Statement’s goals are that Australia is an attractive destination for investment in resource projects, and that local communities — including Indigenous communities — benefit from the sector’s activities. Unnecessary regulatory burden was identified as a key sectoral challenge.</w:t>
      </w:r>
    </w:p>
    <w:p w:rsidR="00EC05B2" w:rsidRDefault="00EC05B2" w:rsidP="00EC05B2">
      <w:pPr>
        <w:pStyle w:val="BodyText"/>
      </w:pPr>
      <w:r>
        <w:t xml:space="preserve">Alongside </w:t>
      </w:r>
      <w:r w:rsidR="00977CAA">
        <w:t xml:space="preserve">the </w:t>
      </w:r>
      <w:r>
        <w:t>development of the Statement, and reflecting the work of the Taskforce, COAG Resources Ministers met for the first time in December 2018 and agreed to an action plan that included work to:</w:t>
      </w:r>
    </w:p>
    <w:p w:rsidR="00EC05B2" w:rsidRDefault="00EC05B2" w:rsidP="00EC05B2">
      <w:pPr>
        <w:pStyle w:val="ListBullet"/>
      </w:pPr>
      <w:r>
        <w:t>highlight best</w:t>
      </w:r>
      <w:r w:rsidR="00723B1F">
        <w:noBreakHyphen/>
      </w:r>
      <w:r>
        <w:t>practice regulation of resources projects</w:t>
      </w:r>
    </w:p>
    <w:p w:rsidR="00EC05B2" w:rsidRDefault="00EC05B2" w:rsidP="00EC05B2">
      <w:pPr>
        <w:pStyle w:val="ListBullet"/>
      </w:pPr>
      <w:r>
        <w:t>evaluate community engagement and benefit</w:t>
      </w:r>
      <w:r w:rsidR="00723B1F">
        <w:noBreakHyphen/>
      </w:r>
      <w:r>
        <w:t>sharing practices by industry.</w:t>
      </w:r>
    </w:p>
    <w:p w:rsidR="001B6767" w:rsidRDefault="0056032D" w:rsidP="00EC05B2">
      <w:pPr>
        <w:pStyle w:val="Heading3"/>
      </w:pPr>
      <w:r>
        <w:t>The Commission’s task and approach</w:t>
      </w:r>
    </w:p>
    <w:p w:rsidR="006710B1" w:rsidRPr="006710B1" w:rsidRDefault="00E00721" w:rsidP="00D54228">
      <w:pPr>
        <w:pStyle w:val="BodyText"/>
        <w:rPr>
          <w:spacing w:val="-2"/>
        </w:rPr>
      </w:pPr>
      <w:r w:rsidRPr="006710B1">
        <w:rPr>
          <w:spacing w:val="-2"/>
        </w:rPr>
        <w:t>T</w:t>
      </w:r>
      <w:r w:rsidR="00577BCE" w:rsidRPr="006710B1">
        <w:rPr>
          <w:spacing w:val="-2"/>
        </w:rPr>
        <w:t>he Australian Government has asked</w:t>
      </w:r>
      <w:r w:rsidR="00D54228" w:rsidRPr="006710B1">
        <w:rPr>
          <w:spacing w:val="-2"/>
        </w:rPr>
        <w:t xml:space="preserve"> the Commission to identify effective regulatory approaches to the resources sector, highlighting examples of best</w:t>
      </w:r>
      <w:r w:rsidR="00EC05DF">
        <w:rPr>
          <w:spacing w:val="-2"/>
        </w:rPr>
        <w:t xml:space="preserve"> </w:t>
      </w:r>
      <w:r w:rsidR="00D54228" w:rsidRPr="006710B1">
        <w:rPr>
          <w:spacing w:val="-2"/>
        </w:rPr>
        <w:t xml:space="preserve">practice both in Australia and internationally. The </w:t>
      </w:r>
      <w:r w:rsidR="00C206DD" w:rsidRPr="006710B1">
        <w:rPr>
          <w:spacing w:val="-2"/>
        </w:rPr>
        <w:t>study is to</w:t>
      </w:r>
      <w:r w:rsidR="00D54228" w:rsidRPr="006710B1">
        <w:rPr>
          <w:spacing w:val="-2"/>
        </w:rPr>
        <w:t xml:space="preserve"> focus on regulations with a material impact on investment.</w:t>
      </w:r>
    </w:p>
    <w:p w:rsidR="006710B1" w:rsidRDefault="00F44687" w:rsidP="006710B1">
      <w:pPr>
        <w:pStyle w:val="BodyText"/>
        <w:spacing w:before="220"/>
      </w:pPr>
      <w:r>
        <w:t xml:space="preserve">More specifically, the Commission </w:t>
      </w:r>
      <w:r w:rsidR="006710B1">
        <w:t xml:space="preserve">is </w:t>
      </w:r>
      <w:r>
        <w:t xml:space="preserve">to </w:t>
      </w:r>
      <w:r w:rsidR="006710B1">
        <w:t>examine:</w:t>
      </w:r>
    </w:p>
    <w:p w:rsidR="006710B1" w:rsidRDefault="00F44687" w:rsidP="006710B1">
      <w:pPr>
        <w:pStyle w:val="ListBullet"/>
        <w:spacing w:before="100"/>
      </w:pPr>
      <w:r>
        <w:t>ways in which governments can simplify regulations and reduce costs for business without compromising environmental standards or community expectations. Areas for examination include:</w:t>
      </w:r>
    </w:p>
    <w:p w:rsidR="006710B1" w:rsidRDefault="00F44687" w:rsidP="006710B1">
      <w:pPr>
        <w:pStyle w:val="ListBullet2"/>
        <w:spacing w:before="100"/>
      </w:pPr>
      <w:r>
        <w:t>project approval processes and government involvement to expedite them</w:t>
      </w:r>
    </w:p>
    <w:p w:rsidR="006710B1" w:rsidRDefault="00F44687" w:rsidP="006710B1">
      <w:pPr>
        <w:pStyle w:val="ListBullet2"/>
        <w:spacing w:before="100"/>
      </w:pPr>
      <w:r>
        <w:lastRenderedPageBreak/>
        <w:t>environmental management and compliance arrangements</w:t>
      </w:r>
    </w:p>
    <w:p w:rsidR="00D54228" w:rsidRPr="007C3DCA" w:rsidRDefault="00F44687" w:rsidP="006710B1">
      <w:pPr>
        <w:pStyle w:val="ListBullet2"/>
        <w:spacing w:before="100"/>
      </w:pPr>
      <w:r>
        <w:t>regulatory processes more generally</w:t>
      </w:r>
    </w:p>
    <w:p w:rsidR="006710B1" w:rsidRDefault="00342EF2" w:rsidP="006710B1">
      <w:pPr>
        <w:pStyle w:val="ListBullet"/>
        <w:spacing w:before="100"/>
      </w:pPr>
      <w:r>
        <w:t>any broader imp</w:t>
      </w:r>
      <w:r w:rsidR="00311FA8">
        <w:t>ediments to business investment</w:t>
      </w:r>
      <w:r w:rsidR="006710B1">
        <w:t>.</w:t>
      </w:r>
    </w:p>
    <w:p w:rsidR="00311FA8" w:rsidRDefault="006710B1" w:rsidP="006710B1">
      <w:pPr>
        <w:pStyle w:val="BodyText"/>
        <w:spacing w:before="100"/>
      </w:pPr>
      <w:r>
        <w:t xml:space="preserve">The Commission has also been asked to </w:t>
      </w:r>
      <w:r w:rsidR="00311FA8">
        <w:t xml:space="preserve">examine </w:t>
      </w:r>
      <w:r w:rsidR="00F44687">
        <w:t>resource companies’</w:t>
      </w:r>
      <w:r w:rsidR="00311FA8">
        <w:t xml:space="preserve"> engagement and sharing of benefits with local communities, including Indigenous </w:t>
      </w:r>
      <w:r w:rsidR="00FA1FE2">
        <w:t>communities</w:t>
      </w:r>
      <w:r w:rsidR="00311FA8">
        <w:t>.</w:t>
      </w:r>
    </w:p>
    <w:p w:rsidR="003F261B" w:rsidRDefault="003F261B">
      <w:pPr>
        <w:pStyle w:val="BodyText"/>
      </w:pPr>
      <w:r>
        <w:t xml:space="preserve">The Commission </w:t>
      </w:r>
      <w:r w:rsidR="0035545F">
        <w:t>is</w:t>
      </w:r>
      <w:r>
        <w:t xml:space="preserve"> to complete the </w:t>
      </w:r>
      <w:r w:rsidR="00C206DD">
        <w:t xml:space="preserve">study </w:t>
      </w:r>
      <w:r>
        <w:t>by August 2020 and to consult with key interest groups and affected parties</w:t>
      </w:r>
      <w:r w:rsidR="00204E8E">
        <w:t>.</w:t>
      </w:r>
      <w:r>
        <w:t xml:space="preserve"> </w:t>
      </w:r>
      <w:r w:rsidR="00204E8E">
        <w:t xml:space="preserve">The Commission is </w:t>
      </w:r>
      <w:r w:rsidR="00540AAB">
        <w:t xml:space="preserve">also </w:t>
      </w:r>
      <w:r w:rsidR="00204E8E">
        <w:t xml:space="preserve">to consult </w:t>
      </w:r>
      <w:r>
        <w:t>with COAG Energy Council working groups</w:t>
      </w:r>
      <w:r w:rsidR="00204E8E">
        <w:t xml:space="preserve"> </w:t>
      </w:r>
      <w:r w:rsidR="00204E8E" w:rsidRPr="00DE4FA3">
        <w:t>on existing studies related to land access, community engagement and regulatory benchmarking</w:t>
      </w:r>
      <w:r>
        <w:t>.</w:t>
      </w:r>
    </w:p>
    <w:p w:rsidR="007514F0" w:rsidRDefault="003F261B">
      <w:pPr>
        <w:pStyle w:val="BodyText"/>
      </w:pPr>
      <w:r>
        <w:t xml:space="preserve">Submissions are encouraged from interested parties. </w:t>
      </w:r>
      <w:r w:rsidR="004A4F9C">
        <w:t>T</w:t>
      </w:r>
      <w:r>
        <w:t>his issues paper provides guidance to submitters</w:t>
      </w:r>
      <w:r w:rsidR="00EC05DF">
        <w:t xml:space="preserve">. However, </w:t>
      </w:r>
      <w:r>
        <w:t>it is not designed to be exhaustive</w:t>
      </w:r>
      <w:r w:rsidR="00EC05DF">
        <w:t xml:space="preserve"> — s</w:t>
      </w:r>
      <w:r>
        <w:t>ubmissions on relevant matters outside those raised in the paper are welcome. Nor do participants have to answer all of the questions posed in the paper</w:t>
      </w:r>
      <w:r w:rsidR="00EC05DF">
        <w:t>. S</w:t>
      </w:r>
      <w:r>
        <w:t>ubmissions may be of any length.</w:t>
      </w:r>
    </w:p>
    <w:p w:rsidR="003F261B" w:rsidRDefault="003F261B">
      <w:pPr>
        <w:pStyle w:val="BodyText"/>
      </w:pPr>
      <w:r>
        <w:t xml:space="preserve">Attachment A details how to make a submission. Initial submissions should be provided to the Commission by </w:t>
      </w:r>
      <w:r w:rsidR="007514F0">
        <w:t>31</w:t>
      </w:r>
      <w:r w:rsidR="00F27DAA">
        <w:t> </w:t>
      </w:r>
      <w:r w:rsidR="007514F0">
        <w:t>October</w:t>
      </w:r>
      <w:r>
        <w:t xml:space="preserve"> 2019. There will be another opportunity to make a submission following the public release of the draft report in </w:t>
      </w:r>
      <w:r w:rsidR="007514F0">
        <w:t>March 2020 (figure</w:t>
      </w:r>
      <w:r w:rsidR="00F27DAA">
        <w:t> </w:t>
      </w:r>
      <w:r w:rsidR="007514F0">
        <w:t>1).</w:t>
      </w:r>
    </w:p>
    <w:p w:rsidR="007514F0" w:rsidRDefault="007514F0" w:rsidP="007514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514F0" w:rsidTr="007514F0">
        <w:trPr>
          <w:tblHeader/>
        </w:trPr>
        <w:tc>
          <w:tcPr>
            <w:tcW w:w="5000" w:type="pct"/>
            <w:tcBorders>
              <w:top w:val="single" w:sz="6" w:space="0" w:color="78A22F"/>
              <w:left w:val="nil"/>
              <w:bottom w:val="nil"/>
              <w:right w:val="nil"/>
            </w:tcBorders>
            <w:shd w:val="clear" w:color="auto" w:fill="auto"/>
          </w:tcPr>
          <w:p w:rsidR="007514F0" w:rsidRPr="00176D3F" w:rsidRDefault="007514F0" w:rsidP="00407CD0">
            <w:pPr>
              <w:pStyle w:val="FigureTitle"/>
            </w:pPr>
            <w:r w:rsidRPr="00784A05">
              <w:rPr>
                <w:b w:val="0"/>
              </w:rPr>
              <w:t xml:space="preserve">Figure </w:t>
            </w:r>
            <w:r w:rsidR="00403C61">
              <w:rPr>
                <w:b w:val="0"/>
                <w:noProof/>
              </w:rPr>
              <w:t>1</w:t>
            </w:r>
            <w:r>
              <w:tab/>
              <w:t>Key steps in the Commission’s study process</w:t>
            </w:r>
          </w:p>
        </w:tc>
      </w:tr>
      <w:tr w:rsidR="007514F0" w:rsidTr="007514F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514F0" w:rsidRPr="00B1465D" w:rsidTr="007514F0">
              <w:trPr>
                <w:tblHeader/>
                <w:jc w:val="center"/>
              </w:trPr>
              <w:tc>
                <w:tcPr>
                  <w:tcW w:w="5000" w:type="pct"/>
                  <w:tcBorders>
                    <w:top w:val="nil"/>
                    <w:bottom w:val="nil"/>
                  </w:tcBorders>
                </w:tcPr>
                <w:p w:rsidR="007514F0" w:rsidRPr="00B1465D" w:rsidRDefault="00CB4683" w:rsidP="007514F0">
                  <w:pPr>
                    <w:pStyle w:val="Figure"/>
                    <w:spacing w:before="60" w:after="60"/>
                    <w:rPr>
                      <w:rFonts w:ascii="Arial" w:hAnsi="Arial" w:cs="Arial"/>
                      <w:sz w:val="18"/>
                      <w:szCs w:val="18"/>
                    </w:rPr>
                  </w:pPr>
                  <w:r w:rsidRPr="00CB4683">
                    <w:rPr>
                      <w:rFonts w:ascii="Arial" w:hAnsi="Arial" w:cs="Arial"/>
                      <w:noProof/>
                      <w:sz w:val="18"/>
                      <w:szCs w:val="18"/>
                    </w:rPr>
                    <w:drawing>
                      <wp:inline distT="0" distB="0" distL="0" distR="0" wp14:anchorId="0D8A654D" wp14:editId="776101F2">
                        <wp:extent cx="5292000" cy="1003939"/>
                        <wp:effectExtent l="0" t="0" r="4445" b="0"/>
                        <wp:docPr id="1" name="Picture 1" descr="The figure shows a flow chart outlining key steps in the study process. The Commission received the terms of reference on 6 August 2019 and initial submissions are due 31 October 2019. The draft report will be released March 2020 and post-draft submissions are due April 2020. The final report will be handed to Government in August 2020." title="Key steps in the Commission’s stud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84" t="26211" b="23363"/>
                                <a:stretch/>
                              </pic:blipFill>
                              <pic:spPr bwMode="auto">
                                <a:xfrm>
                                  <a:off x="0" y="0"/>
                                  <a:ext cx="5292000" cy="10039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14F0" w:rsidRDefault="007514F0" w:rsidP="007514F0">
            <w:pPr>
              <w:pStyle w:val="Figure"/>
            </w:pPr>
          </w:p>
        </w:tc>
      </w:tr>
      <w:tr w:rsidR="007514F0" w:rsidTr="007514F0">
        <w:tc>
          <w:tcPr>
            <w:tcW w:w="5000" w:type="pct"/>
            <w:tcBorders>
              <w:top w:val="nil"/>
              <w:left w:val="nil"/>
              <w:bottom w:val="single" w:sz="6" w:space="0" w:color="78A22F"/>
              <w:right w:val="nil"/>
            </w:tcBorders>
            <w:shd w:val="clear" w:color="auto" w:fill="auto"/>
          </w:tcPr>
          <w:p w:rsidR="007514F0" w:rsidRDefault="007514F0" w:rsidP="007514F0">
            <w:pPr>
              <w:pStyle w:val="Figurespace"/>
            </w:pPr>
          </w:p>
        </w:tc>
      </w:tr>
      <w:tr w:rsidR="007514F0" w:rsidRPr="000863A5" w:rsidTr="007514F0">
        <w:tc>
          <w:tcPr>
            <w:tcW w:w="5000" w:type="pct"/>
            <w:tcBorders>
              <w:top w:val="single" w:sz="6" w:space="0" w:color="78A22F"/>
              <w:left w:val="nil"/>
              <w:bottom w:val="nil"/>
              <w:right w:val="nil"/>
            </w:tcBorders>
          </w:tcPr>
          <w:p w:rsidR="007514F0" w:rsidRPr="00626D32" w:rsidRDefault="007514F0" w:rsidP="007514F0">
            <w:pPr>
              <w:pStyle w:val="BoxSpaceBelow"/>
            </w:pPr>
          </w:p>
        </w:tc>
      </w:tr>
    </w:tbl>
    <w:p w:rsidR="00BC33DA" w:rsidRDefault="00403C61" w:rsidP="00BC33DA">
      <w:pPr>
        <w:pStyle w:val="Heading2"/>
      </w:pPr>
      <w:bookmarkStart w:id="9" w:name="_Toc18489679"/>
      <w:bookmarkStart w:id="10" w:name="_Toc18590488"/>
      <w:bookmarkStart w:id="11" w:name="_Toc19188649"/>
      <w:bookmarkStart w:id="12" w:name="_Toc19189840"/>
      <w:r>
        <w:rPr>
          <w:noProof/>
        </w:rPr>
        <w:t>2</w:t>
      </w:r>
      <w:r w:rsidR="00BC33DA">
        <w:tab/>
      </w:r>
      <w:r w:rsidR="001D2BA4">
        <w:t>Scoping</w:t>
      </w:r>
      <w:r w:rsidR="004A4F9C">
        <w:t xml:space="preserve"> the study</w:t>
      </w:r>
      <w:r w:rsidR="001F1B36">
        <w:t xml:space="preserve"> and defining key concepts</w:t>
      </w:r>
      <w:bookmarkEnd w:id="9"/>
      <w:bookmarkEnd w:id="10"/>
      <w:bookmarkEnd w:id="11"/>
      <w:bookmarkEnd w:id="12"/>
    </w:p>
    <w:p w:rsidR="006769F9" w:rsidRPr="00A670EC" w:rsidRDefault="005F5F95" w:rsidP="000246A6">
      <w:pPr>
        <w:pStyle w:val="Heading3"/>
        <w:spacing w:before="280"/>
      </w:pPr>
      <w:r>
        <w:t xml:space="preserve">What </w:t>
      </w:r>
      <w:r w:rsidR="006769F9" w:rsidRPr="00A670EC">
        <w:t>resources</w:t>
      </w:r>
      <w:r w:rsidR="00862428">
        <w:t xml:space="preserve"> are in scope</w:t>
      </w:r>
      <w:r>
        <w:t>?</w:t>
      </w:r>
    </w:p>
    <w:p w:rsidR="007D2E4D" w:rsidRPr="008216F5" w:rsidRDefault="00726C99" w:rsidP="00B05D12">
      <w:pPr>
        <w:pStyle w:val="BodyText"/>
        <w:rPr>
          <w:spacing w:val="-2"/>
        </w:rPr>
      </w:pPr>
      <w:r w:rsidRPr="008216F5">
        <w:rPr>
          <w:spacing w:val="-2"/>
        </w:rPr>
        <w:t xml:space="preserve">The </w:t>
      </w:r>
      <w:r w:rsidR="00A670EC" w:rsidRPr="008216F5">
        <w:rPr>
          <w:spacing w:val="-2"/>
        </w:rPr>
        <w:t xml:space="preserve">terms of reference </w:t>
      </w:r>
      <w:r w:rsidRPr="008216F5">
        <w:rPr>
          <w:spacing w:val="-2"/>
        </w:rPr>
        <w:t xml:space="preserve">do not </w:t>
      </w:r>
      <w:r w:rsidR="00A670EC" w:rsidRPr="008216F5">
        <w:rPr>
          <w:spacing w:val="-2"/>
        </w:rPr>
        <w:t>specify wh</w:t>
      </w:r>
      <w:r w:rsidR="00637E70" w:rsidRPr="008216F5">
        <w:rPr>
          <w:spacing w:val="-2"/>
        </w:rPr>
        <w:t>ich</w:t>
      </w:r>
      <w:r w:rsidR="00A670EC" w:rsidRPr="008216F5">
        <w:rPr>
          <w:spacing w:val="-2"/>
        </w:rPr>
        <w:t xml:space="preserve"> resources are in or out of this study’s scope. </w:t>
      </w:r>
      <w:r w:rsidR="00D249B5" w:rsidRPr="008216F5">
        <w:rPr>
          <w:spacing w:val="-2"/>
        </w:rPr>
        <w:t xml:space="preserve">The </w:t>
      </w:r>
      <w:r w:rsidR="000246A6" w:rsidRPr="008216F5">
        <w:rPr>
          <w:spacing w:val="-2"/>
        </w:rPr>
        <w:t>resources</w:t>
      </w:r>
      <w:r w:rsidR="00D249B5" w:rsidRPr="008216F5">
        <w:rPr>
          <w:spacing w:val="-2"/>
        </w:rPr>
        <w:t xml:space="preserve"> sector is often defined to include</w:t>
      </w:r>
      <w:r w:rsidR="005F5F95" w:rsidRPr="008216F5">
        <w:rPr>
          <w:spacing w:val="-2"/>
        </w:rPr>
        <w:t xml:space="preserve"> minerals, oil and gas — aligning with </w:t>
      </w:r>
      <w:r w:rsidR="00A670EC" w:rsidRPr="008216F5" w:rsidDel="005F5F95">
        <w:rPr>
          <w:spacing w:val="-2"/>
        </w:rPr>
        <w:t xml:space="preserve">the </w:t>
      </w:r>
      <w:r w:rsidR="0050415B" w:rsidRPr="008216F5">
        <w:rPr>
          <w:spacing w:val="-2"/>
        </w:rPr>
        <w:t xml:space="preserve">definition of the </w:t>
      </w:r>
      <w:r w:rsidR="000246A6" w:rsidRPr="008216F5">
        <w:rPr>
          <w:spacing w:val="-2"/>
        </w:rPr>
        <w:t>m</w:t>
      </w:r>
      <w:r w:rsidR="00A61FBB" w:rsidRPr="008216F5">
        <w:rPr>
          <w:spacing w:val="-2"/>
        </w:rPr>
        <w:t>ining</w:t>
      </w:r>
      <w:r w:rsidR="005F5F95" w:rsidRPr="008216F5">
        <w:rPr>
          <w:spacing w:val="-2"/>
        </w:rPr>
        <w:t xml:space="preserve"> industry</w:t>
      </w:r>
      <w:r w:rsidR="000246A6" w:rsidRPr="008216F5">
        <w:rPr>
          <w:spacing w:val="-2"/>
        </w:rPr>
        <w:t xml:space="preserve"> </w:t>
      </w:r>
      <w:r w:rsidR="005F5F95" w:rsidRPr="008216F5">
        <w:rPr>
          <w:spacing w:val="-2"/>
        </w:rPr>
        <w:t xml:space="preserve">in </w:t>
      </w:r>
      <w:r w:rsidR="0010554E" w:rsidRPr="008216F5">
        <w:rPr>
          <w:spacing w:val="-2"/>
        </w:rPr>
        <w:t xml:space="preserve">the </w:t>
      </w:r>
      <w:r w:rsidR="00B05D12" w:rsidRPr="008216F5">
        <w:rPr>
          <w:spacing w:val="-2"/>
        </w:rPr>
        <w:t xml:space="preserve">Australian and New Zealand Standard Industrial Classification </w:t>
      </w:r>
      <w:r w:rsidR="00B05D12" w:rsidRPr="008216F5" w:rsidDel="005F5F95">
        <w:rPr>
          <w:spacing w:val="-2"/>
        </w:rPr>
        <w:t>(</w:t>
      </w:r>
      <w:r w:rsidR="00B05D12" w:rsidRPr="008216F5">
        <w:rPr>
          <w:spacing w:val="-2"/>
        </w:rPr>
        <w:t>box</w:t>
      </w:r>
      <w:r w:rsidR="00F27DAA" w:rsidRPr="008216F5">
        <w:rPr>
          <w:spacing w:val="-2"/>
        </w:rPr>
        <w:t> </w:t>
      </w:r>
      <w:r w:rsidR="0024500D" w:rsidRPr="008216F5">
        <w:rPr>
          <w:spacing w:val="-2"/>
        </w:rPr>
        <w:t>1</w:t>
      </w:r>
      <w:r w:rsidR="00B05D12" w:rsidRPr="008216F5">
        <w:rPr>
          <w:spacing w:val="-2"/>
        </w:rPr>
        <w:t>).</w:t>
      </w:r>
      <w:r w:rsidR="00AD27D4" w:rsidRPr="008216F5">
        <w:rPr>
          <w:spacing w:val="-2"/>
        </w:rPr>
        <w:t xml:space="preserve"> </w:t>
      </w:r>
      <w:r w:rsidR="00540AAB" w:rsidRPr="008216F5">
        <w:rPr>
          <w:spacing w:val="-2"/>
        </w:rPr>
        <w:t xml:space="preserve">This </w:t>
      </w:r>
      <w:r w:rsidR="00785B94" w:rsidRPr="008216F5">
        <w:rPr>
          <w:spacing w:val="-2"/>
        </w:rPr>
        <w:t xml:space="preserve">classification </w:t>
      </w:r>
      <w:r w:rsidR="00540AAB" w:rsidRPr="008216F5">
        <w:rPr>
          <w:spacing w:val="-2"/>
        </w:rPr>
        <w:t>covers</w:t>
      </w:r>
      <w:r w:rsidR="00AD27D4" w:rsidRPr="008216F5">
        <w:rPr>
          <w:spacing w:val="-2"/>
        </w:rPr>
        <w:t xml:space="preserve"> </w:t>
      </w:r>
      <w:r w:rsidR="004709CC" w:rsidRPr="008216F5">
        <w:rPr>
          <w:spacing w:val="-2"/>
        </w:rPr>
        <w:t xml:space="preserve">coal, </w:t>
      </w:r>
      <w:r w:rsidR="00540AAB" w:rsidRPr="008216F5">
        <w:rPr>
          <w:spacing w:val="-2"/>
        </w:rPr>
        <w:t>oil and gas</w:t>
      </w:r>
      <w:r w:rsidR="00785B94" w:rsidRPr="008216F5">
        <w:rPr>
          <w:spacing w:val="-2"/>
        </w:rPr>
        <w:t xml:space="preserve"> (conventional and unconventional)</w:t>
      </w:r>
      <w:r w:rsidR="00540AAB" w:rsidRPr="008216F5">
        <w:rPr>
          <w:spacing w:val="-2"/>
        </w:rPr>
        <w:t>, iron ore, other metal ores including gold, silver, bauxite, uranium and mineral sands and construction material mining.</w:t>
      </w:r>
      <w:r w:rsidR="00AA67F1" w:rsidRPr="008216F5">
        <w:rPr>
          <w:spacing w:val="-2"/>
        </w:rPr>
        <w:t xml:space="preserve"> </w:t>
      </w:r>
      <w:r w:rsidR="004709CC" w:rsidRPr="008216F5">
        <w:rPr>
          <w:spacing w:val="-2"/>
        </w:rPr>
        <w:t xml:space="preserve">The Commission proposes to focus on these resources. </w:t>
      </w:r>
      <w:r w:rsidR="00AA67F1" w:rsidRPr="008216F5">
        <w:rPr>
          <w:spacing w:val="-2"/>
        </w:rPr>
        <w:t>Regulation of large</w:t>
      </w:r>
      <w:r w:rsidR="00AA67F1" w:rsidRPr="008216F5">
        <w:rPr>
          <w:spacing w:val="-2"/>
        </w:rPr>
        <w:noBreakHyphen/>
        <w:t xml:space="preserve">scale renewables, such as wind and solar farms or hydrogen power plants, </w:t>
      </w:r>
      <w:r w:rsidR="001A0FB4" w:rsidRPr="008216F5">
        <w:rPr>
          <w:spacing w:val="-2"/>
        </w:rPr>
        <w:t>fall</w:t>
      </w:r>
      <w:r w:rsidR="004709CC" w:rsidRPr="008216F5">
        <w:rPr>
          <w:spacing w:val="-2"/>
        </w:rPr>
        <w:t xml:space="preserve"> </w:t>
      </w:r>
      <w:r w:rsidR="001A0FB4" w:rsidRPr="008216F5">
        <w:rPr>
          <w:spacing w:val="-2"/>
        </w:rPr>
        <w:t>outside</w:t>
      </w:r>
      <w:r w:rsidR="004709CC" w:rsidRPr="008216F5">
        <w:rPr>
          <w:spacing w:val="-2"/>
        </w:rPr>
        <w:t xml:space="preserve"> this scope, but </w:t>
      </w:r>
      <w:r w:rsidR="00AA67F1" w:rsidRPr="008216F5">
        <w:rPr>
          <w:spacing w:val="-2"/>
        </w:rPr>
        <w:t>might be useful as a comparator for some elements of the work.</w:t>
      </w:r>
    </w:p>
    <w:p w:rsidR="00967F2D" w:rsidRDefault="00967F2D" w:rsidP="00967F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7F2D" w:rsidTr="00EE2645">
        <w:trPr>
          <w:tblHeader/>
        </w:trPr>
        <w:tc>
          <w:tcPr>
            <w:tcW w:w="5000" w:type="pct"/>
            <w:tcBorders>
              <w:top w:val="single" w:sz="6" w:space="0" w:color="78A22F"/>
              <w:left w:val="nil"/>
              <w:bottom w:val="nil"/>
              <w:right w:val="nil"/>
            </w:tcBorders>
            <w:shd w:val="clear" w:color="auto" w:fill="F2F2F2"/>
          </w:tcPr>
          <w:p w:rsidR="00967F2D" w:rsidRDefault="00967F2D" w:rsidP="00EE2645">
            <w:pPr>
              <w:pStyle w:val="BoxTitle"/>
            </w:pPr>
            <w:r>
              <w:rPr>
                <w:b w:val="0"/>
              </w:rPr>
              <w:t xml:space="preserve">Box </w:t>
            </w:r>
            <w:r w:rsidR="00403C61">
              <w:rPr>
                <w:b w:val="0"/>
                <w:noProof/>
              </w:rPr>
              <w:t>1</w:t>
            </w:r>
            <w:r>
              <w:tab/>
              <w:t>Activities classified as ‘mining’ in ABS data</w:t>
            </w:r>
          </w:p>
        </w:tc>
      </w:tr>
      <w:tr w:rsidR="00967F2D" w:rsidTr="00EE2645">
        <w:tc>
          <w:tcPr>
            <w:tcW w:w="5000" w:type="pct"/>
            <w:tcBorders>
              <w:top w:val="nil"/>
              <w:left w:val="nil"/>
              <w:bottom w:val="nil"/>
              <w:right w:val="nil"/>
            </w:tcBorders>
            <w:shd w:val="clear" w:color="auto" w:fill="F2F2F2"/>
          </w:tcPr>
          <w:p w:rsidR="00967F2D" w:rsidRDefault="00967F2D" w:rsidP="00EE2645">
            <w:pPr>
              <w:pStyle w:val="Box"/>
            </w:pPr>
            <w:r>
              <w:t xml:space="preserve">Division B </w:t>
            </w:r>
            <w:r>
              <w:rPr>
                <w:rFonts w:cs="Arial"/>
              </w:rPr>
              <w:t>—</w:t>
            </w:r>
            <w:r>
              <w:t xml:space="preserve"> ‘Mining’ </w:t>
            </w:r>
            <w:r>
              <w:rPr>
                <w:rFonts w:cs="Arial"/>
              </w:rPr>
              <w:t xml:space="preserve">— of the Australian and New Zealand Standard Industrial Classification </w:t>
            </w:r>
            <w:r>
              <w:t xml:space="preserve">includes businesses involved in the exploration and extraction of </w:t>
            </w:r>
            <w:r w:rsidRPr="00B045BD">
              <w:t>naturally occurring minerals</w:t>
            </w:r>
            <w:r>
              <w:t xml:space="preserve"> and resources. Activities</w:t>
            </w:r>
            <w:r w:rsidDel="00A90C7E">
              <w:t xml:space="preserve"> </w:t>
            </w:r>
            <w:r>
              <w:t>undertaken to prepare ore for smelting, such as crushing, screening, washing and flotation, as well as other preparation work usually performed at the mine site or as a part of mining activity, are also included. The classification</w:t>
            </w:r>
            <w:r w:rsidRPr="00944E30">
              <w:t xml:space="preserve"> </w:t>
            </w:r>
            <w:r>
              <w:t>excludes:</w:t>
            </w:r>
          </w:p>
          <w:p w:rsidR="00967F2D" w:rsidRDefault="00967F2D" w:rsidP="00EE2645">
            <w:pPr>
              <w:pStyle w:val="BoxListBullet"/>
              <w:spacing w:before="80"/>
            </w:pPr>
            <w:r>
              <w:t>businesses that mainly produce</w:t>
            </w:r>
            <w:r w:rsidRPr="00944E30">
              <w:t xml:space="preserve"> products </w:t>
            </w:r>
            <w:r>
              <w:t xml:space="preserve">that require complex </w:t>
            </w:r>
            <w:r w:rsidRPr="00944E30">
              <w:t>processing</w:t>
            </w:r>
            <w:r>
              <w:t>, such as refining or smelting minerals or ores (except the preliminary smelting of gold)</w:t>
            </w:r>
          </w:p>
          <w:p w:rsidR="00967F2D" w:rsidRDefault="00967F2D" w:rsidP="00EE2645">
            <w:pPr>
              <w:pStyle w:val="BoxListBullet"/>
              <w:spacing w:before="80"/>
            </w:pPr>
            <w:r>
              <w:t>businesses that manufacture products of mineral origin, such as coke or cement</w:t>
            </w:r>
          </w:p>
          <w:p w:rsidR="00967F2D" w:rsidRDefault="00967F2D" w:rsidP="00EE2645">
            <w:pPr>
              <w:pStyle w:val="BoxListBullet"/>
              <w:spacing w:before="80"/>
            </w:pPr>
            <w:r>
              <w:t>businesses mainly engaged on a contract or fee basis in geological and geophysical surveying, laboratory</w:t>
            </w:r>
            <w:r>
              <w:noBreakHyphen/>
              <w:t>type services and mine site preparation</w:t>
            </w:r>
          </w:p>
          <w:p w:rsidR="00967F2D" w:rsidRDefault="00967F2D" w:rsidP="00EE2645">
            <w:pPr>
              <w:pStyle w:val="BoxListBullet"/>
              <w:spacing w:before="80"/>
            </w:pPr>
            <w:r>
              <w:t>incidental services such as transport.</w:t>
            </w:r>
          </w:p>
        </w:tc>
      </w:tr>
      <w:tr w:rsidR="00967F2D" w:rsidTr="00EE2645">
        <w:tc>
          <w:tcPr>
            <w:tcW w:w="5000" w:type="pct"/>
            <w:tcBorders>
              <w:top w:val="nil"/>
              <w:left w:val="nil"/>
              <w:bottom w:val="nil"/>
              <w:right w:val="nil"/>
            </w:tcBorders>
            <w:shd w:val="clear" w:color="auto" w:fill="F2F2F2"/>
          </w:tcPr>
          <w:p w:rsidR="00967F2D" w:rsidRDefault="00967F2D" w:rsidP="00F825C4">
            <w:pPr>
              <w:pStyle w:val="BoxSource"/>
            </w:pPr>
            <w:r>
              <w:rPr>
                <w:i/>
              </w:rPr>
              <w:t>Source</w:t>
            </w:r>
            <w:r w:rsidRPr="000246A6">
              <w:t>:</w:t>
            </w:r>
            <w:r w:rsidRPr="00674CF3">
              <w:t xml:space="preserve"> ABS (</w:t>
            </w:r>
            <w:r w:rsidRPr="000246A6">
              <w:rPr>
                <w:i/>
              </w:rPr>
              <w:t>Australian and New Zealand Standard Industrial Classification (ANZSIC) 2006 (Revision 2.0)</w:t>
            </w:r>
            <w:r w:rsidRPr="00674CF3">
              <w:t>, Cat. no.</w:t>
            </w:r>
            <w:r>
              <w:t xml:space="preserve"> </w:t>
            </w:r>
            <w:r>
              <w:rPr>
                <w:lang w:val="en"/>
              </w:rPr>
              <w:t>1292.0</w:t>
            </w:r>
            <w:r w:rsidRPr="00674CF3">
              <w:t>).</w:t>
            </w:r>
          </w:p>
        </w:tc>
      </w:tr>
      <w:tr w:rsidR="00967F2D" w:rsidTr="00EE2645">
        <w:tc>
          <w:tcPr>
            <w:tcW w:w="5000" w:type="pct"/>
            <w:tcBorders>
              <w:top w:val="nil"/>
              <w:left w:val="nil"/>
              <w:bottom w:val="single" w:sz="6" w:space="0" w:color="78A22F"/>
              <w:right w:val="nil"/>
            </w:tcBorders>
            <w:shd w:val="clear" w:color="auto" w:fill="F2F2F2"/>
          </w:tcPr>
          <w:p w:rsidR="00967F2D" w:rsidRDefault="00967F2D" w:rsidP="00EE2645">
            <w:pPr>
              <w:pStyle w:val="Box"/>
              <w:spacing w:before="0" w:line="120" w:lineRule="exact"/>
            </w:pPr>
          </w:p>
        </w:tc>
      </w:tr>
      <w:tr w:rsidR="00967F2D" w:rsidRPr="000863A5" w:rsidTr="00EE2645">
        <w:tc>
          <w:tcPr>
            <w:tcW w:w="5000" w:type="pct"/>
            <w:tcBorders>
              <w:top w:val="single" w:sz="6" w:space="0" w:color="78A22F"/>
              <w:left w:val="nil"/>
              <w:bottom w:val="nil"/>
              <w:right w:val="nil"/>
            </w:tcBorders>
          </w:tcPr>
          <w:p w:rsidR="00967F2D" w:rsidRPr="00626D32" w:rsidRDefault="00967F2D" w:rsidP="00EE2645">
            <w:pPr>
              <w:pStyle w:val="BoxSpaceBelow"/>
            </w:pPr>
          </w:p>
        </w:tc>
      </w:tr>
    </w:tbl>
    <w:p w:rsidR="007D755C" w:rsidRDefault="007D755C" w:rsidP="000246A6">
      <w:pPr>
        <w:pStyle w:val="Heading3"/>
        <w:spacing w:before="280"/>
      </w:pPr>
      <w:r>
        <w:t>What activities</w:t>
      </w:r>
      <w:r w:rsidDel="0085653D">
        <w:t xml:space="preserve"> </w:t>
      </w:r>
      <w:r>
        <w:t>are within scope?</w:t>
      </w:r>
    </w:p>
    <w:p w:rsidR="007D755C" w:rsidRDefault="007D755C" w:rsidP="007D755C">
      <w:pPr>
        <w:pStyle w:val="BodyText"/>
      </w:pPr>
      <w:r>
        <w:t>Broadly speaking, the Commission proposes to focus on the regulations relevant to the four stages in the life</w:t>
      </w:r>
      <w:r w:rsidR="004D6F71">
        <w:t xml:space="preserve"> </w:t>
      </w:r>
      <w:r>
        <w:t>cycle of a resources project: exploration</w:t>
      </w:r>
      <w:r w:rsidR="000271CD">
        <w:t xml:space="preserve"> and evaluation</w:t>
      </w:r>
      <w:r>
        <w:t xml:space="preserve">, development, production and processing, and site rehabilitation (figure 2). </w:t>
      </w:r>
      <w:r w:rsidRPr="008C0C68">
        <w:t>The specific activities undert</w:t>
      </w:r>
      <w:r w:rsidRPr="00660EFC">
        <w:t xml:space="preserve">aken </w:t>
      </w:r>
      <w:r>
        <w:t xml:space="preserve">at each stage </w:t>
      </w:r>
      <w:r w:rsidRPr="008C0C68">
        <w:t>depend on the resource in question</w:t>
      </w:r>
      <w:r>
        <w:t xml:space="preserve"> and the characteristics of the particular project. For example, iron ore extraction is likely to involve digging, crushing and screening, while petroleum extraction </w:t>
      </w:r>
      <w:r w:rsidR="00977CAA">
        <w:t>involves</w:t>
      </w:r>
      <w:r>
        <w:t xml:space="preserve"> drilling wells.</w:t>
      </w:r>
    </w:p>
    <w:p w:rsidR="00147A39" w:rsidRDefault="00147A39" w:rsidP="00147A39">
      <w:pPr>
        <w:pStyle w:val="Heading3"/>
      </w:pPr>
      <w:r>
        <w:t>What regulations are within scope?</w:t>
      </w:r>
    </w:p>
    <w:p w:rsidR="00147A39" w:rsidRDefault="00147A39" w:rsidP="00147A39">
      <w:pPr>
        <w:pStyle w:val="BodyText"/>
      </w:pPr>
      <w:r>
        <w:t>As for many previous inquiries and studies into regulatory burdens, the Commission proposes to adopt a broad definition of regulation, including any laws, government policies and rules that are intended to control or influence specific aspects of resources activity. Such regulation encompasses a range of legal instruments including statutes, subordinate legislation (regulations) and ministerial orders, as well as less formal instruments</w:t>
      </w:r>
      <w:r w:rsidR="00481317">
        <w:t>,</w:t>
      </w:r>
      <w:r>
        <w:t xml:space="preserve"> such as standards, guidelines and codes of conduct</w:t>
      </w:r>
      <w:r w:rsidR="00481317">
        <w:t>,</w:t>
      </w:r>
      <w:r>
        <w:t xml:space="preserve"> for which there is a reasonable expectation of compliance on the part of resources companies.</w:t>
      </w:r>
    </w:p>
    <w:p w:rsidR="00147A39" w:rsidRDefault="00147A39" w:rsidP="00147A39">
      <w:pPr>
        <w:pStyle w:val="BodyText"/>
      </w:pPr>
      <w:r>
        <w:t>Powers for</w:t>
      </w:r>
      <w:r w:rsidDel="003718E9">
        <w:t xml:space="preserve"> </w:t>
      </w:r>
      <w:r>
        <w:t xml:space="preserve">regulating </w:t>
      </w:r>
      <w:r w:rsidDel="003718E9">
        <w:t xml:space="preserve">the </w:t>
      </w:r>
      <w:r>
        <w:t>sector are split across the Commonwealth, State and Territory, and local levels of government. The institutional arrangements, legislative instruments and regulatory agencies involved in the regulatory framework are both extensive and complex.</w:t>
      </w:r>
    </w:p>
    <w:p w:rsidR="00B05D12" w:rsidRDefault="00B05D12" w:rsidP="00B05D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05D12" w:rsidTr="00DE7476">
        <w:trPr>
          <w:tblHeader/>
        </w:trPr>
        <w:tc>
          <w:tcPr>
            <w:tcW w:w="5000" w:type="pct"/>
            <w:tcBorders>
              <w:top w:val="single" w:sz="6" w:space="0" w:color="78A22F"/>
              <w:left w:val="nil"/>
              <w:bottom w:val="nil"/>
              <w:right w:val="nil"/>
            </w:tcBorders>
            <w:shd w:val="clear" w:color="auto" w:fill="auto"/>
          </w:tcPr>
          <w:p w:rsidR="00B05D12" w:rsidRPr="00784A05" w:rsidRDefault="00DE7476" w:rsidP="00FA34B2">
            <w:pPr>
              <w:pStyle w:val="FigureTitle"/>
              <w:rPr>
                <w:b w:val="0"/>
              </w:rPr>
            </w:pPr>
            <w:r w:rsidRPr="00784A05">
              <w:rPr>
                <w:b w:val="0"/>
              </w:rPr>
              <w:t xml:space="preserve">Figure </w:t>
            </w:r>
            <w:bookmarkStart w:id="13" w:name="OLE_LINK3"/>
            <w:r w:rsidR="00403C61">
              <w:rPr>
                <w:b w:val="0"/>
                <w:noProof/>
              </w:rPr>
              <w:t>2</w:t>
            </w:r>
            <w:bookmarkEnd w:id="13"/>
            <w:r>
              <w:tab/>
              <w:t>The life cycle of a mi</w:t>
            </w:r>
            <w:r w:rsidR="00EB4585">
              <w:t>nerals mining</w:t>
            </w:r>
            <w:r>
              <w:t xml:space="preserve"> project</w:t>
            </w:r>
            <w:r w:rsidRPr="008216F5">
              <w:rPr>
                <w:rStyle w:val="NoteLabel"/>
                <w:b/>
                <w:position w:val="10"/>
              </w:rPr>
              <w:t>a</w:t>
            </w:r>
            <w:r w:rsidR="000A6137" w:rsidRPr="008216F5">
              <w:rPr>
                <w:rStyle w:val="NoteLabel"/>
                <w:b/>
                <w:position w:val="10"/>
              </w:rPr>
              <w:t>,</w:t>
            </w:r>
            <w:r w:rsidR="00AD7DF8" w:rsidRPr="008216F5">
              <w:rPr>
                <w:rStyle w:val="NoteLabel"/>
                <w:b/>
                <w:position w:val="10"/>
              </w:rPr>
              <w:t>b</w:t>
            </w:r>
          </w:p>
        </w:tc>
      </w:tr>
      <w:tr w:rsidR="00B05D12" w:rsidTr="005908F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05D12" w:rsidRPr="00B1465D" w:rsidTr="005908FA">
              <w:trPr>
                <w:tblHeader/>
                <w:jc w:val="center"/>
              </w:trPr>
              <w:tc>
                <w:tcPr>
                  <w:tcW w:w="5000" w:type="pct"/>
                  <w:tcBorders>
                    <w:top w:val="nil"/>
                    <w:bottom w:val="nil"/>
                  </w:tcBorders>
                </w:tcPr>
                <w:p w:rsidR="00B05D12" w:rsidRPr="00B1465D" w:rsidRDefault="00CF75D0" w:rsidP="005908FA">
                  <w:pPr>
                    <w:pStyle w:val="Figure"/>
                    <w:spacing w:before="60" w:after="60"/>
                    <w:rPr>
                      <w:rFonts w:ascii="Arial" w:hAnsi="Arial" w:cs="Arial"/>
                      <w:sz w:val="18"/>
                      <w:szCs w:val="18"/>
                    </w:rPr>
                  </w:pPr>
                  <w:r>
                    <w:rPr>
                      <w:rFonts w:ascii="Arial" w:hAnsi="Arial" w:cs="Arial"/>
                      <w:noProof/>
                      <w:sz w:val="18"/>
                      <w:szCs w:val="18"/>
                    </w:rPr>
                    <w:drawing>
                      <wp:inline distT="0" distB="0" distL="0" distR="0" wp14:anchorId="450C8390" wp14:editId="7CF4D743">
                        <wp:extent cx="5233863" cy="5300980"/>
                        <wp:effectExtent l="0" t="0" r="5080" b="0"/>
                        <wp:docPr id="44" name="Picture 44" descr="The figure shows the four stages in the life cycle of a resources project. The first stage is exploration and evaluation, during which mineral deposits are identified, mapped and defined, and project viability is evaluated. The second stage is development, during which the mine site and related mineral processing facilities are developed, and the availability and cost of infrastructure, housing and various services are considered. The third stage is production and processing, during which resource extraction, processing, transport and marketing activities are undertaken. The final stage is extraction site rehabilitation, during which rehabilitation is undertaken according to a strategy approved by government. For example, on land previously used for agriculture, the aim might be to restore the land to its pre-mining level of productivity." title="The life cycle of a minerals mining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6299" cy="5303447"/>
                                </a:xfrm>
                                <a:prstGeom prst="rect">
                                  <a:avLst/>
                                </a:prstGeom>
                                <a:noFill/>
                              </pic:spPr>
                            </pic:pic>
                          </a:graphicData>
                        </a:graphic>
                      </wp:inline>
                    </w:drawing>
                  </w:r>
                </w:p>
              </w:tc>
            </w:tr>
          </w:tbl>
          <w:p w:rsidR="00B05D12" w:rsidRDefault="00B05D12" w:rsidP="005908FA">
            <w:pPr>
              <w:pStyle w:val="Figure"/>
            </w:pPr>
          </w:p>
        </w:tc>
      </w:tr>
      <w:tr w:rsidR="00B05D12" w:rsidRPr="00176D3F" w:rsidTr="005908FA">
        <w:tc>
          <w:tcPr>
            <w:tcW w:w="5000" w:type="pct"/>
            <w:tcBorders>
              <w:top w:val="nil"/>
              <w:left w:val="nil"/>
              <w:bottom w:val="nil"/>
              <w:right w:val="nil"/>
            </w:tcBorders>
            <w:shd w:val="clear" w:color="auto" w:fill="auto"/>
          </w:tcPr>
          <w:p w:rsidR="00B05D12" w:rsidRPr="00176D3F" w:rsidRDefault="00B05D12" w:rsidP="000A6137">
            <w:pPr>
              <w:pStyle w:val="Note"/>
            </w:pPr>
            <w:r>
              <w:rPr>
                <w:rStyle w:val="NoteLabel"/>
              </w:rPr>
              <w:t>a</w:t>
            </w:r>
            <w:r>
              <w:t xml:space="preserve"> </w:t>
            </w:r>
            <w:r w:rsidR="00AD7DF8">
              <w:t>Excludes petroleum</w:t>
            </w:r>
            <w:r>
              <w:t>.</w:t>
            </w:r>
            <w:r w:rsidR="00AD7DF8">
              <w:t xml:space="preserve"> </w:t>
            </w:r>
            <w:r w:rsidR="00AD7DF8">
              <w:rPr>
                <w:rStyle w:val="NoteLabel"/>
              </w:rPr>
              <w:t>b</w:t>
            </w:r>
            <w:r>
              <w:t xml:space="preserve"> Certain activities </w:t>
            </w:r>
            <w:r w:rsidR="0093429E">
              <w:t>in the life cycle are not in scope, such as marketing</w:t>
            </w:r>
            <w:r>
              <w:t>.</w:t>
            </w:r>
          </w:p>
        </w:tc>
      </w:tr>
      <w:tr w:rsidR="00B05D12" w:rsidRPr="00176D3F" w:rsidTr="005908FA">
        <w:tc>
          <w:tcPr>
            <w:tcW w:w="5000" w:type="pct"/>
            <w:tcBorders>
              <w:top w:val="nil"/>
              <w:left w:val="nil"/>
              <w:bottom w:val="nil"/>
              <w:right w:val="nil"/>
            </w:tcBorders>
            <w:shd w:val="clear" w:color="auto" w:fill="auto"/>
          </w:tcPr>
          <w:p w:rsidR="00B05D12" w:rsidRPr="00176D3F" w:rsidRDefault="00EF3124" w:rsidP="00F27DAA">
            <w:pPr>
              <w:pStyle w:val="Source"/>
            </w:pPr>
            <w:r>
              <w:rPr>
                <w:i/>
              </w:rPr>
              <w:t>S</w:t>
            </w:r>
            <w:r w:rsidR="00B05D12" w:rsidRPr="00784A05">
              <w:rPr>
                <w:i/>
              </w:rPr>
              <w:t>ource</w:t>
            </w:r>
            <w:r w:rsidR="00F825C4">
              <w:rPr>
                <w:i/>
              </w:rPr>
              <w:t>s</w:t>
            </w:r>
            <w:r w:rsidR="00B05D12" w:rsidRPr="00176D3F">
              <w:t xml:space="preserve">: </w:t>
            </w:r>
            <w:r w:rsidR="003E011E">
              <w:t xml:space="preserve">Hogan et al. </w:t>
            </w:r>
            <w:r w:rsidR="003E011E" w:rsidRPr="003E011E">
              <w:rPr>
                <w:rFonts w:cs="Arial"/>
              </w:rPr>
              <w:t>(2002)</w:t>
            </w:r>
            <w:r w:rsidR="003E011E">
              <w:t xml:space="preserve">, NSW Minerals Council </w:t>
            </w:r>
            <w:r w:rsidR="00C02972" w:rsidRPr="00C02972">
              <w:rPr>
                <w:rFonts w:cs="Arial"/>
              </w:rPr>
              <w:t>(nd)</w:t>
            </w:r>
            <w:r w:rsidR="00F27DAA">
              <w:t>.</w:t>
            </w:r>
          </w:p>
        </w:tc>
      </w:tr>
      <w:tr w:rsidR="00B05D12" w:rsidTr="005908FA">
        <w:tc>
          <w:tcPr>
            <w:tcW w:w="5000" w:type="pct"/>
            <w:tcBorders>
              <w:top w:val="nil"/>
              <w:left w:val="nil"/>
              <w:bottom w:val="single" w:sz="6" w:space="0" w:color="78A22F"/>
              <w:right w:val="nil"/>
            </w:tcBorders>
            <w:shd w:val="clear" w:color="auto" w:fill="auto"/>
          </w:tcPr>
          <w:p w:rsidR="00B05D12" w:rsidRDefault="00B05D12" w:rsidP="005908FA">
            <w:pPr>
              <w:pStyle w:val="Figurespace"/>
            </w:pPr>
          </w:p>
        </w:tc>
      </w:tr>
      <w:tr w:rsidR="00B05D12" w:rsidRPr="000863A5" w:rsidTr="005908FA">
        <w:tc>
          <w:tcPr>
            <w:tcW w:w="5000" w:type="pct"/>
            <w:tcBorders>
              <w:top w:val="single" w:sz="6" w:space="0" w:color="78A22F"/>
              <w:left w:val="nil"/>
              <w:bottom w:val="nil"/>
              <w:right w:val="nil"/>
            </w:tcBorders>
          </w:tcPr>
          <w:p w:rsidR="00B05D12" w:rsidRPr="00626D32" w:rsidRDefault="00B05D12" w:rsidP="005908FA">
            <w:pPr>
              <w:pStyle w:val="BoxSpaceBelow"/>
            </w:pPr>
          </w:p>
        </w:tc>
      </w:tr>
    </w:tbl>
    <w:p w:rsidR="001D14EF" w:rsidRDefault="001D14EF" w:rsidP="001D14EF">
      <w:pPr>
        <w:pStyle w:val="BodyText"/>
        <w:keepNext/>
      </w:pPr>
      <w:r>
        <w:t>While the precise division of responsibilities between levels of government varies between jurisdictions, broadly speaking:</w:t>
      </w:r>
    </w:p>
    <w:p w:rsidR="001D14EF" w:rsidRDefault="001D14EF" w:rsidP="001D14EF">
      <w:pPr>
        <w:pStyle w:val="ListBullet"/>
      </w:pPr>
      <w:r>
        <w:t xml:space="preserve">the Australian Government regulates matters of national environmental significance and certain heritage matters under the </w:t>
      </w:r>
      <w:r w:rsidRPr="006E586F">
        <w:rPr>
          <w:i/>
        </w:rPr>
        <w:t>Environment Protection and Biodiversity Conservation Act 1999</w:t>
      </w:r>
      <w:r>
        <w:t xml:space="preserve"> (Cth) (EPBC Act</w:t>
      </w:r>
      <w:r w:rsidR="00341667">
        <w:t>)</w:t>
      </w:r>
      <w:r w:rsidR="001A0FB4">
        <w:t xml:space="preserve"> (box 2)</w:t>
      </w:r>
      <w:r w:rsidR="00FA14B0">
        <w:t>. It also regulates developments on Commonwealth land (such as some airports and defence facilities) and waters beyond the three nautical mile limit. In addition, the Commonwealth Attorney</w:t>
      </w:r>
      <w:r w:rsidR="001A0FB4">
        <w:noBreakHyphen/>
      </w:r>
      <w:r w:rsidR="00FA14B0">
        <w:t xml:space="preserve">General administers the </w:t>
      </w:r>
      <w:r w:rsidR="00FA14B0" w:rsidRPr="00FA14B0">
        <w:rPr>
          <w:i/>
        </w:rPr>
        <w:t>Native Title Act 1993</w:t>
      </w:r>
      <w:r w:rsidR="00FA14B0">
        <w:t xml:space="preserve"> (Cth)</w:t>
      </w:r>
    </w:p>
    <w:p w:rsidR="001D14EF" w:rsidRDefault="00BF43A5" w:rsidP="001D14EF">
      <w:pPr>
        <w:pStyle w:val="ListBullet"/>
      </w:pPr>
      <w:r>
        <w:lastRenderedPageBreak/>
        <w:t xml:space="preserve">State and </w:t>
      </w:r>
      <w:r w:rsidR="00E25890">
        <w:t xml:space="preserve">Territory Governments are responsible for the framework through which the </w:t>
      </w:r>
      <w:r>
        <w:t>right to explore for and extract minerals</w:t>
      </w:r>
      <w:r w:rsidR="00E25890">
        <w:t xml:space="preserve"> can be obtained by private operators. All minerals underneath land are formally owned by State and Territory governments, and landowners can be required to allow mineral exploration and extraction on their property (though some areas are protected from exploration activity). </w:t>
      </w:r>
      <w:r>
        <w:t>State and Territory Governments</w:t>
      </w:r>
      <w:r w:rsidR="00E25890">
        <w:t xml:space="preserve"> also</w:t>
      </w:r>
      <w:r>
        <w:t xml:space="preserve"> legislate on a broad range of matters, including the environment an</w:t>
      </w:r>
      <w:r w:rsidR="005666BB">
        <w:t>d cultural and natural heritage</w:t>
      </w:r>
    </w:p>
    <w:p w:rsidR="001D14EF" w:rsidRDefault="001D14EF" w:rsidP="001D14EF">
      <w:pPr>
        <w:pStyle w:val="ListBullet"/>
      </w:pPr>
      <w:r>
        <w:t xml:space="preserve">local governments normally implement and enforce much of state planning and development legislation. </w:t>
      </w:r>
      <w:r w:rsidR="001D2BA4">
        <w:t>While r</w:t>
      </w:r>
      <w:r>
        <w:t>esources projects are usually assessed and approved at the state level, local governments often have a range of other responsibilities, such as granting permits (including ‘secondary approvals’) within their jurisdiction.</w:t>
      </w:r>
    </w:p>
    <w:p w:rsidR="00341667" w:rsidRDefault="0034166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1667" w:rsidTr="00341667">
        <w:trPr>
          <w:tblHeader/>
        </w:trPr>
        <w:tc>
          <w:tcPr>
            <w:tcW w:w="5000" w:type="pct"/>
            <w:tcBorders>
              <w:top w:val="single" w:sz="6" w:space="0" w:color="78A22F"/>
              <w:left w:val="nil"/>
              <w:bottom w:val="nil"/>
              <w:right w:val="nil"/>
            </w:tcBorders>
            <w:shd w:val="clear" w:color="auto" w:fill="F2F2F2"/>
          </w:tcPr>
          <w:p w:rsidR="00341667" w:rsidRDefault="00341667" w:rsidP="00341667">
            <w:pPr>
              <w:pStyle w:val="BoxTitle"/>
            </w:pPr>
            <w:r>
              <w:rPr>
                <w:b w:val="0"/>
              </w:rPr>
              <w:t xml:space="preserve">Box </w:t>
            </w:r>
            <w:r w:rsidR="00403C61">
              <w:rPr>
                <w:b w:val="0"/>
                <w:noProof/>
              </w:rPr>
              <w:t>2</w:t>
            </w:r>
            <w:r>
              <w:tab/>
              <w:t>Matters of national environmental significance</w:t>
            </w:r>
          </w:p>
        </w:tc>
      </w:tr>
      <w:tr w:rsidR="00341667" w:rsidTr="00341667">
        <w:tc>
          <w:tcPr>
            <w:tcW w:w="5000" w:type="pct"/>
            <w:tcBorders>
              <w:top w:val="nil"/>
              <w:left w:val="nil"/>
              <w:bottom w:val="nil"/>
              <w:right w:val="nil"/>
            </w:tcBorders>
            <w:shd w:val="clear" w:color="auto" w:fill="F2F2F2"/>
          </w:tcPr>
          <w:p w:rsidR="00341667" w:rsidRDefault="00341667" w:rsidP="00341667">
            <w:pPr>
              <w:pStyle w:val="Box"/>
            </w:pPr>
            <w:r>
              <w:t xml:space="preserve">The Australian Government only has the power to regulate environmental aspects of projects that are within its legislative powers under the Constitution. As a result, the </w:t>
            </w:r>
            <w:r>
              <w:rPr>
                <w:i/>
              </w:rPr>
              <w:t>Environment Protection and Biodiversity Conservation Act 1999</w:t>
            </w:r>
            <w:r>
              <w:t xml:space="preserve"> (Cth) only applies to actions with impacts on matters of national environmental significance. The matters protected by Part 3 of the Act are:</w:t>
            </w:r>
          </w:p>
          <w:p w:rsidR="00341667" w:rsidRDefault="00B33BEA" w:rsidP="00341667">
            <w:pPr>
              <w:pStyle w:val="BoxListBullet"/>
            </w:pPr>
            <w:r>
              <w:t>World Heritage and National Heritage places</w:t>
            </w:r>
          </w:p>
          <w:p w:rsidR="00341667" w:rsidRDefault="001A0FB4" w:rsidP="00341667">
            <w:pPr>
              <w:pStyle w:val="BoxListBullet"/>
            </w:pPr>
            <w:r>
              <w:t xml:space="preserve">the </w:t>
            </w:r>
            <w:r w:rsidR="00341667">
              <w:t>ecological character of wetlands of international significance</w:t>
            </w:r>
          </w:p>
          <w:p w:rsidR="00341667" w:rsidRDefault="00341667" w:rsidP="00341667">
            <w:pPr>
              <w:pStyle w:val="BoxListBullet"/>
            </w:pPr>
            <w:r>
              <w:t>listed threatened species and ecological communities</w:t>
            </w:r>
          </w:p>
          <w:p w:rsidR="00341667" w:rsidRDefault="00341667" w:rsidP="00341667">
            <w:pPr>
              <w:pStyle w:val="BoxListBullet"/>
            </w:pPr>
            <w:r>
              <w:t>listed migratory species</w:t>
            </w:r>
          </w:p>
          <w:p w:rsidR="00341667" w:rsidRDefault="00341667" w:rsidP="00341667">
            <w:pPr>
              <w:pStyle w:val="BoxListBullet"/>
            </w:pPr>
            <w:r>
              <w:t xml:space="preserve">nuclear actions (including </w:t>
            </w:r>
            <w:r w:rsidR="00B33BEA">
              <w:t>the mining of uranium)</w:t>
            </w:r>
          </w:p>
          <w:p w:rsidR="00341667" w:rsidRDefault="00341667" w:rsidP="00341667">
            <w:pPr>
              <w:pStyle w:val="BoxListBullet"/>
            </w:pPr>
            <w:r>
              <w:t>Commonwealth marine areas</w:t>
            </w:r>
            <w:r w:rsidR="00B33BEA">
              <w:t xml:space="preserve"> (waters more than 3 nautical miles from the coast, as well as Commonwealth marine reserves)</w:t>
            </w:r>
          </w:p>
          <w:p w:rsidR="00341667" w:rsidRDefault="00341667" w:rsidP="00341667">
            <w:pPr>
              <w:pStyle w:val="BoxListBullet"/>
            </w:pPr>
            <w:r>
              <w:t>the Great Barrier Reef Marine Park</w:t>
            </w:r>
          </w:p>
          <w:p w:rsidR="00341667" w:rsidRPr="00E3205A" w:rsidRDefault="00341667" w:rsidP="00341667">
            <w:pPr>
              <w:pStyle w:val="BoxListBullet"/>
              <w:rPr>
                <w:spacing w:val="-2"/>
              </w:rPr>
            </w:pPr>
            <w:r w:rsidRPr="00E3205A">
              <w:rPr>
                <w:spacing w:val="-2"/>
              </w:rPr>
              <w:t>water resources impacted by a coal seam gas development or a large coal mining development</w:t>
            </w:r>
          </w:p>
          <w:p w:rsidR="00341667" w:rsidRDefault="00341667" w:rsidP="00341667">
            <w:pPr>
              <w:pStyle w:val="BoxListBullet"/>
            </w:pPr>
            <w:r>
              <w:t>actions on Commonwealth land</w:t>
            </w:r>
          </w:p>
          <w:p w:rsidR="00341667" w:rsidRPr="00341667" w:rsidRDefault="00341667" w:rsidP="00341667">
            <w:pPr>
              <w:pStyle w:val="BoxListBullet"/>
            </w:pPr>
            <w:r>
              <w:t>actions by Commonwealth agencies</w:t>
            </w:r>
            <w:r w:rsidR="00C4059A">
              <w:t xml:space="preserve"> (no matter which land they take place on).</w:t>
            </w:r>
          </w:p>
        </w:tc>
      </w:tr>
      <w:tr w:rsidR="00341667" w:rsidTr="00341667">
        <w:tc>
          <w:tcPr>
            <w:tcW w:w="5000" w:type="pct"/>
            <w:tcBorders>
              <w:top w:val="nil"/>
              <w:left w:val="nil"/>
              <w:bottom w:val="single" w:sz="6" w:space="0" w:color="78A22F"/>
              <w:right w:val="nil"/>
            </w:tcBorders>
            <w:shd w:val="clear" w:color="auto" w:fill="F2F2F2"/>
          </w:tcPr>
          <w:p w:rsidR="00341667" w:rsidRDefault="00341667">
            <w:pPr>
              <w:pStyle w:val="Box"/>
              <w:spacing w:before="0" w:line="120" w:lineRule="exact"/>
            </w:pPr>
          </w:p>
        </w:tc>
      </w:tr>
      <w:tr w:rsidR="00341667" w:rsidRPr="000863A5" w:rsidTr="00341667">
        <w:tc>
          <w:tcPr>
            <w:tcW w:w="5000" w:type="pct"/>
            <w:tcBorders>
              <w:top w:val="single" w:sz="6" w:space="0" w:color="78A22F"/>
              <w:left w:val="nil"/>
              <w:bottom w:val="nil"/>
              <w:right w:val="nil"/>
            </w:tcBorders>
          </w:tcPr>
          <w:p w:rsidR="00341667" w:rsidRPr="00626D32" w:rsidRDefault="00341667" w:rsidP="00341667">
            <w:pPr>
              <w:pStyle w:val="BoxSpaceBelow"/>
            </w:pPr>
          </w:p>
        </w:tc>
      </w:tr>
    </w:tbl>
    <w:p w:rsidR="003718E9" w:rsidRDefault="003718E9" w:rsidP="00D316BB">
      <w:pPr>
        <w:pStyle w:val="Heading3"/>
      </w:pPr>
      <w:r>
        <w:t xml:space="preserve">What </w:t>
      </w:r>
      <w:r w:rsidR="00556722">
        <w:t>steps are involved in approval</w:t>
      </w:r>
      <w:r w:rsidR="001C31D3">
        <w:t xml:space="preserve"> process</w:t>
      </w:r>
      <w:r w:rsidR="00277B00">
        <w:t>es</w:t>
      </w:r>
      <w:r w:rsidR="00556722">
        <w:t>?</w:t>
      </w:r>
    </w:p>
    <w:p w:rsidR="001D14EF" w:rsidRDefault="00556722" w:rsidP="001D14EF">
      <w:pPr>
        <w:pStyle w:val="BodyText"/>
      </w:pPr>
      <w:r>
        <w:t xml:space="preserve">The Commission proposes to </w:t>
      </w:r>
      <w:r w:rsidR="001C31D3">
        <w:t>focus on four stages within</w:t>
      </w:r>
      <w:r>
        <w:t xml:space="preserve"> the a</w:t>
      </w:r>
      <w:r w:rsidR="001D14EF">
        <w:t>pproval</w:t>
      </w:r>
      <w:r w:rsidR="00DC28E7">
        <w:t>s</w:t>
      </w:r>
      <w:r w:rsidR="001D14EF">
        <w:t xml:space="preserve"> </w:t>
      </w:r>
      <w:r>
        <w:t>process</w:t>
      </w:r>
      <w:r w:rsidR="001C31D3">
        <w:t>:</w:t>
      </w:r>
    </w:p>
    <w:p w:rsidR="001D14EF" w:rsidRDefault="001D14EF" w:rsidP="001D14EF">
      <w:pPr>
        <w:pStyle w:val="ListBullet"/>
      </w:pPr>
      <w:r w:rsidRPr="00F57E4F">
        <w:rPr>
          <w:b/>
        </w:rPr>
        <w:t>Application</w:t>
      </w:r>
      <w:r>
        <w:t xml:space="preserve">: governments and regulators provide information and guidance to </w:t>
      </w:r>
      <w:r w:rsidR="00B511A5">
        <w:t>a project proponent</w:t>
      </w:r>
      <w:r>
        <w:t xml:space="preserve"> on the policy and regulatory framework, and make decisions about which regulatory pathway(s) </w:t>
      </w:r>
      <w:r w:rsidR="00B511A5">
        <w:t xml:space="preserve">the </w:t>
      </w:r>
      <w:r>
        <w:t>project will be assessed and approved under and the types of consultation required.</w:t>
      </w:r>
    </w:p>
    <w:p w:rsidR="001D14EF" w:rsidRDefault="001D14EF" w:rsidP="001D14EF">
      <w:pPr>
        <w:pStyle w:val="ListBullet"/>
      </w:pPr>
      <w:r w:rsidRPr="0024500D">
        <w:rPr>
          <w:b/>
        </w:rPr>
        <w:t>Assessment</w:t>
      </w:r>
      <w:r>
        <w:t>:</w:t>
      </w:r>
      <w:r w:rsidRPr="00F57E4F">
        <w:t xml:space="preserve"> </w:t>
      </w:r>
      <w:r>
        <w:t xml:space="preserve">the regulator identifies and assesses the nature and significance of the risks and impacts of the project, and conducts consultation with the community on </w:t>
      </w:r>
      <w:r w:rsidR="00481317">
        <w:t xml:space="preserve">the project’s </w:t>
      </w:r>
      <w:r>
        <w:t>broader implications.</w:t>
      </w:r>
    </w:p>
    <w:p w:rsidR="001D14EF" w:rsidRDefault="001D14EF" w:rsidP="001D14EF">
      <w:pPr>
        <w:pStyle w:val="ListBullet"/>
      </w:pPr>
      <w:r>
        <w:rPr>
          <w:b/>
        </w:rPr>
        <w:lastRenderedPageBreak/>
        <w:t>Approval</w:t>
      </w:r>
      <w:r w:rsidRPr="00F57E4F">
        <w:t xml:space="preserve">: </w:t>
      </w:r>
      <w:r>
        <w:t>the decision maker decides whether or not to approve the project and, if so, with what conditions.</w:t>
      </w:r>
    </w:p>
    <w:p w:rsidR="001D14EF" w:rsidRPr="005A54DC" w:rsidRDefault="001D14EF" w:rsidP="001D14EF">
      <w:pPr>
        <w:pStyle w:val="ListBullet"/>
      </w:pPr>
      <w:r>
        <w:rPr>
          <w:b/>
        </w:rPr>
        <w:t>Monitoring of compliance</w:t>
      </w:r>
      <w:r w:rsidRPr="00F57E4F">
        <w:t>:</w:t>
      </w:r>
      <w:r>
        <w:t xml:space="preserve"> the regulator assesses the proponent’s compliance with the conditions </w:t>
      </w:r>
      <w:r w:rsidR="001D2BA4">
        <w:t>over the life of the project</w:t>
      </w:r>
      <w:r>
        <w:t>.</w:t>
      </w:r>
    </w:p>
    <w:p w:rsidR="00DE4FA3" w:rsidRPr="00C9369D" w:rsidRDefault="00DE4FA3" w:rsidP="001D14EF">
      <w:pPr>
        <w:pStyle w:val="BodyText"/>
      </w:pPr>
      <w:r>
        <w:t xml:space="preserve">Henceforth, the term </w:t>
      </w:r>
      <w:r w:rsidR="000F4BB1">
        <w:t>‘</w:t>
      </w:r>
      <w:r>
        <w:t>development assessment and approvals</w:t>
      </w:r>
      <w:r w:rsidR="000F4BB1">
        <w:t>’</w:t>
      </w:r>
      <w:r>
        <w:t>, or DAA, wi</w:t>
      </w:r>
      <w:r w:rsidR="003334ED">
        <w:t>ll be used in referring to the</w:t>
      </w:r>
      <w:r>
        <w:t xml:space="preserve"> four stages of the process to distinguish </w:t>
      </w:r>
      <w:r w:rsidR="003334ED">
        <w:t>it</w:t>
      </w:r>
      <w:r>
        <w:t xml:space="preserve"> from the </w:t>
      </w:r>
      <w:r w:rsidRPr="00C9369D">
        <w:t>approvals stage</w:t>
      </w:r>
      <w:r w:rsidR="003334ED" w:rsidRPr="00C9369D">
        <w:t xml:space="preserve"> </w:t>
      </w:r>
      <w:r w:rsidR="00C9369D">
        <w:t>alone</w:t>
      </w:r>
      <w:r w:rsidRPr="00C9369D">
        <w:t>.</w:t>
      </w:r>
    </w:p>
    <w:p w:rsidR="007E1477" w:rsidRDefault="00C9369D" w:rsidP="007E1477">
      <w:pPr>
        <w:pStyle w:val="Heading3"/>
      </w:pPr>
      <w:r>
        <w:t>What might b</w:t>
      </w:r>
      <w:r w:rsidR="007E1477">
        <w:t>roader impediments to investment</w:t>
      </w:r>
      <w:r>
        <w:t xml:space="preserve"> include?</w:t>
      </w:r>
    </w:p>
    <w:p w:rsidR="001D14EF" w:rsidRDefault="007E1477" w:rsidP="001D14EF">
      <w:pPr>
        <w:pStyle w:val="BodyText"/>
      </w:pPr>
      <w:r>
        <w:t>In addition to DAA processes, b</w:t>
      </w:r>
      <w:r w:rsidR="001D14EF">
        <w:t xml:space="preserve">usinesses in the resources sector are subject to a host of other regulations, </w:t>
      </w:r>
      <w:r>
        <w:t>such as</w:t>
      </w:r>
      <w:r w:rsidR="001D14EF">
        <w:t xml:space="preserve"> </w:t>
      </w:r>
      <w:r w:rsidR="001D2BA4">
        <w:t>requirements relating</w:t>
      </w:r>
      <w:r w:rsidR="001D14EF">
        <w:t xml:space="preserve"> to employment and</w:t>
      </w:r>
      <w:r w:rsidR="00916B8C">
        <w:t xml:space="preserve"> to</w:t>
      </w:r>
      <w:r w:rsidR="001D14EF">
        <w:t xml:space="preserve"> safety. </w:t>
      </w:r>
      <w:r w:rsidR="001D2BA4">
        <w:t xml:space="preserve">While </w:t>
      </w:r>
      <w:r w:rsidR="00C9369D">
        <w:t>such</w:t>
      </w:r>
      <w:r w:rsidR="00F721AA">
        <w:t xml:space="preserve"> </w:t>
      </w:r>
      <w:r w:rsidR="001D14EF">
        <w:t xml:space="preserve">regulations </w:t>
      </w:r>
      <w:r w:rsidR="00A15CB5">
        <w:t>often</w:t>
      </w:r>
      <w:r w:rsidR="00F528A0">
        <w:t xml:space="preserve"> </w:t>
      </w:r>
      <w:r w:rsidR="001D14EF">
        <w:t xml:space="preserve">apply to businesses outside the resources sector, the activities of resources companies </w:t>
      </w:r>
      <w:r w:rsidR="008067BB">
        <w:t xml:space="preserve">could </w:t>
      </w:r>
      <w:r w:rsidR="001D14EF">
        <w:t>give rise to sector</w:t>
      </w:r>
      <w:r w:rsidR="001D14EF">
        <w:noBreakHyphen/>
        <w:t>specific issues</w:t>
      </w:r>
      <w:r w:rsidR="001D2BA4">
        <w:t xml:space="preserve"> </w:t>
      </w:r>
      <w:r>
        <w:t>or</w:t>
      </w:r>
      <w:r w:rsidR="001D2BA4">
        <w:t xml:space="preserve"> regulation (such as for oil and gas)</w:t>
      </w:r>
      <w:r w:rsidR="001D14EF">
        <w:t>.</w:t>
      </w:r>
    </w:p>
    <w:p w:rsidR="00091A03" w:rsidRDefault="007E1477" w:rsidP="009F28DF">
      <w:pPr>
        <w:pStyle w:val="BodyText"/>
      </w:pPr>
      <w:r>
        <w:t>Non</w:t>
      </w:r>
      <w:r w:rsidR="00723B1F">
        <w:noBreakHyphen/>
      </w:r>
      <w:r>
        <w:t xml:space="preserve">regulatory issues can also affect investment. </w:t>
      </w:r>
      <w:r w:rsidR="00F5401E">
        <w:t>For example, government</w:t>
      </w:r>
      <w:r w:rsidR="00723B1F">
        <w:noBreakHyphen/>
      </w:r>
      <w:r w:rsidR="00F5401E">
        <w:t>provided goods (such as infrastructure), taxation and the availability of skills can all affect the profitability of resources projects (section</w:t>
      </w:r>
      <w:r w:rsidR="00723B1F">
        <w:t> </w:t>
      </w:r>
      <w:r w:rsidR="00F5401E">
        <w:t>5).</w:t>
      </w:r>
    </w:p>
    <w:p w:rsidR="00637E70" w:rsidRPr="00091A03" w:rsidRDefault="00637E70" w:rsidP="009F28DF">
      <w:pPr>
        <w:pStyle w:val="BodyText"/>
      </w:pPr>
      <w:r>
        <w:t>While the Commission does not propose to rule out any matters that participants may raise, our focus will be on impediments that have a material impact on investment</w:t>
      </w:r>
      <w:r w:rsidR="00A15CB5">
        <w:t>,</w:t>
      </w:r>
      <w:r>
        <w:t xml:space="preserve"> as required by the terms of reference.</w:t>
      </w:r>
    </w:p>
    <w:p w:rsidR="001C31D3" w:rsidRDefault="00C9369D" w:rsidP="00774B6E">
      <w:pPr>
        <w:pStyle w:val="Heading3"/>
      </w:pPr>
      <w:r>
        <w:t>What are c</w:t>
      </w:r>
      <w:r w:rsidR="001C31D3">
        <w:t>ommunity engagement and benefit sharing</w:t>
      </w:r>
      <w:r>
        <w:t>?</w:t>
      </w:r>
    </w:p>
    <w:p w:rsidR="005A6EE1" w:rsidRPr="00F528A0" w:rsidRDefault="005A6EE1" w:rsidP="001F73DB">
      <w:pPr>
        <w:pStyle w:val="BodyText"/>
      </w:pPr>
      <w:r w:rsidRPr="00F528A0">
        <w:t>Community engagement and benefit sharing can describe a range of interactions and arrangements that involve and deliver benefits to communities affected by resources activities.</w:t>
      </w:r>
    </w:p>
    <w:p w:rsidR="005A6EE1" w:rsidRDefault="005A6EE1" w:rsidP="005A6EE1">
      <w:pPr>
        <w:pStyle w:val="BodyText"/>
      </w:pPr>
      <w:r>
        <w:t xml:space="preserve">Community engagement can include land access negotiations, public forums and workshops. The purposes of these activities may be to seek the community’s views on an issue, explore solutions to concerns or reach an agreement. Resources companies may be required to consult with communities as a condition of their mining </w:t>
      </w:r>
      <w:r w:rsidR="00EE167E">
        <w:t>licence or</w:t>
      </w:r>
      <w:r>
        <w:t xml:space="preserve"> Native Title requirements, or may do so voluntarily to gain a community’s acceptance of their operations (often referred to as a ‘social licence’).</w:t>
      </w:r>
    </w:p>
    <w:p w:rsidR="00E3205A" w:rsidRDefault="005A6EE1" w:rsidP="005A6EE1">
      <w:pPr>
        <w:pStyle w:val="BodyText"/>
      </w:pPr>
      <w:r>
        <w:t>Benefits can be shared with communities through investment in economic and social development</w:t>
      </w:r>
      <w:r w:rsidR="000F4BB1">
        <w:t>,</w:t>
      </w:r>
      <w:r>
        <w:t xml:space="preserve"> either directly by companies or indirectly via allocation of resource royalties </w:t>
      </w:r>
      <w:r w:rsidR="00637E70">
        <w:t xml:space="preserve">levied </w:t>
      </w:r>
      <w:r>
        <w:t>by governments (such as ‘royalties for regions’ programs</w:t>
      </w:r>
      <w:r w:rsidR="00EE167E">
        <w:t>).</w:t>
      </w:r>
    </w:p>
    <w:p w:rsidR="00E3205A" w:rsidRDefault="00E3205A" w:rsidP="00E3205A">
      <w:pPr>
        <w:pStyle w:val="BodyText"/>
      </w:pPr>
      <w:r>
        <w:t xml:space="preserve">Benefit sharing </w:t>
      </w:r>
      <w:r w:rsidR="00916B8C">
        <w:t xml:space="preserve">by companies </w:t>
      </w:r>
      <w:r>
        <w:t xml:space="preserve">can include direct contributions to charitable trust funds, recruitment and training programs, or investment in local infrastructure and social services. Again, resources companies may engage in these practices as a </w:t>
      </w:r>
      <w:r w:rsidR="000F4BB1">
        <w:t>legal requirement</w:t>
      </w:r>
      <w:r>
        <w:t xml:space="preserve"> or on a voluntary basis.</w:t>
      </w:r>
    </w:p>
    <w:p w:rsidR="006710B1" w:rsidRDefault="006710B1" w:rsidP="006710B1">
      <w:pPr>
        <w:pStyle w:val="Heading3"/>
      </w:pPr>
      <w:r>
        <w:lastRenderedPageBreak/>
        <w:t>Concurrent reviews</w:t>
      </w:r>
    </w:p>
    <w:p w:rsidR="000C1874" w:rsidRDefault="000C1874">
      <w:pPr>
        <w:pStyle w:val="BodyText"/>
      </w:pPr>
      <w:r>
        <w:t xml:space="preserve">In undertaking the study, the Commission will be mindful of relevant </w:t>
      </w:r>
      <w:r w:rsidR="00073519">
        <w:t>work</w:t>
      </w:r>
      <w:r>
        <w:t xml:space="preserve"> being undertaken concurrently by other agencies</w:t>
      </w:r>
      <w:r w:rsidR="005E3442">
        <w:t>,</w:t>
      </w:r>
      <w:r>
        <w:t xml:space="preserve"> including</w:t>
      </w:r>
      <w:r w:rsidR="00FC66E5">
        <w:t xml:space="preserve"> the</w:t>
      </w:r>
      <w:r>
        <w:t>:</w:t>
      </w:r>
    </w:p>
    <w:p w:rsidR="000C1874" w:rsidRDefault="000D25BE">
      <w:pPr>
        <w:pStyle w:val="ListBullet"/>
      </w:pPr>
      <w:r>
        <w:t xml:space="preserve">forthcoming review of the </w:t>
      </w:r>
      <w:r w:rsidR="00FC66E5">
        <w:t>EPBC Act (due to commence in October 2019)</w:t>
      </w:r>
    </w:p>
    <w:p w:rsidR="00FC66E5" w:rsidRDefault="008B6FF8">
      <w:pPr>
        <w:pStyle w:val="ListBullet"/>
      </w:pPr>
      <w:r>
        <w:t>Deregulation Taskforce</w:t>
      </w:r>
    </w:p>
    <w:p w:rsidR="008B6FF8" w:rsidRDefault="008B6FF8">
      <w:pPr>
        <w:pStyle w:val="ListBullet"/>
      </w:pPr>
      <w:r>
        <w:t>Australian National Audit Office’s audit of referrals, assessments and approvals of actions under the EPBC Act</w:t>
      </w:r>
    </w:p>
    <w:p w:rsidR="00B511A5" w:rsidRDefault="00B511A5" w:rsidP="00B511A5">
      <w:pPr>
        <w:pStyle w:val="ListBullet"/>
      </w:pPr>
      <w:r>
        <w:t>Chief Scientist’s audit of the National Offshore Petroleum Safety and Environmental Management Authority’s consideration of exploration in the Great Australian Bight</w:t>
      </w:r>
    </w:p>
    <w:p w:rsidR="00073519" w:rsidRDefault="00073519">
      <w:pPr>
        <w:pStyle w:val="ListBullet"/>
      </w:pPr>
      <w:r>
        <w:t>review of the Offshore Oil and Gas Decommissioning Framework.</w:t>
      </w:r>
    </w:p>
    <w:p w:rsidR="00052D76" w:rsidRPr="004E3B94" w:rsidRDefault="00052D76" w:rsidP="00052D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52D76" w:rsidTr="00E81161">
        <w:trPr>
          <w:tblHeader/>
        </w:trPr>
        <w:tc>
          <w:tcPr>
            <w:tcW w:w="5000" w:type="pct"/>
            <w:tcBorders>
              <w:top w:val="single" w:sz="6" w:space="0" w:color="78A22F"/>
              <w:left w:val="nil"/>
              <w:bottom w:val="nil"/>
              <w:right w:val="nil"/>
            </w:tcBorders>
            <w:shd w:val="clear" w:color="auto" w:fill="auto"/>
          </w:tcPr>
          <w:p w:rsidR="00052D76" w:rsidRPr="00CE4C64" w:rsidRDefault="00052D76" w:rsidP="00E81161">
            <w:pPr>
              <w:pStyle w:val="InformationRequestTitle"/>
              <w:spacing w:before="120"/>
            </w:pPr>
            <w:r w:rsidRPr="006E7EE2">
              <w:t>Information request</w:t>
            </w:r>
          </w:p>
        </w:tc>
      </w:tr>
      <w:tr w:rsidR="00052D76" w:rsidRPr="00750BE2" w:rsidTr="00E81161">
        <w:tc>
          <w:tcPr>
            <w:tcW w:w="5000" w:type="pct"/>
            <w:tcBorders>
              <w:top w:val="nil"/>
              <w:left w:val="nil"/>
              <w:bottom w:val="nil"/>
              <w:right w:val="nil"/>
            </w:tcBorders>
            <w:shd w:val="clear" w:color="auto" w:fill="auto"/>
          </w:tcPr>
          <w:p w:rsidR="006710B1" w:rsidRDefault="0015482F" w:rsidP="006710B1">
            <w:pPr>
              <w:pStyle w:val="InformationRequest"/>
              <w:keepNext/>
            </w:pPr>
            <w:r>
              <w:t xml:space="preserve">Is the </w:t>
            </w:r>
            <w:r w:rsidR="001C31D3">
              <w:t xml:space="preserve">Commission’s </w:t>
            </w:r>
            <w:r>
              <w:t>proposed</w:t>
            </w:r>
            <w:r w:rsidR="001C31D3">
              <w:t xml:space="preserve"> scope </w:t>
            </w:r>
            <w:r>
              <w:t>for this study appropriate</w:t>
            </w:r>
            <w:r w:rsidR="001C31D3">
              <w:t>?</w:t>
            </w:r>
            <w:r>
              <w:t xml:space="preserve"> </w:t>
            </w:r>
            <w:r w:rsidR="00EA3C3E">
              <w:t>Is it too broad or too narrow?</w:t>
            </w:r>
            <w:r>
              <w:t xml:space="preserve"> </w:t>
            </w:r>
            <w:r w:rsidR="005A6EE1">
              <w:t>How s</w:t>
            </w:r>
            <w:r w:rsidR="00BB208B">
              <w:t>hould the proposed scope be adjusted?</w:t>
            </w:r>
          </w:p>
          <w:p w:rsidR="00713256" w:rsidRPr="00D104F3" w:rsidRDefault="005A6EE1" w:rsidP="00E3205A">
            <w:pPr>
              <w:pStyle w:val="InformationRequest"/>
            </w:pPr>
            <w:r>
              <w:t>Sh</w:t>
            </w:r>
            <w:r w:rsidR="001F1B36">
              <w:t>ould</w:t>
            </w:r>
            <w:r w:rsidR="00713256">
              <w:t xml:space="preserve"> the Commission’s </w:t>
            </w:r>
            <w:r w:rsidR="001F1B36">
              <w:t>definitions</w:t>
            </w:r>
            <w:r w:rsidR="00713256">
              <w:t xml:space="preserve"> of </w:t>
            </w:r>
            <w:r w:rsidR="001F1B36">
              <w:t xml:space="preserve">the concepts of broader impediments and community engagement and benefit sharing be </w:t>
            </w:r>
            <w:r>
              <w:t>refined</w:t>
            </w:r>
            <w:r w:rsidR="001F1B36">
              <w:t>? If so, how?</w:t>
            </w:r>
          </w:p>
          <w:p w:rsidR="00052D76" w:rsidRPr="001C31D3" w:rsidRDefault="006710B1">
            <w:pPr>
              <w:pStyle w:val="InformationRequest"/>
            </w:pPr>
            <w:r>
              <w:t xml:space="preserve">Are there other </w:t>
            </w:r>
            <w:r w:rsidR="00EA3C3E">
              <w:t>relevant</w:t>
            </w:r>
            <w:r>
              <w:t xml:space="preserve"> reviews </w:t>
            </w:r>
            <w:r w:rsidR="000C1874">
              <w:t>that the Commission should be aware of</w:t>
            </w:r>
            <w:r w:rsidR="00EA3C3E">
              <w:t>, including ones being conducted overseas</w:t>
            </w:r>
            <w:r w:rsidR="000C1874">
              <w:t>?</w:t>
            </w:r>
          </w:p>
        </w:tc>
      </w:tr>
      <w:tr w:rsidR="00052D76" w:rsidTr="00E81161">
        <w:tc>
          <w:tcPr>
            <w:tcW w:w="5000" w:type="pct"/>
            <w:tcBorders>
              <w:top w:val="nil"/>
              <w:left w:val="nil"/>
              <w:bottom w:val="single" w:sz="6" w:space="0" w:color="78A22F"/>
              <w:right w:val="nil"/>
            </w:tcBorders>
            <w:shd w:val="clear" w:color="auto" w:fill="auto"/>
          </w:tcPr>
          <w:p w:rsidR="00052D76" w:rsidRDefault="00052D76" w:rsidP="00E81161">
            <w:pPr>
              <w:pStyle w:val="Space"/>
              <w:keepLines/>
            </w:pPr>
          </w:p>
        </w:tc>
      </w:tr>
      <w:tr w:rsidR="00052D76" w:rsidRPr="000863A5" w:rsidTr="00E81161">
        <w:tc>
          <w:tcPr>
            <w:tcW w:w="5000" w:type="pct"/>
            <w:tcBorders>
              <w:top w:val="single" w:sz="6" w:space="0" w:color="78A22F"/>
              <w:left w:val="nil"/>
              <w:bottom w:val="nil"/>
              <w:right w:val="nil"/>
            </w:tcBorders>
          </w:tcPr>
          <w:p w:rsidR="00052D76" w:rsidRPr="00626D32" w:rsidRDefault="00052D76" w:rsidP="00E81161">
            <w:pPr>
              <w:pStyle w:val="BoxSpaceBelow"/>
              <w:keepLines/>
            </w:pPr>
          </w:p>
        </w:tc>
      </w:tr>
    </w:tbl>
    <w:p w:rsidR="00244727" w:rsidRDefault="00403C61" w:rsidP="00244727">
      <w:pPr>
        <w:pStyle w:val="Heading2"/>
      </w:pPr>
      <w:bookmarkStart w:id="14" w:name="_Toc18489680"/>
      <w:bookmarkStart w:id="15" w:name="_Toc18590489"/>
      <w:bookmarkStart w:id="16" w:name="_Toc19188650"/>
      <w:bookmarkStart w:id="17" w:name="_Toc19189841"/>
      <w:r>
        <w:rPr>
          <w:noProof/>
        </w:rPr>
        <w:t>3</w:t>
      </w:r>
      <w:r w:rsidR="00244727">
        <w:tab/>
      </w:r>
      <w:r w:rsidR="00E140E8">
        <w:t xml:space="preserve">Identifying </w:t>
      </w:r>
      <w:r w:rsidR="00247E60">
        <w:t>best</w:t>
      </w:r>
      <w:r w:rsidR="00723B1F">
        <w:noBreakHyphen/>
      </w:r>
      <w:r w:rsidR="00247E60">
        <w:t xml:space="preserve">practice </w:t>
      </w:r>
      <w:r w:rsidR="00244727">
        <w:t xml:space="preserve">regulatory </w:t>
      </w:r>
      <w:r w:rsidR="00E81161">
        <w:t>approaches</w:t>
      </w:r>
      <w:bookmarkEnd w:id="14"/>
      <w:bookmarkEnd w:id="15"/>
      <w:bookmarkEnd w:id="16"/>
      <w:bookmarkEnd w:id="17"/>
    </w:p>
    <w:p w:rsidR="008D2B38" w:rsidRPr="008216F5" w:rsidRDefault="008D2B38" w:rsidP="008D2B38">
      <w:pPr>
        <w:pStyle w:val="BodyText"/>
        <w:rPr>
          <w:spacing w:val="2"/>
        </w:rPr>
      </w:pPr>
      <w:r w:rsidRPr="008216F5">
        <w:rPr>
          <w:spacing w:val="2"/>
        </w:rPr>
        <w:t xml:space="preserve">As noted above, while regulation </w:t>
      </w:r>
      <w:r w:rsidR="00254C3A" w:rsidRPr="008216F5">
        <w:rPr>
          <w:spacing w:val="2"/>
        </w:rPr>
        <w:t>seeks to ensure</w:t>
      </w:r>
      <w:r w:rsidRPr="008216F5">
        <w:rPr>
          <w:spacing w:val="2"/>
        </w:rPr>
        <w:t xml:space="preserve"> </w:t>
      </w:r>
      <w:r w:rsidR="00254C3A" w:rsidRPr="008216F5">
        <w:rPr>
          <w:spacing w:val="2"/>
        </w:rPr>
        <w:t xml:space="preserve">that </w:t>
      </w:r>
      <w:r w:rsidRPr="008216F5">
        <w:rPr>
          <w:spacing w:val="2"/>
        </w:rPr>
        <w:t xml:space="preserve">resources </w:t>
      </w:r>
      <w:r w:rsidR="00254C3A" w:rsidRPr="008216F5">
        <w:rPr>
          <w:spacing w:val="2"/>
        </w:rPr>
        <w:t xml:space="preserve">sector </w:t>
      </w:r>
      <w:r w:rsidRPr="008216F5">
        <w:rPr>
          <w:spacing w:val="2"/>
        </w:rPr>
        <w:t xml:space="preserve">activities </w:t>
      </w:r>
      <w:r w:rsidR="00EF6CCA" w:rsidRPr="008216F5">
        <w:rPr>
          <w:spacing w:val="2"/>
        </w:rPr>
        <w:t xml:space="preserve">reflect the potential for </w:t>
      </w:r>
      <w:r w:rsidR="00D104F3" w:rsidRPr="008216F5">
        <w:rPr>
          <w:spacing w:val="2"/>
        </w:rPr>
        <w:t xml:space="preserve">social and </w:t>
      </w:r>
      <w:r w:rsidR="00EF6CCA" w:rsidRPr="008216F5">
        <w:rPr>
          <w:spacing w:val="2"/>
        </w:rPr>
        <w:t>environmental impacts</w:t>
      </w:r>
      <w:r w:rsidRPr="008216F5">
        <w:rPr>
          <w:spacing w:val="2"/>
        </w:rPr>
        <w:t xml:space="preserve">, there is a risk that some of the costs </w:t>
      </w:r>
      <w:r w:rsidR="00E140E8" w:rsidRPr="008216F5">
        <w:rPr>
          <w:spacing w:val="2"/>
        </w:rPr>
        <w:t xml:space="preserve">(including delays) </w:t>
      </w:r>
      <w:r w:rsidRPr="008216F5">
        <w:rPr>
          <w:spacing w:val="2"/>
        </w:rPr>
        <w:t xml:space="preserve">imposed on </w:t>
      </w:r>
      <w:r w:rsidR="00E140E8" w:rsidRPr="008216F5">
        <w:rPr>
          <w:spacing w:val="2"/>
        </w:rPr>
        <w:t>resources companies</w:t>
      </w:r>
      <w:r w:rsidRPr="008216F5">
        <w:rPr>
          <w:spacing w:val="2"/>
        </w:rPr>
        <w:t xml:space="preserve"> </w:t>
      </w:r>
      <w:r w:rsidR="00254C3A" w:rsidRPr="008216F5">
        <w:rPr>
          <w:spacing w:val="2"/>
        </w:rPr>
        <w:t>are</w:t>
      </w:r>
      <w:r w:rsidRPr="008216F5">
        <w:rPr>
          <w:spacing w:val="2"/>
        </w:rPr>
        <w:t xml:space="preserve"> </w:t>
      </w:r>
      <w:r w:rsidR="00E140E8" w:rsidRPr="008216F5">
        <w:rPr>
          <w:spacing w:val="2"/>
        </w:rPr>
        <w:t xml:space="preserve">higher than </w:t>
      </w:r>
      <w:r w:rsidRPr="008216F5">
        <w:rPr>
          <w:spacing w:val="2"/>
        </w:rPr>
        <w:t>necessary</w:t>
      </w:r>
      <w:r w:rsidR="00733190" w:rsidRPr="008216F5">
        <w:rPr>
          <w:spacing w:val="2"/>
        </w:rPr>
        <w:t xml:space="preserve"> </w:t>
      </w:r>
      <w:r w:rsidR="00254C3A" w:rsidRPr="008216F5">
        <w:rPr>
          <w:spacing w:val="2"/>
        </w:rPr>
        <w:t>(box </w:t>
      </w:r>
      <w:r w:rsidR="001F1B36" w:rsidRPr="008216F5">
        <w:rPr>
          <w:spacing w:val="2"/>
        </w:rPr>
        <w:t>3</w:t>
      </w:r>
      <w:r w:rsidR="00254C3A" w:rsidRPr="008216F5">
        <w:rPr>
          <w:spacing w:val="2"/>
        </w:rPr>
        <w:t>).</w:t>
      </w:r>
      <w:r w:rsidR="00A1743C" w:rsidRPr="008216F5">
        <w:rPr>
          <w:spacing w:val="2"/>
        </w:rPr>
        <w:t xml:space="preserve"> </w:t>
      </w:r>
      <w:r w:rsidRPr="008216F5">
        <w:rPr>
          <w:spacing w:val="2"/>
        </w:rPr>
        <w:t>Best</w:t>
      </w:r>
      <w:r w:rsidRPr="008216F5">
        <w:rPr>
          <w:spacing w:val="2"/>
        </w:rPr>
        <w:noBreakHyphen/>
        <w:t xml:space="preserve">practice regulatory approaches </w:t>
      </w:r>
      <w:r w:rsidR="00A1743C" w:rsidRPr="008216F5">
        <w:rPr>
          <w:spacing w:val="2"/>
        </w:rPr>
        <w:t xml:space="preserve">require </w:t>
      </w:r>
      <w:r w:rsidRPr="008216F5">
        <w:rPr>
          <w:spacing w:val="2"/>
        </w:rPr>
        <w:t xml:space="preserve">governments and regulators </w:t>
      </w:r>
      <w:r w:rsidR="00A1743C" w:rsidRPr="008216F5">
        <w:rPr>
          <w:spacing w:val="2"/>
        </w:rPr>
        <w:t>to</w:t>
      </w:r>
      <w:r w:rsidRPr="008216F5">
        <w:rPr>
          <w:spacing w:val="2"/>
        </w:rPr>
        <w:t xml:space="preserve"> tak</w:t>
      </w:r>
      <w:r w:rsidR="00A1743C" w:rsidRPr="008216F5">
        <w:rPr>
          <w:spacing w:val="2"/>
        </w:rPr>
        <w:t>e</w:t>
      </w:r>
      <w:r w:rsidRPr="008216F5">
        <w:rPr>
          <w:spacing w:val="2"/>
        </w:rPr>
        <w:t xml:space="preserve"> the course of action that imposes the least burden on businesses, subject to achieving policy goals. The result</w:t>
      </w:r>
      <w:r w:rsidR="00733190" w:rsidRPr="008216F5">
        <w:rPr>
          <w:spacing w:val="2"/>
        </w:rPr>
        <w:t xml:space="preserve">ing regulatory framework </w:t>
      </w:r>
      <w:r w:rsidR="00A1743C" w:rsidRPr="008216F5">
        <w:rPr>
          <w:spacing w:val="2"/>
        </w:rPr>
        <w:t xml:space="preserve">is one that </w:t>
      </w:r>
      <w:r w:rsidR="00733190" w:rsidRPr="008216F5">
        <w:rPr>
          <w:spacing w:val="2"/>
        </w:rPr>
        <w:t>delivers</w:t>
      </w:r>
      <w:r w:rsidRPr="008216F5">
        <w:rPr>
          <w:spacing w:val="2"/>
        </w:rPr>
        <w:t xml:space="preserve"> the greatest possible net benefit for the community.</w:t>
      </w:r>
    </w:p>
    <w:p w:rsidR="00E20C9C" w:rsidRDefault="00E20C9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0C9C" w:rsidTr="003B116A">
        <w:trPr>
          <w:tblHeader/>
        </w:trPr>
        <w:tc>
          <w:tcPr>
            <w:tcW w:w="5000" w:type="pct"/>
            <w:tcBorders>
              <w:top w:val="single" w:sz="6" w:space="0" w:color="78A22F"/>
              <w:left w:val="nil"/>
              <w:bottom w:val="nil"/>
              <w:right w:val="nil"/>
            </w:tcBorders>
            <w:shd w:val="clear" w:color="auto" w:fill="F2F2F2"/>
          </w:tcPr>
          <w:p w:rsidR="00E20C9C" w:rsidRDefault="00E20C9C" w:rsidP="00254C3A">
            <w:pPr>
              <w:pStyle w:val="BoxTitle"/>
            </w:pPr>
            <w:r>
              <w:rPr>
                <w:b w:val="0"/>
              </w:rPr>
              <w:t xml:space="preserve">Box </w:t>
            </w:r>
            <w:bookmarkStart w:id="18" w:name="OLE_LINK4"/>
            <w:r w:rsidR="00403C61">
              <w:rPr>
                <w:b w:val="0"/>
                <w:noProof/>
              </w:rPr>
              <w:t>3</w:t>
            </w:r>
            <w:bookmarkEnd w:id="18"/>
            <w:r>
              <w:tab/>
            </w:r>
            <w:r w:rsidR="00254C3A">
              <w:t xml:space="preserve">Potential </w:t>
            </w:r>
            <w:r w:rsidR="00F06775">
              <w:t>s</w:t>
            </w:r>
            <w:r>
              <w:t>ources of unnecessary regulatory costs</w:t>
            </w:r>
          </w:p>
        </w:tc>
      </w:tr>
      <w:tr w:rsidR="00E20C9C" w:rsidTr="003B116A">
        <w:tc>
          <w:tcPr>
            <w:tcW w:w="5000" w:type="pct"/>
            <w:tcBorders>
              <w:top w:val="nil"/>
              <w:left w:val="nil"/>
              <w:bottom w:val="nil"/>
              <w:right w:val="nil"/>
            </w:tcBorders>
            <w:shd w:val="clear" w:color="auto" w:fill="F2F2F2"/>
          </w:tcPr>
          <w:p w:rsidR="00E20C9C" w:rsidRDefault="00E20C9C" w:rsidP="00E20C9C">
            <w:pPr>
              <w:pStyle w:val="BoxListBullet"/>
            </w:pPr>
            <w:r>
              <w:rPr>
                <w:b/>
              </w:rPr>
              <w:t>P</w:t>
            </w:r>
            <w:r w:rsidRPr="00227FCB">
              <w:rPr>
                <w:b/>
              </w:rPr>
              <w:t>roblems with the regulations themselves</w:t>
            </w:r>
            <w:r>
              <w:t xml:space="preserve">. For example, regulations can be overly complex or excessively prescriptive or redundant, or can have unclear, questionable or conflicting objectives. Regulatory creep, where regulations extend over or influence more areas and activities than were originally intended, can also </w:t>
            </w:r>
            <w:r w:rsidR="0001456A">
              <w:t>be an issue</w:t>
            </w:r>
            <w:r>
              <w:t>.</w:t>
            </w:r>
          </w:p>
          <w:p w:rsidR="00E20C9C" w:rsidRDefault="00E20C9C" w:rsidP="00E20C9C">
            <w:pPr>
              <w:pStyle w:val="BoxListBullet"/>
            </w:pPr>
            <w:r>
              <w:rPr>
                <w:b/>
              </w:rPr>
              <w:t>R</w:t>
            </w:r>
            <w:r w:rsidRPr="00914394">
              <w:rPr>
                <w:b/>
              </w:rPr>
              <w:t>egulatory duplication</w:t>
            </w:r>
            <w:r>
              <w:t>. Industry participants may be required to provide information to multiple regulators or go through multiple processes, or comply with inconsistent regulations within or across jurisdictions. There can also be variations in practices between regulators within and across jurisdictions.</w:t>
            </w:r>
          </w:p>
          <w:p w:rsidR="00E20C9C" w:rsidRDefault="00E20C9C" w:rsidP="00E20C9C">
            <w:pPr>
              <w:pStyle w:val="BoxListBullet"/>
            </w:pPr>
            <w:r>
              <w:rPr>
                <w:b/>
              </w:rPr>
              <w:t>P</w:t>
            </w:r>
            <w:r w:rsidRPr="00952B2B">
              <w:rPr>
                <w:b/>
              </w:rPr>
              <w:t>oor enforcement and administration</w:t>
            </w:r>
            <w:r>
              <w:t>. This can include excessive reporting or recording requirements, inadequate resourcing of regulators, overzealous regulation and regulatory bias or capture.</w:t>
            </w:r>
          </w:p>
        </w:tc>
      </w:tr>
      <w:tr w:rsidR="00E20C9C" w:rsidTr="003B116A">
        <w:tc>
          <w:tcPr>
            <w:tcW w:w="5000" w:type="pct"/>
            <w:tcBorders>
              <w:top w:val="nil"/>
              <w:left w:val="nil"/>
              <w:bottom w:val="single" w:sz="6" w:space="0" w:color="78A22F"/>
              <w:right w:val="nil"/>
            </w:tcBorders>
            <w:shd w:val="clear" w:color="auto" w:fill="F2F2F2"/>
          </w:tcPr>
          <w:p w:rsidR="00E20C9C" w:rsidRDefault="00E20C9C">
            <w:pPr>
              <w:pStyle w:val="Box"/>
              <w:spacing w:before="0" w:line="120" w:lineRule="exact"/>
            </w:pPr>
          </w:p>
        </w:tc>
      </w:tr>
      <w:tr w:rsidR="00E20C9C" w:rsidRPr="000863A5" w:rsidTr="003B116A">
        <w:tc>
          <w:tcPr>
            <w:tcW w:w="5000" w:type="pct"/>
            <w:tcBorders>
              <w:top w:val="single" w:sz="6" w:space="0" w:color="78A22F"/>
              <w:left w:val="nil"/>
              <w:bottom w:val="nil"/>
              <w:right w:val="nil"/>
            </w:tcBorders>
          </w:tcPr>
          <w:p w:rsidR="00E20C9C" w:rsidRPr="00626D32" w:rsidRDefault="00E20C9C" w:rsidP="003B116A">
            <w:pPr>
              <w:pStyle w:val="BoxSpaceBelow"/>
            </w:pPr>
          </w:p>
        </w:tc>
      </w:tr>
    </w:tbl>
    <w:p w:rsidR="008452BD" w:rsidRDefault="00E81161" w:rsidP="009602A8">
      <w:pPr>
        <w:pStyle w:val="Heading3"/>
      </w:pPr>
      <w:r>
        <w:t>How should</w:t>
      </w:r>
      <w:r w:rsidR="008452BD">
        <w:t xml:space="preserve"> best</w:t>
      </w:r>
      <w:r w:rsidR="00723B1F">
        <w:noBreakHyphen/>
      </w:r>
      <w:r w:rsidR="008452BD">
        <w:t>practice regulation</w:t>
      </w:r>
      <w:r w:rsidR="004941F1">
        <w:t xml:space="preserve"> </w:t>
      </w:r>
      <w:r>
        <w:t>be assessed?</w:t>
      </w:r>
    </w:p>
    <w:p w:rsidR="0017524B" w:rsidRDefault="00733190">
      <w:pPr>
        <w:pStyle w:val="BodyText"/>
      </w:pPr>
      <w:r>
        <w:t xml:space="preserve">Drawing on a large body of previous work, </w:t>
      </w:r>
      <w:r w:rsidR="0029175E">
        <w:t>along with the COAG principles of best</w:t>
      </w:r>
      <w:r w:rsidR="00E8757A">
        <w:noBreakHyphen/>
      </w:r>
      <w:r w:rsidR="0029175E">
        <w:t xml:space="preserve">practice regulation, </w:t>
      </w:r>
      <w:r>
        <w:t>t</w:t>
      </w:r>
      <w:r w:rsidR="0017524B">
        <w:t xml:space="preserve">he Commission has developed </w:t>
      </w:r>
      <w:r w:rsidR="00796DD5">
        <w:t>assessment criteria</w:t>
      </w:r>
      <w:r w:rsidR="0017524B">
        <w:t xml:space="preserve"> </w:t>
      </w:r>
      <w:r w:rsidR="000F0F5F">
        <w:t>(table</w:t>
      </w:r>
      <w:r w:rsidR="00F27DAA">
        <w:t> </w:t>
      </w:r>
      <w:r w:rsidR="000F0F5F">
        <w:t xml:space="preserve">1) </w:t>
      </w:r>
      <w:r>
        <w:t xml:space="preserve">for </w:t>
      </w:r>
      <w:r w:rsidR="000F0F5F">
        <w:t>determin</w:t>
      </w:r>
      <w:r>
        <w:t>ing</w:t>
      </w:r>
      <w:r w:rsidR="000F0F5F">
        <w:t xml:space="preserve"> whether</w:t>
      </w:r>
      <w:r w:rsidR="002E10E6">
        <w:t xml:space="preserve"> current</w:t>
      </w:r>
      <w:r w:rsidR="000F0F5F">
        <w:t xml:space="preserve"> regulatory </w:t>
      </w:r>
      <w:r>
        <w:t xml:space="preserve">approaches </w:t>
      </w:r>
      <w:r w:rsidR="001614FA">
        <w:t xml:space="preserve">are effective and </w:t>
      </w:r>
      <w:r>
        <w:t xml:space="preserve">constitute </w:t>
      </w:r>
      <w:r w:rsidR="001614FA">
        <w:t xml:space="preserve">best </w:t>
      </w:r>
      <w:r w:rsidR="000F0F5F">
        <w:t>practice</w:t>
      </w:r>
      <w:r w:rsidR="00905422">
        <w:t xml:space="preserve">. There are three components to </w:t>
      </w:r>
      <w:r w:rsidR="000F0F5F">
        <w:t>the criteria</w:t>
      </w:r>
      <w:r w:rsidR="00905422">
        <w:t>.</w:t>
      </w:r>
    </w:p>
    <w:p w:rsidR="00D104F3" w:rsidRDefault="00D104F3" w:rsidP="00D104F3">
      <w:pPr>
        <w:pStyle w:val="ListBullet"/>
      </w:pPr>
      <w:r>
        <w:t xml:space="preserve">Regulatory design — or the processes involved in the development and maintenance of regulation, along with regulatory change. </w:t>
      </w:r>
      <w:r w:rsidRPr="0017524B">
        <w:t xml:space="preserve">Elements of good regulatory design </w:t>
      </w:r>
      <w:r>
        <w:t>include</w:t>
      </w:r>
      <w:r w:rsidRPr="0017524B">
        <w:t xml:space="preserve"> </w:t>
      </w:r>
      <w:r>
        <w:t xml:space="preserve">consultation and community engagement, </w:t>
      </w:r>
      <w:r w:rsidRPr="0017524B">
        <w:t>c</w:t>
      </w:r>
      <w:r>
        <w:t>learly</w:t>
      </w:r>
      <w:r w:rsidR="000F4BB1">
        <w:t xml:space="preserve"> </w:t>
      </w:r>
      <w:r>
        <w:t>defined</w:t>
      </w:r>
      <w:r w:rsidRPr="0017524B">
        <w:t xml:space="preserve"> objectives</w:t>
      </w:r>
      <w:r>
        <w:t xml:space="preserve"> that are consistent across different regulations and </w:t>
      </w:r>
      <w:r w:rsidRPr="0017524B">
        <w:t>ensuri</w:t>
      </w:r>
      <w:r>
        <w:t>n</w:t>
      </w:r>
      <w:r w:rsidRPr="0017524B">
        <w:t>g regulation is simple and not overly prescriptive</w:t>
      </w:r>
      <w:r>
        <w:t xml:space="preserve">. In addition, regular monitoring and review is necessary to determine whether regulation is having its intended effects and is continuing to deliver </w:t>
      </w:r>
      <w:r w:rsidR="00A71EA1">
        <w:t xml:space="preserve">the largest possible </w:t>
      </w:r>
      <w:r>
        <w:t>net benefits for the community.</w:t>
      </w:r>
    </w:p>
    <w:p w:rsidR="00D104F3" w:rsidRDefault="00D104F3" w:rsidP="00D104F3">
      <w:pPr>
        <w:pStyle w:val="ListBullet"/>
      </w:pPr>
      <w:r>
        <w:t xml:space="preserve">Regulator governance — governance frameworks provide a structure through which the roles, responsibilities and objectives of regulators are set and the means of </w:t>
      </w:r>
      <w:r w:rsidR="000F4BB1">
        <w:t xml:space="preserve">achieving </w:t>
      </w:r>
      <w:r>
        <w:t>these objectives are determined. Best</w:t>
      </w:r>
      <w:r w:rsidR="00723B1F">
        <w:noBreakHyphen/>
      </w:r>
      <w:r>
        <w:t xml:space="preserve">practice governance attributes — such as clear objectives, accountable and independent decision makers and adequate resourcing and capabilities — provide the foundation for regulators to produce outcomes that </w:t>
      </w:r>
      <w:r w:rsidR="006B7DAD">
        <w:t>produce</w:t>
      </w:r>
      <w:r>
        <w:t xml:space="preserve"> community benefits and build confidence in the operation of the regulatory system.</w:t>
      </w:r>
    </w:p>
    <w:p w:rsidR="00D104F3" w:rsidRDefault="00D104F3" w:rsidP="00D104F3">
      <w:pPr>
        <w:pStyle w:val="ListBullet"/>
      </w:pPr>
      <w:r>
        <w:t>Regulator conduct — governance frameworks and the regulation itself can often leave considerable discretion as to how a regulator administers its regulation. Best</w:t>
      </w:r>
      <w:r>
        <w:noBreakHyphen/>
        <w:t>practice processes involve clear and predictable, and open and transparent processes, minimising unnecessary administrative costs</w:t>
      </w:r>
      <w:r w:rsidR="000F4BB1">
        <w:t>,</w:t>
      </w:r>
      <w:r>
        <w:t xml:space="preserve"> and ensuring outcomes are consistent with the objectives of the regulation.</w:t>
      </w:r>
    </w:p>
    <w:p w:rsidR="007A7371" w:rsidRDefault="007A7371" w:rsidP="00F2355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A7371" w:rsidTr="00F23559">
        <w:trPr>
          <w:tblHeader/>
        </w:trPr>
        <w:tc>
          <w:tcPr>
            <w:tcW w:w="5000" w:type="pct"/>
            <w:tcBorders>
              <w:top w:val="single" w:sz="6" w:space="0" w:color="78A22F"/>
              <w:left w:val="nil"/>
              <w:bottom w:val="nil"/>
              <w:right w:val="nil"/>
            </w:tcBorders>
            <w:shd w:val="clear" w:color="auto" w:fill="auto"/>
          </w:tcPr>
          <w:p w:rsidR="007A7371" w:rsidRPr="00784A05" w:rsidRDefault="007A7371" w:rsidP="00300F7E">
            <w:pPr>
              <w:pStyle w:val="TableTitle"/>
            </w:pPr>
            <w:r>
              <w:rPr>
                <w:b w:val="0"/>
              </w:rPr>
              <w:t xml:space="preserve">Table </w:t>
            </w:r>
            <w:r w:rsidR="00403C61">
              <w:rPr>
                <w:b w:val="0"/>
                <w:noProof/>
              </w:rPr>
              <w:t>1</w:t>
            </w:r>
            <w:r>
              <w:tab/>
              <w:t>Assessment criteria for best</w:t>
            </w:r>
            <w:r w:rsidR="00723B1F">
              <w:noBreakHyphen/>
            </w:r>
            <w:r>
              <w:t>practice regulation</w:t>
            </w:r>
          </w:p>
        </w:tc>
      </w:tr>
      <w:tr w:rsidR="007A7371" w:rsidTr="00F2355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6"/>
              <w:gridCol w:w="2834"/>
            </w:tblGrid>
            <w:tr w:rsidR="007A7371" w:rsidRPr="007A7371" w:rsidTr="009542E3">
              <w:trPr>
                <w:tblHeader/>
              </w:trPr>
              <w:tc>
                <w:tcPr>
                  <w:tcW w:w="1667" w:type="pct"/>
                  <w:tcBorders>
                    <w:top w:val="single" w:sz="6" w:space="0" w:color="BFBFBF"/>
                    <w:bottom w:val="single" w:sz="6" w:space="0" w:color="BFBFBF"/>
                  </w:tcBorders>
                  <w:shd w:val="clear" w:color="auto" w:fill="auto"/>
                  <w:tcMar>
                    <w:top w:w="28" w:type="dxa"/>
                  </w:tcMar>
                </w:tcPr>
                <w:p w:rsidR="007A7371" w:rsidRPr="00E3205A" w:rsidRDefault="007A7371">
                  <w:pPr>
                    <w:pStyle w:val="TableColumnHeading"/>
                    <w:jc w:val="left"/>
                  </w:pPr>
                  <w:r w:rsidRPr="00E3205A">
                    <w:t>Regulatory design</w:t>
                  </w:r>
                </w:p>
              </w:tc>
              <w:tc>
                <w:tcPr>
                  <w:tcW w:w="1667" w:type="pct"/>
                  <w:tcBorders>
                    <w:top w:val="single" w:sz="6" w:space="0" w:color="BFBFBF"/>
                    <w:bottom w:val="single" w:sz="6" w:space="0" w:color="BFBFBF"/>
                  </w:tcBorders>
                </w:tcPr>
                <w:p w:rsidR="007A7371" w:rsidRPr="00E3205A" w:rsidRDefault="007A7371" w:rsidP="0015278B">
                  <w:pPr>
                    <w:pStyle w:val="TableColumnHeading"/>
                    <w:jc w:val="left"/>
                  </w:pPr>
                  <w:r w:rsidRPr="00E3205A">
                    <w:t>Regulator governance</w:t>
                  </w:r>
                </w:p>
              </w:tc>
              <w:tc>
                <w:tcPr>
                  <w:tcW w:w="1666" w:type="pct"/>
                  <w:tcBorders>
                    <w:top w:val="single" w:sz="6" w:space="0" w:color="BFBFBF"/>
                    <w:bottom w:val="single" w:sz="6" w:space="0" w:color="BFBFBF"/>
                  </w:tcBorders>
                  <w:shd w:val="clear" w:color="auto" w:fill="auto"/>
                  <w:tcMar>
                    <w:top w:w="28" w:type="dxa"/>
                  </w:tcMar>
                </w:tcPr>
                <w:p w:rsidR="007A7371" w:rsidRPr="00E3205A" w:rsidRDefault="007A7371" w:rsidP="0015278B">
                  <w:pPr>
                    <w:pStyle w:val="TableColumnHeading"/>
                    <w:jc w:val="left"/>
                  </w:pPr>
                  <w:r w:rsidRPr="00E3205A">
                    <w:t>Regulator conduct</w:t>
                  </w:r>
                </w:p>
              </w:tc>
            </w:tr>
            <w:tr w:rsidR="009542E3" w:rsidTr="009542E3">
              <w:trPr>
                <w:trHeight w:val="2078"/>
              </w:trPr>
              <w:tc>
                <w:tcPr>
                  <w:tcW w:w="1667" w:type="pct"/>
                  <w:tcBorders>
                    <w:top w:val="single" w:sz="6" w:space="0" w:color="BFBFBF"/>
                    <w:bottom w:val="single" w:sz="6" w:space="0" w:color="BFBFBF"/>
                  </w:tcBorders>
                </w:tcPr>
                <w:p w:rsidR="009542E3" w:rsidRDefault="009542E3" w:rsidP="009542E3">
                  <w:pPr>
                    <w:pStyle w:val="TableBullet"/>
                    <w:spacing w:before="80"/>
                  </w:pPr>
                  <w:r>
                    <w:t>Consultation during regulation</w:t>
                  </w:r>
                  <w:r>
                    <w:noBreakHyphen/>
                    <w:t>making is sufficient</w:t>
                  </w:r>
                </w:p>
                <w:p w:rsidR="009542E3" w:rsidRDefault="009542E3" w:rsidP="009542E3">
                  <w:pPr>
                    <w:pStyle w:val="TableBullet"/>
                  </w:pPr>
                  <w:r>
                    <w:t>Objectives of regulation are clearly defined and consistent across different regulations</w:t>
                  </w:r>
                </w:p>
                <w:p w:rsidR="009542E3" w:rsidRPr="009542E3" w:rsidRDefault="009542E3" w:rsidP="009542E3">
                  <w:pPr>
                    <w:pStyle w:val="TableBullet"/>
                    <w:rPr>
                      <w:spacing w:val="-4"/>
                    </w:rPr>
                  </w:pPr>
                  <w:r w:rsidRPr="009542E3">
                    <w:rPr>
                      <w:spacing w:val="-4"/>
                    </w:rPr>
                    <w:t>Regulation is not overly complex or excessively prescriptive</w:t>
                  </w:r>
                </w:p>
                <w:p w:rsidR="009542E3" w:rsidRDefault="009542E3" w:rsidP="009542E3">
                  <w:pPr>
                    <w:pStyle w:val="TableBullet"/>
                  </w:pPr>
                  <w:r>
                    <w:t>Regulation is regularly reviewed</w:t>
                  </w:r>
                </w:p>
              </w:tc>
              <w:tc>
                <w:tcPr>
                  <w:tcW w:w="1667" w:type="pct"/>
                  <w:tcBorders>
                    <w:top w:val="single" w:sz="6" w:space="0" w:color="BFBFBF"/>
                    <w:bottom w:val="single" w:sz="6" w:space="0" w:color="BFBFBF"/>
                  </w:tcBorders>
                </w:tcPr>
                <w:p w:rsidR="009542E3" w:rsidRDefault="009542E3" w:rsidP="009542E3">
                  <w:pPr>
                    <w:pStyle w:val="TableBullet"/>
                    <w:spacing w:before="80"/>
                  </w:pPr>
                  <w:r>
                    <w:t>Roles, responsibilities and requirements of different regulatory agencies are clear and duplication is avoided</w:t>
                  </w:r>
                </w:p>
                <w:p w:rsidR="009542E3" w:rsidRPr="009542E3" w:rsidRDefault="009542E3" w:rsidP="009542E3">
                  <w:pPr>
                    <w:pStyle w:val="TableBullet"/>
                    <w:rPr>
                      <w:spacing w:val="-4"/>
                    </w:rPr>
                  </w:pPr>
                  <w:r w:rsidRPr="009542E3">
                    <w:rPr>
                      <w:spacing w:val="-4"/>
                    </w:rPr>
                    <w:t>Decision makers are accountable</w:t>
                  </w:r>
                </w:p>
                <w:p w:rsidR="009542E3" w:rsidRDefault="009542E3" w:rsidP="009542E3">
                  <w:pPr>
                    <w:pStyle w:val="TableBullet"/>
                  </w:pPr>
                  <w:r>
                    <w:t>Regulators are independent</w:t>
                  </w:r>
                </w:p>
                <w:p w:rsidR="009542E3" w:rsidRDefault="009542E3" w:rsidP="009542E3">
                  <w:pPr>
                    <w:pStyle w:val="TableBullet"/>
                  </w:pPr>
                  <w:r>
                    <w:t>Regulators are adequately resourced and have necessary capabilities</w:t>
                  </w:r>
                </w:p>
              </w:tc>
              <w:tc>
                <w:tcPr>
                  <w:tcW w:w="1666" w:type="pct"/>
                  <w:tcBorders>
                    <w:top w:val="single" w:sz="6" w:space="0" w:color="BFBFBF"/>
                    <w:bottom w:val="single" w:sz="6" w:space="0" w:color="BFBFBF"/>
                  </w:tcBorders>
                </w:tcPr>
                <w:p w:rsidR="009542E3" w:rsidRDefault="009542E3" w:rsidP="009542E3">
                  <w:pPr>
                    <w:pStyle w:val="TableBullet"/>
                    <w:spacing w:before="80"/>
                  </w:pPr>
                  <w:r>
                    <w:t>Regulators’ processes are clear, predictable, open and transparent</w:t>
                  </w:r>
                </w:p>
                <w:p w:rsidR="009542E3" w:rsidRDefault="009542E3" w:rsidP="009542E3">
                  <w:pPr>
                    <w:pStyle w:val="TableBullet"/>
                  </w:pPr>
                  <w:r>
                    <w:t>Regulatory outcomes are consistent with objectives</w:t>
                  </w:r>
                </w:p>
                <w:p w:rsidR="009542E3" w:rsidRDefault="009542E3" w:rsidP="009542E3">
                  <w:pPr>
                    <w:pStyle w:val="TableBullet"/>
                  </w:pPr>
                  <w:r>
                    <w:t>Administrative costs are no higher than necessary</w:t>
                  </w:r>
                </w:p>
              </w:tc>
            </w:tr>
          </w:tbl>
          <w:p w:rsidR="007A7371" w:rsidRDefault="007A7371" w:rsidP="00F23559">
            <w:pPr>
              <w:pStyle w:val="Box"/>
            </w:pPr>
          </w:p>
        </w:tc>
      </w:tr>
      <w:tr w:rsidR="00CE177D" w:rsidRPr="00176D3F" w:rsidTr="00CE177D">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rsidR="00CE177D" w:rsidRPr="00176D3F" w:rsidRDefault="00CE177D" w:rsidP="00CE177D">
            <w:pPr>
              <w:pStyle w:val="Source"/>
            </w:pPr>
            <w:r>
              <w:rPr>
                <w:i/>
              </w:rPr>
              <w:t>S</w:t>
            </w:r>
            <w:r w:rsidRPr="00784A05">
              <w:rPr>
                <w:i/>
              </w:rPr>
              <w:t>ource</w:t>
            </w:r>
            <w:r>
              <w:rPr>
                <w:i/>
              </w:rPr>
              <w:t>s</w:t>
            </w:r>
            <w:r w:rsidRPr="00176D3F">
              <w:t>:</w:t>
            </w:r>
            <w:r>
              <w:t xml:space="preserve"> </w:t>
            </w:r>
            <w:r w:rsidR="00EC52B4">
              <w:t xml:space="preserve">COAG </w:t>
            </w:r>
            <w:r w:rsidR="00EC52B4" w:rsidRPr="00EC52B4">
              <w:rPr>
                <w:rFonts w:cs="Arial"/>
              </w:rPr>
              <w:t>(2007)</w:t>
            </w:r>
            <w:r w:rsidR="00EC52B4">
              <w:t xml:space="preserve">; OECD </w:t>
            </w:r>
            <w:r w:rsidR="00EC52B4" w:rsidRPr="00EC52B4">
              <w:rPr>
                <w:rFonts w:cs="Arial"/>
              </w:rPr>
              <w:t>(2014)</w:t>
            </w:r>
            <w:r w:rsidR="00EC52B4">
              <w:t xml:space="preserve">; </w:t>
            </w:r>
            <w:r>
              <w:t xml:space="preserve">PC </w:t>
            </w:r>
            <w:r w:rsidRPr="00CE177D">
              <w:rPr>
                <w:rFonts w:cs="Arial"/>
              </w:rPr>
              <w:t>(2009, 2013a, 2013b)</w:t>
            </w:r>
            <w:r w:rsidR="002168FA">
              <w:t>.</w:t>
            </w:r>
          </w:p>
        </w:tc>
      </w:tr>
      <w:tr w:rsidR="007A7371" w:rsidTr="00F23559">
        <w:tc>
          <w:tcPr>
            <w:tcW w:w="5000" w:type="pct"/>
            <w:tcBorders>
              <w:top w:val="nil"/>
              <w:left w:val="nil"/>
              <w:bottom w:val="single" w:sz="6" w:space="0" w:color="78A22F"/>
              <w:right w:val="nil"/>
            </w:tcBorders>
            <w:shd w:val="clear" w:color="auto" w:fill="auto"/>
          </w:tcPr>
          <w:p w:rsidR="007A7371" w:rsidRDefault="007A7371" w:rsidP="00F23559">
            <w:pPr>
              <w:pStyle w:val="Box"/>
              <w:spacing w:before="0" w:line="120" w:lineRule="exact"/>
            </w:pPr>
          </w:p>
        </w:tc>
      </w:tr>
      <w:tr w:rsidR="007A7371" w:rsidRPr="000863A5" w:rsidTr="00F23559">
        <w:tc>
          <w:tcPr>
            <w:tcW w:w="5000" w:type="pct"/>
            <w:tcBorders>
              <w:top w:val="single" w:sz="6" w:space="0" w:color="78A22F"/>
              <w:left w:val="nil"/>
              <w:bottom w:val="nil"/>
              <w:right w:val="nil"/>
            </w:tcBorders>
          </w:tcPr>
          <w:p w:rsidR="007A7371" w:rsidRPr="00626D32" w:rsidRDefault="007A7371" w:rsidP="00F23559">
            <w:pPr>
              <w:pStyle w:val="BoxSpaceBelow"/>
            </w:pPr>
          </w:p>
        </w:tc>
      </w:tr>
    </w:tbl>
    <w:p w:rsidR="002E10E6" w:rsidRPr="004E3B94" w:rsidRDefault="002E10E6" w:rsidP="002E10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E10E6" w:rsidTr="00AF44B8">
        <w:trPr>
          <w:tblHeader/>
        </w:trPr>
        <w:tc>
          <w:tcPr>
            <w:tcW w:w="5000" w:type="pct"/>
            <w:tcBorders>
              <w:top w:val="single" w:sz="6" w:space="0" w:color="78A22F"/>
              <w:left w:val="nil"/>
              <w:bottom w:val="nil"/>
              <w:right w:val="nil"/>
            </w:tcBorders>
            <w:shd w:val="clear" w:color="auto" w:fill="auto"/>
          </w:tcPr>
          <w:p w:rsidR="002E10E6" w:rsidRPr="00CE4C64" w:rsidRDefault="002E10E6" w:rsidP="00AF44B8">
            <w:pPr>
              <w:pStyle w:val="InformationRequestTitle"/>
              <w:spacing w:before="120"/>
            </w:pPr>
            <w:r w:rsidRPr="006E7EE2">
              <w:t>Information request</w:t>
            </w:r>
          </w:p>
        </w:tc>
      </w:tr>
      <w:tr w:rsidR="002E10E6" w:rsidRPr="00750BE2" w:rsidTr="00AF44B8">
        <w:tc>
          <w:tcPr>
            <w:tcW w:w="5000" w:type="pct"/>
            <w:tcBorders>
              <w:top w:val="nil"/>
              <w:left w:val="nil"/>
              <w:bottom w:val="nil"/>
              <w:right w:val="nil"/>
            </w:tcBorders>
            <w:shd w:val="clear" w:color="auto" w:fill="auto"/>
          </w:tcPr>
          <w:p w:rsidR="002E10E6" w:rsidRPr="00E75925" w:rsidRDefault="002E10E6" w:rsidP="00995F3C">
            <w:pPr>
              <w:pStyle w:val="InformationRequest"/>
              <w:keepNext/>
            </w:pPr>
            <w:r>
              <w:t xml:space="preserve">The Commission </w:t>
            </w:r>
            <w:r w:rsidR="004B4DD5">
              <w:t xml:space="preserve">is seeking feedback on whether the </w:t>
            </w:r>
            <w:r w:rsidR="003A01A7">
              <w:t xml:space="preserve">criteria </w:t>
            </w:r>
            <w:r w:rsidR="004B4DD5">
              <w:t xml:space="preserve">outlined in table 1 </w:t>
            </w:r>
            <w:r w:rsidR="003A01A7">
              <w:t xml:space="preserve">are </w:t>
            </w:r>
            <w:r w:rsidR="004B4DD5">
              <w:t xml:space="preserve">appropriate for assessing </w:t>
            </w:r>
            <w:r w:rsidR="003A01A7">
              <w:t>whether regulation is</w:t>
            </w:r>
            <w:r w:rsidR="004B4DD5">
              <w:t xml:space="preserve"> best</w:t>
            </w:r>
            <w:r w:rsidR="003A01A7">
              <w:t xml:space="preserve"> </w:t>
            </w:r>
            <w:r w:rsidR="004B4DD5">
              <w:t>practice</w:t>
            </w:r>
            <w:r>
              <w:t>.</w:t>
            </w:r>
          </w:p>
        </w:tc>
      </w:tr>
      <w:tr w:rsidR="002E10E6" w:rsidTr="00AF44B8">
        <w:tc>
          <w:tcPr>
            <w:tcW w:w="5000" w:type="pct"/>
            <w:tcBorders>
              <w:top w:val="nil"/>
              <w:left w:val="nil"/>
              <w:bottom w:val="single" w:sz="6" w:space="0" w:color="78A22F"/>
              <w:right w:val="nil"/>
            </w:tcBorders>
            <w:shd w:val="clear" w:color="auto" w:fill="auto"/>
          </w:tcPr>
          <w:p w:rsidR="002E10E6" w:rsidRDefault="002E10E6" w:rsidP="00AF44B8">
            <w:pPr>
              <w:pStyle w:val="Space"/>
              <w:keepLines/>
            </w:pPr>
          </w:p>
        </w:tc>
      </w:tr>
      <w:tr w:rsidR="002E10E6" w:rsidRPr="000863A5" w:rsidTr="00AF44B8">
        <w:trPr>
          <w:trHeight w:val="198"/>
        </w:trPr>
        <w:tc>
          <w:tcPr>
            <w:tcW w:w="5000" w:type="pct"/>
            <w:tcBorders>
              <w:top w:val="single" w:sz="6" w:space="0" w:color="78A22F"/>
              <w:left w:val="nil"/>
              <w:bottom w:val="nil"/>
              <w:right w:val="nil"/>
            </w:tcBorders>
          </w:tcPr>
          <w:p w:rsidR="002E10E6" w:rsidRPr="00626D32" w:rsidRDefault="002E10E6" w:rsidP="00AF44B8">
            <w:pPr>
              <w:pStyle w:val="BoxSpaceBelow"/>
              <w:keepLines/>
            </w:pPr>
          </w:p>
        </w:tc>
      </w:tr>
    </w:tbl>
    <w:p w:rsidR="00BC33DA" w:rsidRDefault="00403C61" w:rsidP="00BC33DA">
      <w:pPr>
        <w:pStyle w:val="Heading2"/>
      </w:pPr>
      <w:bookmarkStart w:id="19" w:name="_Toc18489681"/>
      <w:bookmarkStart w:id="20" w:name="_Toc18590490"/>
      <w:bookmarkStart w:id="21" w:name="_Toc19188651"/>
      <w:bookmarkStart w:id="22" w:name="_Toc19189842"/>
      <w:r>
        <w:rPr>
          <w:noProof/>
        </w:rPr>
        <w:t>4</w:t>
      </w:r>
      <w:r w:rsidR="00BC33DA">
        <w:tab/>
      </w:r>
      <w:r w:rsidR="0023785B">
        <w:t>To what extent a</w:t>
      </w:r>
      <w:r w:rsidR="000F0F5F">
        <w:t xml:space="preserve">re </w:t>
      </w:r>
      <w:r w:rsidR="002E10E6">
        <w:t xml:space="preserve">current </w:t>
      </w:r>
      <w:r w:rsidR="00CF01EE">
        <w:t>r</w:t>
      </w:r>
      <w:r w:rsidR="000F0F5F">
        <w:t xml:space="preserve">egulatory processes </w:t>
      </w:r>
      <w:r w:rsidR="002E10E6">
        <w:t>consistent with best practice</w:t>
      </w:r>
      <w:r w:rsidR="000F0F5F">
        <w:t>?</w:t>
      </w:r>
      <w:bookmarkEnd w:id="19"/>
      <w:bookmarkEnd w:id="20"/>
      <w:bookmarkEnd w:id="21"/>
      <w:bookmarkEnd w:id="22"/>
    </w:p>
    <w:p w:rsidR="00CF05CE" w:rsidRPr="002D0291" w:rsidRDefault="00CF05CE" w:rsidP="00B97480">
      <w:pPr>
        <w:pStyle w:val="BodyText"/>
        <w:rPr>
          <w:spacing w:val="-2"/>
        </w:rPr>
      </w:pPr>
      <w:r w:rsidRPr="002D0291">
        <w:rPr>
          <w:spacing w:val="-2"/>
        </w:rPr>
        <w:t>The Commission is seeking information</w:t>
      </w:r>
      <w:r w:rsidR="00FF0229" w:rsidRPr="002D0291">
        <w:rPr>
          <w:spacing w:val="-2"/>
        </w:rPr>
        <w:t xml:space="preserve"> and</w:t>
      </w:r>
      <w:r w:rsidR="004342C3" w:rsidRPr="002D0291">
        <w:rPr>
          <w:spacing w:val="-2"/>
        </w:rPr>
        <w:t xml:space="preserve"> examples</w:t>
      </w:r>
      <w:r w:rsidR="00FF0229" w:rsidRPr="002D0291">
        <w:rPr>
          <w:spacing w:val="-2"/>
        </w:rPr>
        <w:t>, including</w:t>
      </w:r>
      <w:r w:rsidR="004342C3" w:rsidRPr="002D0291">
        <w:rPr>
          <w:spacing w:val="-2"/>
        </w:rPr>
        <w:t xml:space="preserve"> case studies</w:t>
      </w:r>
      <w:r w:rsidR="00FF0229" w:rsidRPr="002D0291">
        <w:rPr>
          <w:spacing w:val="-2"/>
        </w:rPr>
        <w:t>,</w:t>
      </w:r>
      <w:r w:rsidRPr="002D0291">
        <w:rPr>
          <w:spacing w:val="-2"/>
        </w:rPr>
        <w:t xml:space="preserve"> </w:t>
      </w:r>
      <w:r w:rsidR="007E78DA" w:rsidRPr="002D0291">
        <w:rPr>
          <w:spacing w:val="-2"/>
        </w:rPr>
        <w:t>on regulatory approaches</w:t>
      </w:r>
      <w:r w:rsidR="002E10E6" w:rsidRPr="002D0291">
        <w:rPr>
          <w:spacing w:val="-2"/>
        </w:rPr>
        <w:t xml:space="preserve"> in the sector</w:t>
      </w:r>
      <w:r w:rsidR="00A15CB5" w:rsidRPr="002D0291">
        <w:rPr>
          <w:spacing w:val="-2"/>
        </w:rPr>
        <w:t xml:space="preserve">, highlighting those that are </w:t>
      </w:r>
      <w:r w:rsidR="00415CE6" w:rsidRPr="002D0291">
        <w:rPr>
          <w:spacing w:val="-2"/>
        </w:rPr>
        <w:t xml:space="preserve">effective and best practice </w:t>
      </w:r>
      <w:r w:rsidR="00A15CB5" w:rsidRPr="002D0291">
        <w:rPr>
          <w:spacing w:val="-2"/>
        </w:rPr>
        <w:t xml:space="preserve">and those that are not. </w:t>
      </w:r>
      <w:r w:rsidR="004342C3" w:rsidRPr="002D0291">
        <w:rPr>
          <w:spacing w:val="-2"/>
        </w:rPr>
        <w:t xml:space="preserve">Evidence on the effect of </w:t>
      </w:r>
      <w:r w:rsidR="00A15CB5" w:rsidRPr="002D0291">
        <w:rPr>
          <w:spacing w:val="-2"/>
        </w:rPr>
        <w:t xml:space="preserve">poor regulation and regulatory processes </w:t>
      </w:r>
      <w:r w:rsidR="004342C3" w:rsidRPr="002D0291">
        <w:rPr>
          <w:spacing w:val="-2"/>
        </w:rPr>
        <w:t xml:space="preserve">would </w:t>
      </w:r>
      <w:r w:rsidR="007F34E9" w:rsidRPr="002D0291">
        <w:rPr>
          <w:spacing w:val="-2"/>
        </w:rPr>
        <w:t>inform the issue of materiality</w:t>
      </w:r>
      <w:r w:rsidR="004342C3" w:rsidRPr="002D0291">
        <w:rPr>
          <w:spacing w:val="-2"/>
        </w:rPr>
        <w:t xml:space="preserve">. </w:t>
      </w:r>
      <w:r w:rsidR="00A15CB5" w:rsidRPr="002D0291">
        <w:rPr>
          <w:spacing w:val="-2"/>
        </w:rPr>
        <w:t>Specific i</w:t>
      </w:r>
      <w:r w:rsidR="00F40608" w:rsidRPr="002D0291">
        <w:rPr>
          <w:spacing w:val="-2"/>
        </w:rPr>
        <w:t xml:space="preserve">nformation requests </w:t>
      </w:r>
      <w:r w:rsidR="00390DD0" w:rsidRPr="002D0291">
        <w:rPr>
          <w:spacing w:val="-2"/>
        </w:rPr>
        <w:t xml:space="preserve">are outlined </w:t>
      </w:r>
      <w:r w:rsidR="00F40608" w:rsidRPr="002D0291">
        <w:rPr>
          <w:spacing w:val="-2"/>
        </w:rPr>
        <w:t>at the end of each section</w:t>
      </w:r>
      <w:r w:rsidR="002F39D0" w:rsidRPr="002D0291">
        <w:rPr>
          <w:spacing w:val="-2"/>
        </w:rPr>
        <w:t xml:space="preserve"> below</w:t>
      </w:r>
      <w:r w:rsidR="00F40608" w:rsidRPr="002D0291">
        <w:rPr>
          <w:spacing w:val="-2"/>
        </w:rPr>
        <w:t>.</w:t>
      </w:r>
    </w:p>
    <w:p w:rsidR="00905422" w:rsidRDefault="00637E70">
      <w:pPr>
        <w:pStyle w:val="Heading3"/>
      </w:pPr>
      <w:r>
        <w:t>Issues with regulatory design</w:t>
      </w:r>
    </w:p>
    <w:p w:rsidR="00FA0A3F" w:rsidRDefault="00DF1BDD" w:rsidP="00E3205A">
      <w:pPr>
        <w:pStyle w:val="BodyText"/>
      </w:pPr>
      <w:r>
        <w:t xml:space="preserve">Poorly designed regulation in the resources sector </w:t>
      </w:r>
      <w:r w:rsidR="009A67B0">
        <w:t xml:space="preserve">can </w:t>
      </w:r>
      <w:r>
        <w:t>lead</w:t>
      </w:r>
      <w:r w:rsidR="009A67B0">
        <w:t xml:space="preserve"> to uncertainty and </w:t>
      </w:r>
      <w:r w:rsidR="00637E70">
        <w:t xml:space="preserve">impose unnecessary </w:t>
      </w:r>
      <w:r>
        <w:t>costs for businesses</w:t>
      </w:r>
      <w:r w:rsidR="00632585">
        <w:t xml:space="preserve"> and the community.</w:t>
      </w:r>
    </w:p>
    <w:p w:rsidR="00C62D69" w:rsidRDefault="00DF1BDD" w:rsidP="00E3205A">
      <w:pPr>
        <w:pStyle w:val="BodyText"/>
      </w:pPr>
      <w:r>
        <w:t>M</w:t>
      </w:r>
      <w:r w:rsidR="00F83311">
        <w:t>any</w:t>
      </w:r>
      <w:r w:rsidR="0029175E">
        <w:t xml:space="preserve"> jurisdictions inform the development of, or changes to, resources regulation through public</w:t>
      </w:r>
      <w:r w:rsidR="00F83311">
        <w:t xml:space="preserve"> </w:t>
      </w:r>
      <w:r w:rsidR="00B26618">
        <w:t>consultation processes</w:t>
      </w:r>
      <w:r w:rsidR="00C62D69">
        <w:t xml:space="preserve"> — for example, the N</w:t>
      </w:r>
      <w:r w:rsidR="00E70943">
        <w:t xml:space="preserve">orthern </w:t>
      </w:r>
      <w:r w:rsidR="00C62D69">
        <w:t>T</w:t>
      </w:r>
      <w:r w:rsidR="00E70943">
        <w:t>erritory</w:t>
      </w:r>
      <w:r w:rsidR="00C62D69">
        <w:t xml:space="preserve"> Government has recently c</w:t>
      </w:r>
      <w:r w:rsidR="00637E70">
        <w:t>ompleted</w:t>
      </w:r>
      <w:r w:rsidR="00C62D69">
        <w:t xml:space="preserve"> a </w:t>
      </w:r>
      <w:r>
        <w:t xml:space="preserve">consultation </w:t>
      </w:r>
      <w:r w:rsidR="00C62D69">
        <w:t>process on a draft Environment Protection Bill and draft Environment Protection Regulations</w:t>
      </w:r>
      <w:r>
        <w:t xml:space="preserve">. </w:t>
      </w:r>
      <w:r w:rsidR="004A4AE6">
        <w:t xml:space="preserve">Consultation provides an opportunity for members of the community to express how any proposed regulation will affect them. </w:t>
      </w:r>
      <w:r w:rsidR="00C62D69">
        <w:t>C</w:t>
      </w:r>
      <w:r>
        <w:t>onsultation processes can be conducted in different ways</w:t>
      </w:r>
      <w:r w:rsidR="00A972F9">
        <w:t>,</w:t>
      </w:r>
      <w:r>
        <w:t xml:space="preserve"> </w:t>
      </w:r>
      <w:r w:rsidR="00C62D69">
        <w:t>with</w:t>
      </w:r>
      <w:r>
        <w:t xml:space="preserve"> </w:t>
      </w:r>
      <w:r w:rsidR="00B26618">
        <w:t xml:space="preserve">some approaches </w:t>
      </w:r>
      <w:r w:rsidR="00C62D69">
        <w:t>potentially more effective</w:t>
      </w:r>
      <w:r w:rsidR="009D318A">
        <w:t xml:space="preserve"> </w:t>
      </w:r>
      <w:r w:rsidR="00B26618">
        <w:t>than others</w:t>
      </w:r>
      <w:r>
        <w:t>.</w:t>
      </w:r>
    </w:p>
    <w:p w:rsidR="00F83311" w:rsidRDefault="00FA0A3F" w:rsidP="00E3205A">
      <w:pPr>
        <w:pStyle w:val="BodyText"/>
      </w:pPr>
      <w:r>
        <w:lastRenderedPageBreak/>
        <w:t xml:space="preserve">Consultation processes </w:t>
      </w:r>
      <w:r w:rsidR="007906C3">
        <w:t xml:space="preserve">contribute to </w:t>
      </w:r>
      <w:r w:rsidR="00A15CB5">
        <w:t xml:space="preserve">clear definition </w:t>
      </w:r>
      <w:r w:rsidR="007906C3">
        <w:t>of regulatory objectives </w:t>
      </w:r>
      <w:r w:rsidR="004A4AE6">
        <w:t>— the foundation of any regulatory effort</w:t>
      </w:r>
      <w:r>
        <w:t xml:space="preserve">. </w:t>
      </w:r>
      <w:r w:rsidR="00DF1BDD">
        <w:t>However, even with extensive consultation,</w:t>
      </w:r>
      <w:r w:rsidR="007906C3">
        <w:t xml:space="preserve"> </w:t>
      </w:r>
      <w:r w:rsidR="00F83311">
        <w:t>regulatory objective</w:t>
      </w:r>
      <w:r w:rsidR="004A4AE6">
        <w:t>s</w:t>
      </w:r>
      <w:r w:rsidR="007906C3">
        <w:t xml:space="preserve"> may not be </w:t>
      </w:r>
      <w:r w:rsidR="004A4AE6">
        <w:t>clearly defined</w:t>
      </w:r>
      <w:r w:rsidR="00B77647">
        <w:t xml:space="preserve"> or efficiently delivered.</w:t>
      </w:r>
    </w:p>
    <w:p w:rsidR="00F83311" w:rsidRDefault="00347C7D" w:rsidP="00F83311">
      <w:pPr>
        <w:pStyle w:val="ListBullet"/>
      </w:pPr>
      <w:r>
        <w:t>T</w:t>
      </w:r>
      <w:r w:rsidR="00F83311">
        <w:t>here may be inadequate articulation of</w:t>
      </w:r>
      <w:r w:rsidR="00F83311" w:rsidDel="00390DD0">
        <w:t xml:space="preserve"> </w:t>
      </w:r>
      <w:r w:rsidR="00F83311">
        <w:t xml:space="preserve">the problem </w:t>
      </w:r>
      <w:r w:rsidR="00B77647">
        <w:t xml:space="preserve">and assessment of how the </w:t>
      </w:r>
      <w:r w:rsidR="00F83311" w:rsidDel="004A4AE6">
        <w:t xml:space="preserve">regulation </w:t>
      </w:r>
      <w:r w:rsidR="00F83311">
        <w:t>address</w:t>
      </w:r>
      <w:r w:rsidR="00B77647">
        <w:t>es it</w:t>
      </w:r>
      <w:r w:rsidR="003D2731">
        <w:t xml:space="preserve">. </w:t>
      </w:r>
      <w:r w:rsidR="00E30029">
        <w:t>The</w:t>
      </w:r>
      <w:r w:rsidR="003D2731">
        <w:t xml:space="preserve"> </w:t>
      </w:r>
      <w:r w:rsidR="002E0B19">
        <w:t xml:space="preserve">Western Australian </w:t>
      </w:r>
      <w:r w:rsidR="00E30029">
        <w:t>Government</w:t>
      </w:r>
      <w:r w:rsidR="002E0B19">
        <w:t xml:space="preserve"> </w:t>
      </w:r>
      <w:r w:rsidR="00E30029">
        <w:t xml:space="preserve">recently removed a ban on unconventional gas activities following an inquiry </w:t>
      </w:r>
      <w:r w:rsidR="00B77647">
        <w:t xml:space="preserve">that found </w:t>
      </w:r>
      <w:r w:rsidR="00E30029">
        <w:t>that environmental and community risks c</w:t>
      </w:r>
      <w:r w:rsidR="00B77647">
        <w:t>ould</w:t>
      </w:r>
      <w:r w:rsidR="00F528A0">
        <w:t xml:space="preserve"> </w:t>
      </w:r>
      <w:r w:rsidR="00E30029">
        <w:t>be sufficiently managed through infrastructure and regulatory design</w:t>
      </w:r>
      <w:r w:rsidR="00463D60">
        <w:t xml:space="preserve"> </w:t>
      </w:r>
      <w:r w:rsidR="00C807E7" w:rsidRPr="00C807E7">
        <w:rPr>
          <w:szCs w:val="24"/>
        </w:rPr>
        <w:t>(Independent Scientific Panel 2018; McGowan, Johnston and Dawson 2018)</w:t>
      </w:r>
      <w:r w:rsidR="00463D60">
        <w:t>.</w:t>
      </w:r>
    </w:p>
    <w:p w:rsidR="00F36762" w:rsidRDefault="00347C7D" w:rsidP="00EA3DD7">
      <w:pPr>
        <w:pStyle w:val="ListBullet"/>
      </w:pPr>
      <w:r>
        <w:t>T</w:t>
      </w:r>
      <w:r w:rsidR="00F83311">
        <w:t xml:space="preserve">here </w:t>
      </w:r>
      <w:r w:rsidR="003D2731">
        <w:t xml:space="preserve">may be </w:t>
      </w:r>
      <w:r w:rsidR="00F83311">
        <w:t xml:space="preserve">ambiguity in </w:t>
      </w:r>
      <w:r w:rsidR="006410B6">
        <w:t>the intent of</w:t>
      </w:r>
      <w:r w:rsidR="004A4AE6">
        <w:t xml:space="preserve"> </w:t>
      </w:r>
      <w:r w:rsidR="00F83311">
        <w:t xml:space="preserve">regulation, with implications for the way </w:t>
      </w:r>
      <w:r w:rsidR="004A4AE6">
        <w:t>it</w:t>
      </w:r>
      <w:r w:rsidR="00F83311">
        <w:t xml:space="preserve"> is executed</w:t>
      </w:r>
      <w:r w:rsidR="003D2731">
        <w:t xml:space="preserve">. </w:t>
      </w:r>
      <w:r w:rsidR="006410B6">
        <w:t xml:space="preserve">One outcome </w:t>
      </w:r>
      <w:r>
        <w:t>of this is</w:t>
      </w:r>
      <w:r w:rsidR="00F83311">
        <w:t xml:space="preserve"> </w:t>
      </w:r>
      <w:r w:rsidR="00C62D69">
        <w:t xml:space="preserve">the potential for </w:t>
      </w:r>
      <w:r w:rsidR="00F83311">
        <w:t>judicial decision</w:t>
      </w:r>
      <w:r w:rsidR="006410B6">
        <w:t>s</w:t>
      </w:r>
      <w:r w:rsidR="00F83311">
        <w:t xml:space="preserve"> </w:t>
      </w:r>
      <w:r w:rsidR="000E06DE">
        <w:t>on areas of the law where policy guidance and intent</w:t>
      </w:r>
      <w:r w:rsidR="006410B6">
        <w:t xml:space="preserve"> </w:t>
      </w:r>
      <w:r w:rsidR="000E06DE">
        <w:t>is unclear. F</w:t>
      </w:r>
      <w:r w:rsidR="006410B6">
        <w:t>or example,</w:t>
      </w:r>
      <w:r w:rsidR="003D2731">
        <w:t xml:space="preserve"> development consent for the Rocky Hill coal mine </w:t>
      </w:r>
      <w:r w:rsidR="006410B6">
        <w:t xml:space="preserve">was recently </w:t>
      </w:r>
      <w:r w:rsidR="003D2731">
        <w:t xml:space="preserve">rejected by </w:t>
      </w:r>
      <w:r w:rsidR="00C64D51">
        <w:t xml:space="preserve">the NSW Land and Environment Court, </w:t>
      </w:r>
      <w:r w:rsidR="006410B6">
        <w:t xml:space="preserve">due, </w:t>
      </w:r>
      <w:r w:rsidR="00C64D51">
        <w:t>in part</w:t>
      </w:r>
      <w:r w:rsidR="006410B6">
        <w:t>,</w:t>
      </w:r>
      <w:r w:rsidR="00C64D51">
        <w:t xml:space="preserve"> to potential downstream </w:t>
      </w:r>
      <w:r w:rsidR="00076EF2">
        <w:t xml:space="preserve">(or scope 3) </w:t>
      </w:r>
      <w:r w:rsidR="00C64D51">
        <w:t>greenhouse gas emissions</w:t>
      </w:r>
      <w:r w:rsidR="000E06DE">
        <w:t>. The Federal Court rejected similar arguments about the Carmichael coal mine in Queensland</w:t>
      </w:r>
      <w:r w:rsidR="00DF13D8">
        <w:t>,</w:t>
      </w:r>
      <w:r w:rsidR="000E06DE">
        <w:t xml:space="preserve"> suggesting that any demand not met by that mine would be met by other coal producers, </w:t>
      </w:r>
      <w:r w:rsidR="00DF13D8">
        <w:t>and</w:t>
      </w:r>
      <w:r w:rsidR="000E06DE">
        <w:t xml:space="preserve"> that greenhouse gas emissions would be the same whether the mine proceeded or not </w:t>
      </w:r>
      <w:r w:rsidR="000E06DE" w:rsidRPr="000E06DE">
        <w:rPr>
          <w:szCs w:val="24"/>
        </w:rPr>
        <w:t>(Bell-James </w:t>
      </w:r>
      <w:r w:rsidR="000E06DE" w:rsidRPr="00012426">
        <w:rPr>
          <w:szCs w:val="24"/>
        </w:rPr>
        <w:t>2016, 2019)</w:t>
      </w:r>
      <w:r w:rsidR="000E06DE">
        <w:t>.</w:t>
      </w:r>
    </w:p>
    <w:p w:rsidR="00B26618" w:rsidRDefault="00347C7D" w:rsidP="00E3205A">
      <w:pPr>
        <w:pStyle w:val="ListBullet"/>
      </w:pPr>
      <w:r>
        <w:t>T</w:t>
      </w:r>
      <w:r w:rsidR="003D2731">
        <w:t>here may be differences in objectives across different legislation.</w:t>
      </w:r>
    </w:p>
    <w:p w:rsidR="00785B94" w:rsidRDefault="00F868DB" w:rsidP="00E3205A">
      <w:pPr>
        <w:pStyle w:val="BodyText"/>
      </w:pPr>
      <w:r>
        <w:t xml:space="preserve">A further </w:t>
      </w:r>
      <w:r w:rsidR="00347C7D">
        <w:t>design</w:t>
      </w:r>
      <w:r>
        <w:t xml:space="preserve"> consideration is the extent to which project proponents must contend with </w:t>
      </w:r>
      <w:r w:rsidR="0014132A">
        <w:t xml:space="preserve">overly </w:t>
      </w:r>
      <w:r w:rsidRPr="00F868DB">
        <w:t>complex or excessively prescriptive</w:t>
      </w:r>
      <w:r w:rsidR="0014132A">
        <w:t xml:space="preserve"> regulation</w:t>
      </w:r>
      <w:r w:rsidR="000D3AF1">
        <w:t>.</w:t>
      </w:r>
      <w:r w:rsidR="0014132A">
        <w:t xml:space="preserve"> This </w:t>
      </w:r>
      <w:r w:rsidR="00B20495">
        <w:t>can add to costs without</w:t>
      </w:r>
      <w:r w:rsidR="00B20495" w:rsidRPr="000D3AF1">
        <w:t xml:space="preserve"> necessarily </w:t>
      </w:r>
      <w:r w:rsidR="00A15CB5">
        <w:t xml:space="preserve">effectively </w:t>
      </w:r>
      <w:r w:rsidR="00B20495" w:rsidRPr="000D3AF1">
        <w:t>addressing the negative externalities associated with resources sector activities.</w:t>
      </w:r>
    </w:p>
    <w:p w:rsidR="00B20495" w:rsidRDefault="00A15CB5" w:rsidP="00E3205A">
      <w:pPr>
        <w:pStyle w:val="BodyText"/>
      </w:pPr>
      <w:r>
        <w:t>I</w:t>
      </w:r>
      <w:r w:rsidR="0014132A">
        <w:t>ncreasing complexity, along with regulatory ‘creep’ (</w:t>
      </w:r>
      <w:r w:rsidR="002C1684">
        <w:t xml:space="preserve">that is, gradual </w:t>
      </w:r>
      <w:r w:rsidR="0014132A">
        <w:t>increases in the scope of regulated activities), run the risk of creating uncertainty and sovereign risk for companies.</w:t>
      </w:r>
      <w:r w:rsidR="002C1684">
        <w:t xml:space="preserve"> </w:t>
      </w:r>
    </w:p>
    <w:p w:rsidR="00AF2981" w:rsidRDefault="00A15CB5" w:rsidP="00B97480">
      <w:pPr>
        <w:pStyle w:val="BodyText"/>
      </w:pPr>
      <w:r>
        <w:t xml:space="preserve">Regular reviews of regulation help ensure that regulation remains fit for purpose. </w:t>
      </w:r>
      <w:r w:rsidR="00637E70">
        <w:t>T</w:t>
      </w:r>
      <w:r w:rsidR="00F868DB">
        <w:t>he Commission understands that m</w:t>
      </w:r>
      <w:r w:rsidR="000D0DB1">
        <w:t>any</w:t>
      </w:r>
      <w:r w:rsidR="00FD4BE2">
        <w:t xml:space="preserve"> jurisdictions have </w:t>
      </w:r>
      <w:r w:rsidR="00AF2981">
        <w:t xml:space="preserve">recently completed or are in the process of assessing a range of different aspects of their regulatory systems. For example, in Queensland, a review of the efficiency of the approvals process </w:t>
      </w:r>
      <w:r w:rsidR="00C228D0">
        <w:t>is underway</w:t>
      </w:r>
      <w:r w:rsidR="00AF2981">
        <w:t xml:space="preserve">, while </w:t>
      </w:r>
      <w:r w:rsidR="00C228D0">
        <w:t xml:space="preserve">South Australia’s Mining Act has </w:t>
      </w:r>
      <w:r w:rsidR="00113D8D">
        <w:t>recently</w:t>
      </w:r>
      <w:r w:rsidR="00C228D0">
        <w:t xml:space="preserve"> been under review</w:t>
      </w:r>
      <w:r w:rsidR="00657C10">
        <w:t>.</w:t>
      </w:r>
      <w:r w:rsidR="00AF2981">
        <w:t xml:space="preserve"> As noted above, a review of the EPBC Act is due to commence in </w:t>
      </w:r>
      <w:r w:rsidR="005E6E72">
        <w:t xml:space="preserve">October </w:t>
      </w:r>
      <w:r w:rsidR="00AF2981">
        <w:t>2019.</w:t>
      </w:r>
    </w:p>
    <w:p w:rsidR="001761A9" w:rsidRPr="004E3B94" w:rsidRDefault="001761A9" w:rsidP="008C06D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761A9" w:rsidTr="008C06D4">
        <w:trPr>
          <w:tblHeader/>
        </w:trPr>
        <w:tc>
          <w:tcPr>
            <w:tcW w:w="5000" w:type="pct"/>
            <w:tcBorders>
              <w:top w:val="single" w:sz="6" w:space="0" w:color="78A22F"/>
              <w:left w:val="nil"/>
              <w:bottom w:val="nil"/>
              <w:right w:val="nil"/>
            </w:tcBorders>
            <w:shd w:val="clear" w:color="auto" w:fill="auto"/>
          </w:tcPr>
          <w:p w:rsidR="001761A9" w:rsidRPr="00CE4C64" w:rsidRDefault="001761A9" w:rsidP="008C06D4">
            <w:pPr>
              <w:pStyle w:val="InformationRequestTitle"/>
              <w:spacing w:before="120"/>
            </w:pPr>
            <w:r w:rsidRPr="006E7EE2">
              <w:t>Information request</w:t>
            </w:r>
          </w:p>
        </w:tc>
      </w:tr>
      <w:tr w:rsidR="001761A9" w:rsidRPr="00750BE2" w:rsidTr="008C06D4">
        <w:tc>
          <w:tcPr>
            <w:tcW w:w="5000" w:type="pct"/>
            <w:tcBorders>
              <w:top w:val="nil"/>
              <w:left w:val="nil"/>
              <w:bottom w:val="nil"/>
              <w:right w:val="nil"/>
            </w:tcBorders>
            <w:shd w:val="clear" w:color="auto" w:fill="auto"/>
          </w:tcPr>
          <w:p w:rsidR="00317245" w:rsidRDefault="00AF2981" w:rsidP="008C06D4">
            <w:pPr>
              <w:pStyle w:val="InformationRequest"/>
              <w:keepNext/>
            </w:pPr>
            <w:r>
              <w:t>The Commission is seeking feedback on</w:t>
            </w:r>
            <w:r w:rsidR="00E55300">
              <w:t xml:space="preserve"> how jurisdictions design regulation </w:t>
            </w:r>
            <w:r w:rsidR="00980689">
              <w:t xml:space="preserve">that affects </w:t>
            </w:r>
            <w:r w:rsidR="00E55300">
              <w:t xml:space="preserve">the resources sector. </w:t>
            </w:r>
            <w:r w:rsidR="00451C02">
              <w:t>I</w:t>
            </w:r>
            <w:r>
              <w:t>nformation and examples</w:t>
            </w:r>
            <w:r w:rsidR="00390DD0">
              <w:t>, including case studies,</w:t>
            </w:r>
            <w:r>
              <w:t xml:space="preserve"> of</w:t>
            </w:r>
            <w:r w:rsidR="009A556E">
              <w:t xml:space="preserve"> effective and best</w:t>
            </w:r>
            <w:r w:rsidR="00980689">
              <w:noBreakHyphen/>
            </w:r>
            <w:r w:rsidR="009A556E">
              <w:t>practice approaches a</w:t>
            </w:r>
            <w:r w:rsidR="001D5B50">
              <w:t>nd</w:t>
            </w:r>
            <w:r w:rsidR="009A556E">
              <w:t xml:space="preserve"> those that are problematic</w:t>
            </w:r>
            <w:r w:rsidR="00451C02">
              <w:t xml:space="preserve"> would be appreciated</w:t>
            </w:r>
            <w:r w:rsidR="009A556E">
              <w:t>.</w:t>
            </w:r>
          </w:p>
          <w:p w:rsidR="00AF2981" w:rsidRDefault="00E55300" w:rsidP="008C06D4">
            <w:pPr>
              <w:pStyle w:val="InformationRequest"/>
              <w:keepNext/>
            </w:pPr>
            <w:r>
              <w:t>In particular</w:t>
            </w:r>
            <w:r w:rsidR="009A556E">
              <w:t xml:space="preserve">, the Commission is interested </w:t>
            </w:r>
            <w:r>
              <w:t>in</w:t>
            </w:r>
            <w:r w:rsidR="009E305A">
              <w:t xml:space="preserve"> whether</w:t>
            </w:r>
            <w:r w:rsidR="009A556E">
              <w:t>:</w:t>
            </w:r>
          </w:p>
          <w:p w:rsidR="00AF2981" w:rsidRDefault="00F868DB">
            <w:pPr>
              <w:pStyle w:val="InformationRequestBullet"/>
            </w:pPr>
            <w:r>
              <w:t>approach</w:t>
            </w:r>
            <w:r w:rsidR="007906C3">
              <w:t>es</w:t>
            </w:r>
            <w:r>
              <w:t xml:space="preserve"> to consultation </w:t>
            </w:r>
            <w:r w:rsidR="007906C3">
              <w:t>are</w:t>
            </w:r>
            <w:r>
              <w:t xml:space="preserve"> </w:t>
            </w:r>
            <w:r w:rsidR="000D3AF1">
              <w:t xml:space="preserve">amenable to </w:t>
            </w:r>
            <w:r w:rsidR="00E55300">
              <w:t>best</w:t>
            </w:r>
            <w:r w:rsidR="00980689">
              <w:noBreakHyphen/>
            </w:r>
            <w:r w:rsidR="00E55300">
              <w:t xml:space="preserve">practice </w:t>
            </w:r>
            <w:r w:rsidR="000D3AF1">
              <w:t>community engagement</w:t>
            </w:r>
          </w:p>
          <w:p w:rsidR="00F90BCB" w:rsidRDefault="00F90BCB" w:rsidP="0015278B">
            <w:pPr>
              <w:pStyle w:val="InformationRequestBullet"/>
            </w:pPr>
            <w:r>
              <w:t>regulatory objectives are clearly defined and articulated</w:t>
            </w:r>
            <w:r w:rsidR="000D3AF1">
              <w:t xml:space="preserve">, </w:t>
            </w:r>
            <w:r w:rsidR="00E55300">
              <w:t xml:space="preserve">and </w:t>
            </w:r>
            <w:r w:rsidR="000D3AF1">
              <w:t xml:space="preserve">conflicting objectives </w:t>
            </w:r>
            <w:r w:rsidR="00E55300">
              <w:t>are</w:t>
            </w:r>
            <w:r w:rsidR="000D3AF1">
              <w:t xml:space="preserve"> minimised or managed across different regulations</w:t>
            </w:r>
          </w:p>
          <w:p w:rsidR="00025CF4" w:rsidRPr="00967F2D" w:rsidRDefault="00025CF4" w:rsidP="00980689">
            <w:pPr>
              <w:pStyle w:val="InformationRequestBullet"/>
            </w:pPr>
            <w:r w:rsidRPr="00967F2D">
              <w:t>regulatory ‘creep’ occurs</w:t>
            </w:r>
          </w:p>
          <w:p w:rsidR="00F90BCB" w:rsidRPr="00E27161" w:rsidRDefault="00F90BCB" w:rsidP="002329E7">
            <w:pPr>
              <w:pStyle w:val="InformationRequestBullet"/>
            </w:pPr>
            <w:r>
              <w:t>regulation is overly complex or prescriptive</w:t>
            </w:r>
          </w:p>
          <w:p w:rsidR="00317245" w:rsidRDefault="009E305A" w:rsidP="00B77647">
            <w:pPr>
              <w:pStyle w:val="InformationRequestBullet"/>
            </w:pPr>
            <w:r>
              <w:t xml:space="preserve">regulations are subject to rigorous assessment </w:t>
            </w:r>
            <w:r w:rsidR="00B77647">
              <w:t xml:space="preserve">and effective </w:t>
            </w:r>
            <w:r w:rsidR="00F90BCB">
              <w:t>review processes</w:t>
            </w:r>
            <w:r w:rsidR="00980689">
              <w:t>.</w:t>
            </w:r>
          </w:p>
          <w:p w:rsidR="009E305A" w:rsidRDefault="009E305A">
            <w:pPr>
              <w:pStyle w:val="InformationRequest"/>
            </w:pPr>
            <w:r>
              <w:t xml:space="preserve">What are the consequences of </w:t>
            </w:r>
            <w:r w:rsidR="007F34E9">
              <w:t xml:space="preserve">identified instances of </w:t>
            </w:r>
            <w:r>
              <w:t xml:space="preserve">poor regulatory design for </w:t>
            </w:r>
            <w:r w:rsidR="00CE0741">
              <w:t>regulatory outcomes</w:t>
            </w:r>
            <w:r w:rsidR="0075372D">
              <w:t xml:space="preserve">, </w:t>
            </w:r>
            <w:r>
              <w:t>investment in the sector</w:t>
            </w:r>
            <w:r w:rsidR="00025CF4">
              <w:t xml:space="preserve"> and broader community outcomes</w:t>
            </w:r>
            <w:r>
              <w:t xml:space="preserve">? </w:t>
            </w:r>
          </w:p>
          <w:p w:rsidR="001761A9" w:rsidRPr="00E27161" w:rsidRDefault="00025CF4">
            <w:pPr>
              <w:pStyle w:val="InformationRequest"/>
            </w:pPr>
            <w:r>
              <w:t>H</w:t>
            </w:r>
            <w:r w:rsidR="00C94BC6">
              <w:t xml:space="preserve">ow </w:t>
            </w:r>
            <w:r>
              <w:t xml:space="preserve">could </w:t>
            </w:r>
            <w:r w:rsidR="0075372D">
              <w:t xml:space="preserve">identified </w:t>
            </w:r>
            <w:r w:rsidR="00C94BC6">
              <w:t>shortcomings be remedied</w:t>
            </w:r>
            <w:r>
              <w:t>?</w:t>
            </w:r>
          </w:p>
        </w:tc>
      </w:tr>
      <w:tr w:rsidR="001761A9" w:rsidTr="008C06D4">
        <w:tc>
          <w:tcPr>
            <w:tcW w:w="5000" w:type="pct"/>
            <w:tcBorders>
              <w:top w:val="nil"/>
              <w:left w:val="nil"/>
              <w:bottom w:val="single" w:sz="6" w:space="0" w:color="78A22F"/>
              <w:right w:val="nil"/>
            </w:tcBorders>
            <w:shd w:val="clear" w:color="auto" w:fill="auto"/>
          </w:tcPr>
          <w:p w:rsidR="001761A9" w:rsidRDefault="001761A9" w:rsidP="008C06D4">
            <w:pPr>
              <w:pStyle w:val="Space"/>
              <w:keepLines/>
            </w:pPr>
          </w:p>
        </w:tc>
      </w:tr>
      <w:tr w:rsidR="001761A9" w:rsidRPr="000863A5" w:rsidTr="008C06D4">
        <w:tc>
          <w:tcPr>
            <w:tcW w:w="5000" w:type="pct"/>
            <w:tcBorders>
              <w:top w:val="single" w:sz="6" w:space="0" w:color="78A22F"/>
              <w:left w:val="nil"/>
              <w:bottom w:val="nil"/>
              <w:right w:val="nil"/>
            </w:tcBorders>
          </w:tcPr>
          <w:p w:rsidR="001761A9" w:rsidRPr="00626D32" w:rsidRDefault="001761A9" w:rsidP="008C06D4">
            <w:pPr>
              <w:pStyle w:val="BoxSpaceBelow"/>
              <w:keepLines/>
            </w:pPr>
          </w:p>
        </w:tc>
      </w:tr>
    </w:tbl>
    <w:p w:rsidR="006123DA" w:rsidRDefault="001C4901" w:rsidP="00B97480">
      <w:pPr>
        <w:pStyle w:val="Heading3"/>
      </w:pPr>
      <w:r>
        <w:t>Efficiency</w:t>
      </w:r>
      <w:r w:rsidR="00AE149B">
        <w:t>, transparency and accountability</w:t>
      </w:r>
      <w:r>
        <w:t xml:space="preserve"> of decision</w:t>
      </w:r>
      <w:r w:rsidR="00723B1F">
        <w:noBreakHyphen/>
      </w:r>
      <w:r>
        <w:t>making</w:t>
      </w:r>
    </w:p>
    <w:p w:rsidR="001C1103" w:rsidRDefault="001C1103" w:rsidP="00A70BB7">
      <w:pPr>
        <w:pStyle w:val="BodyText"/>
      </w:pPr>
      <w:r>
        <w:t xml:space="preserve">Navigating </w:t>
      </w:r>
      <w:r w:rsidR="00632585">
        <w:t xml:space="preserve">and complying with </w:t>
      </w:r>
      <w:r>
        <w:t>approval processes is often complex</w:t>
      </w:r>
      <w:r w:rsidR="00980689">
        <w:t>. It</w:t>
      </w:r>
      <w:r w:rsidR="00632585">
        <w:t xml:space="preserve"> </w:t>
      </w:r>
      <w:r w:rsidR="002C1684">
        <w:t xml:space="preserve">can take many years </w:t>
      </w:r>
      <w:r w:rsidR="00632585">
        <w:t xml:space="preserve">and use up </w:t>
      </w:r>
      <w:r w:rsidR="002C1684">
        <w:t xml:space="preserve">substantial </w:t>
      </w:r>
      <w:r w:rsidR="00632585">
        <w:t xml:space="preserve">resources. </w:t>
      </w:r>
      <w:r>
        <w:t xml:space="preserve">The issue is </w:t>
      </w:r>
      <w:r w:rsidR="002C1684">
        <w:t xml:space="preserve">how </w:t>
      </w:r>
      <w:r w:rsidR="00632585">
        <w:t xml:space="preserve">existing </w:t>
      </w:r>
      <w:r>
        <w:t>processes can be streamlined</w:t>
      </w:r>
      <w:r w:rsidR="002C1684">
        <w:t>,</w:t>
      </w:r>
      <w:r w:rsidR="00632585">
        <w:t xml:space="preserve"> simplified </w:t>
      </w:r>
      <w:r w:rsidR="002C1684">
        <w:t xml:space="preserve">and resourced </w:t>
      </w:r>
      <w:r>
        <w:t>to expedite timelines</w:t>
      </w:r>
      <w:r w:rsidR="00632585">
        <w:t xml:space="preserve"> and reduce costs without undermining regulatory efficacy.</w:t>
      </w:r>
    </w:p>
    <w:p w:rsidR="00B20495" w:rsidRPr="002D0291" w:rsidRDefault="00243FF0" w:rsidP="00A70BB7">
      <w:pPr>
        <w:pStyle w:val="BodyText"/>
        <w:rPr>
          <w:spacing w:val="2"/>
        </w:rPr>
      </w:pPr>
      <w:r w:rsidRPr="002D0291">
        <w:rPr>
          <w:spacing w:val="2"/>
        </w:rPr>
        <w:t>Jurisdictions take a range of approaches to regulator governance</w:t>
      </w:r>
      <w:r w:rsidR="005E227B" w:rsidRPr="002D0291">
        <w:rPr>
          <w:spacing w:val="2"/>
        </w:rPr>
        <w:t xml:space="preserve">, </w:t>
      </w:r>
      <w:r w:rsidR="00113D8D" w:rsidRPr="002D0291">
        <w:rPr>
          <w:spacing w:val="2"/>
        </w:rPr>
        <w:t xml:space="preserve">with arrangements being driven, in part, </w:t>
      </w:r>
      <w:r w:rsidR="00B20495" w:rsidRPr="002D0291">
        <w:rPr>
          <w:spacing w:val="2"/>
        </w:rPr>
        <w:t>by</w:t>
      </w:r>
      <w:r w:rsidR="005E227B" w:rsidRPr="002D0291">
        <w:rPr>
          <w:spacing w:val="2"/>
        </w:rPr>
        <w:t xml:space="preserve"> the </w:t>
      </w:r>
      <w:r w:rsidR="00113D8D" w:rsidRPr="002D0291">
        <w:rPr>
          <w:spacing w:val="2"/>
        </w:rPr>
        <w:t>specific</w:t>
      </w:r>
      <w:r w:rsidR="005E227B" w:rsidRPr="002D0291">
        <w:rPr>
          <w:spacing w:val="2"/>
        </w:rPr>
        <w:t xml:space="preserve"> DAA requirements </w:t>
      </w:r>
      <w:r w:rsidR="00113D8D" w:rsidRPr="002D0291">
        <w:rPr>
          <w:spacing w:val="2"/>
        </w:rPr>
        <w:t xml:space="preserve">of </w:t>
      </w:r>
      <w:r w:rsidR="00B20495" w:rsidRPr="002D0291">
        <w:rPr>
          <w:spacing w:val="2"/>
        </w:rPr>
        <w:t>a</w:t>
      </w:r>
      <w:r w:rsidR="00113D8D" w:rsidRPr="002D0291">
        <w:rPr>
          <w:spacing w:val="2"/>
        </w:rPr>
        <w:t xml:space="preserve"> jurisdiction</w:t>
      </w:r>
      <w:r w:rsidR="005E227B" w:rsidRPr="002D0291">
        <w:rPr>
          <w:spacing w:val="2"/>
        </w:rPr>
        <w:t xml:space="preserve">. These differences encompass </w:t>
      </w:r>
      <w:r w:rsidRPr="002D0291">
        <w:rPr>
          <w:spacing w:val="2"/>
        </w:rPr>
        <w:t>coordination</w:t>
      </w:r>
      <w:r w:rsidR="005E227B" w:rsidRPr="002D0291">
        <w:rPr>
          <w:spacing w:val="2"/>
        </w:rPr>
        <w:t xml:space="preserve"> approaches</w:t>
      </w:r>
      <w:r w:rsidRPr="002D0291">
        <w:rPr>
          <w:spacing w:val="2"/>
        </w:rPr>
        <w:t>, decision</w:t>
      </w:r>
      <w:r w:rsidR="00A972F9" w:rsidRPr="002D0291">
        <w:rPr>
          <w:spacing w:val="2"/>
        </w:rPr>
        <w:noBreakHyphen/>
      </w:r>
      <w:r w:rsidRPr="002D0291">
        <w:rPr>
          <w:spacing w:val="2"/>
        </w:rPr>
        <w:t>making</w:t>
      </w:r>
      <w:r w:rsidR="005E227B" w:rsidRPr="002D0291">
        <w:rPr>
          <w:spacing w:val="2"/>
        </w:rPr>
        <w:t xml:space="preserve"> structures and</w:t>
      </w:r>
      <w:r w:rsidRPr="002D0291">
        <w:rPr>
          <w:spacing w:val="2"/>
        </w:rPr>
        <w:t xml:space="preserve"> resourcing</w:t>
      </w:r>
      <w:r w:rsidR="005E227B" w:rsidRPr="002D0291">
        <w:rPr>
          <w:spacing w:val="2"/>
        </w:rPr>
        <w:t xml:space="preserve"> arrangements</w:t>
      </w:r>
      <w:r w:rsidRPr="002D0291">
        <w:rPr>
          <w:spacing w:val="2"/>
        </w:rPr>
        <w:t>.</w:t>
      </w:r>
    </w:p>
    <w:p w:rsidR="00025CF4" w:rsidRDefault="00025CF4" w:rsidP="007F34E9">
      <w:pPr>
        <w:pStyle w:val="Heading5"/>
      </w:pPr>
      <w:r>
        <w:t xml:space="preserve">Regulatory duplication </w:t>
      </w:r>
    </w:p>
    <w:p w:rsidR="00B20495" w:rsidRDefault="00824F36" w:rsidP="00B20495">
      <w:pPr>
        <w:pStyle w:val="BodyText"/>
      </w:pPr>
      <w:r>
        <w:t>As noted above, r</w:t>
      </w:r>
      <w:r w:rsidR="00B20495">
        <w:t>egulatory frameworks in all jurisdictions are characterised by the involvement of multiple agencies</w:t>
      </w:r>
      <w:r w:rsidR="008A79CB">
        <w:t xml:space="preserve">. </w:t>
      </w:r>
      <w:r w:rsidR="00B20495">
        <w:t>Further, the role of both the Commonwealth and State</w:t>
      </w:r>
      <w:r w:rsidR="00B20495" w:rsidDel="00D227BC">
        <w:t xml:space="preserve"> </w:t>
      </w:r>
      <w:r w:rsidR="00B20495">
        <w:t>governments in some DAA processes means that project proponents often have to engage with regulators</w:t>
      </w:r>
      <w:r w:rsidR="008A79CB">
        <w:t xml:space="preserve"> at both levels</w:t>
      </w:r>
      <w:r w:rsidR="00B20495">
        <w:t>, fulfil complex application processes and meet overlapping compliance obligations. The Resources 2030 Taskforce</w:t>
      </w:r>
      <w:r w:rsidR="008A79CB">
        <w:t>, for example,</w:t>
      </w:r>
      <w:r w:rsidR="00B20495">
        <w:t xml:space="preserve"> noted the potential for duplication in the </w:t>
      </w:r>
      <w:r w:rsidR="008A79CB">
        <w:t>DAA</w:t>
      </w:r>
      <w:r w:rsidR="00B20495">
        <w:t xml:space="preserve"> process, with some applicants required to und</w:t>
      </w:r>
      <w:r w:rsidR="00B20495" w:rsidRPr="00CA4B03">
        <w:t xml:space="preserve">ertake an environmental assessment for </w:t>
      </w:r>
      <w:r w:rsidR="00B20495">
        <w:t xml:space="preserve">both </w:t>
      </w:r>
      <w:r w:rsidR="00B20495" w:rsidRPr="00CA4B03">
        <w:t xml:space="preserve">the </w:t>
      </w:r>
      <w:r w:rsidR="00B20495">
        <w:t xml:space="preserve">jurisdiction </w:t>
      </w:r>
      <w:r w:rsidR="00B20495" w:rsidRPr="00CA4B03">
        <w:t>in which the project is located and the Australian Government</w:t>
      </w:r>
      <w:r w:rsidR="00DB7AEE">
        <w:t xml:space="preserve"> </w:t>
      </w:r>
      <w:r w:rsidR="0023494D" w:rsidRPr="0023494D">
        <w:rPr>
          <w:szCs w:val="24"/>
        </w:rPr>
        <w:t>(Cripps 2018)</w:t>
      </w:r>
      <w:r w:rsidR="00B20495">
        <w:t>.</w:t>
      </w:r>
    </w:p>
    <w:p w:rsidR="00A565ED" w:rsidRDefault="005E227B" w:rsidP="00B20495">
      <w:pPr>
        <w:pStyle w:val="BodyText"/>
      </w:pPr>
      <w:r>
        <w:t xml:space="preserve">Because of the scope for regulatory duplication, many jurisdictions have put </w:t>
      </w:r>
      <w:r w:rsidR="00B56970">
        <w:t xml:space="preserve">in place </w:t>
      </w:r>
      <w:r>
        <w:t xml:space="preserve">processes </w:t>
      </w:r>
      <w:r w:rsidR="00B56970">
        <w:t xml:space="preserve">aimed at </w:t>
      </w:r>
      <w:r>
        <w:t>streamlin</w:t>
      </w:r>
      <w:r w:rsidR="00B56970">
        <w:t xml:space="preserve">ing the </w:t>
      </w:r>
      <w:r>
        <w:t>DAA process</w:t>
      </w:r>
      <w:r w:rsidR="00B56970">
        <w:t xml:space="preserve"> and coordinating inputs across </w:t>
      </w:r>
      <w:r w:rsidR="00B56970">
        <w:lastRenderedPageBreak/>
        <w:t>government agencies (</w:t>
      </w:r>
      <w:r w:rsidR="00B56970" w:rsidRPr="005D158B">
        <w:t>box</w:t>
      </w:r>
      <w:r w:rsidR="00D54EEB" w:rsidRPr="00E3205A">
        <w:t> </w:t>
      </w:r>
      <w:r w:rsidR="00A565ED" w:rsidRPr="00E3205A">
        <w:t>4</w:t>
      </w:r>
      <w:r w:rsidR="00B56970">
        <w:t xml:space="preserve">). </w:t>
      </w:r>
      <w:r w:rsidR="008A79CB">
        <w:t>For</w:t>
      </w:r>
      <w:r w:rsidR="00A565ED" w:rsidRPr="00A565ED">
        <w:t xml:space="preserve"> example</w:t>
      </w:r>
      <w:r w:rsidR="008A79CB">
        <w:t>,</w:t>
      </w:r>
      <w:r w:rsidR="00A565ED" w:rsidRPr="00A565ED">
        <w:t xml:space="preserve"> the National Offshore Petroleum Safety and Environmental Management Authority coordinates aspects of the regulatory approvals process, including health and safety, structural and well integrity, and the environmental requirements of the EPBC Act.</w:t>
      </w:r>
    </w:p>
    <w:p w:rsidR="003C5FE3" w:rsidRDefault="00294EB2" w:rsidP="00BF18E2">
      <w:pPr>
        <w:pStyle w:val="BodyText"/>
        <w:rPr>
          <w:spacing w:val="-2"/>
        </w:rPr>
      </w:pPr>
      <w:r>
        <w:rPr>
          <w:spacing w:val="-2"/>
        </w:rPr>
        <w:t xml:space="preserve">Another approach </w:t>
      </w:r>
      <w:r w:rsidR="003C5FE3">
        <w:rPr>
          <w:spacing w:val="-2"/>
        </w:rPr>
        <w:t xml:space="preserve">to </w:t>
      </w:r>
      <w:r>
        <w:rPr>
          <w:spacing w:val="-2"/>
        </w:rPr>
        <w:t>streamlining</w:t>
      </w:r>
      <w:r w:rsidR="003C5FE3">
        <w:rPr>
          <w:spacing w:val="-2"/>
        </w:rPr>
        <w:t xml:space="preserve"> </w:t>
      </w:r>
      <w:r w:rsidR="00995F3C">
        <w:rPr>
          <w:spacing w:val="-2"/>
        </w:rPr>
        <w:t xml:space="preserve">regulatory </w:t>
      </w:r>
      <w:r w:rsidR="003C5FE3">
        <w:rPr>
          <w:spacing w:val="-2"/>
        </w:rPr>
        <w:t xml:space="preserve">processes </w:t>
      </w:r>
      <w:r w:rsidR="0049549E">
        <w:rPr>
          <w:spacing w:val="-2"/>
        </w:rPr>
        <w:t>is</w:t>
      </w:r>
      <w:r w:rsidR="003C5FE3">
        <w:rPr>
          <w:spacing w:val="-2"/>
        </w:rPr>
        <w:t xml:space="preserve"> </w:t>
      </w:r>
      <w:r>
        <w:rPr>
          <w:spacing w:val="-2"/>
        </w:rPr>
        <w:t>s</w:t>
      </w:r>
      <w:r w:rsidR="00BF18E2">
        <w:rPr>
          <w:spacing w:val="-2"/>
        </w:rPr>
        <w:t>trategic assessment</w:t>
      </w:r>
      <w:r>
        <w:rPr>
          <w:spacing w:val="-2"/>
        </w:rPr>
        <w:t xml:space="preserve">, </w:t>
      </w:r>
      <w:r w:rsidR="003C5FE3">
        <w:rPr>
          <w:spacing w:val="-2"/>
        </w:rPr>
        <w:t xml:space="preserve">which </w:t>
      </w:r>
      <w:r>
        <w:rPr>
          <w:spacing w:val="-2"/>
        </w:rPr>
        <w:t>involves</w:t>
      </w:r>
      <w:r w:rsidR="00BF18E2">
        <w:rPr>
          <w:spacing w:val="-2"/>
        </w:rPr>
        <w:t xml:space="preserve"> </w:t>
      </w:r>
      <w:r>
        <w:rPr>
          <w:spacing w:val="-2"/>
        </w:rPr>
        <w:t>assessments of</w:t>
      </w:r>
      <w:r w:rsidR="00BF18E2">
        <w:rPr>
          <w:spacing w:val="-2"/>
        </w:rPr>
        <w:t xml:space="preserve"> the </w:t>
      </w:r>
      <w:r w:rsidR="00BF18E2" w:rsidRPr="00BF18E2">
        <w:rPr>
          <w:spacing w:val="-2"/>
        </w:rPr>
        <w:t>potential impacts of plans, policies and</w:t>
      </w:r>
      <w:r w:rsidR="00BF18E2">
        <w:rPr>
          <w:spacing w:val="-2"/>
        </w:rPr>
        <w:t xml:space="preserve"> </w:t>
      </w:r>
      <w:r w:rsidR="00BF18E2" w:rsidRPr="00BF18E2">
        <w:rPr>
          <w:spacing w:val="-2"/>
        </w:rPr>
        <w:t>programs across an entire region, catchment area, activity or industry</w:t>
      </w:r>
      <w:r w:rsidR="00BF18E2">
        <w:rPr>
          <w:spacing w:val="-2"/>
        </w:rPr>
        <w:t>.</w:t>
      </w:r>
    </w:p>
    <w:p w:rsidR="00B006AE" w:rsidRDefault="00B006A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006AE" w:rsidTr="0049549E">
        <w:trPr>
          <w:tblHeader/>
        </w:trPr>
        <w:tc>
          <w:tcPr>
            <w:tcW w:w="5000" w:type="pct"/>
            <w:tcBorders>
              <w:top w:val="single" w:sz="6" w:space="0" w:color="78A22F"/>
              <w:left w:val="nil"/>
              <w:bottom w:val="nil"/>
              <w:right w:val="nil"/>
            </w:tcBorders>
            <w:shd w:val="clear" w:color="auto" w:fill="F2F2F2"/>
          </w:tcPr>
          <w:p w:rsidR="00B006AE" w:rsidRDefault="00B006AE">
            <w:pPr>
              <w:pStyle w:val="BoxTitle"/>
            </w:pPr>
            <w:r>
              <w:rPr>
                <w:b w:val="0"/>
              </w:rPr>
              <w:t xml:space="preserve">Box </w:t>
            </w:r>
            <w:r w:rsidR="00403C61">
              <w:rPr>
                <w:b w:val="0"/>
                <w:noProof/>
              </w:rPr>
              <w:t>4</w:t>
            </w:r>
            <w:r>
              <w:tab/>
              <w:t>Approaches to coordinating DAA processes</w:t>
            </w:r>
          </w:p>
        </w:tc>
      </w:tr>
      <w:tr w:rsidR="00B006AE" w:rsidTr="0049549E">
        <w:tc>
          <w:tcPr>
            <w:tcW w:w="5000" w:type="pct"/>
            <w:tcBorders>
              <w:top w:val="nil"/>
              <w:left w:val="nil"/>
              <w:bottom w:val="nil"/>
              <w:right w:val="nil"/>
            </w:tcBorders>
            <w:shd w:val="clear" w:color="auto" w:fill="F2F2F2"/>
          </w:tcPr>
          <w:p w:rsidR="00D54EEB" w:rsidRDefault="00A565ED" w:rsidP="00B854E4">
            <w:pPr>
              <w:pStyle w:val="Box"/>
            </w:pPr>
            <w:r>
              <w:t>Jurisdictions take a range of approaches to coordinating DAA processes across agencies.</w:t>
            </w:r>
          </w:p>
          <w:p w:rsidR="00B006AE" w:rsidRDefault="00A565ED" w:rsidP="00E3205A">
            <w:pPr>
              <w:pStyle w:val="BoxListBullet"/>
            </w:pPr>
            <w:r>
              <w:t>A</w:t>
            </w:r>
            <w:r w:rsidR="00B006AE">
              <w:t xml:space="preserve"> one</w:t>
            </w:r>
            <w:r w:rsidR="00723B1F">
              <w:noBreakHyphen/>
            </w:r>
            <w:r w:rsidR="00B006AE">
              <w:t>stop shop model involves a number of (otherwise separate) statutory assessment and approval functions being undertaken by a single agency or Minister</w:t>
            </w:r>
            <w:r>
              <w:t>.</w:t>
            </w:r>
          </w:p>
          <w:p w:rsidR="00B006AE" w:rsidRDefault="00A565ED" w:rsidP="00E3205A">
            <w:pPr>
              <w:pStyle w:val="BoxListBullet"/>
            </w:pPr>
            <w:r>
              <w:t>A</w:t>
            </w:r>
            <w:r w:rsidR="00B006AE">
              <w:t xml:space="preserve"> lead agency model</w:t>
            </w:r>
            <w:r>
              <w:t xml:space="preserve"> involves</w:t>
            </w:r>
            <w:r w:rsidR="00B006AE">
              <w:t xml:space="preserve"> a single agency </w:t>
            </w:r>
            <w:r>
              <w:t>being</w:t>
            </w:r>
            <w:r w:rsidR="00B006AE">
              <w:t xml:space="preserve"> responsible for coordinating the major project regulatory processes across government, as well as providing guidance to proponents. Lead agencies have some responsibility for assessment and approval but cannot override the responsibilities of other agencies</w:t>
            </w:r>
            <w:r>
              <w:t>.</w:t>
            </w:r>
          </w:p>
          <w:p w:rsidR="00B006AE" w:rsidRDefault="00A565ED" w:rsidP="00E3205A">
            <w:pPr>
              <w:pStyle w:val="BoxListBullet"/>
            </w:pPr>
            <w:r>
              <w:t>A</w:t>
            </w:r>
            <w:r w:rsidR="00B006AE">
              <w:t xml:space="preserve"> coordination office</w:t>
            </w:r>
            <w:r>
              <w:t xml:space="preserve"> can</w:t>
            </w:r>
            <w:r w:rsidR="00B006AE">
              <w:t xml:space="preserve"> coordinate and facilitate approvals processes. This approach is similar to a lead agency approach, however, coordination offices are independent of the regulatory system and do not have assessment or approval responsibilities.</w:t>
            </w:r>
          </w:p>
        </w:tc>
      </w:tr>
      <w:tr w:rsidR="00B006AE" w:rsidTr="0049549E">
        <w:tc>
          <w:tcPr>
            <w:tcW w:w="5000" w:type="pct"/>
            <w:tcBorders>
              <w:top w:val="nil"/>
              <w:left w:val="nil"/>
              <w:bottom w:val="single" w:sz="6" w:space="0" w:color="78A22F"/>
              <w:right w:val="nil"/>
            </w:tcBorders>
            <w:shd w:val="clear" w:color="auto" w:fill="F2F2F2"/>
          </w:tcPr>
          <w:p w:rsidR="00B006AE" w:rsidRDefault="00B006AE">
            <w:pPr>
              <w:pStyle w:val="Box"/>
              <w:spacing w:before="0" w:line="120" w:lineRule="exact"/>
            </w:pPr>
          </w:p>
        </w:tc>
      </w:tr>
      <w:tr w:rsidR="00B006AE" w:rsidRPr="000863A5" w:rsidTr="0049549E">
        <w:tc>
          <w:tcPr>
            <w:tcW w:w="5000" w:type="pct"/>
            <w:tcBorders>
              <w:top w:val="single" w:sz="6" w:space="0" w:color="78A22F"/>
              <w:left w:val="nil"/>
              <w:bottom w:val="nil"/>
              <w:right w:val="nil"/>
            </w:tcBorders>
          </w:tcPr>
          <w:p w:rsidR="00B006AE" w:rsidRPr="00626D32" w:rsidRDefault="00B006AE" w:rsidP="0049549E">
            <w:pPr>
              <w:pStyle w:val="BoxSpaceBelow"/>
            </w:pPr>
          </w:p>
        </w:tc>
      </w:tr>
    </w:tbl>
    <w:p w:rsidR="00025CF4" w:rsidRDefault="00025CF4" w:rsidP="007F34E9">
      <w:pPr>
        <w:pStyle w:val="Heading5"/>
      </w:pPr>
      <w:r>
        <w:t xml:space="preserve">Regulatory accountability and independence </w:t>
      </w:r>
    </w:p>
    <w:p w:rsidR="00D54EEB" w:rsidRDefault="001C3963" w:rsidP="007E7718">
      <w:pPr>
        <w:pStyle w:val="BodyText"/>
      </w:pPr>
      <w:r>
        <w:t>Jurisdiction</w:t>
      </w:r>
      <w:r w:rsidR="00D54EEB">
        <w:t>s</w:t>
      </w:r>
      <w:r>
        <w:t>’</w:t>
      </w:r>
      <w:r w:rsidR="00D54EEB">
        <w:t xml:space="preserve"> decision</w:t>
      </w:r>
      <w:r w:rsidR="00D54EEB">
        <w:noBreakHyphen/>
        <w:t xml:space="preserve">making structures can also vary, including the </w:t>
      </w:r>
      <w:r w:rsidR="00EA1CD9">
        <w:t xml:space="preserve">mechanisms </w:t>
      </w:r>
      <w:r w:rsidR="003A63A2">
        <w:t>for ensuring</w:t>
      </w:r>
      <w:r w:rsidR="00EA1CD9">
        <w:t xml:space="preserve"> regulatory</w:t>
      </w:r>
      <w:r w:rsidR="00D54EEB">
        <w:t xml:space="preserve"> accountability and </w:t>
      </w:r>
      <w:r w:rsidR="00EA1CD9">
        <w:t>independence</w:t>
      </w:r>
      <w:r w:rsidR="00D54EEB">
        <w:t>.</w:t>
      </w:r>
    </w:p>
    <w:p w:rsidR="00E31EAE" w:rsidRDefault="00EA1CD9" w:rsidP="007E7718">
      <w:pPr>
        <w:pStyle w:val="BodyText"/>
      </w:pPr>
      <w:r>
        <w:t>Central to an accountable regulatory system is the opportunity for review</w:t>
      </w:r>
      <w:r w:rsidR="003A63A2">
        <w:t>ing decisions</w:t>
      </w:r>
      <w:r>
        <w:t xml:space="preserve"> (</w:t>
      </w:r>
      <w:r w:rsidR="003A63A2">
        <w:t>termed ‘</w:t>
      </w:r>
      <w:r>
        <w:t>objection</w:t>
      </w:r>
      <w:r w:rsidR="003A63A2">
        <w:t>’</w:t>
      </w:r>
      <w:r>
        <w:t xml:space="preserve"> in some jurisdictions)</w:t>
      </w:r>
      <w:r w:rsidR="00D54EEB">
        <w:t xml:space="preserve">. </w:t>
      </w:r>
      <w:r w:rsidR="006D01EF" w:rsidDel="00995F3C">
        <w:t>R</w:t>
      </w:r>
      <w:r w:rsidR="00CB0A07">
        <w:t xml:space="preserve">eview mechanisms </w:t>
      </w:r>
      <w:r w:rsidR="00CB0A07" w:rsidRPr="00453366">
        <w:t>can foster participat</w:t>
      </w:r>
      <w:r w:rsidR="00DE61D8">
        <w:t>ion</w:t>
      </w:r>
      <w:r w:rsidR="00D54EEB">
        <w:t xml:space="preserve"> and</w:t>
      </w:r>
      <w:r w:rsidR="00604C63">
        <w:t xml:space="preserve"> establish clarity around </w:t>
      </w:r>
      <w:r w:rsidR="00604C63" w:rsidRPr="00604C63">
        <w:t xml:space="preserve">ambiguous issues </w:t>
      </w:r>
      <w:r w:rsidR="00604C63">
        <w:t>(</w:t>
      </w:r>
      <w:r w:rsidR="00604C63" w:rsidRPr="00604C63">
        <w:t xml:space="preserve">even where </w:t>
      </w:r>
      <w:r w:rsidR="003A63A2">
        <w:t>a review is n</w:t>
      </w:r>
      <w:r w:rsidR="00604C63" w:rsidRPr="00604C63">
        <w:t>ot successful</w:t>
      </w:r>
      <w:r w:rsidR="00604C63">
        <w:t>).</w:t>
      </w:r>
      <w:r w:rsidR="006D01EF">
        <w:t xml:space="preserve"> </w:t>
      </w:r>
      <w:r w:rsidR="00987FA5">
        <w:t>But</w:t>
      </w:r>
      <w:r w:rsidR="006D01EF">
        <w:t xml:space="preserve"> review mechanisms </w:t>
      </w:r>
      <w:r w:rsidR="007E7718">
        <w:t xml:space="preserve">can </w:t>
      </w:r>
      <w:r w:rsidR="006D01EF">
        <w:t xml:space="preserve">also </w:t>
      </w:r>
      <w:r w:rsidR="007E7718">
        <w:t xml:space="preserve">be a potential source of uncertainty and cost for </w:t>
      </w:r>
      <w:r w:rsidR="00865810">
        <w:t xml:space="preserve">project </w:t>
      </w:r>
      <w:r w:rsidR="007E7718">
        <w:t>proponents</w:t>
      </w:r>
      <w:r w:rsidR="00604C63">
        <w:t xml:space="preserve"> </w:t>
      </w:r>
      <w:r w:rsidR="003A63A2">
        <w:t>— multiple review processes on</w:t>
      </w:r>
      <w:r w:rsidR="00604C63">
        <w:t xml:space="preserve"> complex legal matters </w:t>
      </w:r>
      <w:r w:rsidR="003A63A2">
        <w:t xml:space="preserve">can </w:t>
      </w:r>
      <w:r w:rsidR="00604C63">
        <w:t>take time to resolve (</w:t>
      </w:r>
      <w:r w:rsidR="00604C63" w:rsidRPr="005D158B">
        <w:t>box</w:t>
      </w:r>
      <w:r w:rsidR="00F27DAA" w:rsidRPr="005D158B">
        <w:t> </w:t>
      </w:r>
      <w:r w:rsidR="00987FA5" w:rsidRPr="00E3205A">
        <w:t>5</w:t>
      </w:r>
      <w:r w:rsidR="00604C63">
        <w:t>)</w:t>
      </w:r>
      <w:r w:rsidR="00CB0A07">
        <w:t xml:space="preserve">. </w:t>
      </w:r>
      <w:r w:rsidR="003A63A2">
        <w:t xml:space="preserve">The resources sector has previously raised a number of issues related to </w:t>
      </w:r>
      <w:r w:rsidR="00D54EEB">
        <w:t>review processes</w:t>
      </w:r>
      <w:r w:rsidR="003A63A2">
        <w:t>,</w:t>
      </w:r>
      <w:r w:rsidR="00D54EEB">
        <w:t xml:space="preserve"> includ</w:t>
      </w:r>
      <w:r w:rsidR="003A63A2">
        <w:t>ing</w:t>
      </w:r>
      <w:r w:rsidR="00E31EAE">
        <w:t>:</w:t>
      </w:r>
    </w:p>
    <w:p w:rsidR="00E31EAE" w:rsidRDefault="003440AD" w:rsidP="00E3205A">
      <w:pPr>
        <w:pStyle w:val="ListBullet"/>
      </w:pPr>
      <w:r>
        <w:t>the use of review mechanisms by those opposed to a project in order to delay its approval, rather than to resolve a legal issue</w:t>
      </w:r>
      <w:r w:rsidR="00D3590C">
        <w:t xml:space="preserve"> (sometimes referred to as ‘lawfare’)</w:t>
      </w:r>
    </w:p>
    <w:p w:rsidR="003440AD" w:rsidRDefault="003440AD" w:rsidP="00E3205A">
      <w:pPr>
        <w:pStyle w:val="ListBullet"/>
      </w:pPr>
      <w:r>
        <w:t>who is permitted to bring a review (merits or judicial) application before the tribunal or court (referred to as ‘standing’)</w:t>
      </w:r>
      <w:r w:rsidR="00D54EEB">
        <w:t>.</w:t>
      </w:r>
    </w:p>
    <w:p w:rsidR="00966C95" w:rsidRDefault="00966C95" w:rsidP="00966C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6C95" w:rsidTr="00971F94">
        <w:trPr>
          <w:tblHeader/>
        </w:trPr>
        <w:tc>
          <w:tcPr>
            <w:tcW w:w="5000" w:type="pct"/>
            <w:tcBorders>
              <w:top w:val="single" w:sz="6" w:space="0" w:color="78A22F"/>
              <w:left w:val="nil"/>
              <w:bottom w:val="nil"/>
              <w:right w:val="nil"/>
            </w:tcBorders>
            <w:shd w:val="clear" w:color="auto" w:fill="F2F2F2"/>
          </w:tcPr>
          <w:p w:rsidR="00966C95" w:rsidRDefault="00966C95" w:rsidP="00971F94">
            <w:pPr>
              <w:pStyle w:val="BoxTitle"/>
            </w:pPr>
            <w:r>
              <w:rPr>
                <w:b w:val="0"/>
              </w:rPr>
              <w:t xml:space="preserve">Box </w:t>
            </w:r>
            <w:r w:rsidR="00403C61">
              <w:rPr>
                <w:b w:val="0"/>
                <w:noProof/>
              </w:rPr>
              <w:t>5</w:t>
            </w:r>
            <w:r>
              <w:tab/>
              <w:t>Legal challenges to the Carmichael mine site</w:t>
            </w:r>
          </w:p>
        </w:tc>
      </w:tr>
      <w:tr w:rsidR="00966C95" w:rsidTr="00971F94">
        <w:tc>
          <w:tcPr>
            <w:tcW w:w="5000" w:type="pct"/>
            <w:tcBorders>
              <w:top w:val="nil"/>
              <w:left w:val="nil"/>
              <w:bottom w:val="nil"/>
              <w:right w:val="nil"/>
            </w:tcBorders>
            <w:shd w:val="clear" w:color="auto" w:fill="F2F2F2"/>
          </w:tcPr>
          <w:p w:rsidR="00966C95" w:rsidRDefault="00966C95" w:rsidP="00971F94">
            <w:pPr>
              <w:pStyle w:val="Box"/>
            </w:pPr>
            <w:r>
              <w:t xml:space="preserve">Legal challenges can emerge in relation to government or industry decisions relating to a resources project. For example, legal challenges to </w:t>
            </w:r>
            <w:r w:rsidR="00A94EFF">
              <w:t xml:space="preserve">the </w:t>
            </w:r>
            <w:r>
              <w:t xml:space="preserve">development of the Carmichael mine site by Adani </w:t>
            </w:r>
            <w:r w:rsidR="001C3963">
              <w:t xml:space="preserve">have </w:t>
            </w:r>
            <w:r>
              <w:t>included:</w:t>
            </w:r>
          </w:p>
          <w:p w:rsidR="00966C95" w:rsidRDefault="00966C95" w:rsidP="00971F94">
            <w:pPr>
              <w:pStyle w:val="BoxListBullet"/>
            </w:pPr>
            <w:r>
              <w:t>a challenge to environmental approvals in the Queensland Land Court</w:t>
            </w:r>
          </w:p>
          <w:p w:rsidR="00966C95" w:rsidRDefault="00966C95" w:rsidP="00971F94">
            <w:pPr>
              <w:pStyle w:val="BoxListBullet"/>
            </w:pPr>
            <w:r>
              <w:t>a further judicial review application in the Queensland Supreme Court concerning environmental approvals</w:t>
            </w:r>
          </w:p>
          <w:p w:rsidR="00966C95" w:rsidRDefault="00966C95" w:rsidP="00971F94">
            <w:pPr>
              <w:pStyle w:val="BoxListBullet"/>
            </w:pPr>
            <w:r>
              <w:t>a challenge to the initial Australian Government environmental approval of the mine, for having failed to consider the conservation requirements of two threatened species</w:t>
            </w:r>
          </w:p>
          <w:p w:rsidR="00966C95" w:rsidRDefault="00966C95" w:rsidP="00971F94">
            <w:pPr>
              <w:pStyle w:val="BoxListBullet"/>
            </w:pPr>
            <w:r>
              <w:t>a challenge by the Wangan and Jagalingou people, who have a registered native title claim in the area</w:t>
            </w:r>
          </w:p>
          <w:p w:rsidR="00966C95" w:rsidRDefault="00966C95" w:rsidP="00971F94">
            <w:pPr>
              <w:pStyle w:val="BoxListBullet"/>
            </w:pPr>
            <w:r>
              <w:t xml:space="preserve">a Federal Court challenge to the Australian Government environmental approvals, suggesting that the Minister had not considered the </w:t>
            </w:r>
            <w:r w:rsidR="005753FC">
              <w:t xml:space="preserve">possible </w:t>
            </w:r>
            <w:r>
              <w:t>impact on the Great Barrier Reef from overseas emissions during the combustion of coal from the Carmichael site</w:t>
            </w:r>
          </w:p>
          <w:p w:rsidR="00966C95" w:rsidRDefault="00966C95" w:rsidP="00971F94">
            <w:pPr>
              <w:pStyle w:val="BoxListBullet"/>
            </w:pPr>
            <w:r>
              <w:t xml:space="preserve">a challenge to Australian Government environmental approvals for the water scheme associated with the project, including that the ‘water trigger’ in the </w:t>
            </w:r>
            <w:r>
              <w:rPr>
                <w:i/>
              </w:rPr>
              <w:t xml:space="preserve">Environment Protection and Biodiversity Conservation Act 1999 </w:t>
            </w:r>
            <w:r>
              <w:t>should have been used to require a more significant assessment process, and that not all of the comments collected during consultation were considered by government.</w:t>
            </w:r>
          </w:p>
          <w:p w:rsidR="00966C95" w:rsidRDefault="00966C95" w:rsidP="00971F94">
            <w:pPr>
              <w:pStyle w:val="Box"/>
            </w:pPr>
            <w:r>
              <w:t>Administrative challenges were also made to Adani’s proposed expansion of the Abbot Point Coal Terminal.</w:t>
            </w:r>
          </w:p>
        </w:tc>
      </w:tr>
      <w:tr w:rsidR="00966C95" w:rsidTr="00971F94">
        <w:tc>
          <w:tcPr>
            <w:tcW w:w="5000" w:type="pct"/>
            <w:tcBorders>
              <w:top w:val="nil"/>
              <w:left w:val="nil"/>
              <w:bottom w:val="nil"/>
              <w:right w:val="nil"/>
            </w:tcBorders>
            <w:shd w:val="clear" w:color="auto" w:fill="F2F2F2"/>
          </w:tcPr>
          <w:p w:rsidR="00966C95" w:rsidRDefault="00966C95" w:rsidP="00971F94">
            <w:pPr>
              <w:pStyle w:val="BoxSource"/>
            </w:pPr>
            <w:r>
              <w:rPr>
                <w:i/>
              </w:rPr>
              <w:t>Sources</w:t>
            </w:r>
            <w:r w:rsidRPr="00F528A0">
              <w:t>:</w:t>
            </w:r>
            <w:r w:rsidRPr="008A011A">
              <w:rPr>
                <w:i/>
              </w:rPr>
              <w:t xml:space="preserve"> </w:t>
            </w:r>
            <w:r w:rsidRPr="00842651">
              <w:rPr>
                <w:i/>
              </w:rPr>
              <w:t>Adani Mining Pty Ltd v Land Services of Coast and Country Inc &amp; Ors</w:t>
            </w:r>
            <w:r w:rsidRPr="00842651">
              <w:t xml:space="preserve"> [2015] QLC 48</w:t>
            </w:r>
            <w:r>
              <w:t xml:space="preserve">; </w:t>
            </w:r>
            <w:r w:rsidRPr="00842651">
              <w:rPr>
                <w:i/>
                <w:iCs/>
              </w:rPr>
              <w:t>Land Services of Coast and Country Inc v Chief Executive, Department of Environment and Heritage Protection &amp; Anor</w:t>
            </w:r>
            <w:r w:rsidRPr="00842651">
              <w:t> [2016] QSC 272</w:t>
            </w:r>
            <w:r>
              <w:t>;</w:t>
            </w:r>
            <w:r w:rsidR="00926E99">
              <w:t xml:space="preserve"> </w:t>
            </w:r>
            <w:r>
              <w:t xml:space="preserve">ABC News </w:t>
            </w:r>
            <w:r w:rsidRPr="00156967">
              <w:rPr>
                <w:rFonts w:cs="Arial"/>
              </w:rPr>
              <w:t>(2015)</w:t>
            </w:r>
            <w:r>
              <w:t xml:space="preserve">, Robertson and Siganto </w:t>
            </w:r>
            <w:r w:rsidRPr="00156967">
              <w:rPr>
                <w:rFonts w:cs="Arial"/>
              </w:rPr>
              <w:t>(2018)</w:t>
            </w:r>
            <w:r>
              <w:t xml:space="preserve">, </w:t>
            </w:r>
            <w:r w:rsidRPr="008A011A">
              <w:rPr>
                <w:i/>
              </w:rPr>
              <w:t>Australian Conservation Foundation Incorporated v Minister for the Environment and Energy</w:t>
            </w:r>
            <w:r w:rsidRPr="008F1EAC">
              <w:t> [2017] FCAFC 134</w:t>
            </w:r>
            <w:r>
              <w:rPr>
                <w:bCs/>
              </w:rPr>
              <w:t xml:space="preserve">; Cox </w:t>
            </w:r>
            <w:r w:rsidRPr="00156967">
              <w:rPr>
                <w:rFonts w:cs="Arial"/>
              </w:rPr>
              <w:t>(2019)</w:t>
            </w:r>
            <w:r>
              <w:rPr>
                <w:bCs/>
              </w:rPr>
              <w:t xml:space="preserve">, Environmental Law Australia </w:t>
            </w:r>
            <w:r w:rsidRPr="008979B3">
              <w:rPr>
                <w:rFonts w:cs="Arial"/>
              </w:rPr>
              <w:t>(2019)</w:t>
            </w:r>
            <w:r>
              <w:rPr>
                <w:bCs/>
              </w:rPr>
              <w:t>.</w:t>
            </w:r>
          </w:p>
        </w:tc>
      </w:tr>
      <w:tr w:rsidR="00966C95" w:rsidTr="00971F94">
        <w:tc>
          <w:tcPr>
            <w:tcW w:w="5000" w:type="pct"/>
            <w:tcBorders>
              <w:top w:val="nil"/>
              <w:left w:val="nil"/>
              <w:bottom w:val="single" w:sz="6" w:space="0" w:color="78A22F"/>
              <w:right w:val="nil"/>
            </w:tcBorders>
            <w:shd w:val="clear" w:color="auto" w:fill="F2F2F2"/>
          </w:tcPr>
          <w:p w:rsidR="00966C95" w:rsidRDefault="00966C95" w:rsidP="00971F94">
            <w:pPr>
              <w:pStyle w:val="Box"/>
              <w:spacing w:before="0" w:line="120" w:lineRule="exact"/>
            </w:pPr>
          </w:p>
        </w:tc>
      </w:tr>
      <w:tr w:rsidR="00966C95" w:rsidRPr="000863A5" w:rsidTr="00971F94">
        <w:tc>
          <w:tcPr>
            <w:tcW w:w="5000" w:type="pct"/>
            <w:tcBorders>
              <w:top w:val="single" w:sz="6" w:space="0" w:color="78A22F"/>
              <w:left w:val="nil"/>
              <w:bottom w:val="nil"/>
              <w:right w:val="nil"/>
            </w:tcBorders>
          </w:tcPr>
          <w:p w:rsidR="00966C95" w:rsidRPr="00626D32" w:rsidRDefault="00966C95" w:rsidP="00971F94">
            <w:pPr>
              <w:pStyle w:val="BoxSpaceBelow"/>
            </w:pPr>
          </w:p>
        </w:tc>
      </w:tr>
    </w:tbl>
    <w:p w:rsidR="00300AFF" w:rsidRPr="002D0291" w:rsidRDefault="00EC4583" w:rsidP="003C5FE3">
      <w:pPr>
        <w:pStyle w:val="BodyText"/>
        <w:rPr>
          <w:spacing w:val="-2"/>
        </w:rPr>
      </w:pPr>
      <w:r w:rsidRPr="002D0291">
        <w:rPr>
          <w:spacing w:val="-2"/>
        </w:rPr>
        <w:t xml:space="preserve">In </w:t>
      </w:r>
      <w:r w:rsidR="00987FA5" w:rsidRPr="002D0291">
        <w:rPr>
          <w:spacing w:val="-2"/>
        </w:rPr>
        <w:t>m</w:t>
      </w:r>
      <w:r w:rsidR="0025105F" w:rsidRPr="002D0291">
        <w:rPr>
          <w:spacing w:val="-2"/>
        </w:rPr>
        <w:t>any</w:t>
      </w:r>
      <w:r w:rsidR="003A63A2" w:rsidRPr="002D0291">
        <w:rPr>
          <w:spacing w:val="-2"/>
        </w:rPr>
        <w:t xml:space="preserve"> cases</w:t>
      </w:r>
      <w:r w:rsidRPr="002D0291">
        <w:rPr>
          <w:spacing w:val="-2"/>
        </w:rPr>
        <w:t xml:space="preserve">, the final outcome of the </w:t>
      </w:r>
      <w:r w:rsidR="00B854E4" w:rsidRPr="002D0291">
        <w:rPr>
          <w:spacing w:val="-2"/>
        </w:rPr>
        <w:t xml:space="preserve">DAA </w:t>
      </w:r>
      <w:r w:rsidRPr="002D0291">
        <w:rPr>
          <w:spacing w:val="-2"/>
        </w:rPr>
        <w:t>process is determined by a</w:t>
      </w:r>
      <w:r w:rsidR="003A63A2" w:rsidRPr="002D0291">
        <w:rPr>
          <w:spacing w:val="-2"/>
        </w:rPr>
        <w:t xml:space="preserve"> government</w:t>
      </w:r>
      <w:r w:rsidRPr="002D0291">
        <w:rPr>
          <w:spacing w:val="-2"/>
        </w:rPr>
        <w:t xml:space="preserve"> </w:t>
      </w:r>
      <w:r w:rsidR="003A63A2" w:rsidRPr="002D0291">
        <w:rPr>
          <w:spacing w:val="-2"/>
        </w:rPr>
        <w:t>m</w:t>
      </w:r>
      <w:r w:rsidRPr="002D0291">
        <w:rPr>
          <w:spacing w:val="-2"/>
        </w:rPr>
        <w:t xml:space="preserve">inister. </w:t>
      </w:r>
      <w:r w:rsidR="0025105F" w:rsidRPr="002D0291">
        <w:rPr>
          <w:spacing w:val="-2"/>
        </w:rPr>
        <w:t xml:space="preserve">However, in practice, many decisions during the DAA process are made by </w:t>
      </w:r>
      <w:r w:rsidR="00300AFF" w:rsidRPr="002D0291">
        <w:rPr>
          <w:spacing w:val="-2"/>
        </w:rPr>
        <w:t>regulators</w:t>
      </w:r>
      <w:r w:rsidR="0025105F" w:rsidRPr="002D0291">
        <w:rPr>
          <w:spacing w:val="-2"/>
        </w:rPr>
        <w:t>.</w:t>
      </w:r>
    </w:p>
    <w:p w:rsidR="003C5FE3" w:rsidRDefault="00987FA5" w:rsidP="003C5FE3">
      <w:pPr>
        <w:pStyle w:val="BodyText"/>
        <w:rPr>
          <w:spacing w:val="-2"/>
        </w:rPr>
      </w:pPr>
      <w:r>
        <w:t>S</w:t>
      </w:r>
      <w:r w:rsidR="003A63A2">
        <w:t>everal jurisdictions have independent agencies in place to conduct some aspects of the DAA process, while in others, the regulator is part of a government department.</w:t>
      </w:r>
      <w:r w:rsidR="00B854E4" w:rsidRPr="00D54EEB">
        <w:t xml:space="preserve"> </w:t>
      </w:r>
      <w:r w:rsidR="003C5FE3">
        <w:t xml:space="preserve">For example, in New South Wales, the Environmental Protection Authority </w:t>
      </w:r>
      <w:r w:rsidR="00824F36">
        <w:t>(an</w:t>
      </w:r>
      <w:r w:rsidR="003C5FE3">
        <w:t xml:space="preserve"> independent environmental regulator</w:t>
      </w:r>
      <w:r w:rsidR="00824F36">
        <w:t>)</w:t>
      </w:r>
      <w:r w:rsidR="003C5FE3">
        <w:t xml:space="preserve"> provides input into the Department of Planning, Industry and Environment’s assessment of resources proposals and </w:t>
      </w:r>
      <w:r w:rsidR="005753FC">
        <w:t>issuing</w:t>
      </w:r>
      <w:r w:rsidR="003C5FE3">
        <w:t xml:space="preserve"> of development consents. In Queensland, the Department of Environment and </w:t>
      </w:r>
      <w:r w:rsidR="003C5FE3" w:rsidRPr="00294EB2">
        <w:rPr>
          <w:spacing w:val="-2"/>
        </w:rPr>
        <w:t xml:space="preserve">Science performs environmental protection regulatory functions, including </w:t>
      </w:r>
      <w:r>
        <w:rPr>
          <w:spacing w:val="-2"/>
        </w:rPr>
        <w:t>the provision of</w:t>
      </w:r>
      <w:r w:rsidR="003C5FE3" w:rsidRPr="00294EB2">
        <w:rPr>
          <w:spacing w:val="-2"/>
        </w:rPr>
        <w:t xml:space="preserve"> input to project assessment and approvals and managing a compliance and enforcement program.</w:t>
      </w:r>
    </w:p>
    <w:p w:rsidR="00025CF4" w:rsidRPr="00294EB2" w:rsidRDefault="00025CF4" w:rsidP="007F34E9">
      <w:pPr>
        <w:pStyle w:val="Heading5"/>
      </w:pPr>
      <w:r>
        <w:t xml:space="preserve">Regulator resourcing and capability </w:t>
      </w:r>
    </w:p>
    <w:p w:rsidR="006B7C21" w:rsidRDefault="00B854E4" w:rsidP="006B7C21">
      <w:pPr>
        <w:pStyle w:val="BodyText"/>
      </w:pPr>
      <w:r>
        <w:t xml:space="preserve">Finally, different agencies take different approaches to the resourcing of </w:t>
      </w:r>
      <w:r w:rsidR="0025105F">
        <w:t>the DAA process</w:t>
      </w:r>
      <w:r>
        <w:t>. S</w:t>
      </w:r>
      <w:r w:rsidR="007210F5">
        <w:t xml:space="preserve">ome agencies recover costs from project proponents. For example, </w:t>
      </w:r>
      <w:r w:rsidR="006B7C21">
        <w:t xml:space="preserve">the </w:t>
      </w:r>
      <w:r w:rsidR="00A95BE0">
        <w:t xml:space="preserve">Commonwealth </w:t>
      </w:r>
      <w:r w:rsidR="006B7C21">
        <w:t xml:space="preserve">Department of the Environment and Energy recovers </w:t>
      </w:r>
      <w:r w:rsidR="005E2FF0">
        <w:t xml:space="preserve">some of its </w:t>
      </w:r>
      <w:r w:rsidR="006B7C21">
        <w:t xml:space="preserve">costs </w:t>
      </w:r>
      <w:r w:rsidR="005E2FF0">
        <w:t xml:space="preserve">through charges for </w:t>
      </w:r>
      <w:r w:rsidR="006B7C21">
        <w:lastRenderedPageBreak/>
        <w:t xml:space="preserve">environmental assessments and some strategic assessments under the EPBC Act. </w:t>
      </w:r>
      <w:r w:rsidR="00657C10">
        <w:t>The National Offshore Petroleum Safety and Environmental Management Authority</w:t>
      </w:r>
      <w:r w:rsidR="006B7C21">
        <w:t xml:space="preserve"> operates </w:t>
      </w:r>
      <w:r w:rsidR="00AF44B8">
        <w:t xml:space="preserve">entirely </w:t>
      </w:r>
      <w:r w:rsidR="006B7C21">
        <w:t>on a cost recovery basis</w:t>
      </w:r>
      <w:r w:rsidR="00A95BE0">
        <w:t> — </w:t>
      </w:r>
      <w:r w:rsidR="006B7C21">
        <w:t xml:space="preserve">collecting levies and fees from duty holders who are planning and </w:t>
      </w:r>
      <w:r w:rsidR="005E2FF0">
        <w:t>undertaking</w:t>
      </w:r>
      <w:r w:rsidR="006B7C21">
        <w:t xml:space="preserve"> </w:t>
      </w:r>
      <w:r w:rsidR="005E2FF0">
        <w:t>offshore</w:t>
      </w:r>
      <w:r w:rsidR="006B7C21">
        <w:t xml:space="preserve"> oil and gas operations.</w:t>
      </w:r>
      <w:r w:rsidR="00824F36" w:rsidRPr="00824F36">
        <w:t xml:space="preserve"> </w:t>
      </w:r>
      <w:r w:rsidR="00824F36">
        <w:t>The rationale for cost recovery is that assessments and approvals generate a private benefit for project proponents, and therefore the associated costs should not be borne by the wider community.</w:t>
      </w:r>
    </w:p>
    <w:p w:rsidR="00FE14FD" w:rsidRPr="004E3B94" w:rsidRDefault="00FE14FD" w:rsidP="009D67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E14FD" w:rsidTr="009D6712">
        <w:trPr>
          <w:tblHeader/>
        </w:trPr>
        <w:tc>
          <w:tcPr>
            <w:tcW w:w="5000" w:type="pct"/>
            <w:tcBorders>
              <w:top w:val="single" w:sz="6" w:space="0" w:color="78A22F"/>
              <w:left w:val="nil"/>
              <w:bottom w:val="nil"/>
              <w:right w:val="nil"/>
            </w:tcBorders>
            <w:shd w:val="clear" w:color="auto" w:fill="auto"/>
          </w:tcPr>
          <w:p w:rsidR="00FE14FD" w:rsidRPr="00CE4C64" w:rsidRDefault="00FE14FD" w:rsidP="009D6712">
            <w:pPr>
              <w:pStyle w:val="InformationRequestTitle"/>
              <w:spacing w:before="120"/>
            </w:pPr>
            <w:r w:rsidRPr="006E7EE2">
              <w:t>Information request</w:t>
            </w:r>
          </w:p>
        </w:tc>
      </w:tr>
      <w:tr w:rsidR="00FE14FD" w:rsidRPr="00750BE2" w:rsidTr="009D6712">
        <w:tc>
          <w:tcPr>
            <w:tcW w:w="5000" w:type="pct"/>
            <w:tcBorders>
              <w:top w:val="nil"/>
              <w:left w:val="nil"/>
              <w:bottom w:val="nil"/>
              <w:right w:val="nil"/>
            </w:tcBorders>
            <w:shd w:val="clear" w:color="auto" w:fill="auto"/>
          </w:tcPr>
          <w:p w:rsidR="00EF67BB" w:rsidRDefault="00FE14FD" w:rsidP="009D6712">
            <w:pPr>
              <w:pStyle w:val="InformationRequest"/>
              <w:keepNext/>
            </w:pPr>
            <w:r>
              <w:t>The Comm</w:t>
            </w:r>
            <w:r w:rsidR="00632585">
              <w:t>ission</w:t>
            </w:r>
            <w:r>
              <w:t xml:space="preserve"> </w:t>
            </w:r>
            <w:r w:rsidR="002D31ED">
              <w:t xml:space="preserve">is seeking </w:t>
            </w:r>
            <w:r w:rsidR="00EF67BB">
              <w:t>feedback on</w:t>
            </w:r>
            <w:r>
              <w:t xml:space="preserve"> approaches to regulator governance in jurisdictions in Australia and overseas</w:t>
            </w:r>
            <w:r w:rsidR="00EF67BB">
              <w:t xml:space="preserve">. </w:t>
            </w:r>
            <w:r w:rsidR="00451C02">
              <w:t>I</w:t>
            </w:r>
            <w:r w:rsidR="00EF67BB">
              <w:t>nformation and examples, including case studies, of both effective and best practice approaches as well as those that are problematic</w:t>
            </w:r>
            <w:r w:rsidR="00451C02">
              <w:t xml:space="preserve"> would be appreciated</w:t>
            </w:r>
            <w:r w:rsidR="00EF67BB">
              <w:t>.</w:t>
            </w:r>
          </w:p>
          <w:p w:rsidR="00FE14FD" w:rsidRDefault="00EF67BB" w:rsidP="009D6712">
            <w:pPr>
              <w:pStyle w:val="InformationRequest"/>
              <w:keepNext/>
            </w:pPr>
            <w:r>
              <w:t xml:space="preserve">For example, the Commission is interested in </w:t>
            </w:r>
            <w:r w:rsidR="00CE0741">
              <w:t>whether</w:t>
            </w:r>
            <w:r w:rsidR="00FE14FD">
              <w:t>:</w:t>
            </w:r>
          </w:p>
          <w:p w:rsidR="00697025" w:rsidRDefault="00FE14FD" w:rsidP="00FE14FD">
            <w:pPr>
              <w:pStyle w:val="InformationRequestBullet"/>
            </w:pPr>
            <w:r>
              <w:t xml:space="preserve">the roles, responsibilities and requirements of different regulatory agencies </w:t>
            </w:r>
            <w:r w:rsidR="00B20689">
              <w:t xml:space="preserve">are </w:t>
            </w:r>
            <w:r>
              <w:t xml:space="preserve">clear and duplication </w:t>
            </w:r>
            <w:r w:rsidR="00C27165">
              <w:t>is</w:t>
            </w:r>
            <w:r w:rsidR="00B20689">
              <w:t xml:space="preserve"> </w:t>
            </w:r>
            <w:r>
              <w:t>avoided</w:t>
            </w:r>
            <w:r w:rsidR="00697025">
              <w:t xml:space="preserve">, </w:t>
            </w:r>
            <w:r w:rsidR="00CE0741">
              <w:t>including through</w:t>
            </w:r>
          </w:p>
          <w:p w:rsidR="00FE14FD" w:rsidRDefault="007D7BD3" w:rsidP="00E3205A">
            <w:pPr>
              <w:pStyle w:val="InformationRequestBullet"/>
              <w:numPr>
                <w:ilvl w:val="1"/>
                <w:numId w:val="16"/>
              </w:numPr>
              <w:ind w:left="714" w:hanging="357"/>
            </w:pPr>
            <w:r>
              <w:t>model</w:t>
            </w:r>
            <w:r w:rsidR="00C94BC6">
              <w:t>s</w:t>
            </w:r>
            <w:r>
              <w:t xml:space="preserve"> for coordination, or aspects </w:t>
            </w:r>
            <w:r w:rsidR="008E0587">
              <w:t>thereof, and</w:t>
            </w:r>
            <w:r w:rsidRPr="007D7BD3">
              <w:t xml:space="preserve"> strategic assessment</w:t>
            </w:r>
            <w:r w:rsidR="00B2236C">
              <w:t>s</w:t>
            </w:r>
            <w:r w:rsidRPr="007D7BD3">
              <w:t xml:space="preserve"> </w:t>
            </w:r>
            <w:r w:rsidR="008E0587">
              <w:t>(</w:t>
            </w:r>
            <w:r w:rsidR="00310DEB">
              <w:t>in particular</w:t>
            </w:r>
            <w:r w:rsidR="008E0587">
              <w:t xml:space="preserve">, </w:t>
            </w:r>
            <w:r w:rsidR="00310DEB">
              <w:t>their</w:t>
            </w:r>
            <w:r w:rsidR="008E0587">
              <w:t xml:space="preserve"> </w:t>
            </w:r>
            <w:r w:rsidR="00310DEB">
              <w:t>feasibility</w:t>
            </w:r>
            <w:r w:rsidRPr="007D7BD3">
              <w:t xml:space="preserve"> and how </w:t>
            </w:r>
            <w:r w:rsidR="00B2236C">
              <w:t>they</w:t>
            </w:r>
            <w:r w:rsidRPr="007D7BD3">
              <w:t xml:space="preserve"> </w:t>
            </w:r>
            <w:r w:rsidR="00310DEB">
              <w:t xml:space="preserve">can </w:t>
            </w:r>
            <w:r w:rsidR="00971F94">
              <w:t xml:space="preserve">best </w:t>
            </w:r>
            <w:r w:rsidR="00B2236C">
              <w:t xml:space="preserve">be used to </w:t>
            </w:r>
            <w:r w:rsidRPr="007D7BD3">
              <w:t>improve efficiency</w:t>
            </w:r>
            <w:r w:rsidR="008E0587">
              <w:t>)</w:t>
            </w:r>
          </w:p>
          <w:p w:rsidR="00971F94" w:rsidRDefault="00FE14FD">
            <w:pPr>
              <w:pStyle w:val="InformationRequestBullet"/>
            </w:pPr>
            <w:r>
              <w:t>decision makers are accountable</w:t>
            </w:r>
            <w:r w:rsidR="00697025">
              <w:t xml:space="preserve">, </w:t>
            </w:r>
            <w:r w:rsidR="00CE0741">
              <w:t>including through</w:t>
            </w:r>
          </w:p>
          <w:p w:rsidR="00FE14FD" w:rsidRDefault="008B26F0" w:rsidP="00E3205A">
            <w:pPr>
              <w:pStyle w:val="InformationRequestBullet"/>
              <w:numPr>
                <w:ilvl w:val="1"/>
                <w:numId w:val="16"/>
              </w:numPr>
              <w:ind w:left="714" w:hanging="357"/>
            </w:pPr>
            <w:r>
              <w:t>review processes</w:t>
            </w:r>
            <w:r w:rsidR="008E0587">
              <w:t xml:space="preserve"> that</w:t>
            </w:r>
            <w:r w:rsidR="007D7BD3" w:rsidRPr="007D7BD3">
              <w:t xml:space="preserve"> </w:t>
            </w:r>
            <w:r w:rsidR="00B2236C">
              <w:t xml:space="preserve">avoid </w:t>
            </w:r>
            <w:r w:rsidR="007D7BD3" w:rsidRPr="007D7BD3">
              <w:t xml:space="preserve">unnecessarily </w:t>
            </w:r>
            <w:r w:rsidR="00B2236C">
              <w:t xml:space="preserve">long </w:t>
            </w:r>
            <w:r w:rsidR="007D7BD3" w:rsidRPr="007D7BD3">
              <w:t>delays</w:t>
            </w:r>
            <w:r w:rsidR="00B2236C">
              <w:t xml:space="preserve"> </w:t>
            </w:r>
            <w:r w:rsidR="00572485">
              <w:t xml:space="preserve">in </w:t>
            </w:r>
            <w:r w:rsidR="00B2236C">
              <w:t>approval processes</w:t>
            </w:r>
          </w:p>
          <w:p w:rsidR="00B2236C" w:rsidRDefault="00FE14FD" w:rsidP="00FE14FD">
            <w:pPr>
              <w:pStyle w:val="InformationRequestBullet"/>
            </w:pPr>
            <w:r>
              <w:t>regulators are independent</w:t>
            </w:r>
            <w:r w:rsidR="00EF67BB">
              <w:t>, for example</w:t>
            </w:r>
            <w:r w:rsidR="001C773C">
              <w:t>:</w:t>
            </w:r>
          </w:p>
          <w:p w:rsidR="00FE14FD" w:rsidRDefault="007D7BD3" w:rsidP="00E3205A">
            <w:pPr>
              <w:pStyle w:val="InformationRequestBullet"/>
              <w:numPr>
                <w:ilvl w:val="1"/>
                <w:numId w:val="16"/>
              </w:numPr>
              <w:ind w:left="714" w:hanging="357"/>
            </w:pPr>
            <w:r w:rsidRPr="007D7BD3">
              <w:t>decision</w:t>
            </w:r>
            <w:r>
              <w:noBreakHyphen/>
            </w:r>
            <w:r w:rsidRPr="007D7BD3">
              <w:t>making model</w:t>
            </w:r>
            <w:r w:rsidR="008E0587">
              <w:t>s</w:t>
            </w:r>
            <w:r w:rsidR="00310DEB">
              <w:t xml:space="preserve"> (in particular,</w:t>
            </w:r>
            <w:r>
              <w:t xml:space="preserve"> </w:t>
            </w:r>
            <w:r w:rsidR="00310DEB">
              <w:t>whether</w:t>
            </w:r>
            <w:r w:rsidRPr="007D7BD3">
              <w:t xml:space="preserve"> </w:t>
            </w:r>
            <w:r w:rsidR="00310DEB">
              <w:t>(and why)</w:t>
            </w:r>
            <w:r w:rsidRPr="007D7BD3">
              <w:t xml:space="preserve"> resources approvals </w:t>
            </w:r>
            <w:r w:rsidR="00310DEB">
              <w:t xml:space="preserve">are </w:t>
            </w:r>
            <w:r w:rsidRPr="007D7BD3">
              <w:t>best determined by an independent body or at Ministerial level</w:t>
            </w:r>
            <w:r w:rsidR="00310DEB">
              <w:t>)</w:t>
            </w:r>
          </w:p>
          <w:p w:rsidR="00B2236C" w:rsidRDefault="00DF0E21" w:rsidP="00310DEB">
            <w:pPr>
              <w:pStyle w:val="InformationRequestBullet"/>
            </w:pPr>
            <w:r>
              <w:t>r</w:t>
            </w:r>
            <w:r w:rsidR="00FE14FD">
              <w:t>egulators are adequately resourced and have necessary capabilities</w:t>
            </w:r>
            <w:r w:rsidR="00310DEB">
              <w:t xml:space="preserve"> (</w:t>
            </w:r>
            <w:r w:rsidR="00B2236C" w:rsidDel="00EF67BB">
              <w:t>in particular</w:t>
            </w:r>
            <w:r w:rsidR="00310DEB">
              <w:t>, the</w:t>
            </w:r>
            <w:r w:rsidR="003A63A2">
              <w:t xml:space="preserve"> extent </w:t>
            </w:r>
            <w:r w:rsidR="00310DEB">
              <w:t>to which any</w:t>
            </w:r>
            <w:r w:rsidR="003A63A2">
              <w:t xml:space="preserve"> </w:t>
            </w:r>
            <w:r w:rsidR="007D7BD3">
              <w:t>under</w:t>
            </w:r>
            <w:r w:rsidR="003A63A2">
              <w:noBreakHyphen/>
            </w:r>
            <w:r w:rsidR="007D7BD3">
              <w:t xml:space="preserve">resourcing of regulatory agencies </w:t>
            </w:r>
            <w:r w:rsidR="00310DEB">
              <w:t xml:space="preserve">is </w:t>
            </w:r>
            <w:r w:rsidR="007D7BD3">
              <w:t>contributing to approval delays</w:t>
            </w:r>
            <w:r w:rsidR="00310DEB">
              <w:t>)</w:t>
            </w:r>
            <w:r w:rsidR="00CE0741">
              <w:t>.</w:t>
            </w:r>
          </w:p>
          <w:p w:rsidR="00CE0741" w:rsidRDefault="00CE0741" w:rsidP="00CE0741">
            <w:pPr>
              <w:pStyle w:val="InformationRequest"/>
            </w:pPr>
            <w:r w:rsidRPr="007F34E9">
              <w:t xml:space="preserve">What </w:t>
            </w:r>
            <w:r w:rsidR="0075372D">
              <w:t xml:space="preserve">have been </w:t>
            </w:r>
            <w:r w:rsidRPr="007F34E9">
              <w:t>the</w:t>
            </w:r>
            <w:r>
              <w:t xml:space="preserve"> consequences of </w:t>
            </w:r>
            <w:r w:rsidR="007F34E9">
              <w:t xml:space="preserve">identified instances of </w:t>
            </w:r>
            <w:r>
              <w:t xml:space="preserve">poor regulatory governance, including unnecessary duplication, for regulatory efficacy and efficiency and for </w:t>
            </w:r>
            <w:r w:rsidR="007F34E9">
              <w:t>investment in the sector?</w:t>
            </w:r>
          </w:p>
          <w:p w:rsidR="00C94BC6" w:rsidRPr="00C94BC6" w:rsidRDefault="00CE0741">
            <w:pPr>
              <w:pStyle w:val="InformationRequest"/>
            </w:pPr>
            <w:r>
              <w:t>H</w:t>
            </w:r>
            <w:r w:rsidR="00C94BC6" w:rsidRPr="00967F2D">
              <w:t xml:space="preserve">ow </w:t>
            </w:r>
            <w:r>
              <w:t xml:space="preserve">could identified </w:t>
            </w:r>
            <w:r w:rsidR="00C94BC6" w:rsidRPr="00967F2D">
              <w:t>shortcomings be remedied</w:t>
            </w:r>
            <w:r>
              <w:t>?</w:t>
            </w:r>
          </w:p>
          <w:p w:rsidR="00FE14FD" w:rsidRPr="00FE14FD" w:rsidRDefault="007D7BD3" w:rsidP="00E3205A">
            <w:pPr>
              <w:pStyle w:val="InformationRequest"/>
            </w:pPr>
            <w:r>
              <w:t>The Commission is also interested in the different approaches agencies have taken to recover costs. Should ‘user pays’ be applied more broadly?</w:t>
            </w:r>
          </w:p>
        </w:tc>
      </w:tr>
      <w:tr w:rsidR="00FE14FD" w:rsidTr="009D6712">
        <w:tc>
          <w:tcPr>
            <w:tcW w:w="5000" w:type="pct"/>
            <w:tcBorders>
              <w:top w:val="nil"/>
              <w:left w:val="nil"/>
              <w:bottom w:val="single" w:sz="6" w:space="0" w:color="78A22F"/>
              <w:right w:val="nil"/>
            </w:tcBorders>
            <w:shd w:val="clear" w:color="auto" w:fill="auto"/>
          </w:tcPr>
          <w:p w:rsidR="00FE14FD" w:rsidRDefault="00FE14FD" w:rsidP="009D6712">
            <w:pPr>
              <w:pStyle w:val="Space"/>
              <w:keepLines/>
            </w:pPr>
          </w:p>
        </w:tc>
      </w:tr>
      <w:tr w:rsidR="00FE14FD" w:rsidRPr="000863A5" w:rsidTr="009D6712">
        <w:tc>
          <w:tcPr>
            <w:tcW w:w="5000" w:type="pct"/>
            <w:tcBorders>
              <w:top w:val="single" w:sz="6" w:space="0" w:color="78A22F"/>
              <w:left w:val="nil"/>
              <w:bottom w:val="nil"/>
              <w:right w:val="nil"/>
            </w:tcBorders>
          </w:tcPr>
          <w:p w:rsidR="00FE14FD" w:rsidRPr="00626D32" w:rsidRDefault="00FE14FD" w:rsidP="00AA3493">
            <w:pPr>
              <w:pStyle w:val="BoxSpaceBelow"/>
              <w:keepLines/>
            </w:pPr>
          </w:p>
        </w:tc>
      </w:tr>
    </w:tbl>
    <w:p w:rsidR="001761A9" w:rsidRDefault="00A4526F" w:rsidP="008014CC">
      <w:pPr>
        <w:pStyle w:val="Heading3"/>
      </w:pPr>
      <w:r>
        <w:t>I</w:t>
      </w:r>
      <w:r w:rsidR="001C1103">
        <w:t xml:space="preserve">ssues with </w:t>
      </w:r>
      <w:r>
        <w:t>r</w:t>
      </w:r>
      <w:r w:rsidR="00D32A94">
        <w:t>egulator conduct</w:t>
      </w:r>
    </w:p>
    <w:p w:rsidR="00A50863" w:rsidRDefault="006D2084" w:rsidP="009E4A46">
      <w:pPr>
        <w:pStyle w:val="BodyText"/>
      </w:pPr>
      <w:r>
        <w:t>Achiev</w:t>
      </w:r>
      <w:r w:rsidR="00556501">
        <w:t>ement of</w:t>
      </w:r>
      <w:r>
        <w:t xml:space="preserve"> regulatory objectives is highly dependent on the conduct of </w:t>
      </w:r>
      <w:r w:rsidR="0025105F">
        <w:t>a</w:t>
      </w:r>
      <w:r>
        <w:t xml:space="preserve"> regulator.</w:t>
      </w:r>
      <w:r w:rsidR="005D744B">
        <w:t xml:space="preserve"> </w:t>
      </w:r>
      <w:r w:rsidR="00AF44B8">
        <w:t xml:space="preserve">The Commission understands that a number of agencies have recently </w:t>
      </w:r>
      <w:r w:rsidR="0025105F">
        <w:t xml:space="preserve">sought </w:t>
      </w:r>
      <w:r w:rsidR="00E149FF">
        <w:t>to make their processes clear</w:t>
      </w:r>
      <w:r w:rsidR="001C1103">
        <w:t>er</w:t>
      </w:r>
      <w:r w:rsidR="00E149FF">
        <w:t xml:space="preserve">, </w:t>
      </w:r>
      <w:r w:rsidR="00A94EFF">
        <w:t xml:space="preserve">and </w:t>
      </w:r>
      <w:r w:rsidR="001C1103">
        <w:t xml:space="preserve">more </w:t>
      </w:r>
      <w:r w:rsidR="00E149FF">
        <w:t xml:space="preserve">predictable, open and transparent. For example, regulators have been working </w:t>
      </w:r>
      <w:r w:rsidR="00AF44B8">
        <w:t xml:space="preserve">with project proponents and community groups to provide better information and guidance </w:t>
      </w:r>
      <w:r w:rsidR="00EA569C">
        <w:t>on</w:t>
      </w:r>
      <w:r w:rsidR="00AF44B8">
        <w:t xml:space="preserve"> regulatory processes.</w:t>
      </w:r>
      <w:r>
        <w:t xml:space="preserve"> </w:t>
      </w:r>
      <w:r w:rsidR="00EA569C">
        <w:t xml:space="preserve">Jurisdictions have also endeavoured to improve transparency </w:t>
      </w:r>
      <w:r w:rsidR="00A50863">
        <w:t xml:space="preserve">by </w:t>
      </w:r>
      <w:r w:rsidR="00E149FF">
        <w:t xml:space="preserve">running </w:t>
      </w:r>
      <w:r w:rsidR="00EA569C">
        <w:t xml:space="preserve">consultation processes and publishing </w:t>
      </w:r>
      <w:r w:rsidR="005D744B">
        <w:t>decisions online</w:t>
      </w:r>
      <w:r w:rsidR="00EA569C">
        <w:t>.</w:t>
      </w:r>
      <w:r w:rsidR="0075372D">
        <w:t xml:space="preserve"> </w:t>
      </w:r>
    </w:p>
    <w:p w:rsidR="00AF44B8" w:rsidRDefault="0025105F" w:rsidP="009E4A46">
      <w:pPr>
        <w:pStyle w:val="BodyText"/>
      </w:pPr>
      <w:r>
        <w:lastRenderedPageBreak/>
        <w:t>However</w:t>
      </w:r>
      <w:r w:rsidR="00EA569C">
        <w:t xml:space="preserve">, there may be scope </w:t>
      </w:r>
      <w:r w:rsidR="00B77647">
        <w:t>for further improvement</w:t>
      </w:r>
      <w:r w:rsidR="00EA569C">
        <w:t xml:space="preserve">. </w:t>
      </w:r>
      <w:r w:rsidR="0075372D">
        <w:t>For example, t</w:t>
      </w:r>
      <w:r w:rsidR="005D744B">
        <w:t xml:space="preserve">he Commission is interested in </w:t>
      </w:r>
      <w:r w:rsidR="00A156DE">
        <w:t>whether there are</w:t>
      </w:r>
      <w:r w:rsidR="005D744B">
        <w:t xml:space="preserve"> </w:t>
      </w:r>
      <w:r w:rsidR="00EA569C">
        <w:t>inconsistencies</w:t>
      </w:r>
      <w:r w:rsidR="005D744B">
        <w:t xml:space="preserve"> </w:t>
      </w:r>
      <w:r w:rsidR="00EA569C">
        <w:t>in the way that similar applications are treated</w:t>
      </w:r>
      <w:r w:rsidR="005D744B">
        <w:t xml:space="preserve"> — perhaps due to different staff members dealing with different applications or because of small shifts </w:t>
      </w:r>
      <w:r w:rsidR="00FE0828">
        <w:t xml:space="preserve">to the way applications are handled by the regulator </w:t>
      </w:r>
      <w:r w:rsidR="005D744B">
        <w:t>over time</w:t>
      </w:r>
      <w:r w:rsidR="00EA569C">
        <w:t>.</w:t>
      </w:r>
    </w:p>
    <w:p w:rsidR="00230B1E" w:rsidRPr="00E6397B" w:rsidRDefault="00C52316" w:rsidP="006331AE">
      <w:pPr>
        <w:pStyle w:val="BodyText"/>
        <w:rPr>
          <w:spacing w:val="2"/>
        </w:rPr>
      </w:pPr>
      <w:r w:rsidRPr="00E6397B">
        <w:rPr>
          <w:spacing w:val="2"/>
        </w:rPr>
        <w:t>Regulators should also ensure that outcomes are consistent with objectives</w:t>
      </w:r>
      <w:r w:rsidR="00A156DE" w:rsidRPr="00E6397B">
        <w:rPr>
          <w:spacing w:val="2"/>
        </w:rPr>
        <w:t xml:space="preserve">, including through </w:t>
      </w:r>
      <w:r w:rsidR="008603F2" w:rsidRPr="00E6397B">
        <w:rPr>
          <w:spacing w:val="2"/>
        </w:rPr>
        <w:t>monitor</w:t>
      </w:r>
      <w:r w:rsidR="00065048" w:rsidRPr="00E6397B">
        <w:rPr>
          <w:spacing w:val="2"/>
        </w:rPr>
        <w:t>ing</w:t>
      </w:r>
      <w:r w:rsidR="008603F2" w:rsidRPr="00E6397B">
        <w:rPr>
          <w:spacing w:val="2"/>
        </w:rPr>
        <w:t xml:space="preserve"> and enforc</w:t>
      </w:r>
      <w:r w:rsidR="00065048" w:rsidRPr="00E6397B">
        <w:rPr>
          <w:spacing w:val="2"/>
        </w:rPr>
        <w:t>ing</w:t>
      </w:r>
      <w:r w:rsidR="008603F2" w:rsidRPr="00E6397B">
        <w:rPr>
          <w:spacing w:val="2"/>
        </w:rPr>
        <w:t xml:space="preserve"> compliance.</w:t>
      </w:r>
      <w:r w:rsidR="00065048" w:rsidRPr="00E6397B">
        <w:rPr>
          <w:spacing w:val="2"/>
        </w:rPr>
        <w:t xml:space="preserve"> </w:t>
      </w:r>
      <w:r w:rsidR="00230B1E" w:rsidRPr="00E6397B">
        <w:rPr>
          <w:spacing w:val="2"/>
        </w:rPr>
        <w:t xml:space="preserve">The Commission </w:t>
      </w:r>
      <w:r w:rsidR="00556501" w:rsidRPr="00E6397B">
        <w:rPr>
          <w:spacing w:val="2"/>
        </w:rPr>
        <w:t>i</w:t>
      </w:r>
      <w:r w:rsidR="00253600" w:rsidRPr="00E6397B">
        <w:rPr>
          <w:spacing w:val="2"/>
        </w:rPr>
        <w:t>s</w:t>
      </w:r>
      <w:r w:rsidR="00556501" w:rsidRPr="00E6397B">
        <w:rPr>
          <w:spacing w:val="2"/>
        </w:rPr>
        <w:t xml:space="preserve"> interested in </w:t>
      </w:r>
      <w:r w:rsidR="00AA1385" w:rsidRPr="00E6397B">
        <w:rPr>
          <w:spacing w:val="2"/>
        </w:rPr>
        <w:t xml:space="preserve">how different </w:t>
      </w:r>
      <w:r w:rsidR="00230B1E" w:rsidRPr="00E6397B">
        <w:rPr>
          <w:spacing w:val="2"/>
        </w:rPr>
        <w:t xml:space="preserve">jurisdictions </w:t>
      </w:r>
      <w:r w:rsidR="00AA1385" w:rsidRPr="00E6397B">
        <w:rPr>
          <w:spacing w:val="2"/>
        </w:rPr>
        <w:t xml:space="preserve">approach </w:t>
      </w:r>
      <w:r w:rsidR="00FE0828" w:rsidRPr="00E6397B">
        <w:rPr>
          <w:spacing w:val="2"/>
        </w:rPr>
        <w:t>compliance</w:t>
      </w:r>
      <w:r w:rsidR="00230B1E" w:rsidRPr="00E6397B">
        <w:rPr>
          <w:spacing w:val="2"/>
        </w:rPr>
        <w:t xml:space="preserve">, </w:t>
      </w:r>
      <w:r w:rsidR="00AA1385" w:rsidRPr="00E6397B">
        <w:rPr>
          <w:spacing w:val="2"/>
        </w:rPr>
        <w:t>wh</w:t>
      </w:r>
      <w:r w:rsidR="00253600" w:rsidRPr="00E6397B">
        <w:rPr>
          <w:spacing w:val="2"/>
        </w:rPr>
        <w:t>e</w:t>
      </w:r>
      <w:r w:rsidR="00AA1385" w:rsidRPr="00E6397B">
        <w:rPr>
          <w:spacing w:val="2"/>
        </w:rPr>
        <w:t>ther some approaches are more</w:t>
      </w:r>
      <w:r w:rsidR="00723B1F" w:rsidRPr="00E6397B">
        <w:rPr>
          <w:spacing w:val="2"/>
        </w:rPr>
        <w:t xml:space="preserve"> </w:t>
      </w:r>
      <w:r w:rsidR="004A1BD6" w:rsidRPr="00E6397B">
        <w:rPr>
          <w:spacing w:val="2"/>
        </w:rPr>
        <w:t>effective than others, and if the</w:t>
      </w:r>
      <w:r w:rsidR="00230B1E" w:rsidRPr="00E6397B">
        <w:rPr>
          <w:spacing w:val="2"/>
        </w:rPr>
        <w:t xml:space="preserve"> data to inform th</w:t>
      </w:r>
      <w:r w:rsidR="004A1BD6" w:rsidRPr="00E6397B">
        <w:rPr>
          <w:spacing w:val="2"/>
        </w:rPr>
        <w:t>ese</w:t>
      </w:r>
      <w:r w:rsidR="00230B1E" w:rsidRPr="00E6397B">
        <w:rPr>
          <w:spacing w:val="2"/>
        </w:rPr>
        <w:t xml:space="preserve"> process</w:t>
      </w:r>
      <w:r w:rsidR="004A1BD6" w:rsidRPr="00E6397B">
        <w:rPr>
          <w:spacing w:val="2"/>
        </w:rPr>
        <w:t>es</w:t>
      </w:r>
      <w:r w:rsidR="00230B1E" w:rsidRPr="00E6397B">
        <w:rPr>
          <w:spacing w:val="2"/>
        </w:rPr>
        <w:t xml:space="preserve"> </w:t>
      </w:r>
      <w:r w:rsidR="004A1BD6" w:rsidRPr="00E6397B">
        <w:rPr>
          <w:spacing w:val="2"/>
        </w:rPr>
        <w:t>are adequate</w:t>
      </w:r>
      <w:r w:rsidR="00230B1E" w:rsidRPr="00E6397B">
        <w:rPr>
          <w:spacing w:val="2"/>
        </w:rPr>
        <w:t>.</w:t>
      </w:r>
      <w:r w:rsidR="004A1BD6" w:rsidRPr="00E6397B">
        <w:rPr>
          <w:spacing w:val="2"/>
        </w:rPr>
        <w:t xml:space="preserve"> Further, </w:t>
      </w:r>
      <w:r w:rsidR="00AA1385" w:rsidRPr="00E6397B">
        <w:rPr>
          <w:spacing w:val="2"/>
        </w:rPr>
        <w:t xml:space="preserve">is </w:t>
      </w:r>
      <w:r w:rsidR="004A1BD6" w:rsidRPr="00E6397B">
        <w:rPr>
          <w:spacing w:val="2"/>
        </w:rPr>
        <w:t xml:space="preserve">the design and monitoring of offsets </w:t>
      </w:r>
      <w:r w:rsidR="00AA1385" w:rsidRPr="00E6397B">
        <w:rPr>
          <w:spacing w:val="2"/>
        </w:rPr>
        <w:t xml:space="preserve">appropriate for </w:t>
      </w:r>
      <w:r w:rsidR="004A1BD6" w:rsidRPr="00E6397B">
        <w:rPr>
          <w:spacing w:val="2"/>
        </w:rPr>
        <w:t>addressing the environmental impacts of projects</w:t>
      </w:r>
      <w:r w:rsidR="00AA1385" w:rsidRPr="00E6397B">
        <w:rPr>
          <w:spacing w:val="2"/>
        </w:rPr>
        <w:t>?</w:t>
      </w:r>
      <w:r w:rsidR="004A1BD6" w:rsidRPr="00E6397B">
        <w:rPr>
          <w:spacing w:val="2"/>
        </w:rPr>
        <w:t xml:space="preserve"> </w:t>
      </w:r>
      <w:r w:rsidR="0023494D" w:rsidRPr="00E6397B">
        <w:rPr>
          <w:spacing w:val="2"/>
          <w:szCs w:val="24"/>
        </w:rPr>
        <w:t>(Cripps 2018)</w:t>
      </w:r>
      <w:r w:rsidR="004A1BD6" w:rsidRPr="00E6397B">
        <w:rPr>
          <w:spacing w:val="2"/>
        </w:rPr>
        <w:t>.</w:t>
      </w:r>
    </w:p>
    <w:p w:rsidR="004A1BD6" w:rsidRPr="00E6397B" w:rsidRDefault="00065048" w:rsidP="006331AE">
      <w:pPr>
        <w:pStyle w:val="BodyText"/>
        <w:rPr>
          <w:spacing w:val="-4"/>
        </w:rPr>
      </w:pPr>
      <w:r w:rsidRPr="00E6397B">
        <w:rPr>
          <w:spacing w:val="-4"/>
        </w:rPr>
        <w:t>Related to this, i</w:t>
      </w:r>
      <w:r w:rsidR="00AA1385" w:rsidRPr="00E6397B">
        <w:rPr>
          <w:spacing w:val="-4"/>
        </w:rPr>
        <w:t xml:space="preserve">nadequate </w:t>
      </w:r>
      <w:r w:rsidRPr="00E6397B">
        <w:rPr>
          <w:spacing w:val="-4"/>
        </w:rPr>
        <w:t>site r</w:t>
      </w:r>
      <w:r w:rsidR="00996392" w:rsidRPr="00E6397B">
        <w:rPr>
          <w:spacing w:val="-4"/>
        </w:rPr>
        <w:t>ehabilitation can leave significant legacy problems for governments, communities and companies</w:t>
      </w:r>
      <w:r w:rsidR="00D24669" w:rsidRPr="00E6397B">
        <w:rPr>
          <w:spacing w:val="-4"/>
        </w:rPr>
        <w:t xml:space="preserve"> </w:t>
      </w:r>
      <w:r w:rsidR="00D24669" w:rsidRPr="00E6397B">
        <w:rPr>
          <w:spacing w:val="-4"/>
          <w:szCs w:val="24"/>
        </w:rPr>
        <w:t>(Australian Government 2016)</w:t>
      </w:r>
      <w:r w:rsidR="00996392" w:rsidRPr="00E6397B">
        <w:rPr>
          <w:spacing w:val="-4"/>
        </w:rPr>
        <w:t xml:space="preserve">. </w:t>
      </w:r>
      <w:r w:rsidR="008603F2" w:rsidRPr="00E6397B">
        <w:rPr>
          <w:spacing w:val="-4"/>
        </w:rPr>
        <w:t>The Commission understands that jurisdictions have been working to improve practices for managing site rehabilitation. For example, i</w:t>
      </w:r>
      <w:r w:rsidR="00D24669" w:rsidRPr="00E6397B">
        <w:rPr>
          <w:spacing w:val="-4"/>
        </w:rPr>
        <w:t>n Queensland, recent reforms require resources companies to develop Progressive Rehabilitation and Closure Plan</w:t>
      </w:r>
      <w:r w:rsidR="00175F79" w:rsidRPr="00E6397B">
        <w:rPr>
          <w:spacing w:val="-4"/>
        </w:rPr>
        <w:t>s</w:t>
      </w:r>
      <w:r w:rsidR="005517E2" w:rsidRPr="00E6397B">
        <w:rPr>
          <w:spacing w:val="-4"/>
        </w:rPr>
        <w:t xml:space="preserve"> and to contribute to an assurance fund to rehabilitate future sites </w:t>
      </w:r>
      <w:r w:rsidR="002D294B" w:rsidRPr="00E6397B">
        <w:rPr>
          <w:spacing w:val="-4"/>
        </w:rPr>
        <w:t xml:space="preserve">where the burden would </w:t>
      </w:r>
      <w:r w:rsidR="00AA1385" w:rsidRPr="00E6397B">
        <w:rPr>
          <w:spacing w:val="-4"/>
        </w:rPr>
        <w:t xml:space="preserve">otherwise </w:t>
      </w:r>
      <w:r w:rsidR="002D294B" w:rsidRPr="00E6397B">
        <w:rPr>
          <w:spacing w:val="-4"/>
        </w:rPr>
        <w:t>fall on the Queensland community.</w:t>
      </w:r>
      <w:r w:rsidR="00AA1385" w:rsidRPr="00E6397B">
        <w:rPr>
          <w:spacing w:val="-4"/>
        </w:rPr>
        <w:t xml:space="preserve"> </w:t>
      </w:r>
      <w:r w:rsidR="00AE149B" w:rsidRPr="00E6397B">
        <w:rPr>
          <w:spacing w:val="-4"/>
        </w:rPr>
        <w:t xml:space="preserve">The Commission is interested in whether </w:t>
      </w:r>
      <w:r w:rsidR="00AA1385" w:rsidRPr="00E6397B">
        <w:rPr>
          <w:spacing w:val="-4"/>
        </w:rPr>
        <w:t xml:space="preserve">these new measures </w:t>
      </w:r>
      <w:r w:rsidR="00AE149B" w:rsidRPr="00E6397B">
        <w:rPr>
          <w:spacing w:val="-4"/>
        </w:rPr>
        <w:t xml:space="preserve">are </w:t>
      </w:r>
      <w:r w:rsidR="007F34E9" w:rsidRPr="00E6397B">
        <w:rPr>
          <w:spacing w:val="-4"/>
        </w:rPr>
        <w:t>effective and efficient.</w:t>
      </w:r>
    </w:p>
    <w:p w:rsidR="00E170EE" w:rsidRDefault="00B77647" w:rsidP="002B7627">
      <w:pPr>
        <w:pStyle w:val="BodyText"/>
      </w:pPr>
      <w:r>
        <w:t>As noted earlier,</w:t>
      </w:r>
      <w:r w:rsidR="00723B1F">
        <w:t xml:space="preserve"> </w:t>
      </w:r>
      <w:r w:rsidR="00E149FF">
        <w:t>i</w:t>
      </w:r>
      <w:r w:rsidR="00E170EE">
        <w:t xml:space="preserve">t can take </w:t>
      </w:r>
      <w:r w:rsidR="00397D62">
        <w:t>many</w:t>
      </w:r>
      <w:r w:rsidR="00E170EE">
        <w:t xml:space="preserve"> years </w:t>
      </w:r>
      <w:r w:rsidR="00397D62">
        <w:t>for</w:t>
      </w:r>
      <w:r w:rsidR="00E170EE">
        <w:t xml:space="preserve"> </w:t>
      </w:r>
      <w:r w:rsidR="00397D62">
        <w:t xml:space="preserve">a </w:t>
      </w:r>
      <w:r w:rsidR="002B7627">
        <w:t xml:space="preserve">resources </w:t>
      </w:r>
      <w:r w:rsidR="00397D62">
        <w:t>project to gain approval</w:t>
      </w:r>
      <w:r w:rsidR="00910C9B">
        <w:t>, with delays imposing significant costs</w:t>
      </w:r>
      <w:r w:rsidR="00E149FF">
        <w:t xml:space="preserve"> on project proponents</w:t>
      </w:r>
      <w:r w:rsidR="00E170EE">
        <w:t xml:space="preserve">. </w:t>
      </w:r>
      <w:r w:rsidR="00E149FF">
        <w:t xml:space="preserve">Some jurisdictions </w:t>
      </w:r>
      <w:r w:rsidR="00AA1385">
        <w:t xml:space="preserve">set </w:t>
      </w:r>
      <w:r w:rsidR="00BC2258">
        <w:t>statutory timelines for certain decisions in the DAA process, though t</w:t>
      </w:r>
      <w:r w:rsidR="00E149FF">
        <w:t xml:space="preserve">he Commission understands that there is often scope </w:t>
      </w:r>
      <w:r w:rsidR="00FE0828">
        <w:t xml:space="preserve">for timelines </w:t>
      </w:r>
      <w:r w:rsidR="00E149FF">
        <w:t>to vary</w:t>
      </w:r>
      <w:r w:rsidR="00AA1385">
        <w:t xml:space="preserve"> or </w:t>
      </w:r>
      <w:r w:rsidR="00A50863">
        <w:t xml:space="preserve">to </w:t>
      </w:r>
      <w:r w:rsidR="00AA1385">
        <w:t>‘</w:t>
      </w:r>
      <w:r w:rsidR="00A50863">
        <w:t xml:space="preserve">stop the </w:t>
      </w:r>
      <w:r w:rsidR="00AA1385">
        <w:t>clock’</w:t>
      </w:r>
      <w:r w:rsidR="00E149FF">
        <w:t>.</w:t>
      </w:r>
      <w:r w:rsidR="00E170EE">
        <w:t xml:space="preserve"> </w:t>
      </w:r>
      <w:r w:rsidR="00AF44B8">
        <w:t>While t</w:t>
      </w:r>
      <w:r w:rsidR="002A0019">
        <w:t>he complex nature of many resources projects may mean that significant time is required to undertake the necessary assessments</w:t>
      </w:r>
      <w:r w:rsidR="00AF44B8">
        <w:t xml:space="preserve">, unwarranted delays can </w:t>
      </w:r>
      <w:r w:rsidR="00FE0828">
        <w:t>substantially</w:t>
      </w:r>
      <w:r w:rsidR="00AF44B8">
        <w:t xml:space="preserve"> reduce net benefits</w:t>
      </w:r>
      <w:r w:rsidR="00BD0F10">
        <w:t>, both to companies and the broader community</w:t>
      </w:r>
      <w:r w:rsidR="002A0019">
        <w:t>.</w:t>
      </w:r>
    </w:p>
    <w:p w:rsidR="006123DA" w:rsidRPr="004E3B94" w:rsidRDefault="006123DA" w:rsidP="006123D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123DA" w:rsidTr="00F23559">
        <w:trPr>
          <w:tblHeader/>
        </w:trPr>
        <w:tc>
          <w:tcPr>
            <w:tcW w:w="5000" w:type="pct"/>
            <w:tcBorders>
              <w:top w:val="single" w:sz="6" w:space="0" w:color="78A22F"/>
              <w:left w:val="nil"/>
              <w:bottom w:val="nil"/>
              <w:right w:val="nil"/>
            </w:tcBorders>
            <w:shd w:val="clear" w:color="auto" w:fill="auto"/>
          </w:tcPr>
          <w:p w:rsidR="006123DA" w:rsidRPr="00CE4C64" w:rsidRDefault="006123DA" w:rsidP="00F23559">
            <w:pPr>
              <w:pStyle w:val="InformationRequestTitle"/>
              <w:spacing w:before="120"/>
            </w:pPr>
            <w:r w:rsidRPr="006E7EE2">
              <w:t>Information request</w:t>
            </w:r>
          </w:p>
        </w:tc>
      </w:tr>
      <w:tr w:rsidR="006123DA" w:rsidRPr="00750BE2" w:rsidTr="00F23559">
        <w:tc>
          <w:tcPr>
            <w:tcW w:w="5000" w:type="pct"/>
            <w:tcBorders>
              <w:top w:val="nil"/>
              <w:left w:val="nil"/>
              <w:bottom w:val="nil"/>
              <w:right w:val="nil"/>
            </w:tcBorders>
            <w:shd w:val="clear" w:color="auto" w:fill="auto"/>
          </w:tcPr>
          <w:p w:rsidR="00572485" w:rsidRDefault="00572485" w:rsidP="00572485">
            <w:pPr>
              <w:pStyle w:val="InformationRequest"/>
              <w:keepNext/>
            </w:pPr>
            <w:r>
              <w:t>The Commission is seeking feedback on regulator conduct in jurisdictions in Australia and overseas. Information and examples, including case studies, of both effective and best</w:t>
            </w:r>
            <w:r w:rsidR="00723B1F">
              <w:noBreakHyphen/>
            </w:r>
            <w:r>
              <w:t>practice approaches</w:t>
            </w:r>
            <w:r w:rsidR="00BD0F10">
              <w:t>,</w:t>
            </w:r>
            <w:r>
              <w:t xml:space="preserve"> as well as those that are problematic</w:t>
            </w:r>
            <w:r w:rsidR="00BD0F10">
              <w:t>,</w:t>
            </w:r>
            <w:r w:rsidR="00451C02">
              <w:t xml:space="preserve"> would be appreciated</w:t>
            </w:r>
            <w:r>
              <w:t>.</w:t>
            </w:r>
          </w:p>
          <w:p w:rsidR="00815828" w:rsidRDefault="00572485" w:rsidP="00815828">
            <w:pPr>
              <w:pStyle w:val="InformationRequest"/>
              <w:keepNext/>
            </w:pPr>
            <w:r>
              <w:t xml:space="preserve">For example, the Commission is interested in </w:t>
            </w:r>
            <w:r w:rsidR="0075372D">
              <w:t>whether</w:t>
            </w:r>
            <w:r w:rsidR="008E0587">
              <w:t>:</w:t>
            </w:r>
          </w:p>
          <w:p w:rsidR="004A1BD6" w:rsidRDefault="0073335D" w:rsidP="00E3205A">
            <w:pPr>
              <w:pStyle w:val="InformationRequestBullet"/>
            </w:pPr>
            <w:r>
              <w:t>regulators’ processes are clear</w:t>
            </w:r>
            <w:r w:rsidR="00E149FF" w:rsidRPr="00230B1E">
              <w:t xml:space="preserve">, </w:t>
            </w:r>
            <w:r w:rsidR="00397D62">
              <w:t>predictable</w:t>
            </w:r>
            <w:r w:rsidR="00230B1E" w:rsidRPr="00230B1E">
              <w:t>, open and transparent</w:t>
            </w:r>
          </w:p>
          <w:p w:rsidR="004A1BD6" w:rsidRDefault="00815828" w:rsidP="00815828">
            <w:pPr>
              <w:pStyle w:val="InformationRequestBullet"/>
            </w:pPr>
            <w:r>
              <w:t xml:space="preserve">regulatory outcomes are consistent with their intended objectives, including </w:t>
            </w:r>
            <w:r w:rsidR="0075372D">
              <w:t xml:space="preserve">whether </w:t>
            </w:r>
            <w:r>
              <w:t>compliance and enforcement mechanisms have been effective</w:t>
            </w:r>
            <w:r w:rsidR="004A1BD6">
              <w:t>, for example</w:t>
            </w:r>
          </w:p>
          <w:p w:rsidR="00815828" w:rsidRPr="00E6397B" w:rsidRDefault="008E0587" w:rsidP="00E3205A">
            <w:pPr>
              <w:pStyle w:val="InformationRequestBullet"/>
              <w:numPr>
                <w:ilvl w:val="1"/>
                <w:numId w:val="16"/>
              </w:numPr>
              <w:ind w:left="714" w:hanging="357"/>
              <w:rPr>
                <w:spacing w:val="-4"/>
              </w:rPr>
            </w:pPr>
            <w:r w:rsidRPr="00E6397B">
              <w:rPr>
                <w:spacing w:val="-4"/>
              </w:rPr>
              <w:t>with respect to:</w:t>
            </w:r>
            <w:r w:rsidR="00702829" w:rsidRPr="00E6397B">
              <w:rPr>
                <w:spacing w:val="-4"/>
              </w:rPr>
              <w:t xml:space="preserve"> </w:t>
            </w:r>
            <w:r w:rsidR="00C52316" w:rsidRPr="00E6397B">
              <w:rPr>
                <w:spacing w:val="-4"/>
              </w:rPr>
              <w:t>compliance effort</w:t>
            </w:r>
            <w:r w:rsidR="00702829" w:rsidRPr="00E6397B">
              <w:rPr>
                <w:spacing w:val="-4"/>
              </w:rPr>
              <w:t>;</w:t>
            </w:r>
            <w:r w:rsidR="00C52316" w:rsidRPr="00E6397B">
              <w:rPr>
                <w:spacing w:val="-4"/>
              </w:rPr>
              <w:t xml:space="preserve"> </w:t>
            </w:r>
            <w:r w:rsidR="00572485" w:rsidRPr="00E6397B">
              <w:rPr>
                <w:spacing w:val="-4"/>
              </w:rPr>
              <w:t xml:space="preserve">the use of information </w:t>
            </w:r>
            <w:r w:rsidR="00C52316" w:rsidRPr="00E6397B">
              <w:rPr>
                <w:spacing w:val="-4"/>
              </w:rPr>
              <w:t>to test compliance with approval conditions</w:t>
            </w:r>
            <w:r w:rsidR="00702829" w:rsidRPr="00E6397B">
              <w:rPr>
                <w:spacing w:val="-4"/>
              </w:rPr>
              <w:t>;</w:t>
            </w:r>
            <w:r w:rsidR="00C52316" w:rsidRPr="00E6397B">
              <w:rPr>
                <w:spacing w:val="-4"/>
              </w:rPr>
              <w:t xml:space="preserve"> rehabilitation processes</w:t>
            </w:r>
            <w:r w:rsidR="00702829" w:rsidRPr="00E6397B">
              <w:rPr>
                <w:spacing w:val="-4"/>
              </w:rPr>
              <w:t>; and</w:t>
            </w:r>
            <w:r w:rsidR="00C52316" w:rsidRPr="00E6397B">
              <w:rPr>
                <w:spacing w:val="-4"/>
              </w:rPr>
              <w:t xml:space="preserve"> </w:t>
            </w:r>
            <w:r w:rsidRPr="00E6397B">
              <w:rPr>
                <w:spacing w:val="-4"/>
              </w:rPr>
              <w:t>the</w:t>
            </w:r>
            <w:r w:rsidR="00C52316" w:rsidRPr="00E6397B">
              <w:rPr>
                <w:spacing w:val="-4"/>
              </w:rPr>
              <w:t xml:space="preserve"> </w:t>
            </w:r>
            <w:r w:rsidR="00DC6A44" w:rsidRPr="00E6397B">
              <w:rPr>
                <w:spacing w:val="-4"/>
              </w:rPr>
              <w:t>design and monitoring of offsets</w:t>
            </w:r>
          </w:p>
          <w:p w:rsidR="00DC6A44" w:rsidRDefault="00815828" w:rsidP="00CB4F8A">
            <w:pPr>
              <w:pStyle w:val="InformationRequestBullet"/>
            </w:pPr>
            <w:r>
              <w:t xml:space="preserve">unnecessary costs </w:t>
            </w:r>
            <w:r w:rsidR="0075372D">
              <w:t xml:space="preserve">and delays </w:t>
            </w:r>
            <w:r>
              <w:t>have been minimised</w:t>
            </w:r>
            <w:r w:rsidR="0075372D">
              <w:t xml:space="preserve"> and how this has been achieved (</w:t>
            </w:r>
            <w:r w:rsidR="00685A5E">
              <w:t>for example, through</w:t>
            </w:r>
            <w:r w:rsidR="0075372D">
              <w:t xml:space="preserve"> statutory timelines)</w:t>
            </w:r>
          </w:p>
          <w:p w:rsidR="0075372D" w:rsidRDefault="0075372D" w:rsidP="0075372D">
            <w:pPr>
              <w:pStyle w:val="InformationRequest"/>
            </w:pPr>
            <w:r w:rsidRPr="00203CAC">
              <w:t xml:space="preserve">What </w:t>
            </w:r>
            <w:r>
              <w:t xml:space="preserve">have been </w:t>
            </w:r>
            <w:r w:rsidRPr="00203CAC">
              <w:t>the</w:t>
            </w:r>
            <w:r>
              <w:t xml:space="preserve"> consequences of </w:t>
            </w:r>
            <w:r w:rsidR="007F34E9">
              <w:t xml:space="preserve">identified instances of </w:t>
            </w:r>
            <w:r>
              <w:t xml:space="preserve">poor regulator conduct, including inconsistency, </w:t>
            </w:r>
            <w:r w:rsidR="00B17035">
              <w:t>inadequate enforcement and unduly protracted processes,</w:t>
            </w:r>
            <w:r w:rsidR="00FD678D">
              <w:t xml:space="preserve"> for investment in the sector?</w:t>
            </w:r>
          </w:p>
          <w:p w:rsidR="006123DA" w:rsidRPr="00815828" w:rsidRDefault="00B17035">
            <w:pPr>
              <w:pStyle w:val="InformationRequest"/>
            </w:pPr>
            <w:r>
              <w:t xml:space="preserve">How could identified </w:t>
            </w:r>
            <w:r w:rsidR="00572485">
              <w:t xml:space="preserve">shortcomings </w:t>
            </w:r>
            <w:r>
              <w:t xml:space="preserve">be </w:t>
            </w:r>
            <w:r w:rsidR="00572485">
              <w:t>remedied</w:t>
            </w:r>
            <w:r>
              <w:t>?</w:t>
            </w:r>
          </w:p>
        </w:tc>
      </w:tr>
      <w:tr w:rsidR="006123DA" w:rsidTr="00F23559">
        <w:tc>
          <w:tcPr>
            <w:tcW w:w="5000" w:type="pct"/>
            <w:tcBorders>
              <w:top w:val="nil"/>
              <w:left w:val="nil"/>
              <w:bottom w:val="single" w:sz="6" w:space="0" w:color="78A22F"/>
              <w:right w:val="nil"/>
            </w:tcBorders>
            <w:shd w:val="clear" w:color="auto" w:fill="auto"/>
          </w:tcPr>
          <w:p w:rsidR="006123DA" w:rsidRDefault="006123DA" w:rsidP="00F23559">
            <w:pPr>
              <w:pStyle w:val="Space"/>
              <w:keepLines/>
            </w:pPr>
          </w:p>
        </w:tc>
      </w:tr>
      <w:tr w:rsidR="006123DA" w:rsidRPr="000863A5" w:rsidTr="00F23559">
        <w:trPr>
          <w:trHeight w:val="53"/>
        </w:trPr>
        <w:tc>
          <w:tcPr>
            <w:tcW w:w="5000" w:type="pct"/>
            <w:tcBorders>
              <w:top w:val="single" w:sz="6" w:space="0" w:color="78A22F"/>
              <w:left w:val="nil"/>
              <w:bottom w:val="nil"/>
              <w:right w:val="nil"/>
            </w:tcBorders>
          </w:tcPr>
          <w:p w:rsidR="006123DA" w:rsidRPr="00626D32" w:rsidRDefault="006123DA" w:rsidP="00F23559">
            <w:pPr>
              <w:pStyle w:val="BoxSpaceBelow"/>
              <w:keepLines/>
            </w:pPr>
          </w:p>
        </w:tc>
      </w:tr>
    </w:tbl>
    <w:p w:rsidR="00CE56E0" w:rsidRDefault="00403C61" w:rsidP="00815828">
      <w:pPr>
        <w:pStyle w:val="Heading2"/>
      </w:pPr>
      <w:bookmarkStart w:id="23" w:name="_Toc18489682"/>
      <w:bookmarkStart w:id="24" w:name="_Toc18590491"/>
      <w:bookmarkStart w:id="25" w:name="_Toc19188652"/>
      <w:bookmarkStart w:id="26" w:name="_Toc19189843"/>
      <w:r>
        <w:rPr>
          <w:noProof/>
        </w:rPr>
        <w:t>5</w:t>
      </w:r>
      <w:r w:rsidR="00244727">
        <w:rPr>
          <w:noProof/>
        </w:rPr>
        <w:tab/>
      </w:r>
      <w:r w:rsidR="00630C85">
        <w:rPr>
          <w:noProof/>
        </w:rPr>
        <w:t xml:space="preserve">What </w:t>
      </w:r>
      <w:r w:rsidR="00CB4F8A">
        <w:rPr>
          <w:noProof/>
        </w:rPr>
        <w:t xml:space="preserve">are </w:t>
      </w:r>
      <w:r w:rsidR="00630C85">
        <w:rPr>
          <w:noProof/>
        </w:rPr>
        <w:t>broader impediments materially affect</w:t>
      </w:r>
      <w:r w:rsidR="00CB4F8A">
        <w:rPr>
          <w:noProof/>
        </w:rPr>
        <w:t>ing</w:t>
      </w:r>
      <w:r w:rsidR="00630C85">
        <w:rPr>
          <w:noProof/>
        </w:rPr>
        <w:t xml:space="preserve"> investment?</w:t>
      </w:r>
      <w:bookmarkEnd w:id="23"/>
      <w:bookmarkEnd w:id="24"/>
      <w:bookmarkEnd w:id="25"/>
      <w:bookmarkEnd w:id="26"/>
    </w:p>
    <w:p w:rsidR="00400628" w:rsidRDefault="00400628" w:rsidP="00815828">
      <w:pPr>
        <w:pStyle w:val="BodyText"/>
      </w:pPr>
      <w:r>
        <w:t xml:space="preserve">The Commission has been asked to identify any broader impediments to the timing, nature and extent of business investment in the Australian resources sector. </w:t>
      </w:r>
      <w:r w:rsidR="00FE10CC">
        <w:t xml:space="preserve">Investment is influenced by many factors. Chief among these are expectations of future market conditions and the consequent profitability of a project. But </w:t>
      </w:r>
      <w:r w:rsidR="0023785B">
        <w:t>factors</w:t>
      </w:r>
      <w:r w:rsidR="00FE10CC">
        <w:t xml:space="preserve"> beyond sector</w:t>
      </w:r>
      <w:r w:rsidR="00FE10CC">
        <w:noBreakHyphen/>
        <w:t>specific regulation</w:t>
      </w:r>
      <w:r w:rsidR="00BB07B5">
        <w:t>, including government activity,</w:t>
      </w:r>
      <w:r w:rsidR="00FE10CC">
        <w:t xml:space="preserve"> can also play a role</w:t>
      </w:r>
      <w:r w:rsidR="009809A4">
        <w:t xml:space="preserve"> (</w:t>
      </w:r>
      <w:r w:rsidR="00626830">
        <w:t>selected examples are discussed below</w:t>
      </w:r>
      <w:r w:rsidR="009809A4">
        <w:t>)</w:t>
      </w:r>
      <w:r w:rsidR="00626830">
        <w:t xml:space="preserve">. </w:t>
      </w:r>
      <w:r w:rsidR="0086566D">
        <w:t xml:space="preserve">The Commission is seeking participants’ </w:t>
      </w:r>
      <w:r w:rsidR="00626830">
        <w:t>insights</w:t>
      </w:r>
      <w:r w:rsidR="0086566D">
        <w:t xml:space="preserve"> on </w:t>
      </w:r>
      <w:r w:rsidR="009D06BB">
        <w:t xml:space="preserve">these </w:t>
      </w:r>
      <w:r w:rsidR="002C1684">
        <w:t xml:space="preserve">and any other </w:t>
      </w:r>
      <w:r w:rsidR="00BB07B5">
        <w:t xml:space="preserve">factors </w:t>
      </w:r>
      <w:r w:rsidR="002C1684">
        <w:t>they consider relevant</w:t>
      </w:r>
      <w:r w:rsidR="0086566D">
        <w:t xml:space="preserve">, particularly </w:t>
      </w:r>
      <w:r w:rsidR="00626830">
        <w:t>where</w:t>
      </w:r>
      <w:r w:rsidR="0086566D">
        <w:t xml:space="preserve"> </w:t>
      </w:r>
      <w:r w:rsidR="009D06BB">
        <w:t>they</w:t>
      </w:r>
      <w:r w:rsidR="0086566D">
        <w:t xml:space="preserve"> represent a major impediment to investment</w:t>
      </w:r>
      <w:r w:rsidR="00EE167E">
        <w:t>.</w:t>
      </w:r>
      <w:r w:rsidR="00AA1385">
        <w:t xml:space="preserve"> </w:t>
      </w:r>
      <w:r w:rsidR="00EE167E">
        <w:t xml:space="preserve">Evidence </w:t>
      </w:r>
      <w:r w:rsidR="00BB07B5">
        <w:t>on</w:t>
      </w:r>
      <w:r w:rsidR="00EE167E">
        <w:t xml:space="preserve"> </w:t>
      </w:r>
      <w:r w:rsidR="00BB07B5">
        <w:t xml:space="preserve">how significantly a factor impacts investment </w:t>
      </w:r>
      <w:r w:rsidR="00AA1385">
        <w:t xml:space="preserve">and </w:t>
      </w:r>
      <w:r w:rsidR="00EE167E">
        <w:t xml:space="preserve">suggestions for </w:t>
      </w:r>
      <w:r w:rsidR="00AA1385">
        <w:t xml:space="preserve">how </w:t>
      </w:r>
      <w:r w:rsidR="00BB07B5">
        <w:t>any impediment</w:t>
      </w:r>
      <w:r w:rsidR="00EE167E">
        <w:t xml:space="preserve"> </w:t>
      </w:r>
      <w:r w:rsidR="00AA1385">
        <w:t>might be addressed</w:t>
      </w:r>
      <w:r w:rsidR="00EE167E">
        <w:t xml:space="preserve"> would also be appreciated</w:t>
      </w:r>
      <w:r w:rsidR="0086566D">
        <w:t>.</w:t>
      </w:r>
    </w:p>
    <w:p w:rsidR="00CE56E0" w:rsidRDefault="007753C1" w:rsidP="000C0DCA">
      <w:pPr>
        <w:pStyle w:val="Heading3"/>
      </w:pPr>
      <w:r>
        <w:t>I</w:t>
      </w:r>
      <w:r w:rsidR="00CE56E0">
        <w:t>nfrastructure</w:t>
      </w:r>
      <w:r w:rsidR="00635956">
        <w:t xml:space="preserve"> and public goods</w:t>
      </w:r>
    </w:p>
    <w:p w:rsidR="008053DC" w:rsidRDefault="008053DC" w:rsidP="000C0DCA">
      <w:pPr>
        <w:pStyle w:val="BodyText"/>
      </w:pPr>
      <w:r>
        <w:t>The quality, level of access to and affordability of infrastructure can be major factor</w:t>
      </w:r>
      <w:r w:rsidR="00685A5E">
        <w:t>s</w:t>
      </w:r>
      <w:r>
        <w:t xml:space="preserve"> in the profitability of a resource project. </w:t>
      </w:r>
      <w:r w:rsidR="000D11EF">
        <w:t>F</w:t>
      </w:r>
      <w:r w:rsidR="001C69B4">
        <w:t>irms</w:t>
      </w:r>
      <w:r>
        <w:t xml:space="preserve"> fund the building and maintenance of infrastructure specific to their own projects, but </w:t>
      </w:r>
      <w:r w:rsidR="000D11EF">
        <w:t>also often rely on</w:t>
      </w:r>
      <w:r w:rsidDel="000D11EF">
        <w:t xml:space="preserve"> </w:t>
      </w:r>
      <w:r>
        <w:t>large</w:t>
      </w:r>
      <w:r w:rsidR="00F27DAA">
        <w:noBreakHyphen/>
      </w:r>
      <w:r>
        <w:t>scale, shared infrastructure</w:t>
      </w:r>
      <w:r w:rsidR="009809A4">
        <w:t>, such</w:t>
      </w:r>
      <w:r>
        <w:t xml:space="preserve"> as </w:t>
      </w:r>
      <w:r w:rsidR="009809A4">
        <w:t>electricity distribution networks, railway lines and ports</w:t>
      </w:r>
      <w:r>
        <w:t xml:space="preserve">. </w:t>
      </w:r>
      <w:r w:rsidR="009809A4">
        <w:t>Given that resources p</w:t>
      </w:r>
      <w:r>
        <w:t xml:space="preserve">rojects are typically energy intensive, remotely located and export oriented, </w:t>
      </w:r>
      <w:r w:rsidR="00375A87">
        <w:t xml:space="preserve">such infrastructure can be </w:t>
      </w:r>
      <w:r w:rsidR="000D11EF">
        <w:t xml:space="preserve">key </w:t>
      </w:r>
      <w:r w:rsidR="00375A87">
        <w:t>inputs</w:t>
      </w:r>
      <w:r w:rsidR="000D11EF">
        <w:t xml:space="preserve"> to a project proponent’s business</w:t>
      </w:r>
      <w:r>
        <w:t>.</w:t>
      </w:r>
    </w:p>
    <w:p w:rsidR="003E4759" w:rsidRDefault="008053DC" w:rsidP="006B4635">
      <w:pPr>
        <w:pStyle w:val="BodyText"/>
      </w:pPr>
      <w:r>
        <w:lastRenderedPageBreak/>
        <w:t xml:space="preserve">Governments </w:t>
      </w:r>
      <w:r w:rsidR="000D11EF">
        <w:t xml:space="preserve">often </w:t>
      </w:r>
      <w:r>
        <w:t>direct</w:t>
      </w:r>
      <w:r w:rsidR="000D11EF">
        <w:t>ly</w:t>
      </w:r>
      <w:r>
        <w:t xml:space="preserve"> provi</w:t>
      </w:r>
      <w:r w:rsidR="000D11EF">
        <w:t>d</w:t>
      </w:r>
      <w:r w:rsidR="00375A87">
        <w:t>e</w:t>
      </w:r>
      <w:r>
        <w:t xml:space="preserve"> infrastructure, </w:t>
      </w:r>
      <w:r w:rsidR="00375A87">
        <w:t>but can also</w:t>
      </w:r>
      <w:r>
        <w:t xml:space="preserve"> set rules around the </w:t>
      </w:r>
      <w:r w:rsidR="000D11EF">
        <w:t xml:space="preserve">development and </w:t>
      </w:r>
      <w:r>
        <w:t xml:space="preserve">operation of private markets for infrastructure. </w:t>
      </w:r>
      <w:r w:rsidR="009B2F54">
        <w:t xml:space="preserve">For example, the Australian Government regulates </w:t>
      </w:r>
      <w:r>
        <w:t>‘third</w:t>
      </w:r>
      <w:r w:rsidR="00F27DAA">
        <w:noBreakHyphen/>
      </w:r>
      <w:r>
        <w:t>party access’</w:t>
      </w:r>
      <w:r w:rsidR="009B2F54">
        <w:t xml:space="preserve"> to certain infrastructure services, </w:t>
      </w:r>
      <w:r w:rsidR="00AB7300">
        <w:t>w</w:t>
      </w:r>
      <w:r w:rsidR="00AA1385">
        <w:t xml:space="preserve">ith the objective of </w:t>
      </w:r>
      <w:r>
        <w:t>reduc</w:t>
      </w:r>
      <w:r w:rsidR="00AA1385">
        <w:t>ing</w:t>
      </w:r>
      <w:r>
        <w:t xml:space="preserve"> overall costs and promot</w:t>
      </w:r>
      <w:r w:rsidR="00910148">
        <w:t>ing</w:t>
      </w:r>
      <w:r>
        <w:t xml:space="preserve"> competition by avoiding the need for competing firms to duplicate existing infrastructure.</w:t>
      </w:r>
    </w:p>
    <w:p w:rsidR="003E4759" w:rsidRDefault="00AB7300" w:rsidP="003E4759">
      <w:pPr>
        <w:pStyle w:val="BodyText"/>
        <w:tabs>
          <w:tab w:val="left" w:pos="6180"/>
          <w:tab w:val="left" w:pos="7596"/>
        </w:tabs>
      </w:pPr>
      <w:r>
        <w:t>G</w:t>
      </w:r>
      <w:r w:rsidR="003E4759">
        <w:t xml:space="preserve">overnments </w:t>
      </w:r>
      <w:r>
        <w:t>have also provided</w:t>
      </w:r>
      <w:r w:rsidR="003E4759">
        <w:t xml:space="preserve"> </w:t>
      </w:r>
      <w:r w:rsidR="00375A87">
        <w:t xml:space="preserve">or coordinated </w:t>
      </w:r>
      <w:r w:rsidR="003E4759">
        <w:t>funding</w:t>
      </w:r>
      <w:r>
        <w:t xml:space="preserve"> for</w:t>
      </w:r>
      <w:r w:rsidR="003E4759">
        <w:t xml:space="preserve"> research </w:t>
      </w:r>
      <w:r>
        <w:t>that</w:t>
      </w:r>
      <w:r w:rsidR="003E4759">
        <w:t xml:space="preserve"> can benefit the sector as a whole, such as </w:t>
      </w:r>
      <w:r w:rsidR="008C3323">
        <w:t>pre</w:t>
      </w:r>
      <w:r w:rsidR="00723B1F">
        <w:noBreakHyphen/>
      </w:r>
      <w:r w:rsidR="008C3323">
        <w:t>competitive geoscience</w:t>
      </w:r>
      <w:r w:rsidR="003E4759">
        <w:t xml:space="preserve">, or knowledge of how </w:t>
      </w:r>
      <w:r w:rsidR="007753C1">
        <w:t>particular</w:t>
      </w:r>
      <w:r w:rsidR="003E4759">
        <w:t xml:space="preserve"> </w:t>
      </w:r>
      <w:r w:rsidR="007753C1">
        <w:t>mining</w:t>
      </w:r>
      <w:r w:rsidR="003E4759">
        <w:t xml:space="preserve"> activities affect environmental systems.</w:t>
      </w:r>
    </w:p>
    <w:p w:rsidR="00CE56E0" w:rsidRDefault="001C69B4" w:rsidP="000C0DCA">
      <w:pPr>
        <w:pStyle w:val="Heading3"/>
      </w:pPr>
      <w:r>
        <w:t>Royalty</w:t>
      </w:r>
      <w:r w:rsidR="00CE56E0">
        <w:t xml:space="preserve"> and taxation arrangements</w:t>
      </w:r>
    </w:p>
    <w:p w:rsidR="00BB0EA9" w:rsidRPr="002D0291" w:rsidRDefault="00BB0EA9" w:rsidP="00BB0EA9">
      <w:pPr>
        <w:pStyle w:val="BodyText"/>
        <w:rPr>
          <w:spacing w:val="-2"/>
        </w:rPr>
      </w:pPr>
      <w:r w:rsidRPr="002D0291">
        <w:rPr>
          <w:spacing w:val="-2"/>
        </w:rPr>
        <w:t>Resources firms are subject to a range of federal and state taxes</w:t>
      </w:r>
      <w:r w:rsidR="00EA19D9" w:rsidRPr="002D0291">
        <w:rPr>
          <w:spacing w:val="-2"/>
        </w:rPr>
        <w:t xml:space="preserve"> and royalties.</w:t>
      </w:r>
      <w:r w:rsidRPr="002D0291">
        <w:rPr>
          <w:spacing w:val="-2"/>
        </w:rPr>
        <w:t xml:space="preserve"> </w:t>
      </w:r>
      <w:r w:rsidR="00EA19D9" w:rsidRPr="002D0291">
        <w:rPr>
          <w:spacing w:val="-2"/>
        </w:rPr>
        <w:t>Some of these,</w:t>
      </w:r>
      <w:r w:rsidRPr="002D0291">
        <w:rPr>
          <w:spacing w:val="-2"/>
        </w:rPr>
        <w:t xml:space="preserve"> </w:t>
      </w:r>
      <w:r w:rsidR="00375A87" w:rsidRPr="002D0291">
        <w:rPr>
          <w:spacing w:val="-2"/>
        </w:rPr>
        <w:t xml:space="preserve">such as </w:t>
      </w:r>
      <w:r w:rsidRPr="002D0291">
        <w:rPr>
          <w:spacing w:val="-2"/>
        </w:rPr>
        <w:t>company tax</w:t>
      </w:r>
      <w:r w:rsidR="00EA19D9" w:rsidRPr="002D0291">
        <w:rPr>
          <w:spacing w:val="-2"/>
        </w:rPr>
        <w:t>,</w:t>
      </w:r>
      <w:r w:rsidRPr="002D0291">
        <w:rPr>
          <w:spacing w:val="-2"/>
        </w:rPr>
        <w:t xml:space="preserve"> apply generally to business activities, </w:t>
      </w:r>
      <w:r w:rsidR="00EA19D9" w:rsidRPr="002D0291">
        <w:rPr>
          <w:spacing w:val="-2"/>
        </w:rPr>
        <w:t>while</w:t>
      </w:r>
      <w:r w:rsidRPr="002D0291">
        <w:rPr>
          <w:spacing w:val="-2"/>
        </w:rPr>
        <w:t xml:space="preserve"> others, </w:t>
      </w:r>
      <w:r w:rsidR="00375A87" w:rsidRPr="002D0291">
        <w:rPr>
          <w:spacing w:val="-2"/>
        </w:rPr>
        <w:t xml:space="preserve">such as </w:t>
      </w:r>
      <w:r w:rsidRPr="002D0291">
        <w:rPr>
          <w:spacing w:val="-2"/>
        </w:rPr>
        <w:t xml:space="preserve">state royalties and the </w:t>
      </w:r>
      <w:r w:rsidR="00880D39" w:rsidRPr="002D0291">
        <w:rPr>
          <w:spacing w:val="-2"/>
        </w:rPr>
        <w:t>p</w:t>
      </w:r>
      <w:r w:rsidRPr="002D0291">
        <w:rPr>
          <w:spacing w:val="-2"/>
        </w:rPr>
        <w:t xml:space="preserve">etroleum resource rent tax, </w:t>
      </w:r>
      <w:r w:rsidR="00EA19D9" w:rsidRPr="002D0291">
        <w:rPr>
          <w:spacing w:val="-2"/>
        </w:rPr>
        <w:t>are specific</w:t>
      </w:r>
      <w:r w:rsidRPr="002D0291">
        <w:rPr>
          <w:spacing w:val="-2"/>
        </w:rPr>
        <w:t xml:space="preserve"> to </w:t>
      </w:r>
      <w:r w:rsidR="00743935" w:rsidRPr="002D0291">
        <w:rPr>
          <w:spacing w:val="-2"/>
        </w:rPr>
        <w:t>particular</w:t>
      </w:r>
      <w:r w:rsidRPr="002D0291">
        <w:rPr>
          <w:spacing w:val="-2"/>
        </w:rPr>
        <w:t xml:space="preserve"> sector</w:t>
      </w:r>
      <w:r w:rsidR="00743935" w:rsidRPr="002D0291">
        <w:rPr>
          <w:spacing w:val="-2"/>
        </w:rPr>
        <w:t>s</w:t>
      </w:r>
      <w:r w:rsidR="004424AB" w:rsidRPr="002D0291">
        <w:rPr>
          <w:spacing w:val="-2"/>
        </w:rPr>
        <w:t xml:space="preserve"> </w:t>
      </w:r>
      <w:r w:rsidR="00743935" w:rsidRPr="002D0291">
        <w:rPr>
          <w:spacing w:val="-2"/>
        </w:rPr>
        <w:t xml:space="preserve">or </w:t>
      </w:r>
      <w:r w:rsidR="004424AB" w:rsidRPr="002D0291">
        <w:rPr>
          <w:spacing w:val="-2"/>
        </w:rPr>
        <w:t>jurisdiction</w:t>
      </w:r>
      <w:r w:rsidR="00743935" w:rsidRPr="002D0291">
        <w:rPr>
          <w:spacing w:val="-2"/>
        </w:rPr>
        <w:t>s</w:t>
      </w:r>
      <w:r w:rsidRPr="002D0291">
        <w:rPr>
          <w:spacing w:val="-2"/>
        </w:rPr>
        <w:t>.</w:t>
      </w:r>
    </w:p>
    <w:p w:rsidR="00600B17" w:rsidRPr="002D0291" w:rsidRDefault="00341EE9" w:rsidP="00341EE9">
      <w:pPr>
        <w:pStyle w:val="BodyText"/>
        <w:rPr>
          <w:spacing w:val="-2"/>
        </w:rPr>
      </w:pPr>
      <w:r w:rsidRPr="002D0291">
        <w:rPr>
          <w:spacing w:val="-2"/>
        </w:rPr>
        <w:t xml:space="preserve">The general level of taxes is an obvious factor in firms’ investment decisions, but the design </w:t>
      </w:r>
      <w:r w:rsidR="004B73E1" w:rsidRPr="002D0291">
        <w:rPr>
          <w:spacing w:val="-2"/>
        </w:rPr>
        <w:t xml:space="preserve">of these taxes </w:t>
      </w:r>
      <w:r w:rsidRPr="002D0291">
        <w:rPr>
          <w:spacing w:val="-2"/>
        </w:rPr>
        <w:t xml:space="preserve">can also be important. For example, royalties based on revenues rather than profits </w:t>
      </w:r>
      <w:r w:rsidR="008A7608" w:rsidRPr="002D0291">
        <w:rPr>
          <w:spacing w:val="-2"/>
        </w:rPr>
        <w:t>can discourage investment in financially riskier projects</w:t>
      </w:r>
      <w:r w:rsidR="00AD7CE8" w:rsidRPr="002D0291">
        <w:rPr>
          <w:spacing w:val="-2"/>
        </w:rPr>
        <w:t xml:space="preserve"> (Henry et al. 2010)</w:t>
      </w:r>
      <w:r w:rsidRPr="002D0291">
        <w:rPr>
          <w:spacing w:val="-2"/>
        </w:rPr>
        <w:t xml:space="preserve">. As with </w:t>
      </w:r>
      <w:r w:rsidR="00677A28" w:rsidRPr="002D0291">
        <w:rPr>
          <w:spacing w:val="-2"/>
        </w:rPr>
        <w:t>unstable regulatory policy</w:t>
      </w:r>
      <w:r w:rsidRPr="002D0291">
        <w:rPr>
          <w:spacing w:val="-2"/>
        </w:rPr>
        <w:t>, uncertainty over future changes to the tax regime can also deter investment.</w:t>
      </w:r>
    </w:p>
    <w:p w:rsidR="00CE56E0" w:rsidRDefault="001F1E05" w:rsidP="000C0DCA">
      <w:pPr>
        <w:pStyle w:val="Heading3"/>
      </w:pPr>
      <w:r>
        <w:t>B</w:t>
      </w:r>
      <w:r w:rsidR="00F1430E">
        <w:t>arriers to a productive workforce</w:t>
      </w:r>
    </w:p>
    <w:p w:rsidR="00661B03" w:rsidRDefault="00880D39" w:rsidP="000C0DCA">
      <w:pPr>
        <w:pStyle w:val="BodyText"/>
      </w:pPr>
      <w:r>
        <w:t>W</w:t>
      </w:r>
      <w:r w:rsidR="00661B03">
        <w:t>ithin a</w:t>
      </w:r>
      <w:r>
        <w:t>ny</w:t>
      </w:r>
      <w:r w:rsidR="00661B03">
        <w:t xml:space="preserve"> resources project, </w:t>
      </w:r>
      <w:r>
        <w:t>the</w:t>
      </w:r>
      <w:r w:rsidR="00661B03">
        <w:t xml:space="preserve"> multiple phases </w:t>
      </w:r>
      <w:r w:rsidR="00600B17">
        <w:t xml:space="preserve">— </w:t>
      </w:r>
      <w:r w:rsidR="00661B03">
        <w:t>from early exploration through to site rehabilitation</w:t>
      </w:r>
      <w:r w:rsidR="00600B17">
        <w:t xml:space="preserve"> —</w:t>
      </w:r>
      <w:r w:rsidR="00661B03">
        <w:t xml:space="preserve"> require different amounts and mixes of skilled labour. Shortages can drive up wage costs as firms compete for a limited pool of workers, adding to project</w:t>
      </w:r>
      <w:r>
        <w:t xml:space="preserve"> costs</w:t>
      </w:r>
      <w:r w:rsidR="00661B03">
        <w:t>.</w:t>
      </w:r>
    </w:p>
    <w:p w:rsidR="00FE772B" w:rsidRDefault="00661B03" w:rsidP="006B4635">
      <w:pPr>
        <w:pStyle w:val="BodyText"/>
      </w:pPr>
      <w:r>
        <w:t xml:space="preserve">Skilled migration programs can help firms </w:t>
      </w:r>
      <w:r w:rsidR="00600B17">
        <w:t>address these</w:t>
      </w:r>
      <w:r>
        <w:t xml:space="preserve"> shortages. Temporary </w:t>
      </w:r>
      <w:r w:rsidR="001F1E05">
        <w:t>s</w:t>
      </w:r>
      <w:r>
        <w:t xml:space="preserve">kill </w:t>
      </w:r>
      <w:r w:rsidR="001F1E05">
        <w:t>s</w:t>
      </w:r>
      <w:r>
        <w:t xml:space="preserve">hortage visas allow employers to bring in skilled workers for up to four years, subject to having first attempted to hire in Australia. </w:t>
      </w:r>
      <w:r w:rsidR="00880D39">
        <w:t xml:space="preserve">Resources sector representatives have previously sought </w:t>
      </w:r>
      <w:r w:rsidR="001F1E05">
        <w:t>a relaxation of</w:t>
      </w:r>
      <w:r w:rsidR="00880D39">
        <w:t xml:space="preserve"> temporary visa requirements in order to increase their ability to draw upon overseas workers.</w:t>
      </w:r>
    </w:p>
    <w:p w:rsidR="001D21D0" w:rsidRPr="000C0DCA" w:rsidRDefault="004975E1" w:rsidP="000C0DCA">
      <w:pPr>
        <w:pStyle w:val="BodyText"/>
      </w:pPr>
      <w:r>
        <w:t xml:space="preserve">In the longer term, tertiary courses and apprenticeships </w:t>
      </w:r>
      <w:r w:rsidR="007B42EA">
        <w:t>shape the supply of local skilled labour.</w:t>
      </w:r>
    </w:p>
    <w:p w:rsidR="00E961A1" w:rsidRDefault="00414677" w:rsidP="006B4635">
      <w:pPr>
        <w:pStyle w:val="Heading3"/>
      </w:pPr>
      <w:r>
        <w:t xml:space="preserve">Barriers to </w:t>
      </w:r>
      <w:r w:rsidR="00AE5B13">
        <w:t>f</w:t>
      </w:r>
      <w:r w:rsidR="00E961A1">
        <w:t>oreign investment</w:t>
      </w:r>
    </w:p>
    <w:p w:rsidR="00E961A1" w:rsidRDefault="00414677" w:rsidP="00E3205A">
      <w:pPr>
        <w:pStyle w:val="BodyText"/>
      </w:pPr>
      <w:r>
        <w:t xml:space="preserve">The rules and regulations around foreign investment can also affect whether a company will make an investment in the sector. </w:t>
      </w:r>
      <w:r w:rsidR="00E961A1">
        <w:t>The Australian Government maintains a</w:t>
      </w:r>
      <w:r w:rsidR="003B211D">
        <w:t xml:space="preserve"> </w:t>
      </w:r>
      <w:r w:rsidR="00E961A1">
        <w:t>foreign investment framework that encourag</w:t>
      </w:r>
      <w:r w:rsidR="003B211D">
        <w:t>es</w:t>
      </w:r>
      <w:r w:rsidR="00E961A1">
        <w:t xml:space="preserve"> foreign investment flows while ensuring investment</w:t>
      </w:r>
      <w:r w:rsidR="005B593B">
        <w:t>s</w:t>
      </w:r>
      <w:r w:rsidR="00E961A1">
        <w:t xml:space="preserve"> </w:t>
      </w:r>
      <w:r w:rsidR="005B593B">
        <w:t xml:space="preserve">are </w:t>
      </w:r>
      <w:r w:rsidR="00E961A1">
        <w:t>not contrary to the national interest.</w:t>
      </w:r>
      <w:r w:rsidR="00901F97" w:rsidRPr="00901F97">
        <w:t xml:space="preserve"> </w:t>
      </w:r>
      <w:r w:rsidR="00901F97">
        <w:t xml:space="preserve">Under the </w:t>
      </w:r>
      <w:r w:rsidR="00901F97" w:rsidRPr="00E3205A">
        <w:rPr>
          <w:i/>
        </w:rPr>
        <w:t xml:space="preserve">Foreign Acquisitions and Takeovers Act </w:t>
      </w:r>
      <w:r w:rsidR="00901F97" w:rsidRPr="00E3205A">
        <w:rPr>
          <w:i/>
        </w:rPr>
        <w:lastRenderedPageBreak/>
        <w:t>1975</w:t>
      </w:r>
      <w:r w:rsidR="00901F97">
        <w:t xml:space="preserve"> (Cth), the Treasurer can reject </w:t>
      </w:r>
      <w:r w:rsidR="003B211D">
        <w:t xml:space="preserve">foreign investment </w:t>
      </w:r>
      <w:r w:rsidR="00901F97">
        <w:t>proposals found to be contrary to the national interest, or can impose conditions on an investment to address national interest concerns.</w:t>
      </w:r>
      <w:r>
        <w:t xml:space="preserve"> </w:t>
      </w:r>
      <w:r w:rsidR="00E961A1">
        <w:t>In 2017</w:t>
      </w:r>
      <w:r w:rsidR="00F528A0">
        <w:noBreakHyphen/>
      </w:r>
      <w:r w:rsidR="00E961A1">
        <w:t xml:space="preserve">18, there were 115 approvals in the mineral exploration and development sector, with a proposed investment value of $17.4 billion </w:t>
      </w:r>
      <w:r w:rsidR="00E961A1" w:rsidRPr="00E961A1">
        <w:rPr>
          <w:szCs w:val="24"/>
        </w:rPr>
        <w:t>(FIRB 2018)</w:t>
      </w:r>
      <w:r w:rsidR="00E961A1">
        <w:t>.</w:t>
      </w:r>
      <w:r w:rsidR="004D3E55">
        <w:t xml:space="preserve"> </w:t>
      </w:r>
      <w:r w:rsidR="00171059">
        <w:t>In addition,</w:t>
      </w:r>
      <w:r w:rsidR="004D3E55">
        <w:t xml:space="preserve"> nearly 40 per cent of foreign direct investment flows were directed to mining</w:t>
      </w:r>
      <w:r w:rsidR="005351F4">
        <w:t xml:space="preserve"> </w:t>
      </w:r>
      <w:r w:rsidR="005351F4" w:rsidRPr="005351F4">
        <w:rPr>
          <w:szCs w:val="24"/>
        </w:rPr>
        <w:t>(DFAT 2019)</w:t>
      </w:r>
      <w:r w:rsidR="005351F4">
        <w:t>.</w:t>
      </w:r>
    </w:p>
    <w:p w:rsidR="006B0950" w:rsidRPr="004E3B94" w:rsidRDefault="006B0950" w:rsidP="006B095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B0950" w:rsidTr="006B0950">
        <w:trPr>
          <w:tblHeader/>
        </w:trPr>
        <w:tc>
          <w:tcPr>
            <w:tcW w:w="5000" w:type="pct"/>
            <w:tcBorders>
              <w:top w:val="single" w:sz="6" w:space="0" w:color="78A22F"/>
              <w:left w:val="nil"/>
              <w:bottom w:val="nil"/>
              <w:right w:val="nil"/>
            </w:tcBorders>
            <w:shd w:val="clear" w:color="auto" w:fill="auto"/>
          </w:tcPr>
          <w:p w:rsidR="006B0950" w:rsidRPr="00CE4C64" w:rsidRDefault="006B0950" w:rsidP="006B0950">
            <w:pPr>
              <w:pStyle w:val="InformationRequestTitle"/>
              <w:spacing w:before="120"/>
            </w:pPr>
            <w:r w:rsidRPr="006E7EE2">
              <w:t>Information request</w:t>
            </w:r>
          </w:p>
        </w:tc>
      </w:tr>
      <w:tr w:rsidR="006B0950" w:rsidRPr="00750BE2" w:rsidTr="006B0950">
        <w:tc>
          <w:tcPr>
            <w:tcW w:w="5000" w:type="pct"/>
            <w:tcBorders>
              <w:top w:val="nil"/>
              <w:left w:val="nil"/>
              <w:bottom w:val="nil"/>
              <w:right w:val="nil"/>
            </w:tcBorders>
            <w:shd w:val="clear" w:color="auto" w:fill="auto"/>
          </w:tcPr>
          <w:p w:rsidR="006B0950" w:rsidRDefault="006B0950" w:rsidP="0023785B">
            <w:pPr>
              <w:pStyle w:val="InformationRequest"/>
              <w:keepNext/>
            </w:pPr>
            <w:r w:rsidRPr="00815828">
              <w:t xml:space="preserve">The Commission is seeking </w:t>
            </w:r>
            <w:r w:rsidR="004E0126">
              <w:t>examples of</w:t>
            </w:r>
            <w:r w:rsidRPr="00815828">
              <w:t xml:space="preserve"> </w:t>
            </w:r>
            <w:r>
              <w:t>government activity beyond resources sector</w:t>
            </w:r>
            <w:r>
              <w:noBreakHyphen/>
              <w:t xml:space="preserve">specific regulation </w:t>
            </w:r>
            <w:r w:rsidR="004E0126">
              <w:t>that influence</w:t>
            </w:r>
            <w:r w:rsidR="004E0126" w:rsidDel="0023785B">
              <w:t>s</w:t>
            </w:r>
            <w:r>
              <w:t xml:space="preserve"> investment, particularly where that activity represents a major impediment.</w:t>
            </w:r>
            <w:r w:rsidR="00630C85">
              <w:t xml:space="preserve"> How important for investment are these impediments?</w:t>
            </w:r>
          </w:p>
          <w:p w:rsidR="00B17035" w:rsidRPr="007F34E9" w:rsidRDefault="00B17035" w:rsidP="002D0291">
            <w:pPr>
              <w:pStyle w:val="InformationRequest"/>
            </w:pPr>
            <w:r w:rsidRPr="007F34E9">
              <w:t>How could the impact of these impediments be reduced?</w:t>
            </w:r>
          </w:p>
        </w:tc>
      </w:tr>
      <w:tr w:rsidR="006B0950" w:rsidTr="006B0950">
        <w:tc>
          <w:tcPr>
            <w:tcW w:w="5000" w:type="pct"/>
            <w:tcBorders>
              <w:top w:val="nil"/>
              <w:left w:val="nil"/>
              <w:bottom w:val="single" w:sz="6" w:space="0" w:color="78A22F"/>
              <w:right w:val="nil"/>
            </w:tcBorders>
            <w:shd w:val="clear" w:color="auto" w:fill="auto"/>
          </w:tcPr>
          <w:p w:rsidR="006B0950" w:rsidRDefault="006B0950" w:rsidP="006B0950">
            <w:pPr>
              <w:pStyle w:val="Space"/>
              <w:keepLines/>
            </w:pPr>
          </w:p>
        </w:tc>
      </w:tr>
      <w:tr w:rsidR="006B0950" w:rsidRPr="000863A5" w:rsidTr="006B0950">
        <w:trPr>
          <w:trHeight w:val="53"/>
        </w:trPr>
        <w:tc>
          <w:tcPr>
            <w:tcW w:w="5000" w:type="pct"/>
            <w:tcBorders>
              <w:top w:val="single" w:sz="6" w:space="0" w:color="78A22F"/>
              <w:left w:val="nil"/>
              <w:bottom w:val="nil"/>
              <w:right w:val="nil"/>
            </w:tcBorders>
          </w:tcPr>
          <w:p w:rsidR="006B0950" w:rsidRPr="00626D32" w:rsidRDefault="006B0950" w:rsidP="006B0950">
            <w:pPr>
              <w:pStyle w:val="BoxSpaceBelow"/>
              <w:keepLines/>
            </w:pPr>
          </w:p>
        </w:tc>
      </w:tr>
    </w:tbl>
    <w:p w:rsidR="00FC7888" w:rsidRPr="002E03EA" w:rsidRDefault="00403C61" w:rsidP="00FC7888">
      <w:pPr>
        <w:pStyle w:val="Heading2"/>
        <w:rPr>
          <w:spacing w:val="-4"/>
        </w:rPr>
      </w:pPr>
      <w:bookmarkStart w:id="27" w:name="_Toc18489683"/>
      <w:bookmarkStart w:id="28" w:name="_Toc18590492"/>
      <w:bookmarkStart w:id="29" w:name="_Toc19188653"/>
      <w:bookmarkStart w:id="30" w:name="_Toc19189844"/>
      <w:r>
        <w:rPr>
          <w:noProof/>
          <w:spacing w:val="-4"/>
        </w:rPr>
        <w:t>6</w:t>
      </w:r>
      <w:r w:rsidR="007B18A3" w:rsidRPr="002E03EA">
        <w:rPr>
          <w:spacing w:val="-4"/>
        </w:rPr>
        <w:tab/>
      </w:r>
      <w:r w:rsidR="00643B20">
        <w:rPr>
          <w:spacing w:val="-4"/>
        </w:rPr>
        <w:t>Best</w:t>
      </w:r>
      <w:r w:rsidR="00723B1F">
        <w:rPr>
          <w:spacing w:val="-4"/>
        </w:rPr>
        <w:noBreakHyphen/>
      </w:r>
      <w:r w:rsidR="00643B20">
        <w:rPr>
          <w:spacing w:val="-4"/>
        </w:rPr>
        <w:t>practice</w:t>
      </w:r>
      <w:r w:rsidR="002E03EA" w:rsidRPr="002E03EA">
        <w:rPr>
          <w:spacing w:val="-4"/>
        </w:rPr>
        <w:t xml:space="preserve"> </w:t>
      </w:r>
      <w:r w:rsidR="00643B20" w:rsidRPr="002E03EA">
        <w:rPr>
          <w:spacing w:val="-4"/>
        </w:rPr>
        <w:t>communit</w:t>
      </w:r>
      <w:r w:rsidR="00643B20">
        <w:rPr>
          <w:spacing w:val="-4"/>
        </w:rPr>
        <w:t xml:space="preserve">y </w:t>
      </w:r>
      <w:r w:rsidR="00643B20" w:rsidRPr="002E03EA">
        <w:rPr>
          <w:spacing w:val="-4"/>
        </w:rPr>
        <w:t>engage</w:t>
      </w:r>
      <w:r w:rsidR="00643B20">
        <w:rPr>
          <w:spacing w:val="-4"/>
        </w:rPr>
        <w:t>ment</w:t>
      </w:r>
      <w:r w:rsidR="00643B20" w:rsidRPr="002E03EA">
        <w:rPr>
          <w:spacing w:val="-4"/>
        </w:rPr>
        <w:t xml:space="preserve"> </w:t>
      </w:r>
      <w:r w:rsidR="002E03EA" w:rsidRPr="002E03EA">
        <w:rPr>
          <w:spacing w:val="-4"/>
        </w:rPr>
        <w:t>and benefit</w:t>
      </w:r>
      <w:r w:rsidR="003D1698">
        <w:rPr>
          <w:spacing w:val="-4"/>
        </w:rPr>
        <w:t xml:space="preserve"> </w:t>
      </w:r>
      <w:r w:rsidR="002E03EA" w:rsidRPr="002E03EA">
        <w:rPr>
          <w:spacing w:val="-4"/>
        </w:rPr>
        <w:t>shar</w:t>
      </w:r>
      <w:r w:rsidR="00643B20">
        <w:rPr>
          <w:spacing w:val="-4"/>
        </w:rPr>
        <w:t>ing</w:t>
      </w:r>
      <w:bookmarkEnd w:id="27"/>
      <w:bookmarkEnd w:id="28"/>
      <w:bookmarkEnd w:id="29"/>
      <w:bookmarkEnd w:id="30"/>
    </w:p>
    <w:p w:rsidR="00CF75EC" w:rsidRDefault="001C3FB1" w:rsidP="00341E43">
      <w:pPr>
        <w:pStyle w:val="BodyText"/>
      </w:pPr>
      <w:r>
        <w:t>T</w:t>
      </w:r>
      <w:r w:rsidR="00772045">
        <w:t xml:space="preserve">he Commission </w:t>
      </w:r>
      <w:r>
        <w:t xml:space="preserve">is to </w:t>
      </w:r>
      <w:r w:rsidR="00772045">
        <w:t xml:space="preserve">examine </w:t>
      </w:r>
      <w:r w:rsidR="00C779A3">
        <w:t xml:space="preserve">both </w:t>
      </w:r>
      <w:r w:rsidR="00772045">
        <w:t>regulatory and non</w:t>
      </w:r>
      <w:r w:rsidR="00F27DAA">
        <w:noBreakHyphen/>
      </w:r>
      <w:r w:rsidR="00772045">
        <w:t>regulatory approaches to community engagement and benefit</w:t>
      </w:r>
      <w:r w:rsidR="006B3083">
        <w:noBreakHyphen/>
      </w:r>
      <w:r w:rsidR="00772045">
        <w:t>sharing practices</w:t>
      </w:r>
      <w:r w:rsidR="00DC549E">
        <w:t>,</w:t>
      </w:r>
      <w:r w:rsidR="00772045">
        <w:t xml:space="preserve"> and identify best</w:t>
      </w:r>
      <w:r w:rsidR="00500231">
        <w:noBreakHyphen/>
      </w:r>
      <w:r w:rsidR="00772045">
        <w:t>practice</w:t>
      </w:r>
      <w:r>
        <w:t xml:space="preserve"> examples of where mutually</w:t>
      </w:r>
      <w:r w:rsidR="00500231">
        <w:noBreakHyphen/>
      </w:r>
      <w:r>
        <w:t>agreeable relationships have been developed between the resources sector and the communities in which they operate, including with Indigenous communities</w:t>
      </w:r>
      <w:r w:rsidR="00772045">
        <w:t>.</w:t>
      </w:r>
    </w:p>
    <w:p w:rsidR="004575F6" w:rsidRDefault="003459BE" w:rsidP="00341E43">
      <w:pPr>
        <w:pStyle w:val="BodyText"/>
      </w:pPr>
      <w:r>
        <w:t>Resources projects can affect</w:t>
      </w:r>
      <w:r w:rsidR="00273074">
        <w:t xml:space="preserve"> a wide range of stakeholders. </w:t>
      </w:r>
      <w:r w:rsidR="00034763">
        <w:t xml:space="preserve">Landholders may be affected </w:t>
      </w:r>
      <w:r w:rsidR="005B593B">
        <w:t xml:space="preserve">when </w:t>
      </w:r>
      <w:r>
        <w:t xml:space="preserve">companies access </w:t>
      </w:r>
      <w:r w:rsidR="00034763">
        <w:t>their</w:t>
      </w:r>
      <w:r>
        <w:t xml:space="preserve"> land.</w:t>
      </w:r>
      <w:r w:rsidR="00273074">
        <w:t xml:space="preserve"> Local communities may benefit from increased employment, but can also suffer </w:t>
      </w:r>
      <w:r w:rsidR="00B17035">
        <w:t xml:space="preserve">from negative spillovers such as </w:t>
      </w:r>
      <w:r w:rsidR="00273074">
        <w:t>increased noise and air pollution.</w:t>
      </w:r>
      <w:r w:rsidR="00563AE8">
        <w:t xml:space="preserve"> </w:t>
      </w:r>
      <w:r w:rsidR="00034763">
        <w:t>T</w:t>
      </w:r>
      <w:r w:rsidR="00563AE8">
        <w:t xml:space="preserve">he broader Australian community </w:t>
      </w:r>
      <w:r w:rsidR="00034763">
        <w:t>may</w:t>
      </w:r>
      <w:r w:rsidR="00563AE8">
        <w:t xml:space="preserve"> benefit </w:t>
      </w:r>
      <w:r w:rsidR="008B131A">
        <w:t xml:space="preserve">from resources activity </w:t>
      </w:r>
      <w:r w:rsidR="00563AE8">
        <w:t xml:space="preserve">through greater taxation revenue, but </w:t>
      </w:r>
      <w:r w:rsidR="008B131A">
        <w:t>may</w:t>
      </w:r>
      <w:r w:rsidR="00563AE8">
        <w:t xml:space="preserve"> be concerned about environmental impacts.</w:t>
      </w:r>
    </w:p>
    <w:p w:rsidR="003459BE" w:rsidRDefault="003459BE" w:rsidP="00341E43">
      <w:pPr>
        <w:pStyle w:val="BodyText"/>
      </w:pPr>
      <w:r>
        <w:t xml:space="preserve">Various legal and regulatory frameworks provide for the consideration of </w:t>
      </w:r>
      <w:r w:rsidR="00A03A62">
        <w:t>some</w:t>
      </w:r>
      <w:r>
        <w:t xml:space="preserve"> </w:t>
      </w:r>
      <w:r w:rsidR="00563AE8">
        <w:t xml:space="preserve">of these </w:t>
      </w:r>
      <w:r>
        <w:t>stakeholders’ interests. For example:</w:t>
      </w:r>
    </w:p>
    <w:p w:rsidR="00A03A62" w:rsidRDefault="001B169F" w:rsidP="00C05C33">
      <w:pPr>
        <w:pStyle w:val="ListBullet"/>
      </w:pPr>
      <w:r>
        <w:t xml:space="preserve">each </w:t>
      </w:r>
      <w:r w:rsidR="00034763">
        <w:t>S</w:t>
      </w:r>
      <w:r w:rsidR="00C502C1">
        <w:t>tate</w:t>
      </w:r>
      <w:r w:rsidR="00A03A62">
        <w:t xml:space="preserve"> and </w:t>
      </w:r>
      <w:r w:rsidR="00034763">
        <w:t>T</w:t>
      </w:r>
      <w:r w:rsidR="00A03A62">
        <w:t>errito</w:t>
      </w:r>
      <w:r w:rsidR="00C502C1">
        <w:t>ry</w:t>
      </w:r>
      <w:r>
        <w:t xml:space="preserve"> has</w:t>
      </w:r>
      <w:r w:rsidR="00A03A62">
        <w:t xml:space="preserve"> </w:t>
      </w:r>
      <w:r w:rsidR="00C502C1">
        <w:t>legislation</w:t>
      </w:r>
      <w:r>
        <w:t xml:space="preserve"> that</w:t>
      </w:r>
      <w:r w:rsidR="00A03A62">
        <w:t xml:space="preserve"> outlin</w:t>
      </w:r>
      <w:r w:rsidR="00C502C1">
        <w:t>e</w:t>
      </w:r>
      <w:r>
        <w:t>s</w:t>
      </w:r>
      <w:r w:rsidR="00A03A62">
        <w:t xml:space="preserve"> requirements for resources companies </w:t>
      </w:r>
      <w:r>
        <w:t xml:space="preserve">wishing </w:t>
      </w:r>
      <w:r w:rsidR="00A03A62">
        <w:t xml:space="preserve">to access private land, </w:t>
      </w:r>
      <w:r>
        <w:t>which may include</w:t>
      </w:r>
      <w:r w:rsidR="00A03A62">
        <w:t xml:space="preserve"> </w:t>
      </w:r>
      <w:r>
        <w:t xml:space="preserve">negotiating land access agreements </w:t>
      </w:r>
      <w:r w:rsidR="00444DD7">
        <w:t>or</w:t>
      </w:r>
      <w:r>
        <w:t xml:space="preserve"> providing </w:t>
      </w:r>
      <w:r w:rsidR="00A03A62">
        <w:t xml:space="preserve">compensation </w:t>
      </w:r>
      <w:r>
        <w:t>for adverse impacts</w:t>
      </w:r>
    </w:p>
    <w:p w:rsidR="00C502C1" w:rsidRDefault="00C502C1" w:rsidP="00C05C33">
      <w:pPr>
        <w:pStyle w:val="ListBullet"/>
      </w:pPr>
      <w:r>
        <w:t xml:space="preserve">the </w:t>
      </w:r>
      <w:r w:rsidRPr="001B169F">
        <w:rPr>
          <w:i/>
        </w:rPr>
        <w:t>Native Title Act 1993</w:t>
      </w:r>
      <w:r>
        <w:t xml:space="preserve"> (Cth)</w:t>
      </w:r>
      <w:r w:rsidR="001B169F">
        <w:t xml:space="preserve"> provides processes for</w:t>
      </w:r>
      <w:r>
        <w:t xml:space="preserve"> Indigenous communities to negotiate </w:t>
      </w:r>
      <w:r w:rsidR="001B169F">
        <w:t>land access and benefit</w:t>
      </w:r>
      <w:r w:rsidR="00723B1F">
        <w:noBreakHyphen/>
      </w:r>
      <w:r w:rsidR="001B169F">
        <w:t>sharing agreements</w:t>
      </w:r>
      <w:r w:rsidR="001B169F" w:rsidRPr="001B169F">
        <w:t xml:space="preserve"> </w:t>
      </w:r>
      <w:r w:rsidR="001B169F">
        <w:t>with resources companies (box</w:t>
      </w:r>
      <w:r w:rsidR="00723B1F">
        <w:t> </w:t>
      </w:r>
      <w:r w:rsidR="001B169F">
        <w:t>6)</w:t>
      </w:r>
    </w:p>
    <w:p w:rsidR="00081917" w:rsidRDefault="001B169F" w:rsidP="009917FA">
      <w:pPr>
        <w:pStyle w:val="ListBullet"/>
      </w:pPr>
      <w:r>
        <w:t xml:space="preserve">some </w:t>
      </w:r>
      <w:r w:rsidR="00034763">
        <w:t>S</w:t>
      </w:r>
      <w:r>
        <w:t xml:space="preserve">tate and </w:t>
      </w:r>
      <w:r w:rsidR="00034763">
        <w:t>T</w:t>
      </w:r>
      <w:r>
        <w:t>erritor</w:t>
      </w:r>
      <w:r w:rsidR="00034763">
        <w:t>y</w:t>
      </w:r>
      <w:r>
        <w:t xml:space="preserve"> </w:t>
      </w:r>
      <w:r w:rsidR="00D805D8">
        <w:t>laws</w:t>
      </w:r>
      <w:r>
        <w:t xml:space="preserve"> require resources companies to consult with, or consider the impacts of their activities on, local communities</w:t>
      </w:r>
      <w:r w:rsidR="009917FA">
        <w:t xml:space="preserve">. For example, in Victoria, mining licensees </w:t>
      </w:r>
      <w:r>
        <w:t>must</w:t>
      </w:r>
      <w:r w:rsidR="009917FA">
        <w:t xml:space="preserve"> </w:t>
      </w:r>
      <w:r>
        <w:t xml:space="preserve">prepare community engagement plans and </w:t>
      </w:r>
      <w:r w:rsidR="009917FA">
        <w:t>consult with the community across the entire life cycle of a mining development</w:t>
      </w:r>
      <w:r>
        <w:t xml:space="preserve"> </w:t>
      </w:r>
      <w:r w:rsidR="00932FF7" w:rsidRPr="00932FF7">
        <w:rPr>
          <w:szCs w:val="24"/>
        </w:rPr>
        <w:t>(Victorian Department of Jobs, Precincts and Regions 2019a)</w:t>
      </w:r>
      <w:r w:rsidR="009917FA">
        <w:t>.</w:t>
      </w:r>
      <w:r w:rsidR="00AF01D6">
        <w:t xml:space="preserve"> </w:t>
      </w:r>
      <w:r>
        <w:t>I</w:t>
      </w:r>
      <w:r w:rsidR="009917FA">
        <w:t xml:space="preserve">n Queensland, </w:t>
      </w:r>
      <w:r w:rsidR="00444DD7">
        <w:t>proponents of</w:t>
      </w:r>
      <w:r w:rsidR="009917FA">
        <w:t xml:space="preserve"> large resource projects </w:t>
      </w:r>
      <w:r w:rsidR="00444DD7">
        <w:t xml:space="preserve">near a regional community must </w:t>
      </w:r>
      <w:r w:rsidR="009917FA">
        <w:t>prioritise recruitment from</w:t>
      </w:r>
      <w:r w:rsidR="00751388">
        <w:t xml:space="preserve"> the</w:t>
      </w:r>
      <w:r w:rsidR="009917FA">
        <w:t xml:space="preserve"> local </w:t>
      </w:r>
      <w:r w:rsidR="00751388">
        <w:t>area and prepare</w:t>
      </w:r>
      <w:r w:rsidR="009917FA">
        <w:t xml:space="preserve"> social impact statements</w:t>
      </w:r>
      <w:r w:rsidR="00444DD7">
        <w:t xml:space="preserve"> </w:t>
      </w:r>
      <w:r w:rsidR="00444DD7" w:rsidRPr="00444DD7">
        <w:rPr>
          <w:szCs w:val="24"/>
        </w:rPr>
        <w:t>(Queensland Co-ordinator General 2018)</w:t>
      </w:r>
      <w:r w:rsidR="009917FA">
        <w:t>.</w:t>
      </w:r>
    </w:p>
    <w:p w:rsidR="00CF097F" w:rsidRDefault="00CF097F" w:rsidP="00CF09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F097F" w:rsidTr="00563AE8">
        <w:trPr>
          <w:tblHeader/>
        </w:trPr>
        <w:tc>
          <w:tcPr>
            <w:tcW w:w="5000" w:type="pct"/>
            <w:tcBorders>
              <w:top w:val="single" w:sz="6" w:space="0" w:color="78A22F"/>
              <w:left w:val="nil"/>
              <w:bottom w:val="nil"/>
              <w:right w:val="nil"/>
            </w:tcBorders>
            <w:shd w:val="clear" w:color="auto" w:fill="F2F2F2"/>
          </w:tcPr>
          <w:p w:rsidR="00CF097F" w:rsidRDefault="00CF097F" w:rsidP="00563AE8">
            <w:pPr>
              <w:pStyle w:val="BoxTitle"/>
            </w:pPr>
            <w:r>
              <w:rPr>
                <w:b w:val="0"/>
              </w:rPr>
              <w:t xml:space="preserve">Box </w:t>
            </w:r>
            <w:r w:rsidR="00403C61">
              <w:rPr>
                <w:b w:val="0"/>
                <w:noProof/>
              </w:rPr>
              <w:t>6</w:t>
            </w:r>
            <w:r>
              <w:tab/>
              <w:t>Native title and the resources sector</w:t>
            </w:r>
          </w:p>
        </w:tc>
      </w:tr>
      <w:tr w:rsidR="00CF097F" w:rsidTr="00563AE8">
        <w:tc>
          <w:tcPr>
            <w:tcW w:w="5000" w:type="pct"/>
            <w:tcBorders>
              <w:top w:val="nil"/>
              <w:left w:val="nil"/>
              <w:bottom w:val="nil"/>
              <w:right w:val="nil"/>
            </w:tcBorders>
            <w:shd w:val="clear" w:color="auto" w:fill="F2F2F2"/>
          </w:tcPr>
          <w:p w:rsidR="00CF097F" w:rsidRDefault="00CF097F" w:rsidP="00563AE8">
            <w:pPr>
              <w:pStyle w:val="Box"/>
            </w:pPr>
            <w:r>
              <w:t>Native title describes the interests and rights of Indigenous people in relation to land. It can include the right to the possession, use and occupation of land or the right to access land for particular purposes.</w:t>
            </w:r>
          </w:p>
          <w:p w:rsidR="00CF097F" w:rsidRDefault="00CF097F" w:rsidP="00563AE8">
            <w:pPr>
              <w:pStyle w:val="Box"/>
            </w:pPr>
            <w:r>
              <w:t xml:space="preserve">The </w:t>
            </w:r>
            <w:r w:rsidRPr="00BC5454">
              <w:rPr>
                <w:i/>
              </w:rPr>
              <w:t>Native Title Act 1993</w:t>
            </w:r>
            <w:r>
              <w:t xml:space="preserve"> (Cth) allows for recognition of native title through various claims and mediation processes. </w:t>
            </w:r>
            <w:r w:rsidR="00862C27">
              <w:t xml:space="preserve">Resources firms may </w:t>
            </w:r>
            <w:r w:rsidR="004744F6">
              <w:t>encounter</w:t>
            </w:r>
            <w:r w:rsidR="00230AFA">
              <w:t xml:space="preserve"> these processes when</w:t>
            </w:r>
            <w:r w:rsidR="00862C27">
              <w:t xml:space="preserve"> seeking to access land.</w:t>
            </w:r>
          </w:p>
          <w:p w:rsidR="00CF097F" w:rsidRDefault="00CF097F" w:rsidP="00BC5454">
            <w:pPr>
              <w:pStyle w:val="BoxListBullet"/>
            </w:pPr>
            <w:r>
              <w:t>Native title determination: A native title determination is a decision by the Federal Court of Australia that native title does or does not exist in relation to a particular area of land or waters.</w:t>
            </w:r>
          </w:p>
          <w:p w:rsidR="00CF097F" w:rsidRDefault="00CF097F" w:rsidP="00BC5454">
            <w:pPr>
              <w:pStyle w:val="BoxListBullet"/>
            </w:pPr>
            <w:r>
              <w:t xml:space="preserve">Future acts: </w:t>
            </w:r>
            <w:r w:rsidR="009578F9">
              <w:t>Future acts are activities</w:t>
            </w:r>
            <w:r>
              <w:t xml:space="preserve"> that </w:t>
            </w:r>
            <w:r w:rsidR="009578F9">
              <w:t xml:space="preserve">can </w:t>
            </w:r>
            <w:r>
              <w:t>affect native title</w:t>
            </w:r>
            <w:r w:rsidR="00CD449E">
              <w:t xml:space="preserve">, and </w:t>
            </w:r>
            <w:r>
              <w:t>include the grant or renewal of resource exploration and extraction</w:t>
            </w:r>
            <w:r w:rsidR="009578F9">
              <w:t xml:space="preserve"> licences and permits</w:t>
            </w:r>
            <w:r w:rsidR="00CD449E">
              <w:t>. The future act</w:t>
            </w:r>
            <w:r>
              <w:t xml:space="preserve"> regime specifies the procedures to be followed before the future act can be done, the effect that the act will have on native title, and whether compensation will be payable for interference with native title rights.</w:t>
            </w:r>
          </w:p>
          <w:p w:rsidR="00CF097F" w:rsidRDefault="00CF097F" w:rsidP="00BC5454">
            <w:pPr>
              <w:pStyle w:val="BoxListBullet"/>
            </w:pPr>
            <w:r>
              <w:t xml:space="preserve">Right to negotiate: </w:t>
            </w:r>
            <w:r w:rsidR="00862C27">
              <w:t>The ‘right to negotiate’ process gives registered native title parties the opportunity to negotiate conditions or an agreement regarding the proposed action over native title land. If no agreement is reached, the matter is referred to the National Native Title Tribunal for arbitration.</w:t>
            </w:r>
          </w:p>
          <w:p w:rsidR="00230AFA" w:rsidRDefault="00230AFA" w:rsidP="00BC5454">
            <w:pPr>
              <w:pStyle w:val="BoxListBullet"/>
            </w:pPr>
            <w:r>
              <w:t>Expedited procedure: Native title rights and interests can be resolved through an ‘expedited procedure’ where exploration authorities and mineral development licences do not cause major ground disturbance.</w:t>
            </w:r>
          </w:p>
          <w:p w:rsidR="00CF097F" w:rsidRDefault="00CF097F" w:rsidP="00BC5454">
            <w:pPr>
              <w:pStyle w:val="BoxListBullet"/>
            </w:pPr>
            <w:r>
              <w:t xml:space="preserve">Indigenous land use agreements (ILUAs): An ILUA is </w:t>
            </w:r>
            <w:r w:rsidR="00932FF7">
              <w:t>a voluntary</w:t>
            </w:r>
            <w:r>
              <w:t xml:space="preserve"> agreement between a native title group and others about the use and management of land and waters. An ILUA can be negotiated and registered whether </w:t>
            </w:r>
            <w:r w:rsidR="00932FF7">
              <w:t xml:space="preserve">or not </w:t>
            </w:r>
            <w:r>
              <w:t>there is a native title claim over the area. When registered, ILUAs bind all parties and all native title holders to the terms of the agreement</w:t>
            </w:r>
            <w:r w:rsidR="00862C27">
              <w:t>.</w:t>
            </w:r>
          </w:p>
        </w:tc>
      </w:tr>
      <w:tr w:rsidR="00230AFA" w:rsidTr="00563AE8">
        <w:tc>
          <w:tcPr>
            <w:tcW w:w="5000" w:type="pct"/>
            <w:tcBorders>
              <w:top w:val="nil"/>
              <w:left w:val="nil"/>
              <w:bottom w:val="nil"/>
              <w:right w:val="nil"/>
            </w:tcBorders>
            <w:shd w:val="clear" w:color="auto" w:fill="F2F2F2"/>
          </w:tcPr>
          <w:p w:rsidR="00230AFA" w:rsidRPr="00932FF7" w:rsidRDefault="00230AFA" w:rsidP="00932FF7">
            <w:pPr>
              <w:pStyle w:val="BoxSource"/>
              <w:rPr>
                <w:i/>
              </w:rPr>
            </w:pPr>
            <w:r w:rsidRPr="00932FF7">
              <w:rPr>
                <w:i/>
              </w:rPr>
              <w:t>Sources</w:t>
            </w:r>
            <w:r w:rsidRPr="00F528A0">
              <w:t>:</w:t>
            </w:r>
            <w:r w:rsidRPr="00932FF7">
              <w:rPr>
                <w:i/>
              </w:rPr>
              <w:t xml:space="preserve"> </w:t>
            </w:r>
            <w:r w:rsidRPr="00F825C4">
              <w:t xml:space="preserve">Business Queensland </w:t>
            </w:r>
            <w:r w:rsidR="007F6390" w:rsidRPr="00F825C4">
              <w:rPr>
                <w:rFonts w:cs="Arial"/>
              </w:rPr>
              <w:t>(2017)</w:t>
            </w:r>
            <w:r w:rsidRPr="00F825C4">
              <w:t xml:space="preserve">, </w:t>
            </w:r>
            <w:r w:rsidR="00932FF7" w:rsidRPr="00F825C4">
              <w:t xml:space="preserve">PC </w:t>
            </w:r>
            <w:r w:rsidR="00932FF7" w:rsidRPr="00F825C4">
              <w:rPr>
                <w:rFonts w:cs="Arial"/>
              </w:rPr>
              <w:t>(2016)</w:t>
            </w:r>
            <w:r w:rsidR="00932FF7" w:rsidRPr="00F825C4">
              <w:t xml:space="preserve">, </w:t>
            </w:r>
            <w:r w:rsidRPr="00F825C4">
              <w:t>Victorian Department</w:t>
            </w:r>
            <w:r w:rsidR="007F6390" w:rsidRPr="00F825C4">
              <w:t xml:space="preserve"> of Jobs, Precincts and Regions </w:t>
            </w:r>
            <w:r w:rsidR="007F6390" w:rsidRPr="00F825C4">
              <w:rPr>
                <w:rFonts w:cs="Arial"/>
              </w:rPr>
              <w:t>(2019b)</w:t>
            </w:r>
            <w:r w:rsidR="00932FF7" w:rsidRPr="00F825C4">
              <w:t>.</w:t>
            </w:r>
          </w:p>
        </w:tc>
      </w:tr>
      <w:tr w:rsidR="00CF097F" w:rsidTr="00563AE8">
        <w:tc>
          <w:tcPr>
            <w:tcW w:w="5000" w:type="pct"/>
            <w:tcBorders>
              <w:top w:val="nil"/>
              <w:left w:val="nil"/>
              <w:bottom w:val="single" w:sz="6" w:space="0" w:color="78A22F"/>
              <w:right w:val="nil"/>
            </w:tcBorders>
            <w:shd w:val="clear" w:color="auto" w:fill="F2F2F2"/>
          </w:tcPr>
          <w:p w:rsidR="00CF097F" w:rsidRDefault="00CF097F" w:rsidP="00563AE8">
            <w:pPr>
              <w:pStyle w:val="Box"/>
              <w:spacing w:before="0" w:line="120" w:lineRule="exact"/>
            </w:pPr>
          </w:p>
        </w:tc>
      </w:tr>
      <w:tr w:rsidR="00CF097F" w:rsidRPr="000863A5" w:rsidTr="00563AE8">
        <w:tc>
          <w:tcPr>
            <w:tcW w:w="5000" w:type="pct"/>
            <w:tcBorders>
              <w:top w:val="single" w:sz="6" w:space="0" w:color="78A22F"/>
              <w:left w:val="nil"/>
              <w:bottom w:val="nil"/>
              <w:right w:val="nil"/>
            </w:tcBorders>
          </w:tcPr>
          <w:p w:rsidR="00CF097F" w:rsidRPr="00626D32" w:rsidRDefault="00CF097F" w:rsidP="00563AE8">
            <w:pPr>
              <w:pStyle w:val="BoxSpaceBelow"/>
            </w:pPr>
          </w:p>
        </w:tc>
      </w:tr>
    </w:tbl>
    <w:p w:rsidR="003D5787" w:rsidRDefault="003D5787" w:rsidP="003D5787">
      <w:pPr>
        <w:pStyle w:val="BodyText"/>
      </w:pPr>
      <w:r>
        <w:t xml:space="preserve">Some jurisdictions also have (or have had) programs that direct royalties to regional projects. Western Australia, for example, has directed over $8 billion of royalties since 2008 towards initiatives targeting regional development </w:t>
      </w:r>
      <w:r w:rsidRPr="000A7579">
        <w:rPr>
          <w:szCs w:val="24"/>
        </w:rPr>
        <w:t>(WARDT 2018)</w:t>
      </w:r>
      <w:r>
        <w:t>.</w:t>
      </w:r>
    </w:p>
    <w:p w:rsidR="003D5787" w:rsidRDefault="003D5787" w:rsidP="003D5787">
      <w:pPr>
        <w:pStyle w:val="BodyText"/>
      </w:pPr>
      <w:r>
        <w:t>Further, beyond regulatory requirements, as noted above, many resources companies undertake community engagement and benefit sharing on a voluntary basis. Interest in voluntary engagement has increased in recent decades — a phenomenon which has been attributed to:</w:t>
      </w:r>
    </w:p>
    <w:p w:rsidR="003D5787" w:rsidRPr="002D0291" w:rsidRDefault="003D5787" w:rsidP="003D5787">
      <w:pPr>
        <w:pStyle w:val="Quote"/>
        <w:rPr>
          <w:spacing w:val="-4"/>
        </w:rPr>
      </w:pPr>
      <w:r w:rsidRPr="002D0291">
        <w:rPr>
          <w:spacing w:val="-4"/>
        </w:rPr>
        <w:t>…</w:t>
      </w:r>
      <w:r w:rsidR="00723B1F" w:rsidRPr="002D0291">
        <w:rPr>
          <w:spacing w:val="-4"/>
        </w:rPr>
        <w:t xml:space="preserve"> </w:t>
      </w:r>
      <w:r w:rsidRPr="002D0291">
        <w:rPr>
          <w:spacing w:val="-4"/>
        </w:rPr>
        <w:t xml:space="preserve">heightened stakeholder and community expectations, the glare of global scrutiny, the demise of the traditional mining town, and the growing influence of concepts such as ‘corporate social responsibility’, ‘sustainable development’ and ‘triple bottom line’. </w:t>
      </w:r>
      <w:r w:rsidRPr="002D0291">
        <w:rPr>
          <w:spacing w:val="-4"/>
          <w:szCs w:val="24"/>
        </w:rPr>
        <w:t>(Harvey and Brereton 2005, p. 2)</w:t>
      </w:r>
    </w:p>
    <w:p w:rsidR="003D5787" w:rsidRDefault="003D5787" w:rsidP="003D5787">
      <w:pPr>
        <w:pStyle w:val="BodyText"/>
      </w:pPr>
      <w:r>
        <w:t>Notwithstanding increasing interest in community engagement and benefit sharing, the Resources 2030 Taskforce identified large variations in the quality of engagement between communities and resources firms, caused by:</w:t>
      </w:r>
    </w:p>
    <w:p w:rsidR="003D5787" w:rsidRDefault="003D5787" w:rsidP="003D5787">
      <w:pPr>
        <w:pStyle w:val="Quote"/>
      </w:pPr>
      <w:r>
        <w:lastRenderedPageBreak/>
        <w:t>…</w:t>
      </w:r>
      <w:r w:rsidR="00723B1F">
        <w:t xml:space="preserve"> </w:t>
      </w:r>
      <w:r>
        <w:t xml:space="preserve">the varying knowledge, experience and needs of each community, and individuals’ skills and capabilities. Also, while several guidelines, standards and industry policies exist — such as those produced by the Minerals Council of Australia (MCA) and the Department of Industry, Innovation and Science — they offer a range of varying and, at times, conflicting advice. There is no one credible standard source. </w:t>
      </w:r>
      <w:r w:rsidR="0023494D" w:rsidRPr="0023494D">
        <w:rPr>
          <w:szCs w:val="24"/>
        </w:rPr>
        <w:t>(Cripps 2018, p. 52)</w:t>
      </w:r>
    </w:p>
    <w:p w:rsidR="003D5787" w:rsidRPr="007F34E9" w:rsidRDefault="003D5787" w:rsidP="003D5787">
      <w:pPr>
        <w:pStyle w:val="BodyText"/>
      </w:pPr>
      <w:r>
        <w:t xml:space="preserve">Complex and protracted negotiating processes may also act as an impediment to resources sector investment. </w:t>
      </w:r>
    </w:p>
    <w:p w:rsidR="00907477" w:rsidRPr="004E3B94" w:rsidRDefault="00907477" w:rsidP="001714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07477" w:rsidTr="001A722B">
        <w:trPr>
          <w:tblHeader/>
        </w:trPr>
        <w:tc>
          <w:tcPr>
            <w:tcW w:w="5000" w:type="pct"/>
            <w:tcBorders>
              <w:top w:val="single" w:sz="6" w:space="0" w:color="78A22F"/>
              <w:left w:val="nil"/>
              <w:bottom w:val="nil"/>
              <w:right w:val="nil"/>
            </w:tcBorders>
            <w:shd w:val="clear" w:color="auto" w:fill="auto"/>
          </w:tcPr>
          <w:p w:rsidR="00907477" w:rsidRPr="00CE4C64" w:rsidRDefault="00907477" w:rsidP="001A722B">
            <w:pPr>
              <w:pStyle w:val="InformationRequestTitle"/>
              <w:spacing w:before="120"/>
            </w:pPr>
            <w:r w:rsidRPr="006E7EE2">
              <w:t>Information request</w:t>
            </w:r>
          </w:p>
        </w:tc>
      </w:tr>
      <w:tr w:rsidR="00907477" w:rsidRPr="00750BE2" w:rsidTr="001A722B">
        <w:tc>
          <w:tcPr>
            <w:tcW w:w="5000" w:type="pct"/>
            <w:tcBorders>
              <w:top w:val="nil"/>
              <w:left w:val="nil"/>
              <w:bottom w:val="nil"/>
              <w:right w:val="nil"/>
            </w:tcBorders>
            <w:shd w:val="clear" w:color="auto" w:fill="auto"/>
          </w:tcPr>
          <w:p w:rsidR="00016F60" w:rsidRPr="00625785" w:rsidRDefault="00E97FD8" w:rsidP="00625785">
            <w:pPr>
              <w:pStyle w:val="InformationRequest"/>
            </w:pPr>
            <w:r w:rsidRPr="00625785">
              <w:t xml:space="preserve">The Commission is seeking </w:t>
            </w:r>
            <w:r w:rsidR="00016F60" w:rsidRPr="00625785">
              <w:t xml:space="preserve">examples of </w:t>
            </w:r>
            <w:r w:rsidR="00F6557C" w:rsidRPr="00625785">
              <w:t xml:space="preserve">both </w:t>
            </w:r>
            <w:r w:rsidR="00884923" w:rsidRPr="00625785">
              <w:t xml:space="preserve">effective </w:t>
            </w:r>
            <w:r w:rsidR="00AE149B" w:rsidRPr="00625785">
              <w:t>and best</w:t>
            </w:r>
            <w:r w:rsidR="00AE149B" w:rsidRPr="00625785">
              <w:noBreakHyphen/>
              <w:t>practice</w:t>
            </w:r>
            <w:r w:rsidR="00884923" w:rsidRPr="00625785">
              <w:t xml:space="preserve"> </w:t>
            </w:r>
            <w:r w:rsidR="00016F60" w:rsidRPr="00625785">
              <w:t>community engagement and benefit</w:t>
            </w:r>
            <w:r w:rsidR="009578F9" w:rsidRPr="00625785">
              <w:noBreakHyphen/>
            </w:r>
            <w:r w:rsidR="00016F60" w:rsidRPr="00625785">
              <w:t>sharing</w:t>
            </w:r>
            <w:r w:rsidR="009652C0" w:rsidRPr="00625785">
              <w:t xml:space="preserve"> </w:t>
            </w:r>
            <w:r w:rsidRPr="00625785">
              <w:t xml:space="preserve">practices, </w:t>
            </w:r>
            <w:r w:rsidR="009652C0" w:rsidRPr="00625785">
              <w:t xml:space="preserve">including with Indigenous communities, </w:t>
            </w:r>
            <w:r w:rsidR="00AE149B" w:rsidRPr="00625785">
              <w:t>in</w:t>
            </w:r>
            <w:r w:rsidRPr="00625785">
              <w:t xml:space="preserve"> </w:t>
            </w:r>
            <w:r w:rsidR="00016F60" w:rsidRPr="00625785">
              <w:t xml:space="preserve">Australia </w:t>
            </w:r>
            <w:r w:rsidRPr="00625785">
              <w:t>and</w:t>
            </w:r>
            <w:r w:rsidR="00016F60" w:rsidRPr="00625785">
              <w:t xml:space="preserve"> internationally</w:t>
            </w:r>
            <w:r w:rsidR="00AE149B" w:rsidRPr="00625785">
              <w:t>, and examples that are problematic</w:t>
            </w:r>
            <w:r w:rsidR="00F6557C" w:rsidRPr="00625785">
              <w:t>.</w:t>
            </w:r>
          </w:p>
          <w:p w:rsidR="00907477" w:rsidRPr="006E7EE2" w:rsidRDefault="00B17035" w:rsidP="00625785">
            <w:pPr>
              <w:pStyle w:val="InformationRequest"/>
            </w:pPr>
            <w:r w:rsidRPr="00625785">
              <w:t xml:space="preserve">What are </w:t>
            </w:r>
            <w:r w:rsidR="00FF28C4" w:rsidRPr="00625785">
              <w:t xml:space="preserve">key </w:t>
            </w:r>
            <w:r w:rsidRPr="00625785">
              <w:t xml:space="preserve">drivers of good or poor outcomes? </w:t>
            </w:r>
            <w:r w:rsidR="00FF28C4" w:rsidRPr="00625785">
              <w:t>H</w:t>
            </w:r>
            <w:r w:rsidR="00AE149B" w:rsidRPr="00625785">
              <w:t xml:space="preserve">ow </w:t>
            </w:r>
            <w:r w:rsidR="00FF28C4" w:rsidRPr="00625785">
              <w:t xml:space="preserve">could identified </w:t>
            </w:r>
            <w:r w:rsidR="00AE149B" w:rsidRPr="00625785">
              <w:t xml:space="preserve">shortcomings </w:t>
            </w:r>
            <w:r w:rsidR="00FF28C4" w:rsidRPr="00625785">
              <w:t xml:space="preserve">be </w:t>
            </w:r>
            <w:r w:rsidR="00AE149B" w:rsidRPr="00625785">
              <w:t>remedied</w:t>
            </w:r>
            <w:r w:rsidR="00FF28C4" w:rsidRPr="00625785">
              <w:t>?</w:t>
            </w:r>
          </w:p>
        </w:tc>
      </w:tr>
      <w:tr w:rsidR="00907477" w:rsidTr="001A722B">
        <w:tc>
          <w:tcPr>
            <w:tcW w:w="5000" w:type="pct"/>
            <w:tcBorders>
              <w:top w:val="nil"/>
              <w:left w:val="nil"/>
              <w:bottom w:val="single" w:sz="6" w:space="0" w:color="78A22F"/>
              <w:right w:val="nil"/>
            </w:tcBorders>
            <w:shd w:val="clear" w:color="auto" w:fill="auto"/>
          </w:tcPr>
          <w:p w:rsidR="00907477" w:rsidRDefault="00907477" w:rsidP="001A722B">
            <w:pPr>
              <w:pStyle w:val="Space"/>
              <w:keepLines/>
            </w:pPr>
          </w:p>
        </w:tc>
      </w:tr>
      <w:tr w:rsidR="00907477" w:rsidRPr="000863A5" w:rsidTr="001A722B">
        <w:trPr>
          <w:trHeight w:val="53"/>
        </w:trPr>
        <w:tc>
          <w:tcPr>
            <w:tcW w:w="5000" w:type="pct"/>
            <w:tcBorders>
              <w:top w:val="single" w:sz="6" w:space="0" w:color="78A22F"/>
              <w:left w:val="nil"/>
              <w:bottom w:val="nil"/>
              <w:right w:val="nil"/>
            </w:tcBorders>
          </w:tcPr>
          <w:p w:rsidR="00907477" w:rsidRPr="00626D32" w:rsidRDefault="00907477" w:rsidP="001A722B">
            <w:pPr>
              <w:pStyle w:val="BoxSpaceBelow"/>
              <w:keepLines/>
            </w:pPr>
          </w:p>
        </w:tc>
      </w:tr>
    </w:tbl>
    <w:p w:rsidR="00294EB2" w:rsidRDefault="00294EB2" w:rsidP="00632368">
      <w:pPr>
        <w:pStyle w:val="BodyText"/>
      </w:pPr>
    </w:p>
    <w:p w:rsidR="00D96622" w:rsidRDefault="00D96622" w:rsidP="00D96622">
      <w:pPr>
        <w:pStyle w:val="BodyText"/>
        <w:sectPr w:rsidR="00D96622" w:rsidSect="00E37F12">
          <w:headerReference w:type="even" r:id="rId22"/>
          <w:headerReference w:type="default" r:id="rId23"/>
          <w:footerReference w:type="default" r:id="rId24"/>
          <w:type w:val="oddPage"/>
          <w:pgSz w:w="11907" w:h="16840" w:code="9"/>
          <w:pgMar w:top="1985" w:right="1304" w:bottom="1247" w:left="1814" w:header="1701" w:footer="397" w:gutter="0"/>
          <w:pgNumType w:start="1" w:chapSep="period"/>
          <w:cols w:space="720"/>
        </w:sectPr>
      </w:pPr>
    </w:p>
    <w:p w:rsidR="009C3A95" w:rsidRPr="00F3404D" w:rsidRDefault="009C3A95" w:rsidP="00F3404D">
      <w:pPr>
        <w:pStyle w:val="Heading2"/>
        <w:spacing w:before="120" w:after="360"/>
        <w:rPr>
          <w:spacing w:val="-4"/>
        </w:rPr>
      </w:pPr>
      <w:bookmarkStart w:id="31" w:name="_Toc18489684"/>
      <w:bookmarkStart w:id="32" w:name="_Toc18590493"/>
      <w:bookmarkStart w:id="33" w:name="_Toc19188654"/>
      <w:bookmarkStart w:id="34" w:name="_Toc19189845"/>
      <w:r w:rsidRPr="00F3404D">
        <w:rPr>
          <w:spacing w:val="-4"/>
        </w:rPr>
        <w:lastRenderedPageBreak/>
        <w:t>References</w:t>
      </w:r>
      <w:bookmarkEnd w:id="31"/>
      <w:bookmarkEnd w:id="32"/>
      <w:bookmarkEnd w:id="33"/>
      <w:bookmarkEnd w:id="34"/>
    </w:p>
    <w:p w:rsidR="007F6390" w:rsidRPr="00445BA5" w:rsidRDefault="007F6390" w:rsidP="00445BA5">
      <w:pPr>
        <w:pStyle w:val="Reference"/>
        <w:rPr>
          <w:spacing w:val="-2"/>
        </w:rPr>
      </w:pPr>
      <w:r w:rsidRPr="00445BA5">
        <w:rPr>
          <w:spacing w:val="-2"/>
        </w:rPr>
        <w:t xml:space="preserve">ABC News 2015, </w:t>
      </w:r>
      <w:r w:rsidRPr="00445BA5">
        <w:rPr>
          <w:i/>
          <w:iCs/>
          <w:spacing w:val="-2"/>
        </w:rPr>
        <w:t>$16 billion Carmichael coal mine approval set aside over ‘technical matter’</w:t>
      </w:r>
      <w:r w:rsidRPr="00445BA5">
        <w:rPr>
          <w:spacing w:val="-2"/>
        </w:rPr>
        <w:t>, Text, ABC News, https://www.abc.net.au/news/2015-08-05/federal-court-overturns-approval-of-adanis-carmichael-coal-mine/6673734 (accessed 27 August 2019).</w:t>
      </w:r>
    </w:p>
    <w:p w:rsidR="007F6390" w:rsidRPr="00445BA5" w:rsidRDefault="007F6390" w:rsidP="00445BA5">
      <w:pPr>
        <w:pStyle w:val="Reference"/>
        <w:rPr>
          <w:spacing w:val="-2"/>
        </w:rPr>
      </w:pPr>
      <w:r w:rsidRPr="00445BA5">
        <w:rPr>
          <w:spacing w:val="-2"/>
        </w:rPr>
        <w:t xml:space="preserve">ABS (Australian Bureau of Statistics) 2019a, </w:t>
      </w:r>
      <w:r w:rsidRPr="00445BA5">
        <w:rPr>
          <w:i/>
          <w:iCs/>
          <w:spacing w:val="-2"/>
        </w:rPr>
        <w:t>Labour Force, Australia, Detailed, Quarterly</w:t>
      </w:r>
      <w:r w:rsidRPr="00445BA5">
        <w:rPr>
          <w:spacing w:val="-2"/>
        </w:rPr>
        <w:t>, May, Cat. no. 6291.0.55.003.</w:t>
      </w:r>
    </w:p>
    <w:p w:rsidR="007F6390" w:rsidRPr="00445BA5" w:rsidRDefault="007F6390" w:rsidP="00445BA5">
      <w:pPr>
        <w:pStyle w:val="Reference"/>
        <w:rPr>
          <w:spacing w:val="-2"/>
        </w:rPr>
      </w:pPr>
      <w:r w:rsidRPr="00445BA5">
        <w:rPr>
          <w:spacing w:val="-2"/>
        </w:rPr>
        <w:t xml:space="preserve">—— (Australian Bureau of Statistics) 2019b, </w:t>
      </w:r>
      <w:r w:rsidRPr="00445BA5">
        <w:rPr>
          <w:i/>
          <w:iCs/>
          <w:spacing w:val="-2"/>
        </w:rPr>
        <w:t>Private New Capital Expenditure and Expected Expenditure</w:t>
      </w:r>
      <w:r w:rsidRPr="00445BA5">
        <w:rPr>
          <w:spacing w:val="-2"/>
        </w:rPr>
        <w:t>, March, Cat. no. 5625.0.</w:t>
      </w:r>
    </w:p>
    <w:p w:rsidR="007F6390" w:rsidRPr="00445BA5" w:rsidRDefault="007F6390" w:rsidP="00445BA5">
      <w:pPr>
        <w:pStyle w:val="Reference"/>
        <w:rPr>
          <w:spacing w:val="-2"/>
        </w:rPr>
      </w:pPr>
      <w:r w:rsidRPr="00445BA5">
        <w:rPr>
          <w:spacing w:val="-2"/>
        </w:rPr>
        <w:t xml:space="preserve">Australian Government 2016, </w:t>
      </w:r>
      <w:r w:rsidRPr="00445BA5">
        <w:rPr>
          <w:i/>
          <w:iCs/>
          <w:spacing w:val="-2"/>
        </w:rPr>
        <w:t>Mine rehabilitation: Leading practice sustainable development program for the mining industry</w:t>
      </w:r>
      <w:r w:rsidRPr="00445BA5">
        <w:rPr>
          <w:spacing w:val="-2"/>
        </w:rPr>
        <w:t>.</w:t>
      </w:r>
    </w:p>
    <w:p w:rsidR="007F6390" w:rsidRPr="00445BA5" w:rsidRDefault="007F6390" w:rsidP="00445BA5">
      <w:pPr>
        <w:pStyle w:val="Reference"/>
        <w:rPr>
          <w:spacing w:val="-2"/>
        </w:rPr>
      </w:pPr>
      <w:r w:rsidRPr="00445BA5">
        <w:rPr>
          <w:spacing w:val="-2"/>
        </w:rPr>
        <w:t xml:space="preserve">Bell-James, J. 2016, </w:t>
      </w:r>
      <w:r w:rsidRPr="00445BA5">
        <w:rPr>
          <w:i/>
          <w:iCs/>
          <w:spacing w:val="-2"/>
        </w:rPr>
        <w:t>Carmichael mine jumps another legal hurdle, but litigants are making headway</w:t>
      </w:r>
      <w:r w:rsidRPr="00445BA5">
        <w:rPr>
          <w:spacing w:val="-2"/>
        </w:rPr>
        <w:t>, The Conversation, http://theconversation.com/carmichael-mine-jumps-another-legal-hurdle-but-litigants-are-making-headway-69423 (accessed 3 September 2019).</w:t>
      </w:r>
    </w:p>
    <w:p w:rsidR="007F6390" w:rsidRPr="00445BA5" w:rsidRDefault="007F6390" w:rsidP="00445BA5">
      <w:pPr>
        <w:pStyle w:val="Reference"/>
        <w:rPr>
          <w:spacing w:val="-2"/>
        </w:rPr>
      </w:pPr>
      <w:r w:rsidRPr="00445BA5">
        <w:rPr>
          <w:spacing w:val="-2"/>
        </w:rPr>
        <w:t xml:space="preserve">—— 2019, </w:t>
      </w:r>
      <w:r w:rsidRPr="00445BA5">
        <w:rPr>
          <w:i/>
          <w:iCs/>
          <w:spacing w:val="-2"/>
        </w:rPr>
        <w:t>Landmark Rocky Hill ruling could pave the way for more courts to choose climate over coal</w:t>
      </w:r>
      <w:r w:rsidRPr="00445BA5">
        <w:rPr>
          <w:spacing w:val="-2"/>
        </w:rPr>
        <w:t>, The Conversation, http://theconversation.com/landmark-rocky-hill-ruling-could-pave-the-way-for-more-courts-to-choose-climate-over-coal-111533 (accessed 3 September 2019).</w:t>
      </w:r>
    </w:p>
    <w:p w:rsidR="007F6390" w:rsidRPr="00445BA5" w:rsidRDefault="007F6390" w:rsidP="00445BA5">
      <w:pPr>
        <w:pStyle w:val="Reference"/>
        <w:rPr>
          <w:spacing w:val="-2"/>
        </w:rPr>
      </w:pPr>
      <w:r w:rsidRPr="00445BA5">
        <w:rPr>
          <w:spacing w:val="-2"/>
        </w:rPr>
        <w:t xml:space="preserve">Business Queensland 2017, </w:t>
      </w:r>
      <w:r w:rsidRPr="00445BA5">
        <w:rPr>
          <w:i/>
          <w:iCs/>
          <w:spacing w:val="-2"/>
        </w:rPr>
        <w:t>Expedited procedure</w:t>
      </w:r>
      <w:r w:rsidRPr="00445BA5">
        <w:rPr>
          <w:spacing w:val="-2"/>
        </w:rPr>
        <w:t>, https://www.business.qld.gov.au/industries/</w:t>
      </w:r>
      <w:r w:rsidR="00445BA5">
        <w:rPr>
          <w:spacing w:val="-2"/>
        </w:rPr>
        <w:br/>
      </w:r>
      <w:r w:rsidRPr="00445BA5">
        <w:rPr>
          <w:spacing w:val="-2"/>
        </w:rPr>
        <w:t>mining-energy-water/resources/minerals-coal/authorities-permits/applying/native-title/expedited (accessed 3 September 2019).</w:t>
      </w:r>
    </w:p>
    <w:p w:rsidR="007F6390" w:rsidRPr="00445BA5" w:rsidRDefault="007F6390" w:rsidP="00445BA5">
      <w:pPr>
        <w:pStyle w:val="Reference"/>
        <w:rPr>
          <w:spacing w:val="-2"/>
        </w:rPr>
      </w:pPr>
      <w:r w:rsidRPr="00445BA5">
        <w:rPr>
          <w:spacing w:val="-2"/>
        </w:rPr>
        <w:t xml:space="preserve">COAG (Council of Australian Governments) 2007, </w:t>
      </w:r>
      <w:r w:rsidRPr="00445BA5">
        <w:rPr>
          <w:i/>
          <w:iCs/>
          <w:spacing w:val="-2"/>
        </w:rPr>
        <w:t>Best Practice Regulation</w:t>
      </w:r>
      <w:r w:rsidRPr="00445BA5">
        <w:rPr>
          <w:spacing w:val="-2"/>
        </w:rPr>
        <w:t>.</w:t>
      </w:r>
    </w:p>
    <w:p w:rsidR="007F6390" w:rsidRPr="00445BA5" w:rsidRDefault="007F6390" w:rsidP="00445BA5">
      <w:pPr>
        <w:pStyle w:val="Reference"/>
        <w:rPr>
          <w:spacing w:val="-2"/>
        </w:rPr>
      </w:pPr>
      <w:r w:rsidRPr="00445BA5">
        <w:rPr>
          <w:spacing w:val="-2"/>
        </w:rPr>
        <w:t xml:space="preserve">Cox, L. 2019, </w:t>
      </w:r>
      <w:r w:rsidRPr="00445BA5">
        <w:rPr>
          <w:i/>
          <w:iCs/>
          <w:spacing w:val="-2"/>
        </w:rPr>
        <w:t>Adani coalmine: minister loses legal challenge on water pipeline assessment</w:t>
      </w:r>
      <w:r w:rsidRPr="00445BA5">
        <w:rPr>
          <w:spacing w:val="-2"/>
        </w:rPr>
        <w:t>, The Guardian, https://www.theguardian.com/environment/2019/jun/12/adani-coalmine-federal-government-loses-legal-challenge-on-water-assessment (accessed 27 August 2019).</w:t>
      </w:r>
    </w:p>
    <w:p w:rsidR="007F6390" w:rsidRPr="00445BA5" w:rsidRDefault="007F6390" w:rsidP="00445BA5">
      <w:pPr>
        <w:pStyle w:val="Reference"/>
        <w:rPr>
          <w:spacing w:val="-2"/>
        </w:rPr>
      </w:pPr>
      <w:r w:rsidRPr="00445BA5">
        <w:rPr>
          <w:spacing w:val="-2"/>
        </w:rPr>
        <w:t>Cripps, A. nd, ‘Resources 2030 Taskforce, Australian resources</w:t>
      </w:r>
      <w:r w:rsidR="00F528A0">
        <w:rPr>
          <w:spacing w:val="-2"/>
        </w:rPr>
        <w:t xml:space="preserve"> </w:t>
      </w:r>
      <w:r w:rsidRPr="00445BA5">
        <w:rPr>
          <w:spacing w:val="-2"/>
        </w:rPr>
        <w:t>—</w:t>
      </w:r>
      <w:r w:rsidR="00F528A0">
        <w:rPr>
          <w:spacing w:val="-2"/>
        </w:rPr>
        <w:t xml:space="preserve"> </w:t>
      </w:r>
      <w:r w:rsidRPr="00445BA5">
        <w:rPr>
          <w:spacing w:val="-2"/>
        </w:rPr>
        <w:t>providing prosperity for future generations’, p. 70.</w:t>
      </w:r>
    </w:p>
    <w:p w:rsidR="007F6390" w:rsidRPr="00445BA5" w:rsidRDefault="007F6390" w:rsidP="00445BA5">
      <w:pPr>
        <w:pStyle w:val="Reference"/>
        <w:rPr>
          <w:spacing w:val="-2"/>
        </w:rPr>
      </w:pPr>
      <w:r w:rsidRPr="00445BA5">
        <w:rPr>
          <w:spacing w:val="-2"/>
        </w:rPr>
        <w:t xml:space="preserve">DFAT (Department of Foreign Affairs and Trade) 2019, </w:t>
      </w:r>
      <w:r w:rsidRPr="00445BA5">
        <w:rPr>
          <w:i/>
          <w:iCs/>
          <w:spacing w:val="-2"/>
        </w:rPr>
        <w:t>Australian industries and foreign direct investment</w:t>
      </w:r>
      <w:r w:rsidRPr="00445BA5">
        <w:rPr>
          <w:spacing w:val="-2"/>
        </w:rPr>
        <w:t>, http://dfat.gov.au/trade/resources/investment-statistics/Pages/</w:t>
      </w:r>
      <w:r w:rsidR="00445BA5">
        <w:rPr>
          <w:spacing w:val="-2"/>
        </w:rPr>
        <w:br/>
      </w:r>
      <w:r w:rsidRPr="00445BA5">
        <w:rPr>
          <w:spacing w:val="-2"/>
        </w:rPr>
        <w:t>australian-industries-and-foreign-investment.aspx (accessed 3 September 2019).</w:t>
      </w:r>
    </w:p>
    <w:p w:rsidR="007F6390" w:rsidRPr="00445BA5" w:rsidRDefault="007F6390" w:rsidP="00445BA5">
      <w:pPr>
        <w:pStyle w:val="Reference"/>
        <w:rPr>
          <w:spacing w:val="-2"/>
        </w:rPr>
      </w:pPr>
      <w:r w:rsidRPr="00445BA5">
        <w:rPr>
          <w:spacing w:val="-2"/>
        </w:rPr>
        <w:t xml:space="preserve">DIIS (Department of Industry, Innovation and Science) 2019, </w:t>
      </w:r>
      <w:r w:rsidRPr="00445BA5">
        <w:rPr>
          <w:i/>
          <w:iCs/>
          <w:spacing w:val="-2"/>
        </w:rPr>
        <w:t>Resources and Energy Quarterly</w:t>
      </w:r>
      <w:r w:rsidRPr="00445BA5">
        <w:rPr>
          <w:spacing w:val="-2"/>
        </w:rPr>
        <w:t>, June.</w:t>
      </w:r>
    </w:p>
    <w:p w:rsidR="007F6390" w:rsidRPr="00445BA5" w:rsidRDefault="007F6390" w:rsidP="00445BA5">
      <w:pPr>
        <w:pStyle w:val="Reference"/>
        <w:rPr>
          <w:spacing w:val="-2"/>
        </w:rPr>
      </w:pPr>
      <w:r w:rsidRPr="00445BA5">
        <w:rPr>
          <w:spacing w:val="-2"/>
        </w:rPr>
        <w:t xml:space="preserve">Environmental Law Australia 2019, </w:t>
      </w:r>
      <w:r w:rsidRPr="00445BA5">
        <w:rPr>
          <w:i/>
          <w:iCs/>
          <w:spacing w:val="-2"/>
        </w:rPr>
        <w:t>Environmental Law Australia | Carmichael Coal (“Adani”) Mine Cases in Queensland courts</w:t>
      </w:r>
      <w:r w:rsidRPr="00445BA5">
        <w:rPr>
          <w:spacing w:val="-2"/>
        </w:rPr>
        <w:t>, Environmental Law Australia, http://envlaw.com.au/carmichael-coal-mine-case/ (accessed 27 August 2019).</w:t>
      </w:r>
    </w:p>
    <w:p w:rsidR="007F6390" w:rsidRPr="00445BA5" w:rsidRDefault="007F6390" w:rsidP="00445BA5">
      <w:pPr>
        <w:pStyle w:val="Reference"/>
        <w:rPr>
          <w:spacing w:val="-2"/>
        </w:rPr>
      </w:pPr>
      <w:r w:rsidRPr="00445BA5">
        <w:rPr>
          <w:spacing w:val="-2"/>
        </w:rPr>
        <w:t xml:space="preserve">FIRB (Foreign Investment Review Board) 2018, </w:t>
      </w:r>
      <w:r w:rsidRPr="00445BA5">
        <w:rPr>
          <w:i/>
          <w:iCs/>
          <w:spacing w:val="-2"/>
        </w:rPr>
        <w:t>Foreign Investment Review Board Annual Report 2017</w:t>
      </w:r>
      <w:r w:rsidR="00F528A0">
        <w:rPr>
          <w:i/>
          <w:iCs/>
          <w:spacing w:val="-2"/>
        </w:rPr>
        <w:noBreakHyphen/>
      </w:r>
      <w:r w:rsidRPr="00445BA5">
        <w:rPr>
          <w:i/>
          <w:iCs/>
          <w:spacing w:val="-2"/>
        </w:rPr>
        <w:t>18</w:t>
      </w:r>
      <w:r w:rsidRPr="00445BA5">
        <w:rPr>
          <w:spacing w:val="-2"/>
        </w:rPr>
        <w:t>.</w:t>
      </w:r>
    </w:p>
    <w:p w:rsidR="007F6390" w:rsidRPr="00445BA5" w:rsidRDefault="007F6390" w:rsidP="00445BA5">
      <w:pPr>
        <w:pStyle w:val="Reference"/>
        <w:rPr>
          <w:spacing w:val="-2"/>
        </w:rPr>
      </w:pPr>
      <w:r w:rsidRPr="00445BA5">
        <w:rPr>
          <w:spacing w:val="-2"/>
        </w:rPr>
        <w:lastRenderedPageBreak/>
        <w:t xml:space="preserve">Harvey, B. and Brereton, D. 2005, </w:t>
      </w:r>
      <w:r w:rsidRPr="00445BA5">
        <w:rPr>
          <w:i/>
          <w:iCs/>
          <w:spacing w:val="-2"/>
        </w:rPr>
        <w:t>Emerging Models of Community Engagement in the Australian Minerals Industry: paper presented at the International Conference on Engaging Communities, August 2005</w:t>
      </w:r>
      <w:r w:rsidRPr="00445BA5">
        <w:rPr>
          <w:spacing w:val="-2"/>
        </w:rPr>
        <w:t>, Brisbane.</w:t>
      </w:r>
    </w:p>
    <w:p w:rsidR="007F6390" w:rsidRPr="00445BA5" w:rsidRDefault="007F6390" w:rsidP="00445BA5">
      <w:pPr>
        <w:pStyle w:val="Reference"/>
        <w:rPr>
          <w:spacing w:val="-2"/>
        </w:rPr>
      </w:pPr>
      <w:r w:rsidRPr="00445BA5">
        <w:rPr>
          <w:spacing w:val="-2"/>
        </w:rPr>
        <w:t xml:space="preserve">Henry, K., Harmer, J., Piggott, J., Ridout, H. and Smith, G. 2010, </w:t>
      </w:r>
      <w:r w:rsidRPr="00445BA5">
        <w:rPr>
          <w:i/>
          <w:iCs/>
          <w:spacing w:val="-2"/>
        </w:rPr>
        <w:t>Australia’s Future Tax System — Final Report</w:t>
      </w:r>
      <w:r w:rsidRPr="00445BA5">
        <w:rPr>
          <w:spacing w:val="-2"/>
        </w:rPr>
        <w:t>, Australian Government, Canberra.</w:t>
      </w:r>
    </w:p>
    <w:p w:rsidR="007F6390" w:rsidRPr="00445BA5" w:rsidRDefault="007F6390" w:rsidP="00445BA5">
      <w:pPr>
        <w:pStyle w:val="Reference"/>
        <w:rPr>
          <w:spacing w:val="-2"/>
        </w:rPr>
      </w:pPr>
      <w:r w:rsidRPr="00445BA5">
        <w:rPr>
          <w:spacing w:val="-2"/>
        </w:rPr>
        <w:t xml:space="preserve">Hogan, L., Harman, J., Maritz, A., Thorpe, S., Simms, A., Berry, P. and Copeland, A. 2002, </w:t>
      </w:r>
      <w:r w:rsidRPr="00445BA5">
        <w:rPr>
          <w:i/>
          <w:iCs/>
          <w:spacing w:val="-2"/>
        </w:rPr>
        <w:t>Mineral exploration in Australia: trends, economic impacts and policy issues</w:t>
      </w:r>
      <w:r w:rsidRPr="00445BA5">
        <w:rPr>
          <w:spacing w:val="-2"/>
        </w:rPr>
        <w:t>.</w:t>
      </w:r>
    </w:p>
    <w:p w:rsidR="007F6390" w:rsidRPr="00445BA5" w:rsidRDefault="007F6390" w:rsidP="00445BA5">
      <w:pPr>
        <w:pStyle w:val="Reference"/>
        <w:rPr>
          <w:spacing w:val="-2"/>
        </w:rPr>
      </w:pPr>
      <w:r w:rsidRPr="00445BA5">
        <w:rPr>
          <w:spacing w:val="-2"/>
        </w:rPr>
        <w:t xml:space="preserve">Independent Scientific Panel 2018, </w:t>
      </w:r>
      <w:r w:rsidRPr="00445BA5">
        <w:rPr>
          <w:i/>
          <w:iCs/>
          <w:spacing w:val="-2"/>
        </w:rPr>
        <w:t>Independent Scientific Panel Inquiry into Hydraulic Fracture Stimulation in Western Australia</w:t>
      </w:r>
      <w:r w:rsidRPr="00445BA5">
        <w:rPr>
          <w:spacing w:val="-2"/>
        </w:rPr>
        <w:t>, September.</w:t>
      </w:r>
    </w:p>
    <w:p w:rsidR="007F6390" w:rsidRPr="00445BA5" w:rsidRDefault="007F6390" w:rsidP="00445BA5">
      <w:pPr>
        <w:pStyle w:val="Reference"/>
        <w:rPr>
          <w:spacing w:val="-2"/>
        </w:rPr>
      </w:pPr>
      <w:r w:rsidRPr="00445BA5">
        <w:rPr>
          <w:spacing w:val="-2"/>
        </w:rPr>
        <w:t xml:space="preserve">McGowan, M., Johnston, B. and Dawson, S. 2018, </w:t>
      </w:r>
      <w:r w:rsidRPr="00445BA5">
        <w:rPr>
          <w:i/>
          <w:iCs/>
          <w:spacing w:val="-2"/>
        </w:rPr>
        <w:t>Government introduces strict new controls for hydraulic fracturing</w:t>
      </w:r>
      <w:r w:rsidRPr="00445BA5">
        <w:rPr>
          <w:spacing w:val="-2"/>
        </w:rPr>
        <w:t>, Government of Western Australia, https://www.mediastatements.</w:t>
      </w:r>
      <w:r w:rsidR="00860C9F">
        <w:rPr>
          <w:spacing w:val="-2"/>
        </w:rPr>
        <w:br/>
      </w:r>
      <w:r w:rsidRPr="00445BA5">
        <w:rPr>
          <w:spacing w:val="-2"/>
        </w:rPr>
        <w:t>wa.gov.au/Pages/McGowan/2018/11/Government-introduces-strict-new-controls-for-hydraulic-fracturing.aspx (accessed 3 September 2019).</w:t>
      </w:r>
    </w:p>
    <w:p w:rsidR="007F6390" w:rsidRPr="00445BA5" w:rsidRDefault="007F6390" w:rsidP="00445BA5">
      <w:pPr>
        <w:pStyle w:val="Reference"/>
        <w:rPr>
          <w:spacing w:val="-2"/>
        </w:rPr>
      </w:pPr>
      <w:r w:rsidRPr="00445BA5">
        <w:rPr>
          <w:spacing w:val="-2"/>
        </w:rPr>
        <w:t xml:space="preserve">NSW Minerals Council nd, </w:t>
      </w:r>
      <w:r w:rsidRPr="00445BA5">
        <w:rPr>
          <w:i/>
          <w:iCs/>
          <w:spacing w:val="-2"/>
        </w:rPr>
        <w:t>Rehabilitation &amp; mine closure</w:t>
      </w:r>
      <w:r w:rsidRPr="00445BA5">
        <w:rPr>
          <w:spacing w:val="-2"/>
        </w:rPr>
        <w:t>.</w:t>
      </w:r>
    </w:p>
    <w:p w:rsidR="007F6390" w:rsidRPr="00445BA5" w:rsidRDefault="007F6390" w:rsidP="00445BA5">
      <w:pPr>
        <w:pStyle w:val="Reference"/>
        <w:rPr>
          <w:spacing w:val="-2"/>
        </w:rPr>
      </w:pPr>
      <w:r w:rsidRPr="00445BA5">
        <w:rPr>
          <w:spacing w:val="-2"/>
        </w:rPr>
        <w:t xml:space="preserve">OECD 2014, </w:t>
      </w:r>
      <w:r w:rsidRPr="00445BA5">
        <w:rPr>
          <w:i/>
          <w:iCs/>
          <w:spacing w:val="-2"/>
        </w:rPr>
        <w:t>The governance of regulators</w:t>
      </w:r>
      <w:r w:rsidRPr="00445BA5">
        <w:rPr>
          <w:spacing w:val="-2"/>
        </w:rPr>
        <w:t>, OECD best practice principles for regulatory policy, OECD, Paris.</w:t>
      </w:r>
    </w:p>
    <w:p w:rsidR="007F6390" w:rsidRPr="00445BA5" w:rsidRDefault="007F6390" w:rsidP="00445BA5">
      <w:pPr>
        <w:pStyle w:val="Reference"/>
        <w:rPr>
          <w:spacing w:val="-2"/>
        </w:rPr>
      </w:pPr>
      <w:r w:rsidRPr="00445BA5">
        <w:rPr>
          <w:spacing w:val="-2"/>
        </w:rPr>
        <w:t xml:space="preserve">PC (Productivity Commission) 2009, </w:t>
      </w:r>
      <w:r w:rsidRPr="00445BA5">
        <w:rPr>
          <w:i/>
          <w:iCs/>
          <w:spacing w:val="-2"/>
        </w:rPr>
        <w:t>Review of Regulatory Burden on the Upstream Petroleum (Oil and Gas) Sector</w:t>
      </w:r>
      <w:r w:rsidRPr="00445BA5">
        <w:rPr>
          <w:spacing w:val="-2"/>
        </w:rPr>
        <w:t>, Research Report, Canberra.</w:t>
      </w:r>
    </w:p>
    <w:p w:rsidR="007F6390" w:rsidRPr="00445BA5" w:rsidRDefault="007F6390" w:rsidP="00445BA5">
      <w:pPr>
        <w:pStyle w:val="Reference"/>
        <w:rPr>
          <w:spacing w:val="-2"/>
        </w:rPr>
      </w:pPr>
      <w:r w:rsidRPr="00445BA5">
        <w:rPr>
          <w:spacing w:val="-2"/>
        </w:rPr>
        <w:t xml:space="preserve">—— (Productivity Commission) 2013a, </w:t>
      </w:r>
      <w:r w:rsidRPr="00445BA5">
        <w:rPr>
          <w:i/>
          <w:iCs/>
          <w:spacing w:val="-2"/>
        </w:rPr>
        <w:t>Major Project Development Assessment Processes</w:t>
      </w:r>
      <w:r w:rsidRPr="00445BA5">
        <w:rPr>
          <w:spacing w:val="-2"/>
        </w:rPr>
        <w:t>, Research report, Canberra.</w:t>
      </w:r>
    </w:p>
    <w:p w:rsidR="007F6390" w:rsidRPr="00445BA5" w:rsidRDefault="007F6390" w:rsidP="00445BA5">
      <w:pPr>
        <w:pStyle w:val="Reference"/>
        <w:rPr>
          <w:spacing w:val="-2"/>
        </w:rPr>
      </w:pPr>
      <w:r w:rsidRPr="00445BA5">
        <w:rPr>
          <w:spacing w:val="-2"/>
        </w:rPr>
        <w:t xml:space="preserve">—— (Productivity Commission) 2013b, </w:t>
      </w:r>
      <w:r w:rsidRPr="00445BA5">
        <w:rPr>
          <w:i/>
          <w:iCs/>
          <w:spacing w:val="-2"/>
        </w:rPr>
        <w:t>Mineral and Energy Resource Exploration</w:t>
      </w:r>
      <w:r w:rsidRPr="00445BA5">
        <w:rPr>
          <w:spacing w:val="-2"/>
        </w:rPr>
        <w:t>, Report no. 65, Canberra.</w:t>
      </w:r>
    </w:p>
    <w:p w:rsidR="007F6390" w:rsidRPr="00445BA5" w:rsidRDefault="007F6390" w:rsidP="00445BA5">
      <w:pPr>
        <w:pStyle w:val="Reference"/>
        <w:rPr>
          <w:spacing w:val="-2"/>
        </w:rPr>
      </w:pPr>
      <w:r w:rsidRPr="00445BA5">
        <w:rPr>
          <w:spacing w:val="-2"/>
        </w:rPr>
        <w:t xml:space="preserve">—— (Productivity Commission) 2016, </w:t>
      </w:r>
      <w:r w:rsidRPr="00445BA5">
        <w:rPr>
          <w:i/>
          <w:iCs/>
          <w:spacing w:val="-2"/>
        </w:rPr>
        <w:t>Regulation of Australian Agriculture</w:t>
      </w:r>
      <w:r w:rsidRPr="00445BA5">
        <w:rPr>
          <w:spacing w:val="-2"/>
        </w:rPr>
        <w:t>, Report no. 79, Canberra.</w:t>
      </w:r>
    </w:p>
    <w:p w:rsidR="007F6390" w:rsidRPr="00445BA5" w:rsidRDefault="007F6390" w:rsidP="00445BA5">
      <w:pPr>
        <w:pStyle w:val="Reference"/>
        <w:rPr>
          <w:spacing w:val="-2"/>
        </w:rPr>
      </w:pPr>
      <w:r w:rsidRPr="00445BA5">
        <w:rPr>
          <w:spacing w:val="-2"/>
        </w:rPr>
        <w:t xml:space="preserve">Queensland Co-ordinator General 2018, </w:t>
      </w:r>
      <w:r w:rsidRPr="00445BA5">
        <w:rPr>
          <w:i/>
          <w:iCs/>
          <w:spacing w:val="-2"/>
        </w:rPr>
        <w:t>Strong and Sustainable Resource Communities Act 2017: Factsheet March 2018</w:t>
      </w:r>
      <w:r w:rsidRPr="00445BA5">
        <w:rPr>
          <w:spacing w:val="-2"/>
        </w:rPr>
        <w:t>.</w:t>
      </w:r>
    </w:p>
    <w:p w:rsidR="007F6390" w:rsidRPr="00445BA5" w:rsidRDefault="007F6390" w:rsidP="00445BA5">
      <w:pPr>
        <w:pStyle w:val="Reference"/>
        <w:rPr>
          <w:spacing w:val="-2"/>
        </w:rPr>
      </w:pPr>
      <w:r w:rsidRPr="00445BA5">
        <w:rPr>
          <w:spacing w:val="-2"/>
        </w:rPr>
        <w:t xml:space="preserve">Robertson, J. and Siganto, T. 2018, </w:t>
      </w:r>
      <w:r w:rsidRPr="00445BA5">
        <w:rPr>
          <w:i/>
          <w:iCs/>
          <w:spacing w:val="-2"/>
        </w:rPr>
        <w:t>Indigenous challenge to Adani mine agreement dismissed by Federal Court</w:t>
      </w:r>
      <w:r w:rsidRPr="00445BA5">
        <w:rPr>
          <w:spacing w:val="-2"/>
        </w:rPr>
        <w:t>, Text, ABC News, https://www.abc.net.au/news/2018-08-17/adani-federal-court-traditional-owners-native-title/10131920 (accessed 27 August 2019).</w:t>
      </w:r>
    </w:p>
    <w:p w:rsidR="007F6390" w:rsidRPr="00445BA5" w:rsidRDefault="007F6390" w:rsidP="00445BA5">
      <w:pPr>
        <w:pStyle w:val="Reference"/>
        <w:rPr>
          <w:spacing w:val="-2"/>
        </w:rPr>
      </w:pPr>
      <w:r w:rsidRPr="00445BA5">
        <w:rPr>
          <w:spacing w:val="-2"/>
        </w:rPr>
        <w:t xml:space="preserve">Victorian Department of Jobs, Precincts and Regions 2019a, </w:t>
      </w:r>
      <w:r w:rsidRPr="00445BA5">
        <w:rPr>
          <w:i/>
          <w:iCs/>
          <w:spacing w:val="-2"/>
        </w:rPr>
        <w:t>Community Engagement Guidelines for Mining and Mineral Exploration</w:t>
      </w:r>
      <w:r w:rsidRPr="00445BA5">
        <w:rPr>
          <w:spacing w:val="-2"/>
        </w:rPr>
        <w:t>, https://earthresources.</w:t>
      </w:r>
      <w:r w:rsidR="00860C9F">
        <w:rPr>
          <w:spacing w:val="-2"/>
        </w:rPr>
        <w:br/>
      </w:r>
      <w:r w:rsidRPr="00445BA5">
        <w:rPr>
          <w:spacing w:val="-2"/>
        </w:rPr>
        <w:t>vic.gov.au/legislation-and-regulations/guidelines-and-codes-of-practice/community-engagement-guidelines-for-mining-and-mineral-exploration (accessed 9 March 2019).</w:t>
      </w:r>
    </w:p>
    <w:p w:rsidR="007F6390" w:rsidRPr="00445BA5" w:rsidRDefault="007F6390" w:rsidP="00445BA5">
      <w:pPr>
        <w:pStyle w:val="Reference"/>
        <w:rPr>
          <w:spacing w:val="-2"/>
        </w:rPr>
      </w:pPr>
      <w:r w:rsidRPr="00445BA5">
        <w:rPr>
          <w:spacing w:val="-2"/>
        </w:rPr>
        <w:t xml:space="preserve">—— 2019b, </w:t>
      </w:r>
      <w:r w:rsidRPr="00445BA5">
        <w:rPr>
          <w:i/>
          <w:iCs/>
          <w:spacing w:val="-2"/>
        </w:rPr>
        <w:t>Mineral tenements and the Native Title Act 1993</w:t>
      </w:r>
      <w:r w:rsidRPr="00445BA5">
        <w:rPr>
          <w:spacing w:val="-2"/>
        </w:rPr>
        <w:t>, https://earthresources.vic.gov.au/legislation-and-regulations/guidelines-and-codes-of-practice/mineral-tenements-and-the-native-title-act-1993 (accessed 3 September 2019).</w:t>
      </w:r>
    </w:p>
    <w:p w:rsidR="007F6390" w:rsidRPr="00445BA5" w:rsidRDefault="007F6390" w:rsidP="00445BA5">
      <w:pPr>
        <w:pStyle w:val="Reference"/>
        <w:rPr>
          <w:spacing w:val="-2"/>
        </w:rPr>
      </w:pPr>
      <w:r w:rsidRPr="00445BA5">
        <w:rPr>
          <w:spacing w:val="-2"/>
        </w:rPr>
        <w:t xml:space="preserve">WARDT (Western Australian Regional Development Trust) 2018, </w:t>
      </w:r>
      <w:r w:rsidRPr="00445BA5">
        <w:rPr>
          <w:i/>
          <w:iCs/>
          <w:spacing w:val="-2"/>
        </w:rPr>
        <w:t>Western Australian Regional Development Trust 2017</w:t>
      </w:r>
      <w:r w:rsidR="00F528A0">
        <w:rPr>
          <w:i/>
          <w:iCs/>
          <w:spacing w:val="-2"/>
        </w:rPr>
        <w:noBreakHyphen/>
      </w:r>
      <w:r w:rsidRPr="00445BA5">
        <w:rPr>
          <w:i/>
          <w:iCs/>
          <w:spacing w:val="-2"/>
        </w:rPr>
        <w:t>18 Annual Report</w:t>
      </w:r>
      <w:r w:rsidRPr="00445BA5">
        <w:rPr>
          <w:spacing w:val="-2"/>
        </w:rPr>
        <w:t>, September.</w:t>
      </w:r>
    </w:p>
    <w:p w:rsidR="00D96622" w:rsidRPr="00391500" w:rsidRDefault="00D96622" w:rsidP="0023494D">
      <w:pPr>
        <w:pStyle w:val="Heading2"/>
        <w:ind w:left="720" w:hanging="720"/>
      </w:pPr>
      <w:bookmarkStart w:id="35" w:name="_Toc18489685"/>
      <w:bookmarkStart w:id="36" w:name="_Toc18590494"/>
      <w:bookmarkStart w:id="37" w:name="_Toc19188655"/>
      <w:bookmarkStart w:id="38" w:name="_Toc19189846"/>
      <w:r>
        <w:lastRenderedPageBreak/>
        <w:t xml:space="preserve">Attachment A: How to </w:t>
      </w:r>
      <w:r w:rsidRPr="00391500">
        <w:t>make a submission</w:t>
      </w:r>
      <w:bookmarkEnd w:id="35"/>
      <w:bookmarkEnd w:id="36"/>
      <w:bookmarkEnd w:id="37"/>
      <w:bookmarkEnd w:id="38"/>
    </w:p>
    <w:p w:rsidR="00D96622" w:rsidRDefault="00D96622">
      <w:pPr>
        <w:pStyle w:val="Heading3"/>
        <w:spacing w:before="280"/>
      </w:pPr>
      <w:r>
        <w:t>How to prepare a submission</w:t>
      </w:r>
    </w:p>
    <w:p w:rsidR="00D96622" w:rsidRDefault="00D96622" w:rsidP="00D96622">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D96622" w:rsidRDefault="00D96622" w:rsidP="00D96622">
      <w:pPr>
        <w:pStyle w:val="Heading4"/>
      </w:pPr>
      <w:r>
        <w:t>Generally</w:t>
      </w:r>
    </w:p>
    <w:p w:rsidR="00D96622" w:rsidRDefault="00D96622" w:rsidP="00D96622">
      <w:pPr>
        <w:pStyle w:val="ListBullet"/>
      </w:pPr>
      <w:r>
        <w:t>Each submission, except for any attachment supplied in confidence, will be published on the Commission’s website shortly after receipt, and will remain there indefinitely as a public document.</w:t>
      </w:r>
    </w:p>
    <w:p w:rsidR="00D96622" w:rsidRDefault="00D96622" w:rsidP="00D96622">
      <w:pPr>
        <w:pStyle w:val="ListBullet"/>
      </w:pPr>
      <w:r>
        <w:t>The Commission reserves the right to not publish material on its website that is offensive, potentially defamatory, or clearly out of scope for the inquiry or study in question.</w:t>
      </w:r>
    </w:p>
    <w:p w:rsidR="00D96622" w:rsidRDefault="00D96622" w:rsidP="00D96622">
      <w:pPr>
        <w:pStyle w:val="Heading4"/>
      </w:pPr>
      <w:r>
        <w:t>Copyright</w:t>
      </w:r>
    </w:p>
    <w:p w:rsidR="00D96622" w:rsidRDefault="00D96622" w:rsidP="00D96622">
      <w:pPr>
        <w:pStyle w:val="ListBullet"/>
      </w:pPr>
      <w:r>
        <w:t>Copyright in submissions sent to the Commission resides with the author(s), not with the Commission.</w:t>
      </w:r>
    </w:p>
    <w:p w:rsidR="00D96622" w:rsidRDefault="00D96622" w:rsidP="00D96622">
      <w:pPr>
        <w:pStyle w:val="ListBullet"/>
      </w:pPr>
      <w:r>
        <w:t>Do not send us material for which you are not the copyright owner</w:t>
      </w:r>
      <w:r w:rsidR="000518CA">
        <w:t xml:space="preserve">, </w:t>
      </w:r>
      <w:r>
        <w:t>such as newspaper articles</w:t>
      </w:r>
      <w:r w:rsidR="000518CA">
        <w:t>. Y</w:t>
      </w:r>
      <w:r>
        <w:t xml:space="preserve">ou should reference or </w:t>
      </w:r>
      <w:r w:rsidR="000518CA">
        <w:t>provide a</w:t>
      </w:r>
      <w:r>
        <w:t xml:space="preserve"> link to this material in your submission.</w:t>
      </w:r>
    </w:p>
    <w:p w:rsidR="00D96622" w:rsidRDefault="00D96622" w:rsidP="00D96622">
      <w:pPr>
        <w:pStyle w:val="Heading4"/>
      </w:pPr>
      <w:r>
        <w:t>In confidence material</w:t>
      </w:r>
    </w:p>
    <w:p w:rsidR="00D96622" w:rsidRPr="009D6440" w:rsidRDefault="00D96622" w:rsidP="00D96622">
      <w:pPr>
        <w:pStyle w:val="ListBullet"/>
      </w:pPr>
      <w:r w:rsidRPr="009D6440">
        <w:t xml:space="preserve">This is a public </w:t>
      </w:r>
      <w:r w:rsidR="00FB4AE3">
        <w:t>study</w:t>
      </w:r>
      <w:r w:rsidRPr="009D6440">
        <w:t xml:space="preserve">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D96622" w:rsidRPr="009D6440" w:rsidRDefault="00D96622" w:rsidP="00D96622">
      <w:pPr>
        <w:pStyle w:val="ListBullet"/>
      </w:pPr>
      <w:r w:rsidRPr="009D6440">
        <w:t>You are encouraged to contact the Commission for further information and advice before submitting such material.</w:t>
      </w:r>
    </w:p>
    <w:p w:rsidR="00D96622" w:rsidRDefault="00D96622" w:rsidP="00D96622">
      <w:pPr>
        <w:pStyle w:val="Heading4"/>
      </w:pPr>
      <w:r>
        <w:t>Privacy</w:t>
      </w:r>
    </w:p>
    <w:p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D96622" w:rsidRDefault="00D96622" w:rsidP="00D96622">
      <w:pPr>
        <w:pStyle w:val="ListBullet"/>
      </w:pPr>
      <w:r>
        <w:lastRenderedPageBreak/>
        <w:t>You may wish to remain anonymous or use a pseudonym. Please note that, if you choose to remain anonymous or use a pseudonym, the Commission may place less weight on your submission.</w:t>
      </w:r>
    </w:p>
    <w:p w:rsidR="00D96622" w:rsidRDefault="00D96622" w:rsidP="00D96622">
      <w:pPr>
        <w:pStyle w:val="Heading4"/>
      </w:pPr>
      <w:r>
        <w:t>Technical tips</w:t>
      </w:r>
    </w:p>
    <w:p w:rsidR="00D96622" w:rsidRPr="009D6440" w:rsidRDefault="00D96622" w:rsidP="00D96622">
      <w:pPr>
        <w:pStyle w:val="ListBullet"/>
      </w:pPr>
      <w:r w:rsidRPr="009D6440">
        <w:t>The Commission prefers to receive submissions as a Microsoft Word (.docx) files. PDF files are acceptable if produced from a Word document or similar text</w:t>
      </w:r>
      <w:r w:rsidR="007A3F8F">
        <w:noBreakHyphen/>
      </w:r>
      <w:r w:rsidRPr="009D6440">
        <w:t xml:space="preserve">based software. You may wish to search the Internet </w:t>
      </w:r>
      <w:r w:rsidR="000518CA">
        <w:t>for</w:t>
      </w:r>
      <w:r w:rsidRPr="009D6440">
        <w:t xml:space="preserve"> </w:t>
      </w:r>
      <w:r w:rsidR="00FB4AE3">
        <w:t>information about</w:t>
      </w:r>
      <w:r w:rsidRPr="009D6440">
        <w:t xml:space="preserve"> how </w:t>
      </w:r>
      <w:r w:rsidR="000518CA">
        <w:t>you can</w:t>
      </w:r>
      <w:r w:rsidRPr="009D6440">
        <w:t xml:space="preserve"> make your documents more accessible</w:t>
      </w:r>
      <w:r w:rsidR="000518CA">
        <w:t>. F</w:t>
      </w:r>
      <w:r w:rsidRPr="009D6440">
        <w:t>or the more technical, follow advice from Web Content Accessibility Guidelines (WCAG) 2.0</w:t>
      </w:r>
      <w:r w:rsidR="00146D73">
        <w:t xml:space="preserve"> </w:t>
      </w:r>
      <w:r>
        <w:t>&lt;</w:t>
      </w:r>
      <w:r w:rsidRPr="00C738C7">
        <w:t>http://www.w3.org/TR/WCAG20/</w:t>
      </w:r>
      <w:r>
        <w:t>&gt;.</w:t>
      </w:r>
    </w:p>
    <w:p w:rsidR="00D96622" w:rsidRPr="009D6440" w:rsidRDefault="00D96622" w:rsidP="00D96622">
      <w:pPr>
        <w:pStyle w:val="ListBullet"/>
      </w:pPr>
      <w:r w:rsidRPr="009D6440">
        <w:t>Do not send password protected files.</w:t>
      </w:r>
    </w:p>
    <w:p w:rsidR="00D96622" w:rsidRPr="009D6440" w:rsidRDefault="00D96622" w:rsidP="00D96622">
      <w:pPr>
        <w:pStyle w:val="ListBullet"/>
      </w:pPr>
      <w:r w:rsidRPr="009D6440">
        <w:t>Track</w:t>
      </w:r>
      <w:r w:rsidR="000518CA">
        <w:t>ed</w:t>
      </w:r>
      <w:r w:rsidRPr="009D6440">
        <w:t xml:space="preserve"> changes, editing marks, hidden text and internal links should be removed from submissions.</w:t>
      </w:r>
    </w:p>
    <w:p w:rsidR="00D96622" w:rsidRDefault="00D96622" w:rsidP="00D96622">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D96622" w:rsidRDefault="00D96622" w:rsidP="00D96622">
      <w:pPr>
        <w:pStyle w:val="Heading3"/>
      </w:pPr>
      <w:r>
        <w:t>How to lodge a submission</w:t>
      </w:r>
    </w:p>
    <w:p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433"/>
      </w:tblGrid>
      <w:tr w:rsidR="00D96622" w:rsidTr="00E37F12">
        <w:trPr>
          <w:tblHeader/>
        </w:trPr>
        <w:tc>
          <w:tcPr>
            <w:tcW w:w="1384" w:type="dxa"/>
          </w:tcPr>
          <w:p w:rsidR="00D96622" w:rsidRDefault="00D96622" w:rsidP="00E37F12">
            <w:pPr>
              <w:pStyle w:val="BodyText"/>
              <w:tabs>
                <w:tab w:val="left" w:pos="1701"/>
              </w:tabs>
              <w:spacing w:before="120"/>
            </w:pPr>
            <w:r>
              <w:t>Online*</w:t>
            </w:r>
          </w:p>
        </w:tc>
        <w:tc>
          <w:tcPr>
            <w:tcW w:w="7621" w:type="dxa"/>
          </w:tcPr>
          <w:p w:rsidR="00D96622" w:rsidRDefault="007D5BD8" w:rsidP="00E37F12">
            <w:pPr>
              <w:pStyle w:val="BodyText"/>
              <w:tabs>
                <w:tab w:val="left" w:pos="1701"/>
              </w:tabs>
              <w:spacing w:before="120"/>
            </w:pPr>
            <w:hyperlink r:id="rId25" w:history="1">
              <w:r w:rsidR="00FB4AE3" w:rsidRPr="00BA025F">
                <w:rPr>
                  <w:rStyle w:val="Hyperlink"/>
                </w:rPr>
                <w:t>www.pc.gov.au/inquiries/current/resources/make-submission#lodge</w:t>
              </w:r>
            </w:hyperlink>
          </w:p>
        </w:tc>
      </w:tr>
      <w:tr w:rsidR="00D96622" w:rsidTr="00E37F12">
        <w:tc>
          <w:tcPr>
            <w:tcW w:w="1384" w:type="dxa"/>
          </w:tcPr>
          <w:p w:rsidR="00D96622" w:rsidRDefault="00D96622" w:rsidP="00E37F12">
            <w:pPr>
              <w:pStyle w:val="BodyText"/>
              <w:tabs>
                <w:tab w:val="left" w:pos="1701"/>
              </w:tabs>
              <w:spacing w:before="120"/>
            </w:pPr>
            <w:r>
              <w:t>Post*</w:t>
            </w:r>
          </w:p>
        </w:tc>
        <w:tc>
          <w:tcPr>
            <w:tcW w:w="7621" w:type="dxa"/>
          </w:tcPr>
          <w:p w:rsidR="00D96622" w:rsidRDefault="00146D73" w:rsidP="002D0291">
            <w:pPr>
              <w:pStyle w:val="BodyText"/>
              <w:tabs>
                <w:tab w:val="left" w:pos="1701"/>
              </w:tabs>
              <w:spacing w:before="120" w:line="0" w:lineRule="atLeast"/>
              <w:jc w:val="left"/>
            </w:pPr>
            <w:r>
              <w:t>Resources Sector Regulation</w:t>
            </w:r>
            <w:r w:rsidR="00D96622">
              <w:br/>
              <w:t>Productivity Commission</w:t>
            </w:r>
            <w:r w:rsidR="00D96622">
              <w:br/>
            </w:r>
            <w:r>
              <w:t>Locked Bag 2, 530 Collins St East</w:t>
            </w:r>
            <w:r w:rsidR="00FB4AE3">
              <w:br/>
            </w:r>
            <w:r>
              <w:t>Melbourne VIC 8003</w:t>
            </w:r>
            <w:r w:rsidR="00FB4AE3">
              <w:br/>
            </w:r>
            <w:r>
              <w:t>Australia</w:t>
            </w:r>
          </w:p>
        </w:tc>
      </w:tr>
    </w:tbl>
    <w:p w:rsidR="00D96622" w:rsidRDefault="00D96622" w:rsidP="00D96622">
      <w:pPr>
        <w:pStyle w:val="BodyText"/>
      </w:pPr>
      <w:r>
        <w:t>*</w:t>
      </w:r>
      <w:r w:rsidRPr="007354B8">
        <w:t xml:space="preserve"> </w:t>
      </w:r>
      <w:r>
        <w:t>If you do not receive notification of receipt of your submission to the Commission, please contact the Administrative Officer.</w:t>
      </w:r>
    </w:p>
    <w:p w:rsidR="00D96622" w:rsidRPr="00391500" w:rsidRDefault="00D96622" w:rsidP="00D96622">
      <w:pPr>
        <w:pStyle w:val="Heading4"/>
      </w:pPr>
      <w:r w:rsidRPr="00391500">
        <w:t>Due date for submissions</w:t>
      </w:r>
    </w:p>
    <w:p w:rsidR="00D434A0" w:rsidRDefault="00D96622" w:rsidP="00120072">
      <w:pPr>
        <w:pStyle w:val="BodyText"/>
      </w:pPr>
      <w:r>
        <w:t xml:space="preserve">Please send submissions to the Commission by </w:t>
      </w:r>
      <w:r w:rsidR="00146D73">
        <w:rPr>
          <w:b/>
        </w:rPr>
        <w:t>31 October 2019</w:t>
      </w:r>
      <w:r w:rsidR="00146D73" w:rsidRPr="00FB4AE3">
        <w:t>.</w:t>
      </w:r>
    </w:p>
    <w:sectPr w:rsidR="00D434A0" w:rsidSect="00F3404D">
      <w:headerReference w:type="even" r:id="rId26"/>
      <w:headerReference w:type="default" r:id="rId27"/>
      <w:footerReference w:type="even" r:id="rId28"/>
      <w:footerReference w:type="default" r:id="rId29"/>
      <w:headerReference w:type="first" r:id="rId30"/>
      <w:footerReference w:type="first" r:id="rId31"/>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40" w:rsidRDefault="00493F40">
      <w:r>
        <w:separator/>
      </w:r>
    </w:p>
  </w:endnote>
  <w:endnote w:type="continuationSeparator" w:id="0">
    <w:p w:rsidR="00493F40" w:rsidRDefault="00493F40">
      <w:r>
        <w:continuationSeparator/>
      </w:r>
    </w:p>
  </w:endnote>
  <w:endnote w:type="continuationNotice" w:id="1">
    <w:p w:rsidR="00493F40" w:rsidRDefault="00493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Default="008216F5">
          <w:pPr>
            <w:pStyle w:val="Footer"/>
            <w:ind w:right="360" w:firstLine="360"/>
          </w:pPr>
        </w:p>
      </w:tc>
      <w:tc>
        <w:tcPr>
          <w:tcW w:w="7767" w:type="dxa"/>
        </w:tcPr>
        <w:p w:rsidR="008216F5" w:rsidRPr="00BA5B14" w:rsidRDefault="008216F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7D5BD8">
            <w:rPr>
              <w:rFonts w:cs="Arial"/>
            </w:rPr>
            <w:t>Resources Sector Regulation - Issues Paper</w:t>
          </w:r>
          <w:r w:rsidRPr="00BA5B14">
            <w:rPr>
              <w:rFonts w:cs="Arial"/>
            </w:rPr>
            <w:fldChar w:fldCharType="end"/>
          </w:r>
        </w:p>
      </w:tc>
      <w:tc>
        <w:tcPr>
          <w:tcW w:w="510" w:type="dxa"/>
        </w:tcPr>
        <w:p w:rsidR="008216F5" w:rsidRPr="00A24443" w:rsidRDefault="008216F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FA3E40">
            <w:rPr>
              <w:rStyle w:val="PageNumber"/>
              <w:caps w:val="0"/>
              <w:noProof/>
            </w:rPr>
            <w:t>iii</w:t>
          </w:r>
          <w:r w:rsidRPr="0045783B">
            <w:rPr>
              <w:rStyle w:val="PageNumber"/>
              <w:caps w:val="0"/>
            </w:rPr>
            <w:fldChar w:fldCharType="end"/>
          </w:r>
        </w:p>
      </w:tc>
    </w:tr>
  </w:tbl>
  <w:p w:rsidR="008216F5" w:rsidRDefault="008216F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E37F12">
      <w:trPr>
        <w:trHeight w:hRule="exact" w:val="567"/>
      </w:trPr>
      <w:tc>
        <w:tcPr>
          <w:tcW w:w="510" w:type="dxa"/>
        </w:tcPr>
        <w:p w:rsidR="008216F5" w:rsidRPr="00A24443" w:rsidRDefault="008216F5" w:rsidP="00E37F1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iv</w:t>
          </w:r>
          <w:r w:rsidRPr="00A24443">
            <w:rPr>
              <w:rStyle w:val="PageNumber"/>
              <w:caps w:val="0"/>
            </w:rPr>
            <w:fldChar w:fldCharType="end"/>
          </w:r>
        </w:p>
      </w:tc>
      <w:tc>
        <w:tcPr>
          <w:tcW w:w="7767" w:type="dxa"/>
        </w:tcPr>
        <w:p w:rsidR="008216F5" w:rsidRPr="0013739A" w:rsidRDefault="008216F5" w:rsidP="00E37F12">
          <w:pPr>
            <w:pStyle w:val="Footer"/>
            <w:rPr>
              <w:rFonts w:cs="Arial"/>
            </w:rPr>
          </w:pPr>
          <w:r>
            <w:rPr>
              <w:rFonts w:cs="Arial"/>
            </w:rPr>
            <w:t>Resources Sector Regulation</w:t>
          </w:r>
        </w:p>
      </w:tc>
      <w:tc>
        <w:tcPr>
          <w:tcW w:w="510" w:type="dxa"/>
        </w:tcPr>
        <w:p w:rsidR="008216F5" w:rsidRDefault="008216F5" w:rsidP="00E37F12">
          <w:pPr>
            <w:pStyle w:val="Footer"/>
          </w:pPr>
        </w:p>
      </w:tc>
    </w:tr>
  </w:tbl>
  <w:p w:rsidR="008216F5" w:rsidRDefault="008216F5" w:rsidP="00E37F1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Default="008216F5">
          <w:pPr>
            <w:pStyle w:val="Footer"/>
            <w:ind w:right="360" w:firstLine="360"/>
          </w:pPr>
        </w:p>
      </w:tc>
      <w:tc>
        <w:tcPr>
          <w:tcW w:w="7767" w:type="dxa"/>
        </w:tcPr>
        <w:p w:rsidR="008216F5" w:rsidRPr="00BA5B14" w:rsidRDefault="008216F5" w:rsidP="0013739A">
          <w:pPr>
            <w:pStyle w:val="Footer"/>
            <w:jc w:val="right"/>
            <w:rPr>
              <w:rFonts w:cs="Arial"/>
            </w:rPr>
          </w:pPr>
          <w:r>
            <w:rPr>
              <w:rFonts w:cs="Arial"/>
            </w:rPr>
            <w:t>Issues Paper</w:t>
          </w:r>
        </w:p>
      </w:tc>
      <w:tc>
        <w:tcPr>
          <w:tcW w:w="510" w:type="dxa"/>
        </w:tcPr>
        <w:p w:rsidR="008216F5" w:rsidRPr="00A24443" w:rsidRDefault="008216F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iii</w:t>
          </w:r>
          <w:r w:rsidRPr="00A24443">
            <w:rPr>
              <w:rStyle w:val="PageNumber"/>
              <w:caps w:val="0"/>
            </w:rPr>
            <w:fldChar w:fldCharType="end"/>
          </w:r>
        </w:p>
      </w:tc>
    </w:tr>
  </w:tbl>
  <w:p w:rsidR="008216F5" w:rsidRDefault="008216F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Pr="00A24443" w:rsidRDefault="008216F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14</w:t>
          </w:r>
          <w:r w:rsidRPr="00A24443">
            <w:rPr>
              <w:rStyle w:val="PageNumber"/>
              <w:caps w:val="0"/>
            </w:rPr>
            <w:fldChar w:fldCharType="end"/>
          </w:r>
        </w:p>
      </w:tc>
      <w:tc>
        <w:tcPr>
          <w:tcW w:w="7767" w:type="dxa"/>
        </w:tcPr>
        <w:p w:rsidR="008216F5" w:rsidRPr="0013739A" w:rsidRDefault="008216F5" w:rsidP="0013739A">
          <w:pPr>
            <w:pStyle w:val="Footer"/>
            <w:rPr>
              <w:rFonts w:cs="Arial"/>
            </w:rPr>
          </w:pPr>
          <w:r>
            <w:rPr>
              <w:rFonts w:cs="Arial"/>
            </w:rPr>
            <w:t>REsources sector regulation</w:t>
          </w:r>
        </w:p>
      </w:tc>
      <w:tc>
        <w:tcPr>
          <w:tcW w:w="510" w:type="dxa"/>
        </w:tcPr>
        <w:p w:rsidR="008216F5" w:rsidRDefault="008216F5" w:rsidP="0019293B">
          <w:pPr>
            <w:pStyle w:val="Footer"/>
          </w:pPr>
        </w:p>
      </w:tc>
    </w:tr>
  </w:tbl>
  <w:p w:rsidR="008216F5" w:rsidRDefault="008216F5"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Default="008216F5">
          <w:pPr>
            <w:pStyle w:val="Footer"/>
            <w:ind w:right="360" w:firstLine="360"/>
          </w:pPr>
        </w:p>
      </w:tc>
      <w:tc>
        <w:tcPr>
          <w:tcW w:w="7767" w:type="dxa"/>
        </w:tcPr>
        <w:p w:rsidR="008216F5" w:rsidRPr="00BA5B14" w:rsidRDefault="008216F5" w:rsidP="0013739A">
          <w:pPr>
            <w:pStyle w:val="Footer"/>
            <w:jc w:val="right"/>
            <w:rPr>
              <w:rFonts w:cs="Arial"/>
            </w:rPr>
          </w:pPr>
          <w:r>
            <w:rPr>
              <w:rFonts w:cs="Arial"/>
            </w:rPr>
            <w:t>Issues Paper</w:t>
          </w:r>
        </w:p>
      </w:tc>
      <w:tc>
        <w:tcPr>
          <w:tcW w:w="510" w:type="dxa"/>
        </w:tcPr>
        <w:p w:rsidR="008216F5" w:rsidRPr="00A24443" w:rsidRDefault="008216F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v</w:t>
          </w:r>
          <w:r w:rsidRPr="00A24443">
            <w:rPr>
              <w:rStyle w:val="PageNumber"/>
              <w:caps w:val="0"/>
            </w:rPr>
            <w:fldChar w:fldCharType="end"/>
          </w:r>
        </w:p>
      </w:tc>
    </w:tr>
  </w:tbl>
  <w:p w:rsidR="008216F5" w:rsidRDefault="008216F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Default="008216F5">
          <w:pPr>
            <w:pStyle w:val="Footer"/>
            <w:ind w:right="360" w:firstLine="360"/>
          </w:pPr>
        </w:p>
      </w:tc>
      <w:tc>
        <w:tcPr>
          <w:tcW w:w="7767" w:type="dxa"/>
        </w:tcPr>
        <w:p w:rsidR="008216F5" w:rsidRPr="00BA5B14" w:rsidRDefault="008216F5" w:rsidP="0013739A">
          <w:pPr>
            <w:pStyle w:val="Footer"/>
            <w:jc w:val="right"/>
            <w:rPr>
              <w:rFonts w:cs="Arial"/>
            </w:rPr>
          </w:pPr>
          <w:r>
            <w:rPr>
              <w:rFonts w:cs="Arial"/>
            </w:rPr>
            <w:t>Issues Paper</w:t>
          </w:r>
        </w:p>
      </w:tc>
      <w:tc>
        <w:tcPr>
          <w:tcW w:w="510" w:type="dxa"/>
        </w:tcPr>
        <w:p w:rsidR="008216F5" w:rsidRDefault="008216F5">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15</w:t>
          </w:r>
          <w:r w:rsidRPr="00A24443">
            <w:rPr>
              <w:rStyle w:val="PageNumber"/>
              <w:caps w:val="0"/>
            </w:rPr>
            <w:fldChar w:fldCharType="end"/>
          </w:r>
        </w:p>
        <w:p w:rsidR="008216F5" w:rsidRPr="00A24443" w:rsidRDefault="008216F5">
          <w:pPr>
            <w:pStyle w:val="Footer"/>
            <w:jc w:val="right"/>
            <w:rPr>
              <w:caps w:val="0"/>
            </w:rPr>
          </w:pPr>
        </w:p>
      </w:tc>
    </w:tr>
  </w:tbl>
  <w:p w:rsidR="008216F5" w:rsidRDefault="008216F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Pr="00A24443" w:rsidRDefault="008216F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24</w:t>
          </w:r>
          <w:r w:rsidRPr="00A24443">
            <w:rPr>
              <w:rStyle w:val="PageNumber"/>
              <w:caps w:val="0"/>
            </w:rPr>
            <w:fldChar w:fldCharType="end"/>
          </w:r>
        </w:p>
      </w:tc>
      <w:tc>
        <w:tcPr>
          <w:tcW w:w="7767" w:type="dxa"/>
        </w:tcPr>
        <w:p w:rsidR="008216F5" w:rsidRPr="0013739A" w:rsidRDefault="008216F5" w:rsidP="0013739A">
          <w:pPr>
            <w:pStyle w:val="Footer"/>
            <w:rPr>
              <w:rFonts w:cs="Arial"/>
            </w:rPr>
          </w:pPr>
          <w:bookmarkStart w:id="39" w:name="DraftReportEven"/>
          <w:bookmarkEnd w:id="39"/>
          <w:r>
            <w:rPr>
              <w:rFonts w:cs="Arial"/>
            </w:rPr>
            <w:t>Resources Sector Regulation</w:t>
          </w:r>
        </w:p>
      </w:tc>
      <w:tc>
        <w:tcPr>
          <w:tcW w:w="510" w:type="dxa"/>
        </w:tcPr>
        <w:p w:rsidR="008216F5" w:rsidRDefault="008216F5" w:rsidP="0019293B">
          <w:pPr>
            <w:pStyle w:val="Footer"/>
          </w:pPr>
        </w:p>
      </w:tc>
    </w:tr>
  </w:tbl>
  <w:p w:rsidR="008216F5" w:rsidRDefault="008216F5"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216F5" w:rsidTr="005F48ED">
      <w:trPr>
        <w:trHeight w:hRule="exact" w:val="567"/>
      </w:trPr>
      <w:tc>
        <w:tcPr>
          <w:tcW w:w="510" w:type="dxa"/>
        </w:tcPr>
        <w:p w:rsidR="008216F5" w:rsidRDefault="008216F5">
          <w:pPr>
            <w:pStyle w:val="Footer"/>
            <w:ind w:right="360" w:firstLine="360"/>
          </w:pPr>
        </w:p>
      </w:tc>
      <w:tc>
        <w:tcPr>
          <w:tcW w:w="7767" w:type="dxa"/>
        </w:tcPr>
        <w:p w:rsidR="008216F5" w:rsidRPr="00BA5B14" w:rsidRDefault="008216F5" w:rsidP="000518CA">
          <w:pPr>
            <w:pStyle w:val="Footer"/>
            <w:jc w:val="right"/>
          </w:pPr>
          <w:bookmarkStart w:id="40" w:name="DraftReportOdd"/>
          <w:bookmarkEnd w:id="40"/>
          <w:r>
            <w:rPr>
              <w:rFonts w:cs="Arial"/>
            </w:rPr>
            <w:t>Issues Paper</w:t>
          </w:r>
        </w:p>
      </w:tc>
      <w:tc>
        <w:tcPr>
          <w:tcW w:w="510" w:type="dxa"/>
        </w:tcPr>
        <w:p w:rsidR="008216F5" w:rsidRPr="00A24443" w:rsidRDefault="008216F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D5BD8">
            <w:rPr>
              <w:rStyle w:val="PageNumber"/>
              <w:caps w:val="0"/>
              <w:noProof/>
            </w:rPr>
            <w:t>23</w:t>
          </w:r>
          <w:r w:rsidRPr="00A24443">
            <w:rPr>
              <w:rStyle w:val="PageNumber"/>
              <w:caps w:val="0"/>
            </w:rPr>
            <w:fldChar w:fldCharType="end"/>
          </w:r>
        </w:p>
      </w:tc>
    </w:tr>
  </w:tbl>
  <w:p w:rsidR="008216F5" w:rsidRDefault="008216F5">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F5" w:rsidRDefault="0082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40" w:rsidRDefault="00493F40">
      <w:r>
        <w:separator/>
      </w:r>
    </w:p>
  </w:footnote>
  <w:footnote w:type="continuationSeparator" w:id="0">
    <w:p w:rsidR="00493F40" w:rsidRDefault="00493F40">
      <w:r>
        <w:continuationSeparator/>
      </w:r>
    </w:p>
  </w:footnote>
  <w:footnote w:type="continuationNotice" w:id="1">
    <w:p w:rsidR="00493F40" w:rsidRDefault="00493F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16F5">
      <w:tc>
        <w:tcPr>
          <w:tcW w:w="6634" w:type="dxa"/>
          <w:tcBorders>
            <w:top w:val="single" w:sz="6" w:space="0" w:color="auto"/>
          </w:tcBorders>
        </w:tcPr>
        <w:p w:rsidR="008216F5" w:rsidRDefault="008216F5" w:rsidP="00E669E2">
          <w:pPr>
            <w:pStyle w:val="HeaderOdd"/>
          </w:pPr>
        </w:p>
      </w:tc>
      <w:tc>
        <w:tcPr>
          <w:tcW w:w="2155" w:type="dxa"/>
          <w:tcBorders>
            <w:top w:val="single" w:sz="24" w:space="0" w:color="auto"/>
          </w:tcBorders>
        </w:tcPr>
        <w:p w:rsidR="008216F5" w:rsidRDefault="008216F5" w:rsidP="00E669E2">
          <w:pPr>
            <w:pStyle w:val="HeaderOdd"/>
          </w:pPr>
        </w:p>
      </w:tc>
    </w:tr>
  </w:tbl>
  <w:p w:rsidR="008216F5" w:rsidRDefault="008216F5" w:rsidP="00E669E2">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6F5" w:rsidRDefault="0082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16F5" w:rsidTr="00E37F12">
      <w:tc>
        <w:tcPr>
          <w:tcW w:w="2155" w:type="dxa"/>
          <w:tcBorders>
            <w:top w:val="single" w:sz="24" w:space="0" w:color="auto"/>
          </w:tcBorders>
        </w:tcPr>
        <w:p w:rsidR="008216F5" w:rsidRDefault="008216F5" w:rsidP="00E37F12">
          <w:pPr>
            <w:pStyle w:val="HeaderEven"/>
          </w:pPr>
        </w:p>
      </w:tc>
      <w:tc>
        <w:tcPr>
          <w:tcW w:w="6634" w:type="dxa"/>
          <w:tcBorders>
            <w:top w:val="single" w:sz="6" w:space="0" w:color="auto"/>
          </w:tcBorders>
        </w:tcPr>
        <w:p w:rsidR="008216F5" w:rsidRDefault="008216F5" w:rsidP="00E37F12">
          <w:pPr>
            <w:pStyle w:val="HeaderEven"/>
          </w:pPr>
        </w:p>
      </w:tc>
    </w:tr>
  </w:tbl>
  <w:p w:rsidR="008216F5" w:rsidRDefault="008216F5" w:rsidP="00E37F1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16F5">
      <w:tc>
        <w:tcPr>
          <w:tcW w:w="6634" w:type="dxa"/>
          <w:tcBorders>
            <w:top w:val="single" w:sz="6" w:space="0" w:color="auto"/>
          </w:tcBorders>
        </w:tcPr>
        <w:p w:rsidR="008216F5" w:rsidRDefault="008216F5" w:rsidP="00E669E2">
          <w:pPr>
            <w:pStyle w:val="HeaderOdd"/>
          </w:pPr>
        </w:p>
      </w:tc>
      <w:tc>
        <w:tcPr>
          <w:tcW w:w="2155" w:type="dxa"/>
          <w:tcBorders>
            <w:top w:val="single" w:sz="24" w:space="0" w:color="auto"/>
          </w:tcBorders>
        </w:tcPr>
        <w:p w:rsidR="008216F5" w:rsidRDefault="008216F5" w:rsidP="00E669E2">
          <w:pPr>
            <w:pStyle w:val="HeaderOdd"/>
          </w:pPr>
        </w:p>
      </w:tc>
    </w:tr>
  </w:tbl>
  <w:p w:rsidR="008216F5" w:rsidRDefault="008216F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16F5">
      <w:tc>
        <w:tcPr>
          <w:tcW w:w="2155" w:type="dxa"/>
          <w:tcBorders>
            <w:top w:val="single" w:sz="24" w:space="0" w:color="auto"/>
          </w:tcBorders>
        </w:tcPr>
        <w:p w:rsidR="008216F5" w:rsidRDefault="008216F5" w:rsidP="0019293B">
          <w:pPr>
            <w:pStyle w:val="HeaderEven"/>
          </w:pPr>
        </w:p>
      </w:tc>
      <w:tc>
        <w:tcPr>
          <w:tcW w:w="6634" w:type="dxa"/>
          <w:tcBorders>
            <w:top w:val="single" w:sz="6" w:space="0" w:color="auto"/>
          </w:tcBorders>
        </w:tcPr>
        <w:p w:rsidR="008216F5" w:rsidRDefault="008216F5" w:rsidP="0019293B">
          <w:pPr>
            <w:pStyle w:val="HeaderEven"/>
          </w:pPr>
        </w:p>
      </w:tc>
    </w:tr>
  </w:tbl>
  <w:p w:rsidR="008216F5" w:rsidRDefault="008216F5"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16F5">
      <w:tc>
        <w:tcPr>
          <w:tcW w:w="6634" w:type="dxa"/>
          <w:tcBorders>
            <w:top w:val="single" w:sz="6" w:space="0" w:color="auto"/>
          </w:tcBorders>
        </w:tcPr>
        <w:p w:rsidR="008216F5" w:rsidRDefault="008216F5" w:rsidP="00E669E2">
          <w:pPr>
            <w:pStyle w:val="HeaderOdd"/>
          </w:pPr>
        </w:p>
      </w:tc>
      <w:tc>
        <w:tcPr>
          <w:tcW w:w="2155" w:type="dxa"/>
          <w:tcBorders>
            <w:top w:val="single" w:sz="24" w:space="0" w:color="auto"/>
          </w:tcBorders>
        </w:tcPr>
        <w:p w:rsidR="008216F5" w:rsidRDefault="008216F5" w:rsidP="00E669E2">
          <w:pPr>
            <w:pStyle w:val="HeaderOdd"/>
          </w:pPr>
        </w:p>
      </w:tc>
    </w:tr>
  </w:tbl>
  <w:p w:rsidR="008216F5" w:rsidRDefault="008216F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16F5">
      <w:tc>
        <w:tcPr>
          <w:tcW w:w="2155" w:type="dxa"/>
          <w:tcBorders>
            <w:top w:val="single" w:sz="24" w:space="0" w:color="auto"/>
          </w:tcBorders>
        </w:tcPr>
        <w:p w:rsidR="008216F5" w:rsidRDefault="008216F5" w:rsidP="0019293B">
          <w:pPr>
            <w:pStyle w:val="HeaderEven"/>
          </w:pPr>
        </w:p>
      </w:tc>
      <w:tc>
        <w:tcPr>
          <w:tcW w:w="6634" w:type="dxa"/>
          <w:tcBorders>
            <w:top w:val="single" w:sz="6" w:space="0" w:color="auto"/>
          </w:tcBorders>
        </w:tcPr>
        <w:p w:rsidR="008216F5" w:rsidRDefault="008216F5" w:rsidP="0019293B">
          <w:pPr>
            <w:pStyle w:val="HeaderEven"/>
          </w:pPr>
        </w:p>
      </w:tc>
    </w:tr>
  </w:tbl>
  <w:p w:rsidR="008216F5" w:rsidRDefault="008216F5"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16F5">
      <w:tc>
        <w:tcPr>
          <w:tcW w:w="6634" w:type="dxa"/>
          <w:tcBorders>
            <w:top w:val="single" w:sz="6" w:space="0" w:color="auto"/>
          </w:tcBorders>
        </w:tcPr>
        <w:p w:rsidR="008216F5" w:rsidRDefault="008216F5" w:rsidP="00E669E2">
          <w:pPr>
            <w:pStyle w:val="HeaderOdd"/>
          </w:pPr>
        </w:p>
      </w:tc>
      <w:tc>
        <w:tcPr>
          <w:tcW w:w="2155" w:type="dxa"/>
          <w:tcBorders>
            <w:top w:val="single" w:sz="24" w:space="0" w:color="auto"/>
          </w:tcBorders>
        </w:tcPr>
        <w:p w:rsidR="008216F5" w:rsidRDefault="008216F5" w:rsidP="00E669E2">
          <w:pPr>
            <w:pStyle w:val="HeaderOdd"/>
          </w:pPr>
        </w:p>
      </w:tc>
    </w:tr>
  </w:tbl>
  <w:p w:rsidR="008216F5" w:rsidRDefault="008216F5"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216F5">
      <w:tc>
        <w:tcPr>
          <w:tcW w:w="2155" w:type="dxa"/>
          <w:tcBorders>
            <w:top w:val="single" w:sz="24" w:space="0" w:color="auto"/>
          </w:tcBorders>
        </w:tcPr>
        <w:p w:rsidR="008216F5" w:rsidRDefault="008216F5" w:rsidP="0019293B">
          <w:pPr>
            <w:pStyle w:val="HeaderEven"/>
          </w:pPr>
        </w:p>
      </w:tc>
      <w:tc>
        <w:tcPr>
          <w:tcW w:w="6634" w:type="dxa"/>
          <w:tcBorders>
            <w:top w:val="single" w:sz="6" w:space="0" w:color="auto"/>
          </w:tcBorders>
        </w:tcPr>
        <w:p w:rsidR="008216F5" w:rsidRDefault="008216F5" w:rsidP="0019293B">
          <w:pPr>
            <w:pStyle w:val="HeaderEven"/>
          </w:pPr>
        </w:p>
      </w:tc>
    </w:tr>
  </w:tbl>
  <w:p w:rsidR="008216F5" w:rsidRDefault="008216F5"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216F5">
      <w:tc>
        <w:tcPr>
          <w:tcW w:w="6634" w:type="dxa"/>
          <w:tcBorders>
            <w:top w:val="single" w:sz="6" w:space="0" w:color="auto"/>
          </w:tcBorders>
        </w:tcPr>
        <w:p w:rsidR="008216F5" w:rsidRDefault="008216F5" w:rsidP="00E669E2">
          <w:pPr>
            <w:pStyle w:val="HeaderOdd"/>
          </w:pPr>
        </w:p>
      </w:tc>
      <w:tc>
        <w:tcPr>
          <w:tcW w:w="2155" w:type="dxa"/>
          <w:tcBorders>
            <w:top w:val="single" w:sz="24" w:space="0" w:color="auto"/>
          </w:tcBorders>
        </w:tcPr>
        <w:p w:rsidR="008216F5" w:rsidRDefault="008216F5" w:rsidP="00E669E2">
          <w:pPr>
            <w:pStyle w:val="HeaderOdd"/>
          </w:pPr>
        </w:p>
      </w:tc>
    </w:tr>
  </w:tbl>
  <w:p w:rsidR="008216F5" w:rsidRDefault="008216F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55F4558"/>
    <w:multiLevelType w:val="hybridMultilevel"/>
    <w:tmpl w:val="FEA47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9D92A80"/>
    <w:multiLevelType w:val="hybridMultilevel"/>
    <w:tmpl w:val="2C52C082"/>
    <w:lvl w:ilvl="0" w:tplc="FC7E37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E78A288"/>
    <w:lvl w:ilvl="0">
      <w:start w:val="1"/>
      <w:numFmt w:val="bullet"/>
      <w:pStyle w:val="BoxListBullet"/>
      <w:lvlText w:val=""/>
      <w:lvlJc w:val="left"/>
      <w:pPr>
        <w:tabs>
          <w:tab w:val="num" w:pos="284"/>
        </w:tabs>
        <w:ind w:left="284" w:hanging="284"/>
      </w:pPr>
      <w:rPr>
        <w:rFonts w:ascii="Symbol" w:hAnsi="Symbol" w:hint="default"/>
        <w:sz w:val="18"/>
        <w:u w:val="none"/>
      </w:rPr>
    </w:lvl>
  </w:abstractNum>
  <w:abstractNum w:abstractNumId="15" w15:restartNumberingAfterBreak="0">
    <w:nsid w:val="4C2B5347"/>
    <w:multiLevelType w:val="hybridMultilevel"/>
    <w:tmpl w:val="3C365422"/>
    <w:lvl w:ilvl="0" w:tplc="720CA4D2">
      <w:start w:val="1"/>
      <w:numFmt w:val="bullet"/>
      <w:pStyle w:val="InformationRequestBullet"/>
      <w:lvlText w:val=""/>
      <w:lvlJc w:val="left"/>
      <w:pPr>
        <w:ind w:left="360" w:hanging="360"/>
      </w:pPr>
      <w:rPr>
        <w:rFonts w:ascii="Symbol" w:hAnsi="Symbol" w:hint="default"/>
        <w:sz w:val="18"/>
      </w:rPr>
    </w:lvl>
    <w:lvl w:ilvl="1" w:tplc="842618B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A511AEA"/>
    <w:multiLevelType w:val="multilevel"/>
    <w:tmpl w:val="5A7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56579"/>
    <w:multiLevelType w:val="hybridMultilevel"/>
    <w:tmpl w:val="204415AA"/>
    <w:lvl w:ilvl="0" w:tplc="255EE39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9B92F25"/>
    <w:multiLevelType w:val="hybridMultilevel"/>
    <w:tmpl w:val="BE74D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DB58F4"/>
    <w:multiLevelType w:val="hybridMultilevel"/>
    <w:tmpl w:val="BB4C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6"/>
  </w:num>
  <w:num w:numId="4">
    <w:abstractNumId w:val="4"/>
  </w:num>
  <w:num w:numId="5">
    <w:abstractNumId w:val="23"/>
  </w:num>
  <w:num w:numId="6">
    <w:abstractNumId w:val="18"/>
  </w:num>
  <w:num w:numId="7">
    <w:abstractNumId w:val="9"/>
  </w:num>
  <w:num w:numId="8">
    <w:abstractNumId w:val="17"/>
  </w:num>
  <w:num w:numId="9">
    <w:abstractNumId w:val="8"/>
  </w:num>
  <w:num w:numId="10">
    <w:abstractNumId w:val="7"/>
  </w:num>
  <w:num w:numId="11">
    <w:abstractNumId w:val="11"/>
  </w:num>
  <w:num w:numId="12">
    <w:abstractNumId w:val="13"/>
  </w:num>
  <w:num w:numId="13">
    <w:abstractNumId w:val="6"/>
  </w:num>
  <w:num w:numId="14">
    <w:abstractNumId w:val="19"/>
  </w:num>
  <w:num w:numId="15">
    <w:abstractNumId w:val="26"/>
  </w:num>
  <w:num w:numId="16">
    <w:abstractNumId w:val="15"/>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0"/>
  </w:num>
  <w:num w:numId="22">
    <w:abstractNumId w:val="1"/>
  </w:num>
  <w:num w:numId="23">
    <w:abstractNumId w:val="12"/>
  </w:num>
  <w:num w:numId="24">
    <w:abstractNumId w:val="21"/>
  </w:num>
  <w:num w:numId="25">
    <w:abstractNumId w:val="24"/>
  </w:num>
  <w:num w:numId="26">
    <w:abstractNumId w:val="25"/>
  </w:num>
  <w:num w:numId="27">
    <w:abstractNumId w:val="5"/>
  </w:num>
  <w:num w:numId="28">
    <w:abstractNumId w:val="20"/>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D85F96"/>
    <w:rsid w:val="00000203"/>
    <w:rsid w:val="000006D6"/>
    <w:rsid w:val="000017AD"/>
    <w:rsid w:val="00001C69"/>
    <w:rsid w:val="00001F07"/>
    <w:rsid w:val="000026F8"/>
    <w:rsid w:val="00003D4B"/>
    <w:rsid w:val="00004E68"/>
    <w:rsid w:val="00005569"/>
    <w:rsid w:val="00006936"/>
    <w:rsid w:val="00006B04"/>
    <w:rsid w:val="0001003A"/>
    <w:rsid w:val="000102FC"/>
    <w:rsid w:val="000108B0"/>
    <w:rsid w:val="00011DFF"/>
    <w:rsid w:val="000123CD"/>
    <w:rsid w:val="000138CE"/>
    <w:rsid w:val="0001456A"/>
    <w:rsid w:val="00014770"/>
    <w:rsid w:val="00016164"/>
    <w:rsid w:val="00016F60"/>
    <w:rsid w:val="00016F7B"/>
    <w:rsid w:val="000172E6"/>
    <w:rsid w:val="00017AA0"/>
    <w:rsid w:val="0002071D"/>
    <w:rsid w:val="000218DA"/>
    <w:rsid w:val="000227D5"/>
    <w:rsid w:val="00022A62"/>
    <w:rsid w:val="00023662"/>
    <w:rsid w:val="00023724"/>
    <w:rsid w:val="000240AF"/>
    <w:rsid w:val="000245AA"/>
    <w:rsid w:val="000246A6"/>
    <w:rsid w:val="00025CF4"/>
    <w:rsid w:val="000265D7"/>
    <w:rsid w:val="000271CD"/>
    <w:rsid w:val="0003034E"/>
    <w:rsid w:val="000308D7"/>
    <w:rsid w:val="0003126D"/>
    <w:rsid w:val="00031E6D"/>
    <w:rsid w:val="0003282D"/>
    <w:rsid w:val="0003326A"/>
    <w:rsid w:val="00033319"/>
    <w:rsid w:val="00033817"/>
    <w:rsid w:val="0003394A"/>
    <w:rsid w:val="00034763"/>
    <w:rsid w:val="000357DB"/>
    <w:rsid w:val="00035DB1"/>
    <w:rsid w:val="00035E42"/>
    <w:rsid w:val="0003631C"/>
    <w:rsid w:val="0003664B"/>
    <w:rsid w:val="00036CBE"/>
    <w:rsid w:val="000377A3"/>
    <w:rsid w:val="000379CD"/>
    <w:rsid w:val="0004111F"/>
    <w:rsid w:val="00041175"/>
    <w:rsid w:val="000416C4"/>
    <w:rsid w:val="00041B67"/>
    <w:rsid w:val="0004320A"/>
    <w:rsid w:val="000432F0"/>
    <w:rsid w:val="00043D79"/>
    <w:rsid w:val="00044CAA"/>
    <w:rsid w:val="00045396"/>
    <w:rsid w:val="00045A1C"/>
    <w:rsid w:val="00046379"/>
    <w:rsid w:val="00046DB9"/>
    <w:rsid w:val="00050C2E"/>
    <w:rsid w:val="0005134F"/>
    <w:rsid w:val="000518CA"/>
    <w:rsid w:val="00052D76"/>
    <w:rsid w:val="00053A67"/>
    <w:rsid w:val="00053C79"/>
    <w:rsid w:val="00054176"/>
    <w:rsid w:val="00054806"/>
    <w:rsid w:val="00055077"/>
    <w:rsid w:val="000565B3"/>
    <w:rsid w:val="00056659"/>
    <w:rsid w:val="0005768E"/>
    <w:rsid w:val="00057AF5"/>
    <w:rsid w:val="00057F17"/>
    <w:rsid w:val="00060044"/>
    <w:rsid w:val="00060330"/>
    <w:rsid w:val="00060FD8"/>
    <w:rsid w:val="000611DD"/>
    <w:rsid w:val="00061564"/>
    <w:rsid w:val="000620E8"/>
    <w:rsid w:val="00065048"/>
    <w:rsid w:val="00065B70"/>
    <w:rsid w:val="00065BD2"/>
    <w:rsid w:val="00066D79"/>
    <w:rsid w:val="0006769F"/>
    <w:rsid w:val="0007150B"/>
    <w:rsid w:val="00071A99"/>
    <w:rsid w:val="00072F9E"/>
    <w:rsid w:val="00073519"/>
    <w:rsid w:val="000738D2"/>
    <w:rsid w:val="000747A4"/>
    <w:rsid w:val="00076EF2"/>
    <w:rsid w:val="00077820"/>
    <w:rsid w:val="00081322"/>
    <w:rsid w:val="00081345"/>
    <w:rsid w:val="00081917"/>
    <w:rsid w:val="0008273C"/>
    <w:rsid w:val="00082DAF"/>
    <w:rsid w:val="00087EB3"/>
    <w:rsid w:val="00090931"/>
    <w:rsid w:val="00090AB1"/>
    <w:rsid w:val="00090AE5"/>
    <w:rsid w:val="00091951"/>
    <w:rsid w:val="00091A03"/>
    <w:rsid w:val="00091EBF"/>
    <w:rsid w:val="000920AB"/>
    <w:rsid w:val="00092A16"/>
    <w:rsid w:val="0009310E"/>
    <w:rsid w:val="000938F5"/>
    <w:rsid w:val="00094926"/>
    <w:rsid w:val="00095127"/>
    <w:rsid w:val="00095366"/>
    <w:rsid w:val="000954B6"/>
    <w:rsid w:val="00095663"/>
    <w:rsid w:val="0009572C"/>
    <w:rsid w:val="0009691C"/>
    <w:rsid w:val="00096E08"/>
    <w:rsid w:val="00096E55"/>
    <w:rsid w:val="0009783E"/>
    <w:rsid w:val="000978B7"/>
    <w:rsid w:val="000A1CAD"/>
    <w:rsid w:val="000A27BA"/>
    <w:rsid w:val="000A2CA7"/>
    <w:rsid w:val="000A35CB"/>
    <w:rsid w:val="000A3653"/>
    <w:rsid w:val="000A4112"/>
    <w:rsid w:val="000A6137"/>
    <w:rsid w:val="000A6486"/>
    <w:rsid w:val="000A6B0A"/>
    <w:rsid w:val="000A7579"/>
    <w:rsid w:val="000A7F0F"/>
    <w:rsid w:val="000B05DE"/>
    <w:rsid w:val="000B0D30"/>
    <w:rsid w:val="000B1022"/>
    <w:rsid w:val="000B24B3"/>
    <w:rsid w:val="000B2E79"/>
    <w:rsid w:val="000B55DA"/>
    <w:rsid w:val="000B5820"/>
    <w:rsid w:val="000B5D04"/>
    <w:rsid w:val="000B601B"/>
    <w:rsid w:val="000B7448"/>
    <w:rsid w:val="000B7537"/>
    <w:rsid w:val="000B76DE"/>
    <w:rsid w:val="000C0DCA"/>
    <w:rsid w:val="000C1874"/>
    <w:rsid w:val="000C1E67"/>
    <w:rsid w:val="000C207E"/>
    <w:rsid w:val="000C2556"/>
    <w:rsid w:val="000C25F9"/>
    <w:rsid w:val="000C32ED"/>
    <w:rsid w:val="000C3556"/>
    <w:rsid w:val="000C3E7A"/>
    <w:rsid w:val="000C5262"/>
    <w:rsid w:val="000C52A8"/>
    <w:rsid w:val="000C5692"/>
    <w:rsid w:val="000C5E36"/>
    <w:rsid w:val="000C5EEA"/>
    <w:rsid w:val="000C6368"/>
    <w:rsid w:val="000C7DBE"/>
    <w:rsid w:val="000D01C0"/>
    <w:rsid w:val="000D02AA"/>
    <w:rsid w:val="000D0576"/>
    <w:rsid w:val="000D0C1A"/>
    <w:rsid w:val="000D0DB1"/>
    <w:rsid w:val="000D11EF"/>
    <w:rsid w:val="000D25BE"/>
    <w:rsid w:val="000D2D3A"/>
    <w:rsid w:val="000D3787"/>
    <w:rsid w:val="000D3835"/>
    <w:rsid w:val="000D3AF1"/>
    <w:rsid w:val="000D41E9"/>
    <w:rsid w:val="000D4E78"/>
    <w:rsid w:val="000D678E"/>
    <w:rsid w:val="000D7510"/>
    <w:rsid w:val="000E000F"/>
    <w:rsid w:val="000E06DE"/>
    <w:rsid w:val="000E0C16"/>
    <w:rsid w:val="000E0F88"/>
    <w:rsid w:val="000E1067"/>
    <w:rsid w:val="000E17A9"/>
    <w:rsid w:val="000E2529"/>
    <w:rsid w:val="000E266F"/>
    <w:rsid w:val="000E4429"/>
    <w:rsid w:val="000E4537"/>
    <w:rsid w:val="000E46FA"/>
    <w:rsid w:val="000E49D4"/>
    <w:rsid w:val="000E50A8"/>
    <w:rsid w:val="000E5979"/>
    <w:rsid w:val="000F0035"/>
    <w:rsid w:val="000F04E7"/>
    <w:rsid w:val="000F060A"/>
    <w:rsid w:val="000F0F5F"/>
    <w:rsid w:val="000F18AD"/>
    <w:rsid w:val="000F2EA0"/>
    <w:rsid w:val="000F3311"/>
    <w:rsid w:val="000F3595"/>
    <w:rsid w:val="000F3C28"/>
    <w:rsid w:val="000F420B"/>
    <w:rsid w:val="000F4BB1"/>
    <w:rsid w:val="000F4BB2"/>
    <w:rsid w:val="000F4FC2"/>
    <w:rsid w:val="000F539C"/>
    <w:rsid w:val="000F573B"/>
    <w:rsid w:val="000F5D04"/>
    <w:rsid w:val="000F6404"/>
    <w:rsid w:val="000F6584"/>
    <w:rsid w:val="00100C48"/>
    <w:rsid w:val="001023B4"/>
    <w:rsid w:val="001047E5"/>
    <w:rsid w:val="00104F5E"/>
    <w:rsid w:val="0010554E"/>
    <w:rsid w:val="00105C50"/>
    <w:rsid w:val="001074CD"/>
    <w:rsid w:val="0010766B"/>
    <w:rsid w:val="00110116"/>
    <w:rsid w:val="00110386"/>
    <w:rsid w:val="001110F4"/>
    <w:rsid w:val="001115D8"/>
    <w:rsid w:val="00111789"/>
    <w:rsid w:val="00111AD2"/>
    <w:rsid w:val="00111BBF"/>
    <w:rsid w:val="00113905"/>
    <w:rsid w:val="00113D8D"/>
    <w:rsid w:val="001151CF"/>
    <w:rsid w:val="00115405"/>
    <w:rsid w:val="00115A08"/>
    <w:rsid w:val="00117135"/>
    <w:rsid w:val="0011743A"/>
    <w:rsid w:val="00117795"/>
    <w:rsid w:val="001178CC"/>
    <w:rsid w:val="00120072"/>
    <w:rsid w:val="001201D6"/>
    <w:rsid w:val="001207F5"/>
    <w:rsid w:val="00121E4D"/>
    <w:rsid w:val="001226B0"/>
    <w:rsid w:val="001231CD"/>
    <w:rsid w:val="001245CF"/>
    <w:rsid w:val="00126363"/>
    <w:rsid w:val="00126E14"/>
    <w:rsid w:val="00126EB8"/>
    <w:rsid w:val="001274D4"/>
    <w:rsid w:val="00130608"/>
    <w:rsid w:val="00130B78"/>
    <w:rsid w:val="00130CA5"/>
    <w:rsid w:val="00130DAA"/>
    <w:rsid w:val="00132F8C"/>
    <w:rsid w:val="00133DCC"/>
    <w:rsid w:val="00133DE7"/>
    <w:rsid w:val="00135A2E"/>
    <w:rsid w:val="00136140"/>
    <w:rsid w:val="001363AA"/>
    <w:rsid w:val="001368EC"/>
    <w:rsid w:val="0013739A"/>
    <w:rsid w:val="00137A97"/>
    <w:rsid w:val="00137CFB"/>
    <w:rsid w:val="00137D56"/>
    <w:rsid w:val="0014075D"/>
    <w:rsid w:val="001411A5"/>
    <w:rsid w:val="0014132A"/>
    <w:rsid w:val="00141417"/>
    <w:rsid w:val="00142165"/>
    <w:rsid w:val="0014239A"/>
    <w:rsid w:val="0014295A"/>
    <w:rsid w:val="00142B69"/>
    <w:rsid w:val="00142F40"/>
    <w:rsid w:val="00144489"/>
    <w:rsid w:val="00144DDD"/>
    <w:rsid w:val="00145FE2"/>
    <w:rsid w:val="00146342"/>
    <w:rsid w:val="00146D73"/>
    <w:rsid w:val="00147201"/>
    <w:rsid w:val="00147573"/>
    <w:rsid w:val="001476B7"/>
    <w:rsid w:val="00147A39"/>
    <w:rsid w:val="001507D3"/>
    <w:rsid w:val="0015100D"/>
    <w:rsid w:val="0015278B"/>
    <w:rsid w:val="001534CE"/>
    <w:rsid w:val="00153648"/>
    <w:rsid w:val="00153AB7"/>
    <w:rsid w:val="0015482F"/>
    <w:rsid w:val="00155879"/>
    <w:rsid w:val="00156967"/>
    <w:rsid w:val="00157A32"/>
    <w:rsid w:val="00160ED3"/>
    <w:rsid w:val="00161407"/>
    <w:rsid w:val="001614FA"/>
    <w:rsid w:val="00162434"/>
    <w:rsid w:val="0016270A"/>
    <w:rsid w:val="00162C00"/>
    <w:rsid w:val="00162FD6"/>
    <w:rsid w:val="0016370F"/>
    <w:rsid w:val="001643AE"/>
    <w:rsid w:val="00164E9E"/>
    <w:rsid w:val="001651E5"/>
    <w:rsid w:val="00165C5D"/>
    <w:rsid w:val="00165EB8"/>
    <w:rsid w:val="00166831"/>
    <w:rsid w:val="00166D8F"/>
    <w:rsid w:val="001672D2"/>
    <w:rsid w:val="00167404"/>
    <w:rsid w:val="00167B13"/>
    <w:rsid w:val="00171059"/>
    <w:rsid w:val="001714F2"/>
    <w:rsid w:val="0017167D"/>
    <w:rsid w:val="00172F5B"/>
    <w:rsid w:val="0017524B"/>
    <w:rsid w:val="0017571E"/>
    <w:rsid w:val="00175819"/>
    <w:rsid w:val="00175F79"/>
    <w:rsid w:val="001761A9"/>
    <w:rsid w:val="001774ED"/>
    <w:rsid w:val="00177581"/>
    <w:rsid w:val="00177736"/>
    <w:rsid w:val="001811C2"/>
    <w:rsid w:val="00181BDC"/>
    <w:rsid w:val="00183318"/>
    <w:rsid w:val="00183B8C"/>
    <w:rsid w:val="00183E82"/>
    <w:rsid w:val="00184D4C"/>
    <w:rsid w:val="00184E5F"/>
    <w:rsid w:val="00185216"/>
    <w:rsid w:val="001852C6"/>
    <w:rsid w:val="001856ED"/>
    <w:rsid w:val="001866F9"/>
    <w:rsid w:val="001878BB"/>
    <w:rsid w:val="0019199F"/>
    <w:rsid w:val="001919F4"/>
    <w:rsid w:val="00191AE0"/>
    <w:rsid w:val="0019293B"/>
    <w:rsid w:val="00192FCA"/>
    <w:rsid w:val="00193880"/>
    <w:rsid w:val="00193899"/>
    <w:rsid w:val="00193E31"/>
    <w:rsid w:val="00193FED"/>
    <w:rsid w:val="0019426B"/>
    <w:rsid w:val="00194561"/>
    <w:rsid w:val="00194A9C"/>
    <w:rsid w:val="00194BEF"/>
    <w:rsid w:val="001953BD"/>
    <w:rsid w:val="001964FF"/>
    <w:rsid w:val="001970CF"/>
    <w:rsid w:val="0019732E"/>
    <w:rsid w:val="00197FA9"/>
    <w:rsid w:val="001A0E9D"/>
    <w:rsid w:val="001A0FB4"/>
    <w:rsid w:val="001A0FBD"/>
    <w:rsid w:val="001A148D"/>
    <w:rsid w:val="001A169D"/>
    <w:rsid w:val="001A2851"/>
    <w:rsid w:val="001A3E09"/>
    <w:rsid w:val="001A4990"/>
    <w:rsid w:val="001A5431"/>
    <w:rsid w:val="001A5FF5"/>
    <w:rsid w:val="001A6A4B"/>
    <w:rsid w:val="001A722B"/>
    <w:rsid w:val="001A7567"/>
    <w:rsid w:val="001B0035"/>
    <w:rsid w:val="001B0164"/>
    <w:rsid w:val="001B0530"/>
    <w:rsid w:val="001B066A"/>
    <w:rsid w:val="001B08FD"/>
    <w:rsid w:val="001B0967"/>
    <w:rsid w:val="001B1597"/>
    <w:rsid w:val="001B15D8"/>
    <w:rsid w:val="001B169F"/>
    <w:rsid w:val="001B1716"/>
    <w:rsid w:val="001B189B"/>
    <w:rsid w:val="001B24CD"/>
    <w:rsid w:val="001B25FB"/>
    <w:rsid w:val="001B314B"/>
    <w:rsid w:val="001B44BE"/>
    <w:rsid w:val="001B4DB9"/>
    <w:rsid w:val="001B566B"/>
    <w:rsid w:val="001B5906"/>
    <w:rsid w:val="001B602B"/>
    <w:rsid w:val="001B637E"/>
    <w:rsid w:val="001B6767"/>
    <w:rsid w:val="001B71A4"/>
    <w:rsid w:val="001B7302"/>
    <w:rsid w:val="001C06FD"/>
    <w:rsid w:val="001C0865"/>
    <w:rsid w:val="001C0AED"/>
    <w:rsid w:val="001C1103"/>
    <w:rsid w:val="001C1FB5"/>
    <w:rsid w:val="001C208D"/>
    <w:rsid w:val="001C2467"/>
    <w:rsid w:val="001C2B8E"/>
    <w:rsid w:val="001C31D3"/>
    <w:rsid w:val="001C36D0"/>
    <w:rsid w:val="001C3710"/>
    <w:rsid w:val="001C3963"/>
    <w:rsid w:val="001C3ABA"/>
    <w:rsid w:val="001C3D5E"/>
    <w:rsid w:val="001C3FB1"/>
    <w:rsid w:val="001C4158"/>
    <w:rsid w:val="001C4901"/>
    <w:rsid w:val="001C49E5"/>
    <w:rsid w:val="001C4A6E"/>
    <w:rsid w:val="001C4DE4"/>
    <w:rsid w:val="001C5111"/>
    <w:rsid w:val="001C5AFD"/>
    <w:rsid w:val="001C620F"/>
    <w:rsid w:val="001C69B4"/>
    <w:rsid w:val="001C773C"/>
    <w:rsid w:val="001D1027"/>
    <w:rsid w:val="001D14EF"/>
    <w:rsid w:val="001D21D0"/>
    <w:rsid w:val="001D2BA4"/>
    <w:rsid w:val="001D3725"/>
    <w:rsid w:val="001D3D67"/>
    <w:rsid w:val="001D4E76"/>
    <w:rsid w:val="001D513D"/>
    <w:rsid w:val="001D5B22"/>
    <w:rsid w:val="001D5B50"/>
    <w:rsid w:val="001D5E67"/>
    <w:rsid w:val="001D76EF"/>
    <w:rsid w:val="001E0122"/>
    <w:rsid w:val="001E02A8"/>
    <w:rsid w:val="001E0CF7"/>
    <w:rsid w:val="001E1C67"/>
    <w:rsid w:val="001E3211"/>
    <w:rsid w:val="001E366D"/>
    <w:rsid w:val="001E36FF"/>
    <w:rsid w:val="001E37DD"/>
    <w:rsid w:val="001E5ECE"/>
    <w:rsid w:val="001E6A2C"/>
    <w:rsid w:val="001E7B29"/>
    <w:rsid w:val="001E7BE8"/>
    <w:rsid w:val="001F0248"/>
    <w:rsid w:val="001F02EF"/>
    <w:rsid w:val="001F1B36"/>
    <w:rsid w:val="001F1D69"/>
    <w:rsid w:val="001F1E05"/>
    <w:rsid w:val="001F2D71"/>
    <w:rsid w:val="001F3798"/>
    <w:rsid w:val="001F3EB3"/>
    <w:rsid w:val="001F4C70"/>
    <w:rsid w:val="001F4F86"/>
    <w:rsid w:val="001F5B76"/>
    <w:rsid w:val="001F5DAA"/>
    <w:rsid w:val="001F5EF4"/>
    <w:rsid w:val="001F6790"/>
    <w:rsid w:val="001F68FA"/>
    <w:rsid w:val="001F73DB"/>
    <w:rsid w:val="001F7930"/>
    <w:rsid w:val="001F7CEF"/>
    <w:rsid w:val="001F7E9B"/>
    <w:rsid w:val="00200ADB"/>
    <w:rsid w:val="00200F7C"/>
    <w:rsid w:val="0020168E"/>
    <w:rsid w:val="002022B6"/>
    <w:rsid w:val="0020263D"/>
    <w:rsid w:val="0020272A"/>
    <w:rsid w:val="00202C2C"/>
    <w:rsid w:val="00203050"/>
    <w:rsid w:val="00204B87"/>
    <w:rsid w:val="00204E8E"/>
    <w:rsid w:val="002053C3"/>
    <w:rsid w:val="00205E06"/>
    <w:rsid w:val="002062C4"/>
    <w:rsid w:val="002070E9"/>
    <w:rsid w:val="0020783B"/>
    <w:rsid w:val="002103F4"/>
    <w:rsid w:val="00210CBE"/>
    <w:rsid w:val="0021108A"/>
    <w:rsid w:val="002120F9"/>
    <w:rsid w:val="00212407"/>
    <w:rsid w:val="00212D4F"/>
    <w:rsid w:val="0021301E"/>
    <w:rsid w:val="00213434"/>
    <w:rsid w:val="002135AB"/>
    <w:rsid w:val="002144BE"/>
    <w:rsid w:val="00214573"/>
    <w:rsid w:val="00214EFB"/>
    <w:rsid w:val="00216872"/>
    <w:rsid w:val="002168FA"/>
    <w:rsid w:val="00220FA7"/>
    <w:rsid w:val="00221196"/>
    <w:rsid w:val="00222559"/>
    <w:rsid w:val="002235A3"/>
    <w:rsid w:val="00226FF1"/>
    <w:rsid w:val="002270B4"/>
    <w:rsid w:val="00227864"/>
    <w:rsid w:val="00227A02"/>
    <w:rsid w:val="00227FCB"/>
    <w:rsid w:val="00230AFA"/>
    <w:rsid w:val="00230B1E"/>
    <w:rsid w:val="002311D7"/>
    <w:rsid w:val="002320B8"/>
    <w:rsid w:val="002329E7"/>
    <w:rsid w:val="00233265"/>
    <w:rsid w:val="00233C6B"/>
    <w:rsid w:val="00233F96"/>
    <w:rsid w:val="002340B6"/>
    <w:rsid w:val="0023419F"/>
    <w:rsid w:val="0023494D"/>
    <w:rsid w:val="002350F9"/>
    <w:rsid w:val="00236B45"/>
    <w:rsid w:val="0023729E"/>
    <w:rsid w:val="00237589"/>
    <w:rsid w:val="0023785B"/>
    <w:rsid w:val="002416A5"/>
    <w:rsid w:val="00241992"/>
    <w:rsid w:val="00241CE5"/>
    <w:rsid w:val="00242240"/>
    <w:rsid w:val="00242279"/>
    <w:rsid w:val="0024383C"/>
    <w:rsid w:val="00243997"/>
    <w:rsid w:val="00243DE5"/>
    <w:rsid w:val="00243FF0"/>
    <w:rsid w:val="00244727"/>
    <w:rsid w:val="002447CE"/>
    <w:rsid w:val="0024500D"/>
    <w:rsid w:val="0024516C"/>
    <w:rsid w:val="00245194"/>
    <w:rsid w:val="002458FA"/>
    <w:rsid w:val="00245C82"/>
    <w:rsid w:val="0024661F"/>
    <w:rsid w:val="00246B5E"/>
    <w:rsid w:val="00247AAB"/>
    <w:rsid w:val="00247C8B"/>
    <w:rsid w:val="00247D89"/>
    <w:rsid w:val="00247E60"/>
    <w:rsid w:val="00247F2B"/>
    <w:rsid w:val="00250164"/>
    <w:rsid w:val="00250534"/>
    <w:rsid w:val="0025094A"/>
    <w:rsid w:val="0025105F"/>
    <w:rsid w:val="00252D10"/>
    <w:rsid w:val="00253600"/>
    <w:rsid w:val="002541C9"/>
    <w:rsid w:val="002546BA"/>
    <w:rsid w:val="00254C3A"/>
    <w:rsid w:val="00256830"/>
    <w:rsid w:val="00256A08"/>
    <w:rsid w:val="00256B5B"/>
    <w:rsid w:val="00256CAA"/>
    <w:rsid w:val="00260707"/>
    <w:rsid w:val="00263181"/>
    <w:rsid w:val="00265D35"/>
    <w:rsid w:val="00266C52"/>
    <w:rsid w:val="00266CB7"/>
    <w:rsid w:val="00267554"/>
    <w:rsid w:val="00267EFC"/>
    <w:rsid w:val="002709AB"/>
    <w:rsid w:val="002724BA"/>
    <w:rsid w:val="00273074"/>
    <w:rsid w:val="0027339E"/>
    <w:rsid w:val="00273843"/>
    <w:rsid w:val="00273A7B"/>
    <w:rsid w:val="0027493C"/>
    <w:rsid w:val="002750E9"/>
    <w:rsid w:val="0027534E"/>
    <w:rsid w:val="00275804"/>
    <w:rsid w:val="00275841"/>
    <w:rsid w:val="00275B4F"/>
    <w:rsid w:val="00277B00"/>
    <w:rsid w:val="00280951"/>
    <w:rsid w:val="00282919"/>
    <w:rsid w:val="00282AB7"/>
    <w:rsid w:val="00282CD3"/>
    <w:rsid w:val="00283BA2"/>
    <w:rsid w:val="002849B2"/>
    <w:rsid w:val="0028508D"/>
    <w:rsid w:val="002851D9"/>
    <w:rsid w:val="00285550"/>
    <w:rsid w:val="002860B3"/>
    <w:rsid w:val="00286DCE"/>
    <w:rsid w:val="00287A78"/>
    <w:rsid w:val="00287AB0"/>
    <w:rsid w:val="0029175E"/>
    <w:rsid w:val="002918F0"/>
    <w:rsid w:val="00291B40"/>
    <w:rsid w:val="002940F0"/>
    <w:rsid w:val="00294EB2"/>
    <w:rsid w:val="00295693"/>
    <w:rsid w:val="0029665B"/>
    <w:rsid w:val="002A0019"/>
    <w:rsid w:val="002A06BB"/>
    <w:rsid w:val="002A121D"/>
    <w:rsid w:val="002A195A"/>
    <w:rsid w:val="002A1C06"/>
    <w:rsid w:val="002A2636"/>
    <w:rsid w:val="002A31A4"/>
    <w:rsid w:val="002A4216"/>
    <w:rsid w:val="002A4242"/>
    <w:rsid w:val="002A4D21"/>
    <w:rsid w:val="002A5DBA"/>
    <w:rsid w:val="002A7096"/>
    <w:rsid w:val="002A7D28"/>
    <w:rsid w:val="002B05C6"/>
    <w:rsid w:val="002B0647"/>
    <w:rsid w:val="002B12C4"/>
    <w:rsid w:val="002B1D64"/>
    <w:rsid w:val="002B2162"/>
    <w:rsid w:val="002B2176"/>
    <w:rsid w:val="002B2982"/>
    <w:rsid w:val="002B2FC4"/>
    <w:rsid w:val="002B4008"/>
    <w:rsid w:val="002B59F7"/>
    <w:rsid w:val="002B6477"/>
    <w:rsid w:val="002B6CCE"/>
    <w:rsid w:val="002B6D1B"/>
    <w:rsid w:val="002B7400"/>
    <w:rsid w:val="002B7531"/>
    <w:rsid w:val="002B7627"/>
    <w:rsid w:val="002B7825"/>
    <w:rsid w:val="002B7AE2"/>
    <w:rsid w:val="002C0003"/>
    <w:rsid w:val="002C0D73"/>
    <w:rsid w:val="002C0F22"/>
    <w:rsid w:val="002C13D4"/>
    <w:rsid w:val="002C1684"/>
    <w:rsid w:val="002C16EC"/>
    <w:rsid w:val="002C18D6"/>
    <w:rsid w:val="002C1A63"/>
    <w:rsid w:val="002C2169"/>
    <w:rsid w:val="002C439F"/>
    <w:rsid w:val="002C5A1B"/>
    <w:rsid w:val="002C5A8C"/>
    <w:rsid w:val="002C6BBC"/>
    <w:rsid w:val="002C6D75"/>
    <w:rsid w:val="002C72D9"/>
    <w:rsid w:val="002D0291"/>
    <w:rsid w:val="002D0550"/>
    <w:rsid w:val="002D0686"/>
    <w:rsid w:val="002D0C42"/>
    <w:rsid w:val="002D0E8E"/>
    <w:rsid w:val="002D16B9"/>
    <w:rsid w:val="002D210F"/>
    <w:rsid w:val="002D294B"/>
    <w:rsid w:val="002D2C47"/>
    <w:rsid w:val="002D31ED"/>
    <w:rsid w:val="002D442D"/>
    <w:rsid w:val="002D5F5B"/>
    <w:rsid w:val="002D7311"/>
    <w:rsid w:val="002D73AC"/>
    <w:rsid w:val="002D7BA6"/>
    <w:rsid w:val="002D7FAE"/>
    <w:rsid w:val="002E03EA"/>
    <w:rsid w:val="002E05EF"/>
    <w:rsid w:val="002E0B19"/>
    <w:rsid w:val="002E10E6"/>
    <w:rsid w:val="002E1A5C"/>
    <w:rsid w:val="002E3A88"/>
    <w:rsid w:val="002E5ABF"/>
    <w:rsid w:val="002E5EC2"/>
    <w:rsid w:val="002E6B3C"/>
    <w:rsid w:val="002E70F3"/>
    <w:rsid w:val="002E7B18"/>
    <w:rsid w:val="002E7DC4"/>
    <w:rsid w:val="002F154C"/>
    <w:rsid w:val="002F1AE0"/>
    <w:rsid w:val="002F1B2F"/>
    <w:rsid w:val="002F21AF"/>
    <w:rsid w:val="002F2C69"/>
    <w:rsid w:val="002F348C"/>
    <w:rsid w:val="002F39D0"/>
    <w:rsid w:val="002F3D59"/>
    <w:rsid w:val="002F48D7"/>
    <w:rsid w:val="002F4B10"/>
    <w:rsid w:val="002F4EDB"/>
    <w:rsid w:val="002F5A87"/>
    <w:rsid w:val="002F6106"/>
    <w:rsid w:val="002F6899"/>
    <w:rsid w:val="002F6E24"/>
    <w:rsid w:val="002F6E6C"/>
    <w:rsid w:val="00300AFF"/>
    <w:rsid w:val="00300F7E"/>
    <w:rsid w:val="00301189"/>
    <w:rsid w:val="003018F6"/>
    <w:rsid w:val="00301BF0"/>
    <w:rsid w:val="00301E4A"/>
    <w:rsid w:val="003020C7"/>
    <w:rsid w:val="0030244F"/>
    <w:rsid w:val="003037BF"/>
    <w:rsid w:val="00303D23"/>
    <w:rsid w:val="00304272"/>
    <w:rsid w:val="00305A77"/>
    <w:rsid w:val="00306956"/>
    <w:rsid w:val="00306B22"/>
    <w:rsid w:val="00307DB3"/>
    <w:rsid w:val="00307DFF"/>
    <w:rsid w:val="00310DEB"/>
    <w:rsid w:val="00311C0E"/>
    <w:rsid w:val="00311CC2"/>
    <w:rsid w:val="00311E10"/>
    <w:rsid w:val="00311FA8"/>
    <w:rsid w:val="003128AC"/>
    <w:rsid w:val="00316320"/>
    <w:rsid w:val="0031655B"/>
    <w:rsid w:val="003168B8"/>
    <w:rsid w:val="00317245"/>
    <w:rsid w:val="00317EBA"/>
    <w:rsid w:val="0032018A"/>
    <w:rsid w:val="0032049C"/>
    <w:rsid w:val="00320920"/>
    <w:rsid w:val="003217E0"/>
    <w:rsid w:val="00321933"/>
    <w:rsid w:val="00322D64"/>
    <w:rsid w:val="00323D9D"/>
    <w:rsid w:val="00323E09"/>
    <w:rsid w:val="00324187"/>
    <w:rsid w:val="00325326"/>
    <w:rsid w:val="00325344"/>
    <w:rsid w:val="0032549A"/>
    <w:rsid w:val="00325B85"/>
    <w:rsid w:val="00326740"/>
    <w:rsid w:val="00327210"/>
    <w:rsid w:val="0033023D"/>
    <w:rsid w:val="003309A9"/>
    <w:rsid w:val="00331D0A"/>
    <w:rsid w:val="0033230E"/>
    <w:rsid w:val="003334ED"/>
    <w:rsid w:val="00333932"/>
    <w:rsid w:val="00333B90"/>
    <w:rsid w:val="003352F8"/>
    <w:rsid w:val="003358B0"/>
    <w:rsid w:val="00337039"/>
    <w:rsid w:val="00337091"/>
    <w:rsid w:val="00341569"/>
    <w:rsid w:val="00341667"/>
    <w:rsid w:val="00341E43"/>
    <w:rsid w:val="00341EE9"/>
    <w:rsid w:val="00342180"/>
    <w:rsid w:val="003421CB"/>
    <w:rsid w:val="00342A99"/>
    <w:rsid w:val="00342D7C"/>
    <w:rsid w:val="00342EF2"/>
    <w:rsid w:val="00343228"/>
    <w:rsid w:val="00343724"/>
    <w:rsid w:val="00343857"/>
    <w:rsid w:val="003440AD"/>
    <w:rsid w:val="003448D4"/>
    <w:rsid w:val="0034502D"/>
    <w:rsid w:val="003459BE"/>
    <w:rsid w:val="00347C7D"/>
    <w:rsid w:val="00351741"/>
    <w:rsid w:val="003518AA"/>
    <w:rsid w:val="00352165"/>
    <w:rsid w:val="0035277A"/>
    <w:rsid w:val="00353182"/>
    <w:rsid w:val="003534E2"/>
    <w:rsid w:val="00353F73"/>
    <w:rsid w:val="003541B0"/>
    <w:rsid w:val="0035545F"/>
    <w:rsid w:val="00355593"/>
    <w:rsid w:val="003561E1"/>
    <w:rsid w:val="003565D9"/>
    <w:rsid w:val="00356A63"/>
    <w:rsid w:val="00356EA1"/>
    <w:rsid w:val="003602E1"/>
    <w:rsid w:val="003603BE"/>
    <w:rsid w:val="00362D0F"/>
    <w:rsid w:val="00364187"/>
    <w:rsid w:val="0036436A"/>
    <w:rsid w:val="00365224"/>
    <w:rsid w:val="00366E0B"/>
    <w:rsid w:val="0037026F"/>
    <w:rsid w:val="00370AF1"/>
    <w:rsid w:val="00370CE4"/>
    <w:rsid w:val="003710E0"/>
    <w:rsid w:val="00371240"/>
    <w:rsid w:val="003712C2"/>
    <w:rsid w:val="003718E9"/>
    <w:rsid w:val="0037268D"/>
    <w:rsid w:val="003730FA"/>
    <w:rsid w:val="003732B0"/>
    <w:rsid w:val="00374731"/>
    <w:rsid w:val="00374D4C"/>
    <w:rsid w:val="00374DEC"/>
    <w:rsid w:val="003754CB"/>
    <w:rsid w:val="003757B3"/>
    <w:rsid w:val="00375A87"/>
    <w:rsid w:val="00375FB6"/>
    <w:rsid w:val="003768B0"/>
    <w:rsid w:val="00376E59"/>
    <w:rsid w:val="00377BDE"/>
    <w:rsid w:val="00377EC1"/>
    <w:rsid w:val="00380340"/>
    <w:rsid w:val="00384DB1"/>
    <w:rsid w:val="00385503"/>
    <w:rsid w:val="00385D04"/>
    <w:rsid w:val="003875E0"/>
    <w:rsid w:val="00390DD0"/>
    <w:rsid w:val="00391085"/>
    <w:rsid w:val="003919F9"/>
    <w:rsid w:val="003920CF"/>
    <w:rsid w:val="00394134"/>
    <w:rsid w:val="00394C01"/>
    <w:rsid w:val="00395430"/>
    <w:rsid w:val="00395CFB"/>
    <w:rsid w:val="00395DDF"/>
    <w:rsid w:val="0039625A"/>
    <w:rsid w:val="003970D2"/>
    <w:rsid w:val="00397D62"/>
    <w:rsid w:val="003A01A7"/>
    <w:rsid w:val="003A1657"/>
    <w:rsid w:val="003A28D1"/>
    <w:rsid w:val="003A2C3B"/>
    <w:rsid w:val="003A37F6"/>
    <w:rsid w:val="003A3AB7"/>
    <w:rsid w:val="003A5255"/>
    <w:rsid w:val="003A53B9"/>
    <w:rsid w:val="003A60C0"/>
    <w:rsid w:val="003A63A2"/>
    <w:rsid w:val="003A7093"/>
    <w:rsid w:val="003A762D"/>
    <w:rsid w:val="003B07ED"/>
    <w:rsid w:val="003B0D1E"/>
    <w:rsid w:val="003B116A"/>
    <w:rsid w:val="003B1E0D"/>
    <w:rsid w:val="003B1E4E"/>
    <w:rsid w:val="003B211D"/>
    <w:rsid w:val="003B23C2"/>
    <w:rsid w:val="003B3FB4"/>
    <w:rsid w:val="003B5B45"/>
    <w:rsid w:val="003B6370"/>
    <w:rsid w:val="003B6912"/>
    <w:rsid w:val="003B6A19"/>
    <w:rsid w:val="003C0FEE"/>
    <w:rsid w:val="003C12F2"/>
    <w:rsid w:val="003C1300"/>
    <w:rsid w:val="003C2031"/>
    <w:rsid w:val="003C2141"/>
    <w:rsid w:val="003C300B"/>
    <w:rsid w:val="003C38B5"/>
    <w:rsid w:val="003C4029"/>
    <w:rsid w:val="003C4CED"/>
    <w:rsid w:val="003C57AD"/>
    <w:rsid w:val="003C5D99"/>
    <w:rsid w:val="003C5FE3"/>
    <w:rsid w:val="003C6C31"/>
    <w:rsid w:val="003C6EC1"/>
    <w:rsid w:val="003C7233"/>
    <w:rsid w:val="003C7BF3"/>
    <w:rsid w:val="003D08A6"/>
    <w:rsid w:val="003D0DEC"/>
    <w:rsid w:val="003D0F13"/>
    <w:rsid w:val="003D1087"/>
    <w:rsid w:val="003D11A5"/>
    <w:rsid w:val="003D1595"/>
    <w:rsid w:val="003D1698"/>
    <w:rsid w:val="003D2731"/>
    <w:rsid w:val="003D2A58"/>
    <w:rsid w:val="003D3418"/>
    <w:rsid w:val="003D3C0B"/>
    <w:rsid w:val="003D5311"/>
    <w:rsid w:val="003D5787"/>
    <w:rsid w:val="003D6072"/>
    <w:rsid w:val="003D6663"/>
    <w:rsid w:val="003D6F7F"/>
    <w:rsid w:val="003D7A18"/>
    <w:rsid w:val="003E011E"/>
    <w:rsid w:val="003E04C1"/>
    <w:rsid w:val="003E0C0A"/>
    <w:rsid w:val="003E0C7E"/>
    <w:rsid w:val="003E0D65"/>
    <w:rsid w:val="003E1928"/>
    <w:rsid w:val="003E2F59"/>
    <w:rsid w:val="003E38D5"/>
    <w:rsid w:val="003E3DE0"/>
    <w:rsid w:val="003E468C"/>
    <w:rsid w:val="003E4759"/>
    <w:rsid w:val="003E5551"/>
    <w:rsid w:val="003E56A9"/>
    <w:rsid w:val="003E6209"/>
    <w:rsid w:val="003E67F5"/>
    <w:rsid w:val="003E7444"/>
    <w:rsid w:val="003E746B"/>
    <w:rsid w:val="003E7AE4"/>
    <w:rsid w:val="003F06E0"/>
    <w:rsid w:val="003F0789"/>
    <w:rsid w:val="003F07CB"/>
    <w:rsid w:val="003F07F6"/>
    <w:rsid w:val="003F0B80"/>
    <w:rsid w:val="003F1185"/>
    <w:rsid w:val="003F261B"/>
    <w:rsid w:val="003F317A"/>
    <w:rsid w:val="003F430C"/>
    <w:rsid w:val="003F495E"/>
    <w:rsid w:val="003F587B"/>
    <w:rsid w:val="003F6A75"/>
    <w:rsid w:val="003F7373"/>
    <w:rsid w:val="00400628"/>
    <w:rsid w:val="004010EC"/>
    <w:rsid w:val="00401882"/>
    <w:rsid w:val="004028EC"/>
    <w:rsid w:val="00402EE7"/>
    <w:rsid w:val="00403C61"/>
    <w:rsid w:val="004069B7"/>
    <w:rsid w:val="00406E01"/>
    <w:rsid w:val="00407CD0"/>
    <w:rsid w:val="004100C8"/>
    <w:rsid w:val="0041072E"/>
    <w:rsid w:val="004107F9"/>
    <w:rsid w:val="00411DBD"/>
    <w:rsid w:val="00411E49"/>
    <w:rsid w:val="0041236E"/>
    <w:rsid w:val="00412ACE"/>
    <w:rsid w:val="00412E35"/>
    <w:rsid w:val="004145D2"/>
    <w:rsid w:val="00414677"/>
    <w:rsid w:val="00414F53"/>
    <w:rsid w:val="0041572D"/>
    <w:rsid w:val="00415CE6"/>
    <w:rsid w:val="00415DFF"/>
    <w:rsid w:val="004168AC"/>
    <w:rsid w:val="004174B6"/>
    <w:rsid w:val="0041793B"/>
    <w:rsid w:val="00417978"/>
    <w:rsid w:val="00420793"/>
    <w:rsid w:val="004208FB"/>
    <w:rsid w:val="0042133A"/>
    <w:rsid w:val="0042339C"/>
    <w:rsid w:val="004233E7"/>
    <w:rsid w:val="00423868"/>
    <w:rsid w:val="00423C02"/>
    <w:rsid w:val="00424527"/>
    <w:rsid w:val="00424FDD"/>
    <w:rsid w:val="00425128"/>
    <w:rsid w:val="004252AA"/>
    <w:rsid w:val="00425AF9"/>
    <w:rsid w:val="00426CB4"/>
    <w:rsid w:val="0042728F"/>
    <w:rsid w:val="004276A3"/>
    <w:rsid w:val="00427E27"/>
    <w:rsid w:val="00427F23"/>
    <w:rsid w:val="004302A2"/>
    <w:rsid w:val="0043043D"/>
    <w:rsid w:val="00431039"/>
    <w:rsid w:val="00431249"/>
    <w:rsid w:val="004313B2"/>
    <w:rsid w:val="00433694"/>
    <w:rsid w:val="0043388F"/>
    <w:rsid w:val="00433E7C"/>
    <w:rsid w:val="004342C3"/>
    <w:rsid w:val="00434C19"/>
    <w:rsid w:val="00435137"/>
    <w:rsid w:val="00435414"/>
    <w:rsid w:val="00435ED6"/>
    <w:rsid w:val="00435F96"/>
    <w:rsid w:val="0043694F"/>
    <w:rsid w:val="00436D28"/>
    <w:rsid w:val="00437B70"/>
    <w:rsid w:val="00437F0B"/>
    <w:rsid w:val="00440618"/>
    <w:rsid w:val="00440A28"/>
    <w:rsid w:val="004424AB"/>
    <w:rsid w:val="00442AE9"/>
    <w:rsid w:val="00444DD7"/>
    <w:rsid w:val="00445BA5"/>
    <w:rsid w:val="00446085"/>
    <w:rsid w:val="00450171"/>
    <w:rsid w:val="00450551"/>
    <w:rsid w:val="00450810"/>
    <w:rsid w:val="00451C02"/>
    <w:rsid w:val="00452270"/>
    <w:rsid w:val="00453366"/>
    <w:rsid w:val="00453452"/>
    <w:rsid w:val="00453CB3"/>
    <w:rsid w:val="00454A2E"/>
    <w:rsid w:val="00454DC4"/>
    <w:rsid w:val="004552AC"/>
    <w:rsid w:val="00455C70"/>
    <w:rsid w:val="00455C82"/>
    <w:rsid w:val="00457359"/>
    <w:rsid w:val="00457560"/>
    <w:rsid w:val="004575F6"/>
    <w:rsid w:val="00457946"/>
    <w:rsid w:val="00457C1F"/>
    <w:rsid w:val="00457F2B"/>
    <w:rsid w:val="00460469"/>
    <w:rsid w:val="00460A22"/>
    <w:rsid w:val="00460F20"/>
    <w:rsid w:val="004613FB"/>
    <w:rsid w:val="00461648"/>
    <w:rsid w:val="00461D6A"/>
    <w:rsid w:val="00462C59"/>
    <w:rsid w:val="00463836"/>
    <w:rsid w:val="00463D60"/>
    <w:rsid w:val="00464C49"/>
    <w:rsid w:val="00465EFB"/>
    <w:rsid w:val="00466E1C"/>
    <w:rsid w:val="00467E91"/>
    <w:rsid w:val="004700C2"/>
    <w:rsid w:val="00470737"/>
    <w:rsid w:val="004709CC"/>
    <w:rsid w:val="00470D5E"/>
    <w:rsid w:val="00472D7D"/>
    <w:rsid w:val="004737F6"/>
    <w:rsid w:val="004744F6"/>
    <w:rsid w:val="004746E1"/>
    <w:rsid w:val="00474E73"/>
    <w:rsid w:val="00475511"/>
    <w:rsid w:val="00475B1E"/>
    <w:rsid w:val="00477144"/>
    <w:rsid w:val="004777C8"/>
    <w:rsid w:val="00480960"/>
    <w:rsid w:val="00480A1A"/>
    <w:rsid w:val="00481317"/>
    <w:rsid w:val="0048168C"/>
    <w:rsid w:val="00482268"/>
    <w:rsid w:val="00482DF1"/>
    <w:rsid w:val="00482E7C"/>
    <w:rsid w:val="004837BC"/>
    <w:rsid w:val="00484FF1"/>
    <w:rsid w:val="004858D8"/>
    <w:rsid w:val="0048683B"/>
    <w:rsid w:val="00486C45"/>
    <w:rsid w:val="00486FB4"/>
    <w:rsid w:val="004875EC"/>
    <w:rsid w:val="00487F06"/>
    <w:rsid w:val="0049012E"/>
    <w:rsid w:val="00490BFF"/>
    <w:rsid w:val="004910AC"/>
    <w:rsid w:val="00491380"/>
    <w:rsid w:val="004913B4"/>
    <w:rsid w:val="00493CFE"/>
    <w:rsid w:val="00493F40"/>
    <w:rsid w:val="0049412E"/>
    <w:rsid w:val="004941F1"/>
    <w:rsid w:val="0049459F"/>
    <w:rsid w:val="0049549E"/>
    <w:rsid w:val="00495FCE"/>
    <w:rsid w:val="004975E1"/>
    <w:rsid w:val="00497739"/>
    <w:rsid w:val="004977E6"/>
    <w:rsid w:val="00497BF2"/>
    <w:rsid w:val="00497E24"/>
    <w:rsid w:val="004A0741"/>
    <w:rsid w:val="004A14CC"/>
    <w:rsid w:val="004A1BD6"/>
    <w:rsid w:val="004A1ECF"/>
    <w:rsid w:val="004A1F25"/>
    <w:rsid w:val="004A38DD"/>
    <w:rsid w:val="004A462D"/>
    <w:rsid w:val="004A4AE6"/>
    <w:rsid w:val="004A4F9C"/>
    <w:rsid w:val="004B09AF"/>
    <w:rsid w:val="004B0BC9"/>
    <w:rsid w:val="004B0DD9"/>
    <w:rsid w:val="004B0EC7"/>
    <w:rsid w:val="004B1771"/>
    <w:rsid w:val="004B1F8D"/>
    <w:rsid w:val="004B3124"/>
    <w:rsid w:val="004B3953"/>
    <w:rsid w:val="004B4271"/>
    <w:rsid w:val="004B43AE"/>
    <w:rsid w:val="004B45C4"/>
    <w:rsid w:val="004B4DD5"/>
    <w:rsid w:val="004B5B76"/>
    <w:rsid w:val="004B73E1"/>
    <w:rsid w:val="004B789D"/>
    <w:rsid w:val="004B7C82"/>
    <w:rsid w:val="004C0991"/>
    <w:rsid w:val="004C1EF0"/>
    <w:rsid w:val="004C203C"/>
    <w:rsid w:val="004C30ED"/>
    <w:rsid w:val="004C3DFC"/>
    <w:rsid w:val="004C41B0"/>
    <w:rsid w:val="004C451F"/>
    <w:rsid w:val="004C458D"/>
    <w:rsid w:val="004C53B7"/>
    <w:rsid w:val="004C55F3"/>
    <w:rsid w:val="004C5E1B"/>
    <w:rsid w:val="004C648C"/>
    <w:rsid w:val="004C6784"/>
    <w:rsid w:val="004C69C8"/>
    <w:rsid w:val="004C793B"/>
    <w:rsid w:val="004C7E7E"/>
    <w:rsid w:val="004D0026"/>
    <w:rsid w:val="004D0D0C"/>
    <w:rsid w:val="004D1732"/>
    <w:rsid w:val="004D2DF5"/>
    <w:rsid w:val="004D3E55"/>
    <w:rsid w:val="004D48A2"/>
    <w:rsid w:val="004D5675"/>
    <w:rsid w:val="004D60A4"/>
    <w:rsid w:val="004D6A16"/>
    <w:rsid w:val="004D6C48"/>
    <w:rsid w:val="004D6D85"/>
    <w:rsid w:val="004D6F31"/>
    <w:rsid w:val="004D6F71"/>
    <w:rsid w:val="004E0126"/>
    <w:rsid w:val="004E01C0"/>
    <w:rsid w:val="004E01C1"/>
    <w:rsid w:val="004E2375"/>
    <w:rsid w:val="004E3364"/>
    <w:rsid w:val="004E3770"/>
    <w:rsid w:val="004E41B5"/>
    <w:rsid w:val="004E42D2"/>
    <w:rsid w:val="004E4796"/>
    <w:rsid w:val="004E4816"/>
    <w:rsid w:val="004E519A"/>
    <w:rsid w:val="004E6CA5"/>
    <w:rsid w:val="004E7037"/>
    <w:rsid w:val="004E77E3"/>
    <w:rsid w:val="004E7900"/>
    <w:rsid w:val="004F0C1D"/>
    <w:rsid w:val="004F1C0D"/>
    <w:rsid w:val="004F27E8"/>
    <w:rsid w:val="004F4C18"/>
    <w:rsid w:val="004F715D"/>
    <w:rsid w:val="004F792D"/>
    <w:rsid w:val="00500231"/>
    <w:rsid w:val="00500B93"/>
    <w:rsid w:val="00501421"/>
    <w:rsid w:val="005020D8"/>
    <w:rsid w:val="005022E7"/>
    <w:rsid w:val="00502A9D"/>
    <w:rsid w:val="00503330"/>
    <w:rsid w:val="00503AB4"/>
    <w:rsid w:val="0050415B"/>
    <w:rsid w:val="005049EF"/>
    <w:rsid w:val="00504D01"/>
    <w:rsid w:val="00504EF4"/>
    <w:rsid w:val="005110E6"/>
    <w:rsid w:val="00511BA7"/>
    <w:rsid w:val="005122B1"/>
    <w:rsid w:val="00512BBC"/>
    <w:rsid w:val="0051306E"/>
    <w:rsid w:val="0051375C"/>
    <w:rsid w:val="00513CBF"/>
    <w:rsid w:val="00514E5C"/>
    <w:rsid w:val="00515A05"/>
    <w:rsid w:val="00515BE8"/>
    <w:rsid w:val="00516940"/>
    <w:rsid w:val="00517697"/>
    <w:rsid w:val="00517795"/>
    <w:rsid w:val="00517DCB"/>
    <w:rsid w:val="00517E00"/>
    <w:rsid w:val="00521528"/>
    <w:rsid w:val="00521616"/>
    <w:rsid w:val="0052192F"/>
    <w:rsid w:val="00521B0C"/>
    <w:rsid w:val="00521FFD"/>
    <w:rsid w:val="005228D1"/>
    <w:rsid w:val="00522D69"/>
    <w:rsid w:val="00523639"/>
    <w:rsid w:val="005244EC"/>
    <w:rsid w:val="0052451C"/>
    <w:rsid w:val="00524CA5"/>
    <w:rsid w:val="005257A1"/>
    <w:rsid w:val="00525A50"/>
    <w:rsid w:val="0052618F"/>
    <w:rsid w:val="00526416"/>
    <w:rsid w:val="0052687A"/>
    <w:rsid w:val="00526E11"/>
    <w:rsid w:val="005271EF"/>
    <w:rsid w:val="0052757B"/>
    <w:rsid w:val="0053024E"/>
    <w:rsid w:val="00531226"/>
    <w:rsid w:val="00531EA3"/>
    <w:rsid w:val="00531FE5"/>
    <w:rsid w:val="00532029"/>
    <w:rsid w:val="0053300F"/>
    <w:rsid w:val="00534093"/>
    <w:rsid w:val="00534561"/>
    <w:rsid w:val="00534DB2"/>
    <w:rsid w:val="005351F4"/>
    <w:rsid w:val="00535BB5"/>
    <w:rsid w:val="005362BF"/>
    <w:rsid w:val="0053631E"/>
    <w:rsid w:val="005373AA"/>
    <w:rsid w:val="0053745A"/>
    <w:rsid w:val="005379C6"/>
    <w:rsid w:val="005402FA"/>
    <w:rsid w:val="00540AAB"/>
    <w:rsid w:val="00540D19"/>
    <w:rsid w:val="00540EC5"/>
    <w:rsid w:val="0054115B"/>
    <w:rsid w:val="00541364"/>
    <w:rsid w:val="00541E1A"/>
    <w:rsid w:val="00542192"/>
    <w:rsid w:val="0054255F"/>
    <w:rsid w:val="005441B1"/>
    <w:rsid w:val="00544E8E"/>
    <w:rsid w:val="00544FE8"/>
    <w:rsid w:val="00545CDB"/>
    <w:rsid w:val="00546CC3"/>
    <w:rsid w:val="00546DCE"/>
    <w:rsid w:val="00547337"/>
    <w:rsid w:val="00547D66"/>
    <w:rsid w:val="00547FC4"/>
    <w:rsid w:val="00550B1F"/>
    <w:rsid w:val="005517E2"/>
    <w:rsid w:val="00551A66"/>
    <w:rsid w:val="005524AD"/>
    <w:rsid w:val="00553BC7"/>
    <w:rsid w:val="00554E39"/>
    <w:rsid w:val="005556D8"/>
    <w:rsid w:val="00556501"/>
    <w:rsid w:val="0055651B"/>
    <w:rsid w:val="00556722"/>
    <w:rsid w:val="00556D4D"/>
    <w:rsid w:val="005571E5"/>
    <w:rsid w:val="005572D3"/>
    <w:rsid w:val="0056032D"/>
    <w:rsid w:val="0056086B"/>
    <w:rsid w:val="00561C7B"/>
    <w:rsid w:val="005632C0"/>
    <w:rsid w:val="00563592"/>
    <w:rsid w:val="005637D7"/>
    <w:rsid w:val="005638ED"/>
    <w:rsid w:val="00563AE8"/>
    <w:rsid w:val="00564659"/>
    <w:rsid w:val="00564DD1"/>
    <w:rsid w:val="0056523C"/>
    <w:rsid w:val="00565BE9"/>
    <w:rsid w:val="005666BB"/>
    <w:rsid w:val="00566A69"/>
    <w:rsid w:val="00566E33"/>
    <w:rsid w:val="00567D0D"/>
    <w:rsid w:val="00567F07"/>
    <w:rsid w:val="00570090"/>
    <w:rsid w:val="00570253"/>
    <w:rsid w:val="00570849"/>
    <w:rsid w:val="00571DB7"/>
    <w:rsid w:val="00571EBA"/>
    <w:rsid w:val="00572485"/>
    <w:rsid w:val="005729BD"/>
    <w:rsid w:val="00572A84"/>
    <w:rsid w:val="0057328F"/>
    <w:rsid w:val="00573437"/>
    <w:rsid w:val="005736D0"/>
    <w:rsid w:val="00573BE3"/>
    <w:rsid w:val="0057402C"/>
    <w:rsid w:val="0057436C"/>
    <w:rsid w:val="005753FC"/>
    <w:rsid w:val="005762D7"/>
    <w:rsid w:val="005774F7"/>
    <w:rsid w:val="00577BCE"/>
    <w:rsid w:val="00580154"/>
    <w:rsid w:val="005804BA"/>
    <w:rsid w:val="00580744"/>
    <w:rsid w:val="00582C44"/>
    <w:rsid w:val="00583596"/>
    <w:rsid w:val="00583BA0"/>
    <w:rsid w:val="00583C39"/>
    <w:rsid w:val="00585428"/>
    <w:rsid w:val="00585CFF"/>
    <w:rsid w:val="00586730"/>
    <w:rsid w:val="00586A67"/>
    <w:rsid w:val="00586A90"/>
    <w:rsid w:val="00586B17"/>
    <w:rsid w:val="00586CE0"/>
    <w:rsid w:val="00587A1E"/>
    <w:rsid w:val="00587F28"/>
    <w:rsid w:val="0059012F"/>
    <w:rsid w:val="0059067A"/>
    <w:rsid w:val="005908FA"/>
    <w:rsid w:val="005909CF"/>
    <w:rsid w:val="00591761"/>
    <w:rsid w:val="00591E71"/>
    <w:rsid w:val="005925F5"/>
    <w:rsid w:val="005932DB"/>
    <w:rsid w:val="00593BAD"/>
    <w:rsid w:val="00594A5A"/>
    <w:rsid w:val="00594B6E"/>
    <w:rsid w:val="00595D7E"/>
    <w:rsid w:val="0059684D"/>
    <w:rsid w:val="00596F8E"/>
    <w:rsid w:val="0059727B"/>
    <w:rsid w:val="005A0D41"/>
    <w:rsid w:val="005A0E2F"/>
    <w:rsid w:val="005A1DD6"/>
    <w:rsid w:val="005A1F06"/>
    <w:rsid w:val="005A20B6"/>
    <w:rsid w:val="005A2D3B"/>
    <w:rsid w:val="005A3D49"/>
    <w:rsid w:val="005A4E68"/>
    <w:rsid w:val="005A54DC"/>
    <w:rsid w:val="005A5CB4"/>
    <w:rsid w:val="005A6EE1"/>
    <w:rsid w:val="005B25DF"/>
    <w:rsid w:val="005B39A0"/>
    <w:rsid w:val="005B3E1B"/>
    <w:rsid w:val="005B593B"/>
    <w:rsid w:val="005B5E9C"/>
    <w:rsid w:val="005B7136"/>
    <w:rsid w:val="005C007D"/>
    <w:rsid w:val="005C0213"/>
    <w:rsid w:val="005C135D"/>
    <w:rsid w:val="005C1FA8"/>
    <w:rsid w:val="005C2676"/>
    <w:rsid w:val="005C2781"/>
    <w:rsid w:val="005C339F"/>
    <w:rsid w:val="005C34DF"/>
    <w:rsid w:val="005C359F"/>
    <w:rsid w:val="005C3796"/>
    <w:rsid w:val="005C4147"/>
    <w:rsid w:val="005C4F2E"/>
    <w:rsid w:val="005C56E9"/>
    <w:rsid w:val="005C70D8"/>
    <w:rsid w:val="005D0C4D"/>
    <w:rsid w:val="005D158B"/>
    <w:rsid w:val="005D1899"/>
    <w:rsid w:val="005D19B0"/>
    <w:rsid w:val="005D3136"/>
    <w:rsid w:val="005D329F"/>
    <w:rsid w:val="005D339E"/>
    <w:rsid w:val="005D373B"/>
    <w:rsid w:val="005D3D33"/>
    <w:rsid w:val="005D464F"/>
    <w:rsid w:val="005D49A6"/>
    <w:rsid w:val="005D4BA2"/>
    <w:rsid w:val="005D4D75"/>
    <w:rsid w:val="005D4EBF"/>
    <w:rsid w:val="005D4F39"/>
    <w:rsid w:val="005D5391"/>
    <w:rsid w:val="005D593A"/>
    <w:rsid w:val="005D72CA"/>
    <w:rsid w:val="005D744B"/>
    <w:rsid w:val="005E118D"/>
    <w:rsid w:val="005E1B6A"/>
    <w:rsid w:val="005E1FF7"/>
    <w:rsid w:val="005E227B"/>
    <w:rsid w:val="005E2A44"/>
    <w:rsid w:val="005E2FF0"/>
    <w:rsid w:val="005E30B3"/>
    <w:rsid w:val="005E3442"/>
    <w:rsid w:val="005E3C19"/>
    <w:rsid w:val="005E3F33"/>
    <w:rsid w:val="005E4DE0"/>
    <w:rsid w:val="005E6A3B"/>
    <w:rsid w:val="005E6C23"/>
    <w:rsid w:val="005E6E72"/>
    <w:rsid w:val="005E7254"/>
    <w:rsid w:val="005E7314"/>
    <w:rsid w:val="005E7700"/>
    <w:rsid w:val="005E7785"/>
    <w:rsid w:val="005E7CA9"/>
    <w:rsid w:val="005F1F97"/>
    <w:rsid w:val="005F2C32"/>
    <w:rsid w:val="005F2E70"/>
    <w:rsid w:val="005F3DBB"/>
    <w:rsid w:val="005F48ED"/>
    <w:rsid w:val="005F5F95"/>
    <w:rsid w:val="005F6AC7"/>
    <w:rsid w:val="00600170"/>
    <w:rsid w:val="00600660"/>
    <w:rsid w:val="00600B17"/>
    <w:rsid w:val="00601685"/>
    <w:rsid w:val="00601A19"/>
    <w:rsid w:val="0060227E"/>
    <w:rsid w:val="0060386F"/>
    <w:rsid w:val="00603BAF"/>
    <w:rsid w:val="0060462C"/>
    <w:rsid w:val="00604C63"/>
    <w:rsid w:val="00605047"/>
    <w:rsid w:val="00605817"/>
    <w:rsid w:val="00606C8A"/>
    <w:rsid w:val="00606C99"/>
    <w:rsid w:val="00606E78"/>
    <w:rsid w:val="00607A7F"/>
    <w:rsid w:val="00607BB7"/>
    <w:rsid w:val="00607BF1"/>
    <w:rsid w:val="006107FA"/>
    <w:rsid w:val="00611A23"/>
    <w:rsid w:val="006123DA"/>
    <w:rsid w:val="006132D7"/>
    <w:rsid w:val="00613C19"/>
    <w:rsid w:val="006157E5"/>
    <w:rsid w:val="006157F8"/>
    <w:rsid w:val="00615B0E"/>
    <w:rsid w:val="00616639"/>
    <w:rsid w:val="0061663C"/>
    <w:rsid w:val="00617904"/>
    <w:rsid w:val="006200C7"/>
    <w:rsid w:val="006204D3"/>
    <w:rsid w:val="00621B4A"/>
    <w:rsid w:val="006238A4"/>
    <w:rsid w:val="00623D7A"/>
    <w:rsid w:val="00624062"/>
    <w:rsid w:val="0062553A"/>
    <w:rsid w:val="006255AA"/>
    <w:rsid w:val="00625785"/>
    <w:rsid w:val="00626730"/>
    <w:rsid w:val="00626830"/>
    <w:rsid w:val="00627656"/>
    <w:rsid w:val="00627B27"/>
    <w:rsid w:val="00627B8F"/>
    <w:rsid w:val="00627D0D"/>
    <w:rsid w:val="0063008F"/>
    <w:rsid w:val="00630C85"/>
    <w:rsid w:val="00630D4D"/>
    <w:rsid w:val="00630F24"/>
    <w:rsid w:val="0063149C"/>
    <w:rsid w:val="00632368"/>
    <w:rsid w:val="00632585"/>
    <w:rsid w:val="006327BE"/>
    <w:rsid w:val="00632A74"/>
    <w:rsid w:val="00632C0C"/>
    <w:rsid w:val="00632DD0"/>
    <w:rsid w:val="006331AE"/>
    <w:rsid w:val="00633CE6"/>
    <w:rsid w:val="00634142"/>
    <w:rsid w:val="006344AD"/>
    <w:rsid w:val="00635956"/>
    <w:rsid w:val="00636127"/>
    <w:rsid w:val="00636CE3"/>
    <w:rsid w:val="00637E70"/>
    <w:rsid w:val="00640DA7"/>
    <w:rsid w:val="006410B6"/>
    <w:rsid w:val="006413CD"/>
    <w:rsid w:val="00641A06"/>
    <w:rsid w:val="00641B87"/>
    <w:rsid w:val="00641FDE"/>
    <w:rsid w:val="0064250B"/>
    <w:rsid w:val="006432CE"/>
    <w:rsid w:val="00643739"/>
    <w:rsid w:val="00643831"/>
    <w:rsid w:val="00643B20"/>
    <w:rsid w:val="00644ADE"/>
    <w:rsid w:val="00645484"/>
    <w:rsid w:val="006469BA"/>
    <w:rsid w:val="0064764A"/>
    <w:rsid w:val="00647D25"/>
    <w:rsid w:val="00647DDC"/>
    <w:rsid w:val="00647FE8"/>
    <w:rsid w:val="00650B6C"/>
    <w:rsid w:val="006538D3"/>
    <w:rsid w:val="00653EE1"/>
    <w:rsid w:val="00654A45"/>
    <w:rsid w:val="00654D42"/>
    <w:rsid w:val="00655087"/>
    <w:rsid w:val="0065572F"/>
    <w:rsid w:val="00655817"/>
    <w:rsid w:val="0065653D"/>
    <w:rsid w:val="00657C10"/>
    <w:rsid w:val="0066000E"/>
    <w:rsid w:val="00660056"/>
    <w:rsid w:val="00660EFC"/>
    <w:rsid w:val="00660FCF"/>
    <w:rsid w:val="00661B03"/>
    <w:rsid w:val="0066273F"/>
    <w:rsid w:val="0066386F"/>
    <w:rsid w:val="00663BA8"/>
    <w:rsid w:val="00664317"/>
    <w:rsid w:val="00664588"/>
    <w:rsid w:val="00664C5B"/>
    <w:rsid w:val="00666E02"/>
    <w:rsid w:val="00667944"/>
    <w:rsid w:val="00667BC1"/>
    <w:rsid w:val="006702ED"/>
    <w:rsid w:val="0067039F"/>
    <w:rsid w:val="00670592"/>
    <w:rsid w:val="006710B1"/>
    <w:rsid w:val="0067188E"/>
    <w:rsid w:val="00673312"/>
    <w:rsid w:val="00673589"/>
    <w:rsid w:val="00674B6D"/>
    <w:rsid w:val="00674CF3"/>
    <w:rsid w:val="00675100"/>
    <w:rsid w:val="0067516F"/>
    <w:rsid w:val="00675243"/>
    <w:rsid w:val="00675AA3"/>
    <w:rsid w:val="006769F9"/>
    <w:rsid w:val="006774A5"/>
    <w:rsid w:val="00677A28"/>
    <w:rsid w:val="00680165"/>
    <w:rsid w:val="006808D9"/>
    <w:rsid w:val="006810C9"/>
    <w:rsid w:val="006819D2"/>
    <w:rsid w:val="00681BFB"/>
    <w:rsid w:val="00682378"/>
    <w:rsid w:val="0068300B"/>
    <w:rsid w:val="00683A9E"/>
    <w:rsid w:val="00683C9C"/>
    <w:rsid w:val="00685A5E"/>
    <w:rsid w:val="0068677F"/>
    <w:rsid w:val="00686A68"/>
    <w:rsid w:val="00686FD7"/>
    <w:rsid w:val="006902EA"/>
    <w:rsid w:val="006909B6"/>
    <w:rsid w:val="006911C1"/>
    <w:rsid w:val="00691F04"/>
    <w:rsid w:val="00691F44"/>
    <w:rsid w:val="00692CF7"/>
    <w:rsid w:val="0069325B"/>
    <w:rsid w:val="00694057"/>
    <w:rsid w:val="006940D3"/>
    <w:rsid w:val="006949F0"/>
    <w:rsid w:val="00696A0C"/>
    <w:rsid w:val="00697025"/>
    <w:rsid w:val="006973C1"/>
    <w:rsid w:val="00697BE0"/>
    <w:rsid w:val="006A012A"/>
    <w:rsid w:val="006A0DEB"/>
    <w:rsid w:val="006A1A92"/>
    <w:rsid w:val="006A1B39"/>
    <w:rsid w:val="006A2916"/>
    <w:rsid w:val="006A32F1"/>
    <w:rsid w:val="006A4655"/>
    <w:rsid w:val="006A49C3"/>
    <w:rsid w:val="006A5567"/>
    <w:rsid w:val="006A634D"/>
    <w:rsid w:val="006A7189"/>
    <w:rsid w:val="006A7BB4"/>
    <w:rsid w:val="006B0950"/>
    <w:rsid w:val="006B17D9"/>
    <w:rsid w:val="006B2AC5"/>
    <w:rsid w:val="006B2B3C"/>
    <w:rsid w:val="006B3083"/>
    <w:rsid w:val="006B308C"/>
    <w:rsid w:val="006B449F"/>
    <w:rsid w:val="006B4635"/>
    <w:rsid w:val="006B5CFC"/>
    <w:rsid w:val="006B7544"/>
    <w:rsid w:val="006B75F9"/>
    <w:rsid w:val="006B7665"/>
    <w:rsid w:val="006B7A42"/>
    <w:rsid w:val="006B7C21"/>
    <w:rsid w:val="006B7DAD"/>
    <w:rsid w:val="006B7DE5"/>
    <w:rsid w:val="006B7E2D"/>
    <w:rsid w:val="006C11F0"/>
    <w:rsid w:val="006C1D81"/>
    <w:rsid w:val="006C1EC4"/>
    <w:rsid w:val="006C1FA1"/>
    <w:rsid w:val="006C375C"/>
    <w:rsid w:val="006C4734"/>
    <w:rsid w:val="006C59BA"/>
    <w:rsid w:val="006C7038"/>
    <w:rsid w:val="006C7260"/>
    <w:rsid w:val="006D01EF"/>
    <w:rsid w:val="006D025F"/>
    <w:rsid w:val="006D0DD4"/>
    <w:rsid w:val="006D2084"/>
    <w:rsid w:val="006D2193"/>
    <w:rsid w:val="006D225D"/>
    <w:rsid w:val="006D2333"/>
    <w:rsid w:val="006D2FBB"/>
    <w:rsid w:val="006D4AE9"/>
    <w:rsid w:val="006D50A1"/>
    <w:rsid w:val="006D5C32"/>
    <w:rsid w:val="006D5EE6"/>
    <w:rsid w:val="006D672E"/>
    <w:rsid w:val="006D6C2A"/>
    <w:rsid w:val="006D72BD"/>
    <w:rsid w:val="006D7AB5"/>
    <w:rsid w:val="006D7BC5"/>
    <w:rsid w:val="006D7DBE"/>
    <w:rsid w:val="006E00FE"/>
    <w:rsid w:val="006E09F9"/>
    <w:rsid w:val="006E41BA"/>
    <w:rsid w:val="006E4995"/>
    <w:rsid w:val="006E52C6"/>
    <w:rsid w:val="006E586F"/>
    <w:rsid w:val="006E73EF"/>
    <w:rsid w:val="006E7566"/>
    <w:rsid w:val="006E7F11"/>
    <w:rsid w:val="006F1789"/>
    <w:rsid w:val="006F1906"/>
    <w:rsid w:val="006F224B"/>
    <w:rsid w:val="006F2A72"/>
    <w:rsid w:val="006F2D7E"/>
    <w:rsid w:val="006F3228"/>
    <w:rsid w:val="006F340F"/>
    <w:rsid w:val="006F37E2"/>
    <w:rsid w:val="006F3F98"/>
    <w:rsid w:val="006F4043"/>
    <w:rsid w:val="006F531A"/>
    <w:rsid w:val="006F57C8"/>
    <w:rsid w:val="006F7054"/>
    <w:rsid w:val="006F7586"/>
    <w:rsid w:val="006F7971"/>
    <w:rsid w:val="0070177A"/>
    <w:rsid w:val="00702134"/>
    <w:rsid w:val="00702829"/>
    <w:rsid w:val="007053EE"/>
    <w:rsid w:val="0070587A"/>
    <w:rsid w:val="007066EF"/>
    <w:rsid w:val="00706972"/>
    <w:rsid w:val="007070CB"/>
    <w:rsid w:val="007078AE"/>
    <w:rsid w:val="007079C9"/>
    <w:rsid w:val="00707EF1"/>
    <w:rsid w:val="007112F0"/>
    <w:rsid w:val="00713256"/>
    <w:rsid w:val="00713A4A"/>
    <w:rsid w:val="00714CF8"/>
    <w:rsid w:val="00714D4D"/>
    <w:rsid w:val="0071550E"/>
    <w:rsid w:val="00715D2F"/>
    <w:rsid w:val="0071649A"/>
    <w:rsid w:val="0071693D"/>
    <w:rsid w:val="00717A76"/>
    <w:rsid w:val="007210F5"/>
    <w:rsid w:val="00723B1F"/>
    <w:rsid w:val="007240DF"/>
    <w:rsid w:val="007253BA"/>
    <w:rsid w:val="007255BB"/>
    <w:rsid w:val="007266D3"/>
    <w:rsid w:val="00726705"/>
    <w:rsid w:val="00726A85"/>
    <w:rsid w:val="00726C99"/>
    <w:rsid w:val="00727920"/>
    <w:rsid w:val="00730065"/>
    <w:rsid w:val="00730545"/>
    <w:rsid w:val="007314D1"/>
    <w:rsid w:val="00731636"/>
    <w:rsid w:val="00731765"/>
    <w:rsid w:val="00732029"/>
    <w:rsid w:val="007326E9"/>
    <w:rsid w:val="00733190"/>
    <w:rsid w:val="0073335D"/>
    <w:rsid w:val="007337B9"/>
    <w:rsid w:val="0073388D"/>
    <w:rsid w:val="00733A95"/>
    <w:rsid w:val="0073421D"/>
    <w:rsid w:val="00734E9B"/>
    <w:rsid w:val="0073522D"/>
    <w:rsid w:val="007356B0"/>
    <w:rsid w:val="00735F6F"/>
    <w:rsid w:val="00740504"/>
    <w:rsid w:val="00741035"/>
    <w:rsid w:val="00743935"/>
    <w:rsid w:val="00744072"/>
    <w:rsid w:val="007441F2"/>
    <w:rsid w:val="00744834"/>
    <w:rsid w:val="007451F0"/>
    <w:rsid w:val="00745F64"/>
    <w:rsid w:val="00747B40"/>
    <w:rsid w:val="0075010B"/>
    <w:rsid w:val="0075078F"/>
    <w:rsid w:val="0075094A"/>
    <w:rsid w:val="00751388"/>
    <w:rsid w:val="007514F0"/>
    <w:rsid w:val="00751DA2"/>
    <w:rsid w:val="0075372D"/>
    <w:rsid w:val="00753AB1"/>
    <w:rsid w:val="0075433C"/>
    <w:rsid w:val="00754AE1"/>
    <w:rsid w:val="007550A2"/>
    <w:rsid w:val="0075540C"/>
    <w:rsid w:val="00755B49"/>
    <w:rsid w:val="00756CFB"/>
    <w:rsid w:val="00756D20"/>
    <w:rsid w:val="00757614"/>
    <w:rsid w:val="00757D58"/>
    <w:rsid w:val="00757E90"/>
    <w:rsid w:val="007604BB"/>
    <w:rsid w:val="00760769"/>
    <w:rsid w:val="00762932"/>
    <w:rsid w:val="00764E78"/>
    <w:rsid w:val="00766FDA"/>
    <w:rsid w:val="00770089"/>
    <w:rsid w:val="00771686"/>
    <w:rsid w:val="00772045"/>
    <w:rsid w:val="00772909"/>
    <w:rsid w:val="0077331E"/>
    <w:rsid w:val="0077467E"/>
    <w:rsid w:val="00774B6E"/>
    <w:rsid w:val="007753C1"/>
    <w:rsid w:val="0077540D"/>
    <w:rsid w:val="00776684"/>
    <w:rsid w:val="007801F8"/>
    <w:rsid w:val="007806A2"/>
    <w:rsid w:val="00781B9A"/>
    <w:rsid w:val="00782A9D"/>
    <w:rsid w:val="00783BBC"/>
    <w:rsid w:val="00784754"/>
    <w:rsid w:val="00785232"/>
    <w:rsid w:val="00785B94"/>
    <w:rsid w:val="00786107"/>
    <w:rsid w:val="00786813"/>
    <w:rsid w:val="00786F65"/>
    <w:rsid w:val="00787497"/>
    <w:rsid w:val="007906C3"/>
    <w:rsid w:val="00790D55"/>
    <w:rsid w:val="00790DEE"/>
    <w:rsid w:val="00790EC4"/>
    <w:rsid w:val="0079255B"/>
    <w:rsid w:val="00792CCF"/>
    <w:rsid w:val="00793A53"/>
    <w:rsid w:val="00794342"/>
    <w:rsid w:val="00794370"/>
    <w:rsid w:val="00794C74"/>
    <w:rsid w:val="007968C8"/>
    <w:rsid w:val="00796DD5"/>
    <w:rsid w:val="0079701E"/>
    <w:rsid w:val="007977A2"/>
    <w:rsid w:val="007A0507"/>
    <w:rsid w:val="007A0783"/>
    <w:rsid w:val="007A0951"/>
    <w:rsid w:val="007A1BDA"/>
    <w:rsid w:val="007A21EB"/>
    <w:rsid w:val="007A2F65"/>
    <w:rsid w:val="007A3F8F"/>
    <w:rsid w:val="007A4A52"/>
    <w:rsid w:val="007A4B07"/>
    <w:rsid w:val="007A51D4"/>
    <w:rsid w:val="007A524F"/>
    <w:rsid w:val="007A6B73"/>
    <w:rsid w:val="007A7371"/>
    <w:rsid w:val="007A76F8"/>
    <w:rsid w:val="007A7BCB"/>
    <w:rsid w:val="007B0893"/>
    <w:rsid w:val="007B0CE1"/>
    <w:rsid w:val="007B18A3"/>
    <w:rsid w:val="007B1A93"/>
    <w:rsid w:val="007B1AFF"/>
    <w:rsid w:val="007B1B2F"/>
    <w:rsid w:val="007B38F0"/>
    <w:rsid w:val="007B3BA6"/>
    <w:rsid w:val="007B3C93"/>
    <w:rsid w:val="007B4199"/>
    <w:rsid w:val="007B42EA"/>
    <w:rsid w:val="007B447D"/>
    <w:rsid w:val="007B56B3"/>
    <w:rsid w:val="007B6006"/>
    <w:rsid w:val="007B6285"/>
    <w:rsid w:val="007B6492"/>
    <w:rsid w:val="007B6C0A"/>
    <w:rsid w:val="007B7250"/>
    <w:rsid w:val="007B74C2"/>
    <w:rsid w:val="007C10C8"/>
    <w:rsid w:val="007C1242"/>
    <w:rsid w:val="007C166D"/>
    <w:rsid w:val="007C2ADD"/>
    <w:rsid w:val="007C2D03"/>
    <w:rsid w:val="007C3266"/>
    <w:rsid w:val="007C369E"/>
    <w:rsid w:val="007C36C9"/>
    <w:rsid w:val="007C4010"/>
    <w:rsid w:val="007C434E"/>
    <w:rsid w:val="007C4CFF"/>
    <w:rsid w:val="007C5360"/>
    <w:rsid w:val="007C566D"/>
    <w:rsid w:val="007D00A0"/>
    <w:rsid w:val="007D0148"/>
    <w:rsid w:val="007D174F"/>
    <w:rsid w:val="007D1A8E"/>
    <w:rsid w:val="007D1A9B"/>
    <w:rsid w:val="007D2277"/>
    <w:rsid w:val="007D2945"/>
    <w:rsid w:val="007D2E4D"/>
    <w:rsid w:val="007D3F2D"/>
    <w:rsid w:val="007D4EB1"/>
    <w:rsid w:val="007D4EFB"/>
    <w:rsid w:val="007D50E7"/>
    <w:rsid w:val="007D5BD8"/>
    <w:rsid w:val="007D6206"/>
    <w:rsid w:val="007D6401"/>
    <w:rsid w:val="007D64C4"/>
    <w:rsid w:val="007D6708"/>
    <w:rsid w:val="007D755C"/>
    <w:rsid w:val="007D790B"/>
    <w:rsid w:val="007D790C"/>
    <w:rsid w:val="007D7969"/>
    <w:rsid w:val="007D7BD3"/>
    <w:rsid w:val="007E01E4"/>
    <w:rsid w:val="007E1477"/>
    <w:rsid w:val="007E14A4"/>
    <w:rsid w:val="007E19C0"/>
    <w:rsid w:val="007E2956"/>
    <w:rsid w:val="007E2F31"/>
    <w:rsid w:val="007E307F"/>
    <w:rsid w:val="007E37E0"/>
    <w:rsid w:val="007E3BD1"/>
    <w:rsid w:val="007E40BD"/>
    <w:rsid w:val="007E472D"/>
    <w:rsid w:val="007E4E02"/>
    <w:rsid w:val="007E5A63"/>
    <w:rsid w:val="007E5F71"/>
    <w:rsid w:val="007E62ED"/>
    <w:rsid w:val="007E71F8"/>
    <w:rsid w:val="007E7718"/>
    <w:rsid w:val="007E78DA"/>
    <w:rsid w:val="007E792D"/>
    <w:rsid w:val="007E7A12"/>
    <w:rsid w:val="007F0365"/>
    <w:rsid w:val="007F0735"/>
    <w:rsid w:val="007F0BC3"/>
    <w:rsid w:val="007F1B9B"/>
    <w:rsid w:val="007F20A0"/>
    <w:rsid w:val="007F21E0"/>
    <w:rsid w:val="007F3174"/>
    <w:rsid w:val="007F34E9"/>
    <w:rsid w:val="007F43A3"/>
    <w:rsid w:val="007F52AA"/>
    <w:rsid w:val="007F53FF"/>
    <w:rsid w:val="007F6390"/>
    <w:rsid w:val="007F64E9"/>
    <w:rsid w:val="007F6A1B"/>
    <w:rsid w:val="007F7107"/>
    <w:rsid w:val="007F71D7"/>
    <w:rsid w:val="007F74ED"/>
    <w:rsid w:val="007F75B0"/>
    <w:rsid w:val="007F7DD9"/>
    <w:rsid w:val="00800935"/>
    <w:rsid w:val="00800D1C"/>
    <w:rsid w:val="00800D4C"/>
    <w:rsid w:val="008014CC"/>
    <w:rsid w:val="00801609"/>
    <w:rsid w:val="00801B41"/>
    <w:rsid w:val="00803227"/>
    <w:rsid w:val="0080358F"/>
    <w:rsid w:val="00803DF1"/>
    <w:rsid w:val="00804686"/>
    <w:rsid w:val="008047E7"/>
    <w:rsid w:val="008053DC"/>
    <w:rsid w:val="00805765"/>
    <w:rsid w:val="0080588D"/>
    <w:rsid w:val="00805CC6"/>
    <w:rsid w:val="00805E73"/>
    <w:rsid w:val="008067BB"/>
    <w:rsid w:val="00807D5A"/>
    <w:rsid w:val="0081030F"/>
    <w:rsid w:val="0081054B"/>
    <w:rsid w:val="008112D6"/>
    <w:rsid w:val="008113DA"/>
    <w:rsid w:val="00812367"/>
    <w:rsid w:val="00812BE7"/>
    <w:rsid w:val="00812F4A"/>
    <w:rsid w:val="0081355F"/>
    <w:rsid w:val="00813CDB"/>
    <w:rsid w:val="00815828"/>
    <w:rsid w:val="008163BF"/>
    <w:rsid w:val="0081651A"/>
    <w:rsid w:val="00817F78"/>
    <w:rsid w:val="0082087D"/>
    <w:rsid w:val="008216F5"/>
    <w:rsid w:val="00821C76"/>
    <w:rsid w:val="00823714"/>
    <w:rsid w:val="00824D45"/>
    <w:rsid w:val="00824DED"/>
    <w:rsid w:val="00824F36"/>
    <w:rsid w:val="008255DD"/>
    <w:rsid w:val="00826D77"/>
    <w:rsid w:val="0082785E"/>
    <w:rsid w:val="00827CD5"/>
    <w:rsid w:val="0083033D"/>
    <w:rsid w:val="00830568"/>
    <w:rsid w:val="00830B6D"/>
    <w:rsid w:val="008314AD"/>
    <w:rsid w:val="0083274A"/>
    <w:rsid w:val="00832A9C"/>
    <w:rsid w:val="00832B72"/>
    <w:rsid w:val="00832C41"/>
    <w:rsid w:val="008334B2"/>
    <w:rsid w:val="0083374A"/>
    <w:rsid w:val="0083409B"/>
    <w:rsid w:val="008349C5"/>
    <w:rsid w:val="00835771"/>
    <w:rsid w:val="00836723"/>
    <w:rsid w:val="00836992"/>
    <w:rsid w:val="00836EB0"/>
    <w:rsid w:val="008377FF"/>
    <w:rsid w:val="00837D84"/>
    <w:rsid w:val="00837E27"/>
    <w:rsid w:val="008405BC"/>
    <w:rsid w:val="00840D30"/>
    <w:rsid w:val="00840E1B"/>
    <w:rsid w:val="00841BD1"/>
    <w:rsid w:val="00842649"/>
    <w:rsid w:val="00842651"/>
    <w:rsid w:val="00842933"/>
    <w:rsid w:val="00842A7B"/>
    <w:rsid w:val="00843369"/>
    <w:rsid w:val="00843CE9"/>
    <w:rsid w:val="008452BD"/>
    <w:rsid w:val="0084592C"/>
    <w:rsid w:val="008460C1"/>
    <w:rsid w:val="00847225"/>
    <w:rsid w:val="00847298"/>
    <w:rsid w:val="00847305"/>
    <w:rsid w:val="00847741"/>
    <w:rsid w:val="00847B30"/>
    <w:rsid w:val="00850E16"/>
    <w:rsid w:val="0085118E"/>
    <w:rsid w:val="00851ED1"/>
    <w:rsid w:val="00852CA4"/>
    <w:rsid w:val="00853B7B"/>
    <w:rsid w:val="00853DFD"/>
    <w:rsid w:val="00854010"/>
    <w:rsid w:val="0085474F"/>
    <w:rsid w:val="00854EC1"/>
    <w:rsid w:val="008553AE"/>
    <w:rsid w:val="0085653D"/>
    <w:rsid w:val="00856ECA"/>
    <w:rsid w:val="008603F2"/>
    <w:rsid w:val="0086082C"/>
    <w:rsid w:val="00860C9F"/>
    <w:rsid w:val="0086194B"/>
    <w:rsid w:val="00861B4E"/>
    <w:rsid w:val="00862428"/>
    <w:rsid w:val="008629D3"/>
    <w:rsid w:val="00862C27"/>
    <w:rsid w:val="00862D6C"/>
    <w:rsid w:val="00863455"/>
    <w:rsid w:val="00863632"/>
    <w:rsid w:val="00864ADC"/>
    <w:rsid w:val="00865217"/>
    <w:rsid w:val="0086566D"/>
    <w:rsid w:val="00865810"/>
    <w:rsid w:val="008661F3"/>
    <w:rsid w:val="008723AC"/>
    <w:rsid w:val="008731B0"/>
    <w:rsid w:val="00875B4A"/>
    <w:rsid w:val="00876548"/>
    <w:rsid w:val="008772A7"/>
    <w:rsid w:val="00877A8F"/>
    <w:rsid w:val="00880153"/>
    <w:rsid w:val="0088036F"/>
    <w:rsid w:val="00880D39"/>
    <w:rsid w:val="00880F97"/>
    <w:rsid w:val="0088133A"/>
    <w:rsid w:val="00881757"/>
    <w:rsid w:val="00882EA6"/>
    <w:rsid w:val="008834AA"/>
    <w:rsid w:val="0088396D"/>
    <w:rsid w:val="008844B0"/>
    <w:rsid w:val="00884923"/>
    <w:rsid w:val="00885687"/>
    <w:rsid w:val="00885BDD"/>
    <w:rsid w:val="00886032"/>
    <w:rsid w:val="008879DE"/>
    <w:rsid w:val="00890912"/>
    <w:rsid w:val="0089285E"/>
    <w:rsid w:val="0089436C"/>
    <w:rsid w:val="008952C1"/>
    <w:rsid w:val="00895352"/>
    <w:rsid w:val="00895B68"/>
    <w:rsid w:val="00896A7D"/>
    <w:rsid w:val="008979B3"/>
    <w:rsid w:val="008A0071"/>
    <w:rsid w:val="008A00D2"/>
    <w:rsid w:val="008A011A"/>
    <w:rsid w:val="008A3A94"/>
    <w:rsid w:val="008A4E39"/>
    <w:rsid w:val="008A57F3"/>
    <w:rsid w:val="008A6507"/>
    <w:rsid w:val="008A66B2"/>
    <w:rsid w:val="008A6D2E"/>
    <w:rsid w:val="008A7608"/>
    <w:rsid w:val="008A79CB"/>
    <w:rsid w:val="008B131A"/>
    <w:rsid w:val="008B1A6D"/>
    <w:rsid w:val="008B26F0"/>
    <w:rsid w:val="008B3826"/>
    <w:rsid w:val="008B4236"/>
    <w:rsid w:val="008B5BA1"/>
    <w:rsid w:val="008B6FF8"/>
    <w:rsid w:val="008C06D4"/>
    <w:rsid w:val="008C0925"/>
    <w:rsid w:val="008C0C68"/>
    <w:rsid w:val="008C1A0C"/>
    <w:rsid w:val="008C2383"/>
    <w:rsid w:val="008C2ECA"/>
    <w:rsid w:val="008C2F6A"/>
    <w:rsid w:val="008C3323"/>
    <w:rsid w:val="008C332B"/>
    <w:rsid w:val="008C360C"/>
    <w:rsid w:val="008C380A"/>
    <w:rsid w:val="008C3E02"/>
    <w:rsid w:val="008C43B7"/>
    <w:rsid w:val="008C4C68"/>
    <w:rsid w:val="008C580D"/>
    <w:rsid w:val="008C6593"/>
    <w:rsid w:val="008C7908"/>
    <w:rsid w:val="008D14F4"/>
    <w:rsid w:val="008D229F"/>
    <w:rsid w:val="008D2B38"/>
    <w:rsid w:val="008D2EB7"/>
    <w:rsid w:val="008D2F31"/>
    <w:rsid w:val="008D2F63"/>
    <w:rsid w:val="008D365C"/>
    <w:rsid w:val="008D7622"/>
    <w:rsid w:val="008E004F"/>
    <w:rsid w:val="008E0587"/>
    <w:rsid w:val="008E4EC8"/>
    <w:rsid w:val="008E64B6"/>
    <w:rsid w:val="008F0EE4"/>
    <w:rsid w:val="008F18C5"/>
    <w:rsid w:val="008F1EAC"/>
    <w:rsid w:val="008F22D4"/>
    <w:rsid w:val="008F45A7"/>
    <w:rsid w:val="008F5034"/>
    <w:rsid w:val="008F5B3E"/>
    <w:rsid w:val="008F5F54"/>
    <w:rsid w:val="008F6BD2"/>
    <w:rsid w:val="008F6DD1"/>
    <w:rsid w:val="008F6E6D"/>
    <w:rsid w:val="00900DD0"/>
    <w:rsid w:val="00900F09"/>
    <w:rsid w:val="00901F97"/>
    <w:rsid w:val="009021A6"/>
    <w:rsid w:val="009030BF"/>
    <w:rsid w:val="009039D0"/>
    <w:rsid w:val="00903AFF"/>
    <w:rsid w:val="00903B52"/>
    <w:rsid w:val="00903B60"/>
    <w:rsid w:val="00903D3A"/>
    <w:rsid w:val="00904511"/>
    <w:rsid w:val="009049E6"/>
    <w:rsid w:val="00904D94"/>
    <w:rsid w:val="0090529A"/>
    <w:rsid w:val="00905422"/>
    <w:rsid w:val="0090562A"/>
    <w:rsid w:val="00906DDD"/>
    <w:rsid w:val="00907266"/>
    <w:rsid w:val="00907477"/>
    <w:rsid w:val="009079DE"/>
    <w:rsid w:val="00910148"/>
    <w:rsid w:val="0091032F"/>
    <w:rsid w:val="00910C18"/>
    <w:rsid w:val="00910C9B"/>
    <w:rsid w:val="009112F9"/>
    <w:rsid w:val="009116C7"/>
    <w:rsid w:val="00911BB4"/>
    <w:rsid w:val="00913071"/>
    <w:rsid w:val="00914368"/>
    <w:rsid w:val="00914394"/>
    <w:rsid w:val="0091487C"/>
    <w:rsid w:val="00915A31"/>
    <w:rsid w:val="00916B8C"/>
    <w:rsid w:val="009171B8"/>
    <w:rsid w:val="00920379"/>
    <w:rsid w:val="00923A36"/>
    <w:rsid w:val="00923CCA"/>
    <w:rsid w:val="009244C9"/>
    <w:rsid w:val="009248BB"/>
    <w:rsid w:val="00925893"/>
    <w:rsid w:val="009263BA"/>
    <w:rsid w:val="00926E99"/>
    <w:rsid w:val="009273EA"/>
    <w:rsid w:val="00927A22"/>
    <w:rsid w:val="009305A4"/>
    <w:rsid w:val="00930B77"/>
    <w:rsid w:val="00931076"/>
    <w:rsid w:val="00931184"/>
    <w:rsid w:val="00931B5E"/>
    <w:rsid w:val="00931C87"/>
    <w:rsid w:val="00932331"/>
    <w:rsid w:val="00932FF7"/>
    <w:rsid w:val="009337F8"/>
    <w:rsid w:val="00933C09"/>
    <w:rsid w:val="0093429E"/>
    <w:rsid w:val="009345D9"/>
    <w:rsid w:val="00934830"/>
    <w:rsid w:val="00934B15"/>
    <w:rsid w:val="00935446"/>
    <w:rsid w:val="00935736"/>
    <w:rsid w:val="009358E2"/>
    <w:rsid w:val="00936583"/>
    <w:rsid w:val="00940C87"/>
    <w:rsid w:val="009420AC"/>
    <w:rsid w:val="00942359"/>
    <w:rsid w:val="00942B62"/>
    <w:rsid w:val="00942BE5"/>
    <w:rsid w:val="00942FB9"/>
    <w:rsid w:val="009447BA"/>
    <w:rsid w:val="00946138"/>
    <w:rsid w:val="00947064"/>
    <w:rsid w:val="0095051F"/>
    <w:rsid w:val="00952B2B"/>
    <w:rsid w:val="0095323B"/>
    <w:rsid w:val="00953C71"/>
    <w:rsid w:val="00953D3C"/>
    <w:rsid w:val="009542E3"/>
    <w:rsid w:val="00954926"/>
    <w:rsid w:val="00955727"/>
    <w:rsid w:val="00955EA2"/>
    <w:rsid w:val="00956A03"/>
    <w:rsid w:val="00956A0C"/>
    <w:rsid w:val="00956BD9"/>
    <w:rsid w:val="00956FE9"/>
    <w:rsid w:val="00957622"/>
    <w:rsid w:val="009576E3"/>
    <w:rsid w:val="009578F9"/>
    <w:rsid w:val="00957CD1"/>
    <w:rsid w:val="009602A8"/>
    <w:rsid w:val="00960E15"/>
    <w:rsid w:val="00962489"/>
    <w:rsid w:val="00963406"/>
    <w:rsid w:val="00964249"/>
    <w:rsid w:val="009644AE"/>
    <w:rsid w:val="00964AA5"/>
    <w:rsid w:val="00964E8C"/>
    <w:rsid w:val="009652C0"/>
    <w:rsid w:val="00966596"/>
    <w:rsid w:val="00966C95"/>
    <w:rsid w:val="00966CB5"/>
    <w:rsid w:val="00967CD3"/>
    <w:rsid w:val="00967F2D"/>
    <w:rsid w:val="00970169"/>
    <w:rsid w:val="0097030F"/>
    <w:rsid w:val="00970AC5"/>
    <w:rsid w:val="009715A7"/>
    <w:rsid w:val="0097189B"/>
    <w:rsid w:val="00971F94"/>
    <w:rsid w:val="00972F92"/>
    <w:rsid w:val="009742FE"/>
    <w:rsid w:val="009745A2"/>
    <w:rsid w:val="00974B96"/>
    <w:rsid w:val="00975439"/>
    <w:rsid w:val="00976BFE"/>
    <w:rsid w:val="00977CAA"/>
    <w:rsid w:val="00977F10"/>
    <w:rsid w:val="00980479"/>
    <w:rsid w:val="00980689"/>
    <w:rsid w:val="009809A4"/>
    <w:rsid w:val="00980EA9"/>
    <w:rsid w:val="0098102C"/>
    <w:rsid w:val="0098214A"/>
    <w:rsid w:val="0098362F"/>
    <w:rsid w:val="009842EE"/>
    <w:rsid w:val="0098449A"/>
    <w:rsid w:val="009845E3"/>
    <w:rsid w:val="00984CA5"/>
    <w:rsid w:val="00984E45"/>
    <w:rsid w:val="0098514E"/>
    <w:rsid w:val="00985B9B"/>
    <w:rsid w:val="009860A0"/>
    <w:rsid w:val="009863A7"/>
    <w:rsid w:val="009872C0"/>
    <w:rsid w:val="00987FA5"/>
    <w:rsid w:val="00990C2C"/>
    <w:rsid w:val="00990C46"/>
    <w:rsid w:val="00991206"/>
    <w:rsid w:val="0099177E"/>
    <w:rsid w:val="009917FA"/>
    <w:rsid w:val="0099238F"/>
    <w:rsid w:val="00992A96"/>
    <w:rsid w:val="00992D2F"/>
    <w:rsid w:val="00993E63"/>
    <w:rsid w:val="00994182"/>
    <w:rsid w:val="00994218"/>
    <w:rsid w:val="009945A5"/>
    <w:rsid w:val="00995BE5"/>
    <w:rsid w:val="00995F3C"/>
    <w:rsid w:val="00996392"/>
    <w:rsid w:val="00996869"/>
    <w:rsid w:val="00996D4F"/>
    <w:rsid w:val="009971C7"/>
    <w:rsid w:val="00997B4B"/>
    <w:rsid w:val="00997F4F"/>
    <w:rsid w:val="00997FC4"/>
    <w:rsid w:val="009A01D6"/>
    <w:rsid w:val="009A0B70"/>
    <w:rsid w:val="009A0D45"/>
    <w:rsid w:val="009A234B"/>
    <w:rsid w:val="009A2377"/>
    <w:rsid w:val="009A4858"/>
    <w:rsid w:val="009A5171"/>
    <w:rsid w:val="009A53D8"/>
    <w:rsid w:val="009A556E"/>
    <w:rsid w:val="009A57F0"/>
    <w:rsid w:val="009A65ED"/>
    <w:rsid w:val="009A67B0"/>
    <w:rsid w:val="009A77AF"/>
    <w:rsid w:val="009B0E1E"/>
    <w:rsid w:val="009B252E"/>
    <w:rsid w:val="009B2648"/>
    <w:rsid w:val="009B2F54"/>
    <w:rsid w:val="009B5B20"/>
    <w:rsid w:val="009B688E"/>
    <w:rsid w:val="009B6F16"/>
    <w:rsid w:val="009B7774"/>
    <w:rsid w:val="009B78B6"/>
    <w:rsid w:val="009C0826"/>
    <w:rsid w:val="009C1091"/>
    <w:rsid w:val="009C13AE"/>
    <w:rsid w:val="009C1410"/>
    <w:rsid w:val="009C276C"/>
    <w:rsid w:val="009C36FE"/>
    <w:rsid w:val="009C3A95"/>
    <w:rsid w:val="009C46FD"/>
    <w:rsid w:val="009C50FA"/>
    <w:rsid w:val="009C5976"/>
    <w:rsid w:val="009C6A8E"/>
    <w:rsid w:val="009C78F4"/>
    <w:rsid w:val="009D06BB"/>
    <w:rsid w:val="009D1524"/>
    <w:rsid w:val="009D1B27"/>
    <w:rsid w:val="009D2FCF"/>
    <w:rsid w:val="009D318A"/>
    <w:rsid w:val="009D376D"/>
    <w:rsid w:val="009D3D31"/>
    <w:rsid w:val="009D5B84"/>
    <w:rsid w:val="009D61D8"/>
    <w:rsid w:val="009D662C"/>
    <w:rsid w:val="009D6712"/>
    <w:rsid w:val="009D72C8"/>
    <w:rsid w:val="009E04C0"/>
    <w:rsid w:val="009E1190"/>
    <w:rsid w:val="009E1844"/>
    <w:rsid w:val="009E2985"/>
    <w:rsid w:val="009E305A"/>
    <w:rsid w:val="009E321C"/>
    <w:rsid w:val="009E3EA7"/>
    <w:rsid w:val="009E3FFE"/>
    <w:rsid w:val="009E4312"/>
    <w:rsid w:val="009E4A46"/>
    <w:rsid w:val="009E4DA9"/>
    <w:rsid w:val="009E5DA2"/>
    <w:rsid w:val="009E634F"/>
    <w:rsid w:val="009E64D6"/>
    <w:rsid w:val="009E6740"/>
    <w:rsid w:val="009E6793"/>
    <w:rsid w:val="009E739C"/>
    <w:rsid w:val="009F0B14"/>
    <w:rsid w:val="009F0D1B"/>
    <w:rsid w:val="009F16B1"/>
    <w:rsid w:val="009F1A89"/>
    <w:rsid w:val="009F1AA6"/>
    <w:rsid w:val="009F28DF"/>
    <w:rsid w:val="009F3F76"/>
    <w:rsid w:val="009F53D8"/>
    <w:rsid w:val="009F53DD"/>
    <w:rsid w:val="009F5BBD"/>
    <w:rsid w:val="009F6717"/>
    <w:rsid w:val="009F696D"/>
    <w:rsid w:val="009F6BC6"/>
    <w:rsid w:val="009F6E27"/>
    <w:rsid w:val="009F74EF"/>
    <w:rsid w:val="00A02826"/>
    <w:rsid w:val="00A031C7"/>
    <w:rsid w:val="00A03A62"/>
    <w:rsid w:val="00A05091"/>
    <w:rsid w:val="00A050F7"/>
    <w:rsid w:val="00A06F7A"/>
    <w:rsid w:val="00A07DA9"/>
    <w:rsid w:val="00A07EE9"/>
    <w:rsid w:val="00A1067C"/>
    <w:rsid w:val="00A113BF"/>
    <w:rsid w:val="00A118FA"/>
    <w:rsid w:val="00A1380A"/>
    <w:rsid w:val="00A144D6"/>
    <w:rsid w:val="00A145CD"/>
    <w:rsid w:val="00A15347"/>
    <w:rsid w:val="00A156DE"/>
    <w:rsid w:val="00A1570E"/>
    <w:rsid w:val="00A15869"/>
    <w:rsid w:val="00A15CB5"/>
    <w:rsid w:val="00A15D5A"/>
    <w:rsid w:val="00A16372"/>
    <w:rsid w:val="00A16D84"/>
    <w:rsid w:val="00A17328"/>
    <w:rsid w:val="00A173F9"/>
    <w:rsid w:val="00A1743C"/>
    <w:rsid w:val="00A17768"/>
    <w:rsid w:val="00A2014F"/>
    <w:rsid w:val="00A2084E"/>
    <w:rsid w:val="00A2098A"/>
    <w:rsid w:val="00A210D7"/>
    <w:rsid w:val="00A213BC"/>
    <w:rsid w:val="00A21EE9"/>
    <w:rsid w:val="00A21FF9"/>
    <w:rsid w:val="00A23A20"/>
    <w:rsid w:val="00A23C7D"/>
    <w:rsid w:val="00A24443"/>
    <w:rsid w:val="00A24B49"/>
    <w:rsid w:val="00A252F1"/>
    <w:rsid w:val="00A2609E"/>
    <w:rsid w:val="00A260E1"/>
    <w:rsid w:val="00A268B9"/>
    <w:rsid w:val="00A2703A"/>
    <w:rsid w:val="00A27FD0"/>
    <w:rsid w:val="00A3080B"/>
    <w:rsid w:val="00A31709"/>
    <w:rsid w:val="00A3219D"/>
    <w:rsid w:val="00A3277B"/>
    <w:rsid w:val="00A33A03"/>
    <w:rsid w:val="00A33DFF"/>
    <w:rsid w:val="00A34148"/>
    <w:rsid w:val="00A341B8"/>
    <w:rsid w:val="00A34351"/>
    <w:rsid w:val="00A35115"/>
    <w:rsid w:val="00A35204"/>
    <w:rsid w:val="00A36003"/>
    <w:rsid w:val="00A369B8"/>
    <w:rsid w:val="00A36BE7"/>
    <w:rsid w:val="00A36D9A"/>
    <w:rsid w:val="00A406D4"/>
    <w:rsid w:val="00A41201"/>
    <w:rsid w:val="00A41F5C"/>
    <w:rsid w:val="00A44D2B"/>
    <w:rsid w:val="00A45077"/>
    <w:rsid w:val="00A451DC"/>
    <w:rsid w:val="00A4526F"/>
    <w:rsid w:val="00A45D4A"/>
    <w:rsid w:val="00A50863"/>
    <w:rsid w:val="00A50B48"/>
    <w:rsid w:val="00A512BA"/>
    <w:rsid w:val="00A52BB5"/>
    <w:rsid w:val="00A540A6"/>
    <w:rsid w:val="00A554AB"/>
    <w:rsid w:val="00A55944"/>
    <w:rsid w:val="00A55A4F"/>
    <w:rsid w:val="00A55D32"/>
    <w:rsid w:val="00A565ED"/>
    <w:rsid w:val="00A56915"/>
    <w:rsid w:val="00A57062"/>
    <w:rsid w:val="00A5775D"/>
    <w:rsid w:val="00A57942"/>
    <w:rsid w:val="00A61213"/>
    <w:rsid w:val="00A61D74"/>
    <w:rsid w:val="00A61FBB"/>
    <w:rsid w:val="00A6233D"/>
    <w:rsid w:val="00A6286A"/>
    <w:rsid w:val="00A63668"/>
    <w:rsid w:val="00A642BA"/>
    <w:rsid w:val="00A643BF"/>
    <w:rsid w:val="00A64E91"/>
    <w:rsid w:val="00A659B8"/>
    <w:rsid w:val="00A664C6"/>
    <w:rsid w:val="00A669D8"/>
    <w:rsid w:val="00A66AC2"/>
    <w:rsid w:val="00A67034"/>
    <w:rsid w:val="00A670EC"/>
    <w:rsid w:val="00A676DE"/>
    <w:rsid w:val="00A67781"/>
    <w:rsid w:val="00A67B23"/>
    <w:rsid w:val="00A70202"/>
    <w:rsid w:val="00A702AC"/>
    <w:rsid w:val="00A70BB7"/>
    <w:rsid w:val="00A71EA1"/>
    <w:rsid w:val="00A72A72"/>
    <w:rsid w:val="00A72E6A"/>
    <w:rsid w:val="00A72F7A"/>
    <w:rsid w:val="00A73279"/>
    <w:rsid w:val="00A73ED8"/>
    <w:rsid w:val="00A74238"/>
    <w:rsid w:val="00A743D6"/>
    <w:rsid w:val="00A75CFB"/>
    <w:rsid w:val="00A761F9"/>
    <w:rsid w:val="00A76AA4"/>
    <w:rsid w:val="00A773BE"/>
    <w:rsid w:val="00A77CFA"/>
    <w:rsid w:val="00A8026D"/>
    <w:rsid w:val="00A81532"/>
    <w:rsid w:val="00A82791"/>
    <w:rsid w:val="00A831E5"/>
    <w:rsid w:val="00A83433"/>
    <w:rsid w:val="00A84E80"/>
    <w:rsid w:val="00A85343"/>
    <w:rsid w:val="00A85E26"/>
    <w:rsid w:val="00A901CF"/>
    <w:rsid w:val="00A90C7E"/>
    <w:rsid w:val="00A91BE1"/>
    <w:rsid w:val="00A91D18"/>
    <w:rsid w:val="00A91F1A"/>
    <w:rsid w:val="00A92826"/>
    <w:rsid w:val="00A92B53"/>
    <w:rsid w:val="00A93326"/>
    <w:rsid w:val="00A9370F"/>
    <w:rsid w:val="00A93898"/>
    <w:rsid w:val="00A9397E"/>
    <w:rsid w:val="00A94BA9"/>
    <w:rsid w:val="00A94C50"/>
    <w:rsid w:val="00A94EFF"/>
    <w:rsid w:val="00A94FA6"/>
    <w:rsid w:val="00A951E4"/>
    <w:rsid w:val="00A95BE0"/>
    <w:rsid w:val="00A95F5E"/>
    <w:rsid w:val="00A96BF6"/>
    <w:rsid w:val="00A972F9"/>
    <w:rsid w:val="00AA1385"/>
    <w:rsid w:val="00AA28CC"/>
    <w:rsid w:val="00AA3493"/>
    <w:rsid w:val="00AA35DA"/>
    <w:rsid w:val="00AA3DF7"/>
    <w:rsid w:val="00AA3E48"/>
    <w:rsid w:val="00AA49A0"/>
    <w:rsid w:val="00AA4FEA"/>
    <w:rsid w:val="00AA5706"/>
    <w:rsid w:val="00AA5E49"/>
    <w:rsid w:val="00AA6710"/>
    <w:rsid w:val="00AA67F1"/>
    <w:rsid w:val="00AA68D5"/>
    <w:rsid w:val="00AB054D"/>
    <w:rsid w:val="00AB0681"/>
    <w:rsid w:val="00AB121C"/>
    <w:rsid w:val="00AB2E6D"/>
    <w:rsid w:val="00AB3623"/>
    <w:rsid w:val="00AB404F"/>
    <w:rsid w:val="00AB511C"/>
    <w:rsid w:val="00AB72FB"/>
    <w:rsid w:val="00AB7300"/>
    <w:rsid w:val="00AB74B6"/>
    <w:rsid w:val="00AB7650"/>
    <w:rsid w:val="00AC0F70"/>
    <w:rsid w:val="00AC1186"/>
    <w:rsid w:val="00AC1B82"/>
    <w:rsid w:val="00AC244C"/>
    <w:rsid w:val="00AC3A15"/>
    <w:rsid w:val="00AC439B"/>
    <w:rsid w:val="00AC49C5"/>
    <w:rsid w:val="00AC4FE4"/>
    <w:rsid w:val="00AC5064"/>
    <w:rsid w:val="00AC6C29"/>
    <w:rsid w:val="00AD039D"/>
    <w:rsid w:val="00AD1029"/>
    <w:rsid w:val="00AD11CB"/>
    <w:rsid w:val="00AD27D4"/>
    <w:rsid w:val="00AD2A9B"/>
    <w:rsid w:val="00AD3DE6"/>
    <w:rsid w:val="00AD4AF6"/>
    <w:rsid w:val="00AD520B"/>
    <w:rsid w:val="00AD71C3"/>
    <w:rsid w:val="00AD71C8"/>
    <w:rsid w:val="00AD7CE8"/>
    <w:rsid w:val="00AD7DF8"/>
    <w:rsid w:val="00AE0735"/>
    <w:rsid w:val="00AE149B"/>
    <w:rsid w:val="00AE1554"/>
    <w:rsid w:val="00AE2246"/>
    <w:rsid w:val="00AE2918"/>
    <w:rsid w:val="00AE2B40"/>
    <w:rsid w:val="00AE33C0"/>
    <w:rsid w:val="00AE36CA"/>
    <w:rsid w:val="00AE3BCC"/>
    <w:rsid w:val="00AE4435"/>
    <w:rsid w:val="00AE48D1"/>
    <w:rsid w:val="00AE49B5"/>
    <w:rsid w:val="00AE4C7C"/>
    <w:rsid w:val="00AE5B13"/>
    <w:rsid w:val="00AE6D4C"/>
    <w:rsid w:val="00AE73D3"/>
    <w:rsid w:val="00AE75F0"/>
    <w:rsid w:val="00AF01D6"/>
    <w:rsid w:val="00AF0307"/>
    <w:rsid w:val="00AF05D4"/>
    <w:rsid w:val="00AF1484"/>
    <w:rsid w:val="00AF2981"/>
    <w:rsid w:val="00AF2B2D"/>
    <w:rsid w:val="00AF30CB"/>
    <w:rsid w:val="00AF3291"/>
    <w:rsid w:val="00AF3A54"/>
    <w:rsid w:val="00AF3C1D"/>
    <w:rsid w:val="00AF3D16"/>
    <w:rsid w:val="00AF44B8"/>
    <w:rsid w:val="00AF4631"/>
    <w:rsid w:val="00AF4F61"/>
    <w:rsid w:val="00AF535A"/>
    <w:rsid w:val="00AF6159"/>
    <w:rsid w:val="00AF7590"/>
    <w:rsid w:val="00B006AE"/>
    <w:rsid w:val="00B00D44"/>
    <w:rsid w:val="00B01DEE"/>
    <w:rsid w:val="00B026AE"/>
    <w:rsid w:val="00B03F75"/>
    <w:rsid w:val="00B043F8"/>
    <w:rsid w:val="00B047CC"/>
    <w:rsid w:val="00B048E8"/>
    <w:rsid w:val="00B05054"/>
    <w:rsid w:val="00B051AE"/>
    <w:rsid w:val="00B05D12"/>
    <w:rsid w:val="00B0608C"/>
    <w:rsid w:val="00B13BC7"/>
    <w:rsid w:val="00B14107"/>
    <w:rsid w:val="00B14DF0"/>
    <w:rsid w:val="00B152BD"/>
    <w:rsid w:val="00B16085"/>
    <w:rsid w:val="00B169F4"/>
    <w:rsid w:val="00B17035"/>
    <w:rsid w:val="00B17CC3"/>
    <w:rsid w:val="00B20495"/>
    <w:rsid w:val="00B20689"/>
    <w:rsid w:val="00B20922"/>
    <w:rsid w:val="00B20DC5"/>
    <w:rsid w:val="00B21076"/>
    <w:rsid w:val="00B21F1F"/>
    <w:rsid w:val="00B2236C"/>
    <w:rsid w:val="00B22B21"/>
    <w:rsid w:val="00B233CB"/>
    <w:rsid w:val="00B23CBB"/>
    <w:rsid w:val="00B2499A"/>
    <w:rsid w:val="00B255B4"/>
    <w:rsid w:val="00B26618"/>
    <w:rsid w:val="00B27045"/>
    <w:rsid w:val="00B2717F"/>
    <w:rsid w:val="00B2786A"/>
    <w:rsid w:val="00B303E0"/>
    <w:rsid w:val="00B30423"/>
    <w:rsid w:val="00B3044A"/>
    <w:rsid w:val="00B3165E"/>
    <w:rsid w:val="00B31963"/>
    <w:rsid w:val="00B33BEA"/>
    <w:rsid w:val="00B33DDC"/>
    <w:rsid w:val="00B35289"/>
    <w:rsid w:val="00B36971"/>
    <w:rsid w:val="00B36C80"/>
    <w:rsid w:val="00B403B3"/>
    <w:rsid w:val="00B4060C"/>
    <w:rsid w:val="00B41E9E"/>
    <w:rsid w:val="00B425C3"/>
    <w:rsid w:val="00B434E2"/>
    <w:rsid w:val="00B4373D"/>
    <w:rsid w:val="00B43B74"/>
    <w:rsid w:val="00B440AD"/>
    <w:rsid w:val="00B44B57"/>
    <w:rsid w:val="00B46CEC"/>
    <w:rsid w:val="00B4700B"/>
    <w:rsid w:val="00B479BB"/>
    <w:rsid w:val="00B501B5"/>
    <w:rsid w:val="00B501C7"/>
    <w:rsid w:val="00B511A5"/>
    <w:rsid w:val="00B515BD"/>
    <w:rsid w:val="00B521FE"/>
    <w:rsid w:val="00B539AE"/>
    <w:rsid w:val="00B53E7E"/>
    <w:rsid w:val="00B54CAF"/>
    <w:rsid w:val="00B54D22"/>
    <w:rsid w:val="00B55E37"/>
    <w:rsid w:val="00B563E2"/>
    <w:rsid w:val="00B5660C"/>
    <w:rsid w:val="00B56970"/>
    <w:rsid w:val="00B57706"/>
    <w:rsid w:val="00B57F8A"/>
    <w:rsid w:val="00B6124C"/>
    <w:rsid w:val="00B61509"/>
    <w:rsid w:val="00B61815"/>
    <w:rsid w:val="00B6342E"/>
    <w:rsid w:val="00B64A03"/>
    <w:rsid w:val="00B65822"/>
    <w:rsid w:val="00B659CC"/>
    <w:rsid w:val="00B65A8E"/>
    <w:rsid w:val="00B662ED"/>
    <w:rsid w:val="00B70053"/>
    <w:rsid w:val="00B7113F"/>
    <w:rsid w:val="00B72DF5"/>
    <w:rsid w:val="00B7547D"/>
    <w:rsid w:val="00B75BF7"/>
    <w:rsid w:val="00B76862"/>
    <w:rsid w:val="00B76DC4"/>
    <w:rsid w:val="00B77647"/>
    <w:rsid w:val="00B77741"/>
    <w:rsid w:val="00B778C3"/>
    <w:rsid w:val="00B77D47"/>
    <w:rsid w:val="00B809E9"/>
    <w:rsid w:val="00B81DF7"/>
    <w:rsid w:val="00B82549"/>
    <w:rsid w:val="00B82954"/>
    <w:rsid w:val="00B84650"/>
    <w:rsid w:val="00B84FB8"/>
    <w:rsid w:val="00B854E4"/>
    <w:rsid w:val="00B863FB"/>
    <w:rsid w:val="00B903F2"/>
    <w:rsid w:val="00B9342A"/>
    <w:rsid w:val="00B93737"/>
    <w:rsid w:val="00B937D0"/>
    <w:rsid w:val="00B93E8E"/>
    <w:rsid w:val="00B94619"/>
    <w:rsid w:val="00B94C19"/>
    <w:rsid w:val="00B97480"/>
    <w:rsid w:val="00B97A8B"/>
    <w:rsid w:val="00BA025F"/>
    <w:rsid w:val="00BA06B2"/>
    <w:rsid w:val="00BA1AD8"/>
    <w:rsid w:val="00BA285D"/>
    <w:rsid w:val="00BA2BCF"/>
    <w:rsid w:val="00BA427B"/>
    <w:rsid w:val="00BA528C"/>
    <w:rsid w:val="00BA5B14"/>
    <w:rsid w:val="00BA7373"/>
    <w:rsid w:val="00BA73B6"/>
    <w:rsid w:val="00BA7E27"/>
    <w:rsid w:val="00BB0063"/>
    <w:rsid w:val="00BB0172"/>
    <w:rsid w:val="00BB07B5"/>
    <w:rsid w:val="00BB0EA9"/>
    <w:rsid w:val="00BB12B3"/>
    <w:rsid w:val="00BB1E77"/>
    <w:rsid w:val="00BB208B"/>
    <w:rsid w:val="00BB2603"/>
    <w:rsid w:val="00BB34BD"/>
    <w:rsid w:val="00BB392A"/>
    <w:rsid w:val="00BB4164"/>
    <w:rsid w:val="00BB4FCD"/>
    <w:rsid w:val="00BB5320"/>
    <w:rsid w:val="00BB5EBB"/>
    <w:rsid w:val="00BC04E9"/>
    <w:rsid w:val="00BC0A0C"/>
    <w:rsid w:val="00BC1535"/>
    <w:rsid w:val="00BC1929"/>
    <w:rsid w:val="00BC2258"/>
    <w:rsid w:val="00BC23CB"/>
    <w:rsid w:val="00BC2A85"/>
    <w:rsid w:val="00BC3106"/>
    <w:rsid w:val="00BC33DA"/>
    <w:rsid w:val="00BC3A71"/>
    <w:rsid w:val="00BC4B1D"/>
    <w:rsid w:val="00BC50DE"/>
    <w:rsid w:val="00BC5454"/>
    <w:rsid w:val="00BC5D2A"/>
    <w:rsid w:val="00BC6EBB"/>
    <w:rsid w:val="00BD0F10"/>
    <w:rsid w:val="00BD13EA"/>
    <w:rsid w:val="00BD170B"/>
    <w:rsid w:val="00BD19F6"/>
    <w:rsid w:val="00BD1B4D"/>
    <w:rsid w:val="00BD2358"/>
    <w:rsid w:val="00BD2C62"/>
    <w:rsid w:val="00BD4104"/>
    <w:rsid w:val="00BD481A"/>
    <w:rsid w:val="00BD53E1"/>
    <w:rsid w:val="00BD603A"/>
    <w:rsid w:val="00BD6F46"/>
    <w:rsid w:val="00BD70E0"/>
    <w:rsid w:val="00BD754B"/>
    <w:rsid w:val="00BE02E6"/>
    <w:rsid w:val="00BE130A"/>
    <w:rsid w:val="00BE2CD0"/>
    <w:rsid w:val="00BE3808"/>
    <w:rsid w:val="00BE4644"/>
    <w:rsid w:val="00BE4683"/>
    <w:rsid w:val="00BE50E4"/>
    <w:rsid w:val="00BE518A"/>
    <w:rsid w:val="00BE557A"/>
    <w:rsid w:val="00BE5DA7"/>
    <w:rsid w:val="00BF0598"/>
    <w:rsid w:val="00BF0C5E"/>
    <w:rsid w:val="00BF0DCE"/>
    <w:rsid w:val="00BF0E8C"/>
    <w:rsid w:val="00BF12C1"/>
    <w:rsid w:val="00BF18E2"/>
    <w:rsid w:val="00BF2C3D"/>
    <w:rsid w:val="00BF2EEE"/>
    <w:rsid w:val="00BF3DD7"/>
    <w:rsid w:val="00BF4327"/>
    <w:rsid w:val="00BF43A5"/>
    <w:rsid w:val="00BF4BEC"/>
    <w:rsid w:val="00BF7436"/>
    <w:rsid w:val="00BF7926"/>
    <w:rsid w:val="00C016DA"/>
    <w:rsid w:val="00C02367"/>
    <w:rsid w:val="00C02447"/>
    <w:rsid w:val="00C02972"/>
    <w:rsid w:val="00C031B7"/>
    <w:rsid w:val="00C03B88"/>
    <w:rsid w:val="00C04E79"/>
    <w:rsid w:val="00C05C33"/>
    <w:rsid w:val="00C062E9"/>
    <w:rsid w:val="00C069AA"/>
    <w:rsid w:val="00C072C9"/>
    <w:rsid w:val="00C0799E"/>
    <w:rsid w:val="00C07B64"/>
    <w:rsid w:val="00C10306"/>
    <w:rsid w:val="00C1123A"/>
    <w:rsid w:val="00C120CD"/>
    <w:rsid w:val="00C13721"/>
    <w:rsid w:val="00C13A52"/>
    <w:rsid w:val="00C14FE4"/>
    <w:rsid w:val="00C168D8"/>
    <w:rsid w:val="00C173C9"/>
    <w:rsid w:val="00C1750F"/>
    <w:rsid w:val="00C175D9"/>
    <w:rsid w:val="00C206DD"/>
    <w:rsid w:val="00C20FED"/>
    <w:rsid w:val="00C21CC5"/>
    <w:rsid w:val="00C228D0"/>
    <w:rsid w:val="00C22937"/>
    <w:rsid w:val="00C22D56"/>
    <w:rsid w:val="00C24731"/>
    <w:rsid w:val="00C2530D"/>
    <w:rsid w:val="00C257DE"/>
    <w:rsid w:val="00C26C94"/>
    <w:rsid w:val="00C27165"/>
    <w:rsid w:val="00C27515"/>
    <w:rsid w:val="00C27F2C"/>
    <w:rsid w:val="00C30108"/>
    <w:rsid w:val="00C3066D"/>
    <w:rsid w:val="00C30C3E"/>
    <w:rsid w:val="00C30F23"/>
    <w:rsid w:val="00C31F78"/>
    <w:rsid w:val="00C32178"/>
    <w:rsid w:val="00C321A3"/>
    <w:rsid w:val="00C32C5D"/>
    <w:rsid w:val="00C33EF6"/>
    <w:rsid w:val="00C340E7"/>
    <w:rsid w:val="00C353DB"/>
    <w:rsid w:val="00C354F5"/>
    <w:rsid w:val="00C35A90"/>
    <w:rsid w:val="00C368F7"/>
    <w:rsid w:val="00C36ABA"/>
    <w:rsid w:val="00C36C12"/>
    <w:rsid w:val="00C36D7F"/>
    <w:rsid w:val="00C373A2"/>
    <w:rsid w:val="00C4059A"/>
    <w:rsid w:val="00C4123F"/>
    <w:rsid w:val="00C41401"/>
    <w:rsid w:val="00C41808"/>
    <w:rsid w:val="00C41A37"/>
    <w:rsid w:val="00C41C39"/>
    <w:rsid w:val="00C42A05"/>
    <w:rsid w:val="00C432D4"/>
    <w:rsid w:val="00C45F3C"/>
    <w:rsid w:val="00C467D8"/>
    <w:rsid w:val="00C47194"/>
    <w:rsid w:val="00C471FC"/>
    <w:rsid w:val="00C47867"/>
    <w:rsid w:val="00C4799A"/>
    <w:rsid w:val="00C47E19"/>
    <w:rsid w:val="00C502C1"/>
    <w:rsid w:val="00C50458"/>
    <w:rsid w:val="00C50E2C"/>
    <w:rsid w:val="00C51249"/>
    <w:rsid w:val="00C515D5"/>
    <w:rsid w:val="00C51C37"/>
    <w:rsid w:val="00C52316"/>
    <w:rsid w:val="00C52416"/>
    <w:rsid w:val="00C52748"/>
    <w:rsid w:val="00C52907"/>
    <w:rsid w:val="00C5425A"/>
    <w:rsid w:val="00C543F4"/>
    <w:rsid w:val="00C54B9D"/>
    <w:rsid w:val="00C56020"/>
    <w:rsid w:val="00C56DAD"/>
    <w:rsid w:val="00C576C6"/>
    <w:rsid w:val="00C57B64"/>
    <w:rsid w:val="00C6044A"/>
    <w:rsid w:val="00C60A38"/>
    <w:rsid w:val="00C628BB"/>
    <w:rsid w:val="00C6291C"/>
    <w:rsid w:val="00C62C2E"/>
    <w:rsid w:val="00C62CA4"/>
    <w:rsid w:val="00C62D69"/>
    <w:rsid w:val="00C633CB"/>
    <w:rsid w:val="00C64768"/>
    <w:rsid w:val="00C647B2"/>
    <w:rsid w:val="00C64AF3"/>
    <w:rsid w:val="00C64D51"/>
    <w:rsid w:val="00C6518B"/>
    <w:rsid w:val="00C664CD"/>
    <w:rsid w:val="00C66BC4"/>
    <w:rsid w:val="00C678FA"/>
    <w:rsid w:val="00C7076D"/>
    <w:rsid w:val="00C708C6"/>
    <w:rsid w:val="00C719B0"/>
    <w:rsid w:val="00C72286"/>
    <w:rsid w:val="00C72E7E"/>
    <w:rsid w:val="00C72EF2"/>
    <w:rsid w:val="00C736B7"/>
    <w:rsid w:val="00C73CCE"/>
    <w:rsid w:val="00C779A3"/>
    <w:rsid w:val="00C800F6"/>
    <w:rsid w:val="00C807E7"/>
    <w:rsid w:val="00C81D37"/>
    <w:rsid w:val="00C81D42"/>
    <w:rsid w:val="00C81D4A"/>
    <w:rsid w:val="00C83191"/>
    <w:rsid w:val="00C84FC2"/>
    <w:rsid w:val="00C85DCC"/>
    <w:rsid w:val="00C8759F"/>
    <w:rsid w:val="00C8762C"/>
    <w:rsid w:val="00C87C2B"/>
    <w:rsid w:val="00C87E58"/>
    <w:rsid w:val="00C90617"/>
    <w:rsid w:val="00C90F43"/>
    <w:rsid w:val="00C9369D"/>
    <w:rsid w:val="00C93DF7"/>
    <w:rsid w:val="00C946F8"/>
    <w:rsid w:val="00C94BC6"/>
    <w:rsid w:val="00C94EBD"/>
    <w:rsid w:val="00C951EF"/>
    <w:rsid w:val="00C957F3"/>
    <w:rsid w:val="00C95BBC"/>
    <w:rsid w:val="00C963F4"/>
    <w:rsid w:val="00C965EF"/>
    <w:rsid w:val="00C96809"/>
    <w:rsid w:val="00C96D11"/>
    <w:rsid w:val="00C97540"/>
    <w:rsid w:val="00CA00F9"/>
    <w:rsid w:val="00CA121E"/>
    <w:rsid w:val="00CA2961"/>
    <w:rsid w:val="00CA39F2"/>
    <w:rsid w:val="00CA3EAF"/>
    <w:rsid w:val="00CA44CF"/>
    <w:rsid w:val="00CA487A"/>
    <w:rsid w:val="00CA4B03"/>
    <w:rsid w:val="00CA64E9"/>
    <w:rsid w:val="00CB0209"/>
    <w:rsid w:val="00CB0A07"/>
    <w:rsid w:val="00CB1223"/>
    <w:rsid w:val="00CB14C9"/>
    <w:rsid w:val="00CB26DA"/>
    <w:rsid w:val="00CB4683"/>
    <w:rsid w:val="00CB47F0"/>
    <w:rsid w:val="00CB4F8A"/>
    <w:rsid w:val="00CB50D7"/>
    <w:rsid w:val="00CB7177"/>
    <w:rsid w:val="00CB7A1C"/>
    <w:rsid w:val="00CB7CED"/>
    <w:rsid w:val="00CB7F53"/>
    <w:rsid w:val="00CC0190"/>
    <w:rsid w:val="00CC070F"/>
    <w:rsid w:val="00CC1025"/>
    <w:rsid w:val="00CC1998"/>
    <w:rsid w:val="00CC2B96"/>
    <w:rsid w:val="00CC3F5D"/>
    <w:rsid w:val="00CC4946"/>
    <w:rsid w:val="00CC4A63"/>
    <w:rsid w:val="00CC4B5F"/>
    <w:rsid w:val="00CC64A1"/>
    <w:rsid w:val="00CC6588"/>
    <w:rsid w:val="00CC73EE"/>
    <w:rsid w:val="00CD0833"/>
    <w:rsid w:val="00CD13AE"/>
    <w:rsid w:val="00CD16E9"/>
    <w:rsid w:val="00CD31ED"/>
    <w:rsid w:val="00CD348E"/>
    <w:rsid w:val="00CD449E"/>
    <w:rsid w:val="00CD4758"/>
    <w:rsid w:val="00CD4E2F"/>
    <w:rsid w:val="00CD64BD"/>
    <w:rsid w:val="00CD64F0"/>
    <w:rsid w:val="00CD6E42"/>
    <w:rsid w:val="00CE025D"/>
    <w:rsid w:val="00CE048E"/>
    <w:rsid w:val="00CE0741"/>
    <w:rsid w:val="00CE177B"/>
    <w:rsid w:val="00CE177D"/>
    <w:rsid w:val="00CE22C8"/>
    <w:rsid w:val="00CE3D6E"/>
    <w:rsid w:val="00CE4067"/>
    <w:rsid w:val="00CE44F2"/>
    <w:rsid w:val="00CE4A21"/>
    <w:rsid w:val="00CE4A96"/>
    <w:rsid w:val="00CE4FDA"/>
    <w:rsid w:val="00CE525F"/>
    <w:rsid w:val="00CE5482"/>
    <w:rsid w:val="00CE56E0"/>
    <w:rsid w:val="00CE5943"/>
    <w:rsid w:val="00CE5A0B"/>
    <w:rsid w:val="00CE5B72"/>
    <w:rsid w:val="00CE6826"/>
    <w:rsid w:val="00CE6901"/>
    <w:rsid w:val="00CE7E38"/>
    <w:rsid w:val="00CF0192"/>
    <w:rsid w:val="00CF01EE"/>
    <w:rsid w:val="00CF05CE"/>
    <w:rsid w:val="00CF097F"/>
    <w:rsid w:val="00CF2545"/>
    <w:rsid w:val="00CF275C"/>
    <w:rsid w:val="00CF3B11"/>
    <w:rsid w:val="00CF429D"/>
    <w:rsid w:val="00CF448F"/>
    <w:rsid w:val="00CF4604"/>
    <w:rsid w:val="00CF47F6"/>
    <w:rsid w:val="00CF4B57"/>
    <w:rsid w:val="00CF6C34"/>
    <w:rsid w:val="00CF75D0"/>
    <w:rsid w:val="00CF75EC"/>
    <w:rsid w:val="00CF7A07"/>
    <w:rsid w:val="00D005A6"/>
    <w:rsid w:val="00D019C4"/>
    <w:rsid w:val="00D02E17"/>
    <w:rsid w:val="00D037A5"/>
    <w:rsid w:val="00D04723"/>
    <w:rsid w:val="00D05204"/>
    <w:rsid w:val="00D06B78"/>
    <w:rsid w:val="00D0713D"/>
    <w:rsid w:val="00D104F3"/>
    <w:rsid w:val="00D10A5F"/>
    <w:rsid w:val="00D10A7C"/>
    <w:rsid w:val="00D10F9D"/>
    <w:rsid w:val="00D116F6"/>
    <w:rsid w:val="00D11C2B"/>
    <w:rsid w:val="00D11F35"/>
    <w:rsid w:val="00D12DC9"/>
    <w:rsid w:val="00D1513E"/>
    <w:rsid w:val="00D16E12"/>
    <w:rsid w:val="00D17681"/>
    <w:rsid w:val="00D17B03"/>
    <w:rsid w:val="00D17DED"/>
    <w:rsid w:val="00D20160"/>
    <w:rsid w:val="00D227BC"/>
    <w:rsid w:val="00D23CEF"/>
    <w:rsid w:val="00D24669"/>
    <w:rsid w:val="00D249B5"/>
    <w:rsid w:val="00D250C5"/>
    <w:rsid w:val="00D270A4"/>
    <w:rsid w:val="00D30DFF"/>
    <w:rsid w:val="00D313DE"/>
    <w:rsid w:val="00D316BB"/>
    <w:rsid w:val="00D3187D"/>
    <w:rsid w:val="00D31D52"/>
    <w:rsid w:val="00D31FE9"/>
    <w:rsid w:val="00D32A94"/>
    <w:rsid w:val="00D32AF6"/>
    <w:rsid w:val="00D333A3"/>
    <w:rsid w:val="00D33590"/>
    <w:rsid w:val="00D34E1B"/>
    <w:rsid w:val="00D3558A"/>
    <w:rsid w:val="00D3590C"/>
    <w:rsid w:val="00D363ED"/>
    <w:rsid w:val="00D36A1A"/>
    <w:rsid w:val="00D376BA"/>
    <w:rsid w:val="00D419CE"/>
    <w:rsid w:val="00D42647"/>
    <w:rsid w:val="00D43110"/>
    <w:rsid w:val="00D434A0"/>
    <w:rsid w:val="00D446C2"/>
    <w:rsid w:val="00D44BCD"/>
    <w:rsid w:val="00D44DE2"/>
    <w:rsid w:val="00D45017"/>
    <w:rsid w:val="00D45634"/>
    <w:rsid w:val="00D45768"/>
    <w:rsid w:val="00D46AAC"/>
    <w:rsid w:val="00D47965"/>
    <w:rsid w:val="00D479A9"/>
    <w:rsid w:val="00D47A35"/>
    <w:rsid w:val="00D51445"/>
    <w:rsid w:val="00D51DF9"/>
    <w:rsid w:val="00D51EAA"/>
    <w:rsid w:val="00D528E8"/>
    <w:rsid w:val="00D53000"/>
    <w:rsid w:val="00D53FEA"/>
    <w:rsid w:val="00D54228"/>
    <w:rsid w:val="00D54592"/>
    <w:rsid w:val="00D54EEB"/>
    <w:rsid w:val="00D5568A"/>
    <w:rsid w:val="00D55A08"/>
    <w:rsid w:val="00D56BA7"/>
    <w:rsid w:val="00D579A4"/>
    <w:rsid w:val="00D57AB0"/>
    <w:rsid w:val="00D60235"/>
    <w:rsid w:val="00D60624"/>
    <w:rsid w:val="00D61AA8"/>
    <w:rsid w:val="00D61B11"/>
    <w:rsid w:val="00D61B17"/>
    <w:rsid w:val="00D62E99"/>
    <w:rsid w:val="00D63D47"/>
    <w:rsid w:val="00D63D73"/>
    <w:rsid w:val="00D6420F"/>
    <w:rsid w:val="00D6441C"/>
    <w:rsid w:val="00D64452"/>
    <w:rsid w:val="00D65A4A"/>
    <w:rsid w:val="00D66E1E"/>
    <w:rsid w:val="00D70527"/>
    <w:rsid w:val="00D7058D"/>
    <w:rsid w:val="00D70696"/>
    <w:rsid w:val="00D71AC7"/>
    <w:rsid w:val="00D71F85"/>
    <w:rsid w:val="00D72954"/>
    <w:rsid w:val="00D7336C"/>
    <w:rsid w:val="00D7364E"/>
    <w:rsid w:val="00D73671"/>
    <w:rsid w:val="00D7500E"/>
    <w:rsid w:val="00D75722"/>
    <w:rsid w:val="00D75B4E"/>
    <w:rsid w:val="00D75B7F"/>
    <w:rsid w:val="00D7662D"/>
    <w:rsid w:val="00D8001E"/>
    <w:rsid w:val="00D805D8"/>
    <w:rsid w:val="00D80CF5"/>
    <w:rsid w:val="00D80DB4"/>
    <w:rsid w:val="00D81107"/>
    <w:rsid w:val="00D81ED3"/>
    <w:rsid w:val="00D82681"/>
    <w:rsid w:val="00D82E26"/>
    <w:rsid w:val="00D85062"/>
    <w:rsid w:val="00D8563C"/>
    <w:rsid w:val="00D857CC"/>
    <w:rsid w:val="00D859B3"/>
    <w:rsid w:val="00D85F78"/>
    <w:rsid w:val="00D85F96"/>
    <w:rsid w:val="00D87D81"/>
    <w:rsid w:val="00D90127"/>
    <w:rsid w:val="00D9059D"/>
    <w:rsid w:val="00D91ADD"/>
    <w:rsid w:val="00D91E75"/>
    <w:rsid w:val="00D92070"/>
    <w:rsid w:val="00D92C63"/>
    <w:rsid w:val="00D93480"/>
    <w:rsid w:val="00D939AA"/>
    <w:rsid w:val="00D93CAB"/>
    <w:rsid w:val="00D95DA6"/>
    <w:rsid w:val="00D96159"/>
    <w:rsid w:val="00D96379"/>
    <w:rsid w:val="00D96622"/>
    <w:rsid w:val="00D976B1"/>
    <w:rsid w:val="00DA0441"/>
    <w:rsid w:val="00DA04C8"/>
    <w:rsid w:val="00DA1001"/>
    <w:rsid w:val="00DA4ECC"/>
    <w:rsid w:val="00DA58B4"/>
    <w:rsid w:val="00DA58ED"/>
    <w:rsid w:val="00DA5BBA"/>
    <w:rsid w:val="00DA5DAB"/>
    <w:rsid w:val="00DA62AB"/>
    <w:rsid w:val="00DA65D0"/>
    <w:rsid w:val="00DA69DE"/>
    <w:rsid w:val="00DB0702"/>
    <w:rsid w:val="00DB1EB8"/>
    <w:rsid w:val="00DB21B2"/>
    <w:rsid w:val="00DB2319"/>
    <w:rsid w:val="00DB26D2"/>
    <w:rsid w:val="00DB288C"/>
    <w:rsid w:val="00DB42B2"/>
    <w:rsid w:val="00DB6296"/>
    <w:rsid w:val="00DB67C9"/>
    <w:rsid w:val="00DB7220"/>
    <w:rsid w:val="00DB7AEE"/>
    <w:rsid w:val="00DC0C95"/>
    <w:rsid w:val="00DC0CA6"/>
    <w:rsid w:val="00DC1C1D"/>
    <w:rsid w:val="00DC1DB3"/>
    <w:rsid w:val="00DC28E7"/>
    <w:rsid w:val="00DC2C48"/>
    <w:rsid w:val="00DC3728"/>
    <w:rsid w:val="00DC41B6"/>
    <w:rsid w:val="00DC46E8"/>
    <w:rsid w:val="00DC4F0B"/>
    <w:rsid w:val="00DC549E"/>
    <w:rsid w:val="00DC6201"/>
    <w:rsid w:val="00DC6923"/>
    <w:rsid w:val="00DC6A44"/>
    <w:rsid w:val="00DC6FFE"/>
    <w:rsid w:val="00DD05F9"/>
    <w:rsid w:val="00DD1105"/>
    <w:rsid w:val="00DD20EA"/>
    <w:rsid w:val="00DD2208"/>
    <w:rsid w:val="00DD283C"/>
    <w:rsid w:val="00DD2983"/>
    <w:rsid w:val="00DD4874"/>
    <w:rsid w:val="00DD52CF"/>
    <w:rsid w:val="00DD5BDB"/>
    <w:rsid w:val="00DD5E3F"/>
    <w:rsid w:val="00DD5FAC"/>
    <w:rsid w:val="00DD62E7"/>
    <w:rsid w:val="00DD6476"/>
    <w:rsid w:val="00DD6580"/>
    <w:rsid w:val="00DD65A2"/>
    <w:rsid w:val="00DD6F7C"/>
    <w:rsid w:val="00DD7235"/>
    <w:rsid w:val="00DD7EFF"/>
    <w:rsid w:val="00DD7F0A"/>
    <w:rsid w:val="00DE0488"/>
    <w:rsid w:val="00DE0ACF"/>
    <w:rsid w:val="00DE1774"/>
    <w:rsid w:val="00DE35E2"/>
    <w:rsid w:val="00DE381E"/>
    <w:rsid w:val="00DE3894"/>
    <w:rsid w:val="00DE3CBB"/>
    <w:rsid w:val="00DE45B5"/>
    <w:rsid w:val="00DE49D7"/>
    <w:rsid w:val="00DE4E6B"/>
    <w:rsid w:val="00DE4FA3"/>
    <w:rsid w:val="00DE6090"/>
    <w:rsid w:val="00DE61D8"/>
    <w:rsid w:val="00DE6405"/>
    <w:rsid w:val="00DE6BE3"/>
    <w:rsid w:val="00DE703B"/>
    <w:rsid w:val="00DE7476"/>
    <w:rsid w:val="00DE74AC"/>
    <w:rsid w:val="00DE7AA0"/>
    <w:rsid w:val="00DE7BA6"/>
    <w:rsid w:val="00DF0A97"/>
    <w:rsid w:val="00DF0E21"/>
    <w:rsid w:val="00DF13D8"/>
    <w:rsid w:val="00DF172B"/>
    <w:rsid w:val="00DF1A4B"/>
    <w:rsid w:val="00DF1BDD"/>
    <w:rsid w:val="00DF1EED"/>
    <w:rsid w:val="00DF205A"/>
    <w:rsid w:val="00DF242D"/>
    <w:rsid w:val="00DF2CB3"/>
    <w:rsid w:val="00DF48F2"/>
    <w:rsid w:val="00DF57F8"/>
    <w:rsid w:val="00DF6200"/>
    <w:rsid w:val="00DF6DCC"/>
    <w:rsid w:val="00DF775B"/>
    <w:rsid w:val="00DF7C9C"/>
    <w:rsid w:val="00E00721"/>
    <w:rsid w:val="00E00797"/>
    <w:rsid w:val="00E01D7F"/>
    <w:rsid w:val="00E02E14"/>
    <w:rsid w:val="00E03292"/>
    <w:rsid w:val="00E03588"/>
    <w:rsid w:val="00E035C9"/>
    <w:rsid w:val="00E037F8"/>
    <w:rsid w:val="00E04375"/>
    <w:rsid w:val="00E05C03"/>
    <w:rsid w:val="00E06166"/>
    <w:rsid w:val="00E06B36"/>
    <w:rsid w:val="00E06F30"/>
    <w:rsid w:val="00E0747B"/>
    <w:rsid w:val="00E078BF"/>
    <w:rsid w:val="00E07A11"/>
    <w:rsid w:val="00E07ABF"/>
    <w:rsid w:val="00E10CF1"/>
    <w:rsid w:val="00E117AD"/>
    <w:rsid w:val="00E1197F"/>
    <w:rsid w:val="00E11AD5"/>
    <w:rsid w:val="00E137F2"/>
    <w:rsid w:val="00E140E8"/>
    <w:rsid w:val="00E149FF"/>
    <w:rsid w:val="00E15463"/>
    <w:rsid w:val="00E1687A"/>
    <w:rsid w:val="00E170EE"/>
    <w:rsid w:val="00E17AD6"/>
    <w:rsid w:val="00E17C72"/>
    <w:rsid w:val="00E17FCF"/>
    <w:rsid w:val="00E20C9C"/>
    <w:rsid w:val="00E21013"/>
    <w:rsid w:val="00E2172D"/>
    <w:rsid w:val="00E21FC6"/>
    <w:rsid w:val="00E22F2E"/>
    <w:rsid w:val="00E23581"/>
    <w:rsid w:val="00E2364F"/>
    <w:rsid w:val="00E23AA4"/>
    <w:rsid w:val="00E23C02"/>
    <w:rsid w:val="00E2442C"/>
    <w:rsid w:val="00E24E15"/>
    <w:rsid w:val="00E252E4"/>
    <w:rsid w:val="00E25826"/>
    <w:rsid w:val="00E25890"/>
    <w:rsid w:val="00E27161"/>
    <w:rsid w:val="00E30029"/>
    <w:rsid w:val="00E302AF"/>
    <w:rsid w:val="00E305E4"/>
    <w:rsid w:val="00E31B3E"/>
    <w:rsid w:val="00E31EAE"/>
    <w:rsid w:val="00E3205A"/>
    <w:rsid w:val="00E32399"/>
    <w:rsid w:val="00E3457C"/>
    <w:rsid w:val="00E34893"/>
    <w:rsid w:val="00E34937"/>
    <w:rsid w:val="00E34A90"/>
    <w:rsid w:val="00E35764"/>
    <w:rsid w:val="00E36E18"/>
    <w:rsid w:val="00E379D0"/>
    <w:rsid w:val="00E37F12"/>
    <w:rsid w:val="00E4080C"/>
    <w:rsid w:val="00E42A62"/>
    <w:rsid w:val="00E431A9"/>
    <w:rsid w:val="00E43A2F"/>
    <w:rsid w:val="00E43EA5"/>
    <w:rsid w:val="00E454B0"/>
    <w:rsid w:val="00E4611A"/>
    <w:rsid w:val="00E463C9"/>
    <w:rsid w:val="00E47B52"/>
    <w:rsid w:val="00E47E1E"/>
    <w:rsid w:val="00E47E43"/>
    <w:rsid w:val="00E50DD3"/>
    <w:rsid w:val="00E52725"/>
    <w:rsid w:val="00E5286C"/>
    <w:rsid w:val="00E5321E"/>
    <w:rsid w:val="00E53485"/>
    <w:rsid w:val="00E53488"/>
    <w:rsid w:val="00E53A1B"/>
    <w:rsid w:val="00E54311"/>
    <w:rsid w:val="00E55103"/>
    <w:rsid w:val="00E55300"/>
    <w:rsid w:val="00E55D47"/>
    <w:rsid w:val="00E5686C"/>
    <w:rsid w:val="00E60357"/>
    <w:rsid w:val="00E60585"/>
    <w:rsid w:val="00E6101F"/>
    <w:rsid w:val="00E61897"/>
    <w:rsid w:val="00E6397B"/>
    <w:rsid w:val="00E651C1"/>
    <w:rsid w:val="00E669E2"/>
    <w:rsid w:val="00E66A63"/>
    <w:rsid w:val="00E67841"/>
    <w:rsid w:val="00E70204"/>
    <w:rsid w:val="00E702E6"/>
    <w:rsid w:val="00E70943"/>
    <w:rsid w:val="00E72369"/>
    <w:rsid w:val="00E7467F"/>
    <w:rsid w:val="00E75925"/>
    <w:rsid w:val="00E76135"/>
    <w:rsid w:val="00E76A5A"/>
    <w:rsid w:val="00E76AAD"/>
    <w:rsid w:val="00E76B5F"/>
    <w:rsid w:val="00E77EB9"/>
    <w:rsid w:val="00E801E7"/>
    <w:rsid w:val="00E80253"/>
    <w:rsid w:val="00E805B1"/>
    <w:rsid w:val="00E80A7C"/>
    <w:rsid w:val="00E81161"/>
    <w:rsid w:val="00E81654"/>
    <w:rsid w:val="00E81896"/>
    <w:rsid w:val="00E82845"/>
    <w:rsid w:val="00E82A46"/>
    <w:rsid w:val="00E82F4F"/>
    <w:rsid w:val="00E83D74"/>
    <w:rsid w:val="00E8403E"/>
    <w:rsid w:val="00E84189"/>
    <w:rsid w:val="00E84D0E"/>
    <w:rsid w:val="00E8576A"/>
    <w:rsid w:val="00E85A2F"/>
    <w:rsid w:val="00E864DF"/>
    <w:rsid w:val="00E8757A"/>
    <w:rsid w:val="00E90161"/>
    <w:rsid w:val="00E90ADB"/>
    <w:rsid w:val="00E90D83"/>
    <w:rsid w:val="00E912E9"/>
    <w:rsid w:val="00E92494"/>
    <w:rsid w:val="00E935B8"/>
    <w:rsid w:val="00E937E9"/>
    <w:rsid w:val="00E93FBA"/>
    <w:rsid w:val="00E956D7"/>
    <w:rsid w:val="00E95BED"/>
    <w:rsid w:val="00E961A1"/>
    <w:rsid w:val="00E96878"/>
    <w:rsid w:val="00E972DA"/>
    <w:rsid w:val="00E9778C"/>
    <w:rsid w:val="00E97FD8"/>
    <w:rsid w:val="00EA0052"/>
    <w:rsid w:val="00EA0174"/>
    <w:rsid w:val="00EA0D54"/>
    <w:rsid w:val="00EA10D7"/>
    <w:rsid w:val="00EA19D9"/>
    <w:rsid w:val="00EA1CD9"/>
    <w:rsid w:val="00EA3C3E"/>
    <w:rsid w:val="00EA3DD7"/>
    <w:rsid w:val="00EA458E"/>
    <w:rsid w:val="00EA4D33"/>
    <w:rsid w:val="00EA5266"/>
    <w:rsid w:val="00EA569C"/>
    <w:rsid w:val="00EA6BB1"/>
    <w:rsid w:val="00EA7E44"/>
    <w:rsid w:val="00EB0E9E"/>
    <w:rsid w:val="00EB1B0A"/>
    <w:rsid w:val="00EB1DB1"/>
    <w:rsid w:val="00EB225C"/>
    <w:rsid w:val="00EB2CC3"/>
    <w:rsid w:val="00EB35A8"/>
    <w:rsid w:val="00EB4585"/>
    <w:rsid w:val="00EB6DED"/>
    <w:rsid w:val="00EB777F"/>
    <w:rsid w:val="00EB7A36"/>
    <w:rsid w:val="00EC05B2"/>
    <w:rsid w:val="00EC05DF"/>
    <w:rsid w:val="00EC08C8"/>
    <w:rsid w:val="00EC08F9"/>
    <w:rsid w:val="00EC2844"/>
    <w:rsid w:val="00EC3306"/>
    <w:rsid w:val="00EC4583"/>
    <w:rsid w:val="00EC4A8B"/>
    <w:rsid w:val="00EC52B4"/>
    <w:rsid w:val="00EC5500"/>
    <w:rsid w:val="00EC59A2"/>
    <w:rsid w:val="00EC6C73"/>
    <w:rsid w:val="00EC7133"/>
    <w:rsid w:val="00ED18F8"/>
    <w:rsid w:val="00ED240F"/>
    <w:rsid w:val="00ED2F13"/>
    <w:rsid w:val="00ED4EC1"/>
    <w:rsid w:val="00ED67CC"/>
    <w:rsid w:val="00EE0E93"/>
    <w:rsid w:val="00EE156A"/>
    <w:rsid w:val="00EE167E"/>
    <w:rsid w:val="00EE246E"/>
    <w:rsid w:val="00EE2645"/>
    <w:rsid w:val="00EE30FA"/>
    <w:rsid w:val="00EE3267"/>
    <w:rsid w:val="00EE3B55"/>
    <w:rsid w:val="00EE452C"/>
    <w:rsid w:val="00EE51FE"/>
    <w:rsid w:val="00EE66D9"/>
    <w:rsid w:val="00EE6C8E"/>
    <w:rsid w:val="00EE6EDA"/>
    <w:rsid w:val="00EE6EE2"/>
    <w:rsid w:val="00EE7375"/>
    <w:rsid w:val="00EE778E"/>
    <w:rsid w:val="00EF1000"/>
    <w:rsid w:val="00EF15B2"/>
    <w:rsid w:val="00EF3124"/>
    <w:rsid w:val="00EF32E0"/>
    <w:rsid w:val="00EF3746"/>
    <w:rsid w:val="00EF3E38"/>
    <w:rsid w:val="00EF4146"/>
    <w:rsid w:val="00EF4B4E"/>
    <w:rsid w:val="00EF55A1"/>
    <w:rsid w:val="00EF6719"/>
    <w:rsid w:val="00EF67BB"/>
    <w:rsid w:val="00EF6C6C"/>
    <w:rsid w:val="00EF6CCA"/>
    <w:rsid w:val="00EF78B3"/>
    <w:rsid w:val="00F001EC"/>
    <w:rsid w:val="00F00FAA"/>
    <w:rsid w:val="00F01E0A"/>
    <w:rsid w:val="00F022B4"/>
    <w:rsid w:val="00F02810"/>
    <w:rsid w:val="00F02EAB"/>
    <w:rsid w:val="00F03BE4"/>
    <w:rsid w:val="00F04B79"/>
    <w:rsid w:val="00F056FC"/>
    <w:rsid w:val="00F06186"/>
    <w:rsid w:val="00F0632F"/>
    <w:rsid w:val="00F0671E"/>
    <w:rsid w:val="00F06775"/>
    <w:rsid w:val="00F069AE"/>
    <w:rsid w:val="00F070A4"/>
    <w:rsid w:val="00F07D94"/>
    <w:rsid w:val="00F10363"/>
    <w:rsid w:val="00F10476"/>
    <w:rsid w:val="00F10795"/>
    <w:rsid w:val="00F11DCA"/>
    <w:rsid w:val="00F12274"/>
    <w:rsid w:val="00F127FC"/>
    <w:rsid w:val="00F135D8"/>
    <w:rsid w:val="00F13711"/>
    <w:rsid w:val="00F13ECE"/>
    <w:rsid w:val="00F142D6"/>
    <w:rsid w:val="00F1430E"/>
    <w:rsid w:val="00F15D92"/>
    <w:rsid w:val="00F15F5D"/>
    <w:rsid w:val="00F17C53"/>
    <w:rsid w:val="00F20E8B"/>
    <w:rsid w:val="00F21A4F"/>
    <w:rsid w:val="00F23559"/>
    <w:rsid w:val="00F23560"/>
    <w:rsid w:val="00F23FF3"/>
    <w:rsid w:val="00F24A2C"/>
    <w:rsid w:val="00F251EC"/>
    <w:rsid w:val="00F25932"/>
    <w:rsid w:val="00F25F05"/>
    <w:rsid w:val="00F27DAA"/>
    <w:rsid w:val="00F31299"/>
    <w:rsid w:val="00F31613"/>
    <w:rsid w:val="00F339AF"/>
    <w:rsid w:val="00F3404D"/>
    <w:rsid w:val="00F34B11"/>
    <w:rsid w:val="00F34FAB"/>
    <w:rsid w:val="00F3527E"/>
    <w:rsid w:val="00F3534A"/>
    <w:rsid w:val="00F35501"/>
    <w:rsid w:val="00F35BFB"/>
    <w:rsid w:val="00F3631B"/>
    <w:rsid w:val="00F36762"/>
    <w:rsid w:val="00F36ACC"/>
    <w:rsid w:val="00F37736"/>
    <w:rsid w:val="00F379A9"/>
    <w:rsid w:val="00F37F73"/>
    <w:rsid w:val="00F40608"/>
    <w:rsid w:val="00F40E12"/>
    <w:rsid w:val="00F41447"/>
    <w:rsid w:val="00F420B1"/>
    <w:rsid w:val="00F44687"/>
    <w:rsid w:val="00F44FFD"/>
    <w:rsid w:val="00F459C3"/>
    <w:rsid w:val="00F46668"/>
    <w:rsid w:val="00F46966"/>
    <w:rsid w:val="00F46A18"/>
    <w:rsid w:val="00F47640"/>
    <w:rsid w:val="00F47680"/>
    <w:rsid w:val="00F476B8"/>
    <w:rsid w:val="00F50606"/>
    <w:rsid w:val="00F51609"/>
    <w:rsid w:val="00F518B2"/>
    <w:rsid w:val="00F51B10"/>
    <w:rsid w:val="00F51BA7"/>
    <w:rsid w:val="00F5261C"/>
    <w:rsid w:val="00F527A4"/>
    <w:rsid w:val="00F528A0"/>
    <w:rsid w:val="00F5401E"/>
    <w:rsid w:val="00F540DC"/>
    <w:rsid w:val="00F54256"/>
    <w:rsid w:val="00F54465"/>
    <w:rsid w:val="00F545DF"/>
    <w:rsid w:val="00F54737"/>
    <w:rsid w:val="00F5476C"/>
    <w:rsid w:val="00F54F11"/>
    <w:rsid w:val="00F557F7"/>
    <w:rsid w:val="00F55C25"/>
    <w:rsid w:val="00F56593"/>
    <w:rsid w:val="00F57E4F"/>
    <w:rsid w:val="00F57EC0"/>
    <w:rsid w:val="00F604EE"/>
    <w:rsid w:val="00F61A6E"/>
    <w:rsid w:val="00F62D47"/>
    <w:rsid w:val="00F63D3D"/>
    <w:rsid w:val="00F64FE9"/>
    <w:rsid w:val="00F6557C"/>
    <w:rsid w:val="00F65A40"/>
    <w:rsid w:val="00F65EBE"/>
    <w:rsid w:val="00F66124"/>
    <w:rsid w:val="00F66E47"/>
    <w:rsid w:val="00F67538"/>
    <w:rsid w:val="00F67B01"/>
    <w:rsid w:val="00F721AA"/>
    <w:rsid w:val="00F73727"/>
    <w:rsid w:val="00F73C4B"/>
    <w:rsid w:val="00F74850"/>
    <w:rsid w:val="00F74E63"/>
    <w:rsid w:val="00F75941"/>
    <w:rsid w:val="00F76342"/>
    <w:rsid w:val="00F766A7"/>
    <w:rsid w:val="00F775D7"/>
    <w:rsid w:val="00F81006"/>
    <w:rsid w:val="00F825C4"/>
    <w:rsid w:val="00F82FC1"/>
    <w:rsid w:val="00F83311"/>
    <w:rsid w:val="00F835BF"/>
    <w:rsid w:val="00F83F6E"/>
    <w:rsid w:val="00F84C35"/>
    <w:rsid w:val="00F85325"/>
    <w:rsid w:val="00F85452"/>
    <w:rsid w:val="00F85D64"/>
    <w:rsid w:val="00F868DB"/>
    <w:rsid w:val="00F871EE"/>
    <w:rsid w:val="00F906BC"/>
    <w:rsid w:val="00F90BCB"/>
    <w:rsid w:val="00F90F07"/>
    <w:rsid w:val="00F91C8C"/>
    <w:rsid w:val="00F91D2D"/>
    <w:rsid w:val="00F920AF"/>
    <w:rsid w:val="00F92C4C"/>
    <w:rsid w:val="00F92F15"/>
    <w:rsid w:val="00F93D93"/>
    <w:rsid w:val="00F93FDE"/>
    <w:rsid w:val="00F94906"/>
    <w:rsid w:val="00F96813"/>
    <w:rsid w:val="00F96F44"/>
    <w:rsid w:val="00F96FEC"/>
    <w:rsid w:val="00F971DB"/>
    <w:rsid w:val="00FA05AE"/>
    <w:rsid w:val="00FA05B4"/>
    <w:rsid w:val="00FA0A3F"/>
    <w:rsid w:val="00FA14B0"/>
    <w:rsid w:val="00FA1838"/>
    <w:rsid w:val="00FA1DAC"/>
    <w:rsid w:val="00FA1FE2"/>
    <w:rsid w:val="00FA243B"/>
    <w:rsid w:val="00FA250C"/>
    <w:rsid w:val="00FA2B80"/>
    <w:rsid w:val="00FA2F30"/>
    <w:rsid w:val="00FA34B2"/>
    <w:rsid w:val="00FA3E40"/>
    <w:rsid w:val="00FA3F15"/>
    <w:rsid w:val="00FA4698"/>
    <w:rsid w:val="00FA4B6F"/>
    <w:rsid w:val="00FA4FF9"/>
    <w:rsid w:val="00FA5286"/>
    <w:rsid w:val="00FA56EE"/>
    <w:rsid w:val="00FA59E6"/>
    <w:rsid w:val="00FA5D0A"/>
    <w:rsid w:val="00FA694D"/>
    <w:rsid w:val="00FA7888"/>
    <w:rsid w:val="00FB0015"/>
    <w:rsid w:val="00FB05A7"/>
    <w:rsid w:val="00FB05B2"/>
    <w:rsid w:val="00FB1F74"/>
    <w:rsid w:val="00FB2FB9"/>
    <w:rsid w:val="00FB36E2"/>
    <w:rsid w:val="00FB383D"/>
    <w:rsid w:val="00FB3CD7"/>
    <w:rsid w:val="00FB4AE3"/>
    <w:rsid w:val="00FB50C7"/>
    <w:rsid w:val="00FB5CC2"/>
    <w:rsid w:val="00FB5F47"/>
    <w:rsid w:val="00FB6931"/>
    <w:rsid w:val="00FB7177"/>
    <w:rsid w:val="00FC0387"/>
    <w:rsid w:val="00FC18C5"/>
    <w:rsid w:val="00FC37F7"/>
    <w:rsid w:val="00FC38F4"/>
    <w:rsid w:val="00FC57BF"/>
    <w:rsid w:val="00FC65E1"/>
    <w:rsid w:val="00FC66E5"/>
    <w:rsid w:val="00FC682A"/>
    <w:rsid w:val="00FC6F07"/>
    <w:rsid w:val="00FC71D1"/>
    <w:rsid w:val="00FC7888"/>
    <w:rsid w:val="00FC7DA0"/>
    <w:rsid w:val="00FC7DDB"/>
    <w:rsid w:val="00FD10C1"/>
    <w:rsid w:val="00FD1990"/>
    <w:rsid w:val="00FD1DD1"/>
    <w:rsid w:val="00FD22B1"/>
    <w:rsid w:val="00FD27CA"/>
    <w:rsid w:val="00FD33F1"/>
    <w:rsid w:val="00FD3566"/>
    <w:rsid w:val="00FD4240"/>
    <w:rsid w:val="00FD4BE2"/>
    <w:rsid w:val="00FD5006"/>
    <w:rsid w:val="00FD5622"/>
    <w:rsid w:val="00FD5E87"/>
    <w:rsid w:val="00FD678D"/>
    <w:rsid w:val="00FD78EB"/>
    <w:rsid w:val="00FD7EF0"/>
    <w:rsid w:val="00FE0828"/>
    <w:rsid w:val="00FE0F28"/>
    <w:rsid w:val="00FE10CC"/>
    <w:rsid w:val="00FE14FD"/>
    <w:rsid w:val="00FE1585"/>
    <w:rsid w:val="00FE1773"/>
    <w:rsid w:val="00FE2C6C"/>
    <w:rsid w:val="00FE3C71"/>
    <w:rsid w:val="00FE5397"/>
    <w:rsid w:val="00FE54F3"/>
    <w:rsid w:val="00FE5BD1"/>
    <w:rsid w:val="00FE5BDD"/>
    <w:rsid w:val="00FE750D"/>
    <w:rsid w:val="00FE772B"/>
    <w:rsid w:val="00FE7956"/>
    <w:rsid w:val="00FF0229"/>
    <w:rsid w:val="00FF0B79"/>
    <w:rsid w:val="00FF1062"/>
    <w:rsid w:val="00FF21BF"/>
    <w:rsid w:val="00FF21E3"/>
    <w:rsid w:val="00FF22A6"/>
    <w:rsid w:val="00FF2415"/>
    <w:rsid w:val="00FF28C4"/>
    <w:rsid w:val="00FF5337"/>
    <w:rsid w:val="00FF7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4D6A1D-9852-425E-9484-4309C103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5D12"/>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styleId="CommentSubject">
    <w:name w:val="annotation subject"/>
    <w:basedOn w:val="CommentText"/>
    <w:next w:val="CommentText"/>
    <w:link w:val="CommentSubjectChar"/>
    <w:semiHidden/>
    <w:unhideWhenUsed/>
    <w:rsid w:val="00BC33D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C33DA"/>
    <w:rPr>
      <w:szCs w:val="24"/>
    </w:rPr>
  </w:style>
  <w:style w:type="character" w:customStyle="1" w:styleId="CommentSubjectChar">
    <w:name w:val="Comment Subject Char"/>
    <w:basedOn w:val="CommentTextChar"/>
    <w:link w:val="CommentSubject"/>
    <w:semiHidden/>
    <w:rsid w:val="00BC33DA"/>
    <w:rPr>
      <w:b/>
      <w:bCs/>
      <w:szCs w:val="24"/>
    </w:rPr>
  </w:style>
  <w:style w:type="paragraph" w:customStyle="1" w:styleId="psection-1">
    <w:name w:val="psection-1"/>
    <w:basedOn w:val="Normal"/>
    <w:rsid w:val="00B05D12"/>
    <w:pPr>
      <w:spacing w:before="100" w:beforeAutospacing="1" w:after="100" w:afterAutospacing="1"/>
    </w:pPr>
  </w:style>
  <w:style w:type="character" w:customStyle="1" w:styleId="enumxml">
    <w:name w:val="enumxml"/>
    <w:basedOn w:val="DefaultParagraphFont"/>
    <w:rsid w:val="00B05D12"/>
  </w:style>
  <w:style w:type="character" w:styleId="FollowedHyperlink">
    <w:name w:val="FollowedHyperlink"/>
    <w:basedOn w:val="DefaultParagraphFont"/>
    <w:semiHidden/>
    <w:unhideWhenUsed/>
    <w:rsid w:val="00B05D12"/>
    <w:rPr>
      <w:color w:val="BFBFBF" w:themeColor="followedHyperlink"/>
      <w:u w:val="single"/>
    </w:rPr>
  </w:style>
  <w:style w:type="paragraph" w:styleId="Revision">
    <w:name w:val="Revision"/>
    <w:hidden/>
    <w:uiPriority w:val="99"/>
    <w:semiHidden/>
    <w:rsid w:val="00E06B36"/>
    <w:rPr>
      <w:sz w:val="24"/>
      <w:szCs w:val="24"/>
    </w:rPr>
  </w:style>
  <w:style w:type="paragraph" w:customStyle="1" w:styleId="BoxSpaceAboveElement">
    <w:name w:val="Box Space Above Element"/>
    <w:basedOn w:val="BoxSpaceAbove"/>
    <w:link w:val="BoxSpaceAboveElementChar"/>
    <w:qFormat/>
    <w:rsid w:val="004C5E1B"/>
    <w:pPr>
      <w:spacing w:before="240"/>
    </w:pPr>
    <w:rPr>
      <w:b/>
      <w:vanish/>
      <w:color w:val="FF00FF"/>
      <w:sz w:val="14"/>
    </w:rPr>
  </w:style>
  <w:style w:type="character" w:customStyle="1" w:styleId="BoxSpaceAboveElementChar">
    <w:name w:val="Box Space Above Element Char"/>
    <w:basedOn w:val="DefaultParagraphFont"/>
    <w:link w:val="BoxSpaceAboveElement"/>
    <w:rsid w:val="004C5E1B"/>
    <w:rPr>
      <w:b/>
      <w:vanish/>
      <w:color w:val="FF00FF"/>
      <w:sz w:val="14"/>
    </w:rPr>
  </w:style>
  <w:style w:type="paragraph" w:customStyle="1" w:styleId="formattedparas">
    <w:name w:val="formatted paras"/>
    <w:basedOn w:val="Normal"/>
    <w:rsid w:val="002C13D4"/>
    <w:pPr>
      <w:spacing w:after="140" w:line="300" w:lineRule="atLeast"/>
      <w:jc w:val="both"/>
    </w:pPr>
    <w:rPr>
      <w:sz w:val="26"/>
      <w:szCs w:val="20"/>
    </w:rPr>
  </w:style>
  <w:style w:type="character" w:styleId="HTMLCite">
    <w:name w:val="HTML Cite"/>
    <w:basedOn w:val="DefaultParagraphFont"/>
    <w:uiPriority w:val="99"/>
    <w:semiHidden/>
    <w:unhideWhenUsed/>
    <w:rsid w:val="0005768E"/>
    <w:rPr>
      <w:i/>
      <w:iCs/>
    </w:rPr>
  </w:style>
  <w:style w:type="paragraph" w:styleId="NormalWeb">
    <w:name w:val="Normal (Web)"/>
    <w:basedOn w:val="Normal"/>
    <w:uiPriority w:val="99"/>
    <w:semiHidden/>
    <w:unhideWhenUsed/>
    <w:rsid w:val="0005768E"/>
    <w:pPr>
      <w:spacing w:before="100" w:beforeAutospacing="1" w:after="100" w:afterAutospacing="1"/>
    </w:pPr>
  </w:style>
  <w:style w:type="character" w:styleId="Strong">
    <w:name w:val="Strong"/>
    <w:basedOn w:val="DefaultParagraphFont"/>
    <w:uiPriority w:val="22"/>
    <w:qFormat/>
    <w:rsid w:val="0005768E"/>
    <w:rPr>
      <w:b/>
      <w:bCs/>
    </w:rPr>
  </w:style>
  <w:style w:type="paragraph" w:customStyle="1" w:styleId="Heading1NotTOC">
    <w:name w:val="Heading 1 Not TOC"/>
    <w:basedOn w:val="Heading1"/>
    <w:next w:val="BodyText"/>
    <w:rsid w:val="00C6518B"/>
    <w:rPr>
      <w:kern w:val="28"/>
      <w:szCs w:val="26"/>
      <w:lang w:eastAsia="en-US"/>
    </w:rPr>
  </w:style>
  <w:style w:type="paragraph" w:styleId="Bibliography">
    <w:name w:val="Bibliography"/>
    <w:basedOn w:val="Normal"/>
    <w:next w:val="Normal"/>
    <w:uiPriority w:val="37"/>
    <w:unhideWhenUsed/>
    <w:rsid w:val="007D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6430">
      <w:bodyDiv w:val="1"/>
      <w:marLeft w:val="0"/>
      <w:marRight w:val="0"/>
      <w:marTop w:val="0"/>
      <w:marBottom w:val="0"/>
      <w:divBdr>
        <w:top w:val="none" w:sz="0" w:space="0" w:color="auto"/>
        <w:left w:val="none" w:sz="0" w:space="0" w:color="auto"/>
        <w:bottom w:val="none" w:sz="0" w:space="0" w:color="auto"/>
        <w:right w:val="none" w:sz="0" w:space="0" w:color="auto"/>
      </w:divBdr>
    </w:div>
    <w:div w:id="631129572">
      <w:bodyDiv w:val="1"/>
      <w:marLeft w:val="0"/>
      <w:marRight w:val="0"/>
      <w:marTop w:val="0"/>
      <w:marBottom w:val="0"/>
      <w:divBdr>
        <w:top w:val="none" w:sz="0" w:space="0" w:color="auto"/>
        <w:left w:val="none" w:sz="0" w:space="0" w:color="auto"/>
        <w:bottom w:val="none" w:sz="0" w:space="0" w:color="auto"/>
        <w:right w:val="none" w:sz="0" w:space="0" w:color="auto"/>
      </w:divBdr>
    </w:div>
    <w:div w:id="668026760">
      <w:bodyDiv w:val="1"/>
      <w:marLeft w:val="0"/>
      <w:marRight w:val="0"/>
      <w:marTop w:val="0"/>
      <w:marBottom w:val="0"/>
      <w:divBdr>
        <w:top w:val="none" w:sz="0" w:space="0" w:color="auto"/>
        <w:left w:val="none" w:sz="0" w:space="0" w:color="auto"/>
        <w:bottom w:val="none" w:sz="0" w:space="0" w:color="auto"/>
        <w:right w:val="none" w:sz="0" w:space="0" w:color="auto"/>
      </w:divBdr>
    </w:div>
    <w:div w:id="715007053">
      <w:bodyDiv w:val="1"/>
      <w:marLeft w:val="0"/>
      <w:marRight w:val="0"/>
      <w:marTop w:val="0"/>
      <w:marBottom w:val="0"/>
      <w:divBdr>
        <w:top w:val="none" w:sz="0" w:space="0" w:color="auto"/>
        <w:left w:val="none" w:sz="0" w:space="0" w:color="auto"/>
        <w:bottom w:val="none" w:sz="0" w:space="0" w:color="auto"/>
        <w:right w:val="none" w:sz="0" w:space="0" w:color="auto"/>
      </w:divBdr>
    </w:div>
    <w:div w:id="771825167">
      <w:bodyDiv w:val="1"/>
      <w:marLeft w:val="0"/>
      <w:marRight w:val="0"/>
      <w:marTop w:val="0"/>
      <w:marBottom w:val="0"/>
      <w:divBdr>
        <w:top w:val="none" w:sz="0" w:space="0" w:color="auto"/>
        <w:left w:val="none" w:sz="0" w:space="0" w:color="auto"/>
        <w:bottom w:val="none" w:sz="0" w:space="0" w:color="auto"/>
        <w:right w:val="none" w:sz="0" w:space="0" w:color="auto"/>
      </w:divBdr>
    </w:div>
    <w:div w:id="779568458">
      <w:bodyDiv w:val="1"/>
      <w:marLeft w:val="0"/>
      <w:marRight w:val="0"/>
      <w:marTop w:val="0"/>
      <w:marBottom w:val="0"/>
      <w:divBdr>
        <w:top w:val="none" w:sz="0" w:space="0" w:color="auto"/>
        <w:left w:val="none" w:sz="0" w:space="0" w:color="auto"/>
        <w:bottom w:val="none" w:sz="0" w:space="0" w:color="auto"/>
        <w:right w:val="none" w:sz="0" w:space="0" w:color="auto"/>
      </w:divBdr>
    </w:div>
    <w:div w:id="809709846">
      <w:bodyDiv w:val="1"/>
      <w:marLeft w:val="0"/>
      <w:marRight w:val="0"/>
      <w:marTop w:val="0"/>
      <w:marBottom w:val="0"/>
      <w:divBdr>
        <w:top w:val="none" w:sz="0" w:space="0" w:color="auto"/>
        <w:left w:val="none" w:sz="0" w:space="0" w:color="auto"/>
        <w:bottom w:val="none" w:sz="0" w:space="0" w:color="auto"/>
        <w:right w:val="none" w:sz="0" w:space="0" w:color="auto"/>
      </w:divBdr>
    </w:div>
    <w:div w:id="107678552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80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gov.au/resources"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pc.gov.au/inquiries/current/resources/make-submission%23lodg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www.pc.gov.au"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issues-paper-template.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issues-paper-template.dotm</Template>
  <TotalTime>95</TotalTime>
  <Pages>30</Pages>
  <Words>8353</Words>
  <Characters>51921</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Resources Sector Regulation - Issues Paper</vt:lpstr>
    </vt:vector>
  </TitlesOfParts>
  <Company>Productivity Commission</Company>
  <LinksUpToDate>false</LinksUpToDate>
  <CharactersWithSpaces>60154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Sector Regulation - Issues Paper</dc:title>
  <dc:subject>Report</dc:subject>
  <dc:creator>Productivity Commission</dc:creator>
  <cp:keywords/>
  <dc:description/>
  <cp:lastModifiedBy>Productivity Commission</cp:lastModifiedBy>
  <cp:revision>10</cp:revision>
  <cp:lastPrinted>2019-09-16T22:57:00Z</cp:lastPrinted>
  <dcterms:created xsi:type="dcterms:W3CDTF">2019-09-15T23:53:00Z</dcterms:created>
  <dcterms:modified xsi:type="dcterms:W3CDTF">2019-09-16T22:58:00Z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0x0101007916246811615643A710C6FEAFF56A87110100EEFE548D9549EA4098E3A65339C068F3003A0E2D6DAE7D0F41ACCF5516C6CFB867</vt:lpwstr>
  </property>
  <property fmtid="{D5CDD505-2E9C-101B-9397-08002B2CF9AE}" pid="3" name="_dlc_DocIdItemGuid">
    <vt:lpwstr>9577e446-ce44-470c-ba95-f7c6a4e5dab9</vt:lpwstr>
  </property>
  <property fmtid="{D5CDD505-2E9C-101B-9397-08002B2CF9AE}" pid="4" name="_dlc_DocId">
    <vt:lpwstr>PCDOC-1237671596-23</vt:lpwstr>
  </property>
  <property fmtid="{D5CDD505-2E9C-101B-9397-08002B2CF9AE}" pid="5" name="_dlc_DocIdUrl">
    <vt:lpwstr>http://inet.pc.gov.au/pmo/inq/resourcereg/_layouts/15/DocIdRedir.aspx?ID=PCDOC-1237671596-23, PCDOC-1237671596-23</vt:lpwstr>
  </property>
  <property fmtid="{D5CDD505-2E9C-101B-9397-08002B2CF9AE}" pid="6" name="Record Tag">
    <vt:lpwstr>249;#Issues Papers|3f58d8d8-eba3-4f69-b92f-42d45f1952c5</vt:lpwstr>
  </property>
  <property fmtid="{D5CDD505-2E9C-101B-9397-08002B2CF9AE}" pid="7" name="TaxKeyword">
    <vt:lpwstr/>
  </property>
  <property fmtid="{D5CDD505-2E9C-101B-9397-08002B2CF9AE}" pid="8" name="ZOTERO_PREF_2">
    <vt:lpwstr>JournalAbbreviations" value="true"/&gt;&lt;/prefs&gt;&lt;/data&gt;</vt:lpwstr>
  </property>
  <property fmtid="{D5CDD505-2E9C-101B-9397-08002B2CF9AE}" pid="9" name="ZOTERO_PREF_1">
    <vt:lpwstr>&lt;data data-version="3" zotero-version="5.0.54"&gt;&lt;session id="pfpQvTWG"/&gt;&lt;style id="http://www.zotero.org/styles/Productivity-Commission" hasBibliography="1" bibliographyStyleHasBeenSet="1"/&gt;&lt;prefs&gt;&lt;pref name="fieldType" value="Field"/&gt;&lt;pref name="automatic</vt:lpwstr>
  </property>
</Properties>
</file>