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0910" w:rsidRDefault="00250910" w:rsidP="00CD5E6B">
      <w:pPr>
        <w:pStyle w:val="BodyText"/>
      </w:pPr>
      <w:bookmarkStart w:id="0" w:name="_GoBack"/>
      <w:r>
        <w:rPr>
          <w:noProof/>
        </w:rPr>
        <w:drawing>
          <wp:anchor distT="0" distB="0" distL="114300" distR="114300" simplePos="0" relativeHeight="251658240" behindDoc="0" locked="0" layoutInCell="1" allowOverlap="1">
            <wp:simplePos x="0" y="0"/>
            <wp:positionH relativeFrom="column">
              <wp:posOffset>-1151889</wp:posOffset>
            </wp:positionH>
            <wp:positionV relativeFrom="paragraph">
              <wp:posOffset>-222782</wp:posOffset>
            </wp:positionV>
            <wp:extent cx="7556806" cy="10122993"/>
            <wp:effectExtent l="0" t="0" r="6350" b="0"/>
            <wp:wrapNone/>
            <wp:docPr id="1" name="Picture 1" descr="Cover of the 'Relative Costs of Doing Business in Australia: Retail Trade' research report dated September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tail-final-cover-WEB.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59800" cy="10127004"/>
                    </a:xfrm>
                    <a:prstGeom prst="rect">
                      <a:avLst/>
                    </a:prstGeom>
                  </pic:spPr>
                </pic:pic>
              </a:graphicData>
            </a:graphic>
            <wp14:sizeRelH relativeFrom="page">
              <wp14:pctWidth>0</wp14:pctWidth>
            </wp14:sizeRelH>
            <wp14:sizeRelV relativeFrom="page">
              <wp14:pctHeight>0</wp14:pctHeight>
            </wp14:sizeRelV>
          </wp:anchor>
        </w:drawing>
      </w:r>
      <w:bookmarkEnd w:id="0"/>
    </w:p>
    <w:p w:rsidR="00B04D19" w:rsidRPr="00250910" w:rsidRDefault="00250910" w:rsidP="00250910">
      <w:pPr>
        <w:pStyle w:val="Heading1"/>
        <w:rPr>
          <w:b/>
          <w:sz w:val="16"/>
          <w:szCs w:val="16"/>
        </w:rPr>
      </w:pPr>
      <w:r w:rsidRPr="00250910">
        <w:rPr>
          <w:color w:val="FFFFFF" w:themeColor="background1"/>
          <w:sz w:val="16"/>
          <w:szCs w:val="16"/>
          <w:shd w:val="clear" w:color="auto" w:fill="FFFFFF" w:themeFill="background1"/>
        </w:rPr>
        <w:t>Australian Government Productivity Commission Report titled Relative Costs of Doing Business in Australia: Retail Trade.   October 2014.</w:t>
      </w:r>
      <w:r w:rsidR="00B04D19" w:rsidRPr="00250910">
        <w:rPr>
          <w:sz w:val="16"/>
          <w:szCs w:val="16"/>
        </w:rPr>
        <w:br w:type="page"/>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2014</w:t>
      </w:r>
    </w:p>
    <w:p w:rsidR="00125B03" w:rsidRPr="007809B8" w:rsidRDefault="00125B03">
      <w:pPr>
        <w:pStyle w:val="BodyText"/>
        <w:tabs>
          <w:tab w:val="left" w:pos="851"/>
        </w:tabs>
        <w:spacing w:before="200" w:after="120"/>
        <w:jc w:val="left"/>
        <w:rPr>
          <w:b/>
        </w:rPr>
      </w:pPr>
      <w:bookmarkStart w:id="1" w:name="ISSN"/>
      <w:bookmarkEnd w:id="1"/>
      <w:r w:rsidRPr="009064E0">
        <w:rPr>
          <w:b/>
        </w:rPr>
        <w:t>ISBN</w:t>
      </w:r>
      <w:r w:rsidRPr="009064E0">
        <w:rPr>
          <w:b/>
        </w:rPr>
        <w:tab/>
      </w:r>
      <w:r w:rsidR="009C5224" w:rsidRPr="009064E0">
        <w:rPr>
          <w:b/>
        </w:rPr>
        <w:t>978-1-74037-499-6</w:t>
      </w:r>
      <w:r w:rsidRPr="009064E0">
        <w:rPr>
          <w:b/>
        </w:rPr>
        <w:t xml:space="preserve"> (PDF)</w:t>
      </w:r>
      <w:r w:rsidRPr="009064E0">
        <w:rPr>
          <w:b/>
        </w:rPr>
        <w:br/>
        <w:t>ISBN</w:t>
      </w:r>
      <w:r w:rsidRPr="009064E0">
        <w:rPr>
          <w:b/>
        </w:rPr>
        <w:tab/>
      </w:r>
      <w:r w:rsidR="009C5224" w:rsidRPr="009064E0">
        <w:rPr>
          <w:b/>
        </w:rPr>
        <w:t>978-1-74037-498-9 (POD</w:t>
      </w:r>
      <w:r w:rsidRPr="009064E0">
        <w:rPr>
          <w:b/>
        </w:rPr>
        <w:t>)</w:t>
      </w:r>
    </w:p>
    <w:p w:rsidR="008A3857" w:rsidRDefault="008A3857" w:rsidP="008E242D">
      <w:pPr>
        <w:pStyle w:val="BodyText"/>
        <w:spacing w:after="120"/>
      </w:pPr>
      <w:r w:rsidRPr="00862D8F">
        <w:rPr>
          <w:noProof/>
          <w:sz w:val="22"/>
          <w:szCs w:val="22"/>
        </w:rPr>
        <w:drawing>
          <wp:inline distT="0" distB="0" distL="0" distR="0" wp14:anchorId="00CD15B2" wp14:editId="56C61166">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r w:rsidRPr="00805FD7">
        <w:t>http://creativecommons.org/licenses/by/3.0/au</w:t>
      </w:r>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rsidR="008A3857" w:rsidRPr="008A3857" w:rsidRDefault="008A3857" w:rsidP="008A3857">
      <w:pPr>
        <w:pStyle w:val="Copyrightsubtitle"/>
      </w:pPr>
      <w:r w:rsidRPr="008A3857">
        <w:t>Use of the Commonwealth Coat of Arms</w:t>
      </w:r>
    </w:p>
    <w:p w:rsidR="008A3857" w:rsidRPr="008A3857" w:rsidRDefault="008A3857" w:rsidP="00BA0B81">
      <w:pPr>
        <w:pStyle w:val="Copyrightbodytext"/>
      </w:pPr>
      <w:r w:rsidRPr="008A3857">
        <w:t>For terms of use of the Coat of Arms visit the ‘</w:t>
      </w:r>
      <w:r w:rsidRPr="00805FD7">
        <w:t>It’s an Honour</w:t>
      </w:r>
      <w:r w:rsidRPr="008A3857">
        <w:t>’ website</w:t>
      </w:r>
      <w:r w:rsidR="00122FE9" w:rsidRPr="00BA0B81">
        <w:t>:</w:t>
      </w:r>
      <w:r w:rsidRPr="00BA0B81">
        <w:t xml:space="preserve"> </w:t>
      </w:r>
      <w:r w:rsidR="00BA0B81" w:rsidRPr="00805FD7">
        <w:t>http://www.itsanhonour.gov.au</w:t>
      </w:r>
    </w:p>
    <w:p w:rsidR="008A3857" w:rsidRPr="008A3857" w:rsidRDefault="008A3857" w:rsidP="008A3857">
      <w:pPr>
        <w:pStyle w:val="Copyrightsubtitle"/>
      </w:pPr>
      <w:r w:rsidRPr="008A3857">
        <w:t>Third party copyright</w:t>
      </w:r>
    </w:p>
    <w:p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226DB0">
        <w:rPr>
          <w:i/>
        </w:rPr>
        <w:t>Relative Costs of Doing Business in Australia: Retail Trade</w:t>
      </w:r>
      <w:r w:rsidRPr="008A3857">
        <w:t>.</w:t>
      </w:r>
    </w:p>
    <w:p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226DB0">
        <w:rPr>
          <w:i/>
        </w:rPr>
        <w:t>Relative Costs of Doing Business in Australia: Retail Trade</w:t>
      </w:r>
      <w:r w:rsidRPr="008A3857">
        <w:t>.</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8A3857" w:rsidRPr="00226DB0" w:rsidRDefault="00226DB0" w:rsidP="008A3857">
      <w:pPr>
        <w:pStyle w:val="Copyrightbodytext"/>
      </w:pPr>
      <w:r w:rsidRPr="00226DB0">
        <w:t xml:space="preserve">Productivity Commission 2014, </w:t>
      </w:r>
      <w:r w:rsidRPr="00226DB0">
        <w:rPr>
          <w:i/>
        </w:rPr>
        <w:t>Relative Costs of Doing Business in Australia: Retail Trade</w:t>
      </w:r>
      <w:r w:rsidRPr="00226DB0">
        <w:t>, Research Report, Canberra.</w:t>
      </w:r>
    </w:p>
    <w:p w:rsidR="008A3857" w:rsidRPr="008A3857" w:rsidRDefault="008A3857" w:rsidP="008A3857">
      <w:pPr>
        <w:pStyle w:val="Copyrightsubtitle"/>
      </w:pPr>
      <w:bookmarkStart w:id="2" w:name="JEL"/>
      <w:bookmarkEnd w:id="2"/>
      <w:r w:rsidRPr="008A3857">
        <w:t>Publications enquiries</w:t>
      </w:r>
    </w:p>
    <w:p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maps@pc.gov.au</w:t>
      </w:r>
    </w:p>
    <w:p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3857" w:rsidTr="002D5890">
        <w:tc>
          <w:tcPr>
            <w:tcW w:w="8771" w:type="dxa"/>
            <w:tcBorders>
              <w:top w:val="single" w:sz="6" w:space="0" w:color="78A22F"/>
              <w:left w:val="nil"/>
              <w:bottom w:val="nil"/>
              <w:right w:val="nil"/>
            </w:tcBorders>
            <w:shd w:val="clear" w:color="auto" w:fill="F2F2F2" w:themeFill="background1" w:themeFillShade="F2"/>
          </w:tcPr>
          <w:p w:rsidR="008A3857" w:rsidRPr="008A3857" w:rsidRDefault="008A3857" w:rsidP="002D5890">
            <w:pPr>
              <w:pStyle w:val="BoxTitle"/>
              <w:rPr>
                <w:sz w:val="22"/>
                <w:szCs w:val="22"/>
              </w:rPr>
            </w:pPr>
            <w:r w:rsidRPr="008A3857">
              <w:rPr>
                <w:sz w:val="22"/>
                <w:szCs w:val="22"/>
              </w:rPr>
              <w:t>The Productivity Commission</w:t>
            </w:r>
          </w:p>
        </w:tc>
      </w:tr>
      <w:tr w:rsidR="008A3857" w:rsidTr="002D5890">
        <w:trPr>
          <w:cantSplit/>
        </w:trPr>
        <w:tc>
          <w:tcPr>
            <w:tcW w:w="8771" w:type="dxa"/>
            <w:tcBorders>
              <w:top w:val="nil"/>
              <w:left w:val="nil"/>
              <w:bottom w:val="nil"/>
              <w:right w:val="nil"/>
            </w:tcBorders>
            <w:shd w:val="clear" w:color="auto" w:fill="F2F2F2" w:themeFill="background1" w:themeFillShade="F2"/>
          </w:tcPr>
          <w:p w:rsidR="008A3857" w:rsidRDefault="008A3857" w:rsidP="002D5890">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8A3857" w:rsidRDefault="008A3857" w:rsidP="002D5890">
            <w:pPr>
              <w:pStyle w:val="Box"/>
            </w:pPr>
            <w:r w:rsidRPr="00BB5DCF">
              <w:t>The Commission’s independence is underpinned by an Act of Parliament. Its processes and outputs are open to public scrutiny and are driven by concern for the wellbeing of the community as a whole.</w:t>
            </w:r>
          </w:p>
          <w:p w:rsidR="008A3857" w:rsidRDefault="008A3857" w:rsidP="00EC38C1">
            <w:pPr>
              <w:pStyle w:val="Box"/>
            </w:pPr>
            <w:r w:rsidRPr="00BB5DCF">
              <w:rPr>
                <w:szCs w:val="24"/>
              </w:rPr>
              <w:t>Further information on the Productivity Commission can be obtained from the Commission’s website (</w:t>
            </w:r>
            <w:r w:rsidRPr="00805FD7">
              <w:t>www.pc.gov.au</w:t>
            </w:r>
            <w:r w:rsidRPr="00BB5DCF">
              <w:rPr>
                <w:szCs w:val="24"/>
              </w:rPr>
              <w:t>)</w:t>
            </w:r>
            <w:r w:rsidR="00EC38C1">
              <w:rPr>
                <w:szCs w:val="24"/>
              </w:rPr>
              <w:t>.</w:t>
            </w:r>
          </w:p>
        </w:tc>
      </w:tr>
      <w:tr w:rsidR="008A3857" w:rsidTr="002D5890">
        <w:trPr>
          <w:cantSplit/>
        </w:trPr>
        <w:tc>
          <w:tcPr>
            <w:tcW w:w="8771" w:type="dxa"/>
            <w:tcBorders>
              <w:top w:val="nil"/>
              <w:left w:val="nil"/>
              <w:bottom w:val="single" w:sz="6" w:space="0" w:color="78A22F"/>
              <w:right w:val="nil"/>
            </w:tcBorders>
            <w:shd w:val="clear" w:color="auto" w:fill="F2F2F2" w:themeFill="background1" w:themeFillShade="F2"/>
          </w:tcPr>
          <w:p w:rsidR="008A3857" w:rsidRDefault="008A3857" w:rsidP="002D5890">
            <w:pPr>
              <w:pStyle w:val="Box"/>
              <w:spacing w:before="0" w:line="120" w:lineRule="exact"/>
            </w:pPr>
          </w:p>
        </w:tc>
      </w:tr>
    </w:tbl>
    <w:p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bookmarkStart w:id="3" w:name="cov"/>
      <w:bookmarkEnd w:id="3"/>
    </w:p>
    <w:p w:rsidR="00125B03" w:rsidRDefault="00125B03">
      <w:pPr>
        <w:pStyle w:val="Heading1"/>
      </w:pPr>
      <w:bookmarkStart w:id="4" w:name="_Toc399252312"/>
      <w:bookmarkStart w:id="5" w:name="_Toc399261450"/>
      <w:r>
        <w:lastRenderedPageBreak/>
        <w:t>Foreword</w:t>
      </w:r>
      <w:bookmarkEnd w:id="4"/>
      <w:bookmarkEnd w:id="5"/>
    </w:p>
    <w:p w:rsidR="008F76A3" w:rsidRDefault="00BF31EB" w:rsidP="00634771">
      <w:pPr>
        <w:pStyle w:val="BodyText"/>
        <w:rPr>
          <w:lang w:eastAsia="en-US"/>
        </w:rPr>
      </w:pPr>
      <w:r>
        <w:rPr>
          <w:lang w:eastAsia="en-US"/>
        </w:rPr>
        <w:t xml:space="preserve">The retail sector makes an important contribution to the economy and employment in </w:t>
      </w:r>
      <w:r w:rsidR="008F76A3">
        <w:rPr>
          <w:lang w:eastAsia="en-US"/>
        </w:rPr>
        <w:t>Australia</w:t>
      </w:r>
      <w:r>
        <w:rPr>
          <w:lang w:eastAsia="en-US"/>
        </w:rPr>
        <w:t xml:space="preserve">. From a consumer perspective, </w:t>
      </w:r>
      <w:r w:rsidR="008F76A3">
        <w:rPr>
          <w:lang w:eastAsia="en-US"/>
        </w:rPr>
        <w:t xml:space="preserve">retail services </w:t>
      </w:r>
      <w:r>
        <w:rPr>
          <w:lang w:eastAsia="en-US"/>
        </w:rPr>
        <w:t xml:space="preserve">provide a key link </w:t>
      </w:r>
      <w:r w:rsidR="008F76A3">
        <w:rPr>
          <w:lang w:eastAsia="en-US"/>
        </w:rPr>
        <w:t xml:space="preserve">that enables them to access a wide range of products from suppliers. </w:t>
      </w:r>
    </w:p>
    <w:p w:rsidR="00D709D8" w:rsidRDefault="008F76A3" w:rsidP="00634771">
      <w:pPr>
        <w:pStyle w:val="BodyText"/>
      </w:pPr>
      <w:r>
        <w:t xml:space="preserve">Whether based in Australia or elsewhere, </w:t>
      </w:r>
      <w:r w:rsidR="00AE23D9">
        <w:t xml:space="preserve">the retail landscape </w:t>
      </w:r>
      <w:r w:rsidR="00CC4E7B">
        <w:t>is changing</w:t>
      </w:r>
      <w:r w:rsidR="00DD4505">
        <w:t xml:space="preserve">, which </w:t>
      </w:r>
      <w:r>
        <w:t xml:space="preserve">is intensifying competitive pressure on many retailers and compelling them to </w:t>
      </w:r>
      <w:r w:rsidR="00DD4505">
        <w:t>focus on</w:t>
      </w:r>
      <w:r>
        <w:t xml:space="preserve"> how they do business. </w:t>
      </w:r>
      <w:r w:rsidR="00DD4505">
        <w:t xml:space="preserve">The </w:t>
      </w:r>
      <w:r w:rsidR="00F67D8B">
        <w:t xml:space="preserve">ongoing </w:t>
      </w:r>
      <w:r w:rsidR="00DD4505">
        <w:t>development of e</w:t>
      </w:r>
      <w:r w:rsidR="00CC4E7B">
        <w:noBreakHyphen/>
      </w:r>
      <w:r w:rsidR="00DD4505">
        <w:t xml:space="preserve">commerce in particular is driving changes in consumer behaviour and expectations, while at the same time creating opportunities for businesses to </w:t>
      </w:r>
      <w:r w:rsidR="00AE23D9">
        <w:t xml:space="preserve">alter their cost structures and </w:t>
      </w:r>
      <w:r w:rsidR="00CC4E7B">
        <w:t xml:space="preserve">reach more and different </w:t>
      </w:r>
      <w:r w:rsidR="00D709D8">
        <w:t xml:space="preserve">market </w:t>
      </w:r>
      <w:r w:rsidR="00CC4E7B">
        <w:t>segments</w:t>
      </w:r>
      <w:r w:rsidR="00AE23D9">
        <w:t>.</w:t>
      </w:r>
      <w:r w:rsidR="00DD4505">
        <w:t xml:space="preserve"> </w:t>
      </w:r>
    </w:p>
    <w:p w:rsidR="00CC4E7B" w:rsidRDefault="00AE23D9" w:rsidP="00634771">
      <w:pPr>
        <w:pStyle w:val="BodyText"/>
      </w:pPr>
      <w:r>
        <w:t xml:space="preserve">The Commission </w:t>
      </w:r>
      <w:r w:rsidR="00F67D8B">
        <w:t>was tasked by the</w:t>
      </w:r>
      <w:r w:rsidR="00F60A9B">
        <w:t xml:space="preserve"> Australian</w:t>
      </w:r>
      <w:r w:rsidR="00F67D8B">
        <w:t xml:space="preserve"> Government </w:t>
      </w:r>
      <w:r>
        <w:t xml:space="preserve">to undertake a case study of the costs faced by retail businesses in Australia, and, where relevant, to compare those to the costs faced by their international competitors. </w:t>
      </w:r>
      <w:r w:rsidR="006F0D97">
        <w:t>This</w:t>
      </w:r>
      <w:r w:rsidR="00CC4E7B">
        <w:t xml:space="preserve"> study has found that </w:t>
      </w:r>
      <w:r w:rsidR="00CC4E7B" w:rsidRPr="00187F6B">
        <w:t xml:space="preserve">retailers </w:t>
      </w:r>
      <w:r w:rsidR="00CC4E7B">
        <w:t xml:space="preserve">in Australia </w:t>
      </w:r>
      <w:r w:rsidR="00CC4E7B" w:rsidRPr="00187F6B">
        <w:t>continue to operate under several regulatory regimes</w:t>
      </w:r>
      <w:r w:rsidR="00D709D8">
        <w:t xml:space="preserve"> — such as those relating to trading hours, and planning and zoning —</w:t>
      </w:r>
      <w:r w:rsidR="00CC4E7B" w:rsidRPr="00187F6B">
        <w:t xml:space="preserve"> that unnecessarily inflate their costs and restrict their ability to innovate.</w:t>
      </w:r>
      <w:r w:rsidR="006F0D97">
        <w:t xml:space="preserve"> However, this</w:t>
      </w:r>
      <w:r w:rsidR="00CC4E7B">
        <w:t xml:space="preserve"> study also highlights that </w:t>
      </w:r>
      <w:r w:rsidR="00D709D8">
        <w:t xml:space="preserve">many of the </w:t>
      </w:r>
      <w:r w:rsidR="00CC4E7B">
        <w:t xml:space="preserve">cost pressures facing retailers are market driven and, therefore, require commercial </w:t>
      </w:r>
      <w:r w:rsidR="009579A1">
        <w:t>responses</w:t>
      </w:r>
      <w:r w:rsidR="00CC4E7B">
        <w:t>.</w:t>
      </w:r>
    </w:p>
    <w:p w:rsidR="00D709D8" w:rsidRDefault="00CC4E7B" w:rsidP="00CC4E7B">
      <w:pPr>
        <w:pStyle w:val="BodyText"/>
        <w:rPr>
          <w:lang w:eastAsia="en-US"/>
        </w:rPr>
      </w:pPr>
      <w:r>
        <w:rPr>
          <w:lang w:eastAsia="en-US"/>
        </w:rPr>
        <w:t xml:space="preserve">The Commission is grateful </w:t>
      </w:r>
      <w:r w:rsidR="00F36F61">
        <w:rPr>
          <w:lang w:eastAsia="en-US"/>
        </w:rPr>
        <w:t>for the engagement of</w:t>
      </w:r>
      <w:r>
        <w:rPr>
          <w:lang w:eastAsia="en-US"/>
        </w:rPr>
        <w:t xml:space="preserve"> </w:t>
      </w:r>
      <w:r w:rsidR="00D709D8">
        <w:rPr>
          <w:lang w:eastAsia="en-US"/>
        </w:rPr>
        <w:t>stakeholders in the government</w:t>
      </w:r>
      <w:r w:rsidR="00F36F61">
        <w:rPr>
          <w:lang w:eastAsia="en-US"/>
        </w:rPr>
        <w:t>, non</w:t>
      </w:r>
      <w:r w:rsidR="00F60A9B">
        <w:rPr>
          <w:lang w:eastAsia="en-US"/>
        </w:rPr>
        <w:noBreakHyphen/>
      </w:r>
      <w:r w:rsidR="00F36F61">
        <w:rPr>
          <w:lang w:eastAsia="en-US"/>
        </w:rPr>
        <w:t>government</w:t>
      </w:r>
      <w:r w:rsidR="00D709D8">
        <w:rPr>
          <w:lang w:eastAsia="en-US"/>
        </w:rPr>
        <w:t xml:space="preserve"> and business sectors </w:t>
      </w:r>
      <w:r>
        <w:rPr>
          <w:lang w:eastAsia="en-US"/>
        </w:rPr>
        <w:t xml:space="preserve">who participated in this study, especially those who met with the Commission and provided written submissions. </w:t>
      </w:r>
    </w:p>
    <w:p w:rsidR="00CC4E7B" w:rsidRDefault="00CC4E7B" w:rsidP="00CC4E7B">
      <w:pPr>
        <w:pStyle w:val="BodyText"/>
        <w:rPr>
          <w:lang w:eastAsia="en-US"/>
        </w:rPr>
      </w:pPr>
      <w:r>
        <w:rPr>
          <w:lang w:eastAsia="en-US"/>
        </w:rPr>
        <w:t xml:space="preserve">This study was undertaken by </w:t>
      </w:r>
      <w:r w:rsidR="0063266E">
        <w:rPr>
          <w:lang w:eastAsia="en-US"/>
        </w:rPr>
        <w:t xml:space="preserve">a team including </w:t>
      </w:r>
      <w:r>
        <w:rPr>
          <w:lang w:eastAsia="en-US"/>
        </w:rPr>
        <w:t xml:space="preserve">Catie Bradbear, Paul Davidson, Melissa Edwards, Leonie Holloway, Daniel McDonald, Hudan Nuch, Stewart Plain and Vernon Topp, </w:t>
      </w:r>
      <w:r w:rsidR="0063266E">
        <w:rPr>
          <w:lang w:eastAsia="en-US"/>
        </w:rPr>
        <w:t>and led by</w:t>
      </w:r>
      <w:r>
        <w:rPr>
          <w:lang w:eastAsia="en-US"/>
        </w:rPr>
        <w:t xml:space="preserve"> Jane Melani</w:t>
      </w:r>
      <w:r w:rsidR="006F0D97">
        <w:rPr>
          <w:lang w:eastAsia="en-US"/>
        </w:rPr>
        <w:t>e. Valuable contributions to this</w:t>
      </w:r>
      <w:r>
        <w:rPr>
          <w:lang w:eastAsia="en-US"/>
        </w:rPr>
        <w:t xml:space="preserve"> </w:t>
      </w:r>
      <w:r w:rsidR="00D709D8">
        <w:rPr>
          <w:lang w:eastAsia="en-US"/>
        </w:rPr>
        <w:t xml:space="preserve">study </w:t>
      </w:r>
      <w:r>
        <w:rPr>
          <w:lang w:eastAsia="en-US"/>
        </w:rPr>
        <w:t>were also provided by Joshua Craig, Dominic Crowley, James Hunter, Ralph Lattimore and Marcelo Munoz.</w:t>
      </w:r>
    </w:p>
    <w:p w:rsidR="00CC4E7B" w:rsidRDefault="00CC4E7B" w:rsidP="00634771">
      <w:pPr>
        <w:pStyle w:val="BodyText"/>
        <w:rPr>
          <w:lang w:eastAsia="en-US"/>
        </w:rPr>
      </w:pPr>
    </w:p>
    <w:p w:rsidR="0063266E" w:rsidRDefault="0063266E" w:rsidP="004A2030">
      <w:pPr>
        <w:pStyle w:val="BodyText"/>
        <w:jc w:val="left"/>
        <w:rPr>
          <w:lang w:eastAsia="en-US"/>
        </w:rPr>
      </w:pPr>
      <w:r>
        <w:rPr>
          <w:lang w:eastAsia="en-US"/>
        </w:rPr>
        <w:t>Patricia Scott</w:t>
      </w:r>
      <w:r w:rsidR="004A2030">
        <w:rPr>
          <w:lang w:eastAsia="en-US"/>
        </w:rPr>
        <w:br/>
      </w:r>
      <w:r>
        <w:rPr>
          <w:lang w:eastAsia="en-US"/>
        </w:rPr>
        <w:t>Commissioner</w:t>
      </w:r>
    </w:p>
    <w:p w:rsidR="0063266E" w:rsidRPr="00634771" w:rsidRDefault="00E41C35" w:rsidP="00634771">
      <w:pPr>
        <w:pStyle w:val="BodyText"/>
        <w:rPr>
          <w:lang w:eastAsia="en-US"/>
        </w:rPr>
      </w:pPr>
      <w:r>
        <w:rPr>
          <w:lang w:eastAsia="en-US"/>
        </w:rPr>
        <w:t xml:space="preserve">September </w:t>
      </w:r>
      <w:r w:rsidR="0063266E">
        <w:rPr>
          <w:lang w:eastAsia="en-US"/>
        </w:rPr>
        <w:t>2014</w:t>
      </w:r>
    </w:p>
    <w:p w:rsidR="00125B03" w:rsidRDefault="00125B03">
      <w:pPr>
        <w:pStyle w:val="BodyText"/>
      </w:pPr>
    </w:p>
    <w:p w:rsidR="00CC4E7B" w:rsidRDefault="00CC4E7B">
      <w:pPr>
        <w:pStyle w:val="BodyText"/>
        <w:sectPr w:rsidR="00CC4E7B" w:rsidSect="00160417">
          <w:headerReference w:type="even" r:id="rId11"/>
          <w:headerReference w:type="default" r:id="rId12"/>
          <w:footerReference w:type="even" r:id="rId13"/>
          <w:footerReference w:type="default" r:id="rId14"/>
          <w:pgSz w:w="11906" w:h="16838" w:code="9"/>
          <w:pgMar w:top="1985" w:right="1304" w:bottom="1247" w:left="1814" w:header="1701" w:footer="397" w:gutter="0"/>
          <w:pgNumType w:fmt="lowerRoman"/>
          <w:cols w:space="708"/>
          <w:docGrid w:linePitch="360"/>
        </w:sectPr>
      </w:pPr>
    </w:p>
    <w:p w:rsidR="00125B03" w:rsidRDefault="00125B03" w:rsidP="00537BB4">
      <w:pPr>
        <w:pStyle w:val="Heading1"/>
      </w:pPr>
      <w:bookmarkStart w:id="6" w:name="_Toc399252313"/>
      <w:bookmarkStart w:id="7" w:name="_Toc399261451"/>
      <w:r>
        <w:lastRenderedPageBreak/>
        <w:t>Terms of reference</w:t>
      </w:r>
      <w:bookmarkEnd w:id="6"/>
      <w:bookmarkEnd w:id="7"/>
    </w:p>
    <w:p w:rsidR="00125B03" w:rsidRDefault="00125B03" w:rsidP="00125B03">
      <w:pPr>
        <w:pStyle w:val="BodyText"/>
      </w:pPr>
      <w:r>
        <w:t xml:space="preserve">I, Joseph Benedict Hockey, Treasurer, pursuant to Parts 2 and 4 of </w:t>
      </w:r>
      <w:r w:rsidRPr="00F60A9B">
        <w:t>the</w:t>
      </w:r>
      <w:r w:rsidRPr="002A17F9">
        <w:rPr>
          <w:i/>
        </w:rPr>
        <w:t xml:space="preserve"> Productivity Commission Act 1998</w:t>
      </w:r>
      <w:r>
        <w:t>, hereby request that the Productivity Commission undertake a study into the cost structures of the dairy product manufacturing industry and the retail trade industry, including costs relative to international competitors, where relevant.</w:t>
      </w:r>
    </w:p>
    <w:p w:rsidR="00125B03" w:rsidRPr="002A17F9" w:rsidRDefault="00125B03" w:rsidP="00125B03">
      <w:pPr>
        <w:pStyle w:val="BodyText"/>
        <w:rPr>
          <w:b/>
        </w:rPr>
      </w:pPr>
      <w:r w:rsidRPr="002A17F9">
        <w:rPr>
          <w:b/>
        </w:rPr>
        <w:t>Background</w:t>
      </w:r>
    </w:p>
    <w:p w:rsidR="00125B03" w:rsidRDefault="00125B03" w:rsidP="00125B03">
      <w:pPr>
        <w:pStyle w:val="BodyText"/>
      </w:pPr>
      <w:r>
        <w:t>A sound understanding of the cost structures of Australian businesses, including costs relative to any international competitors, can provide valuable insights for considering policies to support living standards and economic growth.</w:t>
      </w:r>
    </w:p>
    <w:p w:rsidR="00125B03" w:rsidRPr="002A17F9" w:rsidRDefault="00125B03" w:rsidP="00125B03">
      <w:pPr>
        <w:pStyle w:val="BodyText"/>
        <w:rPr>
          <w:b/>
        </w:rPr>
      </w:pPr>
      <w:r w:rsidRPr="002A17F9">
        <w:rPr>
          <w:b/>
        </w:rPr>
        <w:t>Scope of the research study</w:t>
      </w:r>
    </w:p>
    <w:p w:rsidR="00125B03" w:rsidRDefault="00125B03" w:rsidP="00125B03">
      <w:pPr>
        <w:pStyle w:val="BodyText"/>
      </w:pPr>
      <w:r>
        <w:t>In undertaking the study, the Commission should:</w:t>
      </w:r>
    </w:p>
    <w:p w:rsidR="00125B03" w:rsidRDefault="00125B03" w:rsidP="00125B03">
      <w:pPr>
        <w:pStyle w:val="ListNumber"/>
        <w:numPr>
          <w:ilvl w:val="0"/>
          <w:numId w:val="25"/>
        </w:numPr>
      </w:pPr>
      <w:r>
        <w:t>Undertake a case study of the costs (such as costs relating to capital, labour, intermediate inputs including energy, taxation, superannuation and/or regulatory compliance) facing businesses operating in Australia in the dairy product manufacturing industry and in the retail trade industry.</w:t>
      </w:r>
    </w:p>
    <w:p w:rsidR="00125B03" w:rsidRDefault="00125B03" w:rsidP="00125B03">
      <w:pPr>
        <w:pStyle w:val="ListNumber"/>
        <w:numPr>
          <w:ilvl w:val="0"/>
          <w:numId w:val="25"/>
        </w:numPr>
      </w:pPr>
      <w:r>
        <w:t>Where relevant, identify areas of cost advantage and disadvantage for these businesses compared to international competitors.</w:t>
      </w:r>
    </w:p>
    <w:p w:rsidR="00125B03" w:rsidRPr="002A17F9" w:rsidRDefault="00125B03" w:rsidP="00125B03">
      <w:pPr>
        <w:pStyle w:val="BodyText"/>
        <w:rPr>
          <w:b/>
        </w:rPr>
      </w:pPr>
      <w:r w:rsidRPr="002A17F9">
        <w:rPr>
          <w:b/>
        </w:rPr>
        <w:t>Process</w:t>
      </w:r>
    </w:p>
    <w:p w:rsidR="00125B03" w:rsidRDefault="00125B03" w:rsidP="00125B03">
      <w:pPr>
        <w:pStyle w:val="BodyText"/>
      </w:pPr>
      <w:r>
        <w:t>The Commission should consult as appropriate and provide an interim report drawing on submissions and a final report.</w:t>
      </w:r>
    </w:p>
    <w:p w:rsidR="00125B03" w:rsidRDefault="00125B03" w:rsidP="00125B03">
      <w:pPr>
        <w:pStyle w:val="BodyText"/>
      </w:pPr>
      <w:r>
        <w:t>The interim report should be published within two months of receipt of this terms of reference. The final report should contain findings and be provided to the Government within six months of receipt of this terms of reference.</w:t>
      </w:r>
    </w:p>
    <w:p w:rsidR="00125B03" w:rsidRDefault="00125B03" w:rsidP="00125B03">
      <w:pPr>
        <w:pStyle w:val="BodyText"/>
      </w:pPr>
      <w:r>
        <w:t>The final report will be published.</w:t>
      </w:r>
    </w:p>
    <w:p w:rsidR="00125B03" w:rsidRDefault="00125B03" w:rsidP="00125B03">
      <w:pPr>
        <w:pStyle w:val="BodyText"/>
      </w:pPr>
      <w:r>
        <w:t>J B HOCKEY</w:t>
      </w:r>
    </w:p>
    <w:p w:rsidR="00125B03" w:rsidRDefault="00125B03" w:rsidP="00125B03">
      <w:pPr>
        <w:pStyle w:val="BodyText"/>
      </w:pPr>
      <w:r>
        <w:t>Treasurer</w:t>
      </w:r>
    </w:p>
    <w:p w:rsidR="00125B03" w:rsidRDefault="00F60A9B" w:rsidP="00125B03">
      <w:pPr>
        <w:pStyle w:val="BodyText"/>
      </w:pPr>
      <w:r>
        <w:t xml:space="preserve">[ received </w:t>
      </w:r>
      <w:r w:rsidR="00125B03">
        <w:t>7 April 2014</w:t>
      </w:r>
      <w:r>
        <w:t>]</w:t>
      </w:r>
    </w:p>
    <w:p w:rsidR="00125B03" w:rsidRDefault="00125B03" w:rsidP="006817C9">
      <w:pPr>
        <w:pStyle w:val="BodyText"/>
      </w:pPr>
    </w:p>
    <w:p w:rsidR="00125B03" w:rsidRDefault="00125B03" w:rsidP="006817C9">
      <w:pPr>
        <w:pStyle w:val="BodyText"/>
        <w:sectPr w:rsidR="00125B03" w:rsidSect="00C24C8B">
          <w:headerReference w:type="even" r:id="rId15"/>
          <w:headerReference w:type="default" r:id="rId16"/>
          <w:footerReference w:type="even" r:id="rId17"/>
          <w:footerReference w:type="default" r:id="rId18"/>
          <w:pgSz w:w="11907" w:h="16840" w:code="9"/>
          <w:pgMar w:top="1985" w:right="1304" w:bottom="1247" w:left="1814" w:header="1701" w:footer="397" w:gutter="0"/>
          <w:pgNumType w:fmt="lowerRoman"/>
          <w:cols w:space="720"/>
        </w:sectPr>
      </w:pPr>
    </w:p>
    <w:p w:rsidR="00C84BF3" w:rsidRDefault="00735FEA" w:rsidP="00C84BF3">
      <w:pPr>
        <w:pStyle w:val="Heading1NotTOC"/>
        <w:rPr>
          <w:noProof/>
        </w:rPr>
      </w:pPr>
      <w:bookmarkStart w:id="8" w:name="Contents"/>
      <w:bookmarkEnd w:id="8"/>
      <w:r w:rsidRPr="00B153C3">
        <w:lastRenderedPageBreak/>
        <w:t>Contents</w:t>
      </w:r>
      <w:bookmarkStart w:id="9" w:name="InsertContents"/>
      <w:bookmarkEnd w:id="9"/>
    </w:p>
    <w:p w:rsidR="00C84BF3" w:rsidRDefault="00C84BF3">
      <w:pPr>
        <w:pStyle w:val="TOC1"/>
        <w:rPr>
          <w:rFonts w:asciiTheme="minorHAnsi" w:eastAsiaTheme="minorEastAsia" w:hAnsiTheme="minorHAnsi" w:cstheme="minorBidi"/>
          <w:b w:val="0"/>
          <w:noProof/>
          <w:sz w:val="22"/>
          <w:szCs w:val="22"/>
          <w:lang w:eastAsia="en-AU"/>
        </w:rPr>
      </w:pPr>
      <w:r>
        <w:rPr>
          <w:noProof/>
        </w:rPr>
        <w:t>Foreword</w:t>
      </w:r>
      <w:r>
        <w:rPr>
          <w:noProof/>
        </w:rPr>
        <w:tab/>
        <w:t>iii</w:t>
      </w:r>
    </w:p>
    <w:p w:rsidR="00C84BF3" w:rsidRDefault="00C84BF3">
      <w:pPr>
        <w:pStyle w:val="TOC1"/>
        <w:rPr>
          <w:rFonts w:asciiTheme="minorHAnsi" w:eastAsiaTheme="minorEastAsia" w:hAnsiTheme="minorHAnsi" w:cstheme="minorBidi"/>
          <w:b w:val="0"/>
          <w:noProof/>
          <w:sz w:val="22"/>
          <w:szCs w:val="22"/>
          <w:lang w:eastAsia="en-AU"/>
        </w:rPr>
      </w:pPr>
      <w:r>
        <w:rPr>
          <w:noProof/>
        </w:rPr>
        <w:t>Terms of reference</w:t>
      </w:r>
      <w:r>
        <w:rPr>
          <w:noProof/>
        </w:rPr>
        <w:tab/>
        <w:t>iv</w:t>
      </w:r>
    </w:p>
    <w:p w:rsidR="00C84BF3" w:rsidRDefault="00C84BF3">
      <w:pPr>
        <w:pStyle w:val="TOC1"/>
        <w:rPr>
          <w:rFonts w:asciiTheme="minorHAnsi" w:eastAsiaTheme="minorEastAsia" w:hAnsiTheme="minorHAnsi" w:cstheme="minorBidi"/>
          <w:b w:val="0"/>
          <w:noProof/>
          <w:sz w:val="22"/>
          <w:szCs w:val="22"/>
          <w:lang w:eastAsia="en-AU"/>
        </w:rPr>
      </w:pPr>
      <w:r>
        <w:rPr>
          <w:noProof/>
        </w:rPr>
        <w:t>Abb</w:t>
      </w:r>
      <w:r w:rsidR="00C87CA4">
        <w:rPr>
          <w:noProof/>
        </w:rPr>
        <w:t>reviations and explanations</w:t>
      </w:r>
      <w:r w:rsidR="00C87CA4">
        <w:rPr>
          <w:noProof/>
        </w:rPr>
        <w:tab/>
        <w:t>vii</w:t>
      </w:r>
    </w:p>
    <w:p w:rsidR="00C84BF3" w:rsidRDefault="00C84BF3">
      <w:pPr>
        <w:pStyle w:val="TOC1"/>
        <w:rPr>
          <w:rFonts w:asciiTheme="minorHAnsi" w:eastAsiaTheme="minorEastAsia" w:hAnsiTheme="minorHAnsi" w:cstheme="minorBidi"/>
          <w:b w:val="0"/>
          <w:noProof/>
          <w:sz w:val="22"/>
          <w:szCs w:val="22"/>
          <w:lang w:eastAsia="en-AU"/>
        </w:rPr>
      </w:pPr>
      <w:r>
        <w:rPr>
          <w:noProof/>
        </w:rPr>
        <w:t>Overview</w:t>
      </w:r>
      <w:r>
        <w:rPr>
          <w:noProof/>
        </w:rPr>
        <w:tab/>
        <w:t>1</w:t>
      </w:r>
    </w:p>
    <w:p w:rsidR="00C84BF3" w:rsidRDefault="00C84BF3">
      <w:pPr>
        <w:pStyle w:val="TOC2"/>
        <w:rPr>
          <w:rFonts w:asciiTheme="minorHAnsi" w:eastAsiaTheme="minorEastAsia" w:hAnsiTheme="minorHAnsi" w:cstheme="minorBidi"/>
          <w:noProof/>
          <w:sz w:val="22"/>
          <w:szCs w:val="22"/>
          <w:lang w:eastAsia="en-AU"/>
        </w:rPr>
      </w:pPr>
      <w:r>
        <w:rPr>
          <w:noProof/>
        </w:rPr>
        <w:t>What the Commission has been asked to do</w:t>
      </w:r>
      <w:r>
        <w:rPr>
          <w:noProof/>
        </w:rPr>
        <w:tab/>
        <w:t>3</w:t>
      </w:r>
    </w:p>
    <w:p w:rsidR="00C84BF3" w:rsidRDefault="00C84BF3">
      <w:pPr>
        <w:pStyle w:val="TOC2"/>
        <w:rPr>
          <w:rFonts w:asciiTheme="minorHAnsi" w:eastAsiaTheme="minorEastAsia" w:hAnsiTheme="minorHAnsi" w:cstheme="minorBidi"/>
          <w:noProof/>
          <w:sz w:val="22"/>
          <w:szCs w:val="22"/>
          <w:lang w:eastAsia="en-AU"/>
        </w:rPr>
      </w:pPr>
      <w:r>
        <w:rPr>
          <w:noProof/>
        </w:rPr>
        <w:t>Costs are inflated by red tape</w:t>
      </w:r>
      <w:r>
        <w:rPr>
          <w:noProof/>
        </w:rPr>
        <w:tab/>
        <w:t>5</w:t>
      </w:r>
    </w:p>
    <w:p w:rsidR="00C84BF3" w:rsidRDefault="00C84BF3">
      <w:pPr>
        <w:pStyle w:val="TOC2"/>
        <w:rPr>
          <w:rFonts w:asciiTheme="minorHAnsi" w:eastAsiaTheme="minorEastAsia" w:hAnsiTheme="minorHAnsi" w:cstheme="minorBidi"/>
          <w:noProof/>
          <w:sz w:val="22"/>
          <w:szCs w:val="22"/>
          <w:lang w:eastAsia="en-AU"/>
        </w:rPr>
      </w:pPr>
      <w:r>
        <w:rPr>
          <w:noProof/>
        </w:rPr>
        <w:t>Retailers are responding</w:t>
      </w:r>
      <w:r>
        <w:rPr>
          <w:noProof/>
        </w:rPr>
        <w:tab/>
        <w:t>21</w:t>
      </w:r>
    </w:p>
    <w:p w:rsidR="00C84BF3" w:rsidRDefault="00C84BF3">
      <w:pPr>
        <w:pStyle w:val="TOC2"/>
        <w:rPr>
          <w:rFonts w:asciiTheme="minorHAnsi" w:eastAsiaTheme="minorEastAsia" w:hAnsiTheme="minorHAnsi" w:cstheme="minorBidi"/>
          <w:noProof/>
          <w:sz w:val="22"/>
          <w:szCs w:val="22"/>
          <w:lang w:eastAsia="en-AU"/>
        </w:rPr>
      </w:pPr>
      <w:r>
        <w:rPr>
          <w:noProof/>
        </w:rPr>
        <w:t>What governments can do</w:t>
      </w:r>
      <w:r>
        <w:rPr>
          <w:noProof/>
        </w:rPr>
        <w:tab/>
        <w:t>24</w:t>
      </w:r>
    </w:p>
    <w:p w:rsidR="00C84BF3" w:rsidRDefault="00C84BF3">
      <w:pPr>
        <w:pStyle w:val="TOC1"/>
        <w:rPr>
          <w:rFonts w:asciiTheme="minorHAnsi" w:eastAsiaTheme="minorEastAsia" w:hAnsiTheme="minorHAnsi" w:cstheme="minorBidi"/>
          <w:b w:val="0"/>
          <w:noProof/>
          <w:sz w:val="22"/>
          <w:szCs w:val="22"/>
          <w:lang w:eastAsia="en-AU"/>
        </w:rPr>
      </w:pPr>
      <w:r>
        <w:rPr>
          <w:noProof/>
        </w:rPr>
        <w:t>Findings</w:t>
      </w:r>
      <w:r>
        <w:rPr>
          <w:noProof/>
        </w:rPr>
        <w:tab/>
        <w:t>25</w:t>
      </w:r>
    </w:p>
    <w:p w:rsidR="00C84BF3" w:rsidRDefault="00C84BF3">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Introduction and scope</w:t>
      </w:r>
      <w:r>
        <w:rPr>
          <w:noProof/>
        </w:rPr>
        <w:tab/>
        <w:t>3</w:t>
      </w:r>
      <w:r w:rsidR="00CF3BFD">
        <w:rPr>
          <w:noProof/>
        </w:rPr>
        <w:t>1</w:t>
      </w:r>
    </w:p>
    <w:p w:rsidR="00C84BF3" w:rsidRDefault="00C84BF3">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What the Commission has been asked to do</w:t>
      </w:r>
      <w:r>
        <w:rPr>
          <w:noProof/>
        </w:rPr>
        <w:tab/>
        <w:t>3</w:t>
      </w:r>
      <w:r w:rsidR="00CF3BFD">
        <w:rPr>
          <w:noProof/>
        </w:rPr>
        <w:t>1</w:t>
      </w:r>
    </w:p>
    <w:p w:rsidR="00C84BF3" w:rsidRDefault="00C84BF3">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sidR="00CF3BFD">
        <w:rPr>
          <w:noProof/>
        </w:rPr>
        <w:t>Scope of the study</w:t>
      </w:r>
      <w:r w:rsidR="00CF3BFD">
        <w:rPr>
          <w:noProof/>
        </w:rPr>
        <w:tab/>
        <w:t>31</w:t>
      </w:r>
    </w:p>
    <w:p w:rsidR="00C84BF3" w:rsidRDefault="00C84BF3">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sidR="00C87CA4">
        <w:rPr>
          <w:noProof/>
        </w:rPr>
        <w:t>The Commission’s approach</w:t>
      </w:r>
      <w:r w:rsidR="00C87CA4">
        <w:rPr>
          <w:noProof/>
        </w:rPr>
        <w:tab/>
        <w:t>33</w:t>
      </w:r>
    </w:p>
    <w:p w:rsidR="00C84BF3" w:rsidRDefault="00C84BF3">
      <w:pPr>
        <w:pStyle w:val="TOC2"/>
        <w:tabs>
          <w:tab w:val="left" w:pos="1190"/>
        </w:tabs>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sidR="00C87CA4">
        <w:rPr>
          <w:noProof/>
        </w:rPr>
        <w:t>Conduct of the study</w:t>
      </w:r>
      <w:r w:rsidR="00C87CA4">
        <w:rPr>
          <w:noProof/>
        </w:rPr>
        <w:tab/>
        <w:t>34</w:t>
      </w:r>
    </w:p>
    <w:p w:rsidR="00C84BF3" w:rsidRDefault="00C84BF3">
      <w:pPr>
        <w:pStyle w:val="TOC2"/>
        <w:tabs>
          <w:tab w:val="left" w:pos="1190"/>
        </w:tabs>
        <w:rPr>
          <w:rFonts w:asciiTheme="minorHAnsi" w:eastAsiaTheme="minorEastAsia" w:hAnsiTheme="minorHAnsi" w:cstheme="minorBidi"/>
          <w:noProof/>
          <w:sz w:val="22"/>
          <w:szCs w:val="22"/>
          <w:lang w:eastAsia="en-AU"/>
        </w:rPr>
      </w:pPr>
      <w:r>
        <w:rPr>
          <w:noProof/>
        </w:rPr>
        <w:t>1.5</w:t>
      </w:r>
      <w:r>
        <w:rPr>
          <w:rFonts w:asciiTheme="minorHAnsi" w:eastAsiaTheme="minorEastAsia" w:hAnsiTheme="minorHAnsi" w:cstheme="minorBidi"/>
          <w:noProof/>
          <w:sz w:val="22"/>
          <w:szCs w:val="22"/>
          <w:lang w:eastAsia="en-AU"/>
        </w:rPr>
        <w:tab/>
      </w:r>
      <w:r w:rsidR="00C87CA4">
        <w:rPr>
          <w:noProof/>
        </w:rPr>
        <w:t>Structure of the report</w:t>
      </w:r>
      <w:r w:rsidR="00C87CA4">
        <w:rPr>
          <w:noProof/>
        </w:rPr>
        <w:tab/>
        <w:t>35</w:t>
      </w:r>
    </w:p>
    <w:p w:rsidR="00C84BF3" w:rsidRDefault="00C84BF3">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sidR="00C87CA4">
        <w:rPr>
          <w:noProof/>
        </w:rPr>
        <w:t>Snapshot of the industry</w:t>
      </w:r>
      <w:r w:rsidR="00C87CA4">
        <w:rPr>
          <w:noProof/>
        </w:rPr>
        <w:tab/>
        <w:t>37</w:t>
      </w:r>
    </w:p>
    <w:p w:rsidR="00C84BF3" w:rsidRDefault="00C84BF3">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sidR="00C87CA4">
        <w:rPr>
          <w:noProof/>
        </w:rPr>
        <w:t>Retail in Australia</w:t>
      </w:r>
      <w:r w:rsidR="00C87CA4">
        <w:rPr>
          <w:noProof/>
        </w:rPr>
        <w:tab/>
        <w:t>38</w:t>
      </w:r>
    </w:p>
    <w:p w:rsidR="00C84BF3" w:rsidRDefault="00C84BF3">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Retail plays an important role in the economy</w:t>
      </w:r>
      <w:r>
        <w:rPr>
          <w:noProof/>
        </w:rPr>
        <w:tab/>
      </w:r>
      <w:r w:rsidR="00C87CA4">
        <w:rPr>
          <w:noProof/>
        </w:rPr>
        <w:t>40</w:t>
      </w:r>
    </w:p>
    <w:p w:rsidR="00C84BF3" w:rsidRDefault="00C84BF3">
      <w:pPr>
        <w:pStyle w:val="TOC2"/>
        <w:tabs>
          <w:tab w:val="left" w:pos="1190"/>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Performance of</w:t>
      </w:r>
      <w:r w:rsidR="00C87CA4">
        <w:rPr>
          <w:noProof/>
        </w:rPr>
        <w:t xml:space="preserve"> the retail industry</w:t>
      </w:r>
      <w:r w:rsidR="00C87CA4">
        <w:rPr>
          <w:noProof/>
        </w:rPr>
        <w:tab/>
        <w:t>42</w:t>
      </w:r>
    </w:p>
    <w:p w:rsidR="00C84BF3" w:rsidRDefault="00C84BF3">
      <w:pPr>
        <w:pStyle w:val="TOC2"/>
        <w:tabs>
          <w:tab w:val="left" w:pos="1190"/>
        </w:tabs>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sidR="00C87CA4">
        <w:rPr>
          <w:noProof/>
        </w:rPr>
        <w:t>The industry is evolving</w:t>
      </w:r>
      <w:r w:rsidR="00C87CA4">
        <w:rPr>
          <w:noProof/>
        </w:rPr>
        <w:tab/>
        <w:t>47</w:t>
      </w:r>
    </w:p>
    <w:p w:rsidR="00C84BF3" w:rsidRDefault="00C84BF3">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sidR="00C87CA4">
        <w:rPr>
          <w:noProof/>
        </w:rPr>
        <w:t>Retail cost structures</w:t>
      </w:r>
      <w:r w:rsidR="00C87CA4">
        <w:rPr>
          <w:noProof/>
        </w:rPr>
        <w:tab/>
        <w:t>57</w:t>
      </w:r>
    </w:p>
    <w:p w:rsidR="00C84BF3" w:rsidRDefault="00C84BF3">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sidR="00C87CA4">
        <w:rPr>
          <w:noProof/>
        </w:rPr>
        <w:t>Retail cost structures</w:t>
      </w:r>
      <w:r w:rsidR="00C87CA4">
        <w:rPr>
          <w:noProof/>
        </w:rPr>
        <w:tab/>
        <w:t>58</w:t>
      </w:r>
    </w:p>
    <w:p w:rsidR="00C84BF3" w:rsidRDefault="00C84BF3">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Retail cost of doing business over time</w:t>
      </w:r>
      <w:r>
        <w:rPr>
          <w:noProof/>
        </w:rPr>
        <w:tab/>
        <w:t>6</w:t>
      </w:r>
      <w:r w:rsidR="00C87CA4">
        <w:rPr>
          <w:noProof/>
        </w:rPr>
        <w:t>3</w:t>
      </w:r>
    </w:p>
    <w:p w:rsidR="00C84BF3" w:rsidRDefault="00C84BF3">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The main cost drivers</w:t>
      </w:r>
      <w:r>
        <w:rPr>
          <w:noProof/>
        </w:rPr>
        <w:tab/>
      </w:r>
      <w:r w:rsidR="00C87CA4">
        <w:rPr>
          <w:noProof/>
        </w:rPr>
        <w:t>70</w:t>
      </w:r>
    </w:p>
    <w:p w:rsidR="00C84BF3" w:rsidRDefault="00C84BF3">
      <w:pPr>
        <w:pStyle w:val="TOC2"/>
        <w:tabs>
          <w:tab w:val="left" w:pos="1190"/>
        </w:tabs>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How retailers are resp</w:t>
      </w:r>
      <w:r w:rsidR="00C87CA4">
        <w:rPr>
          <w:noProof/>
        </w:rPr>
        <w:t>onding to rising input prices</w:t>
      </w:r>
      <w:r w:rsidR="00C87CA4">
        <w:rPr>
          <w:noProof/>
        </w:rPr>
        <w:tab/>
        <w:t>77</w:t>
      </w:r>
    </w:p>
    <w:p w:rsidR="00160628" w:rsidRDefault="00160628">
      <w:pPr>
        <w:rPr>
          <w:rFonts w:ascii="Arial" w:hAnsi="Arial"/>
          <w:b/>
          <w:noProof/>
          <w:szCs w:val="26"/>
        </w:rPr>
      </w:pPr>
      <w:r>
        <w:rPr>
          <w:noProof/>
        </w:rPr>
        <w:br w:type="page"/>
      </w:r>
    </w:p>
    <w:p w:rsidR="00C84BF3" w:rsidRDefault="00C84BF3">
      <w:pPr>
        <w:pStyle w:val="TOC1"/>
        <w:rPr>
          <w:rFonts w:asciiTheme="minorHAnsi" w:eastAsiaTheme="minorEastAsia" w:hAnsiTheme="minorHAnsi" w:cstheme="minorBidi"/>
          <w:b w:val="0"/>
          <w:noProof/>
          <w:sz w:val="22"/>
          <w:szCs w:val="22"/>
          <w:lang w:eastAsia="en-AU"/>
        </w:rPr>
      </w:pPr>
      <w:r>
        <w:rPr>
          <w:noProof/>
        </w:rPr>
        <w:lastRenderedPageBreak/>
        <w:t>4</w:t>
      </w:r>
      <w:r>
        <w:rPr>
          <w:rFonts w:asciiTheme="minorHAnsi" w:eastAsiaTheme="minorEastAsia" w:hAnsiTheme="minorHAnsi" w:cstheme="minorBidi"/>
          <w:b w:val="0"/>
          <w:noProof/>
          <w:sz w:val="22"/>
          <w:szCs w:val="22"/>
          <w:lang w:eastAsia="en-AU"/>
        </w:rPr>
        <w:tab/>
      </w:r>
      <w:r w:rsidR="00C87CA4">
        <w:rPr>
          <w:noProof/>
        </w:rPr>
        <w:t>Cross-country comparisons</w:t>
      </w:r>
      <w:r w:rsidR="00C87CA4">
        <w:rPr>
          <w:noProof/>
        </w:rPr>
        <w:tab/>
        <w:t>83</w:t>
      </w:r>
    </w:p>
    <w:p w:rsidR="00C84BF3" w:rsidRDefault="00C84BF3">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sidR="00C87CA4">
        <w:rPr>
          <w:noProof/>
        </w:rPr>
        <w:t>Cost comparisons</w:t>
      </w:r>
      <w:r w:rsidR="00C87CA4">
        <w:rPr>
          <w:noProof/>
        </w:rPr>
        <w:tab/>
        <w:t>85</w:t>
      </w:r>
    </w:p>
    <w:p w:rsidR="00C84BF3" w:rsidRDefault="00C84BF3">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sidR="00C87CA4">
        <w:rPr>
          <w:noProof/>
        </w:rPr>
        <w:t>Labour costs</w:t>
      </w:r>
      <w:r w:rsidR="00C87CA4">
        <w:rPr>
          <w:noProof/>
        </w:rPr>
        <w:tab/>
        <w:t>89</w:t>
      </w:r>
    </w:p>
    <w:p w:rsidR="00C84BF3" w:rsidRDefault="00C84BF3">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sidR="00C87CA4">
        <w:rPr>
          <w:noProof/>
        </w:rPr>
        <w:t>Occupancy costs</w:t>
      </w:r>
      <w:r w:rsidR="00C87CA4">
        <w:rPr>
          <w:noProof/>
        </w:rPr>
        <w:tab/>
        <w:t>97</w:t>
      </w:r>
    </w:p>
    <w:p w:rsidR="00C84BF3" w:rsidRDefault="00C84BF3">
      <w:pPr>
        <w:pStyle w:val="TOC2"/>
        <w:tabs>
          <w:tab w:val="left" w:pos="1190"/>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Developments in online retailing</w:t>
      </w:r>
      <w:r>
        <w:rPr>
          <w:noProof/>
        </w:rPr>
        <w:tab/>
      </w:r>
      <w:r w:rsidR="00C87CA4">
        <w:rPr>
          <w:noProof/>
        </w:rPr>
        <w:t>100</w:t>
      </w:r>
    </w:p>
    <w:p w:rsidR="00C84BF3" w:rsidRDefault="00C84BF3">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Trading hours</w:t>
      </w:r>
      <w:r>
        <w:rPr>
          <w:noProof/>
        </w:rPr>
        <w:tab/>
      </w:r>
      <w:r w:rsidR="00C87CA4">
        <w:rPr>
          <w:noProof/>
        </w:rPr>
        <w:t>103</w:t>
      </w:r>
    </w:p>
    <w:p w:rsidR="00C84BF3" w:rsidRDefault="00C84BF3">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Issues</w:t>
      </w:r>
      <w:r>
        <w:rPr>
          <w:noProof/>
        </w:rPr>
        <w:tab/>
      </w:r>
      <w:r w:rsidR="00C87CA4">
        <w:rPr>
          <w:noProof/>
        </w:rPr>
        <w:t>103</w:t>
      </w:r>
    </w:p>
    <w:p w:rsidR="00C84BF3" w:rsidRDefault="00C84BF3">
      <w:pPr>
        <w:pStyle w:val="TOC2"/>
        <w:tabs>
          <w:tab w:val="left" w:pos="1190"/>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sidR="00C87CA4">
        <w:rPr>
          <w:noProof/>
        </w:rPr>
        <w:t>Progress since 2011</w:t>
      </w:r>
      <w:r w:rsidR="00C87CA4">
        <w:rPr>
          <w:noProof/>
        </w:rPr>
        <w:tab/>
        <w:t>104</w:t>
      </w:r>
    </w:p>
    <w:p w:rsidR="00C84BF3" w:rsidRDefault="00C84BF3">
      <w:pPr>
        <w:pStyle w:val="TOC2"/>
        <w:tabs>
          <w:tab w:val="left" w:pos="1190"/>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sidR="00C87CA4">
        <w:rPr>
          <w:noProof/>
        </w:rPr>
        <w:t>The effects of restrictions</w:t>
      </w:r>
      <w:r w:rsidR="00C87CA4">
        <w:rPr>
          <w:noProof/>
        </w:rPr>
        <w:tab/>
        <w:t>106</w:t>
      </w:r>
    </w:p>
    <w:p w:rsidR="00C84BF3" w:rsidRDefault="00C84BF3">
      <w:pPr>
        <w:pStyle w:val="TOC2"/>
        <w:tabs>
          <w:tab w:val="left" w:pos="1190"/>
        </w:tabs>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 xml:space="preserve">Impediments to </w:t>
      </w:r>
      <w:r w:rsidR="00C87CA4">
        <w:rPr>
          <w:noProof/>
        </w:rPr>
        <w:t>reform</w:t>
      </w:r>
      <w:r w:rsidR="00C87CA4">
        <w:rPr>
          <w:noProof/>
        </w:rPr>
        <w:tab/>
        <w:t>119</w:t>
      </w:r>
    </w:p>
    <w:p w:rsidR="00C84BF3" w:rsidRDefault="00C84BF3">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Planning, zoning and retail tenancy leases</w:t>
      </w:r>
      <w:r>
        <w:rPr>
          <w:noProof/>
        </w:rPr>
        <w:tab/>
        <w:t>1</w:t>
      </w:r>
      <w:r w:rsidR="00C87CA4">
        <w:rPr>
          <w:noProof/>
        </w:rPr>
        <w:t>21</w:t>
      </w:r>
    </w:p>
    <w:p w:rsidR="00C84BF3" w:rsidRDefault="00C84BF3">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Introduction</w:t>
      </w:r>
      <w:r>
        <w:rPr>
          <w:noProof/>
        </w:rPr>
        <w:tab/>
        <w:t>1</w:t>
      </w:r>
      <w:r w:rsidR="00C87CA4">
        <w:rPr>
          <w:noProof/>
        </w:rPr>
        <w:t>22</w:t>
      </w:r>
    </w:p>
    <w:p w:rsidR="00C84BF3" w:rsidRDefault="00C84BF3">
      <w:pPr>
        <w:pStyle w:val="TOC2"/>
        <w:tabs>
          <w:tab w:val="left" w:pos="1190"/>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Planning and zoning</w:t>
      </w:r>
      <w:r>
        <w:rPr>
          <w:noProof/>
        </w:rPr>
        <w:tab/>
        <w:t>1</w:t>
      </w:r>
      <w:r w:rsidR="00C87CA4">
        <w:rPr>
          <w:noProof/>
        </w:rPr>
        <w:t>22</w:t>
      </w:r>
    </w:p>
    <w:p w:rsidR="00C84BF3" w:rsidRDefault="00C84BF3">
      <w:pPr>
        <w:pStyle w:val="TOC2"/>
        <w:tabs>
          <w:tab w:val="left" w:pos="1190"/>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sidR="00C87CA4">
        <w:rPr>
          <w:noProof/>
        </w:rPr>
        <w:t>Retail tenancy leases</w:t>
      </w:r>
      <w:r w:rsidR="00C87CA4">
        <w:rPr>
          <w:noProof/>
        </w:rPr>
        <w:tab/>
        <w:t>135</w:t>
      </w:r>
    </w:p>
    <w:p w:rsidR="00C84BF3" w:rsidRDefault="00C84BF3">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Labour cost i</w:t>
      </w:r>
      <w:r w:rsidR="00C87CA4">
        <w:rPr>
          <w:noProof/>
        </w:rPr>
        <w:t>ssues in the retail industry</w:t>
      </w:r>
      <w:r w:rsidR="00C87CA4">
        <w:rPr>
          <w:noProof/>
        </w:rPr>
        <w:tab/>
        <w:t>139</w:t>
      </w:r>
    </w:p>
    <w:p w:rsidR="00C84BF3" w:rsidRDefault="00C84BF3">
      <w:pPr>
        <w:pStyle w:val="TOC2"/>
        <w:tabs>
          <w:tab w:val="left" w:pos="1190"/>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Introduction</w:t>
      </w:r>
      <w:r>
        <w:rPr>
          <w:noProof/>
        </w:rPr>
        <w:tab/>
        <w:t>1</w:t>
      </w:r>
      <w:r w:rsidR="00C87CA4">
        <w:rPr>
          <w:noProof/>
        </w:rPr>
        <w:t>40</w:t>
      </w:r>
    </w:p>
    <w:p w:rsidR="00C84BF3" w:rsidRDefault="00C84BF3">
      <w:pPr>
        <w:pStyle w:val="TOC2"/>
        <w:tabs>
          <w:tab w:val="left" w:pos="1190"/>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Wage setting and outcomes</w:t>
      </w:r>
      <w:r>
        <w:rPr>
          <w:noProof/>
        </w:rPr>
        <w:tab/>
        <w:t>1</w:t>
      </w:r>
      <w:r w:rsidR="00C87CA4">
        <w:rPr>
          <w:noProof/>
        </w:rPr>
        <w:t>41</w:t>
      </w:r>
    </w:p>
    <w:p w:rsidR="00C84BF3" w:rsidRDefault="00C84BF3">
      <w:pPr>
        <w:pStyle w:val="TOC2"/>
        <w:tabs>
          <w:tab w:val="left" w:pos="1190"/>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 xml:space="preserve">Penalty </w:t>
      </w:r>
      <w:r w:rsidR="00C87CA4">
        <w:rPr>
          <w:noProof/>
        </w:rPr>
        <w:t>rates</w:t>
      </w:r>
      <w:r w:rsidR="00C87CA4">
        <w:rPr>
          <w:noProof/>
        </w:rPr>
        <w:tab/>
        <w:t>145</w:t>
      </w:r>
    </w:p>
    <w:p w:rsidR="00C84BF3" w:rsidRDefault="00C84BF3">
      <w:pPr>
        <w:pStyle w:val="TOC2"/>
        <w:tabs>
          <w:tab w:val="left" w:pos="1190"/>
        </w:tabs>
        <w:rPr>
          <w:rFonts w:asciiTheme="minorHAnsi" w:eastAsiaTheme="minorEastAsia" w:hAnsiTheme="minorHAnsi" w:cstheme="minorBidi"/>
          <w:noProof/>
          <w:sz w:val="22"/>
          <w:szCs w:val="22"/>
          <w:lang w:eastAsia="en-AU"/>
        </w:rPr>
      </w:pPr>
      <w:r>
        <w:rPr>
          <w:noProof/>
        </w:rPr>
        <w:t>7.4</w:t>
      </w:r>
      <w:r>
        <w:rPr>
          <w:rFonts w:asciiTheme="minorHAnsi" w:eastAsiaTheme="minorEastAsia" w:hAnsiTheme="minorHAnsi" w:cstheme="minorBidi"/>
          <w:noProof/>
          <w:sz w:val="22"/>
          <w:szCs w:val="22"/>
          <w:lang w:eastAsia="en-AU"/>
        </w:rPr>
        <w:tab/>
      </w:r>
      <w:r w:rsidR="00C87CA4">
        <w:rPr>
          <w:noProof/>
        </w:rPr>
        <w:t>Other matters</w:t>
      </w:r>
      <w:r w:rsidR="00C87CA4">
        <w:rPr>
          <w:noProof/>
        </w:rPr>
        <w:tab/>
        <w:t>149</w:t>
      </w:r>
    </w:p>
    <w:p w:rsidR="00C84BF3" w:rsidRDefault="00C84BF3">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Other costs and regulatory burdens</w:t>
      </w:r>
      <w:r>
        <w:rPr>
          <w:noProof/>
        </w:rPr>
        <w:tab/>
        <w:t>1</w:t>
      </w:r>
      <w:r w:rsidR="00C87CA4">
        <w:rPr>
          <w:noProof/>
        </w:rPr>
        <w:t>51</w:t>
      </w:r>
    </w:p>
    <w:p w:rsidR="00C84BF3" w:rsidRDefault="00C84BF3">
      <w:pPr>
        <w:pStyle w:val="TOC2"/>
        <w:tabs>
          <w:tab w:val="left" w:pos="1190"/>
        </w:tabs>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Introduction</w:t>
      </w:r>
      <w:r>
        <w:rPr>
          <w:noProof/>
        </w:rPr>
        <w:tab/>
        <w:t>1</w:t>
      </w:r>
      <w:r w:rsidR="00C87CA4">
        <w:rPr>
          <w:noProof/>
        </w:rPr>
        <w:t>52</w:t>
      </w:r>
    </w:p>
    <w:p w:rsidR="00C84BF3" w:rsidRDefault="00C84BF3">
      <w:pPr>
        <w:pStyle w:val="TOC2"/>
        <w:tabs>
          <w:tab w:val="left" w:pos="1190"/>
        </w:tabs>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Excessive regulation and compliance costs</w:t>
      </w:r>
      <w:r>
        <w:rPr>
          <w:noProof/>
        </w:rPr>
        <w:tab/>
        <w:t>1</w:t>
      </w:r>
      <w:r w:rsidR="00C87CA4">
        <w:rPr>
          <w:noProof/>
        </w:rPr>
        <w:t>52</w:t>
      </w:r>
    </w:p>
    <w:p w:rsidR="00C84BF3" w:rsidRDefault="00C84BF3">
      <w:pPr>
        <w:pStyle w:val="TOC2"/>
        <w:tabs>
          <w:tab w:val="left" w:pos="1190"/>
        </w:tabs>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sidR="00C87CA4">
        <w:rPr>
          <w:noProof/>
        </w:rPr>
        <w:t>Broader cost pressures</w:t>
      </w:r>
      <w:r w:rsidR="00C87CA4">
        <w:rPr>
          <w:noProof/>
        </w:rPr>
        <w:tab/>
        <w:t>167</w:t>
      </w:r>
    </w:p>
    <w:p w:rsidR="00C84BF3" w:rsidRDefault="00C84BF3">
      <w:pPr>
        <w:pStyle w:val="TOC2"/>
        <w:tabs>
          <w:tab w:val="left" w:pos="1190"/>
        </w:tabs>
        <w:rPr>
          <w:rFonts w:asciiTheme="minorHAnsi" w:eastAsiaTheme="minorEastAsia" w:hAnsiTheme="minorHAnsi" w:cstheme="minorBidi"/>
          <w:noProof/>
          <w:sz w:val="22"/>
          <w:szCs w:val="22"/>
          <w:lang w:eastAsia="en-AU"/>
        </w:rPr>
      </w:pPr>
      <w:r>
        <w:rPr>
          <w:noProof/>
        </w:rPr>
        <w:t>8.4</w:t>
      </w:r>
      <w:r>
        <w:rPr>
          <w:rFonts w:asciiTheme="minorHAnsi" w:eastAsiaTheme="minorEastAsia" w:hAnsiTheme="minorHAnsi" w:cstheme="minorBidi"/>
          <w:noProof/>
          <w:sz w:val="22"/>
          <w:szCs w:val="22"/>
          <w:lang w:eastAsia="en-AU"/>
        </w:rPr>
        <w:tab/>
      </w:r>
      <w:r>
        <w:rPr>
          <w:noProof/>
        </w:rPr>
        <w:t>Other concerns</w:t>
      </w:r>
      <w:r>
        <w:rPr>
          <w:noProof/>
        </w:rPr>
        <w:tab/>
        <w:t>1</w:t>
      </w:r>
      <w:r w:rsidR="00C87CA4">
        <w:rPr>
          <w:noProof/>
        </w:rPr>
        <w:t>70</w:t>
      </w:r>
    </w:p>
    <w:p w:rsidR="00C84BF3" w:rsidRDefault="00C84BF3">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Public Consultation</w:t>
      </w:r>
      <w:r>
        <w:rPr>
          <w:noProof/>
        </w:rPr>
        <w:tab/>
        <w:t>1</w:t>
      </w:r>
      <w:r w:rsidR="00C87CA4">
        <w:rPr>
          <w:noProof/>
        </w:rPr>
        <w:t>75</w:t>
      </w:r>
    </w:p>
    <w:p w:rsidR="00C84BF3" w:rsidRDefault="00C87CA4" w:rsidP="00160628">
      <w:pPr>
        <w:pStyle w:val="TOC1"/>
      </w:pPr>
      <w:r>
        <w:rPr>
          <w:noProof/>
        </w:rPr>
        <w:t>References</w:t>
      </w:r>
      <w:r>
        <w:rPr>
          <w:noProof/>
        </w:rPr>
        <w:tab/>
        <w:t>179</w:t>
      </w:r>
    </w:p>
    <w:p w:rsidR="00C058AB" w:rsidRDefault="00C058AB">
      <w:pPr>
        <w:pStyle w:val="BodyText"/>
      </w:pPr>
    </w:p>
    <w:p w:rsidR="004D3F58" w:rsidRDefault="004D3F58">
      <w:pPr>
        <w:pStyle w:val="BodyText"/>
        <w:sectPr w:rsidR="004D3F58" w:rsidSect="007448F7">
          <w:headerReference w:type="even" r:id="rId19"/>
          <w:headerReference w:type="default" r:id="rId20"/>
          <w:footerReference w:type="even" r:id="rId21"/>
          <w:footerReference w:type="default" r:id="rId22"/>
          <w:type w:val="oddPage"/>
          <w:pgSz w:w="11907" w:h="16840" w:code="9"/>
          <w:pgMar w:top="1985" w:right="1304" w:bottom="1247" w:left="1814" w:header="1701" w:footer="397" w:gutter="0"/>
          <w:pgNumType w:fmt="lowerRoman"/>
          <w:cols w:space="720"/>
        </w:sectPr>
      </w:pPr>
    </w:p>
    <w:p w:rsidR="00735FEA" w:rsidRDefault="00735FEA" w:rsidP="00F60A9B">
      <w:pPr>
        <w:pStyle w:val="Heading1"/>
        <w:spacing w:after="1080"/>
      </w:pPr>
      <w:bookmarkStart w:id="10" w:name="Abbreviations"/>
      <w:bookmarkStart w:id="11" w:name="RDnote"/>
      <w:bookmarkStart w:id="12" w:name="EndContents"/>
      <w:bookmarkStart w:id="13" w:name="_Toc399252314"/>
      <w:bookmarkStart w:id="14" w:name="_Toc399261452"/>
      <w:bookmarkEnd w:id="10"/>
      <w:bookmarkEnd w:id="11"/>
      <w:bookmarkEnd w:id="12"/>
      <w:r>
        <w:lastRenderedPageBreak/>
        <w:t>Abbreviations and explanations</w:t>
      </w:r>
      <w:bookmarkEnd w:id="13"/>
      <w:bookmarkEnd w:id="14"/>
    </w:p>
    <w:p w:rsidR="00735FEA" w:rsidRDefault="00735FEA" w:rsidP="00F60A9B">
      <w:pPr>
        <w:pStyle w:val="Heading2NotTOC"/>
        <w:spacing w:before="480"/>
      </w:pPr>
      <w:r>
        <w:t>Abbrevia</w:t>
      </w:r>
      <w:r w:rsidRPr="00F85393">
        <w:t>t</w:t>
      </w:r>
      <w:r>
        <w:t>ions</w:t>
      </w:r>
    </w:p>
    <w:p w:rsidR="00125B03" w:rsidRPr="00F60A9B" w:rsidRDefault="00125B03" w:rsidP="00125B03">
      <w:pPr>
        <w:pStyle w:val="Abbreviation"/>
        <w:rPr>
          <w:sz w:val="23"/>
          <w:szCs w:val="23"/>
        </w:rPr>
      </w:pPr>
      <w:r w:rsidRPr="00F60A9B">
        <w:rPr>
          <w:sz w:val="23"/>
          <w:szCs w:val="23"/>
        </w:rPr>
        <w:t>ANZSIC</w:t>
      </w:r>
      <w:r w:rsidRPr="00F60A9B">
        <w:rPr>
          <w:sz w:val="23"/>
          <w:szCs w:val="23"/>
        </w:rPr>
        <w:tab/>
        <w:t>Australian and New Zealand Standard Industrial Classification</w:t>
      </w:r>
    </w:p>
    <w:p w:rsidR="00125B03" w:rsidRPr="00F60A9B" w:rsidRDefault="00125B03" w:rsidP="00125B03">
      <w:pPr>
        <w:pStyle w:val="Abbreviation"/>
        <w:rPr>
          <w:sz w:val="23"/>
          <w:szCs w:val="23"/>
        </w:rPr>
      </w:pPr>
      <w:r w:rsidRPr="00F60A9B">
        <w:rPr>
          <w:sz w:val="23"/>
          <w:szCs w:val="23"/>
        </w:rPr>
        <w:t>APVMA</w:t>
      </w:r>
      <w:r w:rsidRPr="00F60A9B">
        <w:rPr>
          <w:sz w:val="23"/>
          <w:szCs w:val="23"/>
        </w:rPr>
        <w:tab/>
        <w:t>Australian Pesticides and Veterinary Medicines Authority</w:t>
      </w:r>
    </w:p>
    <w:p w:rsidR="00125B03" w:rsidRPr="00F60A9B" w:rsidRDefault="00125B03" w:rsidP="00125B03">
      <w:pPr>
        <w:pStyle w:val="Abbreviation"/>
        <w:rPr>
          <w:sz w:val="23"/>
          <w:szCs w:val="23"/>
        </w:rPr>
      </w:pPr>
      <w:r w:rsidRPr="00F60A9B">
        <w:rPr>
          <w:sz w:val="23"/>
          <w:szCs w:val="23"/>
        </w:rPr>
        <w:t>AQIS</w:t>
      </w:r>
      <w:r w:rsidRPr="00F60A9B">
        <w:rPr>
          <w:sz w:val="23"/>
          <w:szCs w:val="23"/>
        </w:rPr>
        <w:tab/>
        <w:t>Australian Quarantine and Inspection Service</w:t>
      </w:r>
    </w:p>
    <w:p w:rsidR="00125B03" w:rsidRPr="00F60A9B" w:rsidRDefault="00125B03" w:rsidP="00125B03">
      <w:pPr>
        <w:pStyle w:val="Abbreviation"/>
        <w:rPr>
          <w:sz w:val="23"/>
          <w:szCs w:val="23"/>
        </w:rPr>
      </w:pPr>
      <w:r w:rsidRPr="00F60A9B">
        <w:rPr>
          <w:sz w:val="23"/>
          <w:szCs w:val="23"/>
        </w:rPr>
        <w:t>BLS</w:t>
      </w:r>
      <w:r w:rsidRPr="00F60A9B">
        <w:rPr>
          <w:sz w:val="23"/>
          <w:szCs w:val="23"/>
        </w:rPr>
        <w:tab/>
        <w:t xml:space="preserve">The Bureau of </w:t>
      </w:r>
      <w:proofErr w:type="spellStart"/>
      <w:r w:rsidRPr="00F60A9B">
        <w:rPr>
          <w:sz w:val="23"/>
          <w:szCs w:val="23"/>
        </w:rPr>
        <w:t>Labor</w:t>
      </w:r>
      <w:proofErr w:type="spellEnd"/>
      <w:r w:rsidRPr="00F60A9B">
        <w:rPr>
          <w:sz w:val="23"/>
          <w:szCs w:val="23"/>
        </w:rPr>
        <w:t xml:space="preserve"> Statistics (US)</w:t>
      </w:r>
    </w:p>
    <w:p w:rsidR="00125B03" w:rsidRPr="00F60A9B" w:rsidRDefault="00125B03" w:rsidP="00125B03">
      <w:pPr>
        <w:pStyle w:val="Abbreviation"/>
        <w:rPr>
          <w:sz w:val="23"/>
          <w:szCs w:val="23"/>
        </w:rPr>
      </w:pPr>
      <w:r w:rsidRPr="00F60A9B">
        <w:rPr>
          <w:sz w:val="23"/>
          <w:szCs w:val="23"/>
        </w:rPr>
        <w:t>CODB</w:t>
      </w:r>
      <w:r w:rsidRPr="00F60A9B">
        <w:rPr>
          <w:sz w:val="23"/>
          <w:szCs w:val="23"/>
        </w:rPr>
        <w:tab/>
        <w:t>cost of doing business</w:t>
      </w:r>
    </w:p>
    <w:p w:rsidR="00125B03" w:rsidRPr="00F60A9B" w:rsidRDefault="00125B03" w:rsidP="00125B03">
      <w:pPr>
        <w:pStyle w:val="Abbreviation"/>
        <w:rPr>
          <w:sz w:val="23"/>
          <w:szCs w:val="23"/>
        </w:rPr>
      </w:pPr>
      <w:r w:rsidRPr="00F60A9B">
        <w:rPr>
          <w:sz w:val="23"/>
          <w:szCs w:val="23"/>
        </w:rPr>
        <w:t>COGS</w:t>
      </w:r>
      <w:r w:rsidRPr="00F60A9B">
        <w:rPr>
          <w:sz w:val="23"/>
          <w:szCs w:val="23"/>
        </w:rPr>
        <w:tab/>
        <w:t>cost of goods sold</w:t>
      </w:r>
    </w:p>
    <w:p w:rsidR="00125B03" w:rsidRPr="00F60A9B" w:rsidRDefault="00125B03" w:rsidP="00125B03">
      <w:pPr>
        <w:pStyle w:val="Abbreviation"/>
        <w:rPr>
          <w:sz w:val="23"/>
          <w:szCs w:val="23"/>
        </w:rPr>
      </w:pPr>
      <w:r w:rsidRPr="00F60A9B">
        <w:rPr>
          <w:sz w:val="23"/>
          <w:szCs w:val="23"/>
        </w:rPr>
        <w:t>FFIA</w:t>
      </w:r>
      <w:r w:rsidRPr="00F60A9B">
        <w:rPr>
          <w:sz w:val="23"/>
          <w:szCs w:val="23"/>
        </w:rPr>
        <w:tab/>
        <w:t>Fast Food Industry Award</w:t>
      </w:r>
    </w:p>
    <w:p w:rsidR="00125B03" w:rsidRPr="00F60A9B" w:rsidRDefault="00125B03" w:rsidP="00125B03">
      <w:pPr>
        <w:pStyle w:val="Abbreviation"/>
        <w:rPr>
          <w:sz w:val="23"/>
          <w:szCs w:val="23"/>
        </w:rPr>
      </w:pPr>
      <w:r w:rsidRPr="00F60A9B">
        <w:rPr>
          <w:sz w:val="23"/>
          <w:szCs w:val="23"/>
        </w:rPr>
        <w:t>FSANZ</w:t>
      </w:r>
      <w:r w:rsidRPr="00F60A9B">
        <w:rPr>
          <w:sz w:val="23"/>
          <w:szCs w:val="23"/>
        </w:rPr>
        <w:tab/>
        <w:t>Food Standards Australia New Zealand</w:t>
      </w:r>
    </w:p>
    <w:p w:rsidR="00125B03" w:rsidRPr="00F60A9B" w:rsidRDefault="00125B03" w:rsidP="00125B03">
      <w:pPr>
        <w:pStyle w:val="Abbreviation"/>
        <w:rPr>
          <w:sz w:val="23"/>
          <w:szCs w:val="23"/>
        </w:rPr>
      </w:pPr>
      <w:r w:rsidRPr="00F60A9B">
        <w:rPr>
          <w:sz w:val="23"/>
          <w:szCs w:val="23"/>
        </w:rPr>
        <w:t>GRIA</w:t>
      </w:r>
      <w:r w:rsidRPr="00F60A9B">
        <w:rPr>
          <w:sz w:val="23"/>
          <w:szCs w:val="23"/>
        </w:rPr>
        <w:tab/>
        <w:t>General Retail Industry Award</w:t>
      </w:r>
    </w:p>
    <w:p w:rsidR="00125B03" w:rsidRPr="00F60A9B" w:rsidRDefault="00125B03" w:rsidP="00125B03">
      <w:pPr>
        <w:pStyle w:val="Abbreviation"/>
        <w:rPr>
          <w:sz w:val="23"/>
          <w:szCs w:val="23"/>
        </w:rPr>
      </w:pPr>
      <w:r w:rsidRPr="00F60A9B">
        <w:rPr>
          <w:sz w:val="23"/>
          <w:szCs w:val="23"/>
        </w:rPr>
        <w:t>HBIA</w:t>
      </w:r>
      <w:r w:rsidRPr="00F60A9B">
        <w:rPr>
          <w:sz w:val="23"/>
          <w:szCs w:val="23"/>
        </w:rPr>
        <w:tab/>
        <w:t>Hair and Beauty Industry Award</w:t>
      </w:r>
    </w:p>
    <w:p w:rsidR="00125B03" w:rsidRPr="00F60A9B" w:rsidRDefault="00125B03" w:rsidP="00125B03">
      <w:pPr>
        <w:pStyle w:val="Abbreviation"/>
        <w:rPr>
          <w:sz w:val="23"/>
          <w:szCs w:val="23"/>
        </w:rPr>
      </w:pPr>
      <w:r w:rsidRPr="00F60A9B">
        <w:rPr>
          <w:sz w:val="23"/>
          <w:szCs w:val="23"/>
        </w:rPr>
        <w:t>MFP</w:t>
      </w:r>
      <w:r w:rsidRPr="00F60A9B">
        <w:rPr>
          <w:sz w:val="23"/>
          <w:szCs w:val="23"/>
        </w:rPr>
        <w:tab/>
        <w:t>multifactor productivity</w:t>
      </w:r>
    </w:p>
    <w:p w:rsidR="00125B03" w:rsidRPr="00F60A9B" w:rsidRDefault="00125B03" w:rsidP="00125B03">
      <w:pPr>
        <w:pStyle w:val="Abbreviation"/>
        <w:rPr>
          <w:sz w:val="23"/>
          <w:szCs w:val="23"/>
        </w:rPr>
      </w:pPr>
      <w:r w:rsidRPr="00F60A9B">
        <w:rPr>
          <w:sz w:val="23"/>
          <w:szCs w:val="23"/>
        </w:rPr>
        <w:t>NAICS</w:t>
      </w:r>
      <w:r w:rsidRPr="00F60A9B">
        <w:rPr>
          <w:sz w:val="23"/>
          <w:szCs w:val="23"/>
        </w:rPr>
        <w:tab/>
        <w:t>North American Industry Classification System</w:t>
      </w:r>
    </w:p>
    <w:p w:rsidR="00125B03" w:rsidRPr="00F60A9B" w:rsidRDefault="00125B03" w:rsidP="00125B03">
      <w:pPr>
        <w:pStyle w:val="Abbreviation"/>
        <w:rPr>
          <w:sz w:val="23"/>
          <w:szCs w:val="23"/>
        </w:rPr>
      </w:pPr>
      <w:r w:rsidRPr="00F60A9B">
        <w:rPr>
          <w:sz w:val="23"/>
          <w:szCs w:val="23"/>
        </w:rPr>
        <w:t>NCSL</w:t>
      </w:r>
      <w:r w:rsidRPr="00F60A9B">
        <w:rPr>
          <w:sz w:val="23"/>
          <w:szCs w:val="23"/>
        </w:rPr>
        <w:tab/>
        <w:t>National Conference of State Legislatures</w:t>
      </w:r>
    </w:p>
    <w:p w:rsidR="00125B03" w:rsidRPr="00F60A9B" w:rsidRDefault="00125B03" w:rsidP="00125B03">
      <w:pPr>
        <w:pStyle w:val="Abbreviation"/>
        <w:rPr>
          <w:sz w:val="23"/>
          <w:szCs w:val="23"/>
        </w:rPr>
      </w:pPr>
      <w:r w:rsidRPr="00F60A9B">
        <w:rPr>
          <w:sz w:val="23"/>
          <w:szCs w:val="23"/>
        </w:rPr>
        <w:t>NICNAS</w:t>
      </w:r>
      <w:r w:rsidRPr="00F60A9B">
        <w:rPr>
          <w:sz w:val="23"/>
          <w:szCs w:val="23"/>
        </w:rPr>
        <w:tab/>
        <w:t>National Industrial Chemicals Notification and Assessment Scheme</w:t>
      </w:r>
    </w:p>
    <w:p w:rsidR="00125B03" w:rsidRPr="00F60A9B" w:rsidRDefault="00125B03" w:rsidP="00125B03">
      <w:pPr>
        <w:pStyle w:val="Abbreviation"/>
        <w:rPr>
          <w:sz w:val="23"/>
          <w:szCs w:val="23"/>
        </w:rPr>
      </w:pPr>
      <w:r w:rsidRPr="00F60A9B">
        <w:rPr>
          <w:sz w:val="23"/>
          <w:szCs w:val="23"/>
        </w:rPr>
        <w:t>NMI</w:t>
      </w:r>
      <w:r w:rsidRPr="00F60A9B">
        <w:rPr>
          <w:sz w:val="23"/>
          <w:szCs w:val="23"/>
        </w:rPr>
        <w:tab/>
        <w:t>National Measurement Institute</w:t>
      </w:r>
    </w:p>
    <w:p w:rsidR="00125B03" w:rsidRPr="00F60A9B" w:rsidRDefault="00125B03" w:rsidP="00125B03">
      <w:pPr>
        <w:pStyle w:val="Abbreviation"/>
        <w:rPr>
          <w:sz w:val="23"/>
          <w:szCs w:val="23"/>
        </w:rPr>
      </w:pPr>
      <w:r w:rsidRPr="00F60A9B">
        <w:rPr>
          <w:sz w:val="23"/>
          <w:szCs w:val="23"/>
        </w:rPr>
        <w:t>NTC</w:t>
      </w:r>
      <w:r w:rsidRPr="00F60A9B">
        <w:rPr>
          <w:sz w:val="23"/>
          <w:szCs w:val="23"/>
        </w:rPr>
        <w:tab/>
        <w:t>National Transport Commission</w:t>
      </w:r>
      <w:r w:rsidRPr="00F60A9B">
        <w:rPr>
          <w:sz w:val="23"/>
          <w:szCs w:val="23"/>
        </w:rPr>
        <w:tab/>
      </w:r>
    </w:p>
    <w:p w:rsidR="00125B03" w:rsidRPr="00F60A9B" w:rsidRDefault="00125B03" w:rsidP="00125B03">
      <w:pPr>
        <w:pStyle w:val="Abbreviation"/>
        <w:rPr>
          <w:sz w:val="23"/>
          <w:szCs w:val="23"/>
        </w:rPr>
      </w:pPr>
      <w:r w:rsidRPr="00F60A9B">
        <w:rPr>
          <w:sz w:val="23"/>
          <w:szCs w:val="23"/>
        </w:rPr>
        <w:t>ONS</w:t>
      </w:r>
      <w:r w:rsidRPr="00F60A9B">
        <w:rPr>
          <w:sz w:val="23"/>
          <w:szCs w:val="23"/>
        </w:rPr>
        <w:tab/>
        <w:t>Office for National Statistics (United Kingdom)</w:t>
      </w:r>
    </w:p>
    <w:p w:rsidR="00125B03" w:rsidRPr="00F60A9B" w:rsidRDefault="00125B03" w:rsidP="00125B03">
      <w:pPr>
        <w:pStyle w:val="Abbreviation"/>
        <w:rPr>
          <w:sz w:val="23"/>
          <w:szCs w:val="23"/>
        </w:rPr>
      </w:pPr>
      <w:r w:rsidRPr="00F60A9B">
        <w:rPr>
          <w:sz w:val="23"/>
          <w:szCs w:val="23"/>
        </w:rPr>
        <w:t>PC</w:t>
      </w:r>
      <w:r w:rsidRPr="00F60A9B">
        <w:rPr>
          <w:sz w:val="23"/>
          <w:szCs w:val="23"/>
        </w:rPr>
        <w:tab/>
        <w:t>Productivity Commission</w:t>
      </w:r>
    </w:p>
    <w:p w:rsidR="00125B03" w:rsidRPr="00F60A9B" w:rsidRDefault="00125B03" w:rsidP="00125B03">
      <w:pPr>
        <w:pStyle w:val="Abbreviation"/>
        <w:rPr>
          <w:sz w:val="23"/>
          <w:szCs w:val="23"/>
        </w:rPr>
      </w:pPr>
      <w:r w:rsidRPr="00F60A9B">
        <w:rPr>
          <w:sz w:val="23"/>
          <w:szCs w:val="23"/>
        </w:rPr>
        <w:t>PPP</w:t>
      </w:r>
      <w:r w:rsidRPr="00F60A9B">
        <w:rPr>
          <w:sz w:val="23"/>
          <w:szCs w:val="23"/>
        </w:rPr>
        <w:tab/>
        <w:t>purchasing power parity</w:t>
      </w:r>
    </w:p>
    <w:p w:rsidR="00125B03" w:rsidRPr="00F60A9B" w:rsidRDefault="00125B03" w:rsidP="00125B03">
      <w:pPr>
        <w:pStyle w:val="Abbreviation"/>
        <w:rPr>
          <w:sz w:val="23"/>
          <w:szCs w:val="23"/>
        </w:rPr>
      </w:pPr>
      <w:r w:rsidRPr="00F60A9B">
        <w:rPr>
          <w:sz w:val="23"/>
          <w:szCs w:val="23"/>
        </w:rPr>
        <w:t>TGA</w:t>
      </w:r>
      <w:r w:rsidRPr="00F60A9B">
        <w:rPr>
          <w:sz w:val="23"/>
          <w:szCs w:val="23"/>
        </w:rPr>
        <w:tab/>
        <w:t>Therapeutic Goods Administration</w:t>
      </w:r>
    </w:p>
    <w:p w:rsidR="00125B03" w:rsidRPr="00F60A9B" w:rsidRDefault="00125B03" w:rsidP="00125B03">
      <w:pPr>
        <w:pStyle w:val="Abbreviation"/>
        <w:rPr>
          <w:sz w:val="23"/>
          <w:szCs w:val="23"/>
        </w:rPr>
      </w:pPr>
      <w:r w:rsidRPr="00F60A9B">
        <w:rPr>
          <w:sz w:val="23"/>
          <w:szCs w:val="23"/>
        </w:rPr>
        <w:t>USCB</w:t>
      </w:r>
      <w:r w:rsidRPr="00F60A9B">
        <w:rPr>
          <w:sz w:val="23"/>
          <w:szCs w:val="23"/>
        </w:rPr>
        <w:tab/>
        <w:t>United States Census Bureau</w:t>
      </w:r>
    </w:p>
    <w:p w:rsidR="00125B03" w:rsidRPr="00F60A9B" w:rsidRDefault="00125B03" w:rsidP="00125B03">
      <w:pPr>
        <w:pStyle w:val="Abbreviation"/>
        <w:rPr>
          <w:sz w:val="23"/>
          <w:szCs w:val="23"/>
        </w:rPr>
      </w:pPr>
      <w:r w:rsidRPr="00F60A9B">
        <w:rPr>
          <w:sz w:val="23"/>
          <w:szCs w:val="23"/>
        </w:rPr>
        <w:t>WPI</w:t>
      </w:r>
      <w:r w:rsidRPr="00F60A9B">
        <w:rPr>
          <w:sz w:val="23"/>
          <w:szCs w:val="23"/>
        </w:rPr>
        <w:tab/>
        <w:t>wage price index</w:t>
      </w:r>
    </w:p>
    <w:p w:rsidR="00735FEA" w:rsidRDefault="00735FEA" w:rsidP="00F60A9B">
      <w:pPr>
        <w:pStyle w:val="Heading2NotTOC"/>
        <w:spacing w:before="480"/>
      </w:pPr>
      <w:r>
        <w:t>Explanations</w:t>
      </w:r>
    </w:p>
    <w:tbl>
      <w:tblPr>
        <w:tblW w:w="0" w:type="auto"/>
        <w:tblCellMar>
          <w:left w:w="0" w:type="dxa"/>
          <w:right w:w="0" w:type="dxa"/>
        </w:tblCellMar>
        <w:tblLook w:val="0000" w:firstRow="0" w:lastRow="0" w:firstColumn="0" w:lastColumn="0" w:noHBand="0" w:noVBand="0"/>
      </w:tblPr>
      <w:tblGrid>
        <w:gridCol w:w="2410"/>
        <w:gridCol w:w="6379"/>
      </w:tblGrid>
      <w:tr w:rsidR="00735FEA" w:rsidTr="000A5E12">
        <w:tc>
          <w:tcPr>
            <w:tcW w:w="2410" w:type="dxa"/>
          </w:tcPr>
          <w:p w:rsidR="00735FEA" w:rsidRDefault="00735FEA">
            <w:pPr>
              <w:pStyle w:val="BodyText"/>
              <w:spacing w:before="120"/>
              <w:ind w:right="6"/>
            </w:pPr>
            <w:r>
              <w:t>Billion</w:t>
            </w:r>
          </w:p>
        </w:tc>
        <w:tc>
          <w:tcPr>
            <w:tcW w:w="6379" w:type="dxa"/>
          </w:tcPr>
          <w:p w:rsidR="00735FEA" w:rsidRDefault="00735FEA">
            <w:pPr>
              <w:pStyle w:val="BodyText"/>
              <w:spacing w:before="120"/>
              <w:ind w:left="227" w:right="6"/>
            </w:pPr>
            <w:r>
              <w:t>The convention used for a billion is a thousand million (10</w:t>
            </w:r>
            <w:r>
              <w:rPr>
                <w:position w:val="6"/>
                <w:sz w:val="22"/>
              </w:rPr>
              <w:t>9</w:t>
            </w:r>
            <w:r>
              <w:t>).</w:t>
            </w:r>
          </w:p>
        </w:tc>
      </w:tr>
    </w:tbl>
    <w:p w:rsidR="00C84BF3" w:rsidRPr="004A2030" w:rsidRDefault="00C84BF3" w:rsidP="004A2030">
      <w:pPr>
        <w:pStyle w:val="BodyText"/>
        <w:rPr>
          <w:rStyle w:val="CommentReference"/>
          <w:b w:val="0"/>
          <w:vanish w:val="0"/>
          <w:color w:val="auto"/>
          <w:sz w:val="24"/>
        </w:rPr>
      </w:pPr>
      <w:bookmarkStart w:id="15" w:name="Glossary"/>
      <w:bookmarkEnd w:id="15"/>
    </w:p>
    <w:sectPr w:rsidR="00C84BF3" w:rsidRPr="004A2030" w:rsidSect="00585B3F">
      <w:headerReference w:type="even" r:id="rId23"/>
      <w:headerReference w:type="default" r:id="rId24"/>
      <w:footerReference w:type="even" r:id="rId25"/>
      <w:footerReference w:type="default" r:id="rId26"/>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5B03" w:rsidRDefault="00125B03">
      <w:r>
        <w:separator/>
      </w:r>
    </w:p>
    <w:p w:rsidR="00125B03" w:rsidRDefault="00125B03"/>
    <w:p w:rsidR="00125B03" w:rsidRDefault="00125B03"/>
  </w:endnote>
  <w:endnote w:type="continuationSeparator" w:id="0">
    <w:p w:rsidR="00125B03" w:rsidRDefault="00125B03">
      <w:r>
        <w:continuationSeparator/>
      </w:r>
    </w:p>
    <w:p w:rsidR="00125B03" w:rsidRDefault="00125B03"/>
    <w:p w:rsidR="00125B03" w:rsidRDefault="00125B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25B03" w:rsidTr="005F48ED">
      <w:trPr>
        <w:trHeight w:hRule="exact" w:val="567"/>
      </w:trPr>
      <w:tc>
        <w:tcPr>
          <w:tcW w:w="510" w:type="dxa"/>
        </w:tcPr>
        <w:p w:rsidR="00125B03" w:rsidRPr="00A24443" w:rsidRDefault="00125B03"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250910">
            <w:rPr>
              <w:rStyle w:val="PageNumber"/>
              <w:caps w:val="0"/>
              <w:noProof/>
            </w:rPr>
            <w:t>iv</w:t>
          </w:r>
          <w:r w:rsidRPr="00A24443">
            <w:rPr>
              <w:rStyle w:val="PageNumber"/>
              <w:caps w:val="0"/>
            </w:rPr>
            <w:fldChar w:fldCharType="end"/>
          </w:r>
        </w:p>
      </w:tc>
      <w:tc>
        <w:tcPr>
          <w:tcW w:w="7767" w:type="dxa"/>
        </w:tcPr>
        <w:p w:rsidR="00125B03" w:rsidRPr="0013739A" w:rsidRDefault="00125B03" w:rsidP="00631DA4">
          <w:pPr>
            <w:pStyle w:val="Footer"/>
            <w:rPr>
              <w:rFonts w:cs="Arial"/>
            </w:rPr>
          </w:pPr>
          <w:r w:rsidRPr="00BA5B14">
            <w:rPr>
              <w:rFonts w:cs="Arial"/>
            </w:rPr>
            <w:fldChar w:fldCharType="begin"/>
          </w:r>
          <w:r w:rsidRPr="00BA5B14">
            <w:rPr>
              <w:rFonts w:cs="Arial"/>
            </w:rPr>
            <w:instrText xml:space="preserve"> </w:instrText>
          </w:r>
          <w:r>
            <w:rPr>
              <w:rFonts w:cs="Arial"/>
            </w:rPr>
            <w:instrText>title</w:instrText>
          </w:r>
          <w:r w:rsidRPr="00BA5B14">
            <w:rPr>
              <w:rFonts w:cs="Arial"/>
            </w:rPr>
            <w:instrText xml:space="preserve"> </w:instrText>
          </w:r>
          <w:r w:rsidRPr="00BA5B14">
            <w:rPr>
              <w:rFonts w:cs="Arial"/>
            </w:rPr>
            <w:fldChar w:fldCharType="end"/>
          </w:r>
        </w:p>
      </w:tc>
      <w:tc>
        <w:tcPr>
          <w:tcW w:w="510" w:type="dxa"/>
        </w:tcPr>
        <w:p w:rsidR="00125B03" w:rsidRDefault="00125B03" w:rsidP="0019293B">
          <w:pPr>
            <w:pStyle w:val="Footer"/>
          </w:pPr>
        </w:p>
      </w:tc>
    </w:tr>
  </w:tbl>
  <w:p w:rsidR="00125B03" w:rsidRDefault="00125B03"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25B03" w:rsidTr="005F48ED">
      <w:trPr>
        <w:trHeight w:hRule="exact" w:val="567"/>
      </w:trPr>
      <w:tc>
        <w:tcPr>
          <w:tcW w:w="510" w:type="dxa"/>
        </w:tcPr>
        <w:p w:rsidR="00125B03" w:rsidRDefault="00125B03">
          <w:pPr>
            <w:pStyle w:val="Footer"/>
            <w:ind w:right="360" w:firstLine="360"/>
          </w:pPr>
        </w:p>
      </w:tc>
      <w:tc>
        <w:tcPr>
          <w:tcW w:w="7767" w:type="dxa"/>
        </w:tcPr>
        <w:p w:rsidR="00125B03" w:rsidRPr="00160417" w:rsidRDefault="00125B03" w:rsidP="00160417">
          <w:pPr>
            <w:pStyle w:val="Footer"/>
            <w:jc w:val="right"/>
            <w:rPr>
              <w:rFonts w:cs="Arial"/>
            </w:rPr>
          </w:pPr>
          <w:r w:rsidRPr="00160417">
            <w:rPr>
              <w:noProof/>
            </w:rPr>
            <w:fldChar w:fldCharType="begin"/>
          </w:r>
          <w:r w:rsidRPr="00160417">
            <w:rPr>
              <w:noProof/>
            </w:rPr>
            <w:instrText xml:space="preserve"> STYLEREF "Heading 1" \* MERGEFORMAT </w:instrText>
          </w:r>
          <w:r w:rsidRPr="00160417">
            <w:rPr>
              <w:noProof/>
            </w:rPr>
            <w:fldChar w:fldCharType="separate"/>
          </w:r>
          <w:r w:rsidR="00372656" w:rsidRPr="00372656">
            <w:rPr>
              <w:bCs/>
              <w:noProof/>
              <w:lang w:val="en-US"/>
            </w:rPr>
            <w:t>Foreword</w:t>
          </w:r>
          <w:r w:rsidRPr="00160417">
            <w:rPr>
              <w:noProof/>
            </w:rPr>
            <w:fldChar w:fldCharType="end"/>
          </w:r>
        </w:p>
      </w:tc>
      <w:tc>
        <w:tcPr>
          <w:tcW w:w="510" w:type="dxa"/>
        </w:tcPr>
        <w:p w:rsidR="00125B03" w:rsidRPr="00634771" w:rsidRDefault="00125B03">
          <w:pPr>
            <w:pStyle w:val="Footer"/>
            <w:jc w:val="right"/>
            <w:rPr>
              <w:caps w:val="0"/>
            </w:rPr>
          </w:pPr>
          <w:r w:rsidRPr="00634771">
            <w:rPr>
              <w:rStyle w:val="PageNumber"/>
              <w:caps w:val="0"/>
            </w:rPr>
            <w:fldChar w:fldCharType="begin"/>
          </w:r>
          <w:r w:rsidRPr="00634771">
            <w:rPr>
              <w:rStyle w:val="PageNumber"/>
              <w:caps w:val="0"/>
            </w:rPr>
            <w:instrText xml:space="preserve">PAGE  </w:instrText>
          </w:r>
          <w:r w:rsidRPr="00634771">
            <w:rPr>
              <w:rStyle w:val="PageNumber"/>
              <w:caps w:val="0"/>
            </w:rPr>
            <w:fldChar w:fldCharType="separate"/>
          </w:r>
          <w:r w:rsidR="00372656">
            <w:rPr>
              <w:rStyle w:val="PageNumber"/>
              <w:caps w:val="0"/>
              <w:noProof/>
            </w:rPr>
            <w:t>iii</w:t>
          </w:r>
          <w:r w:rsidRPr="00634771">
            <w:rPr>
              <w:rStyle w:val="PageNumber"/>
              <w:caps w:val="0"/>
            </w:rPr>
            <w:fldChar w:fldCharType="end"/>
          </w:r>
        </w:p>
      </w:tc>
    </w:tr>
  </w:tbl>
  <w:p w:rsidR="00125B03" w:rsidRDefault="00125B03">
    <w:pPr>
      <w:pStyle w:val="FooterEnd"/>
    </w:pPr>
  </w:p>
  <w:p w:rsidR="00125B03" w:rsidRDefault="00125B03">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25B03" w:rsidTr="005F48ED">
      <w:trPr>
        <w:trHeight w:hRule="exact" w:val="567"/>
      </w:trPr>
      <w:tc>
        <w:tcPr>
          <w:tcW w:w="510" w:type="dxa"/>
        </w:tcPr>
        <w:p w:rsidR="00125B03" w:rsidRPr="00752FFF" w:rsidRDefault="00125B03" w:rsidP="0019293B">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372656">
            <w:rPr>
              <w:rStyle w:val="PageNumber"/>
              <w:caps w:val="0"/>
              <w:noProof/>
            </w:rPr>
            <w:t>iv</w:t>
          </w:r>
          <w:r w:rsidRPr="00752FFF">
            <w:rPr>
              <w:rStyle w:val="PageNumber"/>
              <w:caps w:val="0"/>
            </w:rPr>
            <w:fldChar w:fldCharType="end"/>
          </w:r>
        </w:p>
      </w:tc>
      <w:tc>
        <w:tcPr>
          <w:tcW w:w="7767" w:type="dxa"/>
        </w:tcPr>
        <w:p w:rsidR="00125B03" w:rsidRPr="0013739A" w:rsidRDefault="00CA1F78" w:rsidP="004978C5">
          <w:pPr>
            <w:pStyle w:val="Footer"/>
            <w:rPr>
              <w:rFonts w:cs="Arial"/>
            </w:rPr>
          </w:pPr>
          <w:r>
            <w:rPr>
              <w:rFonts w:ascii="ArialMT" w:hAnsi="ArialMT" w:cs="ArialMT"/>
              <w:szCs w:val="16"/>
              <w:lang w:eastAsia="en-AU"/>
            </w:rPr>
            <w:t>COST OF DOING BUSINESS - RETAIL</w:t>
          </w:r>
          <w:r w:rsidR="00125B03" w:rsidRPr="00BA5B14">
            <w:rPr>
              <w:rFonts w:cs="Arial"/>
            </w:rPr>
            <w:fldChar w:fldCharType="begin"/>
          </w:r>
          <w:r w:rsidR="00125B03">
            <w:rPr>
              <w:rFonts w:cs="Arial"/>
            </w:rPr>
            <w:instrText xml:space="preserve"> TITLE</w:instrText>
          </w:r>
          <w:r w:rsidR="00125B03" w:rsidRPr="00BA5B14">
            <w:rPr>
              <w:rFonts w:cs="Arial"/>
            </w:rPr>
            <w:instrText xml:space="preserve"> </w:instrText>
          </w:r>
          <w:r w:rsidR="00125B03" w:rsidRPr="00BA5B14">
            <w:rPr>
              <w:rFonts w:cs="Arial"/>
            </w:rPr>
            <w:fldChar w:fldCharType="end"/>
          </w:r>
        </w:p>
      </w:tc>
      <w:tc>
        <w:tcPr>
          <w:tcW w:w="510" w:type="dxa"/>
        </w:tcPr>
        <w:p w:rsidR="00125B03" w:rsidRDefault="00125B03" w:rsidP="0019293B">
          <w:pPr>
            <w:pStyle w:val="Footer"/>
          </w:pPr>
        </w:p>
      </w:tc>
    </w:tr>
  </w:tbl>
  <w:p w:rsidR="00125B03" w:rsidRDefault="00125B03" w:rsidP="0019293B">
    <w:pPr>
      <w:pStyle w:val="FooterEnd"/>
    </w:pPr>
  </w:p>
  <w:p w:rsidR="00125B03" w:rsidRDefault="00125B03">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25B03" w:rsidTr="005F48ED">
      <w:trPr>
        <w:trHeight w:hRule="exact" w:val="567"/>
      </w:trPr>
      <w:tc>
        <w:tcPr>
          <w:tcW w:w="510" w:type="dxa"/>
        </w:tcPr>
        <w:p w:rsidR="00125B03" w:rsidRDefault="00125B03">
          <w:pPr>
            <w:pStyle w:val="Footer"/>
            <w:ind w:right="360" w:firstLine="360"/>
          </w:pPr>
        </w:p>
      </w:tc>
      <w:tc>
        <w:tcPr>
          <w:tcW w:w="7767" w:type="dxa"/>
        </w:tcPr>
        <w:p w:rsidR="00125B03" w:rsidRPr="00752FFF" w:rsidRDefault="00125B03" w:rsidP="00752FFF">
          <w:pPr>
            <w:pStyle w:val="Footer"/>
            <w:jc w:val="right"/>
            <w:rPr>
              <w:rFonts w:cs="Arial"/>
            </w:rPr>
          </w:pPr>
          <w:r w:rsidRPr="00752FFF">
            <w:rPr>
              <w:noProof/>
            </w:rPr>
            <w:fldChar w:fldCharType="begin"/>
          </w:r>
          <w:r w:rsidRPr="00752FFF">
            <w:rPr>
              <w:noProof/>
            </w:rPr>
            <w:instrText xml:space="preserve"> STYLEREF "Heading 1" \* MERGEFORMAT </w:instrText>
          </w:r>
          <w:r w:rsidRPr="00752FFF">
            <w:rPr>
              <w:noProof/>
            </w:rPr>
            <w:fldChar w:fldCharType="separate"/>
          </w:r>
          <w:r w:rsidR="00250910" w:rsidRPr="00250910">
            <w:rPr>
              <w:bCs/>
              <w:noProof/>
              <w:lang w:val="en-US"/>
            </w:rPr>
            <w:t>Terms</w:t>
          </w:r>
          <w:r w:rsidR="00250910">
            <w:rPr>
              <w:noProof/>
            </w:rPr>
            <w:t xml:space="preserve"> of reference</w:t>
          </w:r>
          <w:r w:rsidRPr="00752FFF">
            <w:rPr>
              <w:noProof/>
            </w:rPr>
            <w:fldChar w:fldCharType="end"/>
          </w:r>
        </w:p>
      </w:tc>
      <w:tc>
        <w:tcPr>
          <w:tcW w:w="510" w:type="dxa"/>
        </w:tcPr>
        <w:p w:rsidR="00125B03" w:rsidRPr="00A24443" w:rsidRDefault="00125B03">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250910">
            <w:rPr>
              <w:rStyle w:val="PageNumber"/>
              <w:caps w:val="0"/>
              <w:noProof/>
            </w:rPr>
            <w:t>v</w:t>
          </w:r>
          <w:r w:rsidRPr="00A24443">
            <w:rPr>
              <w:rStyle w:val="PageNumber"/>
              <w:caps w:val="0"/>
            </w:rPr>
            <w:fldChar w:fldCharType="end"/>
          </w:r>
        </w:p>
      </w:tc>
    </w:tr>
  </w:tbl>
  <w:p w:rsidR="00125B03" w:rsidRDefault="00125B03">
    <w:pPr>
      <w:pStyle w:val="FooterEnd"/>
    </w:pPr>
  </w:p>
  <w:p w:rsidR="00125B03" w:rsidRPr="00D01645" w:rsidRDefault="00125B03" w:rsidP="00D01645">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D3F58" w:rsidTr="005F48ED">
      <w:trPr>
        <w:trHeight w:hRule="exact" w:val="567"/>
      </w:trPr>
      <w:tc>
        <w:tcPr>
          <w:tcW w:w="510" w:type="dxa"/>
        </w:tcPr>
        <w:p w:rsidR="004D3F58" w:rsidRPr="00A24443" w:rsidRDefault="004D3F58"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372656">
            <w:rPr>
              <w:rStyle w:val="PageNumber"/>
              <w:caps w:val="0"/>
              <w:noProof/>
            </w:rPr>
            <w:t>vi</w:t>
          </w:r>
          <w:r w:rsidRPr="00A24443">
            <w:rPr>
              <w:rStyle w:val="PageNumber"/>
              <w:caps w:val="0"/>
            </w:rPr>
            <w:fldChar w:fldCharType="end"/>
          </w:r>
        </w:p>
      </w:tc>
      <w:tc>
        <w:tcPr>
          <w:tcW w:w="7767" w:type="dxa"/>
        </w:tcPr>
        <w:p w:rsidR="004D3F58" w:rsidRPr="0013739A" w:rsidRDefault="00CA1F78" w:rsidP="0013739A">
          <w:pPr>
            <w:pStyle w:val="Footer"/>
            <w:rPr>
              <w:rFonts w:cs="Arial"/>
            </w:rPr>
          </w:pPr>
          <w:r>
            <w:rPr>
              <w:rFonts w:ascii="ArialMT" w:hAnsi="ArialMT" w:cs="ArialMT"/>
              <w:szCs w:val="16"/>
              <w:lang w:eastAsia="en-AU"/>
            </w:rPr>
            <w:t>COST OF DOING BUSINESS - RETAIL</w:t>
          </w:r>
          <w:r w:rsidR="00C058AB" w:rsidRPr="00BA5B14">
            <w:rPr>
              <w:rFonts w:cs="Arial"/>
            </w:rPr>
            <w:fldChar w:fldCharType="begin"/>
          </w:r>
          <w:r w:rsidR="00C058AB">
            <w:rPr>
              <w:rFonts w:cs="Arial"/>
            </w:rPr>
            <w:instrText xml:space="preserve"> TITLE </w:instrText>
          </w:r>
          <w:r w:rsidR="00C058AB" w:rsidRPr="00BA5B14">
            <w:rPr>
              <w:rFonts w:cs="Arial"/>
            </w:rPr>
            <w:fldChar w:fldCharType="end"/>
          </w:r>
        </w:p>
      </w:tc>
      <w:tc>
        <w:tcPr>
          <w:tcW w:w="510" w:type="dxa"/>
        </w:tcPr>
        <w:p w:rsidR="004D3F58" w:rsidRDefault="004D3F58" w:rsidP="0019293B">
          <w:pPr>
            <w:pStyle w:val="Footer"/>
          </w:pPr>
        </w:p>
      </w:tc>
    </w:tr>
  </w:tbl>
  <w:p w:rsidR="004D3F58" w:rsidRDefault="004D3F58" w:rsidP="0019293B">
    <w:pPr>
      <w:pStyle w:val="FooterEnd"/>
    </w:pPr>
  </w:p>
  <w:p w:rsidR="00D37AC2" w:rsidRDefault="00D37AC2">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5F48ED">
      <w:trPr>
        <w:trHeight w:hRule="exact" w:val="567"/>
      </w:trPr>
      <w:tc>
        <w:tcPr>
          <w:tcW w:w="510" w:type="dxa"/>
        </w:tcPr>
        <w:p w:rsidR="007448F7" w:rsidRDefault="007448F7">
          <w:pPr>
            <w:pStyle w:val="Footer"/>
            <w:ind w:right="360" w:firstLine="360"/>
          </w:pPr>
        </w:p>
      </w:tc>
      <w:tc>
        <w:tcPr>
          <w:tcW w:w="7767" w:type="dxa"/>
        </w:tcPr>
        <w:p w:rsidR="007448F7" w:rsidRPr="00BA5B14" w:rsidRDefault="007448F7" w:rsidP="007448F7">
          <w:pPr>
            <w:pStyle w:val="Footer"/>
            <w:jc w:val="right"/>
            <w:rPr>
              <w:rFonts w:cs="Arial"/>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372656">
            <w:rPr>
              <w:noProof/>
            </w:rPr>
            <w:t>Contents</w:t>
          </w:r>
          <w:r w:rsidRPr="008F7DB7">
            <w:rPr>
              <w:noProof/>
            </w:rPr>
            <w:fldChar w:fldCharType="end"/>
          </w:r>
          <w:r>
            <w:rPr>
              <w:rFonts w:cs="Arial"/>
            </w:rPr>
            <w:t xml:space="preserve"> </w:t>
          </w:r>
        </w:p>
      </w:tc>
      <w:tc>
        <w:tcPr>
          <w:tcW w:w="510" w:type="dxa"/>
        </w:tcPr>
        <w:p w:rsidR="007448F7" w:rsidRPr="007448F7" w:rsidRDefault="007448F7">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372656">
            <w:rPr>
              <w:rStyle w:val="PageNumber"/>
              <w:caps w:val="0"/>
              <w:noProof/>
            </w:rPr>
            <w:t>v</w:t>
          </w:r>
          <w:r w:rsidRPr="007448F7">
            <w:rPr>
              <w:rStyle w:val="PageNumber"/>
              <w:caps w:val="0"/>
            </w:rPr>
            <w:fldChar w:fldCharType="end"/>
          </w:r>
        </w:p>
      </w:tc>
    </w:tr>
  </w:tbl>
  <w:p w:rsidR="007448F7" w:rsidRDefault="007448F7">
    <w:pPr>
      <w:pStyle w:val="FooterEnd"/>
    </w:pPr>
  </w:p>
  <w:p w:rsidR="00D37AC2" w:rsidRDefault="00D37AC2">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5F48ED">
      <w:trPr>
        <w:trHeight w:hRule="exact" w:val="567"/>
      </w:trPr>
      <w:tc>
        <w:tcPr>
          <w:tcW w:w="510" w:type="dxa"/>
        </w:tcPr>
        <w:p w:rsidR="007448F7" w:rsidRPr="007448F7" w:rsidRDefault="007448F7" w:rsidP="0019293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C84BF3">
            <w:rPr>
              <w:rStyle w:val="PageNumber"/>
              <w:caps w:val="0"/>
              <w:noProof/>
            </w:rPr>
            <w:t>viii</w:t>
          </w:r>
          <w:r w:rsidRPr="007448F7">
            <w:rPr>
              <w:rStyle w:val="PageNumber"/>
              <w:caps w:val="0"/>
            </w:rPr>
            <w:fldChar w:fldCharType="end"/>
          </w:r>
        </w:p>
      </w:tc>
      <w:tc>
        <w:tcPr>
          <w:tcW w:w="7767" w:type="dxa"/>
        </w:tcPr>
        <w:p w:rsidR="007448F7" w:rsidRPr="0013739A" w:rsidRDefault="00D61180" w:rsidP="00271B0C">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end"/>
          </w:r>
        </w:p>
      </w:tc>
      <w:tc>
        <w:tcPr>
          <w:tcW w:w="510" w:type="dxa"/>
        </w:tcPr>
        <w:p w:rsidR="007448F7" w:rsidRDefault="007448F7" w:rsidP="0019293B">
          <w:pPr>
            <w:pStyle w:val="Footer"/>
          </w:pPr>
        </w:p>
      </w:tc>
    </w:tr>
  </w:tbl>
  <w:p w:rsidR="007448F7" w:rsidRDefault="007448F7" w:rsidP="0019293B">
    <w:pPr>
      <w:pStyle w:val="FooterEnd"/>
    </w:pPr>
  </w:p>
  <w:p w:rsidR="00D37AC2" w:rsidRDefault="00D37AC2">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40511" w:rsidTr="005F48ED">
      <w:trPr>
        <w:trHeight w:hRule="exact" w:val="567"/>
      </w:trPr>
      <w:tc>
        <w:tcPr>
          <w:tcW w:w="510" w:type="dxa"/>
        </w:tcPr>
        <w:p w:rsidR="00340511" w:rsidRDefault="00340511">
          <w:pPr>
            <w:pStyle w:val="Footer"/>
            <w:ind w:right="360" w:firstLine="360"/>
          </w:pPr>
        </w:p>
      </w:tc>
      <w:tc>
        <w:tcPr>
          <w:tcW w:w="7767" w:type="dxa"/>
        </w:tcPr>
        <w:p w:rsidR="00340511" w:rsidRPr="00340511" w:rsidRDefault="00340511" w:rsidP="00340511">
          <w:pPr>
            <w:pStyle w:val="Footer"/>
            <w:jc w:val="right"/>
            <w:rPr>
              <w:rFonts w:cs="Arial"/>
            </w:rPr>
          </w:pPr>
          <w:r w:rsidRPr="00340511">
            <w:rPr>
              <w:noProof/>
            </w:rPr>
            <w:fldChar w:fldCharType="begin"/>
          </w:r>
          <w:r w:rsidRPr="00340511">
            <w:rPr>
              <w:noProof/>
            </w:rPr>
            <w:instrText xml:space="preserve"> STYLEREF "Heading 1" \* MERGEFORMAT </w:instrText>
          </w:r>
          <w:r w:rsidRPr="00340511">
            <w:rPr>
              <w:noProof/>
            </w:rPr>
            <w:fldChar w:fldCharType="separate"/>
          </w:r>
          <w:r w:rsidR="00372656" w:rsidRPr="00372656">
            <w:rPr>
              <w:bCs/>
              <w:noProof/>
              <w:lang w:val="en-US"/>
            </w:rPr>
            <w:t>Abbreviations</w:t>
          </w:r>
          <w:r w:rsidR="00372656">
            <w:rPr>
              <w:noProof/>
            </w:rPr>
            <w:t xml:space="preserve"> and explanations</w:t>
          </w:r>
          <w:r w:rsidRPr="00340511">
            <w:rPr>
              <w:noProof/>
            </w:rPr>
            <w:fldChar w:fldCharType="end"/>
          </w:r>
        </w:p>
      </w:tc>
      <w:tc>
        <w:tcPr>
          <w:tcW w:w="510" w:type="dxa"/>
        </w:tcPr>
        <w:p w:rsidR="00340511" w:rsidRPr="00A24443" w:rsidRDefault="0034051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372656">
            <w:rPr>
              <w:rStyle w:val="PageNumber"/>
              <w:caps w:val="0"/>
              <w:noProof/>
            </w:rPr>
            <w:t>vii</w:t>
          </w:r>
          <w:r w:rsidRPr="00A24443">
            <w:rPr>
              <w:rStyle w:val="PageNumber"/>
              <w:caps w:val="0"/>
            </w:rPr>
            <w:fldChar w:fldCharType="end"/>
          </w:r>
        </w:p>
      </w:tc>
    </w:tr>
  </w:tbl>
  <w:p w:rsidR="00340511" w:rsidRDefault="00340511">
    <w:pPr>
      <w:pStyle w:val="FooterEnd"/>
    </w:pPr>
  </w:p>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5B03" w:rsidRDefault="00125B03">
      <w:r>
        <w:separator/>
      </w:r>
    </w:p>
    <w:p w:rsidR="00125B03" w:rsidRDefault="00125B03"/>
    <w:p w:rsidR="00125B03" w:rsidRDefault="00125B03"/>
  </w:footnote>
  <w:footnote w:type="continuationSeparator" w:id="0">
    <w:p w:rsidR="00125B03" w:rsidRDefault="00125B03">
      <w:r>
        <w:continuationSeparator/>
      </w:r>
    </w:p>
    <w:p w:rsidR="00125B03" w:rsidRDefault="00125B03"/>
    <w:p w:rsidR="00125B03" w:rsidRDefault="00125B0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25B03">
      <w:tc>
        <w:tcPr>
          <w:tcW w:w="2155" w:type="dxa"/>
          <w:tcBorders>
            <w:top w:val="single" w:sz="24" w:space="0" w:color="auto"/>
          </w:tcBorders>
        </w:tcPr>
        <w:p w:rsidR="00125B03" w:rsidRDefault="00125B03">
          <w:pPr>
            <w:pStyle w:val="HeaderEven"/>
          </w:pPr>
        </w:p>
      </w:tc>
      <w:tc>
        <w:tcPr>
          <w:tcW w:w="6634" w:type="dxa"/>
          <w:tcBorders>
            <w:top w:val="single" w:sz="6" w:space="0" w:color="auto"/>
          </w:tcBorders>
        </w:tcPr>
        <w:p w:rsidR="00125B03" w:rsidRDefault="00125B03">
          <w:pPr>
            <w:pStyle w:val="HeaderEven"/>
          </w:pPr>
        </w:p>
      </w:tc>
    </w:tr>
  </w:tbl>
  <w:p w:rsidR="00125B03" w:rsidRDefault="00125B03">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25B03">
      <w:tc>
        <w:tcPr>
          <w:tcW w:w="6634" w:type="dxa"/>
          <w:tcBorders>
            <w:top w:val="single" w:sz="6" w:space="0" w:color="auto"/>
          </w:tcBorders>
        </w:tcPr>
        <w:p w:rsidR="00125B03" w:rsidRDefault="00125B03">
          <w:pPr>
            <w:pStyle w:val="HeaderOdd"/>
          </w:pPr>
        </w:p>
      </w:tc>
      <w:tc>
        <w:tcPr>
          <w:tcW w:w="2155" w:type="dxa"/>
          <w:tcBorders>
            <w:top w:val="single" w:sz="24" w:space="0" w:color="auto"/>
          </w:tcBorders>
        </w:tcPr>
        <w:p w:rsidR="00125B03" w:rsidRDefault="00125B03">
          <w:pPr>
            <w:pStyle w:val="HeaderOdd"/>
          </w:pPr>
        </w:p>
      </w:tc>
    </w:tr>
  </w:tbl>
  <w:p w:rsidR="00125B03" w:rsidRDefault="00125B03">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125B03">
      <w:tc>
        <w:tcPr>
          <w:tcW w:w="2155" w:type="dxa"/>
          <w:tcBorders>
            <w:top w:val="single" w:sz="24" w:space="0" w:color="auto"/>
          </w:tcBorders>
        </w:tcPr>
        <w:p w:rsidR="00125B03" w:rsidRDefault="00125B03">
          <w:pPr>
            <w:pStyle w:val="Header"/>
          </w:pPr>
        </w:p>
      </w:tc>
      <w:tc>
        <w:tcPr>
          <w:tcW w:w="6634" w:type="dxa"/>
          <w:tcBorders>
            <w:top w:val="single" w:sz="6" w:space="0" w:color="auto"/>
          </w:tcBorders>
        </w:tcPr>
        <w:p w:rsidR="00125B03" w:rsidRDefault="00125B03">
          <w:pPr>
            <w:pStyle w:val="Header"/>
          </w:pPr>
        </w:p>
      </w:tc>
    </w:tr>
  </w:tbl>
  <w:p w:rsidR="00125B03" w:rsidRDefault="00125B03">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25B03">
      <w:tc>
        <w:tcPr>
          <w:tcW w:w="6634" w:type="dxa"/>
          <w:tcBorders>
            <w:top w:val="single" w:sz="6" w:space="0" w:color="auto"/>
          </w:tcBorders>
        </w:tcPr>
        <w:p w:rsidR="00125B03" w:rsidRDefault="00125B03" w:rsidP="00E669E2">
          <w:pPr>
            <w:pStyle w:val="HeaderOdd"/>
          </w:pPr>
        </w:p>
      </w:tc>
      <w:tc>
        <w:tcPr>
          <w:tcW w:w="2155" w:type="dxa"/>
          <w:tcBorders>
            <w:top w:val="single" w:sz="24" w:space="0" w:color="auto"/>
          </w:tcBorders>
        </w:tcPr>
        <w:p w:rsidR="00125B03" w:rsidRDefault="00125B03" w:rsidP="00E669E2">
          <w:pPr>
            <w:pStyle w:val="HeaderOdd"/>
          </w:pPr>
        </w:p>
      </w:tc>
    </w:tr>
  </w:tbl>
  <w:p w:rsidR="00125B03" w:rsidRDefault="00125B03" w:rsidP="00E669E2">
    <w:pPr>
      <w:pStyle w:val="HeaderEnd"/>
    </w:pPr>
  </w:p>
  <w:p w:rsidR="00125B03" w:rsidRPr="00D01645" w:rsidRDefault="00125B03" w:rsidP="00D01645">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tc>
        <w:tcPr>
          <w:tcW w:w="2155" w:type="dxa"/>
          <w:tcBorders>
            <w:top w:val="single" w:sz="24" w:space="0" w:color="auto"/>
          </w:tcBorders>
        </w:tcPr>
        <w:p w:rsidR="00D37AC2" w:rsidRDefault="00D37AC2">
          <w:pPr>
            <w:pStyle w:val="Header"/>
          </w:pPr>
        </w:p>
      </w:tc>
      <w:tc>
        <w:tcPr>
          <w:tcW w:w="6634" w:type="dxa"/>
          <w:tcBorders>
            <w:top w:val="single" w:sz="6" w:space="0" w:color="auto"/>
          </w:tcBorders>
        </w:tcPr>
        <w:p w:rsidR="00D37AC2" w:rsidRDefault="00D37AC2">
          <w:pPr>
            <w:pStyle w:val="Header"/>
          </w:pPr>
        </w:p>
      </w:tc>
    </w:tr>
  </w:tbl>
  <w:p w:rsidR="00D37AC2" w:rsidRDefault="00D37AC2">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rsidTr="005C68FE">
      <w:tc>
        <w:tcPr>
          <w:tcW w:w="6634" w:type="dxa"/>
          <w:tcBorders>
            <w:top w:val="single" w:sz="6" w:space="0" w:color="auto"/>
          </w:tcBorders>
        </w:tcPr>
        <w:p w:rsidR="00D37AC2" w:rsidRDefault="00D37AC2" w:rsidP="005C68FE">
          <w:pPr>
            <w:pStyle w:val="HeaderOdd"/>
          </w:pPr>
        </w:p>
      </w:tc>
      <w:tc>
        <w:tcPr>
          <w:tcW w:w="2155" w:type="dxa"/>
          <w:tcBorders>
            <w:top w:val="single" w:sz="24" w:space="0" w:color="auto"/>
          </w:tcBorders>
        </w:tcPr>
        <w:p w:rsidR="00D37AC2" w:rsidRDefault="00D37AC2" w:rsidP="005C68FE">
          <w:pPr>
            <w:pStyle w:val="HeaderOdd"/>
          </w:pPr>
        </w:p>
      </w:tc>
    </w:tr>
  </w:tbl>
  <w:p w:rsidR="00D37AC2" w:rsidRPr="005C68FE" w:rsidRDefault="00D37AC2" w:rsidP="005C68FE">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mirrorMargins/>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B03"/>
    <w:rsid w:val="00017AFC"/>
    <w:rsid w:val="00025878"/>
    <w:rsid w:val="00026B38"/>
    <w:rsid w:val="000502D3"/>
    <w:rsid w:val="00052CB2"/>
    <w:rsid w:val="000623BF"/>
    <w:rsid w:val="00095EEA"/>
    <w:rsid w:val="00097C15"/>
    <w:rsid w:val="000A0A0E"/>
    <w:rsid w:val="000A5E12"/>
    <w:rsid w:val="000B416E"/>
    <w:rsid w:val="000F185F"/>
    <w:rsid w:val="000F2F5F"/>
    <w:rsid w:val="00106041"/>
    <w:rsid w:val="0010611E"/>
    <w:rsid w:val="00122FE9"/>
    <w:rsid w:val="00125B03"/>
    <w:rsid w:val="00131572"/>
    <w:rsid w:val="00131D4F"/>
    <w:rsid w:val="0013399B"/>
    <w:rsid w:val="001379B3"/>
    <w:rsid w:val="00160628"/>
    <w:rsid w:val="00180515"/>
    <w:rsid w:val="00181F4B"/>
    <w:rsid w:val="00190919"/>
    <w:rsid w:val="00196FB3"/>
    <w:rsid w:val="001A5071"/>
    <w:rsid w:val="001B4E73"/>
    <w:rsid w:val="001B7F1E"/>
    <w:rsid w:val="001D4B1F"/>
    <w:rsid w:val="001D6629"/>
    <w:rsid w:val="001E3390"/>
    <w:rsid w:val="001F2270"/>
    <w:rsid w:val="001F3A49"/>
    <w:rsid w:val="00203B40"/>
    <w:rsid w:val="00205A82"/>
    <w:rsid w:val="00211BEE"/>
    <w:rsid w:val="00215733"/>
    <w:rsid w:val="002179C6"/>
    <w:rsid w:val="00222C97"/>
    <w:rsid w:val="00226DB0"/>
    <w:rsid w:val="00250910"/>
    <w:rsid w:val="00261607"/>
    <w:rsid w:val="00263DD1"/>
    <w:rsid w:val="00264D3B"/>
    <w:rsid w:val="00265685"/>
    <w:rsid w:val="00271B0C"/>
    <w:rsid w:val="00281D5F"/>
    <w:rsid w:val="002923AD"/>
    <w:rsid w:val="00296592"/>
    <w:rsid w:val="002A0A4B"/>
    <w:rsid w:val="002A499E"/>
    <w:rsid w:val="002B636E"/>
    <w:rsid w:val="002B64D6"/>
    <w:rsid w:val="002C12F5"/>
    <w:rsid w:val="002D6FCE"/>
    <w:rsid w:val="00310D4E"/>
    <w:rsid w:val="0032745D"/>
    <w:rsid w:val="00340511"/>
    <w:rsid w:val="00372656"/>
    <w:rsid w:val="0038647D"/>
    <w:rsid w:val="00393A49"/>
    <w:rsid w:val="003B41E0"/>
    <w:rsid w:val="003C3D73"/>
    <w:rsid w:val="003D624D"/>
    <w:rsid w:val="003E7802"/>
    <w:rsid w:val="0042007A"/>
    <w:rsid w:val="00433C81"/>
    <w:rsid w:val="00446D6B"/>
    <w:rsid w:val="004475E4"/>
    <w:rsid w:val="00457B3F"/>
    <w:rsid w:val="00463022"/>
    <w:rsid w:val="00481CF0"/>
    <w:rsid w:val="00485DDD"/>
    <w:rsid w:val="004A2030"/>
    <w:rsid w:val="004B492A"/>
    <w:rsid w:val="004C0B0C"/>
    <w:rsid w:val="004D3F58"/>
    <w:rsid w:val="004E52E2"/>
    <w:rsid w:val="004E6BB4"/>
    <w:rsid w:val="004E7D3C"/>
    <w:rsid w:val="00515D43"/>
    <w:rsid w:val="0052544D"/>
    <w:rsid w:val="00526B19"/>
    <w:rsid w:val="00551FB8"/>
    <w:rsid w:val="005537F6"/>
    <w:rsid w:val="00560F43"/>
    <w:rsid w:val="005654D0"/>
    <w:rsid w:val="00566B31"/>
    <w:rsid w:val="00585B3F"/>
    <w:rsid w:val="005A038D"/>
    <w:rsid w:val="005B17AB"/>
    <w:rsid w:val="005C68FE"/>
    <w:rsid w:val="005F7D30"/>
    <w:rsid w:val="00602523"/>
    <w:rsid w:val="006040CB"/>
    <w:rsid w:val="00604351"/>
    <w:rsid w:val="00607D8A"/>
    <w:rsid w:val="0061590F"/>
    <w:rsid w:val="0063266E"/>
    <w:rsid w:val="00636497"/>
    <w:rsid w:val="00641AE2"/>
    <w:rsid w:val="0064456A"/>
    <w:rsid w:val="00650DDA"/>
    <w:rsid w:val="0065126A"/>
    <w:rsid w:val="00653FA6"/>
    <w:rsid w:val="006669DF"/>
    <w:rsid w:val="0067557D"/>
    <w:rsid w:val="006802D4"/>
    <w:rsid w:val="00683849"/>
    <w:rsid w:val="00691AB5"/>
    <w:rsid w:val="00691CE0"/>
    <w:rsid w:val="006E1E6B"/>
    <w:rsid w:val="006F0D97"/>
    <w:rsid w:val="006F0EAC"/>
    <w:rsid w:val="006F6A85"/>
    <w:rsid w:val="0070328D"/>
    <w:rsid w:val="00731F96"/>
    <w:rsid w:val="00734127"/>
    <w:rsid w:val="00735FEA"/>
    <w:rsid w:val="00743460"/>
    <w:rsid w:val="00743A27"/>
    <w:rsid w:val="007448F7"/>
    <w:rsid w:val="00753DC6"/>
    <w:rsid w:val="0075578C"/>
    <w:rsid w:val="00766DFB"/>
    <w:rsid w:val="007734B5"/>
    <w:rsid w:val="007809B8"/>
    <w:rsid w:val="007813A6"/>
    <w:rsid w:val="007E10E2"/>
    <w:rsid w:val="00805FD7"/>
    <w:rsid w:val="00806E54"/>
    <w:rsid w:val="008206EE"/>
    <w:rsid w:val="008214B1"/>
    <w:rsid w:val="008273A9"/>
    <w:rsid w:val="00836ED7"/>
    <w:rsid w:val="0084355E"/>
    <w:rsid w:val="008453AC"/>
    <w:rsid w:val="00860D09"/>
    <w:rsid w:val="00862044"/>
    <w:rsid w:val="00880BF7"/>
    <w:rsid w:val="0089269F"/>
    <w:rsid w:val="00894883"/>
    <w:rsid w:val="008A111C"/>
    <w:rsid w:val="008A2133"/>
    <w:rsid w:val="008A3857"/>
    <w:rsid w:val="008B2205"/>
    <w:rsid w:val="008C305F"/>
    <w:rsid w:val="008C3AD2"/>
    <w:rsid w:val="008C7C3D"/>
    <w:rsid w:val="008D6F66"/>
    <w:rsid w:val="008E1BEA"/>
    <w:rsid w:val="008E242D"/>
    <w:rsid w:val="008E43D2"/>
    <w:rsid w:val="008E5248"/>
    <w:rsid w:val="008F04C9"/>
    <w:rsid w:val="008F76A3"/>
    <w:rsid w:val="008F7C50"/>
    <w:rsid w:val="008F7DB7"/>
    <w:rsid w:val="009064D3"/>
    <w:rsid w:val="009064E0"/>
    <w:rsid w:val="00915300"/>
    <w:rsid w:val="00933B0C"/>
    <w:rsid w:val="00935676"/>
    <w:rsid w:val="00942A1F"/>
    <w:rsid w:val="009579A1"/>
    <w:rsid w:val="0098401D"/>
    <w:rsid w:val="009A789F"/>
    <w:rsid w:val="009B12EF"/>
    <w:rsid w:val="009B48F7"/>
    <w:rsid w:val="009B6185"/>
    <w:rsid w:val="009C5224"/>
    <w:rsid w:val="009C6C6D"/>
    <w:rsid w:val="009C7313"/>
    <w:rsid w:val="009E1E78"/>
    <w:rsid w:val="00A1597D"/>
    <w:rsid w:val="00A46989"/>
    <w:rsid w:val="00A469AA"/>
    <w:rsid w:val="00A71CE9"/>
    <w:rsid w:val="00A72A19"/>
    <w:rsid w:val="00A75A30"/>
    <w:rsid w:val="00A93C82"/>
    <w:rsid w:val="00AB2A48"/>
    <w:rsid w:val="00AC3236"/>
    <w:rsid w:val="00AD4874"/>
    <w:rsid w:val="00AE1F8A"/>
    <w:rsid w:val="00AE23D9"/>
    <w:rsid w:val="00B036B2"/>
    <w:rsid w:val="00B04D19"/>
    <w:rsid w:val="00B153C3"/>
    <w:rsid w:val="00B22087"/>
    <w:rsid w:val="00B722F2"/>
    <w:rsid w:val="00B80355"/>
    <w:rsid w:val="00B90958"/>
    <w:rsid w:val="00B95339"/>
    <w:rsid w:val="00BA0B81"/>
    <w:rsid w:val="00BB334E"/>
    <w:rsid w:val="00BB5DCF"/>
    <w:rsid w:val="00BC2476"/>
    <w:rsid w:val="00BD5C3B"/>
    <w:rsid w:val="00BF31EB"/>
    <w:rsid w:val="00BF59EA"/>
    <w:rsid w:val="00BF79CD"/>
    <w:rsid w:val="00C058AB"/>
    <w:rsid w:val="00C0721B"/>
    <w:rsid w:val="00C34C8C"/>
    <w:rsid w:val="00C503C8"/>
    <w:rsid w:val="00C50792"/>
    <w:rsid w:val="00C51371"/>
    <w:rsid w:val="00C55A45"/>
    <w:rsid w:val="00C84BF3"/>
    <w:rsid w:val="00C87CA4"/>
    <w:rsid w:val="00C904D9"/>
    <w:rsid w:val="00C94C06"/>
    <w:rsid w:val="00CA1F78"/>
    <w:rsid w:val="00CA48BF"/>
    <w:rsid w:val="00CB3ACC"/>
    <w:rsid w:val="00CB4745"/>
    <w:rsid w:val="00CB51FE"/>
    <w:rsid w:val="00CC4E7B"/>
    <w:rsid w:val="00CD2163"/>
    <w:rsid w:val="00CD4FE7"/>
    <w:rsid w:val="00CD5E6B"/>
    <w:rsid w:val="00CE4FBC"/>
    <w:rsid w:val="00CE5D96"/>
    <w:rsid w:val="00CE7344"/>
    <w:rsid w:val="00CF26EE"/>
    <w:rsid w:val="00CF3BFD"/>
    <w:rsid w:val="00D310F0"/>
    <w:rsid w:val="00D3113E"/>
    <w:rsid w:val="00D37AC2"/>
    <w:rsid w:val="00D500A9"/>
    <w:rsid w:val="00D61180"/>
    <w:rsid w:val="00D64121"/>
    <w:rsid w:val="00D67119"/>
    <w:rsid w:val="00D709D8"/>
    <w:rsid w:val="00D732FE"/>
    <w:rsid w:val="00D74E25"/>
    <w:rsid w:val="00D772E9"/>
    <w:rsid w:val="00D82E10"/>
    <w:rsid w:val="00D969AE"/>
    <w:rsid w:val="00DA31AB"/>
    <w:rsid w:val="00DA3281"/>
    <w:rsid w:val="00DA6D3E"/>
    <w:rsid w:val="00DC02E8"/>
    <w:rsid w:val="00DC75C7"/>
    <w:rsid w:val="00DC78D3"/>
    <w:rsid w:val="00DD1077"/>
    <w:rsid w:val="00DD4505"/>
    <w:rsid w:val="00DF00FE"/>
    <w:rsid w:val="00DF4592"/>
    <w:rsid w:val="00E15FDC"/>
    <w:rsid w:val="00E2651B"/>
    <w:rsid w:val="00E30DDB"/>
    <w:rsid w:val="00E41C35"/>
    <w:rsid w:val="00E42EA1"/>
    <w:rsid w:val="00E65817"/>
    <w:rsid w:val="00E6632E"/>
    <w:rsid w:val="00E66494"/>
    <w:rsid w:val="00E90CF2"/>
    <w:rsid w:val="00EC38C1"/>
    <w:rsid w:val="00EC628B"/>
    <w:rsid w:val="00ED0F61"/>
    <w:rsid w:val="00EE3F6D"/>
    <w:rsid w:val="00EE73E1"/>
    <w:rsid w:val="00F12107"/>
    <w:rsid w:val="00F13165"/>
    <w:rsid w:val="00F36F61"/>
    <w:rsid w:val="00F4234E"/>
    <w:rsid w:val="00F60A9B"/>
    <w:rsid w:val="00F61429"/>
    <w:rsid w:val="00F67D8B"/>
    <w:rsid w:val="00F7477E"/>
    <w:rsid w:val="00F85393"/>
    <w:rsid w:val="00FA4A24"/>
    <w:rsid w:val="00FC03AA"/>
    <w:rsid w:val="00FC41B4"/>
    <w:rsid w:val="00FC5A6B"/>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link w:val="Heading2Char"/>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125B03"/>
    <w:rPr>
      <w:kern w:val="28"/>
      <w:sz w:val="52"/>
      <w:lang w:eastAsia="en-US"/>
    </w:rPr>
  </w:style>
  <w:style w:type="character" w:customStyle="1" w:styleId="Heading2Char">
    <w:name w:val="Heading 2 Char"/>
    <w:basedOn w:val="DefaultParagraphFont"/>
    <w:link w:val="Heading2"/>
    <w:rsid w:val="00250910"/>
    <w:rPr>
      <w:rFonts w:ascii="Arial" w:hAnsi="Arial"/>
      <w:b/>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link w:val="Heading2Char"/>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125B03"/>
    <w:rPr>
      <w:kern w:val="28"/>
      <w:sz w:val="52"/>
      <w:lang w:eastAsia="en-US"/>
    </w:rPr>
  </w:style>
  <w:style w:type="character" w:customStyle="1" w:styleId="Heading2Char">
    <w:name w:val="Heading 2 Char"/>
    <w:basedOn w:val="DefaultParagraphFont"/>
    <w:link w:val="Heading2"/>
    <w:rsid w:val="00250910"/>
    <w:rPr>
      <w:rFonts w:ascii="Arial"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1405375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ntTable" Target="fontTable.xm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719A11C3-8D2A-447D-8DEE-B0EAF3AED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7</Pages>
  <Words>1257</Words>
  <Characters>7151</Characters>
  <Application>Microsoft Office Word</Application>
  <DocSecurity>0</DocSecurity>
  <Lines>183</Lines>
  <Paragraphs>142</Paragraphs>
  <ScaleCrop>false</ScaleCrop>
  <HeadingPairs>
    <vt:vector size="2" baseType="variant">
      <vt:variant>
        <vt:lpstr>Title</vt:lpstr>
      </vt:variant>
      <vt:variant>
        <vt:i4>1</vt:i4>
      </vt:variant>
    </vt:vector>
  </HeadingPairs>
  <TitlesOfParts>
    <vt:vector size="1" baseType="lpstr">
      <vt:lpstr/>
    </vt:vector>
  </TitlesOfParts>
  <Company>Productivity Commission</Company>
  <LinksUpToDate>false</LinksUpToDate>
  <CharactersWithSpaces>8266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Productivity Commission</dc:creator>
  <cp:lastModifiedBy>Productivity Commission</cp:lastModifiedBy>
  <cp:revision>8</cp:revision>
  <dcterms:created xsi:type="dcterms:W3CDTF">2014-09-30T00:44:00Z</dcterms:created>
  <dcterms:modified xsi:type="dcterms:W3CDTF">2014-10-09T00:52:00Z</dcterms:modified>
</cp:coreProperties>
</file>