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olor w:val="FFFFFF" w:themeColor="background1"/>
        </w:rPr>
        <w:id w:val="-228914026"/>
        <w:docPartObj>
          <w:docPartGallery w:val="Cover Pages"/>
          <w:docPartUnique/>
        </w:docPartObj>
      </w:sdtPr>
      <w:sdtEndPr>
        <w:rPr>
          <w:color w:val="auto"/>
        </w:rPr>
      </w:sdtEndPr>
      <w:sdtContent>
        <w:p w14:paraId="7EA408DD" w14:textId="77777777" w:rsidR="004F7BE2" w:rsidRPr="00461CE9" w:rsidRDefault="004F7BE2" w:rsidP="004F7BE2">
          <w:pPr>
            <w:pStyle w:val="BodyText"/>
            <w:spacing w:after="0"/>
          </w:pPr>
        </w:p>
        <w:p w14:paraId="75F4F421" w14:textId="06BFE8E6" w:rsidR="004F7BE2" w:rsidRPr="00DC5DFF" w:rsidRDefault="006A6CBF" w:rsidP="004F7BE2">
          <w:pPr>
            <w:pStyle w:val="Coverdate"/>
            <w:framePr w:wrap="around"/>
          </w:pPr>
          <w:r w:rsidRPr="006A02DA">
            <w:t xml:space="preserve">September 2022 </w:t>
          </w:r>
          <w:r w:rsidR="004F7BE2" w:rsidRPr="006A02DA">
            <w:t xml:space="preserve">   </w:t>
          </w:r>
        </w:p>
        <w:p w14:paraId="51467AEA" w14:textId="77777777" w:rsidR="004F7BE2" w:rsidRDefault="004F7BE2" w:rsidP="004F7BE2">
          <w:pPr>
            <w:pStyle w:val="CoverImage"/>
            <w:framePr w:h="10036" w:hRule="exact" w:wrap="around" w:y="6805" w:anchorLock="0"/>
          </w:pPr>
          <w:r>
            <w:rPr>
              <w:noProof/>
            </w:rPr>
            <w:drawing>
              <wp:inline distT="0" distB="0" distL="0" distR="0" wp14:anchorId="7B4EB81D" wp14:editId="59847CC9">
                <wp:extent cx="7704000" cy="650386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04000" cy="6503860"/>
                        </a:xfrm>
                        <a:prstGeom prst="rect">
                          <a:avLst/>
                        </a:prstGeom>
                      </pic:spPr>
                    </pic:pic>
                  </a:graphicData>
                </a:graphic>
              </wp:inline>
            </w:drawing>
          </w:r>
        </w:p>
        <w:p w14:paraId="17E656A0" w14:textId="1C4FEE70" w:rsidR="004F7BE2" w:rsidRPr="006A02DA" w:rsidRDefault="00F62909" w:rsidP="00760234">
          <w:pPr>
            <w:pStyle w:val="Heading1-noTOC"/>
            <w:spacing w:before="0"/>
            <w:rPr>
              <w:rStyle w:val="TitleChar"/>
            </w:rPr>
          </w:pPr>
          <w:r>
            <w:rPr>
              <w:rStyle w:val="TitleChar"/>
              <w:b w:val="0"/>
              <w:color w:val="auto"/>
            </w:rPr>
            <w:t>Review of the National School Reform Agreement</w:t>
          </w:r>
        </w:p>
        <w:p w14:paraId="6D4240D5" w14:textId="77777777" w:rsidR="004F6386" w:rsidRDefault="004F7BE2" w:rsidP="00835A11">
          <w:pPr>
            <w:pStyle w:val="Subtitle"/>
            <w:rPr>
              <w:color w:val="auto"/>
            </w:rPr>
          </w:pPr>
          <w:r w:rsidRPr="004F7BE2">
            <w:rPr>
              <w:noProof/>
              <w:color w:val="auto"/>
            </w:rPr>
            <mc:AlternateContent>
              <mc:Choice Requires="wps">
                <w:drawing>
                  <wp:anchor distT="0" distB="0" distL="114300" distR="114300" simplePos="0" relativeHeight="251658240" behindDoc="0" locked="0" layoutInCell="1" allowOverlap="1" wp14:anchorId="39B3D9D7" wp14:editId="43B8DABB">
                    <wp:simplePos x="0" y="0"/>
                    <wp:positionH relativeFrom="page">
                      <wp:posOffset>720090</wp:posOffset>
                    </wp:positionH>
                    <wp:positionV relativeFrom="page">
                      <wp:posOffset>9469120</wp:posOffset>
                    </wp:positionV>
                    <wp:extent cx="1800000" cy="612000"/>
                    <wp:effectExtent l="0" t="0" r="10160" b="17145"/>
                    <wp:wrapNone/>
                    <wp:docPr id="15" name="Text Box 15"/>
                    <wp:cNvGraphicFramePr/>
                    <a:graphic xmlns:a="http://schemas.openxmlformats.org/drawingml/2006/main">
                      <a:graphicData uri="http://schemas.microsoft.com/office/word/2010/wordprocessingShape">
                        <wps:wsp>
                          <wps:cNvSpPr txBox="1"/>
                          <wps:spPr>
                            <a:xfrm>
                              <a:off x="0" y="0"/>
                              <a:ext cx="1800000" cy="612000"/>
                            </a:xfrm>
                            <a:prstGeom prst="rect">
                              <a:avLst/>
                            </a:prstGeom>
                            <a:solidFill>
                              <a:schemeClr val="tx1"/>
                            </a:solidFill>
                            <a:ln w="6350">
                              <a:solidFill>
                                <a:prstClr val="black"/>
                              </a:solidFill>
                            </a:ln>
                          </wps:spPr>
                          <wps:txbx>
                            <w:txbxContent>
                              <w:p w14:paraId="795EF278"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9B3D9D7" id="_x0000_t202" coordsize="21600,21600" o:spt="202" path="m,l,21600r21600,l21600,xe">
                    <v:stroke joinstyle="miter"/>
                    <v:path gradientshapeok="t" o:connecttype="rect"/>
                  </v:shapetype>
                  <v:shape id="Text Box 15" o:spid="_x0000_s1026" type="#_x0000_t202" style="position:absolute;margin-left:56.7pt;margin-top:745.6pt;width:141.75pt;height:48.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" fillcolor="black [3213]" strokeweight=".5pt">
                    <v:textbox>
                      <w:txbxContent>
                        <w:p w14:paraId="795EF278" w14:textId="77777777" w:rsidR="004F7BE2" w:rsidRPr="00E945F6" w:rsidRDefault="004F7BE2" w:rsidP="004F7BE2">
                          <w:pPr>
                            <w:pStyle w:val="CoverdisclaimerwhiteCover"/>
                          </w:pPr>
                          <w:r w:rsidRPr="00E945F6">
                            <w:t>This is a draft report prepared for further public consultation and input. The Commission will finalise its report after these processes have taken place.</w:t>
                          </w:r>
                        </w:p>
                      </w:txbxContent>
                    </v:textbox>
                    <w10:wrap anchorx="page" anchory="page"/>
                  </v:shape>
                </w:pict>
              </mc:Fallback>
            </mc:AlternateContent>
          </w:r>
          <w:r w:rsidR="00316A03">
            <w:rPr>
              <w:color w:val="auto"/>
            </w:rPr>
            <w:t>Interim</w:t>
          </w:r>
          <w:r w:rsidR="009E3265">
            <w:rPr>
              <w:color w:val="auto"/>
            </w:rPr>
            <w:t xml:space="preserve"> report</w:t>
          </w:r>
        </w:p>
        <w:p w14:paraId="660BD2A4" w14:textId="07C63703" w:rsidR="004F7BE2" w:rsidRPr="00835A11" w:rsidRDefault="005049EA" w:rsidP="00835A11">
          <w:pPr>
            <w:pStyle w:val="Subtitle"/>
            <w:rPr>
              <w:color w:val="auto"/>
            </w:rPr>
          </w:pPr>
          <w:r w:rsidRPr="00760234">
            <w:rPr>
              <w:color w:val="auto"/>
              <w:sz w:val="28"/>
              <w:szCs w:val="28"/>
            </w:rPr>
            <w:t>O</w:t>
          </w:r>
          <w:r w:rsidR="000B73E4" w:rsidRPr="00760234">
            <w:rPr>
              <w:color w:val="auto"/>
              <w:sz w:val="28"/>
              <w:szCs w:val="28"/>
            </w:rPr>
            <w:t>verview</w:t>
          </w:r>
        </w:p>
        <w:p w14:paraId="6E9CB9AA" w14:textId="77777777" w:rsidR="004F7BE2" w:rsidRDefault="004F7BE2" w:rsidP="004F7BE2">
          <w:pPr>
            <w:spacing w:after="160" w:line="259" w:lineRule="auto"/>
            <w:sectPr w:rsidR="004F7BE2">
              <w:footerReference w:type="even" r:id="rId14"/>
              <w:footerReference w:type="default" r:id="rId15"/>
              <w:headerReference w:type="first" r:id="rId16"/>
              <w:footerReference w:type="first" r:id="rId17"/>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4F7BE2" w14:paraId="6CACF034" w14:textId="77777777">
            <w:trPr>
              <w:trHeight w:hRule="exact" w:val="12586"/>
            </w:trPr>
            <w:tc>
              <w:tcPr>
                <w:tcW w:w="9638" w:type="dxa"/>
                <w:tcMar>
                  <w:top w:w="113" w:type="dxa"/>
                </w:tcMar>
              </w:tcPr>
              <w:p w14:paraId="0D8B91AB" w14:textId="77777777" w:rsidR="004F7BE2" w:rsidRPr="000F4488" w:rsidRDefault="004F7BE2">
                <w:pPr>
                  <w:pStyle w:val="Copyrightpage-BodyBold"/>
                  <w:ind w:right="-284"/>
                  <w:rPr>
                    <w:rFonts w:asciiTheme="majorHAnsi" w:hAnsiTheme="majorHAnsi"/>
                  </w:rPr>
                </w:pPr>
                <w:r>
                  <w:rPr>
                    <w:rStyle w:val="White"/>
                  </w:rPr>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3E5FF79B" w14:textId="77777777" w:rsidR="004F7BE2" w:rsidRPr="00F37CB6" w:rsidRDefault="004F7BE2">
                <w:pPr>
                  <w:pStyle w:val="Copyrightpage-Keylinenotext"/>
                  <w:ind w:right="-284"/>
                </w:pPr>
              </w:p>
              <w:p w14:paraId="02AACEC7" w14:textId="77777777" w:rsidR="004F7BE2" w:rsidRPr="00D96F65" w:rsidRDefault="004F7BE2">
                <w:pPr>
                  <w:pStyle w:val="Copyrightpage-Heading"/>
                  <w:ind w:right="-284"/>
                </w:pPr>
                <w:r w:rsidRPr="00D96F65">
                  <w:t>The Productivity Commission</w:t>
                </w:r>
              </w:p>
              <w:p w14:paraId="6DCB571F" w14:textId="77777777" w:rsidR="004F7BE2" w:rsidRPr="00051034" w:rsidRDefault="004F7BE2">
                <w:pPr>
                  <w:pStyle w:val="Copyrightpage-BodyBold"/>
                  <w:rPr>
                    <w:spacing w:val="-4"/>
                  </w:rPr>
                </w:pPr>
                <w:r w:rsidRPr="00051034">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CDA2E43" w14:textId="77777777" w:rsidR="004F7BE2" w:rsidRPr="000F4488" w:rsidRDefault="004F7BE2">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492D7D68" w14:textId="77777777" w:rsidR="004F7BE2" w:rsidRPr="000F4488" w:rsidRDefault="004F7BE2">
                <w:pPr>
                  <w:pStyle w:val="Copyrightpage-BodyBold"/>
                </w:pPr>
                <w:r w:rsidRPr="000561CF">
                  <w:t>Further information on the Productivity Commission can be obtained from the Commission’s website (www.pc.gov.au).</w:t>
                </w:r>
              </w:p>
              <w:p w14:paraId="7130DA0B" w14:textId="77777777" w:rsidR="004F7BE2" w:rsidRPr="000F4488" w:rsidRDefault="004F7BE2">
                <w:pPr>
                  <w:pStyle w:val="Copyrightpage-Keylinenotext"/>
                  <w:ind w:right="-284"/>
                  <w:rPr>
                    <w:b/>
                    <w:bCs/>
                  </w:rPr>
                </w:pPr>
              </w:p>
              <w:p w14:paraId="7A29BAF9" w14:textId="77777777" w:rsidR="004F7BE2" w:rsidRPr="000561CF" w:rsidRDefault="004F7BE2">
                <w:pPr>
                  <w:pStyle w:val="Copyrightpage-BodyBold"/>
                </w:pPr>
                <w:r w:rsidRPr="00E72EE0">
                  <w:t>©</w:t>
                </w:r>
                <w:r w:rsidRPr="00137FAB">
                  <w:t xml:space="preserve"> Commonwealth of Australia 202</w:t>
                </w:r>
                <w:r w:rsidR="000324B2">
                  <w:t>2</w:t>
                </w:r>
              </w:p>
              <w:p w14:paraId="2DF6E0B6" w14:textId="77777777" w:rsidR="004F7BE2" w:rsidRPr="00E72EE0" w:rsidRDefault="004F7BE2">
                <w:pPr>
                  <w:pStyle w:val="Copyrightpage-Heading2"/>
                  <w:spacing w:before="0"/>
                  <w:ind w:right="-284"/>
                  <w:rPr>
                    <w:bCs/>
                  </w:rPr>
                </w:pPr>
                <w:r w:rsidRPr="00E72EE0">
                  <w:rPr>
                    <w:bCs/>
                    <w:noProof/>
                  </w:rPr>
                  <w:drawing>
                    <wp:inline distT="0" distB="0" distL="0" distR="0" wp14:anchorId="25AC18AB" wp14:editId="43767E33">
                      <wp:extent cx="774000" cy="270000"/>
                      <wp:effectExtent l="0" t="0" r="7620" b="0"/>
                      <wp:docPr id="6" name="Graphic 5" descr="CC 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 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73178280" w14:textId="77777777" w:rsidR="004F7BE2" w:rsidRPr="000F4488" w:rsidRDefault="004F7BE2">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67F66747" w14:textId="77777777" w:rsidR="004F7BE2" w:rsidRPr="000F4488" w:rsidRDefault="004F7BE2">
                <w:pPr>
                  <w:pStyle w:val="Copyrightpage-BodyBold"/>
                </w:pPr>
                <w:r w:rsidRPr="000561CF">
                  <w:t>The terms under which the Coat of Arms can be used are detailed at: www.pmc.gov.au/government/commonwealth-coat-arms.</w:t>
                </w:r>
              </w:p>
              <w:p w14:paraId="72E4F584" w14:textId="77777777" w:rsidR="004F7BE2" w:rsidRPr="000561CF" w:rsidRDefault="004F7BE2">
                <w:pPr>
                  <w:pStyle w:val="Copyrightpage-BodyBold"/>
                </w:pPr>
                <w:r w:rsidRPr="000561CF">
                  <w:t>Wherever a third party holds copyright in this material the copyright remains with that party. Their permission may be required to use the material, please contact them directly.</w:t>
                </w:r>
              </w:p>
              <w:p w14:paraId="54ABCA47" w14:textId="3D893E2A" w:rsidR="004F7BE2" w:rsidRPr="00137FAB" w:rsidRDefault="004F7BE2">
                <w:pPr>
                  <w:pStyle w:val="Copyrightpage-BodyBold"/>
                </w:pPr>
                <w:r w:rsidRPr="000F4488">
                  <w:t>An appropriate reference for this publication is:</w:t>
                </w:r>
                <w:r>
                  <w:br/>
                  <w:t xml:space="preserve">Productivity Commission </w:t>
                </w:r>
                <w:r w:rsidR="00C11A83">
                  <w:t>2022</w:t>
                </w:r>
                <w:r>
                  <w:t xml:space="preserve">, </w:t>
                </w:r>
                <w:r w:rsidR="00AC1F06" w:rsidRPr="00AC1F06">
                  <w:rPr>
                    <w:i/>
                    <w:iCs/>
                  </w:rPr>
                  <w:t>Review of the</w:t>
                </w:r>
                <w:r w:rsidR="00AC1F06">
                  <w:t xml:space="preserve"> </w:t>
                </w:r>
                <w:r w:rsidR="00AF0E7B" w:rsidRPr="00AC1F06">
                  <w:rPr>
                    <w:i/>
                    <w:iCs/>
                  </w:rPr>
                  <w:t>National School Reform Agreement</w:t>
                </w:r>
                <w:r>
                  <w:t xml:space="preserve">, </w:t>
                </w:r>
                <w:r w:rsidR="004B688A">
                  <w:t>Interim</w:t>
                </w:r>
                <w:r>
                  <w:t xml:space="preserve"> Report, Canberra, </w:t>
                </w:r>
                <w:r w:rsidR="00946A99">
                  <w:t>September</w:t>
                </w:r>
              </w:p>
              <w:p w14:paraId="5D7BF369" w14:textId="77777777" w:rsidR="004F7BE2" w:rsidRDefault="004F7BE2">
                <w:pPr>
                  <w:pStyle w:val="Copyrightpage-BodyBold"/>
                  <w:ind w:right="-284"/>
                </w:pPr>
              </w:p>
              <w:p w14:paraId="7735F961" w14:textId="77777777" w:rsidR="004F7BE2" w:rsidRDefault="004F7BE2">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4187DF5F" w14:textId="77777777" w:rsidR="004F7BE2" w:rsidRPr="00DA3017" w:rsidRDefault="004F7BE2" w:rsidP="004F7BE2">
          <w:pPr>
            <w:spacing w:before="0" w:after="160" w:line="259" w:lineRule="auto"/>
            <w:rPr>
              <w:b/>
              <w:color w:val="FFFFFF" w:themeColor="background1"/>
            </w:rPr>
          </w:pPr>
          <w:r>
            <w:rPr>
              <w:rStyle w:val="White"/>
              <w:b/>
            </w:rPr>
            <w:t xml:space="preserve"> </w:t>
          </w: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4F7BE2" w14:paraId="6AA6B00A" w14:textId="77777777" w:rsidTr="4459A1DF">
        <w:trPr>
          <w:trHeight w:hRule="exact" w:val="12586"/>
        </w:trPr>
        <w:tc>
          <w:tcPr>
            <w:tcW w:w="9638" w:type="dxa"/>
            <w:shd w:val="clear" w:color="auto" w:fill="F4F5F6"/>
          </w:tcPr>
          <w:p w14:paraId="14910952" w14:textId="77777777" w:rsidR="004F7BE2" w:rsidRDefault="004F7BE2" w:rsidP="004F7BE2">
            <w:pPr>
              <w:pStyle w:val="Heading1-nobackground"/>
            </w:pPr>
            <w:bookmarkStart w:id="0" w:name="_Toc113956909"/>
            <w:r>
              <w:t>Opportunity for comment</w:t>
            </w:r>
            <w:bookmarkEnd w:id="0"/>
          </w:p>
          <w:p w14:paraId="5D5BED26" w14:textId="40B246EB" w:rsidR="001F75F8" w:rsidRDefault="001F75F8" w:rsidP="001F75F8">
            <w:pPr>
              <w:pStyle w:val="BodyText"/>
            </w:pPr>
            <w:r>
              <w:t xml:space="preserve">The Commission thanks all participants for their contribution to the </w:t>
            </w:r>
            <w:r w:rsidR="00831FAA">
              <w:t xml:space="preserve">review </w:t>
            </w:r>
            <w:r>
              <w:t>and now seeks additional input for the final report.</w:t>
            </w:r>
          </w:p>
          <w:p w14:paraId="2AA5BBB9" w14:textId="23D7223A" w:rsidR="001F75F8" w:rsidRDefault="001F75F8" w:rsidP="001F75F8">
            <w:pPr>
              <w:pStyle w:val="BodyText"/>
            </w:pPr>
            <w:r>
              <w:t xml:space="preserve">You are invited to examine this </w:t>
            </w:r>
            <w:r w:rsidR="004C71DD">
              <w:t>interim</w:t>
            </w:r>
            <w:r>
              <w:t xml:space="preserve"> report and comment on it by written submission to the Productivity Commission, preferably in electronic format</w:t>
            </w:r>
            <w:r w:rsidR="00682ABD">
              <w:t>, by 21 October</w:t>
            </w:r>
            <w:r>
              <w:t xml:space="preserve">. </w:t>
            </w:r>
          </w:p>
          <w:p w14:paraId="331F77C8" w14:textId="5D04497B" w:rsidR="001F75F8" w:rsidRDefault="001F75F8" w:rsidP="001F75F8">
            <w:pPr>
              <w:pStyle w:val="BodyText"/>
            </w:pPr>
            <w:r>
              <w:t xml:space="preserve">Further information on how to provide a submission is included on the study website: </w:t>
            </w:r>
            <w:hyperlink r:id="rId20" w:history="1">
              <w:r w:rsidR="00C908F4" w:rsidRPr="0066048D">
                <w:rPr>
                  <w:rStyle w:val="Hyperlink"/>
                </w:rPr>
                <w:t>www.pc.gov.au/inquiries/current/school-agreement</w:t>
              </w:r>
            </w:hyperlink>
          </w:p>
          <w:p w14:paraId="594309BF" w14:textId="5CB267D1" w:rsidR="001F75F8" w:rsidRDefault="001F75F8" w:rsidP="001F75F8">
            <w:pPr>
              <w:pStyle w:val="BodyText"/>
            </w:pPr>
            <w:r>
              <w:t xml:space="preserve">The Commission will </w:t>
            </w:r>
            <w:r w:rsidR="00E41F5B">
              <w:t>hold further discussions with participants</w:t>
            </w:r>
            <w:r w:rsidR="00340812">
              <w:t xml:space="preserve"> and</w:t>
            </w:r>
            <w:r w:rsidR="00E41F5B">
              <w:t xml:space="preserve"> </w:t>
            </w:r>
            <w:r>
              <w:t xml:space="preserve">prepare </w:t>
            </w:r>
            <w:r w:rsidR="00340812">
              <w:t>a</w:t>
            </w:r>
            <w:r>
              <w:t xml:space="preserve"> final report after further submissions have been received. The Commission will forward the final report to Government in </w:t>
            </w:r>
            <w:r w:rsidR="00376B2A">
              <w:t>December</w:t>
            </w:r>
            <w:r>
              <w:t xml:space="preserve"> 2022.</w:t>
            </w:r>
          </w:p>
          <w:p w14:paraId="0546F946" w14:textId="77777777" w:rsidR="004F7BE2" w:rsidRPr="00683E2C" w:rsidRDefault="004F7BE2">
            <w:pPr>
              <w:pStyle w:val="Heading2-noTOC"/>
            </w:pPr>
            <w:r w:rsidRPr="00683E2C">
              <w:t>Commissioners</w:t>
            </w:r>
          </w:p>
          <w:p w14:paraId="0ED59413" w14:textId="1122EF6A" w:rsidR="004F7BE2" w:rsidRPr="007151C7" w:rsidRDefault="004F7BE2">
            <w:pPr>
              <w:pStyle w:val="BodyText"/>
            </w:pPr>
            <w:r>
              <w:t xml:space="preserve">For the purposes of this </w:t>
            </w:r>
            <w:r w:rsidR="00387CE0">
              <w:t>review</w:t>
            </w:r>
            <w:r>
              <w:t xml:space="preserve"> the Commissioners are:</w:t>
            </w:r>
          </w:p>
          <w:tbl>
            <w:tblPr>
              <w:tblW w:w="0" w:type="auto"/>
              <w:tblLook w:val="01E0" w:firstRow="1" w:lastRow="1" w:firstColumn="1" w:lastColumn="1" w:noHBand="0" w:noVBand="0"/>
            </w:tblPr>
            <w:tblGrid>
              <w:gridCol w:w="3969"/>
              <w:gridCol w:w="4820"/>
            </w:tblGrid>
            <w:tr w:rsidR="004F7BE2" w14:paraId="173C28E0" w14:textId="77777777">
              <w:tc>
                <w:tcPr>
                  <w:tcW w:w="3969" w:type="dxa"/>
                  <w:tcMar>
                    <w:left w:w="0" w:type="dxa"/>
                    <w:right w:w="0" w:type="dxa"/>
                  </w:tcMar>
                </w:tcPr>
                <w:p w14:paraId="329E65BC" w14:textId="16055989" w:rsidR="004F7BE2" w:rsidRDefault="00092FEF">
                  <w:pPr>
                    <w:pStyle w:val="BodyText"/>
                  </w:pPr>
                  <w:r>
                    <w:t>Michael Brennan</w:t>
                  </w:r>
                </w:p>
              </w:tc>
              <w:tc>
                <w:tcPr>
                  <w:tcW w:w="4820" w:type="dxa"/>
                </w:tcPr>
                <w:p w14:paraId="01B1A60E" w14:textId="77777777" w:rsidR="004F7BE2" w:rsidRDefault="004F7BE2">
                  <w:pPr>
                    <w:pStyle w:val="BodyText"/>
                  </w:pPr>
                  <w:r>
                    <w:t>Presiding Commissioner</w:t>
                  </w:r>
                </w:p>
              </w:tc>
            </w:tr>
            <w:tr w:rsidR="004F7BE2" w14:paraId="5D2C8F83" w14:textId="77777777">
              <w:tc>
                <w:tcPr>
                  <w:tcW w:w="3969" w:type="dxa"/>
                  <w:tcMar>
                    <w:left w:w="0" w:type="dxa"/>
                    <w:right w:w="0" w:type="dxa"/>
                  </w:tcMar>
                </w:tcPr>
                <w:p w14:paraId="79F8DF48" w14:textId="53CE078A" w:rsidR="004F7BE2" w:rsidRDefault="00092FEF">
                  <w:pPr>
                    <w:pStyle w:val="BodyText"/>
                  </w:pPr>
                  <w:r>
                    <w:t>Malcolm Roberts</w:t>
                  </w:r>
                </w:p>
              </w:tc>
              <w:tc>
                <w:tcPr>
                  <w:tcW w:w="4820" w:type="dxa"/>
                </w:tcPr>
                <w:p w14:paraId="5B9AD00E" w14:textId="77777777" w:rsidR="004F7BE2" w:rsidRDefault="004F7BE2">
                  <w:pPr>
                    <w:pStyle w:val="BodyText"/>
                  </w:pPr>
                  <w:r>
                    <w:t>Commissioner</w:t>
                  </w:r>
                </w:p>
              </w:tc>
            </w:tr>
            <w:tr w:rsidR="00092FEF" w14:paraId="7189136A" w14:textId="77777777">
              <w:tc>
                <w:tcPr>
                  <w:tcW w:w="3969" w:type="dxa"/>
                  <w:tcMar>
                    <w:left w:w="0" w:type="dxa"/>
                    <w:right w:w="0" w:type="dxa"/>
                  </w:tcMar>
                </w:tcPr>
                <w:p w14:paraId="3BA45666" w14:textId="59088028" w:rsidR="00092FEF" w:rsidRDefault="00092FEF">
                  <w:pPr>
                    <w:pStyle w:val="BodyText"/>
                  </w:pPr>
                  <w:r>
                    <w:t>Natalie Siegel-Brown</w:t>
                  </w:r>
                </w:p>
              </w:tc>
              <w:tc>
                <w:tcPr>
                  <w:tcW w:w="4820" w:type="dxa"/>
                </w:tcPr>
                <w:p w14:paraId="2A93574E" w14:textId="4B2ECACB" w:rsidR="00092FEF" w:rsidRDefault="00092FEF">
                  <w:pPr>
                    <w:pStyle w:val="BodyText"/>
                  </w:pPr>
                  <w:r>
                    <w:t>Commissioner</w:t>
                  </w:r>
                </w:p>
              </w:tc>
            </w:tr>
          </w:tbl>
          <w:p w14:paraId="4BF0A996" w14:textId="55213F4B" w:rsidR="00A75D2F" w:rsidRPr="00DD6473" w:rsidRDefault="00A75D2F">
            <w:pPr>
              <w:pStyle w:val="BodyText"/>
            </w:pPr>
          </w:p>
        </w:tc>
      </w:tr>
    </w:tbl>
    <w:p w14:paraId="17BC5397" w14:textId="77777777" w:rsidR="004F7BE2" w:rsidRDefault="004F7BE2" w:rsidP="004F7BE2">
      <w:pPr>
        <w:pStyle w:val="BodyText"/>
        <w:sectPr w:rsidR="004F7BE2" w:rsidSect="004544D6">
          <w:headerReference w:type="even" r:id="rId21"/>
          <w:headerReference w:type="default" r:id="rId22"/>
          <w:footerReference w:type="even" r:id="rId23"/>
          <w:footerReference w:type="default" r:id="rId24"/>
          <w:footnotePr>
            <w:numRestart w:val="eachSect"/>
          </w:footnotePr>
          <w:pgSz w:w="11906" w:h="16838" w:code="9"/>
          <w:pgMar w:top="1134" w:right="1134" w:bottom="1134" w:left="1134" w:header="794" w:footer="510" w:gutter="0"/>
          <w:pgNumType w:fmt="lowerRoman" w:start="2"/>
          <w:cols w:space="708"/>
          <w:docGrid w:linePitch="360"/>
        </w:sectPr>
      </w:pPr>
      <w:bookmarkStart w:id="1" w:name="_Toc77943765"/>
    </w:p>
    <w:p w14:paraId="3C18653D" w14:textId="6525C841" w:rsidR="00B43AF4" w:rsidRPr="00B43AF4" w:rsidRDefault="00B43AF4" w:rsidP="00344127">
      <w:pPr>
        <w:pStyle w:val="Heading1-nobackground"/>
      </w:pPr>
      <w:bookmarkStart w:id="2" w:name="_Toc113376412"/>
      <w:bookmarkStart w:id="3" w:name="_Toc113441637"/>
      <w:bookmarkStart w:id="4" w:name="_Toc113956910"/>
      <w:bookmarkEnd w:id="1"/>
      <w:r w:rsidRPr="00B43AF4">
        <w:t>Contents</w:t>
      </w:r>
      <w:bookmarkEnd w:id="2"/>
      <w:bookmarkEnd w:id="3"/>
      <w:bookmarkEnd w:id="4"/>
    </w:p>
    <w:sdt>
      <w:sdtPr>
        <w:rPr>
          <w:rFonts w:asciiTheme="minorHAnsi" w:hAnsiTheme="minorHAnsi"/>
          <w:b/>
          <w:color w:val="auto"/>
        </w:rPr>
        <w:id w:val="-896974578"/>
        <w:docPartObj>
          <w:docPartGallery w:val="Table of Contents"/>
          <w:docPartUnique/>
        </w:docPartObj>
      </w:sdtPr>
      <w:sdtEndPr>
        <w:rPr>
          <w:rFonts w:asciiTheme="majorHAnsi" w:hAnsiTheme="majorHAnsi"/>
          <w:b w:val="0"/>
          <w:bCs/>
          <w:noProof/>
          <w:color w:val="265A9A" w:themeColor="background2"/>
        </w:rPr>
      </w:sdtEndPr>
      <w:sdtContent>
        <w:p w14:paraId="4FF820BC" w14:textId="65A8FD27" w:rsidR="00930CB5" w:rsidRDefault="00B43AF4" w:rsidP="00844263">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00930CB5">
            <w:rPr>
              <w:noProof/>
            </w:rPr>
            <w:t>Opportunity for comment</w:t>
          </w:r>
          <w:r w:rsidR="00930CB5">
            <w:rPr>
              <w:noProof/>
              <w:webHidden/>
            </w:rPr>
            <w:tab/>
          </w:r>
          <w:r w:rsidR="00930CB5">
            <w:rPr>
              <w:noProof/>
              <w:webHidden/>
            </w:rPr>
            <w:fldChar w:fldCharType="begin"/>
          </w:r>
          <w:r w:rsidR="00930CB5">
            <w:rPr>
              <w:noProof/>
              <w:webHidden/>
            </w:rPr>
            <w:instrText xml:space="preserve"> PAGEREF _Toc113956909 \h </w:instrText>
          </w:r>
          <w:r w:rsidR="00930CB5">
            <w:rPr>
              <w:noProof/>
              <w:webHidden/>
            </w:rPr>
          </w:r>
          <w:r w:rsidR="00930CB5">
            <w:rPr>
              <w:noProof/>
              <w:webHidden/>
            </w:rPr>
            <w:fldChar w:fldCharType="separate"/>
          </w:r>
          <w:r w:rsidR="00C642E8">
            <w:rPr>
              <w:noProof/>
              <w:webHidden/>
            </w:rPr>
            <w:t>iii</w:t>
          </w:r>
          <w:r w:rsidR="00930CB5">
            <w:rPr>
              <w:noProof/>
              <w:webHidden/>
            </w:rPr>
            <w:fldChar w:fldCharType="end"/>
          </w:r>
        </w:p>
        <w:p w14:paraId="6BC10231" w14:textId="385FC0E6" w:rsidR="00930CB5" w:rsidRDefault="00930CB5" w:rsidP="00844263">
          <w:pPr>
            <w:pStyle w:val="TOC1"/>
            <w:rPr>
              <w:rFonts w:asciiTheme="minorHAnsi" w:eastAsiaTheme="minorEastAsia" w:hAnsiTheme="minorHAnsi"/>
              <w:noProof/>
              <w:color w:val="auto"/>
              <w:sz w:val="22"/>
              <w:szCs w:val="22"/>
              <w:lang w:eastAsia="en-AU"/>
            </w:rPr>
          </w:pPr>
          <w:r>
            <w:rPr>
              <w:noProof/>
            </w:rPr>
            <w:t>Foreword</w:t>
          </w:r>
          <w:r>
            <w:rPr>
              <w:noProof/>
              <w:webHidden/>
            </w:rPr>
            <w:tab/>
          </w:r>
          <w:r>
            <w:rPr>
              <w:noProof/>
              <w:webHidden/>
            </w:rPr>
            <w:fldChar w:fldCharType="begin"/>
          </w:r>
          <w:r>
            <w:rPr>
              <w:noProof/>
              <w:webHidden/>
            </w:rPr>
            <w:instrText xml:space="preserve"> PAGEREF _Toc113956911 \h </w:instrText>
          </w:r>
          <w:r>
            <w:rPr>
              <w:noProof/>
              <w:webHidden/>
            </w:rPr>
          </w:r>
          <w:r>
            <w:rPr>
              <w:noProof/>
              <w:webHidden/>
            </w:rPr>
            <w:fldChar w:fldCharType="separate"/>
          </w:r>
          <w:r w:rsidR="00C642E8">
            <w:rPr>
              <w:noProof/>
              <w:webHidden/>
            </w:rPr>
            <w:t>vi</w:t>
          </w:r>
          <w:r>
            <w:rPr>
              <w:noProof/>
              <w:webHidden/>
            </w:rPr>
            <w:fldChar w:fldCharType="end"/>
          </w:r>
        </w:p>
        <w:p w14:paraId="667E0184" w14:textId="6D974042" w:rsidR="00930CB5" w:rsidRDefault="00930CB5">
          <w:pPr>
            <w:pStyle w:val="TOC3"/>
            <w:rPr>
              <w:rFonts w:asciiTheme="minorHAnsi" w:eastAsiaTheme="minorEastAsia" w:hAnsiTheme="minorHAnsi"/>
              <w:noProof/>
              <w:color w:val="auto"/>
              <w:sz w:val="22"/>
              <w:szCs w:val="22"/>
              <w:lang w:eastAsia="en-AU"/>
            </w:rPr>
          </w:pPr>
          <w:r>
            <w:rPr>
              <w:noProof/>
            </w:rPr>
            <w:t>Overview</w:t>
          </w:r>
          <w:r>
            <w:rPr>
              <w:noProof/>
              <w:webHidden/>
            </w:rPr>
            <w:tab/>
          </w:r>
          <w:r>
            <w:rPr>
              <w:noProof/>
              <w:webHidden/>
            </w:rPr>
            <w:fldChar w:fldCharType="begin"/>
          </w:r>
          <w:r>
            <w:rPr>
              <w:noProof/>
              <w:webHidden/>
            </w:rPr>
            <w:instrText xml:space="preserve"> PAGEREF _Toc113956912 \h </w:instrText>
          </w:r>
          <w:r>
            <w:rPr>
              <w:noProof/>
              <w:webHidden/>
            </w:rPr>
          </w:r>
          <w:r>
            <w:rPr>
              <w:noProof/>
              <w:webHidden/>
            </w:rPr>
            <w:fldChar w:fldCharType="separate"/>
          </w:r>
          <w:r w:rsidR="00C642E8">
            <w:rPr>
              <w:noProof/>
              <w:webHidden/>
            </w:rPr>
            <w:t>1</w:t>
          </w:r>
          <w:r>
            <w:rPr>
              <w:noProof/>
              <w:webHidden/>
            </w:rPr>
            <w:fldChar w:fldCharType="end"/>
          </w:r>
        </w:p>
        <w:p w14:paraId="0B0D1E91" w14:textId="29CC1C55" w:rsidR="00930CB5" w:rsidRDefault="00930CB5">
          <w:pPr>
            <w:pStyle w:val="TOC2"/>
            <w:rPr>
              <w:rFonts w:eastAsiaTheme="minorEastAsia"/>
              <w:sz w:val="22"/>
              <w:szCs w:val="22"/>
              <w:lang w:eastAsia="en-AU"/>
            </w:rPr>
          </w:pPr>
          <w:r>
            <w:t>What’s this review about?</w:t>
          </w:r>
          <w:r>
            <w:rPr>
              <w:webHidden/>
            </w:rPr>
            <w:tab/>
          </w:r>
          <w:r>
            <w:rPr>
              <w:webHidden/>
            </w:rPr>
            <w:fldChar w:fldCharType="begin"/>
          </w:r>
          <w:r>
            <w:rPr>
              <w:webHidden/>
            </w:rPr>
            <w:instrText xml:space="preserve"> PAGEREF _Toc113956913 \h </w:instrText>
          </w:r>
          <w:r>
            <w:rPr>
              <w:webHidden/>
            </w:rPr>
          </w:r>
          <w:r>
            <w:rPr>
              <w:webHidden/>
            </w:rPr>
            <w:fldChar w:fldCharType="separate"/>
          </w:r>
          <w:r w:rsidR="00C642E8">
            <w:rPr>
              <w:webHidden/>
            </w:rPr>
            <w:t>3</w:t>
          </w:r>
          <w:r>
            <w:rPr>
              <w:webHidden/>
            </w:rPr>
            <w:fldChar w:fldCharType="end"/>
          </w:r>
        </w:p>
        <w:p w14:paraId="115A4C96" w14:textId="40D001A3" w:rsidR="00930CB5" w:rsidRDefault="00930CB5">
          <w:pPr>
            <w:pStyle w:val="TOC2"/>
            <w:rPr>
              <w:rFonts w:eastAsiaTheme="minorEastAsia"/>
              <w:sz w:val="22"/>
              <w:szCs w:val="22"/>
              <w:lang w:eastAsia="en-AU"/>
            </w:rPr>
          </w:pPr>
          <w:r>
            <w:t>How have national reforms fared?</w:t>
          </w:r>
          <w:r>
            <w:rPr>
              <w:webHidden/>
            </w:rPr>
            <w:tab/>
          </w:r>
          <w:r>
            <w:rPr>
              <w:webHidden/>
            </w:rPr>
            <w:fldChar w:fldCharType="begin"/>
          </w:r>
          <w:r>
            <w:rPr>
              <w:webHidden/>
            </w:rPr>
            <w:instrText xml:space="preserve"> PAGEREF _Toc113956914 \h </w:instrText>
          </w:r>
          <w:r>
            <w:rPr>
              <w:webHidden/>
            </w:rPr>
          </w:r>
          <w:r>
            <w:rPr>
              <w:webHidden/>
            </w:rPr>
            <w:fldChar w:fldCharType="separate"/>
          </w:r>
          <w:r w:rsidR="00C642E8">
            <w:rPr>
              <w:webHidden/>
            </w:rPr>
            <w:t>5</w:t>
          </w:r>
          <w:r>
            <w:rPr>
              <w:webHidden/>
            </w:rPr>
            <w:fldChar w:fldCharType="end"/>
          </w:r>
        </w:p>
        <w:p w14:paraId="5038DAE7" w14:textId="47BA2063" w:rsidR="00930CB5" w:rsidRDefault="00930CB5">
          <w:pPr>
            <w:pStyle w:val="TOC2"/>
            <w:rPr>
              <w:rFonts w:eastAsiaTheme="minorEastAsia"/>
              <w:sz w:val="22"/>
              <w:szCs w:val="22"/>
              <w:lang w:eastAsia="en-AU"/>
            </w:rPr>
          </w:pPr>
          <w:r>
            <w:t>What should be the focus of the next agreement?</w:t>
          </w:r>
          <w:r>
            <w:rPr>
              <w:webHidden/>
            </w:rPr>
            <w:tab/>
          </w:r>
          <w:r>
            <w:rPr>
              <w:webHidden/>
            </w:rPr>
            <w:fldChar w:fldCharType="begin"/>
          </w:r>
          <w:r>
            <w:rPr>
              <w:webHidden/>
            </w:rPr>
            <w:instrText xml:space="preserve"> PAGEREF _Toc113956915 \h </w:instrText>
          </w:r>
          <w:r>
            <w:rPr>
              <w:webHidden/>
            </w:rPr>
          </w:r>
          <w:r>
            <w:rPr>
              <w:webHidden/>
            </w:rPr>
            <w:fldChar w:fldCharType="separate"/>
          </w:r>
          <w:r w:rsidR="00C642E8">
            <w:rPr>
              <w:webHidden/>
            </w:rPr>
            <w:t>9</w:t>
          </w:r>
          <w:r>
            <w:rPr>
              <w:webHidden/>
            </w:rPr>
            <w:fldChar w:fldCharType="end"/>
          </w:r>
        </w:p>
        <w:p w14:paraId="3032A38A" w14:textId="44A28F24" w:rsidR="00930CB5" w:rsidRDefault="00930CB5">
          <w:pPr>
            <w:pStyle w:val="TOC2"/>
            <w:rPr>
              <w:rFonts w:eastAsiaTheme="minorEastAsia"/>
              <w:sz w:val="22"/>
              <w:szCs w:val="22"/>
              <w:lang w:eastAsia="en-AU"/>
            </w:rPr>
          </w:pPr>
          <w:r>
            <w:t>How might intergovernmental co</w:t>
          </w:r>
          <w:r>
            <w:noBreakHyphen/>
            <w:t>operation need to adapt?</w:t>
          </w:r>
          <w:r>
            <w:rPr>
              <w:webHidden/>
            </w:rPr>
            <w:tab/>
          </w:r>
          <w:r>
            <w:rPr>
              <w:webHidden/>
            </w:rPr>
            <w:fldChar w:fldCharType="begin"/>
          </w:r>
          <w:r>
            <w:rPr>
              <w:webHidden/>
            </w:rPr>
            <w:instrText xml:space="preserve"> PAGEREF _Toc113956916 \h </w:instrText>
          </w:r>
          <w:r>
            <w:rPr>
              <w:webHidden/>
            </w:rPr>
          </w:r>
          <w:r>
            <w:rPr>
              <w:webHidden/>
            </w:rPr>
            <w:fldChar w:fldCharType="separate"/>
          </w:r>
          <w:r w:rsidR="00C642E8">
            <w:rPr>
              <w:webHidden/>
            </w:rPr>
            <w:t>22</w:t>
          </w:r>
          <w:r>
            <w:rPr>
              <w:webHidden/>
            </w:rPr>
            <w:fldChar w:fldCharType="end"/>
          </w:r>
        </w:p>
        <w:p w14:paraId="21B8B3E2" w14:textId="49910200" w:rsidR="00930CB5" w:rsidRDefault="00930CB5">
          <w:pPr>
            <w:pStyle w:val="TOC2"/>
            <w:rPr>
              <w:rFonts w:eastAsiaTheme="minorEastAsia"/>
              <w:sz w:val="22"/>
              <w:szCs w:val="22"/>
              <w:lang w:eastAsia="en-AU"/>
            </w:rPr>
          </w:pPr>
          <w:r>
            <w:t>Attachment A – system performance</w:t>
          </w:r>
          <w:r>
            <w:rPr>
              <w:webHidden/>
            </w:rPr>
            <w:tab/>
          </w:r>
          <w:r>
            <w:rPr>
              <w:webHidden/>
            </w:rPr>
            <w:fldChar w:fldCharType="begin"/>
          </w:r>
          <w:r>
            <w:rPr>
              <w:webHidden/>
            </w:rPr>
            <w:instrText xml:space="preserve"> PAGEREF _Toc113956917 \h </w:instrText>
          </w:r>
          <w:r>
            <w:rPr>
              <w:webHidden/>
            </w:rPr>
          </w:r>
          <w:r>
            <w:rPr>
              <w:webHidden/>
            </w:rPr>
            <w:fldChar w:fldCharType="separate"/>
          </w:r>
          <w:r w:rsidR="00C642E8">
            <w:rPr>
              <w:webHidden/>
            </w:rPr>
            <w:t>24</w:t>
          </w:r>
          <w:r>
            <w:rPr>
              <w:webHidden/>
            </w:rPr>
            <w:fldChar w:fldCharType="end"/>
          </w:r>
        </w:p>
        <w:p w14:paraId="559503F3" w14:textId="429D6AB2" w:rsidR="00EA50AD" w:rsidRDefault="00930CB5" w:rsidP="00844263">
          <w:pPr>
            <w:pStyle w:val="TOC1"/>
            <w:rPr>
              <w:bCs/>
              <w:noProof/>
            </w:rPr>
          </w:pPr>
          <w:r>
            <w:rPr>
              <w:noProof/>
            </w:rPr>
            <w:t>Recommendations and findings</w:t>
          </w:r>
          <w:r>
            <w:rPr>
              <w:noProof/>
              <w:webHidden/>
            </w:rPr>
            <w:tab/>
          </w:r>
          <w:r>
            <w:rPr>
              <w:noProof/>
              <w:webHidden/>
            </w:rPr>
            <w:fldChar w:fldCharType="begin"/>
          </w:r>
          <w:r>
            <w:rPr>
              <w:noProof/>
              <w:webHidden/>
            </w:rPr>
            <w:instrText xml:space="preserve"> PAGEREF _Toc113956918 \h </w:instrText>
          </w:r>
          <w:r>
            <w:rPr>
              <w:noProof/>
              <w:webHidden/>
            </w:rPr>
          </w:r>
          <w:r>
            <w:rPr>
              <w:noProof/>
              <w:webHidden/>
            </w:rPr>
            <w:fldChar w:fldCharType="separate"/>
          </w:r>
          <w:r w:rsidR="00C642E8">
            <w:rPr>
              <w:noProof/>
              <w:webHidden/>
            </w:rPr>
            <w:t>27</w:t>
          </w:r>
          <w:r>
            <w:rPr>
              <w:noProof/>
              <w:webHidden/>
            </w:rPr>
            <w:fldChar w:fldCharType="end"/>
          </w:r>
          <w:r w:rsidR="00B43AF4">
            <w:rPr>
              <w:sz w:val="18"/>
            </w:rPr>
            <w:fldChar w:fldCharType="end"/>
          </w:r>
        </w:p>
      </w:sdtContent>
    </w:sdt>
    <w:p w14:paraId="408A65F0" w14:textId="67EC638C" w:rsidR="00087EF7" w:rsidRPr="004D62B8" w:rsidRDefault="00EA50AD" w:rsidP="00844263">
      <w:pPr>
        <w:pStyle w:val="TOC1"/>
        <w:spacing w:before="360"/>
        <w:rPr>
          <w:rFonts w:asciiTheme="minorHAnsi" w:hAnsiTheme="minorHAnsi" w:cstheme="minorHAnsi"/>
          <w:b/>
          <w:bCs/>
          <w:noProof/>
          <w:color w:val="auto"/>
        </w:rPr>
      </w:pPr>
      <w:r w:rsidRPr="004D62B8">
        <w:rPr>
          <w:rFonts w:asciiTheme="minorHAnsi" w:hAnsiTheme="minorHAnsi" w:cstheme="minorHAnsi"/>
          <w:b/>
          <w:bCs/>
          <w:noProof/>
          <w:color w:val="auto"/>
        </w:rPr>
        <w:t xml:space="preserve">The full report is available from </w:t>
      </w:r>
      <w:hyperlink r:id="rId25" w:history="1">
        <w:r w:rsidR="00844263" w:rsidRPr="004D62B8">
          <w:rPr>
            <w:rStyle w:val="Hyperlink"/>
            <w:rFonts w:asciiTheme="minorHAnsi" w:hAnsiTheme="minorHAnsi" w:cstheme="minorHAnsi"/>
            <w:b/>
            <w:bCs/>
            <w:noProof/>
            <w:color w:val="auto"/>
          </w:rPr>
          <w:t>www.pc.gov.au</w:t>
        </w:r>
      </w:hyperlink>
    </w:p>
    <w:p w14:paraId="396A8F57" w14:textId="77777777" w:rsidR="00344127" w:rsidRPr="004D62B8" w:rsidRDefault="00344127">
      <w:pPr>
        <w:spacing w:before="0" w:after="160" w:line="259" w:lineRule="auto"/>
        <w:rPr>
          <w:rFonts w:cstheme="minorHAnsi"/>
          <w:b/>
          <w:bCs/>
        </w:rPr>
        <w:sectPr w:rsidR="00344127" w:rsidRPr="004D62B8" w:rsidSect="00B1552C">
          <w:headerReference w:type="default" r:id="rId26"/>
          <w:footerReference w:type="even" r:id="rId27"/>
          <w:footerReference w:type="default" r:id="rId28"/>
          <w:footnotePr>
            <w:numRestart w:val="eachSect"/>
          </w:footnotePr>
          <w:type w:val="oddPage"/>
          <w:pgSz w:w="11906" w:h="16838" w:code="9"/>
          <w:pgMar w:top="1134" w:right="1134" w:bottom="1134" w:left="1134" w:header="794" w:footer="510" w:gutter="0"/>
          <w:pgNumType w:fmt="lowerRoman"/>
          <w:cols w:space="708"/>
          <w:docGrid w:linePitch="360"/>
        </w:sectPr>
      </w:pPr>
    </w:p>
    <w:p w14:paraId="2F548CA4" w14:textId="1FF8B4CF" w:rsidR="00DF5305" w:rsidRDefault="00DF5305" w:rsidP="00DF5305">
      <w:pPr>
        <w:pStyle w:val="Heading1-nobackground"/>
      </w:pPr>
      <w:bookmarkStart w:id="5" w:name="_Toc113956911"/>
      <w:r>
        <w:t>Foreword</w:t>
      </w:r>
      <w:bookmarkEnd w:id="5"/>
    </w:p>
    <w:p w14:paraId="59A449A4" w14:textId="67245F32" w:rsidR="00DF5305" w:rsidRPr="00344127" w:rsidRDefault="00DF5305" w:rsidP="00882DDA">
      <w:pPr>
        <w:pStyle w:val="BodyText"/>
        <w:rPr>
          <w:spacing w:val="-4"/>
        </w:rPr>
      </w:pPr>
      <w:r w:rsidRPr="00344127">
        <w:rPr>
          <w:spacing w:val="-4"/>
        </w:rPr>
        <w:t xml:space="preserve">The Australian, </w:t>
      </w:r>
      <w:r w:rsidR="00896859" w:rsidRPr="00344127">
        <w:rPr>
          <w:spacing w:val="-4"/>
        </w:rPr>
        <w:t>S</w:t>
      </w:r>
      <w:r w:rsidRPr="00344127">
        <w:rPr>
          <w:spacing w:val="-4"/>
        </w:rPr>
        <w:t xml:space="preserve">tate and </w:t>
      </w:r>
      <w:r w:rsidR="00896859" w:rsidRPr="00344127">
        <w:rPr>
          <w:spacing w:val="-4"/>
        </w:rPr>
        <w:t>T</w:t>
      </w:r>
      <w:r w:rsidRPr="00344127">
        <w:rPr>
          <w:spacing w:val="-4"/>
        </w:rPr>
        <w:t xml:space="preserve">erritory </w:t>
      </w:r>
      <w:r w:rsidR="002C387C" w:rsidRPr="00344127">
        <w:rPr>
          <w:spacing w:val="-4"/>
        </w:rPr>
        <w:t>G</w:t>
      </w:r>
      <w:r w:rsidRPr="00344127">
        <w:rPr>
          <w:spacing w:val="-4"/>
        </w:rPr>
        <w:t>overnments share responsibility for school education and have a long history of working together to build the national institutions, systems and tools that support better student outcomes.</w:t>
      </w:r>
    </w:p>
    <w:p w14:paraId="0EA9FF29" w14:textId="77777777" w:rsidR="00DF5305" w:rsidRDefault="00DF5305" w:rsidP="00882DDA">
      <w:pPr>
        <w:pStyle w:val="BodyText"/>
      </w:pPr>
      <w:r>
        <w:t xml:space="preserve">This review considers the most recent focus for collaborative reform efforts, the National School Reform Agreement (NSRA). The Commission has been asked to assess the effectiveness and appropriateness of the National Policy Initiatives included in the agreement, and the appropriateness of the National Measurement Framework for Schooling in Australia in measuring progress towards outcomes. Importantly, the Commission has also been asked to make recommendations to inform the design of the next intergovernmental school reform agreement. </w:t>
      </w:r>
    </w:p>
    <w:p w14:paraId="2AAE6E8F" w14:textId="77777777" w:rsidR="00DF5305" w:rsidRPr="00344127" w:rsidRDefault="00DF5305" w:rsidP="00882DDA">
      <w:pPr>
        <w:pStyle w:val="BodyText"/>
        <w:rPr>
          <w:spacing w:val="-4"/>
        </w:rPr>
      </w:pPr>
      <w:r w:rsidRPr="00344127">
        <w:rPr>
          <w:spacing w:val="-4"/>
        </w:rPr>
        <w:t>This interim report presents the Commission’s initial analysis of progress on national reform efforts, and assessment of performance reporting and accountability arrangements. It also identifies potential reform options for a successor agreement. In doing so, the Commission has focussed on factors that influence student outcomes that are amenable to intergovernmental collaboration. This report’s primary purpose is to elicit additional stakeholder feedback, noting the clear expectations about broad and extensive stakeholder engagement set out in the terms of reference, and the strong interest in this important area of government service delivery.</w:t>
      </w:r>
    </w:p>
    <w:p w14:paraId="00D4334D" w14:textId="5D5BF48A" w:rsidR="00DF5305" w:rsidRDefault="00DF5305" w:rsidP="00882DDA">
      <w:pPr>
        <w:pStyle w:val="BodyText"/>
      </w:pPr>
      <w:r>
        <w:t xml:space="preserve">The Commission will be calling for responses by </w:t>
      </w:r>
      <w:r w:rsidR="00235312">
        <w:t>21 October</w:t>
      </w:r>
      <w:r>
        <w:t xml:space="preserve"> and will be preparing a final report for consideration by Ministers by 31 December 2022. </w:t>
      </w:r>
    </w:p>
    <w:p w14:paraId="64ACF009" w14:textId="71511B18" w:rsidR="005E2899" w:rsidRDefault="00DF5305" w:rsidP="00882DDA">
      <w:pPr>
        <w:pStyle w:val="BodyText"/>
      </w:pPr>
      <w:r>
        <w:t>The Commission has benefited from engagement with students, teachers</w:t>
      </w:r>
      <w:r w:rsidR="00F100E7">
        <w:t>,</w:t>
      </w:r>
      <w:r>
        <w:t xml:space="preserve"> school leaders, unions, representatives from the Catholic and </w:t>
      </w:r>
      <w:r w:rsidR="003C0055">
        <w:t>I</w:t>
      </w:r>
      <w:r>
        <w:t xml:space="preserve">ndependent school sectors, academics and officials from the Australian, </w:t>
      </w:r>
      <w:r w:rsidR="00235312">
        <w:t>S</w:t>
      </w:r>
      <w:r>
        <w:t xml:space="preserve">tate and </w:t>
      </w:r>
      <w:r w:rsidR="00235312">
        <w:t>T</w:t>
      </w:r>
      <w:r>
        <w:t xml:space="preserve">erritory </w:t>
      </w:r>
      <w:r w:rsidR="00235312">
        <w:t>G</w:t>
      </w:r>
      <w:r>
        <w:t>overnments, as well as key education entities such as the Australian Curriculum, Assessment and Reporting Authority, the Australian Institute for Teaching and School Leadership, the Australian Education Research Organisation and Education Services Australia. The Commission would particularly like to thank those young people who took time out of their busy learning schedules to share their experiences of school, including over the past few challenging years.</w:t>
      </w:r>
    </w:p>
    <w:p w14:paraId="66B7E931" w14:textId="77777777" w:rsidR="00C051ED" w:rsidRDefault="00C051ED">
      <w:pPr>
        <w:spacing w:before="0" w:after="160" w:line="259" w:lineRule="auto"/>
      </w:pPr>
    </w:p>
    <w:p w14:paraId="58CA8BD2" w14:textId="77777777" w:rsidR="008E4217" w:rsidRDefault="008E4217">
      <w:pPr>
        <w:spacing w:before="0" w:after="160" w:line="259" w:lineRule="auto"/>
        <w:sectPr w:rsidR="008E4217" w:rsidSect="00B1552C">
          <w:headerReference w:type="default" r:id="rId29"/>
          <w:footnotePr>
            <w:numRestart w:val="eachSect"/>
          </w:footnotePr>
          <w:pgSz w:w="11906" w:h="16838" w:code="9"/>
          <w:pgMar w:top="1134" w:right="1134" w:bottom="1134" w:left="1134" w:header="794" w:footer="510" w:gutter="0"/>
          <w:pgNumType w:fmt="lowerRoman"/>
          <w:cols w:space="708"/>
          <w:docGrid w:linePitch="360"/>
        </w:sectPr>
      </w:pPr>
    </w:p>
    <w:p w14:paraId="42DFE3B9" w14:textId="77777777" w:rsidR="00D17784" w:rsidRPr="00091A1B" w:rsidRDefault="00D17784" w:rsidP="00091A1B">
      <w:pPr>
        <w:pStyle w:val="Heading1-Section-fullpage"/>
        <w:framePr w:wrap="around"/>
      </w:pPr>
      <w:bookmarkStart w:id="6" w:name="_Toc113956912"/>
      <w:r>
        <w:t>Overview</w:t>
      </w:r>
      <w:bookmarkEnd w:id="6"/>
    </w:p>
    <w:tbl>
      <w:tblPr>
        <w:tblW w:w="5000" w:type="pct"/>
        <w:shd w:val="clear" w:color="auto" w:fill="E0F1F7" w:themeFill="text2" w:themeFillTint="33"/>
        <w:tblLook w:val="04A0" w:firstRow="1" w:lastRow="0" w:firstColumn="1" w:lastColumn="0" w:noHBand="0" w:noVBand="1"/>
      </w:tblPr>
      <w:tblGrid>
        <w:gridCol w:w="577"/>
        <w:gridCol w:w="9061"/>
      </w:tblGrid>
      <w:tr w:rsidR="00D17784" w:rsidRPr="002F759A" w14:paraId="2820BE7B" w14:textId="77777777" w:rsidTr="00CC7DEC">
        <w:tc>
          <w:tcPr>
            <w:tcW w:w="9638" w:type="dxa"/>
            <w:gridSpan w:val="2"/>
            <w:shd w:val="clear" w:color="auto" w:fill="E0F1F7" w:themeFill="text2" w:themeFillTint="33"/>
            <w:tcMar>
              <w:left w:w="170" w:type="dxa"/>
            </w:tcMar>
          </w:tcPr>
          <w:p w14:paraId="22300AF3" w14:textId="504FB945" w:rsidR="00D17784" w:rsidRPr="002F759A" w:rsidRDefault="00D17784">
            <w:pPr>
              <w:pStyle w:val="Keypoints-heading"/>
            </w:pPr>
            <w:r w:rsidRPr="002F759A">
              <w:t>Key points</w:t>
            </w:r>
          </w:p>
        </w:tc>
      </w:tr>
      <w:tr w:rsidR="00D17784" w14:paraId="17E2C546" w14:textId="77777777" w:rsidTr="00CC7DEC">
        <w:tc>
          <w:tcPr>
            <w:tcW w:w="577" w:type="dxa"/>
            <w:shd w:val="clear" w:color="auto" w:fill="E0F1F7" w:themeFill="text2" w:themeFillTint="33"/>
            <w:tcMar>
              <w:top w:w="0" w:type="dxa"/>
              <w:bottom w:w="0" w:type="dxa"/>
              <w:right w:w="113" w:type="dxa"/>
            </w:tcMar>
          </w:tcPr>
          <w:p w14:paraId="0B3842FD" w14:textId="77777777" w:rsidR="00D17784" w:rsidRDefault="00D17784" w:rsidP="000C6B77">
            <w:pPr>
              <w:pStyle w:val="KeyPointsicon"/>
            </w:pPr>
            <w:r w:rsidRPr="00A51374">
              <w:rPr>
                <w:noProof/>
              </w:rPr>
              <w:drawing>
                <wp:inline distT="0" distB="0" distL="0" distR="0" wp14:anchorId="5ACB2CCD" wp14:editId="3F82A8FD">
                  <wp:extent cx="180000" cy="180000"/>
                  <wp:effectExtent l="0" t="0" r="0" b="0"/>
                  <wp:docPr id="1" name="Graphic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086E9045" w14:textId="6994DE7D" w:rsidR="00D17784" w:rsidRPr="00377BDC" w:rsidRDefault="00D17784">
            <w:pPr>
              <w:pStyle w:val="KeyPoints-Bold"/>
            </w:pPr>
            <w:r w:rsidRPr="00377BDC">
              <w:t xml:space="preserve">This review </w:t>
            </w:r>
            <w:r>
              <w:t xml:space="preserve">examines </w:t>
            </w:r>
            <w:r w:rsidR="00834B81">
              <w:t>G</w:t>
            </w:r>
            <w:r>
              <w:t>overnments’ initiatives</w:t>
            </w:r>
            <w:r w:rsidRPr="00377BDC">
              <w:t xml:space="preserve"> </w:t>
            </w:r>
            <w:r>
              <w:t>to lift student outcomes under the National School Reform Agreement (NSRA)</w:t>
            </w:r>
            <w:r w:rsidR="0001773B">
              <w:t>.</w:t>
            </w:r>
            <w:r w:rsidRPr="00377BDC">
              <w:t xml:space="preserve"> </w:t>
            </w:r>
          </w:p>
          <w:p w14:paraId="14A16EED" w14:textId="2B74EA0C" w:rsidR="00D17784" w:rsidRDefault="00D17784" w:rsidP="008940C9">
            <w:pPr>
              <w:pStyle w:val="KeyPoints-Bullet"/>
            </w:pPr>
            <w:r>
              <w:t>T</w:t>
            </w:r>
            <w:r w:rsidRPr="000B5F59">
              <w:t>he Commission has been asked to assess the appropriateness and effectiveness of the national reform initiatives</w:t>
            </w:r>
            <w:r>
              <w:t xml:space="preserve"> </w:t>
            </w:r>
            <w:r w:rsidRPr="000B5F59">
              <w:t xml:space="preserve">in the </w:t>
            </w:r>
            <w:r>
              <w:t>NSRA</w:t>
            </w:r>
            <w:r w:rsidRPr="000B5F59">
              <w:t xml:space="preserve"> </w:t>
            </w:r>
            <w:r>
              <w:t xml:space="preserve">and to </w:t>
            </w:r>
            <w:r w:rsidRPr="000B5F59">
              <w:t>mak</w:t>
            </w:r>
            <w:r>
              <w:t>e</w:t>
            </w:r>
            <w:r w:rsidRPr="000B5F59">
              <w:t xml:space="preserve"> recommendations </w:t>
            </w:r>
            <w:r>
              <w:t>for</w:t>
            </w:r>
            <w:r w:rsidRPr="000B5F59">
              <w:t xml:space="preserve"> the design of the next agreement</w:t>
            </w:r>
            <w:r>
              <w:t>.</w:t>
            </w:r>
          </w:p>
          <w:p w14:paraId="102934FF" w14:textId="77777777" w:rsidR="00D17784" w:rsidRDefault="00D17784" w:rsidP="008940C9">
            <w:pPr>
              <w:pStyle w:val="KeyPoints-Bullet"/>
            </w:pPr>
            <w:r>
              <w:t xml:space="preserve">Public interest in schools reform has increased over the life of the NSRA, spurred in part by concerns that, despite the large increase in public funding since 2018, student outcomes have stagnated. </w:t>
            </w:r>
          </w:p>
        </w:tc>
      </w:tr>
      <w:tr w:rsidR="00D17784" w14:paraId="0D8BA4C9" w14:textId="77777777" w:rsidTr="00CC7DEC">
        <w:trPr>
          <w:trHeight w:val="1326"/>
        </w:trPr>
        <w:tc>
          <w:tcPr>
            <w:tcW w:w="577" w:type="dxa"/>
            <w:shd w:val="clear" w:color="auto" w:fill="E0F1F7" w:themeFill="text2" w:themeFillTint="33"/>
            <w:tcMar>
              <w:top w:w="0" w:type="dxa"/>
              <w:bottom w:w="0" w:type="dxa"/>
              <w:right w:w="113" w:type="dxa"/>
            </w:tcMar>
          </w:tcPr>
          <w:p w14:paraId="71B6CF77" w14:textId="77777777" w:rsidR="00D17784" w:rsidRPr="00A51374" w:rsidRDefault="00D17784" w:rsidP="000C6B77">
            <w:pPr>
              <w:pStyle w:val="KeyPointsicon"/>
            </w:pPr>
            <w:r w:rsidRPr="00F31E73">
              <w:rPr>
                <w:noProof/>
              </w:rPr>
              <w:drawing>
                <wp:inline distT="0" distB="0" distL="0" distR="0" wp14:anchorId="1299B6B3" wp14:editId="2E029AC4">
                  <wp:extent cx="180000" cy="180000"/>
                  <wp:effectExtent l="0" t="0" r="0" b="0"/>
                  <wp:docPr id="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0D41FB8C" w14:textId="11DAB37B" w:rsidR="00D17784" w:rsidRDefault="00D17784" w:rsidP="00610627">
            <w:pPr>
              <w:pStyle w:val="KeyPoints-Bold"/>
            </w:pPr>
            <w:r w:rsidRPr="00DD5B65">
              <w:t xml:space="preserve">Although </w:t>
            </w:r>
            <w:r>
              <w:t>some</w:t>
            </w:r>
            <w:r w:rsidRPr="00DD5B65">
              <w:t xml:space="preserve"> </w:t>
            </w:r>
            <w:r>
              <w:t>initiatives</w:t>
            </w:r>
            <w:r w:rsidRPr="00DD5B65">
              <w:t xml:space="preserve"> </w:t>
            </w:r>
            <w:r>
              <w:t>have been delivered, others appear stalled</w:t>
            </w:r>
            <w:r w:rsidR="0001773B">
              <w:t>.</w:t>
            </w:r>
          </w:p>
          <w:p w14:paraId="375BF251" w14:textId="77777777" w:rsidR="00D17784" w:rsidRDefault="00D17784" w:rsidP="008940C9">
            <w:pPr>
              <w:pStyle w:val="KeyPoints-Bullet"/>
            </w:pPr>
            <w:r>
              <w:t xml:space="preserve">Governments </w:t>
            </w:r>
            <w:r w:rsidRPr="00427251">
              <w:t>appear</w:t>
            </w:r>
            <w:r>
              <w:t xml:space="preserve"> to have lost their collective commitment to delivering a national unique student identifier (USI) and the formative assessment tool. </w:t>
            </w:r>
          </w:p>
          <w:p w14:paraId="5D6BD9B4" w14:textId="77777777" w:rsidR="00D17784" w:rsidRPr="00A6470B" w:rsidRDefault="00D17784" w:rsidP="008940C9">
            <w:pPr>
              <w:pStyle w:val="KeyPoints-Bullet"/>
              <w:rPr>
                <w:rFonts w:eastAsiaTheme="minorEastAsia"/>
              </w:rPr>
            </w:pPr>
            <w:r>
              <w:t xml:space="preserve">Despite mounting concerns about teacher shortages, little progress </w:t>
            </w:r>
            <w:r w:rsidRPr="00427251">
              <w:t>seems</w:t>
            </w:r>
            <w:r>
              <w:t xml:space="preserve"> to have been made in developing the data and evidence needed for an effective national workforce strategy.</w:t>
            </w:r>
          </w:p>
        </w:tc>
      </w:tr>
      <w:tr w:rsidR="00D17784" w14:paraId="209FB2B0" w14:textId="77777777" w:rsidTr="00CC7DEC">
        <w:trPr>
          <w:trHeight w:val="1343"/>
        </w:trPr>
        <w:tc>
          <w:tcPr>
            <w:tcW w:w="577" w:type="dxa"/>
            <w:shd w:val="clear" w:color="auto" w:fill="E0F1F7" w:themeFill="text2" w:themeFillTint="33"/>
            <w:tcMar>
              <w:top w:w="0" w:type="dxa"/>
              <w:bottom w:w="0" w:type="dxa"/>
              <w:right w:w="113" w:type="dxa"/>
            </w:tcMar>
          </w:tcPr>
          <w:p w14:paraId="413D770E" w14:textId="77777777" w:rsidR="00D17784" w:rsidRPr="00F31E73" w:rsidRDefault="00D17784" w:rsidP="000C6B77">
            <w:pPr>
              <w:pStyle w:val="KeyPointsicon"/>
              <w:rPr>
                <w:noProof/>
              </w:rPr>
            </w:pPr>
            <w:r w:rsidRPr="00F31E73">
              <w:rPr>
                <w:noProof/>
              </w:rPr>
              <w:drawing>
                <wp:inline distT="0" distB="0" distL="0" distR="0" wp14:anchorId="34F80B59" wp14:editId="2AD82D60">
                  <wp:extent cx="180000" cy="180000"/>
                  <wp:effectExtent l="0" t="0" r="0" b="0"/>
                  <wp:docPr id="10" name="Graphic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6E0D2B3A" w14:textId="2F9176C6" w:rsidR="00D17784" w:rsidRPr="000D27D3" w:rsidRDefault="00D17784">
            <w:pPr>
              <w:pStyle w:val="KeyPoints-Bold"/>
            </w:pPr>
            <w:r>
              <w:t xml:space="preserve">Realising the ambitions of the NSRA will require </w:t>
            </w:r>
            <w:r w:rsidR="00834B81">
              <w:t>G</w:t>
            </w:r>
            <w:r>
              <w:t>overnments to resolve some thorny issues</w:t>
            </w:r>
            <w:r w:rsidRPr="00002D5C">
              <w:rPr>
                <w:bCs/>
              </w:rPr>
              <w:t>:</w:t>
            </w:r>
            <w:r w:rsidRPr="00D11E28">
              <w:rPr>
                <w:b w:val="0"/>
              </w:rPr>
              <w:t xml:space="preserve"> </w:t>
            </w:r>
          </w:p>
          <w:p w14:paraId="0A40336E" w14:textId="77777777" w:rsidR="00D17784" w:rsidRDefault="00D17784" w:rsidP="008940C9">
            <w:pPr>
              <w:pStyle w:val="KeyPoints-Bullet"/>
            </w:pPr>
            <w:r>
              <w:t xml:space="preserve">agreeing on the design and privacy protections of the USI. If parties cannot deliver a national USI, they should, at a minimum, </w:t>
            </w:r>
            <w:r w:rsidRPr="00427251">
              <w:t xml:space="preserve">explain why the project has failed </w:t>
            </w:r>
          </w:p>
          <w:p w14:paraId="5C01B10A" w14:textId="77777777" w:rsidR="00D17784" w:rsidRDefault="00D17784" w:rsidP="008940C9">
            <w:pPr>
              <w:pStyle w:val="KeyPoints-Bullet"/>
            </w:pPr>
            <w:r w:rsidRPr="00F153FA">
              <w:t>develop</w:t>
            </w:r>
            <w:r>
              <w:t>ing</w:t>
            </w:r>
            <w:r w:rsidRPr="00F153FA">
              <w:t xml:space="preserve"> the national online formative assessment tool in a way that </w:t>
            </w:r>
            <w:r>
              <w:t>allows</w:t>
            </w:r>
            <w:r w:rsidRPr="00F153FA">
              <w:t xml:space="preserve"> jurisdictions to adapt </w:t>
            </w:r>
            <w:r>
              <w:t>it</w:t>
            </w:r>
            <w:r w:rsidRPr="00F153FA">
              <w:t xml:space="preserve"> to their specific needs and preferences (including integrating content and features from existing state-based tools)</w:t>
            </w:r>
          </w:p>
          <w:p w14:paraId="47F1C1AC" w14:textId="77777777" w:rsidR="00D17784" w:rsidRPr="00F153FA" w:rsidRDefault="00D17784" w:rsidP="008940C9">
            <w:pPr>
              <w:pStyle w:val="KeyPoints-Bullet"/>
            </w:pPr>
            <w:r>
              <w:t>d</w:t>
            </w:r>
            <w:r w:rsidRPr="003219E3">
              <w:t>evelop</w:t>
            </w:r>
            <w:r>
              <w:t>ing</w:t>
            </w:r>
            <w:r w:rsidRPr="003219E3">
              <w:t xml:space="preserve"> a national model of the teacher workforce </w:t>
            </w:r>
            <w:r>
              <w:t>to</w:t>
            </w:r>
            <w:r w:rsidRPr="003219E3">
              <w:t xml:space="preserve"> </w:t>
            </w:r>
            <w:r>
              <w:t>identify future risks and guide workforce planning</w:t>
            </w:r>
            <w:r w:rsidRPr="003219E3">
              <w:t>.</w:t>
            </w:r>
          </w:p>
        </w:tc>
      </w:tr>
      <w:tr w:rsidR="00D17784" w14:paraId="24456736" w14:textId="77777777" w:rsidTr="00CC7DEC">
        <w:trPr>
          <w:trHeight w:val="1723"/>
        </w:trPr>
        <w:tc>
          <w:tcPr>
            <w:tcW w:w="577" w:type="dxa"/>
            <w:shd w:val="clear" w:color="auto" w:fill="E0F1F7" w:themeFill="text2" w:themeFillTint="33"/>
            <w:tcMar>
              <w:top w:w="0" w:type="dxa"/>
              <w:bottom w:w="0" w:type="dxa"/>
              <w:right w:w="113" w:type="dxa"/>
            </w:tcMar>
          </w:tcPr>
          <w:p w14:paraId="2996BD31" w14:textId="77777777" w:rsidR="00D17784" w:rsidRPr="00A51374" w:rsidRDefault="00D17784" w:rsidP="000C6B77">
            <w:pPr>
              <w:pStyle w:val="KeyPointsicon"/>
            </w:pPr>
            <w:r w:rsidRPr="00F31E73">
              <w:rPr>
                <w:noProof/>
              </w:rPr>
              <w:drawing>
                <wp:inline distT="0" distB="0" distL="0" distR="0" wp14:anchorId="42517FC3" wp14:editId="4B9F250B">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16E4BD92" w14:textId="1D1D4EBC" w:rsidR="00D17784" w:rsidRDefault="00D17784">
            <w:pPr>
              <w:pStyle w:val="KeyPoints-Bold"/>
            </w:pPr>
            <w:r>
              <w:t xml:space="preserve">The next intergovernmental agreement </w:t>
            </w:r>
            <w:r w:rsidRPr="00377BDC">
              <w:t>should</w:t>
            </w:r>
            <w:r>
              <w:t xml:space="preserve"> focus on a small number of reforms that will directly lift student outcomes. Governments should select reforms that are best delivered through a co</w:t>
            </w:r>
            <w:r w:rsidR="00C06036">
              <w:noBreakHyphen/>
            </w:r>
            <w:r>
              <w:t xml:space="preserve">ordinated national approach to help sustain long-term commitment by all parties. Contenders include: </w:t>
            </w:r>
          </w:p>
          <w:p w14:paraId="6049496D" w14:textId="1834E51B" w:rsidR="00D17784" w:rsidRDefault="006A3C8F" w:rsidP="008940C9">
            <w:pPr>
              <w:pStyle w:val="KeyPoints-Bullet"/>
            </w:pPr>
            <w:r>
              <w:t>e</w:t>
            </w:r>
            <w:r w:rsidR="00D17784">
              <w:t xml:space="preserve">nabling </w:t>
            </w:r>
            <w:r>
              <w:t>q</w:t>
            </w:r>
            <w:r w:rsidR="00D17784">
              <w:t xml:space="preserve">uality </w:t>
            </w:r>
            <w:r>
              <w:t>t</w:t>
            </w:r>
            <w:r w:rsidR="00D17784">
              <w:t>eaching: Governments need to create the time, support and resources for effective teaching. Priorities could include reducing high workloads and out-of-field teaching, professional development at critical points (</w:t>
            </w:r>
            <w:r w:rsidR="00C06036">
              <w:t>such as</w:t>
            </w:r>
            <w:r w:rsidR="00D17784">
              <w:t xml:space="preserve"> induction and support for early career teachers) and fostering best practice teaching through networks, collaboration and technology </w:t>
            </w:r>
          </w:p>
          <w:p w14:paraId="7692CE0F" w14:textId="77D4FB30" w:rsidR="00D17784" w:rsidRDefault="00DA7F46" w:rsidP="008940C9">
            <w:pPr>
              <w:pStyle w:val="KeyPoints-Bullet"/>
            </w:pPr>
            <w:r>
              <w:t>m</w:t>
            </w:r>
            <w:r w:rsidR="00D17784">
              <w:t xml:space="preserve">aking minimum standards the minimum: </w:t>
            </w:r>
            <w:r w:rsidR="00F12F19">
              <w:t>a</w:t>
            </w:r>
            <w:r w:rsidR="00D17784">
              <w:t xml:space="preserve">ll jurisdictions need to find effective ways to assist the 5 to 9 per cent of students struggling to meet minimum standards </w:t>
            </w:r>
          </w:p>
          <w:p w14:paraId="78F81220" w14:textId="7173465E" w:rsidR="00D17784" w:rsidRDefault="00DA7F46" w:rsidP="008940C9">
            <w:pPr>
              <w:pStyle w:val="KeyPoints-Bullet"/>
            </w:pPr>
            <w:r>
              <w:t>t</w:t>
            </w:r>
            <w:r w:rsidR="00D17784">
              <w:t xml:space="preserve">ailored strategies for </w:t>
            </w:r>
            <w:r w:rsidR="004911D0">
              <w:t xml:space="preserve">students from </w:t>
            </w:r>
            <w:r w:rsidR="00D17784">
              <w:t>each priority equity cohort</w:t>
            </w:r>
            <w:r w:rsidR="009C0C04">
              <w:t>.</w:t>
            </w:r>
            <w:r w:rsidR="00D17784">
              <w:t xml:space="preserve"> Many students in the NSRA’s priority equity cohorts and students in other cohorts (</w:t>
            </w:r>
            <w:r w:rsidR="00C06036">
              <w:t>such as</w:t>
            </w:r>
            <w:r w:rsidR="00D17784">
              <w:t xml:space="preserve"> students in out-of-home care or with English as an additional language</w:t>
            </w:r>
            <w:r w:rsidR="009565FC">
              <w:t xml:space="preserve"> or dialect</w:t>
            </w:r>
            <w:r w:rsidR="00D17784">
              <w:t xml:space="preserve">) face significant challenges. New approaches, developed and implemented in consultation with students, parents and communities, are needed </w:t>
            </w:r>
          </w:p>
          <w:p w14:paraId="5FDC5F6B" w14:textId="493B5CA3" w:rsidR="00D17784" w:rsidRPr="00610627" w:rsidRDefault="00DA7F46" w:rsidP="008940C9">
            <w:pPr>
              <w:pStyle w:val="KeyPoints-Bullet"/>
            </w:pPr>
            <w:r>
              <w:t>s</w:t>
            </w:r>
            <w:r w:rsidR="00D17784">
              <w:t>upporting wellbeing to support learning</w:t>
            </w:r>
            <w:r w:rsidR="009C0C04">
              <w:t>.</w:t>
            </w:r>
            <w:r w:rsidR="00D17784">
              <w:t xml:space="preserve"> Many children and young people suffer from poor wellbeing because of experiences in and outside their schools. Schools and teachers need more support to help students overcome these circumstances </w:t>
            </w:r>
            <w:r w:rsidR="00C06036">
              <w:t>and</w:t>
            </w:r>
            <w:r w:rsidR="00D17784">
              <w:t xml:space="preserve"> achieve their potential.</w:t>
            </w:r>
          </w:p>
        </w:tc>
      </w:tr>
      <w:tr w:rsidR="00D17784" w14:paraId="4F3965AA" w14:textId="77777777" w:rsidTr="00CC7DEC">
        <w:trPr>
          <w:trHeight w:val="1144"/>
        </w:trPr>
        <w:tc>
          <w:tcPr>
            <w:tcW w:w="577" w:type="dxa"/>
            <w:shd w:val="clear" w:color="auto" w:fill="E0F1F7" w:themeFill="text2" w:themeFillTint="33"/>
            <w:tcMar>
              <w:top w:w="0" w:type="dxa"/>
              <w:bottom w:w="0" w:type="dxa"/>
              <w:right w:w="113" w:type="dxa"/>
            </w:tcMar>
          </w:tcPr>
          <w:p w14:paraId="15954635" w14:textId="77777777" w:rsidR="00D17784" w:rsidRPr="00A51374" w:rsidRDefault="00D17784" w:rsidP="000C6B77">
            <w:pPr>
              <w:pStyle w:val="KeyPointsicon"/>
            </w:pPr>
            <w:r w:rsidRPr="00F31E73">
              <w:rPr>
                <w:noProof/>
              </w:rPr>
              <w:drawing>
                <wp:inline distT="0" distB="0" distL="0" distR="0" wp14:anchorId="335D0298" wp14:editId="123954C4">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shd w:val="clear" w:color="auto" w:fill="E0F1F7" w:themeFill="text2" w:themeFillTint="33"/>
            <w:tcMar>
              <w:top w:w="28" w:type="dxa"/>
              <w:left w:w="28" w:type="dxa"/>
            </w:tcMar>
          </w:tcPr>
          <w:p w14:paraId="1AB30C97" w14:textId="30489934" w:rsidR="00D17784" w:rsidRPr="002A41FD" w:rsidRDefault="00D17784">
            <w:pPr>
              <w:pStyle w:val="KeyPoints-Bold"/>
            </w:pPr>
            <w:r>
              <w:t>Addressing these challenges will require a mix of co-ordinated national effort and flexible state-based programs tailored to individual and local needs. Jurisdictions’ need for flexibility should be recognised but tied to more transparency and accountability for results. The next agreement should be tight in its commitments and its reporting of performance</w:t>
            </w:r>
            <w:r w:rsidR="004954FF">
              <w:t>,</w:t>
            </w:r>
            <w:r>
              <w:t xml:space="preserve"> but not bind </w:t>
            </w:r>
            <w:r w:rsidR="004954FF">
              <w:t>G</w:t>
            </w:r>
            <w:r>
              <w:t xml:space="preserve">overnments to one-size-fits-all solutions. </w:t>
            </w:r>
          </w:p>
          <w:p w14:paraId="61F6AC35" w14:textId="5172EE31" w:rsidR="00D17784" w:rsidRPr="00610627" w:rsidRDefault="00D17784" w:rsidP="008940C9">
            <w:pPr>
              <w:pStyle w:val="KeyPoints-Bullet"/>
            </w:pPr>
            <w:r w:rsidRPr="00235ED0">
              <w:t xml:space="preserve">The community </w:t>
            </w:r>
            <w:r w:rsidR="003D32AE">
              <w:t>c</w:t>
            </w:r>
            <w:r w:rsidRPr="00235ED0">
              <w:t>ould</w:t>
            </w:r>
            <w:r>
              <w:t xml:space="preserve"> reasonably</w:t>
            </w:r>
            <w:r w:rsidRPr="00235ED0">
              <w:t xml:space="preserve"> expect to see an improvement in student outcomes</w:t>
            </w:r>
            <w:r>
              <w:t xml:space="preserve"> </w:t>
            </w:r>
            <w:r w:rsidRPr="00235ED0">
              <w:t xml:space="preserve">over the course of the next five years — funding will remain at all-time highs, </w:t>
            </w:r>
            <w:r>
              <w:t xml:space="preserve">current </w:t>
            </w:r>
            <w:r w:rsidRPr="00235ED0">
              <w:t>initiatives will have had time to mature, and a new generation of reforms will be underway.</w:t>
            </w:r>
            <w:r>
              <w:t xml:space="preserve"> </w:t>
            </w:r>
          </w:p>
        </w:tc>
      </w:tr>
    </w:tbl>
    <w:p w14:paraId="67FE00A0" w14:textId="77777777" w:rsidR="00D17784" w:rsidRPr="009C305D" w:rsidRDefault="00D17784" w:rsidP="00DE714A">
      <w:pPr>
        <w:pStyle w:val="Heading2-nonumber"/>
      </w:pPr>
      <w:bookmarkStart w:id="7" w:name="_Toc113956913"/>
      <w:r w:rsidRPr="005E3ACE">
        <w:t>What</w:t>
      </w:r>
      <w:r>
        <w:t>’</w:t>
      </w:r>
      <w:r w:rsidRPr="005E3ACE">
        <w:t xml:space="preserve">s </w:t>
      </w:r>
      <w:r>
        <w:t>this review about</w:t>
      </w:r>
      <w:r w:rsidRPr="005E3ACE">
        <w:t>?</w:t>
      </w:r>
      <w:bookmarkEnd w:id="7"/>
    </w:p>
    <w:p w14:paraId="166ADA1C" w14:textId="7553F8CE" w:rsidR="00D17784" w:rsidRDefault="00D17784">
      <w:pPr>
        <w:pStyle w:val="BodyText"/>
      </w:pPr>
      <w:r>
        <w:t>Almost four years ago, on the back of a $319 billion funding deal</w:t>
      </w:r>
      <w:r>
        <w:rPr>
          <w:rStyle w:val="FootnoteReference"/>
        </w:rPr>
        <w:footnoteReference w:id="2"/>
      </w:r>
      <w:r>
        <w:t xml:space="preserve">, the Commonwealth, </w:t>
      </w:r>
      <w:r w:rsidR="00A26EDC">
        <w:t>S</w:t>
      </w:r>
      <w:r>
        <w:t xml:space="preserve">tates and </w:t>
      </w:r>
      <w:r w:rsidR="00A26EDC">
        <w:t>T</w:t>
      </w:r>
      <w:r>
        <w:t xml:space="preserve">erritories struck an agreement on national reforms to lift education outcomes — the National School Reform Agreement (NSRA). </w:t>
      </w:r>
    </w:p>
    <w:p w14:paraId="1C3E31CD" w14:textId="6886C982" w:rsidR="00D17784" w:rsidRDefault="00D17784">
      <w:pPr>
        <w:pStyle w:val="BodyText"/>
      </w:pPr>
      <w:r w:rsidRPr="00114025">
        <w:t>The NSRA’s overarching objective is for Australian school</w:t>
      </w:r>
      <w:r>
        <w:t>s</w:t>
      </w:r>
      <w:r w:rsidRPr="00114025">
        <w:t xml:space="preserve"> to provide a high quality and equitable education for all students.</w:t>
      </w:r>
      <w:r w:rsidRPr="001B332E">
        <w:t xml:space="preserve"> </w:t>
      </w:r>
      <w:r w:rsidRPr="00B165BE">
        <w:t>To</w:t>
      </w:r>
      <w:r>
        <w:t xml:space="preserve"> lift </w:t>
      </w:r>
      <w:r w:rsidRPr="00B165BE">
        <w:t>outcomes</w:t>
      </w:r>
      <w:r>
        <w:t xml:space="preserve"> in student achievement, attainment and engagement</w:t>
      </w:r>
      <w:r w:rsidRPr="00B165BE">
        <w:t>,</w:t>
      </w:r>
      <w:r>
        <w:t xml:space="preserve"> </w:t>
      </w:r>
      <w:r w:rsidRPr="00B165BE">
        <w:t>the</w:t>
      </w:r>
      <w:r>
        <w:t xml:space="preserve"> </w:t>
      </w:r>
      <w:r w:rsidRPr="00B165BE">
        <w:t>NSRA</w:t>
      </w:r>
      <w:r>
        <w:t xml:space="preserve"> outlines </w:t>
      </w:r>
      <w:r w:rsidRPr="00B165BE">
        <w:t>three</w:t>
      </w:r>
      <w:r>
        <w:t xml:space="preserve"> </w:t>
      </w:r>
      <w:r w:rsidRPr="00B165BE">
        <w:t>reform</w:t>
      </w:r>
      <w:r>
        <w:t xml:space="preserve"> </w:t>
      </w:r>
      <w:r w:rsidRPr="00B165BE">
        <w:t>directions</w:t>
      </w:r>
      <w:r>
        <w:t xml:space="preserve">, </w:t>
      </w:r>
      <w:r w:rsidRPr="00B165BE">
        <w:t>supported</w:t>
      </w:r>
      <w:r>
        <w:t xml:space="preserve"> </w:t>
      </w:r>
      <w:r w:rsidRPr="00B165BE">
        <w:t>by</w:t>
      </w:r>
      <w:r>
        <w:t xml:space="preserve"> </w:t>
      </w:r>
      <w:r w:rsidRPr="00B165BE">
        <w:t>eight</w:t>
      </w:r>
      <w:r>
        <w:t xml:space="preserve"> N</w:t>
      </w:r>
      <w:r w:rsidRPr="00B165BE">
        <w:t>ational</w:t>
      </w:r>
      <w:r>
        <w:t xml:space="preserve"> P</w:t>
      </w:r>
      <w:r w:rsidRPr="00B165BE">
        <w:t>olicy</w:t>
      </w:r>
      <w:r>
        <w:t xml:space="preserve"> I</w:t>
      </w:r>
      <w:r w:rsidRPr="00B165BE">
        <w:t>nitiatives</w:t>
      </w:r>
      <w:r>
        <w:t xml:space="preserve"> (NPIs) and </w:t>
      </w:r>
      <w:r w:rsidRPr="00B165BE">
        <w:t>bilateral</w:t>
      </w:r>
      <w:r>
        <w:t xml:space="preserve"> </w:t>
      </w:r>
      <w:r w:rsidRPr="00B165BE">
        <w:t>agreements</w:t>
      </w:r>
      <w:r>
        <w:t xml:space="preserve"> between the Commonwealth and </w:t>
      </w:r>
      <w:r w:rsidRPr="00B165BE">
        <w:t>each</w:t>
      </w:r>
      <w:r>
        <w:t xml:space="preserve"> S</w:t>
      </w:r>
      <w:r w:rsidRPr="00B165BE">
        <w:t>tate</w:t>
      </w:r>
      <w:r>
        <w:t xml:space="preserve"> </w:t>
      </w:r>
      <w:r w:rsidRPr="00B165BE">
        <w:t>and</w:t>
      </w:r>
      <w:r>
        <w:t xml:space="preserve"> T</w:t>
      </w:r>
      <w:r w:rsidRPr="00B165BE">
        <w:t>erritory</w:t>
      </w:r>
      <w:r>
        <w:t xml:space="preserve"> Government</w:t>
      </w:r>
      <w:r w:rsidRPr="00B165BE">
        <w:t xml:space="preserve"> (figure</w:t>
      </w:r>
      <w:r>
        <w:t> </w:t>
      </w:r>
      <w:r w:rsidRPr="00B165BE">
        <w:t>1).</w:t>
      </w:r>
      <w:r w:rsidRPr="00814144">
        <w:t xml:space="preserve"> </w:t>
      </w:r>
      <w:r w:rsidRPr="002C467F">
        <w:t>Implementing the reform initiatives</w:t>
      </w:r>
      <w:r>
        <w:t xml:space="preserve"> is</w:t>
      </w:r>
      <w:r w:rsidRPr="00471D4D">
        <w:t xml:space="preserve"> a condition of </w:t>
      </w:r>
      <w:r>
        <w:t xml:space="preserve">Commonwealth </w:t>
      </w:r>
      <w:r w:rsidRPr="00471D4D">
        <w:t>funding.</w:t>
      </w:r>
      <w:r w:rsidRPr="00B523C7">
        <w:rPr>
          <w:rStyle w:val="FootnoteReference"/>
        </w:rPr>
        <w:footnoteReference w:id="3"/>
      </w:r>
      <w:r>
        <w:t xml:space="preserve"> </w:t>
      </w:r>
    </w:p>
    <w:p w14:paraId="0872F809" w14:textId="11C594C3" w:rsidR="00D17784" w:rsidRDefault="00D17784">
      <w:pPr>
        <w:pStyle w:val="BodyText"/>
      </w:pPr>
      <w:r>
        <w:t>The Commission has been asked to:</w:t>
      </w:r>
    </w:p>
    <w:p w14:paraId="3DA22D5D" w14:textId="7CC610D8" w:rsidR="00D17784" w:rsidRPr="00A00D54" w:rsidRDefault="009F7CD1">
      <w:pPr>
        <w:pStyle w:val="ListBullet"/>
      </w:pPr>
      <w:r>
        <w:t>assess</w:t>
      </w:r>
      <w:r w:rsidR="00D17784" w:rsidRPr="00A00D54">
        <w:t xml:space="preserve"> the effectiveness and appropriateness of the current NPIs under the NSRA</w:t>
      </w:r>
      <w:r w:rsidR="00D17784" w:rsidRPr="00A00D54">
        <w:rPr>
          <w:rStyle w:val="FootnoteReference"/>
        </w:rPr>
        <w:footnoteReference w:id="4"/>
      </w:r>
    </w:p>
    <w:p w14:paraId="11B31630" w14:textId="20769157" w:rsidR="00D17784" w:rsidRPr="00A00D54" w:rsidRDefault="009F7CD1">
      <w:pPr>
        <w:pStyle w:val="ListBullet"/>
      </w:pPr>
      <w:r>
        <w:t>assess</w:t>
      </w:r>
      <w:r w:rsidR="00D17784" w:rsidRPr="00A00D54">
        <w:t xml:space="preserve"> the appropriateness of the Measurement Framework </w:t>
      </w:r>
      <w:r>
        <w:t xml:space="preserve">for Schooling </w:t>
      </w:r>
      <w:r w:rsidR="00D17784" w:rsidRPr="00A00D54">
        <w:t xml:space="preserve">in measuring progress towards achieving the outcomes of the NSRA and </w:t>
      </w:r>
    </w:p>
    <w:p w14:paraId="1E66FB44" w14:textId="7444028C" w:rsidR="00D17784" w:rsidRPr="00A00D54" w:rsidRDefault="00F0489D">
      <w:pPr>
        <w:pStyle w:val="ListBullet"/>
      </w:pPr>
      <w:r w:rsidRPr="00F0489D">
        <w:t>make recommendations to inform the design of the next intergovernmental school reform agreement and to improve the National Measurement Framework</w:t>
      </w:r>
      <w:r>
        <w:t>.</w:t>
      </w:r>
      <w:r w:rsidR="00D17784" w:rsidRPr="00A00D54">
        <w:rPr>
          <w:rStyle w:val="FootnoteReference"/>
        </w:rPr>
        <w:footnoteReference w:id="5"/>
      </w:r>
      <w:r w:rsidR="00D17784" w:rsidRPr="00A00D54">
        <w:t xml:space="preserve"> </w:t>
      </w:r>
    </w:p>
    <w:p w14:paraId="6FC232A5" w14:textId="77777777" w:rsidR="00D17784" w:rsidRDefault="00D17784">
      <w:pPr>
        <w:pStyle w:val="BodyText"/>
      </w:pPr>
      <w:r>
        <w:t>Funding is outside the scope of the Commission’s Review.</w:t>
      </w:r>
    </w:p>
    <w:p w14:paraId="081DE712" w14:textId="77777777" w:rsidR="00D17784" w:rsidRDefault="00D17784">
      <w:pPr>
        <w:pStyle w:val="BodyText"/>
      </w:pPr>
      <w:r>
        <w:t xml:space="preserve">In undertaking this review, the Commission is consulting widely, and taking account of important context. </w:t>
      </w:r>
    </w:p>
    <w:p w14:paraId="7E364C37" w14:textId="77777777" w:rsidR="00D17784" w:rsidRPr="00EF6124" w:rsidRDefault="00D17784" w:rsidP="008940C9">
      <w:pPr>
        <w:pStyle w:val="ListBullet"/>
      </w:pPr>
      <w:r w:rsidRPr="00EF6124">
        <w:t>The NSRA will run until December 2023, and some NPIs are not yet complete.</w:t>
      </w:r>
    </w:p>
    <w:p w14:paraId="0416E068" w14:textId="3C601BCD" w:rsidR="00D17784" w:rsidRPr="00EF6124" w:rsidRDefault="00D17784" w:rsidP="008940C9">
      <w:pPr>
        <w:pStyle w:val="ListBullet"/>
      </w:pPr>
      <w:r w:rsidRPr="00EF6124">
        <w:t>The current reforms under the NSRA do not represent all of the collaborative intergovernmental activity on education in Australia. Conversely</w:t>
      </w:r>
      <w:r w:rsidR="00803C5A">
        <w:t>,</w:t>
      </w:r>
      <w:r w:rsidRPr="00EF6124">
        <w:t xml:space="preserve"> the concept</w:t>
      </w:r>
      <w:r w:rsidR="00A11297">
        <w:t>s</w:t>
      </w:r>
      <w:r w:rsidRPr="00EF6124">
        <w:t xml:space="preserve"> behind a number of the reforms are </w:t>
      </w:r>
      <w:r w:rsidR="008A0F2F">
        <w:t xml:space="preserve">also </w:t>
      </w:r>
      <w:r w:rsidRPr="00EF6124">
        <w:t>being progressed through individual jurisdictions using their own approaches.</w:t>
      </w:r>
    </w:p>
    <w:p w14:paraId="7CABA429" w14:textId="77777777" w:rsidR="00D17784" w:rsidRPr="00EF6124" w:rsidRDefault="00D17784" w:rsidP="008940C9">
      <w:pPr>
        <w:pStyle w:val="ListBullet"/>
      </w:pPr>
      <w:r w:rsidRPr="00EF6124">
        <w:t>The education landscape has changed — COVID-19 and recent natural disasters have disrupted education system</w:t>
      </w:r>
      <w:r>
        <w:t>s</w:t>
      </w:r>
      <w:r w:rsidRPr="00EF6124">
        <w:t xml:space="preserve"> but also revealed </w:t>
      </w:r>
      <w:r>
        <w:t>their</w:t>
      </w:r>
      <w:r w:rsidRPr="00EF6124">
        <w:t xml:space="preserve"> resilience and opportunities for innovation.</w:t>
      </w:r>
    </w:p>
    <w:p w14:paraId="5FC5A371" w14:textId="77777777" w:rsidR="00D17784" w:rsidRPr="00EF6124" w:rsidRDefault="00D17784" w:rsidP="008940C9">
      <w:pPr>
        <w:pStyle w:val="ListBullet"/>
      </w:pPr>
      <w:r w:rsidRPr="00EF6124">
        <w:t xml:space="preserve">While much can be done within education systems to lift student outcomes and make them more equitable, some barriers to education, such as secure housing tenure, are beyond the capacity of schools to address. The Commission has focused on factors that can operate ‘within the school gates’. </w:t>
      </w:r>
    </w:p>
    <w:p w14:paraId="1AE98BD8" w14:textId="432AB6D8" w:rsidR="00D17784" w:rsidRDefault="00D17784" w:rsidP="00303AF8">
      <w:pPr>
        <w:pStyle w:val="ListBullet"/>
      </w:pPr>
      <w:r w:rsidRPr="00EF6124">
        <w:t>There can be a substantial gap between high</w:t>
      </w:r>
      <w:r w:rsidR="00630735">
        <w:noBreakHyphen/>
      </w:r>
      <w:r w:rsidRPr="00EF6124">
        <w:t xml:space="preserve">level policy discourse and classroom practice. Several stakeholders have identified a lack of clear visibility </w:t>
      </w:r>
      <w:r w:rsidR="00630735">
        <w:t>about</w:t>
      </w:r>
      <w:r w:rsidRPr="00EF6124">
        <w:t xml:space="preserve"> what occurs in the classroom. Equally, stakeholders have pointed out the remoteness of policy discussions from the lived experience of teachers and school leaders</w:t>
      </w:r>
      <w:r>
        <w:t>.</w:t>
      </w:r>
    </w:p>
    <w:p w14:paraId="0CA6AA46" w14:textId="05AC40FA" w:rsidR="00D17784" w:rsidRPr="00515116" w:rsidRDefault="00D17784">
      <w:pPr>
        <w:pStyle w:val="FigureTableSubheading"/>
        <w:keepLines/>
        <w:rPr>
          <w:b/>
          <w:bCs/>
          <w:color w:val="auto"/>
        </w:rPr>
      </w:pPr>
      <w:bookmarkStart w:id="8" w:name="_Ref110001642"/>
      <w:r w:rsidRPr="647EBD41">
        <w:rPr>
          <w:color w:val="auto"/>
        </w:rPr>
        <w:t xml:space="preserve">Figure </w:t>
      </w:r>
      <w:r w:rsidRPr="647EBD41">
        <w:rPr>
          <w:color w:val="auto"/>
        </w:rPr>
        <w:fldChar w:fldCharType="begin"/>
      </w:r>
      <w:r w:rsidRPr="647EBD41">
        <w:rPr>
          <w:color w:val="auto"/>
        </w:rPr>
        <w:instrText>SEQ Figure \* ARABIC \s 1</w:instrText>
      </w:r>
      <w:r w:rsidRPr="647EBD41">
        <w:rPr>
          <w:color w:val="auto"/>
        </w:rPr>
        <w:fldChar w:fldCharType="separate"/>
      </w:r>
      <w:r w:rsidR="00C642E8">
        <w:rPr>
          <w:noProof/>
          <w:color w:val="auto"/>
        </w:rPr>
        <w:t>1</w:t>
      </w:r>
      <w:r w:rsidRPr="647EBD41">
        <w:rPr>
          <w:color w:val="auto"/>
        </w:rPr>
        <w:fldChar w:fldCharType="end"/>
      </w:r>
      <w:bookmarkEnd w:id="8"/>
      <w:r w:rsidRPr="647EBD41">
        <w:rPr>
          <w:color w:val="auto"/>
        </w:rPr>
        <w:t xml:space="preserve"> </w:t>
      </w:r>
      <w:bookmarkStart w:id="9" w:name="_Ref110001667"/>
      <w:r w:rsidRPr="647EBD41">
        <w:rPr>
          <w:color w:val="auto"/>
        </w:rPr>
        <w:t>– Snapshot of the National School Reform Agreement (2019-2023</w:t>
      </w:r>
      <w:r w:rsidRPr="00515116">
        <w:rPr>
          <w:b/>
          <w:bCs/>
          <w:color w:val="auto"/>
        </w:rPr>
        <w:t>)</w:t>
      </w:r>
      <w:bookmarkEnd w:id="9"/>
      <w:r w:rsidRPr="00002D5C">
        <w:rPr>
          <w:b/>
          <w:bCs/>
          <w:color w:val="auto"/>
          <w:szCs w:val="20"/>
          <w:vertAlign w:val="superscript"/>
        </w:rPr>
        <w:t>a</w:t>
      </w:r>
    </w:p>
    <w:p w14:paraId="70DEF9DF" w14:textId="7474DFBD" w:rsidR="00D17784" w:rsidRPr="005D3B36" w:rsidRDefault="00C71DDB" w:rsidP="005D3B36">
      <w:pPr>
        <w:pStyle w:val="Note"/>
      </w:pPr>
      <w:r w:rsidRPr="00C71DDB">
        <w:rPr>
          <w:noProof/>
        </w:rPr>
        <w:drawing>
          <wp:inline distT="0" distB="0" distL="0" distR="0" wp14:anchorId="0ED8794F" wp14:editId="48D72394">
            <wp:extent cx="6120130" cy="7205980"/>
            <wp:effectExtent l="0" t="0" r="0" b="0"/>
            <wp:docPr id="121" name="Picture 121" descr="Figure 1 – This figure shows a snapshot of the National School Reform Agreement (NSRA). The NSRA aims for Australian schooling to provide a high quality and equitable education for all students. The NSRA specifies three reform directions: supporting students, student learning and student achievement. Supporting teaching, school leadership and school improvement. Enhancing the national evidence base. These three reform directions are to be progressed through national and state and territory specific initiatives with reporting and public transparency to give the community confid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21" descr="Figure 1 – This figure shows a snapshot of the National School Reform Agreement (NSRA). The NSRA aims for Australian schooling to provide a high quality and equitable education for all students. The NSRA specifies three reform directions: supporting students, student learning and student achievement. Supporting teaching, school leadership and school improvement. Enhancing the national evidence base. These three reform directions are to be progressed through national and state and territory specific initiatives with reporting and public transparency to give the community confidence. "/>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7205980"/>
                    </a:xfrm>
                    <a:prstGeom prst="rect">
                      <a:avLst/>
                    </a:prstGeom>
                    <a:noFill/>
                    <a:ln>
                      <a:noFill/>
                    </a:ln>
                  </pic:spPr>
                </pic:pic>
              </a:graphicData>
            </a:graphic>
          </wp:inline>
        </w:drawing>
      </w:r>
    </w:p>
    <w:p w14:paraId="3524D3ED" w14:textId="5AFB4862" w:rsidR="00D17784" w:rsidRPr="005D3B36" w:rsidRDefault="00D17784" w:rsidP="005D3B36">
      <w:pPr>
        <w:pStyle w:val="Note"/>
      </w:pPr>
      <w:r w:rsidRPr="00002D5C">
        <w:rPr>
          <w:b/>
          <w:bCs/>
        </w:rPr>
        <w:t>a.</w:t>
      </w:r>
      <w:r w:rsidRPr="005D3B36">
        <w:t xml:space="preserve"> On 11 December 2020, Education Ministers agreed to amend </w:t>
      </w:r>
      <w:r w:rsidR="001F7EC9">
        <w:t xml:space="preserve">the </w:t>
      </w:r>
      <w:r w:rsidR="007873C2" w:rsidRPr="005D3B36">
        <w:t xml:space="preserve">Council of Australian Governments </w:t>
      </w:r>
      <w:r w:rsidR="007873C2">
        <w:t>(</w:t>
      </w:r>
      <w:r w:rsidRPr="005D3B36">
        <w:t>COAG</w:t>
      </w:r>
      <w:r w:rsidR="007873C2">
        <w:t>)</w:t>
      </w:r>
      <w:r w:rsidRPr="005D3B36">
        <w:t xml:space="preserve"> targets to reflect the adoption of the updated national target for school education endorsed by State and Territory First Ministers through the National Agreement on Closing the Gap. On 29 May 2020, National Cabinet agreed to the formation of the National Federation Reform Council and the abolition of COAG. The targets are still in effect.</w:t>
      </w:r>
    </w:p>
    <w:p w14:paraId="60E304EF" w14:textId="3703D92D" w:rsidR="00D17784" w:rsidRDefault="00D17784">
      <w:pPr>
        <w:pStyle w:val="BodyText"/>
      </w:pPr>
      <w:r>
        <w:t>To identify reforms that could be included in the next agreement, the Commission has followed a two-step approach. The Commission has reviewed the latest research and consulted with a wide range of stakeholders to identify the factors that matter most to creating high</w:t>
      </w:r>
      <w:r w:rsidR="001F7EC9">
        <w:noBreakHyphen/>
      </w:r>
      <w:r>
        <w:t>quality and high</w:t>
      </w:r>
      <w:r w:rsidR="001F7EC9">
        <w:noBreakHyphen/>
      </w:r>
      <w:r>
        <w:t>equity education in Australia. The Commission then assessed which of those factors lend themselves to collaborative solutions through an intergovernmental agreement.</w:t>
      </w:r>
    </w:p>
    <w:p w14:paraId="00413CDD" w14:textId="77777777" w:rsidR="00D17784" w:rsidRDefault="00D17784" w:rsidP="0017762A">
      <w:pPr>
        <w:pStyle w:val="Heading2-nonumber"/>
      </w:pPr>
      <w:bookmarkStart w:id="10" w:name="_Toc113956914"/>
      <w:r>
        <w:t>How have national reforms fared?</w:t>
      </w:r>
      <w:bookmarkEnd w:id="10"/>
    </w:p>
    <w:p w14:paraId="61C89D4F" w14:textId="77777777" w:rsidR="00D17784" w:rsidRPr="006E5E33" w:rsidRDefault="00D17784" w:rsidP="0017762A">
      <w:pPr>
        <w:pStyle w:val="Heading3"/>
      </w:pPr>
      <w:r w:rsidRPr="006E5E33">
        <w:t>Many N</w:t>
      </w:r>
      <w:r>
        <w:t xml:space="preserve">ational </w:t>
      </w:r>
      <w:r w:rsidRPr="006E5E33">
        <w:t>P</w:t>
      </w:r>
      <w:r>
        <w:t xml:space="preserve">olicy </w:t>
      </w:r>
      <w:r w:rsidRPr="006E5E33">
        <w:t>I</w:t>
      </w:r>
      <w:r>
        <w:t>nitiative</w:t>
      </w:r>
      <w:r w:rsidRPr="006E5E33">
        <w:t>s focus on enablers rather tha</w:t>
      </w:r>
      <w:r>
        <w:t>n achieving</w:t>
      </w:r>
      <w:r w:rsidRPr="006E5E33">
        <w:t xml:space="preserve"> outcomes</w:t>
      </w:r>
    </w:p>
    <w:p w14:paraId="6847D449" w14:textId="77777777" w:rsidR="00D17784" w:rsidRDefault="00D17784">
      <w:pPr>
        <w:pStyle w:val="BodyText"/>
        <w:rPr>
          <w:rFonts w:ascii="Segoe UI" w:hAnsi="Segoe UI" w:cs="Segoe UI"/>
          <w:sz w:val="18"/>
          <w:szCs w:val="18"/>
        </w:rPr>
      </w:pPr>
      <w:r>
        <w:rPr>
          <w:rStyle w:val="normaltextrun"/>
          <w:rFonts w:ascii="Arial" w:hAnsi="Arial" w:cs="Arial"/>
        </w:rPr>
        <w:t>The NPIs concentrate reform effort on ‘key enablers that drive improvement in educational outcomes’.</w:t>
      </w:r>
      <w:r>
        <w:rPr>
          <w:rStyle w:val="FootnoteReference"/>
          <w:rFonts w:ascii="Arial" w:hAnsi="Arial" w:cs="Arial"/>
        </w:rPr>
        <w:footnoteReference w:id="6"/>
      </w:r>
      <w:r>
        <w:rPr>
          <w:rStyle w:val="normaltextrun"/>
          <w:rFonts w:ascii="Arial" w:hAnsi="Arial" w:cs="Arial"/>
        </w:rPr>
        <w:t xml:space="preserve"> In simple terms, this means providing teachers, school leaders, and policy makers with resources to make well informed interventions.</w:t>
      </w:r>
    </w:p>
    <w:p w14:paraId="26A7F506" w14:textId="28395B95" w:rsidR="00D17784" w:rsidRDefault="00D17784">
      <w:pPr>
        <w:pStyle w:val="BodyText"/>
      </w:pPr>
      <w:r>
        <w:t>The outputs associated with different NPIs include (figure</w:t>
      </w:r>
      <w:r w:rsidR="0078330F">
        <w:t> </w:t>
      </w:r>
      <w:r>
        <w:t>2):</w:t>
      </w:r>
    </w:p>
    <w:p w14:paraId="146FAE5D" w14:textId="77777777" w:rsidR="00D17784" w:rsidRPr="00A8416C" w:rsidRDefault="00D17784" w:rsidP="008940C9">
      <w:pPr>
        <w:pStyle w:val="ListBullet"/>
      </w:pPr>
      <w:r w:rsidRPr="7F580885" w:rsidDel="00A767BC">
        <w:rPr>
          <w:b/>
          <w:bCs/>
        </w:rPr>
        <w:t>n</w:t>
      </w:r>
      <w:r w:rsidRPr="7F580885">
        <w:rPr>
          <w:b/>
          <w:bCs/>
        </w:rPr>
        <w:t xml:space="preserve">ational </w:t>
      </w:r>
      <w:r w:rsidRPr="001445DF">
        <w:rPr>
          <w:b/>
          <w:bCs/>
        </w:rPr>
        <w:t>tools</w:t>
      </w:r>
      <w:r w:rsidRPr="00A8416C">
        <w:t xml:space="preserve"> to </w:t>
      </w:r>
      <w:r>
        <w:t>gauge and share information on student progress</w:t>
      </w:r>
      <w:r w:rsidRPr="00A8416C">
        <w:t xml:space="preserve"> (the online formative assessment initiative (OFAI</w:t>
      </w:r>
      <w:r>
        <w:t>)</w:t>
      </w:r>
      <w:r w:rsidRPr="00A8416C">
        <w:t xml:space="preserve"> and the unique student </w:t>
      </w:r>
      <w:r>
        <w:t xml:space="preserve">identifier </w:t>
      </w:r>
      <w:r w:rsidRPr="00A8416C">
        <w:t>(USI)</w:t>
      </w:r>
      <w:r>
        <w:t>)</w:t>
      </w:r>
    </w:p>
    <w:p w14:paraId="1B80EEB1" w14:textId="77777777" w:rsidR="00D17784" w:rsidRPr="00A8416C" w:rsidRDefault="00D17784" w:rsidP="008940C9">
      <w:pPr>
        <w:pStyle w:val="ListBullet"/>
        <w:rPr>
          <w:rFonts w:eastAsiaTheme="minorEastAsia"/>
        </w:rPr>
      </w:pPr>
      <w:r w:rsidRPr="4C1462BE" w:rsidDel="00A767BC">
        <w:rPr>
          <w:b/>
          <w:bCs/>
        </w:rPr>
        <w:t>n</w:t>
      </w:r>
      <w:r w:rsidRPr="4C1462BE">
        <w:rPr>
          <w:b/>
          <w:bCs/>
        </w:rPr>
        <w:t>ational reviews</w:t>
      </w:r>
      <w:r>
        <w:t xml:space="preserve"> to identify and realise opportunities for national collaboration on teacher workforce needs and senior secondary pathways into work, further education and training</w:t>
      </w:r>
    </w:p>
    <w:p w14:paraId="3C51CC06" w14:textId="77777777" w:rsidR="00D17784" w:rsidRPr="00A8416C" w:rsidRDefault="00D17784" w:rsidP="008940C9">
      <w:pPr>
        <w:pStyle w:val="ListBullet"/>
      </w:pPr>
      <w:r w:rsidRPr="67E9CA9B" w:rsidDel="00A767BC">
        <w:rPr>
          <w:b/>
          <w:bCs/>
        </w:rPr>
        <w:t>n</w:t>
      </w:r>
      <w:r w:rsidRPr="67E9CA9B">
        <w:rPr>
          <w:b/>
          <w:bCs/>
        </w:rPr>
        <w:t xml:space="preserve">ational </w:t>
      </w:r>
      <w:r>
        <w:rPr>
          <w:b/>
          <w:bCs/>
        </w:rPr>
        <w:t xml:space="preserve">accreditation </w:t>
      </w:r>
      <w:r w:rsidRPr="67E9CA9B">
        <w:rPr>
          <w:b/>
          <w:bCs/>
        </w:rPr>
        <w:t>standards</w:t>
      </w:r>
      <w:r w:rsidRPr="00A8416C">
        <w:t xml:space="preserve"> to promote consistent quality </w:t>
      </w:r>
      <w:r>
        <w:t>in graduate</w:t>
      </w:r>
      <w:r w:rsidRPr="00A8416C">
        <w:t xml:space="preserve"> teaching (strengthening initial teacher education (ITE) accreditation)</w:t>
      </w:r>
    </w:p>
    <w:p w14:paraId="290CE636" w14:textId="77777777" w:rsidR="00D17784" w:rsidRDefault="00D17784" w:rsidP="008940C9">
      <w:pPr>
        <w:pStyle w:val="ListBullet"/>
      </w:pPr>
      <w:r w:rsidRPr="4C1462BE" w:rsidDel="00A767BC">
        <w:rPr>
          <w:b/>
          <w:bCs/>
        </w:rPr>
        <w:t>a</w:t>
      </w:r>
      <w:r w:rsidRPr="4C1462BE">
        <w:rPr>
          <w:b/>
          <w:bCs/>
        </w:rPr>
        <w:t xml:space="preserve"> new national institution</w:t>
      </w:r>
      <w:r>
        <w:t xml:space="preserve"> to generate and communicate evidence-based advice on best practice to teachers, schools and policy makers</w:t>
      </w:r>
    </w:p>
    <w:p w14:paraId="6EE86BE6" w14:textId="77777777" w:rsidR="00D17784" w:rsidRPr="00A8416C" w:rsidRDefault="00D17784" w:rsidP="008940C9">
      <w:pPr>
        <w:pStyle w:val="ListBullet"/>
      </w:pPr>
      <w:r w:rsidRPr="00E24612" w:rsidDel="00A767BC">
        <w:rPr>
          <w:b/>
          <w:bCs/>
        </w:rPr>
        <w:t>n</w:t>
      </w:r>
      <w:r w:rsidRPr="00E24612">
        <w:rPr>
          <w:b/>
          <w:bCs/>
        </w:rPr>
        <w:t>ational data projects</w:t>
      </w:r>
      <w:r w:rsidRPr="00A8416C">
        <w:t xml:space="preserve"> to improve national data quality, consistency and collection.</w:t>
      </w:r>
    </w:p>
    <w:p w14:paraId="65803EEE" w14:textId="45965CA0" w:rsidR="00D17784" w:rsidRPr="00C726D9" w:rsidRDefault="00D17784">
      <w:pPr>
        <w:pStyle w:val="FigureTableHeading"/>
      </w:pPr>
      <w:bookmarkStart w:id="11" w:name="_Ref110001458"/>
      <w:r>
        <w:t xml:space="preserve">Figure </w:t>
      </w:r>
      <w:r>
        <w:fldChar w:fldCharType="begin"/>
      </w:r>
      <w:r>
        <w:instrText>SEQ Figure \* ARABIC \s 1</w:instrText>
      </w:r>
      <w:r>
        <w:fldChar w:fldCharType="separate"/>
      </w:r>
      <w:r w:rsidR="00C642E8">
        <w:rPr>
          <w:noProof/>
        </w:rPr>
        <w:t>2</w:t>
      </w:r>
      <w:r>
        <w:fldChar w:fldCharType="end"/>
      </w:r>
      <w:bookmarkEnd w:id="11"/>
      <w:r>
        <w:t xml:space="preserve"> – </w:t>
      </w:r>
      <w:r w:rsidRPr="00C726D9">
        <w:t>Progress implementing National Policy Initiatives</w:t>
      </w:r>
    </w:p>
    <w:p w14:paraId="03FB0B5A" w14:textId="77777777" w:rsidR="00D17784" w:rsidRDefault="00D17784">
      <w:pPr>
        <w:pStyle w:val="FigureTableSubheading"/>
      </w:pPr>
      <w:r>
        <w:rPr>
          <w:rStyle w:val="normaltextrun"/>
          <w:rFonts w:ascii="Arial Black" w:hAnsi="Arial Black"/>
          <w:shd w:val="clear" w:color="auto" w:fill="FFFFFF"/>
        </w:rPr>
        <w:t>Expected outputs and implementation status as reported by Education Council</w:t>
      </w:r>
      <w:r w:rsidRPr="61D3FFB5">
        <w:rPr>
          <w:noProof/>
        </w:rPr>
        <w:t xml:space="preserve"> </w:t>
      </w:r>
    </w:p>
    <w:p w14:paraId="50EF3BD5" w14:textId="10F2C2F2" w:rsidR="00D17784" w:rsidRDefault="00CA45A4">
      <w:pPr>
        <w:pStyle w:val="FigureTableSubheading"/>
      </w:pPr>
      <w:r w:rsidRPr="00CA45A4">
        <w:rPr>
          <w:noProof/>
        </w:rPr>
        <w:drawing>
          <wp:inline distT="0" distB="0" distL="0" distR="0" wp14:anchorId="474E7F9F" wp14:editId="0360FBDF">
            <wp:extent cx="6120130" cy="7672070"/>
            <wp:effectExtent l="0" t="0" r="0" b="0"/>
            <wp:docPr id="63" name="Picture 63" descr="Figure 2 describes the expected outputs and implementation status of the National Policy Initiatives (as reported by Education Council). It reports that two National Policy Initiatives are incomplete: the Unique Student Identifier and the Online Formative Assessment Initiati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Figure 2 describes the expected outputs and implementation status of the National Policy Initiatives (as reported by Education Council). It reports that two National Policy Initiatives are incomplete: the Unique Student Identifier and the Online Formative Assessment Initiative. "/>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0130" cy="7672070"/>
                    </a:xfrm>
                    <a:prstGeom prst="rect">
                      <a:avLst/>
                    </a:prstGeom>
                    <a:noFill/>
                    <a:ln>
                      <a:noFill/>
                    </a:ln>
                  </pic:spPr>
                </pic:pic>
              </a:graphicData>
            </a:graphic>
          </wp:inline>
        </w:drawing>
      </w:r>
    </w:p>
    <w:p w14:paraId="04D746CE" w14:textId="209DBADE" w:rsidR="00D17784" w:rsidRPr="00516870" w:rsidRDefault="00D17784" w:rsidP="0017762A">
      <w:pPr>
        <w:pStyle w:val="Heading3"/>
      </w:pPr>
      <w:r>
        <w:t xml:space="preserve">Progress on some </w:t>
      </w:r>
      <w:r w:rsidRPr="006F29EF">
        <w:t>of the initiatives that would make the most difference has been disappointing</w:t>
      </w:r>
    </w:p>
    <w:p w14:paraId="51C3F9F1" w14:textId="77777777" w:rsidR="00D17784" w:rsidRDefault="00D17784">
      <w:pPr>
        <w:pStyle w:val="BodyText"/>
        <w:rPr>
          <w:rStyle w:val="normaltextrun"/>
          <w:rFonts w:ascii="Arial" w:hAnsi="Arial" w:cs="Arial"/>
        </w:rPr>
      </w:pPr>
      <w:r w:rsidRPr="000B4324">
        <w:t>So far, the NPIs have likely had little impact on Australian students’ academic achievement, educational attainment and skill acquisition</w:t>
      </w:r>
      <w:r>
        <w:rPr>
          <w:rStyle w:val="normaltextrun"/>
          <w:rFonts w:ascii="Arial" w:hAnsi="Arial" w:cs="Arial"/>
          <w:color w:val="000000"/>
          <w:shd w:val="clear" w:color="auto" w:fill="FFFFFF"/>
        </w:rPr>
        <w:t>.</w:t>
      </w:r>
      <w:r>
        <w:rPr>
          <w:rStyle w:val="FootnoteReference"/>
          <w:rFonts w:ascii="Arial" w:hAnsi="Arial" w:cs="Arial"/>
          <w:color w:val="000000"/>
          <w:shd w:val="clear" w:color="auto" w:fill="FFFFFF"/>
        </w:rPr>
        <w:footnoteReference w:id="7"/>
      </w:r>
      <w:r>
        <w:rPr>
          <w:rStyle w:val="normaltextrun"/>
          <w:rFonts w:ascii="Arial" w:hAnsi="Arial" w:cs="Arial"/>
          <w:color w:val="000000"/>
          <w:shd w:val="clear" w:color="auto" w:fill="FFFFFF"/>
        </w:rPr>
        <w:t xml:space="preserve"> </w:t>
      </w:r>
    </w:p>
    <w:p w14:paraId="665879BA" w14:textId="4EC36387" w:rsidR="00D17784" w:rsidRPr="009A449F" w:rsidRDefault="00D17784">
      <w:pPr>
        <w:pStyle w:val="BodyText"/>
        <w:rPr>
          <w:rStyle w:val="normaltextrun"/>
        </w:rPr>
      </w:pPr>
      <w:r w:rsidRPr="009A449F">
        <w:rPr>
          <w:rStyle w:val="normaltextrun"/>
        </w:rPr>
        <w:t>Many outputs from the NPIs are yet to be delivered, including two of the more significant NPI outputs (the OFAI and the USI) (figure 2). Of the NPIs</w:t>
      </w:r>
      <w:r w:rsidRPr="009A449F" w:rsidDel="000916FF">
        <w:rPr>
          <w:rStyle w:val="normaltextrun"/>
        </w:rPr>
        <w:t xml:space="preserve"> </w:t>
      </w:r>
      <w:r w:rsidRPr="009A449F">
        <w:rPr>
          <w:rStyle w:val="normaltextrun"/>
        </w:rPr>
        <w:t xml:space="preserve">that have been delivered, the institute charged with providing evidence-based advice — the Australian Education Research Organisation (AERO) — is </w:t>
      </w:r>
      <w:r w:rsidR="006F29EF">
        <w:rPr>
          <w:rStyle w:val="normaltextrun"/>
        </w:rPr>
        <w:t>just beginning its work</w:t>
      </w:r>
      <w:r w:rsidRPr="009A449F">
        <w:rPr>
          <w:rStyle w:val="normaltextrun"/>
        </w:rPr>
        <w:t xml:space="preserve">; </w:t>
      </w:r>
      <w:r w:rsidR="00D8437D">
        <w:rPr>
          <w:rStyle w:val="normaltextrun"/>
        </w:rPr>
        <w:t>G</w:t>
      </w:r>
      <w:r w:rsidRPr="009A449F">
        <w:rPr>
          <w:rStyle w:val="normaltextrun"/>
        </w:rPr>
        <w:t xml:space="preserve">overnments are still to clarify many details regarding if and how they will act upon the national reviews of senior secondary pathways and teacher workforce needs; and new standards governing </w:t>
      </w:r>
      <w:r w:rsidR="002C3E96">
        <w:rPr>
          <w:rStyle w:val="normaltextrun"/>
        </w:rPr>
        <w:t>ITE</w:t>
      </w:r>
      <w:r w:rsidRPr="009A449F">
        <w:rPr>
          <w:rStyle w:val="normaltextrun"/>
        </w:rPr>
        <w:t xml:space="preserve"> providers have been in place for a little more than two years.</w:t>
      </w:r>
    </w:p>
    <w:p w14:paraId="6B42B2FA" w14:textId="13615CC1" w:rsidR="00D17784" w:rsidRPr="009A449F" w:rsidRDefault="00D17784">
      <w:pPr>
        <w:pStyle w:val="BodyText"/>
        <w:rPr>
          <w:rStyle w:val="normaltextrun"/>
        </w:rPr>
      </w:pPr>
      <w:r w:rsidRPr="009A449F">
        <w:rPr>
          <w:rStyle w:val="normaltextrun"/>
        </w:rPr>
        <w:t xml:space="preserve">If the NSRA is to have any chance of fulfilling its ambitious targets and outcomes, the Commonwealth, </w:t>
      </w:r>
      <w:r w:rsidR="00BD6971">
        <w:rPr>
          <w:rStyle w:val="normaltextrun"/>
        </w:rPr>
        <w:t>S</w:t>
      </w:r>
      <w:r w:rsidRPr="009A449F">
        <w:rPr>
          <w:rStyle w:val="normaltextrun"/>
        </w:rPr>
        <w:t xml:space="preserve">tates and </w:t>
      </w:r>
      <w:r w:rsidR="00BD6971">
        <w:rPr>
          <w:rStyle w:val="normaltextrun"/>
        </w:rPr>
        <w:t>T</w:t>
      </w:r>
      <w:r w:rsidRPr="009A449F">
        <w:rPr>
          <w:rStyle w:val="normaltextrun"/>
        </w:rPr>
        <w:t>erritories will need to resolve some key issues.</w:t>
      </w:r>
    </w:p>
    <w:p w14:paraId="78D91BED" w14:textId="77777777" w:rsidR="00D17784" w:rsidRPr="003D2612" w:rsidRDefault="00D17784" w:rsidP="003D2612">
      <w:pPr>
        <w:pStyle w:val="Heading4"/>
      </w:pPr>
      <w:r w:rsidRPr="003D2612">
        <w:t>The USI and OFAI are stalled</w:t>
      </w:r>
    </w:p>
    <w:p w14:paraId="3C113DB9" w14:textId="77777777" w:rsidR="00D17784" w:rsidRPr="009A449F" w:rsidRDefault="00D17784">
      <w:pPr>
        <w:pStyle w:val="BodyText"/>
      </w:pPr>
      <w:r w:rsidRPr="009A449F">
        <w:rPr>
          <w:rStyle w:val="normaltextrun"/>
        </w:rPr>
        <w:t>The USI and OFAI would provide much needed tools to better understand student progress.</w:t>
      </w:r>
    </w:p>
    <w:p w14:paraId="7C79A7F6" w14:textId="482FEC58" w:rsidR="00D17784" w:rsidRPr="002B7906" w:rsidRDefault="00D17784" w:rsidP="008940C9">
      <w:pPr>
        <w:pStyle w:val="ListBullet"/>
      </w:pPr>
      <w:r w:rsidRPr="002B7906">
        <w:t xml:space="preserve">The USI would provide insights on a student’s progress, the factors that influence the paths they take, and the outcomes they achieve. As </w:t>
      </w:r>
      <w:r w:rsidR="00125E23">
        <w:t xml:space="preserve">the </w:t>
      </w:r>
      <w:r w:rsidR="00824F22" w:rsidRPr="00F334BC">
        <w:t xml:space="preserve">Department of Education New South Wales </w:t>
      </w:r>
      <w:r w:rsidRPr="002B7906">
        <w:t>(sub. 12, p. 13) observed: ‘... the USI has the potential to provide a new, unique and rich data source to inform policy in a way which was never possible before.’</w:t>
      </w:r>
    </w:p>
    <w:p w14:paraId="622D8CB0" w14:textId="02C82036" w:rsidR="00D17784" w:rsidRPr="009A449F" w:rsidRDefault="00D17784" w:rsidP="008940C9">
      <w:pPr>
        <w:pStyle w:val="ListBullet"/>
      </w:pPr>
      <w:r w:rsidRPr="009A449F">
        <w:t>The OFAI would enable teachers to assess a student’s knowledge, skills and understanding, identify next steps in learning, and track progress over time. Given the significant variation in student achievement in any given year level — spanning, on average, as much as 4 years of learning in numeracy within individual schools and about 6 years across all schools — the OFAI would help teachers tailor their teaching to a student’s level of knowledge and understanding</w:t>
      </w:r>
      <w:r w:rsidRPr="000340CC">
        <w:rPr>
          <w:rStyle w:val="normaltextrun"/>
        </w:rPr>
        <w:t>.</w:t>
      </w:r>
      <w:r w:rsidRPr="00567898">
        <w:rPr>
          <w:rStyle w:val="FootnoteReference"/>
        </w:rPr>
        <w:footnoteReference w:id="8"/>
      </w:r>
      <w:r w:rsidRPr="000340CC">
        <w:rPr>
          <w:rStyle w:val="normaltextrun"/>
        </w:rPr>
        <w:t xml:space="preserve"> </w:t>
      </w:r>
      <w:r w:rsidRPr="009A449F">
        <w:t>Importantly, the OFAI would provide time-poor teachers with recommended teaching strategies and quality-checked digital resources aligned with the national curriculum.</w:t>
      </w:r>
    </w:p>
    <w:p w14:paraId="087B33C0" w14:textId="5E559C0A" w:rsidR="00D17784" w:rsidRPr="009A449F" w:rsidRDefault="00D17784">
      <w:pPr>
        <w:pStyle w:val="BodyText"/>
      </w:pPr>
      <w:r w:rsidRPr="009A449F">
        <w:t xml:space="preserve">But both NPIs have stalled. Already more than 13 years in the making, disagreements about data use have </w:t>
      </w:r>
      <w:r w:rsidR="00125E23">
        <w:t>hinder</w:t>
      </w:r>
      <w:r w:rsidRPr="009A449F">
        <w:t>ed progress of the USI</w:t>
      </w:r>
      <w:r w:rsidRPr="00E61239">
        <w:rPr>
          <w:rStyle w:val="normaltextrun"/>
          <w:rFonts w:ascii="Arial" w:hAnsi="Arial" w:cs="Arial"/>
          <w:color w:val="000000" w:themeColor="text1"/>
        </w:rPr>
        <w:t>.</w:t>
      </w:r>
      <w:r>
        <w:rPr>
          <w:rStyle w:val="FootnoteReference"/>
          <w:rFonts w:ascii="Arial" w:hAnsi="Arial" w:cs="Arial"/>
          <w:color w:val="000000" w:themeColor="text1"/>
        </w:rPr>
        <w:footnoteReference w:id="9"/>
      </w:r>
      <w:r w:rsidRPr="5E32EE85">
        <w:rPr>
          <w:rStyle w:val="normaltextrun"/>
          <w:rFonts w:ascii="Arial" w:hAnsi="Arial" w:cs="Arial"/>
          <w:color w:val="000000" w:themeColor="text1"/>
        </w:rPr>
        <w:t xml:space="preserve"> </w:t>
      </w:r>
      <w:r w:rsidRPr="009A449F">
        <w:t>And the value proposition of a national OFAI has diminished as some jurisdictions have pressed ahead with local (albeit typically less comprehensive) solutions, while others await a national solution.</w:t>
      </w:r>
    </w:p>
    <w:p w14:paraId="797D113B" w14:textId="6F0B8783" w:rsidR="00D17784" w:rsidRPr="009A449F" w:rsidRDefault="00D17784">
      <w:pPr>
        <w:pStyle w:val="BodyText"/>
        <w:keepNext/>
        <w:rPr>
          <w:rStyle w:val="normaltextrun"/>
        </w:rPr>
      </w:pPr>
      <w:r w:rsidRPr="009A449F">
        <w:rPr>
          <w:rStyle w:val="normaltextrun"/>
        </w:rPr>
        <w:t xml:space="preserve">Fulfilling their commitments to deliver these two key initiatives will require </w:t>
      </w:r>
      <w:r w:rsidR="009C0952">
        <w:rPr>
          <w:rStyle w:val="normaltextrun"/>
        </w:rPr>
        <w:t>G</w:t>
      </w:r>
      <w:r w:rsidRPr="009A449F">
        <w:rPr>
          <w:rStyle w:val="normaltextrun"/>
        </w:rPr>
        <w:t xml:space="preserve">overnments to: </w:t>
      </w:r>
    </w:p>
    <w:p w14:paraId="4E0B0562" w14:textId="77777777" w:rsidR="00D17784" w:rsidRPr="002B7906" w:rsidRDefault="00D17784" w:rsidP="008940C9">
      <w:pPr>
        <w:pStyle w:val="ListBullet"/>
      </w:pPr>
      <w:r w:rsidRPr="002B7906">
        <w:t>confirm that a USI remains a priority, which can and should be developed through intergovernmental co</w:t>
      </w:r>
      <w:r w:rsidRPr="002B7906">
        <w:noBreakHyphen/>
        <w:t xml:space="preserve">operation. Governments will also need to resolve their differences over data and privacy. If parties cannot deliver a national USI, they should, at a minimum, explain to the public why the project has failed (especially as USIs </w:t>
      </w:r>
      <w:r>
        <w:t>are already in use</w:t>
      </w:r>
      <w:r w:rsidRPr="002B7906">
        <w:t xml:space="preserve"> in higher education and vocational education and training) </w:t>
      </w:r>
    </w:p>
    <w:p w14:paraId="17DA71AC" w14:textId="391CDE99" w:rsidR="00D17784" w:rsidRPr="002B7906" w:rsidRDefault="00D17784" w:rsidP="008940C9">
      <w:pPr>
        <w:pStyle w:val="ListBullet"/>
      </w:pPr>
      <w:r w:rsidRPr="002B7906">
        <w:t>develop a flexible version of the national online formative assessment tool that allows jurisdictions to adapt the tool to their needs and preferences (including integrating content and features from existing state</w:t>
      </w:r>
      <w:r w:rsidR="002239B0">
        <w:noBreakHyphen/>
      </w:r>
      <w:r w:rsidRPr="002B7906">
        <w:t>based tools). Parties should consider assigning responsibility for completing the OFAI to a single entity capable of delivering the tool quickly at least cost.</w:t>
      </w:r>
    </w:p>
    <w:p w14:paraId="32478AA2" w14:textId="77777777" w:rsidR="00D17784" w:rsidRPr="00753DD1" w:rsidRDefault="00D17784" w:rsidP="00753DD1">
      <w:pPr>
        <w:pStyle w:val="Heading4"/>
      </w:pPr>
      <w:r w:rsidRPr="00753DD1">
        <w:t>A systematic approach to predicting and identifying workforce imbalances is still lacking</w:t>
      </w:r>
    </w:p>
    <w:p w14:paraId="7D9E36B3" w14:textId="04F3C913" w:rsidR="00D17784" w:rsidRPr="0094079D" w:rsidRDefault="00D17784">
      <w:pPr>
        <w:pStyle w:val="BodyText"/>
      </w:pPr>
      <w:r>
        <w:t xml:space="preserve">According to the </w:t>
      </w:r>
      <w:r w:rsidRPr="00C52A6A">
        <w:t>Education Council,</w:t>
      </w:r>
      <w:r>
        <w:t xml:space="preserve"> the narrative on </w:t>
      </w:r>
      <w:r w:rsidRPr="07DFD879">
        <w:rPr>
          <w:i/>
          <w:iCs/>
        </w:rPr>
        <w:t>National Initiatives to Support Teaching and School Leadership</w:t>
      </w:r>
      <w:r>
        <w:t xml:space="preserve"> and the workforce strategy </w:t>
      </w:r>
      <w:r w:rsidRPr="07DFD879">
        <w:rPr>
          <w:i/>
          <w:iCs/>
        </w:rPr>
        <w:t>Teaching Futures: A National Teacher Workforce Strategy for Australia</w:t>
      </w:r>
      <w:r>
        <w:t xml:space="preserve"> together fulfil </w:t>
      </w:r>
      <w:r w:rsidR="00D37504">
        <w:t>G</w:t>
      </w:r>
      <w:r>
        <w:t>overnments’ commitments to review teacher workforce needs. The former identifies principles ‘</w:t>
      </w:r>
      <w:r w:rsidRPr="00A87C73">
        <w:t>to guide Education Ministers in commissioning work</w:t>
      </w:r>
      <w:r>
        <w:t>’, while the latter ‘</w:t>
      </w:r>
      <w:r w:rsidRPr="0056097F">
        <w:t>highlights opportunities for potential future efforts</w:t>
      </w:r>
      <w:r>
        <w:t>’.</w:t>
      </w:r>
      <w:r w:rsidR="00D27079" w:rsidRPr="00D27079">
        <w:rPr>
          <w:rStyle w:val="FootnoteReference"/>
        </w:rPr>
        <w:t xml:space="preserve"> </w:t>
      </w:r>
      <w:r w:rsidR="00D27079">
        <w:rPr>
          <w:rStyle w:val="FootnoteReference"/>
        </w:rPr>
        <w:footnoteReference w:id="10"/>
      </w:r>
      <w:r>
        <w:t xml:space="preserve"> Neither provide the resources required by school systems and </w:t>
      </w:r>
      <w:r w:rsidR="00DC1754">
        <w:t>ITE</w:t>
      </w:r>
      <w:r>
        <w:t xml:space="preserve"> providers to identify and plan for future workforce needs.</w:t>
      </w:r>
    </w:p>
    <w:p w14:paraId="39A566AA" w14:textId="3FD26298" w:rsidR="00D17784" w:rsidRDefault="00D17784">
      <w:pPr>
        <w:pStyle w:val="BodyText"/>
        <w:rPr>
          <w:rFonts w:ascii="Arial" w:eastAsia="Arial" w:hAnsi="Arial" w:cs="Arial"/>
          <w:color w:val="000000" w:themeColor="text1"/>
        </w:rPr>
      </w:pPr>
      <w:r>
        <w:t>Current</w:t>
      </w:r>
      <w:r w:rsidRPr="31A987CD">
        <w:rPr>
          <w:rFonts w:ascii="Arial" w:eastAsia="Arial" w:hAnsi="Arial" w:cs="Arial"/>
          <w:color w:val="000000" w:themeColor="text1"/>
        </w:rPr>
        <w:t xml:space="preserve"> </w:t>
      </w:r>
      <w:r w:rsidRPr="32CB4461">
        <w:rPr>
          <w:rFonts w:ascii="Arial" w:eastAsia="Arial" w:hAnsi="Arial" w:cs="Arial"/>
          <w:color w:val="000000" w:themeColor="text1"/>
        </w:rPr>
        <w:t>and emerging</w:t>
      </w:r>
      <w:r w:rsidRPr="6A321736">
        <w:rPr>
          <w:rFonts w:ascii="Arial" w:eastAsia="Arial" w:hAnsi="Arial" w:cs="Arial"/>
          <w:color w:val="000000" w:themeColor="text1"/>
        </w:rPr>
        <w:t xml:space="preserve"> national </w:t>
      </w:r>
      <w:r w:rsidRPr="5BD11E00">
        <w:rPr>
          <w:rFonts w:ascii="Arial" w:eastAsia="Arial" w:hAnsi="Arial" w:cs="Arial"/>
          <w:color w:val="000000" w:themeColor="text1"/>
        </w:rPr>
        <w:t>workforce pressures</w:t>
      </w:r>
      <w:r w:rsidRPr="6A321736">
        <w:rPr>
          <w:rFonts w:ascii="Arial" w:eastAsia="Arial" w:hAnsi="Arial" w:cs="Arial"/>
          <w:color w:val="000000" w:themeColor="text1"/>
        </w:rPr>
        <w:t xml:space="preserve"> require more systematic treatment to predict</w:t>
      </w:r>
      <w:r>
        <w:rPr>
          <w:rFonts w:ascii="Arial" w:eastAsia="Arial" w:hAnsi="Arial" w:cs="Arial"/>
          <w:color w:val="000000" w:themeColor="text1"/>
        </w:rPr>
        <w:t xml:space="preserve"> </w:t>
      </w:r>
      <w:r w:rsidRPr="005F7C1D">
        <w:rPr>
          <w:rFonts w:ascii="Arial" w:eastAsia="Arial" w:hAnsi="Arial" w:cs="Arial"/>
          <w:color w:val="000000" w:themeColor="text1"/>
        </w:rPr>
        <w:t xml:space="preserve">future teacher workforce </w:t>
      </w:r>
      <w:r>
        <w:rPr>
          <w:rFonts w:ascii="Arial" w:eastAsia="Arial" w:hAnsi="Arial" w:cs="Arial"/>
          <w:color w:val="000000" w:themeColor="text1"/>
        </w:rPr>
        <w:t xml:space="preserve">imbalances. </w:t>
      </w:r>
      <w:r w:rsidR="00E350BE">
        <w:rPr>
          <w:rFonts w:ascii="Arial" w:eastAsia="Arial" w:hAnsi="Arial" w:cs="Arial"/>
          <w:color w:val="000000" w:themeColor="text1"/>
        </w:rPr>
        <w:t xml:space="preserve">As part of their </w:t>
      </w:r>
      <w:r w:rsidR="00E350BE" w:rsidRPr="00E60CBC">
        <w:rPr>
          <w:i/>
          <w:iCs/>
        </w:rPr>
        <w:t>National Action Plan on Teacher Shortage</w:t>
      </w:r>
      <w:r w:rsidR="00F4689D">
        <w:t>,</w:t>
      </w:r>
      <w:r w:rsidR="00E350BE">
        <w:t xml:space="preserve"> </w:t>
      </w:r>
      <w:r>
        <w:t xml:space="preserve">Education Ministers recently agreed to </w:t>
      </w:r>
      <w:r>
        <w:rPr>
          <w:rFonts w:ascii="Arial" w:eastAsia="Arial" w:hAnsi="Arial" w:cs="Arial"/>
          <w:color w:val="000000" w:themeColor="text1"/>
        </w:rPr>
        <w:t>d</w:t>
      </w:r>
      <w:r w:rsidRPr="005F7C1D">
        <w:rPr>
          <w:rFonts w:ascii="Arial" w:eastAsia="Arial" w:hAnsi="Arial" w:cs="Arial"/>
          <w:color w:val="000000" w:themeColor="text1"/>
        </w:rPr>
        <w:t>evelop and publi</w:t>
      </w:r>
      <w:r>
        <w:rPr>
          <w:rFonts w:ascii="Arial" w:eastAsia="Arial" w:hAnsi="Arial" w:cs="Arial"/>
          <w:color w:val="000000" w:themeColor="text1"/>
        </w:rPr>
        <w:t>sh</w:t>
      </w:r>
      <w:r w:rsidRPr="005F7C1D">
        <w:rPr>
          <w:rFonts w:ascii="Arial" w:eastAsia="Arial" w:hAnsi="Arial" w:cs="Arial"/>
          <w:color w:val="000000" w:themeColor="text1"/>
        </w:rPr>
        <w:t xml:space="preserve"> teacher workforce projections, disaggregated at a regional level and </w:t>
      </w:r>
      <w:r>
        <w:rPr>
          <w:rFonts w:ascii="Arial" w:eastAsia="Arial" w:hAnsi="Arial" w:cs="Arial"/>
          <w:color w:val="000000" w:themeColor="text1"/>
        </w:rPr>
        <w:t xml:space="preserve">by </w:t>
      </w:r>
      <w:r w:rsidRPr="005F7C1D">
        <w:rPr>
          <w:rFonts w:ascii="Arial" w:eastAsia="Arial" w:hAnsi="Arial" w:cs="Arial"/>
          <w:color w:val="000000" w:themeColor="text1"/>
        </w:rPr>
        <w:t xml:space="preserve">subject specialisation, </w:t>
      </w:r>
      <w:r>
        <w:rPr>
          <w:rFonts w:ascii="Arial" w:eastAsia="Arial" w:hAnsi="Arial" w:cs="Arial"/>
          <w:color w:val="000000" w:themeColor="text1"/>
        </w:rPr>
        <w:t xml:space="preserve">along with </w:t>
      </w:r>
      <w:r w:rsidRPr="005F7C1D">
        <w:rPr>
          <w:rFonts w:ascii="Arial" w:eastAsia="Arial" w:hAnsi="Arial" w:cs="Arial"/>
          <w:color w:val="000000" w:themeColor="text1"/>
        </w:rPr>
        <w:t>nationally consistent</w:t>
      </w:r>
      <w:r>
        <w:rPr>
          <w:rFonts w:ascii="Arial" w:eastAsia="Arial" w:hAnsi="Arial" w:cs="Arial"/>
          <w:color w:val="000000" w:themeColor="text1"/>
        </w:rPr>
        <w:t xml:space="preserve"> </w:t>
      </w:r>
      <w:r w:rsidRPr="005F7C1D">
        <w:rPr>
          <w:rFonts w:ascii="Arial" w:eastAsia="Arial" w:hAnsi="Arial" w:cs="Arial"/>
          <w:color w:val="000000" w:themeColor="text1"/>
        </w:rPr>
        <w:t xml:space="preserve">data </w:t>
      </w:r>
      <w:r>
        <w:rPr>
          <w:rFonts w:ascii="Arial" w:eastAsia="Arial" w:hAnsi="Arial" w:cs="Arial"/>
          <w:color w:val="000000" w:themeColor="text1"/>
        </w:rPr>
        <w:t>on</w:t>
      </w:r>
      <w:r w:rsidRPr="005F7C1D">
        <w:rPr>
          <w:rFonts w:ascii="Arial" w:eastAsia="Arial" w:hAnsi="Arial" w:cs="Arial"/>
          <w:color w:val="000000" w:themeColor="text1"/>
        </w:rPr>
        <w:t xml:space="preserve"> teacher demand</w:t>
      </w:r>
      <w:r>
        <w:rPr>
          <w:i/>
          <w:iCs/>
        </w:rPr>
        <w:t xml:space="preserve">. </w:t>
      </w:r>
      <w:r>
        <w:t xml:space="preserve">This </w:t>
      </w:r>
      <w:r>
        <w:rPr>
          <w:rFonts w:ascii="Arial" w:eastAsia="Arial" w:hAnsi="Arial" w:cs="Arial"/>
          <w:color w:val="000000" w:themeColor="text1"/>
        </w:rPr>
        <w:t>i</w:t>
      </w:r>
      <w:r w:rsidRPr="000327FC">
        <w:rPr>
          <w:rFonts w:ascii="Arial" w:eastAsia="Arial" w:hAnsi="Arial" w:cs="Arial"/>
          <w:color w:val="000000" w:themeColor="text1"/>
        </w:rPr>
        <w:t xml:space="preserve">mproved labour supply and demand data should </w:t>
      </w:r>
      <w:r>
        <w:rPr>
          <w:rFonts w:ascii="Arial" w:eastAsia="Arial" w:hAnsi="Arial" w:cs="Arial"/>
          <w:color w:val="000000" w:themeColor="text1"/>
        </w:rPr>
        <w:t xml:space="preserve">support the development </w:t>
      </w:r>
      <w:r w:rsidRPr="000327FC">
        <w:rPr>
          <w:rFonts w:ascii="Arial" w:eastAsia="Arial" w:hAnsi="Arial" w:cs="Arial"/>
          <w:color w:val="000000" w:themeColor="text1"/>
        </w:rPr>
        <w:t>of a national teacher labour market model</w:t>
      </w:r>
      <w:r>
        <w:rPr>
          <w:rFonts w:ascii="Arial" w:eastAsia="Arial" w:hAnsi="Arial" w:cs="Arial"/>
          <w:color w:val="000000" w:themeColor="text1"/>
        </w:rPr>
        <w:t>, which c</w:t>
      </w:r>
      <w:r w:rsidR="009D545E">
        <w:rPr>
          <w:rFonts w:ascii="Arial" w:eastAsia="Arial" w:hAnsi="Arial" w:cs="Arial"/>
          <w:color w:val="000000" w:themeColor="text1"/>
        </w:rPr>
        <w:t>ould</w:t>
      </w:r>
      <w:r>
        <w:rPr>
          <w:rFonts w:ascii="Arial" w:eastAsia="Arial" w:hAnsi="Arial" w:cs="Arial"/>
          <w:color w:val="000000" w:themeColor="text1"/>
        </w:rPr>
        <w:t xml:space="preserve"> be used to predict teacher demand and supply</w:t>
      </w:r>
      <w:r w:rsidRPr="000327FC">
        <w:rPr>
          <w:rFonts w:ascii="Arial" w:eastAsia="Arial" w:hAnsi="Arial" w:cs="Arial"/>
          <w:color w:val="000000" w:themeColor="text1"/>
        </w:rPr>
        <w:t xml:space="preserve">. </w:t>
      </w:r>
    </w:p>
    <w:p w14:paraId="1960687E" w14:textId="77777777" w:rsidR="00D17784" w:rsidRPr="00753DD1" w:rsidRDefault="00D17784" w:rsidP="00753DD1">
      <w:pPr>
        <w:pStyle w:val="Heading4"/>
      </w:pPr>
      <w:r w:rsidRPr="00753DD1">
        <w:t>Significant investments in the national evidence base have been made, but gaps remain</w:t>
      </w:r>
    </w:p>
    <w:p w14:paraId="5A0430F1" w14:textId="71ED7D6F" w:rsidR="00D17784" w:rsidRPr="00FD51B1" w:rsidRDefault="00D17784">
      <w:pPr>
        <w:pStyle w:val="BodyText"/>
        <w:rPr>
          <w:rStyle w:val="normaltextrun"/>
        </w:rPr>
      </w:pPr>
      <w:r w:rsidRPr="00AE5D5B">
        <w:rPr>
          <w:rStyle w:val="normaltextrun"/>
        </w:rPr>
        <w:t xml:space="preserve">A </w:t>
      </w:r>
      <w:r w:rsidRPr="00FD51B1">
        <w:rPr>
          <w:rStyle w:val="normaltextrun"/>
        </w:rPr>
        <w:t xml:space="preserve">strong national education evidence base would help </w:t>
      </w:r>
      <w:r w:rsidRPr="00AE5D5B">
        <w:rPr>
          <w:rStyle w:val="normaltextrun"/>
        </w:rPr>
        <w:t>policy</w:t>
      </w:r>
      <w:r>
        <w:rPr>
          <w:rStyle w:val="normaltextrun"/>
        </w:rPr>
        <w:t xml:space="preserve"> </w:t>
      </w:r>
      <w:r w:rsidRPr="00AE5D5B">
        <w:rPr>
          <w:rStyle w:val="normaltextrun"/>
        </w:rPr>
        <w:t>makers</w:t>
      </w:r>
      <w:r w:rsidRPr="00FD51B1">
        <w:rPr>
          <w:rStyle w:val="normaltextrun"/>
        </w:rPr>
        <w:t>, school leaders and teachers make informed decisions about the policies, programs and classroom practices that would lift student outcomes.</w:t>
      </w:r>
      <w:r w:rsidR="00056A06">
        <w:rPr>
          <w:rStyle w:val="normaltextrun"/>
        </w:rPr>
        <w:t xml:space="preserve"> </w:t>
      </w:r>
      <w:r w:rsidRPr="00FD51B1">
        <w:rPr>
          <w:rStyle w:val="normaltextrun"/>
        </w:rPr>
        <w:t xml:space="preserve">AERO was created under the auspices of the NSRA to help build such an evidence base to inform practices and policies. </w:t>
      </w:r>
    </w:p>
    <w:p w14:paraId="6DD67E3E" w14:textId="7DEEAE4D" w:rsidR="00D17784" w:rsidRPr="00FD51B1" w:rsidRDefault="00D17784">
      <w:pPr>
        <w:pStyle w:val="BodyText"/>
      </w:pPr>
      <w:r w:rsidRPr="2AE6C63A">
        <w:rPr>
          <w:rStyle w:val="normaltextrun"/>
        </w:rPr>
        <w:t xml:space="preserve">One area where AERO and others could help advance the education evidence frontier is providing insights into the teaching strategies deployed in Australian classrooms and their effectiveness. </w:t>
      </w:r>
      <w:r w:rsidR="005D5B8E" w:rsidRPr="005029E3">
        <w:t>Research</w:t>
      </w:r>
      <w:r w:rsidR="005D5B8E" w:rsidRPr="00FE65C4">
        <w:t xml:space="preserve"> </w:t>
      </w:r>
      <w:r w:rsidR="005D5B8E">
        <w:t>has shown</w:t>
      </w:r>
      <w:r w:rsidR="005D5B8E" w:rsidRPr="00FE65C4">
        <w:t xml:space="preserve"> that </w:t>
      </w:r>
      <w:r w:rsidR="005D5B8E">
        <w:t>classroom interactions are a</w:t>
      </w:r>
      <w:r w:rsidR="005D5B8E" w:rsidRPr="00FE65C4">
        <w:t xml:space="preserve"> </w:t>
      </w:r>
      <w:r w:rsidR="005D5B8E">
        <w:t>key</w:t>
      </w:r>
      <w:r w:rsidR="005D5B8E" w:rsidRPr="00FE65C4">
        <w:t xml:space="preserve"> factor for effective learning</w:t>
      </w:r>
      <w:r w:rsidR="005D5B8E">
        <w:t xml:space="preserve">. </w:t>
      </w:r>
      <w:r>
        <w:t xml:space="preserve">But both policy makers and researchers say too little is known about what happens in classrooms and how inputs (teachers, pedagogy, learning materials) affect student outcomes. </w:t>
      </w:r>
    </w:p>
    <w:p w14:paraId="58B5F18E" w14:textId="77777777" w:rsidR="00D17784" w:rsidRPr="00FD51B1" w:rsidRDefault="00D17784">
      <w:pPr>
        <w:pStyle w:val="BodyText"/>
      </w:pPr>
      <w:r w:rsidRPr="00FD51B1">
        <w:t xml:space="preserve">The Commission is seeking feedback on options for gleaning a better understanding of what occurs in the classroom, including the extent to which evidence-based practices are adopted. The Commission is also seeking views regarding whether the current education and research evidence base sufficiently incorporates Aboriginal and Torres Strait Islander cultural and community perspectives and </w:t>
      </w:r>
      <w:r w:rsidRPr="00FD51B1" w:rsidDel="00CA773D">
        <w:t xml:space="preserve">Aboriginal </w:t>
      </w:r>
      <w:r>
        <w:t>knowledge</w:t>
      </w:r>
      <w:r w:rsidRPr="00FD51B1">
        <w:t>.</w:t>
      </w:r>
    </w:p>
    <w:p w14:paraId="5700B71E" w14:textId="77777777" w:rsidR="00D17784" w:rsidRDefault="00D17784" w:rsidP="00031F18">
      <w:pPr>
        <w:pStyle w:val="Heading2-nonumber"/>
      </w:pPr>
      <w:bookmarkStart w:id="12" w:name="_Toc113956915"/>
      <w:r>
        <w:t>What should be t</w:t>
      </w:r>
      <w:r w:rsidRPr="00396ACE">
        <w:t xml:space="preserve">he focus of </w:t>
      </w:r>
      <w:r>
        <w:t>the next</w:t>
      </w:r>
      <w:r w:rsidRPr="00396ACE">
        <w:t xml:space="preserve"> agreement</w:t>
      </w:r>
      <w:r>
        <w:t>?</w:t>
      </w:r>
      <w:bookmarkEnd w:id="12"/>
    </w:p>
    <w:p w14:paraId="517DCE44" w14:textId="61D8DB3E" w:rsidR="00D17784" w:rsidRPr="00F71F3F" w:rsidRDefault="00D17784">
      <w:pPr>
        <w:pStyle w:val="BodyText"/>
      </w:pPr>
      <w:r w:rsidRPr="00F71F3F">
        <w:t>Many of the policy initiatives, including the USI and OFAI, form part of a longer-term investment in the national institutions, systems and tools to help improve student outcomes</w:t>
      </w:r>
      <w:r w:rsidRPr="16D57E7C">
        <w:rPr>
          <w:rStyle w:val="normaltextrun"/>
          <w:rFonts w:ascii="Arial" w:hAnsi="Arial" w:cs="Arial"/>
        </w:rPr>
        <w:t>.</w:t>
      </w:r>
      <w:r w:rsidRPr="16D57E7C">
        <w:rPr>
          <w:rStyle w:val="FootnoteReference"/>
          <w:rFonts w:ascii="Arial" w:hAnsi="Arial" w:cs="Arial"/>
        </w:rPr>
        <w:footnoteReference w:id="11"/>
      </w:r>
      <w:r w:rsidRPr="16D57E7C">
        <w:rPr>
          <w:rStyle w:val="normaltextrun"/>
          <w:rFonts w:ascii="Arial" w:hAnsi="Arial" w:cs="Arial"/>
        </w:rPr>
        <w:t xml:space="preserve"> </w:t>
      </w:r>
      <w:r w:rsidRPr="00F71F3F">
        <w:t xml:space="preserve">Once these initiatives are complete (or their fate resolved), the key pieces of the national education architecture will largely be in place. </w:t>
      </w:r>
    </w:p>
    <w:p w14:paraId="625EF4C5" w14:textId="77777777" w:rsidR="00D17784" w:rsidRPr="00F71F3F" w:rsidRDefault="00D17784">
      <w:pPr>
        <w:pStyle w:val="BodyText"/>
        <w:rPr>
          <w:rStyle w:val="normaltextrun"/>
        </w:rPr>
      </w:pPr>
      <w:r w:rsidRPr="00F71F3F">
        <w:rPr>
          <w:rStyle w:val="normaltextrun"/>
        </w:rPr>
        <w:t xml:space="preserve">The next reform agreement is an opportunity to change tack to focus directly on lifting student outcomes, improving equity, and enhancing student wellbeing. </w:t>
      </w:r>
    </w:p>
    <w:p w14:paraId="6FE1233F" w14:textId="77777777" w:rsidR="00D17784" w:rsidRDefault="00D17784" w:rsidP="00824E44">
      <w:pPr>
        <w:pStyle w:val="Heading3"/>
      </w:pPr>
      <w:r>
        <w:t>The next agreement should concentrate</w:t>
      </w:r>
      <w:r w:rsidRPr="00E31903">
        <w:t xml:space="preserve"> on pervasive challenges</w:t>
      </w:r>
    </w:p>
    <w:p w14:paraId="2B12277E" w14:textId="3D643FAA" w:rsidR="00D17784" w:rsidRPr="00F71F3F" w:rsidRDefault="00D17784">
      <w:pPr>
        <w:pStyle w:val="BodyText"/>
      </w:pPr>
      <w:r w:rsidRPr="00F71F3F">
        <w:t>The Commission has identified four overarching and interrelated policy challenges facing Australia’s school systems.</w:t>
      </w:r>
    </w:p>
    <w:p w14:paraId="7281CD22" w14:textId="77777777" w:rsidR="00D17784" w:rsidRPr="00175F9B" w:rsidRDefault="00D17784" w:rsidP="008940C9">
      <w:pPr>
        <w:pStyle w:val="ListBullet"/>
      </w:pPr>
      <w:r w:rsidRPr="002B7906">
        <w:t>Constraints on the effectiveness of teachers and leaders arising from such factors as:</w:t>
      </w:r>
    </w:p>
    <w:p w14:paraId="78A792AD" w14:textId="4CF10B61" w:rsidR="00D17784" w:rsidRPr="00C16406" w:rsidRDefault="00D17784" w:rsidP="00013779">
      <w:pPr>
        <w:pStyle w:val="ListBullet2"/>
      </w:pPr>
      <w:r w:rsidRPr="00C16406">
        <w:t>teacher shortages in some places and in key subjects</w:t>
      </w:r>
    </w:p>
    <w:p w14:paraId="4FB2E478" w14:textId="77777777" w:rsidR="00D17784" w:rsidRPr="00C16406" w:rsidRDefault="00D17784" w:rsidP="00013779">
      <w:pPr>
        <w:pStyle w:val="ListBullet2"/>
      </w:pPr>
      <w:r w:rsidRPr="00C16406">
        <w:t xml:space="preserve">high workloads for teachers and principals </w:t>
      </w:r>
    </w:p>
    <w:p w14:paraId="1CF39F8B" w14:textId="77777777" w:rsidR="00D17784" w:rsidRPr="00C16406" w:rsidRDefault="00D17784" w:rsidP="00013779">
      <w:pPr>
        <w:pStyle w:val="ListBullet2"/>
      </w:pPr>
      <w:r w:rsidRPr="00C16406">
        <w:t xml:space="preserve">limited opportunities to develop and share best practice </w:t>
      </w:r>
    </w:p>
    <w:p w14:paraId="493C6A11" w14:textId="77777777" w:rsidR="00D17784" w:rsidRPr="00C16406" w:rsidRDefault="00D17784" w:rsidP="00013779">
      <w:pPr>
        <w:pStyle w:val="ListBullet2"/>
      </w:pPr>
      <w:r w:rsidRPr="00C16406">
        <w:t>lack of career pathways for mid-ranking teachers and principals.</w:t>
      </w:r>
    </w:p>
    <w:p w14:paraId="2DBDEE76" w14:textId="77777777" w:rsidR="00D17784" w:rsidRPr="00175F9B" w:rsidRDefault="00D17784" w:rsidP="008940C9">
      <w:pPr>
        <w:pStyle w:val="ListBullet"/>
      </w:pPr>
      <w:r w:rsidRPr="002B7906">
        <w:t>A lack of equity in student outcomes. This has several dimensions:</w:t>
      </w:r>
    </w:p>
    <w:p w14:paraId="6A71E800" w14:textId="77777777" w:rsidR="00D17784" w:rsidRPr="004320E2" w:rsidRDefault="00D17784">
      <w:pPr>
        <w:pStyle w:val="ListBullet2"/>
      </w:pPr>
      <w:r w:rsidRPr="001E1CA6">
        <w:rPr>
          <w:rStyle w:val="normaltextrun"/>
        </w:rPr>
        <w:t xml:space="preserve">a </w:t>
      </w:r>
      <w:r w:rsidRPr="004320E2">
        <w:t xml:space="preserve">core of students who do not meet minimum standards </w:t>
      </w:r>
    </w:p>
    <w:p w14:paraId="2EDE3E9D" w14:textId="77777777" w:rsidR="00D17784" w:rsidRPr="004320E2" w:rsidRDefault="00D17784">
      <w:pPr>
        <w:pStyle w:val="ListBullet2"/>
      </w:pPr>
      <w:r w:rsidRPr="004320E2">
        <w:t>significant and persistent gaps in outcomes for many students in the NSRA’s priority equity cohorts</w:t>
      </w:r>
    </w:p>
    <w:p w14:paraId="1F14D51E" w14:textId="5959CA87" w:rsidR="00D17784" w:rsidRPr="004320E2" w:rsidRDefault="00D17784">
      <w:pPr>
        <w:pStyle w:val="ListBullet2"/>
      </w:pPr>
      <w:r w:rsidRPr="004320E2">
        <w:t>gaps in outcomes for students in other cohorts facing disadvantage</w:t>
      </w:r>
    </w:p>
    <w:p w14:paraId="7D40AFB2" w14:textId="77777777" w:rsidR="00D17784" w:rsidRPr="004320E2" w:rsidRDefault="00D17784">
      <w:pPr>
        <w:pStyle w:val="ListBullet2"/>
      </w:pPr>
      <w:r w:rsidRPr="004320E2">
        <w:t>a lack of</w:t>
      </w:r>
      <w:r w:rsidRPr="004320E2" w:rsidDel="005E4A44">
        <w:t xml:space="preserve"> </w:t>
      </w:r>
      <w:r w:rsidRPr="004320E2">
        <w:t>recognition of the unique educational ambitions for particular cohorts and their families.</w:t>
      </w:r>
    </w:p>
    <w:p w14:paraId="35A12AAA" w14:textId="77777777" w:rsidR="00D17784" w:rsidRPr="002B7906" w:rsidRDefault="00D17784" w:rsidP="008940C9">
      <w:pPr>
        <w:pStyle w:val="ListBullet"/>
      </w:pPr>
      <w:r w:rsidRPr="002B7906">
        <w:t>Poor student wellbeing.</w:t>
      </w:r>
    </w:p>
    <w:p w14:paraId="02EE7DEC" w14:textId="77777777" w:rsidR="00D17784" w:rsidRPr="002B7906" w:rsidRDefault="00D17784" w:rsidP="008940C9">
      <w:pPr>
        <w:pStyle w:val="ListBullet"/>
      </w:pPr>
      <w:r w:rsidRPr="002B7906">
        <w:t>The capacity of the education sector to adapt to changing contexts and needs.</w:t>
      </w:r>
    </w:p>
    <w:p w14:paraId="12618920" w14:textId="77777777" w:rsidR="00D17784" w:rsidRDefault="00D17784">
      <w:pPr>
        <w:pStyle w:val="BodyText"/>
      </w:pPr>
      <w:r w:rsidRPr="31408647">
        <w:t xml:space="preserve">These </w:t>
      </w:r>
      <w:r>
        <w:t xml:space="preserve">challenges </w:t>
      </w:r>
      <w:r w:rsidRPr="31408647">
        <w:t xml:space="preserve">are </w:t>
      </w:r>
      <w:r>
        <w:t>plausible</w:t>
      </w:r>
      <w:r w:rsidRPr="31408647">
        <w:t xml:space="preserve"> future priorities for intergovernmental collaboration</w:t>
      </w:r>
      <w:r>
        <w:t>.</w:t>
      </w:r>
    </w:p>
    <w:p w14:paraId="42D6418E" w14:textId="77777777" w:rsidR="00D17784" w:rsidRDefault="00D17784" w:rsidP="008940C9">
      <w:pPr>
        <w:pStyle w:val="ListBullet"/>
      </w:pPr>
      <w:r>
        <w:t>All jurisdictions face these challenges.</w:t>
      </w:r>
    </w:p>
    <w:p w14:paraId="309DC685" w14:textId="77777777" w:rsidR="00D17784" w:rsidRDefault="00D17784" w:rsidP="008940C9">
      <w:pPr>
        <w:pStyle w:val="ListBullet"/>
      </w:pPr>
      <w:r>
        <w:t>Each has a proven, material impact on student outcomes.</w:t>
      </w:r>
    </w:p>
    <w:p w14:paraId="2FD59F4E" w14:textId="086EA373" w:rsidR="00D17784" w:rsidRDefault="00D17784" w:rsidP="008940C9">
      <w:pPr>
        <w:pStyle w:val="ListBullet"/>
      </w:pPr>
      <w:r>
        <w:t xml:space="preserve">With the exception of the final challenge, </w:t>
      </w:r>
      <w:r w:rsidR="00820C33">
        <w:t>G</w:t>
      </w:r>
      <w:r>
        <w:t>overnments have already recognised the value of national collaboration to address the issues</w:t>
      </w:r>
      <w:r w:rsidRPr="31408647">
        <w:t>.</w:t>
      </w:r>
      <w:r w:rsidRPr="00A2181C">
        <w:rPr>
          <w:rStyle w:val="FootnoteReference"/>
          <w:rFonts w:ascii="Arial" w:hAnsi="Arial" w:cs="Arial"/>
        </w:rPr>
        <w:footnoteReference w:id="12"/>
      </w:r>
      <w:r w:rsidRPr="00A2181C">
        <w:rPr>
          <w:rStyle w:val="FootnoteReference"/>
          <w:rFonts w:ascii="Arial" w:hAnsi="Arial" w:cs="Arial"/>
        </w:rPr>
        <w:t xml:space="preserve"> </w:t>
      </w:r>
    </w:p>
    <w:p w14:paraId="314D35A6" w14:textId="77777777" w:rsidR="00D17784" w:rsidRDefault="00D17784" w:rsidP="00824E44">
      <w:pPr>
        <w:pStyle w:val="Heading4"/>
        <w:rPr>
          <w:sz w:val="20"/>
          <w:szCs w:val="20"/>
        </w:rPr>
      </w:pPr>
      <w:r>
        <w:t xml:space="preserve">Improving teaching </w:t>
      </w:r>
    </w:p>
    <w:p w14:paraId="7A0FF1A0" w14:textId="09BBBAAA" w:rsidR="00D17784" w:rsidRPr="00CC7DEC" w:rsidRDefault="00D17784">
      <w:pPr>
        <w:rPr>
          <w:rStyle w:val="BodyTextChar"/>
          <w:spacing w:val="-4"/>
        </w:rPr>
      </w:pPr>
      <w:r w:rsidRPr="00CC7DEC">
        <w:rPr>
          <w:rStyle w:val="BodyTextChar"/>
          <w:spacing w:val="-4"/>
        </w:rPr>
        <w:t>Teacher effectiveness is the single most influential ‘in</w:t>
      </w:r>
      <w:r w:rsidRPr="00CC7DEC">
        <w:rPr>
          <w:rStyle w:val="BodyTextChar"/>
          <w:spacing w:val="-4"/>
        </w:rPr>
        <w:noBreakHyphen/>
        <w:t>school’ factor for student outcomes</w:t>
      </w:r>
      <w:r w:rsidRPr="00CC7DEC">
        <w:rPr>
          <w:spacing w:val="-4"/>
        </w:rPr>
        <w:t>.</w:t>
      </w:r>
      <w:r w:rsidRPr="00CC7DEC">
        <w:rPr>
          <w:rStyle w:val="FootnoteReference"/>
          <w:spacing w:val="-4"/>
        </w:rPr>
        <w:footnoteReference w:id="13"/>
      </w:r>
      <w:r w:rsidRPr="00CC7DEC">
        <w:rPr>
          <w:spacing w:val="-4"/>
        </w:rPr>
        <w:t xml:space="preserve"> </w:t>
      </w:r>
      <w:r w:rsidRPr="00CC7DEC">
        <w:rPr>
          <w:rStyle w:val="BodyTextChar"/>
          <w:spacing w:val="-4"/>
        </w:rPr>
        <w:t xml:space="preserve">Teacher effectiveness is determined by both teacher quality (the attributes of an individual teacher) and quality teaching (effective teaching practices). A key issue for policy makers, schools and the public generally has been how to improve teacher effectiveness, and given its links to this goal, address teacher shortages (box 1). </w:t>
      </w:r>
    </w:p>
    <w:p w14:paraId="50B57C89" w14:textId="747280BC" w:rsidR="00D17784" w:rsidRDefault="00D17784">
      <w:pPr>
        <w:pStyle w:val="BodyText"/>
      </w:pPr>
      <w:r>
        <w:t xml:space="preserve">Some stakeholders have stressed </w:t>
      </w:r>
      <w:r w:rsidR="00BE59F7">
        <w:t xml:space="preserve">the importance of </w:t>
      </w:r>
      <w:r>
        <w:t xml:space="preserve">attracting ‘the best and brightest’ to teaching, especially school-leavers with high tertiary admissions rankings (ATARs). This is a natural response to concerns that some teaching graduates may </w:t>
      </w:r>
      <w:r w:rsidRPr="00B94476">
        <w:t>lack necessary academic skills.</w:t>
      </w:r>
      <w:r>
        <w:t xml:space="preserve"> However, fewer than one in five students enter ITE on the basis of their ATAR, and there is mixed research on whether </w:t>
      </w:r>
      <w:r w:rsidRPr="004D27A3">
        <w:t xml:space="preserve">high school performance </w:t>
      </w:r>
      <w:r>
        <w:t>is a good predictor of</w:t>
      </w:r>
      <w:r w:rsidRPr="004D27A3">
        <w:t xml:space="preserve"> subsequent teaching performance</w:t>
      </w:r>
      <w:r>
        <w:t>. Requiring minimum ATARs for prospective teachers can also give rise to unintended consequences,</w:t>
      </w:r>
      <w:r w:rsidRPr="00F573AD">
        <w:t xml:space="preserve"> result</w:t>
      </w:r>
      <w:r>
        <w:t>ing</w:t>
      </w:r>
      <w:r w:rsidRPr="00F573AD">
        <w:t xml:space="preserve"> in some potentially good teachers being excluded from ITE courses</w:t>
      </w:r>
      <w:r>
        <w:t xml:space="preserve">, with flow on effects for workforce diversity and shortages. </w:t>
      </w:r>
    </w:p>
    <w:p w14:paraId="5D7785E2" w14:textId="0D2F3B0D" w:rsidR="00D17784" w:rsidRDefault="00D17784">
      <w:pPr>
        <w:pStyle w:val="BodyText"/>
      </w:pPr>
      <w:r>
        <w:t xml:space="preserve">For these reasons, some stakeholders have suggested </w:t>
      </w:r>
      <w:r w:rsidR="004E262E">
        <w:t xml:space="preserve">that </w:t>
      </w:r>
      <w:r>
        <w:t xml:space="preserve">lifting the quality of ITE courses would be more effective than </w:t>
      </w:r>
      <w:r w:rsidRPr="0045530B">
        <w:t>expensive scholarships</w:t>
      </w:r>
      <w:r>
        <w:t xml:space="preserve"> to raise the ‘quality’ of ITE candidates. Improving the quality of ITE courses should be a permanent priority. </w:t>
      </w:r>
      <w:r w:rsidRPr="00AE23D7">
        <w:t xml:space="preserve">But </w:t>
      </w:r>
      <w:r>
        <w:t xml:space="preserve">improving the standard of </w:t>
      </w:r>
      <w:r w:rsidR="00023AD5">
        <w:t>ITE</w:t>
      </w:r>
      <w:r>
        <w:t xml:space="preserve"> will take time to improve the quality of teaching across all Australian schools. Other initiatives could be implemented to support teachers during the critical first three to five years of their career</w:t>
      </w:r>
      <w:r w:rsidR="00830013">
        <w:t>s</w:t>
      </w:r>
      <w:r>
        <w:t xml:space="preserve"> </w:t>
      </w:r>
      <w:r w:rsidRPr="00CC074D">
        <w:t xml:space="preserve">when they face the most challenging adjustments (especially if employed at so-called ‘hard-to-staff’ schools) </w:t>
      </w:r>
      <w:r w:rsidRPr="002C443A">
        <w:t xml:space="preserve">and are at higher risk of early exit from the </w:t>
      </w:r>
      <w:r w:rsidRPr="005E31E6">
        <w:t xml:space="preserve">profession. </w:t>
      </w:r>
      <w:r>
        <w:t>Australia has relatively high use of mentoring for teachers by OECD standards. Nonetheless, e</w:t>
      </w:r>
      <w:r w:rsidRPr="008B0B86">
        <w:t xml:space="preserve">vidence suggests that </w:t>
      </w:r>
      <w:r>
        <w:t>more than one-third of</w:t>
      </w:r>
      <w:r w:rsidRPr="008B0B86">
        <w:t xml:space="preserve"> early career teachers </w:t>
      </w:r>
      <w:r>
        <w:t xml:space="preserve">surveyed, say that they </w:t>
      </w:r>
      <w:r w:rsidRPr="008B0B86">
        <w:t>do not receive induction training and mentoring</w:t>
      </w:r>
      <w:r w:rsidRPr="008B0B86" w:rsidDel="001324B5">
        <w:t>.</w:t>
      </w:r>
      <w:r w:rsidRPr="00AE23D7" w:rsidDel="001324B5">
        <w:t xml:space="preserve"> </w:t>
      </w:r>
      <w:r w:rsidRPr="00501A43">
        <w:t>Th</w:t>
      </w:r>
      <w:r>
        <w:t>e Commission is seeking feedback on whether measures to address this</w:t>
      </w:r>
      <w:r w:rsidRPr="00501A43">
        <w:t xml:space="preserve"> could form the basis for a new </w:t>
      </w:r>
      <w:r w:rsidR="00844EE6">
        <w:t>NPI</w:t>
      </w:r>
      <w:r w:rsidRPr="00501A43">
        <w:t xml:space="preserve"> in the next intergovernmental agreement.</w:t>
      </w:r>
    </w:p>
    <w:p w14:paraId="4D582171" w14:textId="59C95F26" w:rsidR="00D17784" w:rsidRDefault="00CD0C2C">
      <w:pPr>
        <w:pStyle w:val="BodyText"/>
      </w:pPr>
      <w:r>
        <w:t>In addition to supporting new entrants to the profession, f</w:t>
      </w:r>
      <w:r w:rsidR="00D17784" w:rsidRPr="00AE23D7">
        <w:t>ocusing on factors such as teacher workload</w:t>
      </w:r>
      <w:r w:rsidR="00D17784">
        <w:t xml:space="preserve">, </w:t>
      </w:r>
      <w:r w:rsidR="00914164">
        <w:t xml:space="preserve">and </w:t>
      </w:r>
      <w:r w:rsidR="00D17784">
        <w:t xml:space="preserve">developing and sharing best practice, would </w:t>
      </w:r>
      <w:r w:rsidR="00D17784" w:rsidRPr="00383395">
        <w:t xml:space="preserve">target the </w:t>
      </w:r>
      <w:r w:rsidR="002E0782">
        <w:t>around</w:t>
      </w:r>
      <w:r w:rsidR="00D17784" w:rsidRPr="00383395">
        <w:t xml:space="preserve"> 300</w:t>
      </w:r>
      <w:r w:rsidR="00D17784">
        <w:t> </w:t>
      </w:r>
      <w:r w:rsidR="00D17784" w:rsidRPr="00383395">
        <w:t>000 teachers already in the classroom</w:t>
      </w:r>
      <w:r>
        <w:t>.</w:t>
      </w:r>
      <w:r w:rsidR="00D17784">
        <w:t xml:space="preserve"> </w:t>
      </w:r>
      <w:r>
        <w:t>This would</w:t>
      </w:r>
      <w:r w:rsidR="00D17784" w:rsidRPr="00383395">
        <w:t xml:space="preserve"> </w:t>
      </w:r>
      <w:r w:rsidR="00D17784">
        <w:t xml:space="preserve">also </w:t>
      </w:r>
      <w:r w:rsidR="00D17784" w:rsidRPr="00383395">
        <w:t xml:space="preserve">help </w:t>
      </w:r>
      <w:r w:rsidR="00D17784">
        <w:t xml:space="preserve">to </w:t>
      </w:r>
      <w:r w:rsidR="00D17784" w:rsidRPr="00383395">
        <w:t>address teacher shortages</w:t>
      </w:r>
      <w:r>
        <w:t xml:space="preserve"> </w:t>
      </w:r>
      <w:r w:rsidR="00823812" w:rsidRPr="009A449F">
        <w:t>—</w:t>
      </w:r>
      <w:r>
        <w:t xml:space="preserve"> s</w:t>
      </w:r>
      <w:r w:rsidR="00D17784">
        <w:t>ome of t</w:t>
      </w:r>
      <w:r w:rsidR="00D17784" w:rsidRPr="00D053FC">
        <w:t>hese same factors</w:t>
      </w:r>
      <w:r w:rsidR="00D17784" w:rsidRPr="00383395">
        <w:t xml:space="preserve"> </w:t>
      </w:r>
      <w:r w:rsidR="00D17784">
        <w:t xml:space="preserve">weigh heavily in teacher </w:t>
      </w:r>
      <w:r w:rsidR="00D17784" w:rsidRPr="00383395">
        <w:t>attraction and retention</w:t>
      </w:r>
      <w:r w:rsidR="00D17784">
        <w:t xml:space="preserve"> decisions</w:t>
      </w:r>
      <w:r w:rsidR="00D17784" w:rsidRPr="00383395">
        <w:t>.</w:t>
      </w:r>
      <w:r w:rsidR="00D17784" w:rsidRPr="00AA17FC">
        <w:t xml:space="preserve"> </w:t>
      </w:r>
    </w:p>
    <w:p w14:paraId="082093A9" w14:textId="4F050781" w:rsidR="007920A5" w:rsidRPr="00F82BD9" w:rsidRDefault="007920A5" w:rsidP="00C03B32">
      <w:pPr>
        <w:pStyle w:val="NoSpacing"/>
      </w:pPr>
    </w:p>
    <w:tbl>
      <w:tblPr>
        <w:tblStyle w:val="Boxtable"/>
        <w:tblW w:w="5000" w:type="pct"/>
        <w:tblLook w:val="04A0" w:firstRow="1" w:lastRow="0" w:firstColumn="1" w:lastColumn="0" w:noHBand="0" w:noVBand="1"/>
      </w:tblPr>
      <w:tblGrid>
        <w:gridCol w:w="9638"/>
      </w:tblGrid>
      <w:tr w:rsidR="007920A5" w14:paraId="3A0ADE05" w14:textId="77777777" w:rsidTr="00C03B32">
        <w:trPr>
          <w:tblHeader/>
        </w:trPr>
        <w:tc>
          <w:tcPr>
            <w:tcW w:w="9638" w:type="dxa"/>
            <w:tcMar>
              <w:top w:w="170" w:type="dxa"/>
              <w:left w:w="170" w:type="dxa"/>
              <w:bottom w:w="113" w:type="dxa"/>
              <w:right w:w="170" w:type="dxa"/>
            </w:tcMar>
            <w:hideMark/>
          </w:tcPr>
          <w:p w14:paraId="64CD7B95" w14:textId="31AF70EE" w:rsidR="007920A5" w:rsidRDefault="007920A5">
            <w:pPr>
              <w:pStyle w:val="BoxHeading1"/>
            </w:pPr>
            <w:r>
              <w:t xml:space="preserve">Box </w:t>
            </w:r>
            <w:fldSimple w:instr=" SEQ Box \* ARABIC \s 1 ">
              <w:r w:rsidR="00C642E8">
                <w:rPr>
                  <w:noProof/>
                </w:rPr>
                <w:t>1</w:t>
              </w:r>
            </w:fldSimple>
            <w:r>
              <w:t xml:space="preserve"> – </w:t>
            </w:r>
            <w:r w:rsidRPr="00C726D9">
              <w:t>Evidence of teacher and school leader shortages</w:t>
            </w:r>
          </w:p>
        </w:tc>
      </w:tr>
      <w:tr w:rsidR="007920A5" w14:paraId="489D8D90" w14:textId="77777777" w:rsidTr="00C03B32">
        <w:tc>
          <w:tcPr>
            <w:tcW w:w="9638" w:type="dxa"/>
            <w:tcMar>
              <w:top w:w="28" w:type="dxa"/>
              <w:left w:w="170" w:type="dxa"/>
              <w:bottom w:w="170" w:type="dxa"/>
              <w:right w:w="170" w:type="dxa"/>
            </w:tcMar>
            <w:hideMark/>
          </w:tcPr>
          <w:p w14:paraId="30330CB9" w14:textId="77777777" w:rsidR="007920A5" w:rsidRDefault="007920A5" w:rsidP="007920A5">
            <w:pPr>
              <w:pStyle w:val="BodyText"/>
            </w:pPr>
            <w:r>
              <w:t>Gauging the extent of teacher shortages is difficult.</w:t>
            </w:r>
          </w:p>
          <w:p w14:paraId="317BD56C" w14:textId="77777777" w:rsidR="007920A5" w:rsidRDefault="007920A5" w:rsidP="007920A5">
            <w:pPr>
              <w:pStyle w:val="BodyText"/>
            </w:pPr>
            <w:r>
              <w:t>Over the past decade, in the aggregate, the teacher workforce has grown more quickly than the student population, particularly in primary schools, where student-teacher ratios are lower than a decade ago. In secondary schools, student-teacher ratios are relatively unchanged.</w:t>
            </w:r>
          </w:p>
          <w:p w14:paraId="76B75D42" w14:textId="77777777" w:rsidR="007920A5" w:rsidRDefault="007920A5" w:rsidP="007920A5">
            <w:pPr>
              <w:pStyle w:val="BodyText"/>
            </w:pPr>
            <w:r>
              <w:t xml:space="preserve">However, several stakeholders raised concerns about teacher shortages, including that existing shortages had been exacerbated by COVID-19. </w:t>
            </w:r>
          </w:p>
          <w:p w14:paraId="7381A2B0" w14:textId="77777777" w:rsidR="007920A5" w:rsidRDefault="007920A5" w:rsidP="007920A5">
            <w:pPr>
              <w:pStyle w:val="BodyText"/>
            </w:pPr>
            <w:r>
              <w:t>A lack of timely data makes it difficult to assess, but shortages appear concentrated in particular subject areas and locations, or can manifest as a lack of workforce diversity.</w:t>
            </w:r>
          </w:p>
          <w:p w14:paraId="4F4B2190" w14:textId="32662686" w:rsidR="007920A5" w:rsidRDefault="007920A5" w:rsidP="007920A5">
            <w:pPr>
              <w:pStyle w:val="BodyText"/>
            </w:pPr>
            <w:r>
              <w:t>Rates of out-of-field teaching point to significant shortages in secondary subjects such as maths, science, technology and English. In 2018, almost one</w:t>
            </w:r>
            <w:r w:rsidR="00D058DA">
              <w:noBreakHyphen/>
            </w:r>
            <w:r>
              <w:t>quarter of surveyed teachers teaching mathematics had limited or no training in the subject; a trend echoed in science (18 per cent), design and technology (30 per cent), languages other than English (29 per cent) and English (18 per cent).</w:t>
            </w:r>
          </w:p>
          <w:p w14:paraId="1053733F" w14:textId="72940937" w:rsidR="007920A5" w:rsidRDefault="007920A5" w:rsidP="007920A5">
            <w:pPr>
              <w:pStyle w:val="BodyText"/>
            </w:pPr>
            <w:r>
              <w:t>There continue to be longstanding shortages in regional, rural and remote areas. School principals report greater difficulty finding staff and higher rates of out</w:t>
            </w:r>
            <w:r w:rsidR="00D058DA">
              <w:noBreakHyphen/>
            </w:r>
            <w:r>
              <w:t>of</w:t>
            </w:r>
            <w:r w:rsidR="00D058DA">
              <w:noBreakHyphen/>
            </w:r>
            <w:r>
              <w:t xml:space="preserve">field teaching. </w:t>
            </w:r>
          </w:p>
          <w:p w14:paraId="6C78FADF" w14:textId="77777777" w:rsidR="007920A5" w:rsidRDefault="007920A5" w:rsidP="007920A5">
            <w:pPr>
              <w:pStyle w:val="BodyText"/>
            </w:pPr>
            <w:r>
              <w:t>There is also a shortage of teachers qualified to teach particular student cohorts. For example, close to one-third of teachers who teach special education have no specialised training. Shortages can also result in a lack of workforce diversity; for example, Aboriginal and Torres Strait Islander teachers are underrepresented in schools, making up only 3 per cent of the Australian teaching workforce.</w:t>
            </w:r>
          </w:p>
          <w:p w14:paraId="783D25AF" w14:textId="77777777" w:rsidR="007920A5" w:rsidRDefault="007920A5" w:rsidP="007920A5">
            <w:pPr>
              <w:pStyle w:val="BodyText"/>
            </w:pPr>
            <w:r>
              <w:t xml:space="preserve">Some stakeholders suggested that many of the factors that have contributed to localised shortages will likely continue over time. These include growing school enrolments, a drop in the number of people enrolling in teaching degrees, and an ageing workforce. But gauging the extent of future shortages is also difficult. Estimates of future shortages are contingent on assumptions, including about how teachers are deployed across tasks and schools, rates of teacher attrition, and the ratio of students to teachers. Estimates of shortages are particularly sensitive to the latter. </w:t>
            </w:r>
          </w:p>
          <w:p w14:paraId="45E04AAC" w14:textId="5CDBA156" w:rsidR="007920A5" w:rsidRDefault="007920A5" w:rsidP="007920A5">
            <w:pPr>
              <w:pStyle w:val="BodyText"/>
            </w:pPr>
            <w:r>
              <w:t>With the pipeline of school leaders largely drawn from the teaching workforce, some worry that ‘[t]oday’s teacher crisis will be tomorrow’s leadership crisis’ (Grant 2022). In some areas, pressures are already evident, with stakeholders pointing to challenges attracting and retaining school leaders in regional, rural and remote areas.</w:t>
            </w:r>
          </w:p>
        </w:tc>
      </w:tr>
      <w:tr w:rsidR="007920A5" w14:paraId="1AE632A5" w14:textId="77777777" w:rsidTr="00C03B32">
        <w:trPr>
          <w:hidden/>
        </w:trPr>
        <w:tc>
          <w:tcPr>
            <w:tcW w:w="9638" w:type="dxa"/>
            <w:shd w:val="clear" w:color="auto" w:fill="auto"/>
            <w:tcMar>
              <w:top w:w="0" w:type="dxa"/>
              <w:left w:w="170" w:type="dxa"/>
              <w:bottom w:w="0" w:type="dxa"/>
              <w:right w:w="170" w:type="dxa"/>
            </w:tcMar>
          </w:tcPr>
          <w:p w14:paraId="5F4CA86C" w14:textId="4AFF02D1" w:rsidR="007920A5" w:rsidRPr="00465191" w:rsidRDefault="007920A5">
            <w:pPr>
              <w:pStyle w:val="BodyText"/>
              <w:spacing w:before="0" w:after="0" w:line="80" w:lineRule="atLeast"/>
              <w:rPr>
                <w:smallCaps/>
                <w:vanish/>
              </w:rPr>
            </w:pPr>
          </w:p>
        </w:tc>
      </w:tr>
    </w:tbl>
    <w:p w14:paraId="2A277F8E" w14:textId="61E58203" w:rsidR="00D17784" w:rsidRPr="007B687A" w:rsidRDefault="00D17784" w:rsidP="00F453BC">
      <w:pPr>
        <w:pStyle w:val="Heading5"/>
      </w:pPr>
      <w:r w:rsidRPr="007E519B">
        <w:t>Teachers are shouldering more workload</w:t>
      </w:r>
    </w:p>
    <w:p w14:paraId="6A0D2BD6" w14:textId="746A5DAC" w:rsidR="005C5AB9" w:rsidRDefault="005C5AB9" w:rsidP="005C5AB9">
      <w:r w:rsidRPr="00531AB8">
        <w:rPr>
          <w:rStyle w:val="BodyTextChar"/>
        </w:rPr>
        <w:t xml:space="preserve">Teachers’ workload is high and increasing. </w:t>
      </w:r>
      <w:r w:rsidRPr="00531AB8" w:rsidDel="0011733B">
        <w:rPr>
          <w:rStyle w:val="BodyTextChar"/>
        </w:rPr>
        <w:t>Teachers typically spend most of their time on teaching, lesson planning, marking and general admin</w:t>
      </w:r>
      <w:r w:rsidR="00410D90">
        <w:rPr>
          <w:rStyle w:val="BodyTextChar"/>
        </w:rPr>
        <w:t>istration</w:t>
      </w:r>
      <w:r w:rsidRPr="00531AB8" w:rsidDel="0011733B">
        <w:rPr>
          <w:rStyle w:val="BodyTextChar"/>
        </w:rPr>
        <w:t xml:space="preserve"> (figure 3). </w:t>
      </w:r>
      <w:r>
        <w:t>The most recent domestic surveys suggest that full</w:t>
      </w:r>
      <w:r>
        <w:noBreakHyphen/>
        <w:t xml:space="preserve">time teachers work between 44 to 57 hours </w:t>
      </w:r>
      <w:r w:rsidR="00A14081">
        <w:t xml:space="preserve">a week </w:t>
      </w:r>
      <w:r>
        <w:t xml:space="preserve">during term time. </w:t>
      </w:r>
      <w:r w:rsidRPr="00BC6231">
        <w:rPr>
          <w:rStyle w:val="BodyTextChar"/>
        </w:rPr>
        <w:t>Reported</w:t>
      </w:r>
      <w:r w:rsidRPr="00531AB8">
        <w:rPr>
          <w:rStyle w:val="BodyTextChar"/>
        </w:rPr>
        <w:t xml:space="preserve"> working hours are similar for primary and secondary teachers, and early career teachers, and even higher for Aboriginal and Torres Strait Islander teachers. International measures suggest </w:t>
      </w:r>
      <w:r>
        <w:rPr>
          <w:rStyle w:val="BodyTextChar"/>
        </w:rPr>
        <w:t xml:space="preserve">secondary </w:t>
      </w:r>
      <w:r w:rsidRPr="00531AB8">
        <w:rPr>
          <w:rStyle w:val="BodyTextChar"/>
        </w:rPr>
        <w:t>teacher hours are rising, up from about 43 hours in 2013 to 45 hours in 2018. Teachers typically spend most of their time on teaching, lesson planning, marking and general admin</w:t>
      </w:r>
      <w:r w:rsidR="0041612B">
        <w:rPr>
          <w:rStyle w:val="BodyTextChar"/>
        </w:rPr>
        <w:t>istration</w:t>
      </w:r>
      <w:r w:rsidRPr="00531AB8">
        <w:rPr>
          <w:rStyle w:val="BodyTextChar"/>
        </w:rPr>
        <w:t xml:space="preserve"> (figure 3).</w:t>
      </w:r>
    </w:p>
    <w:p w14:paraId="08AACCBB" w14:textId="66517614" w:rsidR="00D17784" w:rsidRPr="00146382" w:rsidRDefault="00D17784">
      <w:pPr>
        <w:pStyle w:val="FigureTableHeading"/>
      </w:pPr>
      <w:r>
        <w:t xml:space="preserve">Figure </w:t>
      </w:r>
      <w:r>
        <w:fldChar w:fldCharType="begin"/>
      </w:r>
      <w:r>
        <w:instrText>SEQ Figure \* ARABIC \s 1</w:instrText>
      </w:r>
      <w:r>
        <w:fldChar w:fldCharType="separate"/>
      </w:r>
      <w:r w:rsidR="00C642E8">
        <w:rPr>
          <w:noProof/>
        </w:rPr>
        <w:t>3</w:t>
      </w:r>
      <w:r>
        <w:fldChar w:fldCharType="end"/>
      </w:r>
      <w:r>
        <w:rPr>
          <w:noProof/>
        </w:rPr>
        <w:t xml:space="preserve"> </w:t>
      </w:r>
      <w:r>
        <w:t xml:space="preserve">– Teachers typically spend most of their time teaching, lesson planning, marking </w:t>
      </w:r>
      <w:r w:rsidR="000B14BB">
        <w:t>and</w:t>
      </w:r>
      <w:r>
        <w:t xml:space="preserve"> on general admin</w:t>
      </w:r>
      <w:r w:rsidR="00134D48">
        <w:t>istration</w:t>
      </w:r>
      <w:r w:rsidRPr="00002D5C">
        <w:rPr>
          <w:b/>
          <w:szCs w:val="20"/>
          <w:vertAlign w:val="superscript"/>
        </w:rPr>
        <w:t>a</w:t>
      </w:r>
    </w:p>
    <w:p w14:paraId="1B7CE838" w14:textId="77777777" w:rsidR="00D17784" w:rsidRPr="0017762A" w:rsidRDefault="00D17784">
      <w:pPr>
        <w:pStyle w:val="FigureTableSubheading"/>
        <w:keepLines/>
        <w:rPr>
          <w:spacing w:val="-4"/>
        </w:rPr>
      </w:pPr>
      <w:r w:rsidRPr="0017762A">
        <w:rPr>
          <w:spacing w:val="-4"/>
        </w:rPr>
        <w:t>Average proportion of weekly hours spent on teaching tasks by full-time teachers in 2018</w:t>
      </w:r>
    </w:p>
    <w:p w14:paraId="21E56E5C" w14:textId="2935FE33" w:rsidR="00D17784" w:rsidRDefault="00D17784" w:rsidP="007920A5">
      <w:pPr>
        <w:pStyle w:val="BodyText"/>
      </w:pPr>
      <w:r w:rsidRPr="00D110A6">
        <w:rPr>
          <w:noProof/>
        </w:rPr>
        <w:drawing>
          <wp:inline distT="0" distB="0" distL="0" distR="0" wp14:anchorId="4CF851C0" wp14:editId="24EE6646">
            <wp:extent cx="6120130" cy="2623820"/>
            <wp:effectExtent l="0" t="0" r="0" b="0"/>
            <wp:docPr id="23" name="Picture 23" descr="Figure 3 – this figure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3 – this figure shows the average proportion of weekly hours spent on teaching tasks by full-time teachers surveyed from New South Wales, Northern Territory and South Australia in 2018. The breakdown of tasks includes:&#10;• 40 per cent face-to-face teaching&#10;• 15 per cent planning or preparation of lessons&#10;• 10 per cent marking/assessing student work&#10;• 9 per cent general admin&#10;• 9 per cent student supervision and counselling&#10;• 7 per cent other teamwork and dialogue with colleagues&#10;• 4 per cent communication with parents or carers&#10;•  4 per cent engaging in extracurricular activities.&#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2623820"/>
                    </a:xfrm>
                    <a:prstGeom prst="rect">
                      <a:avLst/>
                    </a:prstGeom>
                    <a:noFill/>
                    <a:ln>
                      <a:noFill/>
                    </a:ln>
                  </pic:spPr>
                </pic:pic>
              </a:graphicData>
            </a:graphic>
          </wp:inline>
        </w:drawing>
      </w:r>
    </w:p>
    <w:p w14:paraId="79C773DE" w14:textId="61AD5DD9" w:rsidR="00D17784" w:rsidRPr="005D3B36" w:rsidRDefault="00D17784" w:rsidP="005D3B36">
      <w:pPr>
        <w:pStyle w:val="Note"/>
      </w:pPr>
      <w:r w:rsidRPr="00EF4FDA">
        <w:rPr>
          <w:b/>
          <w:bCs/>
        </w:rPr>
        <w:t>a</w:t>
      </w:r>
      <w:r w:rsidRPr="005D3B36">
        <w:t xml:space="preserve">. </w:t>
      </w:r>
      <w:r w:rsidR="00591A39">
        <w:t xml:space="preserve">Based on a survey of teachers from </w:t>
      </w:r>
      <w:r w:rsidRPr="005D3B36">
        <w:t>New South Wales, Northern Territory and South Australia</w:t>
      </w:r>
      <w:r w:rsidR="00591A39">
        <w:t xml:space="preserve"> in 2018</w:t>
      </w:r>
      <w:r w:rsidRPr="005D3B36">
        <w:t xml:space="preserve">. The </w:t>
      </w:r>
      <w:r w:rsidR="00591A39">
        <w:t>s</w:t>
      </w:r>
      <w:r w:rsidR="00591A39" w:rsidRPr="005D3B36">
        <w:t>ample of survey respondents varies by task</w:t>
      </w:r>
      <w:r w:rsidR="00591A39">
        <w:t>. The</w:t>
      </w:r>
      <w:r w:rsidR="00591A39" w:rsidRPr="005D3B36">
        <w:t xml:space="preserve"> </w:t>
      </w:r>
      <w:r w:rsidRPr="005D3B36">
        <w:t>sample was not sufficient to consider part-time work under 16 hours a week. Only includes full-time school teachers.</w:t>
      </w:r>
      <w:r w:rsidR="00591A39" w:rsidRPr="00591A39">
        <w:t xml:space="preserve"> </w:t>
      </w:r>
    </w:p>
    <w:p w14:paraId="73B5118B" w14:textId="64B1C0B1" w:rsidR="00D17784" w:rsidRDefault="00D17784">
      <w:pPr>
        <w:pStyle w:val="Source"/>
      </w:pPr>
      <w:r w:rsidRPr="00696447">
        <w:t xml:space="preserve">Source: </w:t>
      </w:r>
      <w:r>
        <w:t xml:space="preserve">Commission analysis based on AITSL </w:t>
      </w:r>
      <w:r w:rsidR="00643EB2" w:rsidRPr="00643EB2">
        <w:rPr>
          <w:rFonts w:ascii="Arial" w:hAnsi="Arial" w:cs="Arial"/>
          <w:szCs w:val="24"/>
        </w:rPr>
        <w:t>(2021a, pp. 67–70)</w:t>
      </w:r>
      <w:r w:rsidRPr="00696447">
        <w:t>.</w:t>
      </w:r>
    </w:p>
    <w:p w14:paraId="046EF21E" w14:textId="1957FC03" w:rsidR="00D17784" w:rsidRDefault="00D17784">
      <w:pPr>
        <w:pStyle w:val="BodyText"/>
      </w:pPr>
      <w:r w:rsidRPr="00147155">
        <w:rPr>
          <w:rStyle w:val="BodyTextChar"/>
        </w:rPr>
        <w:t>Reducing</w:t>
      </w:r>
      <w:r w:rsidRPr="00147155" w:rsidDel="00F87E6B">
        <w:rPr>
          <w:rStyle w:val="BodyTextChar"/>
        </w:rPr>
        <w:t xml:space="preserve"> </w:t>
      </w:r>
      <w:r w:rsidRPr="00147155">
        <w:rPr>
          <w:rStyle w:val="BodyTextChar"/>
        </w:rPr>
        <w:t>teacher workloads would not only improve teacher effectiveness — by increasing the time teachers have to prepare for lessons and undertake professional development — it would help reduce shortages. High workload is the main factor behind teachers’ intention to leave the profession (figure 4).</w:t>
      </w:r>
      <w:r>
        <w:rPr>
          <w:rStyle w:val="FootnoteReference"/>
        </w:rPr>
        <w:footnoteReference w:id="14"/>
      </w:r>
      <w:r>
        <w:t xml:space="preserve"> More manageable workloads might also encourage former teachers to return to the profession </w:t>
      </w:r>
      <w:r>
        <w:rPr>
          <w:rFonts w:cstheme="minorHAnsi"/>
        </w:rPr>
        <w:t>—</w:t>
      </w:r>
      <w:r>
        <w:t xml:space="preserve"> survey estimates suggest that 11 </w:t>
      </w:r>
      <w:r w:rsidRPr="00FF1A27">
        <w:t>per</w:t>
      </w:r>
      <w:r>
        <w:t> </w:t>
      </w:r>
      <w:r w:rsidRPr="00FF1A27">
        <w:t>cent</w:t>
      </w:r>
      <w:r>
        <w:t xml:space="preserve"> of </w:t>
      </w:r>
      <w:r w:rsidRPr="00FF1A27">
        <w:t xml:space="preserve">registered teachers </w:t>
      </w:r>
      <w:r>
        <w:t xml:space="preserve">are </w:t>
      </w:r>
      <w:r w:rsidRPr="00FF1A27">
        <w:t>not working in education</w:t>
      </w:r>
      <w:r>
        <w:t xml:space="preserve">, </w:t>
      </w:r>
      <w:r w:rsidR="006704D7">
        <w:t xml:space="preserve">although </w:t>
      </w:r>
      <w:r>
        <w:t>teacher registration data in some jurisdictions point to a much larger number.</w:t>
      </w:r>
    </w:p>
    <w:p w14:paraId="2F4B1CAD" w14:textId="77777777" w:rsidR="00D17784" w:rsidRPr="00CC7DEC" w:rsidRDefault="00D17784">
      <w:pPr>
        <w:pStyle w:val="BodyText"/>
        <w:rPr>
          <w:rFonts w:ascii="Arial" w:hAnsi="Arial"/>
          <w:spacing w:val="-4"/>
        </w:rPr>
      </w:pPr>
      <w:r w:rsidRPr="00CC7DEC">
        <w:rPr>
          <w:rStyle w:val="normaltextrun"/>
          <w:rFonts w:ascii="Arial" w:hAnsi="Arial" w:cs="Arial"/>
          <w:color w:val="000000"/>
          <w:spacing w:val="-4"/>
          <w:shd w:val="clear" w:color="auto" w:fill="FFFFFF"/>
        </w:rPr>
        <w:t xml:space="preserve">About two-thirds of Australian principals also cite </w:t>
      </w:r>
      <w:r w:rsidRPr="00CC7DEC">
        <w:rPr>
          <w:rFonts w:ascii="Arial" w:hAnsi="Arial"/>
          <w:spacing w:val="-4"/>
        </w:rPr>
        <w:t xml:space="preserve">heavy workload (along with ‘level of responsibility’ in their job) as a factor limiting their effectiveness, with recent surveys suggesting that they work just over 61 hours per week. </w:t>
      </w:r>
    </w:p>
    <w:p w14:paraId="6F97E007" w14:textId="02FF75CE" w:rsidR="00D17784" w:rsidRPr="00146382" w:rsidRDefault="00D17784">
      <w:pPr>
        <w:pStyle w:val="FigureTableHeading"/>
      </w:pPr>
      <w:r>
        <w:t xml:space="preserve">Figure </w:t>
      </w:r>
      <w:r>
        <w:fldChar w:fldCharType="begin"/>
      </w:r>
      <w:r>
        <w:instrText>SEQ Figure \* ARABIC \s 1</w:instrText>
      </w:r>
      <w:r>
        <w:fldChar w:fldCharType="separate"/>
      </w:r>
      <w:r w:rsidR="00C642E8">
        <w:rPr>
          <w:noProof/>
        </w:rPr>
        <w:t>4</w:t>
      </w:r>
      <w:r>
        <w:fldChar w:fldCharType="end"/>
      </w:r>
      <w:r>
        <w:t xml:space="preserve"> – </w:t>
      </w:r>
      <w:r w:rsidRPr="005E3FC0">
        <w:rPr>
          <w:lang w:eastAsia="en-AU"/>
        </w:rPr>
        <w:t>Reasons for considering leaving</w:t>
      </w:r>
      <w:r w:rsidRPr="00002D5C">
        <w:rPr>
          <w:rFonts w:asciiTheme="minorHAnsi" w:hAnsiTheme="minorHAnsi" w:cstheme="minorHAnsi"/>
          <w:b/>
          <w:szCs w:val="20"/>
          <w:vertAlign w:val="superscript"/>
          <w:lang w:eastAsia="en-AU"/>
        </w:rPr>
        <w:t>a</w:t>
      </w:r>
    </w:p>
    <w:p w14:paraId="307A5BD0" w14:textId="77777777" w:rsidR="00D17784" w:rsidRPr="005E3FC0" w:rsidRDefault="00D17784">
      <w:pPr>
        <w:spacing w:before="0" w:after="0" w:line="240" w:lineRule="auto"/>
        <w:textAlignment w:val="baseline"/>
        <w:rPr>
          <w:rFonts w:ascii="Segoe UI" w:eastAsia="Times New Roman" w:hAnsi="Segoe UI" w:cs="Segoe UI"/>
          <w:sz w:val="18"/>
          <w:szCs w:val="18"/>
          <w:lang w:eastAsia="en-AU"/>
        </w:rPr>
      </w:pPr>
      <w:r w:rsidRPr="005447CA">
        <w:rPr>
          <w:rFonts w:ascii="Segoe UI" w:eastAsia="Times New Roman" w:hAnsi="Segoe UI" w:cs="Segoe UI"/>
          <w:noProof/>
          <w:sz w:val="18"/>
          <w:szCs w:val="18"/>
          <w:lang w:eastAsia="en-AU"/>
        </w:rPr>
        <w:drawing>
          <wp:inline distT="0" distB="0" distL="0" distR="0" wp14:anchorId="59198918" wp14:editId="71EB528C">
            <wp:extent cx="6120130" cy="4531995"/>
            <wp:effectExtent l="0" t="0" r="0" b="1905"/>
            <wp:docPr id="11" name="Graphic 11" descr="Figure 4 – this figure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the demands of professional regulation (for example, professional learning or practice) are too heavy’ (52 per cent of the teacher workforce) &#10;• changes imposed on schools from outside (for example, from government)’ (50 per cent of the teacher workfor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phic 11" descr="Figure 4 – this figure shows the percentage of the teacher workforce who indicated an intention to leave teaching before retirement of 3216 survey respondents from New South Wales, Northern Territory and South Australia in 2018. It shows that the five most common reasons for intending to leave across the teacher workforce surveyed were:&#10;• the workload is too heavy (71 per cent of the teacher workforce) &#10;• to achieve a better work/life balance (68 per cent of the teacher workforce)&#10;• I am finding it too stressful/impacting my wellbeing or mental health (61 per cent of the teacher workforce) &#10;• the demands of professional regulation (for example, professional learning or practice) are too heavy’ (52 per cent of the teacher workforce) &#10;• changes imposed on schools from outside (for example, from government)’ (50 per cent of the teacher workforce).&#10;"/>
                    <pic:cNvPicPr/>
                  </pic:nvPicPr>
                  <pic:blipFill>
                    <a:blip r:embed="rId35">
                      <a:extLst>
                        <a:ext uri="{96DAC541-7B7A-43D3-8B79-37D633B846F1}">
                          <asvg:svgBlip xmlns:asvg="http://schemas.microsoft.com/office/drawing/2016/SVG/main" r:embed="rId36"/>
                        </a:ext>
                      </a:extLst>
                    </a:blip>
                    <a:stretch>
                      <a:fillRect/>
                    </a:stretch>
                  </pic:blipFill>
                  <pic:spPr>
                    <a:xfrm>
                      <a:off x="0" y="0"/>
                      <a:ext cx="6120130" cy="4531995"/>
                    </a:xfrm>
                    <a:prstGeom prst="rect">
                      <a:avLst/>
                    </a:prstGeom>
                  </pic:spPr>
                </pic:pic>
              </a:graphicData>
            </a:graphic>
          </wp:inline>
        </w:drawing>
      </w:r>
    </w:p>
    <w:p w14:paraId="61210A5C" w14:textId="5BC6C856" w:rsidR="00D17784" w:rsidRPr="005D3B36" w:rsidRDefault="00D17784" w:rsidP="005D3B36">
      <w:pPr>
        <w:pStyle w:val="Note"/>
      </w:pPr>
      <w:r w:rsidRPr="00002D5C">
        <w:rPr>
          <w:b/>
          <w:bCs/>
        </w:rPr>
        <w:t>a.</w:t>
      </w:r>
      <w:r w:rsidRPr="005D3B36">
        <w:t xml:space="preserve"> 3 216 survey respondents</w:t>
      </w:r>
      <w:r w:rsidR="00BC0679" w:rsidRPr="005D3B36">
        <w:t xml:space="preserve"> from New South Wales, Northern Territory and South Australia</w:t>
      </w:r>
      <w:r w:rsidRPr="005D3B36">
        <w:t>.  </w:t>
      </w:r>
    </w:p>
    <w:p w14:paraId="4B97566B" w14:textId="77777777" w:rsidR="00D17784" w:rsidRPr="00DE0DC8" w:rsidRDefault="00D17784">
      <w:pPr>
        <w:pStyle w:val="Source"/>
        <w:rPr>
          <w:rFonts w:ascii="Segoe UI" w:hAnsi="Segoe UI" w:cs="Segoe UI"/>
          <w:lang w:eastAsia="en-AU"/>
        </w:rPr>
      </w:pPr>
      <w:r w:rsidRPr="005E3FC0">
        <w:rPr>
          <w:lang w:eastAsia="en-AU"/>
        </w:rPr>
        <w:t xml:space="preserve">Source: </w:t>
      </w:r>
      <w:r w:rsidRPr="0079335F">
        <w:rPr>
          <w:lang w:eastAsia="en-AU"/>
        </w:rPr>
        <w:t xml:space="preserve">AITSL </w:t>
      </w:r>
      <w:r w:rsidRPr="0079335F">
        <w:rPr>
          <w:rFonts w:eastAsia="Times New Roman" w:cs="Arial"/>
          <w:color w:val="000000"/>
          <w:szCs w:val="18"/>
          <w:lang w:eastAsia="en-AU"/>
        </w:rPr>
        <w:t>(2021c, p. 108)</w:t>
      </w:r>
      <w:r w:rsidRPr="0079335F">
        <w:rPr>
          <w:lang w:eastAsia="en-AU"/>
        </w:rPr>
        <w:t>.</w:t>
      </w:r>
      <w:r w:rsidRPr="005E3FC0">
        <w:rPr>
          <w:lang w:eastAsia="en-AU"/>
        </w:rPr>
        <w:t> </w:t>
      </w:r>
    </w:p>
    <w:p w14:paraId="07DB2F66" w14:textId="77777777" w:rsidR="00D17784" w:rsidRPr="000926C7" w:rsidRDefault="00D17784" w:rsidP="00F453BC">
      <w:pPr>
        <w:pStyle w:val="Heading5"/>
      </w:pPr>
      <w:r w:rsidRPr="000926C7">
        <w:t xml:space="preserve">Reducing </w:t>
      </w:r>
      <w:r>
        <w:t>low-value</w:t>
      </w:r>
      <w:r w:rsidRPr="000926C7">
        <w:t xml:space="preserve"> tasks </w:t>
      </w:r>
      <w:r>
        <w:t xml:space="preserve">and effectively deploying teachers’ assistants </w:t>
      </w:r>
      <w:r w:rsidRPr="000926C7">
        <w:t>could help ease the burden</w:t>
      </w:r>
    </w:p>
    <w:p w14:paraId="7EB61E70" w14:textId="4AC34C19" w:rsidR="00D17784" w:rsidRPr="009346F3" w:rsidRDefault="00D17784">
      <w:pPr>
        <w:pStyle w:val="BodyText"/>
        <w:rPr>
          <w:spacing w:val="-2"/>
        </w:rPr>
      </w:pPr>
      <w:r w:rsidRPr="009346F3">
        <w:rPr>
          <w:spacing w:val="-2"/>
        </w:rPr>
        <w:t xml:space="preserve">While, on average, Australian teachers work more hours than their international counterparts, they spend less time teaching, both in </w:t>
      </w:r>
      <w:r w:rsidR="003F30B2" w:rsidRPr="009346F3">
        <w:rPr>
          <w:spacing w:val="-2"/>
        </w:rPr>
        <w:t xml:space="preserve">terms of </w:t>
      </w:r>
      <w:r w:rsidRPr="009346F3">
        <w:rPr>
          <w:spacing w:val="-2"/>
        </w:rPr>
        <w:t>absolute hours and as a proportion of their working week. Instead, they spend more time on general administration, such as communication, paperwork and other clerical duties. At just over 5 hours a week, this is the fifth highest number of hours in the OECD. Principals spend an even greater share of their time (more than one</w:t>
      </w:r>
      <w:r w:rsidR="00690077" w:rsidRPr="009346F3">
        <w:rPr>
          <w:spacing w:val="-2"/>
        </w:rPr>
        <w:noBreakHyphen/>
      </w:r>
      <w:r w:rsidRPr="009346F3">
        <w:rPr>
          <w:spacing w:val="-2"/>
        </w:rPr>
        <w:t>third of their worked hours) dealing with administrative matters, along with leadership tasks and meetings, while just 5 per cent is spent on professional learning for school staff.</w:t>
      </w:r>
    </w:p>
    <w:p w14:paraId="2BBAAC58" w14:textId="1EB5C69B" w:rsidR="00D17784" w:rsidRPr="007920A5" w:rsidRDefault="00D17784">
      <w:pPr>
        <w:pStyle w:val="BodyText"/>
        <w:rPr>
          <w:spacing w:val="-2"/>
          <w:highlight w:val="yellow"/>
        </w:rPr>
      </w:pPr>
      <w:r w:rsidRPr="007920A5">
        <w:rPr>
          <w:spacing w:val="-2"/>
        </w:rPr>
        <w:t>At the same time that teacher (and principal) workload is increasing, the number of teaching assistants and other support staff has grown to just over 129 000 in 2021. The remit</w:t>
      </w:r>
      <w:r w:rsidR="004B4C8C">
        <w:rPr>
          <w:spacing w:val="-2"/>
        </w:rPr>
        <w:t xml:space="preserve"> of </w:t>
      </w:r>
      <w:r w:rsidR="004B4C8C" w:rsidRPr="007920A5">
        <w:rPr>
          <w:spacing w:val="-2"/>
        </w:rPr>
        <w:t>teaching assistants</w:t>
      </w:r>
      <w:r w:rsidRPr="007920A5">
        <w:rPr>
          <w:spacing w:val="-2"/>
        </w:rPr>
        <w:t xml:space="preserve"> is broad </w:t>
      </w:r>
      <w:r w:rsidRPr="007920A5">
        <w:rPr>
          <w:rFonts w:cstheme="minorHAnsi"/>
          <w:spacing w:val="-2"/>
        </w:rPr>
        <w:t>—</w:t>
      </w:r>
      <w:r w:rsidRPr="007920A5">
        <w:rPr>
          <w:spacing w:val="-2"/>
        </w:rPr>
        <w:t xml:space="preserve"> working under the direction of teachers to support students (especially those with special needs) and helping with day-to-day running of the classroom, including administrative tasks. When</w:t>
      </w:r>
      <w:r w:rsidRPr="007920A5" w:rsidDel="006332F3">
        <w:rPr>
          <w:spacing w:val="-2"/>
        </w:rPr>
        <w:t xml:space="preserve"> </w:t>
      </w:r>
      <w:r w:rsidRPr="007920A5">
        <w:rPr>
          <w:spacing w:val="-2"/>
        </w:rPr>
        <w:t>used effectively and supported well, teaching assistants can make a difference to the learning outcomes of students, but it is unclear how they are being deployed.</w:t>
      </w:r>
    </w:p>
    <w:p w14:paraId="337276F9" w14:textId="70F2BE9D" w:rsidR="00D17784" w:rsidRDefault="00D17784">
      <w:pPr>
        <w:pStyle w:val="BodyText"/>
      </w:pPr>
      <w:r w:rsidRPr="00501A43">
        <w:t xml:space="preserve">Most jurisdictions, systems and sectors in Australia have some process underway to reduce the </w:t>
      </w:r>
      <w:r>
        <w:t xml:space="preserve">administrative </w:t>
      </w:r>
      <w:r w:rsidRPr="00501A43">
        <w:t>compliance impact in their schools</w:t>
      </w:r>
      <w:r>
        <w:t>. A</w:t>
      </w:r>
      <w:r w:rsidRPr="00501A43">
        <w:t xml:space="preserve">nd Education Ministers recently agreed that jurisdictions and non-government systems would </w:t>
      </w:r>
      <w:r>
        <w:t>‘</w:t>
      </w:r>
      <w:r w:rsidRPr="00501A43">
        <w:t>provide information on actions they are taking</w:t>
      </w:r>
      <w:r>
        <w:t>’</w:t>
      </w:r>
      <w:r w:rsidRPr="00501A43">
        <w:t xml:space="preserve"> to free teachers up to focus on planning, collaborating and teaching</w:t>
      </w:r>
      <w:r w:rsidR="00DE7E0D">
        <w:t xml:space="preserve"> (2022, p. 3)</w:t>
      </w:r>
      <w:r w:rsidRPr="00501A43">
        <w:t xml:space="preserve">. </w:t>
      </w:r>
    </w:p>
    <w:p w14:paraId="494B017A" w14:textId="21645340" w:rsidR="00D17784" w:rsidRPr="00D42ADB" w:rsidRDefault="00D17784">
      <w:pPr>
        <w:pStyle w:val="BodyText"/>
      </w:pPr>
      <w:r w:rsidRPr="00501A43">
        <w:t xml:space="preserve">But more concerted efforts are required. There is a strong case for the </w:t>
      </w:r>
      <w:r w:rsidR="007F07BD">
        <w:t>Australian</w:t>
      </w:r>
      <w:r w:rsidRPr="00501A43">
        <w:t xml:space="preserve">, </w:t>
      </w:r>
      <w:r w:rsidR="007F07BD">
        <w:t>S</w:t>
      </w:r>
      <w:r w:rsidRPr="00501A43">
        <w:t xml:space="preserve">tate and </w:t>
      </w:r>
      <w:r w:rsidR="007F07BD">
        <w:t>T</w:t>
      </w:r>
      <w:r w:rsidRPr="00501A43">
        <w:t xml:space="preserve">erritory </w:t>
      </w:r>
      <w:r w:rsidR="007F07BD">
        <w:t>G</w:t>
      </w:r>
      <w:r w:rsidRPr="00501A43">
        <w:t>overnments, in consultation with teachers and school leaders, to</w:t>
      </w:r>
      <w:r>
        <w:t xml:space="preserve"> </w:t>
      </w:r>
      <w:r w:rsidRPr="00501A43">
        <w:t>reduce low-value tasks</w:t>
      </w:r>
      <w:r>
        <w:t>, and find ways to more effectively use teaching assistants</w:t>
      </w:r>
      <w:r w:rsidRPr="00501A43">
        <w:t>. Th</w:t>
      </w:r>
      <w:r>
        <w:t>e Commission is seeking feedback on whether this</w:t>
      </w:r>
      <w:r w:rsidRPr="00501A43">
        <w:t xml:space="preserve"> could form the basis for a new </w:t>
      </w:r>
      <w:r w:rsidR="001F491D">
        <w:t>NPI</w:t>
      </w:r>
      <w:r w:rsidRPr="00501A43">
        <w:t xml:space="preserve"> in the next intergovernmental agreement.</w:t>
      </w:r>
    </w:p>
    <w:p w14:paraId="5D84890C" w14:textId="77777777" w:rsidR="00D17784" w:rsidRPr="003A2159" w:rsidRDefault="00D17784" w:rsidP="00F453BC">
      <w:pPr>
        <w:pStyle w:val="Heading5"/>
      </w:pPr>
      <w:r>
        <w:t xml:space="preserve">Fostering </w:t>
      </w:r>
      <w:r w:rsidRPr="003A2159">
        <w:t>expertise</w:t>
      </w:r>
      <w:r>
        <w:t xml:space="preserve"> would improve teaching</w:t>
      </w:r>
    </w:p>
    <w:p w14:paraId="408A887F" w14:textId="470CB7C0" w:rsidR="00D17784" w:rsidRDefault="00D17784">
      <w:pPr>
        <w:pStyle w:val="BodyText"/>
      </w:pPr>
      <w:r w:rsidRPr="00DE1E6C">
        <w:t xml:space="preserve">AERO </w:t>
      </w:r>
      <w:r>
        <w:t xml:space="preserve">has </w:t>
      </w:r>
      <w:r w:rsidRPr="00DE1E6C">
        <w:t>observed</w:t>
      </w:r>
      <w:r>
        <w:t xml:space="preserve"> that</w:t>
      </w:r>
      <w:r w:rsidRPr="00DE1E6C">
        <w:t xml:space="preserve"> ‘</w:t>
      </w:r>
      <w:r>
        <w:t>w</w:t>
      </w:r>
      <w:r w:rsidRPr="00DE1E6C">
        <w:t>e are not effectively utilising our best teachers</w:t>
      </w:r>
      <w:r>
        <w:t xml:space="preserve"> </w:t>
      </w:r>
      <w:r w:rsidRPr="00DE1E6C">
        <w:t xml:space="preserve">… our existing teacher career paths do not systematically build, recognise and deploy teaching expertise </w:t>
      </w:r>
      <w:r w:rsidR="00E42ED7">
        <w:t>…</w:t>
      </w:r>
      <w:r w:rsidRPr="00DE1E6C">
        <w:t xml:space="preserve"> to create a quality teaching workforce</w:t>
      </w:r>
      <w:r>
        <w:t>’</w:t>
      </w:r>
      <w:r w:rsidRPr="00DE1E6C">
        <w:t xml:space="preserve"> (sub. 6, pp. 11-12)</w:t>
      </w:r>
      <w:r>
        <w:t>.</w:t>
      </w:r>
    </w:p>
    <w:p w14:paraId="1DA342A3" w14:textId="28072F09" w:rsidR="00D17784" w:rsidRDefault="00D17784">
      <w:pPr>
        <w:pStyle w:val="BodyText"/>
      </w:pPr>
      <w:r>
        <w:t>Initiatives, such as Highly Accomplished and Lead Teachers (HALTs), are intended to address th</w:t>
      </w:r>
      <w:r w:rsidR="00E42ED7">
        <w:t>is</w:t>
      </w:r>
      <w:r>
        <w:t xml:space="preserve"> </w:t>
      </w:r>
      <w:r w:rsidR="00130151">
        <w:t>gap</w:t>
      </w:r>
      <w:r>
        <w:t xml:space="preserve">. </w:t>
      </w:r>
      <w:r w:rsidR="006F3CF7">
        <w:t xml:space="preserve">In addition </w:t>
      </w:r>
      <w:r w:rsidR="005D3327">
        <w:t xml:space="preserve">to career pathways, they provide an opportunity for highly skilled teachers to share their expertise with others. </w:t>
      </w:r>
      <w:r>
        <w:t xml:space="preserve">But progress towards developing and recognising highly accomplished and/or lead teachers has been slow, in part due to intensive application processes. Since the introduction of HALT certifications in 2012, only </w:t>
      </w:r>
      <w:r w:rsidRPr="00D57D6F">
        <w:t>0.3 per cent of the workforce</w:t>
      </w:r>
      <w:r>
        <w:t xml:space="preserve"> (about 1000 teachers) have become certified. And some contend that the communities of practice envisaged have failed to emerge, with many certified teachers saying they have too little time or opportunity to lead the development of others in their school.</w:t>
      </w:r>
      <w:r>
        <w:rPr>
          <w:rStyle w:val="FootnoteReference"/>
        </w:rPr>
        <w:footnoteReference w:id="15"/>
      </w:r>
      <w:r>
        <w:t xml:space="preserve"> </w:t>
      </w:r>
      <w:r w:rsidRPr="00802823">
        <w:t>If so, there is a risk that HALT</w:t>
      </w:r>
      <w:r w:rsidRPr="009C0F2E">
        <w:t xml:space="preserve"> certificat</w:t>
      </w:r>
      <w:r w:rsidRPr="00802823">
        <w:t>ions b</w:t>
      </w:r>
      <w:r w:rsidRPr="009C0F2E">
        <w:t>ecome more a costly credential than a catalyst for better deployment of skilled teachers.</w:t>
      </w:r>
      <w:r>
        <w:t xml:space="preserve"> </w:t>
      </w:r>
    </w:p>
    <w:p w14:paraId="1B401A2B" w14:textId="57FCDF84" w:rsidR="00D17784" w:rsidRDefault="003A080C">
      <w:pPr>
        <w:pStyle w:val="BodyText"/>
      </w:pPr>
      <w:r>
        <w:t>P</w:t>
      </w:r>
      <w:r w:rsidR="00D17784">
        <w:t>rocesses to build, recognise and deploy teaching expertise can take many forms. Like HALT, Master Teachers and Instructional Leaders are also intended to recognise high-performing teachers and support local communities of practice. Employed by high-performing school systems overseas, such as Singapore and Shanghai, Master Teachers are intended to be the pedagogical leaders in their subjects, working across a network of schools in their region to identify teacher needs, coordinate training, and</w:t>
      </w:r>
      <w:r w:rsidR="00D17784" w:rsidRPr="00D62C80">
        <w:t xml:space="preserve"> </w:t>
      </w:r>
      <w:r w:rsidR="00D17784">
        <w:t>connect schools with research. Unlike Master Teachers, who have no classroom load, Instructional Leaders split their time between classroom teaching and instructional leadership, working in their own schools to support and guide other teachers in specific subjects.</w:t>
      </w:r>
    </w:p>
    <w:p w14:paraId="0538AAE2" w14:textId="77777777" w:rsidR="00D17784" w:rsidRDefault="00D17784">
      <w:pPr>
        <w:pStyle w:val="BodyText"/>
      </w:pPr>
      <w:r>
        <w:t xml:space="preserve">While they do not offer the same degree of recognition, Quality Teaching Rounds </w:t>
      </w:r>
      <w:r>
        <w:rPr>
          <w:rFonts w:cstheme="minorHAnsi"/>
        </w:rPr>
        <w:t>— where teachers work together in small groups</w:t>
      </w:r>
      <w:r w:rsidRPr="006D2085">
        <w:rPr>
          <w:rFonts w:cstheme="minorHAnsi"/>
        </w:rPr>
        <w:t xml:space="preserve"> to analyse and improve their practice</w:t>
      </w:r>
      <w:r>
        <w:rPr>
          <w:rFonts w:cstheme="minorHAnsi"/>
        </w:rPr>
        <w:t xml:space="preserve"> —</w:t>
      </w:r>
      <w:r>
        <w:t xml:space="preserve"> have been found to have </w:t>
      </w:r>
      <w:r w:rsidRPr="00E0423C">
        <w:t xml:space="preserve">significant positive effects on </w:t>
      </w:r>
      <w:r>
        <w:t xml:space="preserve">teaching quality and </w:t>
      </w:r>
      <w:r w:rsidRPr="00E0423C">
        <w:t xml:space="preserve">student academic achievement. </w:t>
      </w:r>
      <w:r>
        <w:t>Teachers</w:t>
      </w:r>
      <w:r w:rsidDel="00E96D9C">
        <w:t xml:space="preserve"> </w:t>
      </w:r>
      <w:r>
        <w:t>who participate in Quality Teaching Rounds report</w:t>
      </w:r>
      <w:r w:rsidRPr="00E0423C">
        <w:t xml:space="preserve"> experienc</w:t>
      </w:r>
      <w:r>
        <w:t>ing</w:t>
      </w:r>
      <w:r w:rsidRPr="00E0423C">
        <w:t xml:space="preserve"> enhanced morale</w:t>
      </w:r>
      <w:r>
        <w:t>,</w:t>
      </w:r>
      <w:r w:rsidRPr="00E0423C" w:rsidDel="00BD7B31">
        <w:t xml:space="preserve"> </w:t>
      </w:r>
      <w:r w:rsidRPr="00E0423C">
        <w:t xml:space="preserve">stronger individual and collective efficacy, and </w:t>
      </w:r>
      <w:r>
        <w:t xml:space="preserve">improved school </w:t>
      </w:r>
      <w:r w:rsidRPr="00E0423C">
        <w:t>culture</w:t>
      </w:r>
      <w:r>
        <w:t>. Quality Teaching Rounds do not require intensive application or certification processes, and so provide an accessible avenue for time-poor teachers to improve their practice.</w:t>
      </w:r>
    </w:p>
    <w:p w14:paraId="6A00499C" w14:textId="0D22A6B3" w:rsidR="00D17784" w:rsidRDefault="00D17784">
      <w:pPr>
        <w:pStyle w:val="BodyText"/>
      </w:pPr>
      <w:r>
        <w:t xml:space="preserve">These three models are not mutually exclusive </w:t>
      </w:r>
      <w:r>
        <w:rPr>
          <w:rFonts w:cstheme="minorHAnsi"/>
        </w:rPr>
        <w:t>—</w:t>
      </w:r>
      <w:r>
        <w:t xml:space="preserve"> the next agreement is an opportunity for </w:t>
      </w:r>
      <w:r w:rsidR="003534F4">
        <w:t>G</w:t>
      </w:r>
      <w:r>
        <w:t>overnments to develop</w:t>
      </w:r>
      <w:r w:rsidRPr="006C0402">
        <w:t xml:space="preserve"> </w:t>
      </w:r>
      <w:r>
        <w:t xml:space="preserve">and support </w:t>
      </w:r>
      <w:r w:rsidRPr="006C0402">
        <w:t xml:space="preserve">localised communities </w:t>
      </w:r>
      <w:r w:rsidR="000F0256">
        <w:t xml:space="preserve">of practice </w:t>
      </w:r>
      <w:r w:rsidRPr="004C1592">
        <w:t>across schools</w:t>
      </w:r>
      <w:r>
        <w:t>, regions</w:t>
      </w:r>
      <w:r w:rsidRPr="004C1592">
        <w:t xml:space="preserve"> and sectors</w:t>
      </w:r>
      <w:r>
        <w:t>. These should encompass accessible options for time-constrained teachers.</w:t>
      </w:r>
    </w:p>
    <w:p w14:paraId="2814D7A4" w14:textId="77777777" w:rsidR="00D17784" w:rsidRPr="00DE0DC8" w:rsidRDefault="00D17784" w:rsidP="00F453BC">
      <w:pPr>
        <w:pStyle w:val="Heading5"/>
      </w:pPr>
      <w:r>
        <w:t>Ensuring a pipeline of future school leaders</w:t>
      </w:r>
    </w:p>
    <w:p w14:paraId="42A16C9E" w14:textId="5EDBF852" w:rsidR="00D17784" w:rsidRDefault="00D17784">
      <w:pPr>
        <w:pStyle w:val="BodyText"/>
      </w:pPr>
      <w:r>
        <w:t>School leaders are second only to teachers in terms of the</w:t>
      </w:r>
      <w:r w:rsidR="002A2992">
        <w:t>ir</w:t>
      </w:r>
      <w:r>
        <w:t xml:space="preserve"> importance </w:t>
      </w:r>
      <w:r w:rsidR="002A2992">
        <w:t>for</w:t>
      </w:r>
      <w:r>
        <w:t xml:space="preserve"> student outcomes. But school leadership roles are becoming more complex and demanding. Effectively preparing teachers aspiring to become future school leaders requires early identification and investment, but also risk</w:t>
      </w:r>
      <w:r w:rsidR="005C29DA">
        <w:t>s</w:t>
      </w:r>
      <w:r>
        <w:t xml:space="preserve"> removing effective teachers from the classroom. And some aspiring school leaders are shying away from leadership roles due to workload concerns, particularly at the principal level. </w:t>
      </w:r>
    </w:p>
    <w:p w14:paraId="45D0D286" w14:textId="6E1BB3E6" w:rsidR="00D17784" w:rsidRDefault="00D17784">
      <w:pPr>
        <w:pStyle w:val="BodyText"/>
      </w:pPr>
      <w:r>
        <w:t>E</w:t>
      </w:r>
      <w:r w:rsidRPr="00462957">
        <w:t>ffective leadership planning</w:t>
      </w:r>
      <w:r>
        <w:t xml:space="preserve">, including clearer, more systematic career pathways would help ensure a pipeline of future school leaders. The Commission is seeking feedback on potential career pathways for </w:t>
      </w:r>
      <w:r w:rsidR="00C2106E">
        <w:t>aspiring</w:t>
      </w:r>
      <w:r>
        <w:t xml:space="preserve"> school leaders.</w:t>
      </w:r>
    </w:p>
    <w:p w14:paraId="77293272" w14:textId="77777777" w:rsidR="00D17784" w:rsidRPr="00DE0DC8" w:rsidRDefault="00D17784" w:rsidP="00F453BC">
      <w:pPr>
        <w:pStyle w:val="Heading5"/>
      </w:pPr>
      <w:r w:rsidRPr="00DE0DC8">
        <w:t>Flexible approaches are required to overcome teacher labour market challenges</w:t>
      </w:r>
    </w:p>
    <w:p w14:paraId="02814278" w14:textId="77777777" w:rsidR="00D17784" w:rsidRDefault="00D17784">
      <w:pPr>
        <w:pStyle w:val="BodyText"/>
      </w:pPr>
      <w:r>
        <w:t>As workforce pressures persist, and as workers become more ‘career mobile’, more flexible approaches will be needed to avoid future shortages.</w:t>
      </w:r>
    </w:p>
    <w:p w14:paraId="33DF9D3B" w14:textId="1F23EED3" w:rsidR="00D17784" w:rsidRDefault="00D17784">
      <w:pPr>
        <w:pStyle w:val="BodyText"/>
      </w:pPr>
      <w:r w:rsidRPr="00C26B61">
        <w:t xml:space="preserve">Mid-career professionals could be an important pipeline for future teacher supply </w:t>
      </w:r>
      <w:r w:rsidRPr="00C26B61">
        <w:rPr>
          <w:rFonts w:cs="Arial"/>
        </w:rPr>
        <w:t>—</w:t>
      </w:r>
      <w:r w:rsidRPr="00C26B61">
        <w:t xml:space="preserve"> particularly in certain subject areas and locations where rates of out-of-field teaching are higher (</w:t>
      </w:r>
      <w:r w:rsidR="00C2106E">
        <w:t>box 1</w:t>
      </w:r>
      <w:r w:rsidRPr="00C26B61">
        <w:t>).</w:t>
      </w:r>
      <w:r>
        <w:t xml:space="preserve"> Recent surveys reveal up to four in 10 mid-career professionals would consider a career in teaching, with one in 10 planning a career change to become a teacher, and three in 10 open to the idea.</w:t>
      </w:r>
    </w:p>
    <w:p w14:paraId="249FBDA6" w14:textId="113722AA" w:rsidR="00D17784" w:rsidRDefault="00D17784">
      <w:pPr>
        <w:pStyle w:val="BodyText"/>
      </w:pPr>
      <w:r w:rsidRPr="000D4E35">
        <w:t xml:space="preserve">Mid-career professionals looking to make the switch are motivated by a </w:t>
      </w:r>
      <w:r>
        <w:t>range of factors, including</w:t>
      </w:r>
      <w:r w:rsidRPr="000D4E35">
        <w:t xml:space="preserve"> </w:t>
      </w:r>
      <w:r>
        <w:t>the</w:t>
      </w:r>
      <w:r w:rsidRPr="000D4E35">
        <w:t xml:space="preserve"> desire to make a social contribution. But they face significant switching costs, </w:t>
      </w:r>
      <w:r>
        <w:t>such as</w:t>
      </w:r>
      <w:r w:rsidRPr="000D4E35">
        <w:t xml:space="preserve"> the time taken to undertake </w:t>
      </w:r>
      <w:r w:rsidRPr="00C26B61">
        <w:t xml:space="preserve">an ITE course (raised from a 12 month diploma to a 2 year </w:t>
      </w:r>
      <w:r w:rsidR="00882B55">
        <w:t>M</w:t>
      </w:r>
      <w:r w:rsidRPr="00802B58">
        <w:t>aster’s degree in recent years) and loss</w:t>
      </w:r>
      <w:r w:rsidRPr="00C26B61">
        <w:t xml:space="preserve"> of income</w:t>
      </w:r>
      <w:r w:rsidRPr="000D4E35">
        <w:t xml:space="preserve"> while studying and </w:t>
      </w:r>
      <w:r>
        <w:t>building</w:t>
      </w:r>
      <w:r w:rsidRPr="000D4E35">
        <w:t xml:space="preserve"> a new career.</w:t>
      </w:r>
      <w:r>
        <w:t xml:space="preserve"> Greater reliance on </w:t>
      </w:r>
      <w:r w:rsidRPr="00246072">
        <w:t xml:space="preserve">accelerated </w:t>
      </w:r>
      <w:r>
        <w:t>postgraduate</w:t>
      </w:r>
      <w:r w:rsidRPr="00246072">
        <w:t xml:space="preserve"> degrees to reduce the time required to study</w:t>
      </w:r>
      <w:r w:rsidR="00424B9F">
        <w:t>,</w:t>
      </w:r>
      <w:r w:rsidRPr="00246072">
        <w:t xml:space="preserve"> and employment</w:t>
      </w:r>
      <w:r>
        <w:t>-</w:t>
      </w:r>
      <w:r w:rsidRPr="00246072">
        <w:t>based pathways</w:t>
      </w:r>
      <w:r w:rsidR="00424B9F">
        <w:t>,</w:t>
      </w:r>
      <w:r w:rsidRPr="00246072">
        <w:t xml:space="preserve"> would make teaching a more attractive option for </w:t>
      </w:r>
      <w:r>
        <w:t>many</w:t>
      </w:r>
      <w:r w:rsidRPr="00246072">
        <w:t xml:space="preserve"> professionals.</w:t>
      </w:r>
      <w:r>
        <w:t xml:space="preserve"> </w:t>
      </w:r>
    </w:p>
    <w:p w14:paraId="1F3B524A" w14:textId="77777777" w:rsidR="00D17784" w:rsidRDefault="00D17784">
      <w:pPr>
        <w:pStyle w:val="BodyText"/>
      </w:pPr>
      <w:r>
        <w:t xml:space="preserve">A recent review into quality Initial Teacher Education (2021, p. iv), concluded that, ‘for highly qualified candidates with strong subject knowledge, the Graduate Diploma might be sufficient preparation for teaching in secondary schools.’ The Commission invites feedback on options for streamlining pathways for mid-career entrants, especially people with skills in critical areas. </w:t>
      </w:r>
    </w:p>
    <w:p w14:paraId="41D09136" w14:textId="77777777" w:rsidR="00D17784" w:rsidRDefault="00D17784" w:rsidP="007E2BB6">
      <w:pPr>
        <w:pStyle w:val="Heading4"/>
      </w:pPr>
      <w:r>
        <w:t>Tackling a lack of equity in student outcomes</w:t>
      </w:r>
    </w:p>
    <w:p w14:paraId="795FA486" w14:textId="77777777" w:rsidR="00D17784" w:rsidRDefault="00D17784">
      <w:pPr>
        <w:pStyle w:val="BodyText"/>
      </w:pPr>
      <w:r w:rsidRPr="00F238E0">
        <w:t>Australia has long aspired to provide a high quality and equitable education for all students.</w:t>
      </w:r>
      <w:r w:rsidRPr="00F238E0" w:rsidDel="00F238E0">
        <w:t xml:space="preserve"> </w:t>
      </w:r>
      <w:r w:rsidRPr="00F238E0">
        <w:t>But we persistently fall short of this ideal.</w:t>
      </w:r>
      <w:r>
        <w:t xml:space="preserve"> </w:t>
      </w:r>
    </w:p>
    <w:p w14:paraId="653795B3" w14:textId="77777777" w:rsidR="00D17784" w:rsidRDefault="00D17784" w:rsidP="00F453BC">
      <w:pPr>
        <w:pStyle w:val="Heading5"/>
      </w:pPr>
      <w:r>
        <w:t>Many students do not meet minimum standards — often year after year</w:t>
      </w:r>
    </w:p>
    <w:p w14:paraId="2076D8F5" w14:textId="57D7F076" w:rsidR="00D17784" w:rsidRDefault="00D17784">
      <w:pPr>
        <w:pStyle w:val="BodyText"/>
      </w:pPr>
      <w:r>
        <w:t>Each year, between 5 and 9 per cent of</w:t>
      </w:r>
      <w:r w:rsidRPr="003F1A88">
        <w:t xml:space="preserve"> </w:t>
      </w:r>
      <w:r>
        <w:t xml:space="preserve">Australian </w:t>
      </w:r>
      <w:r w:rsidRPr="003F1A88">
        <w:t xml:space="preserve">students </w:t>
      </w:r>
      <w:r>
        <w:t>do not</w:t>
      </w:r>
      <w:r w:rsidRPr="00824864">
        <w:t xml:space="preserve"> meet</w:t>
      </w:r>
      <w:r w:rsidRPr="003F1A88">
        <w:t xml:space="preserve"> year-level expectations</w:t>
      </w:r>
      <w:r>
        <w:t xml:space="preserve"> in either literacy or numeracy. About one-third of the students who </w:t>
      </w:r>
      <w:r w:rsidRPr="00080341">
        <w:t>do not</w:t>
      </w:r>
      <w:r>
        <w:t xml:space="preserve"> meet minimum literacy standards in </w:t>
      </w:r>
      <w:r w:rsidRPr="00080341">
        <w:t>year 3 also do not</w:t>
      </w:r>
      <w:r w:rsidDel="00B43306">
        <w:t xml:space="preserve"> </w:t>
      </w:r>
      <w:r>
        <w:t xml:space="preserve">meet </w:t>
      </w:r>
      <w:r w:rsidRPr="00080341">
        <w:t>minimum</w:t>
      </w:r>
      <w:r>
        <w:t xml:space="preserve"> standards in year 5. Similar patterns are evident in numeracy and across years 7 and 9 (</w:t>
      </w:r>
      <w:r w:rsidRPr="000B74DB">
        <w:t>figure</w:t>
      </w:r>
      <w:r w:rsidR="00124206">
        <w:t> </w:t>
      </w:r>
      <w:r>
        <w:t xml:space="preserve">5). </w:t>
      </w:r>
    </w:p>
    <w:p w14:paraId="2462FCD3" w14:textId="38BC1615" w:rsidR="00725E88" w:rsidRDefault="00D17784" w:rsidP="00725E88">
      <w:pPr>
        <w:pStyle w:val="FigureTableHeading"/>
        <w:rPr>
          <w:b/>
          <w:sz w:val="18"/>
          <w:szCs w:val="16"/>
          <w:vertAlign w:val="superscript"/>
        </w:rPr>
      </w:pPr>
      <w:bookmarkStart w:id="13" w:name="_Hlk110101693"/>
      <w:r>
        <w:t xml:space="preserve">Figure </w:t>
      </w:r>
      <w:r>
        <w:fldChar w:fldCharType="begin"/>
      </w:r>
      <w:r>
        <w:instrText>SEQ Figure \* ARABIC \s 1</w:instrText>
      </w:r>
      <w:r>
        <w:fldChar w:fldCharType="separate"/>
      </w:r>
      <w:r w:rsidR="00C642E8">
        <w:rPr>
          <w:noProof/>
        </w:rPr>
        <w:t>5</w:t>
      </w:r>
      <w:r>
        <w:fldChar w:fldCharType="end"/>
      </w:r>
      <w:r>
        <w:rPr>
          <w:noProof/>
        </w:rPr>
        <w:t xml:space="preserve"> </w:t>
      </w:r>
      <w:r>
        <w:t>– Proportions of students meeting minimum standards in NAPLAN</w:t>
      </w:r>
      <w:r w:rsidRPr="00002D5C">
        <w:rPr>
          <w:b/>
          <w:szCs w:val="20"/>
          <w:vertAlign w:val="superscript"/>
        </w:rPr>
        <w:t>a</w:t>
      </w:r>
      <w:bookmarkEnd w:id="13"/>
    </w:p>
    <w:p w14:paraId="38704DFF" w14:textId="75395805" w:rsidR="00D17784" w:rsidRDefault="00D576A3" w:rsidP="00725E88">
      <w:pPr>
        <w:pStyle w:val="BodyText"/>
      </w:pPr>
      <w:r w:rsidRPr="00D576A3">
        <w:rPr>
          <w:noProof/>
        </w:rPr>
        <w:drawing>
          <wp:inline distT="0" distB="0" distL="0" distR="0" wp14:anchorId="22281A3F" wp14:editId="6FF2D25D">
            <wp:extent cx="6120130" cy="5818505"/>
            <wp:effectExtent l="0" t="0" r="0" b="0"/>
            <wp:docPr id="72" name="Picture 72" descr="Figure 5 has two panels. The top panel describes the numbers of students that are falling behind the minimum standards for literacy and numeracy, which are about 55 000 (5 per cent) and 41 500 (4 per cent) respectively.  &#10;&#10;The bottom panel shows that of the students who were below the national minimum standard in year 3, by the time they were in year 5, 46 per cent were at the minimum standard, 34 per cent remained below, and 20 per cent were above.  &#10;&#10;The same analysis was done for students between year 7 and year 9, with 58 per cent at the minimum standard in year 9, 28 per cent remaining below, and 14 per cen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Figure 5 has two panels. The top panel describes the numbers of students that are falling behind the minimum standards for literacy and numeracy, which are about 55 000 (5 per cent) and 41 500 (4 per cent) respectively.  &#10;&#10;The bottom panel shows that of the students who were below the national minimum standard in year 3, by the time they were in year 5, 46 per cent were at the minimum standard, 34 per cent remained below, and 20 per cent were above.  &#10;&#10;The same analysis was done for students between year 7 and year 9, with 58 per cent at the minimum standard in year 9, 28 per cent remaining below, and 14 per cent abov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20130" cy="5818505"/>
                    </a:xfrm>
                    <a:prstGeom prst="rect">
                      <a:avLst/>
                    </a:prstGeom>
                    <a:noFill/>
                    <a:ln>
                      <a:noFill/>
                    </a:ln>
                  </pic:spPr>
                </pic:pic>
              </a:graphicData>
            </a:graphic>
          </wp:inline>
        </w:drawing>
      </w:r>
    </w:p>
    <w:p w14:paraId="476D0EF2" w14:textId="1048DB34" w:rsidR="00D17784" w:rsidRPr="005D3B36" w:rsidRDefault="00D17784" w:rsidP="005D3B36">
      <w:pPr>
        <w:pStyle w:val="Note"/>
      </w:pPr>
      <w:r w:rsidRPr="00002D5C">
        <w:rPr>
          <w:b/>
          <w:bCs/>
        </w:rPr>
        <w:t>a.</w:t>
      </w:r>
      <w:r w:rsidRPr="005D3B36">
        <w:t xml:space="preserve"> </w:t>
      </w:r>
      <w:r w:rsidR="00583C4E">
        <w:t xml:space="preserve">NMS denotes National Minimum Standard. </w:t>
      </w:r>
      <w:r w:rsidRPr="005D3B36">
        <w:t xml:space="preserve">The bottom figure shows students who were below the national minimum standard in year 3 and whether they remained below, were at or above the national minimum standard in year 5. The same analysis was done for students between year 7 and year 9. </w:t>
      </w:r>
    </w:p>
    <w:p w14:paraId="3DE3358D" w14:textId="77777777" w:rsidR="00D17784" w:rsidRDefault="00D17784">
      <w:pPr>
        <w:pStyle w:val="Source"/>
      </w:pPr>
      <w:r w:rsidRPr="00696447">
        <w:t xml:space="preserve">Source: </w:t>
      </w:r>
      <w:r>
        <w:t>Commission estimates based on NAPLAN de-identified student level data (2022).</w:t>
      </w:r>
    </w:p>
    <w:p w14:paraId="508A41AE" w14:textId="49E28432" w:rsidR="00D17784" w:rsidRPr="00FF5108" w:rsidRDefault="00D17784">
      <w:pPr>
        <w:pStyle w:val="BodyText"/>
      </w:pPr>
      <w:r>
        <w:t xml:space="preserve">The impact on these students </w:t>
      </w:r>
      <w:r w:rsidRPr="00E61492">
        <w:t>can be de</w:t>
      </w:r>
      <w:r>
        <w:t xml:space="preserve">moralising, as </w:t>
      </w:r>
      <w:r w:rsidR="002C367F">
        <w:t xml:space="preserve">the </w:t>
      </w:r>
      <w:r w:rsidR="002C367F" w:rsidRPr="001A2463">
        <w:t>Australian Council for Educational Research</w:t>
      </w:r>
      <w:r>
        <w:t xml:space="preserve"> observed:</w:t>
      </w:r>
    </w:p>
    <w:p w14:paraId="630699C8" w14:textId="686EABDA" w:rsidR="00D17784" w:rsidRPr="002F6025" w:rsidRDefault="00D17784" w:rsidP="002F6025">
      <w:pPr>
        <w:pStyle w:val="Quote"/>
      </w:pPr>
      <w:r w:rsidRPr="002F6025">
        <w:t>[These students] tend to start each school year behind most of their age group and they are poorly equipped for the material they are about to be taught. Most struggle, and this is reflected in their poor performance on the year-level curriculum. Many students receive low grades year after year, reinforcing the message that they are not succeeding at school – or worse, that they are inherently poor learners. (Masters 2016</w:t>
      </w:r>
      <w:r w:rsidR="00D724E2" w:rsidRPr="002F6025">
        <w:t>, p. 1</w:t>
      </w:r>
      <w:r w:rsidRPr="002F6025">
        <w:t>)</w:t>
      </w:r>
    </w:p>
    <w:p w14:paraId="0F468B3D" w14:textId="77777777" w:rsidR="00D17784" w:rsidRDefault="00D17784" w:rsidP="00F453BC">
      <w:pPr>
        <w:pStyle w:val="Heading5"/>
      </w:pPr>
      <w:r>
        <w:t>Tailored supports are needed for students who have fallen behind</w:t>
      </w:r>
    </w:p>
    <w:p w14:paraId="2058671F" w14:textId="77777777" w:rsidR="00D17784" w:rsidRDefault="00D17784">
      <w:pPr>
        <w:pStyle w:val="BodyText"/>
        <w:rPr>
          <w:highlight w:val="yellow"/>
        </w:rPr>
      </w:pPr>
      <w:r>
        <w:t xml:space="preserve">One proven way to address gaps in learning outcomes is to have processes and structures within schools that identify when a student is starting to fall behind and intervene to support that student’s performance. </w:t>
      </w:r>
    </w:p>
    <w:p w14:paraId="7A78E06F" w14:textId="4F242FE8" w:rsidR="00D17784" w:rsidRDefault="00D17784">
      <w:pPr>
        <w:pStyle w:val="BodyText"/>
      </w:pPr>
      <w:r>
        <w:t xml:space="preserve">Research suggests that targeted interventions are effective, particularly small group or </w:t>
      </w:r>
      <w:r w:rsidDel="008C35A4">
        <w:t xml:space="preserve">one-to-one </w:t>
      </w:r>
      <w:r>
        <w:t>tuition. I</w:t>
      </w:r>
      <w:r w:rsidRPr="0032644E">
        <w:t>ntensive, targeted support allows the teacher to focus on the needs of a small number of learners</w:t>
      </w:r>
      <w:r>
        <w:t>,</w:t>
      </w:r>
      <w:r>
        <w:rPr>
          <w:rFonts w:cstheme="minorHAnsi"/>
        </w:rPr>
        <w:t xml:space="preserve"> </w:t>
      </w:r>
      <w:r w:rsidRPr="0032644E">
        <w:t>provid</w:t>
      </w:r>
      <w:r>
        <w:t>ing</w:t>
      </w:r>
      <w:r w:rsidRPr="0032644E">
        <w:t xml:space="preserve"> teaching that is closely matched to pupil understanding</w:t>
      </w:r>
      <w:r>
        <w:t>, and opportunities for g</w:t>
      </w:r>
      <w:r w:rsidRPr="0032644E">
        <w:t>reater levels of interaction and feedback</w:t>
      </w:r>
      <w:r>
        <w:t xml:space="preserve">. International evidence from two high performing nations shows that small group tuition can improve learning </w:t>
      </w:r>
      <w:r w:rsidR="00BE51C1">
        <w:t xml:space="preserve">outcomes </w:t>
      </w:r>
      <w:r>
        <w:t xml:space="preserve">by about 4 months over one or two school terms. </w:t>
      </w:r>
    </w:p>
    <w:p w14:paraId="0A46E9CE" w14:textId="41949426" w:rsidR="00D17784" w:rsidRPr="00583860" w:rsidRDefault="00090F70">
      <w:pPr>
        <w:pStyle w:val="BodyText"/>
      </w:pPr>
      <w:r w:rsidRPr="007D7B7E">
        <w:t>Closer to home, t</w:t>
      </w:r>
      <w:r w:rsidRPr="00A92221">
        <w:t xml:space="preserve">argeted interventions have been shown to substantially improve educational attainment for students from low socioeconomic backgrounds. </w:t>
      </w:r>
    </w:p>
    <w:p w14:paraId="5D843177" w14:textId="5F24BF62" w:rsidR="00D17784" w:rsidRPr="00482AD4" w:rsidRDefault="00D17784">
      <w:pPr>
        <w:pStyle w:val="BodyText"/>
      </w:pPr>
      <w:r w:rsidDel="00371CFE">
        <w:t xml:space="preserve">Focusing on students who have fallen behind, and are at most risk of staying behind (particularly those in </w:t>
      </w:r>
      <w:r w:rsidRPr="00F64322" w:rsidDel="00371CFE">
        <w:t>lower year levels</w:t>
      </w:r>
      <w:r w:rsidDel="00371CFE">
        <w:t>), would be a good place to start. Commission analysis reveals students with parents with low levels of educational attainment and Aboriginal and Torres Strait Island</w:t>
      </w:r>
      <w:r>
        <w:t xml:space="preserve">er </w:t>
      </w:r>
      <w:r w:rsidDel="00371CFE">
        <w:t>students are at higher risk of not catching up.</w:t>
      </w:r>
      <w:r>
        <w:t xml:space="preserve"> The Commission seeks feedback on how such an approach, or other proven approaches, might be applied cost effectively in an Australian context.</w:t>
      </w:r>
    </w:p>
    <w:p w14:paraId="336A93D3" w14:textId="77777777" w:rsidR="00D17784" w:rsidRPr="00482AD4" w:rsidRDefault="00D17784" w:rsidP="00F453BC">
      <w:pPr>
        <w:pStyle w:val="Heading5"/>
      </w:pPr>
      <w:r>
        <w:t>Most students who do not meet national minimum standards are not from priority equity cohorts</w:t>
      </w:r>
    </w:p>
    <w:p w14:paraId="1AB5C738" w14:textId="5D142FF4" w:rsidR="00D17784" w:rsidRDefault="00DF7112">
      <w:pPr>
        <w:pStyle w:val="BodyText"/>
      </w:pPr>
      <w:r w:rsidRPr="00446254">
        <w:t xml:space="preserve">Promoting equity is more than assisting students with low academic performance. </w:t>
      </w:r>
      <w:r w:rsidR="00D17784">
        <w:t>A second, but related equity consideration is the significant and persistent gap in learning outcomes for some cohorts of students — often described as priority equity cohorts (Attachment</w:t>
      </w:r>
      <w:r>
        <w:t> A</w:t>
      </w:r>
      <w:r w:rsidR="00D17784">
        <w:t>). T</w:t>
      </w:r>
      <w:r w:rsidR="00D17784" w:rsidRPr="7A4926BC">
        <w:t xml:space="preserve">he priority equity cohorts listed in the NSRA are </w:t>
      </w:r>
      <w:r w:rsidR="00D17784">
        <w:t>Aboriginal and Torres Strait Islander students, students living in regional, rural and remote locations, students with a disability and students from educationally disadvantaged backgrounds</w:t>
      </w:r>
      <w:r>
        <w:t>.</w:t>
      </w:r>
      <w:r w:rsidR="00D17784" w:rsidRPr="00967AD0">
        <w:rPr>
          <w:highlight w:val="yellow"/>
        </w:rPr>
        <w:t xml:space="preserve"> </w:t>
      </w:r>
    </w:p>
    <w:p w14:paraId="4AA86059" w14:textId="22D8390E" w:rsidR="00D17784" w:rsidRPr="00446254" w:rsidRDefault="00D17784">
      <w:pPr>
        <w:pStyle w:val="BodyText"/>
      </w:pPr>
      <w:r w:rsidRPr="56C49DBC" w:rsidDel="00371CFE">
        <w:t>While</w:t>
      </w:r>
      <w:r w:rsidRPr="25E538A9" w:rsidDel="00371CFE">
        <w:t xml:space="preserve"> </w:t>
      </w:r>
      <w:r w:rsidR="000D2B5F">
        <w:t xml:space="preserve">students from </w:t>
      </w:r>
      <w:r w:rsidRPr="63479229" w:rsidDel="00371CFE">
        <w:t xml:space="preserve">priority equity </w:t>
      </w:r>
      <w:r w:rsidRPr="25E538A9" w:rsidDel="00371CFE">
        <w:t xml:space="preserve">cohorts are </w:t>
      </w:r>
      <w:r w:rsidRPr="4D72F11D" w:rsidDel="00371CFE">
        <w:t xml:space="preserve">disproportionately represented </w:t>
      </w:r>
      <w:r w:rsidRPr="023A895F" w:rsidDel="00371CFE">
        <w:t xml:space="preserve">among </w:t>
      </w:r>
      <w:r w:rsidRPr="7D7C80F7" w:rsidDel="00371CFE">
        <w:t xml:space="preserve">students who have </w:t>
      </w:r>
      <w:r w:rsidRPr="2EA7CD66" w:rsidDel="00371CFE">
        <w:t xml:space="preserve">fallen behind </w:t>
      </w:r>
      <w:r w:rsidRPr="320612B6" w:rsidDel="00371CFE">
        <w:t>national</w:t>
      </w:r>
      <w:r w:rsidRPr="2EA7CD66" w:rsidDel="00371CFE">
        <w:t xml:space="preserve"> </w:t>
      </w:r>
      <w:r w:rsidRPr="6B61E6A7" w:rsidDel="00371CFE">
        <w:t xml:space="preserve">minimum </w:t>
      </w:r>
      <w:r w:rsidRPr="75B82C69" w:rsidDel="00371CFE">
        <w:t>standards</w:t>
      </w:r>
      <w:r w:rsidRPr="25E538A9" w:rsidDel="00371CFE">
        <w:t xml:space="preserve">, most </w:t>
      </w:r>
      <w:r w:rsidRPr="00B628EE" w:rsidDel="00371CFE">
        <w:t>underperforming students do not belong to these cohorts (at least, not the equity cohorts identified in the NAPLAN data).</w:t>
      </w:r>
      <w:r w:rsidR="00E85729" w:rsidRPr="00274614">
        <w:rPr>
          <w:rStyle w:val="FootnoteReference"/>
        </w:rPr>
        <w:footnoteReference w:id="16"/>
      </w:r>
      <w:r w:rsidRPr="00B628EE" w:rsidDel="00371CFE">
        <w:t xml:space="preserve"> And some 85 per cent of students who identify as belonging </w:t>
      </w:r>
      <w:r w:rsidRPr="00446254" w:rsidDel="00371CFE">
        <w:t xml:space="preserve">to a priority equity cohort, achieve at or above national minimum standards. Rather, gaps in outcomes exist </w:t>
      </w:r>
      <w:r w:rsidRPr="00446254">
        <w:t>at</w:t>
      </w:r>
      <w:r w:rsidRPr="00446254" w:rsidDel="00371CFE">
        <w:t xml:space="preserve"> all levels of achievement </w:t>
      </w:r>
      <w:r w:rsidRPr="00446254" w:rsidDel="00371CFE">
        <w:rPr>
          <w:rFonts w:cstheme="minorHAnsi"/>
        </w:rPr>
        <w:t>—</w:t>
      </w:r>
      <w:r w:rsidRPr="00446254" w:rsidDel="00371CFE">
        <w:t xml:space="preserve"> high and low (figure</w:t>
      </w:r>
      <w:r w:rsidR="00446254" w:rsidRPr="00446254">
        <w:t> </w:t>
      </w:r>
      <w:r w:rsidRPr="00446254">
        <w:t>6</w:t>
      </w:r>
      <w:r w:rsidRPr="00446254" w:rsidDel="00371CFE">
        <w:t>).</w:t>
      </w:r>
      <w:r w:rsidRPr="00446254">
        <w:t xml:space="preserve"> </w:t>
      </w:r>
    </w:p>
    <w:p w14:paraId="50D175C9" w14:textId="0047C9C5" w:rsidR="00850372" w:rsidRDefault="00D17784" w:rsidP="00446254">
      <w:pPr>
        <w:pStyle w:val="BodyText"/>
      </w:pPr>
      <w:r w:rsidRPr="00446254">
        <w:t xml:space="preserve">While the NSRA does not define equity, the Melbourne Declaration (and its successor, the Alice Springs (Mparntwe) Declaration) define equity at length. Definitions broadly reflect the values that school systems should strive to eliminate discrimination of all kinds and to ensure differences in educational outcomes associated with students’ culture, disability, remoteness, or socioeconomic status are reduced or eliminated. </w:t>
      </w:r>
    </w:p>
    <w:p w14:paraId="6299875D" w14:textId="2A6C186E" w:rsidR="00D17784" w:rsidRPr="00446254" w:rsidRDefault="00D17784" w:rsidP="00446254">
      <w:pPr>
        <w:pStyle w:val="BodyText"/>
      </w:pPr>
      <w:r w:rsidRPr="00446254">
        <w:t xml:space="preserve">Promoting equity can be thought of as recognising that some students may have different educational needs and desired outcomes — including in relation to culture and language — and creating an education system that is able to adapt to these needs. However, outcome measures and feedback from stakeholders </w:t>
      </w:r>
      <w:r w:rsidR="00BD620C">
        <w:t xml:space="preserve">highlight </w:t>
      </w:r>
      <w:r w:rsidRPr="00446254">
        <w:t>that equity remains a key challenge for the Australian education system.</w:t>
      </w:r>
    </w:p>
    <w:p w14:paraId="4B5F0981" w14:textId="1FAF3F7D" w:rsidR="00D17784" w:rsidRDefault="00D17784">
      <w:pPr>
        <w:pStyle w:val="FigureTableHeading"/>
      </w:pPr>
      <w:r>
        <w:t xml:space="preserve">Figure </w:t>
      </w:r>
      <w:r>
        <w:fldChar w:fldCharType="begin"/>
      </w:r>
      <w:r>
        <w:instrText>SEQ Figure \* ARABIC \s 1</w:instrText>
      </w:r>
      <w:r>
        <w:fldChar w:fldCharType="separate"/>
      </w:r>
      <w:r w:rsidR="00C642E8">
        <w:rPr>
          <w:noProof/>
        </w:rPr>
        <w:t>6</w:t>
      </w:r>
      <w:r>
        <w:fldChar w:fldCharType="end"/>
      </w:r>
      <w:r>
        <w:rPr>
          <w:noProof/>
        </w:rPr>
        <w:t xml:space="preserve"> </w:t>
      </w:r>
      <w:r>
        <w:t xml:space="preserve">– The overlap between </w:t>
      </w:r>
      <w:r w:rsidR="00FA31C4">
        <w:t>students below the national minimum standards</w:t>
      </w:r>
      <w:r>
        <w:t xml:space="preserve"> and </w:t>
      </w:r>
      <w:r w:rsidR="00083667">
        <w:t xml:space="preserve">students from priority </w:t>
      </w:r>
      <w:r>
        <w:t>equity cohorts, years 3, 5, 7 and 9, 2021 (top), and the distribution of year 9 NAPLAN reading scores in 2021 (bottom)</w:t>
      </w:r>
      <w:r w:rsidRPr="00002D5C">
        <w:rPr>
          <w:szCs w:val="20"/>
          <w:vertAlign w:val="superscript"/>
        </w:rPr>
        <w:t>a</w:t>
      </w:r>
    </w:p>
    <w:p w14:paraId="5A474F42" w14:textId="473E9823" w:rsidR="009D1F45" w:rsidRDefault="002239B0" w:rsidP="002F6025">
      <w:pPr>
        <w:pStyle w:val="BodyText"/>
      </w:pPr>
      <w:r w:rsidRPr="002239B0">
        <w:rPr>
          <w:noProof/>
        </w:rPr>
        <w:drawing>
          <wp:inline distT="0" distB="0" distL="0" distR="0" wp14:anchorId="7B0EFDF5" wp14:editId="623DC9AF">
            <wp:extent cx="6120130" cy="7155180"/>
            <wp:effectExtent l="0" t="0" r="0" b="7620"/>
            <wp:docPr id="22" name="Picture 22" descr="The figure show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10;Underneath the Venn diagram is a graph showing the distribution of NAPLAN reading scores for four categories of students, with the averages of the distribution in the following descending order: All students, Outer regional and remote students, Educationally disadvantaged students, and Aboriginal and Torres Strait Islander stude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figure shows a Venn diagram with two overlapping sets of students in years 3, 5, 7 and 9 in 2021. The left hand set consists of 86 500 low performing students (7 per cent of all students in years 3, 5, 7, and 9) and the right hand set consists of more than 240 000 students in priority equity cohorts (19 per cent of all students in years 3, 5, 7 and 9). The two sets intersect showing that about 36 000 students (3 per cent of students in years 3, 5, 7 and 9) were both low-performing and belonged to a priority equity cohort. &#10;Underneath the Venn diagram is a graph showing the distribution of NAPLAN reading scores for four categories of students, with the averages of the distribution in the following descending order: All students, Outer regional and remote students, Educationally disadvantaged students, and Aboriginal and Torres Strait Islander students. &#1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120130" cy="7155180"/>
                    </a:xfrm>
                    <a:prstGeom prst="rect">
                      <a:avLst/>
                    </a:prstGeom>
                    <a:noFill/>
                    <a:ln>
                      <a:noFill/>
                    </a:ln>
                  </pic:spPr>
                </pic:pic>
              </a:graphicData>
            </a:graphic>
          </wp:inline>
        </w:drawing>
      </w:r>
      <w:r w:rsidRPr="002239B0" w:rsidDel="002239B0">
        <w:t xml:space="preserve"> </w:t>
      </w:r>
    </w:p>
    <w:p w14:paraId="4E3CAC0A" w14:textId="77777777" w:rsidR="00D17784" w:rsidRPr="005D3B36" w:rsidRDefault="00D17784" w:rsidP="005D3B36">
      <w:pPr>
        <w:pStyle w:val="Note"/>
      </w:pPr>
      <w:r w:rsidRPr="00002D5C">
        <w:rPr>
          <w:b/>
          <w:bCs/>
        </w:rPr>
        <w:t>a.</w:t>
      </w:r>
      <w:r w:rsidRPr="005D3B36">
        <w:t xml:space="preserve"> Students with disability are identified as a priority equity cohort in the NSRA but NAPLAN performance data are not published for students with disability. Similar distribution results were found for NAPLAN numeracy scores in year 9.</w:t>
      </w:r>
    </w:p>
    <w:p w14:paraId="08A0E510" w14:textId="77777777" w:rsidR="00D17784" w:rsidRDefault="00D17784">
      <w:pPr>
        <w:pStyle w:val="Source"/>
      </w:pPr>
      <w:r>
        <w:t>Source: Commission estimates based on NAPLAN de-identified student level data (2022).</w:t>
      </w:r>
    </w:p>
    <w:p w14:paraId="1F8039BB" w14:textId="38392A94" w:rsidR="00D17784" w:rsidRPr="00CF3AF5" w:rsidRDefault="008358A2">
      <w:pPr>
        <w:pStyle w:val="BodyText"/>
      </w:pPr>
      <w:r w:rsidRPr="002447E0">
        <w:t xml:space="preserve">Gaps in learning outcomes for students </w:t>
      </w:r>
      <w:r w:rsidRPr="00501164">
        <w:t xml:space="preserve">from priority equity cohorts </w:t>
      </w:r>
      <w:r w:rsidRPr="002447E0">
        <w:t>have changed little over the past decade</w:t>
      </w:r>
      <w:r w:rsidR="00D17784">
        <w:t xml:space="preserve">. Indeed, rather than narrowing, the gap in learning (expressed as the time it would take for </w:t>
      </w:r>
      <w:r w:rsidR="00141E73">
        <w:t xml:space="preserve">students from </w:t>
      </w:r>
      <w:r w:rsidR="00D17784">
        <w:t>priority equity cohort</w:t>
      </w:r>
      <w:r w:rsidR="00C07EAC">
        <w:t>s</w:t>
      </w:r>
      <w:r w:rsidR="00D17784">
        <w:t xml:space="preserve"> to catch-up) widens as students progress through their schooling (figure</w:t>
      </w:r>
      <w:r w:rsidR="00487250">
        <w:t> </w:t>
      </w:r>
      <w:r w:rsidR="00D17784">
        <w:t xml:space="preserve">7). </w:t>
      </w:r>
    </w:p>
    <w:p w14:paraId="15338723" w14:textId="4DA6965C" w:rsidR="00D17784" w:rsidRPr="00A24C38" w:rsidRDefault="00D17784">
      <w:pPr>
        <w:pStyle w:val="FigureTableHeading"/>
      </w:pPr>
      <w:bookmarkStart w:id="14" w:name="_Toc30502221"/>
      <w:r>
        <w:t xml:space="preserve">Figure </w:t>
      </w:r>
      <w:r>
        <w:fldChar w:fldCharType="begin"/>
      </w:r>
      <w:r>
        <w:instrText>SEQ Figure \* ARABIC \s 1</w:instrText>
      </w:r>
      <w:r>
        <w:fldChar w:fldCharType="separate"/>
      </w:r>
      <w:r w:rsidR="00C642E8">
        <w:rPr>
          <w:noProof/>
        </w:rPr>
        <w:t>7</w:t>
      </w:r>
      <w:r>
        <w:fldChar w:fldCharType="end"/>
      </w:r>
      <w:r>
        <w:t xml:space="preserve"> – </w:t>
      </w:r>
      <w:r w:rsidRPr="00A24C38">
        <w:t>Gaps in years of progress widen as students progress through schooling</w:t>
      </w:r>
    </w:p>
    <w:p w14:paraId="74D41923" w14:textId="52AE17D1" w:rsidR="00D17784" w:rsidRPr="00A24C38" w:rsidRDefault="00D17784">
      <w:pPr>
        <w:pStyle w:val="FigureTableSubheading"/>
      </w:pPr>
      <w:r>
        <w:t xml:space="preserve">Difference in </w:t>
      </w:r>
      <w:r w:rsidR="004B0794">
        <w:t xml:space="preserve">numeracy </w:t>
      </w:r>
      <w:r>
        <w:t xml:space="preserve">NAPLAN scores between </w:t>
      </w:r>
      <w:r w:rsidR="0042389E">
        <w:t xml:space="preserve">students from </w:t>
      </w:r>
      <w:r>
        <w:t>equity cohorts and other students, expressed as equival</w:t>
      </w:r>
      <w:r w:rsidR="00C4061C">
        <w:t>ised</w:t>
      </w:r>
      <w:r>
        <w:t xml:space="preserve"> years of learning</w:t>
      </w:r>
      <w:r w:rsidRPr="00A24C38">
        <w:t xml:space="preserve"> </w:t>
      </w:r>
    </w:p>
    <w:p w14:paraId="07D5423D" w14:textId="09070630" w:rsidR="00D17784" w:rsidRDefault="009D3AFA" w:rsidP="002F6025">
      <w:pPr>
        <w:pStyle w:val="BodyText"/>
      </w:pPr>
      <w:r w:rsidRPr="009D3AFA">
        <w:rPr>
          <w:noProof/>
        </w:rPr>
        <w:drawing>
          <wp:inline distT="0" distB="0" distL="0" distR="0" wp14:anchorId="0B72E202" wp14:editId="3C9CE8B3">
            <wp:extent cx="6087745" cy="2921000"/>
            <wp:effectExtent l="0" t="0" r="8255" b="0"/>
            <wp:docPr id="75" name="Picture 75" descr="Figure 7 is a block of 2 charts showing the gap in NAPLAN numeracy scores for students with a parent who did not finish secondary school and Aboriginal and Torres Strait Islander students compared to their peers. The gap in scores is measured in terms of the time taken to bridge the gap.&#10;• For students with a parent who did not finish secondary school, the numeracy gap increased from 1.3 years in year 3 to 3.7 years in year 9 compared to students with a parent with a Bachelor degree of higher.&#10;• For Aboriginal and Torres Strait Islander students, the numeracy gap increased from 1 year in year 3 to 2.6 years in year 9 compared to non-Aboriginal and Torres Strait Islander student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Figure 7 is a block of 2 charts showing the gap in NAPLAN numeracy scores for students with a parent who did not finish secondary school and Aboriginal and Torres Strait Islander students compared to their peers. The gap in scores is measured in terms of the time taken to bridge the gap.&#10;• For students with a parent who did not finish secondary school, the numeracy gap increased from 1.3 years in year 3 to 3.7 years in year 9 compared to students with a parent with a Bachelor degree of higher.&#10;• For Aboriginal and Torres Strait Islander students, the numeracy gap increased from 1 year in year 3 to 2.6 years in year 9 compared to non-Aboriginal and Torres Strait Islander students.&#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087745" cy="2921000"/>
                    </a:xfrm>
                    <a:prstGeom prst="rect">
                      <a:avLst/>
                    </a:prstGeom>
                    <a:noFill/>
                    <a:ln>
                      <a:noFill/>
                    </a:ln>
                  </pic:spPr>
                </pic:pic>
              </a:graphicData>
            </a:graphic>
          </wp:inline>
        </w:drawing>
      </w:r>
    </w:p>
    <w:bookmarkEnd w:id="14"/>
    <w:p w14:paraId="1B5ACEA4" w14:textId="77777777" w:rsidR="00D17784" w:rsidRDefault="00D17784">
      <w:pPr>
        <w:pStyle w:val="Source"/>
      </w:pPr>
      <w:r>
        <w:t>Source: Commission estimates based on NAPLAN de-identified student level data (2022).</w:t>
      </w:r>
    </w:p>
    <w:p w14:paraId="05B63110" w14:textId="2B033244" w:rsidR="00D17784" w:rsidRDefault="00D17784" w:rsidP="00F073ED">
      <w:pPr>
        <w:pStyle w:val="Heading5"/>
      </w:pPr>
      <w:r>
        <w:t xml:space="preserve">A new, inclusive approach is needed for students from priority equity cohorts </w:t>
      </w:r>
    </w:p>
    <w:p w14:paraId="3984F13A" w14:textId="2BB8A411" w:rsidR="00D17784" w:rsidRDefault="00D17784">
      <w:pPr>
        <w:pStyle w:val="BodyText"/>
      </w:pPr>
      <w:r>
        <w:t>The label ‘priority equity cohorts’ masks</w:t>
      </w:r>
      <w:r w:rsidRPr="005B68B2">
        <w:t xml:space="preserve"> significant diversity in students’ learning needs</w:t>
      </w:r>
      <w:r>
        <w:t xml:space="preserve"> and educational aspirations. This diversity reflects</w:t>
      </w:r>
      <w:r w:rsidRPr="005B68B2">
        <w:t xml:space="preserve"> differences in </w:t>
      </w:r>
      <w:r>
        <w:t>their</w:t>
      </w:r>
      <w:r w:rsidRPr="005B68B2">
        <w:t xml:space="preserve"> life experiences, the education outcomes they value, their learning</w:t>
      </w:r>
      <w:r>
        <w:t xml:space="preserve"> and wellbeing</w:t>
      </w:r>
      <w:r w:rsidRPr="005B68B2">
        <w:t xml:space="preserve"> outcomes, and the nature of adjustment</w:t>
      </w:r>
      <w:r w:rsidR="007E50AF">
        <w:t>s</w:t>
      </w:r>
      <w:r w:rsidRPr="005B68B2">
        <w:t xml:space="preserve"> and supports they may require. </w:t>
      </w:r>
    </w:p>
    <w:p w14:paraId="3C2723AC" w14:textId="77777777" w:rsidR="00D17784" w:rsidRDefault="00D17784">
      <w:pPr>
        <w:pStyle w:val="BodyText"/>
      </w:pPr>
      <w:r>
        <w:t>Addressing the needs of these students relies on adopting a person-centred approach, which recognises that being in a priority equity cohort does not equate to disadvantage.</w:t>
      </w:r>
      <w:r w:rsidRPr="00A60FB9">
        <w:t xml:space="preserve"> </w:t>
      </w:r>
      <w:r>
        <w:t>Rather, it is the experiences of these students, both within and outside the education system that affects their educational achievement. The Indigenous Education Consultative Meeting observed:</w:t>
      </w:r>
    </w:p>
    <w:p w14:paraId="44906303" w14:textId="265913F9" w:rsidR="00D17784" w:rsidRDefault="00D17784">
      <w:pPr>
        <w:pStyle w:val="Quote"/>
      </w:pPr>
      <w:r w:rsidRPr="009D3016">
        <w:t>[The]</w:t>
      </w:r>
      <w:r w:rsidRPr="007C6F67">
        <w:t xml:space="preserve"> </w:t>
      </w:r>
      <w:r w:rsidRPr="00514757">
        <w:t>labelling of Aboriginal and Torres Strait Islander students and families as disadvantaged continues to play into a culture of deficit discourse and low expectations that stymie Aboriginal and Torres Strait Islander students’ ability to thrive in their education</w:t>
      </w:r>
      <w:r w:rsidRPr="009D3016">
        <w:rPr>
          <w:iCs/>
        </w:rPr>
        <w:t xml:space="preserve"> …</w:t>
      </w:r>
      <w:r w:rsidRPr="00514757">
        <w:t xml:space="preserve"> </w:t>
      </w:r>
      <w:r>
        <w:t>While Aboriginal and Torres Strait Islander students and communities face a range of complex and compounding circumstances that impact their educational engagement and outcomes, they are not inherently disadvantaged by being Indigenous</w:t>
      </w:r>
      <w:r w:rsidR="004F5CB3">
        <w:t>.</w:t>
      </w:r>
      <w:r>
        <w:t xml:space="preserve"> (sub. 52, p. 3)</w:t>
      </w:r>
    </w:p>
    <w:p w14:paraId="723348A6" w14:textId="77777777" w:rsidR="00D17784" w:rsidRPr="00FD69FF" w:rsidRDefault="00D17784" w:rsidP="00F453BC">
      <w:pPr>
        <w:pStyle w:val="Heading6"/>
      </w:pPr>
      <w:r w:rsidRPr="00FD69FF">
        <w:t>Aboriginal and Torres Strait Islander students, families and communities</w:t>
      </w:r>
    </w:p>
    <w:p w14:paraId="3476EAFC" w14:textId="7087BCD9" w:rsidR="00D17784" w:rsidRPr="002F6025" w:rsidRDefault="00D17784">
      <w:pPr>
        <w:pStyle w:val="BodyText"/>
        <w:rPr>
          <w:rStyle w:val="normaltextrun"/>
          <w:rFonts w:cs="Arial"/>
          <w:color w:val="000000"/>
          <w:spacing w:val="-4"/>
          <w:shd w:val="clear" w:color="auto" w:fill="FFFFFF"/>
        </w:rPr>
      </w:pPr>
      <w:r w:rsidRPr="002F6025">
        <w:rPr>
          <w:spacing w:val="-4"/>
        </w:rPr>
        <w:t xml:space="preserve">The importance of inclusive, person-centred approaches in responding to the distinct educational needs and aspirations of Aboriginal and Torres Strait Islander students was a recurring theme in consultations. The Commission has heard that some Aboriginal and Torres Strait Islander families and communities associate the education system with suppression of identity and language. Many stakeholders emphasised the </w:t>
      </w:r>
      <w:r w:rsidRPr="002F6025">
        <w:rPr>
          <w:rStyle w:val="normaltextrun"/>
          <w:rFonts w:cs="Arial"/>
          <w:color w:val="000000"/>
          <w:spacing w:val="-4"/>
          <w:shd w:val="clear" w:color="auto" w:fill="FFFFFF"/>
        </w:rPr>
        <w:t xml:space="preserve">importance of culturally responsive pedagogies (which value and embrace Aboriginal and Torres Strait Islander languages and ways of learning) and a culturally responsive curriculum (which integrates </w:t>
      </w:r>
      <w:r w:rsidR="00500024" w:rsidRPr="002F6025">
        <w:rPr>
          <w:rStyle w:val="normaltextrun"/>
          <w:rFonts w:cs="Arial"/>
          <w:color w:val="000000"/>
          <w:spacing w:val="-4"/>
          <w:shd w:val="clear" w:color="auto" w:fill="FFFFFF"/>
        </w:rPr>
        <w:t>A</w:t>
      </w:r>
      <w:r w:rsidRPr="002F6025">
        <w:rPr>
          <w:rStyle w:val="normaltextrun"/>
          <w:rFonts w:cs="Arial"/>
          <w:color w:val="000000"/>
          <w:spacing w:val="-4"/>
          <w:shd w:val="clear" w:color="auto" w:fill="FFFFFF"/>
        </w:rPr>
        <w:t>boriginal knowledge, culture and history) in creating a sense of belonging and inclusion for Aboriginal and Torres Strait Islander students. During consultations, an Aboriginal young person highlighted the importance of ‘two-way’ learning</w:t>
      </w:r>
      <w:r w:rsidR="00D57C39">
        <w:rPr>
          <w:rStyle w:val="normaltextrun"/>
          <w:rFonts w:cs="Arial"/>
          <w:color w:val="000000"/>
          <w:spacing w:val="-4"/>
          <w:shd w:val="clear" w:color="auto" w:fill="FFFFFF"/>
        </w:rPr>
        <w:t>:</w:t>
      </w:r>
    </w:p>
    <w:p w14:paraId="51EE767B" w14:textId="76FFF9A4" w:rsidR="000766C9" w:rsidRPr="0010117F" w:rsidRDefault="000766C9" w:rsidP="0010117F">
      <w:pPr>
        <w:pStyle w:val="Quote"/>
      </w:pPr>
      <w:r w:rsidRPr="0010117F">
        <w:t>A good education means getting everyone in the school to learn about Aboriginal culture, for non-Aboriginal people to learn about Aboriginal culture because we all live on Aboriginal land.</w:t>
      </w:r>
    </w:p>
    <w:p w14:paraId="13341BE6" w14:textId="5ABA7232" w:rsidR="00D17784" w:rsidRPr="007E1C14" w:rsidRDefault="00D17784">
      <w:pPr>
        <w:pStyle w:val="BodyText"/>
      </w:pPr>
      <w:r w:rsidRPr="0070327E">
        <w:t>Designing policy in collaboration with the people it is intended to support allow</w:t>
      </w:r>
      <w:r>
        <w:t>s</w:t>
      </w:r>
      <w:r w:rsidRPr="0070327E">
        <w:t xml:space="preserve"> for a deeper understanding of the issues certain students face and </w:t>
      </w:r>
      <w:r w:rsidR="0010117F">
        <w:t xml:space="preserve">the </w:t>
      </w:r>
      <w:r w:rsidRPr="0070327E">
        <w:t>policy responses that are most appropriate</w:t>
      </w:r>
      <w:r>
        <w:t xml:space="preserve">. Under the NSRA, State and Territory </w:t>
      </w:r>
      <w:r w:rsidR="005D2B2A">
        <w:t>G</w:t>
      </w:r>
      <w:r>
        <w:t xml:space="preserve">overnments are responsible for engaging with Aboriginal and Torres Strait Islander communities on the implementation of reforms. Since the NSRA’s inception, all Australian </w:t>
      </w:r>
      <w:r w:rsidR="009E554D">
        <w:t>G</w:t>
      </w:r>
      <w:r>
        <w:t>overnments, and the Coalition of Aboriginal and Torres Strait Islander Peak Organisations, agreed the 2020 Closing the Gap Agreement. Th</w:t>
      </w:r>
      <w:r w:rsidR="00AF0F43">
        <w:t>is agreement</w:t>
      </w:r>
      <w:r>
        <w:t xml:space="preserve"> focuses on shared decision making with Aboriginal and Torres Strait Islander people, representing a new way of working for </w:t>
      </w:r>
      <w:r w:rsidR="005F579D">
        <w:t>G</w:t>
      </w:r>
      <w:r>
        <w:t xml:space="preserve">overnments across all policy areas, including education. </w:t>
      </w:r>
    </w:p>
    <w:p w14:paraId="511EF024" w14:textId="2B90FB3E" w:rsidR="00D17784" w:rsidRDefault="00D17784" w:rsidP="00F453BC">
      <w:pPr>
        <w:pStyle w:val="Heading6"/>
      </w:pPr>
      <w:r w:rsidRPr="00C377C5">
        <w:t>Students with disability</w:t>
      </w:r>
    </w:p>
    <w:p w14:paraId="2AEF67A7" w14:textId="150C92EC" w:rsidR="00D17784" w:rsidRDefault="00D17784">
      <w:pPr>
        <w:pStyle w:val="BodyText"/>
        <w:keepLines/>
      </w:pPr>
      <w:r>
        <w:t>Students with d</w:t>
      </w:r>
      <w:r w:rsidRPr="006E1471">
        <w:t>isability</w:t>
      </w:r>
      <w:r>
        <w:t xml:space="preserve"> can face various barriers in accessing a high quality education that recognises their learning needs. A</w:t>
      </w:r>
      <w:r w:rsidRPr="005B68B2">
        <w:t xml:space="preserve"> </w:t>
      </w:r>
      <w:r>
        <w:t xml:space="preserve">common </w:t>
      </w:r>
      <w:r w:rsidRPr="005B68B2">
        <w:t xml:space="preserve">concern </w:t>
      </w:r>
      <w:r w:rsidR="00051C6F">
        <w:t xml:space="preserve">raised by stakeholders </w:t>
      </w:r>
      <w:r>
        <w:t>i</w:t>
      </w:r>
      <w:r w:rsidRPr="005B68B2">
        <w:t xml:space="preserve">s that </w:t>
      </w:r>
      <w:r w:rsidR="00C80507">
        <w:t>some</w:t>
      </w:r>
      <w:r w:rsidRPr="005B68B2">
        <w:t xml:space="preserve"> schools</w:t>
      </w:r>
      <w:r>
        <w:t xml:space="preserve"> in Australia continue </w:t>
      </w:r>
      <w:r w:rsidR="000D6480">
        <w:t xml:space="preserve">to </w:t>
      </w:r>
      <w:r w:rsidRPr="005B68B2">
        <w:t>use a ‘manage</w:t>
      </w:r>
      <w:r>
        <w:noBreakHyphen/>
      </w:r>
      <w:r w:rsidRPr="005B68B2">
        <w:t>and</w:t>
      </w:r>
      <w:r>
        <w:noBreakHyphen/>
      </w:r>
      <w:r w:rsidRPr="005B68B2">
        <w:t>discipline’ model</w:t>
      </w:r>
      <w:r>
        <w:t xml:space="preserve">, which can result in </w:t>
      </w:r>
      <w:r w:rsidR="00051C6F">
        <w:t xml:space="preserve">some </w:t>
      </w:r>
      <w:r w:rsidRPr="005B68B2">
        <w:t xml:space="preserve">students with disability being sanctioned instead of being given the behavioural supports they need, contributing to their disengagement from education. </w:t>
      </w:r>
      <w:r w:rsidRPr="008034D1">
        <w:t>A 2</w:t>
      </w:r>
      <w:r w:rsidRPr="00FE5C04">
        <w:t>019</w:t>
      </w:r>
      <w:r w:rsidRPr="008034D1">
        <w:t xml:space="preserve"> survey of students with disability and their parents</w:t>
      </w:r>
      <w:r w:rsidR="009F527F">
        <w:t>,</w:t>
      </w:r>
      <w:r w:rsidRPr="008034D1">
        <w:t xml:space="preserve"> conducted by Children and Young People with a Disability Australia</w:t>
      </w:r>
      <w:r w:rsidR="009F527F">
        <w:t>,</w:t>
      </w:r>
      <w:r w:rsidRPr="008034D1">
        <w:t xml:space="preserve"> found that 14</w:t>
      </w:r>
      <w:r w:rsidR="009F527F">
        <w:t> </w:t>
      </w:r>
      <w:r w:rsidRPr="008034D1">
        <w:t>per</w:t>
      </w:r>
      <w:r w:rsidR="009F527F">
        <w:t> </w:t>
      </w:r>
      <w:r w:rsidRPr="008034D1">
        <w:t xml:space="preserve">cent of participants had been suspended from school, </w:t>
      </w:r>
      <w:r>
        <w:t xml:space="preserve">almost </w:t>
      </w:r>
      <w:r w:rsidRPr="008034D1">
        <w:t>one in five did</w:t>
      </w:r>
      <w:r>
        <w:t xml:space="preserve"> not</w:t>
      </w:r>
      <w:r w:rsidRPr="008034D1">
        <w:t xml:space="preserve"> attend school full time, and one in ten had been refused enrolment.</w:t>
      </w:r>
      <w:r>
        <w:t xml:space="preserve">  </w:t>
      </w:r>
    </w:p>
    <w:p w14:paraId="3D682B97" w14:textId="0D1E1ED8" w:rsidR="00D17784" w:rsidRPr="00C377C5" w:rsidRDefault="00D17784">
      <w:pPr>
        <w:pStyle w:val="BodyText"/>
        <w:keepLines/>
      </w:pPr>
      <w:r>
        <w:t xml:space="preserve">Students with disability also related feeling discriminated against </w:t>
      </w:r>
      <w:r w:rsidR="00C97FD4">
        <w:t>at</w:t>
      </w:r>
      <w:r>
        <w:t xml:space="preserve"> school</w:t>
      </w:r>
      <w:r w:rsidR="00C97FD4">
        <w:t xml:space="preserve"> </w:t>
      </w:r>
      <w:r>
        <w:t>in the form of lowered expectation</w:t>
      </w:r>
      <w:r w:rsidR="00C97FD4">
        <w:t>s</w:t>
      </w:r>
      <w:r>
        <w:t xml:space="preserve"> and lack of understand</w:t>
      </w:r>
      <w:r w:rsidR="00C97FD4">
        <w:t>ing</w:t>
      </w:r>
      <w:r>
        <w:t xml:space="preserve"> and support </w:t>
      </w:r>
      <w:r w:rsidR="00012C1A">
        <w:t xml:space="preserve">for </w:t>
      </w:r>
      <w:r>
        <w:t xml:space="preserve">their learning aspirations. </w:t>
      </w:r>
      <w:r w:rsidR="00C86F0C">
        <w:t>Students noted that t</w:t>
      </w:r>
      <w:r>
        <w:t xml:space="preserve">hese experiences often reduced their confidence in their ability to complete, and succeed </w:t>
      </w:r>
      <w:r w:rsidR="00C86F0C">
        <w:t>in,</w:t>
      </w:r>
      <w:r>
        <w:t xml:space="preserve"> their education.</w:t>
      </w:r>
    </w:p>
    <w:p w14:paraId="605D02FD" w14:textId="77777777" w:rsidR="00D17784" w:rsidRPr="00DD1487" w:rsidRDefault="00D17784" w:rsidP="00F453BC">
      <w:pPr>
        <w:pStyle w:val="Heading6"/>
      </w:pPr>
      <w:r w:rsidRPr="00DD1487">
        <w:t xml:space="preserve">A person-centred approach is key </w:t>
      </w:r>
      <w:r>
        <w:t>for addressing complex needs</w:t>
      </w:r>
    </w:p>
    <w:p w14:paraId="6B489A85" w14:textId="10B6A5E3" w:rsidR="00D17784" w:rsidRDefault="00D17784">
      <w:pPr>
        <w:pStyle w:val="BodyText"/>
      </w:pPr>
      <w:r w:rsidRPr="009173AA">
        <w:t xml:space="preserve">There can be multiple factors that increase the challenges of providing high quality education for some students. Where these factors intersect, the </w:t>
      </w:r>
      <w:r w:rsidR="00371ED0">
        <w:t>e</w:t>
      </w:r>
      <w:r w:rsidRPr="009173AA">
        <w:t xml:space="preserve">ffects can be </w:t>
      </w:r>
      <w:r w:rsidRPr="009D7D51">
        <w:t>compounding, further reinforcing the need for person-centred approaches. While the NSRA identifies distinct equity cohorts, about 20 per cent of students in priority equity cohorts belong to more than one cohort. As an example, Aboriginal and Torres Strait Islander children are more than twice as likely as non-</w:t>
      </w:r>
      <w:r w:rsidR="00F262FB" w:rsidRPr="00176A02">
        <w:t>Aboriginal and Torres Strait Islander</w:t>
      </w:r>
      <w:r w:rsidRPr="009D7D51">
        <w:t xml:space="preserve"> children to have a disability.</w:t>
      </w:r>
      <w:r w:rsidRPr="009D7D51">
        <w:rPr>
          <w:rStyle w:val="FootnoteReference"/>
        </w:rPr>
        <w:footnoteReference w:id="17"/>
      </w:r>
      <w:r w:rsidRPr="009D7D51">
        <w:t xml:space="preserve"> </w:t>
      </w:r>
      <w:r w:rsidR="00711674">
        <w:t>S</w:t>
      </w:r>
      <w:r w:rsidRPr="009D7D51">
        <w:t>ome stakeholders observed that disability among Aboriginal and Torres Strait Islander students is not always picked up, and instead is treated as ‘misbehaviour’ and that these students are over-represented in school exclusions.</w:t>
      </w:r>
    </w:p>
    <w:p w14:paraId="5B5CCEC2" w14:textId="70A25218" w:rsidR="00D17784" w:rsidRDefault="00D17784">
      <w:pPr>
        <w:pStyle w:val="BodyText"/>
      </w:pPr>
      <w:r w:rsidRPr="005B68B2">
        <w:t xml:space="preserve">Families in regional, rural and remote areas </w:t>
      </w:r>
      <w:r>
        <w:t>can</w:t>
      </w:r>
      <w:r w:rsidRPr="005B68B2">
        <w:t xml:space="preserve"> have limited choice in where and how they educate their children.</w:t>
      </w:r>
      <w:r>
        <w:t xml:space="preserve"> Difficulties accessing education that meets student learning needs </w:t>
      </w:r>
      <w:r w:rsidR="00E632CD">
        <w:t>in remote areas</w:t>
      </w:r>
      <w:r>
        <w:t xml:space="preserve"> can be particularly acute for student</w:t>
      </w:r>
      <w:r w:rsidR="00E632CD">
        <w:t>s</w:t>
      </w:r>
      <w:r>
        <w:t xml:space="preserve"> with disability and disproportionately affect </w:t>
      </w:r>
      <w:r w:rsidRPr="001611E6">
        <w:t>Aboriginal and Torres Strait Islander students</w:t>
      </w:r>
      <w:r>
        <w:t xml:space="preserve">. </w:t>
      </w:r>
    </w:p>
    <w:p w14:paraId="1274DECB" w14:textId="010816B2" w:rsidR="00D17784" w:rsidRDefault="00D17784">
      <w:pPr>
        <w:pStyle w:val="BodyText"/>
      </w:pPr>
      <w:r>
        <w:t xml:space="preserve">The Commission seeks feedback </w:t>
      </w:r>
      <w:r w:rsidR="00BE1BEC">
        <w:t>on whether ITE adequately equips t</w:t>
      </w:r>
      <w:r w:rsidR="00BE1BEC" w:rsidRPr="008D31D5">
        <w:t xml:space="preserve">eachers to </w:t>
      </w:r>
      <w:r w:rsidR="00BE1BEC">
        <w:t xml:space="preserve">identify and </w:t>
      </w:r>
      <w:r w:rsidR="00BE1BEC" w:rsidRPr="008D31D5">
        <w:t xml:space="preserve">respond to the needs of </w:t>
      </w:r>
      <w:r w:rsidR="00BE1BEC">
        <w:t xml:space="preserve">students from </w:t>
      </w:r>
      <w:r w:rsidR="00BE1BEC" w:rsidRPr="008D31D5">
        <w:t>priority equity cohorts</w:t>
      </w:r>
      <w:r w:rsidR="0083540E">
        <w:t>.</w:t>
      </w:r>
      <w:r w:rsidR="00BE1BEC">
        <w:t xml:space="preserve"> </w:t>
      </w:r>
      <w:r w:rsidR="0083540E">
        <w:t xml:space="preserve">The Commission also invites feedback on whether </w:t>
      </w:r>
      <w:r>
        <w:t xml:space="preserve">more can be done to further embed the views of priority equity cohorts in national education policies and the merits of establishing a national Indigenous consultative body on education. </w:t>
      </w:r>
    </w:p>
    <w:p w14:paraId="2893BDF5" w14:textId="77777777" w:rsidR="00D17784" w:rsidRDefault="00D17784" w:rsidP="00F453BC">
      <w:pPr>
        <w:pStyle w:val="Heading6"/>
      </w:pPr>
      <w:r>
        <w:t xml:space="preserve">Priority equity cohorts do not capture all students experiencing educational disadvantage </w:t>
      </w:r>
    </w:p>
    <w:p w14:paraId="46EB19EC" w14:textId="77777777" w:rsidR="00D17784" w:rsidRDefault="00D17784">
      <w:r>
        <w:t>There are some groups of students that could reasonably</w:t>
      </w:r>
      <w:r w:rsidRPr="0002607E">
        <w:t xml:space="preserve"> </w:t>
      </w:r>
      <w:r>
        <w:t xml:space="preserve">be included as a </w:t>
      </w:r>
      <w:r w:rsidRPr="0002607E">
        <w:t xml:space="preserve">priority equity cohort in </w:t>
      </w:r>
      <w:r>
        <w:t>a new agreement.</w:t>
      </w:r>
      <w:r w:rsidRPr="0002607E">
        <w:t xml:space="preserve"> </w:t>
      </w:r>
    </w:p>
    <w:p w14:paraId="444E5C3C" w14:textId="7C416426" w:rsidR="00D17784" w:rsidRDefault="00D17784" w:rsidP="008940C9">
      <w:pPr>
        <w:pStyle w:val="ListBullet"/>
      </w:pPr>
      <w:r>
        <w:t>S</w:t>
      </w:r>
      <w:r w:rsidRPr="0099669C">
        <w:t xml:space="preserve">tudents </w:t>
      </w:r>
      <w:r w:rsidRPr="00566217">
        <w:t>with</w:t>
      </w:r>
      <w:r w:rsidRPr="0099669C">
        <w:t xml:space="preserve"> English as </w:t>
      </w:r>
      <w:r w:rsidRPr="00566217">
        <w:t>an</w:t>
      </w:r>
      <w:r w:rsidRPr="0099669C">
        <w:t xml:space="preserve"> additional language </w:t>
      </w:r>
      <w:r w:rsidR="008B10B7">
        <w:t xml:space="preserve">or dialect </w:t>
      </w:r>
      <w:r>
        <w:t xml:space="preserve">often </w:t>
      </w:r>
      <w:r w:rsidRPr="0099669C">
        <w:t>require specific support</w:t>
      </w:r>
      <w:r w:rsidR="009317DF">
        <w:t xml:space="preserve"> at school</w:t>
      </w:r>
      <w:r>
        <w:t xml:space="preserve">. This can include support to build English language skills to </w:t>
      </w:r>
      <w:r w:rsidRPr="0099669C">
        <w:t>access the general curriculum</w:t>
      </w:r>
      <w:r>
        <w:rPr>
          <w:rStyle w:val="FootnoteReference"/>
        </w:rPr>
        <w:footnoteReference w:id="18"/>
      </w:r>
      <w:r>
        <w:t xml:space="preserve">, as well as </w:t>
      </w:r>
      <w:r w:rsidRPr="0099669C">
        <w:t>social, emotional and cultural</w:t>
      </w:r>
      <w:r>
        <w:t xml:space="preserve"> </w:t>
      </w:r>
      <w:r w:rsidRPr="00946498">
        <w:t>support</w:t>
      </w:r>
      <w:r w:rsidRPr="0099669C">
        <w:t xml:space="preserve"> </w:t>
      </w:r>
      <w:r>
        <w:t>(</w:t>
      </w:r>
      <w:r w:rsidRPr="0099669C">
        <w:t xml:space="preserve">as their social and cultural expectations </w:t>
      </w:r>
      <w:r>
        <w:t xml:space="preserve">can </w:t>
      </w:r>
      <w:r w:rsidRPr="0099669C">
        <w:t>vary greatly</w:t>
      </w:r>
      <w:r>
        <w:t>)</w:t>
      </w:r>
      <w:r w:rsidRPr="0099669C">
        <w:t xml:space="preserve">. </w:t>
      </w:r>
    </w:p>
    <w:p w14:paraId="0D353A0C" w14:textId="77777777" w:rsidR="00D17784" w:rsidRDefault="00D17784" w:rsidP="008940C9">
      <w:pPr>
        <w:pStyle w:val="ListBullet"/>
      </w:pPr>
      <w:r>
        <w:t>C</w:t>
      </w:r>
      <w:r w:rsidRPr="0099669C">
        <w:t xml:space="preserve">hildren and young people living in out-of-home care are at greater risk of poorer educational outcomes than </w:t>
      </w:r>
      <w:r>
        <w:t>peers</w:t>
      </w:r>
      <w:r w:rsidRPr="0099669C">
        <w:t xml:space="preserve"> in the broader community. </w:t>
      </w:r>
      <w:r w:rsidRPr="00946498">
        <w:t xml:space="preserve">Young people in out-of-home care tend to move between care settings, and therefore </w:t>
      </w:r>
      <w:r>
        <w:t>schools.</w:t>
      </w:r>
      <w:r w:rsidRPr="0099669C">
        <w:t xml:space="preserve"> They are considerably less likely than their peers to attend school and engage with education</w:t>
      </w:r>
      <w:r>
        <w:t xml:space="preserve">. </w:t>
      </w:r>
      <w:r w:rsidRPr="0099669C">
        <w:t>They typically require more intensive support from teachers and schools.</w:t>
      </w:r>
      <w:r>
        <w:rPr>
          <w:rStyle w:val="FootnoteReference"/>
        </w:rPr>
        <w:footnoteReference w:id="19"/>
      </w:r>
    </w:p>
    <w:p w14:paraId="4E00A671" w14:textId="02972F51" w:rsidR="00D17784" w:rsidRPr="002C2FA2" w:rsidRDefault="00D17784" w:rsidP="00F453BC">
      <w:pPr>
        <w:pStyle w:val="Heading6"/>
        <w:rPr>
          <w:rStyle w:val="normaltextrun"/>
        </w:rPr>
      </w:pPr>
      <w:r>
        <w:t>Bilateral initiatives should</w:t>
      </w:r>
      <w:r w:rsidRPr="002C2FA2">
        <w:t xml:space="preserve"> give greater prominence to supporting outcomes for </w:t>
      </w:r>
      <w:r>
        <w:t xml:space="preserve">students from </w:t>
      </w:r>
      <w:r w:rsidR="00B100E9">
        <w:t xml:space="preserve">priority </w:t>
      </w:r>
      <w:r w:rsidRPr="002C2FA2">
        <w:t>equity cohorts</w:t>
      </w:r>
    </w:p>
    <w:p w14:paraId="09FE0CDA" w14:textId="1CC039B2" w:rsidR="00D17784" w:rsidRPr="00CC7DEC" w:rsidRDefault="00D17784" w:rsidP="00CC7DEC">
      <w:pPr>
        <w:pStyle w:val="BodyText"/>
        <w:rPr>
          <w:rFonts w:ascii="Arial" w:hAnsi="Arial"/>
          <w:spacing w:val="-2"/>
          <w:highlight w:val="yellow"/>
        </w:rPr>
      </w:pPr>
      <w:r w:rsidRPr="00CC7DEC">
        <w:rPr>
          <w:rStyle w:val="normaltextrun"/>
          <w:rFonts w:ascii="Arial" w:hAnsi="Arial" w:cs="Arial"/>
          <w:spacing w:val="-2"/>
        </w:rPr>
        <w:t>Bilateral agreements were the intended vehicle for addressing equity issues.</w:t>
      </w:r>
      <w:r w:rsidRPr="00CC7DEC">
        <w:rPr>
          <w:rStyle w:val="FootnoteReference"/>
          <w:rFonts w:ascii="Arial" w:hAnsi="Arial" w:cs="Arial"/>
          <w:spacing w:val="-2"/>
        </w:rPr>
        <w:footnoteReference w:id="20"/>
      </w:r>
      <w:r w:rsidRPr="00CC7DEC">
        <w:rPr>
          <w:rStyle w:val="normaltextrun"/>
          <w:rFonts w:ascii="Arial" w:hAnsi="Arial" w:cs="Arial"/>
          <w:spacing w:val="-2"/>
        </w:rPr>
        <w:t xml:space="preserve"> </w:t>
      </w:r>
      <w:r w:rsidRPr="00CC7DEC">
        <w:rPr>
          <w:rFonts w:ascii="Arial" w:hAnsi="Arial"/>
          <w:spacing w:val="-2"/>
        </w:rPr>
        <w:t xml:space="preserve">In practice, this has not always occurred. </w:t>
      </w:r>
      <w:r w:rsidR="004479AE" w:rsidRPr="00CC7DEC">
        <w:rPr>
          <w:rFonts w:ascii="Arial" w:hAnsi="Arial"/>
          <w:spacing w:val="-2"/>
        </w:rPr>
        <w:t xml:space="preserve">The NSRA does not appear to have spurred many new reforms to lift outcomes for students from </w:t>
      </w:r>
      <w:r w:rsidR="002C48FB">
        <w:rPr>
          <w:rFonts w:ascii="Arial" w:hAnsi="Arial"/>
          <w:spacing w:val="-2"/>
        </w:rPr>
        <w:t xml:space="preserve">priority </w:t>
      </w:r>
      <w:r w:rsidR="004479AE" w:rsidRPr="00CC7DEC">
        <w:rPr>
          <w:rFonts w:ascii="Arial" w:hAnsi="Arial"/>
          <w:spacing w:val="-2"/>
        </w:rPr>
        <w:t>equity cohorts.</w:t>
      </w:r>
      <w:r w:rsidR="004479AE">
        <w:rPr>
          <w:rFonts w:ascii="Arial" w:hAnsi="Arial"/>
          <w:spacing w:val="-2"/>
        </w:rPr>
        <w:t xml:space="preserve"> </w:t>
      </w:r>
      <w:r w:rsidRPr="00CC7DEC">
        <w:rPr>
          <w:rFonts w:ascii="Arial" w:hAnsi="Arial"/>
          <w:spacing w:val="-2"/>
        </w:rPr>
        <w:t xml:space="preserve">Many bilateral agreements </w:t>
      </w:r>
      <w:r w:rsidRPr="00CC7DEC" w:rsidDel="005063B4">
        <w:rPr>
          <w:rFonts w:ascii="Arial" w:hAnsi="Arial"/>
          <w:spacing w:val="-2"/>
        </w:rPr>
        <w:t>fail to</w:t>
      </w:r>
      <w:r w:rsidRPr="00CC7DEC">
        <w:rPr>
          <w:rFonts w:ascii="Arial" w:hAnsi="Arial"/>
          <w:spacing w:val="-2"/>
        </w:rPr>
        <w:t xml:space="preserve"> address </w:t>
      </w:r>
      <w:r w:rsidRPr="00CC7DEC" w:rsidDel="007478FD">
        <w:rPr>
          <w:rFonts w:ascii="Arial" w:hAnsi="Arial"/>
          <w:spacing w:val="-2"/>
        </w:rPr>
        <w:t xml:space="preserve">each </w:t>
      </w:r>
      <w:r w:rsidRPr="00CC7DEC" w:rsidDel="00996D32">
        <w:rPr>
          <w:rFonts w:ascii="Arial" w:hAnsi="Arial"/>
          <w:spacing w:val="-2"/>
        </w:rPr>
        <w:t xml:space="preserve">and </w:t>
      </w:r>
      <w:r w:rsidRPr="00CC7DEC">
        <w:rPr>
          <w:rFonts w:ascii="Arial" w:hAnsi="Arial"/>
          <w:spacing w:val="-2"/>
        </w:rPr>
        <w:t xml:space="preserve">all of the </w:t>
      </w:r>
      <w:r w:rsidR="006B67F5">
        <w:rPr>
          <w:rFonts w:ascii="Arial" w:hAnsi="Arial"/>
          <w:spacing w:val="-2"/>
        </w:rPr>
        <w:t xml:space="preserve">priority </w:t>
      </w:r>
      <w:r w:rsidRPr="00CC7DEC">
        <w:rPr>
          <w:rFonts w:ascii="Arial" w:hAnsi="Arial"/>
          <w:spacing w:val="-2"/>
        </w:rPr>
        <w:t xml:space="preserve">equity cohorts </w:t>
      </w:r>
      <w:r w:rsidRPr="00CC7DEC" w:rsidDel="005063B4">
        <w:rPr>
          <w:rFonts w:ascii="Arial" w:hAnsi="Arial"/>
          <w:spacing w:val="-2"/>
        </w:rPr>
        <w:t xml:space="preserve">mentioned </w:t>
      </w:r>
      <w:r w:rsidRPr="00CC7DEC">
        <w:rPr>
          <w:rFonts w:ascii="Arial" w:hAnsi="Arial"/>
          <w:spacing w:val="-2"/>
        </w:rPr>
        <w:t xml:space="preserve">in the </w:t>
      </w:r>
      <w:r w:rsidR="0005524C">
        <w:rPr>
          <w:rFonts w:ascii="Arial" w:hAnsi="Arial"/>
          <w:spacing w:val="-2"/>
        </w:rPr>
        <w:t>agreement</w:t>
      </w:r>
      <w:r w:rsidRPr="00CC7DEC">
        <w:rPr>
          <w:rFonts w:ascii="Arial" w:hAnsi="Arial"/>
          <w:spacing w:val="-2"/>
        </w:rPr>
        <w:t>. Where reforms are listed, there is often little information to show how proposed actions will contribute to desired outcomes. The</w:t>
      </w:r>
      <w:r w:rsidRPr="00CC7DEC" w:rsidDel="002D77CA">
        <w:rPr>
          <w:rFonts w:ascii="Arial" w:hAnsi="Arial"/>
          <w:spacing w:val="-2"/>
        </w:rPr>
        <w:t xml:space="preserve"> </w:t>
      </w:r>
      <w:r w:rsidRPr="00CC7DEC">
        <w:rPr>
          <w:rFonts w:ascii="Arial" w:hAnsi="Arial"/>
          <w:spacing w:val="-2"/>
        </w:rPr>
        <w:t xml:space="preserve">result is minimal visibility on how jurisdictions are fulfilling their commitments. </w:t>
      </w:r>
    </w:p>
    <w:p w14:paraId="723FCBD4" w14:textId="0A865C4E" w:rsidR="00D17784" w:rsidRPr="002C2FA2" w:rsidRDefault="00D17784" w:rsidP="00CC7DEC">
      <w:pPr>
        <w:pStyle w:val="BodyText"/>
      </w:pPr>
      <w:r w:rsidRPr="002C2FA2">
        <w:t xml:space="preserve">There is a strong case for </w:t>
      </w:r>
      <w:r w:rsidR="009317DF">
        <w:t>S</w:t>
      </w:r>
      <w:r w:rsidRPr="002C2FA2">
        <w:t xml:space="preserve">tate and </w:t>
      </w:r>
      <w:r w:rsidR="009317DF">
        <w:t>T</w:t>
      </w:r>
      <w:r w:rsidRPr="002C2FA2">
        <w:t xml:space="preserve">erritory </w:t>
      </w:r>
      <w:r w:rsidR="009317DF">
        <w:t>G</w:t>
      </w:r>
      <w:r w:rsidRPr="002C2FA2">
        <w:t>overnments to continue to take the lead</w:t>
      </w:r>
      <w:r w:rsidRPr="002C2FA2">
        <w:rPr>
          <w:color w:val="265A9A" w:themeColor="background2"/>
        </w:rPr>
        <w:t xml:space="preserve"> </w:t>
      </w:r>
      <w:r w:rsidRPr="002C2FA2">
        <w:t xml:space="preserve">on implementing reforms to reduce barriers faced by </w:t>
      </w:r>
      <w:r w:rsidR="00AE649E">
        <w:t xml:space="preserve">students from </w:t>
      </w:r>
      <w:r w:rsidRPr="002C2FA2">
        <w:t xml:space="preserve">priority equity cohorts </w:t>
      </w:r>
      <w:r w:rsidRPr="002C2FA2">
        <w:rPr>
          <w:rFonts w:cstheme="minorHAnsi"/>
        </w:rPr>
        <w:t xml:space="preserve">— </w:t>
      </w:r>
      <w:r w:rsidRPr="002C2FA2">
        <w:t>they are best placed to design initiatives that reflect local</w:t>
      </w:r>
      <w:r w:rsidRPr="002C2FA2" w:rsidDel="00C34D6E">
        <w:t xml:space="preserve"> </w:t>
      </w:r>
      <w:r>
        <w:t>conditions</w:t>
      </w:r>
      <w:r w:rsidRPr="002C2FA2">
        <w:t xml:space="preserve"> and are tailored to meet their students’ needs. </w:t>
      </w:r>
      <w:r>
        <w:t xml:space="preserve">However, </w:t>
      </w:r>
      <w:r w:rsidRPr="002C2FA2">
        <w:t>a more systematic</w:t>
      </w:r>
      <w:r>
        <w:t xml:space="preserve"> and transparent</w:t>
      </w:r>
      <w:r w:rsidRPr="002C2FA2">
        <w:t xml:space="preserve"> approach </w:t>
      </w:r>
      <w:r>
        <w:t xml:space="preserve">is required. </w:t>
      </w:r>
    </w:p>
    <w:p w14:paraId="147B6C8B" w14:textId="27694598" w:rsidR="00D17784" w:rsidRPr="00CB056F" w:rsidRDefault="00D17784" w:rsidP="00CC7DEC">
      <w:pPr>
        <w:pStyle w:val="BodyText"/>
      </w:pPr>
      <w:r>
        <w:t>One</w:t>
      </w:r>
      <w:r w:rsidRPr="002C2FA2">
        <w:t xml:space="preserve"> approach </w:t>
      </w:r>
      <w:r>
        <w:t>for giving</w:t>
      </w:r>
      <w:r w:rsidRPr="002C2FA2">
        <w:t xml:space="preserve"> greater prominence to priority </w:t>
      </w:r>
      <w:r w:rsidR="00763DD9">
        <w:t xml:space="preserve">equity </w:t>
      </w:r>
      <w:r w:rsidRPr="002C2FA2">
        <w:t xml:space="preserve">cohorts in the next agreement </w:t>
      </w:r>
      <w:r>
        <w:t xml:space="preserve">would be for parties to develop </w:t>
      </w:r>
      <w:r w:rsidRPr="002C2FA2">
        <w:t xml:space="preserve">implementation plans </w:t>
      </w:r>
      <w:r>
        <w:t>that</w:t>
      </w:r>
      <w:r w:rsidRPr="004F569A">
        <w:t xml:space="preserve"> set out </w:t>
      </w:r>
      <w:r w:rsidRPr="002C2FA2">
        <w:t xml:space="preserve">new and </w:t>
      </w:r>
      <w:r>
        <w:t>established</w:t>
      </w:r>
      <w:r w:rsidRPr="004F569A">
        <w:t xml:space="preserve"> reforms</w:t>
      </w:r>
      <w:r>
        <w:t xml:space="preserve"> intended to improve </w:t>
      </w:r>
      <w:r w:rsidRPr="002C2FA2">
        <w:t xml:space="preserve">outcomes for </w:t>
      </w:r>
      <w:r w:rsidR="00AE649E">
        <w:t xml:space="preserve">students from </w:t>
      </w:r>
      <w:r>
        <w:t>each priority equity</w:t>
      </w:r>
      <w:r w:rsidRPr="002C2FA2">
        <w:t xml:space="preserve"> cohort</w:t>
      </w:r>
      <w:r>
        <w:t xml:space="preserve">. In consultation with stakeholders, the parties </w:t>
      </w:r>
      <w:r w:rsidR="00AC7A2B">
        <w:t>c</w:t>
      </w:r>
      <w:r>
        <w:t xml:space="preserve">ould release plans </w:t>
      </w:r>
      <w:r w:rsidR="00AC7A2B">
        <w:t>that</w:t>
      </w:r>
      <w:r>
        <w:t xml:space="preserve"> identify </w:t>
      </w:r>
      <w:r w:rsidRPr="004F569A">
        <w:t xml:space="preserve">the </w:t>
      </w:r>
      <w:r>
        <w:t xml:space="preserve">desired </w:t>
      </w:r>
      <w:r w:rsidRPr="004F569A">
        <w:t xml:space="preserve">outcomes and the data </w:t>
      </w:r>
      <w:r>
        <w:t>to be</w:t>
      </w:r>
      <w:r w:rsidRPr="004F569A">
        <w:t xml:space="preserve"> collect</w:t>
      </w:r>
      <w:r>
        <w:t>ed</w:t>
      </w:r>
      <w:r w:rsidRPr="004F569A">
        <w:t xml:space="preserve"> to track progress</w:t>
      </w:r>
      <w:r>
        <w:t xml:space="preserve">. This would </w:t>
      </w:r>
      <w:r w:rsidRPr="002C2FA2">
        <w:t xml:space="preserve">provide a clearer picture of </w:t>
      </w:r>
      <w:r>
        <w:t>jurisdictions’</w:t>
      </w:r>
      <w:r w:rsidRPr="002C2FA2">
        <w:t xml:space="preserve"> effort</w:t>
      </w:r>
      <w:r>
        <w:t>s</w:t>
      </w:r>
      <w:r w:rsidRPr="002C2FA2">
        <w:t xml:space="preserve"> </w:t>
      </w:r>
      <w:r>
        <w:t xml:space="preserve">to achieve a </w:t>
      </w:r>
      <w:r w:rsidRPr="002C2FA2">
        <w:t>high equity</w:t>
      </w:r>
      <w:r>
        <w:t xml:space="preserve"> system</w:t>
      </w:r>
      <w:r w:rsidRPr="002C2FA2">
        <w:t>.</w:t>
      </w:r>
    </w:p>
    <w:p w14:paraId="5DFFD2F5" w14:textId="77777777" w:rsidR="00D17784" w:rsidRPr="00CF3AF5" w:rsidRDefault="00D17784" w:rsidP="00EA4609">
      <w:pPr>
        <w:pStyle w:val="Heading4"/>
      </w:pPr>
      <w:r>
        <w:t>Addressing p</w:t>
      </w:r>
      <w:r w:rsidRPr="6FBFCAA2">
        <w:t xml:space="preserve">oor </w:t>
      </w:r>
      <w:r>
        <w:t>student w</w:t>
      </w:r>
      <w:r w:rsidRPr="6FBFCAA2">
        <w:t>ellbeing</w:t>
      </w:r>
    </w:p>
    <w:p w14:paraId="3A4CDF44" w14:textId="5EB02A0E" w:rsidR="00D17784" w:rsidRDefault="00D17784" w:rsidP="00961A42">
      <w:pPr>
        <w:pStyle w:val="Heading5"/>
      </w:pPr>
      <w:r>
        <w:t>Many students experience poor wellbeing but there are no focused reforms to address this i</w:t>
      </w:r>
      <w:r w:rsidR="00F22C2C">
        <w:t>n</w:t>
      </w:r>
      <w:r>
        <w:t xml:space="preserve"> the NSRA</w:t>
      </w:r>
    </w:p>
    <w:p w14:paraId="321DFA83" w14:textId="4C2E9667" w:rsidR="00D17784" w:rsidRPr="00423073" w:rsidRDefault="00D17784">
      <w:pPr>
        <w:pStyle w:val="BodyText"/>
        <w:rPr>
          <w:spacing w:val="-4"/>
        </w:rPr>
      </w:pPr>
      <w:r w:rsidRPr="00423073">
        <w:rPr>
          <w:spacing w:val="-4"/>
        </w:rPr>
        <w:t>Student wellbeing is both a desired outcome of schooling</w:t>
      </w:r>
      <w:r w:rsidRPr="00423073" w:rsidDel="00D76DAA">
        <w:rPr>
          <w:spacing w:val="-4"/>
        </w:rPr>
        <w:t xml:space="preserve"> </w:t>
      </w:r>
      <w:r w:rsidRPr="00423073">
        <w:rPr>
          <w:spacing w:val="-4"/>
        </w:rPr>
        <w:t>in its own right, as well as a vehicle to achieve improved learning outcomes — research shows wellbeing influences students’ ability to engage and learn at school.</w:t>
      </w:r>
    </w:p>
    <w:p w14:paraId="43204004" w14:textId="02D8D341" w:rsidR="00D17784" w:rsidRDefault="00D17784">
      <w:pPr>
        <w:pStyle w:val="BodyText"/>
      </w:pPr>
      <w:r>
        <w:t>Students</w:t>
      </w:r>
      <w:r w:rsidRPr="00001C45">
        <w:t xml:space="preserve"> struggling with challenges to their wellbeing often have difficulty engaging at school</w:t>
      </w:r>
      <w:r>
        <w:t xml:space="preserve">. </w:t>
      </w:r>
      <w:r w:rsidRPr="00BF3142">
        <w:t xml:space="preserve">One study found that </w:t>
      </w:r>
      <w:r w:rsidR="00E21B2C">
        <w:t>y</w:t>
      </w:r>
      <w:r w:rsidRPr="00BF3142">
        <w:t xml:space="preserve">ear 9 students who experienced feelings of depression scored 7 per cent worse than similar students in </w:t>
      </w:r>
      <w:r>
        <w:t xml:space="preserve">NAPLAN for </w:t>
      </w:r>
      <w:r w:rsidRPr="00BF3142">
        <w:t>literacy and numeracy.</w:t>
      </w:r>
      <w:r>
        <w:t xml:space="preserve"> Another study found that students with persistent emotional or behaviour</w:t>
      </w:r>
      <w:r w:rsidR="00413639">
        <w:t>al</w:t>
      </w:r>
      <w:r>
        <w:t xml:space="preserve"> problems between </w:t>
      </w:r>
      <w:r w:rsidR="00E21B2C">
        <w:t>y</w:t>
      </w:r>
      <w:r>
        <w:t xml:space="preserve">ears 3 and 7 fell a year behind in numeracy </w:t>
      </w:r>
      <w:r w:rsidR="00DF2172">
        <w:t>compar</w:t>
      </w:r>
      <w:r>
        <w:t>ed with their peers</w:t>
      </w:r>
      <w:r w:rsidRPr="00B67A6D">
        <w:t xml:space="preserve">. </w:t>
      </w:r>
      <w:r>
        <w:t>This accords with</w:t>
      </w:r>
      <w:r w:rsidRPr="00B67A6D">
        <w:t xml:space="preserve"> research </w:t>
      </w:r>
      <w:r>
        <w:t>that suggests</w:t>
      </w:r>
      <w:r w:rsidRPr="00B67A6D">
        <w:t xml:space="preserve"> that poor wellbeing</w:t>
      </w:r>
      <w:r>
        <w:t>, and childhood trauma in particular,</w:t>
      </w:r>
      <w:r w:rsidRPr="00B67A6D">
        <w:t xml:space="preserve"> impacts </w:t>
      </w:r>
      <w:r>
        <w:t>a child’s</w:t>
      </w:r>
      <w:r w:rsidRPr="00B67A6D">
        <w:t xml:space="preserve"> </w:t>
      </w:r>
      <w:r w:rsidRPr="004A2169">
        <w:t>memory</w:t>
      </w:r>
      <w:r>
        <w:t xml:space="preserve"> and learning, compromising their ability to concentrate </w:t>
      </w:r>
      <w:r w:rsidRPr="00B67A6D">
        <w:t>and negatively affect</w:t>
      </w:r>
      <w:r>
        <w:t>ing</w:t>
      </w:r>
      <w:r w:rsidRPr="00B67A6D">
        <w:t xml:space="preserve"> social and teacher interactions at school.</w:t>
      </w:r>
    </w:p>
    <w:p w14:paraId="4744BDC8" w14:textId="2832EB86" w:rsidR="00D17784" w:rsidRDefault="00D17784">
      <w:pPr>
        <w:pStyle w:val="BodyText"/>
      </w:pPr>
      <w:r>
        <w:t xml:space="preserve">A sizable proportion of children and young people experience major challenges to their social and emotional wellbeing. In 2014 (the most recent year for which data are available), one in five young people aged 11-17 </w:t>
      </w:r>
      <w:r w:rsidR="00E21B2C">
        <w:t xml:space="preserve">reported </w:t>
      </w:r>
      <w:r>
        <w:t>having high levels of psychological distress, and 14 per cent of children aged 4 to 17 years reported experiencing</w:t>
      </w:r>
      <w:r w:rsidRPr="006030DA">
        <w:t xml:space="preserve"> an episode of </w:t>
      </w:r>
      <w:r>
        <w:t>mental illness during</w:t>
      </w:r>
      <w:r w:rsidRPr="006030DA">
        <w:t xml:space="preserve"> the </w:t>
      </w:r>
      <w:r>
        <w:t xml:space="preserve">year. Poor wellbeing can be particularly acute for children and young people experiencing child abuse and neglect, family violence and in </w:t>
      </w:r>
      <w:r w:rsidR="00946660">
        <w:t>out-of-home care</w:t>
      </w:r>
      <w:r>
        <w:t>.</w:t>
      </w:r>
    </w:p>
    <w:p w14:paraId="333183D0" w14:textId="77777777" w:rsidR="00D17784" w:rsidRPr="009D7D51" w:rsidRDefault="00D17784">
      <w:pPr>
        <w:pStyle w:val="BodyText"/>
      </w:pPr>
      <w:r w:rsidRPr="009D7D51">
        <w:t xml:space="preserve">Addressing poor wellbeing requires more than just generic wellbeing programs geared at students. For Aboriginal and Torres Strait Islander students, connection to country, spirituality, community and ancestry can be key protective factors in helping to manage wellbeing. Teachers and school leaders also need support and resources to identify and respond to students’ wellbeing needs. While a student’s wellbeing is often influenced by what is happening outside the school gates, poor wellbeing can be exacerbated, and trauma entrenched, by a lack of awareness on the part of teachers and school leaders. </w:t>
      </w:r>
    </w:p>
    <w:p w14:paraId="0D9A9A75" w14:textId="77777777" w:rsidR="00D17784" w:rsidRDefault="00D17784">
      <w:pPr>
        <w:pStyle w:val="BodyText"/>
      </w:pPr>
      <w:r w:rsidRPr="009D7D51">
        <w:t>While there was already growing recognition that school policy needs to focus on student wellbeing, the COVID-19 pandemic has brought concerns about student wellbeing into sharper focus. However, several reviews have highlighted that school wellbeing programs and policies often fail to provide teachers and students with the support and resources they need. Issues include overlapping policies and programs and schools choosing programs that lack a strong evidence base.</w:t>
      </w:r>
      <w:r>
        <w:t xml:space="preserve"> </w:t>
      </w:r>
    </w:p>
    <w:p w14:paraId="7F243073" w14:textId="77777777" w:rsidR="00D17784" w:rsidRDefault="00D17784" w:rsidP="00961A42">
      <w:pPr>
        <w:pStyle w:val="Heading5"/>
      </w:pPr>
      <w:r>
        <w:t>Student wellbeing should be included in the next agreement</w:t>
      </w:r>
    </w:p>
    <w:p w14:paraId="2A63A397" w14:textId="21BF89BA" w:rsidR="00D17784" w:rsidRDefault="00D17784">
      <w:pPr>
        <w:pStyle w:val="BodyText"/>
      </w:pPr>
      <w:r w:rsidRPr="2B728E45">
        <w:rPr>
          <w:rFonts w:ascii="Arial" w:eastAsia="Arial" w:hAnsi="Arial" w:cs="Arial"/>
          <w:color w:val="000000" w:themeColor="text1"/>
        </w:rPr>
        <w:t xml:space="preserve">The NSRA </w:t>
      </w:r>
      <w:r>
        <w:rPr>
          <w:rFonts w:ascii="Arial" w:eastAsia="Arial" w:hAnsi="Arial" w:cs="Arial"/>
          <w:color w:val="000000" w:themeColor="text1"/>
        </w:rPr>
        <w:t xml:space="preserve">(s. 9) </w:t>
      </w:r>
      <w:r w:rsidRPr="2B728E45">
        <w:rPr>
          <w:rFonts w:ascii="Arial" w:eastAsia="Arial" w:hAnsi="Arial" w:cs="Arial"/>
          <w:color w:val="000000" w:themeColor="text1"/>
        </w:rPr>
        <w:t xml:space="preserve">acknowledges that the ‘wellbeing of all students is fundamental to successful education </w:t>
      </w:r>
      <w:r w:rsidRPr="05A4DB04">
        <w:rPr>
          <w:rFonts w:ascii="Arial" w:eastAsia="Arial" w:hAnsi="Arial" w:cs="Arial"/>
          <w:color w:val="000000" w:themeColor="text1"/>
        </w:rPr>
        <w:t>outcomes’.</w:t>
      </w:r>
      <w:r w:rsidRPr="2B728E45">
        <w:rPr>
          <w:rFonts w:ascii="Arial" w:eastAsia="Arial" w:hAnsi="Arial" w:cs="Arial"/>
          <w:color w:val="000000" w:themeColor="text1"/>
        </w:rPr>
        <w:t xml:space="preserve"> Yet, wellbeing is </w:t>
      </w:r>
      <w:r>
        <w:rPr>
          <w:rFonts w:ascii="Arial" w:eastAsia="Arial" w:hAnsi="Arial" w:cs="Arial"/>
          <w:color w:val="000000" w:themeColor="text1"/>
        </w:rPr>
        <w:t>largely missing</w:t>
      </w:r>
      <w:r w:rsidRPr="2B728E45">
        <w:rPr>
          <w:rFonts w:ascii="Arial" w:eastAsia="Arial" w:hAnsi="Arial" w:cs="Arial"/>
          <w:color w:val="000000" w:themeColor="text1"/>
        </w:rPr>
        <w:t xml:space="preserve"> from the objectives, outcomes and reform </w:t>
      </w:r>
      <w:r>
        <w:rPr>
          <w:rFonts w:ascii="Arial" w:eastAsia="Arial" w:hAnsi="Arial" w:cs="Arial"/>
          <w:color w:val="000000" w:themeColor="text1"/>
        </w:rPr>
        <w:t>actions</w:t>
      </w:r>
      <w:r w:rsidRPr="2B728E45">
        <w:rPr>
          <w:rFonts w:ascii="Arial" w:eastAsia="Arial" w:hAnsi="Arial" w:cs="Arial"/>
          <w:color w:val="000000" w:themeColor="text1"/>
        </w:rPr>
        <w:t xml:space="preserve"> in the </w:t>
      </w:r>
      <w:r>
        <w:rPr>
          <w:rFonts w:ascii="Arial" w:eastAsia="Arial" w:hAnsi="Arial" w:cs="Arial"/>
          <w:color w:val="000000" w:themeColor="text1"/>
        </w:rPr>
        <w:t>NSRA</w:t>
      </w:r>
      <w:r w:rsidRPr="2B728E45">
        <w:rPr>
          <w:rFonts w:ascii="Arial" w:eastAsia="Arial" w:hAnsi="Arial" w:cs="Arial"/>
          <w:color w:val="000000" w:themeColor="text1"/>
        </w:rPr>
        <w:t>.</w:t>
      </w:r>
      <w:r>
        <w:t xml:space="preserve"> Elevating student wellbeing as an area of national priority and co</w:t>
      </w:r>
      <w:r>
        <w:noBreakHyphen/>
        <w:t xml:space="preserve">operation in a successor agreement, along with greater transparency on wellbeing outcomes, would encourage more effective support for students.  </w:t>
      </w:r>
    </w:p>
    <w:p w14:paraId="4B879C6A" w14:textId="4DB4E319" w:rsidR="00D17784" w:rsidRDefault="00D17784">
      <w:pPr>
        <w:pStyle w:val="BodyText"/>
      </w:pPr>
      <w:r>
        <w:t xml:space="preserve">To allow jurisdictions to tailor responses to local needs and conditions, actions to support wellbeing are likely best pursued through bilateral initiatives (under the umbrella of a new intergovernmental agreement). But a greater focus on wellbeing might also provide opportunities for greater collaboration across </w:t>
      </w:r>
      <w:r w:rsidR="0060109A">
        <w:t>G</w:t>
      </w:r>
      <w:r>
        <w:t>overnments, portfolios and school sectors.</w:t>
      </w:r>
    </w:p>
    <w:p w14:paraId="2C887011" w14:textId="77777777" w:rsidR="00D17784" w:rsidRPr="0073151A" w:rsidRDefault="00D17784" w:rsidP="00EA4609">
      <w:pPr>
        <w:pStyle w:val="Heading4"/>
      </w:pPr>
      <w:r w:rsidRPr="0073151A">
        <w:t>Improving the capacity of the education sector to adapt to changing contexts and needs</w:t>
      </w:r>
    </w:p>
    <w:p w14:paraId="094002B0" w14:textId="2B0DFD27" w:rsidR="00D17784" w:rsidRDefault="00D17784">
      <w:pPr>
        <w:pStyle w:val="BodyText"/>
        <w:keepNext/>
      </w:pPr>
      <w:r>
        <w:t xml:space="preserve">COVID-19 caused significant and ongoing disruption to the education system. It required schools, teachers, parents and students to rapidly adjust to new modes of learning </w:t>
      </w:r>
      <w:r>
        <w:rPr>
          <w:rFonts w:cstheme="minorHAnsi"/>
        </w:rPr>
        <w:t>—</w:t>
      </w:r>
      <w:r>
        <w:t xml:space="preserve"> sourcing, implementing and adapting to a remote, online learning environment.</w:t>
      </w:r>
    </w:p>
    <w:p w14:paraId="77B3CA7D" w14:textId="53994E10" w:rsidR="00D17784" w:rsidRPr="0091012F" w:rsidRDefault="00D17784">
      <w:pPr>
        <w:pStyle w:val="BodyText"/>
        <w:rPr>
          <w:spacing w:val="-2"/>
        </w:rPr>
      </w:pPr>
      <w:r w:rsidRPr="0091012F">
        <w:rPr>
          <w:spacing w:val="-2"/>
        </w:rPr>
        <w:t xml:space="preserve">While the impact of the pandemic on student outcomes is not </w:t>
      </w:r>
      <w:r w:rsidR="00C137DC">
        <w:rPr>
          <w:spacing w:val="-2"/>
        </w:rPr>
        <w:t xml:space="preserve">yet </w:t>
      </w:r>
      <w:r w:rsidRPr="0091012F">
        <w:rPr>
          <w:spacing w:val="-2"/>
        </w:rPr>
        <w:t xml:space="preserve">fully apparent, some clear policy implications have emerged. Beyond the immediate need of identifying and assisting students that may have fallen behind, COVID-19, along with a series of natural disasters, underscored the importance of </w:t>
      </w:r>
      <w:r w:rsidRPr="0091012F">
        <w:rPr>
          <w:rFonts w:eastAsia="Arial" w:cs="Arial"/>
          <w:spacing w:val="-2"/>
        </w:rPr>
        <w:t>school systems being able to adapt to changing contexts and needs. To be successful in this endeavour, schools and school systems will need to maintain a focus on innovation and improvement,</w:t>
      </w:r>
      <w:r w:rsidRPr="0091012F">
        <w:rPr>
          <w:spacing w:val="-2"/>
        </w:rPr>
        <w:t xml:space="preserve"> supported by data, research and evidence. While the Commission does not propose that this form the basis of a new </w:t>
      </w:r>
      <w:r w:rsidR="0060109A" w:rsidRPr="0091012F">
        <w:rPr>
          <w:spacing w:val="-2"/>
        </w:rPr>
        <w:t>NPI</w:t>
      </w:r>
      <w:r w:rsidRPr="0091012F">
        <w:rPr>
          <w:spacing w:val="-2"/>
        </w:rPr>
        <w:t>, this report identifies some practical steps that jurisdictions can take to build these foundations. Encouraging continuous improvement and innovation in the education system is explored in more detail in the Commission’s Productivity Inquiry.</w:t>
      </w:r>
    </w:p>
    <w:p w14:paraId="476C1239" w14:textId="77777777" w:rsidR="00D17784" w:rsidRDefault="00D17784" w:rsidP="00F040DA">
      <w:pPr>
        <w:pStyle w:val="Heading2-nonumber"/>
      </w:pPr>
      <w:bookmarkStart w:id="15" w:name="_Toc113956916"/>
      <w:r>
        <w:t xml:space="preserve">How might </w:t>
      </w:r>
      <w:r w:rsidRPr="001242ED">
        <w:t xml:space="preserve">intergovernmental </w:t>
      </w:r>
      <w:r>
        <w:t>co</w:t>
      </w:r>
      <w:r>
        <w:noBreakHyphen/>
        <w:t>operation need to adap</w:t>
      </w:r>
      <w:r w:rsidRPr="001242ED">
        <w:t>t?</w:t>
      </w:r>
      <w:bookmarkEnd w:id="15"/>
      <w:r>
        <w:t xml:space="preserve"> </w:t>
      </w:r>
    </w:p>
    <w:p w14:paraId="1803F571" w14:textId="77777777" w:rsidR="00D17784" w:rsidRPr="00D02E70" w:rsidRDefault="00D17784" w:rsidP="004F6483">
      <w:pPr>
        <w:pStyle w:val="Heading3"/>
      </w:pPr>
      <w:r>
        <w:t>Making a real difference</w:t>
      </w:r>
    </w:p>
    <w:p w14:paraId="6AEBB6A2" w14:textId="73A44B66" w:rsidR="00D17784" w:rsidRPr="00C627AF" w:rsidRDefault="00D17784" w:rsidP="00C627AF">
      <w:pPr>
        <w:pStyle w:val="BodyText"/>
      </w:pPr>
      <w:r w:rsidRPr="00C627AF">
        <w:rPr>
          <w:rStyle w:val="normaltextrun"/>
        </w:rPr>
        <w:t xml:space="preserve">A </w:t>
      </w:r>
      <w:r w:rsidRPr="00C627AF">
        <w:t xml:space="preserve">key challenge in lifting school performance is that policy deliberations — including as part of intergovernmental agreements — can be far removed from the daily realities of classrooms, teachers and students. A theme of this report is the need for the next NSRA to move beyond system architecture and drive real improvements on the ground. </w:t>
      </w:r>
      <w:r w:rsidR="00C137DC">
        <w:t>T</w:t>
      </w:r>
      <w:r w:rsidRPr="00C627AF">
        <w:t>o be successful, the NSRA will need to close the distance between national policy</w:t>
      </w:r>
      <w:r w:rsidR="00C627AF">
        <w:t xml:space="preserve"> </w:t>
      </w:r>
      <w:r w:rsidRPr="00C627AF">
        <w:t>making and classroom practice. Each should inform the other</w:t>
      </w:r>
      <w:r w:rsidR="00FE4A0B">
        <w:t xml:space="preserve"> — with</w:t>
      </w:r>
      <w:r w:rsidRPr="00C627AF">
        <w:t xml:space="preserve"> teachers and school leaders influencing policy</w:t>
      </w:r>
      <w:r w:rsidR="00FE4A0B">
        <w:t>,</w:t>
      </w:r>
      <w:r w:rsidRPr="00C627AF">
        <w:t xml:space="preserve"> and evidence-based approaches gaining more traction in schools and classrooms. </w:t>
      </w:r>
      <w:r w:rsidRPr="00C627AF" w:rsidDel="00BD32FA">
        <w:t xml:space="preserve"> </w:t>
      </w:r>
    </w:p>
    <w:p w14:paraId="6FCA42BC" w14:textId="77777777" w:rsidR="00D17784" w:rsidRPr="00C627AF" w:rsidRDefault="00D17784" w:rsidP="00C627AF">
      <w:pPr>
        <w:pStyle w:val="BodyText"/>
      </w:pPr>
      <w:r w:rsidRPr="00C627AF">
        <w:t>Ultimately, schools are relied upon to implement NPIs in addition to other jurisdictional policies and reforms.</w:t>
      </w:r>
    </w:p>
    <w:p w14:paraId="3D6F1710" w14:textId="77777777" w:rsidR="00D17784" w:rsidRPr="007F4157" w:rsidRDefault="00D17784" w:rsidP="004F6483">
      <w:pPr>
        <w:pStyle w:val="Heading3"/>
        <w:rPr>
          <w:rStyle w:val="normaltextrun"/>
        </w:rPr>
      </w:pPr>
      <w:r w:rsidRPr="007F4157">
        <w:t xml:space="preserve">Greater implementation flexibility should be balanced by enhanced accountability and transparency </w:t>
      </w:r>
    </w:p>
    <w:p w14:paraId="69D4A8E3" w14:textId="77777777" w:rsidR="00D17784" w:rsidRPr="006C2F1E" w:rsidRDefault="00D17784">
      <w:pPr>
        <w:pStyle w:val="BodyText"/>
        <w:rPr>
          <w:spacing w:val="-2"/>
        </w:rPr>
      </w:pPr>
      <w:r w:rsidRPr="006C2F1E">
        <w:rPr>
          <w:spacing w:val="-2"/>
        </w:rPr>
        <w:t xml:space="preserve">While national projects will continue to have a role in the next intergovernmental agreement, addressing some future reform priorities may require greater flexibility than the ‘one in, all in’ approach to NPIs under the NSRA. In some cases, the benefits of participating in multi-jurisdictional projects to achieve national reform priorities might differ across parties (for example, where some states and territories have already implemented local responses). In these instances, jurisdictions might have the choice of opting out of joint projects (while continuing to contribute to national reform directions through state-based projects) or to contribute to joint projects by sharing existing knowledge, so that other jurisdictions are not starting from scratch. </w:t>
      </w:r>
    </w:p>
    <w:p w14:paraId="1E5FF1C5" w14:textId="4F030C5E" w:rsidR="00D17784" w:rsidRPr="00E525B4" w:rsidRDefault="00D17784">
      <w:pPr>
        <w:pStyle w:val="BodyText"/>
      </w:pPr>
      <w:r w:rsidRPr="00E525B4">
        <w:t xml:space="preserve">Where jurisdictional differences demand more tailored responses, bilateral initiatives might need to do more of the heavy lifting. But greater flexibility in implementation would need to be balanced by greater public transparency and accountability mechanisms. Lessons from implementing the NSRA suggest that these mechanisms are relatively weak. </w:t>
      </w:r>
    </w:p>
    <w:p w14:paraId="61CADC38" w14:textId="31E10AA9" w:rsidR="00D17784" w:rsidRPr="00123F9D" w:rsidRDefault="00D17784" w:rsidP="00123F9D">
      <w:pPr>
        <w:pStyle w:val="Heading4"/>
      </w:pPr>
      <w:r w:rsidRPr="00123F9D">
        <w:t>Existing accountability mechanisms have limited effect and can give rise to perverse outcomes</w:t>
      </w:r>
    </w:p>
    <w:p w14:paraId="3E6F3F63" w14:textId="1EB28B0D" w:rsidR="00D17784" w:rsidRPr="00E525B4" w:rsidRDefault="00D17784">
      <w:pPr>
        <w:pStyle w:val="BodyText"/>
      </w:pPr>
      <w:r>
        <w:t>The</w:t>
      </w:r>
      <w:r w:rsidRPr="00E525B4">
        <w:t xml:space="preserve"> </w:t>
      </w:r>
      <w:r>
        <w:t xml:space="preserve">Australian </w:t>
      </w:r>
      <w:r w:rsidRPr="00E525B4">
        <w:t>Education Act allow</w:t>
      </w:r>
      <w:r>
        <w:t>s</w:t>
      </w:r>
      <w:r w:rsidRPr="00E525B4">
        <w:t xml:space="preserve"> the Commonwealth to withhold funding from States or Territories that do not implement agreed NSRA reforms. While intended to encourage the uptake of reforms, this seems to have created perverse incentives, as states seek to reduce funding risks. Apart from the USI, many of the milestones in the NSRA and bilateral agreements are highly caveated or provide little detail on what outputs parties have committed to deliver, let alone what outcomes they will achieve. And bilateral agreements often represent an audit of current measures (categorised under one of the three broad reform directions of the NSRA) rather than additional measures.</w:t>
      </w:r>
      <w:r w:rsidRPr="00E525B4">
        <w:rPr>
          <w:rStyle w:val="FootnoteReference"/>
          <w:rFonts w:ascii="Arial" w:hAnsi="Arial" w:cs="Arial"/>
        </w:rPr>
        <w:footnoteReference w:id="21"/>
      </w:r>
      <w:r w:rsidRPr="00E525B4">
        <w:rPr>
          <w:rStyle w:val="FootnoteReference"/>
          <w:rFonts w:ascii="Arial" w:hAnsi="Arial" w:cs="Arial"/>
        </w:rPr>
        <w:t xml:space="preserve"> </w:t>
      </w:r>
    </w:p>
    <w:p w14:paraId="4CDF9A25" w14:textId="77777777" w:rsidR="00D17784" w:rsidRDefault="00D17784">
      <w:pPr>
        <w:pStyle w:val="BodyText"/>
        <w:rPr>
          <w:rStyle w:val="normaltextrun"/>
          <w:rFonts w:ascii="Arial" w:hAnsi="Arial" w:cs="Arial"/>
        </w:rPr>
      </w:pPr>
      <w:r w:rsidRPr="00E525B4">
        <w:t xml:space="preserve">Perverse incentives aside, withholding funding would be a significant step for the Commonwealth​ and many stakeholders do not see the threat as credible, weakening its effectiveness as an accountability tool. </w:t>
      </w:r>
    </w:p>
    <w:p w14:paraId="05676FE8" w14:textId="00AE2CEC" w:rsidR="00D17784" w:rsidRPr="00EE74CC" w:rsidRDefault="00D17784">
      <w:pPr>
        <w:pStyle w:val="BodyText"/>
        <w:rPr>
          <w:rFonts w:ascii="Arial" w:hAnsi="Arial" w:cs="Arial"/>
        </w:rPr>
      </w:pPr>
      <w:r>
        <w:rPr>
          <w:rStyle w:val="normaltextrun"/>
          <w:rFonts w:ascii="Arial" w:hAnsi="Arial" w:cs="Arial"/>
        </w:rPr>
        <w:t xml:space="preserve">Annual progress updates for the NPIs and bilateral agreements, </w:t>
      </w:r>
      <w:r w:rsidRPr="711C566B">
        <w:rPr>
          <w:rStyle w:val="normaltextrun"/>
          <w:rFonts w:ascii="Arial" w:hAnsi="Arial" w:cs="Arial"/>
        </w:rPr>
        <w:t xml:space="preserve">one of the main accountability mechanisms in the NSRA, </w:t>
      </w:r>
      <w:r>
        <w:rPr>
          <w:rStyle w:val="normaltextrun"/>
          <w:rFonts w:ascii="Arial" w:hAnsi="Arial" w:cs="Arial"/>
        </w:rPr>
        <w:t xml:space="preserve">also </w:t>
      </w:r>
      <w:r w:rsidRPr="711C566B">
        <w:rPr>
          <w:rStyle w:val="normaltextrun"/>
          <w:rFonts w:ascii="Arial" w:hAnsi="Arial" w:cs="Arial"/>
        </w:rPr>
        <w:t>appear lacking.</w:t>
      </w:r>
      <w:r w:rsidRPr="003C74F2">
        <w:rPr>
          <w:rStyle w:val="normaltextrun"/>
          <w:rFonts w:ascii="Arial" w:hAnsi="Arial" w:cs="Arial"/>
        </w:rPr>
        <w:t xml:space="preserve"> </w:t>
      </w:r>
      <w:r>
        <w:rPr>
          <w:rStyle w:val="normaltextrun"/>
          <w:rFonts w:ascii="Arial" w:hAnsi="Arial" w:cs="Arial"/>
        </w:rPr>
        <w:t>Performance is self</w:t>
      </w:r>
      <w:r>
        <w:rPr>
          <w:rStyle w:val="normaltextrun"/>
          <w:rFonts w:ascii="Arial" w:hAnsi="Arial" w:cs="Arial"/>
        </w:rPr>
        <w:noBreakHyphen/>
        <w:t xml:space="preserve">assessed </w:t>
      </w:r>
      <w:r w:rsidRPr="711C566B">
        <w:rPr>
          <w:rStyle w:val="normaltextrun"/>
          <w:rFonts w:ascii="Arial" w:hAnsi="Arial" w:cs="Arial"/>
        </w:rPr>
        <w:t xml:space="preserve">and </w:t>
      </w:r>
      <w:r>
        <w:rPr>
          <w:rStyle w:val="normaltextrun"/>
          <w:rFonts w:ascii="Arial" w:hAnsi="Arial" w:cs="Arial"/>
        </w:rPr>
        <w:t>updates</w:t>
      </w:r>
      <w:r w:rsidRPr="711C566B">
        <w:rPr>
          <w:rStyle w:val="normaltextrun"/>
          <w:rFonts w:ascii="Arial" w:hAnsi="Arial" w:cs="Arial"/>
        </w:rPr>
        <w:t xml:space="preserve"> provide scant information on</w:t>
      </w:r>
      <w:r>
        <w:rPr>
          <w:rStyle w:val="normaltextrun"/>
          <w:rFonts w:ascii="Arial" w:hAnsi="Arial" w:cs="Arial"/>
        </w:rPr>
        <w:t xml:space="preserve"> how outputs are contributing to intended outcomes</w:t>
      </w:r>
      <w:r w:rsidRPr="711C566B">
        <w:rPr>
          <w:rStyle w:val="normaltextrun"/>
          <w:rFonts w:ascii="Arial" w:hAnsi="Arial" w:cs="Arial"/>
        </w:rPr>
        <w:t>,</w:t>
      </w:r>
      <w:r>
        <w:rPr>
          <w:rStyle w:val="normaltextrun"/>
          <w:rFonts w:ascii="Arial" w:hAnsi="Arial" w:cs="Arial"/>
        </w:rPr>
        <w:t xml:space="preserve"> </w:t>
      </w:r>
      <w:r w:rsidRPr="711C566B">
        <w:rPr>
          <w:rStyle w:val="normaltextrun"/>
          <w:rFonts w:ascii="Arial" w:hAnsi="Arial" w:cs="Arial"/>
        </w:rPr>
        <w:t>leaving</w:t>
      </w:r>
      <w:r w:rsidRPr="2E738BFD">
        <w:rPr>
          <w:rStyle w:val="normaltextrun"/>
          <w:rFonts w:ascii="Arial" w:hAnsi="Arial" w:cs="Arial"/>
        </w:rPr>
        <w:t xml:space="preserve"> </w:t>
      </w:r>
      <w:r w:rsidRPr="51C5A204">
        <w:rPr>
          <w:rStyle w:val="normaltextrun"/>
          <w:rFonts w:ascii="Arial" w:hAnsi="Arial" w:cs="Arial"/>
        </w:rPr>
        <w:t xml:space="preserve">stakeholders </w:t>
      </w:r>
      <w:r w:rsidRPr="711C566B">
        <w:rPr>
          <w:rStyle w:val="normaltextrun"/>
          <w:rFonts w:ascii="Arial" w:hAnsi="Arial" w:cs="Arial"/>
        </w:rPr>
        <w:t>with little</w:t>
      </w:r>
      <w:r>
        <w:rPr>
          <w:rStyle w:val="normaltextrun"/>
          <w:rFonts w:ascii="Arial" w:hAnsi="Arial" w:cs="Arial"/>
        </w:rPr>
        <w:t xml:space="preserve"> sense of their overall impact or success.</w:t>
      </w:r>
    </w:p>
    <w:p w14:paraId="6C3CBD7E" w14:textId="2169DDBA" w:rsidR="00D17784" w:rsidRPr="00123F9D" w:rsidRDefault="00D17784" w:rsidP="00123F9D">
      <w:pPr>
        <w:pStyle w:val="Heading4"/>
      </w:pPr>
      <w:r w:rsidRPr="00123F9D">
        <w:t xml:space="preserve">The National Measurement Framework for </w:t>
      </w:r>
      <w:r w:rsidR="00E8191B">
        <w:t>S</w:t>
      </w:r>
      <w:r w:rsidRPr="00123F9D">
        <w:t xml:space="preserve">chooling does not provide a complete view of performance </w:t>
      </w:r>
    </w:p>
    <w:p w14:paraId="713E7D09" w14:textId="77777777" w:rsidR="00D17784" w:rsidRPr="00E525B4" w:rsidRDefault="00D17784">
      <w:pPr>
        <w:pStyle w:val="BodyText"/>
      </w:pPr>
      <w:r w:rsidRPr="00E525B4">
        <w:t>The final and perhaps most important accountability mechanism is public performance reporting.</w:t>
      </w:r>
      <w:r w:rsidRPr="711C566B">
        <w:rPr>
          <w:rStyle w:val="FootnoteReference"/>
          <w:rFonts w:ascii="Arial" w:hAnsi="Arial" w:cs="Arial"/>
        </w:rPr>
        <w:footnoteReference w:id="22"/>
      </w:r>
      <w:r w:rsidRPr="711C566B">
        <w:rPr>
          <w:rStyle w:val="normaltextrun"/>
        </w:rPr>
        <w:t xml:space="preserve"> </w:t>
      </w:r>
      <w:r w:rsidRPr="00E525B4">
        <w:t xml:space="preserve">The NSRA (s. 51) sets out public reporting arrangements intended to give ‘the community confidence that outcomes are being achieved and reforms to improve the quality and equity of Australia’s schooling systems are being implemented by all Parties’ (figure 1). But this too has shortcomings. </w:t>
      </w:r>
    </w:p>
    <w:p w14:paraId="054FC2A0" w14:textId="77777777" w:rsidR="00D17784" w:rsidRPr="00123F9D" w:rsidRDefault="00D17784">
      <w:pPr>
        <w:pStyle w:val="BodyText"/>
        <w:rPr>
          <w:spacing w:val="-4"/>
        </w:rPr>
      </w:pPr>
      <w:r w:rsidRPr="00123F9D">
        <w:rPr>
          <w:spacing w:val="-4"/>
        </w:rPr>
        <w:t>Arguably, some of the indicators in the NSRA lack the breadth to provide a good understanding of progress. Current indicators provide a limited view of student engagement and transitions to further study, training or work.</w:t>
      </w:r>
    </w:p>
    <w:p w14:paraId="5FEA2D72" w14:textId="56814CAA" w:rsidR="00D17784" w:rsidRPr="00297878" w:rsidRDefault="00D17784">
      <w:pPr>
        <w:pStyle w:val="BodyText"/>
        <w:rPr>
          <w:spacing w:val="-4"/>
        </w:rPr>
      </w:pPr>
      <w:r w:rsidRPr="00297878">
        <w:rPr>
          <w:spacing w:val="-4"/>
        </w:rPr>
        <w:t xml:space="preserve">And the Measurement Framework (the chosen vehicle for measuring progress against the outcomes of the NSRA) does not reflect commitments to report on outcomes for </w:t>
      </w:r>
      <w:r w:rsidR="007976DE" w:rsidRPr="00297878">
        <w:rPr>
          <w:spacing w:val="-4"/>
        </w:rPr>
        <w:t xml:space="preserve">students from </w:t>
      </w:r>
      <w:r w:rsidRPr="00297878">
        <w:rPr>
          <w:spacing w:val="-4"/>
        </w:rPr>
        <w:t xml:space="preserve">priority equity cohorts. Despite </w:t>
      </w:r>
      <w:r w:rsidR="008471B6" w:rsidRPr="00297878">
        <w:rPr>
          <w:spacing w:val="-4"/>
        </w:rPr>
        <w:t xml:space="preserve">some </w:t>
      </w:r>
      <w:r w:rsidRPr="00297878">
        <w:rPr>
          <w:spacing w:val="-4"/>
        </w:rPr>
        <w:t xml:space="preserve">information being available </w:t>
      </w:r>
      <w:r w:rsidRPr="00297878">
        <w:rPr>
          <w:rStyle w:val="FootnoteReference"/>
          <w:spacing w:val="-4"/>
        </w:rPr>
        <w:footnoteReference w:id="23"/>
      </w:r>
      <w:r w:rsidRPr="00297878">
        <w:rPr>
          <w:spacing w:val="-4"/>
        </w:rPr>
        <w:t>,</w:t>
      </w:r>
      <w:r w:rsidRPr="00297878">
        <w:rPr>
          <w:rStyle w:val="normaltextrun"/>
          <w:rFonts w:ascii="Arial" w:hAnsi="Arial" w:cs="Arial"/>
          <w:spacing w:val="-4"/>
        </w:rPr>
        <w:t xml:space="preserve"> </w:t>
      </w:r>
      <w:r w:rsidRPr="00297878">
        <w:rPr>
          <w:spacing w:val="-4"/>
        </w:rPr>
        <w:t>the Measurement Framework and associated National Report on Schooling do not include many of the agreed measures for Aboriginal and Torres Strait Islander students, students living in regional, rural and remote locations</w:t>
      </w:r>
      <w:r w:rsidR="009104BE" w:rsidRPr="00297878">
        <w:rPr>
          <w:spacing w:val="-4"/>
        </w:rPr>
        <w:t>,</w:t>
      </w:r>
      <w:r w:rsidRPr="00297878">
        <w:rPr>
          <w:spacing w:val="-4"/>
        </w:rPr>
        <w:t xml:space="preserve"> or students from educationally disadvantaged backgrounds. Accountability for outcomes for students with disability is particularly poor because of a lack of data.</w:t>
      </w:r>
    </w:p>
    <w:p w14:paraId="35DE4688" w14:textId="77777777" w:rsidR="00D17784" w:rsidRPr="00EA7BAE" w:rsidRDefault="00D17784" w:rsidP="00EA7BAE">
      <w:pPr>
        <w:pStyle w:val="Heading4"/>
      </w:pPr>
      <w:r w:rsidRPr="00EA7BAE">
        <w:t xml:space="preserve">Meaningful and transparent measures of progress are needed </w:t>
      </w:r>
    </w:p>
    <w:p w14:paraId="2B449A43" w14:textId="77777777" w:rsidR="00D17784" w:rsidRPr="00E525B4" w:rsidRDefault="00D17784">
      <w:pPr>
        <w:pStyle w:val="BodyText"/>
        <w:rPr>
          <w:rStyle w:val="normaltextrun"/>
        </w:rPr>
      </w:pPr>
      <w:r w:rsidRPr="00E525B4">
        <w:t xml:space="preserve">Governments have several options for enhancing accountability and transparency under the next agreement. One model would be to require jurisdictions to include additional information in their bilateral agreements and associated progress reports so that it is clearer what outcomes are being pursued and whether they are being achieved. This could be set out in </w:t>
      </w:r>
      <w:r w:rsidRPr="00E525B4">
        <w:rPr>
          <w:rStyle w:val="normaltextrun"/>
        </w:rPr>
        <w:t>implementation plans, as described above</w:t>
      </w:r>
      <w:r w:rsidRPr="00E525B4">
        <w:t>.</w:t>
      </w:r>
    </w:p>
    <w:p w14:paraId="01DEC16E" w14:textId="75BAF844" w:rsidR="00D17784" w:rsidRPr="006218FF" w:rsidRDefault="00D17784">
      <w:pPr>
        <w:pStyle w:val="BodyText"/>
      </w:pPr>
      <w:r w:rsidRPr="00E525B4">
        <w:t>Improving data quality and availability and f</w:t>
      </w:r>
      <w:r w:rsidRPr="00E525B4" w:rsidDel="5F4B8151">
        <w:t>ulf</w:t>
      </w:r>
      <w:r w:rsidRPr="00E525B4" w:rsidDel="5359F7AB">
        <w:t>i</w:t>
      </w:r>
      <w:r w:rsidRPr="00E525B4" w:rsidDel="5F4B8151">
        <w:t>l</w:t>
      </w:r>
      <w:r w:rsidRPr="00E525B4">
        <w:t>ling existing reporting commitments</w:t>
      </w:r>
      <w:r w:rsidR="00C10E18">
        <w:t>,</w:t>
      </w:r>
      <w:r w:rsidRPr="00E525B4">
        <w:t xml:space="preserve"> by ensuring the Measurement Framework and National Report on Schooling disaggregate results by student cohort</w:t>
      </w:r>
      <w:r w:rsidR="00C10E18">
        <w:t>,</w:t>
      </w:r>
      <w:r w:rsidRPr="00E525B4">
        <w:t xml:space="preserve"> would also go a long way to improving accountability. Governments have already signalled their willingness to consider opportunities to enhance and augment existing indicators in the Measurement Framework to</w:t>
      </w:r>
      <w:r w:rsidRPr="4E1C5B4D">
        <w:t xml:space="preserve"> provide a better understanding of progress.</w:t>
      </w:r>
      <w:r w:rsidRPr="4E1C5B4D">
        <w:rPr>
          <w:rStyle w:val="FootnoteReference"/>
        </w:rPr>
        <w:footnoteReference w:id="24"/>
      </w:r>
      <w:r w:rsidDel="00A12F95">
        <w:t xml:space="preserve"> Indicators for wellbeing, </w:t>
      </w:r>
      <w:r>
        <w:t>learning gain and post-school outcomes would provide a more complete view of performance.</w:t>
      </w:r>
    </w:p>
    <w:p w14:paraId="59AF3834" w14:textId="77777777" w:rsidR="00D17784" w:rsidRDefault="00D17784">
      <w:pPr>
        <w:spacing w:before="0" w:after="160" w:line="259" w:lineRule="auto"/>
      </w:pPr>
      <w:r>
        <w:br w:type="page"/>
      </w:r>
    </w:p>
    <w:p w14:paraId="320C1948" w14:textId="77777777" w:rsidR="00D17784" w:rsidRDefault="00D17784" w:rsidP="002F6025">
      <w:pPr>
        <w:pStyle w:val="Heading2-nonumber"/>
      </w:pPr>
      <w:bookmarkStart w:id="16" w:name="_Toc113956917"/>
      <w:r w:rsidRPr="006C6D98">
        <w:t>Attachment</w:t>
      </w:r>
      <w:r>
        <w:t xml:space="preserve"> A – system performance</w:t>
      </w:r>
      <w:bookmarkEnd w:id="16"/>
    </w:p>
    <w:p w14:paraId="1532A957" w14:textId="3F4E565D" w:rsidR="00D17784" w:rsidRPr="00146382" w:rsidRDefault="00D17784">
      <w:pPr>
        <w:pStyle w:val="FigureTableHeading"/>
      </w:pPr>
      <w:r>
        <w:t xml:space="preserve">Figure </w:t>
      </w:r>
      <w:r>
        <w:fldChar w:fldCharType="begin"/>
      </w:r>
      <w:r>
        <w:instrText>SEQ Figure \* ARABIC \s 1</w:instrText>
      </w:r>
      <w:r>
        <w:fldChar w:fldCharType="separate"/>
      </w:r>
      <w:r w:rsidR="00C642E8">
        <w:rPr>
          <w:noProof/>
        </w:rPr>
        <w:t>8</w:t>
      </w:r>
      <w:r>
        <w:fldChar w:fldCharType="end"/>
      </w:r>
      <w:r w:rsidR="0001773B">
        <w:t xml:space="preserve"> </w:t>
      </w:r>
      <w:r>
        <w:t>– Recent performance against sub-outcomes</w:t>
      </w:r>
      <w:r w:rsidRPr="007C5C4E">
        <w:rPr>
          <w:vertAlign w:val="superscript"/>
        </w:rPr>
        <w:t>a,b</w:t>
      </w:r>
    </w:p>
    <w:p w14:paraId="53971B56" w14:textId="45CA80CE" w:rsidR="00D17784" w:rsidRDefault="00D17784" w:rsidP="00CC7DEC">
      <w:pPr>
        <w:pStyle w:val="FigureTableSubheading"/>
        <w:keepNext w:val="0"/>
        <w:spacing w:after="0"/>
        <w:rPr>
          <w:vertAlign w:val="superscript"/>
        </w:rPr>
      </w:pPr>
      <w:r>
        <w:t>Progress across NSRA sub-outcomes between 2018 and 2021</w:t>
      </w: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700"/>
        <w:gridCol w:w="1980"/>
        <w:gridCol w:w="1980"/>
        <w:gridCol w:w="1980"/>
        <w:gridCol w:w="2000"/>
      </w:tblGrid>
      <w:tr w:rsidR="006D712F" w:rsidRPr="00CA530F" w14:paraId="1F9EF2E5" w14:textId="77777777" w:rsidTr="00C03B32">
        <w:trPr>
          <w:trHeight w:val="397"/>
          <w:tblHeader/>
        </w:trPr>
        <w:tc>
          <w:tcPr>
            <w:tcW w:w="170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66D6468F" w14:textId="77777777" w:rsidR="006D712F" w:rsidRPr="00CA530F" w:rsidRDefault="006D712F" w:rsidP="00C40791">
            <w:pPr>
              <w:pStyle w:val="BodyText"/>
              <w:spacing w:before="45" w:after="45"/>
              <w:ind w:left="57" w:right="57"/>
              <w:rPr>
                <w:rFonts w:ascii="Arial (Body)" w:hAnsi="Arial (Body)"/>
                <w:b/>
                <w:color w:val="FFFFFF" w:themeColor="background1"/>
                <w:sz w:val="18"/>
              </w:rPr>
            </w:pPr>
            <w:r w:rsidRPr="00CA530F">
              <w:rPr>
                <w:rFonts w:ascii="Arial (Body)" w:hAnsi="Arial (Body)"/>
                <w:b/>
                <w:bCs/>
                <w:color w:val="FFFFFF" w:themeColor="background1"/>
                <w:sz w:val="18"/>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55DBEC8" w14:textId="77777777" w:rsidR="006D712F" w:rsidRPr="00CA530F" w:rsidRDefault="006D712F" w:rsidP="00C03B32">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All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386CC889" w14:textId="77777777" w:rsidR="006D712F" w:rsidRPr="00CA530F" w:rsidRDefault="006D712F" w:rsidP="00C03B32">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0560D5B" w14:textId="77777777" w:rsidR="006D712F" w:rsidRPr="00CA530F" w:rsidRDefault="006D712F" w:rsidP="00C03B32">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in regional and remote areas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404B30E1" w14:textId="77777777" w:rsidR="006D712F" w:rsidRPr="00CA530F" w:rsidRDefault="006D712F" w:rsidP="00C03B32">
            <w:pPr>
              <w:pStyle w:val="BodyText"/>
              <w:spacing w:before="45" w:after="45"/>
              <w:ind w:left="57" w:right="108"/>
              <w:rPr>
                <w:rFonts w:ascii="Arial (Body)" w:hAnsi="Arial (Body)"/>
                <w:b/>
                <w:color w:val="FFFFFF" w:themeColor="background1"/>
                <w:sz w:val="18"/>
              </w:rPr>
            </w:pPr>
            <w:r w:rsidRPr="00CA530F">
              <w:rPr>
                <w:rFonts w:ascii="Arial (Body)" w:hAnsi="Arial (Body)"/>
                <w:b/>
                <w:bCs/>
                <w:color w:val="FFFFFF" w:themeColor="background1"/>
                <w:sz w:val="18"/>
              </w:rPr>
              <w:t>Students from educationally disadvantaged backgrounds</w:t>
            </w:r>
          </w:p>
        </w:tc>
      </w:tr>
      <w:tr w:rsidR="006D712F" w:rsidRPr="00CA530F" w14:paraId="3159FB82" w14:textId="77777777" w:rsidTr="00C03B32">
        <w:trPr>
          <w:trHeight w:val="227"/>
        </w:trPr>
        <w:tc>
          <w:tcPr>
            <w:tcW w:w="9640" w:type="dxa"/>
            <w:gridSpan w:val="5"/>
            <w:tcBorders>
              <w:top w:val="single" w:sz="4" w:space="0" w:color="B3B3B3"/>
              <w:bottom w:val="nil"/>
            </w:tcBorders>
            <w:shd w:val="clear" w:color="000000" w:fill="F2F2F2"/>
            <w:tcMar>
              <w:top w:w="72" w:type="dxa"/>
              <w:left w:w="144" w:type="dxa"/>
              <w:bottom w:w="72" w:type="dxa"/>
              <w:right w:w="144" w:type="dxa"/>
            </w:tcMar>
            <w:hideMark/>
          </w:tcPr>
          <w:p w14:paraId="2FD8F5C9" w14:textId="77777777" w:rsidR="006D712F" w:rsidRPr="00CA530F" w:rsidRDefault="006D712F" w:rsidP="00C03B32">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reading</w:t>
            </w:r>
          </w:p>
        </w:tc>
      </w:tr>
      <w:tr w:rsidR="006D712F" w:rsidRPr="00CA530F" w14:paraId="4BB3B221" w14:textId="77777777" w:rsidTr="00C03B32">
        <w:trPr>
          <w:trHeight w:val="170"/>
        </w:trPr>
        <w:tc>
          <w:tcPr>
            <w:tcW w:w="1700" w:type="dxa"/>
            <w:tcBorders>
              <w:top w:val="nil"/>
              <w:bottom w:val="nil"/>
            </w:tcBorders>
            <w:shd w:val="clear" w:color="000000" w:fill="auto"/>
            <w:tcMar>
              <w:top w:w="72" w:type="dxa"/>
              <w:left w:w="144" w:type="dxa"/>
              <w:bottom w:w="72" w:type="dxa"/>
              <w:right w:w="144" w:type="dxa"/>
            </w:tcMar>
            <w:hideMark/>
          </w:tcPr>
          <w:p w14:paraId="64127BBF"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34224034"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+1.0 ppt</w:t>
            </w:r>
          </w:p>
        </w:tc>
        <w:tc>
          <w:tcPr>
            <w:tcW w:w="1980" w:type="dxa"/>
            <w:tcBorders>
              <w:top w:val="nil"/>
              <w:bottom w:val="nil"/>
            </w:tcBorders>
            <w:shd w:val="clear" w:color="000000" w:fill="auto"/>
            <w:tcMar>
              <w:top w:w="72" w:type="dxa"/>
              <w:left w:w="144" w:type="dxa"/>
              <w:bottom w:w="72" w:type="dxa"/>
              <w:right w:w="57" w:type="dxa"/>
            </w:tcMar>
            <w:hideMark/>
          </w:tcPr>
          <w:p w14:paraId="2105E15C"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+1.7 ppt</w:t>
            </w:r>
          </w:p>
        </w:tc>
        <w:tc>
          <w:tcPr>
            <w:tcW w:w="1980" w:type="dxa"/>
            <w:tcBorders>
              <w:top w:val="nil"/>
              <w:bottom w:val="nil"/>
            </w:tcBorders>
            <w:shd w:val="clear" w:color="000000" w:fill="auto"/>
            <w:tcMar>
              <w:top w:w="72" w:type="dxa"/>
              <w:left w:w="144" w:type="dxa"/>
              <w:bottom w:w="72" w:type="dxa"/>
              <w:right w:w="57" w:type="dxa"/>
            </w:tcMar>
            <w:hideMark/>
          </w:tcPr>
          <w:p w14:paraId="79A3516C"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+2.5 ppt</w:t>
            </w:r>
          </w:p>
        </w:tc>
        <w:tc>
          <w:tcPr>
            <w:tcW w:w="1980" w:type="dxa"/>
            <w:tcBorders>
              <w:top w:val="nil"/>
              <w:bottom w:val="nil"/>
            </w:tcBorders>
            <w:shd w:val="clear" w:color="000000" w:fill="auto"/>
            <w:tcMar>
              <w:top w:w="72" w:type="dxa"/>
              <w:left w:w="144" w:type="dxa"/>
              <w:bottom w:w="72" w:type="dxa"/>
              <w:right w:w="57" w:type="dxa"/>
            </w:tcMar>
            <w:hideMark/>
          </w:tcPr>
          <w:p w14:paraId="0977959F"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+2.7 ppt</w:t>
            </w:r>
          </w:p>
        </w:tc>
      </w:tr>
      <w:tr w:rsidR="006D712F" w:rsidRPr="00CA530F" w14:paraId="03741ABF" w14:textId="77777777" w:rsidTr="00C03B32">
        <w:trPr>
          <w:trHeight w:val="170"/>
        </w:trPr>
        <w:tc>
          <w:tcPr>
            <w:tcW w:w="1700" w:type="dxa"/>
            <w:tcBorders>
              <w:bottom w:val="nil"/>
            </w:tcBorders>
            <w:shd w:val="clear" w:color="000000" w:fill="F2F2F2"/>
            <w:tcMar>
              <w:top w:w="72" w:type="dxa"/>
              <w:left w:w="144" w:type="dxa"/>
              <w:bottom w:w="72" w:type="dxa"/>
              <w:right w:w="144" w:type="dxa"/>
            </w:tcMar>
            <w:hideMark/>
          </w:tcPr>
          <w:p w14:paraId="47C56CC3"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7BEA4755"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w:hAnsi="Arial"/>
                <w:color w:val="4D7028" w:themeColor="accent2"/>
                <w:sz w:val="24"/>
                <w:szCs w:val="24"/>
              </w:rPr>
              <w:t>-</w:t>
            </w:r>
            <w:r w:rsidRPr="00CA530F">
              <w:rPr>
                <w:rFonts w:ascii="Arial (Body)" w:hAnsi="Arial (Body)"/>
                <w:color w:val="4D7028" w:themeColor="accent2"/>
                <w:sz w:val="18"/>
              </w:rPr>
              <w:t>1.8 ppt</w:t>
            </w:r>
          </w:p>
        </w:tc>
        <w:tc>
          <w:tcPr>
            <w:tcW w:w="1980" w:type="dxa"/>
            <w:tcBorders>
              <w:bottom w:val="nil"/>
            </w:tcBorders>
            <w:shd w:val="clear" w:color="000000" w:fill="F2F2F2"/>
            <w:tcMar>
              <w:top w:w="72" w:type="dxa"/>
              <w:left w:w="144" w:type="dxa"/>
              <w:bottom w:w="72" w:type="dxa"/>
              <w:right w:w="57" w:type="dxa"/>
            </w:tcMar>
            <w:hideMark/>
          </w:tcPr>
          <w:p w14:paraId="65BF878E"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-6.3 ppt</w:t>
            </w:r>
          </w:p>
        </w:tc>
        <w:tc>
          <w:tcPr>
            <w:tcW w:w="1980" w:type="dxa"/>
            <w:tcBorders>
              <w:bottom w:val="nil"/>
            </w:tcBorders>
            <w:shd w:val="clear" w:color="000000" w:fill="F2F2F2"/>
            <w:tcMar>
              <w:top w:w="72" w:type="dxa"/>
              <w:left w:w="144" w:type="dxa"/>
              <w:bottom w:w="72" w:type="dxa"/>
              <w:right w:w="57" w:type="dxa"/>
            </w:tcMar>
            <w:hideMark/>
          </w:tcPr>
          <w:p w14:paraId="7FC04034"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-1.5 ppt</w:t>
            </w:r>
          </w:p>
        </w:tc>
        <w:tc>
          <w:tcPr>
            <w:tcW w:w="1980" w:type="dxa"/>
            <w:tcBorders>
              <w:bottom w:val="nil"/>
            </w:tcBorders>
            <w:shd w:val="clear" w:color="000000" w:fill="F2F2F2"/>
            <w:tcMar>
              <w:top w:w="72" w:type="dxa"/>
              <w:left w:w="144" w:type="dxa"/>
              <w:bottom w:w="72" w:type="dxa"/>
              <w:right w:w="57" w:type="dxa"/>
            </w:tcMar>
            <w:hideMark/>
          </w:tcPr>
          <w:p w14:paraId="0D6C0122"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-4.9 ppt</w:t>
            </w:r>
          </w:p>
        </w:tc>
      </w:tr>
      <w:tr w:rsidR="006D712F" w:rsidRPr="00CA530F" w14:paraId="263E27EA" w14:textId="77777777" w:rsidTr="00C03B32">
        <w:trPr>
          <w:trHeight w:val="170"/>
        </w:trPr>
        <w:tc>
          <w:tcPr>
            <w:tcW w:w="1700" w:type="dxa"/>
            <w:tcBorders>
              <w:top w:val="nil"/>
              <w:bottom w:val="nil"/>
            </w:tcBorders>
            <w:shd w:val="clear" w:color="000000" w:fill="auto"/>
            <w:tcMar>
              <w:top w:w="72" w:type="dxa"/>
              <w:left w:w="144" w:type="dxa"/>
              <w:bottom w:w="72" w:type="dxa"/>
              <w:right w:w="144" w:type="dxa"/>
            </w:tcMar>
            <w:hideMark/>
          </w:tcPr>
          <w:p w14:paraId="1832B701"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6CA35BE1"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-0.1 ppt</w:t>
            </w:r>
          </w:p>
        </w:tc>
        <w:tc>
          <w:tcPr>
            <w:tcW w:w="1980" w:type="dxa"/>
            <w:tcBorders>
              <w:top w:val="nil"/>
              <w:bottom w:val="nil"/>
            </w:tcBorders>
            <w:shd w:val="clear" w:color="000000" w:fill="auto"/>
            <w:tcMar>
              <w:top w:w="72" w:type="dxa"/>
              <w:left w:w="144" w:type="dxa"/>
              <w:bottom w:w="72" w:type="dxa"/>
              <w:right w:w="57" w:type="dxa"/>
            </w:tcMar>
            <w:hideMark/>
          </w:tcPr>
          <w:p w14:paraId="5208C19F"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-1.6 ppt</w:t>
            </w:r>
          </w:p>
        </w:tc>
        <w:tc>
          <w:tcPr>
            <w:tcW w:w="1980" w:type="dxa"/>
            <w:tcBorders>
              <w:top w:val="nil"/>
              <w:bottom w:val="nil"/>
            </w:tcBorders>
            <w:shd w:val="clear" w:color="000000" w:fill="auto"/>
            <w:tcMar>
              <w:top w:w="72" w:type="dxa"/>
              <w:left w:w="144" w:type="dxa"/>
              <w:bottom w:w="72" w:type="dxa"/>
              <w:right w:w="57" w:type="dxa"/>
            </w:tcMar>
            <w:hideMark/>
          </w:tcPr>
          <w:p w14:paraId="34F8C668"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+0.8 ppt</w:t>
            </w:r>
          </w:p>
        </w:tc>
        <w:tc>
          <w:tcPr>
            <w:tcW w:w="1980" w:type="dxa"/>
            <w:tcBorders>
              <w:top w:val="nil"/>
              <w:bottom w:val="nil"/>
            </w:tcBorders>
            <w:shd w:val="clear" w:color="000000" w:fill="auto"/>
            <w:tcMar>
              <w:top w:w="72" w:type="dxa"/>
              <w:left w:w="144" w:type="dxa"/>
              <w:bottom w:w="72" w:type="dxa"/>
              <w:right w:w="57" w:type="dxa"/>
            </w:tcMar>
            <w:hideMark/>
          </w:tcPr>
          <w:p w14:paraId="46E04EDC"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+1.5 ppt</w:t>
            </w:r>
          </w:p>
        </w:tc>
      </w:tr>
      <w:tr w:rsidR="006D712F" w:rsidRPr="00CA530F" w14:paraId="6AABDA98" w14:textId="77777777" w:rsidTr="00C03B32">
        <w:trPr>
          <w:trHeight w:val="170"/>
        </w:trPr>
        <w:tc>
          <w:tcPr>
            <w:tcW w:w="1700" w:type="dxa"/>
            <w:tcBorders>
              <w:bottom w:val="nil"/>
            </w:tcBorders>
            <w:shd w:val="clear" w:color="000000" w:fill="F2F2F2"/>
            <w:tcMar>
              <w:top w:w="72" w:type="dxa"/>
              <w:left w:w="144" w:type="dxa"/>
              <w:bottom w:w="72" w:type="dxa"/>
              <w:right w:w="144" w:type="dxa"/>
            </w:tcMar>
            <w:hideMark/>
          </w:tcPr>
          <w:p w14:paraId="398DF541"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16068FC3"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+5.0 ppt</w:t>
            </w:r>
          </w:p>
        </w:tc>
        <w:tc>
          <w:tcPr>
            <w:tcW w:w="1980" w:type="dxa"/>
            <w:tcBorders>
              <w:bottom w:val="nil"/>
            </w:tcBorders>
            <w:shd w:val="clear" w:color="000000" w:fill="F2F2F2"/>
            <w:tcMar>
              <w:top w:w="72" w:type="dxa"/>
              <w:left w:w="144" w:type="dxa"/>
              <w:bottom w:w="72" w:type="dxa"/>
              <w:right w:w="57" w:type="dxa"/>
            </w:tcMar>
            <w:hideMark/>
          </w:tcPr>
          <w:p w14:paraId="14C5FAD1"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+4.8 ppt</w:t>
            </w:r>
          </w:p>
        </w:tc>
        <w:tc>
          <w:tcPr>
            <w:tcW w:w="1980" w:type="dxa"/>
            <w:tcBorders>
              <w:bottom w:val="nil"/>
            </w:tcBorders>
            <w:shd w:val="clear" w:color="000000" w:fill="F2F2F2"/>
            <w:tcMar>
              <w:top w:w="72" w:type="dxa"/>
              <w:left w:w="144" w:type="dxa"/>
              <w:bottom w:w="72" w:type="dxa"/>
              <w:right w:w="57" w:type="dxa"/>
            </w:tcMar>
            <w:hideMark/>
          </w:tcPr>
          <w:p w14:paraId="0A33E8A3"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+5.9 ppt</w:t>
            </w:r>
          </w:p>
        </w:tc>
        <w:tc>
          <w:tcPr>
            <w:tcW w:w="1980" w:type="dxa"/>
            <w:tcBorders>
              <w:bottom w:val="nil"/>
            </w:tcBorders>
            <w:shd w:val="clear" w:color="000000" w:fill="F2F2F2"/>
            <w:tcMar>
              <w:top w:w="72" w:type="dxa"/>
              <w:left w:w="144" w:type="dxa"/>
              <w:bottom w:w="72" w:type="dxa"/>
              <w:right w:w="57" w:type="dxa"/>
            </w:tcMar>
            <w:hideMark/>
          </w:tcPr>
          <w:p w14:paraId="04707E59"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Body)" w:hAnsi="Arial (Body)"/>
                <w:color w:val="4D7028" w:themeColor="accent2"/>
                <w:sz w:val="18"/>
              </w:rPr>
              <w:tab/>
            </w:r>
            <w:r w:rsidRPr="00CA530F">
              <w:rPr>
                <w:rFonts w:ascii="Arial (Body)" w:hAnsi="Arial (Body)"/>
                <w:color w:val="4D7028" w:themeColor="accent2"/>
                <w:sz w:val="18"/>
              </w:rPr>
              <w:t>-0.1 ppt</w:t>
            </w:r>
          </w:p>
        </w:tc>
      </w:tr>
      <w:tr w:rsidR="006D712F" w:rsidRPr="00CA530F" w14:paraId="0D3319A9" w14:textId="77777777" w:rsidTr="00C03B32">
        <w:trPr>
          <w:trHeight w:val="20"/>
        </w:trPr>
        <w:tc>
          <w:tcPr>
            <w:tcW w:w="9640" w:type="dxa"/>
            <w:gridSpan w:val="5"/>
            <w:tcBorders>
              <w:top w:val="nil"/>
              <w:bottom w:val="nil"/>
            </w:tcBorders>
            <w:shd w:val="clear" w:color="000000" w:fill="auto"/>
            <w:tcMar>
              <w:top w:w="72" w:type="dxa"/>
              <w:left w:w="144" w:type="dxa"/>
              <w:bottom w:w="72" w:type="dxa"/>
              <w:right w:w="144" w:type="dxa"/>
            </w:tcMar>
            <w:hideMark/>
          </w:tcPr>
          <w:p w14:paraId="5DEDF73F" w14:textId="77777777" w:rsidR="006D712F" w:rsidRPr="00CA530F" w:rsidRDefault="006D712F" w:rsidP="00C03B32">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Lower the proportion of students in bottom two bands in the NAPLAN – numeracy</w:t>
            </w:r>
          </w:p>
        </w:tc>
      </w:tr>
      <w:tr w:rsidR="006D712F" w:rsidRPr="00CA530F" w14:paraId="02F3B0B4" w14:textId="77777777" w:rsidTr="00C03B32">
        <w:trPr>
          <w:trHeight w:val="170"/>
        </w:trPr>
        <w:tc>
          <w:tcPr>
            <w:tcW w:w="1700" w:type="dxa"/>
            <w:tcBorders>
              <w:bottom w:val="nil"/>
            </w:tcBorders>
            <w:shd w:val="clear" w:color="000000" w:fill="F2F2F2"/>
            <w:tcMar>
              <w:top w:w="72" w:type="dxa"/>
              <w:left w:w="144" w:type="dxa"/>
              <w:bottom w:w="72" w:type="dxa"/>
              <w:right w:w="144" w:type="dxa"/>
            </w:tcMar>
            <w:hideMark/>
          </w:tcPr>
          <w:p w14:paraId="7C6C1FD7"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5B0E64D4"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w:hAnsi="Arial" w:cs="Arial"/>
                <w:b/>
                <w:bCs/>
                <w:color w:val="A52828" w:themeColor="accent5"/>
                <w:sz w:val="24"/>
                <w:szCs w:val="24"/>
              </w:rPr>
              <w:tab/>
            </w:r>
            <w:r w:rsidRPr="00CA530F">
              <w:rPr>
                <w:rFonts w:ascii="Arial (Body)" w:hAnsi="Arial (Body)"/>
                <w:color w:val="A52828" w:themeColor="accent5"/>
                <w:sz w:val="18"/>
              </w:rPr>
              <w:t>+1.3 ppt</w:t>
            </w:r>
          </w:p>
        </w:tc>
        <w:tc>
          <w:tcPr>
            <w:tcW w:w="1980" w:type="dxa"/>
            <w:tcBorders>
              <w:bottom w:val="nil"/>
            </w:tcBorders>
            <w:shd w:val="clear" w:color="000000" w:fill="F2F2F2"/>
            <w:tcMar>
              <w:top w:w="72" w:type="dxa"/>
              <w:left w:w="144" w:type="dxa"/>
              <w:bottom w:w="72" w:type="dxa"/>
              <w:right w:w="57" w:type="dxa"/>
            </w:tcMar>
            <w:hideMark/>
          </w:tcPr>
          <w:p w14:paraId="523EFE3E"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+2.7 ppt</w:t>
            </w:r>
          </w:p>
        </w:tc>
        <w:tc>
          <w:tcPr>
            <w:tcW w:w="1980" w:type="dxa"/>
            <w:tcBorders>
              <w:bottom w:val="nil"/>
            </w:tcBorders>
            <w:shd w:val="clear" w:color="000000" w:fill="F2F2F2"/>
            <w:tcMar>
              <w:top w:w="72" w:type="dxa"/>
              <w:left w:w="144" w:type="dxa"/>
              <w:bottom w:w="72" w:type="dxa"/>
              <w:right w:w="57" w:type="dxa"/>
            </w:tcMar>
            <w:hideMark/>
          </w:tcPr>
          <w:p w14:paraId="55AC7992"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+2.6 ppt</w:t>
            </w:r>
          </w:p>
        </w:tc>
        <w:tc>
          <w:tcPr>
            <w:tcW w:w="1980" w:type="dxa"/>
            <w:tcBorders>
              <w:bottom w:val="nil"/>
            </w:tcBorders>
            <w:shd w:val="clear" w:color="000000" w:fill="F2F2F2"/>
            <w:tcMar>
              <w:top w:w="72" w:type="dxa"/>
              <w:left w:w="144" w:type="dxa"/>
              <w:bottom w:w="72" w:type="dxa"/>
              <w:right w:w="57" w:type="dxa"/>
            </w:tcMar>
            <w:hideMark/>
          </w:tcPr>
          <w:p w14:paraId="54C0C934"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+3.2 ppt</w:t>
            </w:r>
          </w:p>
        </w:tc>
      </w:tr>
      <w:tr w:rsidR="006D712F" w:rsidRPr="00CA530F" w14:paraId="4CBB881F" w14:textId="77777777" w:rsidTr="00C03B32">
        <w:trPr>
          <w:trHeight w:val="170"/>
        </w:trPr>
        <w:tc>
          <w:tcPr>
            <w:tcW w:w="1700" w:type="dxa"/>
            <w:tcBorders>
              <w:top w:val="nil"/>
              <w:bottom w:val="nil"/>
            </w:tcBorders>
            <w:shd w:val="clear" w:color="000000" w:fill="auto"/>
            <w:tcMar>
              <w:top w:w="72" w:type="dxa"/>
              <w:left w:w="144" w:type="dxa"/>
              <w:bottom w:w="72" w:type="dxa"/>
              <w:right w:w="144" w:type="dxa"/>
            </w:tcMar>
            <w:hideMark/>
          </w:tcPr>
          <w:p w14:paraId="59CE9094"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648D5788" w14:textId="77777777" w:rsidR="006D712F" w:rsidRPr="00CA530F" w:rsidRDefault="006D712F" w:rsidP="00C03B32">
            <w:pPr>
              <w:pStyle w:val="BodyText"/>
              <w:tabs>
                <w:tab w:val="left" w:pos="423"/>
              </w:tabs>
              <w:spacing w:before="0" w:after="0"/>
              <w:ind w:left="57" w:right="108"/>
              <w:rPr>
                <w:rFonts w:ascii="Arial (Body)" w:hAnsi="Arial (Body)"/>
                <w:color w:val="000000"/>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+0.2 ppt</w:t>
            </w:r>
          </w:p>
        </w:tc>
        <w:tc>
          <w:tcPr>
            <w:tcW w:w="1980" w:type="dxa"/>
            <w:tcBorders>
              <w:top w:val="nil"/>
              <w:bottom w:val="nil"/>
            </w:tcBorders>
            <w:shd w:val="clear" w:color="000000" w:fill="auto"/>
            <w:tcMar>
              <w:top w:w="72" w:type="dxa"/>
              <w:left w:w="144" w:type="dxa"/>
              <w:bottom w:w="72" w:type="dxa"/>
              <w:right w:w="57" w:type="dxa"/>
            </w:tcMar>
            <w:hideMark/>
          </w:tcPr>
          <w:p w14:paraId="1D63DE1D"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+1.3 ppt</w:t>
            </w:r>
          </w:p>
        </w:tc>
        <w:tc>
          <w:tcPr>
            <w:tcW w:w="1980" w:type="dxa"/>
            <w:tcBorders>
              <w:top w:val="nil"/>
              <w:bottom w:val="nil"/>
            </w:tcBorders>
            <w:shd w:val="clear" w:color="000000" w:fill="auto"/>
            <w:tcMar>
              <w:top w:w="72" w:type="dxa"/>
              <w:left w:w="144" w:type="dxa"/>
              <w:bottom w:w="72" w:type="dxa"/>
              <w:right w:w="57" w:type="dxa"/>
            </w:tcMar>
            <w:hideMark/>
          </w:tcPr>
          <w:p w14:paraId="1B4CD2FB"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+0.8 ppt</w:t>
            </w:r>
          </w:p>
        </w:tc>
        <w:tc>
          <w:tcPr>
            <w:tcW w:w="1980" w:type="dxa"/>
            <w:tcBorders>
              <w:top w:val="nil"/>
              <w:bottom w:val="nil"/>
            </w:tcBorders>
            <w:shd w:val="clear" w:color="000000" w:fill="auto"/>
            <w:tcMar>
              <w:top w:w="72" w:type="dxa"/>
              <w:left w:w="144" w:type="dxa"/>
              <w:bottom w:w="72" w:type="dxa"/>
              <w:right w:w="57" w:type="dxa"/>
            </w:tcMar>
            <w:hideMark/>
          </w:tcPr>
          <w:p w14:paraId="6D46B5DB"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r>
      <w:tr w:rsidR="006D712F" w:rsidRPr="00CA530F" w14:paraId="37957A43" w14:textId="77777777" w:rsidTr="00C03B32">
        <w:trPr>
          <w:trHeight w:val="170"/>
        </w:trPr>
        <w:tc>
          <w:tcPr>
            <w:tcW w:w="1700" w:type="dxa"/>
            <w:tcBorders>
              <w:bottom w:val="nil"/>
            </w:tcBorders>
            <w:shd w:val="clear" w:color="000000" w:fill="F2F2F2"/>
            <w:tcMar>
              <w:top w:w="72" w:type="dxa"/>
              <w:left w:w="144" w:type="dxa"/>
              <w:bottom w:w="72" w:type="dxa"/>
              <w:right w:w="144" w:type="dxa"/>
            </w:tcMar>
            <w:hideMark/>
          </w:tcPr>
          <w:p w14:paraId="5161E6F3"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33E5E260"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+2.1 ppt</w:t>
            </w:r>
          </w:p>
        </w:tc>
        <w:tc>
          <w:tcPr>
            <w:tcW w:w="1980" w:type="dxa"/>
            <w:tcBorders>
              <w:bottom w:val="nil"/>
            </w:tcBorders>
            <w:shd w:val="clear" w:color="000000" w:fill="F2F2F2"/>
            <w:tcMar>
              <w:top w:w="72" w:type="dxa"/>
              <w:left w:w="144" w:type="dxa"/>
              <w:bottom w:w="72" w:type="dxa"/>
              <w:right w:w="57" w:type="dxa"/>
            </w:tcMar>
            <w:hideMark/>
          </w:tcPr>
          <w:p w14:paraId="152A5E82"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+5.4 ppt</w:t>
            </w:r>
          </w:p>
        </w:tc>
        <w:tc>
          <w:tcPr>
            <w:tcW w:w="1980" w:type="dxa"/>
            <w:tcBorders>
              <w:bottom w:val="nil"/>
            </w:tcBorders>
            <w:shd w:val="clear" w:color="000000" w:fill="F2F2F2"/>
            <w:tcMar>
              <w:top w:w="72" w:type="dxa"/>
              <w:left w:w="144" w:type="dxa"/>
              <w:bottom w:w="72" w:type="dxa"/>
              <w:right w:w="57" w:type="dxa"/>
            </w:tcMar>
            <w:hideMark/>
          </w:tcPr>
          <w:p w14:paraId="15786EB5"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+3.4 ppt</w:t>
            </w:r>
          </w:p>
        </w:tc>
        <w:tc>
          <w:tcPr>
            <w:tcW w:w="1980" w:type="dxa"/>
            <w:tcBorders>
              <w:bottom w:val="nil"/>
            </w:tcBorders>
            <w:shd w:val="clear" w:color="000000" w:fill="F2F2F2"/>
            <w:tcMar>
              <w:top w:w="72" w:type="dxa"/>
              <w:left w:w="144" w:type="dxa"/>
              <w:bottom w:w="72" w:type="dxa"/>
              <w:right w:w="57" w:type="dxa"/>
            </w:tcMar>
            <w:hideMark/>
          </w:tcPr>
          <w:p w14:paraId="483BC230"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+2.5 ppt</w:t>
            </w:r>
          </w:p>
        </w:tc>
      </w:tr>
      <w:tr w:rsidR="006D712F" w:rsidRPr="00CA530F" w14:paraId="414805E1" w14:textId="77777777" w:rsidTr="00C03B32">
        <w:trPr>
          <w:trHeight w:val="170"/>
        </w:trPr>
        <w:tc>
          <w:tcPr>
            <w:tcW w:w="1700" w:type="dxa"/>
            <w:tcBorders>
              <w:top w:val="nil"/>
              <w:bottom w:val="nil"/>
            </w:tcBorders>
            <w:shd w:val="clear" w:color="000000" w:fill="auto"/>
            <w:tcMar>
              <w:top w:w="72" w:type="dxa"/>
              <w:left w:w="144" w:type="dxa"/>
              <w:bottom w:w="72" w:type="dxa"/>
              <w:right w:w="144" w:type="dxa"/>
            </w:tcMar>
            <w:hideMark/>
          </w:tcPr>
          <w:p w14:paraId="7C803979"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bottom w:val="nil"/>
            </w:tcBorders>
            <w:shd w:val="clear" w:color="000000" w:fill="auto"/>
            <w:tcMar>
              <w:top w:w="72" w:type="dxa"/>
              <w:left w:w="144" w:type="dxa"/>
              <w:bottom w:w="72" w:type="dxa"/>
              <w:right w:w="57" w:type="dxa"/>
            </w:tcMar>
            <w:hideMark/>
          </w:tcPr>
          <w:p w14:paraId="5E29CEB1"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+2.4 ppt</w:t>
            </w:r>
          </w:p>
        </w:tc>
        <w:tc>
          <w:tcPr>
            <w:tcW w:w="1980" w:type="dxa"/>
            <w:tcBorders>
              <w:top w:val="nil"/>
              <w:bottom w:val="nil"/>
            </w:tcBorders>
            <w:shd w:val="clear" w:color="000000" w:fill="auto"/>
            <w:tcMar>
              <w:top w:w="72" w:type="dxa"/>
              <w:left w:w="144" w:type="dxa"/>
              <w:bottom w:w="72" w:type="dxa"/>
              <w:right w:w="57" w:type="dxa"/>
            </w:tcMar>
            <w:hideMark/>
          </w:tcPr>
          <w:p w14:paraId="04EB4055"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+5.2 ppt</w:t>
            </w:r>
          </w:p>
        </w:tc>
        <w:tc>
          <w:tcPr>
            <w:tcW w:w="1980" w:type="dxa"/>
            <w:tcBorders>
              <w:top w:val="nil"/>
              <w:bottom w:val="nil"/>
            </w:tcBorders>
            <w:shd w:val="clear" w:color="000000" w:fill="auto"/>
            <w:tcMar>
              <w:top w:w="72" w:type="dxa"/>
              <w:left w:w="144" w:type="dxa"/>
              <w:bottom w:w="72" w:type="dxa"/>
              <w:right w:w="57" w:type="dxa"/>
            </w:tcMar>
            <w:hideMark/>
          </w:tcPr>
          <w:p w14:paraId="500FC329"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+3.5 ppt</w:t>
            </w:r>
          </w:p>
        </w:tc>
        <w:tc>
          <w:tcPr>
            <w:tcW w:w="1980" w:type="dxa"/>
            <w:tcBorders>
              <w:top w:val="nil"/>
              <w:bottom w:val="nil"/>
            </w:tcBorders>
            <w:shd w:val="clear" w:color="000000" w:fill="auto"/>
            <w:tcMar>
              <w:top w:w="72" w:type="dxa"/>
              <w:left w:w="144" w:type="dxa"/>
              <w:bottom w:w="72" w:type="dxa"/>
              <w:right w:w="57" w:type="dxa"/>
            </w:tcMar>
            <w:hideMark/>
          </w:tcPr>
          <w:p w14:paraId="07BEE446"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Arial (Body)" w:hAnsi="Arial (Body)"/>
                <w:color w:val="A52828" w:themeColor="accent5"/>
                <w:sz w:val="18"/>
              </w:rPr>
              <w:tab/>
            </w:r>
            <w:r w:rsidRPr="00CA530F">
              <w:rPr>
                <w:rFonts w:ascii="Arial (Body)" w:hAnsi="Arial (Body)"/>
                <w:color w:val="A52828" w:themeColor="accent5"/>
                <w:sz w:val="18"/>
              </w:rPr>
              <w:t>+1.2 ppt</w:t>
            </w:r>
          </w:p>
        </w:tc>
      </w:tr>
      <w:tr w:rsidR="006D712F" w:rsidRPr="00CA530F" w14:paraId="0DAB0F9D" w14:textId="77777777" w:rsidTr="00C03B32">
        <w:trPr>
          <w:trHeight w:val="20"/>
        </w:trPr>
        <w:tc>
          <w:tcPr>
            <w:tcW w:w="9640" w:type="dxa"/>
            <w:gridSpan w:val="5"/>
            <w:tcBorders>
              <w:bottom w:val="nil"/>
            </w:tcBorders>
            <w:shd w:val="clear" w:color="000000" w:fill="F2F2F2"/>
            <w:tcMar>
              <w:top w:w="72" w:type="dxa"/>
              <w:left w:w="144" w:type="dxa"/>
              <w:bottom w:w="72" w:type="dxa"/>
              <w:right w:w="144" w:type="dxa"/>
            </w:tcMar>
            <w:hideMark/>
          </w:tcPr>
          <w:p w14:paraId="03166847" w14:textId="77777777" w:rsidR="006D712F" w:rsidRPr="00CA530F" w:rsidRDefault="006D712F" w:rsidP="00C03B32">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reading</w:t>
            </w:r>
          </w:p>
        </w:tc>
      </w:tr>
      <w:tr w:rsidR="006D712F" w:rsidRPr="00CA530F" w14:paraId="4007DC43" w14:textId="77777777" w:rsidTr="00C03B32">
        <w:trPr>
          <w:trHeight w:val="20"/>
        </w:trPr>
        <w:tc>
          <w:tcPr>
            <w:tcW w:w="1700" w:type="dxa"/>
            <w:tcBorders>
              <w:top w:val="nil"/>
              <w:bottom w:val="nil"/>
            </w:tcBorders>
            <w:shd w:val="clear" w:color="000000" w:fill="auto"/>
            <w:tcMar>
              <w:top w:w="72" w:type="dxa"/>
              <w:left w:w="144" w:type="dxa"/>
              <w:bottom w:w="72" w:type="dxa"/>
              <w:right w:w="144" w:type="dxa"/>
            </w:tcMar>
            <w:hideMark/>
          </w:tcPr>
          <w:p w14:paraId="7682A6C4"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top w:val="nil"/>
              <w:bottom w:val="nil"/>
            </w:tcBorders>
            <w:shd w:val="clear" w:color="000000" w:fill="auto"/>
            <w:tcMar>
              <w:top w:w="72" w:type="dxa"/>
              <w:left w:w="144" w:type="dxa"/>
              <w:bottom w:w="72" w:type="dxa"/>
              <w:right w:w="57" w:type="dxa"/>
            </w:tcMar>
            <w:hideMark/>
          </w:tcPr>
          <w:p w14:paraId="0D44AEE8"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+2.1 ppt</w:t>
            </w:r>
          </w:p>
        </w:tc>
        <w:tc>
          <w:tcPr>
            <w:tcW w:w="1980" w:type="dxa"/>
            <w:tcBorders>
              <w:top w:val="nil"/>
              <w:bottom w:val="nil"/>
            </w:tcBorders>
            <w:shd w:val="clear" w:color="000000" w:fill="auto"/>
            <w:tcMar>
              <w:top w:w="72" w:type="dxa"/>
              <w:left w:w="144" w:type="dxa"/>
              <w:bottom w:w="72" w:type="dxa"/>
              <w:right w:w="57" w:type="dxa"/>
            </w:tcMar>
            <w:hideMark/>
          </w:tcPr>
          <w:p w14:paraId="1EF6BDF2"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+3.3 ppt</w:t>
            </w:r>
          </w:p>
        </w:tc>
        <w:tc>
          <w:tcPr>
            <w:tcW w:w="1980" w:type="dxa"/>
            <w:tcBorders>
              <w:top w:val="nil"/>
              <w:bottom w:val="nil"/>
            </w:tcBorders>
            <w:shd w:val="clear" w:color="000000" w:fill="auto"/>
            <w:tcMar>
              <w:top w:w="72" w:type="dxa"/>
              <w:left w:w="144" w:type="dxa"/>
              <w:bottom w:w="72" w:type="dxa"/>
              <w:right w:w="57" w:type="dxa"/>
            </w:tcMar>
            <w:hideMark/>
          </w:tcPr>
          <w:p w14:paraId="7AE1A136"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+1.2 ppt</w:t>
            </w:r>
          </w:p>
        </w:tc>
        <w:tc>
          <w:tcPr>
            <w:tcW w:w="1980" w:type="dxa"/>
            <w:tcBorders>
              <w:top w:val="nil"/>
              <w:bottom w:val="nil"/>
            </w:tcBorders>
            <w:shd w:val="clear" w:color="000000" w:fill="auto"/>
            <w:tcMar>
              <w:top w:w="72" w:type="dxa"/>
              <w:left w:w="144" w:type="dxa"/>
              <w:bottom w:w="72" w:type="dxa"/>
              <w:right w:w="57" w:type="dxa"/>
            </w:tcMar>
            <w:hideMark/>
          </w:tcPr>
          <w:p w14:paraId="3CF28C94"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CA530F">
              <w:rPr>
                <w:rFonts w:ascii="Segoe UI Emoji" w:hAnsi="Segoe UI Emoji" w:cs="Arial"/>
                <w:b/>
                <w:bCs/>
                <w:color w:val="A52828" w:themeColor="accent5"/>
                <w:sz w:val="28"/>
                <w:szCs w:val="28"/>
              </w:rPr>
              <w:t>↓</w:t>
            </w:r>
            <w:r w:rsidRPr="00CA530F">
              <w:rPr>
                <w:rFonts w:ascii="Segoe UI Emoji" w:hAnsi="Segoe UI Emoji" w:cs="Arial"/>
                <w:b/>
                <w:bCs/>
                <w:color w:val="A52828" w:themeColor="accent5"/>
                <w:sz w:val="28"/>
                <w:szCs w:val="28"/>
              </w:rPr>
              <w:tab/>
            </w:r>
            <w:r w:rsidRPr="00CA530F">
              <w:rPr>
                <w:rFonts w:ascii="Arial (Body)" w:hAnsi="Arial (Body)"/>
                <w:color w:val="A52828" w:themeColor="accent5"/>
                <w:sz w:val="18"/>
              </w:rPr>
              <w:t>-0.3 ppt</w:t>
            </w:r>
          </w:p>
        </w:tc>
      </w:tr>
      <w:tr w:rsidR="006D712F" w:rsidRPr="00CA530F" w14:paraId="7B1BA33E" w14:textId="77777777" w:rsidTr="00C03B32">
        <w:trPr>
          <w:trHeight w:val="20"/>
        </w:trPr>
        <w:tc>
          <w:tcPr>
            <w:tcW w:w="1700" w:type="dxa"/>
            <w:tcBorders>
              <w:bottom w:val="nil"/>
            </w:tcBorders>
            <w:shd w:val="clear" w:color="000000" w:fill="F2F2F2"/>
            <w:tcMar>
              <w:top w:w="72" w:type="dxa"/>
              <w:left w:w="144" w:type="dxa"/>
              <w:bottom w:w="72" w:type="dxa"/>
              <w:right w:w="144" w:type="dxa"/>
            </w:tcMar>
            <w:hideMark/>
          </w:tcPr>
          <w:p w14:paraId="0899CFA8"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bottom w:val="nil"/>
            </w:tcBorders>
            <w:shd w:val="clear" w:color="000000" w:fill="F2F2F2"/>
            <w:tcMar>
              <w:top w:w="72" w:type="dxa"/>
              <w:left w:w="144" w:type="dxa"/>
              <w:bottom w:w="72" w:type="dxa"/>
              <w:right w:w="57" w:type="dxa"/>
            </w:tcMar>
            <w:hideMark/>
          </w:tcPr>
          <w:p w14:paraId="0FC0274B"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+1.8 ppt</w:t>
            </w:r>
          </w:p>
        </w:tc>
        <w:tc>
          <w:tcPr>
            <w:tcW w:w="1980" w:type="dxa"/>
            <w:tcBorders>
              <w:bottom w:val="nil"/>
            </w:tcBorders>
            <w:shd w:val="clear" w:color="000000" w:fill="F2F2F2"/>
            <w:tcMar>
              <w:top w:w="72" w:type="dxa"/>
              <w:left w:w="144" w:type="dxa"/>
              <w:bottom w:w="72" w:type="dxa"/>
              <w:right w:w="57" w:type="dxa"/>
            </w:tcMar>
            <w:hideMark/>
          </w:tcPr>
          <w:p w14:paraId="59B011C1"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Arial" w:hAnsi="Arial" w:cs="Arial"/>
                <w:b/>
                <w:bCs/>
                <w:color w:val="4D7028" w:themeColor="accent2"/>
                <w:sz w:val="24"/>
                <w:szCs w:val="24"/>
              </w:rPr>
              <w:tab/>
            </w:r>
            <w:r w:rsidRPr="00CA530F">
              <w:rPr>
                <w:rFonts w:ascii="Arial (Body)" w:hAnsi="Arial (Body)"/>
                <w:color w:val="4D7028" w:themeColor="accent2"/>
                <w:sz w:val="18"/>
              </w:rPr>
              <w:t>+1.7 ppt</w:t>
            </w:r>
          </w:p>
        </w:tc>
        <w:tc>
          <w:tcPr>
            <w:tcW w:w="1980" w:type="dxa"/>
            <w:tcBorders>
              <w:bottom w:val="nil"/>
            </w:tcBorders>
            <w:shd w:val="clear" w:color="000000" w:fill="F2F2F2"/>
            <w:tcMar>
              <w:top w:w="72" w:type="dxa"/>
              <w:left w:w="144" w:type="dxa"/>
              <w:bottom w:w="72" w:type="dxa"/>
              <w:right w:w="57" w:type="dxa"/>
            </w:tcMar>
            <w:hideMark/>
          </w:tcPr>
          <w:p w14:paraId="52A60B14"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bottom w:val="nil"/>
            </w:tcBorders>
            <w:shd w:val="clear" w:color="000000" w:fill="F2F2F2"/>
            <w:tcMar>
              <w:top w:w="72" w:type="dxa"/>
              <w:left w:w="144" w:type="dxa"/>
              <w:bottom w:w="72" w:type="dxa"/>
              <w:right w:w="57" w:type="dxa"/>
            </w:tcMar>
            <w:hideMark/>
          </w:tcPr>
          <w:p w14:paraId="4703E2AB"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+0.1 ppt</w:t>
            </w:r>
          </w:p>
        </w:tc>
      </w:tr>
      <w:tr w:rsidR="006D712F" w:rsidRPr="00CA530F" w14:paraId="13E7E39D" w14:textId="77777777" w:rsidTr="00C03B32">
        <w:trPr>
          <w:trHeight w:val="20"/>
        </w:trPr>
        <w:tc>
          <w:tcPr>
            <w:tcW w:w="1700" w:type="dxa"/>
            <w:tcBorders>
              <w:top w:val="nil"/>
              <w:bottom w:val="nil"/>
            </w:tcBorders>
            <w:shd w:val="clear" w:color="000000" w:fill="auto"/>
            <w:tcMar>
              <w:top w:w="72" w:type="dxa"/>
              <w:left w:w="144" w:type="dxa"/>
              <w:bottom w:w="72" w:type="dxa"/>
              <w:right w:w="144" w:type="dxa"/>
            </w:tcMar>
            <w:hideMark/>
          </w:tcPr>
          <w:p w14:paraId="6E527BA7"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top w:val="nil"/>
              <w:bottom w:val="nil"/>
            </w:tcBorders>
            <w:shd w:val="clear" w:color="000000" w:fill="auto"/>
            <w:tcMar>
              <w:top w:w="72" w:type="dxa"/>
              <w:left w:w="144" w:type="dxa"/>
              <w:bottom w:w="72" w:type="dxa"/>
              <w:right w:w="57" w:type="dxa"/>
            </w:tcMar>
            <w:hideMark/>
          </w:tcPr>
          <w:p w14:paraId="6D5EB8DD"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top w:val="nil"/>
              <w:bottom w:val="nil"/>
            </w:tcBorders>
            <w:shd w:val="clear" w:color="000000" w:fill="auto"/>
            <w:tcMar>
              <w:top w:w="72" w:type="dxa"/>
              <w:left w:w="144" w:type="dxa"/>
              <w:bottom w:w="72" w:type="dxa"/>
              <w:right w:w="57" w:type="dxa"/>
            </w:tcMar>
            <w:hideMark/>
          </w:tcPr>
          <w:p w14:paraId="65E6F895"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282D64">
              <w:rPr>
                <w:rFonts w:ascii="Segoe UI Emoji" w:hAnsi="Segoe UI Emoji" w:cs="Arial"/>
                <w:b/>
                <w:bCs/>
                <w:color w:val="4D7028" w:themeColor="accent2"/>
                <w:sz w:val="28"/>
                <w:szCs w:val="28"/>
              </w:rPr>
              <w:t>↑</w:t>
            </w:r>
            <w:r w:rsidRPr="00282D64">
              <w:rPr>
                <w:rFonts w:ascii="Segoe UI Emoji" w:hAnsi="Segoe UI Emoji" w:cs="Arial"/>
                <w:b/>
                <w:bCs/>
                <w:color w:val="4D7028" w:themeColor="accent2"/>
                <w:sz w:val="28"/>
                <w:szCs w:val="28"/>
              </w:rPr>
              <w:tab/>
            </w:r>
            <w:r w:rsidRPr="00CA530F">
              <w:rPr>
                <w:rFonts w:ascii="Arial (Body)" w:hAnsi="Arial (Body)"/>
                <w:color w:val="4D7028" w:themeColor="accent2"/>
                <w:sz w:val="18"/>
              </w:rPr>
              <w:t>+0.7 ppt</w:t>
            </w:r>
          </w:p>
        </w:tc>
        <w:tc>
          <w:tcPr>
            <w:tcW w:w="1980" w:type="dxa"/>
            <w:tcBorders>
              <w:top w:val="nil"/>
              <w:bottom w:val="nil"/>
            </w:tcBorders>
            <w:shd w:val="clear" w:color="000000" w:fill="auto"/>
            <w:tcMar>
              <w:top w:w="72" w:type="dxa"/>
              <w:left w:w="144" w:type="dxa"/>
              <w:bottom w:w="72" w:type="dxa"/>
              <w:right w:w="57" w:type="dxa"/>
            </w:tcMar>
            <w:hideMark/>
          </w:tcPr>
          <w:p w14:paraId="68DB6789"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-0.4 ppt</w:t>
            </w:r>
          </w:p>
        </w:tc>
        <w:tc>
          <w:tcPr>
            <w:tcW w:w="1980" w:type="dxa"/>
            <w:tcBorders>
              <w:top w:val="nil"/>
              <w:bottom w:val="nil"/>
            </w:tcBorders>
            <w:shd w:val="clear" w:color="000000" w:fill="auto"/>
            <w:tcMar>
              <w:top w:w="72" w:type="dxa"/>
              <w:left w:w="144" w:type="dxa"/>
              <w:bottom w:w="72" w:type="dxa"/>
              <w:right w:w="57" w:type="dxa"/>
            </w:tcMar>
            <w:hideMark/>
          </w:tcPr>
          <w:p w14:paraId="441FD2D4"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-0.1 ppt</w:t>
            </w:r>
          </w:p>
        </w:tc>
      </w:tr>
      <w:tr w:rsidR="006D712F" w:rsidRPr="00CA530F" w14:paraId="60C52AD2" w14:textId="77777777" w:rsidTr="00C03B32">
        <w:trPr>
          <w:trHeight w:val="20"/>
        </w:trPr>
        <w:tc>
          <w:tcPr>
            <w:tcW w:w="1700" w:type="dxa"/>
            <w:tcBorders>
              <w:bottom w:val="nil"/>
            </w:tcBorders>
            <w:shd w:val="clear" w:color="000000" w:fill="F2F2F2"/>
            <w:tcMar>
              <w:top w:w="72" w:type="dxa"/>
              <w:left w:w="144" w:type="dxa"/>
              <w:bottom w:w="72" w:type="dxa"/>
              <w:right w:w="144" w:type="dxa"/>
            </w:tcMar>
            <w:hideMark/>
          </w:tcPr>
          <w:p w14:paraId="4213B449"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bottom w:val="nil"/>
            </w:tcBorders>
            <w:shd w:val="clear" w:color="000000" w:fill="F2F2F2"/>
            <w:tcMar>
              <w:top w:w="72" w:type="dxa"/>
              <w:left w:w="144" w:type="dxa"/>
              <w:bottom w:w="72" w:type="dxa"/>
              <w:right w:w="57" w:type="dxa"/>
            </w:tcMar>
            <w:hideMark/>
          </w:tcPr>
          <w:p w14:paraId="08F81B7B" w14:textId="77777777" w:rsidR="006D712F" w:rsidRPr="00CA530F" w:rsidRDefault="006D712F" w:rsidP="00C03B32">
            <w:pPr>
              <w:pStyle w:val="BodyText"/>
              <w:spacing w:before="0" w:after="0"/>
              <w:ind w:left="57" w:right="108"/>
              <w:rPr>
                <w:rFonts w:ascii="Arial (Body)" w:hAnsi="Arial (Body)"/>
                <w:color w:val="000000"/>
                <w:sz w:val="18"/>
              </w:rPr>
            </w:pPr>
            <w:r w:rsidRPr="00CA530F">
              <w:rPr>
                <w:rFonts w:ascii="Arial (Body)" w:hAnsi="Arial (Body)"/>
                <w:color w:val="000000"/>
                <w:sz w:val="18"/>
              </w:rPr>
              <w:t>No change</w:t>
            </w:r>
          </w:p>
        </w:tc>
        <w:tc>
          <w:tcPr>
            <w:tcW w:w="1980" w:type="dxa"/>
            <w:tcBorders>
              <w:bottom w:val="nil"/>
            </w:tcBorders>
            <w:shd w:val="clear" w:color="000000" w:fill="F2F2F2"/>
            <w:tcMar>
              <w:top w:w="72" w:type="dxa"/>
              <w:left w:w="144" w:type="dxa"/>
              <w:bottom w:w="72" w:type="dxa"/>
              <w:right w:w="57" w:type="dxa"/>
            </w:tcMar>
            <w:hideMark/>
          </w:tcPr>
          <w:p w14:paraId="3142F1AF"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-0.1 ppt</w:t>
            </w:r>
          </w:p>
        </w:tc>
        <w:tc>
          <w:tcPr>
            <w:tcW w:w="1980" w:type="dxa"/>
            <w:tcBorders>
              <w:bottom w:val="nil"/>
            </w:tcBorders>
            <w:shd w:val="clear" w:color="000000" w:fill="F2F2F2"/>
            <w:tcMar>
              <w:top w:w="72" w:type="dxa"/>
              <w:left w:w="144" w:type="dxa"/>
              <w:bottom w:w="72" w:type="dxa"/>
              <w:right w:w="57" w:type="dxa"/>
            </w:tcMar>
            <w:hideMark/>
          </w:tcPr>
          <w:p w14:paraId="703EA2A9"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-1.0 ppt</w:t>
            </w:r>
          </w:p>
        </w:tc>
        <w:tc>
          <w:tcPr>
            <w:tcW w:w="1980" w:type="dxa"/>
            <w:tcBorders>
              <w:bottom w:val="nil"/>
            </w:tcBorders>
            <w:shd w:val="clear" w:color="000000" w:fill="F2F2F2"/>
            <w:tcMar>
              <w:top w:w="72" w:type="dxa"/>
              <w:left w:w="144" w:type="dxa"/>
              <w:bottom w:w="72" w:type="dxa"/>
              <w:right w:w="57" w:type="dxa"/>
            </w:tcMar>
            <w:hideMark/>
          </w:tcPr>
          <w:p w14:paraId="2DF3104D"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-0.6 ppt</w:t>
            </w:r>
          </w:p>
        </w:tc>
      </w:tr>
      <w:tr w:rsidR="006D712F" w:rsidRPr="00CA530F" w14:paraId="6F19284E" w14:textId="77777777" w:rsidTr="00C03B32">
        <w:trPr>
          <w:trHeight w:val="20"/>
        </w:trPr>
        <w:tc>
          <w:tcPr>
            <w:tcW w:w="9640" w:type="dxa"/>
            <w:gridSpan w:val="5"/>
            <w:tcBorders>
              <w:top w:val="nil"/>
              <w:bottom w:val="nil"/>
            </w:tcBorders>
            <w:shd w:val="clear" w:color="000000" w:fill="auto"/>
            <w:tcMar>
              <w:top w:w="72" w:type="dxa"/>
              <w:left w:w="144" w:type="dxa"/>
              <w:bottom w:w="72" w:type="dxa"/>
              <w:right w:w="144" w:type="dxa"/>
            </w:tcMar>
            <w:hideMark/>
          </w:tcPr>
          <w:p w14:paraId="070893C2" w14:textId="77777777" w:rsidR="006D712F" w:rsidRPr="00CA530F" w:rsidRDefault="006D712F" w:rsidP="00C03B32">
            <w:pPr>
              <w:pStyle w:val="BodyText"/>
              <w:spacing w:before="40" w:after="40"/>
              <w:ind w:left="57" w:right="108"/>
              <w:rPr>
                <w:rFonts w:ascii="Arial (Body)" w:hAnsi="Arial (Body)"/>
                <w:b/>
                <w:color w:val="265A9A"/>
                <w:sz w:val="18"/>
              </w:rPr>
            </w:pPr>
            <w:r w:rsidRPr="00CA530F">
              <w:rPr>
                <w:rFonts w:ascii="Arial (Body)" w:hAnsi="Arial (Body)"/>
                <w:b/>
                <w:bCs/>
                <w:color w:val="265A9A"/>
                <w:sz w:val="18"/>
                <w:lang w:val="en-GB"/>
              </w:rPr>
              <w:t>Increase the proportion of students in the top two bands in the NAPLAN – numeracy</w:t>
            </w:r>
          </w:p>
        </w:tc>
      </w:tr>
      <w:tr w:rsidR="006D712F" w:rsidRPr="00CA530F" w14:paraId="758C227F" w14:textId="77777777" w:rsidTr="00C03B32">
        <w:trPr>
          <w:trHeight w:val="143"/>
        </w:trPr>
        <w:tc>
          <w:tcPr>
            <w:tcW w:w="1700" w:type="dxa"/>
            <w:tcBorders>
              <w:bottom w:val="nil"/>
            </w:tcBorders>
            <w:shd w:val="clear" w:color="000000" w:fill="F2F2F2"/>
            <w:tcMar>
              <w:top w:w="72" w:type="dxa"/>
              <w:left w:w="144" w:type="dxa"/>
              <w:bottom w:w="72" w:type="dxa"/>
              <w:right w:w="144" w:type="dxa"/>
            </w:tcMar>
            <w:hideMark/>
          </w:tcPr>
          <w:p w14:paraId="332C2655"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3</w:t>
            </w:r>
          </w:p>
        </w:tc>
        <w:tc>
          <w:tcPr>
            <w:tcW w:w="1980" w:type="dxa"/>
            <w:tcBorders>
              <w:bottom w:val="nil"/>
            </w:tcBorders>
            <w:shd w:val="clear" w:color="000000" w:fill="F2F2F2"/>
            <w:tcMar>
              <w:top w:w="72" w:type="dxa"/>
              <w:left w:w="144" w:type="dxa"/>
              <w:bottom w:w="72" w:type="dxa"/>
              <w:right w:w="57" w:type="dxa"/>
            </w:tcMar>
            <w:hideMark/>
          </w:tcPr>
          <w:p w14:paraId="3FC7573B"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-3.0 ppt</w:t>
            </w:r>
          </w:p>
        </w:tc>
        <w:tc>
          <w:tcPr>
            <w:tcW w:w="1980" w:type="dxa"/>
            <w:tcBorders>
              <w:bottom w:val="nil"/>
            </w:tcBorders>
            <w:shd w:val="clear" w:color="000000" w:fill="F2F2F2"/>
            <w:tcMar>
              <w:top w:w="72" w:type="dxa"/>
              <w:left w:w="144" w:type="dxa"/>
              <w:bottom w:w="72" w:type="dxa"/>
              <w:right w:w="57" w:type="dxa"/>
            </w:tcMar>
            <w:hideMark/>
          </w:tcPr>
          <w:p w14:paraId="5D6A4FCB"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-0.8 ppt</w:t>
            </w:r>
          </w:p>
        </w:tc>
        <w:tc>
          <w:tcPr>
            <w:tcW w:w="1980" w:type="dxa"/>
            <w:tcBorders>
              <w:bottom w:val="nil"/>
            </w:tcBorders>
            <w:shd w:val="clear" w:color="000000" w:fill="F2F2F2"/>
            <w:tcMar>
              <w:top w:w="72" w:type="dxa"/>
              <w:left w:w="144" w:type="dxa"/>
              <w:bottom w:w="72" w:type="dxa"/>
              <w:right w:w="57" w:type="dxa"/>
            </w:tcMar>
            <w:hideMark/>
          </w:tcPr>
          <w:p w14:paraId="52840506"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-4.0 ppt</w:t>
            </w:r>
          </w:p>
        </w:tc>
        <w:tc>
          <w:tcPr>
            <w:tcW w:w="1980" w:type="dxa"/>
            <w:tcBorders>
              <w:bottom w:val="nil"/>
            </w:tcBorders>
            <w:shd w:val="clear" w:color="000000" w:fill="F2F2F2"/>
            <w:tcMar>
              <w:top w:w="72" w:type="dxa"/>
              <w:left w:w="144" w:type="dxa"/>
              <w:bottom w:w="72" w:type="dxa"/>
              <w:right w:w="57" w:type="dxa"/>
            </w:tcMar>
            <w:hideMark/>
          </w:tcPr>
          <w:p w14:paraId="2DC18EB3"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-3.7 ppt</w:t>
            </w:r>
          </w:p>
        </w:tc>
      </w:tr>
      <w:tr w:rsidR="006D712F" w:rsidRPr="00CA530F" w14:paraId="1C6D5BF1" w14:textId="77777777" w:rsidTr="00C03B32">
        <w:trPr>
          <w:trHeight w:val="251"/>
        </w:trPr>
        <w:tc>
          <w:tcPr>
            <w:tcW w:w="1700" w:type="dxa"/>
            <w:tcBorders>
              <w:top w:val="nil"/>
              <w:bottom w:val="nil"/>
            </w:tcBorders>
            <w:shd w:val="clear" w:color="000000" w:fill="auto"/>
            <w:tcMar>
              <w:top w:w="72" w:type="dxa"/>
              <w:left w:w="144" w:type="dxa"/>
              <w:bottom w:w="72" w:type="dxa"/>
              <w:right w:w="144" w:type="dxa"/>
            </w:tcMar>
            <w:hideMark/>
          </w:tcPr>
          <w:p w14:paraId="1C144831"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5</w:t>
            </w:r>
          </w:p>
        </w:tc>
        <w:tc>
          <w:tcPr>
            <w:tcW w:w="1980" w:type="dxa"/>
            <w:tcBorders>
              <w:top w:val="nil"/>
              <w:bottom w:val="nil"/>
            </w:tcBorders>
            <w:shd w:val="clear" w:color="000000" w:fill="auto"/>
            <w:tcMar>
              <w:top w:w="72" w:type="dxa"/>
              <w:left w:w="144" w:type="dxa"/>
              <w:bottom w:w="72" w:type="dxa"/>
              <w:right w:w="57" w:type="dxa"/>
            </w:tcMar>
            <w:hideMark/>
          </w:tcPr>
          <w:p w14:paraId="51224290"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+1.7 ppt</w:t>
            </w:r>
          </w:p>
        </w:tc>
        <w:tc>
          <w:tcPr>
            <w:tcW w:w="1980" w:type="dxa"/>
            <w:tcBorders>
              <w:top w:val="nil"/>
              <w:bottom w:val="nil"/>
            </w:tcBorders>
            <w:shd w:val="clear" w:color="000000" w:fill="auto"/>
            <w:tcMar>
              <w:top w:w="72" w:type="dxa"/>
              <w:left w:w="144" w:type="dxa"/>
              <w:bottom w:w="72" w:type="dxa"/>
              <w:right w:w="57" w:type="dxa"/>
            </w:tcMar>
            <w:hideMark/>
          </w:tcPr>
          <w:p w14:paraId="2A606215"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+0.4 ppt</w:t>
            </w:r>
          </w:p>
        </w:tc>
        <w:tc>
          <w:tcPr>
            <w:tcW w:w="1980" w:type="dxa"/>
            <w:tcBorders>
              <w:top w:val="nil"/>
              <w:bottom w:val="nil"/>
            </w:tcBorders>
            <w:shd w:val="clear" w:color="000000" w:fill="auto"/>
            <w:tcMar>
              <w:top w:w="72" w:type="dxa"/>
              <w:left w:w="144" w:type="dxa"/>
              <w:bottom w:w="72" w:type="dxa"/>
              <w:right w:w="57" w:type="dxa"/>
            </w:tcMar>
            <w:hideMark/>
          </w:tcPr>
          <w:p w14:paraId="4E9F9C51"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+0.9 ppt</w:t>
            </w:r>
          </w:p>
        </w:tc>
        <w:tc>
          <w:tcPr>
            <w:tcW w:w="1980" w:type="dxa"/>
            <w:tcBorders>
              <w:top w:val="nil"/>
              <w:bottom w:val="nil"/>
            </w:tcBorders>
            <w:shd w:val="clear" w:color="000000" w:fill="auto"/>
            <w:tcMar>
              <w:top w:w="72" w:type="dxa"/>
              <w:left w:w="144" w:type="dxa"/>
              <w:bottom w:w="72" w:type="dxa"/>
              <w:right w:w="57" w:type="dxa"/>
            </w:tcMar>
            <w:hideMark/>
          </w:tcPr>
          <w:p w14:paraId="5C3C9D5A"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3954B2">
              <w:rPr>
                <w:rFonts w:ascii="Segoe UI Emoji" w:hAnsi="Segoe UI Emoji" w:cs="Arial"/>
                <w:b/>
                <w:bCs/>
                <w:color w:val="A52828" w:themeColor="accent5"/>
                <w:sz w:val="28"/>
                <w:szCs w:val="28"/>
              </w:rPr>
              <w:t>↓</w:t>
            </w:r>
            <w:r w:rsidRPr="003954B2">
              <w:rPr>
                <w:rFonts w:ascii="Segoe UI Emoji" w:hAnsi="Segoe UI Emoji" w:cs="Arial"/>
                <w:b/>
                <w:bCs/>
                <w:color w:val="A52828" w:themeColor="accent5"/>
                <w:sz w:val="28"/>
                <w:szCs w:val="28"/>
              </w:rPr>
              <w:tab/>
            </w:r>
            <w:r w:rsidRPr="00CA530F">
              <w:rPr>
                <w:rFonts w:ascii="Arial (Body)" w:hAnsi="Arial (Body)"/>
                <w:color w:val="A52828" w:themeColor="accent5"/>
                <w:sz w:val="18"/>
              </w:rPr>
              <w:t>-0.9 ppt</w:t>
            </w:r>
          </w:p>
        </w:tc>
      </w:tr>
      <w:tr w:rsidR="006D712F" w:rsidRPr="00CA530F" w14:paraId="0A69A537" w14:textId="77777777" w:rsidTr="00C03B32">
        <w:trPr>
          <w:trHeight w:val="23"/>
        </w:trPr>
        <w:tc>
          <w:tcPr>
            <w:tcW w:w="1700" w:type="dxa"/>
            <w:tcBorders>
              <w:bottom w:val="nil"/>
            </w:tcBorders>
            <w:shd w:val="clear" w:color="000000" w:fill="F2F2F2"/>
            <w:tcMar>
              <w:top w:w="72" w:type="dxa"/>
              <w:left w:w="144" w:type="dxa"/>
              <w:bottom w:w="72" w:type="dxa"/>
              <w:right w:w="144" w:type="dxa"/>
            </w:tcMar>
            <w:hideMark/>
          </w:tcPr>
          <w:p w14:paraId="2A6CE2A7"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7</w:t>
            </w:r>
          </w:p>
        </w:tc>
        <w:tc>
          <w:tcPr>
            <w:tcW w:w="1980" w:type="dxa"/>
            <w:tcBorders>
              <w:bottom w:val="nil"/>
            </w:tcBorders>
            <w:shd w:val="clear" w:color="000000" w:fill="F2F2F2"/>
            <w:tcMar>
              <w:top w:w="72" w:type="dxa"/>
              <w:left w:w="144" w:type="dxa"/>
              <w:bottom w:w="72" w:type="dxa"/>
              <w:right w:w="57" w:type="dxa"/>
            </w:tcMar>
            <w:hideMark/>
          </w:tcPr>
          <w:p w14:paraId="2E3FD9B1"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+4.1 ppt</w:t>
            </w:r>
          </w:p>
        </w:tc>
        <w:tc>
          <w:tcPr>
            <w:tcW w:w="1980" w:type="dxa"/>
            <w:tcBorders>
              <w:bottom w:val="nil"/>
            </w:tcBorders>
            <w:shd w:val="clear" w:color="000000" w:fill="F2F2F2"/>
            <w:tcMar>
              <w:top w:w="72" w:type="dxa"/>
              <w:left w:w="144" w:type="dxa"/>
              <w:bottom w:w="72" w:type="dxa"/>
              <w:right w:w="57" w:type="dxa"/>
            </w:tcMar>
            <w:hideMark/>
          </w:tcPr>
          <w:p w14:paraId="628F178B"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+1.6 ppt</w:t>
            </w:r>
          </w:p>
        </w:tc>
        <w:tc>
          <w:tcPr>
            <w:tcW w:w="1980" w:type="dxa"/>
            <w:tcBorders>
              <w:bottom w:val="nil"/>
            </w:tcBorders>
            <w:shd w:val="clear" w:color="000000" w:fill="F2F2F2"/>
            <w:tcMar>
              <w:top w:w="72" w:type="dxa"/>
              <w:left w:w="144" w:type="dxa"/>
              <w:bottom w:w="72" w:type="dxa"/>
              <w:right w:w="57" w:type="dxa"/>
            </w:tcMar>
            <w:hideMark/>
          </w:tcPr>
          <w:p w14:paraId="26870AD6"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+3.1 ppt</w:t>
            </w:r>
          </w:p>
        </w:tc>
        <w:tc>
          <w:tcPr>
            <w:tcW w:w="1980" w:type="dxa"/>
            <w:tcBorders>
              <w:bottom w:val="nil"/>
            </w:tcBorders>
            <w:shd w:val="clear" w:color="000000" w:fill="F2F2F2"/>
            <w:tcMar>
              <w:top w:w="72" w:type="dxa"/>
              <w:left w:w="144" w:type="dxa"/>
              <w:bottom w:w="72" w:type="dxa"/>
              <w:right w:w="57" w:type="dxa"/>
            </w:tcMar>
            <w:hideMark/>
          </w:tcPr>
          <w:p w14:paraId="25B77754" w14:textId="77777777" w:rsidR="006D712F" w:rsidRPr="00CA530F" w:rsidRDefault="006D712F" w:rsidP="00C03B32">
            <w:pPr>
              <w:pStyle w:val="BodyText"/>
              <w:tabs>
                <w:tab w:val="left" w:pos="423"/>
              </w:tabs>
              <w:spacing w:before="0" w:after="0"/>
              <w:ind w:left="57" w:right="108"/>
              <w:rPr>
                <w:rFonts w:ascii="Arial (Body)" w:hAnsi="Arial (Body)"/>
                <w:color w:val="4D7028" w:themeColor="accent2"/>
                <w:sz w:val="18"/>
              </w:rPr>
            </w:pPr>
            <w:r w:rsidRPr="003954B2">
              <w:rPr>
                <w:rFonts w:ascii="Segoe UI Emoji" w:hAnsi="Segoe UI Emoji" w:cs="Arial"/>
                <w:b/>
                <w:bCs/>
                <w:color w:val="4D7028" w:themeColor="accent2"/>
                <w:sz w:val="28"/>
                <w:szCs w:val="28"/>
              </w:rPr>
              <w:t>↑</w:t>
            </w:r>
            <w:r w:rsidRPr="003954B2">
              <w:rPr>
                <w:rFonts w:ascii="Segoe UI Emoji" w:hAnsi="Segoe UI Emoji" w:cs="Arial"/>
                <w:b/>
                <w:bCs/>
                <w:color w:val="4D7028" w:themeColor="accent2"/>
                <w:sz w:val="28"/>
                <w:szCs w:val="28"/>
              </w:rPr>
              <w:tab/>
            </w:r>
            <w:r w:rsidRPr="00CA530F">
              <w:rPr>
                <w:rFonts w:ascii="Arial (Body)" w:hAnsi="Arial (Body)"/>
                <w:color w:val="4D7028" w:themeColor="accent2"/>
                <w:sz w:val="18"/>
              </w:rPr>
              <w:t>+1.0 ppt</w:t>
            </w:r>
          </w:p>
        </w:tc>
      </w:tr>
      <w:tr w:rsidR="006D712F" w:rsidRPr="00CA530F" w14:paraId="29002778" w14:textId="77777777" w:rsidTr="00C03B32">
        <w:trPr>
          <w:trHeight w:val="23"/>
        </w:trPr>
        <w:tc>
          <w:tcPr>
            <w:tcW w:w="1700" w:type="dxa"/>
            <w:tcBorders>
              <w:top w:val="nil"/>
            </w:tcBorders>
            <w:shd w:val="clear" w:color="000000" w:fill="auto"/>
            <w:tcMar>
              <w:top w:w="72" w:type="dxa"/>
              <w:left w:w="144" w:type="dxa"/>
              <w:bottom w:w="72" w:type="dxa"/>
              <w:right w:w="144" w:type="dxa"/>
            </w:tcMar>
            <w:hideMark/>
          </w:tcPr>
          <w:p w14:paraId="11F3DE57" w14:textId="77777777" w:rsidR="006D712F" w:rsidRPr="00CA530F" w:rsidRDefault="006D712F" w:rsidP="00C03B32">
            <w:pPr>
              <w:pStyle w:val="BodyText"/>
              <w:spacing w:before="0" w:after="0"/>
              <w:ind w:left="57" w:right="108"/>
              <w:rPr>
                <w:rFonts w:ascii="Arial (Body)" w:hAnsi="Arial (Body)"/>
                <w:b/>
                <w:sz w:val="18"/>
              </w:rPr>
            </w:pPr>
            <w:r w:rsidRPr="00CA530F">
              <w:rPr>
                <w:rFonts w:ascii="Arial (Body)" w:hAnsi="Arial (Body)"/>
                <w:b/>
                <w:sz w:val="18"/>
                <w:lang w:val="en-GB"/>
              </w:rPr>
              <w:t>Year 9</w:t>
            </w:r>
          </w:p>
        </w:tc>
        <w:tc>
          <w:tcPr>
            <w:tcW w:w="1980" w:type="dxa"/>
            <w:tcBorders>
              <w:top w:val="nil"/>
            </w:tcBorders>
            <w:shd w:val="clear" w:color="000000" w:fill="auto"/>
            <w:tcMar>
              <w:top w:w="72" w:type="dxa"/>
              <w:left w:w="144" w:type="dxa"/>
              <w:bottom w:w="72" w:type="dxa"/>
              <w:right w:w="57" w:type="dxa"/>
            </w:tcMar>
            <w:hideMark/>
          </w:tcPr>
          <w:p w14:paraId="53A55B4A"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-4.1 ppt</w:t>
            </w:r>
          </w:p>
        </w:tc>
        <w:tc>
          <w:tcPr>
            <w:tcW w:w="1980" w:type="dxa"/>
            <w:tcBorders>
              <w:top w:val="nil"/>
            </w:tcBorders>
            <w:shd w:val="clear" w:color="000000" w:fill="auto"/>
            <w:tcMar>
              <w:top w:w="72" w:type="dxa"/>
              <w:left w:w="144" w:type="dxa"/>
              <w:bottom w:w="72" w:type="dxa"/>
              <w:right w:w="57" w:type="dxa"/>
            </w:tcMar>
            <w:hideMark/>
          </w:tcPr>
          <w:p w14:paraId="09ABFBC1"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-1.8 ppt</w:t>
            </w:r>
          </w:p>
        </w:tc>
        <w:tc>
          <w:tcPr>
            <w:tcW w:w="1980" w:type="dxa"/>
            <w:tcBorders>
              <w:top w:val="nil"/>
            </w:tcBorders>
            <w:shd w:val="clear" w:color="000000" w:fill="auto"/>
            <w:tcMar>
              <w:top w:w="72" w:type="dxa"/>
              <w:left w:w="144" w:type="dxa"/>
              <w:bottom w:w="72" w:type="dxa"/>
              <w:right w:w="57" w:type="dxa"/>
            </w:tcMar>
            <w:hideMark/>
          </w:tcPr>
          <w:p w14:paraId="25E5D4BC"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-3.9 ppt</w:t>
            </w:r>
          </w:p>
        </w:tc>
        <w:tc>
          <w:tcPr>
            <w:tcW w:w="1980" w:type="dxa"/>
            <w:tcBorders>
              <w:top w:val="nil"/>
            </w:tcBorders>
            <w:shd w:val="clear" w:color="000000" w:fill="auto"/>
            <w:tcMar>
              <w:top w:w="72" w:type="dxa"/>
              <w:left w:w="144" w:type="dxa"/>
              <w:bottom w:w="72" w:type="dxa"/>
              <w:right w:w="57" w:type="dxa"/>
            </w:tcMar>
            <w:hideMark/>
          </w:tcPr>
          <w:p w14:paraId="7D1EFDEB" w14:textId="77777777" w:rsidR="006D712F" w:rsidRPr="00CA530F" w:rsidRDefault="006D712F" w:rsidP="00C03B32">
            <w:pPr>
              <w:pStyle w:val="BodyText"/>
              <w:tabs>
                <w:tab w:val="left" w:pos="423"/>
              </w:tabs>
              <w:spacing w:before="0" w:after="0"/>
              <w:ind w:left="57" w:right="108"/>
              <w:rPr>
                <w:rFonts w:ascii="Arial (Body)" w:hAnsi="Arial (Body)"/>
                <w:color w:val="A52828" w:themeColor="accent5"/>
                <w:sz w:val="18"/>
              </w:rPr>
            </w:pPr>
            <w:r w:rsidRPr="00282D64">
              <w:rPr>
                <w:rFonts w:ascii="Segoe UI Emoji" w:hAnsi="Segoe UI Emoji" w:cs="Arial"/>
                <w:b/>
                <w:bCs/>
                <w:color w:val="A52828" w:themeColor="accent5"/>
                <w:sz w:val="28"/>
                <w:szCs w:val="28"/>
              </w:rPr>
              <w:t>↓</w:t>
            </w:r>
            <w:r w:rsidRPr="00282D64">
              <w:rPr>
                <w:rFonts w:ascii="Segoe UI Emoji" w:hAnsi="Segoe UI Emoji" w:cs="Arial"/>
                <w:b/>
                <w:bCs/>
                <w:color w:val="A52828" w:themeColor="accent5"/>
                <w:sz w:val="28"/>
                <w:szCs w:val="28"/>
              </w:rPr>
              <w:tab/>
            </w:r>
            <w:r w:rsidRPr="00CA530F">
              <w:rPr>
                <w:rFonts w:ascii="Arial (Body)" w:hAnsi="Arial (Body)"/>
                <w:color w:val="A52828" w:themeColor="accent5"/>
                <w:sz w:val="18"/>
              </w:rPr>
              <w:t>-2.7 ppt</w:t>
            </w:r>
          </w:p>
        </w:tc>
      </w:tr>
    </w:tbl>
    <w:p w14:paraId="4FEA16BF" w14:textId="6B1DA5C9" w:rsidR="00CC7DEC" w:rsidRDefault="00CC7DEC" w:rsidP="00CC7DEC">
      <w:pPr>
        <w:pStyle w:val="BodyText"/>
      </w:pPr>
    </w:p>
    <w:tbl>
      <w:tblPr>
        <w:tblW w:w="9640"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566"/>
        <w:gridCol w:w="1980"/>
        <w:gridCol w:w="1140"/>
        <w:gridCol w:w="840"/>
        <w:gridCol w:w="1980"/>
        <w:gridCol w:w="724"/>
        <w:gridCol w:w="1276"/>
      </w:tblGrid>
      <w:tr w:rsidR="006D712F" w:rsidRPr="003954B2" w14:paraId="4A3D965E" w14:textId="77777777" w:rsidTr="00C03B32">
        <w:trPr>
          <w:trHeight w:val="397"/>
          <w:tblHeader/>
        </w:trPr>
        <w:tc>
          <w:tcPr>
            <w:tcW w:w="17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085B433D" w14:textId="77777777" w:rsidR="006D712F" w:rsidRPr="003954B2" w:rsidRDefault="006D712F" w:rsidP="00C40791">
            <w:pPr>
              <w:pStyle w:val="Source"/>
              <w:spacing w:before="45" w:after="45"/>
              <w:ind w:left="57" w:right="57"/>
              <w:rPr>
                <w:rFonts w:ascii="Arial (Body)" w:hAnsi="Arial (Body)"/>
                <w:b/>
                <w:color w:val="FFFFFF" w:themeColor="background1"/>
              </w:rPr>
            </w:pPr>
            <w:r w:rsidRPr="003954B2">
              <w:rPr>
                <w:rFonts w:ascii="Arial (Body)" w:hAnsi="Arial (Body)"/>
                <w:b/>
                <w:bCs/>
                <w:color w:val="FFFFFF" w:themeColor="background1"/>
              </w:rPr>
              <w:t>Sub-outcomes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302F42A5" w14:textId="77777777" w:rsidR="006D712F" w:rsidRPr="003954B2" w:rsidRDefault="006D712F" w:rsidP="00C03B32">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All students</w:t>
            </w:r>
          </w:p>
        </w:tc>
        <w:tc>
          <w:tcPr>
            <w:tcW w:w="198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201C725C" w14:textId="77777777" w:rsidR="006D712F" w:rsidRPr="003954B2" w:rsidRDefault="006D712F" w:rsidP="00C03B32">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lang w:val="en-GB"/>
              </w:rPr>
              <w:t>Aboriginal and Torres Strait Islander students</w:t>
            </w:r>
          </w:p>
        </w:tc>
        <w:tc>
          <w:tcPr>
            <w:tcW w:w="1980" w:type="dxa"/>
            <w:tcBorders>
              <w:bottom w:val="single" w:sz="4" w:space="0" w:color="B3B3B3"/>
            </w:tcBorders>
            <w:shd w:val="clear" w:color="auto" w:fill="265A9A" w:themeFill="background2"/>
            <w:tcMar>
              <w:top w:w="72" w:type="dxa"/>
              <w:left w:w="144" w:type="dxa"/>
              <w:bottom w:w="72" w:type="dxa"/>
              <w:right w:w="144" w:type="dxa"/>
            </w:tcMar>
            <w:vAlign w:val="bottom"/>
            <w:hideMark/>
          </w:tcPr>
          <w:p w14:paraId="7E5BF2A8" w14:textId="77777777" w:rsidR="006D712F" w:rsidRPr="003954B2" w:rsidRDefault="006D712F" w:rsidP="00C03B32">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Students in regional and remote areas</w:t>
            </w:r>
          </w:p>
        </w:tc>
        <w:tc>
          <w:tcPr>
            <w:tcW w:w="2000" w:type="dxa"/>
            <w:gridSpan w:val="2"/>
            <w:tcBorders>
              <w:bottom w:val="single" w:sz="4" w:space="0" w:color="B3B3B3"/>
            </w:tcBorders>
            <w:shd w:val="clear" w:color="auto" w:fill="265A9A" w:themeFill="background2"/>
            <w:tcMar>
              <w:top w:w="72" w:type="dxa"/>
              <w:left w:w="144" w:type="dxa"/>
              <w:bottom w:w="72" w:type="dxa"/>
              <w:right w:w="144" w:type="dxa"/>
            </w:tcMar>
            <w:vAlign w:val="bottom"/>
            <w:hideMark/>
          </w:tcPr>
          <w:p w14:paraId="287922ED" w14:textId="77777777" w:rsidR="006D712F" w:rsidRPr="003954B2" w:rsidRDefault="006D712F" w:rsidP="00C03B32">
            <w:pPr>
              <w:pStyle w:val="Source"/>
              <w:spacing w:before="45" w:after="45"/>
              <w:ind w:left="57" w:right="108"/>
              <w:rPr>
                <w:rFonts w:ascii="Arial (Body)" w:hAnsi="Arial (Body)"/>
                <w:b/>
                <w:color w:val="FFFFFF" w:themeColor="background1"/>
              </w:rPr>
            </w:pPr>
            <w:r w:rsidRPr="003954B2">
              <w:rPr>
                <w:rFonts w:ascii="Arial (Body)" w:hAnsi="Arial (Body)"/>
                <w:b/>
                <w:bCs/>
                <w:color w:val="FFFFFF" w:themeColor="background1"/>
              </w:rPr>
              <w:t>Students from educationally disadvantaged backgrounds</w:t>
            </w:r>
          </w:p>
        </w:tc>
      </w:tr>
      <w:tr w:rsidR="006D712F" w:rsidRPr="003954B2" w14:paraId="1658F873" w14:textId="77777777" w:rsidTr="00C03B32">
        <w:trPr>
          <w:trHeight w:val="567"/>
        </w:trPr>
        <w:tc>
          <w:tcPr>
            <w:tcW w:w="9640" w:type="dxa"/>
            <w:gridSpan w:val="8"/>
            <w:tcBorders>
              <w:top w:val="single" w:sz="4" w:space="0" w:color="B3B3B3"/>
              <w:bottom w:val="nil"/>
            </w:tcBorders>
            <w:shd w:val="clear" w:color="000000" w:fill="F2F2F2"/>
            <w:tcMar>
              <w:top w:w="72" w:type="dxa"/>
              <w:left w:w="144" w:type="dxa"/>
              <w:bottom w:w="72" w:type="dxa"/>
              <w:right w:w="144" w:type="dxa"/>
            </w:tcMar>
            <w:hideMark/>
          </w:tcPr>
          <w:p w14:paraId="37BE7DCC" w14:textId="77777777" w:rsidR="006D712F" w:rsidRDefault="006D712F" w:rsidP="00C03B32">
            <w:pPr>
              <w:pStyle w:val="Source"/>
              <w:spacing w:before="45" w:after="120"/>
              <w:ind w:left="57" w:right="108"/>
              <w:rPr>
                <w:rFonts w:ascii="Arial (Body)" w:hAnsi="Arial (Body)"/>
                <w:bCs/>
                <w:color w:val="265A9A"/>
              </w:rPr>
            </w:pPr>
            <w:r w:rsidRPr="003954B2">
              <w:rPr>
                <w:rFonts w:ascii="Arial (Body)" w:hAnsi="Arial (Body)"/>
                <w:b/>
                <w:bCs/>
                <w:color w:val="265A9A"/>
                <w:lang w:val="en-GB"/>
              </w:rPr>
              <w:t>Lower the proportion of Australian students in the bottom levels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21ECD94C" w14:textId="77777777" w:rsidR="006D712F" w:rsidRPr="003954B2" w:rsidRDefault="006D712F" w:rsidP="00C03B32">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6D712F" w:rsidRPr="003954B2" w14:paraId="24C03007"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6E402453"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2DBE681C"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19.6%</w:t>
            </w:r>
          </w:p>
        </w:tc>
        <w:tc>
          <w:tcPr>
            <w:tcW w:w="1980" w:type="dxa"/>
            <w:gridSpan w:val="2"/>
            <w:tcBorders>
              <w:top w:val="nil"/>
              <w:bottom w:val="nil"/>
            </w:tcBorders>
            <w:shd w:val="clear" w:color="000000" w:fill="auto"/>
            <w:tcMar>
              <w:top w:w="72" w:type="dxa"/>
              <w:left w:w="144" w:type="dxa"/>
              <w:bottom w:w="72" w:type="dxa"/>
              <w:right w:w="144" w:type="dxa"/>
            </w:tcMar>
            <w:hideMark/>
          </w:tcPr>
          <w:p w14:paraId="7CACB9A2"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43.0%</w:t>
            </w:r>
          </w:p>
        </w:tc>
        <w:tc>
          <w:tcPr>
            <w:tcW w:w="1980" w:type="dxa"/>
            <w:tcBorders>
              <w:top w:val="nil"/>
              <w:bottom w:val="nil"/>
            </w:tcBorders>
            <w:shd w:val="clear" w:color="000000" w:fill="auto"/>
            <w:tcMar>
              <w:top w:w="72" w:type="dxa"/>
              <w:left w:w="144" w:type="dxa"/>
              <w:bottom w:w="72" w:type="dxa"/>
              <w:right w:w="144" w:type="dxa"/>
            </w:tcMar>
            <w:hideMark/>
          </w:tcPr>
          <w:p w14:paraId="095A764A"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33.7%</w:t>
            </w:r>
          </w:p>
        </w:tc>
        <w:tc>
          <w:tcPr>
            <w:tcW w:w="2000" w:type="dxa"/>
            <w:gridSpan w:val="2"/>
            <w:tcBorders>
              <w:top w:val="nil"/>
              <w:bottom w:val="nil"/>
            </w:tcBorders>
            <w:shd w:val="clear" w:color="000000" w:fill="auto"/>
            <w:tcMar>
              <w:top w:w="72" w:type="dxa"/>
              <w:left w:w="144" w:type="dxa"/>
              <w:bottom w:w="72" w:type="dxa"/>
              <w:right w:w="144" w:type="dxa"/>
            </w:tcMar>
            <w:hideMark/>
          </w:tcPr>
          <w:p w14:paraId="6E78A0DD"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31.2%</w:t>
            </w:r>
          </w:p>
        </w:tc>
      </w:tr>
      <w:tr w:rsidR="006D712F" w:rsidRPr="003954B2" w14:paraId="5515BA9A" w14:textId="77777777" w:rsidTr="00C03B32">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7BFF4C30"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0C1AD0DD"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22.4%</w:t>
            </w:r>
          </w:p>
        </w:tc>
        <w:tc>
          <w:tcPr>
            <w:tcW w:w="1980" w:type="dxa"/>
            <w:gridSpan w:val="2"/>
            <w:tcBorders>
              <w:bottom w:val="nil"/>
            </w:tcBorders>
            <w:shd w:val="clear" w:color="000000" w:fill="F2F2F2"/>
            <w:tcMar>
              <w:top w:w="72" w:type="dxa"/>
              <w:left w:w="144" w:type="dxa"/>
              <w:bottom w:w="72" w:type="dxa"/>
              <w:right w:w="144" w:type="dxa"/>
            </w:tcMar>
            <w:hideMark/>
          </w:tcPr>
          <w:p w14:paraId="7BCB78D6"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48.4%</w:t>
            </w:r>
          </w:p>
        </w:tc>
        <w:tc>
          <w:tcPr>
            <w:tcW w:w="1980" w:type="dxa"/>
            <w:tcBorders>
              <w:bottom w:val="nil"/>
            </w:tcBorders>
            <w:shd w:val="clear" w:color="000000" w:fill="F2F2F2"/>
            <w:tcMar>
              <w:top w:w="72" w:type="dxa"/>
              <w:left w:w="144" w:type="dxa"/>
              <w:bottom w:w="72" w:type="dxa"/>
              <w:right w:w="144" w:type="dxa"/>
            </w:tcMar>
            <w:hideMark/>
          </w:tcPr>
          <w:p w14:paraId="47E79FAE"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41.5%</w:t>
            </w:r>
          </w:p>
        </w:tc>
        <w:tc>
          <w:tcPr>
            <w:tcW w:w="2000" w:type="dxa"/>
            <w:gridSpan w:val="2"/>
            <w:tcBorders>
              <w:bottom w:val="nil"/>
            </w:tcBorders>
            <w:shd w:val="clear" w:color="000000" w:fill="F2F2F2"/>
            <w:tcMar>
              <w:top w:w="72" w:type="dxa"/>
              <w:left w:w="144" w:type="dxa"/>
              <w:bottom w:w="72" w:type="dxa"/>
              <w:right w:w="144" w:type="dxa"/>
            </w:tcMar>
            <w:hideMark/>
          </w:tcPr>
          <w:p w14:paraId="1BE5AC75"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36.6%</w:t>
            </w:r>
          </w:p>
        </w:tc>
      </w:tr>
      <w:tr w:rsidR="006D712F" w:rsidRPr="003954B2" w14:paraId="7BF19F0D"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DA48554"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6B9BCA1E"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18.9%</w:t>
            </w:r>
          </w:p>
        </w:tc>
        <w:tc>
          <w:tcPr>
            <w:tcW w:w="1980" w:type="dxa"/>
            <w:gridSpan w:val="2"/>
            <w:tcBorders>
              <w:top w:val="nil"/>
              <w:bottom w:val="nil"/>
            </w:tcBorders>
            <w:shd w:val="clear" w:color="000000" w:fill="auto"/>
            <w:tcMar>
              <w:top w:w="72" w:type="dxa"/>
              <w:left w:w="144" w:type="dxa"/>
              <w:bottom w:w="72" w:type="dxa"/>
              <w:right w:w="144" w:type="dxa"/>
            </w:tcMar>
            <w:hideMark/>
          </w:tcPr>
          <w:p w14:paraId="52A5E299"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43.9%</w:t>
            </w:r>
          </w:p>
        </w:tc>
        <w:tc>
          <w:tcPr>
            <w:tcW w:w="1980" w:type="dxa"/>
            <w:tcBorders>
              <w:top w:val="nil"/>
              <w:bottom w:val="nil"/>
            </w:tcBorders>
            <w:shd w:val="clear" w:color="000000" w:fill="auto"/>
            <w:tcMar>
              <w:top w:w="72" w:type="dxa"/>
              <w:left w:w="144" w:type="dxa"/>
              <w:bottom w:w="72" w:type="dxa"/>
              <w:right w:w="144" w:type="dxa"/>
            </w:tcMar>
            <w:hideMark/>
          </w:tcPr>
          <w:p w14:paraId="40F2F19B"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34.1%</w:t>
            </w:r>
          </w:p>
        </w:tc>
        <w:tc>
          <w:tcPr>
            <w:tcW w:w="2000" w:type="dxa"/>
            <w:gridSpan w:val="2"/>
            <w:tcBorders>
              <w:top w:val="nil"/>
              <w:bottom w:val="nil"/>
            </w:tcBorders>
            <w:shd w:val="clear" w:color="000000" w:fill="auto"/>
            <w:tcMar>
              <w:top w:w="72" w:type="dxa"/>
              <w:left w:w="144" w:type="dxa"/>
              <w:bottom w:w="72" w:type="dxa"/>
              <w:right w:w="144" w:type="dxa"/>
            </w:tcMar>
            <w:hideMark/>
          </w:tcPr>
          <w:p w14:paraId="432BA1F9"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30.8%</w:t>
            </w:r>
          </w:p>
        </w:tc>
      </w:tr>
      <w:tr w:rsidR="006D712F" w:rsidRPr="003954B2" w14:paraId="157269DC" w14:textId="77777777" w:rsidTr="00C03B32">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7F6FAE81" w14:textId="77777777" w:rsidR="006D712F" w:rsidRPr="003954B2" w:rsidRDefault="006D712F" w:rsidP="00C03B32">
            <w:pPr>
              <w:pStyle w:val="Source"/>
              <w:spacing w:before="45" w:after="120"/>
              <w:ind w:left="57" w:right="108"/>
              <w:rPr>
                <w:rFonts w:ascii="Arial (Body)" w:hAnsi="Arial (Body)"/>
                <w:bCs/>
                <w:color w:val="265A9A"/>
              </w:rPr>
            </w:pPr>
            <w:r w:rsidRPr="003954B2">
              <w:rPr>
                <w:rFonts w:ascii="Arial (Body)" w:hAnsi="Arial (Body)"/>
                <w:b/>
                <w:bCs/>
                <w:color w:val="265A9A"/>
                <w:lang w:val="en-GB"/>
              </w:rPr>
              <w:t>Increase the proportion of students in the top levels of performance for PISA tests</w:t>
            </w:r>
            <w:r w:rsidRPr="003954B2">
              <w:rPr>
                <w:rFonts w:ascii="Arial (Body)" w:hAnsi="Arial (Body)"/>
                <w:bCs/>
                <w:color w:val="265A9A"/>
                <w:lang w:val="en-GB"/>
              </w:rPr>
              <w:t xml:space="preserve"> (sample of </w:t>
            </w:r>
            <w:r w:rsidRPr="003954B2">
              <w:rPr>
                <w:rFonts w:ascii="Arial (Body)" w:hAnsi="Arial (Body)"/>
                <w:bCs/>
                <w:color w:val="265A9A"/>
              </w:rPr>
              <w:t>15-year olds)</w:t>
            </w:r>
          </w:p>
          <w:p w14:paraId="7A868392" w14:textId="77777777" w:rsidR="006D712F" w:rsidRPr="003954B2" w:rsidRDefault="006D712F" w:rsidP="00C03B32">
            <w:pPr>
              <w:pStyle w:val="Source"/>
              <w:spacing w:before="45" w:after="45"/>
              <w:ind w:left="57" w:right="108"/>
              <w:rPr>
                <w:rFonts w:ascii="Arial (Body)" w:hAnsi="Arial (Body)"/>
                <w:b/>
                <w:color w:val="265A9A"/>
              </w:rPr>
            </w:pPr>
            <w:r w:rsidRPr="003954B2">
              <w:rPr>
                <w:rFonts w:ascii="Arial (Body)" w:hAnsi="Arial (Body)"/>
                <w:bCs/>
                <w:iCs/>
              </w:rPr>
              <w:t>Note that PISA testing has not been undertake since the introduction of the NSRA. This table shows the results from the most recent PISA test (in 2018), rather than the change in results.</w:t>
            </w:r>
          </w:p>
        </w:tc>
      </w:tr>
      <w:tr w:rsidR="006D712F" w:rsidRPr="003954B2" w14:paraId="1EBF4B8E"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6153CD19"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66F0306A"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13.0%</w:t>
            </w:r>
          </w:p>
        </w:tc>
        <w:tc>
          <w:tcPr>
            <w:tcW w:w="1980" w:type="dxa"/>
            <w:gridSpan w:val="2"/>
            <w:tcBorders>
              <w:top w:val="nil"/>
              <w:bottom w:val="nil"/>
            </w:tcBorders>
            <w:shd w:val="clear" w:color="000000" w:fill="auto"/>
            <w:tcMar>
              <w:top w:w="72" w:type="dxa"/>
              <w:left w:w="144" w:type="dxa"/>
              <w:bottom w:w="72" w:type="dxa"/>
              <w:right w:w="144" w:type="dxa"/>
            </w:tcMar>
            <w:hideMark/>
          </w:tcPr>
          <w:p w14:paraId="277E47C6"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4.6%</w:t>
            </w:r>
          </w:p>
        </w:tc>
        <w:tc>
          <w:tcPr>
            <w:tcW w:w="1980" w:type="dxa"/>
            <w:tcBorders>
              <w:top w:val="nil"/>
              <w:bottom w:val="nil"/>
            </w:tcBorders>
            <w:shd w:val="clear" w:color="000000" w:fill="auto"/>
            <w:tcMar>
              <w:top w:w="72" w:type="dxa"/>
              <w:left w:w="144" w:type="dxa"/>
              <w:bottom w:w="72" w:type="dxa"/>
              <w:right w:w="144" w:type="dxa"/>
            </w:tcMar>
            <w:hideMark/>
          </w:tcPr>
          <w:p w14:paraId="329434AC"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9.1%</w:t>
            </w:r>
          </w:p>
        </w:tc>
        <w:tc>
          <w:tcPr>
            <w:tcW w:w="2000" w:type="dxa"/>
            <w:gridSpan w:val="2"/>
            <w:tcBorders>
              <w:top w:val="nil"/>
              <w:bottom w:val="nil"/>
            </w:tcBorders>
            <w:shd w:val="clear" w:color="000000" w:fill="auto"/>
            <w:tcMar>
              <w:top w:w="72" w:type="dxa"/>
              <w:left w:w="144" w:type="dxa"/>
              <w:bottom w:w="72" w:type="dxa"/>
              <w:right w:w="144" w:type="dxa"/>
            </w:tcMar>
            <w:hideMark/>
          </w:tcPr>
          <w:p w14:paraId="7AB577BB"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5.8%</w:t>
            </w:r>
          </w:p>
        </w:tc>
      </w:tr>
      <w:tr w:rsidR="006D712F" w:rsidRPr="003954B2" w14:paraId="31ACAFF2" w14:textId="77777777" w:rsidTr="00C03B32">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2BC23B90"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5573C6E6"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10.5%</w:t>
            </w:r>
          </w:p>
        </w:tc>
        <w:tc>
          <w:tcPr>
            <w:tcW w:w="1980" w:type="dxa"/>
            <w:gridSpan w:val="2"/>
            <w:tcBorders>
              <w:bottom w:val="nil"/>
            </w:tcBorders>
            <w:shd w:val="clear" w:color="000000" w:fill="F2F2F2"/>
            <w:tcMar>
              <w:top w:w="72" w:type="dxa"/>
              <w:left w:w="144" w:type="dxa"/>
              <w:bottom w:w="72" w:type="dxa"/>
              <w:right w:w="144" w:type="dxa"/>
            </w:tcMar>
            <w:hideMark/>
          </w:tcPr>
          <w:p w14:paraId="55A23940"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2.5%</w:t>
            </w:r>
          </w:p>
        </w:tc>
        <w:tc>
          <w:tcPr>
            <w:tcW w:w="1980" w:type="dxa"/>
            <w:tcBorders>
              <w:bottom w:val="nil"/>
            </w:tcBorders>
            <w:shd w:val="clear" w:color="000000" w:fill="F2F2F2"/>
            <w:tcMar>
              <w:top w:w="72" w:type="dxa"/>
              <w:left w:w="144" w:type="dxa"/>
              <w:bottom w:w="72" w:type="dxa"/>
              <w:right w:w="144" w:type="dxa"/>
            </w:tcMar>
            <w:hideMark/>
          </w:tcPr>
          <w:p w14:paraId="4B7B21F8"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5.1%</w:t>
            </w:r>
          </w:p>
        </w:tc>
        <w:tc>
          <w:tcPr>
            <w:tcW w:w="2000" w:type="dxa"/>
            <w:gridSpan w:val="2"/>
            <w:tcBorders>
              <w:bottom w:val="nil"/>
            </w:tcBorders>
            <w:shd w:val="clear" w:color="000000" w:fill="F2F2F2"/>
            <w:tcMar>
              <w:top w:w="72" w:type="dxa"/>
              <w:left w:w="144" w:type="dxa"/>
              <w:bottom w:w="72" w:type="dxa"/>
              <w:right w:w="144" w:type="dxa"/>
            </w:tcMar>
            <w:hideMark/>
          </w:tcPr>
          <w:p w14:paraId="4DD2F924"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4.0%</w:t>
            </w:r>
          </w:p>
        </w:tc>
      </w:tr>
      <w:tr w:rsidR="006D712F" w:rsidRPr="003954B2" w14:paraId="19AAC203"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48E6B6E6"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5603632E"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14.6%</w:t>
            </w:r>
          </w:p>
        </w:tc>
        <w:tc>
          <w:tcPr>
            <w:tcW w:w="1980" w:type="dxa"/>
            <w:gridSpan w:val="2"/>
            <w:tcBorders>
              <w:top w:val="nil"/>
              <w:bottom w:val="nil"/>
            </w:tcBorders>
            <w:shd w:val="clear" w:color="000000" w:fill="auto"/>
            <w:tcMar>
              <w:top w:w="72" w:type="dxa"/>
              <w:left w:w="144" w:type="dxa"/>
              <w:bottom w:w="72" w:type="dxa"/>
              <w:right w:w="144" w:type="dxa"/>
            </w:tcMar>
            <w:hideMark/>
          </w:tcPr>
          <w:p w14:paraId="5B00BC71"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2.6%</w:t>
            </w:r>
          </w:p>
        </w:tc>
        <w:tc>
          <w:tcPr>
            <w:tcW w:w="1980" w:type="dxa"/>
            <w:tcBorders>
              <w:top w:val="nil"/>
              <w:bottom w:val="nil"/>
            </w:tcBorders>
            <w:shd w:val="clear" w:color="000000" w:fill="auto"/>
            <w:tcMar>
              <w:top w:w="72" w:type="dxa"/>
              <w:left w:w="144" w:type="dxa"/>
              <w:bottom w:w="72" w:type="dxa"/>
              <w:right w:w="144" w:type="dxa"/>
            </w:tcMar>
            <w:hideMark/>
          </w:tcPr>
          <w:p w14:paraId="464A27FF"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5.9%</w:t>
            </w:r>
          </w:p>
        </w:tc>
        <w:tc>
          <w:tcPr>
            <w:tcW w:w="2000" w:type="dxa"/>
            <w:gridSpan w:val="2"/>
            <w:tcBorders>
              <w:top w:val="nil"/>
              <w:bottom w:val="nil"/>
            </w:tcBorders>
            <w:shd w:val="clear" w:color="000000" w:fill="auto"/>
            <w:tcMar>
              <w:top w:w="72" w:type="dxa"/>
              <w:left w:w="144" w:type="dxa"/>
              <w:bottom w:w="72" w:type="dxa"/>
              <w:right w:w="144" w:type="dxa"/>
            </w:tcMar>
            <w:hideMark/>
          </w:tcPr>
          <w:p w14:paraId="25ED3F86"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3.9%</w:t>
            </w:r>
          </w:p>
        </w:tc>
      </w:tr>
      <w:tr w:rsidR="006D712F" w:rsidRPr="003954B2" w14:paraId="0C1D613B" w14:textId="77777777" w:rsidTr="00C03B32">
        <w:trPr>
          <w:trHeight w:val="567"/>
        </w:trPr>
        <w:tc>
          <w:tcPr>
            <w:tcW w:w="9640" w:type="dxa"/>
            <w:gridSpan w:val="8"/>
            <w:tcBorders>
              <w:bottom w:val="nil"/>
            </w:tcBorders>
            <w:shd w:val="clear" w:color="000000" w:fill="F2F2F2"/>
            <w:tcMar>
              <w:top w:w="72" w:type="dxa"/>
              <w:left w:w="144" w:type="dxa"/>
              <w:bottom w:w="72" w:type="dxa"/>
              <w:right w:w="144" w:type="dxa"/>
            </w:tcMar>
            <w:hideMark/>
          </w:tcPr>
          <w:p w14:paraId="59ED9FEE" w14:textId="13ABF19B" w:rsidR="006D712F" w:rsidRPr="003954B2" w:rsidRDefault="006D712F" w:rsidP="00002D5C">
            <w:pPr>
              <w:pStyle w:val="Source"/>
              <w:spacing w:before="45" w:after="120"/>
              <w:ind w:left="57" w:right="108"/>
              <w:rPr>
                <w:rFonts w:ascii="Arial (Body)" w:hAnsi="Arial (Body)"/>
                <w:b/>
                <w:color w:val="265A9A"/>
              </w:rPr>
            </w:pPr>
            <w:r w:rsidRPr="003954B2">
              <w:rPr>
                <w:rFonts w:ascii="Arial (Body)" w:hAnsi="Arial (Body)"/>
                <w:b/>
                <w:bCs/>
                <w:color w:val="265A9A"/>
                <w:lang w:val="en-GB"/>
              </w:rPr>
              <w:t xml:space="preserve">Reduce the gap in achievement between students from various socio-economic backgrounds in Australia’s PISA educational performance compared to other countries and the OECD average </w:t>
            </w:r>
            <w:r w:rsidRPr="003954B2">
              <w:rPr>
                <w:rFonts w:ascii="Arial (Body)" w:hAnsi="Arial (Body)"/>
                <w:bCs/>
                <w:color w:val="265A9A"/>
                <w:lang w:val="en-GB"/>
              </w:rPr>
              <w:t xml:space="preserve">(sample of </w:t>
            </w:r>
            <w:r w:rsidRPr="003954B2">
              <w:rPr>
                <w:rFonts w:ascii="Arial (Body)" w:hAnsi="Arial (Body)"/>
                <w:bCs/>
                <w:color w:val="265A9A"/>
              </w:rPr>
              <w:t>15-year olds)</w:t>
            </w:r>
          </w:p>
        </w:tc>
      </w:tr>
      <w:tr w:rsidR="00C40B64" w:rsidRPr="003954B2" w14:paraId="65AA4435"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5E27B9E5" w14:textId="77777777" w:rsidR="00C40B64" w:rsidRPr="003954B2" w:rsidRDefault="00C40B64" w:rsidP="00C40B64">
            <w:pPr>
              <w:pStyle w:val="Source"/>
              <w:spacing w:before="45" w:after="45"/>
              <w:ind w:left="57" w:right="108"/>
              <w:rPr>
                <w:rFonts w:ascii="Arial (Body)" w:hAnsi="Arial (Body)"/>
                <w:b/>
              </w:rPr>
            </w:pPr>
            <w:r w:rsidRPr="003954B2">
              <w:rPr>
                <w:rFonts w:ascii="Arial (Body)" w:hAnsi="Arial (Body)"/>
                <w:b/>
              </w:rPr>
              <w:t>Reading</w:t>
            </w:r>
          </w:p>
        </w:tc>
        <w:tc>
          <w:tcPr>
            <w:tcW w:w="1980" w:type="dxa"/>
            <w:tcBorders>
              <w:top w:val="nil"/>
              <w:bottom w:val="nil"/>
            </w:tcBorders>
            <w:shd w:val="clear" w:color="000000" w:fill="auto"/>
            <w:tcMar>
              <w:top w:w="72" w:type="dxa"/>
              <w:left w:w="144" w:type="dxa"/>
              <w:bottom w:w="72" w:type="dxa"/>
              <w:right w:w="144" w:type="dxa"/>
            </w:tcMar>
            <w:hideMark/>
          </w:tcPr>
          <w:p w14:paraId="35137F80" w14:textId="5250036F" w:rsidR="00C40B64" w:rsidRPr="003954B2" w:rsidRDefault="00C40B64" w:rsidP="00C40B64">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480F2E43" w14:textId="5DC399E8" w:rsidR="00C40B64" w:rsidRPr="003954B2" w:rsidRDefault="00C40B64" w:rsidP="00C40B64">
            <w:pPr>
              <w:pStyle w:val="Source"/>
              <w:spacing w:before="45" w:after="45"/>
              <w:ind w:left="57" w:right="108"/>
              <w:rPr>
                <w:rFonts w:ascii="Arial (Body)" w:hAnsi="Arial (Body)"/>
                <w:b/>
                <w:bCs/>
                <w:color w:val="000000"/>
              </w:rPr>
            </w:pPr>
            <w:r w:rsidRPr="007779B0">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096E953D" w14:textId="3F19FE3B" w:rsidR="00C40B64" w:rsidRPr="003954B2" w:rsidRDefault="00C40B64" w:rsidP="00C40B64">
            <w:pPr>
              <w:pStyle w:val="Source"/>
              <w:spacing w:before="45" w:after="45"/>
              <w:ind w:left="57" w:right="108"/>
              <w:rPr>
                <w:rFonts w:ascii="Arial (Body)" w:hAnsi="Arial (Body)"/>
                <w:b/>
                <w:bCs/>
                <w:color w:val="000000"/>
              </w:rPr>
            </w:pPr>
            <w:r w:rsidRPr="007779B0">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725FF0EA" w14:textId="69F8F568" w:rsidR="00C40B64" w:rsidRPr="003954B2" w:rsidRDefault="00C40B64" w:rsidP="00C40B64">
            <w:pPr>
              <w:pStyle w:val="Source"/>
              <w:spacing w:before="45" w:after="45"/>
              <w:ind w:left="57" w:right="108"/>
              <w:rPr>
                <w:rFonts w:ascii="Arial (Body)" w:hAnsi="Arial (Body)"/>
                <w:b/>
                <w:bCs/>
                <w:color w:val="000000"/>
              </w:rPr>
            </w:pPr>
            <w:r w:rsidRPr="007779B0">
              <w:rPr>
                <w:rFonts w:ascii="Arial" w:hAnsi="Arial" w:cs="Arial"/>
                <w:b/>
                <w:bCs/>
                <w:color w:val="000000"/>
              </w:rPr>
              <w:t>——</w:t>
            </w:r>
          </w:p>
        </w:tc>
      </w:tr>
      <w:tr w:rsidR="00C40B64" w:rsidRPr="003954B2" w14:paraId="5B218FAD" w14:textId="77777777" w:rsidTr="00C03B32">
        <w:trPr>
          <w:trHeight w:val="170"/>
        </w:trPr>
        <w:tc>
          <w:tcPr>
            <w:tcW w:w="1700" w:type="dxa"/>
            <w:gridSpan w:val="2"/>
            <w:tcBorders>
              <w:bottom w:val="nil"/>
            </w:tcBorders>
            <w:shd w:val="clear" w:color="000000" w:fill="F2F2F2"/>
            <w:tcMar>
              <w:top w:w="72" w:type="dxa"/>
              <w:left w:w="144" w:type="dxa"/>
              <w:bottom w:w="72" w:type="dxa"/>
              <w:right w:w="144" w:type="dxa"/>
            </w:tcMar>
            <w:hideMark/>
          </w:tcPr>
          <w:p w14:paraId="50078131" w14:textId="77777777" w:rsidR="00C40B64" w:rsidRPr="003954B2" w:rsidRDefault="00C40B64" w:rsidP="00C40B64">
            <w:pPr>
              <w:pStyle w:val="Source"/>
              <w:spacing w:before="45" w:after="45"/>
              <w:ind w:left="57" w:right="108"/>
              <w:rPr>
                <w:rFonts w:ascii="Arial (Body)" w:hAnsi="Arial (Body)"/>
                <w:b/>
              </w:rPr>
            </w:pPr>
            <w:r w:rsidRPr="003954B2">
              <w:rPr>
                <w:rFonts w:ascii="Arial (Body)" w:hAnsi="Arial (Body)"/>
                <w:b/>
              </w:rPr>
              <w:t>Maths</w:t>
            </w:r>
          </w:p>
        </w:tc>
        <w:tc>
          <w:tcPr>
            <w:tcW w:w="1980" w:type="dxa"/>
            <w:tcBorders>
              <w:bottom w:val="nil"/>
            </w:tcBorders>
            <w:shd w:val="clear" w:color="000000" w:fill="F2F2F2"/>
            <w:tcMar>
              <w:top w:w="72" w:type="dxa"/>
              <w:left w:w="144" w:type="dxa"/>
              <w:bottom w:w="72" w:type="dxa"/>
              <w:right w:w="144" w:type="dxa"/>
            </w:tcMar>
            <w:hideMark/>
          </w:tcPr>
          <w:p w14:paraId="4AF409C5" w14:textId="034D41E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gridSpan w:val="2"/>
            <w:tcBorders>
              <w:bottom w:val="nil"/>
            </w:tcBorders>
            <w:shd w:val="clear" w:color="000000" w:fill="F2F2F2"/>
            <w:tcMar>
              <w:top w:w="72" w:type="dxa"/>
              <w:left w:w="144" w:type="dxa"/>
              <w:bottom w:w="72" w:type="dxa"/>
              <w:right w:w="144" w:type="dxa"/>
            </w:tcMar>
            <w:hideMark/>
          </w:tcPr>
          <w:p w14:paraId="0F27A3A9" w14:textId="14FD959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tcBorders>
              <w:bottom w:val="nil"/>
            </w:tcBorders>
            <w:shd w:val="clear" w:color="000000" w:fill="F2F2F2"/>
            <w:tcMar>
              <w:top w:w="72" w:type="dxa"/>
              <w:left w:w="144" w:type="dxa"/>
              <w:bottom w:w="72" w:type="dxa"/>
              <w:right w:w="144" w:type="dxa"/>
            </w:tcMar>
            <w:hideMark/>
          </w:tcPr>
          <w:p w14:paraId="7EBE3CBE" w14:textId="043E1803"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2000" w:type="dxa"/>
            <w:gridSpan w:val="2"/>
            <w:tcBorders>
              <w:bottom w:val="nil"/>
            </w:tcBorders>
            <w:shd w:val="clear" w:color="000000" w:fill="F2F2F2"/>
            <w:tcMar>
              <w:top w:w="72" w:type="dxa"/>
              <w:left w:w="144" w:type="dxa"/>
              <w:bottom w:w="72" w:type="dxa"/>
              <w:right w:w="144" w:type="dxa"/>
            </w:tcMar>
            <w:hideMark/>
          </w:tcPr>
          <w:p w14:paraId="632D479F" w14:textId="469ACEC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r>
      <w:tr w:rsidR="00C40B64" w:rsidRPr="003954B2" w14:paraId="390E1EDC"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3191D5C9" w14:textId="77777777" w:rsidR="00C40B64" w:rsidRPr="003954B2" w:rsidRDefault="00C40B64" w:rsidP="00C40B64">
            <w:pPr>
              <w:pStyle w:val="Source"/>
              <w:spacing w:before="45" w:after="45"/>
              <w:ind w:left="57" w:right="108"/>
              <w:rPr>
                <w:rFonts w:ascii="Arial (Body)" w:hAnsi="Arial (Body)"/>
                <w:b/>
              </w:rPr>
            </w:pPr>
            <w:r w:rsidRPr="003954B2">
              <w:rPr>
                <w:rFonts w:ascii="Arial (Body)" w:hAnsi="Arial (Body)"/>
                <w:b/>
              </w:rPr>
              <w:t>Science</w:t>
            </w:r>
          </w:p>
        </w:tc>
        <w:tc>
          <w:tcPr>
            <w:tcW w:w="1980" w:type="dxa"/>
            <w:tcBorders>
              <w:top w:val="nil"/>
              <w:bottom w:val="nil"/>
            </w:tcBorders>
            <w:shd w:val="clear" w:color="000000" w:fill="auto"/>
            <w:tcMar>
              <w:top w:w="72" w:type="dxa"/>
              <w:left w:w="144" w:type="dxa"/>
              <w:bottom w:w="72" w:type="dxa"/>
              <w:right w:w="144" w:type="dxa"/>
            </w:tcMar>
            <w:hideMark/>
          </w:tcPr>
          <w:p w14:paraId="42C3561D" w14:textId="1BBEC681"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gridSpan w:val="2"/>
            <w:tcBorders>
              <w:top w:val="nil"/>
              <w:bottom w:val="nil"/>
            </w:tcBorders>
            <w:shd w:val="clear" w:color="000000" w:fill="auto"/>
            <w:tcMar>
              <w:top w:w="72" w:type="dxa"/>
              <w:left w:w="144" w:type="dxa"/>
              <w:bottom w:w="72" w:type="dxa"/>
              <w:right w:w="144" w:type="dxa"/>
            </w:tcMar>
            <w:hideMark/>
          </w:tcPr>
          <w:p w14:paraId="5ACB650F" w14:textId="0EB686C5"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1980" w:type="dxa"/>
            <w:tcBorders>
              <w:top w:val="nil"/>
              <w:bottom w:val="nil"/>
            </w:tcBorders>
            <w:shd w:val="clear" w:color="000000" w:fill="auto"/>
            <w:tcMar>
              <w:top w:w="72" w:type="dxa"/>
              <w:left w:w="144" w:type="dxa"/>
              <w:bottom w:w="72" w:type="dxa"/>
              <w:right w:w="144" w:type="dxa"/>
            </w:tcMar>
            <w:hideMark/>
          </w:tcPr>
          <w:p w14:paraId="47F0D813" w14:textId="755FA55B"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c>
          <w:tcPr>
            <w:tcW w:w="2000" w:type="dxa"/>
            <w:gridSpan w:val="2"/>
            <w:tcBorders>
              <w:top w:val="nil"/>
              <w:bottom w:val="nil"/>
            </w:tcBorders>
            <w:shd w:val="clear" w:color="000000" w:fill="auto"/>
            <w:tcMar>
              <w:top w:w="72" w:type="dxa"/>
              <w:left w:w="144" w:type="dxa"/>
              <w:bottom w:w="72" w:type="dxa"/>
              <w:right w:w="144" w:type="dxa"/>
            </w:tcMar>
            <w:hideMark/>
          </w:tcPr>
          <w:p w14:paraId="7D9E32C1" w14:textId="37D0C5A6" w:rsidR="00C40B64" w:rsidRPr="003954B2" w:rsidRDefault="00C40B64" w:rsidP="00C40B64">
            <w:pPr>
              <w:pStyle w:val="Source"/>
              <w:spacing w:before="45" w:after="45"/>
              <w:ind w:left="57" w:right="108"/>
              <w:rPr>
                <w:rFonts w:ascii="Arial (Body)" w:hAnsi="Arial (Body)"/>
                <w:b/>
                <w:bCs/>
                <w:color w:val="000000"/>
              </w:rPr>
            </w:pPr>
            <w:r w:rsidRPr="00535DCE">
              <w:rPr>
                <w:rFonts w:ascii="Arial" w:hAnsi="Arial" w:cs="Arial"/>
                <w:b/>
                <w:bCs/>
                <w:color w:val="000000"/>
              </w:rPr>
              <w:t>——</w:t>
            </w:r>
          </w:p>
        </w:tc>
      </w:tr>
      <w:tr w:rsidR="006D712F" w:rsidRPr="003954B2" w14:paraId="5F2AE6E0" w14:textId="77777777" w:rsidTr="00C03B32">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6DC2A46D" w14:textId="77777777" w:rsidR="006D712F" w:rsidRPr="003954B2" w:rsidRDefault="006D712F" w:rsidP="00C03B32">
            <w:pPr>
              <w:pStyle w:val="Source"/>
              <w:spacing w:before="45" w:after="45"/>
              <w:ind w:left="57" w:right="108"/>
              <w:rPr>
                <w:rFonts w:ascii="Arial (Body)" w:hAnsi="Arial (Body)"/>
                <w:b/>
                <w:color w:val="265A9A"/>
              </w:rPr>
            </w:pPr>
            <w:r w:rsidRPr="003954B2">
              <w:rPr>
                <w:rFonts w:ascii="Arial (Body)" w:hAnsi="Arial (Body)"/>
                <w:b/>
                <w:bCs/>
                <w:color w:val="265A9A"/>
                <w:lang w:val="en-GB"/>
              </w:rPr>
              <w:t>Increase the proportion of students attending school 90 per cent or more of the time</w:t>
            </w:r>
          </w:p>
        </w:tc>
      </w:tr>
      <w:tr w:rsidR="006D712F" w:rsidRPr="003954B2" w14:paraId="68522750" w14:textId="77777777" w:rsidTr="00C03B32">
        <w:trPr>
          <w:trHeight w:val="170"/>
        </w:trPr>
        <w:tc>
          <w:tcPr>
            <w:tcW w:w="1700" w:type="dxa"/>
            <w:gridSpan w:val="2"/>
            <w:tcBorders>
              <w:top w:val="nil"/>
              <w:bottom w:val="nil"/>
            </w:tcBorders>
            <w:shd w:val="clear" w:color="000000" w:fill="auto"/>
            <w:tcMar>
              <w:top w:w="72" w:type="dxa"/>
              <w:left w:w="144" w:type="dxa"/>
              <w:bottom w:w="72" w:type="dxa"/>
              <w:right w:w="144" w:type="dxa"/>
            </w:tcMar>
            <w:hideMark/>
          </w:tcPr>
          <w:p w14:paraId="0BE81431" w14:textId="77777777" w:rsidR="006D712F" w:rsidRPr="003954B2" w:rsidRDefault="006D712F" w:rsidP="00C03B32">
            <w:pPr>
              <w:pStyle w:val="Source"/>
              <w:spacing w:before="45" w:after="45"/>
              <w:ind w:left="57" w:right="108"/>
              <w:rPr>
                <w:rFonts w:ascii="Arial (Body)" w:hAnsi="Arial (Body)"/>
                <w:b/>
              </w:rPr>
            </w:pPr>
            <w:r w:rsidRPr="003954B2">
              <w:rPr>
                <w:rFonts w:ascii="Arial (Body)" w:hAnsi="Arial (Body)"/>
                <w:b/>
                <w:lang w:val="en-GB"/>
              </w:rPr>
              <w:t>Foundation to year 10</w:t>
            </w:r>
            <w:r w:rsidRPr="003954B2">
              <w:rPr>
                <w:rFonts w:ascii="Arial (Body)" w:hAnsi="Arial (Body)"/>
                <w:b/>
                <w:lang w:val="en-GB"/>
              </w:rPr>
              <w:tab/>
            </w:r>
          </w:p>
        </w:tc>
        <w:tc>
          <w:tcPr>
            <w:tcW w:w="1980" w:type="dxa"/>
            <w:tcBorders>
              <w:top w:val="nil"/>
              <w:bottom w:val="nil"/>
            </w:tcBorders>
            <w:shd w:val="clear" w:color="000000" w:fill="auto"/>
            <w:tcMar>
              <w:top w:w="72" w:type="dxa"/>
              <w:left w:w="144" w:type="dxa"/>
              <w:bottom w:w="72" w:type="dxa"/>
              <w:right w:w="57" w:type="dxa"/>
            </w:tcMar>
            <w:hideMark/>
          </w:tcPr>
          <w:p w14:paraId="615B5618"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-4.0 ppt</w:t>
            </w:r>
          </w:p>
        </w:tc>
        <w:tc>
          <w:tcPr>
            <w:tcW w:w="1980" w:type="dxa"/>
            <w:gridSpan w:val="2"/>
            <w:tcBorders>
              <w:top w:val="nil"/>
              <w:bottom w:val="nil"/>
            </w:tcBorders>
            <w:shd w:val="clear" w:color="000000" w:fill="auto"/>
            <w:tcMar>
              <w:top w:w="72" w:type="dxa"/>
              <w:left w:w="144" w:type="dxa"/>
              <w:bottom w:w="72" w:type="dxa"/>
              <w:right w:w="57" w:type="dxa"/>
            </w:tcMar>
            <w:hideMark/>
          </w:tcPr>
          <w:p w14:paraId="0802BCB3"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-7.4 ppt</w:t>
            </w:r>
          </w:p>
        </w:tc>
        <w:tc>
          <w:tcPr>
            <w:tcW w:w="1980" w:type="dxa"/>
            <w:tcBorders>
              <w:top w:val="nil"/>
              <w:bottom w:val="nil"/>
            </w:tcBorders>
            <w:shd w:val="clear" w:color="000000" w:fill="auto"/>
            <w:tcMar>
              <w:top w:w="72" w:type="dxa"/>
              <w:left w:w="144" w:type="dxa"/>
              <w:bottom w:w="72" w:type="dxa"/>
              <w:right w:w="57" w:type="dxa"/>
            </w:tcMar>
            <w:hideMark/>
          </w:tcPr>
          <w:p w14:paraId="6C0DDAAB"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-7.2 ppt</w:t>
            </w:r>
          </w:p>
        </w:tc>
        <w:tc>
          <w:tcPr>
            <w:tcW w:w="2000" w:type="dxa"/>
            <w:gridSpan w:val="2"/>
            <w:tcBorders>
              <w:top w:val="nil"/>
              <w:bottom w:val="nil"/>
            </w:tcBorders>
            <w:shd w:val="clear" w:color="000000" w:fill="auto"/>
            <w:tcMar>
              <w:top w:w="72" w:type="dxa"/>
              <w:left w:w="144" w:type="dxa"/>
              <w:bottom w:w="72" w:type="dxa"/>
              <w:right w:w="57" w:type="dxa"/>
            </w:tcMar>
            <w:hideMark/>
          </w:tcPr>
          <w:p w14:paraId="6A8AC270" w14:textId="50BFCC69" w:rsidR="006D712F" w:rsidRPr="003954B2" w:rsidRDefault="00C40B64" w:rsidP="00C03B32">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6D712F" w:rsidRPr="003954B2" w14:paraId="50B12E20" w14:textId="77777777" w:rsidTr="00C03B32">
        <w:trPr>
          <w:trHeight w:val="227"/>
        </w:trPr>
        <w:tc>
          <w:tcPr>
            <w:tcW w:w="9640" w:type="dxa"/>
            <w:gridSpan w:val="8"/>
            <w:tcBorders>
              <w:bottom w:val="nil"/>
            </w:tcBorders>
            <w:shd w:val="clear" w:color="000000" w:fill="F2F2F2"/>
            <w:tcMar>
              <w:top w:w="72" w:type="dxa"/>
              <w:left w:w="144" w:type="dxa"/>
              <w:bottom w:w="72" w:type="dxa"/>
              <w:right w:w="144" w:type="dxa"/>
            </w:tcMar>
            <w:hideMark/>
          </w:tcPr>
          <w:p w14:paraId="32BB2618" w14:textId="77777777" w:rsidR="006D712F" w:rsidRPr="003954B2" w:rsidRDefault="006D712F" w:rsidP="00C03B32">
            <w:pPr>
              <w:pStyle w:val="Source"/>
              <w:spacing w:before="45" w:after="45"/>
              <w:ind w:left="57" w:right="108"/>
              <w:rPr>
                <w:rFonts w:ascii="Arial (Body)" w:hAnsi="Arial (Body)"/>
                <w:b/>
                <w:color w:val="265A9A"/>
                <w:spacing w:val="-4"/>
              </w:rPr>
            </w:pPr>
            <w:r w:rsidRPr="003954B2">
              <w:rPr>
                <w:rFonts w:ascii="Arial (Body)" w:hAnsi="Arial (Body)"/>
                <w:b/>
                <w:bCs/>
                <w:color w:val="265A9A"/>
                <w:spacing w:val="-4"/>
                <w:lang w:val="en-GB"/>
              </w:rPr>
              <w:t xml:space="preserve">Increase the proportion of young people who completed year 12 or equivalent or gained a Certificate III or above </w:t>
            </w:r>
          </w:p>
        </w:tc>
      </w:tr>
      <w:tr w:rsidR="006D712F" w:rsidRPr="003954B2" w14:paraId="49F0E037" w14:textId="77777777" w:rsidTr="00C03B32">
        <w:trPr>
          <w:trHeight w:val="340"/>
        </w:trPr>
        <w:tc>
          <w:tcPr>
            <w:tcW w:w="1700" w:type="dxa"/>
            <w:gridSpan w:val="2"/>
            <w:tcBorders>
              <w:top w:val="nil"/>
              <w:bottom w:val="single" w:sz="4" w:space="0" w:color="BFBFBF" w:themeColor="background1" w:themeShade="BF"/>
            </w:tcBorders>
            <w:shd w:val="clear" w:color="000000" w:fill="auto"/>
            <w:tcMar>
              <w:top w:w="72" w:type="dxa"/>
              <w:left w:w="144" w:type="dxa"/>
              <w:bottom w:w="72" w:type="dxa"/>
              <w:right w:w="144" w:type="dxa"/>
            </w:tcMar>
            <w:hideMark/>
          </w:tcPr>
          <w:p w14:paraId="38435F70" w14:textId="77777777" w:rsidR="006D712F" w:rsidRPr="003954B2" w:rsidRDefault="006D712F" w:rsidP="00C03B32">
            <w:pPr>
              <w:pStyle w:val="Source"/>
              <w:spacing w:before="45" w:after="45"/>
              <w:ind w:left="57"/>
              <w:rPr>
                <w:rFonts w:ascii="Arial (Body)" w:hAnsi="Arial (Body)"/>
                <w:b/>
              </w:rPr>
            </w:pPr>
            <w:r w:rsidRPr="003954B2">
              <w:rPr>
                <w:rFonts w:ascii="Arial (Body)" w:hAnsi="Arial (Body)"/>
                <w:b/>
              </w:rPr>
              <w:t>18-24 year-olds</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0BB10F0D"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+0.6 ppt</w:t>
            </w:r>
          </w:p>
        </w:tc>
        <w:tc>
          <w:tcPr>
            <w:tcW w:w="198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229B2484" w14:textId="76C19AAC" w:rsidR="006D712F" w:rsidRPr="003954B2" w:rsidRDefault="00C40B64" w:rsidP="00C03B32">
            <w:pPr>
              <w:pStyle w:val="Source"/>
              <w:spacing w:before="45" w:after="45"/>
              <w:ind w:left="57" w:right="108"/>
              <w:rPr>
                <w:rFonts w:ascii="Arial (Body)" w:hAnsi="Arial (Body)"/>
                <w:b/>
                <w:bCs/>
                <w:color w:val="000000"/>
              </w:rPr>
            </w:pPr>
            <w:r w:rsidRPr="00510D7E">
              <w:rPr>
                <w:rFonts w:ascii="Arial" w:hAnsi="Arial" w:cs="Arial"/>
                <w:b/>
                <w:bCs/>
                <w:color w:val="000000"/>
              </w:rPr>
              <w:t>——</w:t>
            </w:r>
          </w:p>
        </w:tc>
        <w:tc>
          <w:tcPr>
            <w:tcW w:w="1980" w:type="dxa"/>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34D497AC" w14:textId="77777777" w:rsidR="006D712F" w:rsidRPr="003954B2" w:rsidRDefault="006D712F" w:rsidP="00C03B32">
            <w:pPr>
              <w:pStyle w:val="Source"/>
              <w:spacing w:before="45" w:after="45"/>
              <w:ind w:left="57" w:right="108"/>
              <w:rPr>
                <w:rFonts w:ascii="Arial (Body)" w:hAnsi="Arial (Body)"/>
                <w:color w:val="000000"/>
              </w:rPr>
            </w:pPr>
            <w:r w:rsidRPr="003954B2">
              <w:rPr>
                <w:rFonts w:ascii="Arial (Body)" w:hAnsi="Arial (Body)"/>
                <w:color w:val="000000"/>
              </w:rPr>
              <w:t>+1.2 ppt</w:t>
            </w:r>
          </w:p>
        </w:tc>
        <w:tc>
          <w:tcPr>
            <w:tcW w:w="2000" w:type="dxa"/>
            <w:gridSpan w:val="2"/>
            <w:tcBorders>
              <w:top w:val="nil"/>
              <w:bottom w:val="single" w:sz="4" w:space="0" w:color="BFBFBF" w:themeColor="background1" w:themeShade="BF"/>
            </w:tcBorders>
            <w:shd w:val="clear" w:color="000000" w:fill="auto"/>
            <w:tcMar>
              <w:top w:w="72" w:type="dxa"/>
              <w:left w:w="144" w:type="dxa"/>
              <w:bottom w:w="72" w:type="dxa"/>
              <w:right w:w="57" w:type="dxa"/>
            </w:tcMar>
            <w:hideMark/>
          </w:tcPr>
          <w:p w14:paraId="5ACB7268" w14:textId="4E52A7FF" w:rsidR="006D712F" w:rsidRPr="003954B2" w:rsidRDefault="00C40B64" w:rsidP="00C03B32">
            <w:pPr>
              <w:pStyle w:val="Source"/>
              <w:spacing w:before="45" w:after="45"/>
              <w:ind w:left="57" w:right="108"/>
              <w:rPr>
                <w:rFonts w:ascii="Arial (Body)" w:hAnsi="Arial (Body)"/>
                <w:b/>
                <w:bCs/>
                <w:color w:val="000000"/>
              </w:rPr>
            </w:pPr>
            <w:r w:rsidRPr="00510D7E">
              <w:rPr>
                <w:rFonts w:ascii="Arial" w:hAnsi="Arial" w:cs="Arial"/>
                <w:b/>
                <w:bCs/>
                <w:color w:val="000000"/>
              </w:rPr>
              <w:t>——</w:t>
            </w:r>
          </w:p>
        </w:tc>
      </w:tr>
      <w:tr w:rsidR="00457381" w:rsidRPr="003954B2" w14:paraId="51BD89AE" w14:textId="77777777" w:rsidTr="00457381">
        <w:trPr>
          <w:trHeight w:val="340"/>
        </w:trPr>
        <w:tc>
          <w:tcPr>
            <w:tcW w:w="1134" w:type="dxa"/>
            <w:tcBorders>
              <w:top w:val="single" w:sz="4" w:space="0" w:color="BFBFBF" w:themeColor="background1" w:themeShade="BF"/>
              <w:bottom w:val="single" w:sz="4" w:space="0" w:color="BFBFBF" w:themeColor="background1" w:themeShade="BF"/>
            </w:tcBorders>
            <w:shd w:val="clear" w:color="000000" w:fill="auto"/>
            <w:tcMar>
              <w:top w:w="72" w:type="dxa"/>
              <w:left w:w="144" w:type="dxa"/>
              <w:bottom w:w="72" w:type="dxa"/>
              <w:right w:w="144" w:type="dxa"/>
            </w:tcMar>
            <w:vAlign w:val="center"/>
          </w:tcPr>
          <w:p w14:paraId="56178214" w14:textId="77777777" w:rsidR="00457381" w:rsidRPr="00457381" w:rsidRDefault="00457381" w:rsidP="00457381">
            <w:pPr>
              <w:pStyle w:val="Source"/>
              <w:spacing w:before="45" w:after="0"/>
              <w:ind w:left="57" w:right="108"/>
              <w:rPr>
                <w:rFonts w:ascii="Arial" w:hAnsi="Arial" w:cs="Arial"/>
                <w:color w:val="000000"/>
                <w:spacing w:val="-6"/>
              </w:rPr>
            </w:pPr>
            <w:r w:rsidRPr="00457381">
              <w:rPr>
                <w:rFonts w:ascii="Arial" w:hAnsi="Arial" w:cs="Arial"/>
                <w:color w:val="000000"/>
                <w:spacing w:val="-6"/>
              </w:rPr>
              <w:t>Legend</w:t>
            </w:r>
          </w:p>
        </w:tc>
        <w:tc>
          <w:tcPr>
            <w:tcW w:w="3686"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156F3418" w14:textId="0B36F311" w:rsidR="00457381" w:rsidRPr="00510D7E" w:rsidRDefault="00457381" w:rsidP="00457381">
            <w:pPr>
              <w:pStyle w:val="Source"/>
              <w:spacing w:before="45" w:after="0"/>
              <w:ind w:left="57" w:right="108"/>
              <w:rPr>
                <w:rFonts w:ascii="Arial" w:hAnsi="Arial" w:cs="Arial"/>
                <w:color w:val="4D7028" w:themeColor="accent2"/>
                <w:position w:val="-4"/>
                <w:szCs w:val="18"/>
              </w:rPr>
            </w:pPr>
            <w:r w:rsidRPr="00510D7E">
              <w:rPr>
                <w:rFonts w:ascii="Segoe UI Emoji" w:hAnsi="Segoe UI Emoji" w:cs="Arial"/>
                <w:b/>
                <w:bCs/>
                <w:color w:val="4D7028" w:themeColor="accent2"/>
                <w:position w:val="4"/>
                <w:sz w:val="28"/>
                <w:szCs w:val="28"/>
              </w:rPr>
              <w:t>↑</w:t>
            </w:r>
            <w:r w:rsidRPr="00510D7E">
              <w:rPr>
                <w:rFonts w:ascii="Segoe UI Emoji" w:hAnsi="Segoe UI Emoji" w:cs="Arial"/>
                <w:b/>
                <w:bCs/>
                <w:color w:val="4D7028" w:themeColor="accent2"/>
                <w:position w:val="-4"/>
                <w:sz w:val="28"/>
                <w:szCs w:val="28"/>
              </w:rPr>
              <w:t>↓</w:t>
            </w:r>
            <w:r>
              <w:rPr>
                <w:rFonts w:ascii="Segoe UI Emoji" w:hAnsi="Segoe UI Emoji" w:cs="Arial"/>
                <w:b/>
                <w:bCs/>
                <w:color w:val="4D7028" w:themeColor="accent2"/>
                <w:position w:val="-4"/>
                <w:sz w:val="28"/>
                <w:szCs w:val="28"/>
              </w:rPr>
              <w:t xml:space="preserve"> </w:t>
            </w:r>
            <w:r w:rsidRPr="00510D7E">
              <w:rPr>
                <w:rFonts w:ascii="Arial" w:hAnsi="Arial" w:cs="Arial"/>
                <w:b/>
                <w:bCs/>
                <w:color w:val="4D7028" w:themeColor="accent2"/>
                <w:position w:val="-4"/>
                <w:szCs w:val="18"/>
              </w:rPr>
              <w:t>Outcome improved</w:t>
            </w:r>
            <w:r>
              <w:rPr>
                <w:rFonts w:ascii="Arial" w:hAnsi="Arial" w:cs="Arial"/>
                <w:color w:val="4D7028" w:themeColor="accent2"/>
                <w:position w:val="-4"/>
                <w:szCs w:val="18"/>
              </w:rPr>
              <w:br/>
            </w:r>
            <w:r w:rsidRPr="00510D7E">
              <w:rPr>
                <w:rFonts w:ascii="Arial" w:hAnsi="Arial" w:cs="Arial"/>
                <w:color w:val="4D7028" w:themeColor="accent2"/>
                <w:position w:val="-4"/>
                <w:szCs w:val="18"/>
              </w:rPr>
              <w:t>(could be due to an increase or a decrease, depending on the sub-outcome)</w:t>
            </w:r>
          </w:p>
        </w:tc>
        <w:tc>
          <w:tcPr>
            <w:tcW w:w="3544" w:type="dxa"/>
            <w:gridSpan w:val="3"/>
            <w:tcBorders>
              <w:top w:val="single" w:sz="4" w:space="0" w:color="BFBFBF" w:themeColor="background1" w:themeShade="BF"/>
              <w:bottom w:val="single" w:sz="4" w:space="0" w:color="BFBFBF" w:themeColor="background1" w:themeShade="BF"/>
            </w:tcBorders>
            <w:shd w:val="clear" w:color="000000" w:fill="auto"/>
            <w:vAlign w:val="center"/>
          </w:tcPr>
          <w:p w14:paraId="182EFAFB" w14:textId="77777777" w:rsidR="00457381" w:rsidRPr="00510D7E" w:rsidRDefault="00457381" w:rsidP="00457381">
            <w:pPr>
              <w:pStyle w:val="Source"/>
              <w:spacing w:before="45" w:after="0"/>
              <w:ind w:right="108"/>
              <w:rPr>
                <w:rFonts w:ascii="Arial" w:hAnsi="Arial" w:cs="Arial"/>
                <w:color w:val="4D7028" w:themeColor="accent2"/>
                <w:position w:val="-4"/>
                <w:szCs w:val="18"/>
              </w:rPr>
            </w:pPr>
            <w:r w:rsidRPr="00510D7E">
              <w:rPr>
                <w:rFonts w:ascii="Segoe UI Emoji" w:hAnsi="Segoe UI Emoji" w:cs="Arial"/>
                <w:b/>
                <w:bCs/>
                <w:color w:val="A52828" w:themeColor="accent5"/>
                <w:position w:val="4"/>
                <w:sz w:val="28"/>
                <w:szCs w:val="28"/>
              </w:rPr>
              <w:t>↑</w:t>
            </w:r>
            <w:r w:rsidRPr="00510D7E">
              <w:rPr>
                <w:rFonts w:ascii="Segoe UI Emoji" w:hAnsi="Segoe UI Emoji" w:cs="Arial"/>
                <w:b/>
                <w:bCs/>
                <w:color w:val="A52828" w:themeColor="accent5"/>
                <w:position w:val="-4"/>
                <w:sz w:val="28"/>
                <w:szCs w:val="28"/>
              </w:rPr>
              <w:t xml:space="preserve">↓ </w:t>
            </w:r>
            <w:r w:rsidRPr="00510D7E">
              <w:rPr>
                <w:rFonts w:ascii="Arial" w:hAnsi="Arial" w:cs="Arial"/>
                <w:b/>
                <w:bCs/>
                <w:color w:val="A52828" w:themeColor="accent5"/>
                <w:position w:val="-4"/>
                <w:szCs w:val="18"/>
              </w:rPr>
              <w:t>Outcome worsened</w:t>
            </w:r>
            <w:r w:rsidRPr="00510D7E">
              <w:rPr>
                <w:rFonts w:ascii="Arial" w:hAnsi="Arial" w:cs="Arial"/>
                <w:color w:val="A52828" w:themeColor="accent5"/>
                <w:position w:val="-4"/>
                <w:szCs w:val="18"/>
              </w:rPr>
              <w:br/>
              <w:t>(could be due to an increase or a decrease, depending on the sub-outcome)</w:t>
            </w:r>
          </w:p>
        </w:tc>
        <w:tc>
          <w:tcPr>
            <w:tcW w:w="1276" w:type="dxa"/>
            <w:tcBorders>
              <w:top w:val="single" w:sz="4" w:space="0" w:color="BFBFBF" w:themeColor="background1" w:themeShade="BF"/>
              <w:bottom w:val="single" w:sz="4" w:space="0" w:color="BFBFBF" w:themeColor="background1" w:themeShade="BF"/>
            </w:tcBorders>
            <w:shd w:val="clear" w:color="000000" w:fill="auto"/>
          </w:tcPr>
          <w:p w14:paraId="27E6865E" w14:textId="406A0C59" w:rsidR="00457381" w:rsidRPr="00510D7E" w:rsidRDefault="00C40B64" w:rsidP="00457381">
            <w:pPr>
              <w:pStyle w:val="Source"/>
              <w:spacing w:before="240" w:after="0"/>
              <w:ind w:right="108"/>
              <w:rPr>
                <w:rFonts w:ascii="Arial" w:hAnsi="Arial" w:cs="Arial"/>
                <w:b/>
                <w:bCs/>
                <w:color w:val="000000"/>
              </w:rPr>
            </w:pPr>
            <w:r w:rsidRPr="00510D7E">
              <w:rPr>
                <w:rFonts w:ascii="Arial" w:hAnsi="Arial" w:cs="Arial"/>
                <w:b/>
                <w:bCs/>
                <w:color w:val="000000"/>
              </w:rPr>
              <w:t>——</w:t>
            </w:r>
            <w:r w:rsidR="00457381">
              <w:rPr>
                <w:rFonts w:ascii="Arial" w:hAnsi="Arial" w:cs="Arial"/>
                <w:b/>
                <w:bCs/>
                <w:color w:val="000000"/>
              </w:rPr>
              <w:t xml:space="preserve"> Data </w:t>
            </w:r>
            <w:r w:rsidR="00457381">
              <w:rPr>
                <w:rFonts w:ascii="Arial" w:hAnsi="Arial" w:cs="Arial"/>
                <w:b/>
                <w:bCs/>
                <w:color w:val="000000"/>
              </w:rPr>
              <w:br/>
              <w:t>not collected</w:t>
            </w:r>
          </w:p>
        </w:tc>
      </w:tr>
    </w:tbl>
    <w:p w14:paraId="1E01DDA3" w14:textId="1BFD9AC3" w:rsidR="00D17784" w:rsidRPr="005D3B36" w:rsidRDefault="00D17784" w:rsidP="005D3B36">
      <w:pPr>
        <w:pStyle w:val="Note"/>
      </w:pPr>
      <w:r w:rsidRPr="00002D5C">
        <w:rPr>
          <w:b/>
          <w:bCs/>
        </w:rPr>
        <w:t>a.</w:t>
      </w:r>
      <w:r w:rsidRPr="005D3B36">
        <w:t xml:space="preserve"> The NSRA commenced in 2019; so this figure illustrates the changes in outcomes since the NSRA was implemented. </w:t>
      </w:r>
      <w:r w:rsidRPr="00002D5C">
        <w:rPr>
          <w:b/>
          <w:bCs/>
        </w:rPr>
        <w:t>b.</w:t>
      </w:r>
      <w:r w:rsidRPr="005D3B36">
        <w:t xml:space="preserve"> The figure shows outcomes for</w:t>
      </w:r>
      <w:r w:rsidR="009B5576" w:rsidRPr="005D3B36">
        <w:t xml:space="preserve"> students from</w:t>
      </w:r>
      <w:r w:rsidRPr="005D3B36">
        <w:t xml:space="preserve"> three priority equity cohorts (Aboriginal and Torres Strait Islander students, </w:t>
      </w:r>
      <w:r w:rsidR="002C5C81">
        <w:t>s</w:t>
      </w:r>
      <w:r w:rsidRPr="005D3B36">
        <w:t>tudents from regional and remote locations and students from an educationally disadvantaged background</w:t>
      </w:r>
      <w:r w:rsidR="002C5C81">
        <w:t>)</w:t>
      </w:r>
      <w:r w:rsidRPr="005D3B36">
        <w:t xml:space="preserve">. </w:t>
      </w:r>
      <w:r w:rsidR="003E0F5F">
        <w:t>As t</w:t>
      </w:r>
      <w:r w:rsidR="002C5C81">
        <w:t>he latter</w:t>
      </w:r>
      <w:r w:rsidRPr="005D3B36">
        <w:t xml:space="preserve"> is not defined in the NSRA, this is taken to mean students of parents without a year 12 (or equivalent) qualification for NAPLAN data</w:t>
      </w:r>
      <w:r w:rsidR="003E0F5F">
        <w:t>,</w:t>
      </w:r>
      <w:r w:rsidRPr="005D3B36">
        <w:t xml:space="preserve"> and students in the lowest socioeconomic quintile for PISA data. A fourth priority equity cohorts — students with disability — has no data published so is not included in the table.</w:t>
      </w:r>
    </w:p>
    <w:p w14:paraId="48A068F1" w14:textId="39AD1437" w:rsidR="00D17784" w:rsidRDefault="00D17784">
      <w:pPr>
        <w:pStyle w:val="Source"/>
        <w:rPr>
          <w:sz w:val="16"/>
        </w:rPr>
      </w:pPr>
      <w:r>
        <w:rPr>
          <w:shd w:val="clear" w:color="auto" w:fill="FFFFFF"/>
        </w:rPr>
        <w:t>Sources: Commission estimates based on NAPLAN de-identified student data (2022)</w:t>
      </w:r>
      <w:r w:rsidR="004B01F5">
        <w:rPr>
          <w:shd w:val="clear" w:color="auto" w:fill="FFFFFF"/>
        </w:rPr>
        <w:t>;</w:t>
      </w:r>
      <w:r>
        <w:rPr>
          <w:shd w:val="clear" w:color="auto" w:fill="FFFFFF"/>
        </w:rPr>
        <w:t xml:space="preserve"> ACARA (2021)</w:t>
      </w:r>
      <w:r w:rsidR="004B01F5">
        <w:rPr>
          <w:shd w:val="clear" w:color="auto" w:fill="FFFFFF"/>
        </w:rPr>
        <w:t>;</w:t>
      </w:r>
      <w:r>
        <w:rPr>
          <w:shd w:val="clear" w:color="auto" w:fill="FFFFFF"/>
        </w:rPr>
        <w:t xml:space="preserve"> </w:t>
      </w:r>
      <w:r w:rsidR="00CC7DEC">
        <w:rPr>
          <w:shd w:val="clear" w:color="auto" w:fill="FFFFFF"/>
        </w:rPr>
        <w:t xml:space="preserve">PC </w:t>
      </w:r>
      <w:r>
        <w:rPr>
          <w:shd w:val="clear" w:color="auto" w:fill="FFFFFF"/>
        </w:rPr>
        <w:t>(2022).</w:t>
      </w:r>
    </w:p>
    <w:p w14:paraId="4CE6BE44" w14:textId="6AFA496E" w:rsidR="00D17784" w:rsidRPr="00146382" w:rsidRDefault="00D17784">
      <w:pPr>
        <w:pStyle w:val="FigureTableHeading"/>
      </w:pPr>
      <w:r>
        <w:t xml:space="preserve">Figure </w:t>
      </w:r>
      <w:r>
        <w:fldChar w:fldCharType="begin"/>
      </w:r>
      <w:r>
        <w:instrText>SEQ Figure \* ARABIC \s 1</w:instrText>
      </w:r>
      <w:r>
        <w:fldChar w:fldCharType="separate"/>
      </w:r>
      <w:r w:rsidR="00C642E8">
        <w:rPr>
          <w:noProof/>
        </w:rPr>
        <w:t>9</w:t>
      </w:r>
      <w:r>
        <w:fldChar w:fldCharType="end"/>
      </w:r>
      <w:r>
        <w:rPr>
          <w:noProof/>
        </w:rPr>
        <w:t xml:space="preserve"> </w:t>
      </w:r>
      <w:r>
        <w:t>– 2021 NAPLAN results by selected equity cohorts</w:t>
      </w:r>
    </w:p>
    <w:p w14:paraId="4B1E12F1" w14:textId="73B2EE77" w:rsidR="00D17784" w:rsidRDefault="00D17784">
      <w:pPr>
        <w:pStyle w:val="FigureTableSubheading"/>
        <w:keepLines/>
      </w:pPr>
      <w:r>
        <w:t>Gaps</w:t>
      </w:r>
      <w:r w:rsidRPr="00D573D1">
        <w:t xml:space="preserve"> in </w:t>
      </w:r>
      <w:r>
        <w:t>average</w:t>
      </w:r>
      <w:r w:rsidRPr="00D573D1">
        <w:t xml:space="preserve"> test scores </w:t>
      </w:r>
      <w:r w:rsidR="00FB42D5">
        <w:t xml:space="preserve">for </w:t>
      </w:r>
      <w:r w:rsidRPr="00D573D1">
        <w:t xml:space="preserve">students </w:t>
      </w:r>
      <w:r w:rsidR="00DF712C">
        <w:t>from</w:t>
      </w:r>
      <w:r w:rsidR="00DF712C" w:rsidRPr="00D573D1">
        <w:t xml:space="preserve"> </w:t>
      </w:r>
      <w:r w:rsidRPr="00D573D1">
        <w:t>equity cohorts</w:t>
      </w:r>
      <w:r>
        <w:t>, expressed in NAPLAN points and equivalised years of learning</w:t>
      </w:r>
    </w:p>
    <w:p w14:paraId="5BC97207" w14:textId="2C7B7147" w:rsidR="00D17784" w:rsidRDefault="00731B96">
      <w:pPr>
        <w:pStyle w:val="FigureTableSubheading"/>
        <w:keepLines/>
      </w:pPr>
      <w:r w:rsidRPr="00731B96">
        <w:rPr>
          <w:noProof/>
        </w:rPr>
        <w:drawing>
          <wp:inline distT="0" distB="0" distL="0" distR="0" wp14:anchorId="38A58EBB" wp14:editId="24D9E031">
            <wp:extent cx="6120130" cy="6996430"/>
            <wp:effectExtent l="0" t="0" r="0" b="0"/>
            <wp:docPr id="17" name="Picture 17" descr="Figure 9 – this figure shows the difference in year 9 NAPLAN test scores in 2021 between selected equity cohorts. &#10;&#10;The figure shows that in 2021, Aboriginal and Torres Strait Islander students scored, on average, 64 points below other students in the NAPLAN reading test (the equivalent of 3.4 years of learning) and 58 points below other students in the PISA maths test (the equivalent of 2.6 years of learning). &#10;&#10;It also shows that in 2021, students in remote areas scored, on average, 32 points below students in major cities in the PISA reading test (the equivalent of 1.9 years of learning) and 31 points below students in major cities in the PISA maths test (the equivalent of 1.6 years of learning). &#10;&#10;It also shows that in 2021, students with parents with low educational attainment scored, on average, 83 points below students with parents with high educational attainment (the equivalent to 5 years of schooling) and 76 points below students with parents with high educational attainment (the equivalent to 3.8 years of school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9 – this figure shows the difference in year 9 NAPLAN test scores in 2021 between selected equity cohorts. &#10;&#10;The figure shows that in 2021, Aboriginal and Torres Strait Islander students scored, on average, 64 points below other students in the NAPLAN reading test (the equivalent of 3.4 years of learning) and 58 points below other students in the PISA maths test (the equivalent of 2.6 years of learning). &#10;&#10;It also shows that in 2021, students in remote areas scored, on average, 32 points below students in major cities in the PISA reading test (the equivalent of 1.9 years of learning) and 31 points below students in major cities in the PISA maths test (the equivalent of 1.6 years of learning). &#10;&#10;It also shows that in 2021, students with parents with low educational attainment scored, on average, 83 points below students with parents with high educational attainment (the equivalent to 5 years of schooling) and 76 points below students with parents with high educational attainment (the equivalent to 3.8 years of schooling). "/>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120130" cy="6996430"/>
                    </a:xfrm>
                    <a:prstGeom prst="rect">
                      <a:avLst/>
                    </a:prstGeom>
                    <a:noFill/>
                    <a:ln>
                      <a:noFill/>
                    </a:ln>
                  </pic:spPr>
                </pic:pic>
              </a:graphicData>
            </a:graphic>
          </wp:inline>
        </w:drawing>
      </w:r>
    </w:p>
    <w:p w14:paraId="5A286583" w14:textId="77777777" w:rsidR="00D17784" w:rsidRPr="00440229" w:rsidRDefault="00D17784">
      <w:pPr>
        <w:pStyle w:val="Source"/>
      </w:pPr>
      <w:r>
        <w:rPr>
          <w:shd w:val="clear" w:color="auto" w:fill="FFFFFF"/>
        </w:rPr>
        <w:t>Source: Commission estimates based on NAPLAN de-identified student data (2022).</w:t>
      </w:r>
    </w:p>
    <w:p w14:paraId="0F07005A" w14:textId="77777777" w:rsidR="00EA38F0" w:rsidRDefault="00EA38F0" w:rsidP="00286700">
      <w:pPr>
        <w:pStyle w:val="Source"/>
        <w:sectPr w:rsidR="00EA38F0" w:rsidSect="002729A6">
          <w:headerReference w:type="default" r:id="rId41"/>
          <w:footerReference w:type="default" r:id="rId42"/>
          <w:footnotePr>
            <w:numRestart w:val="eachSect"/>
          </w:footnotePr>
          <w:type w:val="oddPage"/>
          <w:pgSz w:w="11906" w:h="16838" w:code="9"/>
          <w:pgMar w:top="1134" w:right="1134" w:bottom="1134" w:left="1134" w:header="794" w:footer="510" w:gutter="0"/>
          <w:pgNumType w:start="1"/>
          <w:cols w:space="708"/>
          <w:docGrid w:linePitch="360"/>
        </w:sectPr>
      </w:pPr>
    </w:p>
    <w:p w14:paraId="25F2A2F0" w14:textId="77777777" w:rsidR="00A53FAB" w:rsidRDefault="00A53FAB" w:rsidP="00E91FED">
      <w:pPr>
        <w:pStyle w:val="Heading1-nonumber"/>
      </w:pPr>
      <w:bookmarkStart w:id="17" w:name="_Toc113956918"/>
      <w:r>
        <w:t>Recommendations and findings</w:t>
      </w:r>
      <w:bookmarkEnd w:id="17"/>
    </w:p>
    <w:p w14:paraId="68618689" w14:textId="77777777" w:rsidR="00A53FAB" w:rsidRDefault="00A53FAB" w:rsidP="00463253">
      <w:pPr>
        <w:pStyle w:val="Heading2-noTOC"/>
      </w:pPr>
      <w:r>
        <w:t>Chapter 1: About</w:t>
      </w:r>
      <w:r w:rsidRPr="00AB421D">
        <w:t xml:space="preserve"> this review</w:t>
      </w:r>
    </w:p>
    <w:p w14:paraId="5656149D" w14:textId="77777777" w:rsidR="00710DF3" w:rsidRDefault="00710DF3" w:rsidP="00C03B3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10DF3" w14:paraId="565A3594" w14:textId="77777777" w:rsidTr="00C03B32">
        <w:trPr>
          <w:trHeight w:val="765"/>
          <w:tblHeader/>
        </w:trPr>
        <w:tc>
          <w:tcPr>
            <w:tcW w:w="366" w:type="pct"/>
            <w:tcBorders>
              <w:bottom w:val="nil"/>
            </w:tcBorders>
            <w:tcMar>
              <w:bottom w:w="0" w:type="dxa"/>
            </w:tcMar>
            <w:vAlign w:val="center"/>
          </w:tcPr>
          <w:p w14:paraId="3F619F8E" w14:textId="77777777" w:rsidR="00710DF3" w:rsidRDefault="00710DF3" w:rsidP="00C03B32">
            <w:pPr>
              <w:pStyle w:val="NoSpacing"/>
              <w:keepLines/>
              <w:jc w:val="right"/>
            </w:pPr>
            <w:r w:rsidRPr="00A51374">
              <w:rPr>
                <w:noProof/>
              </w:rPr>
              <w:drawing>
                <wp:inline distT="0" distB="0" distL="0" distR="0" wp14:anchorId="0EC16335" wp14:editId="2C079B6E">
                  <wp:extent cx="288000" cy="288000"/>
                  <wp:effectExtent l="0" t="0" r="0" b="0"/>
                  <wp:docPr id="11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F32E03B" w14:textId="44131499" w:rsidR="00710DF3" w:rsidRPr="00A4395A" w:rsidRDefault="00710DF3" w:rsidP="00995D9B">
            <w:pPr>
              <w:pStyle w:val="TableHeading"/>
              <w:keepLines/>
              <w:spacing w:before="180" w:after="120"/>
              <w:contextualSpacing/>
              <w:rPr>
                <w:sz w:val="20"/>
              </w:rPr>
            </w:pPr>
            <w:r>
              <w:rPr>
                <w:sz w:val="20"/>
              </w:rPr>
              <w:t>Draft f</w:t>
            </w:r>
            <w:r w:rsidRPr="00A4395A">
              <w:rPr>
                <w:sz w:val="20"/>
              </w:rPr>
              <w:t xml:space="preserve">inding </w:t>
            </w:r>
            <w:r>
              <w:rPr>
                <w:sz w:val="20"/>
              </w:rPr>
              <w:t>1.</w:t>
            </w:r>
            <w:r w:rsidR="0090193C">
              <w:rPr>
                <w:sz w:val="20"/>
              </w:rPr>
              <w:t>1</w:t>
            </w:r>
          </w:p>
          <w:p w14:paraId="7DD10282" w14:textId="4DC0260A" w:rsidR="00710DF3" w:rsidRPr="00C97FFD" w:rsidRDefault="00C97FFD" w:rsidP="00C97FFD">
            <w:pPr>
              <w:pStyle w:val="TableHeading"/>
              <w:keepLines/>
              <w:spacing w:before="60"/>
              <w:contextualSpacing/>
              <w:rPr>
                <w:sz w:val="20"/>
              </w:rPr>
            </w:pPr>
            <w:r w:rsidRPr="00C97FFD">
              <w:rPr>
                <w:sz w:val="20"/>
              </w:rPr>
              <w:t>Student achievement has stagnated, while attainment has improved and engagement has declined</w:t>
            </w:r>
          </w:p>
        </w:tc>
      </w:tr>
      <w:tr w:rsidR="00710DF3" w14:paraId="1BBC69E5" w14:textId="77777777" w:rsidTr="00C03B32">
        <w:tc>
          <w:tcPr>
            <w:tcW w:w="5000" w:type="pct"/>
            <w:gridSpan w:val="2"/>
            <w:tcBorders>
              <w:top w:val="nil"/>
              <w:bottom w:val="single" w:sz="4" w:space="0" w:color="66BCDB" w:themeColor="text2"/>
            </w:tcBorders>
          </w:tcPr>
          <w:p w14:paraId="70460470" w14:textId="77777777" w:rsidR="00710DF3" w:rsidRPr="00142054" w:rsidRDefault="00710DF3" w:rsidP="00710DF3">
            <w:pPr>
              <w:pStyle w:val="BodyText"/>
              <w:rPr>
                <w:b/>
              </w:rPr>
            </w:pPr>
            <w:r w:rsidRPr="405D0A21">
              <w:t xml:space="preserve">Over the past decade, the performance of Australian school students in national and international assessments of literacy and numeracy has stagnated. </w:t>
            </w:r>
          </w:p>
          <w:p w14:paraId="5DC64E73" w14:textId="49253D30" w:rsidR="00710DF3" w:rsidRDefault="00710DF3" w:rsidP="00710DF3">
            <w:pPr>
              <w:pStyle w:val="BodyText"/>
              <w:keepLines/>
            </w:pPr>
            <w:r w:rsidRPr="00642012">
              <w:t xml:space="preserve">Although the proportion of students completing school has increased since 2015, the proportion attending school regularly has declined, with much of this decline predating </w:t>
            </w:r>
            <w:r w:rsidRPr="605C0E0D">
              <w:t>COVID</w:t>
            </w:r>
            <w:r w:rsidRPr="00642012">
              <w:noBreakHyphen/>
              <w:t>19.</w:t>
            </w:r>
          </w:p>
        </w:tc>
      </w:tr>
      <w:tr w:rsidR="00710DF3" w14:paraId="30C72E72" w14:textId="77777777" w:rsidTr="00C03B32">
        <w:tc>
          <w:tcPr>
            <w:tcW w:w="5000" w:type="pct"/>
            <w:gridSpan w:val="2"/>
            <w:tcBorders>
              <w:top w:val="single" w:sz="4" w:space="0" w:color="66BCDB" w:themeColor="text2"/>
              <w:left w:val="nil"/>
              <w:bottom w:val="nil"/>
              <w:right w:val="nil"/>
            </w:tcBorders>
            <w:tcMar>
              <w:bottom w:w="0" w:type="dxa"/>
            </w:tcMar>
          </w:tcPr>
          <w:p w14:paraId="2637410C" w14:textId="77777777" w:rsidR="00710DF3" w:rsidRDefault="00710DF3" w:rsidP="00C03B32">
            <w:pPr>
              <w:pStyle w:val="NoSpacing"/>
              <w:spacing w:line="200" w:lineRule="atLeast"/>
            </w:pPr>
          </w:p>
        </w:tc>
      </w:tr>
    </w:tbl>
    <w:p w14:paraId="7945B834" w14:textId="77777777" w:rsidR="00710DF3" w:rsidRDefault="00710DF3" w:rsidP="00995D9B">
      <w:pPr>
        <w:pStyle w:val="NoSpacing"/>
        <w:spacing w:after="2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10DF3" w14:paraId="0546682E" w14:textId="77777777" w:rsidTr="00C03B32">
        <w:trPr>
          <w:trHeight w:val="765"/>
          <w:tblHeader/>
        </w:trPr>
        <w:tc>
          <w:tcPr>
            <w:tcW w:w="366" w:type="pct"/>
            <w:tcBorders>
              <w:bottom w:val="nil"/>
            </w:tcBorders>
            <w:tcMar>
              <w:bottom w:w="0" w:type="dxa"/>
            </w:tcMar>
            <w:vAlign w:val="center"/>
          </w:tcPr>
          <w:p w14:paraId="02B89396" w14:textId="77777777" w:rsidR="00710DF3" w:rsidRDefault="00710DF3" w:rsidP="00C03B32">
            <w:pPr>
              <w:pStyle w:val="NoSpacing"/>
              <w:keepLines/>
              <w:jc w:val="right"/>
            </w:pPr>
            <w:r w:rsidRPr="00A51374">
              <w:rPr>
                <w:noProof/>
              </w:rPr>
              <w:drawing>
                <wp:inline distT="0" distB="0" distL="0" distR="0" wp14:anchorId="68AD60C2" wp14:editId="5E65E318">
                  <wp:extent cx="288000" cy="288000"/>
                  <wp:effectExtent l="0" t="0" r="0" b="0"/>
                  <wp:docPr id="11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E029C28" w14:textId="6E9D75E3" w:rsidR="00710DF3" w:rsidRPr="00A4395A" w:rsidRDefault="00727960" w:rsidP="00C03B32">
            <w:pPr>
              <w:pStyle w:val="TableHeading"/>
              <w:keepLines/>
              <w:spacing w:before="60" w:after="120"/>
              <w:contextualSpacing/>
              <w:rPr>
                <w:sz w:val="20"/>
              </w:rPr>
            </w:pPr>
            <w:r>
              <w:rPr>
                <w:sz w:val="20"/>
              </w:rPr>
              <w:t>Draft f</w:t>
            </w:r>
            <w:r w:rsidR="00710DF3" w:rsidRPr="00A4395A">
              <w:rPr>
                <w:sz w:val="20"/>
              </w:rPr>
              <w:t xml:space="preserve">inding </w:t>
            </w:r>
            <w:r w:rsidR="00710DF3">
              <w:rPr>
                <w:sz w:val="20"/>
              </w:rPr>
              <w:t>1.2</w:t>
            </w:r>
          </w:p>
          <w:p w14:paraId="452DB35A" w14:textId="2BC9BB92" w:rsidR="00710DF3" w:rsidRDefault="00710DF3" w:rsidP="00C03B32">
            <w:pPr>
              <w:pStyle w:val="TableHeading"/>
              <w:keepLines/>
              <w:spacing w:before="60" w:after="120"/>
              <w:contextualSpacing/>
            </w:pPr>
            <w:r w:rsidRPr="00CC7DEC">
              <w:rPr>
                <w:spacing w:val="-4"/>
                <w:sz w:val="20"/>
              </w:rPr>
              <w:t>Persistent gaps in education outcomes for some student cohorts point to systemic problems</w:t>
            </w:r>
          </w:p>
        </w:tc>
      </w:tr>
      <w:tr w:rsidR="00710DF3" w14:paraId="0E67DEEB" w14:textId="77777777" w:rsidTr="00C03B32">
        <w:tc>
          <w:tcPr>
            <w:tcW w:w="5000" w:type="pct"/>
            <w:gridSpan w:val="2"/>
            <w:tcBorders>
              <w:top w:val="nil"/>
              <w:bottom w:val="single" w:sz="4" w:space="0" w:color="66BCDB" w:themeColor="text2"/>
            </w:tcBorders>
          </w:tcPr>
          <w:p w14:paraId="7B4CBB1D" w14:textId="77777777" w:rsidR="00710DF3" w:rsidRDefault="00710DF3" w:rsidP="00710DF3">
            <w:pPr>
              <w:pStyle w:val="BodyText"/>
              <w:keepLines/>
            </w:pPr>
            <w:r>
              <w:t xml:space="preserve">Australia has long aspired to provide a high quality and equitable education for all students. </w:t>
            </w:r>
          </w:p>
          <w:p w14:paraId="79175013" w14:textId="49B332FB" w:rsidR="00710DF3" w:rsidRDefault="00710DF3" w:rsidP="00710DF3">
            <w:pPr>
              <w:pStyle w:val="BodyText"/>
              <w:keepLines/>
            </w:pPr>
            <w:r>
              <w:t>Outcomes for Aboriginal and Torres Strait Islander students, students in outer regional and remote areas, and students with parents with low educational attainment are consistently below the outcomes of the broader student population.</w:t>
            </w:r>
          </w:p>
        </w:tc>
      </w:tr>
      <w:tr w:rsidR="00710DF3" w14:paraId="394320D0" w14:textId="77777777" w:rsidTr="00C03B32">
        <w:tc>
          <w:tcPr>
            <w:tcW w:w="5000" w:type="pct"/>
            <w:gridSpan w:val="2"/>
            <w:tcBorders>
              <w:top w:val="single" w:sz="4" w:space="0" w:color="66BCDB" w:themeColor="text2"/>
              <w:left w:val="nil"/>
              <w:bottom w:val="nil"/>
              <w:right w:val="nil"/>
            </w:tcBorders>
            <w:tcMar>
              <w:bottom w:w="0" w:type="dxa"/>
            </w:tcMar>
          </w:tcPr>
          <w:p w14:paraId="41DF9425" w14:textId="77777777" w:rsidR="00710DF3" w:rsidRDefault="00710DF3" w:rsidP="00C03B32">
            <w:pPr>
              <w:pStyle w:val="NoSpacing"/>
              <w:spacing w:line="200" w:lineRule="atLeast"/>
            </w:pPr>
          </w:p>
        </w:tc>
      </w:tr>
    </w:tbl>
    <w:p w14:paraId="7B5B7D13" w14:textId="77777777" w:rsidR="00A53FAB" w:rsidRDefault="00A53FAB" w:rsidP="00463253">
      <w:pPr>
        <w:pStyle w:val="Heading2-noTOC"/>
      </w:pPr>
      <w:r>
        <w:t>Chapter 2: High-level assessment of the National Policy Initiatives</w:t>
      </w:r>
    </w:p>
    <w:tbl>
      <w:tblPr>
        <w:tblStyle w:val="TextTable-Grey"/>
        <w:tblW w:w="5000" w:type="pct"/>
        <w:tblLook w:val="04A0" w:firstRow="1" w:lastRow="0" w:firstColumn="1" w:lastColumn="0" w:noHBand="0" w:noVBand="1"/>
      </w:tblPr>
      <w:tblGrid>
        <w:gridCol w:w="713"/>
        <w:gridCol w:w="8925"/>
      </w:tblGrid>
      <w:tr w:rsidR="00A53FAB" w14:paraId="6D74CC72" w14:textId="77777777">
        <w:trPr>
          <w:tblHeader/>
        </w:trPr>
        <w:tc>
          <w:tcPr>
            <w:tcW w:w="713" w:type="dxa"/>
            <w:vAlign w:val="center"/>
          </w:tcPr>
          <w:p w14:paraId="7BF44529" w14:textId="77777777" w:rsidR="00A53FAB" w:rsidRDefault="00A53FAB">
            <w:pPr>
              <w:keepNext/>
              <w:keepLines/>
              <w:spacing w:after="0"/>
              <w:jc w:val="right"/>
            </w:pPr>
            <w:r w:rsidRPr="00A51374">
              <w:rPr>
                <w:noProof/>
              </w:rPr>
              <w:drawing>
                <wp:inline distT="0" distB="0" distL="0" distR="0" wp14:anchorId="2172CC31" wp14:editId="4C103284">
                  <wp:extent cx="288000" cy="288000"/>
                  <wp:effectExtent l="0" t="0" r="0" b="0"/>
                  <wp:docPr id="19" name="Graphic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39DCFAE" w14:textId="5EAF9FF5" w:rsidR="00986A86" w:rsidRPr="00CC7DEC" w:rsidRDefault="00A53FAB" w:rsidP="00CC7DEC">
            <w:pPr>
              <w:pStyle w:val="TableHeading"/>
              <w:keepLines/>
              <w:spacing w:before="180" w:after="120"/>
              <w:contextualSpacing/>
              <w:rPr>
                <w:sz w:val="20"/>
              </w:rPr>
            </w:pPr>
            <w:r w:rsidRPr="00CC7DEC">
              <w:rPr>
                <w:sz w:val="20"/>
              </w:rPr>
              <w:t xml:space="preserve">Information request 2.1 </w:t>
            </w:r>
          </w:p>
          <w:p w14:paraId="650E3785" w14:textId="4B35A23D" w:rsidR="00A53FAB" w:rsidRPr="00CC7DEC" w:rsidRDefault="00A53FAB" w:rsidP="00CC7DEC">
            <w:pPr>
              <w:pStyle w:val="TableHeading"/>
              <w:keepLines/>
              <w:spacing w:before="60" w:after="120"/>
              <w:contextualSpacing/>
              <w:rPr>
                <w:sz w:val="20"/>
              </w:rPr>
            </w:pPr>
            <w:r w:rsidRPr="00CC7DEC">
              <w:rPr>
                <w:sz w:val="20"/>
              </w:rPr>
              <w:t xml:space="preserve">Realising the full potential of evidence-based research through the Australian Education Research Organisation </w:t>
            </w:r>
          </w:p>
        </w:tc>
      </w:tr>
      <w:tr w:rsidR="00A53FAB" w14:paraId="478999DF" w14:textId="77777777">
        <w:tc>
          <w:tcPr>
            <w:tcW w:w="9638" w:type="dxa"/>
            <w:gridSpan w:val="2"/>
            <w:tcMar>
              <w:top w:w="0" w:type="dxa"/>
            </w:tcMar>
          </w:tcPr>
          <w:p w14:paraId="34D4172B" w14:textId="77777777" w:rsidR="00A53FAB" w:rsidRPr="005E30DB" w:rsidRDefault="00A53FAB" w:rsidP="00593A1C">
            <w:pPr>
              <w:pStyle w:val="BodyText"/>
            </w:pPr>
            <w:r>
              <w:t xml:space="preserve">What steps could governments take to realise the full </w:t>
            </w:r>
            <w:r w:rsidRPr="00593A1C">
              <w:t>potential of evidence-based research through the Australian Education Research Organisation?</w:t>
            </w:r>
          </w:p>
        </w:tc>
      </w:tr>
      <w:tr w:rsidR="00A53FAB" w14:paraId="42A1DFE4" w14:textId="77777777">
        <w:tc>
          <w:tcPr>
            <w:tcW w:w="9638" w:type="dxa"/>
            <w:gridSpan w:val="2"/>
            <w:shd w:val="clear" w:color="auto" w:fill="auto"/>
            <w:tcMar>
              <w:top w:w="0" w:type="dxa"/>
              <w:bottom w:w="0" w:type="dxa"/>
            </w:tcMar>
          </w:tcPr>
          <w:p w14:paraId="04E0E445" w14:textId="77777777" w:rsidR="00A53FAB" w:rsidRDefault="00A53FAB">
            <w:pPr>
              <w:pStyle w:val="NoSpacing"/>
              <w:spacing w:line="200" w:lineRule="exact"/>
            </w:pPr>
          </w:p>
        </w:tc>
      </w:tr>
    </w:tbl>
    <w:p w14:paraId="03A79C4F" w14:textId="77777777" w:rsidR="00CC7DEC" w:rsidRDefault="00CC7DE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7C43F0" w14:paraId="34BF8497" w14:textId="77777777">
        <w:trPr>
          <w:trHeight w:val="765"/>
          <w:tblHeader/>
        </w:trPr>
        <w:tc>
          <w:tcPr>
            <w:tcW w:w="366" w:type="pct"/>
            <w:tcBorders>
              <w:bottom w:val="nil"/>
            </w:tcBorders>
            <w:tcMar>
              <w:bottom w:w="0" w:type="dxa"/>
            </w:tcMar>
            <w:vAlign w:val="center"/>
          </w:tcPr>
          <w:p w14:paraId="217D66AE" w14:textId="5BF3DAF1" w:rsidR="009F5C2D" w:rsidRDefault="009F5C2D">
            <w:pPr>
              <w:pStyle w:val="NoSpacing"/>
              <w:keepNext/>
              <w:keepLines/>
              <w:jc w:val="right"/>
            </w:pPr>
            <w:r w:rsidRPr="00A51374">
              <w:rPr>
                <w:noProof/>
              </w:rPr>
              <w:drawing>
                <wp:inline distT="0" distB="0" distL="0" distR="0" wp14:anchorId="260B2F58" wp14:editId="162404FC">
                  <wp:extent cx="288000" cy="288000"/>
                  <wp:effectExtent l="0" t="0" r="0" b="0"/>
                  <wp:docPr id="21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shd w:val="clear" w:color="auto" w:fill="auto"/>
            <w:tcMar>
              <w:bottom w:w="0" w:type="dxa"/>
            </w:tcMar>
            <w:vAlign w:val="center"/>
          </w:tcPr>
          <w:p w14:paraId="62D8E2C5" w14:textId="1C836AC4" w:rsidR="009F5C2D" w:rsidRPr="00CC7DEC" w:rsidRDefault="009F5C2D" w:rsidP="00CC7DEC">
            <w:pPr>
              <w:pStyle w:val="TableHeading"/>
              <w:keepLines/>
              <w:spacing w:before="60" w:after="120"/>
              <w:contextualSpacing/>
              <w:rPr>
                <w:sz w:val="20"/>
              </w:rPr>
            </w:pPr>
            <w:r w:rsidRPr="00CC7DEC">
              <w:rPr>
                <w:sz w:val="20"/>
              </w:rPr>
              <w:t>Draft finding 2.1</w:t>
            </w:r>
            <w:r w:rsidRPr="00CC7DEC" w:rsidDel="00950D0C">
              <w:rPr>
                <w:sz w:val="20"/>
              </w:rPr>
              <w:t xml:space="preserve"> </w:t>
            </w:r>
          </w:p>
          <w:p w14:paraId="35809D4C" w14:textId="77777777" w:rsidR="009F5C2D" w:rsidRDefault="009F5C2D" w:rsidP="00CC7DEC">
            <w:pPr>
              <w:pStyle w:val="TableHeading"/>
              <w:keepLines/>
              <w:spacing w:before="60" w:after="120"/>
              <w:contextualSpacing/>
            </w:pPr>
            <w:r w:rsidRPr="00CC7DEC">
              <w:rPr>
                <w:sz w:val="20"/>
              </w:rPr>
              <w:t>To date, the National Policy Initiatives have had little impact on Australian students’ outcomes, with some initiatives stalled or incomplete</w:t>
            </w:r>
          </w:p>
        </w:tc>
      </w:tr>
      <w:tr w:rsidR="00796A0F" w14:paraId="51F8528E" w14:textId="77777777">
        <w:tc>
          <w:tcPr>
            <w:tcW w:w="5000" w:type="pct"/>
            <w:gridSpan w:val="2"/>
            <w:tcBorders>
              <w:top w:val="nil"/>
              <w:bottom w:val="single" w:sz="4" w:space="0" w:color="66BCDB" w:themeColor="text2"/>
            </w:tcBorders>
          </w:tcPr>
          <w:p w14:paraId="23ADC929" w14:textId="77777777" w:rsidR="009F5C2D" w:rsidRPr="00710DF3" w:rsidRDefault="009F5C2D" w:rsidP="00710DF3">
            <w:pPr>
              <w:pStyle w:val="BodyText"/>
              <w:rPr>
                <w:spacing w:val="-4"/>
              </w:rPr>
            </w:pPr>
            <w:r w:rsidRPr="00710DF3">
              <w:rPr>
                <w:spacing w:val="-4"/>
              </w:rPr>
              <w:t>Some National Policy Initiatives have only recently delivered outputs, while others have stalled or fallen short.</w:t>
            </w:r>
          </w:p>
          <w:p w14:paraId="5D0AEBC1" w14:textId="77777777" w:rsidR="009F5C2D" w:rsidRPr="00710DF3" w:rsidRDefault="009F5C2D">
            <w:pPr>
              <w:pStyle w:val="ListBullet"/>
              <w:rPr>
                <w:spacing w:val="-4"/>
              </w:rPr>
            </w:pPr>
            <w:r w:rsidRPr="00710DF3">
              <w:rPr>
                <w:spacing w:val="-4"/>
              </w:rPr>
              <w:t>The design of the unique student identifier and the online formative assessment tool still need to be settled.</w:t>
            </w:r>
          </w:p>
          <w:p w14:paraId="07033E5B" w14:textId="77777777" w:rsidR="009F5C2D" w:rsidRPr="0050179B" w:rsidRDefault="009F5C2D">
            <w:pPr>
              <w:pStyle w:val="ListBullet"/>
            </w:pPr>
            <w:r w:rsidRPr="0050179B">
              <w:t xml:space="preserve">The National Review Projects have not </w:t>
            </w:r>
            <w:r w:rsidRPr="00A5320A">
              <w:t>yet been followed by substantial national</w:t>
            </w:r>
            <w:r w:rsidRPr="0050179B">
              <w:t xml:space="preserve"> reforms.</w:t>
            </w:r>
          </w:p>
          <w:p w14:paraId="227BEA79" w14:textId="77777777" w:rsidR="009F5C2D" w:rsidRPr="0050179B" w:rsidRDefault="009F5C2D">
            <w:pPr>
              <w:pStyle w:val="ListBullet2"/>
            </w:pPr>
            <w:r w:rsidRPr="0050179B">
              <w:t>There is no clear plan on how jurisdictions will implement the National Workforce Strategy to plan for future workforce needs</w:t>
            </w:r>
            <w:r>
              <w:t>.</w:t>
            </w:r>
          </w:p>
          <w:p w14:paraId="06DEED64" w14:textId="77777777" w:rsidR="009F5C2D" w:rsidRPr="0050179B" w:rsidRDefault="009F5C2D">
            <w:pPr>
              <w:pStyle w:val="ListBullet2"/>
            </w:pPr>
            <w:r w:rsidRPr="0050179B">
              <w:t>It is equally unclear how aspects of the Senior Secondary Pathways Review will be progressed</w:t>
            </w:r>
            <w:r>
              <w:t>.</w:t>
            </w:r>
          </w:p>
          <w:p w14:paraId="3145C91B" w14:textId="77777777" w:rsidR="009F5C2D" w:rsidRPr="00151EA2" w:rsidRDefault="009F5C2D">
            <w:pPr>
              <w:pStyle w:val="ListBullet"/>
            </w:pPr>
            <w:r>
              <w:t>National data projects have met with delays.</w:t>
            </w:r>
          </w:p>
          <w:p w14:paraId="5D40D7FD" w14:textId="77777777" w:rsidR="009F5C2D" w:rsidRPr="00AD61A5" w:rsidRDefault="009F5C2D">
            <w:pPr>
              <w:pStyle w:val="ListBullet"/>
            </w:pPr>
            <w:r>
              <w:t>The Australian Education Research Organisation is just beginning its work and will need to develop effective relationships and systems to realise its potential.</w:t>
            </w:r>
          </w:p>
        </w:tc>
      </w:tr>
      <w:tr w:rsidR="00796A0F" w14:paraId="6679CFE7" w14:textId="77777777">
        <w:trPr>
          <w:trHeight w:val="69"/>
        </w:trPr>
        <w:tc>
          <w:tcPr>
            <w:tcW w:w="5000" w:type="pct"/>
            <w:gridSpan w:val="2"/>
            <w:tcBorders>
              <w:top w:val="single" w:sz="4" w:space="0" w:color="66BCDB" w:themeColor="text2"/>
              <w:left w:val="nil"/>
              <w:bottom w:val="nil"/>
              <w:right w:val="nil"/>
            </w:tcBorders>
            <w:tcMar>
              <w:bottom w:w="0" w:type="dxa"/>
            </w:tcMar>
          </w:tcPr>
          <w:p w14:paraId="08665870" w14:textId="77777777" w:rsidR="009F5C2D" w:rsidRDefault="009F5C2D">
            <w:pPr>
              <w:pStyle w:val="NoSpacing"/>
              <w:spacing w:line="200" w:lineRule="atLeast"/>
            </w:pPr>
          </w:p>
        </w:tc>
      </w:tr>
    </w:tbl>
    <w:p w14:paraId="02881F73" w14:textId="77777777" w:rsidR="009F5C2D" w:rsidRDefault="009F5C2D">
      <w:pPr>
        <w:pStyle w:val="NoSpacing"/>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bottom w:w="113" w:type="dxa"/>
        </w:tblCellMar>
        <w:tblLook w:val="04A0" w:firstRow="1" w:lastRow="0" w:firstColumn="1" w:lastColumn="0" w:noHBand="0" w:noVBand="1"/>
      </w:tblPr>
      <w:tblGrid>
        <w:gridCol w:w="9638"/>
      </w:tblGrid>
      <w:tr w:rsidR="00A53FAB" w14:paraId="4521CFF7" w14:textId="77777777" w:rsidTr="00002D5C">
        <w:tc>
          <w:tcPr>
            <w:tcW w:w="5000" w:type="pct"/>
            <w:tcMar>
              <w:bottom w:w="0" w:type="dxa"/>
            </w:tcMar>
          </w:tcPr>
          <w:p w14:paraId="29E1590B" w14:textId="77777777" w:rsidR="00A53FAB" w:rsidRDefault="00A53FAB">
            <w:pPr>
              <w:pStyle w:val="NoSpacing"/>
              <w:spacing w:line="200" w:lineRule="atLeast"/>
            </w:pPr>
          </w:p>
        </w:tc>
      </w:tr>
    </w:tbl>
    <w:tbl>
      <w:tblPr>
        <w:tblStyle w:val="Texttable-Paleblue"/>
        <w:tblW w:w="5000" w:type="pct"/>
        <w:tblLook w:val="04A0" w:firstRow="1" w:lastRow="0" w:firstColumn="1" w:lastColumn="0" w:noHBand="0" w:noVBand="1"/>
      </w:tblPr>
      <w:tblGrid>
        <w:gridCol w:w="713"/>
        <w:gridCol w:w="8925"/>
      </w:tblGrid>
      <w:tr w:rsidR="00A53FAB" w14:paraId="147E7C6D" w14:textId="77777777">
        <w:trPr>
          <w:tblHeader/>
        </w:trPr>
        <w:tc>
          <w:tcPr>
            <w:tcW w:w="713" w:type="dxa"/>
            <w:tcMar>
              <w:top w:w="0" w:type="dxa"/>
              <w:bottom w:w="0" w:type="dxa"/>
            </w:tcMar>
            <w:vAlign w:val="center"/>
          </w:tcPr>
          <w:p w14:paraId="3D340FD2" w14:textId="77777777" w:rsidR="00A53FAB" w:rsidRDefault="00A53FAB">
            <w:pPr>
              <w:keepLines/>
              <w:jc w:val="center"/>
            </w:pPr>
            <w:r w:rsidRPr="00A51374">
              <w:rPr>
                <w:noProof/>
              </w:rPr>
              <w:drawing>
                <wp:inline distT="0" distB="0" distL="0" distR="0" wp14:anchorId="246ECD11" wp14:editId="49BDDA38">
                  <wp:extent cx="288000" cy="288000"/>
                  <wp:effectExtent l="0" t="0" r="0" b="0"/>
                  <wp:docPr id="27" name="Graphic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14FC402" w14:textId="77777777" w:rsidR="00A53FAB" w:rsidRPr="00CC7DEC" w:rsidRDefault="00A53FAB" w:rsidP="00710DF3">
            <w:pPr>
              <w:pStyle w:val="TableHeading"/>
              <w:keepLines/>
              <w:spacing w:before="180" w:after="120"/>
              <w:contextualSpacing/>
              <w:rPr>
                <w:sz w:val="20"/>
              </w:rPr>
            </w:pPr>
            <w:r w:rsidRPr="00CC7DEC">
              <w:rPr>
                <w:sz w:val="20"/>
              </w:rPr>
              <w:t>Draft recommendation 2.1</w:t>
            </w:r>
          </w:p>
          <w:p w14:paraId="3C1F369A" w14:textId="07BD50F4" w:rsidR="00A53FAB" w:rsidRPr="00715040" w:rsidRDefault="00A53FAB" w:rsidP="00CC7DEC">
            <w:pPr>
              <w:pStyle w:val="TableHeading"/>
              <w:keepLines/>
              <w:spacing w:before="60" w:after="120"/>
              <w:contextualSpacing/>
            </w:pPr>
            <w:r w:rsidRPr="00CC7DEC">
              <w:rPr>
                <w:sz w:val="20"/>
              </w:rPr>
              <w:t>Parties to the National School Reform Agreement should fulfil their commitments to deliver key National Policy Initiatives</w:t>
            </w:r>
          </w:p>
        </w:tc>
      </w:tr>
      <w:tr w:rsidR="00A53FAB" w14:paraId="56E56644" w14:textId="77777777">
        <w:tc>
          <w:tcPr>
            <w:tcW w:w="9638" w:type="dxa"/>
            <w:gridSpan w:val="2"/>
            <w:tcMar>
              <w:top w:w="0" w:type="dxa"/>
            </w:tcMar>
          </w:tcPr>
          <w:p w14:paraId="53782A34" w14:textId="77777777" w:rsidR="00A53FAB" w:rsidRDefault="00A53FAB">
            <w:pPr>
              <w:pStyle w:val="BodyText"/>
              <w:keepLines/>
            </w:pPr>
            <w:r>
              <w:t xml:space="preserve">Recommended actions include: </w:t>
            </w:r>
          </w:p>
          <w:p w14:paraId="43F7E71B" w14:textId="77777777" w:rsidR="00A53FAB" w:rsidRDefault="00A53FAB">
            <w:pPr>
              <w:pStyle w:val="ListBullet"/>
            </w:pPr>
            <w:r>
              <w:t>agreeing the design and privacy protections of a Unique Student Identifier (USI). If parties cannot deliver a national USI, they should, at a minimum, explain why they have been unable to do so</w:t>
            </w:r>
          </w:p>
          <w:p w14:paraId="1869C4F6" w14:textId="77777777" w:rsidR="00A53FAB" w:rsidRPr="00151EA2" w:rsidRDefault="00A53FAB">
            <w:pPr>
              <w:pStyle w:val="ListBullet"/>
            </w:pPr>
            <w:r w:rsidRPr="00151EA2">
              <w:t>developing the national online formative assessment tool in a way that enables jurisdictions to adapt the tool to their needs and preferences (including using content and features from their own formative assessment tools)</w:t>
            </w:r>
          </w:p>
          <w:p w14:paraId="2CB5D627" w14:textId="77777777" w:rsidR="00A53FAB" w:rsidRPr="00767EAE" w:rsidRDefault="00A53FAB">
            <w:pPr>
              <w:pStyle w:val="ListBullet"/>
            </w:pPr>
            <w:r w:rsidRPr="00151EA2">
              <w:t>developing a national</w:t>
            </w:r>
            <w:r>
              <w:t xml:space="preserve"> model of the teacher workforce to support workforce planning. </w:t>
            </w:r>
          </w:p>
        </w:tc>
      </w:tr>
      <w:tr w:rsidR="00A53FAB" w14:paraId="0F6732A9" w14:textId="77777777">
        <w:tc>
          <w:tcPr>
            <w:tcW w:w="9638" w:type="dxa"/>
            <w:gridSpan w:val="2"/>
            <w:shd w:val="clear" w:color="auto" w:fill="auto"/>
            <w:tcMar>
              <w:top w:w="0" w:type="dxa"/>
              <w:bottom w:w="0" w:type="dxa"/>
            </w:tcMar>
          </w:tcPr>
          <w:p w14:paraId="39911F36" w14:textId="77777777" w:rsidR="00A53FAB" w:rsidRPr="007E0EA8" w:rsidRDefault="00A53FAB">
            <w:pPr>
              <w:pStyle w:val="NoSpacing"/>
              <w:spacing w:line="200" w:lineRule="exact"/>
            </w:pPr>
          </w:p>
        </w:tc>
      </w:tr>
    </w:tbl>
    <w:p w14:paraId="050F4149"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7D5D2B90" w14:textId="77777777">
        <w:trPr>
          <w:trHeight w:val="765"/>
          <w:tblHeader/>
        </w:trPr>
        <w:tc>
          <w:tcPr>
            <w:tcW w:w="366" w:type="pct"/>
            <w:tcBorders>
              <w:bottom w:val="nil"/>
            </w:tcBorders>
            <w:tcMar>
              <w:bottom w:w="0" w:type="dxa"/>
            </w:tcMar>
            <w:vAlign w:val="center"/>
          </w:tcPr>
          <w:p w14:paraId="3548305D" w14:textId="77777777" w:rsidR="00A53FAB" w:rsidRDefault="00A53FAB">
            <w:pPr>
              <w:pStyle w:val="NoSpacing"/>
              <w:keepLines/>
              <w:jc w:val="right"/>
            </w:pPr>
            <w:r w:rsidRPr="00A51374">
              <w:rPr>
                <w:noProof/>
              </w:rPr>
              <w:drawing>
                <wp:inline distT="0" distB="0" distL="0" distR="0" wp14:anchorId="13697668" wp14:editId="4FF02203">
                  <wp:extent cx="288000" cy="288000"/>
                  <wp:effectExtent l="0" t="0" r="0" b="0"/>
                  <wp:docPr id="6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2D742505" w14:textId="77777777" w:rsidR="00A53FAB" w:rsidRPr="00CC7DEC" w:rsidRDefault="00A53FAB" w:rsidP="00995D9B">
            <w:pPr>
              <w:pStyle w:val="TableHeading"/>
              <w:keepLines/>
              <w:spacing w:before="180" w:after="120"/>
              <w:contextualSpacing/>
              <w:rPr>
                <w:sz w:val="20"/>
              </w:rPr>
            </w:pPr>
            <w:r w:rsidRPr="00CC7DEC">
              <w:rPr>
                <w:sz w:val="20"/>
              </w:rPr>
              <w:t>Draft finding 2.2</w:t>
            </w:r>
          </w:p>
          <w:p w14:paraId="5BBD045C" w14:textId="574923C7" w:rsidR="00A53FAB" w:rsidRDefault="00A53FAB" w:rsidP="00995D9B">
            <w:pPr>
              <w:pStyle w:val="TableHeading"/>
              <w:keepLines/>
              <w:spacing w:before="180" w:after="120"/>
              <w:contextualSpacing/>
            </w:pPr>
            <w:r w:rsidRPr="00CC7DEC">
              <w:rPr>
                <w:sz w:val="20"/>
              </w:rPr>
              <w:t xml:space="preserve">The </w:t>
            </w:r>
            <w:r w:rsidR="0085469B" w:rsidRPr="00CC7DEC">
              <w:rPr>
                <w:sz w:val="20"/>
              </w:rPr>
              <w:t>National School Reform Agreement</w:t>
            </w:r>
            <w:r w:rsidRPr="00CC7DEC">
              <w:rPr>
                <w:sz w:val="20"/>
              </w:rPr>
              <w:t xml:space="preserve"> has weaknesses that undermine its effectiveness in facilitating collective, national efforts to lift student outcomes</w:t>
            </w:r>
          </w:p>
        </w:tc>
      </w:tr>
      <w:tr w:rsidR="00A53FAB" w14:paraId="5B844F38" w14:textId="77777777">
        <w:tc>
          <w:tcPr>
            <w:tcW w:w="5000" w:type="pct"/>
            <w:gridSpan w:val="2"/>
            <w:tcBorders>
              <w:top w:val="nil"/>
              <w:bottom w:val="single" w:sz="4" w:space="0" w:color="66BCDB" w:themeColor="text2"/>
            </w:tcBorders>
          </w:tcPr>
          <w:p w14:paraId="7A5D33F6" w14:textId="77777777" w:rsidR="00A53FAB" w:rsidRDefault="00A53FAB">
            <w:pPr>
              <w:pStyle w:val="ListBullet"/>
              <w:keepLines/>
            </w:pPr>
            <w:r>
              <w:t xml:space="preserve">Relying too much on NPIs that are a single solution to common issues has delayed reform outcomes. </w:t>
            </w:r>
          </w:p>
          <w:p w14:paraId="649F5FEC" w14:textId="77777777" w:rsidR="00A53FAB" w:rsidRPr="00641A3F" w:rsidRDefault="00A53FAB">
            <w:pPr>
              <w:pStyle w:val="ListBullet"/>
              <w:keepLines/>
              <w:rPr>
                <w:rStyle w:val="CommentReference"/>
                <w:sz w:val="20"/>
                <w:szCs w:val="20"/>
              </w:rPr>
            </w:pPr>
            <w:r>
              <w:t>A lack of transparent, systematic, independent and meaningful reporting means there is little effective accountability</w:t>
            </w:r>
            <w:r w:rsidRPr="6230D41E">
              <w:rPr>
                <w:rStyle w:val="CommentReference"/>
              </w:rPr>
              <w:t>.</w:t>
            </w:r>
          </w:p>
          <w:p w14:paraId="512FCECE" w14:textId="77777777" w:rsidR="00A53FAB" w:rsidRPr="00F57AF1" w:rsidRDefault="00A53FAB">
            <w:pPr>
              <w:pStyle w:val="ListBullet"/>
              <w:keepLines/>
            </w:pPr>
            <w:r>
              <w:t>Outcomes do not adequately capture non-academic domains such as wellbeing.</w:t>
            </w:r>
          </w:p>
          <w:p w14:paraId="321D8828" w14:textId="77777777" w:rsidR="00A53FAB" w:rsidRPr="00F57AF1" w:rsidRDefault="00A53FAB">
            <w:pPr>
              <w:pStyle w:val="ListBullet"/>
              <w:keepLines/>
            </w:pPr>
            <w:r>
              <w:t xml:space="preserve">Insufficient prominence has been given to lifting outcomes for students from priority equity cohorts or a core of students who do not meet minimum standards.     </w:t>
            </w:r>
          </w:p>
          <w:p w14:paraId="31FD3FC6" w14:textId="77777777" w:rsidR="00A53FAB" w:rsidRDefault="00A53FAB">
            <w:pPr>
              <w:pStyle w:val="ListBullet"/>
              <w:keepLines/>
            </w:pPr>
            <w:r>
              <w:t>There is a poor connection between policy making and implementation in the classroom.</w:t>
            </w:r>
          </w:p>
        </w:tc>
      </w:tr>
      <w:tr w:rsidR="00A53FAB" w14:paraId="125433D6" w14:textId="77777777">
        <w:tc>
          <w:tcPr>
            <w:tcW w:w="5000" w:type="pct"/>
            <w:gridSpan w:val="2"/>
            <w:tcBorders>
              <w:top w:val="single" w:sz="4" w:space="0" w:color="66BCDB" w:themeColor="text2"/>
              <w:left w:val="nil"/>
              <w:bottom w:val="nil"/>
              <w:right w:val="nil"/>
            </w:tcBorders>
            <w:tcMar>
              <w:bottom w:w="0" w:type="dxa"/>
            </w:tcMar>
          </w:tcPr>
          <w:p w14:paraId="7DDFEB56" w14:textId="77777777" w:rsidR="00A53FAB" w:rsidRDefault="00A53FAB">
            <w:pPr>
              <w:pStyle w:val="NoSpacing"/>
              <w:spacing w:line="200" w:lineRule="atLeast"/>
            </w:pPr>
          </w:p>
        </w:tc>
      </w:tr>
    </w:tbl>
    <w:p w14:paraId="3C7639B4"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2BC039CA" w14:textId="77777777">
        <w:trPr>
          <w:tblHeader/>
        </w:trPr>
        <w:tc>
          <w:tcPr>
            <w:tcW w:w="713" w:type="dxa"/>
            <w:vAlign w:val="center"/>
          </w:tcPr>
          <w:p w14:paraId="1E90804A" w14:textId="77777777" w:rsidR="00A53FAB" w:rsidRDefault="00A53FAB">
            <w:pPr>
              <w:keepNext/>
              <w:keepLines/>
              <w:spacing w:after="0"/>
              <w:jc w:val="right"/>
            </w:pPr>
            <w:r w:rsidRPr="00A51374">
              <w:rPr>
                <w:noProof/>
              </w:rPr>
              <w:drawing>
                <wp:inline distT="0" distB="0" distL="0" distR="0" wp14:anchorId="4A55A9B3" wp14:editId="535C2559">
                  <wp:extent cx="288000" cy="288000"/>
                  <wp:effectExtent l="0" t="0" r="0" b="0"/>
                  <wp:docPr id="65" name="Graphic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AC83704" w14:textId="3748E339" w:rsidR="00591DA8" w:rsidRPr="00710DF3" w:rsidRDefault="00A53FAB" w:rsidP="00710DF3">
            <w:pPr>
              <w:pStyle w:val="TableHeading"/>
              <w:keepNext/>
              <w:spacing w:before="180"/>
              <w:contextualSpacing/>
              <w:rPr>
                <w:sz w:val="20"/>
              </w:rPr>
            </w:pPr>
            <w:r w:rsidRPr="00710DF3">
              <w:rPr>
                <w:sz w:val="20"/>
              </w:rPr>
              <w:t>Information request 2.2</w:t>
            </w:r>
          </w:p>
          <w:p w14:paraId="28965ED1" w14:textId="3A9B16D8" w:rsidR="00A53FAB" w:rsidRPr="000B0B71" w:rsidRDefault="00A53FAB" w:rsidP="00710DF3">
            <w:pPr>
              <w:pStyle w:val="TableHeading"/>
              <w:keepNext/>
              <w:spacing w:before="180"/>
              <w:contextualSpacing/>
            </w:pPr>
            <w:r w:rsidRPr="00710DF3">
              <w:rPr>
                <w:sz w:val="20"/>
              </w:rPr>
              <w:t>Options for enhancing accountability in the next agreement</w:t>
            </w:r>
          </w:p>
        </w:tc>
      </w:tr>
      <w:tr w:rsidR="00A53FAB" w14:paraId="04EE12F7" w14:textId="77777777">
        <w:tc>
          <w:tcPr>
            <w:tcW w:w="9638" w:type="dxa"/>
            <w:gridSpan w:val="2"/>
            <w:tcMar>
              <w:top w:w="0" w:type="dxa"/>
            </w:tcMar>
          </w:tcPr>
          <w:p w14:paraId="0875C743" w14:textId="77777777" w:rsidR="00A53FAB" w:rsidRDefault="00A53FAB">
            <w:pPr>
              <w:keepNext/>
            </w:pPr>
            <w:r w:rsidRPr="20F8272D">
              <w:rPr>
                <w:rFonts w:ascii="Arial" w:eastAsia="Arial" w:hAnsi="Arial" w:cs="Arial"/>
              </w:rPr>
              <w:t>The Commission is seeking stakeholder views on</w:t>
            </w:r>
            <w:r>
              <w:rPr>
                <w:rFonts w:ascii="Arial" w:eastAsia="Arial" w:hAnsi="Arial" w:cs="Arial"/>
              </w:rPr>
              <w:t>:</w:t>
            </w:r>
          </w:p>
          <w:p w14:paraId="296A16C1" w14:textId="77777777" w:rsidR="00A53FAB" w:rsidRPr="00174BF9" w:rsidRDefault="00A53FAB" w:rsidP="00EB0335">
            <w:pPr>
              <w:pStyle w:val="ListNumber"/>
              <w:keepNext/>
              <w:numPr>
                <w:ilvl w:val="0"/>
                <w:numId w:val="5"/>
              </w:numPr>
              <w:rPr>
                <w:color w:val="1E5A9A"/>
              </w:rPr>
            </w:pPr>
            <w:r w:rsidRPr="00174BF9">
              <w:rPr>
                <w:color w:val="1E5A9A"/>
              </w:rPr>
              <w:t>the benefits, costs and risks of proposed enhancements to accountability mechanisms for the next intergovernmental agreement, including:</w:t>
            </w:r>
          </w:p>
          <w:p w14:paraId="65F7B38B" w14:textId="77777777" w:rsidR="00A53FAB" w:rsidRPr="00D45377" w:rsidRDefault="00A53FAB" w:rsidP="005D3B36">
            <w:pPr>
              <w:pStyle w:val="ListAlpha1"/>
              <w:keepNext/>
              <w:ind w:left="454"/>
              <w:rPr>
                <w:color w:val="1E5A9A"/>
              </w:rPr>
            </w:pPr>
            <w:r w:rsidRPr="00D45377">
              <w:rPr>
                <w:color w:val="1E5A9A"/>
              </w:rPr>
              <w:t xml:space="preserve">jurisdictions specifying the outcomes that they expect to achieve (and </w:t>
            </w:r>
            <w:r>
              <w:rPr>
                <w:color w:val="1E5A9A"/>
              </w:rPr>
              <w:t>related</w:t>
            </w:r>
            <w:r w:rsidRPr="00D45377">
              <w:rPr>
                <w:color w:val="1E5A9A"/>
              </w:rPr>
              <w:t xml:space="preserve"> indicators) over the life of the agreement in public ‘implementation plans’ and reporting on progress annually. This would be in addition to identifying what measures they pursue in each priority reform area (as per current practice for bilateral agreements)</w:t>
            </w:r>
          </w:p>
          <w:p w14:paraId="6AAFB5A2" w14:textId="16C8DEF7" w:rsidR="00A53FAB" w:rsidRPr="00D45377" w:rsidRDefault="00A53FAB" w:rsidP="005D3B36">
            <w:pPr>
              <w:pStyle w:val="ListAlpha1"/>
              <w:keepNext/>
              <w:ind w:left="454"/>
              <w:rPr>
                <w:color w:val="1E5A9A"/>
              </w:rPr>
            </w:pPr>
            <w:r w:rsidRPr="00D45377">
              <w:rPr>
                <w:color w:val="1E5A9A"/>
              </w:rPr>
              <w:t xml:space="preserve">aligning the design of outcomes and indicators across jurisdictions to allow comparability </w:t>
            </w:r>
          </w:p>
          <w:p w14:paraId="71D7F565" w14:textId="77777777" w:rsidR="00A53FAB" w:rsidRPr="008529A2" w:rsidRDefault="00A53FAB" w:rsidP="00EB0335">
            <w:pPr>
              <w:pStyle w:val="ListNumber"/>
              <w:keepNext/>
              <w:numPr>
                <w:ilvl w:val="0"/>
                <w:numId w:val="5"/>
              </w:numPr>
            </w:pPr>
            <w:r w:rsidRPr="00910680">
              <w:rPr>
                <w:color w:val="1E5A9A"/>
              </w:rPr>
              <w:t>ways of ensuring groups representing school systems (Independent, Catholic), teachers, principals and students have effective input into policy formation (such as requiring jurisdictions to receive and publish input from affected parties as part of preparing implementation plans).</w:t>
            </w:r>
          </w:p>
        </w:tc>
      </w:tr>
      <w:tr w:rsidR="00A53FAB" w14:paraId="6C033141" w14:textId="77777777">
        <w:tc>
          <w:tcPr>
            <w:tcW w:w="9638" w:type="dxa"/>
            <w:gridSpan w:val="2"/>
            <w:shd w:val="clear" w:color="auto" w:fill="auto"/>
            <w:tcMar>
              <w:top w:w="0" w:type="dxa"/>
              <w:bottom w:w="0" w:type="dxa"/>
            </w:tcMar>
          </w:tcPr>
          <w:p w14:paraId="3C5A372B" w14:textId="77777777" w:rsidR="00A53FAB" w:rsidRDefault="00A53FAB">
            <w:pPr>
              <w:pStyle w:val="NoSpacing"/>
              <w:spacing w:line="200" w:lineRule="exact"/>
            </w:pPr>
          </w:p>
        </w:tc>
      </w:tr>
    </w:tbl>
    <w:p w14:paraId="079EEE8B" w14:textId="77777777" w:rsidR="00A53FAB" w:rsidRDefault="00A53FAB" w:rsidP="00661D3F">
      <w:pPr>
        <w:pStyle w:val="Heading2-noTOC"/>
        <w:keepNext/>
      </w:pPr>
      <w:r>
        <w:t>Chapter 3: Lifting outcomes for all students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7B66154B" w14:textId="77777777">
        <w:trPr>
          <w:trHeight w:val="765"/>
          <w:tblHeader/>
        </w:trPr>
        <w:tc>
          <w:tcPr>
            <w:tcW w:w="366" w:type="pct"/>
            <w:tcBorders>
              <w:bottom w:val="nil"/>
            </w:tcBorders>
            <w:tcMar>
              <w:bottom w:w="0" w:type="dxa"/>
            </w:tcMar>
            <w:vAlign w:val="center"/>
          </w:tcPr>
          <w:p w14:paraId="5492A37F" w14:textId="77777777" w:rsidR="00A53FAB" w:rsidRDefault="00A53FAB">
            <w:pPr>
              <w:pStyle w:val="NoSpacing"/>
              <w:keepLines/>
              <w:jc w:val="right"/>
            </w:pPr>
            <w:r w:rsidRPr="00A51374">
              <w:rPr>
                <w:noProof/>
              </w:rPr>
              <w:drawing>
                <wp:inline distT="0" distB="0" distL="0" distR="0" wp14:anchorId="1111A1B3" wp14:editId="6C7505C0">
                  <wp:extent cx="288000" cy="288000"/>
                  <wp:effectExtent l="0" t="0" r="0" b="0"/>
                  <wp:docPr id="44"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9263B4" w14:textId="77777777" w:rsidR="00921C17" w:rsidRPr="00710DF3" w:rsidRDefault="00A53FAB" w:rsidP="00710DF3">
            <w:pPr>
              <w:pStyle w:val="TableHeading"/>
              <w:keepLines/>
              <w:spacing w:before="180"/>
              <w:rPr>
                <w:sz w:val="20"/>
              </w:rPr>
            </w:pPr>
            <w:r w:rsidRPr="00710DF3">
              <w:rPr>
                <w:sz w:val="20"/>
              </w:rPr>
              <w:t xml:space="preserve">Draft finding 3.1 </w:t>
            </w:r>
          </w:p>
          <w:p w14:paraId="18973201" w14:textId="695FA520" w:rsidR="00A53FAB" w:rsidRPr="00710DF3" w:rsidRDefault="00A53FAB" w:rsidP="00710DF3">
            <w:pPr>
              <w:pStyle w:val="TableHeading"/>
              <w:keepLines/>
              <w:spacing w:after="120"/>
              <w:rPr>
                <w:b w:val="0"/>
                <w:bCs/>
                <w:sz w:val="20"/>
              </w:rPr>
            </w:pPr>
            <w:r w:rsidRPr="00710DF3">
              <w:rPr>
                <w:sz w:val="20"/>
              </w:rPr>
              <w:t>Many students have additional needs that do not directly relate to culture, disability or remoteness</w:t>
            </w:r>
          </w:p>
        </w:tc>
      </w:tr>
      <w:tr w:rsidR="00A53FAB" w14:paraId="30D825EA" w14:textId="77777777">
        <w:tc>
          <w:tcPr>
            <w:tcW w:w="5000" w:type="pct"/>
            <w:gridSpan w:val="2"/>
            <w:tcBorders>
              <w:top w:val="nil"/>
              <w:bottom w:val="single" w:sz="4" w:space="0" w:color="66BCDB" w:themeColor="text2"/>
            </w:tcBorders>
          </w:tcPr>
          <w:p w14:paraId="164BE2A6" w14:textId="78458F9B" w:rsidR="00A53FAB" w:rsidRPr="00500F5C" w:rsidRDefault="00A53FAB" w:rsidP="008940C9">
            <w:pPr>
              <w:pStyle w:val="KeyPoints-Bullet"/>
              <w:rPr>
                <w:sz w:val="20"/>
              </w:rPr>
            </w:pPr>
            <w:r w:rsidRPr="00500F5C">
              <w:rPr>
                <w:sz w:val="20"/>
              </w:rPr>
              <w:t xml:space="preserve">A significant number of students </w:t>
            </w:r>
            <w:r w:rsidR="00382D70">
              <w:rPr>
                <w:sz w:val="20"/>
              </w:rPr>
              <w:t>do not</w:t>
            </w:r>
            <w:r w:rsidRPr="00500F5C">
              <w:rPr>
                <w:sz w:val="20"/>
              </w:rPr>
              <w:t xml:space="preserve"> meet minimum standards — often year after year. Around one third of students who do not meet </w:t>
            </w:r>
            <w:r w:rsidR="001F6C81">
              <w:rPr>
                <w:sz w:val="20"/>
              </w:rPr>
              <w:t xml:space="preserve">national </w:t>
            </w:r>
            <w:r w:rsidRPr="00500F5C">
              <w:rPr>
                <w:sz w:val="20"/>
              </w:rPr>
              <w:t xml:space="preserve">minimum literacy and numeracy standards in their early years of schooling do not meet </w:t>
            </w:r>
            <w:r w:rsidR="001F6C81">
              <w:rPr>
                <w:sz w:val="20"/>
              </w:rPr>
              <w:t xml:space="preserve">national </w:t>
            </w:r>
            <w:r w:rsidRPr="00500F5C">
              <w:rPr>
                <w:sz w:val="20"/>
              </w:rPr>
              <w:t xml:space="preserve">minimum standards in later school years. </w:t>
            </w:r>
          </w:p>
          <w:p w14:paraId="7842AC47" w14:textId="11D65880" w:rsidR="00A53FAB" w:rsidRPr="00C50B5A" w:rsidRDefault="00A53FAB" w:rsidP="008940C9">
            <w:pPr>
              <w:pStyle w:val="KeyPoints-Bullet"/>
              <w:rPr>
                <w:sz w:val="20"/>
              </w:rPr>
            </w:pPr>
            <w:r w:rsidRPr="00500F5C">
              <w:rPr>
                <w:sz w:val="20"/>
              </w:rPr>
              <w:t xml:space="preserve">Most underperforming students do not belong to the priority cohorts named by the </w:t>
            </w:r>
            <w:r w:rsidR="002523B8" w:rsidRPr="00B3775A">
              <w:rPr>
                <w:sz w:val="20"/>
              </w:rPr>
              <w:t>National School Reform Agreement</w:t>
            </w:r>
            <w:r w:rsidRPr="00500F5C">
              <w:rPr>
                <w:sz w:val="20"/>
              </w:rPr>
              <w:t xml:space="preserve">. Around 85 per cent of these students do not belong to any of the priority equity cohorts identified in the </w:t>
            </w:r>
            <w:r w:rsidR="002523B8" w:rsidRPr="00B3775A">
              <w:rPr>
                <w:sz w:val="20"/>
              </w:rPr>
              <w:t>National School Reform Agreement</w:t>
            </w:r>
            <w:r w:rsidRPr="00500F5C">
              <w:rPr>
                <w:sz w:val="20"/>
              </w:rPr>
              <w:t>. Low educational performance needs a different approach.</w:t>
            </w:r>
          </w:p>
        </w:tc>
      </w:tr>
      <w:tr w:rsidR="00A53FAB" w14:paraId="21265C32" w14:textId="77777777">
        <w:tc>
          <w:tcPr>
            <w:tcW w:w="5000" w:type="pct"/>
            <w:gridSpan w:val="2"/>
            <w:tcBorders>
              <w:top w:val="single" w:sz="4" w:space="0" w:color="66BCDB" w:themeColor="text2"/>
              <w:left w:val="nil"/>
              <w:bottom w:val="nil"/>
              <w:right w:val="nil"/>
            </w:tcBorders>
            <w:tcMar>
              <w:bottom w:w="0" w:type="dxa"/>
            </w:tcMar>
          </w:tcPr>
          <w:p w14:paraId="6F33613D" w14:textId="77777777" w:rsidR="00A53FAB" w:rsidRDefault="00A53FAB">
            <w:pPr>
              <w:pStyle w:val="NoSpacing"/>
              <w:spacing w:line="200" w:lineRule="atLeast"/>
            </w:pPr>
          </w:p>
        </w:tc>
      </w:tr>
    </w:tbl>
    <w:p w14:paraId="57ABA787" w14:textId="77777777" w:rsidR="00A53FAB" w:rsidRDefault="00A53FAB">
      <w:pPr>
        <w:pStyle w:val="BodyText"/>
      </w:pPr>
    </w:p>
    <w:tbl>
      <w:tblPr>
        <w:tblStyle w:val="TextTable-Grey"/>
        <w:tblW w:w="5000" w:type="pct"/>
        <w:tblLook w:val="04A0" w:firstRow="1" w:lastRow="0" w:firstColumn="1" w:lastColumn="0" w:noHBand="0" w:noVBand="1"/>
      </w:tblPr>
      <w:tblGrid>
        <w:gridCol w:w="713"/>
        <w:gridCol w:w="8925"/>
      </w:tblGrid>
      <w:tr w:rsidR="00A53FAB" w14:paraId="7134CAA4" w14:textId="77777777">
        <w:trPr>
          <w:tblHeader/>
        </w:trPr>
        <w:tc>
          <w:tcPr>
            <w:tcW w:w="713" w:type="dxa"/>
            <w:vAlign w:val="center"/>
          </w:tcPr>
          <w:p w14:paraId="6F46DD2D" w14:textId="77777777" w:rsidR="00A53FAB" w:rsidRDefault="00A53FAB">
            <w:pPr>
              <w:keepNext/>
              <w:keepLines/>
              <w:spacing w:after="0"/>
              <w:jc w:val="right"/>
            </w:pPr>
            <w:r w:rsidRPr="00A51374">
              <w:rPr>
                <w:noProof/>
              </w:rPr>
              <w:drawing>
                <wp:inline distT="0" distB="0" distL="0" distR="0" wp14:anchorId="606A79A7" wp14:editId="6FC9F2E0">
                  <wp:extent cx="288000" cy="288000"/>
                  <wp:effectExtent l="0" t="0" r="0" b="0"/>
                  <wp:docPr id="49" name="Graphic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F5E8C06" w14:textId="77777777" w:rsidR="00CB4456" w:rsidRPr="00710DF3" w:rsidRDefault="00A53FAB" w:rsidP="00710DF3">
            <w:pPr>
              <w:pStyle w:val="TableHeading"/>
              <w:keepNext/>
              <w:spacing w:before="180"/>
              <w:contextualSpacing/>
              <w:rPr>
                <w:sz w:val="20"/>
              </w:rPr>
            </w:pPr>
            <w:r w:rsidRPr="00710DF3">
              <w:rPr>
                <w:sz w:val="20"/>
              </w:rPr>
              <w:t xml:space="preserve">Information request 3.1 </w:t>
            </w:r>
          </w:p>
          <w:p w14:paraId="0CA00036" w14:textId="75D315B4" w:rsidR="00A53FAB" w:rsidRPr="00710DF3" w:rsidRDefault="00A53FAB" w:rsidP="00710DF3">
            <w:pPr>
              <w:pStyle w:val="TableHeading"/>
              <w:keepNext/>
              <w:spacing w:before="180"/>
              <w:contextualSpacing/>
              <w:rPr>
                <w:sz w:val="20"/>
              </w:rPr>
            </w:pPr>
            <w:r w:rsidRPr="00710DF3">
              <w:rPr>
                <w:sz w:val="20"/>
                <w:lang w:eastAsia="en-AU"/>
              </w:rPr>
              <w:t xml:space="preserve">Intensive, targeted support </w:t>
            </w:r>
            <w:r w:rsidR="009041F6">
              <w:rPr>
                <w:sz w:val="20"/>
                <w:lang w:eastAsia="en-AU"/>
              </w:rPr>
              <w:t>for</w:t>
            </w:r>
            <w:r w:rsidRPr="00710DF3">
              <w:rPr>
                <w:sz w:val="20"/>
                <w:lang w:eastAsia="en-AU"/>
              </w:rPr>
              <w:t xml:space="preserve"> students who have fallen behind</w:t>
            </w:r>
          </w:p>
        </w:tc>
      </w:tr>
      <w:tr w:rsidR="00A53FAB" w14:paraId="1B7A3F60" w14:textId="77777777">
        <w:tc>
          <w:tcPr>
            <w:tcW w:w="9638" w:type="dxa"/>
            <w:gridSpan w:val="2"/>
            <w:tcMar>
              <w:top w:w="0" w:type="dxa"/>
            </w:tcMar>
          </w:tcPr>
          <w:p w14:paraId="114EEA2B" w14:textId="77777777" w:rsidR="00A53FAB" w:rsidRPr="008529A2" w:rsidRDefault="00A53FAB">
            <w:pPr>
              <w:pStyle w:val="BodyText"/>
              <w:keepNext/>
              <w:keepLines/>
            </w:pPr>
            <w:r w:rsidRPr="00157DB9">
              <w:t>Would programs that provide intensive, targeted support to students who have fallen behind lend themselves to being a national policy initiative under the next intergovernmental agreement on schools?</w:t>
            </w:r>
          </w:p>
        </w:tc>
      </w:tr>
      <w:tr w:rsidR="00A53FAB" w14:paraId="515FB914" w14:textId="77777777">
        <w:tc>
          <w:tcPr>
            <w:tcW w:w="9638" w:type="dxa"/>
            <w:gridSpan w:val="2"/>
            <w:shd w:val="clear" w:color="auto" w:fill="auto"/>
            <w:tcMar>
              <w:top w:w="0" w:type="dxa"/>
              <w:bottom w:w="0" w:type="dxa"/>
            </w:tcMar>
          </w:tcPr>
          <w:p w14:paraId="3BDE11DA" w14:textId="77777777" w:rsidR="00A53FAB" w:rsidRDefault="00A53FAB">
            <w:pPr>
              <w:pStyle w:val="NoSpacing"/>
              <w:spacing w:line="200" w:lineRule="exact"/>
            </w:pPr>
          </w:p>
        </w:tc>
      </w:tr>
    </w:tbl>
    <w:p w14:paraId="604C08C8" w14:textId="77777777" w:rsidR="00A53FAB" w:rsidRDefault="00A53FAB">
      <w:pPr>
        <w:pStyle w:val="BodyT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5A5CF48A" w14:textId="77777777">
        <w:trPr>
          <w:trHeight w:val="765"/>
          <w:tblHeader/>
        </w:trPr>
        <w:tc>
          <w:tcPr>
            <w:tcW w:w="366" w:type="pct"/>
            <w:tcBorders>
              <w:bottom w:val="nil"/>
            </w:tcBorders>
            <w:tcMar>
              <w:bottom w:w="0" w:type="dxa"/>
            </w:tcMar>
            <w:vAlign w:val="center"/>
          </w:tcPr>
          <w:p w14:paraId="5FF9DCA9" w14:textId="77777777" w:rsidR="00A53FAB" w:rsidRDefault="00A53FAB">
            <w:pPr>
              <w:pStyle w:val="NoSpacing"/>
              <w:keepLines/>
              <w:jc w:val="right"/>
            </w:pPr>
            <w:r w:rsidRPr="00A51374">
              <w:rPr>
                <w:noProof/>
              </w:rPr>
              <w:drawing>
                <wp:inline distT="0" distB="0" distL="0" distR="0" wp14:anchorId="31777B34" wp14:editId="4FBE4F3C">
                  <wp:extent cx="288000" cy="288000"/>
                  <wp:effectExtent l="0" t="0" r="0" b="0"/>
                  <wp:docPr id="4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9330D7" w14:textId="77777777" w:rsidR="00A53FAB" w:rsidRPr="00710DF3" w:rsidRDefault="00A53FAB" w:rsidP="00710DF3">
            <w:pPr>
              <w:pStyle w:val="TableHeading"/>
              <w:keepLines/>
              <w:spacing w:before="180"/>
              <w:rPr>
                <w:sz w:val="20"/>
              </w:rPr>
            </w:pPr>
            <w:r w:rsidRPr="00710DF3">
              <w:rPr>
                <w:sz w:val="20"/>
              </w:rPr>
              <w:t>Draft finding 3.2</w:t>
            </w:r>
          </w:p>
          <w:p w14:paraId="1CC55BBC" w14:textId="1825E77B" w:rsidR="00A53FAB" w:rsidRPr="00710DF3" w:rsidRDefault="00A53FAB" w:rsidP="00710DF3">
            <w:pPr>
              <w:pStyle w:val="TableHeading"/>
              <w:keepLines/>
              <w:spacing w:after="120"/>
              <w:rPr>
                <w:sz w:val="20"/>
              </w:rPr>
            </w:pPr>
            <w:r w:rsidRPr="00710DF3">
              <w:rPr>
                <w:sz w:val="20"/>
              </w:rPr>
              <w:t xml:space="preserve">Governments are yet to achieve outcomes for students who have specific educational needs related to their culture, their disability or remoteness, as set out in the National School Reform </w:t>
            </w:r>
            <w:r w:rsidR="00CB4456" w:rsidRPr="00710DF3">
              <w:rPr>
                <w:sz w:val="20"/>
              </w:rPr>
              <w:t>A</w:t>
            </w:r>
            <w:r w:rsidRPr="00710DF3">
              <w:rPr>
                <w:sz w:val="20"/>
              </w:rPr>
              <w:t>greement</w:t>
            </w:r>
          </w:p>
        </w:tc>
      </w:tr>
      <w:tr w:rsidR="00A53FAB" w14:paraId="47AEB515" w14:textId="77777777">
        <w:tc>
          <w:tcPr>
            <w:tcW w:w="5000" w:type="pct"/>
            <w:gridSpan w:val="2"/>
            <w:tcBorders>
              <w:top w:val="nil"/>
              <w:bottom w:val="single" w:sz="4" w:space="0" w:color="66BCDB" w:themeColor="text2"/>
            </w:tcBorders>
          </w:tcPr>
          <w:p w14:paraId="3B1E49A5" w14:textId="3E3E1FE8" w:rsidR="00A53FAB" w:rsidRDefault="00A53FAB">
            <w:pPr>
              <w:pStyle w:val="ListBullet"/>
            </w:pPr>
            <w:r>
              <w:t xml:space="preserve">Gaps in learning outcomes for priority equity cohorts identified in the National School Reform Agreement have not closed. </w:t>
            </w:r>
          </w:p>
          <w:p w14:paraId="13FC0DEB" w14:textId="44506AD5" w:rsidR="00A53FAB" w:rsidRDefault="00A53FAB">
            <w:pPr>
              <w:pStyle w:val="ListBullet"/>
            </w:pPr>
            <w:r w:rsidRPr="00767713">
              <w:t xml:space="preserve">There can be multiple factors that increase the challenges of providing high quality education for some students. </w:t>
            </w:r>
            <w:r>
              <w:t xml:space="preserve">Where these factors intersect, the </w:t>
            </w:r>
            <w:r w:rsidR="00144B4C">
              <w:t>e</w:t>
            </w:r>
            <w:r>
              <w:t>ffects can be compounding.</w:t>
            </w:r>
          </w:p>
        </w:tc>
      </w:tr>
      <w:tr w:rsidR="00A53FAB" w14:paraId="1C148A1C" w14:textId="77777777">
        <w:tc>
          <w:tcPr>
            <w:tcW w:w="5000" w:type="pct"/>
            <w:gridSpan w:val="2"/>
            <w:tcBorders>
              <w:top w:val="single" w:sz="4" w:space="0" w:color="66BCDB" w:themeColor="text2"/>
              <w:left w:val="nil"/>
              <w:bottom w:val="nil"/>
              <w:right w:val="nil"/>
            </w:tcBorders>
            <w:tcMar>
              <w:bottom w:w="0" w:type="dxa"/>
            </w:tcMar>
          </w:tcPr>
          <w:p w14:paraId="1465AFC3" w14:textId="77777777" w:rsidR="00A53FAB" w:rsidRDefault="00A53FAB">
            <w:pPr>
              <w:pStyle w:val="NoSpacing"/>
              <w:spacing w:line="200" w:lineRule="atLeast"/>
            </w:pPr>
          </w:p>
        </w:tc>
      </w:tr>
    </w:tbl>
    <w:p w14:paraId="7CBB1D61" w14:textId="77777777" w:rsidR="00A53FAB" w:rsidRDefault="00A53FAB">
      <w:pPr>
        <w:pStyle w:val="NoSpacing"/>
        <w:keepNext/>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43804CDE" w14:textId="77777777">
        <w:trPr>
          <w:trHeight w:val="765"/>
          <w:tblHeader/>
        </w:trPr>
        <w:tc>
          <w:tcPr>
            <w:tcW w:w="366" w:type="pct"/>
            <w:tcBorders>
              <w:bottom w:val="nil"/>
            </w:tcBorders>
            <w:tcMar>
              <w:bottom w:w="0" w:type="dxa"/>
            </w:tcMar>
            <w:vAlign w:val="center"/>
          </w:tcPr>
          <w:p w14:paraId="3162FBF7" w14:textId="77777777" w:rsidR="00A53FAB" w:rsidRDefault="00A53FAB">
            <w:pPr>
              <w:pStyle w:val="NoSpacing"/>
              <w:keepLines/>
              <w:jc w:val="right"/>
            </w:pPr>
            <w:r w:rsidRPr="00A51374">
              <w:rPr>
                <w:noProof/>
              </w:rPr>
              <w:drawing>
                <wp:inline distT="0" distB="0" distL="0" distR="0" wp14:anchorId="52F2865D" wp14:editId="3D198842">
                  <wp:extent cx="288000" cy="288000"/>
                  <wp:effectExtent l="0" t="0" r="0" b="0"/>
                  <wp:docPr id="4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D68F199" w14:textId="77777777" w:rsidR="00A53FAB" w:rsidRPr="00710DF3" w:rsidRDefault="00A53FAB" w:rsidP="00710DF3">
            <w:pPr>
              <w:pStyle w:val="TableHeading"/>
              <w:keepLines/>
              <w:spacing w:before="180"/>
              <w:contextualSpacing/>
              <w:rPr>
                <w:sz w:val="20"/>
              </w:rPr>
            </w:pPr>
            <w:r w:rsidRPr="00710DF3">
              <w:rPr>
                <w:sz w:val="20"/>
              </w:rPr>
              <w:t>Draft finding 3.3</w:t>
            </w:r>
          </w:p>
          <w:p w14:paraId="7E093D44" w14:textId="7218131D" w:rsidR="00A53FAB" w:rsidRPr="00710DF3" w:rsidRDefault="00A53FAB" w:rsidP="00710DF3">
            <w:pPr>
              <w:pStyle w:val="TableHeading"/>
              <w:keepLines/>
              <w:spacing w:before="180" w:after="120"/>
              <w:contextualSpacing/>
              <w:rPr>
                <w:sz w:val="20"/>
              </w:rPr>
            </w:pPr>
            <w:r w:rsidRPr="00710DF3">
              <w:rPr>
                <w:sz w:val="20"/>
              </w:rPr>
              <w:t xml:space="preserve">Governments have failed to adequately demonstrate how reforms under the </w:t>
            </w:r>
            <w:r w:rsidR="00CA4639" w:rsidRPr="00710DF3">
              <w:rPr>
                <w:sz w:val="20"/>
              </w:rPr>
              <w:t>National School Reform Agreement</w:t>
            </w:r>
            <w:r w:rsidRPr="00710DF3">
              <w:rPr>
                <w:sz w:val="20"/>
              </w:rPr>
              <w:t xml:space="preserve"> are addressing specific educational needs related to students’ culture, disability or remoteness </w:t>
            </w:r>
          </w:p>
        </w:tc>
      </w:tr>
      <w:tr w:rsidR="00A53FAB" w14:paraId="5343FB1A" w14:textId="77777777">
        <w:tc>
          <w:tcPr>
            <w:tcW w:w="5000" w:type="pct"/>
            <w:gridSpan w:val="2"/>
            <w:tcBorders>
              <w:top w:val="nil"/>
              <w:bottom w:val="single" w:sz="4" w:space="0" w:color="66BCDB" w:themeColor="text2"/>
            </w:tcBorders>
          </w:tcPr>
          <w:p w14:paraId="2C11C188" w14:textId="09B8D731" w:rsidR="00A53FAB" w:rsidRPr="00856607" w:rsidRDefault="00A53FAB" w:rsidP="00EB0335">
            <w:pPr>
              <w:pStyle w:val="ListBullet"/>
              <w:numPr>
                <w:ilvl w:val="0"/>
                <w:numId w:val="6"/>
              </w:numPr>
            </w:pPr>
            <w:r w:rsidRPr="00856607">
              <w:t>There is significant diversity in students’ learning needs and educational aspirations, both across and within cohorts, reflecting differences in their life experiences, the education outcomes they value, their learning and wellbeing outcomes, and the nature of adjustment</w:t>
            </w:r>
            <w:r w:rsidR="00742C99">
              <w:t>s</w:t>
            </w:r>
            <w:r w:rsidRPr="00856607">
              <w:t xml:space="preserve"> and supports they may require.</w:t>
            </w:r>
          </w:p>
          <w:p w14:paraId="403A52ED" w14:textId="5451A23A" w:rsidR="00A53FAB" w:rsidRDefault="00A53FAB" w:rsidP="00EB0335">
            <w:pPr>
              <w:pStyle w:val="ListBullet"/>
              <w:numPr>
                <w:ilvl w:val="0"/>
                <w:numId w:val="6"/>
              </w:numPr>
            </w:pPr>
            <w:r w:rsidRPr="00CA73DB">
              <w:t xml:space="preserve">The </w:t>
            </w:r>
            <w:r w:rsidR="00CA4639" w:rsidRPr="00B3775A">
              <w:t>National School Reform Agreement</w:t>
            </w:r>
            <w:r w:rsidRPr="00CA73DB">
              <w:t xml:space="preserve"> does not adequately include reform actions relating to </w:t>
            </w:r>
            <w:r w:rsidR="00DE3A8F">
              <w:t xml:space="preserve">students from </w:t>
            </w:r>
            <w:r w:rsidRPr="00CA73DB">
              <w:t xml:space="preserve">the </w:t>
            </w:r>
            <w:r w:rsidR="00DE3A8F">
              <w:t>priority</w:t>
            </w:r>
            <w:r w:rsidR="00DE3A8F" w:rsidRPr="00CA73DB">
              <w:t xml:space="preserve"> </w:t>
            </w:r>
            <w:r w:rsidRPr="00CA73DB">
              <w:t>equity cohorts it names</w:t>
            </w:r>
            <w:r>
              <w:t>.</w:t>
            </w:r>
          </w:p>
          <w:p w14:paraId="188C23BE" w14:textId="2C0D8F3E" w:rsidR="00A53FAB" w:rsidRDefault="00A53FAB" w:rsidP="00EB0335">
            <w:pPr>
              <w:pStyle w:val="ListBullet"/>
              <w:numPr>
                <w:ilvl w:val="0"/>
                <w:numId w:val="6"/>
              </w:numPr>
            </w:pPr>
            <w:r>
              <w:t xml:space="preserve">Under the </w:t>
            </w:r>
            <w:r w:rsidR="00CA4639" w:rsidRPr="00B3775A">
              <w:t>National School Reform Agreement</w:t>
            </w:r>
            <w:r>
              <w:t xml:space="preserve">, equity issues are to be addressed through the bilateral agreements between the Australian Government and each jurisdiction. However, these agreements often do not identify measures to lift outcomes for students from </w:t>
            </w:r>
            <w:r w:rsidR="00036871">
              <w:t xml:space="preserve">all </w:t>
            </w:r>
            <w:r>
              <w:t>priority equity cohorts or, if they do, provide little detail on how measures will lift outcomes</w:t>
            </w:r>
            <w:r w:rsidR="001C1A62">
              <w:t>,</w:t>
            </w:r>
            <w:r>
              <w:t xml:space="preserve"> or report any progress being achieved.</w:t>
            </w:r>
          </w:p>
        </w:tc>
      </w:tr>
      <w:tr w:rsidR="00A53FAB" w14:paraId="423BF7EF" w14:textId="77777777">
        <w:tc>
          <w:tcPr>
            <w:tcW w:w="5000" w:type="pct"/>
            <w:gridSpan w:val="2"/>
            <w:tcBorders>
              <w:top w:val="single" w:sz="4" w:space="0" w:color="66BCDB" w:themeColor="text2"/>
              <w:left w:val="nil"/>
              <w:bottom w:val="nil"/>
              <w:right w:val="nil"/>
            </w:tcBorders>
            <w:tcMar>
              <w:bottom w:w="0" w:type="dxa"/>
            </w:tcMar>
          </w:tcPr>
          <w:p w14:paraId="7204EE6E" w14:textId="77777777" w:rsidR="00A53FAB" w:rsidRDefault="00A53FAB">
            <w:pPr>
              <w:pStyle w:val="NoSpacing"/>
              <w:spacing w:line="200" w:lineRule="atLeast"/>
            </w:pPr>
          </w:p>
        </w:tc>
      </w:tr>
    </w:tbl>
    <w:p w14:paraId="11A35CFA"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3E001DAF" w14:textId="77777777">
        <w:trPr>
          <w:trHeight w:val="765"/>
          <w:tblHeader/>
        </w:trPr>
        <w:tc>
          <w:tcPr>
            <w:tcW w:w="366" w:type="pct"/>
            <w:tcBorders>
              <w:bottom w:val="nil"/>
            </w:tcBorders>
            <w:tcMar>
              <w:bottom w:w="0" w:type="dxa"/>
            </w:tcMar>
            <w:vAlign w:val="center"/>
          </w:tcPr>
          <w:p w14:paraId="43328B6E" w14:textId="77777777" w:rsidR="00A53FAB" w:rsidRDefault="00A53FAB">
            <w:pPr>
              <w:pStyle w:val="NoSpacing"/>
              <w:keepLines/>
              <w:jc w:val="right"/>
            </w:pPr>
            <w:r w:rsidRPr="00A51374">
              <w:rPr>
                <w:noProof/>
              </w:rPr>
              <w:drawing>
                <wp:inline distT="0" distB="0" distL="0" distR="0" wp14:anchorId="178D2A17" wp14:editId="1D946D3A">
                  <wp:extent cx="288000" cy="288000"/>
                  <wp:effectExtent l="0" t="0" r="0" b="0"/>
                  <wp:docPr id="4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51BE60A" w14:textId="77777777" w:rsidR="00A53FAB" w:rsidRPr="00710DF3" w:rsidRDefault="00A53FAB" w:rsidP="00710DF3">
            <w:pPr>
              <w:pStyle w:val="TableHeading"/>
              <w:keepLines/>
              <w:spacing w:before="180"/>
              <w:contextualSpacing/>
              <w:rPr>
                <w:sz w:val="20"/>
              </w:rPr>
            </w:pPr>
            <w:r w:rsidRPr="00710DF3">
              <w:rPr>
                <w:sz w:val="20"/>
              </w:rPr>
              <w:t>Draft finding 3.4</w:t>
            </w:r>
          </w:p>
          <w:p w14:paraId="1A54B067" w14:textId="789296B5" w:rsidR="00A53FAB" w:rsidRPr="00710DF3" w:rsidRDefault="00A53FAB" w:rsidP="00710DF3">
            <w:pPr>
              <w:pStyle w:val="TableHeading"/>
              <w:keepLines/>
              <w:spacing w:before="180" w:after="120"/>
              <w:contextualSpacing/>
              <w:rPr>
                <w:sz w:val="20"/>
              </w:rPr>
            </w:pPr>
            <w:r w:rsidRPr="00710DF3">
              <w:rPr>
                <w:sz w:val="20"/>
              </w:rPr>
              <w:t xml:space="preserve">The priority equity cohorts in the National School </w:t>
            </w:r>
            <w:r w:rsidR="00C1409E" w:rsidRPr="00710DF3">
              <w:rPr>
                <w:sz w:val="20"/>
              </w:rPr>
              <w:t>R</w:t>
            </w:r>
            <w:r w:rsidRPr="00710DF3">
              <w:rPr>
                <w:sz w:val="20"/>
              </w:rPr>
              <w:t>eform Agreement do not capture all cohorts of students experiencing educational disadvantage</w:t>
            </w:r>
          </w:p>
        </w:tc>
      </w:tr>
      <w:tr w:rsidR="00A53FAB" w14:paraId="479703CA" w14:textId="77777777">
        <w:tc>
          <w:tcPr>
            <w:tcW w:w="5000" w:type="pct"/>
            <w:gridSpan w:val="2"/>
            <w:tcBorders>
              <w:top w:val="nil"/>
              <w:bottom w:val="single" w:sz="4" w:space="0" w:color="66BCDB" w:themeColor="text2"/>
            </w:tcBorders>
          </w:tcPr>
          <w:p w14:paraId="257F9A3E" w14:textId="00E250EB" w:rsidR="00A53FAB" w:rsidRDefault="00A53FAB">
            <w:pPr>
              <w:pStyle w:val="ListBullet"/>
            </w:pPr>
            <w:r>
              <w:t xml:space="preserve">There are some </w:t>
            </w:r>
            <w:r w:rsidRPr="0002607E">
              <w:t xml:space="preserve">student cohorts not identified as a priority equity cohort in the </w:t>
            </w:r>
            <w:r w:rsidR="00061F26">
              <w:t>National School Reform Agreement</w:t>
            </w:r>
            <w:r w:rsidRPr="0002607E">
              <w:t xml:space="preserve"> tha</w:t>
            </w:r>
            <w:r>
              <w:t>t face significant educational barriers.</w:t>
            </w:r>
          </w:p>
          <w:p w14:paraId="2B4D03EF" w14:textId="7DE5E998" w:rsidR="00A53FAB" w:rsidRDefault="00A53FAB">
            <w:pPr>
              <w:pStyle w:val="ListBullet"/>
            </w:pPr>
            <w:r>
              <w:t>Children</w:t>
            </w:r>
            <w:r w:rsidRPr="005110FB">
              <w:t xml:space="preserve"> and young people living in out</w:t>
            </w:r>
            <w:r>
              <w:noBreakHyphen/>
            </w:r>
            <w:r w:rsidRPr="005110FB">
              <w:t>of</w:t>
            </w:r>
            <w:r>
              <w:noBreakHyphen/>
            </w:r>
            <w:r w:rsidRPr="005110FB">
              <w:t xml:space="preserve">home care </w:t>
            </w:r>
            <w:r>
              <w:t>face significant disruptions to their schooling and</w:t>
            </w:r>
            <w:r w:rsidRPr="007011D4">
              <w:t xml:space="preserve"> are considerably less likely than their peers to attend school and engage with</w:t>
            </w:r>
            <w:r w:rsidRPr="00BA2295">
              <w:t xml:space="preserve"> education</w:t>
            </w:r>
            <w:r>
              <w:t>. B</w:t>
            </w:r>
            <w:r w:rsidRPr="007011D4">
              <w:t>y year 9, children in out</w:t>
            </w:r>
            <w:r>
              <w:noBreakHyphen/>
            </w:r>
            <w:r w:rsidRPr="007011D4">
              <w:t>of</w:t>
            </w:r>
            <w:r>
              <w:noBreakHyphen/>
            </w:r>
            <w:r w:rsidRPr="007011D4">
              <w:t xml:space="preserve">home care were four times more likely to be below the national minimum standard </w:t>
            </w:r>
            <w:r>
              <w:t xml:space="preserve">in </w:t>
            </w:r>
            <w:r w:rsidRPr="007011D4">
              <w:t>reading</w:t>
            </w:r>
            <w:r>
              <w:t xml:space="preserve">, and </w:t>
            </w:r>
            <w:r w:rsidRPr="007011D4">
              <w:t xml:space="preserve">six times more likely to be below the national minimum standard </w:t>
            </w:r>
            <w:r>
              <w:t>in</w:t>
            </w:r>
            <w:r w:rsidRPr="007011D4">
              <w:t xml:space="preserve"> numeracy, relative to </w:t>
            </w:r>
            <w:r w:rsidR="008449FE">
              <w:t xml:space="preserve">the </w:t>
            </w:r>
            <w:r w:rsidRPr="007011D4">
              <w:t>general population</w:t>
            </w:r>
            <w:r>
              <w:t>.</w:t>
            </w:r>
          </w:p>
          <w:p w14:paraId="449C9F45" w14:textId="18786A90" w:rsidR="00A53FAB" w:rsidRDefault="00A53FAB">
            <w:pPr>
              <w:pStyle w:val="ListBullet"/>
            </w:pPr>
            <w:r>
              <w:t>S</w:t>
            </w:r>
            <w:r w:rsidRPr="002513F0">
              <w:t xml:space="preserve">tudents who speak English as an </w:t>
            </w:r>
            <w:r w:rsidR="00E81EF4">
              <w:t>a</w:t>
            </w:r>
            <w:r w:rsidRPr="002513F0">
              <w:t xml:space="preserve">dditional </w:t>
            </w:r>
            <w:r w:rsidR="00E81EF4">
              <w:t>l</w:t>
            </w:r>
            <w:r w:rsidRPr="002513F0">
              <w:t xml:space="preserve">anguage or </w:t>
            </w:r>
            <w:r w:rsidR="00EE3FE8">
              <w:t>d</w:t>
            </w:r>
            <w:r w:rsidRPr="002513F0">
              <w:t>ialect</w:t>
            </w:r>
            <w:r>
              <w:t xml:space="preserve"> </w:t>
            </w:r>
            <w:r w:rsidRPr="00A10A26">
              <w:t>often require specific support</w:t>
            </w:r>
            <w:r>
              <w:t xml:space="preserve"> to</w:t>
            </w:r>
            <w:r w:rsidRPr="00A10A26">
              <w:t xml:space="preserve"> </w:t>
            </w:r>
            <w:r w:rsidR="009203B5">
              <w:t>strengthen</w:t>
            </w:r>
            <w:r w:rsidR="00E82EC0" w:rsidRPr="00A10A26">
              <w:t xml:space="preserve"> </w:t>
            </w:r>
            <w:r w:rsidRPr="00A10A26">
              <w:t>English language skills to access the general curriculum</w:t>
            </w:r>
            <w:r w:rsidRPr="002513F0">
              <w:t>.</w:t>
            </w:r>
          </w:p>
        </w:tc>
      </w:tr>
      <w:tr w:rsidR="00A53FAB" w14:paraId="51D406DA" w14:textId="77777777">
        <w:tc>
          <w:tcPr>
            <w:tcW w:w="5000" w:type="pct"/>
            <w:gridSpan w:val="2"/>
            <w:tcBorders>
              <w:top w:val="single" w:sz="4" w:space="0" w:color="66BCDB" w:themeColor="text2"/>
              <w:left w:val="nil"/>
              <w:bottom w:val="nil"/>
              <w:right w:val="nil"/>
            </w:tcBorders>
            <w:tcMar>
              <w:bottom w:w="0" w:type="dxa"/>
            </w:tcMar>
          </w:tcPr>
          <w:p w14:paraId="0779418A" w14:textId="77777777" w:rsidR="00A53FAB" w:rsidRDefault="00A53FAB">
            <w:pPr>
              <w:pStyle w:val="NoSpacing"/>
              <w:spacing w:line="200" w:lineRule="atLeast"/>
            </w:pPr>
          </w:p>
        </w:tc>
      </w:tr>
    </w:tbl>
    <w:p w14:paraId="4E17AA1E"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54747ACC" w14:textId="77777777">
        <w:trPr>
          <w:tblHeader/>
        </w:trPr>
        <w:tc>
          <w:tcPr>
            <w:tcW w:w="713" w:type="dxa"/>
            <w:vAlign w:val="center"/>
          </w:tcPr>
          <w:p w14:paraId="7CE62154" w14:textId="77777777" w:rsidR="00A53FAB" w:rsidRDefault="00A53FAB">
            <w:pPr>
              <w:keepNext/>
              <w:keepLines/>
              <w:spacing w:after="0"/>
              <w:jc w:val="right"/>
            </w:pPr>
            <w:r w:rsidRPr="00A51374">
              <w:rPr>
                <w:noProof/>
              </w:rPr>
              <w:drawing>
                <wp:inline distT="0" distB="0" distL="0" distR="0" wp14:anchorId="622F1EBD" wp14:editId="44BB1C3D">
                  <wp:extent cx="288000" cy="288000"/>
                  <wp:effectExtent l="0" t="0" r="0" b="0"/>
                  <wp:docPr id="50" name="Graphic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97B3CD9" w14:textId="42D840F8" w:rsidR="00A53FAB" w:rsidRPr="00710DF3" w:rsidRDefault="00A53FAB" w:rsidP="00710DF3">
            <w:pPr>
              <w:pStyle w:val="TableHeading"/>
              <w:keepNext/>
              <w:spacing w:before="180"/>
              <w:contextualSpacing/>
              <w:rPr>
                <w:sz w:val="20"/>
              </w:rPr>
            </w:pPr>
            <w:r w:rsidRPr="00710DF3">
              <w:rPr>
                <w:sz w:val="20"/>
              </w:rPr>
              <w:t>Information request 3.2</w:t>
            </w:r>
          </w:p>
          <w:p w14:paraId="23998AF4" w14:textId="0C321E38" w:rsidR="00F33D86" w:rsidRPr="00710DF3" w:rsidRDefault="0089797E" w:rsidP="00710DF3">
            <w:pPr>
              <w:pStyle w:val="TableHeading"/>
              <w:keepNext/>
              <w:spacing w:before="180"/>
              <w:contextualSpacing/>
              <w:rPr>
                <w:sz w:val="20"/>
              </w:rPr>
            </w:pPr>
            <w:r w:rsidRPr="00710DF3">
              <w:rPr>
                <w:sz w:val="20"/>
              </w:rPr>
              <w:t>Priority equity cohorts for the next agreement</w:t>
            </w:r>
          </w:p>
        </w:tc>
      </w:tr>
      <w:tr w:rsidR="00A53FAB" w14:paraId="3EE90A40" w14:textId="77777777">
        <w:tc>
          <w:tcPr>
            <w:tcW w:w="9638" w:type="dxa"/>
            <w:gridSpan w:val="2"/>
            <w:tcMar>
              <w:top w:w="0" w:type="dxa"/>
            </w:tcMar>
          </w:tcPr>
          <w:p w14:paraId="1397BAE1" w14:textId="2B07534A" w:rsidR="00A53FAB" w:rsidRPr="008529A2" w:rsidRDefault="00A53FAB">
            <w:pPr>
              <w:pStyle w:val="BodyText"/>
              <w:keepNext/>
              <w:keepLines/>
            </w:pPr>
            <w:r w:rsidRPr="008B7FA4">
              <w:t xml:space="preserve">Are there student cohorts, not identified as a priority equity cohort in the current </w:t>
            </w:r>
            <w:r w:rsidR="00BA3F67">
              <w:t>N</w:t>
            </w:r>
            <w:r w:rsidRPr="008B7FA4">
              <w:t xml:space="preserve">ational </w:t>
            </w:r>
            <w:r w:rsidR="00BA3F67">
              <w:t>S</w:t>
            </w:r>
            <w:r w:rsidRPr="008B7FA4">
              <w:t xml:space="preserve">chool </w:t>
            </w:r>
            <w:r w:rsidR="00BA3F67">
              <w:t>R</w:t>
            </w:r>
            <w:r w:rsidRPr="008B7FA4">
              <w:t xml:space="preserve">eform </w:t>
            </w:r>
            <w:r w:rsidR="00BA3F67">
              <w:t>A</w:t>
            </w:r>
            <w:r w:rsidRPr="008B7FA4">
              <w:t>greement, such as children in out</w:t>
            </w:r>
            <w:r>
              <w:noBreakHyphen/>
            </w:r>
            <w:r w:rsidRPr="008B7FA4">
              <w:t>of</w:t>
            </w:r>
            <w:r>
              <w:noBreakHyphen/>
            </w:r>
            <w:r w:rsidRPr="008B7FA4">
              <w:t>home care, that should be a priority in the next agreement? If so, which cohorts and why?</w:t>
            </w:r>
          </w:p>
        </w:tc>
      </w:tr>
      <w:tr w:rsidR="00A53FAB" w14:paraId="3099F109" w14:textId="77777777">
        <w:tc>
          <w:tcPr>
            <w:tcW w:w="9638" w:type="dxa"/>
            <w:gridSpan w:val="2"/>
            <w:shd w:val="clear" w:color="auto" w:fill="auto"/>
            <w:tcMar>
              <w:top w:w="0" w:type="dxa"/>
              <w:bottom w:w="0" w:type="dxa"/>
            </w:tcMar>
          </w:tcPr>
          <w:p w14:paraId="0D3B2227" w14:textId="77777777" w:rsidR="00A53FAB" w:rsidRDefault="00A53FAB">
            <w:pPr>
              <w:pStyle w:val="NoSpacing"/>
              <w:spacing w:line="200" w:lineRule="exact"/>
            </w:pPr>
          </w:p>
        </w:tc>
      </w:tr>
    </w:tbl>
    <w:p w14:paraId="7CE63EA4" w14:textId="77777777" w:rsidR="00A53FAB" w:rsidRDefault="00A53FAB">
      <w:pPr>
        <w:spacing w:before="0" w:after="160" w:line="259" w:lineRule="auto"/>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547E7CB5" w14:textId="77777777">
        <w:trPr>
          <w:trHeight w:val="765"/>
          <w:tblHeader/>
        </w:trPr>
        <w:tc>
          <w:tcPr>
            <w:tcW w:w="366" w:type="pct"/>
            <w:tcBorders>
              <w:bottom w:val="nil"/>
            </w:tcBorders>
            <w:tcMar>
              <w:bottom w:w="0" w:type="dxa"/>
            </w:tcMar>
            <w:vAlign w:val="center"/>
          </w:tcPr>
          <w:p w14:paraId="27FE0D7E" w14:textId="77777777" w:rsidR="00A53FAB" w:rsidRDefault="00A53FAB">
            <w:pPr>
              <w:pStyle w:val="NoSpacing"/>
              <w:keepLines/>
              <w:jc w:val="right"/>
            </w:pPr>
            <w:r w:rsidRPr="00A51374">
              <w:rPr>
                <w:noProof/>
              </w:rPr>
              <w:drawing>
                <wp:inline distT="0" distB="0" distL="0" distR="0" wp14:anchorId="5937395C" wp14:editId="36A05929">
                  <wp:extent cx="288000" cy="288000"/>
                  <wp:effectExtent l="0" t="0" r="0" b="0"/>
                  <wp:docPr id="48"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966C7E9" w14:textId="77777777" w:rsidR="00F34031" w:rsidRPr="00710DF3" w:rsidRDefault="00A53FAB" w:rsidP="00710DF3">
            <w:pPr>
              <w:pStyle w:val="TableHeading"/>
              <w:keepLines/>
              <w:spacing w:before="180"/>
              <w:contextualSpacing/>
              <w:rPr>
                <w:sz w:val="20"/>
              </w:rPr>
            </w:pPr>
            <w:r w:rsidRPr="00710DF3">
              <w:rPr>
                <w:sz w:val="20"/>
              </w:rPr>
              <w:t xml:space="preserve">Draft finding 3.5 </w:t>
            </w:r>
          </w:p>
          <w:p w14:paraId="5858749C" w14:textId="25752831" w:rsidR="00A53FAB" w:rsidRPr="00710DF3" w:rsidRDefault="00A53FAB" w:rsidP="00710DF3">
            <w:pPr>
              <w:pStyle w:val="TableHeading"/>
              <w:keepLines/>
              <w:spacing w:after="120"/>
              <w:contextualSpacing/>
              <w:rPr>
                <w:spacing w:val="-4"/>
                <w:sz w:val="20"/>
              </w:rPr>
            </w:pPr>
            <w:r w:rsidRPr="00710DF3">
              <w:rPr>
                <w:spacing w:val="-4"/>
                <w:sz w:val="20"/>
              </w:rPr>
              <w:t xml:space="preserve">There are a range of educational barriers experienced by students </w:t>
            </w:r>
            <w:r w:rsidR="00C017BF">
              <w:rPr>
                <w:spacing w:val="-4"/>
                <w:sz w:val="20"/>
              </w:rPr>
              <w:t>from</w:t>
            </w:r>
            <w:r w:rsidR="001D64B2" w:rsidRPr="00710DF3">
              <w:rPr>
                <w:spacing w:val="-4"/>
                <w:sz w:val="20"/>
              </w:rPr>
              <w:t xml:space="preserve"> </w:t>
            </w:r>
            <w:r w:rsidRPr="00710DF3">
              <w:rPr>
                <w:spacing w:val="-4"/>
                <w:sz w:val="20"/>
              </w:rPr>
              <w:t>priority equity cohorts</w:t>
            </w:r>
          </w:p>
        </w:tc>
      </w:tr>
      <w:tr w:rsidR="00A53FAB" w14:paraId="0A3266F3" w14:textId="77777777">
        <w:tc>
          <w:tcPr>
            <w:tcW w:w="5000" w:type="pct"/>
            <w:gridSpan w:val="2"/>
            <w:tcBorders>
              <w:top w:val="nil"/>
              <w:bottom w:val="single" w:sz="4" w:space="0" w:color="66BCDB" w:themeColor="text2"/>
            </w:tcBorders>
          </w:tcPr>
          <w:p w14:paraId="13830525" w14:textId="77777777" w:rsidR="00A53FAB" w:rsidRPr="005B2D68" w:rsidRDefault="00A53FAB">
            <w:pPr>
              <w:pStyle w:val="ListBullet"/>
            </w:pPr>
            <w:r w:rsidRPr="005B2D68">
              <w:t xml:space="preserve">Compounding problems arise from equating Indigeneity with educational disadvantage. </w:t>
            </w:r>
          </w:p>
          <w:p w14:paraId="24692AAB" w14:textId="185AD7AD" w:rsidR="00A53FAB" w:rsidRPr="005B2D68" w:rsidRDefault="00A53FAB">
            <w:pPr>
              <w:pStyle w:val="ListBullet"/>
            </w:pPr>
            <w:r w:rsidRPr="005B2D68">
              <w:t>Cultural recognition by schools, and the value placed on Indigenous knowledges by them, are key in responding to the distinct educational needs and aspirations of Aboriginal and Torres Strait Islander students. Culturally responsive curriculum and pedagogies increase inclusion and engagement of Aboriginal and Torres Strait Islander students</w:t>
            </w:r>
            <w:r>
              <w:t>,</w:t>
            </w:r>
            <w:r w:rsidRPr="005B2D68">
              <w:t xml:space="preserve"> and enrich the learning of </w:t>
            </w:r>
            <w:r w:rsidR="003830A4" w:rsidRPr="005B2D68">
              <w:t>non</w:t>
            </w:r>
            <w:r w:rsidR="003830A4">
              <w:noBreakHyphen/>
            </w:r>
            <w:r w:rsidR="003830A4" w:rsidRPr="005B2D68">
              <w:t>Aboriginal and Torres Strait Islander</w:t>
            </w:r>
            <w:r w:rsidR="003830A4" w:rsidRPr="005B2D68" w:rsidDel="00F16945">
              <w:t xml:space="preserve"> </w:t>
            </w:r>
            <w:r w:rsidR="003830A4">
              <w:t xml:space="preserve">students </w:t>
            </w:r>
            <w:r w:rsidRPr="005B2D68">
              <w:t xml:space="preserve">too. </w:t>
            </w:r>
          </w:p>
          <w:p w14:paraId="7196ADDF" w14:textId="77777777" w:rsidR="00A53FAB" w:rsidRPr="005B2D68" w:rsidRDefault="00A53FAB">
            <w:pPr>
              <w:pStyle w:val="ListBullet"/>
            </w:pPr>
            <w:r w:rsidRPr="005B2D68">
              <w:t>Indigenous knowledges, Aboriginal and Torres Strait Islander cultures, and how to include and empower students may be poorly understood by teachers and school leadership.</w:t>
            </w:r>
          </w:p>
          <w:p w14:paraId="3C99365A" w14:textId="7B4601F7" w:rsidR="00A53FAB" w:rsidRPr="005B2D68" w:rsidRDefault="00A53FAB">
            <w:pPr>
              <w:pStyle w:val="ListBullet"/>
            </w:pPr>
            <w:r w:rsidRPr="005B2D68">
              <w:t>There is now a mandate for consultation and shared decision</w:t>
            </w:r>
            <w:r>
              <w:noBreakHyphen/>
            </w:r>
            <w:r w:rsidRPr="005B2D68">
              <w:t xml:space="preserve">making in relation to the design of educational outcomes and </w:t>
            </w:r>
            <w:r w:rsidR="00CD12C6" w:rsidRPr="005B2D68">
              <w:t>sub</w:t>
            </w:r>
            <w:r w:rsidR="00CD12C6">
              <w:t>-</w:t>
            </w:r>
            <w:r w:rsidR="00CD12C6" w:rsidRPr="005B2D68">
              <w:t xml:space="preserve">outcomes </w:t>
            </w:r>
            <w:r w:rsidRPr="005B2D68">
              <w:t>(and how they shape reform) under the Key Priority Reforms of the 2020 Closing the Gap Agreement.</w:t>
            </w:r>
          </w:p>
          <w:p w14:paraId="5CC6FBBA" w14:textId="2BB21EB9" w:rsidR="00A53FAB" w:rsidRDefault="00A53FAB">
            <w:pPr>
              <w:pStyle w:val="ListBullet"/>
            </w:pPr>
            <w:r w:rsidRPr="005B2D68">
              <w:t xml:space="preserve">Children and young people with disability </w:t>
            </w:r>
            <w:r w:rsidR="00E10693">
              <w:t>experience</w:t>
            </w:r>
            <w:r w:rsidRPr="005B2D68">
              <w:t xml:space="preserve"> unique barriers to engagement and inclusion at school that </w:t>
            </w:r>
            <w:r w:rsidR="002C36B4">
              <w:t>affe</w:t>
            </w:r>
            <w:r w:rsidRPr="005B2D68">
              <w:t>ct wellbeing, engagement and school success.</w:t>
            </w:r>
          </w:p>
          <w:p w14:paraId="72BE961C" w14:textId="77777777" w:rsidR="00A53FAB" w:rsidRDefault="00A53FAB">
            <w:pPr>
              <w:pStyle w:val="ListBullet"/>
            </w:pPr>
            <w:r w:rsidRPr="005B2D68">
              <w:t>Initial Teacher Education may not sufficiently empower teachers to recognise and respond adequately to disability.</w:t>
            </w:r>
          </w:p>
          <w:p w14:paraId="58B3F106" w14:textId="1491A3F0" w:rsidR="00600862" w:rsidRDefault="00600862">
            <w:pPr>
              <w:pStyle w:val="ListBullet"/>
            </w:pPr>
            <w:r>
              <w:t>F</w:t>
            </w:r>
            <w:r w:rsidRPr="00112779">
              <w:t>amilies in regional, rural and remote areas can have limited choice in where and how they educate their children</w:t>
            </w:r>
            <w:r>
              <w:t>.</w:t>
            </w:r>
          </w:p>
        </w:tc>
      </w:tr>
      <w:tr w:rsidR="00A53FAB" w14:paraId="1515D4F9" w14:textId="77777777">
        <w:tc>
          <w:tcPr>
            <w:tcW w:w="5000" w:type="pct"/>
            <w:gridSpan w:val="2"/>
            <w:tcBorders>
              <w:top w:val="single" w:sz="4" w:space="0" w:color="66BCDB" w:themeColor="text2"/>
              <w:left w:val="nil"/>
              <w:bottom w:val="nil"/>
              <w:right w:val="nil"/>
            </w:tcBorders>
            <w:tcMar>
              <w:bottom w:w="0" w:type="dxa"/>
            </w:tcMar>
          </w:tcPr>
          <w:p w14:paraId="4AA41DBE" w14:textId="77777777" w:rsidR="00A53FAB" w:rsidRDefault="00A53FAB">
            <w:pPr>
              <w:pStyle w:val="NoSpacing"/>
              <w:spacing w:line="200" w:lineRule="atLeast"/>
            </w:pPr>
          </w:p>
        </w:tc>
      </w:tr>
    </w:tbl>
    <w:p w14:paraId="01980ADC" w14:textId="77777777" w:rsidR="00A53FAB" w:rsidRDefault="00A53FAB">
      <w:pPr>
        <w:spacing w:before="0" w:after="160" w:line="259" w:lineRule="auto"/>
      </w:pPr>
    </w:p>
    <w:tbl>
      <w:tblPr>
        <w:tblStyle w:val="Texttable-Paleblue"/>
        <w:tblW w:w="5000" w:type="pct"/>
        <w:tblLook w:val="04A0" w:firstRow="1" w:lastRow="0" w:firstColumn="1" w:lastColumn="0" w:noHBand="0" w:noVBand="1"/>
      </w:tblPr>
      <w:tblGrid>
        <w:gridCol w:w="713"/>
        <w:gridCol w:w="8925"/>
      </w:tblGrid>
      <w:tr w:rsidR="00A53FAB" w14:paraId="7A3C8D6B" w14:textId="77777777">
        <w:trPr>
          <w:tblHeader/>
        </w:trPr>
        <w:tc>
          <w:tcPr>
            <w:tcW w:w="713" w:type="dxa"/>
            <w:tcMar>
              <w:top w:w="0" w:type="dxa"/>
              <w:bottom w:w="0" w:type="dxa"/>
            </w:tcMar>
            <w:vAlign w:val="center"/>
          </w:tcPr>
          <w:p w14:paraId="40E54874" w14:textId="77777777" w:rsidR="00A53FAB" w:rsidRDefault="00A53FAB" w:rsidP="00710DF3">
            <w:pPr>
              <w:keepNext/>
              <w:keepLines/>
              <w:jc w:val="center"/>
            </w:pPr>
            <w:r w:rsidRPr="00A51374">
              <w:rPr>
                <w:noProof/>
              </w:rPr>
              <w:drawing>
                <wp:inline distT="0" distB="0" distL="0" distR="0" wp14:anchorId="40895276" wp14:editId="6F2D472A">
                  <wp:extent cx="288000" cy="288000"/>
                  <wp:effectExtent l="0" t="0" r="0" b="0"/>
                  <wp:docPr id="51" name="Graphic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37195C44" w14:textId="77777777" w:rsidR="00A53FAB" w:rsidRPr="00710DF3" w:rsidRDefault="00A53FAB" w:rsidP="00710DF3">
            <w:pPr>
              <w:pStyle w:val="TableHeading"/>
              <w:keepNext/>
              <w:keepLines/>
              <w:spacing w:before="180" w:afterLines="20" w:after="48"/>
              <w:contextualSpacing/>
              <w:rPr>
                <w:sz w:val="20"/>
              </w:rPr>
            </w:pPr>
            <w:r w:rsidRPr="00710DF3">
              <w:rPr>
                <w:sz w:val="20"/>
              </w:rPr>
              <w:t>Draft recommendation 3.1</w:t>
            </w:r>
          </w:p>
          <w:p w14:paraId="62F55EA3" w14:textId="77777777" w:rsidR="00A53FAB" w:rsidRPr="00710DF3" w:rsidRDefault="00A53FAB" w:rsidP="00710DF3">
            <w:pPr>
              <w:pStyle w:val="TableHeading"/>
              <w:keepNext/>
              <w:keepLines/>
              <w:spacing w:before="180" w:after="120"/>
              <w:contextualSpacing/>
              <w:rPr>
                <w:sz w:val="20"/>
              </w:rPr>
            </w:pPr>
            <w:r w:rsidRPr="000547E4">
              <w:rPr>
                <w:sz w:val="20"/>
              </w:rPr>
              <w:t>Implementation plans, developed in consultation with affected groups, should be used to improve the transparency of reform actions and to hold parties to account for the outcomes they commit to achieve</w:t>
            </w:r>
          </w:p>
        </w:tc>
      </w:tr>
      <w:tr w:rsidR="00A53FAB" w14:paraId="4A1BE36A" w14:textId="77777777">
        <w:tc>
          <w:tcPr>
            <w:tcW w:w="9638" w:type="dxa"/>
            <w:gridSpan w:val="2"/>
            <w:tcMar>
              <w:top w:w="0" w:type="dxa"/>
            </w:tcMar>
          </w:tcPr>
          <w:p w14:paraId="000A4BE5" w14:textId="77777777" w:rsidR="00A53FAB" w:rsidRDefault="00A53FAB" w:rsidP="00710DF3">
            <w:pPr>
              <w:pStyle w:val="BodyText"/>
              <w:keepNext/>
              <w:keepLines/>
            </w:pPr>
            <w:r>
              <w:t xml:space="preserve">In the next intergovernmental agreement, </w:t>
            </w:r>
            <w:r w:rsidRPr="008348A5">
              <w:t>Australian, State and Territory Governments</w:t>
            </w:r>
            <w:r>
              <w:t xml:space="preserve"> should ensure:</w:t>
            </w:r>
          </w:p>
          <w:p w14:paraId="260E33C9" w14:textId="2AAE65B2" w:rsidR="00A53FAB" w:rsidRPr="00710DF3" w:rsidRDefault="00A53FAB" w:rsidP="00710DF3">
            <w:pPr>
              <w:pStyle w:val="ListBullet"/>
              <w:keepNext/>
              <w:keepLines/>
              <w:rPr>
                <w:spacing w:val="-6"/>
              </w:rPr>
            </w:pPr>
            <w:r w:rsidRPr="00710DF3">
              <w:rPr>
                <w:spacing w:val="-6"/>
              </w:rPr>
              <w:t xml:space="preserve">there </w:t>
            </w:r>
            <w:r w:rsidR="00A36327" w:rsidRPr="00710DF3">
              <w:rPr>
                <w:spacing w:val="-6"/>
              </w:rPr>
              <w:t>are</w:t>
            </w:r>
            <w:r w:rsidRPr="00710DF3">
              <w:rPr>
                <w:spacing w:val="-6"/>
              </w:rPr>
              <w:t xml:space="preserve"> reforms directly addressing the unique barriers and ambitions of students </w:t>
            </w:r>
            <w:r w:rsidR="00F542BE" w:rsidRPr="00710DF3">
              <w:rPr>
                <w:spacing w:val="-6"/>
              </w:rPr>
              <w:t>from</w:t>
            </w:r>
            <w:r w:rsidR="00AB20C0" w:rsidRPr="00710DF3">
              <w:rPr>
                <w:spacing w:val="-6"/>
              </w:rPr>
              <w:t xml:space="preserve"> </w:t>
            </w:r>
            <w:r w:rsidRPr="00710DF3">
              <w:rPr>
                <w:spacing w:val="-6"/>
              </w:rPr>
              <w:t>priority equity cohorts</w:t>
            </w:r>
          </w:p>
          <w:p w14:paraId="09E56437" w14:textId="2DDD337D" w:rsidR="00A53FAB" w:rsidRDefault="00A53FAB" w:rsidP="00710DF3">
            <w:pPr>
              <w:pStyle w:val="ListBullet"/>
              <w:keepNext/>
              <w:keepLines/>
            </w:pPr>
            <w:r>
              <w:t xml:space="preserve">bilateral agreements, developed in consultation with stakeholders, identify how jurisdictions will lift outcomes for </w:t>
            </w:r>
            <w:r w:rsidRPr="000C13AB">
              <w:t xml:space="preserve">students in </w:t>
            </w:r>
            <w:r>
              <w:t xml:space="preserve">each of the priority </w:t>
            </w:r>
            <w:r w:rsidRPr="000C13AB">
              <w:t xml:space="preserve">equity cohorts </w:t>
            </w:r>
            <w:r>
              <w:t>identified in the agreement</w:t>
            </w:r>
            <w:r w:rsidRPr="000C13AB">
              <w:t xml:space="preserve">, </w:t>
            </w:r>
            <w:r w:rsidRPr="005F13A9">
              <w:t>recognising their specific learning needs</w:t>
            </w:r>
          </w:p>
          <w:p w14:paraId="404249F4" w14:textId="2F2610C9" w:rsidR="00A53FAB" w:rsidRPr="00767EAE" w:rsidRDefault="00A53FAB" w:rsidP="00710DF3">
            <w:pPr>
              <w:pStyle w:val="ListBullet"/>
              <w:keepNext/>
              <w:keepLines/>
            </w:pPr>
            <w:r>
              <w:t xml:space="preserve">progress reporting contains sufficient information (and has sufficient oversight) to provide the public with confidence that measures to lift outcomes for </w:t>
            </w:r>
            <w:r w:rsidR="001E10F1">
              <w:t>students in</w:t>
            </w:r>
            <w:r w:rsidR="00685CB0">
              <w:t xml:space="preserve"> </w:t>
            </w:r>
            <w:r w:rsidR="001E10F1">
              <w:t xml:space="preserve">priority </w:t>
            </w:r>
            <w:r>
              <w:t>equity cohorts are being implemented and achieving their intended outcomes.</w:t>
            </w:r>
          </w:p>
        </w:tc>
      </w:tr>
      <w:tr w:rsidR="00A53FAB" w14:paraId="5F0DCB0D" w14:textId="77777777">
        <w:tc>
          <w:tcPr>
            <w:tcW w:w="9638" w:type="dxa"/>
            <w:gridSpan w:val="2"/>
            <w:shd w:val="clear" w:color="auto" w:fill="auto"/>
            <w:tcMar>
              <w:top w:w="0" w:type="dxa"/>
              <w:bottom w:w="0" w:type="dxa"/>
            </w:tcMar>
          </w:tcPr>
          <w:p w14:paraId="2AF0482E" w14:textId="77777777" w:rsidR="00A53FAB" w:rsidRPr="007E0EA8" w:rsidRDefault="00A53FAB" w:rsidP="00710DF3">
            <w:pPr>
              <w:pStyle w:val="NoSpacing"/>
              <w:keepNext/>
              <w:keepLines/>
              <w:spacing w:line="200" w:lineRule="exact"/>
            </w:pPr>
          </w:p>
        </w:tc>
      </w:tr>
    </w:tbl>
    <w:p w14:paraId="6835DCB5"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48C606E0" w14:textId="77777777">
        <w:trPr>
          <w:tblHeader/>
        </w:trPr>
        <w:tc>
          <w:tcPr>
            <w:tcW w:w="713" w:type="dxa"/>
            <w:vAlign w:val="center"/>
          </w:tcPr>
          <w:p w14:paraId="7560E9F0" w14:textId="77777777" w:rsidR="00A53FAB" w:rsidRDefault="00A53FAB">
            <w:pPr>
              <w:keepNext/>
              <w:keepLines/>
              <w:spacing w:after="0"/>
              <w:jc w:val="right"/>
            </w:pPr>
            <w:r w:rsidRPr="00A51374">
              <w:rPr>
                <w:noProof/>
              </w:rPr>
              <w:drawing>
                <wp:inline distT="0" distB="0" distL="0" distR="0" wp14:anchorId="37100F58" wp14:editId="7E296AD2">
                  <wp:extent cx="288000" cy="288000"/>
                  <wp:effectExtent l="0" t="0" r="0" b="0"/>
                  <wp:docPr id="52" name="Graphic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787CB52" w14:textId="77777777" w:rsidR="00E86CAB" w:rsidRPr="00710DF3" w:rsidRDefault="00A53FAB" w:rsidP="00710DF3">
            <w:pPr>
              <w:pStyle w:val="TableHeading"/>
              <w:keepLines/>
              <w:spacing w:before="180" w:after="120"/>
              <w:contextualSpacing/>
              <w:rPr>
                <w:sz w:val="20"/>
              </w:rPr>
            </w:pPr>
            <w:r w:rsidRPr="00710DF3">
              <w:rPr>
                <w:sz w:val="20"/>
              </w:rPr>
              <w:t xml:space="preserve">Information request 3.3 </w:t>
            </w:r>
          </w:p>
          <w:p w14:paraId="21FB8264" w14:textId="6CB71AB0" w:rsidR="00A53FAB" w:rsidRPr="00710DF3" w:rsidRDefault="00A53FAB" w:rsidP="00710DF3">
            <w:pPr>
              <w:pStyle w:val="TableHeading"/>
              <w:keepLines/>
              <w:spacing w:before="180" w:after="120"/>
              <w:contextualSpacing/>
              <w:rPr>
                <w:sz w:val="20"/>
              </w:rPr>
            </w:pPr>
            <w:r w:rsidRPr="00710DF3">
              <w:rPr>
                <w:sz w:val="20"/>
              </w:rPr>
              <w:t>Implementation plans</w:t>
            </w:r>
          </w:p>
        </w:tc>
      </w:tr>
      <w:tr w:rsidR="00A53FAB" w14:paraId="3D274B5F" w14:textId="77777777">
        <w:tc>
          <w:tcPr>
            <w:tcW w:w="9638" w:type="dxa"/>
            <w:gridSpan w:val="2"/>
            <w:tcMar>
              <w:top w:w="0" w:type="dxa"/>
            </w:tcMar>
          </w:tcPr>
          <w:p w14:paraId="7002A354" w14:textId="595B0D86" w:rsidR="00A53FAB" w:rsidRPr="00710DF3" w:rsidRDefault="00A53FAB" w:rsidP="00303AF8">
            <w:pPr>
              <w:pStyle w:val="ListNumber"/>
              <w:numPr>
                <w:ilvl w:val="0"/>
                <w:numId w:val="41"/>
              </w:numPr>
              <w:ind w:left="227" w:hanging="227"/>
            </w:pPr>
            <w:r w:rsidRPr="00710DF3">
              <w:t>What would be the costs, benefits, and implementation issues associated with the Commission’s proposed enhanced accountability mechanisms (</w:t>
            </w:r>
            <w:r w:rsidR="00E86CAB" w:rsidRPr="00710DF3">
              <w:t>draft r</w:t>
            </w:r>
            <w:r w:rsidRPr="00710DF3">
              <w:t>ecommendation 3.1) for bilateral agreements and associated reporting arrangements (in general and as they relate to students in</w:t>
            </w:r>
            <w:r w:rsidR="00685CB0" w:rsidRPr="00710DF3">
              <w:t xml:space="preserve"> </w:t>
            </w:r>
            <w:r w:rsidRPr="00710DF3">
              <w:t xml:space="preserve">priority equity cohorts)? What would be the costs and benefits of having </w:t>
            </w:r>
            <w:r w:rsidR="00B47D1D">
              <w:t xml:space="preserve">people with </w:t>
            </w:r>
            <w:r w:rsidRPr="00710DF3">
              <w:t xml:space="preserve">lived experience </w:t>
            </w:r>
            <w:r w:rsidR="00B47D1D">
              <w:t xml:space="preserve">involved </w:t>
            </w:r>
            <w:r w:rsidRPr="00710DF3">
              <w:t>in shared decision making in relation to reporting arrangements?</w:t>
            </w:r>
          </w:p>
          <w:p w14:paraId="3040B332" w14:textId="37DB336D" w:rsidR="00A53FAB" w:rsidRPr="00FE62E4" w:rsidRDefault="00A53FAB" w:rsidP="00FE62E4">
            <w:pPr>
              <w:pStyle w:val="ListNumber"/>
              <w:ind w:left="227" w:hanging="227"/>
              <w:rPr>
                <w:spacing w:val="-4"/>
              </w:rPr>
            </w:pPr>
            <w:r w:rsidRPr="00FE62E4">
              <w:rPr>
                <w:spacing w:val="-4"/>
              </w:rPr>
              <w:t xml:space="preserve">Are there ways parties could reduce the costs (for example, reporting burdens) and increase the benefits of implementation plans by integrating, aligning or linking them with existing government reporting processes (for example, reporting under Closing </w:t>
            </w:r>
            <w:r w:rsidR="00655725" w:rsidRPr="00FE62E4">
              <w:rPr>
                <w:spacing w:val="-4"/>
              </w:rPr>
              <w:t>the Gap and Australia’s Disability Strategy</w:t>
            </w:r>
            <w:r w:rsidRPr="00FE62E4">
              <w:rPr>
                <w:spacing w:val="-4"/>
              </w:rPr>
              <w:t>)?</w:t>
            </w:r>
          </w:p>
        </w:tc>
      </w:tr>
      <w:tr w:rsidR="00A53FAB" w14:paraId="7590824D" w14:textId="77777777">
        <w:tc>
          <w:tcPr>
            <w:tcW w:w="9638" w:type="dxa"/>
            <w:gridSpan w:val="2"/>
            <w:shd w:val="clear" w:color="auto" w:fill="auto"/>
            <w:tcMar>
              <w:top w:w="0" w:type="dxa"/>
              <w:bottom w:w="0" w:type="dxa"/>
            </w:tcMar>
          </w:tcPr>
          <w:p w14:paraId="27835CEC" w14:textId="77777777" w:rsidR="00A53FAB" w:rsidRDefault="00A53FAB">
            <w:pPr>
              <w:pStyle w:val="NoSpacing"/>
              <w:spacing w:line="200" w:lineRule="exact"/>
            </w:pPr>
          </w:p>
        </w:tc>
      </w:tr>
    </w:tbl>
    <w:p w14:paraId="43E3C97F"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2EB14AA8" w14:textId="77777777">
        <w:trPr>
          <w:tblHeader/>
        </w:trPr>
        <w:tc>
          <w:tcPr>
            <w:tcW w:w="713" w:type="dxa"/>
            <w:vAlign w:val="center"/>
          </w:tcPr>
          <w:p w14:paraId="14B5DAFD" w14:textId="77777777" w:rsidR="00A53FAB" w:rsidRDefault="00A53FAB">
            <w:pPr>
              <w:keepNext/>
              <w:keepLines/>
              <w:spacing w:after="0"/>
              <w:jc w:val="right"/>
            </w:pPr>
            <w:r w:rsidRPr="00A51374">
              <w:rPr>
                <w:noProof/>
              </w:rPr>
              <w:drawing>
                <wp:inline distT="0" distB="0" distL="0" distR="0" wp14:anchorId="15F401EA" wp14:editId="4CFA18CB">
                  <wp:extent cx="288000" cy="288000"/>
                  <wp:effectExtent l="0" t="0" r="0" b="0"/>
                  <wp:docPr id="53" name="Graphic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6B8BFD4" w14:textId="77777777" w:rsidR="00AC1711" w:rsidRPr="00710DF3" w:rsidRDefault="00A53FAB" w:rsidP="00710DF3">
            <w:pPr>
              <w:pStyle w:val="TableHeading"/>
              <w:keepLines/>
              <w:spacing w:before="180" w:after="120"/>
              <w:contextualSpacing/>
              <w:rPr>
                <w:sz w:val="20"/>
              </w:rPr>
            </w:pPr>
            <w:r w:rsidRPr="00710DF3">
              <w:rPr>
                <w:sz w:val="20"/>
              </w:rPr>
              <w:t xml:space="preserve">Information request 3.4 </w:t>
            </w:r>
          </w:p>
          <w:p w14:paraId="1F9EEB30" w14:textId="09BEF40A" w:rsidR="00A53FAB" w:rsidRPr="00710DF3" w:rsidRDefault="00A53FAB" w:rsidP="00710DF3">
            <w:pPr>
              <w:pStyle w:val="TableHeading"/>
              <w:keepLines/>
              <w:spacing w:before="180" w:after="120"/>
              <w:contextualSpacing/>
              <w:rPr>
                <w:sz w:val="20"/>
              </w:rPr>
            </w:pPr>
            <w:r w:rsidRPr="00710DF3">
              <w:rPr>
                <w:sz w:val="20"/>
              </w:rPr>
              <w:t>Transparency of funding for</w:t>
            </w:r>
            <w:r w:rsidR="00145D9A">
              <w:rPr>
                <w:sz w:val="20"/>
              </w:rPr>
              <w:t xml:space="preserve"> students from</w:t>
            </w:r>
            <w:r w:rsidRPr="00710DF3">
              <w:rPr>
                <w:sz w:val="20"/>
              </w:rPr>
              <w:t xml:space="preserve"> priority equity cohorts</w:t>
            </w:r>
          </w:p>
        </w:tc>
      </w:tr>
      <w:tr w:rsidR="00A53FAB" w14:paraId="607DDBC2" w14:textId="77777777">
        <w:tc>
          <w:tcPr>
            <w:tcW w:w="9638" w:type="dxa"/>
            <w:gridSpan w:val="2"/>
            <w:tcMar>
              <w:top w:w="0" w:type="dxa"/>
            </w:tcMar>
          </w:tcPr>
          <w:p w14:paraId="6289EE0A" w14:textId="687CF12F" w:rsidR="00A53FAB" w:rsidRPr="008529A2" w:rsidRDefault="00A53FAB">
            <w:pPr>
              <w:pStyle w:val="BodyText"/>
              <w:keepNext/>
              <w:keepLines/>
            </w:pPr>
            <w:r w:rsidRPr="00F56043">
              <w:t xml:space="preserve">What would be the benefits, costs and risks of greater national reporting of schools funding and expenditure data to support transparency around state and territory efforts to lift outcomes for </w:t>
            </w:r>
            <w:r w:rsidR="00145D9A">
              <w:t xml:space="preserve">students from </w:t>
            </w:r>
            <w:r w:rsidRPr="00F56043">
              <w:t>priority equity cohorts? If there is a case for providing such information, how could it be collected cost</w:t>
            </w:r>
            <w:r>
              <w:noBreakHyphen/>
            </w:r>
            <w:r w:rsidRPr="00F56043">
              <w:t>effectively?</w:t>
            </w:r>
          </w:p>
        </w:tc>
      </w:tr>
      <w:tr w:rsidR="00A53FAB" w14:paraId="482B9DF2" w14:textId="77777777">
        <w:tc>
          <w:tcPr>
            <w:tcW w:w="9638" w:type="dxa"/>
            <w:gridSpan w:val="2"/>
            <w:shd w:val="clear" w:color="auto" w:fill="auto"/>
            <w:tcMar>
              <w:top w:w="0" w:type="dxa"/>
              <w:bottom w:w="0" w:type="dxa"/>
            </w:tcMar>
          </w:tcPr>
          <w:p w14:paraId="5764916B" w14:textId="77777777" w:rsidR="00A53FAB" w:rsidRDefault="00A53FAB">
            <w:pPr>
              <w:pStyle w:val="NoSpacing"/>
              <w:spacing w:line="200" w:lineRule="exact"/>
            </w:pPr>
          </w:p>
        </w:tc>
      </w:tr>
    </w:tbl>
    <w:p w14:paraId="4C573237" w14:textId="77777777" w:rsidR="00A53FAB" w:rsidRDefault="00A53FAB">
      <w:pPr>
        <w:spacing w:before="0" w:after="160" w:line="259" w:lineRule="auto"/>
      </w:pPr>
    </w:p>
    <w:tbl>
      <w:tblPr>
        <w:tblStyle w:val="TextTable-Grey"/>
        <w:tblW w:w="5000" w:type="pct"/>
        <w:tblLook w:val="04A0" w:firstRow="1" w:lastRow="0" w:firstColumn="1" w:lastColumn="0" w:noHBand="0" w:noVBand="1"/>
      </w:tblPr>
      <w:tblGrid>
        <w:gridCol w:w="713"/>
        <w:gridCol w:w="8925"/>
      </w:tblGrid>
      <w:tr w:rsidR="00A53FAB" w14:paraId="5FD6B464" w14:textId="77777777">
        <w:trPr>
          <w:tblHeader/>
        </w:trPr>
        <w:tc>
          <w:tcPr>
            <w:tcW w:w="713" w:type="dxa"/>
            <w:vAlign w:val="center"/>
          </w:tcPr>
          <w:p w14:paraId="482E5800" w14:textId="77777777" w:rsidR="00A53FAB" w:rsidRDefault="00A53FAB">
            <w:pPr>
              <w:keepNext/>
              <w:keepLines/>
              <w:spacing w:after="0"/>
              <w:jc w:val="right"/>
            </w:pPr>
            <w:r w:rsidRPr="00A51374">
              <w:rPr>
                <w:noProof/>
              </w:rPr>
              <w:drawing>
                <wp:inline distT="0" distB="0" distL="0" distR="0" wp14:anchorId="3195F2B9" wp14:editId="608D67EA">
                  <wp:extent cx="288000" cy="288000"/>
                  <wp:effectExtent l="0" t="0" r="0" b="0"/>
                  <wp:docPr id="26" name="Graphic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140AFDF0" w14:textId="77777777" w:rsidR="00AC1711" w:rsidRPr="00FE62E4" w:rsidRDefault="00A53FAB" w:rsidP="00FE62E4">
            <w:pPr>
              <w:pStyle w:val="TableHeading"/>
              <w:keepLines/>
              <w:spacing w:before="180" w:afterLines="20" w:after="48"/>
              <w:contextualSpacing/>
              <w:rPr>
                <w:sz w:val="20"/>
              </w:rPr>
            </w:pPr>
            <w:r w:rsidRPr="00FE62E4">
              <w:rPr>
                <w:sz w:val="20"/>
              </w:rPr>
              <w:t xml:space="preserve">Information request 3.5 </w:t>
            </w:r>
          </w:p>
          <w:p w14:paraId="34F2C0AE" w14:textId="65C101F4" w:rsidR="00A53FAB" w:rsidRPr="00FE62E4" w:rsidRDefault="00A53FAB" w:rsidP="00FE62E4">
            <w:pPr>
              <w:pStyle w:val="TableHeading"/>
              <w:keepLines/>
              <w:spacing w:before="180" w:afterLines="20" w:after="48"/>
              <w:contextualSpacing/>
              <w:rPr>
                <w:sz w:val="20"/>
              </w:rPr>
            </w:pPr>
            <w:r w:rsidRPr="00FE62E4">
              <w:rPr>
                <w:sz w:val="20"/>
              </w:rPr>
              <w:t>Embedding the perspectives of priority equity cohorts in national education policy and institutions</w:t>
            </w:r>
          </w:p>
        </w:tc>
      </w:tr>
      <w:tr w:rsidR="00A53FAB" w14:paraId="27EA4379" w14:textId="77777777">
        <w:tc>
          <w:tcPr>
            <w:tcW w:w="9638" w:type="dxa"/>
            <w:gridSpan w:val="2"/>
            <w:tcMar>
              <w:top w:w="0" w:type="dxa"/>
            </w:tcMar>
          </w:tcPr>
          <w:p w14:paraId="4AD350B8" w14:textId="77777777" w:rsidR="00A53FAB" w:rsidRPr="002051E5" w:rsidRDefault="00A53FAB" w:rsidP="00EB0335">
            <w:pPr>
              <w:pStyle w:val="ListNumber"/>
              <w:numPr>
                <w:ilvl w:val="0"/>
                <w:numId w:val="7"/>
              </w:numPr>
              <w:rPr>
                <w:rFonts w:ascii="Arial" w:hAnsi="Arial" w:cs="Arial"/>
                <w:color w:val="265A9A"/>
              </w:rPr>
            </w:pPr>
            <w:r w:rsidRPr="002051E5">
              <w:rPr>
                <w:rFonts w:ascii="Arial" w:hAnsi="Arial" w:cs="Arial"/>
                <w:color w:val="265A9A"/>
              </w:rPr>
              <w:t xml:space="preserve">What specifically could be done to embed the views of priority equity cohorts in national education policies and institutions, including outcomes, targets and policy initiatives in the next intergovernmental agreement on school education? </w:t>
            </w:r>
          </w:p>
          <w:p w14:paraId="27CC8E5E" w14:textId="481DD56C" w:rsidR="00A53FAB" w:rsidRDefault="00A53FAB" w:rsidP="00EB0335">
            <w:pPr>
              <w:pStyle w:val="ListNumber"/>
              <w:numPr>
                <w:ilvl w:val="0"/>
                <w:numId w:val="7"/>
              </w:numPr>
              <w:rPr>
                <w:rFonts w:ascii="Arial" w:hAnsi="Arial" w:cs="Arial"/>
                <w:color w:val="265A9A"/>
              </w:rPr>
            </w:pPr>
            <w:r w:rsidRPr="002051E5">
              <w:rPr>
                <w:rFonts w:ascii="Arial" w:hAnsi="Arial" w:cs="Arial"/>
                <w:color w:val="265A9A"/>
              </w:rPr>
              <w:t xml:space="preserve">What are the merits of establishing a national Indigenous consultative body on education? How might such a body be structured? If pursued, would this best occur through a successor national </w:t>
            </w:r>
            <w:r w:rsidR="00AB5E5A">
              <w:rPr>
                <w:rFonts w:ascii="Arial" w:hAnsi="Arial" w:cs="Arial"/>
                <w:color w:val="265A9A"/>
              </w:rPr>
              <w:t xml:space="preserve">school </w:t>
            </w:r>
            <w:r w:rsidRPr="002051E5">
              <w:rPr>
                <w:rFonts w:ascii="Arial" w:hAnsi="Arial" w:cs="Arial"/>
                <w:color w:val="265A9A"/>
              </w:rPr>
              <w:t>reform agreement or some other avenue?  </w:t>
            </w:r>
          </w:p>
          <w:p w14:paraId="6D7E78B9" w14:textId="4E5A7CFC" w:rsidR="00A53FAB" w:rsidRPr="009E1A22" w:rsidRDefault="00A53FAB" w:rsidP="00EB0335">
            <w:pPr>
              <w:pStyle w:val="ListNumber"/>
              <w:numPr>
                <w:ilvl w:val="0"/>
                <w:numId w:val="7"/>
              </w:numPr>
              <w:rPr>
                <w:rFonts w:ascii="Arial" w:hAnsi="Arial" w:cs="Arial"/>
                <w:color w:val="265A9A"/>
              </w:rPr>
            </w:pPr>
            <w:r w:rsidRPr="009E1A22">
              <w:rPr>
                <w:rFonts w:ascii="Arial" w:hAnsi="Arial" w:cs="Arial"/>
                <w:color w:val="265A9A"/>
              </w:rPr>
              <w:t xml:space="preserve">Does the current education and research evidence base capture a representative range of cultural and community perspectives, including those of Aboriginal and Torres Strait </w:t>
            </w:r>
            <w:r w:rsidR="00F3742B">
              <w:rPr>
                <w:rFonts w:ascii="Arial" w:hAnsi="Arial" w:cs="Arial"/>
                <w:color w:val="265A9A"/>
              </w:rPr>
              <w:t>I</w:t>
            </w:r>
            <w:r w:rsidRPr="009E1A22">
              <w:rPr>
                <w:rFonts w:ascii="Arial" w:hAnsi="Arial" w:cs="Arial"/>
                <w:color w:val="265A9A"/>
              </w:rPr>
              <w:t>slander students, teachers and researchers? If not, what actions could be taken to support this?</w:t>
            </w:r>
          </w:p>
        </w:tc>
      </w:tr>
      <w:tr w:rsidR="00A53FAB" w14:paraId="5619ED86" w14:textId="77777777">
        <w:tc>
          <w:tcPr>
            <w:tcW w:w="9638" w:type="dxa"/>
            <w:gridSpan w:val="2"/>
            <w:shd w:val="clear" w:color="auto" w:fill="auto"/>
            <w:tcMar>
              <w:top w:w="0" w:type="dxa"/>
              <w:bottom w:w="0" w:type="dxa"/>
            </w:tcMar>
          </w:tcPr>
          <w:p w14:paraId="612B52F2" w14:textId="77777777" w:rsidR="00A53FAB" w:rsidRDefault="00A53FAB">
            <w:pPr>
              <w:pStyle w:val="NoSpacing"/>
              <w:spacing w:line="200" w:lineRule="exact"/>
            </w:pPr>
          </w:p>
        </w:tc>
      </w:tr>
    </w:tbl>
    <w:p w14:paraId="6971D9FD" w14:textId="77777777" w:rsidR="00A53FAB" w:rsidRDefault="00A53FAB" w:rsidP="00463253">
      <w:pPr>
        <w:pStyle w:val="Heading2-noTOC"/>
      </w:pPr>
      <w:r>
        <w:t>Chapter 4: Student wellbeing</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rsidRPr="00B64800" w14:paraId="592A45FC" w14:textId="77777777">
        <w:trPr>
          <w:trHeight w:val="765"/>
          <w:tblHeader/>
        </w:trPr>
        <w:tc>
          <w:tcPr>
            <w:tcW w:w="366" w:type="pct"/>
            <w:tcBorders>
              <w:bottom w:val="nil"/>
            </w:tcBorders>
            <w:tcMar>
              <w:bottom w:w="0" w:type="dxa"/>
            </w:tcMar>
            <w:vAlign w:val="center"/>
          </w:tcPr>
          <w:p w14:paraId="4FC4A9FB" w14:textId="77777777" w:rsidR="00A53FAB" w:rsidRPr="00B64800" w:rsidRDefault="00A53FAB">
            <w:pPr>
              <w:keepLines/>
              <w:spacing w:before="0" w:after="0"/>
              <w:jc w:val="right"/>
            </w:pPr>
            <w:r w:rsidRPr="00B64800">
              <w:rPr>
                <w:noProof/>
              </w:rPr>
              <w:drawing>
                <wp:inline distT="0" distB="0" distL="0" distR="0" wp14:anchorId="2BD86B81" wp14:editId="28A0F221">
                  <wp:extent cx="288000" cy="288000"/>
                  <wp:effectExtent l="0" t="0" r="0" b="0"/>
                  <wp:docPr id="20"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6B9F1AD" w14:textId="77777777" w:rsidR="00A53FAB" w:rsidRPr="00FE62E4" w:rsidRDefault="00A53FAB" w:rsidP="00FE62E4">
            <w:pPr>
              <w:pStyle w:val="TableHeading"/>
              <w:keepLines/>
              <w:spacing w:before="180" w:after="120"/>
              <w:contextualSpacing/>
              <w:rPr>
                <w:sz w:val="20"/>
              </w:rPr>
            </w:pPr>
            <w:r w:rsidRPr="00FE62E4">
              <w:rPr>
                <w:sz w:val="20"/>
              </w:rPr>
              <w:t xml:space="preserve">Draft finding 4.1 </w:t>
            </w:r>
          </w:p>
          <w:p w14:paraId="66795E79" w14:textId="77777777" w:rsidR="00A53FAB" w:rsidRPr="00FE62E4" w:rsidRDefault="00A53FAB" w:rsidP="00FE62E4">
            <w:pPr>
              <w:pStyle w:val="TableHeading"/>
              <w:keepLines/>
              <w:spacing w:before="180" w:after="120"/>
              <w:contextualSpacing/>
              <w:rPr>
                <w:sz w:val="20"/>
              </w:rPr>
            </w:pPr>
            <w:r w:rsidRPr="00FE62E4">
              <w:rPr>
                <w:sz w:val="20"/>
              </w:rPr>
              <w:t>Many students experience poor wellbeing, but some do not receive effective support</w:t>
            </w:r>
          </w:p>
        </w:tc>
      </w:tr>
      <w:tr w:rsidR="00A53FAB" w:rsidRPr="00B64800" w14:paraId="37C74AAD" w14:textId="77777777">
        <w:tc>
          <w:tcPr>
            <w:tcW w:w="5000" w:type="pct"/>
            <w:gridSpan w:val="2"/>
            <w:tcBorders>
              <w:top w:val="nil"/>
              <w:bottom w:val="single" w:sz="4" w:space="0" w:color="66BCDB" w:themeColor="text2"/>
            </w:tcBorders>
          </w:tcPr>
          <w:p w14:paraId="1D8F03B7" w14:textId="77777777" w:rsidR="00425E08" w:rsidRDefault="00425E08" w:rsidP="00425E08">
            <w:pPr>
              <w:pStyle w:val="BodyText"/>
            </w:pPr>
            <w:r>
              <w:t>A significant proportion of children and young people experience poor social and emotional wellbeing. Poor we</w:t>
            </w:r>
            <w:r w:rsidRPr="00064219">
              <w:t xml:space="preserve">llbeing directly affects </w:t>
            </w:r>
            <w:r>
              <w:t>students’</w:t>
            </w:r>
            <w:r w:rsidRPr="00064219">
              <w:t xml:space="preserve"> capacity to learn. Poor wellbeing </w:t>
            </w:r>
            <w:r>
              <w:t>can be</w:t>
            </w:r>
            <w:r w:rsidRPr="00064219">
              <w:t xml:space="preserve"> particularly acute for student</w:t>
            </w:r>
            <w:r>
              <w:t>s</w:t>
            </w:r>
            <w:r w:rsidRPr="00064219">
              <w:t xml:space="preserve"> who experience</w:t>
            </w:r>
            <w:r>
              <w:t xml:space="preserve"> challenges to engagement and inclusion</w:t>
            </w:r>
            <w:r w:rsidRPr="00064219">
              <w:t xml:space="preserve"> at school, </w:t>
            </w:r>
            <w:r>
              <w:t xml:space="preserve">for example, </w:t>
            </w:r>
            <w:r w:rsidRPr="00064219">
              <w:t>children</w:t>
            </w:r>
            <w:r>
              <w:t xml:space="preserve"> and young people in out-of-home care, those with disability and Aboriginal and Torres Strait Islander students.</w:t>
            </w:r>
          </w:p>
          <w:p w14:paraId="34EA7B3D" w14:textId="77777777" w:rsidR="00A53FAB" w:rsidRDefault="00A53FAB">
            <w:pPr>
              <w:pStyle w:val="BodyText"/>
            </w:pPr>
            <w:r>
              <w:t xml:space="preserve">While wellbeing is often influenced by factors outside the school gate, poor wellbeing can be exacerbated by responses from schools. </w:t>
            </w:r>
          </w:p>
          <w:p w14:paraId="22869686" w14:textId="77777777" w:rsidR="00A53FAB" w:rsidRDefault="00A53FAB">
            <w:pPr>
              <w:pStyle w:val="BodyText"/>
            </w:pPr>
            <w:r>
              <w:t>Australian, State and Territory Governments have implemented initiatives to support student wellbeing with varying degrees of success.</w:t>
            </w:r>
          </w:p>
          <w:p w14:paraId="20495179" w14:textId="77777777" w:rsidR="00A53FAB" w:rsidRPr="00B64800" w:rsidRDefault="00A53FAB">
            <w:pPr>
              <w:pStyle w:val="BodyText"/>
            </w:pPr>
            <w:r>
              <w:t>Successful support of student wellbeing relies on teacher education and the culture of school leadership.</w:t>
            </w:r>
          </w:p>
        </w:tc>
      </w:tr>
      <w:tr w:rsidR="00A53FAB" w:rsidRPr="00B64800" w14:paraId="5B6628FF" w14:textId="77777777">
        <w:tc>
          <w:tcPr>
            <w:tcW w:w="5000" w:type="pct"/>
            <w:gridSpan w:val="2"/>
            <w:tcBorders>
              <w:top w:val="single" w:sz="4" w:space="0" w:color="66BCDB" w:themeColor="text2"/>
              <w:left w:val="nil"/>
              <w:bottom w:val="nil"/>
              <w:right w:val="nil"/>
            </w:tcBorders>
            <w:tcMar>
              <w:bottom w:w="0" w:type="dxa"/>
            </w:tcMar>
          </w:tcPr>
          <w:p w14:paraId="73889FC4" w14:textId="77777777" w:rsidR="00A53FAB" w:rsidRPr="00B64800" w:rsidRDefault="00A53FAB">
            <w:pPr>
              <w:spacing w:before="0" w:after="0" w:line="200" w:lineRule="atLeast"/>
            </w:pPr>
          </w:p>
        </w:tc>
      </w:tr>
    </w:tbl>
    <w:p w14:paraId="793FB625" w14:textId="77777777" w:rsidR="00A53FAB" w:rsidRPr="008348A5" w:rsidRDefault="00A53FAB">
      <w:pPr>
        <w:spacing w:before="0" w:after="0"/>
      </w:pPr>
    </w:p>
    <w:tbl>
      <w:tblPr>
        <w:tblStyle w:val="Texttable-Paleblue"/>
        <w:tblW w:w="5000" w:type="pct"/>
        <w:tblLook w:val="04A0" w:firstRow="1" w:lastRow="0" w:firstColumn="1" w:lastColumn="0" w:noHBand="0" w:noVBand="1"/>
      </w:tblPr>
      <w:tblGrid>
        <w:gridCol w:w="713"/>
        <w:gridCol w:w="8925"/>
      </w:tblGrid>
      <w:tr w:rsidR="00A53FAB" w:rsidRPr="008348A5" w14:paraId="0D32DA35" w14:textId="77777777">
        <w:trPr>
          <w:tblHeader/>
        </w:trPr>
        <w:tc>
          <w:tcPr>
            <w:tcW w:w="709" w:type="dxa"/>
            <w:tcMar>
              <w:top w:w="0" w:type="dxa"/>
              <w:bottom w:w="0" w:type="dxa"/>
            </w:tcMar>
            <w:vAlign w:val="center"/>
          </w:tcPr>
          <w:p w14:paraId="1C3B9EC8" w14:textId="77777777" w:rsidR="00A53FAB" w:rsidRPr="008348A5" w:rsidRDefault="00A53FAB">
            <w:pPr>
              <w:keepLines/>
              <w:jc w:val="center"/>
            </w:pPr>
            <w:r w:rsidRPr="008348A5">
              <w:rPr>
                <w:noProof/>
              </w:rPr>
              <w:drawing>
                <wp:inline distT="0" distB="0" distL="0" distR="0" wp14:anchorId="4175B3A8" wp14:editId="5B79FB70">
                  <wp:extent cx="288000" cy="288000"/>
                  <wp:effectExtent l="0" t="0" r="0" b="0"/>
                  <wp:docPr id="28" name="Graphic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36472384" w14:textId="77777777" w:rsidR="00A53FAB" w:rsidRPr="00FE62E4" w:rsidRDefault="00A53FAB" w:rsidP="00FE62E4">
            <w:pPr>
              <w:pStyle w:val="TableHeading"/>
              <w:keepLines/>
              <w:spacing w:before="180" w:after="120"/>
              <w:contextualSpacing/>
              <w:rPr>
                <w:sz w:val="20"/>
              </w:rPr>
            </w:pPr>
            <w:r w:rsidRPr="00FE62E4">
              <w:rPr>
                <w:sz w:val="20"/>
              </w:rPr>
              <w:t>Draft recommendation 4.1</w:t>
            </w:r>
          </w:p>
          <w:p w14:paraId="622A5605" w14:textId="77777777" w:rsidR="00A53FAB" w:rsidRPr="00FE62E4" w:rsidRDefault="00A53FAB" w:rsidP="00FE62E4">
            <w:pPr>
              <w:pStyle w:val="TableHeading"/>
              <w:keepLines/>
              <w:spacing w:before="180" w:after="120"/>
              <w:contextualSpacing/>
              <w:rPr>
                <w:sz w:val="20"/>
              </w:rPr>
            </w:pPr>
            <w:r w:rsidRPr="00FE62E4">
              <w:rPr>
                <w:sz w:val="20"/>
              </w:rPr>
              <w:t>Governments should incorporate wellbeing in the next intergovernmental agreement</w:t>
            </w:r>
          </w:p>
        </w:tc>
      </w:tr>
      <w:tr w:rsidR="00A53FAB" w:rsidRPr="008348A5" w14:paraId="33D8483F" w14:textId="77777777">
        <w:tc>
          <w:tcPr>
            <w:tcW w:w="9583" w:type="dxa"/>
            <w:gridSpan w:val="2"/>
            <w:tcMar>
              <w:top w:w="0" w:type="dxa"/>
            </w:tcMar>
          </w:tcPr>
          <w:p w14:paraId="72E9D54E" w14:textId="28B09779" w:rsidR="00A53FAB" w:rsidRPr="008348A5" w:rsidRDefault="00A53FAB">
            <w:pPr>
              <w:keepLines/>
            </w:pPr>
            <w:r>
              <w:t>In the next intergovernmental school reform agreement, the Australian, State and Territory Governments should:</w:t>
            </w:r>
          </w:p>
          <w:p w14:paraId="0FA8F811" w14:textId="77651806" w:rsidR="00A53FAB" w:rsidRDefault="00A53FAB">
            <w:pPr>
              <w:pStyle w:val="ListBullet"/>
              <w:ind w:left="340" w:hanging="340"/>
            </w:pPr>
            <w:r>
              <w:t>add improved student wellbeing as an outcome</w:t>
            </w:r>
          </w:p>
          <w:p w14:paraId="604158D9" w14:textId="77777777" w:rsidR="00A53FAB" w:rsidRPr="000E520F" w:rsidRDefault="00A53FAB">
            <w:pPr>
              <w:pStyle w:val="ListBullet"/>
              <w:ind w:left="340" w:hanging="340"/>
              <w:rPr>
                <w:rFonts w:ascii="Arial" w:hAnsi="Arial" w:cs="Arial"/>
              </w:rPr>
            </w:pPr>
            <w:r>
              <w:t>include local actions that would improve student wellbeing and indicators of progress in bilateral agreements or implementation plans</w:t>
            </w:r>
          </w:p>
          <w:p w14:paraId="45FA7145" w14:textId="77777777" w:rsidR="00A53FAB" w:rsidRPr="008348A5" w:rsidRDefault="00A53FAB">
            <w:pPr>
              <w:pStyle w:val="ListBullet"/>
              <w:ind w:left="340" w:hanging="340"/>
            </w:pPr>
            <w:r>
              <w:t>collect data on student wellbeing from all schools to enable annual reporting on a national measure of student wellbeing.</w:t>
            </w:r>
          </w:p>
        </w:tc>
      </w:tr>
      <w:tr w:rsidR="00A53FAB" w:rsidRPr="008348A5" w14:paraId="5A5E84F1" w14:textId="77777777">
        <w:tc>
          <w:tcPr>
            <w:tcW w:w="9583" w:type="dxa"/>
            <w:gridSpan w:val="2"/>
            <w:shd w:val="clear" w:color="auto" w:fill="auto"/>
            <w:tcMar>
              <w:top w:w="0" w:type="dxa"/>
              <w:bottom w:w="0" w:type="dxa"/>
            </w:tcMar>
          </w:tcPr>
          <w:p w14:paraId="0B586D1C" w14:textId="77777777" w:rsidR="00A53FAB" w:rsidRPr="008348A5" w:rsidRDefault="00A53FAB">
            <w:pPr>
              <w:spacing w:before="0" w:after="0" w:line="200" w:lineRule="exact"/>
            </w:pPr>
          </w:p>
        </w:tc>
      </w:tr>
    </w:tbl>
    <w:tbl>
      <w:tblPr>
        <w:tblStyle w:val="TextTable-Grey"/>
        <w:tblW w:w="5000" w:type="pct"/>
        <w:tblLook w:val="04A0" w:firstRow="1" w:lastRow="0" w:firstColumn="1" w:lastColumn="0" w:noHBand="0" w:noVBand="1"/>
      </w:tblPr>
      <w:tblGrid>
        <w:gridCol w:w="713"/>
        <w:gridCol w:w="8925"/>
      </w:tblGrid>
      <w:tr w:rsidR="00A53FAB" w:rsidRPr="008348A5" w14:paraId="50F80929" w14:textId="77777777">
        <w:trPr>
          <w:tblHeader/>
        </w:trPr>
        <w:tc>
          <w:tcPr>
            <w:tcW w:w="713" w:type="dxa"/>
            <w:vAlign w:val="center"/>
          </w:tcPr>
          <w:p w14:paraId="787B4A06" w14:textId="77777777" w:rsidR="00A53FAB" w:rsidRPr="008348A5" w:rsidRDefault="00A53FAB">
            <w:pPr>
              <w:keepLines/>
              <w:spacing w:after="0"/>
              <w:jc w:val="right"/>
            </w:pPr>
            <w:r w:rsidRPr="008348A5">
              <w:rPr>
                <w:noProof/>
              </w:rPr>
              <w:drawing>
                <wp:inline distT="0" distB="0" distL="0" distR="0" wp14:anchorId="71AFD57F" wp14:editId="019E52DD">
                  <wp:extent cx="288000" cy="288000"/>
                  <wp:effectExtent l="0" t="0" r="0" b="0"/>
                  <wp:docPr id="29" name="Graphic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242788C" w14:textId="1066F94A" w:rsidR="006336F5" w:rsidRPr="00FE62E4" w:rsidRDefault="00A53FAB" w:rsidP="00FE62E4">
            <w:pPr>
              <w:pStyle w:val="TableHeading"/>
              <w:keepLines/>
              <w:spacing w:before="180" w:after="120"/>
              <w:contextualSpacing/>
              <w:rPr>
                <w:sz w:val="20"/>
              </w:rPr>
            </w:pPr>
            <w:r w:rsidRPr="00FE62E4">
              <w:rPr>
                <w:sz w:val="20"/>
              </w:rPr>
              <w:t>Information request 4.1</w:t>
            </w:r>
          </w:p>
          <w:p w14:paraId="2CD3B5F3" w14:textId="33B4CCE8" w:rsidR="00A53FAB" w:rsidRPr="00FE62E4" w:rsidRDefault="00A53FAB" w:rsidP="00FE62E4">
            <w:pPr>
              <w:pStyle w:val="TableHeading"/>
              <w:keepLines/>
              <w:spacing w:before="180" w:after="120"/>
              <w:contextualSpacing/>
              <w:rPr>
                <w:sz w:val="20"/>
              </w:rPr>
            </w:pPr>
            <w:r w:rsidRPr="00FE62E4">
              <w:rPr>
                <w:sz w:val="20"/>
              </w:rPr>
              <w:t xml:space="preserve">Should there be </w:t>
            </w:r>
            <w:r w:rsidR="00EC6857" w:rsidRPr="00FE62E4">
              <w:rPr>
                <w:sz w:val="20"/>
              </w:rPr>
              <w:t>National Policy Initiatives</w:t>
            </w:r>
            <w:r w:rsidRPr="00FE62E4">
              <w:rPr>
                <w:sz w:val="20"/>
              </w:rPr>
              <w:t xml:space="preserve"> to improve student wellbeing?</w:t>
            </w:r>
          </w:p>
        </w:tc>
      </w:tr>
      <w:tr w:rsidR="00A53FAB" w:rsidRPr="008348A5" w14:paraId="00D7B024" w14:textId="77777777">
        <w:tc>
          <w:tcPr>
            <w:tcW w:w="9638" w:type="dxa"/>
            <w:gridSpan w:val="2"/>
            <w:tcMar>
              <w:top w:w="0" w:type="dxa"/>
            </w:tcMar>
          </w:tcPr>
          <w:p w14:paraId="292871CB" w14:textId="1068BF9B" w:rsidR="006336F5" w:rsidRPr="00FE62E4" w:rsidRDefault="00A53FAB" w:rsidP="00303AF8">
            <w:pPr>
              <w:pStyle w:val="ListNumber"/>
              <w:numPr>
                <w:ilvl w:val="0"/>
                <w:numId w:val="21"/>
              </w:numPr>
              <w:ind w:left="227" w:hanging="227"/>
              <w:rPr>
                <w:spacing w:val="-4"/>
              </w:rPr>
            </w:pPr>
            <w:r w:rsidRPr="00FE62E4">
              <w:rPr>
                <w:spacing w:val="-4"/>
              </w:rPr>
              <w:t xml:space="preserve">Are there common steps that the Australian, State and Territory Governments could take in the next intergovernmental agreement to improve student wellbeing, or programs that could be implemented nationally? </w:t>
            </w:r>
          </w:p>
          <w:p w14:paraId="2E940D87" w14:textId="77777777" w:rsidR="00A53FAB" w:rsidRPr="006336F5" w:rsidRDefault="00A53FAB" w:rsidP="00303AF8">
            <w:pPr>
              <w:pStyle w:val="ListNumber"/>
              <w:numPr>
                <w:ilvl w:val="0"/>
                <w:numId w:val="21"/>
              </w:numPr>
              <w:ind w:left="227" w:hanging="227"/>
            </w:pPr>
            <w:r w:rsidRPr="006336F5">
              <w:t>Is knowledge in recognising and responding to poor wellbeing and trauma sufficiently covered in Initial Teacher Education and Teacher Performance Assessments? If not, how might this be improved?</w:t>
            </w:r>
          </w:p>
        </w:tc>
      </w:tr>
      <w:tr w:rsidR="00A53FAB" w:rsidRPr="008348A5" w14:paraId="54B0D6BA" w14:textId="77777777">
        <w:tc>
          <w:tcPr>
            <w:tcW w:w="9638" w:type="dxa"/>
            <w:gridSpan w:val="2"/>
            <w:shd w:val="clear" w:color="auto" w:fill="auto"/>
            <w:tcMar>
              <w:top w:w="0" w:type="dxa"/>
              <w:bottom w:w="0" w:type="dxa"/>
            </w:tcMar>
          </w:tcPr>
          <w:p w14:paraId="6D8CFC1D" w14:textId="77777777" w:rsidR="00A53FAB" w:rsidRPr="008348A5" w:rsidRDefault="00A53FAB">
            <w:pPr>
              <w:spacing w:before="0" w:after="0" w:line="200" w:lineRule="exact"/>
            </w:pPr>
          </w:p>
        </w:tc>
      </w:tr>
    </w:tbl>
    <w:p w14:paraId="3BE600CC" w14:textId="77777777" w:rsidR="00A53FAB" w:rsidRDefault="00A53FAB" w:rsidP="00661D3F">
      <w:pPr>
        <w:pStyle w:val="Heading2-noTOC"/>
        <w:keepNext/>
      </w:pPr>
      <w:r>
        <w:t>Chapter 5: Supporting teachers</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427FE86A" w14:textId="77777777">
        <w:trPr>
          <w:trHeight w:val="765"/>
          <w:tblHeader/>
        </w:trPr>
        <w:tc>
          <w:tcPr>
            <w:tcW w:w="366" w:type="pct"/>
            <w:tcBorders>
              <w:bottom w:val="nil"/>
            </w:tcBorders>
            <w:tcMar>
              <w:bottom w:w="0" w:type="dxa"/>
            </w:tcMar>
            <w:vAlign w:val="center"/>
          </w:tcPr>
          <w:p w14:paraId="01B9788A" w14:textId="77777777" w:rsidR="00A53FAB" w:rsidRDefault="00A53FAB">
            <w:pPr>
              <w:pStyle w:val="NoSpacing"/>
              <w:keepLines/>
              <w:jc w:val="right"/>
            </w:pPr>
            <w:r w:rsidRPr="00A51374">
              <w:rPr>
                <w:noProof/>
              </w:rPr>
              <w:drawing>
                <wp:inline distT="0" distB="0" distL="0" distR="0" wp14:anchorId="31DDA727" wp14:editId="1F6245DC">
                  <wp:extent cx="288000" cy="288000"/>
                  <wp:effectExtent l="0" t="0" r="0" b="0"/>
                  <wp:docPr id="37"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3520539" w14:textId="5B7BB6B1" w:rsidR="00A53FAB" w:rsidRPr="00FE62E4" w:rsidRDefault="00A53FAB" w:rsidP="00FE62E4">
            <w:pPr>
              <w:pStyle w:val="TableHeading"/>
              <w:keepLines/>
              <w:spacing w:before="180" w:after="120"/>
              <w:contextualSpacing/>
              <w:rPr>
                <w:sz w:val="20"/>
              </w:rPr>
            </w:pPr>
            <w:r w:rsidRPr="00FE62E4">
              <w:rPr>
                <w:sz w:val="20"/>
              </w:rPr>
              <w:t>Draft finding 5.1</w:t>
            </w:r>
          </w:p>
          <w:p w14:paraId="3C9F334D" w14:textId="77777777" w:rsidR="00A53FAB" w:rsidRPr="00FE62E4" w:rsidRDefault="00A53FAB" w:rsidP="00FE62E4">
            <w:pPr>
              <w:pStyle w:val="TableHeading"/>
              <w:keepLines/>
              <w:spacing w:before="180" w:after="120"/>
              <w:contextualSpacing/>
              <w:rPr>
                <w:spacing w:val="-6"/>
                <w:sz w:val="20"/>
              </w:rPr>
            </w:pPr>
            <w:r w:rsidRPr="00FE62E4">
              <w:rPr>
                <w:spacing w:val="-6"/>
                <w:sz w:val="20"/>
              </w:rPr>
              <w:t>Improving teacher effectiveness is associated with large lifetime economic benefits for students</w:t>
            </w:r>
          </w:p>
        </w:tc>
      </w:tr>
      <w:tr w:rsidR="00A53FAB" w14:paraId="75023DAF" w14:textId="77777777">
        <w:tc>
          <w:tcPr>
            <w:tcW w:w="5000" w:type="pct"/>
            <w:gridSpan w:val="2"/>
            <w:tcBorders>
              <w:top w:val="nil"/>
              <w:bottom w:val="single" w:sz="4" w:space="0" w:color="66BCDB" w:themeColor="text2"/>
            </w:tcBorders>
          </w:tcPr>
          <w:p w14:paraId="40040360" w14:textId="77777777" w:rsidR="00A53FAB" w:rsidRDefault="00A53FAB">
            <w:pPr>
              <w:pStyle w:val="BodyText"/>
            </w:pPr>
            <w:r>
              <w:t xml:space="preserve">Improving the effectiveness of teaching would generate sizable lifetime benefits for students. Commission analysis suggests a one standard deviation increase in teacher effectiveness would raise average classroom lifetime earnings by several hundreds of thousands of dollars each year. </w:t>
            </w:r>
          </w:p>
        </w:tc>
      </w:tr>
      <w:tr w:rsidR="00A53FAB" w14:paraId="5021C6B4" w14:textId="77777777">
        <w:tc>
          <w:tcPr>
            <w:tcW w:w="5000" w:type="pct"/>
            <w:gridSpan w:val="2"/>
            <w:tcBorders>
              <w:top w:val="single" w:sz="4" w:space="0" w:color="66BCDB" w:themeColor="text2"/>
              <w:left w:val="nil"/>
              <w:bottom w:val="nil"/>
              <w:right w:val="nil"/>
            </w:tcBorders>
            <w:tcMar>
              <w:bottom w:w="0" w:type="dxa"/>
            </w:tcMar>
          </w:tcPr>
          <w:p w14:paraId="72054B2C" w14:textId="77777777" w:rsidR="00A53FAB" w:rsidRDefault="00A53FAB">
            <w:pPr>
              <w:pStyle w:val="NoSpacing"/>
              <w:spacing w:line="200" w:lineRule="atLeast"/>
            </w:pPr>
          </w:p>
        </w:tc>
      </w:tr>
    </w:tbl>
    <w:p w14:paraId="3AD0BAA3"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789C87FB" w14:textId="77777777">
        <w:trPr>
          <w:tblHeader/>
        </w:trPr>
        <w:tc>
          <w:tcPr>
            <w:tcW w:w="713" w:type="dxa"/>
            <w:vAlign w:val="center"/>
          </w:tcPr>
          <w:p w14:paraId="7494D17C" w14:textId="77777777" w:rsidR="00A53FAB" w:rsidRDefault="00A53FAB">
            <w:pPr>
              <w:keepNext/>
              <w:keepLines/>
              <w:spacing w:after="0"/>
              <w:jc w:val="right"/>
            </w:pPr>
            <w:r>
              <w:rPr>
                <w:noProof/>
              </w:rPr>
              <w:drawing>
                <wp:inline distT="0" distB="0" distL="0" distR="0" wp14:anchorId="181EBADD" wp14:editId="4777AE9E">
                  <wp:extent cx="288000" cy="288000"/>
                  <wp:effectExtent l="0" t="0" r="0" b="0"/>
                  <wp:docPr id="42" name="Graphic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Graphic 42">
                            <a:extLst>
                              <a:ext uri="{C183D7F6-B498-43B3-948B-1728B52AA6E4}">
                                <adec:decorative xmlns:adec="http://schemas.microsoft.com/office/drawing/2017/decorative" val="1"/>
                              </a:ext>
                            </a:extLst>
                          </pic:cNvPr>
                          <pic:cNvPicPr/>
                        </pic:nvPicPr>
                        <pic:blipFill>
                          <a:blip r:embed="rId44">
                            <a:extLst>
                              <a:ext uri="{C183D7F6-B498-43B3-948B-1728B52AA6E4}">
                                <adec:decorative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xmlns:a16="http://schemas.microsoft.com/office/drawing/2014/main"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67BE4243" w14:textId="13AE89DB" w:rsidR="00DD7E4F" w:rsidRPr="00FE62E4" w:rsidRDefault="00A53FAB" w:rsidP="00FE62E4">
            <w:pPr>
              <w:pStyle w:val="TableHeading"/>
              <w:keepLines/>
              <w:spacing w:before="180" w:after="120"/>
              <w:contextualSpacing/>
              <w:rPr>
                <w:sz w:val="20"/>
              </w:rPr>
            </w:pPr>
            <w:r w:rsidRPr="00FE62E4">
              <w:rPr>
                <w:sz w:val="20"/>
              </w:rPr>
              <w:t>Information request 5.1</w:t>
            </w:r>
          </w:p>
          <w:p w14:paraId="0C356CD3" w14:textId="18073663" w:rsidR="00A53FAB" w:rsidRPr="00FE62E4" w:rsidRDefault="00A53FAB" w:rsidP="00FE62E4">
            <w:pPr>
              <w:pStyle w:val="TableHeading"/>
              <w:keepLines/>
              <w:spacing w:before="180" w:after="120"/>
              <w:contextualSpacing/>
              <w:rPr>
                <w:sz w:val="20"/>
              </w:rPr>
            </w:pPr>
            <w:r w:rsidRPr="00FE62E4">
              <w:rPr>
                <w:sz w:val="20"/>
              </w:rPr>
              <w:t xml:space="preserve">Teaching Performance Assessment </w:t>
            </w:r>
          </w:p>
        </w:tc>
      </w:tr>
      <w:tr w:rsidR="00A53FAB" w14:paraId="626EA288" w14:textId="77777777">
        <w:tc>
          <w:tcPr>
            <w:tcW w:w="9638" w:type="dxa"/>
            <w:gridSpan w:val="2"/>
            <w:tcMar>
              <w:top w:w="0" w:type="dxa"/>
            </w:tcMar>
          </w:tcPr>
          <w:p w14:paraId="1D3124A1" w14:textId="31311021" w:rsidR="00880509" w:rsidRPr="00880509" w:rsidRDefault="00A53FAB" w:rsidP="00303AF8">
            <w:pPr>
              <w:pStyle w:val="ListNumber"/>
              <w:numPr>
                <w:ilvl w:val="0"/>
                <w:numId w:val="22"/>
              </w:numPr>
            </w:pPr>
            <w:r w:rsidRPr="00880509">
              <w:t>Does the Teaching Performance Assessment (TPA) process ensure pre-service teachers are sufficiently classroom ready?</w:t>
            </w:r>
          </w:p>
          <w:p w14:paraId="4402C5B5" w14:textId="373A1C6D" w:rsidR="00880509" w:rsidRPr="00880509" w:rsidRDefault="00A53FAB" w:rsidP="00303AF8">
            <w:pPr>
              <w:pStyle w:val="ListNumber"/>
              <w:numPr>
                <w:ilvl w:val="0"/>
                <w:numId w:val="22"/>
              </w:numPr>
            </w:pPr>
            <w:r w:rsidRPr="00880509">
              <w:t>Should TPAs meet a national minimum standard? If so, how might this be achieved?</w:t>
            </w:r>
          </w:p>
          <w:p w14:paraId="2307199F" w14:textId="65FFF3C2" w:rsidR="00A53FAB" w:rsidRPr="00593085" w:rsidRDefault="00A53FAB" w:rsidP="00303AF8">
            <w:pPr>
              <w:pStyle w:val="ListNumber"/>
              <w:numPr>
                <w:ilvl w:val="0"/>
                <w:numId w:val="22"/>
              </w:numPr>
            </w:pPr>
            <w:r w:rsidRPr="00880509">
              <w:t xml:space="preserve">Do TPAs ensure that pre-service teachers are well placed to respond to the needs of </w:t>
            </w:r>
            <w:r w:rsidR="00C733DA">
              <w:t xml:space="preserve">students from </w:t>
            </w:r>
            <w:r w:rsidRPr="00880509">
              <w:t>priority equity cohorts? If not, how might this be improved, and what trade-offs might this involve?</w:t>
            </w:r>
            <w:r>
              <w:t xml:space="preserve"> </w:t>
            </w:r>
          </w:p>
        </w:tc>
      </w:tr>
      <w:tr w:rsidR="00A53FAB" w14:paraId="39A40096" w14:textId="77777777">
        <w:tc>
          <w:tcPr>
            <w:tcW w:w="9638" w:type="dxa"/>
            <w:gridSpan w:val="2"/>
            <w:shd w:val="clear" w:color="auto" w:fill="auto"/>
            <w:tcMar>
              <w:top w:w="0" w:type="dxa"/>
              <w:bottom w:w="0" w:type="dxa"/>
            </w:tcMar>
          </w:tcPr>
          <w:p w14:paraId="495E16F8" w14:textId="77777777" w:rsidR="00A53FAB" w:rsidRDefault="00A53FAB">
            <w:pPr>
              <w:pStyle w:val="NoSpacing"/>
              <w:spacing w:line="200" w:lineRule="exact"/>
            </w:pPr>
          </w:p>
        </w:tc>
      </w:tr>
    </w:tbl>
    <w:p w14:paraId="63B741D2"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5211E72D" w14:textId="77777777">
        <w:trPr>
          <w:tblHeader/>
        </w:trPr>
        <w:tc>
          <w:tcPr>
            <w:tcW w:w="713" w:type="dxa"/>
            <w:vAlign w:val="center"/>
          </w:tcPr>
          <w:p w14:paraId="0865127F" w14:textId="77777777" w:rsidR="00A53FAB" w:rsidRDefault="00A53FAB">
            <w:pPr>
              <w:keepNext/>
              <w:keepLines/>
              <w:spacing w:after="0"/>
              <w:jc w:val="right"/>
            </w:pPr>
            <w:r>
              <w:rPr>
                <w:noProof/>
              </w:rPr>
              <w:drawing>
                <wp:inline distT="0" distB="0" distL="0" distR="0" wp14:anchorId="30844C34" wp14:editId="1BC0F4AC">
                  <wp:extent cx="288000" cy="288000"/>
                  <wp:effectExtent l="0" t="0" r="0" b="0"/>
                  <wp:docPr id="43" name="Graphic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a:extLst>
                              <a:ext uri="{C183D7F6-B498-43B3-948B-1728B52AA6E4}">
                                <adec:decorative xmlns:adec="http://schemas.microsoft.com/office/drawing/2017/decorative" val="1"/>
                              </a:ext>
                            </a:extLst>
                          </pic:cNvPr>
                          <pic:cNvPicPr/>
                        </pic:nvPicPr>
                        <pic:blipFill>
                          <a:blip r:embed="rId44">
                            <a:extLst>
                              <a:ext uri="{C183D7F6-B498-43B3-948B-1728B52AA6E4}">
                                <adec:decorative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xmlns:a16="http://schemas.microsoft.com/office/drawing/2014/main"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B63CB8E" w14:textId="2869622A" w:rsidR="00511FD5" w:rsidRPr="00FE62E4" w:rsidRDefault="00A53FAB" w:rsidP="00FE62E4">
            <w:pPr>
              <w:pStyle w:val="TableHeading"/>
              <w:keepLines/>
              <w:spacing w:before="180" w:after="120"/>
              <w:contextualSpacing/>
              <w:rPr>
                <w:sz w:val="20"/>
              </w:rPr>
            </w:pPr>
            <w:r w:rsidRPr="00FE62E4">
              <w:rPr>
                <w:sz w:val="20"/>
              </w:rPr>
              <w:t>Information request 5.2</w:t>
            </w:r>
          </w:p>
          <w:p w14:paraId="2883599F" w14:textId="3A402F4F" w:rsidR="00A53FAB" w:rsidRPr="00FE62E4" w:rsidRDefault="00A53FAB" w:rsidP="00FE62E4">
            <w:pPr>
              <w:pStyle w:val="TableHeading"/>
              <w:keepLines/>
              <w:spacing w:before="180" w:after="120"/>
              <w:contextualSpacing/>
              <w:rPr>
                <w:sz w:val="20"/>
              </w:rPr>
            </w:pPr>
            <w:r w:rsidRPr="00FE62E4">
              <w:rPr>
                <w:sz w:val="20"/>
              </w:rPr>
              <w:t>Induction and mentoring programs</w:t>
            </w:r>
          </w:p>
        </w:tc>
      </w:tr>
      <w:tr w:rsidR="00A53FAB" w14:paraId="5C1EE5CE" w14:textId="77777777">
        <w:tc>
          <w:tcPr>
            <w:tcW w:w="9638" w:type="dxa"/>
            <w:gridSpan w:val="2"/>
            <w:tcMar>
              <w:top w:w="0" w:type="dxa"/>
            </w:tcMar>
          </w:tcPr>
          <w:p w14:paraId="13DE8EF4" w14:textId="77777777" w:rsidR="00A53FAB" w:rsidRPr="008529A2" w:rsidRDefault="00A53FAB">
            <w:pPr>
              <w:pStyle w:val="BodyText"/>
              <w:keepNext/>
              <w:keepLines/>
              <w:rPr>
                <w:lang w:eastAsia="en-AU"/>
              </w:rPr>
            </w:pPr>
            <w:r>
              <w:t xml:space="preserve">Would </w:t>
            </w:r>
            <w:r>
              <w:rPr>
                <w:lang w:eastAsia="en-AU"/>
              </w:rPr>
              <w:t>measures for improving early career teachers’ access to induction and mentoring programs lend themselves to being a national policy initiative under the next intergovernmental agreement on schools?</w:t>
            </w:r>
          </w:p>
        </w:tc>
      </w:tr>
      <w:tr w:rsidR="00A53FAB" w14:paraId="76607B5E" w14:textId="77777777">
        <w:tc>
          <w:tcPr>
            <w:tcW w:w="9638" w:type="dxa"/>
            <w:gridSpan w:val="2"/>
            <w:shd w:val="clear" w:color="auto" w:fill="auto"/>
            <w:tcMar>
              <w:top w:w="0" w:type="dxa"/>
              <w:bottom w:w="0" w:type="dxa"/>
            </w:tcMar>
          </w:tcPr>
          <w:p w14:paraId="2862EE66" w14:textId="77777777" w:rsidR="00A53FAB" w:rsidRDefault="00A53FAB">
            <w:pPr>
              <w:pStyle w:val="NoSpacing"/>
              <w:spacing w:line="200" w:lineRule="exact"/>
            </w:pPr>
          </w:p>
        </w:tc>
      </w:tr>
    </w:tbl>
    <w:p w14:paraId="6E69CDD1"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rsidRPr="0091308E" w14:paraId="764CAD37" w14:textId="77777777">
        <w:trPr>
          <w:tblHeader/>
        </w:trPr>
        <w:tc>
          <w:tcPr>
            <w:tcW w:w="713" w:type="dxa"/>
            <w:vAlign w:val="center"/>
          </w:tcPr>
          <w:p w14:paraId="6C09B0C0" w14:textId="77777777" w:rsidR="00A53FAB" w:rsidRPr="000361A5" w:rsidRDefault="00A53FAB">
            <w:pPr>
              <w:keepNext/>
              <w:keepLines/>
              <w:spacing w:after="0"/>
              <w:jc w:val="right"/>
            </w:pPr>
            <w:r>
              <w:rPr>
                <w:noProof/>
              </w:rPr>
              <w:drawing>
                <wp:inline distT="0" distB="0" distL="0" distR="0" wp14:anchorId="771C38B6" wp14:editId="0367E6EE">
                  <wp:extent cx="288000" cy="288000"/>
                  <wp:effectExtent l="0" t="0" r="0" b="0"/>
                  <wp:docPr id="39"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4">
                            <a:extLst>
                              <a:ext uri="{C183D7F6-B498-43B3-948B-1728B52AA6E4}">
                                <adec:decorative xmlns:oel="http://schemas.microsoft.com/office/2019/extlst" xmlns="" xmlns:o="urn:schemas-microsoft-com:office:office" xmlns:v="urn:schemas-microsoft-com:vml" xmlns:w10="urn:schemas-microsoft-com:office:word" xmlns:w="http://schemas.openxmlformats.org/wordprocessingml/2006/main" xmlns:a14="http://schemas.microsoft.com/office/drawing/2010/main" xmlns:asvg="http://schemas.microsoft.com/office/drawing/2016/SVG/main" xmlns:adec="http://schemas.microsoft.com/office/drawing/2017/decorative" xmlns:arto="http://schemas.microsoft.com/office/word/2006/arto" xmlns:a16="http://schemas.microsoft.com/office/drawing/2014/main" val="1"/>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0775991" w14:textId="523CCCDA" w:rsidR="00AE2641" w:rsidRPr="00FE62E4" w:rsidRDefault="00A53FAB" w:rsidP="0000272E">
            <w:pPr>
              <w:pStyle w:val="TableHeading"/>
              <w:keepLines/>
              <w:spacing w:before="180" w:after="0"/>
              <w:contextualSpacing/>
              <w:rPr>
                <w:sz w:val="20"/>
              </w:rPr>
            </w:pPr>
            <w:r w:rsidRPr="00FE62E4">
              <w:rPr>
                <w:sz w:val="20"/>
              </w:rPr>
              <w:t>Information request 5.3</w:t>
            </w:r>
          </w:p>
          <w:p w14:paraId="4ACEB042" w14:textId="5E208411" w:rsidR="00A53FAB" w:rsidRPr="00FE62E4" w:rsidRDefault="00A53FAB" w:rsidP="00FE62E4">
            <w:pPr>
              <w:pStyle w:val="TableHeading"/>
              <w:keepLines/>
              <w:spacing w:before="180" w:after="120"/>
              <w:contextualSpacing/>
              <w:rPr>
                <w:sz w:val="20"/>
              </w:rPr>
            </w:pPr>
            <w:r w:rsidRPr="00FE62E4">
              <w:rPr>
                <w:sz w:val="20"/>
              </w:rPr>
              <w:t>The prevalence of teacher attrition</w:t>
            </w:r>
          </w:p>
        </w:tc>
      </w:tr>
      <w:tr w:rsidR="00A53FAB" w14:paraId="71064606" w14:textId="77777777">
        <w:tc>
          <w:tcPr>
            <w:tcW w:w="9638" w:type="dxa"/>
            <w:gridSpan w:val="2"/>
            <w:tcMar>
              <w:top w:w="0" w:type="dxa"/>
            </w:tcMar>
          </w:tcPr>
          <w:p w14:paraId="769DFDA1" w14:textId="4E6AA35A" w:rsidR="00A53FAB" w:rsidRPr="005804EA" w:rsidRDefault="00A53FAB" w:rsidP="00303AF8">
            <w:pPr>
              <w:pStyle w:val="ListNumber"/>
              <w:numPr>
                <w:ilvl w:val="0"/>
                <w:numId w:val="23"/>
              </w:numPr>
              <w:ind w:left="227" w:hanging="227"/>
            </w:pPr>
            <w:r w:rsidRPr="00233C4B">
              <w:t>Is teacher attrition more or less of a problem than in other professions?</w:t>
            </w:r>
          </w:p>
          <w:p w14:paraId="1663D228" w14:textId="250BCB7E" w:rsidR="005804EA" w:rsidRDefault="00A53FAB" w:rsidP="00303AF8">
            <w:pPr>
              <w:pStyle w:val="ListNumber"/>
              <w:numPr>
                <w:ilvl w:val="0"/>
                <w:numId w:val="23"/>
              </w:numPr>
              <w:ind w:left="227" w:hanging="227"/>
            </w:pPr>
            <w:r w:rsidRPr="005804EA">
              <w:t>Are the drivers of attrition amenable to government policy? How could government policy address high teacher attrition?</w:t>
            </w:r>
          </w:p>
          <w:p w14:paraId="025E26E1" w14:textId="11B2E0B9" w:rsidR="00A53FAB" w:rsidRPr="005804EA" w:rsidRDefault="00A53FAB" w:rsidP="00303AF8">
            <w:pPr>
              <w:pStyle w:val="ListNumber"/>
              <w:numPr>
                <w:ilvl w:val="0"/>
                <w:numId w:val="23"/>
              </w:numPr>
              <w:ind w:left="227" w:hanging="227"/>
            </w:pPr>
            <w:r w:rsidRPr="005804EA">
              <w:t>Do the drivers of attrition vary across the course of a teacher’s career?</w:t>
            </w:r>
            <w:r w:rsidRPr="005804EA">
              <w:rPr>
                <w:lang w:eastAsia="en-AU"/>
              </w:rPr>
              <w:t xml:space="preserve"> </w:t>
            </w:r>
          </w:p>
        </w:tc>
      </w:tr>
      <w:tr w:rsidR="00A53FAB" w14:paraId="1806E65E" w14:textId="77777777">
        <w:tc>
          <w:tcPr>
            <w:tcW w:w="9638" w:type="dxa"/>
            <w:gridSpan w:val="2"/>
            <w:shd w:val="clear" w:color="auto" w:fill="auto"/>
            <w:tcMar>
              <w:top w:w="0" w:type="dxa"/>
              <w:bottom w:w="0" w:type="dxa"/>
            </w:tcMar>
          </w:tcPr>
          <w:p w14:paraId="18B94E8B" w14:textId="77777777" w:rsidR="00A53FAB" w:rsidRDefault="00A53FAB">
            <w:pPr>
              <w:pStyle w:val="NoSpacing"/>
              <w:spacing w:line="200" w:lineRule="exact"/>
            </w:pPr>
          </w:p>
        </w:tc>
      </w:tr>
    </w:tbl>
    <w:p w14:paraId="7DAEFE21"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304A1703" w14:textId="77777777">
        <w:trPr>
          <w:trHeight w:val="765"/>
          <w:tblHeader/>
        </w:trPr>
        <w:tc>
          <w:tcPr>
            <w:tcW w:w="366" w:type="pct"/>
            <w:tcBorders>
              <w:bottom w:val="nil"/>
            </w:tcBorders>
            <w:tcMar>
              <w:bottom w:w="0" w:type="dxa"/>
            </w:tcMar>
            <w:vAlign w:val="center"/>
          </w:tcPr>
          <w:p w14:paraId="3D58302C" w14:textId="77777777" w:rsidR="00A53FAB" w:rsidRDefault="00A53FAB">
            <w:pPr>
              <w:pStyle w:val="NoSpacing"/>
              <w:keepLines/>
              <w:jc w:val="center"/>
            </w:pPr>
            <w:r w:rsidRPr="00A51374">
              <w:rPr>
                <w:noProof/>
              </w:rPr>
              <w:drawing>
                <wp:inline distT="0" distB="0" distL="0" distR="0" wp14:anchorId="12AD636C" wp14:editId="20CBE5C7">
                  <wp:extent cx="288000" cy="288000"/>
                  <wp:effectExtent l="0" t="0" r="0" b="0"/>
                  <wp:docPr id="31"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B3CEF4F" w14:textId="1AF77F8C" w:rsidR="00A53FAB" w:rsidRPr="00FE62E4" w:rsidRDefault="00A53FAB" w:rsidP="00FE62E4">
            <w:pPr>
              <w:pStyle w:val="TableHeading"/>
              <w:keepLines/>
              <w:spacing w:before="180" w:after="120"/>
              <w:contextualSpacing/>
              <w:rPr>
                <w:sz w:val="20"/>
              </w:rPr>
            </w:pPr>
            <w:r w:rsidRPr="00FE62E4">
              <w:rPr>
                <w:sz w:val="20"/>
              </w:rPr>
              <w:t>Draft finding 5.2</w:t>
            </w:r>
          </w:p>
          <w:p w14:paraId="6BB5960B" w14:textId="77777777" w:rsidR="00A53FAB" w:rsidRPr="00FE62E4" w:rsidRDefault="00A53FAB" w:rsidP="00FE62E4">
            <w:pPr>
              <w:pStyle w:val="TableHeading"/>
              <w:spacing w:before="180" w:after="120"/>
              <w:contextualSpacing/>
              <w:rPr>
                <w:sz w:val="20"/>
              </w:rPr>
            </w:pPr>
            <w:r w:rsidRPr="00FE62E4">
              <w:rPr>
                <w:sz w:val="20"/>
              </w:rPr>
              <w:t xml:space="preserve">There are local shortages of teachers and shortages of trained teachers in key subjects  </w:t>
            </w:r>
          </w:p>
        </w:tc>
      </w:tr>
      <w:tr w:rsidR="00A53FAB" w14:paraId="3E04A098" w14:textId="77777777">
        <w:tc>
          <w:tcPr>
            <w:tcW w:w="5000" w:type="pct"/>
            <w:gridSpan w:val="2"/>
            <w:tcBorders>
              <w:top w:val="nil"/>
              <w:bottom w:val="single" w:sz="4" w:space="0" w:color="66BCDB" w:themeColor="text2"/>
            </w:tcBorders>
          </w:tcPr>
          <w:p w14:paraId="2561A10A" w14:textId="77777777" w:rsidR="00A53FAB" w:rsidRDefault="00A53FAB">
            <w:pPr>
              <w:pStyle w:val="BodyText"/>
            </w:pPr>
            <w:r>
              <w:t xml:space="preserve">There are teacher shortages in regional, rural and remote areas, and in subjects such as mathematics, science, English and design and technology. There is also a lack of teachers from diverse backgrounds. </w:t>
            </w:r>
          </w:p>
          <w:p w14:paraId="2D6BB308" w14:textId="77777777" w:rsidR="00A53FAB" w:rsidRDefault="00A53FAB">
            <w:pPr>
              <w:pStyle w:val="BodyText"/>
            </w:pPr>
            <w:r>
              <w:t xml:space="preserve">Factors such as changes in initial teacher education enrolment trends, an ageing workforce and growing student enrolments may contribute to teacher shortages in the future. </w:t>
            </w:r>
          </w:p>
          <w:p w14:paraId="17C00ECE" w14:textId="5A5018FB" w:rsidR="00A53FAB" w:rsidRDefault="00A53FAB">
            <w:pPr>
              <w:pStyle w:val="BodyText"/>
            </w:pPr>
            <w:r>
              <w:t>Improving labour demand and supply data collection and developing a national model of the teacher workforce</w:t>
            </w:r>
            <w:r w:rsidR="00A263CA">
              <w:t>,</w:t>
            </w:r>
            <w:r>
              <w:t xml:space="preserve"> would help </w:t>
            </w:r>
            <w:r w:rsidR="005804EA">
              <w:t>G</w:t>
            </w:r>
            <w:r>
              <w:t xml:space="preserve">overnments </w:t>
            </w:r>
            <w:r w:rsidR="00A263CA">
              <w:t>better manage</w:t>
            </w:r>
            <w:r>
              <w:t xml:space="preserve"> local shortages and </w:t>
            </w:r>
            <w:r w:rsidR="000F1D43">
              <w:t>out-of-field teaching</w:t>
            </w:r>
            <w:r>
              <w:t xml:space="preserve">.   </w:t>
            </w:r>
          </w:p>
        </w:tc>
      </w:tr>
      <w:tr w:rsidR="00A53FAB" w14:paraId="3D1B28F3" w14:textId="77777777">
        <w:tc>
          <w:tcPr>
            <w:tcW w:w="5000" w:type="pct"/>
            <w:gridSpan w:val="2"/>
            <w:tcBorders>
              <w:top w:val="single" w:sz="4" w:space="0" w:color="66BCDB" w:themeColor="text2"/>
              <w:left w:val="nil"/>
              <w:bottom w:val="nil"/>
              <w:right w:val="nil"/>
            </w:tcBorders>
            <w:tcMar>
              <w:bottom w:w="0" w:type="dxa"/>
            </w:tcMar>
          </w:tcPr>
          <w:p w14:paraId="5291C40E" w14:textId="77777777" w:rsidR="00A53FAB" w:rsidRDefault="00A53FAB">
            <w:pPr>
              <w:pStyle w:val="NoSpacing"/>
              <w:spacing w:line="200" w:lineRule="atLeast"/>
            </w:pPr>
          </w:p>
        </w:tc>
      </w:tr>
    </w:tbl>
    <w:p w14:paraId="55FEC047" w14:textId="77777777" w:rsidR="00A53FAB" w:rsidRDefault="00A53FAB">
      <w:pPr>
        <w:pStyle w:val="NoSpacing"/>
      </w:pPr>
    </w:p>
    <w:tbl>
      <w:tblPr>
        <w:tblStyle w:val="Texttable-Paleblue"/>
        <w:tblW w:w="5000" w:type="pct"/>
        <w:tblLook w:val="04A0" w:firstRow="1" w:lastRow="0" w:firstColumn="1" w:lastColumn="0" w:noHBand="0" w:noVBand="1"/>
      </w:tblPr>
      <w:tblGrid>
        <w:gridCol w:w="713"/>
        <w:gridCol w:w="8925"/>
      </w:tblGrid>
      <w:tr w:rsidR="00A53FAB" w14:paraId="24F418E4" w14:textId="77777777">
        <w:trPr>
          <w:tblHeader/>
        </w:trPr>
        <w:tc>
          <w:tcPr>
            <w:tcW w:w="709" w:type="dxa"/>
            <w:tcMar>
              <w:top w:w="0" w:type="dxa"/>
              <w:bottom w:w="0" w:type="dxa"/>
            </w:tcMar>
            <w:vAlign w:val="center"/>
          </w:tcPr>
          <w:p w14:paraId="29234101" w14:textId="77777777" w:rsidR="00A53FAB" w:rsidRDefault="00A53FAB">
            <w:pPr>
              <w:keepLines/>
              <w:jc w:val="center"/>
            </w:pPr>
            <w:r w:rsidRPr="00A51374">
              <w:rPr>
                <w:noProof/>
              </w:rPr>
              <w:drawing>
                <wp:inline distT="0" distB="0" distL="0" distR="0" wp14:anchorId="493AB7F8" wp14:editId="6CB0732B">
                  <wp:extent cx="288000" cy="288000"/>
                  <wp:effectExtent l="0" t="0" r="0" b="0"/>
                  <wp:docPr id="61" name="Graphic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874" w:type="dxa"/>
            <w:tcMar>
              <w:top w:w="0" w:type="dxa"/>
              <w:bottom w:w="0" w:type="dxa"/>
            </w:tcMar>
            <w:vAlign w:val="center"/>
          </w:tcPr>
          <w:p w14:paraId="48819BB4" w14:textId="585AEF76" w:rsidR="00A53FAB" w:rsidRPr="00FE62E4" w:rsidRDefault="00A53FAB" w:rsidP="00FE62E4">
            <w:pPr>
              <w:pStyle w:val="TableHeading"/>
              <w:keepLines/>
              <w:spacing w:before="180" w:after="120"/>
              <w:contextualSpacing/>
              <w:rPr>
                <w:sz w:val="20"/>
              </w:rPr>
            </w:pPr>
            <w:r w:rsidRPr="00FE62E4">
              <w:rPr>
                <w:sz w:val="20"/>
              </w:rPr>
              <w:t>Draft recommendation 5.1</w:t>
            </w:r>
          </w:p>
          <w:p w14:paraId="2F3F2826" w14:textId="18374EF4" w:rsidR="00A53FAB" w:rsidRPr="00FE62E4" w:rsidRDefault="0024195A" w:rsidP="00FE62E4">
            <w:pPr>
              <w:pStyle w:val="TableHeading"/>
              <w:keepLines/>
              <w:spacing w:before="180" w:after="120"/>
              <w:contextualSpacing/>
              <w:rPr>
                <w:sz w:val="20"/>
              </w:rPr>
            </w:pPr>
            <w:r w:rsidRPr="00FE62E4">
              <w:rPr>
                <w:sz w:val="20"/>
              </w:rPr>
              <w:t>Governments should improve teacher workforce demand and supply data</w:t>
            </w:r>
          </w:p>
        </w:tc>
      </w:tr>
      <w:tr w:rsidR="00A53FAB" w14:paraId="1454BEC6" w14:textId="77777777">
        <w:tc>
          <w:tcPr>
            <w:tcW w:w="9583" w:type="dxa"/>
            <w:gridSpan w:val="2"/>
            <w:tcMar>
              <w:top w:w="0" w:type="dxa"/>
            </w:tcMar>
          </w:tcPr>
          <w:p w14:paraId="436BA990" w14:textId="3ED88025" w:rsidR="00A53FAB" w:rsidRPr="00767EAE" w:rsidRDefault="005726A2">
            <w:pPr>
              <w:pStyle w:val="BodyText"/>
              <w:keepLines/>
            </w:pPr>
            <w:r>
              <w:t xml:space="preserve">The Australian, </w:t>
            </w:r>
            <w:r w:rsidR="00645B9F">
              <w:t>S</w:t>
            </w:r>
            <w:r>
              <w:t xml:space="preserve">tate and </w:t>
            </w:r>
            <w:r w:rsidR="00645B9F">
              <w:t>T</w:t>
            </w:r>
            <w:r>
              <w:t xml:space="preserve">erritory </w:t>
            </w:r>
            <w:r w:rsidR="00645B9F">
              <w:t>G</w:t>
            </w:r>
            <w:r>
              <w:t>overnments should commit to continued development of the Australian Teacher Workforce Data initiative, with a priority placed on achieving full participation by all States and Territories. Government</w:t>
            </w:r>
            <w:r w:rsidR="00870F1A">
              <w:t>s</w:t>
            </w:r>
            <w:r>
              <w:t xml:space="preserve"> should also improve workforce demand data. This data could be used to underpin the </w:t>
            </w:r>
            <w:r w:rsidRPr="00151EA2">
              <w:t>national</w:t>
            </w:r>
            <w:r>
              <w:t xml:space="preserve"> model of the teacher workforce (draft recommendation 2.1).</w:t>
            </w:r>
          </w:p>
        </w:tc>
      </w:tr>
      <w:tr w:rsidR="00A53FAB" w14:paraId="0E9A9F3D" w14:textId="77777777">
        <w:tc>
          <w:tcPr>
            <w:tcW w:w="9583" w:type="dxa"/>
            <w:gridSpan w:val="2"/>
            <w:shd w:val="clear" w:color="auto" w:fill="auto"/>
            <w:tcMar>
              <w:top w:w="0" w:type="dxa"/>
              <w:bottom w:w="0" w:type="dxa"/>
            </w:tcMar>
          </w:tcPr>
          <w:p w14:paraId="12277405" w14:textId="77777777" w:rsidR="00A53FAB" w:rsidRPr="007E0EA8" w:rsidRDefault="00A53FAB">
            <w:pPr>
              <w:pStyle w:val="NoSpacing"/>
              <w:spacing w:line="200" w:lineRule="exact"/>
            </w:pPr>
          </w:p>
        </w:tc>
      </w:tr>
    </w:tbl>
    <w:p w14:paraId="5CDB9C35" w14:textId="77777777" w:rsidR="00A53FAB" w:rsidRDefault="00A53FA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43EC8D56" w14:textId="77777777">
        <w:trPr>
          <w:trHeight w:val="765"/>
          <w:tblHeader/>
        </w:trPr>
        <w:tc>
          <w:tcPr>
            <w:tcW w:w="366" w:type="pct"/>
            <w:tcBorders>
              <w:bottom w:val="nil"/>
            </w:tcBorders>
            <w:tcMar>
              <w:bottom w:w="0" w:type="dxa"/>
            </w:tcMar>
            <w:vAlign w:val="center"/>
          </w:tcPr>
          <w:p w14:paraId="70048E2B" w14:textId="77777777" w:rsidR="00A53FAB" w:rsidRDefault="00A53FAB">
            <w:pPr>
              <w:pStyle w:val="NoSpacing"/>
              <w:keepLines/>
              <w:jc w:val="right"/>
            </w:pPr>
            <w:r w:rsidRPr="00A51374">
              <w:rPr>
                <w:noProof/>
              </w:rPr>
              <w:drawing>
                <wp:inline distT="0" distB="0" distL="0" distR="0" wp14:anchorId="483F1CCD" wp14:editId="3840B8C5">
                  <wp:extent cx="288000" cy="288000"/>
                  <wp:effectExtent l="0" t="0" r="0" b="0"/>
                  <wp:docPr id="32"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9CEFD8E" w14:textId="77777777" w:rsidR="00A53FAB" w:rsidRPr="00FE62E4" w:rsidRDefault="00A53FAB" w:rsidP="00FE62E4">
            <w:pPr>
              <w:pStyle w:val="TableHeading"/>
              <w:keepLines/>
              <w:spacing w:before="180" w:after="120"/>
              <w:contextualSpacing/>
              <w:rPr>
                <w:sz w:val="20"/>
              </w:rPr>
            </w:pPr>
            <w:r w:rsidRPr="00FE62E4">
              <w:rPr>
                <w:sz w:val="20"/>
              </w:rPr>
              <w:t>Draft finding 5.3</w:t>
            </w:r>
          </w:p>
          <w:p w14:paraId="14E22D32" w14:textId="3F40F619" w:rsidR="00A53FAB" w:rsidRPr="00FE62E4" w:rsidRDefault="00B81BA0" w:rsidP="00FE62E4">
            <w:pPr>
              <w:pStyle w:val="TableHeading"/>
              <w:keepLines/>
              <w:spacing w:before="180" w:after="120"/>
              <w:contextualSpacing/>
              <w:rPr>
                <w:sz w:val="20"/>
              </w:rPr>
            </w:pPr>
            <w:r w:rsidRPr="00FE62E4">
              <w:rPr>
                <w:sz w:val="20"/>
              </w:rPr>
              <w:t>Teachers work long hours and their workload is increasing</w:t>
            </w:r>
          </w:p>
        </w:tc>
      </w:tr>
      <w:tr w:rsidR="00A53FAB" w14:paraId="3557C3E0" w14:textId="77777777">
        <w:tc>
          <w:tcPr>
            <w:tcW w:w="5000" w:type="pct"/>
            <w:gridSpan w:val="2"/>
            <w:tcBorders>
              <w:top w:val="nil"/>
              <w:bottom w:val="single" w:sz="4" w:space="0" w:color="66BCDB" w:themeColor="text2"/>
            </w:tcBorders>
          </w:tcPr>
          <w:p w14:paraId="64F70298" w14:textId="77777777" w:rsidR="00A53FAB" w:rsidRDefault="00A53FAB">
            <w:pPr>
              <w:pStyle w:val="BodyText"/>
              <w:keepLines/>
            </w:pPr>
            <w:r>
              <w:t>Australian teacher workload is greater than the OECD average. Australian teachers spend more time on non</w:t>
            </w:r>
            <w:r>
              <w:noBreakHyphen/>
              <w:t xml:space="preserve">teaching tasks, and less time on teaching tasks, than their international counterparts. </w:t>
            </w:r>
          </w:p>
          <w:p w14:paraId="732B5FB3" w14:textId="77777777" w:rsidR="00A53FAB" w:rsidRDefault="00A53FAB">
            <w:pPr>
              <w:pStyle w:val="BodyText"/>
              <w:keepLines/>
            </w:pPr>
            <w:r>
              <w:t>Teacher workload has increased over time. Many teachers cite heavy workload as a reason for wanting to leave the profession.</w:t>
            </w:r>
          </w:p>
          <w:p w14:paraId="6203581A" w14:textId="77777777" w:rsidR="00A53FAB" w:rsidRDefault="00A53FAB">
            <w:pPr>
              <w:pStyle w:val="BodyText"/>
              <w:keepLines/>
            </w:pPr>
            <w:r>
              <w:t xml:space="preserve">At the same time that teacher workload </w:t>
            </w:r>
            <w:r w:rsidRPr="000361A5">
              <w:t>has been</w:t>
            </w:r>
            <w:r>
              <w:t xml:space="preserve"> increasing, the number of teaching assistants and other support staff has grown.</w:t>
            </w:r>
          </w:p>
        </w:tc>
      </w:tr>
      <w:tr w:rsidR="00A53FAB" w14:paraId="04B0D7D3" w14:textId="77777777">
        <w:tc>
          <w:tcPr>
            <w:tcW w:w="5000" w:type="pct"/>
            <w:gridSpan w:val="2"/>
            <w:tcBorders>
              <w:top w:val="single" w:sz="4" w:space="0" w:color="66BCDB" w:themeColor="text2"/>
              <w:left w:val="nil"/>
              <w:bottom w:val="nil"/>
              <w:right w:val="nil"/>
            </w:tcBorders>
            <w:tcMar>
              <w:bottom w:w="0" w:type="dxa"/>
            </w:tcMar>
          </w:tcPr>
          <w:p w14:paraId="03022778" w14:textId="77777777" w:rsidR="00A53FAB" w:rsidRDefault="00A53FAB">
            <w:pPr>
              <w:pStyle w:val="NoSpacing"/>
              <w:spacing w:line="200" w:lineRule="atLeast"/>
            </w:pPr>
          </w:p>
        </w:tc>
      </w:tr>
    </w:tbl>
    <w:p w14:paraId="4D564431" w14:textId="77777777" w:rsidR="00A53FAB" w:rsidRDefault="00A53FAB">
      <w:pPr>
        <w:pStyle w:val="NoSpacing"/>
      </w:pPr>
    </w:p>
    <w:tbl>
      <w:tblPr>
        <w:tblStyle w:val="Texttable-Paleblue"/>
        <w:tblW w:w="5000" w:type="pct"/>
        <w:tblLook w:val="04A0" w:firstRow="1" w:lastRow="0" w:firstColumn="1" w:lastColumn="0" w:noHBand="0" w:noVBand="1"/>
      </w:tblPr>
      <w:tblGrid>
        <w:gridCol w:w="713"/>
        <w:gridCol w:w="8925"/>
      </w:tblGrid>
      <w:tr w:rsidR="00A53FAB" w14:paraId="37AACD6D" w14:textId="77777777">
        <w:trPr>
          <w:tblHeader/>
        </w:trPr>
        <w:tc>
          <w:tcPr>
            <w:tcW w:w="713" w:type="dxa"/>
            <w:tcMar>
              <w:top w:w="0" w:type="dxa"/>
              <w:bottom w:w="0" w:type="dxa"/>
            </w:tcMar>
            <w:vAlign w:val="center"/>
          </w:tcPr>
          <w:p w14:paraId="0182E379" w14:textId="77777777" w:rsidR="00A53FAB" w:rsidRDefault="00A53FAB">
            <w:pPr>
              <w:keepLines/>
              <w:jc w:val="center"/>
            </w:pPr>
            <w:r w:rsidRPr="00A51374">
              <w:rPr>
                <w:noProof/>
              </w:rPr>
              <w:drawing>
                <wp:inline distT="0" distB="0" distL="0" distR="0" wp14:anchorId="25FD1E4E" wp14:editId="7A806DC6">
                  <wp:extent cx="288000" cy="288000"/>
                  <wp:effectExtent l="0" t="0" r="0" b="0"/>
                  <wp:docPr id="33" name="Graphic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155D3A01" w14:textId="77777777" w:rsidR="00A53FAB" w:rsidRPr="00FE62E4" w:rsidRDefault="00A53FAB" w:rsidP="00FE62E4">
            <w:pPr>
              <w:pStyle w:val="TableHeading"/>
              <w:keepLines/>
              <w:spacing w:before="180" w:after="120"/>
              <w:contextualSpacing/>
              <w:rPr>
                <w:sz w:val="20"/>
              </w:rPr>
            </w:pPr>
            <w:r w:rsidRPr="00FE62E4">
              <w:rPr>
                <w:sz w:val="20"/>
              </w:rPr>
              <w:t>Draft recommendation 5.2</w:t>
            </w:r>
          </w:p>
          <w:p w14:paraId="3486EFD0" w14:textId="77777777" w:rsidR="00A53FAB" w:rsidRPr="00FE62E4" w:rsidRDefault="00A53FAB" w:rsidP="00FE62E4">
            <w:pPr>
              <w:pStyle w:val="TableHeading"/>
              <w:keepLines/>
              <w:spacing w:before="180" w:after="120"/>
              <w:contextualSpacing/>
              <w:rPr>
                <w:sz w:val="20"/>
              </w:rPr>
            </w:pPr>
            <w:r w:rsidRPr="00FE62E4">
              <w:rPr>
                <w:sz w:val="20"/>
              </w:rPr>
              <w:t>Reducing teacher workload should be a focus of the next agreement</w:t>
            </w:r>
          </w:p>
        </w:tc>
      </w:tr>
      <w:tr w:rsidR="00A53FAB" w14:paraId="7A2877FD" w14:textId="77777777">
        <w:tc>
          <w:tcPr>
            <w:tcW w:w="9638" w:type="dxa"/>
            <w:gridSpan w:val="2"/>
            <w:tcMar>
              <w:top w:w="0" w:type="dxa"/>
            </w:tcMar>
          </w:tcPr>
          <w:p w14:paraId="2E979C0A" w14:textId="0DFF5088" w:rsidR="00A53FAB" w:rsidRDefault="00A53FAB">
            <w:pPr>
              <w:pStyle w:val="BodyText"/>
            </w:pPr>
            <w:r>
              <w:t xml:space="preserve">In the next agreement, the Australian, </w:t>
            </w:r>
            <w:r w:rsidR="00BE75EE">
              <w:t>S</w:t>
            </w:r>
            <w:r>
              <w:t xml:space="preserve">tate and </w:t>
            </w:r>
            <w:r w:rsidR="00BE75EE">
              <w:t>T</w:t>
            </w:r>
            <w:r>
              <w:t xml:space="preserve">erritory </w:t>
            </w:r>
            <w:r w:rsidR="00BE75EE">
              <w:t>G</w:t>
            </w:r>
            <w:r>
              <w:t xml:space="preserve">overnments </w:t>
            </w:r>
            <w:r w:rsidRPr="13E4C54F">
              <w:t>—</w:t>
            </w:r>
            <w:r>
              <w:t xml:space="preserve"> in consultation with teachers and school leaders </w:t>
            </w:r>
            <w:r w:rsidRPr="13E4C54F">
              <w:t>—</w:t>
            </w:r>
            <w:r>
              <w:t xml:space="preserve"> should develop a new National Policy Initiative that commits all jurisdictions to undertake an a</w:t>
            </w:r>
            <w:r w:rsidR="00C71613">
              <w:t>ssessmen</w:t>
            </w:r>
            <w:r>
              <w:t>t o</w:t>
            </w:r>
            <w:r w:rsidR="00524242">
              <w:t>f</w:t>
            </w:r>
            <w:r>
              <w:t xml:space="preserve"> teacher and principal time use. This could involve a four-step process, whereby Australian, </w:t>
            </w:r>
            <w:r w:rsidR="0064568F">
              <w:t>S</w:t>
            </w:r>
            <w:r>
              <w:t xml:space="preserve">tate and </w:t>
            </w:r>
            <w:r w:rsidR="0064568F">
              <w:t>T</w:t>
            </w:r>
            <w:r>
              <w:t xml:space="preserve">erritory </w:t>
            </w:r>
            <w:r w:rsidR="0064568F">
              <w:t>G</w:t>
            </w:r>
            <w:r>
              <w:t>overnments:</w:t>
            </w:r>
          </w:p>
          <w:p w14:paraId="0949E7BB" w14:textId="24421F9F" w:rsidR="00A53FAB" w:rsidRDefault="00A53FAB" w:rsidP="00EA6BDF">
            <w:pPr>
              <w:pStyle w:val="ListBullet"/>
            </w:pPr>
            <w:r>
              <w:t>commit to an a</w:t>
            </w:r>
            <w:r w:rsidR="00524242">
              <w:t>ssessment</w:t>
            </w:r>
            <w:r>
              <w:t xml:space="preserve"> of teacher and principal time </w:t>
            </w:r>
            <w:r w:rsidR="00E7752A">
              <w:t xml:space="preserve">use </w:t>
            </w:r>
            <w:r>
              <w:t>across school sectors, with a focus on identifying how teachers and principals spend their time, and what tasks they rate as low or high value</w:t>
            </w:r>
          </w:p>
          <w:p w14:paraId="734B97F8" w14:textId="77777777" w:rsidR="00A53FAB" w:rsidRDefault="00A53FAB" w:rsidP="00EA6BDF">
            <w:pPr>
              <w:pStyle w:val="ListBullet"/>
            </w:pPr>
            <w:r>
              <w:t>specify how they will remove low-value tasks, duplicate tasks and regulatory inefficiencies</w:t>
            </w:r>
          </w:p>
          <w:p w14:paraId="3611F749" w14:textId="77777777" w:rsidR="00A53FAB" w:rsidRDefault="00A53FAB" w:rsidP="00EA6BDF">
            <w:pPr>
              <w:pStyle w:val="ListBullet"/>
            </w:pPr>
            <w:r>
              <w:t>specify how teaching assistants can be best deployed, including to reduce teacher workload</w:t>
            </w:r>
          </w:p>
          <w:p w14:paraId="6A487E77" w14:textId="77777777" w:rsidR="00A53FAB" w:rsidRPr="00767EAE" w:rsidRDefault="00A53FAB" w:rsidP="00EA6BDF">
            <w:pPr>
              <w:pStyle w:val="ListBullet"/>
            </w:pPr>
            <w:r>
              <w:t xml:space="preserve">monitor the compliance and administration burden on teachers and principals over time. </w:t>
            </w:r>
          </w:p>
        </w:tc>
      </w:tr>
      <w:tr w:rsidR="00A53FAB" w14:paraId="1D2EE3D2" w14:textId="77777777">
        <w:tc>
          <w:tcPr>
            <w:tcW w:w="9638" w:type="dxa"/>
            <w:gridSpan w:val="2"/>
            <w:shd w:val="clear" w:color="auto" w:fill="auto"/>
            <w:tcMar>
              <w:top w:w="0" w:type="dxa"/>
              <w:bottom w:w="0" w:type="dxa"/>
            </w:tcMar>
          </w:tcPr>
          <w:p w14:paraId="7D90202A" w14:textId="77777777" w:rsidR="00A53FAB" w:rsidRPr="007E0EA8" w:rsidRDefault="00A53FAB">
            <w:pPr>
              <w:pStyle w:val="NoSpacing"/>
              <w:spacing w:line="200" w:lineRule="exact"/>
            </w:pPr>
          </w:p>
        </w:tc>
      </w:tr>
    </w:tbl>
    <w:p w14:paraId="2AE6ACCF"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6D5584AC" w14:textId="77777777">
        <w:trPr>
          <w:tblHeader/>
        </w:trPr>
        <w:tc>
          <w:tcPr>
            <w:tcW w:w="713" w:type="dxa"/>
            <w:vAlign w:val="center"/>
          </w:tcPr>
          <w:p w14:paraId="6E80398B" w14:textId="77777777" w:rsidR="00A53FAB" w:rsidRDefault="00A53FAB">
            <w:pPr>
              <w:keepNext/>
              <w:keepLines/>
              <w:spacing w:after="0"/>
              <w:jc w:val="right"/>
            </w:pPr>
            <w:r w:rsidRPr="00A51374">
              <w:rPr>
                <w:noProof/>
              </w:rPr>
              <w:drawing>
                <wp:inline distT="0" distB="0" distL="0" distR="0" wp14:anchorId="2C004429" wp14:editId="21439CDB">
                  <wp:extent cx="288000" cy="288000"/>
                  <wp:effectExtent l="0" t="0" r="0" b="0"/>
                  <wp:docPr id="40" name="Graphic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CA5BD04" w14:textId="77777777" w:rsidR="00345C69" w:rsidRPr="00FE62E4" w:rsidRDefault="00A53FAB" w:rsidP="00FE62E4">
            <w:pPr>
              <w:pStyle w:val="TableHeading"/>
              <w:keepLines/>
              <w:spacing w:before="180" w:after="120"/>
              <w:contextualSpacing/>
              <w:rPr>
                <w:sz w:val="20"/>
              </w:rPr>
            </w:pPr>
            <w:r w:rsidRPr="00FE62E4">
              <w:rPr>
                <w:sz w:val="20"/>
              </w:rPr>
              <w:t xml:space="preserve">Information request 5.4 </w:t>
            </w:r>
          </w:p>
          <w:p w14:paraId="482C7A1D" w14:textId="1529B8DD" w:rsidR="00A53FAB" w:rsidRPr="00FE62E4" w:rsidRDefault="00A53FAB" w:rsidP="00FE62E4">
            <w:pPr>
              <w:pStyle w:val="TableHeading"/>
              <w:keepLines/>
              <w:spacing w:before="180" w:after="120"/>
              <w:contextualSpacing/>
              <w:rPr>
                <w:sz w:val="20"/>
              </w:rPr>
            </w:pPr>
            <w:r w:rsidRPr="00FE62E4">
              <w:rPr>
                <w:sz w:val="20"/>
              </w:rPr>
              <w:t>Teaching assistants and support staff</w:t>
            </w:r>
          </w:p>
        </w:tc>
      </w:tr>
      <w:tr w:rsidR="00A53FAB" w14:paraId="7E783254" w14:textId="77777777">
        <w:tc>
          <w:tcPr>
            <w:tcW w:w="9638" w:type="dxa"/>
            <w:gridSpan w:val="2"/>
            <w:tcMar>
              <w:top w:w="0" w:type="dxa"/>
            </w:tcMar>
          </w:tcPr>
          <w:p w14:paraId="04CFA809" w14:textId="77777777" w:rsidR="00A53FAB" w:rsidRDefault="00A53FAB">
            <w:pPr>
              <w:pStyle w:val="BodyText"/>
              <w:keepNext/>
              <w:keepLines/>
            </w:pPr>
            <w:r>
              <w:t>How are teaching assistants and support staff being deployed in schools and classrooms?</w:t>
            </w:r>
          </w:p>
          <w:p w14:paraId="2D6E03F6" w14:textId="77777777" w:rsidR="00A53FAB" w:rsidRDefault="00A53FAB">
            <w:pPr>
              <w:pStyle w:val="ListBullet"/>
            </w:pPr>
            <w:r>
              <w:t>What are the primary functions of teaching assistants and support staff in Australia?</w:t>
            </w:r>
          </w:p>
          <w:p w14:paraId="709AD206" w14:textId="77777777" w:rsidR="00A53FAB" w:rsidRPr="00EF6BE9" w:rsidRDefault="00A53FAB">
            <w:pPr>
              <w:pStyle w:val="ListBullet"/>
            </w:pPr>
            <w:r>
              <w:t>Could deployment and use of teaching assistants and support staff be improved to help reduce teacher workload? If so, should this be pursued through national collaboration?</w:t>
            </w:r>
          </w:p>
        </w:tc>
      </w:tr>
      <w:tr w:rsidR="00A53FAB" w14:paraId="143284ED" w14:textId="77777777">
        <w:tc>
          <w:tcPr>
            <w:tcW w:w="9638" w:type="dxa"/>
            <w:gridSpan w:val="2"/>
            <w:shd w:val="clear" w:color="auto" w:fill="auto"/>
            <w:tcMar>
              <w:top w:w="0" w:type="dxa"/>
              <w:bottom w:w="0" w:type="dxa"/>
            </w:tcMar>
          </w:tcPr>
          <w:p w14:paraId="642FADFC" w14:textId="77777777" w:rsidR="00A53FAB" w:rsidRDefault="00A53FAB">
            <w:pPr>
              <w:pStyle w:val="NoSpacing"/>
              <w:spacing w:line="200" w:lineRule="exact"/>
            </w:pPr>
          </w:p>
        </w:tc>
      </w:tr>
    </w:tbl>
    <w:p w14:paraId="71222C8B" w14:textId="77777777" w:rsidR="00A53FAB" w:rsidRDefault="00A53FAB">
      <w:pPr>
        <w:pStyle w:val="NoSpacing"/>
      </w:pPr>
    </w:p>
    <w:tbl>
      <w:tblPr>
        <w:tblStyle w:val="Texttable-Paleblue"/>
        <w:tblW w:w="5000" w:type="pct"/>
        <w:tblLook w:val="04A0" w:firstRow="1" w:lastRow="0" w:firstColumn="1" w:lastColumn="0" w:noHBand="0" w:noVBand="1"/>
      </w:tblPr>
      <w:tblGrid>
        <w:gridCol w:w="713"/>
        <w:gridCol w:w="8925"/>
      </w:tblGrid>
      <w:tr w:rsidR="00A53FAB" w14:paraId="05136067" w14:textId="77777777">
        <w:trPr>
          <w:tblHeader/>
        </w:trPr>
        <w:tc>
          <w:tcPr>
            <w:tcW w:w="713" w:type="dxa"/>
            <w:tcMar>
              <w:top w:w="0" w:type="dxa"/>
              <w:bottom w:w="0" w:type="dxa"/>
            </w:tcMar>
            <w:vAlign w:val="center"/>
          </w:tcPr>
          <w:p w14:paraId="4713D665" w14:textId="77777777" w:rsidR="00A53FAB" w:rsidRDefault="00A53FAB">
            <w:pPr>
              <w:keepLines/>
              <w:jc w:val="center"/>
            </w:pPr>
            <w:r w:rsidRPr="00A51374">
              <w:rPr>
                <w:noProof/>
              </w:rPr>
              <w:drawing>
                <wp:inline distT="0" distB="0" distL="0" distR="0" wp14:anchorId="39E54DBC" wp14:editId="2CE3E669">
                  <wp:extent cx="288000" cy="288000"/>
                  <wp:effectExtent l="0" t="0" r="0" b="0"/>
                  <wp:docPr id="41" name="Graphic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5F14AAF2" w14:textId="74E1EEC3" w:rsidR="00A53FAB" w:rsidRPr="00FE62E4" w:rsidRDefault="005F2F9D" w:rsidP="00FE62E4">
            <w:pPr>
              <w:pStyle w:val="TableHeading"/>
              <w:keepLines/>
              <w:spacing w:before="180" w:after="120"/>
              <w:contextualSpacing/>
              <w:rPr>
                <w:sz w:val="20"/>
              </w:rPr>
            </w:pPr>
            <w:r w:rsidRPr="00FE62E4">
              <w:rPr>
                <w:sz w:val="20"/>
              </w:rPr>
              <w:t>Draft r</w:t>
            </w:r>
            <w:r w:rsidR="00A53FAB" w:rsidRPr="00FE62E4">
              <w:rPr>
                <w:sz w:val="20"/>
              </w:rPr>
              <w:t>ecommendation 5.3</w:t>
            </w:r>
          </w:p>
          <w:p w14:paraId="36EEDFFB" w14:textId="77777777" w:rsidR="00A53FAB" w:rsidRPr="00FE62E4" w:rsidRDefault="00A53FAB" w:rsidP="00FE62E4">
            <w:pPr>
              <w:pStyle w:val="TableHeading"/>
              <w:keepLines/>
              <w:spacing w:before="180" w:after="120"/>
              <w:contextualSpacing/>
              <w:rPr>
                <w:sz w:val="20"/>
              </w:rPr>
            </w:pPr>
            <w:r w:rsidRPr="00FE62E4">
              <w:rPr>
                <w:sz w:val="20"/>
              </w:rPr>
              <w:t>Encouraging highly effective teachers and maximising their value</w:t>
            </w:r>
          </w:p>
        </w:tc>
      </w:tr>
      <w:tr w:rsidR="00A53FAB" w14:paraId="1B76F28F" w14:textId="77777777">
        <w:tc>
          <w:tcPr>
            <w:tcW w:w="9638" w:type="dxa"/>
            <w:gridSpan w:val="2"/>
            <w:tcMar>
              <w:top w:w="0" w:type="dxa"/>
            </w:tcMar>
          </w:tcPr>
          <w:p w14:paraId="5365F615" w14:textId="5153F0E5" w:rsidR="00A53FAB" w:rsidRDefault="00A53FAB">
            <w:pPr>
              <w:pStyle w:val="BodyText"/>
            </w:pPr>
            <w:r>
              <w:t xml:space="preserve">In the next agreement, the Australian, </w:t>
            </w:r>
            <w:r w:rsidR="00CC18D8">
              <w:t>S</w:t>
            </w:r>
            <w:r>
              <w:t xml:space="preserve">tate and </w:t>
            </w:r>
            <w:r w:rsidR="00CC18D8">
              <w:t>T</w:t>
            </w:r>
            <w:r>
              <w:t xml:space="preserve">erritory </w:t>
            </w:r>
            <w:r w:rsidR="00CC18D8">
              <w:t>G</w:t>
            </w:r>
            <w:r>
              <w:t>overnments should work together, in consultation with teachers and school leaders</w:t>
            </w:r>
            <w:r w:rsidR="008841B3">
              <w:t>,</w:t>
            </w:r>
            <w:r>
              <w:t xml:space="preserve"> to:</w:t>
            </w:r>
          </w:p>
          <w:p w14:paraId="099E52FB" w14:textId="75751D90" w:rsidR="00A53FAB" w:rsidRDefault="00A53FAB">
            <w:pPr>
              <w:pStyle w:val="ListBullet"/>
            </w:pPr>
            <w:r>
              <w:t xml:space="preserve">develop and support localised communities </w:t>
            </w:r>
            <w:r w:rsidR="008A080B">
              <w:t xml:space="preserve">of practice </w:t>
            </w:r>
            <w:r>
              <w:t>across schools, regions and sectors. These should encompass accessible options for time-constrained teachers as well as subject specific options to support those teaching out-of-field</w:t>
            </w:r>
          </w:p>
          <w:p w14:paraId="19E22860" w14:textId="61E189D6" w:rsidR="00A53FAB" w:rsidRDefault="00A53FAB">
            <w:pPr>
              <w:pStyle w:val="ListBullet"/>
            </w:pPr>
            <w:r>
              <w:t xml:space="preserve">ensure that </w:t>
            </w:r>
            <w:r w:rsidR="00F127B0">
              <w:t>H</w:t>
            </w:r>
            <w:r>
              <w:t xml:space="preserve">ighly </w:t>
            </w:r>
            <w:r w:rsidR="00F127B0">
              <w:t>A</w:t>
            </w:r>
            <w:r>
              <w:t xml:space="preserve">ccomplished and </w:t>
            </w:r>
            <w:r w:rsidR="00F127B0">
              <w:t>L</w:t>
            </w:r>
            <w:r>
              <w:t xml:space="preserve">ead </w:t>
            </w:r>
            <w:r w:rsidR="00F127B0">
              <w:t>T</w:t>
            </w:r>
            <w:r>
              <w:t xml:space="preserve">eachers are trained, and deployed as intended, to lift the quality of teaching across schools and sectors </w:t>
            </w:r>
          </w:p>
          <w:p w14:paraId="14339F67" w14:textId="77777777" w:rsidR="00A53FAB" w:rsidRPr="00767EAE" w:rsidRDefault="00A53FAB">
            <w:pPr>
              <w:pStyle w:val="ListBullet"/>
            </w:pPr>
            <w:r>
              <w:t xml:space="preserve">streamline processes for becoming a Highly Accomplished and Lead Teacher, including by recognising prior competencies. </w:t>
            </w:r>
          </w:p>
        </w:tc>
      </w:tr>
      <w:tr w:rsidR="00A53FAB" w14:paraId="79400632" w14:textId="77777777">
        <w:tc>
          <w:tcPr>
            <w:tcW w:w="9638" w:type="dxa"/>
            <w:gridSpan w:val="2"/>
            <w:shd w:val="clear" w:color="auto" w:fill="auto"/>
            <w:tcMar>
              <w:top w:w="0" w:type="dxa"/>
              <w:bottom w:w="0" w:type="dxa"/>
            </w:tcMar>
          </w:tcPr>
          <w:p w14:paraId="3D441E02" w14:textId="77777777" w:rsidR="00A53FAB" w:rsidRPr="007E0EA8" w:rsidRDefault="00A53FAB">
            <w:pPr>
              <w:pStyle w:val="NoSpacing"/>
              <w:spacing w:line="200" w:lineRule="exact"/>
            </w:pPr>
          </w:p>
        </w:tc>
      </w:tr>
    </w:tbl>
    <w:p w14:paraId="283A9358"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102BCF9B" w14:textId="77777777">
        <w:trPr>
          <w:tblHeader/>
        </w:trPr>
        <w:tc>
          <w:tcPr>
            <w:tcW w:w="713" w:type="dxa"/>
            <w:vAlign w:val="center"/>
          </w:tcPr>
          <w:p w14:paraId="6A334F16" w14:textId="77777777" w:rsidR="00A53FAB" w:rsidRDefault="00A53FAB">
            <w:pPr>
              <w:keepNext/>
              <w:keepLines/>
              <w:spacing w:after="0"/>
              <w:jc w:val="right"/>
            </w:pPr>
            <w:r w:rsidRPr="00A51374">
              <w:rPr>
                <w:noProof/>
              </w:rPr>
              <w:drawing>
                <wp:inline distT="0" distB="0" distL="0" distR="0" wp14:anchorId="3E0B1E11" wp14:editId="4B8D366F">
                  <wp:extent cx="288000" cy="288000"/>
                  <wp:effectExtent l="0" t="0" r="0" b="0"/>
                  <wp:docPr id="54" name="Graphic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338839B9" w14:textId="61412076" w:rsidR="009F2A02" w:rsidRPr="00FE62E4" w:rsidRDefault="00A53FAB" w:rsidP="00FE62E4">
            <w:pPr>
              <w:pStyle w:val="TableHeading"/>
              <w:keepLines/>
              <w:spacing w:before="180" w:after="120"/>
              <w:contextualSpacing/>
              <w:rPr>
                <w:sz w:val="20"/>
              </w:rPr>
            </w:pPr>
            <w:r w:rsidRPr="00FE62E4">
              <w:rPr>
                <w:sz w:val="20"/>
              </w:rPr>
              <w:t xml:space="preserve">Information request 5.5 </w:t>
            </w:r>
          </w:p>
          <w:p w14:paraId="4D6E0111" w14:textId="3D605421" w:rsidR="00A53FAB" w:rsidRPr="00FE62E4" w:rsidRDefault="00A53FAB" w:rsidP="00FE62E4">
            <w:pPr>
              <w:pStyle w:val="TableHeading"/>
              <w:keepLines/>
              <w:spacing w:before="180" w:after="120"/>
              <w:contextualSpacing/>
              <w:rPr>
                <w:sz w:val="20"/>
              </w:rPr>
            </w:pPr>
            <w:r w:rsidRPr="00FE62E4">
              <w:rPr>
                <w:sz w:val="20"/>
              </w:rPr>
              <w:t>Streamlining pathways into teaching</w:t>
            </w:r>
          </w:p>
        </w:tc>
      </w:tr>
      <w:tr w:rsidR="00A53FAB" w14:paraId="0B9556D4" w14:textId="77777777">
        <w:tc>
          <w:tcPr>
            <w:tcW w:w="9638" w:type="dxa"/>
            <w:gridSpan w:val="2"/>
            <w:tcMar>
              <w:top w:w="0" w:type="dxa"/>
            </w:tcMar>
          </w:tcPr>
          <w:p w14:paraId="7BC82C65" w14:textId="77777777" w:rsidR="00A53FAB" w:rsidRDefault="00A53FAB">
            <w:pPr>
              <w:pStyle w:val="BodyText"/>
              <w:keepNext/>
              <w:keepLines/>
            </w:pPr>
            <w:r>
              <w:t xml:space="preserve">How can </w:t>
            </w:r>
            <w:r w:rsidRPr="00D8611A">
              <w:t xml:space="preserve">pathways </w:t>
            </w:r>
            <w:r>
              <w:t xml:space="preserve">into teaching </w:t>
            </w:r>
            <w:r w:rsidRPr="00D8611A">
              <w:t>for mid-career entrants, especially those with skills in critical areas</w:t>
            </w:r>
            <w:r>
              <w:t>, be streamlined?</w:t>
            </w:r>
          </w:p>
          <w:p w14:paraId="495C1CA5" w14:textId="77777777" w:rsidR="00A53FAB" w:rsidRDefault="00A53FAB">
            <w:pPr>
              <w:pStyle w:val="ListBullet"/>
            </w:pPr>
            <w:r>
              <w:t>What are the costs and benefits of re-introducing one year graduate diplomas?</w:t>
            </w:r>
          </w:p>
          <w:p w14:paraId="6DC3CCD1" w14:textId="6C92510D" w:rsidR="00A53FAB" w:rsidRPr="008529A2" w:rsidRDefault="00A53FAB">
            <w:pPr>
              <w:pStyle w:val="ListBullet"/>
            </w:pPr>
            <w:r>
              <w:t xml:space="preserve">What </w:t>
            </w:r>
            <w:r w:rsidR="0035160E">
              <w:t xml:space="preserve">employment-based </w:t>
            </w:r>
            <w:r>
              <w:t>pathways could be explored?</w:t>
            </w:r>
          </w:p>
        </w:tc>
      </w:tr>
      <w:tr w:rsidR="00A53FAB" w14:paraId="188ABDCA" w14:textId="77777777">
        <w:tc>
          <w:tcPr>
            <w:tcW w:w="9638" w:type="dxa"/>
            <w:gridSpan w:val="2"/>
            <w:shd w:val="clear" w:color="auto" w:fill="auto"/>
            <w:tcMar>
              <w:top w:w="0" w:type="dxa"/>
              <w:bottom w:w="0" w:type="dxa"/>
            </w:tcMar>
          </w:tcPr>
          <w:p w14:paraId="7B30C1E1" w14:textId="77777777" w:rsidR="00A53FAB" w:rsidRDefault="00A53FAB">
            <w:pPr>
              <w:pStyle w:val="NoSpacing"/>
              <w:spacing w:line="200" w:lineRule="exact"/>
            </w:pPr>
          </w:p>
        </w:tc>
      </w:tr>
    </w:tbl>
    <w:p w14:paraId="1D9FBB56"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3A6DC9D7" w14:textId="77777777">
        <w:trPr>
          <w:tblHeader/>
        </w:trPr>
        <w:tc>
          <w:tcPr>
            <w:tcW w:w="713" w:type="dxa"/>
            <w:vAlign w:val="center"/>
          </w:tcPr>
          <w:p w14:paraId="13E29AA0" w14:textId="77777777" w:rsidR="00A53FAB" w:rsidRDefault="00A53FAB">
            <w:pPr>
              <w:keepNext/>
              <w:keepLines/>
              <w:spacing w:after="0"/>
              <w:jc w:val="right"/>
            </w:pPr>
            <w:r w:rsidRPr="00A51374">
              <w:rPr>
                <w:noProof/>
              </w:rPr>
              <w:drawing>
                <wp:inline distT="0" distB="0" distL="0" distR="0" wp14:anchorId="036E2C60" wp14:editId="34A90F81">
                  <wp:extent cx="288000" cy="288000"/>
                  <wp:effectExtent l="0" t="0" r="0" b="0"/>
                  <wp:docPr id="55" name="Graphic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5C26CB51" w14:textId="246D5BF2" w:rsidR="009F2A02" w:rsidRPr="00FE62E4" w:rsidRDefault="00A53FAB" w:rsidP="00FE62E4">
            <w:pPr>
              <w:pStyle w:val="TableHeading"/>
              <w:keepLines/>
              <w:spacing w:before="180" w:after="120"/>
              <w:contextualSpacing/>
              <w:rPr>
                <w:sz w:val="20"/>
              </w:rPr>
            </w:pPr>
            <w:r w:rsidRPr="00FE62E4">
              <w:rPr>
                <w:sz w:val="20"/>
              </w:rPr>
              <w:t xml:space="preserve">Information request 5.6 </w:t>
            </w:r>
          </w:p>
          <w:p w14:paraId="7752B16E" w14:textId="09FD7965" w:rsidR="00A53FAB" w:rsidRPr="00FE62E4" w:rsidRDefault="00A53FAB" w:rsidP="00FE62E4">
            <w:pPr>
              <w:pStyle w:val="TableHeading"/>
              <w:keepLines/>
              <w:spacing w:before="180" w:after="120"/>
              <w:contextualSpacing/>
              <w:rPr>
                <w:sz w:val="20"/>
              </w:rPr>
            </w:pPr>
            <w:r w:rsidRPr="00FE62E4">
              <w:rPr>
                <w:sz w:val="20"/>
              </w:rPr>
              <w:t xml:space="preserve">Understanding what happens in the classroom </w:t>
            </w:r>
          </w:p>
        </w:tc>
      </w:tr>
      <w:tr w:rsidR="00A53FAB" w14:paraId="0C5B39DF" w14:textId="77777777">
        <w:tc>
          <w:tcPr>
            <w:tcW w:w="9638" w:type="dxa"/>
            <w:gridSpan w:val="2"/>
            <w:tcMar>
              <w:top w:w="0" w:type="dxa"/>
            </w:tcMar>
          </w:tcPr>
          <w:p w14:paraId="20E500C5" w14:textId="77777777" w:rsidR="00A53FAB" w:rsidRPr="007D4AD5" w:rsidRDefault="00A53FAB">
            <w:pPr>
              <w:pStyle w:val="BodyText"/>
              <w:keepNext/>
              <w:keepLines/>
            </w:pPr>
            <w:r w:rsidRPr="007D497B">
              <w:t>What (if any) systems do jurisdictions already have in place to understand what is being taught in classrooms, and how it is being taught? What are the options for obtaining more and better data on classroom practice in a way that minimises costs and administrative impost?</w:t>
            </w:r>
          </w:p>
        </w:tc>
      </w:tr>
      <w:tr w:rsidR="00A53FAB" w14:paraId="65CD024E" w14:textId="77777777">
        <w:tc>
          <w:tcPr>
            <w:tcW w:w="9638" w:type="dxa"/>
            <w:gridSpan w:val="2"/>
            <w:shd w:val="clear" w:color="auto" w:fill="auto"/>
            <w:tcMar>
              <w:top w:w="0" w:type="dxa"/>
              <w:bottom w:w="0" w:type="dxa"/>
            </w:tcMar>
          </w:tcPr>
          <w:p w14:paraId="22C7CB3F" w14:textId="77777777" w:rsidR="00A53FAB" w:rsidRDefault="00A53FAB">
            <w:pPr>
              <w:pStyle w:val="NoSpacing"/>
              <w:spacing w:line="200" w:lineRule="exact"/>
            </w:pPr>
          </w:p>
        </w:tc>
      </w:tr>
    </w:tbl>
    <w:p w14:paraId="04DE630D" w14:textId="77777777" w:rsidR="00A53FAB" w:rsidRDefault="00A53FAB" w:rsidP="00FE62E4">
      <w:pPr>
        <w:pStyle w:val="Heading2-noTOC"/>
        <w:spacing w:after="240"/>
      </w:pPr>
      <w:r>
        <w:t>Chapter 6: School leadership</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0632AE77" w14:textId="77777777">
        <w:trPr>
          <w:trHeight w:val="765"/>
          <w:tblHeader/>
        </w:trPr>
        <w:tc>
          <w:tcPr>
            <w:tcW w:w="366" w:type="pct"/>
            <w:tcBorders>
              <w:bottom w:val="nil"/>
            </w:tcBorders>
            <w:tcMar>
              <w:bottom w:w="0" w:type="dxa"/>
            </w:tcMar>
            <w:vAlign w:val="center"/>
          </w:tcPr>
          <w:p w14:paraId="628A8EBC" w14:textId="77777777" w:rsidR="00A53FAB" w:rsidRDefault="00A53FAB">
            <w:pPr>
              <w:pStyle w:val="NoSpacing"/>
              <w:keepLines/>
              <w:jc w:val="right"/>
            </w:pPr>
            <w:r w:rsidRPr="00A51374">
              <w:rPr>
                <w:noProof/>
              </w:rPr>
              <w:drawing>
                <wp:inline distT="0" distB="0" distL="0" distR="0" wp14:anchorId="54C49D48" wp14:editId="15D2AFB2">
                  <wp:extent cx="288000" cy="288000"/>
                  <wp:effectExtent l="0" t="0" r="0" b="0"/>
                  <wp:docPr id="25"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892B828" w14:textId="77777777" w:rsidR="00A53FAB" w:rsidRPr="00FE62E4" w:rsidRDefault="00A53FAB" w:rsidP="00FE62E4">
            <w:pPr>
              <w:pStyle w:val="TableHeading"/>
              <w:keepLines/>
              <w:spacing w:before="180" w:after="120"/>
              <w:contextualSpacing/>
              <w:rPr>
                <w:sz w:val="20"/>
              </w:rPr>
            </w:pPr>
            <w:r w:rsidRPr="00FE62E4">
              <w:rPr>
                <w:sz w:val="20"/>
              </w:rPr>
              <w:t>Draft finding 6.1</w:t>
            </w:r>
          </w:p>
          <w:p w14:paraId="2FAFCC05" w14:textId="77777777" w:rsidR="00A53FAB" w:rsidRPr="00FE62E4" w:rsidRDefault="00A53FAB" w:rsidP="00FE62E4">
            <w:pPr>
              <w:pStyle w:val="TableHeading"/>
              <w:keepLines/>
              <w:spacing w:before="180" w:after="120"/>
              <w:contextualSpacing/>
              <w:rPr>
                <w:sz w:val="20"/>
              </w:rPr>
            </w:pPr>
            <w:r w:rsidRPr="00FE62E4">
              <w:rPr>
                <w:sz w:val="20"/>
              </w:rPr>
              <w:t xml:space="preserve">Improving school leadership can have large impacts on students’ learning </w:t>
            </w:r>
          </w:p>
        </w:tc>
      </w:tr>
      <w:tr w:rsidR="00A53FAB" w14:paraId="19B28047" w14:textId="77777777">
        <w:tc>
          <w:tcPr>
            <w:tcW w:w="5000" w:type="pct"/>
            <w:gridSpan w:val="2"/>
            <w:tcBorders>
              <w:top w:val="nil"/>
              <w:bottom w:val="single" w:sz="4" w:space="0" w:color="66BCDB" w:themeColor="text2"/>
            </w:tcBorders>
          </w:tcPr>
          <w:p w14:paraId="615BCC1E" w14:textId="77777777" w:rsidR="00A53FAB" w:rsidRDefault="00A53FAB">
            <w:pPr>
              <w:pStyle w:val="BodyText"/>
              <w:keepLines/>
            </w:pPr>
            <w:r>
              <w:t xml:space="preserve">School leaders are second only to teachers in fostering a positive learning environment. Improving the effectiveness of leaders, especially principals, would generate sizable benefits. </w:t>
            </w:r>
          </w:p>
        </w:tc>
      </w:tr>
    </w:tbl>
    <w:p w14:paraId="068D7D77" w14:textId="77777777" w:rsidR="00A53FAB" w:rsidRDefault="00A53FAB" w:rsidP="00FE62E4">
      <w:pPr>
        <w:pStyle w:val="NoSpacing"/>
        <w:spacing w:after="120"/>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63C12E33" w14:textId="77777777">
        <w:trPr>
          <w:trHeight w:val="765"/>
          <w:tblHeader/>
        </w:trPr>
        <w:tc>
          <w:tcPr>
            <w:tcW w:w="366" w:type="pct"/>
            <w:tcBorders>
              <w:bottom w:val="nil"/>
            </w:tcBorders>
            <w:tcMar>
              <w:bottom w:w="0" w:type="dxa"/>
            </w:tcMar>
            <w:vAlign w:val="center"/>
          </w:tcPr>
          <w:p w14:paraId="7D12E6B0" w14:textId="77777777" w:rsidR="00A53FAB" w:rsidRDefault="00A53FAB">
            <w:pPr>
              <w:pStyle w:val="NoSpacing"/>
              <w:keepLines/>
              <w:jc w:val="right"/>
            </w:pPr>
            <w:r w:rsidRPr="00A51374">
              <w:rPr>
                <w:noProof/>
              </w:rPr>
              <w:drawing>
                <wp:inline distT="0" distB="0" distL="0" distR="0" wp14:anchorId="4EAAFFA7" wp14:editId="111E8828">
                  <wp:extent cx="288000" cy="288000"/>
                  <wp:effectExtent l="0" t="0" r="0" b="0"/>
                  <wp:docPr id="56" name="Graphic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5928F16F" w14:textId="77777777" w:rsidR="00A53FAB" w:rsidRPr="00FE62E4" w:rsidRDefault="00A53FAB" w:rsidP="00FE62E4">
            <w:pPr>
              <w:pStyle w:val="TableHeading"/>
              <w:keepLines/>
              <w:spacing w:before="180" w:after="120"/>
              <w:contextualSpacing/>
              <w:rPr>
                <w:sz w:val="20"/>
              </w:rPr>
            </w:pPr>
            <w:r w:rsidRPr="00FE62E4">
              <w:rPr>
                <w:sz w:val="20"/>
              </w:rPr>
              <w:t>Draft finding 6.2</w:t>
            </w:r>
          </w:p>
          <w:p w14:paraId="12C32723" w14:textId="77777777" w:rsidR="00A53FAB" w:rsidRPr="00FE62E4" w:rsidRDefault="00A53FAB" w:rsidP="00FE62E4">
            <w:pPr>
              <w:pStyle w:val="TableHeading"/>
              <w:keepLines/>
              <w:spacing w:before="180" w:after="120"/>
              <w:contextualSpacing/>
              <w:rPr>
                <w:sz w:val="20"/>
              </w:rPr>
            </w:pPr>
            <w:r w:rsidRPr="00FE62E4">
              <w:rPr>
                <w:sz w:val="20"/>
              </w:rPr>
              <w:t>More planning is needed to ensure a sustainable supply of school leaders</w:t>
            </w:r>
          </w:p>
        </w:tc>
      </w:tr>
      <w:tr w:rsidR="00A53FAB" w14:paraId="40008A87" w14:textId="77777777">
        <w:tc>
          <w:tcPr>
            <w:tcW w:w="5000" w:type="pct"/>
            <w:gridSpan w:val="2"/>
            <w:tcBorders>
              <w:top w:val="nil"/>
              <w:bottom w:val="single" w:sz="4" w:space="0" w:color="66BCDB" w:themeColor="text2"/>
            </w:tcBorders>
          </w:tcPr>
          <w:p w14:paraId="0516351F" w14:textId="263EF812" w:rsidR="00A53FAB" w:rsidRDefault="00A53FAB">
            <w:pPr>
              <w:pStyle w:val="BodyText"/>
              <w:keepLines/>
            </w:pPr>
            <w:r>
              <w:t>Long lead</w:t>
            </w:r>
            <w:r w:rsidR="00217B80">
              <w:t xml:space="preserve"> </w:t>
            </w:r>
            <w:r>
              <w:t>times for teachers to move into leadership roles, and the emergent pressures on the current cohort of school leaders, underscore the importance of effective leadership planning to ensure a sustainable pipeline of future school leaders.</w:t>
            </w:r>
          </w:p>
        </w:tc>
      </w:tr>
      <w:tr w:rsidR="00A53FAB" w14:paraId="7AFAD376" w14:textId="77777777">
        <w:tc>
          <w:tcPr>
            <w:tcW w:w="5000" w:type="pct"/>
            <w:gridSpan w:val="2"/>
            <w:tcBorders>
              <w:top w:val="single" w:sz="4" w:space="0" w:color="66BCDB" w:themeColor="text2"/>
              <w:left w:val="nil"/>
              <w:bottom w:val="nil"/>
              <w:right w:val="nil"/>
            </w:tcBorders>
            <w:tcMar>
              <w:bottom w:w="0" w:type="dxa"/>
            </w:tcMar>
          </w:tcPr>
          <w:p w14:paraId="6FCF3395" w14:textId="77777777" w:rsidR="00A53FAB" w:rsidRDefault="00A53FAB">
            <w:pPr>
              <w:pStyle w:val="NoSpacing"/>
              <w:spacing w:line="200" w:lineRule="atLeast"/>
            </w:pPr>
          </w:p>
        </w:tc>
      </w:tr>
    </w:tbl>
    <w:p w14:paraId="038F4B49"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A53FAB" w14:paraId="4B9DF061" w14:textId="77777777">
        <w:trPr>
          <w:tblHeader/>
        </w:trPr>
        <w:tc>
          <w:tcPr>
            <w:tcW w:w="713" w:type="dxa"/>
            <w:vAlign w:val="center"/>
          </w:tcPr>
          <w:p w14:paraId="3F6746A5" w14:textId="77777777" w:rsidR="00A53FAB" w:rsidRDefault="00A53FAB" w:rsidP="00FE62E4">
            <w:pPr>
              <w:keepNext/>
              <w:keepLines/>
              <w:spacing w:after="0"/>
              <w:contextualSpacing/>
              <w:jc w:val="right"/>
            </w:pPr>
            <w:r w:rsidRPr="00A51374">
              <w:rPr>
                <w:noProof/>
              </w:rPr>
              <w:drawing>
                <wp:inline distT="0" distB="0" distL="0" distR="0" wp14:anchorId="5B5A1BE1" wp14:editId="2AEC6D2B">
                  <wp:extent cx="288000" cy="288000"/>
                  <wp:effectExtent l="0" t="0" r="0" b="0"/>
                  <wp:docPr id="57" name="Graphic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735B9672" w14:textId="2AC75747" w:rsidR="0035160E" w:rsidRPr="00FE62E4" w:rsidRDefault="00A53FAB" w:rsidP="00FE62E4">
            <w:pPr>
              <w:pStyle w:val="TableHeading"/>
              <w:keepLines/>
              <w:spacing w:before="180" w:after="120"/>
              <w:contextualSpacing/>
              <w:rPr>
                <w:sz w:val="20"/>
              </w:rPr>
            </w:pPr>
            <w:r w:rsidRPr="00FE62E4">
              <w:rPr>
                <w:sz w:val="20"/>
              </w:rPr>
              <w:t xml:space="preserve">Information request 6.1 </w:t>
            </w:r>
          </w:p>
          <w:p w14:paraId="780DFC88" w14:textId="3236976A" w:rsidR="00A53FAB" w:rsidRPr="00FE62E4" w:rsidRDefault="00A53FAB" w:rsidP="00FE62E4">
            <w:pPr>
              <w:pStyle w:val="TableHeading"/>
              <w:keepLines/>
              <w:spacing w:before="180" w:after="120"/>
              <w:contextualSpacing/>
              <w:rPr>
                <w:sz w:val="20"/>
              </w:rPr>
            </w:pPr>
            <w:r w:rsidRPr="00FE62E4">
              <w:rPr>
                <w:sz w:val="20"/>
              </w:rPr>
              <w:t>Fostering school leaders</w:t>
            </w:r>
          </w:p>
        </w:tc>
      </w:tr>
      <w:tr w:rsidR="00A53FAB" w14:paraId="6BDF29F6" w14:textId="77777777">
        <w:tc>
          <w:tcPr>
            <w:tcW w:w="9638" w:type="dxa"/>
            <w:gridSpan w:val="2"/>
            <w:tcMar>
              <w:top w:w="0" w:type="dxa"/>
            </w:tcMar>
          </w:tcPr>
          <w:p w14:paraId="051BA690" w14:textId="77777777" w:rsidR="00A53FAB" w:rsidRPr="00274457" w:rsidRDefault="00A53FAB" w:rsidP="00EB0335">
            <w:pPr>
              <w:pStyle w:val="ListNumber"/>
              <w:keepNext/>
              <w:keepLines/>
              <w:numPr>
                <w:ilvl w:val="0"/>
                <w:numId w:val="4"/>
              </w:numPr>
              <w:ind w:left="227" w:hanging="227"/>
            </w:pPr>
            <w:r w:rsidRPr="00274457">
              <w:t>Do principals have the resources, support and professional development opportunities required for their demanding roles?</w:t>
            </w:r>
          </w:p>
          <w:p w14:paraId="10D19651" w14:textId="77777777" w:rsidR="00A53FAB" w:rsidRDefault="00A53FAB" w:rsidP="00EB0335">
            <w:pPr>
              <w:pStyle w:val="ListNumber"/>
              <w:keepNext/>
              <w:keepLines/>
              <w:numPr>
                <w:ilvl w:val="0"/>
                <w:numId w:val="4"/>
              </w:numPr>
              <w:ind w:left="227" w:hanging="227"/>
            </w:pPr>
            <w:r>
              <w:t xml:space="preserve">Are policy efforts to identify and prepare potential leaders effective? </w:t>
            </w:r>
          </w:p>
          <w:p w14:paraId="53805726" w14:textId="77777777" w:rsidR="00A53FAB" w:rsidRDefault="00A53FAB" w:rsidP="00EB0335">
            <w:pPr>
              <w:pStyle w:val="ListNumber"/>
              <w:keepNext/>
              <w:keepLines/>
              <w:numPr>
                <w:ilvl w:val="0"/>
                <w:numId w:val="4"/>
              </w:numPr>
              <w:ind w:left="227" w:hanging="227"/>
            </w:pPr>
            <w:r>
              <w:t>Are there alternative sources of school leaders, including from outside the teaching profession?</w:t>
            </w:r>
          </w:p>
          <w:p w14:paraId="7D9C2FB5" w14:textId="77777777" w:rsidR="00A53FAB" w:rsidRPr="008529A2" w:rsidRDefault="00A53FAB" w:rsidP="00EB0335">
            <w:pPr>
              <w:pStyle w:val="ListNumber"/>
              <w:keepNext/>
              <w:keepLines/>
              <w:numPr>
                <w:ilvl w:val="0"/>
                <w:numId w:val="4"/>
              </w:numPr>
              <w:ind w:left="227" w:hanging="227"/>
            </w:pPr>
            <w:r>
              <w:t>What are the relative merits of a nationally coordinated approach to supporting a pipeline of future school leaders?</w:t>
            </w:r>
          </w:p>
        </w:tc>
      </w:tr>
      <w:tr w:rsidR="00A53FAB" w14:paraId="6D7EAD4D" w14:textId="77777777">
        <w:tc>
          <w:tcPr>
            <w:tcW w:w="9638" w:type="dxa"/>
            <w:gridSpan w:val="2"/>
            <w:shd w:val="clear" w:color="auto" w:fill="auto"/>
            <w:tcMar>
              <w:top w:w="0" w:type="dxa"/>
              <w:bottom w:w="0" w:type="dxa"/>
            </w:tcMar>
          </w:tcPr>
          <w:p w14:paraId="6B59C244" w14:textId="77777777" w:rsidR="00A53FAB" w:rsidRDefault="00A53FAB" w:rsidP="00FE62E4">
            <w:pPr>
              <w:pStyle w:val="NoSpacing"/>
              <w:keepNext/>
              <w:keepLines/>
              <w:spacing w:line="200" w:lineRule="exact"/>
              <w:contextualSpacing/>
            </w:pPr>
          </w:p>
        </w:tc>
      </w:tr>
    </w:tbl>
    <w:p w14:paraId="2FCB53E4" w14:textId="77777777" w:rsidR="00A53FAB" w:rsidRDefault="00A53FAB" w:rsidP="00FE62E4">
      <w:pPr>
        <w:pStyle w:val="Heading2-noTOC"/>
        <w:spacing w:after="240"/>
      </w:pPr>
      <w:r>
        <w:t xml:space="preserve">Chapter 7: The National Measurement Framework </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A53FAB" w14:paraId="2435581F" w14:textId="77777777">
        <w:trPr>
          <w:trHeight w:val="765"/>
          <w:tblHeader/>
        </w:trPr>
        <w:tc>
          <w:tcPr>
            <w:tcW w:w="366" w:type="pct"/>
            <w:tcBorders>
              <w:top w:val="single" w:sz="4" w:space="0" w:color="66BCDB" w:themeColor="text2"/>
              <w:left w:val="single" w:sz="4" w:space="0" w:color="66BCDB" w:themeColor="text2"/>
              <w:bottom w:val="nil"/>
              <w:right w:val="nil"/>
            </w:tcBorders>
            <w:tcMar>
              <w:top w:w="0" w:type="dxa"/>
              <w:left w:w="108" w:type="dxa"/>
              <w:bottom w:w="0" w:type="dxa"/>
              <w:right w:w="108" w:type="dxa"/>
            </w:tcMar>
            <w:vAlign w:val="center"/>
            <w:hideMark/>
          </w:tcPr>
          <w:p w14:paraId="04372263" w14:textId="77777777" w:rsidR="00A53FAB" w:rsidRDefault="00A53FAB">
            <w:pPr>
              <w:keepLines/>
              <w:spacing w:before="0" w:after="0"/>
              <w:jc w:val="right"/>
            </w:pPr>
            <w:r>
              <w:rPr>
                <w:noProof/>
              </w:rPr>
              <w:drawing>
                <wp:inline distT="0" distB="0" distL="0" distR="0" wp14:anchorId="4B24C9B6" wp14:editId="5D5B22B5">
                  <wp:extent cx="279400" cy="279400"/>
                  <wp:effectExtent l="0" t="0" r="6350" b="6350"/>
                  <wp:docPr id="5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a:extLst>
                              <a:ext uri="{C183D7F6-B498-43B3-948B-1728B52AA6E4}">
                                <adec:decorative xmlns:adec="http://schemas.microsoft.com/office/drawing/2017/decorative" val="1"/>
                              </a:ext>
                            </a:extLs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9400" cy="279400"/>
                          </a:xfrm>
                          <a:prstGeom prst="rect">
                            <a:avLst/>
                          </a:prstGeom>
                          <a:noFill/>
                          <a:ln>
                            <a:noFill/>
                          </a:ln>
                        </pic:spPr>
                      </pic:pic>
                    </a:graphicData>
                  </a:graphic>
                </wp:inline>
              </w:drawing>
            </w:r>
          </w:p>
        </w:tc>
        <w:tc>
          <w:tcPr>
            <w:tcW w:w="4634" w:type="pct"/>
            <w:tcBorders>
              <w:top w:val="single" w:sz="4" w:space="0" w:color="66BCDB" w:themeColor="text2"/>
              <w:left w:val="nil"/>
              <w:bottom w:val="nil"/>
              <w:right w:val="single" w:sz="4" w:space="0" w:color="66BCDB" w:themeColor="text2"/>
            </w:tcBorders>
            <w:tcMar>
              <w:top w:w="0" w:type="dxa"/>
              <w:left w:w="108" w:type="dxa"/>
              <w:bottom w:w="0" w:type="dxa"/>
              <w:right w:w="108" w:type="dxa"/>
            </w:tcMar>
            <w:vAlign w:val="center"/>
            <w:hideMark/>
          </w:tcPr>
          <w:p w14:paraId="522ED401" w14:textId="13063F0B" w:rsidR="00A53FAB" w:rsidRPr="00FE62E4" w:rsidRDefault="00A53FAB" w:rsidP="00FE62E4">
            <w:pPr>
              <w:pStyle w:val="TableHeading"/>
              <w:keepLines/>
              <w:spacing w:before="180" w:after="120"/>
              <w:contextualSpacing/>
              <w:rPr>
                <w:sz w:val="20"/>
              </w:rPr>
            </w:pPr>
            <w:r w:rsidRPr="00FE62E4">
              <w:rPr>
                <w:sz w:val="20"/>
              </w:rPr>
              <w:t>Draft finding 7.1</w:t>
            </w:r>
          </w:p>
          <w:p w14:paraId="6988125D" w14:textId="701C30C9" w:rsidR="00A53FAB" w:rsidRPr="00FE62E4" w:rsidRDefault="00A53FAB" w:rsidP="00FE62E4">
            <w:pPr>
              <w:pStyle w:val="TableHeading"/>
              <w:keepLines/>
              <w:spacing w:before="180" w:after="120"/>
              <w:contextualSpacing/>
              <w:rPr>
                <w:sz w:val="20"/>
              </w:rPr>
            </w:pPr>
            <w:r w:rsidRPr="00FE62E4">
              <w:rPr>
                <w:sz w:val="20"/>
              </w:rPr>
              <w:t xml:space="preserve">The </w:t>
            </w:r>
            <w:r w:rsidR="00554E86" w:rsidRPr="00FE62E4">
              <w:rPr>
                <w:sz w:val="20"/>
              </w:rPr>
              <w:t>Measurement Framework for Schooling in Australia</w:t>
            </w:r>
            <w:r w:rsidRPr="00FE62E4">
              <w:rPr>
                <w:sz w:val="20"/>
              </w:rPr>
              <w:t xml:space="preserve"> is not appropriate for measuring progress on </w:t>
            </w:r>
            <w:r w:rsidR="00DF0FCF" w:rsidRPr="00FE62E4">
              <w:rPr>
                <w:sz w:val="20"/>
              </w:rPr>
              <w:t>National School Reform Agreement</w:t>
            </w:r>
            <w:r w:rsidRPr="00FE62E4">
              <w:rPr>
                <w:sz w:val="20"/>
              </w:rPr>
              <w:t xml:space="preserve"> outcomes</w:t>
            </w:r>
          </w:p>
        </w:tc>
      </w:tr>
      <w:tr w:rsidR="00A53FAB" w14:paraId="7F5126EF" w14:textId="77777777">
        <w:tc>
          <w:tcPr>
            <w:tcW w:w="5000" w:type="pct"/>
            <w:gridSpan w:val="2"/>
            <w:tcBorders>
              <w:top w:val="nil"/>
              <w:left w:val="single" w:sz="4" w:space="0" w:color="66BCDB" w:themeColor="text2"/>
              <w:bottom w:val="single" w:sz="4" w:space="0" w:color="66BCDB" w:themeColor="text2"/>
              <w:right w:val="single" w:sz="4" w:space="0" w:color="66BCDB" w:themeColor="text2"/>
            </w:tcBorders>
            <w:hideMark/>
          </w:tcPr>
          <w:p w14:paraId="2D826B0A" w14:textId="4D0A3C8F" w:rsidR="00A53FAB" w:rsidRDefault="00A53FAB" w:rsidP="00FE62E4">
            <w:pPr>
              <w:pStyle w:val="BodyText"/>
            </w:pPr>
            <w:r>
              <w:t xml:space="preserve">While reliable, and largely relevant, the </w:t>
            </w:r>
            <w:r w:rsidR="00AA1682" w:rsidRPr="007140C9">
              <w:t>Measurement Framework for Schooling in Australia</w:t>
            </w:r>
            <w:r>
              <w:t xml:space="preserve"> is not a complete means of reporting progress on </w:t>
            </w:r>
            <w:r w:rsidR="002A7FED">
              <w:t>National School Reform Agreement</w:t>
            </w:r>
            <w:r>
              <w:t xml:space="preserve"> outcomes. The visibility of </w:t>
            </w:r>
            <w:r w:rsidR="002A7FED">
              <w:t>G</w:t>
            </w:r>
            <w:r>
              <w:t xml:space="preserve">overnments’ progress against </w:t>
            </w:r>
            <w:r w:rsidR="005F78F7">
              <w:t>a</w:t>
            </w:r>
            <w:r w:rsidR="002A7FED">
              <w:t>greement</w:t>
            </w:r>
            <w:r>
              <w:t xml:space="preserve"> outcomes is further diminished by the absence of a standalone report and the reliance on the broader </w:t>
            </w:r>
            <w:r>
              <w:rPr>
                <w:i/>
                <w:iCs/>
              </w:rPr>
              <w:t>National Report on Schooling in Australia</w:t>
            </w:r>
            <w:r>
              <w:t xml:space="preserve"> and ACARA dashboard for performance reporting.</w:t>
            </w:r>
          </w:p>
        </w:tc>
      </w:tr>
    </w:tbl>
    <w:p w14:paraId="1BA0754B" w14:textId="77777777" w:rsidR="001F682A" w:rsidRDefault="001F682A" w:rsidP="001F682A">
      <w:pPr>
        <w:pStyle w:val="NoSpacing"/>
      </w:pPr>
    </w:p>
    <w:tbl>
      <w:tblPr>
        <w:tblStyle w:val="TextTable-Grey"/>
        <w:tblW w:w="5000" w:type="pct"/>
        <w:tblLook w:val="04A0" w:firstRow="1" w:lastRow="0" w:firstColumn="1" w:lastColumn="0" w:noHBand="0" w:noVBand="1"/>
      </w:tblPr>
      <w:tblGrid>
        <w:gridCol w:w="713"/>
        <w:gridCol w:w="8925"/>
      </w:tblGrid>
      <w:tr w:rsidR="001F682A" w14:paraId="03436529" w14:textId="77777777">
        <w:trPr>
          <w:tblHeader/>
        </w:trPr>
        <w:tc>
          <w:tcPr>
            <w:tcW w:w="713" w:type="dxa"/>
            <w:vAlign w:val="center"/>
          </w:tcPr>
          <w:p w14:paraId="75C06E46" w14:textId="77777777" w:rsidR="001F682A" w:rsidRDefault="001F682A">
            <w:pPr>
              <w:keepNext/>
              <w:keepLines/>
              <w:spacing w:after="0"/>
              <w:jc w:val="right"/>
            </w:pPr>
            <w:r w:rsidRPr="00A51374">
              <w:rPr>
                <w:noProof/>
              </w:rPr>
              <w:drawing>
                <wp:inline distT="0" distB="0" distL="0" distR="0" wp14:anchorId="28908861" wp14:editId="4BCCBC51">
                  <wp:extent cx="288000" cy="288000"/>
                  <wp:effectExtent l="0" t="0" r="0" b="0"/>
                  <wp:docPr id="220" name="Graphic 2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4E010724" w14:textId="77777777" w:rsidR="001F682A" w:rsidRPr="00FE62E4" w:rsidRDefault="001F682A" w:rsidP="00FE62E4">
            <w:pPr>
              <w:pStyle w:val="TableHeading"/>
              <w:keepLines/>
              <w:spacing w:before="180" w:after="120"/>
              <w:contextualSpacing/>
              <w:rPr>
                <w:sz w:val="20"/>
              </w:rPr>
            </w:pPr>
            <w:r w:rsidRPr="00FE62E4">
              <w:rPr>
                <w:sz w:val="20"/>
              </w:rPr>
              <w:t xml:space="preserve">Information request 7.1 </w:t>
            </w:r>
          </w:p>
          <w:p w14:paraId="72535DD3" w14:textId="30BA9BF6" w:rsidR="000B307C" w:rsidRPr="00FE62E4" w:rsidRDefault="000B307C" w:rsidP="00FE62E4">
            <w:pPr>
              <w:pStyle w:val="TableHeading"/>
              <w:keepLines/>
              <w:spacing w:before="180" w:after="120"/>
              <w:contextualSpacing/>
              <w:rPr>
                <w:sz w:val="20"/>
              </w:rPr>
            </w:pPr>
            <w:r w:rsidRPr="00FE62E4">
              <w:rPr>
                <w:sz w:val="20"/>
              </w:rPr>
              <w:t>Standalone reporting against the National School Reform Agreement</w:t>
            </w:r>
          </w:p>
        </w:tc>
      </w:tr>
      <w:tr w:rsidR="001F682A" w14:paraId="6AEEC2A1" w14:textId="77777777">
        <w:tc>
          <w:tcPr>
            <w:tcW w:w="9638" w:type="dxa"/>
            <w:gridSpan w:val="2"/>
            <w:tcMar>
              <w:top w:w="0" w:type="dxa"/>
            </w:tcMar>
          </w:tcPr>
          <w:p w14:paraId="4B8C92F6" w14:textId="3AADB33D" w:rsidR="001F682A" w:rsidRPr="008529A2" w:rsidRDefault="001816D7">
            <w:pPr>
              <w:pStyle w:val="BodyText"/>
              <w:keepNext/>
              <w:keepLines/>
            </w:pPr>
            <w:r>
              <w:t xml:space="preserve">Would a standalone report on progress against the National School Reform Agreement outcomes and sub-outcomes (separate to the </w:t>
            </w:r>
            <w:r w:rsidRPr="00BA6336">
              <w:rPr>
                <w:i/>
                <w:iCs/>
              </w:rPr>
              <w:t>National Report on Schooling in Australia</w:t>
            </w:r>
            <w:r>
              <w:t>) improve the accountability of Governments to the community?</w:t>
            </w:r>
          </w:p>
        </w:tc>
      </w:tr>
      <w:tr w:rsidR="001F682A" w14:paraId="7225B4B4" w14:textId="77777777">
        <w:tc>
          <w:tcPr>
            <w:tcW w:w="9638" w:type="dxa"/>
            <w:gridSpan w:val="2"/>
            <w:shd w:val="clear" w:color="auto" w:fill="auto"/>
            <w:tcMar>
              <w:top w:w="0" w:type="dxa"/>
              <w:bottom w:w="0" w:type="dxa"/>
            </w:tcMar>
          </w:tcPr>
          <w:p w14:paraId="64AD9478" w14:textId="77777777" w:rsidR="001F682A" w:rsidRDefault="001F682A">
            <w:pPr>
              <w:pStyle w:val="NoSpacing"/>
              <w:spacing w:line="200" w:lineRule="exact"/>
            </w:pPr>
          </w:p>
        </w:tc>
      </w:tr>
    </w:tbl>
    <w:p w14:paraId="6CB0A12A" w14:textId="3E1E03D3" w:rsidR="001F682A" w:rsidRDefault="00661D3F">
      <w:pPr>
        <w:pStyle w:val="NoSpacing"/>
      </w:pPr>
      <w:r>
        <w:br w:type="page"/>
      </w:r>
    </w:p>
    <w:tbl>
      <w:tblPr>
        <w:tblStyle w:val="Texttable-Paleblue"/>
        <w:tblW w:w="5000" w:type="pct"/>
        <w:tblLook w:val="04A0" w:firstRow="1" w:lastRow="0" w:firstColumn="1" w:lastColumn="0" w:noHBand="0" w:noVBand="1"/>
      </w:tblPr>
      <w:tblGrid>
        <w:gridCol w:w="713"/>
        <w:gridCol w:w="8925"/>
      </w:tblGrid>
      <w:tr w:rsidR="00A53FAB" w14:paraId="4ED0B0BC" w14:textId="77777777">
        <w:trPr>
          <w:tblHeader/>
        </w:trPr>
        <w:tc>
          <w:tcPr>
            <w:tcW w:w="713" w:type="dxa"/>
            <w:tcMar>
              <w:top w:w="0" w:type="dxa"/>
              <w:bottom w:w="0" w:type="dxa"/>
            </w:tcMar>
            <w:vAlign w:val="center"/>
          </w:tcPr>
          <w:p w14:paraId="76356E76" w14:textId="77777777" w:rsidR="00A53FAB" w:rsidRDefault="00A53FAB">
            <w:pPr>
              <w:keepLines/>
              <w:jc w:val="center"/>
            </w:pPr>
            <w:r w:rsidRPr="00A51374">
              <w:rPr>
                <w:noProof/>
              </w:rPr>
              <w:drawing>
                <wp:inline distT="0" distB="0" distL="0" distR="0" wp14:anchorId="0C4F608F" wp14:editId="5C380984">
                  <wp:extent cx="288000" cy="288000"/>
                  <wp:effectExtent l="0" t="0" r="0" b="0"/>
                  <wp:docPr id="30" name="Graphic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7ADB8E83" w14:textId="77777777" w:rsidR="00A53FAB" w:rsidRPr="00FE62E4" w:rsidRDefault="00A53FAB" w:rsidP="00FE62E4">
            <w:pPr>
              <w:pStyle w:val="TableHeading"/>
              <w:keepLines/>
              <w:spacing w:before="180" w:after="120"/>
              <w:contextualSpacing/>
              <w:rPr>
                <w:sz w:val="20"/>
              </w:rPr>
            </w:pPr>
            <w:r w:rsidRPr="00FE62E4">
              <w:rPr>
                <w:sz w:val="20"/>
              </w:rPr>
              <w:t xml:space="preserve">Draft recommendation 7.1 </w:t>
            </w:r>
          </w:p>
          <w:p w14:paraId="53F73C49" w14:textId="77777777" w:rsidR="00A53FAB" w:rsidRPr="00715040" w:rsidRDefault="00A53FAB" w:rsidP="00FE62E4">
            <w:pPr>
              <w:pStyle w:val="TableHeading"/>
              <w:keepLines/>
              <w:spacing w:before="180" w:after="120"/>
              <w:contextualSpacing/>
            </w:pPr>
            <w:r w:rsidRPr="00FE62E4">
              <w:rPr>
                <w:sz w:val="20"/>
              </w:rPr>
              <w:t>The performance reporting framework of the next agreement</w:t>
            </w:r>
          </w:p>
        </w:tc>
      </w:tr>
      <w:tr w:rsidR="00A53FAB" w14:paraId="1E06B73F" w14:textId="77777777">
        <w:tc>
          <w:tcPr>
            <w:tcW w:w="9638" w:type="dxa"/>
            <w:gridSpan w:val="2"/>
            <w:tcMar>
              <w:top w:w="0" w:type="dxa"/>
            </w:tcMar>
          </w:tcPr>
          <w:p w14:paraId="3718EB92" w14:textId="584C37F2" w:rsidR="00A53FAB" w:rsidRPr="00FE62E4" w:rsidRDefault="00A53FAB">
            <w:pPr>
              <w:pStyle w:val="BodyText"/>
              <w:keepLines/>
              <w:rPr>
                <w:spacing w:val="-6"/>
              </w:rPr>
            </w:pPr>
            <w:r w:rsidRPr="00FE62E4">
              <w:rPr>
                <w:spacing w:val="-6"/>
              </w:rPr>
              <w:t>In the next intergovernmental school reform agreement, Australian, State and Territory Governments should:</w:t>
            </w:r>
          </w:p>
          <w:p w14:paraId="5212209F" w14:textId="276AADBE" w:rsidR="00A53FAB" w:rsidRPr="00834B3B" w:rsidRDefault="00A53FAB">
            <w:pPr>
              <w:pStyle w:val="ListBullet"/>
            </w:pPr>
            <w:r>
              <w:t>commit to public reporting on each outcome by jurisdiction for students with disability, Aboriginal and Torres Strait Islander students and students in regional</w:t>
            </w:r>
            <w:r w:rsidR="00867A91">
              <w:t>, rural</w:t>
            </w:r>
            <w:r>
              <w:t xml:space="preserve"> and remote areas</w:t>
            </w:r>
          </w:p>
          <w:p w14:paraId="1C7A52C6" w14:textId="77777777" w:rsidR="00A53FAB" w:rsidRPr="00834B3B" w:rsidRDefault="00A53FAB">
            <w:pPr>
              <w:pStyle w:val="ListBullet"/>
            </w:pPr>
            <w:r>
              <w:t>add new sub-outcome measures for learning gain, post-school outcomes and the measure of student wellbeing proposed in draft recommendation 4.1</w:t>
            </w:r>
          </w:p>
          <w:p w14:paraId="1BC635B2" w14:textId="77777777" w:rsidR="00A53FAB" w:rsidRPr="00767EAE" w:rsidRDefault="00A53FAB">
            <w:pPr>
              <w:pStyle w:val="ListBullet"/>
            </w:pPr>
            <w:r>
              <w:t>update the NAPLAN sub-outcome measure to use proficiency standards rather than learning bands.</w:t>
            </w:r>
          </w:p>
        </w:tc>
      </w:tr>
    </w:tbl>
    <w:tbl>
      <w:tblPr>
        <w:tblStyle w:val="Texttable-Paleblue1"/>
        <w:tblW w:w="5000" w:type="pct"/>
        <w:tblLook w:val="04A0" w:firstRow="1" w:lastRow="0" w:firstColumn="1" w:lastColumn="0" w:noHBand="0" w:noVBand="1"/>
      </w:tblPr>
      <w:tblGrid>
        <w:gridCol w:w="9638"/>
      </w:tblGrid>
      <w:tr w:rsidR="00A53FAB" w14:paraId="4F00ABE2" w14:textId="77777777">
        <w:tc>
          <w:tcPr>
            <w:tcW w:w="9638" w:type="dxa"/>
            <w:shd w:val="clear" w:color="auto" w:fill="auto"/>
            <w:tcMar>
              <w:top w:w="0" w:type="dxa"/>
              <w:bottom w:w="0" w:type="dxa"/>
            </w:tcMar>
          </w:tcPr>
          <w:p w14:paraId="02B0AD9A" w14:textId="77777777" w:rsidR="00A53FAB" w:rsidRPr="007E0EA8" w:rsidRDefault="00A53FAB">
            <w:pPr>
              <w:pStyle w:val="NoSpacing"/>
              <w:spacing w:line="200" w:lineRule="exact"/>
            </w:pPr>
          </w:p>
        </w:tc>
      </w:tr>
    </w:tbl>
    <w:p w14:paraId="67CEED1F" w14:textId="77777777" w:rsidR="00A53FAB" w:rsidRDefault="00A53FAB">
      <w:pPr>
        <w:pStyle w:val="NoSpacing"/>
      </w:pPr>
    </w:p>
    <w:tbl>
      <w:tblPr>
        <w:tblStyle w:val="TextTable-Grey"/>
        <w:tblW w:w="5000" w:type="pct"/>
        <w:tblLook w:val="04A0" w:firstRow="1" w:lastRow="0" w:firstColumn="1" w:lastColumn="0" w:noHBand="0" w:noVBand="1"/>
      </w:tblPr>
      <w:tblGrid>
        <w:gridCol w:w="713"/>
        <w:gridCol w:w="8925"/>
      </w:tblGrid>
      <w:tr w:rsidR="002E4192" w14:paraId="67928077" w14:textId="77777777">
        <w:trPr>
          <w:tblHeader/>
        </w:trPr>
        <w:tc>
          <w:tcPr>
            <w:tcW w:w="713" w:type="dxa"/>
            <w:vAlign w:val="center"/>
          </w:tcPr>
          <w:p w14:paraId="352B62D0" w14:textId="77777777" w:rsidR="002E4192" w:rsidRDefault="002E4192">
            <w:pPr>
              <w:keepNext/>
              <w:keepLines/>
              <w:spacing w:after="0"/>
              <w:jc w:val="right"/>
            </w:pPr>
            <w:r w:rsidRPr="00A51374">
              <w:rPr>
                <w:noProof/>
              </w:rPr>
              <w:drawing>
                <wp:inline distT="0" distB="0" distL="0" distR="0" wp14:anchorId="2F6CB385" wp14:editId="782FC231">
                  <wp:extent cx="288000" cy="288000"/>
                  <wp:effectExtent l="0" t="0" r="0" b="0"/>
                  <wp:docPr id="221" name="Graphic 2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288000" cy="288000"/>
                          </a:xfrm>
                          <a:prstGeom prst="rect">
                            <a:avLst/>
                          </a:prstGeom>
                        </pic:spPr>
                      </pic:pic>
                    </a:graphicData>
                  </a:graphic>
                </wp:inline>
              </w:drawing>
            </w:r>
          </w:p>
        </w:tc>
        <w:tc>
          <w:tcPr>
            <w:tcW w:w="8925" w:type="dxa"/>
            <w:vAlign w:val="center"/>
          </w:tcPr>
          <w:p w14:paraId="23ECFD8E" w14:textId="77777777" w:rsidR="002E4192" w:rsidRPr="00FE62E4" w:rsidRDefault="002E4192" w:rsidP="00FE62E4">
            <w:pPr>
              <w:pStyle w:val="TableHeading"/>
              <w:keepLines/>
              <w:spacing w:before="180" w:after="120"/>
              <w:contextualSpacing/>
              <w:rPr>
                <w:sz w:val="20"/>
              </w:rPr>
            </w:pPr>
            <w:r w:rsidRPr="00FE62E4">
              <w:rPr>
                <w:sz w:val="20"/>
              </w:rPr>
              <w:t>Information request 7.2</w:t>
            </w:r>
          </w:p>
          <w:p w14:paraId="5C7AA180" w14:textId="3D30EC24" w:rsidR="007645CA" w:rsidRPr="00FE62E4" w:rsidRDefault="007645CA" w:rsidP="00FE62E4">
            <w:pPr>
              <w:pStyle w:val="TableHeading"/>
              <w:keepLines/>
              <w:spacing w:before="180" w:after="120"/>
              <w:contextualSpacing/>
              <w:rPr>
                <w:sz w:val="20"/>
              </w:rPr>
            </w:pPr>
            <w:r w:rsidRPr="00FE62E4">
              <w:rPr>
                <w:sz w:val="20"/>
              </w:rPr>
              <w:t>Proposed sub-outcomes under the future agreement</w:t>
            </w:r>
          </w:p>
        </w:tc>
      </w:tr>
      <w:tr w:rsidR="002E4192" w14:paraId="0358964B" w14:textId="77777777">
        <w:tc>
          <w:tcPr>
            <w:tcW w:w="9638" w:type="dxa"/>
            <w:gridSpan w:val="2"/>
            <w:tcMar>
              <w:top w:w="0" w:type="dxa"/>
            </w:tcMar>
          </w:tcPr>
          <w:p w14:paraId="7A5754AE" w14:textId="575C4C9C" w:rsidR="002E4192" w:rsidRPr="008529A2" w:rsidRDefault="00FA37C8">
            <w:pPr>
              <w:pStyle w:val="BodyText"/>
              <w:keepNext/>
              <w:keepLines/>
            </w:pPr>
            <w:r>
              <w:t>Do the identified outcomes, and proposed additional and modified sub-outcomes</w:t>
            </w:r>
            <w:r w:rsidR="00F32407">
              <w:t>,</w:t>
            </w:r>
            <w:r>
              <w:t xml:space="preserve"> reflect the aspirations of all Australian students, including those from Aboriginal and Torres Strait Islander backgrounds, students with a disability, and students from other priority equity cohorts (including students from equity cohorts not explicitly identified in the current agreement, such as those in out-of-home care, or </w:t>
            </w:r>
            <w:r w:rsidRPr="008B21E4">
              <w:rPr>
                <w:rFonts w:ascii="Arial" w:eastAsia="Arial" w:hAnsi="Arial" w:cs="Arial"/>
              </w:rPr>
              <w:t xml:space="preserve">who speak English as an </w:t>
            </w:r>
            <w:r>
              <w:rPr>
                <w:rFonts w:ascii="Arial" w:eastAsia="Arial" w:hAnsi="Arial" w:cs="Arial"/>
              </w:rPr>
              <w:t>A</w:t>
            </w:r>
            <w:r w:rsidRPr="008B21E4">
              <w:rPr>
                <w:rFonts w:ascii="Arial" w:eastAsia="Arial" w:hAnsi="Arial" w:cs="Arial"/>
              </w:rPr>
              <w:t xml:space="preserve">dditional </w:t>
            </w:r>
            <w:r>
              <w:rPr>
                <w:rFonts w:ascii="Arial" w:eastAsia="Arial" w:hAnsi="Arial" w:cs="Arial"/>
              </w:rPr>
              <w:t>L</w:t>
            </w:r>
            <w:r w:rsidRPr="008B21E4">
              <w:rPr>
                <w:rFonts w:ascii="Arial" w:eastAsia="Arial" w:hAnsi="Arial" w:cs="Arial"/>
              </w:rPr>
              <w:t xml:space="preserve">anguage or </w:t>
            </w:r>
            <w:r>
              <w:rPr>
                <w:rFonts w:ascii="Arial" w:eastAsia="Arial" w:hAnsi="Arial" w:cs="Arial"/>
              </w:rPr>
              <w:t>D</w:t>
            </w:r>
            <w:r w:rsidRPr="008B21E4">
              <w:rPr>
                <w:rFonts w:ascii="Arial" w:eastAsia="Arial" w:hAnsi="Arial" w:cs="Arial"/>
              </w:rPr>
              <w:t>ialect</w:t>
            </w:r>
            <w:r w:rsidRPr="008B21E4">
              <w:t>)?</w:t>
            </w:r>
          </w:p>
        </w:tc>
      </w:tr>
      <w:tr w:rsidR="002E4192" w14:paraId="72227CBD" w14:textId="77777777">
        <w:tc>
          <w:tcPr>
            <w:tcW w:w="9638" w:type="dxa"/>
            <w:gridSpan w:val="2"/>
            <w:shd w:val="clear" w:color="auto" w:fill="auto"/>
            <w:tcMar>
              <w:top w:w="0" w:type="dxa"/>
              <w:bottom w:w="0" w:type="dxa"/>
            </w:tcMar>
          </w:tcPr>
          <w:p w14:paraId="788A711E" w14:textId="77777777" w:rsidR="002E4192" w:rsidRDefault="002E4192">
            <w:pPr>
              <w:pStyle w:val="NoSpacing"/>
              <w:spacing w:line="200" w:lineRule="exact"/>
            </w:pPr>
          </w:p>
        </w:tc>
      </w:tr>
    </w:tbl>
    <w:p w14:paraId="7ADD056D" w14:textId="77777777" w:rsidR="002E4192" w:rsidRDefault="002E4192">
      <w:pPr>
        <w:pStyle w:val="NoSpacing"/>
      </w:pPr>
    </w:p>
    <w:tbl>
      <w:tblPr>
        <w:tblStyle w:val="Texttable-Paleblue"/>
        <w:tblW w:w="5000" w:type="pct"/>
        <w:tblLook w:val="04A0" w:firstRow="1" w:lastRow="0" w:firstColumn="1" w:lastColumn="0" w:noHBand="0" w:noVBand="1"/>
      </w:tblPr>
      <w:tblGrid>
        <w:gridCol w:w="713"/>
        <w:gridCol w:w="8925"/>
      </w:tblGrid>
      <w:tr w:rsidR="00A53FAB" w14:paraId="3784FF85" w14:textId="77777777" w:rsidTr="002E4192">
        <w:trPr>
          <w:tblHeader/>
        </w:trPr>
        <w:tc>
          <w:tcPr>
            <w:tcW w:w="713" w:type="dxa"/>
            <w:tcMar>
              <w:top w:w="0" w:type="dxa"/>
              <w:bottom w:w="0" w:type="dxa"/>
            </w:tcMar>
            <w:vAlign w:val="center"/>
          </w:tcPr>
          <w:p w14:paraId="78746EC2" w14:textId="77777777" w:rsidR="00A53FAB" w:rsidRDefault="00A53FAB">
            <w:pPr>
              <w:keepLines/>
              <w:jc w:val="center"/>
            </w:pPr>
            <w:r w:rsidRPr="00A51374">
              <w:rPr>
                <w:noProof/>
              </w:rPr>
              <w:drawing>
                <wp:inline distT="0" distB="0" distL="0" distR="0" wp14:anchorId="6CD1F64D" wp14:editId="4DE2D0A6">
                  <wp:extent cx="288000" cy="288000"/>
                  <wp:effectExtent l="0" t="0" r="0" b="0"/>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288000" cy="288000"/>
                          </a:xfrm>
                          <a:prstGeom prst="rect">
                            <a:avLst/>
                          </a:prstGeom>
                        </pic:spPr>
                      </pic:pic>
                    </a:graphicData>
                  </a:graphic>
                </wp:inline>
              </w:drawing>
            </w:r>
          </w:p>
        </w:tc>
        <w:tc>
          <w:tcPr>
            <w:tcW w:w="8925" w:type="dxa"/>
            <w:tcMar>
              <w:top w:w="0" w:type="dxa"/>
              <w:bottom w:w="0" w:type="dxa"/>
            </w:tcMar>
            <w:vAlign w:val="center"/>
          </w:tcPr>
          <w:p w14:paraId="25C9F3ED" w14:textId="77777777" w:rsidR="00A53FAB" w:rsidRPr="00FE62E4" w:rsidRDefault="00A53FAB" w:rsidP="00FE62E4">
            <w:pPr>
              <w:pStyle w:val="TableHeading"/>
              <w:keepLines/>
              <w:spacing w:before="180" w:after="120"/>
              <w:contextualSpacing/>
              <w:rPr>
                <w:sz w:val="20"/>
              </w:rPr>
            </w:pPr>
            <w:r w:rsidRPr="00FE62E4">
              <w:rPr>
                <w:sz w:val="20"/>
              </w:rPr>
              <w:t>Draft recommendation 7.2</w:t>
            </w:r>
          </w:p>
          <w:p w14:paraId="4F9F90DB" w14:textId="77777777" w:rsidR="00A53FAB" w:rsidRPr="00FE62E4" w:rsidRDefault="00A53FAB" w:rsidP="00FE62E4">
            <w:pPr>
              <w:pStyle w:val="TableHeading"/>
              <w:keepLines/>
              <w:spacing w:before="180" w:after="120"/>
              <w:contextualSpacing/>
              <w:rPr>
                <w:sz w:val="20"/>
              </w:rPr>
            </w:pPr>
            <w:r w:rsidRPr="00FE62E4">
              <w:rPr>
                <w:sz w:val="20"/>
              </w:rPr>
              <w:t>Review of the Measurement Framework for Schooling in Australia</w:t>
            </w:r>
          </w:p>
        </w:tc>
      </w:tr>
      <w:tr w:rsidR="00A53FAB" w14:paraId="46D77313" w14:textId="77777777" w:rsidTr="002E4192">
        <w:tc>
          <w:tcPr>
            <w:tcW w:w="9638" w:type="dxa"/>
            <w:gridSpan w:val="2"/>
            <w:tcMar>
              <w:top w:w="0" w:type="dxa"/>
            </w:tcMar>
          </w:tcPr>
          <w:p w14:paraId="044B629E" w14:textId="77777777" w:rsidR="00A53FAB" w:rsidRDefault="00A53FAB">
            <w:pPr>
              <w:pStyle w:val="BodyText"/>
              <w:keepLines/>
            </w:pPr>
            <w:r>
              <w:t>ACARA’s next review of the Measurement Framework for Schooling in Australia should:</w:t>
            </w:r>
          </w:p>
          <w:p w14:paraId="5B12FDF2" w14:textId="0E7F91BE" w:rsidR="00A53FAB" w:rsidRPr="00834B3B" w:rsidRDefault="00A53FAB">
            <w:pPr>
              <w:pStyle w:val="ListBullet"/>
            </w:pPr>
            <w:r>
              <w:t xml:space="preserve">create a performance indicator framework aligned to </w:t>
            </w:r>
            <w:r w:rsidR="0061203B">
              <w:t>National School Reform Agreement</w:t>
            </w:r>
            <w:r>
              <w:t xml:space="preserve"> outcomes and sub-outcomes to which </w:t>
            </w:r>
            <w:r w:rsidR="00125CA4">
              <w:rPr>
                <w:color w:val="000000" w:themeColor="text1"/>
              </w:rPr>
              <w:t>Key Performance Measures</w:t>
            </w:r>
            <w:r>
              <w:t xml:space="preserve"> are mapped</w:t>
            </w:r>
          </w:p>
          <w:p w14:paraId="02A50FC0" w14:textId="4F06E75C" w:rsidR="00A53FAB" w:rsidRPr="00FE62E4" w:rsidRDefault="00A53FAB">
            <w:pPr>
              <w:pStyle w:val="ListBullet"/>
              <w:rPr>
                <w:spacing w:val="-4"/>
              </w:rPr>
            </w:pPr>
            <w:r w:rsidRPr="00FE62E4">
              <w:rPr>
                <w:spacing w:val="-4"/>
              </w:rPr>
              <w:t xml:space="preserve">consider the inclusion of system performance </w:t>
            </w:r>
            <w:r w:rsidR="00125CA4" w:rsidRPr="00FE62E4">
              <w:rPr>
                <w:color w:val="000000" w:themeColor="text1"/>
                <w:spacing w:val="-4"/>
              </w:rPr>
              <w:t>Key Performance Measures</w:t>
            </w:r>
            <w:r w:rsidRPr="00FE62E4">
              <w:rPr>
                <w:spacing w:val="-4"/>
              </w:rPr>
              <w:t xml:space="preserve"> relating to the teaching workforce</w:t>
            </w:r>
          </w:p>
          <w:p w14:paraId="1159DC45" w14:textId="77777777" w:rsidR="00A53FAB" w:rsidRPr="00834B3B" w:rsidRDefault="00A53FAB">
            <w:pPr>
              <w:pStyle w:val="ListBullet"/>
            </w:pPr>
            <w:r>
              <w:t>consider the inclusion of additional contextual information relating to influences on learning based on Australian Early Development Census data and information on English language proficiency</w:t>
            </w:r>
          </w:p>
          <w:p w14:paraId="3F63FA4B" w14:textId="77777777" w:rsidR="00A53FAB" w:rsidRPr="00834B3B" w:rsidRDefault="00A53FAB">
            <w:pPr>
              <w:pStyle w:val="ListBullet"/>
            </w:pPr>
            <w:r>
              <w:t xml:space="preserve">deliver improved reporting on outcomes for students from priority equity cohorts </w:t>
            </w:r>
          </w:p>
          <w:p w14:paraId="7985D4B4" w14:textId="77777777" w:rsidR="00A53FAB" w:rsidRPr="00834B3B" w:rsidRDefault="00A53FAB">
            <w:pPr>
              <w:pStyle w:val="ListBullet"/>
            </w:pPr>
            <w:r>
              <w:t>be undertaken in consultation with students, teachers and communities</w:t>
            </w:r>
          </w:p>
          <w:p w14:paraId="1E3DE5D8" w14:textId="77777777" w:rsidR="00A53FAB" w:rsidRPr="00834B3B" w:rsidRDefault="00A53FAB">
            <w:pPr>
              <w:pStyle w:val="ListBullet"/>
            </w:pPr>
            <w:r>
              <w:t>document remaining gaps.</w:t>
            </w:r>
          </w:p>
          <w:p w14:paraId="47A74B09" w14:textId="16A4BC2E" w:rsidR="00A53FAB" w:rsidRDefault="00A53FAB">
            <w:pPr>
              <w:pStyle w:val="BodyText"/>
              <w:keepLines/>
            </w:pPr>
            <w:r w:rsidRPr="00834B3B">
              <w:t xml:space="preserve">The </w:t>
            </w:r>
            <w:r w:rsidRPr="00125CA4">
              <w:rPr>
                <w:i/>
                <w:iCs/>
              </w:rPr>
              <w:t xml:space="preserve">National Report on Schooling </w:t>
            </w:r>
            <w:r w:rsidR="00B47DFB" w:rsidRPr="00125CA4">
              <w:rPr>
                <w:i/>
                <w:iCs/>
              </w:rPr>
              <w:t>in Australia</w:t>
            </w:r>
            <w:r w:rsidR="00B47DFB" w:rsidRPr="00834B3B">
              <w:t xml:space="preserve"> </w:t>
            </w:r>
            <w:r w:rsidRPr="00834B3B">
              <w:t>should be tabled annually in Parliament.</w:t>
            </w:r>
          </w:p>
          <w:p w14:paraId="77F6819E" w14:textId="77777777" w:rsidR="00A53FAB" w:rsidRPr="00767EAE" w:rsidRDefault="00A53FAB">
            <w:pPr>
              <w:pStyle w:val="BodyText"/>
              <w:keepLines/>
            </w:pPr>
            <w:r>
              <w:t>ACARA should work towards filling reporting gaps by exploring the use of State and Territory Government data that are comparable over time, even if it is not nationally complete or comparable across jurisdictions. Well established State and Territory Government surveys of students, parents and carers, and teachers should be given due consideration.</w:t>
            </w:r>
          </w:p>
        </w:tc>
      </w:tr>
      <w:tr w:rsidR="00A53FAB" w14:paraId="3EEF0FFE" w14:textId="77777777" w:rsidTr="002E4192">
        <w:tc>
          <w:tcPr>
            <w:tcW w:w="9638" w:type="dxa"/>
            <w:gridSpan w:val="2"/>
            <w:shd w:val="clear" w:color="auto" w:fill="auto"/>
            <w:tcMar>
              <w:top w:w="0" w:type="dxa"/>
              <w:bottom w:w="0" w:type="dxa"/>
            </w:tcMar>
          </w:tcPr>
          <w:p w14:paraId="5266704D" w14:textId="77777777" w:rsidR="00A53FAB" w:rsidRPr="007E0EA8" w:rsidRDefault="00A53FAB">
            <w:pPr>
              <w:pStyle w:val="NoSpacing"/>
              <w:spacing w:line="200" w:lineRule="exact"/>
            </w:pPr>
          </w:p>
        </w:tc>
      </w:tr>
    </w:tbl>
    <w:p w14:paraId="1460D1F6" w14:textId="77777777" w:rsidR="00A53FAB" w:rsidRDefault="00A53FAB" w:rsidP="00286700">
      <w:pPr>
        <w:pStyle w:val="Source"/>
      </w:pPr>
    </w:p>
    <w:p w14:paraId="77191841" w14:textId="16B74163" w:rsidR="00BA393B" w:rsidRDefault="00BA393B" w:rsidP="00981040">
      <w:pPr>
        <w:pStyle w:val="Reference"/>
        <w:sectPr w:rsidR="00BA393B" w:rsidSect="00CC4566">
          <w:headerReference w:type="default" r:id="rId48"/>
          <w:footnotePr>
            <w:numRestart w:val="eachSect"/>
          </w:footnotePr>
          <w:type w:val="continuous"/>
          <w:pgSz w:w="11906" w:h="16838" w:code="9"/>
          <w:pgMar w:top="1134" w:right="1134" w:bottom="1134" w:left="1134" w:header="794" w:footer="510" w:gutter="0"/>
          <w:cols w:space="708"/>
          <w:docGrid w:linePitch="360"/>
        </w:sectPr>
      </w:pPr>
    </w:p>
    <w:p w14:paraId="1259F1AD" w14:textId="2DE8C257" w:rsidR="0039186E" w:rsidRDefault="0039186E" w:rsidP="00BA393B">
      <w:pPr>
        <w:pStyle w:val="BodyText"/>
        <w:spacing w:before="0" w:after="0"/>
      </w:pPr>
    </w:p>
    <w:sectPr w:rsidR="0039186E" w:rsidSect="00CC4566">
      <w:footnotePr>
        <w:numRestart w:val="eachSect"/>
      </w:footnotePr>
      <w:type w:val="continuous"/>
      <w:pgSz w:w="11906" w:h="16838" w:code="9"/>
      <w:pgMar w:top="1134" w:right="1134" w:bottom="1134" w:left="1134" w:header="794" w:footer="5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4219B9" w14:textId="77777777" w:rsidR="00C03B32" w:rsidRDefault="00C03B32" w:rsidP="008017BC">
      <w:r>
        <w:separator/>
      </w:r>
    </w:p>
    <w:p w14:paraId="22E19B76" w14:textId="77777777" w:rsidR="00C03B32" w:rsidRDefault="00C03B32"/>
  </w:endnote>
  <w:endnote w:type="continuationSeparator" w:id="0">
    <w:p w14:paraId="10D0DCAB" w14:textId="77777777" w:rsidR="00C03B32" w:rsidRDefault="00C03B32" w:rsidP="008017BC">
      <w:r>
        <w:continuationSeparator/>
      </w:r>
    </w:p>
    <w:p w14:paraId="37AE41C5" w14:textId="77777777" w:rsidR="00C03B32" w:rsidRDefault="00C03B32"/>
  </w:endnote>
  <w:endnote w:type="continuationNotice" w:id="1">
    <w:p w14:paraId="20B96FD6" w14:textId="77777777" w:rsidR="00C03B32" w:rsidRDefault="00C03B32">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Arial (Body)">
    <w:altName w:val="Arial"/>
    <w:panose1 w:val="00000000000000000000"/>
    <w:charset w:val="00"/>
    <w:family w:val="roman"/>
    <w:notTrueType/>
    <w:pitch w:val="default"/>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CEB3D" w14:textId="77777777" w:rsidR="004F7BE2" w:rsidRPr="00187F05" w:rsidRDefault="004F7BE2"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1966D"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A55E3" w14:textId="77777777" w:rsidR="004F7BE2" w:rsidRDefault="004F7BE2">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D956D" w14:textId="77777777" w:rsidR="004F7BE2" w:rsidRPr="00187F05" w:rsidRDefault="004F7BE2"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2C788B44" w14:textId="77777777" w:rsidR="004F7BE2" w:rsidRPr="0042508F" w:rsidRDefault="004F7BE2"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1D0C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08770387"/>
      <w:docPartObj>
        <w:docPartGallery w:val="Page Numbers (Bottom of Page)"/>
        <w:docPartUnique/>
      </w:docPartObj>
    </w:sdtPr>
    <w:sdtContent>
      <w:sdt>
        <w:sdtPr>
          <w:id w:val="1673445181"/>
          <w:docPartObj>
            <w:docPartGallery w:val="Page Numbers (Top of Page)"/>
            <w:docPartUnique/>
          </w:docPartObj>
        </w:sdtPr>
        <w:sdtContent>
          <w:p w14:paraId="14361F25"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22804398"/>
      <w:docPartObj>
        <w:docPartGallery w:val="Page Numbers (Bottom of Page)"/>
        <w:docPartUnique/>
      </w:docPartObj>
    </w:sdtPr>
    <w:sdtContent>
      <w:sdt>
        <w:sdtPr>
          <w:id w:val="-1319343586"/>
          <w:docPartObj>
            <w:docPartGallery w:val="Page Numbers (Top of Page)"/>
            <w:docPartUnique/>
          </w:docPartObj>
        </w:sdtPr>
        <w:sdtContent>
          <w:p w14:paraId="305B7AB1" w14:textId="77777777" w:rsidR="00B1552C" w:rsidRDefault="00B1552C"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4D901F" w14:textId="77777777" w:rsidR="00C03B32" w:rsidRPr="00C238D1" w:rsidRDefault="00C03B32" w:rsidP="00273E86">
      <w:pPr>
        <w:spacing w:after="0" w:line="240" w:lineRule="auto"/>
        <w:rPr>
          <w:rStyle w:val="ColourDarkBlue"/>
        </w:rPr>
      </w:pPr>
      <w:r w:rsidRPr="00C238D1">
        <w:rPr>
          <w:rStyle w:val="ColourDarkBlue"/>
        </w:rPr>
        <w:continuationSeparator/>
      </w:r>
    </w:p>
  </w:footnote>
  <w:footnote w:type="continuationSeparator" w:id="0">
    <w:p w14:paraId="4B93401A" w14:textId="77777777" w:rsidR="00C03B32" w:rsidRPr="001D7D9B" w:rsidRDefault="00C03B32" w:rsidP="001D7D9B">
      <w:pPr>
        <w:spacing w:after="0" w:line="240" w:lineRule="auto"/>
        <w:rPr>
          <w:color w:val="265A9A" w:themeColor="background2"/>
        </w:rPr>
      </w:pPr>
      <w:r w:rsidRPr="00C238D1">
        <w:rPr>
          <w:rStyle w:val="ColourDarkBlue"/>
        </w:rPr>
        <w:continuationSeparator/>
      </w:r>
    </w:p>
  </w:footnote>
  <w:footnote w:type="continuationNotice" w:id="1">
    <w:p w14:paraId="3AD454A3" w14:textId="77777777" w:rsidR="00C03B32" w:rsidRDefault="00C03B32"/>
  </w:footnote>
  <w:footnote w:id="2">
    <w:p w14:paraId="3B5AB324" w14:textId="3901C7D6" w:rsidR="00D17784" w:rsidRPr="00237BB5" w:rsidRDefault="00D17784">
      <w:pPr>
        <w:pStyle w:val="FootnoteText"/>
        <w:rPr>
          <w:lang w:val="en-US"/>
        </w:rPr>
      </w:pPr>
      <w:r>
        <w:rPr>
          <w:rStyle w:val="FootnoteReference"/>
        </w:rPr>
        <w:footnoteRef/>
      </w:r>
      <w:r>
        <w:t xml:space="preserve"> As part of its</w:t>
      </w:r>
      <w:r w:rsidRPr="00B20A7C">
        <w:t xml:space="preserve"> Quality Schools arrangements, the Australian Government </w:t>
      </w:r>
      <w:r>
        <w:t>moved</w:t>
      </w:r>
      <w:r w:rsidRPr="00B20A7C">
        <w:t xml:space="preserve"> to a consistent, needs-based school funding model for all Australian student</w:t>
      </w:r>
      <w:r>
        <w:t xml:space="preserve">s and </w:t>
      </w:r>
      <w:r>
        <w:rPr>
          <w:rFonts w:cstheme="minorHAnsi"/>
        </w:rPr>
        <w:t>committed to</w:t>
      </w:r>
      <w:r>
        <w:t xml:space="preserve"> increasing </w:t>
      </w:r>
      <w:r w:rsidRPr="00B20A7C">
        <w:t>funding for schools from $18.7 billion in 2018 to an estimated $33</w:t>
      </w:r>
      <w:r w:rsidR="00675D75">
        <w:t> </w:t>
      </w:r>
      <w:r w:rsidRPr="00B20A7C">
        <w:t xml:space="preserve">billion in </w:t>
      </w:r>
      <w:r w:rsidRPr="00237BB5">
        <w:t>2029, bringing total funding to an estimated $318.9</w:t>
      </w:r>
      <w:r w:rsidR="00EF2DCE">
        <w:t> </w:t>
      </w:r>
      <w:r w:rsidRPr="00237BB5">
        <w:t>billion over 2018 to 2029.</w:t>
      </w:r>
    </w:p>
  </w:footnote>
  <w:footnote w:id="3">
    <w:p w14:paraId="2197428C" w14:textId="0CA95E3D" w:rsidR="00D17784" w:rsidRDefault="00D17784">
      <w:pPr>
        <w:pStyle w:val="FootnoteText"/>
      </w:pPr>
      <w:r w:rsidRPr="00237BB5">
        <w:rPr>
          <w:rStyle w:val="FootnoteReference"/>
        </w:rPr>
        <w:footnoteRef/>
      </w:r>
      <w:r w:rsidRPr="00237BB5">
        <w:t xml:space="preserve"> The </w:t>
      </w:r>
      <w:r w:rsidRPr="00237BB5">
        <w:rPr>
          <w:i/>
          <w:iCs/>
        </w:rPr>
        <w:t xml:space="preserve">Australian Education Act 2013 </w:t>
      </w:r>
      <w:r w:rsidRPr="00237BB5">
        <w:t xml:space="preserve">(Cth.) </w:t>
      </w:r>
      <w:r w:rsidR="00237BB5" w:rsidRPr="00237BB5">
        <w:t>section</w:t>
      </w:r>
      <w:r w:rsidRPr="00237BB5">
        <w:t xml:space="preserve"> 22. The Australian</w:t>
      </w:r>
      <w:r>
        <w:t xml:space="preserve"> Education </w:t>
      </w:r>
      <w:r w:rsidRPr="00FA3919">
        <w:t>Act was amended on 23 June 2017 to give effect to the Quality Schools package.</w:t>
      </w:r>
    </w:p>
  </w:footnote>
  <w:footnote w:id="4">
    <w:p w14:paraId="42E0BFDD" w14:textId="52A52899" w:rsidR="00D17784" w:rsidRPr="0088227B" w:rsidRDefault="00D17784">
      <w:pPr>
        <w:pStyle w:val="FootnoteText"/>
        <w:rPr>
          <w:lang w:val="en-US"/>
        </w:rPr>
      </w:pPr>
      <w:r w:rsidRPr="00741DFA">
        <w:rPr>
          <w:rStyle w:val="FootnoteReference"/>
        </w:rPr>
        <w:footnoteRef/>
      </w:r>
      <w:r>
        <w:t xml:space="preserve"> Under Section 29 of the NSRA, parties agreed that an</w:t>
      </w:r>
      <w:r w:rsidRPr="00C56F90">
        <w:t xml:space="preserve"> independent review w</w:t>
      </w:r>
      <w:r>
        <w:t>ould</w:t>
      </w:r>
      <w:r w:rsidRPr="00C56F90">
        <w:t xml:space="preserve"> be commissioned on behalf of </w:t>
      </w:r>
      <w:r w:rsidR="00237BB5">
        <w:t xml:space="preserve">the </w:t>
      </w:r>
      <w:r w:rsidRPr="00C56F90">
        <w:t>Education Council to assess</w:t>
      </w:r>
      <w:r>
        <w:t xml:space="preserve"> ‘</w:t>
      </w:r>
      <w:r w:rsidRPr="00C56F90">
        <w:t>the effectiveness of the national policy initiatives</w:t>
      </w:r>
      <w:r>
        <w:t>’ and ‘</w:t>
      </w:r>
      <w:r w:rsidRPr="00C56F90">
        <w:t>the appropriateness of the National Measurement Framework for Schooling in measuring progress towards achieving the outcomes of this Agreement</w:t>
      </w:r>
      <w:r>
        <w:t>’</w:t>
      </w:r>
      <w:r w:rsidRPr="00C56F90">
        <w:t>.</w:t>
      </w:r>
      <w:r>
        <w:t xml:space="preserve"> Th</w:t>
      </w:r>
      <w:r w:rsidR="00D22C6D">
        <w:t>is review fulfils that commitment</w:t>
      </w:r>
      <w:r>
        <w:t>.</w:t>
      </w:r>
    </w:p>
  </w:footnote>
  <w:footnote w:id="5">
    <w:p w14:paraId="432D544E" w14:textId="77777777" w:rsidR="00D17784" w:rsidRDefault="00D17784">
      <w:pPr>
        <w:pStyle w:val="FootnoteText"/>
      </w:pPr>
      <w:r w:rsidRPr="00741DFA">
        <w:rPr>
          <w:rStyle w:val="FootnoteReference"/>
        </w:rPr>
        <w:footnoteRef/>
      </w:r>
      <w:r>
        <w:t xml:space="preserve"> The Measurement Framework for Schooling </w:t>
      </w:r>
      <w:r w:rsidRPr="003070BD">
        <w:t>underpins the National Report on Schooling in Australia</w:t>
      </w:r>
      <w:r>
        <w:t xml:space="preserve"> and </w:t>
      </w:r>
      <w:r w:rsidRPr="00883DE1">
        <w:t>informs other reports including the Report on Government Services released by the Productivity Commission.</w:t>
      </w:r>
    </w:p>
  </w:footnote>
  <w:footnote w:id="6">
    <w:p w14:paraId="3D081811" w14:textId="77777777" w:rsidR="00D17784" w:rsidRDefault="00D17784">
      <w:pPr>
        <w:pStyle w:val="FootnoteText"/>
      </w:pPr>
      <w:r>
        <w:rPr>
          <w:rStyle w:val="FootnoteReference"/>
        </w:rPr>
        <w:footnoteRef/>
      </w:r>
      <w:r>
        <w:t xml:space="preserve"> </w:t>
      </w:r>
      <w:r w:rsidRPr="001A52E0">
        <w:t>NSRA, s. 43(c</w:t>
      </w:r>
      <w:r>
        <w:t>)</w:t>
      </w:r>
      <w:r w:rsidRPr="001A52E0">
        <w:t>.</w:t>
      </w:r>
    </w:p>
  </w:footnote>
  <w:footnote w:id="7">
    <w:p w14:paraId="7A9014F2" w14:textId="77777777" w:rsidR="00D17784" w:rsidRDefault="00D17784">
      <w:pPr>
        <w:pStyle w:val="FootnoteText"/>
      </w:pPr>
      <w:r>
        <w:rPr>
          <w:rStyle w:val="FootnoteReference"/>
        </w:rPr>
        <w:footnoteRef/>
      </w:r>
      <w:r>
        <w:t xml:space="preserve"> </w:t>
      </w:r>
      <w:r w:rsidRPr="007E4AE6">
        <w:t xml:space="preserve">Attachment A reports performance of the Australian school systems against the sub outcomes specified in the NSRA since the NSRA commenced in </w:t>
      </w:r>
      <w:r w:rsidRPr="00CF4E26">
        <w:t>2018.</w:t>
      </w:r>
    </w:p>
  </w:footnote>
  <w:footnote w:id="8">
    <w:p w14:paraId="048080C7" w14:textId="62996E05" w:rsidR="00D17784" w:rsidRPr="00CC7DEC" w:rsidRDefault="00D17784">
      <w:pPr>
        <w:pStyle w:val="FootnoteText"/>
        <w:rPr>
          <w:spacing w:val="-4"/>
        </w:rPr>
      </w:pPr>
      <w:r w:rsidRPr="00CC7DEC">
        <w:rPr>
          <w:rStyle w:val="FootnoteReference"/>
          <w:spacing w:val="-4"/>
        </w:rPr>
        <w:footnoteRef/>
      </w:r>
      <w:r w:rsidRPr="00CC7DEC">
        <w:rPr>
          <w:spacing w:val="-4"/>
        </w:rPr>
        <w:t xml:space="preserve"> For example, for NAPLAN numeracy, a year 7 student performing at the bottom 10th percentile in a school will on average perform lower than the mean year 5 student. And a year 7 student performing at the top 10th percentile in a school will on average perform greater than the mean year 9 student. A larger spread was found in reading scores within individual schools across all year levels (for example, up to 6 years on average for year 5 students). The variation in NAPLAN results across the whole school system was greater than the average variation found within a school. </w:t>
      </w:r>
      <w:r w:rsidR="00954877">
        <w:rPr>
          <w:spacing w:val="-4"/>
        </w:rPr>
        <w:t>Results</w:t>
      </w:r>
      <w:r w:rsidRPr="00CC7DEC">
        <w:rPr>
          <w:spacing w:val="-4"/>
        </w:rPr>
        <w:t xml:space="preserve"> are based on 2021</w:t>
      </w:r>
      <w:r w:rsidR="00954877">
        <w:rPr>
          <w:spacing w:val="-4"/>
        </w:rPr>
        <w:t xml:space="preserve"> data</w:t>
      </w:r>
      <w:r w:rsidR="00CC7DEC">
        <w:rPr>
          <w:spacing w:val="-4"/>
        </w:rPr>
        <w:t>.</w:t>
      </w:r>
    </w:p>
  </w:footnote>
  <w:footnote w:id="9">
    <w:p w14:paraId="50D90552" w14:textId="54E09B7D" w:rsidR="00D17784" w:rsidRDefault="00D17784">
      <w:pPr>
        <w:pStyle w:val="FootnoteText"/>
      </w:pPr>
      <w:r>
        <w:rPr>
          <w:rStyle w:val="FootnoteReference"/>
        </w:rPr>
        <w:footnoteRef/>
      </w:r>
      <w:r>
        <w:t xml:space="preserve"> </w:t>
      </w:r>
      <w:r w:rsidRPr="00376DFF">
        <w:t>Governments committed to introducing a national USI as far back as 2009 (MCEETYA 2009, p. 19).</w:t>
      </w:r>
    </w:p>
  </w:footnote>
  <w:footnote w:id="10">
    <w:p w14:paraId="3F08EECE" w14:textId="27B4A088" w:rsidR="00D27079" w:rsidRPr="00437C71" w:rsidRDefault="00D27079" w:rsidP="00D27079">
      <w:pPr>
        <w:pStyle w:val="FootnoteText"/>
        <w:rPr>
          <w:lang w:val="en-US"/>
        </w:rPr>
      </w:pPr>
      <w:r>
        <w:rPr>
          <w:rStyle w:val="FootnoteReference"/>
        </w:rPr>
        <w:footnoteRef/>
      </w:r>
      <w:r>
        <w:t xml:space="preserve"> </w:t>
      </w:r>
      <w:r w:rsidRPr="002E14B7">
        <w:t>AITSL 2021, p. 38; Education Council 2020, p. 1</w:t>
      </w:r>
    </w:p>
  </w:footnote>
  <w:footnote w:id="11">
    <w:p w14:paraId="30ADE904" w14:textId="77777777" w:rsidR="00D17784" w:rsidRDefault="00D17784">
      <w:pPr>
        <w:pStyle w:val="Reference"/>
      </w:pPr>
      <w:r w:rsidRPr="4E1C5B4D">
        <w:rPr>
          <w:rStyle w:val="FootnoteReference"/>
        </w:rPr>
        <w:footnoteRef/>
      </w:r>
      <w:r w:rsidRPr="16D57E7C">
        <w:t xml:space="preserve"> </w:t>
      </w:r>
      <w:r w:rsidRPr="002168BC">
        <w:rPr>
          <w:rStyle w:val="FootnoteTextChar"/>
        </w:rPr>
        <w:t>These include the national curriculum,</w:t>
      </w:r>
      <w:r w:rsidRPr="002168BC" w:rsidDel="004F7CE7">
        <w:rPr>
          <w:rStyle w:val="FootnoteTextChar"/>
        </w:rPr>
        <w:t xml:space="preserve"> </w:t>
      </w:r>
      <w:r w:rsidRPr="002168BC">
        <w:rPr>
          <w:rStyle w:val="FootnoteTextChar"/>
        </w:rPr>
        <w:t>national testing regime (NAPLAN), national data collections, reporting frameworks, teaching standards and institutions such as ACARA and AITSL.</w:t>
      </w:r>
    </w:p>
  </w:footnote>
  <w:footnote w:id="12">
    <w:p w14:paraId="1AD10A35" w14:textId="591E6C6E" w:rsidR="00D17784" w:rsidRPr="00F626BA" w:rsidRDefault="00D17784">
      <w:pPr>
        <w:pStyle w:val="FootnoteText"/>
      </w:pPr>
      <w:r>
        <w:rPr>
          <w:rStyle w:val="FootnoteReference"/>
        </w:rPr>
        <w:footnoteRef/>
      </w:r>
      <w:r>
        <w:t xml:space="preserve"> </w:t>
      </w:r>
      <w:r w:rsidRPr="000C016D">
        <w:t xml:space="preserve">COAG (2018); DSS </w:t>
      </w:r>
      <w:r w:rsidR="00643EB2" w:rsidRPr="00643EB2">
        <w:rPr>
          <w:rFonts w:ascii="Arial" w:hAnsi="Arial" w:cs="Arial"/>
        </w:rPr>
        <w:t>(2021a)</w:t>
      </w:r>
      <w:r w:rsidRPr="000C016D">
        <w:t>; DESE</w:t>
      </w:r>
      <w:r>
        <w:t xml:space="preserve"> </w:t>
      </w:r>
      <w:r w:rsidR="00643EB2" w:rsidRPr="00643EB2">
        <w:rPr>
          <w:rFonts w:ascii="Arial" w:hAnsi="Arial" w:cs="Arial"/>
        </w:rPr>
        <w:t>(2020b)</w:t>
      </w:r>
      <w:r w:rsidRPr="000C016D">
        <w:t>; Education Council (2015); DET (2018); Coalition of Aboriginal and Torres Strait Islander Peak Organisations and All Australian Governments (2020);</w:t>
      </w:r>
      <w:r w:rsidRPr="001652E5">
        <w:t xml:space="preserve"> </w:t>
      </w:r>
      <w:r>
        <w:t xml:space="preserve">Education Council </w:t>
      </w:r>
      <w:r w:rsidR="00643EB2" w:rsidRPr="00643EB2">
        <w:rPr>
          <w:rFonts w:ascii="Arial" w:hAnsi="Arial" w:cs="Arial"/>
        </w:rPr>
        <w:t>(2020c)</w:t>
      </w:r>
      <w:r w:rsidRPr="000C016D">
        <w:t>; NCCD (2020).</w:t>
      </w:r>
    </w:p>
  </w:footnote>
  <w:footnote w:id="13">
    <w:p w14:paraId="60815F3B" w14:textId="77777777" w:rsidR="00D17784" w:rsidRPr="00593ECB" w:rsidRDefault="00D17784">
      <w:pPr>
        <w:pStyle w:val="FootnoteText"/>
        <w:rPr>
          <w:lang w:val="en-US"/>
        </w:rPr>
      </w:pPr>
      <w:r>
        <w:rPr>
          <w:rStyle w:val="FootnoteReference"/>
        </w:rPr>
        <w:footnoteRef/>
      </w:r>
      <w:r>
        <w:t xml:space="preserve"> </w:t>
      </w:r>
      <w:r w:rsidRPr="002168BC">
        <w:t>Commission analysis suggests a one standard deviation increase in the effectiveness of an average teacher would raise average lifetime earnings of the classroom by several hundreds of thousands of dollars each year.</w:t>
      </w:r>
      <w:r w:rsidRPr="00593ECB">
        <w:t xml:space="preserve">  </w:t>
      </w:r>
    </w:p>
  </w:footnote>
  <w:footnote w:id="14">
    <w:p w14:paraId="5E2F3B50" w14:textId="507AA4B3" w:rsidR="00D17784" w:rsidRPr="006F1E08" w:rsidRDefault="00D17784">
      <w:pPr>
        <w:pStyle w:val="FootnoteText"/>
        <w:rPr>
          <w:lang w:val="en-US"/>
        </w:rPr>
      </w:pPr>
      <w:r>
        <w:rPr>
          <w:rStyle w:val="FootnoteReference"/>
        </w:rPr>
        <w:footnoteRef/>
      </w:r>
      <w:r>
        <w:t xml:space="preserve"> </w:t>
      </w:r>
      <w:r w:rsidRPr="000E18E7">
        <w:t xml:space="preserve">While intentions data do not necessarily correlate with attrition, </w:t>
      </w:r>
      <w:r w:rsidR="009D4D79">
        <w:t>they</w:t>
      </w:r>
      <w:r w:rsidRPr="000E18E7">
        <w:t xml:space="preserve"> can be a good barometer of current perceptions and the mindset in a group.</w:t>
      </w:r>
    </w:p>
  </w:footnote>
  <w:footnote w:id="15">
    <w:p w14:paraId="550366F2" w14:textId="426CBD20" w:rsidR="00D17784" w:rsidRPr="0013315E" w:rsidRDefault="00D17784">
      <w:pPr>
        <w:pStyle w:val="FootnoteText"/>
        <w:rPr>
          <w:lang w:val="en-US"/>
        </w:rPr>
      </w:pPr>
      <w:r>
        <w:rPr>
          <w:rStyle w:val="FootnoteReference"/>
        </w:rPr>
        <w:footnoteRef/>
      </w:r>
      <w:r>
        <w:t xml:space="preserve"> </w:t>
      </w:r>
      <w:r w:rsidRPr="000E18E7">
        <w:t>See for example Goss and Sonnemann 2020, pp. 23–24 and AITSL 2019.</w:t>
      </w:r>
    </w:p>
  </w:footnote>
  <w:footnote w:id="16">
    <w:p w14:paraId="71F7E0D1" w14:textId="05805980" w:rsidR="00E85729" w:rsidRPr="002F6025" w:rsidRDefault="00E85729" w:rsidP="00E85729">
      <w:pPr>
        <w:pStyle w:val="FootnoteText"/>
        <w:rPr>
          <w:spacing w:val="-4"/>
          <w:lang w:val="en-US"/>
        </w:rPr>
      </w:pPr>
      <w:r w:rsidRPr="002F6025">
        <w:rPr>
          <w:rStyle w:val="FootnoteReference"/>
          <w:spacing w:val="-4"/>
        </w:rPr>
        <w:footnoteRef/>
      </w:r>
      <w:r w:rsidRPr="002F6025">
        <w:rPr>
          <w:spacing w:val="-4"/>
        </w:rPr>
        <w:t xml:space="preserve"> Students with disability are identified as a priority equity cohort in the NSRA, but NAPLAN performance data </w:t>
      </w:r>
      <w:r w:rsidR="00CD6A68" w:rsidRPr="002F6025">
        <w:rPr>
          <w:spacing w:val="-4"/>
        </w:rPr>
        <w:t>are</w:t>
      </w:r>
      <w:r w:rsidRPr="002F6025">
        <w:rPr>
          <w:spacing w:val="-4"/>
        </w:rPr>
        <w:t xml:space="preserve"> not published for students with disability. As a consequence</w:t>
      </w:r>
      <w:r w:rsidR="00A74BE1">
        <w:rPr>
          <w:spacing w:val="-4"/>
        </w:rPr>
        <w:t>,</w:t>
      </w:r>
      <w:r w:rsidRPr="002F6025">
        <w:rPr>
          <w:spacing w:val="-4"/>
        </w:rPr>
        <w:t xml:space="preserve"> the Commission was unable to include these students in its analysis.</w:t>
      </w:r>
    </w:p>
  </w:footnote>
  <w:footnote w:id="17">
    <w:p w14:paraId="7E91278E" w14:textId="77777777" w:rsidR="00D17784" w:rsidRPr="00210A54" w:rsidRDefault="00D17784">
      <w:pPr>
        <w:pStyle w:val="FootnoteText"/>
        <w:rPr>
          <w:lang w:val="en-US"/>
        </w:rPr>
      </w:pPr>
      <w:r>
        <w:rPr>
          <w:rStyle w:val="FootnoteReference"/>
        </w:rPr>
        <w:footnoteRef/>
      </w:r>
      <w:r>
        <w:t xml:space="preserve"> For children </w:t>
      </w:r>
      <w:r w:rsidRPr="00927D47">
        <w:t>aged 0–14 years</w:t>
      </w:r>
      <w:r>
        <w:t>, based on the Survey of Disability, Ageing and Carers, Australia.</w:t>
      </w:r>
    </w:p>
  </w:footnote>
  <w:footnote w:id="18">
    <w:p w14:paraId="21A76408" w14:textId="77777777" w:rsidR="00D17784" w:rsidRPr="00592416" w:rsidRDefault="00D17784">
      <w:pPr>
        <w:pStyle w:val="FootnoteText"/>
      </w:pPr>
      <w:r>
        <w:rPr>
          <w:rStyle w:val="FootnoteReference"/>
        </w:rPr>
        <w:footnoteRef/>
      </w:r>
      <w:r>
        <w:t xml:space="preserve"> </w:t>
      </w:r>
      <w:r w:rsidRPr="00592416">
        <w:t>It has been estimated over 600,000 EAL/D learners need English language support in schools throughout Australia.</w:t>
      </w:r>
    </w:p>
  </w:footnote>
  <w:footnote w:id="19">
    <w:p w14:paraId="2DB53AAF" w14:textId="50E402EB" w:rsidR="00D17784" w:rsidRDefault="00D17784">
      <w:pPr>
        <w:pStyle w:val="FootnoteText"/>
      </w:pPr>
      <w:r>
        <w:rPr>
          <w:rStyle w:val="FootnoteReference"/>
        </w:rPr>
        <w:footnoteRef/>
      </w:r>
      <w:r>
        <w:t xml:space="preserve"> </w:t>
      </w:r>
      <w:r w:rsidRPr="00376DFF">
        <w:t>As at 30 June 202</w:t>
      </w:r>
      <w:r>
        <w:t>1</w:t>
      </w:r>
      <w:r w:rsidRPr="00376DFF">
        <w:t xml:space="preserve">, there were </w:t>
      </w:r>
      <w:r>
        <w:t>about</w:t>
      </w:r>
      <w:r w:rsidRPr="00376DFF">
        <w:t xml:space="preserve"> 46,</w:t>
      </w:r>
      <w:r>
        <w:t>2</w:t>
      </w:r>
      <w:r w:rsidRPr="00376DFF">
        <w:t>00 children in out-of-home care across Australia.</w:t>
      </w:r>
    </w:p>
  </w:footnote>
  <w:footnote w:id="20">
    <w:p w14:paraId="1C9912C2" w14:textId="62813813" w:rsidR="00D17784" w:rsidRDefault="00D17784">
      <w:pPr>
        <w:pStyle w:val="FootnoteText"/>
      </w:pPr>
      <w:r>
        <w:rPr>
          <w:rStyle w:val="FootnoteReference"/>
        </w:rPr>
        <w:footnoteRef/>
      </w:r>
      <w:r>
        <w:t xml:space="preserve"> </w:t>
      </w:r>
      <w:r w:rsidRPr="00376DFF">
        <w:t xml:space="preserve">Parties agreed that they would set out existing and/or new reforms to lift outcomes for </w:t>
      </w:r>
      <w:r w:rsidR="00912C87">
        <w:t xml:space="preserve">students from </w:t>
      </w:r>
      <w:r w:rsidRPr="00376DFF">
        <w:t>priority equity cohorts</w:t>
      </w:r>
      <w:r w:rsidR="00912C87">
        <w:t>,</w:t>
      </w:r>
      <w:r w:rsidRPr="00376DFF">
        <w:t xml:space="preserve"> including Aboriginal and Torres Strait Islander students, students living in regional, rural and remote locations, students with a disability and students from educationally disadvantaged backgrounds (NSRA, s. 49 (c)).</w:t>
      </w:r>
    </w:p>
  </w:footnote>
  <w:footnote w:id="21">
    <w:p w14:paraId="37716562" w14:textId="77777777" w:rsidR="00D17784" w:rsidRDefault="00D17784">
      <w:pPr>
        <w:pStyle w:val="FootnoteText"/>
        <w:rPr>
          <w:rFonts w:ascii="Arial" w:hAnsi="Arial" w:cs="Arial"/>
        </w:rPr>
      </w:pPr>
      <w:r w:rsidRPr="7FF7A0D7">
        <w:rPr>
          <w:rStyle w:val="FootnoteReference"/>
          <w:szCs w:val="18"/>
        </w:rPr>
        <w:footnoteRef/>
      </w:r>
      <w:r w:rsidRPr="7FF7A0D7">
        <w:rPr>
          <w:szCs w:val="18"/>
        </w:rPr>
        <w:t xml:space="preserve"> </w:t>
      </w:r>
      <w:r w:rsidRPr="00907F84">
        <w:t>For example, every jurisdiction’s agreement contains a commitment to continue work on the Nationally Consistent Collection of Data on School Students with Disability, a project already in train well before the NSRA.</w:t>
      </w:r>
    </w:p>
  </w:footnote>
  <w:footnote w:id="22">
    <w:p w14:paraId="144B3054" w14:textId="3C4E1BFC" w:rsidR="00D17784" w:rsidRDefault="00D17784" w:rsidP="00CC7DEC">
      <w:pPr>
        <w:pStyle w:val="FootnoteText"/>
      </w:pPr>
      <w:r w:rsidRPr="711C566B">
        <w:rPr>
          <w:rStyle w:val="FootnoteReference"/>
        </w:rPr>
        <w:footnoteRef/>
      </w:r>
      <w:r>
        <w:t xml:space="preserve"> </w:t>
      </w:r>
      <w:r w:rsidRPr="00907F84">
        <w:t>Under</w:t>
      </w:r>
      <w:r w:rsidRPr="00AF339D">
        <w:rPr>
          <w:sz w:val="16"/>
        </w:rPr>
        <w:t xml:space="preserve"> </w:t>
      </w:r>
      <w:r w:rsidRPr="00907F84">
        <w:t xml:space="preserve">the NSRA </w:t>
      </w:r>
      <w:r>
        <w:t xml:space="preserve">(s. 53(c)) </w:t>
      </w:r>
      <w:r w:rsidRPr="00907F84">
        <w:t>parties agreed to ‘continuing public accountability on progress towards meeting targets through existing COAG performance reporting arrangements’. The National Measurement Framework for Schooling in Australia, including the schedule of key performance measures, provides the basis for Australian Education Ministers to report to the community on the performance of schooling (ACARA 2020).</w:t>
      </w:r>
    </w:p>
  </w:footnote>
  <w:footnote w:id="23">
    <w:p w14:paraId="2389C42F" w14:textId="77777777" w:rsidR="00D17784" w:rsidRPr="000C0763" w:rsidRDefault="00D17784">
      <w:pPr>
        <w:pStyle w:val="FootnoteText"/>
        <w:rPr>
          <w:lang w:val="en-US"/>
        </w:rPr>
      </w:pPr>
      <w:r>
        <w:rPr>
          <w:rStyle w:val="FootnoteReference"/>
        </w:rPr>
        <w:footnoteRef/>
      </w:r>
      <w:r>
        <w:t xml:space="preserve"> </w:t>
      </w:r>
      <w:r w:rsidRPr="00907F84">
        <w:t>Albeit with some diminution in data quality due to disaggregation and small sample sizes.</w:t>
      </w:r>
    </w:p>
  </w:footnote>
  <w:footnote w:id="24">
    <w:p w14:paraId="3B325C6F" w14:textId="16028DA3" w:rsidR="00D17784" w:rsidRPr="00CC7DEC" w:rsidRDefault="00D17784" w:rsidP="00CC7DEC">
      <w:pPr>
        <w:pStyle w:val="FootnoteText"/>
        <w:rPr>
          <w:spacing w:val="-4"/>
        </w:rPr>
      </w:pPr>
      <w:r w:rsidRPr="00CC7DEC">
        <w:rPr>
          <w:rStyle w:val="FootnoteReference"/>
          <w:spacing w:val="-4"/>
        </w:rPr>
        <w:footnoteRef/>
      </w:r>
      <w:r w:rsidRPr="00CC7DEC">
        <w:rPr>
          <w:spacing w:val="-4"/>
        </w:rPr>
        <w:t xml:space="preserve"> </w:t>
      </w:r>
      <w:r w:rsidRPr="00CC7DEC">
        <w:rPr>
          <w:rStyle w:val="FootnoteTextChar"/>
          <w:spacing w:val="-4"/>
        </w:rPr>
        <w:t xml:space="preserve">Under the NSRA (s. 39) parties </w:t>
      </w:r>
      <w:r w:rsidRPr="00CC7DEC">
        <w:t>agreed</w:t>
      </w:r>
      <w:r w:rsidRPr="00CC7DEC">
        <w:rPr>
          <w:rStyle w:val="FootnoteTextChar"/>
          <w:spacing w:val="-4"/>
        </w:rPr>
        <w:t xml:space="preserve"> to consider improvements to outcomes and sub-outcomes over tim</w:t>
      </w:r>
      <w:r w:rsidR="00E52D41" w:rsidRPr="00CC7DEC">
        <w:rPr>
          <w:rStyle w:val="FootnoteTextChar"/>
          <w:spacing w:val="-4"/>
        </w:rPr>
        <w:t>e</w:t>
      </w:r>
      <w:r w:rsidRPr="00CC7DEC">
        <w:rPr>
          <w:rStyle w:val="FootnoteTextChar"/>
          <w:spacing w:val="-4"/>
        </w:rPr>
        <w:t xml:space="preserve"> including enhancements to the existing performance measures and developing further performance measures reflecting priority areas.</w:t>
      </w:r>
      <w:r w:rsidRPr="00CC7DEC">
        <w:rPr>
          <w:spacing w:val="-4"/>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B4EEC" w14:textId="77777777" w:rsidR="004F7BE2" w:rsidRPr="007215EF" w:rsidRDefault="004F7BE2" w:rsidP="007215EF">
    <w:r w:rsidRPr="007215EF">
      <w:rPr>
        <w:noProof/>
      </w:rPr>
      <w:drawing>
        <wp:anchor distT="0" distB="0" distL="114300" distR="114300" simplePos="0" relativeHeight="251658240" behindDoc="0" locked="1" layoutInCell="1" allowOverlap="1" wp14:anchorId="17006809" wp14:editId="2A395A0B">
          <wp:simplePos x="0" y="0"/>
          <wp:positionH relativeFrom="margin">
            <wp:align>left</wp:align>
          </wp:positionH>
          <wp:positionV relativeFrom="page">
            <wp:align>top</wp:align>
          </wp:positionV>
          <wp:extent cx="2235600" cy="1058400"/>
          <wp:effectExtent l="0" t="0" r="0" b="8890"/>
          <wp:wrapNone/>
          <wp:docPr id="36" name="Logo"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Logo"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C6F8F38" w14:textId="77777777" w:rsidR="004F7BE2" w:rsidRPr="005965BC" w:rsidRDefault="004F7BE2" w:rsidP="005965B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0F8AD4" w14:textId="537CB524" w:rsidR="004F7BE2" w:rsidRPr="00201320" w:rsidRDefault="00F62909" w:rsidP="004544D6">
    <w:pPr>
      <w:pStyle w:val="Header-Keyline"/>
      <w:rPr>
        <w:rStyle w:val="Strong"/>
        <w:b w:val="0"/>
        <w:bCs w:val="0"/>
      </w:rPr>
    </w:pPr>
    <w:r>
      <w:rPr>
        <w:rStyle w:val="Strong"/>
      </w:rPr>
      <w:t>Review of the National School Reform Agreement</w:t>
    </w:r>
    <w:r w:rsidR="00F15C3B">
      <w:t xml:space="preserve"> Interim</w:t>
    </w:r>
    <w:r w:rsidR="004F7BE2">
      <w:t xml:space="preserve"> </w:t>
    </w:r>
    <w:r w:rsidR="009E3265">
      <w:t>r</w:t>
    </w:r>
    <w:r w:rsidR="004F7BE2">
      <w:t>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6CF00" w14:textId="492FCD91" w:rsidR="004F7BE2" w:rsidRDefault="00C03B32" w:rsidP="004544D6">
    <w:pPr>
      <w:pStyle w:val="Header-KeylineRight"/>
    </w:pPr>
    <w:fldSimple w:instr="STYLEREF  &quot;Heading 1-no background&quot;  \* MERGEFORMAT">
      <w:r w:rsidR="00C642E8">
        <w:rPr>
          <w:noProof/>
        </w:rPr>
        <w:t>Opportunity for comment</w:t>
      </w:r>
    </w:fldSimple>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89577" w14:textId="7AC62E25" w:rsidR="006F0FDD" w:rsidRPr="00344127" w:rsidRDefault="00C03B32" w:rsidP="00344127">
    <w:pPr>
      <w:pStyle w:val="Header-KeylineRight"/>
    </w:pPr>
    <w:fldSimple w:instr="STYLEREF  &quot;Heading 1-no background&quot;  \* MERGEFORMAT">
      <w:r w:rsidR="00C642E8">
        <w:rPr>
          <w:noProof/>
        </w:rPr>
        <w:t>Contents</w:t>
      </w:r>
    </w:fldSimple>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FB97" w14:textId="464957AF" w:rsidR="00344127" w:rsidRPr="00344127" w:rsidRDefault="00C03B32" w:rsidP="00344127">
    <w:pPr>
      <w:pStyle w:val="Header-KeylineRight"/>
    </w:pPr>
    <w:fldSimple w:instr="STYLEREF  &quot;Heading 1-no background&quot;  \* MERGEFORMAT">
      <w:r w:rsidR="00C642E8">
        <w:rPr>
          <w:noProof/>
        </w:rPr>
        <w:t>Contents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9BBB5" w14:textId="001DAF95" w:rsidR="00EF4E1D" w:rsidRPr="00344127" w:rsidRDefault="00C03B32" w:rsidP="00344127">
    <w:pPr>
      <w:pStyle w:val="Header-KeylineRight"/>
    </w:pPr>
    <w:fldSimple w:instr=" STYLEREF  &quot;Heading 1-Section-full page&quot;  \* MERGEFORMAT ">
      <w:r w:rsidR="00C642E8">
        <w:rPr>
          <w:noProof/>
        </w:rPr>
        <w:t>Overview</w:t>
      </w:r>
    </w:fldSimple>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E1E509" w14:textId="64F67784" w:rsidR="00B60C69" w:rsidRDefault="00834C4D">
    <w:pPr>
      <w:pStyle w:val="Header-KeylineRight"/>
    </w:pPr>
    <w:r>
      <w:t>Recommendations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AC8872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3"/>
    <w:multiLevelType w:val="singleLevel"/>
    <w:tmpl w:val="92CE65B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AD144A50"/>
    <w:lvl w:ilvl="0">
      <w:start w:val="1"/>
      <w:numFmt w:val="decimal"/>
      <w:lvlText w:val="%1."/>
      <w:lvlJc w:val="left"/>
      <w:pPr>
        <w:tabs>
          <w:tab w:val="num" w:pos="360"/>
        </w:tabs>
        <w:ind w:left="360" w:hanging="360"/>
      </w:pPr>
      <w:rPr>
        <w:color w:val="265A9A" w:themeColor="background2"/>
      </w:rPr>
    </w:lvl>
  </w:abstractNum>
  <w:abstractNum w:abstractNumId="3" w15:restartNumberingAfterBreak="0">
    <w:nsid w:val="FFFFFF89"/>
    <w:multiLevelType w:val="singleLevel"/>
    <w:tmpl w:val="483A678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35042C5"/>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5" w15:restartNumberingAfterBreak="0">
    <w:nsid w:val="04543D19"/>
    <w:multiLevelType w:val="hybridMultilevel"/>
    <w:tmpl w:val="746A7E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9" w15:restartNumberingAfterBreak="0">
    <w:nsid w:val="0F3E6C9D"/>
    <w:multiLevelType w:val="multilevel"/>
    <w:tmpl w:val="FF8069A4"/>
    <w:numStyleLink w:val="Bullets"/>
  </w:abstractNum>
  <w:abstractNum w:abstractNumId="10" w15:restartNumberingAfterBreak="0">
    <w:nsid w:val="0F6F37EA"/>
    <w:multiLevelType w:val="multilevel"/>
    <w:tmpl w:val="1FA8DC2A"/>
    <w:styleLink w:val="Numbering"/>
    <w:lvl w:ilvl="0">
      <w:start w:val="1"/>
      <w:numFmt w:val="decimal"/>
      <w:pStyle w:val="ListNumber"/>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1"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2" w15:restartNumberingAfterBreak="0">
    <w:nsid w:val="149838F1"/>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13"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4"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C0220CF"/>
    <w:multiLevelType w:val="multilevel"/>
    <w:tmpl w:val="3176CE9A"/>
    <w:lvl w:ilvl="0">
      <w:start w:val="5"/>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D665246"/>
    <w:multiLevelType w:val="multilevel"/>
    <w:tmpl w:val="55366B42"/>
    <w:numStyleLink w:val="LetteredList"/>
  </w:abstractNum>
  <w:abstractNum w:abstractNumId="18" w15:restartNumberingAfterBreak="0">
    <w:nsid w:val="2DFE29AF"/>
    <w:multiLevelType w:val="multilevel"/>
    <w:tmpl w:val="72768BCE"/>
    <w:numStyleLink w:val="AppendixHeadingList"/>
  </w:abstractNum>
  <w:abstractNum w:abstractNumId="19" w15:restartNumberingAfterBreak="0">
    <w:nsid w:val="2EFD4985"/>
    <w:multiLevelType w:val="multilevel"/>
    <w:tmpl w:val="1FA8DC2A"/>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20"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A1446D2"/>
    <w:multiLevelType w:val="hybridMultilevel"/>
    <w:tmpl w:val="743246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3C624CC8"/>
    <w:multiLevelType w:val="hybridMultilevel"/>
    <w:tmpl w:val="AB36CFB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0815576"/>
    <w:multiLevelType w:val="hybridMultilevel"/>
    <w:tmpl w:val="ED5457C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4FE00B03"/>
    <w:multiLevelType w:val="multilevel"/>
    <w:tmpl w:val="69CC16E4"/>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26" w15:restartNumberingAfterBreak="0">
    <w:nsid w:val="5B213878"/>
    <w:multiLevelType w:val="singleLevel"/>
    <w:tmpl w:val="CDBAEF70"/>
    <w:lvl w:ilvl="0">
      <w:start w:val="1"/>
      <w:numFmt w:val="decimal"/>
      <w:lvlText w:val="%1."/>
      <w:lvlJc w:val="left"/>
      <w:pPr>
        <w:tabs>
          <w:tab w:val="num" w:pos="360"/>
        </w:tabs>
        <w:ind w:left="360" w:hanging="360"/>
      </w:pPr>
      <w:rPr>
        <w:rFonts w:hint="default"/>
        <w:color w:val="auto"/>
      </w:rPr>
    </w:lvl>
  </w:abstractNum>
  <w:abstractNum w:abstractNumId="2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29" w15:restartNumberingAfterBreak="0">
    <w:nsid w:val="613047C9"/>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30" w15:restartNumberingAfterBreak="0">
    <w:nsid w:val="62EC3645"/>
    <w:multiLevelType w:val="hybridMultilevel"/>
    <w:tmpl w:val="A72CCA3C"/>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3E17257"/>
    <w:multiLevelType w:val="multilevel"/>
    <w:tmpl w:val="7FA0A7DA"/>
    <w:lvl w:ilvl="0">
      <w:start w:val="3"/>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64376C5B"/>
    <w:multiLevelType w:val="hybridMultilevel"/>
    <w:tmpl w:val="0D409900"/>
    <w:lvl w:ilvl="0" w:tplc="0C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BD50AE5"/>
    <w:multiLevelType w:val="singleLevel"/>
    <w:tmpl w:val="E1D40928"/>
    <w:lvl w:ilvl="0">
      <w:start w:val="1"/>
      <w:numFmt w:val="decimal"/>
      <w:lvlText w:val="%1."/>
      <w:lvlJc w:val="left"/>
      <w:pPr>
        <w:tabs>
          <w:tab w:val="num" w:pos="360"/>
        </w:tabs>
        <w:ind w:left="360" w:hanging="360"/>
      </w:pPr>
      <w:rPr>
        <w:color w:val="265A9A" w:themeColor="background2"/>
      </w:rPr>
    </w:lvl>
  </w:abstractNum>
  <w:abstractNum w:abstractNumId="34" w15:restartNumberingAfterBreak="0">
    <w:nsid w:val="6C036E1C"/>
    <w:multiLevelType w:val="multilevel"/>
    <w:tmpl w:val="69CC16E4"/>
    <w:lvl w:ilvl="0">
      <w:start w:val="1"/>
      <w:numFmt w:val="decimal"/>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454" w:hanging="227"/>
      </w:pPr>
      <w:rPr>
        <w:rFonts w:hint="default"/>
      </w:rPr>
    </w:lvl>
    <w:lvl w:ilvl="3">
      <w:start w:val="1"/>
      <w:numFmt w:val="lowerRoman"/>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35" w15:restartNumberingAfterBreak="0">
    <w:nsid w:val="727950B2"/>
    <w:multiLevelType w:val="hybridMultilevel"/>
    <w:tmpl w:val="152C9F3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61B4A1B"/>
    <w:multiLevelType w:val="multilevel"/>
    <w:tmpl w:val="4F48000A"/>
    <w:numStyleLink w:val="Alphalist"/>
  </w:abstractNum>
  <w:abstractNum w:abstractNumId="37" w15:restartNumberingAfterBreak="0">
    <w:nsid w:val="795B62A5"/>
    <w:multiLevelType w:val="hybridMultilevel"/>
    <w:tmpl w:val="1DA6B5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FA0BF7"/>
    <w:multiLevelType w:val="singleLevel"/>
    <w:tmpl w:val="647A25CE"/>
    <w:lvl w:ilvl="0">
      <w:start w:val="1"/>
      <w:numFmt w:val="decimal"/>
      <w:lvlText w:val="%1."/>
      <w:lvlJc w:val="left"/>
      <w:pPr>
        <w:tabs>
          <w:tab w:val="num" w:pos="360"/>
        </w:tabs>
        <w:ind w:left="360" w:hanging="360"/>
      </w:pPr>
      <w:rPr>
        <w:color w:val="auto"/>
      </w:rPr>
    </w:lvl>
  </w:abstractNum>
  <w:num w:numId="1">
    <w:abstractNumId w:val="9"/>
  </w:num>
  <w:num w:numId="2">
    <w:abstractNumId w:val="14"/>
  </w:num>
  <w:num w:numId="3">
    <w:abstractNumId w:val="2"/>
    <w:lvlOverride w:ilvl="0">
      <w:startOverride w:val="1"/>
    </w:lvlOverride>
  </w:num>
  <w:num w:numId="4">
    <w:abstractNumId w:val="2"/>
    <w:lvlOverride w:ilvl="0">
      <w:startOverride w:val="1"/>
    </w:lvlOverride>
  </w:num>
  <w:num w:numId="5">
    <w:abstractNumId w:val="2"/>
    <w:lvlOverride w:ilvl="0">
      <w:startOverride w:val="1"/>
    </w:lvlOverride>
  </w:num>
  <w:num w:numId="6">
    <w:abstractNumId w:val="5"/>
  </w:num>
  <w:num w:numId="7">
    <w:abstractNumId w:val="25"/>
  </w:num>
  <w:num w:numId="8">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37"/>
  </w:num>
  <w:num w:numId="10">
    <w:abstractNumId w:val="21"/>
  </w:num>
  <w:num w:numId="11">
    <w:abstractNumId w:val="35"/>
  </w:num>
  <w:num w:numId="12">
    <w:abstractNumId w:val="31"/>
  </w:num>
  <w:num w:numId="13">
    <w:abstractNumId w:val="15"/>
  </w:num>
  <w:num w:numId="14">
    <w:abstractNumId w:val="22"/>
  </w:num>
  <w:num w:numId="15">
    <w:abstractNumId w:val="32"/>
  </w:num>
  <w:num w:numId="16">
    <w:abstractNumId w:val="23"/>
  </w:num>
  <w:num w:numId="17">
    <w:abstractNumId w:val="30"/>
  </w:num>
  <w:num w:numId="18">
    <w:abstractNumId w:val="19"/>
  </w:num>
  <w:num w:numId="19">
    <w:abstractNumId w:val="38"/>
  </w:num>
  <w:num w:numId="20">
    <w:abstractNumId w:val="26"/>
  </w:num>
  <w:num w:numId="21">
    <w:abstractNumId w:val="29"/>
  </w:num>
  <w:num w:numId="22">
    <w:abstractNumId w:val="12"/>
  </w:num>
  <w:num w:numId="23">
    <w:abstractNumId w:val="33"/>
  </w:num>
  <w:num w:numId="24">
    <w:abstractNumId w:val="11"/>
  </w:num>
  <w:num w:numId="25">
    <w:abstractNumId w:val="7"/>
  </w:num>
  <w:num w:numId="26">
    <w:abstractNumId w:val="16"/>
  </w:num>
  <w:num w:numId="27">
    <w:abstractNumId w:val="27"/>
  </w:num>
  <w:num w:numId="28">
    <w:abstractNumId w:val="28"/>
  </w:num>
  <w:num w:numId="29">
    <w:abstractNumId w:val="24"/>
  </w:num>
  <w:num w:numId="30">
    <w:abstractNumId w:val="18"/>
  </w:num>
  <w:num w:numId="31">
    <w:abstractNumId w:val="13"/>
  </w:num>
  <w:num w:numId="32">
    <w:abstractNumId w:val="17"/>
  </w:num>
  <w:num w:numId="33">
    <w:abstractNumId w:val="36"/>
  </w:num>
  <w:num w:numId="34">
    <w:abstractNumId w:val="0"/>
  </w:num>
  <w:num w:numId="35">
    <w:abstractNumId w:val="8"/>
  </w:num>
  <w:num w:numId="36">
    <w:abstractNumId w:val="14"/>
  </w:num>
  <w:num w:numId="37">
    <w:abstractNumId w:val="10"/>
  </w:num>
  <w:num w:numId="38">
    <w:abstractNumId w:val="9"/>
  </w:num>
  <w:num w:numId="39">
    <w:abstractNumId w:val="6"/>
  </w:num>
  <w:num w:numId="40">
    <w:abstractNumId w:val="20"/>
  </w:num>
  <w:num w:numId="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lvlOverride w:ilvl="0">
      <w:startOverride w:val="1"/>
    </w:lvlOverride>
  </w:num>
  <w:num w:numId="45">
    <w:abstractNumId w:val="4"/>
  </w:num>
  <w:num w:numId="46">
    <w:abstractNumId w:val="34"/>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
    <w:lvlOverride w:ilvl="0">
      <w:startOverride w:val="1"/>
    </w:lvlOverride>
  </w:num>
  <w:num w:numId="4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
  </w:num>
  <w:num w:numId="55">
    <w:abstractNumId w:val="1"/>
  </w:num>
  <w:num w:numId="56">
    <w:abstractNumId w:val="2"/>
  </w:num>
  <w:num w:numId="57">
    <w:abstractNumId w:val="9"/>
  </w:num>
  <w:num w:numId="58">
    <w:abstractNumId w:val="9"/>
  </w:num>
  <w:num w:numId="59">
    <w:abstractNumId w:val="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6A03"/>
    <w:rsid w:val="00000075"/>
    <w:rsid w:val="0000079C"/>
    <w:rsid w:val="00000CEC"/>
    <w:rsid w:val="00000F3C"/>
    <w:rsid w:val="000016C3"/>
    <w:rsid w:val="00001E60"/>
    <w:rsid w:val="00002367"/>
    <w:rsid w:val="0000272E"/>
    <w:rsid w:val="00002D5C"/>
    <w:rsid w:val="00003725"/>
    <w:rsid w:val="00003889"/>
    <w:rsid w:val="00004081"/>
    <w:rsid w:val="00004489"/>
    <w:rsid w:val="00004727"/>
    <w:rsid w:val="000047DA"/>
    <w:rsid w:val="000048E8"/>
    <w:rsid w:val="00004F64"/>
    <w:rsid w:val="00005B49"/>
    <w:rsid w:val="00005C79"/>
    <w:rsid w:val="00010EB9"/>
    <w:rsid w:val="00010F8F"/>
    <w:rsid w:val="000113D0"/>
    <w:rsid w:val="00011F98"/>
    <w:rsid w:val="00012C1A"/>
    <w:rsid w:val="000134F2"/>
    <w:rsid w:val="00013779"/>
    <w:rsid w:val="00013C5B"/>
    <w:rsid w:val="00014AE3"/>
    <w:rsid w:val="00014F7A"/>
    <w:rsid w:val="000153B0"/>
    <w:rsid w:val="00015BD4"/>
    <w:rsid w:val="000168D7"/>
    <w:rsid w:val="0001773B"/>
    <w:rsid w:val="000179D0"/>
    <w:rsid w:val="00017C73"/>
    <w:rsid w:val="00017D8A"/>
    <w:rsid w:val="0002153A"/>
    <w:rsid w:val="00022C59"/>
    <w:rsid w:val="00023628"/>
    <w:rsid w:val="00023AD5"/>
    <w:rsid w:val="00023CEB"/>
    <w:rsid w:val="000251D4"/>
    <w:rsid w:val="00025210"/>
    <w:rsid w:val="000259F3"/>
    <w:rsid w:val="00026C04"/>
    <w:rsid w:val="00027B39"/>
    <w:rsid w:val="000300AF"/>
    <w:rsid w:val="00030F70"/>
    <w:rsid w:val="00031914"/>
    <w:rsid w:val="00031F18"/>
    <w:rsid w:val="000324B2"/>
    <w:rsid w:val="00032BC9"/>
    <w:rsid w:val="00032F32"/>
    <w:rsid w:val="000331E4"/>
    <w:rsid w:val="0003338D"/>
    <w:rsid w:val="00033619"/>
    <w:rsid w:val="0003405D"/>
    <w:rsid w:val="00034710"/>
    <w:rsid w:val="00034A67"/>
    <w:rsid w:val="00034E1A"/>
    <w:rsid w:val="00034F1A"/>
    <w:rsid w:val="00036110"/>
    <w:rsid w:val="00036871"/>
    <w:rsid w:val="0003723F"/>
    <w:rsid w:val="0004108C"/>
    <w:rsid w:val="00041475"/>
    <w:rsid w:val="00041927"/>
    <w:rsid w:val="00043A36"/>
    <w:rsid w:val="00043EAD"/>
    <w:rsid w:val="000459A1"/>
    <w:rsid w:val="00046C2D"/>
    <w:rsid w:val="00047894"/>
    <w:rsid w:val="000479CF"/>
    <w:rsid w:val="000502D3"/>
    <w:rsid w:val="00050431"/>
    <w:rsid w:val="00051034"/>
    <w:rsid w:val="0005151B"/>
    <w:rsid w:val="00051C6F"/>
    <w:rsid w:val="00053BE4"/>
    <w:rsid w:val="00053F0E"/>
    <w:rsid w:val="00054C95"/>
    <w:rsid w:val="000550D1"/>
    <w:rsid w:val="0005524C"/>
    <w:rsid w:val="00055A0F"/>
    <w:rsid w:val="00055CC3"/>
    <w:rsid w:val="00055F56"/>
    <w:rsid w:val="000561CF"/>
    <w:rsid w:val="00056A06"/>
    <w:rsid w:val="0005774F"/>
    <w:rsid w:val="00061F26"/>
    <w:rsid w:val="000626CB"/>
    <w:rsid w:val="000627FB"/>
    <w:rsid w:val="00062A44"/>
    <w:rsid w:val="00063350"/>
    <w:rsid w:val="00063CDF"/>
    <w:rsid w:val="00065A16"/>
    <w:rsid w:val="00065F00"/>
    <w:rsid w:val="00067D36"/>
    <w:rsid w:val="00067DE3"/>
    <w:rsid w:val="00070E9C"/>
    <w:rsid w:val="00071DC3"/>
    <w:rsid w:val="000720E6"/>
    <w:rsid w:val="000724AE"/>
    <w:rsid w:val="00072F3D"/>
    <w:rsid w:val="0007383A"/>
    <w:rsid w:val="00075C61"/>
    <w:rsid w:val="00076382"/>
    <w:rsid w:val="000766C9"/>
    <w:rsid w:val="0007691A"/>
    <w:rsid w:val="00076AC7"/>
    <w:rsid w:val="0007776A"/>
    <w:rsid w:val="0007777C"/>
    <w:rsid w:val="00077A76"/>
    <w:rsid w:val="00077AEE"/>
    <w:rsid w:val="00077E74"/>
    <w:rsid w:val="0008037D"/>
    <w:rsid w:val="00080600"/>
    <w:rsid w:val="00080F09"/>
    <w:rsid w:val="00081124"/>
    <w:rsid w:val="000831ED"/>
    <w:rsid w:val="00083667"/>
    <w:rsid w:val="00083B4E"/>
    <w:rsid w:val="00084660"/>
    <w:rsid w:val="00084FA6"/>
    <w:rsid w:val="00085937"/>
    <w:rsid w:val="00085FB9"/>
    <w:rsid w:val="00087EF7"/>
    <w:rsid w:val="00090373"/>
    <w:rsid w:val="00090CD5"/>
    <w:rsid w:val="00090F70"/>
    <w:rsid w:val="00091286"/>
    <w:rsid w:val="00091423"/>
    <w:rsid w:val="0009169D"/>
    <w:rsid w:val="00091A1B"/>
    <w:rsid w:val="00091C0F"/>
    <w:rsid w:val="0009212F"/>
    <w:rsid w:val="00092F09"/>
    <w:rsid w:val="00092FEF"/>
    <w:rsid w:val="00093A19"/>
    <w:rsid w:val="00093B1F"/>
    <w:rsid w:val="00093CD7"/>
    <w:rsid w:val="00094046"/>
    <w:rsid w:val="00094336"/>
    <w:rsid w:val="00094756"/>
    <w:rsid w:val="00096F45"/>
    <w:rsid w:val="0009727B"/>
    <w:rsid w:val="000974EF"/>
    <w:rsid w:val="000A08B1"/>
    <w:rsid w:val="000A0F08"/>
    <w:rsid w:val="000A15B0"/>
    <w:rsid w:val="000A2197"/>
    <w:rsid w:val="000A30D2"/>
    <w:rsid w:val="000A38AA"/>
    <w:rsid w:val="000A3CF8"/>
    <w:rsid w:val="000A459B"/>
    <w:rsid w:val="000A491B"/>
    <w:rsid w:val="000A5DA5"/>
    <w:rsid w:val="000A7D0D"/>
    <w:rsid w:val="000B11C5"/>
    <w:rsid w:val="000B140C"/>
    <w:rsid w:val="000B14BB"/>
    <w:rsid w:val="000B2028"/>
    <w:rsid w:val="000B246F"/>
    <w:rsid w:val="000B307C"/>
    <w:rsid w:val="000B3192"/>
    <w:rsid w:val="000B4381"/>
    <w:rsid w:val="000B497F"/>
    <w:rsid w:val="000B4A72"/>
    <w:rsid w:val="000B4CF1"/>
    <w:rsid w:val="000B4E51"/>
    <w:rsid w:val="000B5105"/>
    <w:rsid w:val="000B5A40"/>
    <w:rsid w:val="000B73AF"/>
    <w:rsid w:val="000B73E4"/>
    <w:rsid w:val="000C0278"/>
    <w:rsid w:val="000C6B00"/>
    <w:rsid w:val="000C6B77"/>
    <w:rsid w:val="000D09B2"/>
    <w:rsid w:val="000D1766"/>
    <w:rsid w:val="000D1C46"/>
    <w:rsid w:val="000D228E"/>
    <w:rsid w:val="000D2B5F"/>
    <w:rsid w:val="000D32A2"/>
    <w:rsid w:val="000D3FF8"/>
    <w:rsid w:val="000D62EC"/>
    <w:rsid w:val="000D6480"/>
    <w:rsid w:val="000D6FFA"/>
    <w:rsid w:val="000E04F9"/>
    <w:rsid w:val="000E0A9A"/>
    <w:rsid w:val="000E0B99"/>
    <w:rsid w:val="000E43B0"/>
    <w:rsid w:val="000E49C6"/>
    <w:rsid w:val="000E4B7E"/>
    <w:rsid w:val="000E63AB"/>
    <w:rsid w:val="000E6AED"/>
    <w:rsid w:val="000E71BC"/>
    <w:rsid w:val="000E79ED"/>
    <w:rsid w:val="000F0256"/>
    <w:rsid w:val="000F0A67"/>
    <w:rsid w:val="000F1B62"/>
    <w:rsid w:val="000F1D43"/>
    <w:rsid w:val="000F209A"/>
    <w:rsid w:val="000F3171"/>
    <w:rsid w:val="000F39DC"/>
    <w:rsid w:val="000F4488"/>
    <w:rsid w:val="000F5041"/>
    <w:rsid w:val="000F5BAC"/>
    <w:rsid w:val="000F6718"/>
    <w:rsid w:val="000F6E96"/>
    <w:rsid w:val="000F74FF"/>
    <w:rsid w:val="00100FAB"/>
    <w:rsid w:val="0010117F"/>
    <w:rsid w:val="0010369A"/>
    <w:rsid w:val="001045F3"/>
    <w:rsid w:val="00105348"/>
    <w:rsid w:val="0010587F"/>
    <w:rsid w:val="00106EFC"/>
    <w:rsid w:val="001070B5"/>
    <w:rsid w:val="0011182F"/>
    <w:rsid w:val="00111CB1"/>
    <w:rsid w:val="0011217E"/>
    <w:rsid w:val="001128C7"/>
    <w:rsid w:val="00112E8F"/>
    <w:rsid w:val="001149AB"/>
    <w:rsid w:val="00114D82"/>
    <w:rsid w:val="001157F4"/>
    <w:rsid w:val="00116AD5"/>
    <w:rsid w:val="00120792"/>
    <w:rsid w:val="00120A11"/>
    <w:rsid w:val="00121D49"/>
    <w:rsid w:val="00121EDF"/>
    <w:rsid w:val="00122538"/>
    <w:rsid w:val="001226F3"/>
    <w:rsid w:val="00123D3A"/>
    <w:rsid w:val="00123F9D"/>
    <w:rsid w:val="00124206"/>
    <w:rsid w:val="001244AD"/>
    <w:rsid w:val="00125572"/>
    <w:rsid w:val="001255C5"/>
    <w:rsid w:val="00125CA4"/>
    <w:rsid w:val="00125E23"/>
    <w:rsid w:val="00125F42"/>
    <w:rsid w:val="001268BC"/>
    <w:rsid w:val="00126D3F"/>
    <w:rsid w:val="0012756C"/>
    <w:rsid w:val="00130151"/>
    <w:rsid w:val="00131523"/>
    <w:rsid w:val="001331C2"/>
    <w:rsid w:val="0013373F"/>
    <w:rsid w:val="0013393C"/>
    <w:rsid w:val="00134D48"/>
    <w:rsid w:val="00135EDD"/>
    <w:rsid w:val="001363EB"/>
    <w:rsid w:val="0013722E"/>
    <w:rsid w:val="0013745E"/>
    <w:rsid w:val="00137FAB"/>
    <w:rsid w:val="001403E4"/>
    <w:rsid w:val="001404C0"/>
    <w:rsid w:val="00141343"/>
    <w:rsid w:val="00141E73"/>
    <w:rsid w:val="00142A15"/>
    <w:rsid w:val="00142D52"/>
    <w:rsid w:val="00142D61"/>
    <w:rsid w:val="001442E6"/>
    <w:rsid w:val="00144B4C"/>
    <w:rsid w:val="00145D9A"/>
    <w:rsid w:val="00147ECA"/>
    <w:rsid w:val="00151737"/>
    <w:rsid w:val="001518D8"/>
    <w:rsid w:val="00152684"/>
    <w:rsid w:val="00154B6E"/>
    <w:rsid w:val="00154E0D"/>
    <w:rsid w:val="00154FDE"/>
    <w:rsid w:val="00156C97"/>
    <w:rsid w:val="001600E9"/>
    <w:rsid w:val="00160907"/>
    <w:rsid w:val="001609EE"/>
    <w:rsid w:val="00160FEC"/>
    <w:rsid w:val="001610E5"/>
    <w:rsid w:val="00161423"/>
    <w:rsid w:val="00161649"/>
    <w:rsid w:val="00161BC8"/>
    <w:rsid w:val="001645C7"/>
    <w:rsid w:val="001648FA"/>
    <w:rsid w:val="00164ED2"/>
    <w:rsid w:val="001654DE"/>
    <w:rsid w:val="0016799F"/>
    <w:rsid w:val="00167A7D"/>
    <w:rsid w:val="0017003F"/>
    <w:rsid w:val="00170637"/>
    <w:rsid w:val="00171331"/>
    <w:rsid w:val="001714F3"/>
    <w:rsid w:val="0017383D"/>
    <w:rsid w:val="00173882"/>
    <w:rsid w:val="0017471A"/>
    <w:rsid w:val="00174944"/>
    <w:rsid w:val="0017569A"/>
    <w:rsid w:val="00176003"/>
    <w:rsid w:val="00176110"/>
    <w:rsid w:val="0017745A"/>
    <w:rsid w:val="0017762A"/>
    <w:rsid w:val="00177816"/>
    <w:rsid w:val="00177903"/>
    <w:rsid w:val="00177CE5"/>
    <w:rsid w:val="001800C7"/>
    <w:rsid w:val="00180EBE"/>
    <w:rsid w:val="001816D7"/>
    <w:rsid w:val="00181E07"/>
    <w:rsid w:val="0018216D"/>
    <w:rsid w:val="00182A40"/>
    <w:rsid w:val="00184501"/>
    <w:rsid w:val="00184C52"/>
    <w:rsid w:val="00185FF2"/>
    <w:rsid w:val="001864E4"/>
    <w:rsid w:val="00186862"/>
    <w:rsid w:val="00187F05"/>
    <w:rsid w:val="001932B8"/>
    <w:rsid w:val="001939B8"/>
    <w:rsid w:val="0019462E"/>
    <w:rsid w:val="001957BF"/>
    <w:rsid w:val="00195D47"/>
    <w:rsid w:val="001961E2"/>
    <w:rsid w:val="00197384"/>
    <w:rsid w:val="001A0D77"/>
    <w:rsid w:val="001A1033"/>
    <w:rsid w:val="001A196A"/>
    <w:rsid w:val="001A1D95"/>
    <w:rsid w:val="001A2565"/>
    <w:rsid w:val="001A76B5"/>
    <w:rsid w:val="001A7CE7"/>
    <w:rsid w:val="001B0CAA"/>
    <w:rsid w:val="001B1762"/>
    <w:rsid w:val="001B17AC"/>
    <w:rsid w:val="001B2692"/>
    <w:rsid w:val="001B2A30"/>
    <w:rsid w:val="001B2BB9"/>
    <w:rsid w:val="001B2E2D"/>
    <w:rsid w:val="001B301B"/>
    <w:rsid w:val="001B3DF7"/>
    <w:rsid w:val="001B463D"/>
    <w:rsid w:val="001B47E0"/>
    <w:rsid w:val="001B55DA"/>
    <w:rsid w:val="001B588D"/>
    <w:rsid w:val="001B67F5"/>
    <w:rsid w:val="001B6A76"/>
    <w:rsid w:val="001B6B2B"/>
    <w:rsid w:val="001B6B46"/>
    <w:rsid w:val="001B7606"/>
    <w:rsid w:val="001C1A62"/>
    <w:rsid w:val="001C2C86"/>
    <w:rsid w:val="001C3685"/>
    <w:rsid w:val="001C3A34"/>
    <w:rsid w:val="001C3EC8"/>
    <w:rsid w:val="001C5133"/>
    <w:rsid w:val="001C565B"/>
    <w:rsid w:val="001C6A9B"/>
    <w:rsid w:val="001C7835"/>
    <w:rsid w:val="001C7FEF"/>
    <w:rsid w:val="001D0182"/>
    <w:rsid w:val="001D064B"/>
    <w:rsid w:val="001D08B3"/>
    <w:rsid w:val="001D0B6A"/>
    <w:rsid w:val="001D1B4E"/>
    <w:rsid w:val="001D4050"/>
    <w:rsid w:val="001D557A"/>
    <w:rsid w:val="001D64B2"/>
    <w:rsid w:val="001D6830"/>
    <w:rsid w:val="001D7CF7"/>
    <w:rsid w:val="001D7D9B"/>
    <w:rsid w:val="001E003F"/>
    <w:rsid w:val="001E073D"/>
    <w:rsid w:val="001E0A2B"/>
    <w:rsid w:val="001E10F1"/>
    <w:rsid w:val="001E178D"/>
    <w:rsid w:val="001E1FA7"/>
    <w:rsid w:val="001E277B"/>
    <w:rsid w:val="001E293D"/>
    <w:rsid w:val="001E578E"/>
    <w:rsid w:val="001F0B87"/>
    <w:rsid w:val="001F0CF9"/>
    <w:rsid w:val="001F0DDE"/>
    <w:rsid w:val="001F0E1D"/>
    <w:rsid w:val="001F13C1"/>
    <w:rsid w:val="001F1E9A"/>
    <w:rsid w:val="001F34BD"/>
    <w:rsid w:val="001F446D"/>
    <w:rsid w:val="001F4819"/>
    <w:rsid w:val="001F491D"/>
    <w:rsid w:val="001F5B75"/>
    <w:rsid w:val="001F682A"/>
    <w:rsid w:val="001F682F"/>
    <w:rsid w:val="001F6B0A"/>
    <w:rsid w:val="001F6B8D"/>
    <w:rsid w:val="001F6C81"/>
    <w:rsid w:val="001F75F8"/>
    <w:rsid w:val="001F7DAE"/>
    <w:rsid w:val="001F7EC9"/>
    <w:rsid w:val="00201320"/>
    <w:rsid w:val="0020151B"/>
    <w:rsid w:val="0020204A"/>
    <w:rsid w:val="002028FA"/>
    <w:rsid w:val="002044BA"/>
    <w:rsid w:val="00204690"/>
    <w:rsid w:val="00205070"/>
    <w:rsid w:val="00206B9C"/>
    <w:rsid w:val="00207BF0"/>
    <w:rsid w:val="00207CE3"/>
    <w:rsid w:val="00207DBB"/>
    <w:rsid w:val="00210143"/>
    <w:rsid w:val="002105E9"/>
    <w:rsid w:val="00211137"/>
    <w:rsid w:val="002112EC"/>
    <w:rsid w:val="00213234"/>
    <w:rsid w:val="002161EE"/>
    <w:rsid w:val="00217A96"/>
    <w:rsid w:val="00217B80"/>
    <w:rsid w:val="00220AC9"/>
    <w:rsid w:val="00220DB7"/>
    <w:rsid w:val="00220E31"/>
    <w:rsid w:val="0022130F"/>
    <w:rsid w:val="00221800"/>
    <w:rsid w:val="00221AB7"/>
    <w:rsid w:val="00222297"/>
    <w:rsid w:val="002239B0"/>
    <w:rsid w:val="00224C57"/>
    <w:rsid w:val="00224D33"/>
    <w:rsid w:val="00224D9B"/>
    <w:rsid w:val="00225782"/>
    <w:rsid w:val="00226464"/>
    <w:rsid w:val="00226985"/>
    <w:rsid w:val="00227712"/>
    <w:rsid w:val="0023007A"/>
    <w:rsid w:val="00230A53"/>
    <w:rsid w:val="00231C07"/>
    <w:rsid w:val="002329FD"/>
    <w:rsid w:val="00233525"/>
    <w:rsid w:val="00233C4B"/>
    <w:rsid w:val="00233F73"/>
    <w:rsid w:val="00235312"/>
    <w:rsid w:val="00236890"/>
    <w:rsid w:val="002369DE"/>
    <w:rsid w:val="002369EB"/>
    <w:rsid w:val="00236F91"/>
    <w:rsid w:val="00237BB5"/>
    <w:rsid w:val="002401F9"/>
    <w:rsid w:val="0024023A"/>
    <w:rsid w:val="00240715"/>
    <w:rsid w:val="00240860"/>
    <w:rsid w:val="00241640"/>
    <w:rsid w:val="00241813"/>
    <w:rsid w:val="0024195A"/>
    <w:rsid w:val="00241D7B"/>
    <w:rsid w:val="00241DF0"/>
    <w:rsid w:val="00241F91"/>
    <w:rsid w:val="002439B8"/>
    <w:rsid w:val="00244648"/>
    <w:rsid w:val="00244730"/>
    <w:rsid w:val="002452BC"/>
    <w:rsid w:val="002457DE"/>
    <w:rsid w:val="00246191"/>
    <w:rsid w:val="00246435"/>
    <w:rsid w:val="00246BCF"/>
    <w:rsid w:val="00246C81"/>
    <w:rsid w:val="00246CC6"/>
    <w:rsid w:val="002476DE"/>
    <w:rsid w:val="00247A45"/>
    <w:rsid w:val="00250077"/>
    <w:rsid w:val="00250621"/>
    <w:rsid w:val="00251245"/>
    <w:rsid w:val="00251CA2"/>
    <w:rsid w:val="002523B8"/>
    <w:rsid w:val="00253359"/>
    <w:rsid w:val="00253BC9"/>
    <w:rsid w:val="002540CF"/>
    <w:rsid w:val="002548C6"/>
    <w:rsid w:val="00254AC0"/>
    <w:rsid w:val="002555A8"/>
    <w:rsid w:val="002573A0"/>
    <w:rsid w:val="00257994"/>
    <w:rsid w:val="002579F9"/>
    <w:rsid w:val="00257E67"/>
    <w:rsid w:val="002601BB"/>
    <w:rsid w:val="00260B96"/>
    <w:rsid w:val="00261349"/>
    <w:rsid w:val="00262067"/>
    <w:rsid w:val="00262C0D"/>
    <w:rsid w:val="00265734"/>
    <w:rsid w:val="00265918"/>
    <w:rsid w:val="0027076F"/>
    <w:rsid w:val="00270834"/>
    <w:rsid w:val="00271A89"/>
    <w:rsid w:val="002729A6"/>
    <w:rsid w:val="002736A5"/>
    <w:rsid w:val="00273E86"/>
    <w:rsid w:val="00274C57"/>
    <w:rsid w:val="00275708"/>
    <w:rsid w:val="002772D2"/>
    <w:rsid w:val="0028017C"/>
    <w:rsid w:val="00280EE8"/>
    <w:rsid w:val="002814E6"/>
    <w:rsid w:val="0028198A"/>
    <w:rsid w:val="00281A54"/>
    <w:rsid w:val="00282507"/>
    <w:rsid w:val="00282AE5"/>
    <w:rsid w:val="0028376A"/>
    <w:rsid w:val="00283F01"/>
    <w:rsid w:val="00284B40"/>
    <w:rsid w:val="00285996"/>
    <w:rsid w:val="00285C0F"/>
    <w:rsid w:val="00286700"/>
    <w:rsid w:val="00287114"/>
    <w:rsid w:val="00287A3C"/>
    <w:rsid w:val="00287D5F"/>
    <w:rsid w:val="002912D5"/>
    <w:rsid w:val="00291647"/>
    <w:rsid w:val="00292230"/>
    <w:rsid w:val="00292F2A"/>
    <w:rsid w:val="00293150"/>
    <w:rsid w:val="002931C9"/>
    <w:rsid w:val="0029320D"/>
    <w:rsid w:val="002932A6"/>
    <w:rsid w:val="002932C7"/>
    <w:rsid w:val="002936B4"/>
    <w:rsid w:val="002937B1"/>
    <w:rsid w:val="0029426F"/>
    <w:rsid w:val="00294A23"/>
    <w:rsid w:val="00294D4E"/>
    <w:rsid w:val="002951E6"/>
    <w:rsid w:val="00295330"/>
    <w:rsid w:val="002955FB"/>
    <w:rsid w:val="00295F49"/>
    <w:rsid w:val="0029690D"/>
    <w:rsid w:val="00297878"/>
    <w:rsid w:val="00297D8A"/>
    <w:rsid w:val="002A0089"/>
    <w:rsid w:val="002A1B4A"/>
    <w:rsid w:val="002A1D6B"/>
    <w:rsid w:val="002A24A4"/>
    <w:rsid w:val="002A2992"/>
    <w:rsid w:val="002A41FD"/>
    <w:rsid w:val="002A42C0"/>
    <w:rsid w:val="002A48DD"/>
    <w:rsid w:val="002A4F13"/>
    <w:rsid w:val="002A6D5E"/>
    <w:rsid w:val="002A796E"/>
    <w:rsid w:val="002A7E04"/>
    <w:rsid w:val="002A7FED"/>
    <w:rsid w:val="002B0432"/>
    <w:rsid w:val="002B0577"/>
    <w:rsid w:val="002B078B"/>
    <w:rsid w:val="002B0E8D"/>
    <w:rsid w:val="002B1AB8"/>
    <w:rsid w:val="002B44B0"/>
    <w:rsid w:val="002B4F6D"/>
    <w:rsid w:val="002B5C21"/>
    <w:rsid w:val="002B5D55"/>
    <w:rsid w:val="002B740C"/>
    <w:rsid w:val="002C0C7A"/>
    <w:rsid w:val="002C2BCE"/>
    <w:rsid w:val="002C35CD"/>
    <w:rsid w:val="002C367F"/>
    <w:rsid w:val="002C36B4"/>
    <w:rsid w:val="002C387C"/>
    <w:rsid w:val="002C3D0E"/>
    <w:rsid w:val="002C3E96"/>
    <w:rsid w:val="002C3FE4"/>
    <w:rsid w:val="002C48FB"/>
    <w:rsid w:val="002C4E0E"/>
    <w:rsid w:val="002C4E12"/>
    <w:rsid w:val="002C4E50"/>
    <w:rsid w:val="002C5C81"/>
    <w:rsid w:val="002C676C"/>
    <w:rsid w:val="002C7008"/>
    <w:rsid w:val="002C797E"/>
    <w:rsid w:val="002C7AF1"/>
    <w:rsid w:val="002D04CB"/>
    <w:rsid w:val="002D13EA"/>
    <w:rsid w:val="002D339F"/>
    <w:rsid w:val="002D38B9"/>
    <w:rsid w:val="002D3DF2"/>
    <w:rsid w:val="002D41D6"/>
    <w:rsid w:val="002D50CB"/>
    <w:rsid w:val="002D56A4"/>
    <w:rsid w:val="002D59D3"/>
    <w:rsid w:val="002D7572"/>
    <w:rsid w:val="002D7886"/>
    <w:rsid w:val="002D7BC7"/>
    <w:rsid w:val="002E0782"/>
    <w:rsid w:val="002E14B7"/>
    <w:rsid w:val="002E1AA9"/>
    <w:rsid w:val="002E1D0E"/>
    <w:rsid w:val="002E21D1"/>
    <w:rsid w:val="002E2E37"/>
    <w:rsid w:val="002E376D"/>
    <w:rsid w:val="002E3F19"/>
    <w:rsid w:val="002E3F71"/>
    <w:rsid w:val="002E4192"/>
    <w:rsid w:val="002E42DC"/>
    <w:rsid w:val="002E51D2"/>
    <w:rsid w:val="002E57CF"/>
    <w:rsid w:val="002E5EE0"/>
    <w:rsid w:val="002E6001"/>
    <w:rsid w:val="002E65CA"/>
    <w:rsid w:val="002E7111"/>
    <w:rsid w:val="002E7A0E"/>
    <w:rsid w:val="002E7CD9"/>
    <w:rsid w:val="002E7EFA"/>
    <w:rsid w:val="002E7FED"/>
    <w:rsid w:val="002F0749"/>
    <w:rsid w:val="002F121C"/>
    <w:rsid w:val="002F1CFB"/>
    <w:rsid w:val="002F3287"/>
    <w:rsid w:val="002F34F1"/>
    <w:rsid w:val="002F3CBE"/>
    <w:rsid w:val="002F49E2"/>
    <w:rsid w:val="002F4A19"/>
    <w:rsid w:val="002F5076"/>
    <w:rsid w:val="002F5625"/>
    <w:rsid w:val="002F6025"/>
    <w:rsid w:val="002F6386"/>
    <w:rsid w:val="002F68D1"/>
    <w:rsid w:val="00300D95"/>
    <w:rsid w:val="0030311E"/>
    <w:rsid w:val="00303704"/>
    <w:rsid w:val="00303A4A"/>
    <w:rsid w:val="00303AF8"/>
    <w:rsid w:val="00304C88"/>
    <w:rsid w:val="00305171"/>
    <w:rsid w:val="00305236"/>
    <w:rsid w:val="003052CB"/>
    <w:rsid w:val="00306364"/>
    <w:rsid w:val="00306AEE"/>
    <w:rsid w:val="00307337"/>
    <w:rsid w:val="00307CDA"/>
    <w:rsid w:val="00307F8A"/>
    <w:rsid w:val="0031010B"/>
    <w:rsid w:val="003102DB"/>
    <w:rsid w:val="00310883"/>
    <w:rsid w:val="003119AF"/>
    <w:rsid w:val="00313E24"/>
    <w:rsid w:val="00314169"/>
    <w:rsid w:val="00314A6B"/>
    <w:rsid w:val="00316A03"/>
    <w:rsid w:val="00316D1B"/>
    <w:rsid w:val="0031735D"/>
    <w:rsid w:val="0032013C"/>
    <w:rsid w:val="00320896"/>
    <w:rsid w:val="00320944"/>
    <w:rsid w:val="00321742"/>
    <w:rsid w:val="003218A9"/>
    <w:rsid w:val="0032263D"/>
    <w:rsid w:val="0032295A"/>
    <w:rsid w:val="003230A0"/>
    <w:rsid w:val="00323400"/>
    <w:rsid w:val="0032399C"/>
    <w:rsid w:val="00323B6F"/>
    <w:rsid w:val="00324738"/>
    <w:rsid w:val="00326A36"/>
    <w:rsid w:val="00327326"/>
    <w:rsid w:val="003275CD"/>
    <w:rsid w:val="00327C14"/>
    <w:rsid w:val="00327CC4"/>
    <w:rsid w:val="00327D90"/>
    <w:rsid w:val="00330029"/>
    <w:rsid w:val="0033029A"/>
    <w:rsid w:val="0033227A"/>
    <w:rsid w:val="00332CA9"/>
    <w:rsid w:val="003330D9"/>
    <w:rsid w:val="00336ECB"/>
    <w:rsid w:val="0033722C"/>
    <w:rsid w:val="003374A3"/>
    <w:rsid w:val="00340812"/>
    <w:rsid w:val="00342AED"/>
    <w:rsid w:val="00344127"/>
    <w:rsid w:val="003442F4"/>
    <w:rsid w:val="00344F5C"/>
    <w:rsid w:val="0034501C"/>
    <w:rsid w:val="00345209"/>
    <w:rsid w:val="00345B9C"/>
    <w:rsid w:val="00345C69"/>
    <w:rsid w:val="0034680A"/>
    <w:rsid w:val="00346B5F"/>
    <w:rsid w:val="0035023B"/>
    <w:rsid w:val="003502B3"/>
    <w:rsid w:val="0035160E"/>
    <w:rsid w:val="00352ED3"/>
    <w:rsid w:val="003532BE"/>
    <w:rsid w:val="003532CA"/>
    <w:rsid w:val="003534F4"/>
    <w:rsid w:val="003541EF"/>
    <w:rsid w:val="0035430C"/>
    <w:rsid w:val="00354696"/>
    <w:rsid w:val="00354BB5"/>
    <w:rsid w:val="00354E58"/>
    <w:rsid w:val="0035519A"/>
    <w:rsid w:val="00355614"/>
    <w:rsid w:val="00356F05"/>
    <w:rsid w:val="0035711D"/>
    <w:rsid w:val="0036059A"/>
    <w:rsid w:val="00360613"/>
    <w:rsid w:val="00360739"/>
    <w:rsid w:val="003610C7"/>
    <w:rsid w:val="00361689"/>
    <w:rsid w:val="00361D92"/>
    <w:rsid w:val="00361EC3"/>
    <w:rsid w:val="00362CB0"/>
    <w:rsid w:val="0036377E"/>
    <w:rsid w:val="00363CC4"/>
    <w:rsid w:val="00363FF8"/>
    <w:rsid w:val="003640E1"/>
    <w:rsid w:val="00364E58"/>
    <w:rsid w:val="00365028"/>
    <w:rsid w:val="003669E2"/>
    <w:rsid w:val="00366F86"/>
    <w:rsid w:val="00370217"/>
    <w:rsid w:val="00370AFF"/>
    <w:rsid w:val="003713C1"/>
    <w:rsid w:val="003713C7"/>
    <w:rsid w:val="00371C4B"/>
    <w:rsid w:val="00371ED0"/>
    <w:rsid w:val="00372055"/>
    <w:rsid w:val="00373B37"/>
    <w:rsid w:val="00373D1B"/>
    <w:rsid w:val="003754B9"/>
    <w:rsid w:val="00375649"/>
    <w:rsid w:val="00375996"/>
    <w:rsid w:val="00376491"/>
    <w:rsid w:val="003764B0"/>
    <w:rsid w:val="00376B2A"/>
    <w:rsid w:val="00376F2A"/>
    <w:rsid w:val="0037721D"/>
    <w:rsid w:val="003772F5"/>
    <w:rsid w:val="00377814"/>
    <w:rsid w:val="00380530"/>
    <w:rsid w:val="0038102A"/>
    <w:rsid w:val="00382B41"/>
    <w:rsid w:val="00382D70"/>
    <w:rsid w:val="003830A4"/>
    <w:rsid w:val="003833B4"/>
    <w:rsid w:val="0038378D"/>
    <w:rsid w:val="00383DF0"/>
    <w:rsid w:val="0038546E"/>
    <w:rsid w:val="003859A0"/>
    <w:rsid w:val="00386309"/>
    <w:rsid w:val="003872AB"/>
    <w:rsid w:val="00387CE0"/>
    <w:rsid w:val="00390AED"/>
    <w:rsid w:val="0039186E"/>
    <w:rsid w:val="00392BEC"/>
    <w:rsid w:val="00393E35"/>
    <w:rsid w:val="003954C4"/>
    <w:rsid w:val="00395DCB"/>
    <w:rsid w:val="0039651D"/>
    <w:rsid w:val="00396970"/>
    <w:rsid w:val="00396BD8"/>
    <w:rsid w:val="00397131"/>
    <w:rsid w:val="00397288"/>
    <w:rsid w:val="003A080C"/>
    <w:rsid w:val="003A0972"/>
    <w:rsid w:val="003A1A7F"/>
    <w:rsid w:val="003A23E9"/>
    <w:rsid w:val="003A27FE"/>
    <w:rsid w:val="003A2AD9"/>
    <w:rsid w:val="003A369F"/>
    <w:rsid w:val="003A5CAD"/>
    <w:rsid w:val="003A5EF6"/>
    <w:rsid w:val="003A73E9"/>
    <w:rsid w:val="003A743E"/>
    <w:rsid w:val="003A7ADE"/>
    <w:rsid w:val="003A7DAF"/>
    <w:rsid w:val="003B0711"/>
    <w:rsid w:val="003B0D28"/>
    <w:rsid w:val="003B19CA"/>
    <w:rsid w:val="003B2A34"/>
    <w:rsid w:val="003B2DC7"/>
    <w:rsid w:val="003B3833"/>
    <w:rsid w:val="003B4162"/>
    <w:rsid w:val="003B5619"/>
    <w:rsid w:val="003B6E2C"/>
    <w:rsid w:val="003B6FA6"/>
    <w:rsid w:val="003B7DB1"/>
    <w:rsid w:val="003C0055"/>
    <w:rsid w:val="003C01D4"/>
    <w:rsid w:val="003C115C"/>
    <w:rsid w:val="003C2636"/>
    <w:rsid w:val="003C27EE"/>
    <w:rsid w:val="003C2CC3"/>
    <w:rsid w:val="003C4792"/>
    <w:rsid w:val="003C516D"/>
    <w:rsid w:val="003C58BE"/>
    <w:rsid w:val="003C59A4"/>
    <w:rsid w:val="003C624B"/>
    <w:rsid w:val="003C69BF"/>
    <w:rsid w:val="003D0356"/>
    <w:rsid w:val="003D09EE"/>
    <w:rsid w:val="003D1579"/>
    <w:rsid w:val="003D23A3"/>
    <w:rsid w:val="003D2608"/>
    <w:rsid w:val="003D2612"/>
    <w:rsid w:val="003D32AE"/>
    <w:rsid w:val="003D428A"/>
    <w:rsid w:val="003D4852"/>
    <w:rsid w:val="003D5856"/>
    <w:rsid w:val="003D597C"/>
    <w:rsid w:val="003D66F7"/>
    <w:rsid w:val="003D6EDD"/>
    <w:rsid w:val="003E016F"/>
    <w:rsid w:val="003E0F5F"/>
    <w:rsid w:val="003E105E"/>
    <w:rsid w:val="003E20A6"/>
    <w:rsid w:val="003E29FB"/>
    <w:rsid w:val="003E2D96"/>
    <w:rsid w:val="003E2F19"/>
    <w:rsid w:val="003E3E16"/>
    <w:rsid w:val="003E46B3"/>
    <w:rsid w:val="003E4DDF"/>
    <w:rsid w:val="003E50B2"/>
    <w:rsid w:val="003E6055"/>
    <w:rsid w:val="003E66D9"/>
    <w:rsid w:val="003E71E2"/>
    <w:rsid w:val="003E733F"/>
    <w:rsid w:val="003F00BF"/>
    <w:rsid w:val="003F1233"/>
    <w:rsid w:val="003F3076"/>
    <w:rsid w:val="003F30B2"/>
    <w:rsid w:val="003F318E"/>
    <w:rsid w:val="003F323D"/>
    <w:rsid w:val="003F332A"/>
    <w:rsid w:val="003F3BC2"/>
    <w:rsid w:val="003F3CA9"/>
    <w:rsid w:val="003F4521"/>
    <w:rsid w:val="003F5990"/>
    <w:rsid w:val="003F60C7"/>
    <w:rsid w:val="003F6F1A"/>
    <w:rsid w:val="003F75FA"/>
    <w:rsid w:val="0040060F"/>
    <w:rsid w:val="00400A30"/>
    <w:rsid w:val="004016F0"/>
    <w:rsid w:val="0040283A"/>
    <w:rsid w:val="004033D2"/>
    <w:rsid w:val="004034D7"/>
    <w:rsid w:val="00404562"/>
    <w:rsid w:val="0040494D"/>
    <w:rsid w:val="00404E4F"/>
    <w:rsid w:val="004064F7"/>
    <w:rsid w:val="004067DA"/>
    <w:rsid w:val="004068C4"/>
    <w:rsid w:val="0040706F"/>
    <w:rsid w:val="00410921"/>
    <w:rsid w:val="00410D90"/>
    <w:rsid w:val="00411CC3"/>
    <w:rsid w:val="004120A4"/>
    <w:rsid w:val="004125B4"/>
    <w:rsid w:val="00412AEB"/>
    <w:rsid w:val="00413639"/>
    <w:rsid w:val="00414510"/>
    <w:rsid w:val="0041493C"/>
    <w:rsid w:val="00414AF8"/>
    <w:rsid w:val="004151EC"/>
    <w:rsid w:val="0041612B"/>
    <w:rsid w:val="00420F0E"/>
    <w:rsid w:val="004210A5"/>
    <w:rsid w:val="004214B8"/>
    <w:rsid w:val="004221DF"/>
    <w:rsid w:val="0042235A"/>
    <w:rsid w:val="0042275D"/>
    <w:rsid w:val="00422C48"/>
    <w:rsid w:val="00423073"/>
    <w:rsid w:val="0042339A"/>
    <w:rsid w:val="0042389E"/>
    <w:rsid w:val="00423A05"/>
    <w:rsid w:val="00423B15"/>
    <w:rsid w:val="00424B9F"/>
    <w:rsid w:val="00424CB8"/>
    <w:rsid w:val="00424ECE"/>
    <w:rsid w:val="00425064"/>
    <w:rsid w:val="0042508F"/>
    <w:rsid w:val="00425C58"/>
    <w:rsid w:val="00425E08"/>
    <w:rsid w:val="00426FD5"/>
    <w:rsid w:val="00427251"/>
    <w:rsid w:val="0042736A"/>
    <w:rsid w:val="004301CF"/>
    <w:rsid w:val="0043275A"/>
    <w:rsid w:val="00432ADF"/>
    <w:rsid w:val="00433061"/>
    <w:rsid w:val="0043326D"/>
    <w:rsid w:val="00433636"/>
    <w:rsid w:val="0043446D"/>
    <w:rsid w:val="004345D3"/>
    <w:rsid w:val="0043717A"/>
    <w:rsid w:val="004379C2"/>
    <w:rsid w:val="00437ADD"/>
    <w:rsid w:val="00437C71"/>
    <w:rsid w:val="004400E8"/>
    <w:rsid w:val="00440400"/>
    <w:rsid w:val="00440735"/>
    <w:rsid w:val="00440EB0"/>
    <w:rsid w:val="00440F37"/>
    <w:rsid w:val="0044267E"/>
    <w:rsid w:val="004427D6"/>
    <w:rsid w:val="0044309E"/>
    <w:rsid w:val="00443358"/>
    <w:rsid w:val="00443875"/>
    <w:rsid w:val="00444053"/>
    <w:rsid w:val="00444A2F"/>
    <w:rsid w:val="00445385"/>
    <w:rsid w:val="00445B2E"/>
    <w:rsid w:val="00446254"/>
    <w:rsid w:val="0044665E"/>
    <w:rsid w:val="00446C41"/>
    <w:rsid w:val="0044711E"/>
    <w:rsid w:val="004479AE"/>
    <w:rsid w:val="00447BED"/>
    <w:rsid w:val="00450C80"/>
    <w:rsid w:val="00451B16"/>
    <w:rsid w:val="00451F2B"/>
    <w:rsid w:val="0045291B"/>
    <w:rsid w:val="0045356D"/>
    <w:rsid w:val="004544D6"/>
    <w:rsid w:val="00454968"/>
    <w:rsid w:val="00454DAD"/>
    <w:rsid w:val="00455252"/>
    <w:rsid w:val="00455B6A"/>
    <w:rsid w:val="004565BF"/>
    <w:rsid w:val="004567B6"/>
    <w:rsid w:val="00456B98"/>
    <w:rsid w:val="00456DA0"/>
    <w:rsid w:val="00457381"/>
    <w:rsid w:val="00457B07"/>
    <w:rsid w:val="00457C95"/>
    <w:rsid w:val="004606D0"/>
    <w:rsid w:val="00460B8D"/>
    <w:rsid w:val="00461CE9"/>
    <w:rsid w:val="00462407"/>
    <w:rsid w:val="004631DD"/>
    <w:rsid w:val="00463253"/>
    <w:rsid w:val="004635B4"/>
    <w:rsid w:val="004635FD"/>
    <w:rsid w:val="00464805"/>
    <w:rsid w:val="004669BB"/>
    <w:rsid w:val="00466C41"/>
    <w:rsid w:val="00466EAC"/>
    <w:rsid w:val="00467EF3"/>
    <w:rsid w:val="00470129"/>
    <w:rsid w:val="00471143"/>
    <w:rsid w:val="004717EE"/>
    <w:rsid w:val="004724DF"/>
    <w:rsid w:val="004728A0"/>
    <w:rsid w:val="00472F4F"/>
    <w:rsid w:val="004742DD"/>
    <w:rsid w:val="00475140"/>
    <w:rsid w:val="00475231"/>
    <w:rsid w:val="00475552"/>
    <w:rsid w:val="0047647D"/>
    <w:rsid w:val="004764AF"/>
    <w:rsid w:val="00477B49"/>
    <w:rsid w:val="004811AB"/>
    <w:rsid w:val="00481F95"/>
    <w:rsid w:val="00483AC8"/>
    <w:rsid w:val="00483DAA"/>
    <w:rsid w:val="00484509"/>
    <w:rsid w:val="00484E96"/>
    <w:rsid w:val="00486C77"/>
    <w:rsid w:val="00487250"/>
    <w:rsid w:val="004900C2"/>
    <w:rsid w:val="00490845"/>
    <w:rsid w:val="00490A31"/>
    <w:rsid w:val="00490AE8"/>
    <w:rsid w:val="00490CEC"/>
    <w:rsid w:val="004911D0"/>
    <w:rsid w:val="004917ED"/>
    <w:rsid w:val="00491CAC"/>
    <w:rsid w:val="00492B41"/>
    <w:rsid w:val="004934FB"/>
    <w:rsid w:val="0049356C"/>
    <w:rsid w:val="004936F0"/>
    <w:rsid w:val="00493D98"/>
    <w:rsid w:val="00494303"/>
    <w:rsid w:val="0049447C"/>
    <w:rsid w:val="004954FF"/>
    <w:rsid w:val="00495B59"/>
    <w:rsid w:val="00496700"/>
    <w:rsid w:val="00496FEE"/>
    <w:rsid w:val="00497AFA"/>
    <w:rsid w:val="00497D4B"/>
    <w:rsid w:val="004A0171"/>
    <w:rsid w:val="004A0B24"/>
    <w:rsid w:val="004A0D74"/>
    <w:rsid w:val="004A131B"/>
    <w:rsid w:val="004A18DE"/>
    <w:rsid w:val="004A2FB8"/>
    <w:rsid w:val="004A4863"/>
    <w:rsid w:val="004A49D0"/>
    <w:rsid w:val="004A4D53"/>
    <w:rsid w:val="004A5586"/>
    <w:rsid w:val="004A5616"/>
    <w:rsid w:val="004A5D4A"/>
    <w:rsid w:val="004A7210"/>
    <w:rsid w:val="004A7DA6"/>
    <w:rsid w:val="004B01F5"/>
    <w:rsid w:val="004B0794"/>
    <w:rsid w:val="004B1463"/>
    <w:rsid w:val="004B1531"/>
    <w:rsid w:val="004B1733"/>
    <w:rsid w:val="004B200D"/>
    <w:rsid w:val="004B3575"/>
    <w:rsid w:val="004B3BF4"/>
    <w:rsid w:val="004B460A"/>
    <w:rsid w:val="004B47B6"/>
    <w:rsid w:val="004B4C8C"/>
    <w:rsid w:val="004B58FA"/>
    <w:rsid w:val="004B5E4D"/>
    <w:rsid w:val="004B5ECC"/>
    <w:rsid w:val="004B609E"/>
    <w:rsid w:val="004B688A"/>
    <w:rsid w:val="004B7114"/>
    <w:rsid w:val="004B721D"/>
    <w:rsid w:val="004B7E5B"/>
    <w:rsid w:val="004C06C7"/>
    <w:rsid w:val="004C0C82"/>
    <w:rsid w:val="004C2884"/>
    <w:rsid w:val="004C29FA"/>
    <w:rsid w:val="004C34D2"/>
    <w:rsid w:val="004C4823"/>
    <w:rsid w:val="004C4CE6"/>
    <w:rsid w:val="004C6660"/>
    <w:rsid w:val="004C71DD"/>
    <w:rsid w:val="004C7210"/>
    <w:rsid w:val="004C7C18"/>
    <w:rsid w:val="004C7F97"/>
    <w:rsid w:val="004D0695"/>
    <w:rsid w:val="004D0C88"/>
    <w:rsid w:val="004D1596"/>
    <w:rsid w:val="004D2136"/>
    <w:rsid w:val="004D3AC0"/>
    <w:rsid w:val="004D4C2B"/>
    <w:rsid w:val="004D606B"/>
    <w:rsid w:val="004D62B8"/>
    <w:rsid w:val="004D6570"/>
    <w:rsid w:val="004D7F51"/>
    <w:rsid w:val="004E0133"/>
    <w:rsid w:val="004E033C"/>
    <w:rsid w:val="004E1233"/>
    <w:rsid w:val="004E13DB"/>
    <w:rsid w:val="004E2188"/>
    <w:rsid w:val="004E21E9"/>
    <w:rsid w:val="004E22C6"/>
    <w:rsid w:val="004E262E"/>
    <w:rsid w:val="004E28C6"/>
    <w:rsid w:val="004E3332"/>
    <w:rsid w:val="004E5E8F"/>
    <w:rsid w:val="004E6DE1"/>
    <w:rsid w:val="004F0E76"/>
    <w:rsid w:val="004F10E0"/>
    <w:rsid w:val="004F138F"/>
    <w:rsid w:val="004F1BB5"/>
    <w:rsid w:val="004F2D0A"/>
    <w:rsid w:val="004F420C"/>
    <w:rsid w:val="004F43A5"/>
    <w:rsid w:val="004F46B3"/>
    <w:rsid w:val="004F5652"/>
    <w:rsid w:val="004F5714"/>
    <w:rsid w:val="004F5CB3"/>
    <w:rsid w:val="004F5DB4"/>
    <w:rsid w:val="004F605D"/>
    <w:rsid w:val="004F6386"/>
    <w:rsid w:val="004F6483"/>
    <w:rsid w:val="004F78CE"/>
    <w:rsid w:val="004F7BE2"/>
    <w:rsid w:val="004F7F1E"/>
    <w:rsid w:val="00500024"/>
    <w:rsid w:val="00500123"/>
    <w:rsid w:val="00500D41"/>
    <w:rsid w:val="00502007"/>
    <w:rsid w:val="0050233D"/>
    <w:rsid w:val="00503144"/>
    <w:rsid w:val="00503F8A"/>
    <w:rsid w:val="00504382"/>
    <w:rsid w:val="005049EA"/>
    <w:rsid w:val="00504CFE"/>
    <w:rsid w:val="005050A8"/>
    <w:rsid w:val="00505879"/>
    <w:rsid w:val="0050670B"/>
    <w:rsid w:val="00511B29"/>
    <w:rsid w:val="00511FD5"/>
    <w:rsid w:val="005124ED"/>
    <w:rsid w:val="005141E8"/>
    <w:rsid w:val="00516494"/>
    <w:rsid w:val="00516A89"/>
    <w:rsid w:val="00516A9B"/>
    <w:rsid w:val="00517257"/>
    <w:rsid w:val="00520AAA"/>
    <w:rsid w:val="005212FF"/>
    <w:rsid w:val="00521390"/>
    <w:rsid w:val="00521ACA"/>
    <w:rsid w:val="00522918"/>
    <w:rsid w:val="00523244"/>
    <w:rsid w:val="00523B2C"/>
    <w:rsid w:val="00524242"/>
    <w:rsid w:val="005243E4"/>
    <w:rsid w:val="00524BED"/>
    <w:rsid w:val="00526874"/>
    <w:rsid w:val="00527A18"/>
    <w:rsid w:val="00527B10"/>
    <w:rsid w:val="00527E8D"/>
    <w:rsid w:val="0053068C"/>
    <w:rsid w:val="00530C00"/>
    <w:rsid w:val="005333B7"/>
    <w:rsid w:val="00535233"/>
    <w:rsid w:val="0053534C"/>
    <w:rsid w:val="005353A2"/>
    <w:rsid w:val="005353AF"/>
    <w:rsid w:val="00536016"/>
    <w:rsid w:val="00536547"/>
    <w:rsid w:val="00536A37"/>
    <w:rsid w:val="0053705E"/>
    <w:rsid w:val="0053789F"/>
    <w:rsid w:val="00540697"/>
    <w:rsid w:val="00540B70"/>
    <w:rsid w:val="00540F0F"/>
    <w:rsid w:val="00541994"/>
    <w:rsid w:val="00541EDA"/>
    <w:rsid w:val="00542536"/>
    <w:rsid w:val="00542A97"/>
    <w:rsid w:val="00542D73"/>
    <w:rsid w:val="005430CA"/>
    <w:rsid w:val="00543739"/>
    <w:rsid w:val="005441B8"/>
    <w:rsid w:val="00544217"/>
    <w:rsid w:val="00544F7D"/>
    <w:rsid w:val="005466BD"/>
    <w:rsid w:val="005502C4"/>
    <w:rsid w:val="00550C99"/>
    <w:rsid w:val="00551951"/>
    <w:rsid w:val="0055276A"/>
    <w:rsid w:val="00552CD7"/>
    <w:rsid w:val="00553413"/>
    <w:rsid w:val="005536FA"/>
    <w:rsid w:val="00554335"/>
    <w:rsid w:val="00554E86"/>
    <w:rsid w:val="00554FB3"/>
    <w:rsid w:val="00555785"/>
    <w:rsid w:val="00555AB2"/>
    <w:rsid w:val="0055655A"/>
    <w:rsid w:val="005565FB"/>
    <w:rsid w:val="005567B5"/>
    <w:rsid w:val="00557221"/>
    <w:rsid w:val="00557962"/>
    <w:rsid w:val="00560253"/>
    <w:rsid w:val="00561129"/>
    <w:rsid w:val="005619CB"/>
    <w:rsid w:val="00562410"/>
    <w:rsid w:val="00563B67"/>
    <w:rsid w:val="00565095"/>
    <w:rsid w:val="00565B75"/>
    <w:rsid w:val="00566028"/>
    <w:rsid w:val="0056683F"/>
    <w:rsid w:val="0057040B"/>
    <w:rsid w:val="00570743"/>
    <w:rsid w:val="00571371"/>
    <w:rsid w:val="005714EE"/>
    <w:rsid w:val="00571C54"/>
    <w:rsid w:val="005726A2"/>
    <w:rsid w:val="00572936"/>
    <w:rsid w:val="00573BC2"/>
    <w:rsid w:val="00574465"/>
    <w:rsid w:val="005746E3"/>
    <w:rsid w:val="005754AB"/>
    <w:rsid w:val="005760CD"/>
    <w:rsid w:val="005771BA"/>
    <w:rsid w:val="0058023B"/>
    <w:rsid w:val="005804EA"/>
    <w:rsid w:val="0058062D"/>
    <w:rsid w:val="00580709"/>
    <w:rsid w:val="00580F1B"/>
    <w:rsid w:val="005810AC"/>
    <w:rsid w:val="00581F45"/>
    <w:rsid w:val="005823F6"/>
    <w:rsid w:val="0058261D"/>
    <w:rsid w:val="005826F4"/>
    <w:rsid w:val="00582801"/>
    <w:rsid w:val="00583146"/>
    <w:rsid w:val="0058344D"/>
    <w:rsid w:val="0058369E"/>
    <w:rsid w:val="005836A3"/>
    <w:rsid w:val="00583C4E"/>
    <w:rsid w:val="005847D8"/>
    <w:rsid w:val="00585395"/>
    <w:rsid w:val="00585880"/>
    <w:rsid w:val="00587AF5"/>
    <w:rsid w:val="00587B43"/>
    <w:rsid w:val="00590738"/>
    <w:rsid w:val="00590D09"/>
    <w:rsid w:val="0059156A"/>
    <w:rsid w:val="00591A39"/>
    <w:rsid w:val="00591DA8"/>
    <w:rsid w:val="00593314"/>
    <w:rsid w:val="00593460"/>
    <w:rsid w:val="0059368E"/>
    <w:rsid w:val="00593986"/>
    <w:rsid w:val="00593A1C"/>
    <w:rsid w:val="00593BF5"/>
    <w:rsid w:val="00593E36"/>
    <w:rsid w:val="0059426F"/>
    <w:rsid w:val="00594496"/>
    <w:rsid w:val="005949B3"/>
    <w:rsid w:val="005956C5"/>
    <w:rsid w:val="005956D3"/>
    <w:rsid w:val="00596365"/>
    <w:rsid w:val="005965BC"/>
    <w:rsid w:val="0059672C"/>
    <w:rsid w:val="00596B62"/>
    <w:rsid w:val="0059732D"/>
    <w:rsid w:val="005A0A4B"/>
    <w:rsid w:val="005A1558"/>
    <w:rsid w:val="005A2146"/>
    <w:rsid w:val="005A214E"/>
    <w:rsid w:val="005A2EAC"/>
    <w:rsid w:val="005A3215"/>
    <w:rsid w:val="005A41B2"/>
    <w:rsid w:val="005A42F7"/>
    <w:rsid w:val="005A4C0B"/>
    <w:rsid w:val="005A5FCE"/>
    <w:rsid w:val="005A7530"/>
    <w:rsid w:val="005A7783"/>
    <w:rsid w:val="005A7E78"/>
    <w:rsid w:val="005B03ED"/>
    <w:rsid w:val="005B1776"/>
    <w:rsid w:val="005B1967"/>
    <w:rsid w:val="005B1BA3"/>
    <w:rsid w:val="005B23F8"/>
    <w:rsid w:val="005B32FB"/>
    <w:rsid w:val="005B49DA"/>
    <w:rsid w:val="005B5784"/>
    <w:rsid w:val="005B5E48"/>
    <w:rsid w:val="005B79C0"/>
    <w:rsid w:val="005B7CEC"/>
    <w:rsid w:val="005B7FE4"/>
    <w:rsid w:val="005C024B"/>
    <w:rsid w:val="005C0259"/>
    <w:rsid w:val="005C0438"/>
    <w:rsid w:val="005C05E0"/>
    <w:rsid w:val="005C08B5"/>
    <w:rsid w:val="005C0F84"/>
    <w:rsid w:val="005C1E62"/>
    <w:rsid w:val="005C29DA"/>
    <w:rsid w:val="005C37E0"/>
    <w:rsid w:val="005C3FCC"/>
    <w:rsid w:val="005C5207"/>
    <w:rsid w:val="005C54B9"/>
    <w:rsid w:val="005C5A1C"/>
    <w:rsid w:val="005C5AB9"/>
    <w:rsid w:val="005C6618"/>
    <w:rsid w:val="005C7973"/>
    <w:rsid w:val="005D0189"/>
    <w:rsid w:val="005D1751"/>
    <w:rsid w:val="005D18FD"/>
    <w:rsid w:val="005D2B2A"/>
    <w:rsid w:val="005D2DCC"/>
    <w:rsid w:val="005D2FB2"/>
    <w:rsid w:val="005D3327"/>
    <w:rsid w:val="005D3488"/>
    <w:rsid w:val="005D3B36"/>
    <w:rsid w:val="005D5022"/>
    <w:rsid w:val="005D5B8E"/>
    <w:rsid w:val="005D6062"/>
    <w:rsid w:val="005D66E9"/>
    <w:rsid w:val="005D6BCF"/>
    <w:rsid w:val="005D726E"/>
    <w:rsid w:val="005E0164"/>
    <w:rsid w:val="005E097D"/>
    <w:rsid w:val="005E0D90"/>
    <w:rsid w:val="005E22C3"/>
    <w:rsid w:val="005E2899"/>
    <w:rsid w:val="005E4470"/>
    <w:rsid w:val="005E5794"/>
    <w:rsid w:val="005E63F5"/>
    <w:rsid w:val="005E6762"/>
    <w:rsid w:val="005E77D3"/>
    <w:rsid w:val="005F05F1"/>
    <w:rsid w:val="005F1EAC"/>
    <w:rsid w:val="005F2F9D"/>
    <w:rsid w:val="005F39D5"/>
    <w:rsid w:val="005F4172"/>
    <w:rsid w:val="005F4890"/>
    <w:rsid w:val="005F4EBB"/>
    <w:rsid w:val="005F55E0"/>
    <w:rsid w:val="005F579D"/>
    <w:rsid w:val="005F61E3"/>
    <w:rsid w:val="005F68B5"/>
    <w:rsid w:val="005F6B80"/>
    <w:rsid w:val="005F6D5D"/>
    <w:rsid w:val="005F7523"/>
    <w:rsid w:val="005F78F7"/>
    <w:rsid w:val="00600862"/>
    <w:rsid w:val="00600B33"/>
    <w:rsid w:val="0060109A"/>
    <w:rsid w:val="0060118A"/>
    <w:rsid w:val="0060126A"/>
    <w:rsid w:val="006025A1"/>
    <w:rsid w:val="006031F7"/>
    <w:rsid w:val="006032F1"/>
    <w:rsid w:val="00603FD5"/>
    <w:rsid w:val="00604528"/>
    <w:rsid w:val="00605A53"/>
    <w:rsid w:val="0060649B"/>
    <w:rsid w:val="00606670"/>
    <w:rsid w:val="0060747F"/>
    <w:rsid w:val="00607F03"/>
    <w:rsid w:val="00610627"/>
    <w:rsid w:val="00610B2A"/>
    <w:rsid w:val="00610F6C"/>
    <w:rsid w:val="0061155E"/>
    <w:rsid w:val="00611938"/>
    <w:rsid w:val="00611BE3"/>
    <w:rsid w:val="00611E00"/>
    <w:rsid w:val="0061203B"/>
    <w:rsid w:val="006130F6"/>
    <w:rsid w:val="0061381C"/>
    <w:rsid w:val="006139DC"/>
    <w:rsid w:val="006144DB"/>
    <w:rsid w:val="00614F5F"/>
    <w:rsid w:val="00616D21"/>
    <w:rsid w:val="00616DC8"/>
    <w:rsid w:val="00617D8F"/>
    <w:rsid w:val="00620548"/>
    <w:rsid w:val="0062135D"/>
    <w:rsid w:val="00622AB4"/>
    <w:rsid w:val="00622ADC"/>
    <w:rsid w:val="0062339A"/>
    <w:rsid w:val="0062396A"/>
    <w:rsid w:val="00623D9E"/>
    <w:rsid w:val="0062418D"/>
    <w:rsid w:val="0062451D"/>
    <w:rsid w:val="006248EB"/>
    <w:rsid w:val="00624B90"/>
    <w:rsid w:val="00624F14"/>
    <w:rsid w:val="006251B2"/>
    <w:rsid w:val="006272DF"/>
    <w:rsid w:val="006273F4"/>
    <w:rsid w:val="00627AE3"/>
    <w:rsid w:val="00630735"/>
    <w:rsid w:val="00630F02"/>
    <w:rsid w:val="006329CE"/>
    <w:rsid w:val="006336F5"/>
    <w:rsid w:val="00633C5A"/>
    <w:rsid w:val="006358AC"/>
    <w:rsid w:val="00635D09"/>
    <w:rsid w:val="00636E21"/>
    <w:rsid w:val="00640A1D"/>
    <w:rsid w:val="00640EF1"/>
    <w:rsid w:val="00640EF7"/>
    <w:rsid w:val="0064292D"/>
    <w:rsid w:val="00643228"/>
    <w:rsid w:val="006438DC"/>
    <w:rsid w:val="00643EB2"/>
    <w:rsid w:val="0064568F"/>
    <w:rsid w:val="00645B9F"/>
    <w:rsid w:val="006475BD"/>
    <w:rsid w:val="00650216"/>
    <w:rsid w:val="0065067E"/>
    <w:rsid w:val="00650C39"/>
    <w:rsid w:val="006527FF"/>
    <w:rsid w:val="00653062"/>
    <w:rsid w:val="00653A7E"/>
    <w:rsid w:val="00653FCC"/>
    <w:rsid w:val="006551C9"/>
    <w:rsid w:val="00655725"/>
    <w:rsid w:val="006560A5"/>
    <w:rsid w:val="00656A8A"/>
    <w:rsid w:val="0066095F"/>
    <w:rsid w:val="00661AA9"/>
    <w:rsid w:val="00661D3F"/>
    <w:rsid w:val="00662209"/>
    <w:rsid w:val="00663BB1"/>
    <w:rsid w:val="00666531"/>
    <w:rsid w:val="00670353"/>
    <w:rsid w:val="00670424"/>
    <w:rsid w:val="006704D7"/>
    <w:rsid w:val="00670CC5"/>
    <w:rsid w:val="00671555"/>
    <w:rsid w:val="00671CD4"/>
    <w:rsid w:val="00674187"/>
    <w:rsid w:val="006743F0"/>
    <w:rsid w:val="00675D75"/>
    <w:rsid w:val="00675E98"/>
    <w:rsid w:val="006763C3"/>
    <w:rsid w:val="00677EAC"/>
    <w:rsid w:val="006804BE"/>
    <w:rsid w:val="006807A8"/>
    <w:rsid w:val="00681232"/>
    <w:rsid w:val="00681434"/>
    <w:rsid w:val="006819F0"/>
    <w:rsid w:val="00681A3E"/>
    <w:rsid w:val="00682080"/>
    <w:rsid w:val="00682ABD"/>
    <w:rsid w:val="00685815"/>
    <w:rsid w:val="00685CB0"/>
    <w:rsid w:val="00686B76"/>
    <w:rsid w:val="0068724F"/>
    <w:rsid w:val="006877F8"/>
    <w:rsid w:val="00690077"/>
    <w:rsid w:val="00691776"/>
    <w:rsid w:val="00691E87"/>
    <w:rsid w:val="006922F1"/>
    <w:rsid w:val="006925C1"/>
    <w:rsid w:val="00692C80"/>
    <w:rsid w:val="0069400E"/>
    <w:rsid w:val="00694483"/>
    <w:rsid w:val="00695493"/>
    <w:rsid w:val="00695D01"/>
    <w:rsid w:val="00696958"/>
    <w:rsid w:val="00696CA7"/>
    <w:rsid w:val="00697C09"/>
    <w:rsid w:val="00697D27"/>
    <w:rsid w:val="00697E93"/>
    <w:rsid w:val="006A02DA"/>
    <w:rsid w:val="006A05B9"/>
    <w:rsid w:val="006A0680"/>
    <w:rsid w:val="006A1DEF"/>
    <w:rsid w:val="006A2543"/>
    <w:rsid w:val="006A26AD"/>
    <w:rsid w:val="006A3C8F"/>
    <w:rsid w:val="006A3DCB"/>
    <w:rsid w:val="006A45DC"/>
    <w:rsid w:val="006A4B29"/>
    <w:rsid w:val="006A6C43"/>
    <w:rsid w:val="006A6CBF"/>
    <w:rsid w:val="006A7069"/>
    <w:rsid w:val="006A7D1C"/>
    <w:rsid w:val="006B0D7D"/>
    <w:rsid w:val="006B11FA"/>
    <w:rsid w:val="006B250B"/>
    <w:rsid w:val="006B3E6E"/>
    <w:rsid w:val="006B3EA4"/>
    <w:rsid w:val="006B4DB8"/>
    <w:rsid w:val="006B55A3"/>
    <w:rsid w:val="006B67F5"/>
    <w:rsid w:val="006B68B1"/>
    <w:rsid w:val="006B6AD8"/>
    <w:rsid w:val="006B7DE0"/>
    <w:rsid w:val="006C16E0"/>
    <w:rsid w:val="006C248A"/>
    <w:rsid w:val="006C2B16"/>
    <w:rsid w:val="006C2F1E"/>
    <w:rsid w:val="006C2FD0"/>
    <w:rsid w:val="006C36D5"/>
    <w:rsid w:val="006C3C30"/>
    <w:rsid w:val="006C3E77"/>
    <w:rsid w:val="006C4AF4"/>
    <w:rsid w:val="006C4C82"/>
    <w:rsid w:val="006C56E5"/>
    <w:rsid w:val="006C6C1A"/>
    <w:rsid w:val="006C7669"/>
    <w:rsid w:val="006D0563"/>
    <w:rsid w:val="006D095B"/>
    <w:rsid w:val="006D146A"/>
    <w:rsid w:val="006D223F"/>
    <w:rsid w:val="006D38A8"/>
    <w:rsid w:val="006D3F2F"/>
    <w:rsid w:val="006D46DD"/>
    <w:rsid w:val="006D4F09"/>
    <w:rsid w:val="006D50F6"/>
    <w:rsid w:val="006D5838"/>
    <w:rsid w:val="006D5882"/>
    <w:rsid w:val="006D5F4F"/>
    <w:rsid w:val="006D712F"/>
    <w:rsid w:val="006D75E7"/>
    <w:rsid w:val="006E01C1"/>
    <w:rsid w:val="006E1850"/>
    <w:rsid w:val="006E1CF9"/>
    <w:rsid w:val="006E285D"/>
    <w:rsid w:val="006E31F5"/>
    <w:rsid w:val="006E3536"/>
    <w:rsid w:val="006E391C"/>
    <w:rsid w:val="006E3DA4"/>
    <w:rsid w:val="006E4B67"/>
    <w:rsid w:val="006E77D2"/>
    <w:rsid w:val="006E7CF2"/>
    <w:rsid w:val="006E7D6C"/>
    <w:rsid w:val="006F04C1"/>
    <w:rsid w:val="006F0FDD"/>
    <w:rsid w:val="006F1DF6"/>
    <w:rsid w:val="006F29AD"/>
    <w:rsid w:val="006F29EF"/>
    <w:rsid w:val="006F3CF7"/>
    <w:rsid w:val="006F45CF"/>
    <w:rsid w:val="006F5107"/>
    <w:rsid w:val="006F57C0"/>
    <w:rsid w:val="007001D3"/>
    <w:rsid w:val="00701100"/>
    <w:rsid w:val="007014D5"/>
    <w:rsid w:val="007016C2"/>
    <w:rsid w:val="007023AC"/>
    <w:rsid w:val="00703113"/>
    <w:rsid w:val="0070348D"/>
    <w:rsid w:val="007035BC"/>
    <w:rsid w:val="00703DAC"/>
    <w:rsid w:val="007043AE"/>
    <w:rsid w:val="007043FE"/>
    <w:rsid w:val="00704C83"/>
    <w:rsid w:val="00706876"/>
    <w:rsid w:val="00706DE6"/>
    <w:rsid w:val="00707D19"/>
    <w:rsid w:val="00710DF3"/>
    <w:rsid w:val="00711053"/>
    <w:rsid w:val="007111D5"/>
    <w:rsid w:val="00711365"/>
    <w:rsid w:val="00711544"/>
    <w:rsid w:val="00711674"/>
    <w:rsid w:val="007136A5"/>
    <w:rsid w:val="00713F2B"/>
    <w:rsid w:val="00714488"/>
    <w:rsid w:val="00714F47"/>
    <w:rsid w:val="00715076"/>
    <w:rsid w:val="007158C6"/>
    <w:rsid w:val="00715DA6"/>
    <w:rsid w:val="00715EDD"/>
    <w:rsid w:val="00716F79"/>
    <w:rsid w:val="00717597"/>
    <w:rsid w:val="0071779E"/>
    <w:rsid w:val="00717CDE"/>
    <w:rsid w:val="00717F4D"/>
    <w:rsid w:val="00720507"/>
    <w:rsid w:val="007209AA"/>
    <w:rsid w:val="007215EF"/>
    <w:rsid w:val="00721E06"/>
    <w:rsid w:val="00722265"/>
    <w:rsid w:val="0072257F"/>
    <w:rsid w:val="00722A00"/>
    <w:rsid w:val="00722D78"/>
    <w:rsid w:val="007234C6"/>
    <w:rsid w:val="00723922"/>
    <w:rsid w:val="00723D72"/>
    <w:rsid w:val="00725E88"/>
    <w:rsid w:val="00726C3D"/>
    <w:rsid w:val="0072714E"/>
    <w:rsid w:val="0072745E"/>
    <w:rsid w:val="007276B7"/>
    <w:rsid w:val="00727821"/>
    <w:rsid w:val="00727960"/>
    <w:rsid w:val="00727EE0"/>
    <w:rsid w:val="007301C9"/>
    <w:rsid w:val="00730292"/>
    <w:rsid w:val="00730AA4"/>
    <w:rsid w:val="00731993"/>
    <w:rsid w:val="00731B96"/>
    <w:rsid w:val="00732206"/>
    <w:rsid w:val="007323AD"/>
    <w:rsid w:val="007335CB"/>
    <w:rsid w:val="007338C9"/>
    <w:rsid w:val="00734824"/>
    <w:rsid w:val="00735AFC"/>
    <w:rsid w:val="00736805"/>
    <w:rsid w:val="007373F6"/>
    <w:rsid w:val="0073748B"/>
    <w:rsid w:val="007404FC"/>
    <w:rsid w:val="00740A85"/>
    <w:rsid w:val="007420F9"/>
    <w:rsid w:val="0074213A"/>
    <w:rsid w:val="00742A9C"/>
    <w:rsid w:val="00742C99"/>
    <w:rsid w:val="00742F0D"/>
    <w:rsid w:val="007430C7"/>
    <w:rsid w:val="00743548"/>
    <w:rsid w:val="0074355F"/>
    <w:rsid w:val="00743633"/>
    <w:rsid w:val="00744120"/>
    <w:rsid w:val="00745521"/>
    <w:rsid w:val="00746A49"/>
    <w:rsid w:val="0074763A"/>
    <w:rsid w:val="00750F4E"/>
    <w:rsid w:val="0075106C"/>
    <w:rsid w:val="007510A7"/>
    <w:rsid w:val="0075170D"/>
    <w:rsid w:val="00751FBC"/>
    <w:rsid w:val="007522F3"/>
    <w:rsid w:val="00752CFE"/>
    <w:rsid w:val="00753677"/>
    <w:rsid w:val="0075386F"/>
    <w:rsid w:val="00753DD1"/>
    <w:rsid w:val="00754D60"/>
    <w:rsid w:val="00756F40"/>
    <w:rsid w:val="00760234"/>
    <w:rsid w:val="00760304"/>
    <w:rsid w:val="00760C6C"/>
    <w:rsid w:val="00760E1B"/>
    <w:rsid w:val="0076233B"/>
    <w:rsid w:val="00762458"/>
    <w:rsid w:val="007626F8"/>
    <w:rsid w:val="00762F50"/>
    <w:rsid w:val="00762F69"/>
    <w:rsid w:val="00763DD9"/>
    <w:rsid w:val="00764366"/>
    <w:rsid w:val="007645CA"/>
    <w:rsid w:val="00764FE1"/>
    <w:rsid w:val="007651C8"/>
    <w:rsid w:val="007656ED"/>
    <w:rsid w:val="007656FB"/>
    <w:rsid w:val="00765937"/>
    <w:rsid w:val="00765C4E"/>
    <w:rsid w:val="007669DE"/>
    <w:rsid w:val="00766E5E"/>
    <w:rsid w:val="00767673"/>
    <w:rsid w:val="00767EAE"/>
    <w:rsid w:val="00770DB0"/>
    <w:rsid w:val="0077120F"/>
    <w:rsid w:val="0077257E"/>
    <w:rsid w:val="00772C18"/>
    <w:rsid w:val="00774A30"/>
    <w:rsid w:val="00775073"/>
    <w:rsid w:val="00775165"/>
    <w:rsid w:val="00775772"/>
    <w:rsid w:val="00776A67"/>
    <w:rsid w:val="00776BC3"/>
    <w:rsid w:val="00777252"/>
    <w:rsid w:val="007773C5"/>
    <w:rsid w:val="007815DE"/>
    <w:rsid w:val="00781DC5"/>
    <w:rsid w:val="0078330F"/>
    <w:rsid w:val="0078380C"/>
    <w:rsid w:val="0078533C"/>
    <w:rsid w:val="007854F7"/>
    <w:rsid w:val="007865D8"/>
    <w:rsid w:val="0078684A"/>
    <w:rsid w:val="007873C2"/>
    <w:rsid w:val="00787471"/>
    <w:rsid w:val="007920A5"/>
    <w:rsid w:val="0079249B"/>
    <w:rsid w:val="00792E2E"/>
    <w:rsid w:val="007931F5"/>
    <w:rsid w:val="0079335F"/>
    <w:rsid w:val="0079433A"/>
    <w:rsid w:val="00794438"/>
    <w:rsid w:val="00794B1C"/>
    <w:rsid w:val="00795D27"/>
    <w:rsid w:val="00796172"/>
    <w:rsid w:val="007962C4"/>
    <w:rsid w:val="00796A0F"/>
    <w:rsid w:val="007972D6"/>
    <w:rsid w:val="007976DE"/>
    <w:rsid w:val="00797E8E"/>
    <w:rsid w:val="00797EE8"/>
    <w:rsid w:val="007A0363"/>
    <w:rsid w:val="007A068F"/>
    <w:rsid w:val="007A07AA"/>
    <w:rsid w:val="007A13E4"/>
    <w:rsid w:val="007A1F6F"/>
    <w:rsid w:val="007A2A16"/>
    <w:rsid w:val="007A2B13"/>
    <w:rsid w:val="007A2C7F"/>
    <w:rsid w:val="007A3D85"/>
    <w:rsid w:val="007A60AC"/>
    <w:rsid w:val="007A6F0F"/>
    <w:rsid w:val="007A7427"/>
    <w:rsid w:val="007B01D9"/>
    <w:rsid w:val="007B1592"/>
    <w:rsid w:val="007B2952"/>
    <w:rsid w:val="007B2BDE"/>
    <w:rsid w:val="007B4672"/>
    <w:rsid w:val="007B5FA6"/>
    <w:rsid w:val="007B7907"/>
    <w:rsid w:val="007C011A"/>
    <w:rsid w:val="007C03A4"/>
    <w:rsid w:val="007C0423"/>
    <w:rsid w:val="007C3475"/>
    <w:rsid w:val="007C42A9"/>
    <w:rsid w:val="007C43F0"/>
    <w:rsid w:val="007C4490"/>
    <w:rsid w:val="007C4AD6"/>
    <w:rsid w:val="007C56A5"/>
    <w:rsid w:val="007C57F3"/>
    <w:rsid w:val="007C600F"/>
    <w:rsid w:val="007C6ADC"/>
    <w:rsid w:val="007C7B9C"/>
    <w:rsid w:val="007C7F64"/>
    <w:rsid w:val="007D02F5"/>
    <w:rsid w:val="007D0333"/>
    <w:rsid w:val="007D1569"/>
    <w:rsid w:val="007D24AD"/>
    <w:rsid w:val="007D25EB"/>
    <w:rsid w:val="007D4201"/>
    <w:rsid w:val="007D46D6"/>
    <w:rsid w:val="007D4850"/>
    <w:rsid w:val="007D508D"/>
    <w:rsid w:val="007D568F"/>
    <w:rsid w:val="007D5F34"/>
    <w:rsid w:val="007D62D3"/>
    <w:rsid w:val="007D6346"/>
    <w:rsid w:val="007D71F6"/>
    <w:rsid w:val="007D7720"/>
    <w:rsid w:val="007D7A50"/>
    <w:rsid w:val="007D7F63"/>
    <w:rsid w:val="007E0D80"/>
    <w:rsid w:val="007E1565"/>
    <w:rsid w:val="007E19FE"/>
    <w:rsid w:val="007E1A38"/>
    <w:rsid w:val="007E2531"/>
    <w:rsid w:val="007E2578"/>
    <w:rsid w:val="007E2BB6"/>
    <w:rsid w:val="007E2CEA"/>
    <w:rsid w:val="007E30C9"/>
    <w:rsid w:val="007E3910"/>
    <w:rsid w:val="007E3AE1"/>
    <w:rsid w:val="007E3C44"/>
    <w:rsid w:val="007E4C5C"/>
    <w:rsid w:val="007E4D02"/>
    <w:rsid w:val="007E50AF"/>
    <w:rsid w:val="007E6539"/>
    <w:rsid w:val="007E668B"/>
    <w:rsid w:val="007E67EE"/>
    <w:rsid w:val="007E6D2C"/>
    <w:rsid w:val="007F0037"/>
    <w:rsid w:val="007F07BD"/>
    <w:rsid w:val="007F0BCB"/>
    <w:rsid w:val="007F271F"/>
    <w:rsid w:val="007F2DA2"/>
    <w:rsid w:val="007F30B0"/>
    <w:rsid w:val="007F32EE"/>
    <w:rsid w:val="007F4C27"/>
    <w:rsid w:val="007F6269"/>
    <w:rsid w:val="007F7224"/>
    <w:rsid w:val="007F7C16"/>
    <w:rsid w:val="00800534"/>
    <w:rsid w:val="008013C2"/>
    <w:rsid w:val="00801654"/>
    <w:rsid w:val="00801757"/>
    <w:rsid w:val="008017BC"/>
    <w:rsid w:val="00801DDC"/>
    <w:rsid w:val="0080225D"/>
    <w:rsid w:val="00802B58"/>
    <w:rsid w:val="0080322B"/>
    <w:rsid w:val="008035C3"/>
    <w:rsid w:val="00803C5A"/>
    <w:rsid w:val="00803F26"/>
    <w:rsid w:val="00804B8B"/>
    <w:rsid w:val="00804C57"/>
    <w:rsid w:val="00804E4D"/>
    <w:rsid w:val="00805A5B"/>
    <w:rsid w:val="00806DD4"/>
    <w:rsid w:val="00806F63"/>
    <w:rsid w:val="00807BFD"/>
    <w:rsid w:val="00807F06"/>
    <w:rsid w:val="00810124"/>
    <w:rsid w:val="00810198"/>
    <w:rsid w:val="00810AB2"/>
    <w:rsid w:val="00810BDC"/>
    <w:rsid w:val="00811196"/>
    <w:rsid w:val="008112F3"/>
    <w:rsid w:val="00811465"/>
    <w:rsid w:val="0081272B"/>
    <w:rsid w:val="008131AB"/>
    <w:rsid w:val="00813321"/>
    <w:rsid w:val="00814DB5"/>
    <w:rsid w:val="0081533C"/>
    <w:rsid w:val="00815745"/>
    <w:rsid w:val="008161D7"/>
    <w:rsid w:val="008175E8"/>
    <w:rsid w:val="00817A2C"/>
    <w:rsid w:val="00820414"/>
    <w:rsid w:val="00820661"/>
    <w:rsid w:val="00820C33"/>
    <w:rsid w:val="0082205D"/>
    <w:rsid w:val="008229F0"/>
    <w:rsid w:val="00823812"/>
    <w:rsid w:val="0082437F"/>
    <w:rsid w:val="008245E3"/>
    <w:rsid w:val="00824E44"/>
    <w:rsid w:val="00824F22"/>
    <w:rsid w:val="008253E5"/>
    <w:rsid w:val="0082588D"/>
    <w:rsid w:val="00825D53"/>
    <w:rsid w:val="0082671F"/>
    <w:rsid w:val="00827ED3"/>
    <w:rsid w:val="00830013"/>
    <w:rsid w:val="00831FAA"/>
    <w:rsid w:val="00832A0D"/>
    <w:rsid w:val="00833D90"/>
    <w:rsid w:val="00833DB4"/>
    <w:rsid w:val="00833F5C"/>
    <w:rsid w:val="00834B81"/>
    <w:rsid w:val="00834C4D"/>
    <w:rsid w:val="0083515A"/>
    <w:rsid w:val="0083540E"/>
    <w:rsid w:val="00835452"/>
    <w:rsid w:val="008358A2"/>
    <w:rsid w:val="00835A11"/>
    <w:rsid w:val="00835FE9"/>
    <w:rsid w:val="00836262"/>
    <w:rsid w:val="00836BD4"/>
    <w:rsid w:val="00836E3A"/>
    <w:rsid w:val="00837210"/>
    <w:rsid w:val="00837730"/>
    <w:rsid w:val="0084032B"/>
    <w:rsid w:val="008403A3"/>
    <w:rsid w:val="00840817"/>
    <w:rsid w:val="00840E5C"/>
    <w:rsid w:val="008414DC"/>
    <w:rsid w:val="0084238D"/>
    <w:rsid w:val="00843284"/>
    <w:rsid w:val="00844263"/>
    <w:rsid w:val="008449FE"/>
    <w:rsid w:val="00844EE6"/>
    <w:rsid w:val="008453F5"/>
    <w:rsid w:val="0084559D"/>
    <w:rsid w:val="00845A07"/>
    <w:rsid w:val="0084627A"/>
    <w:rsid w:val="008471B6"/>
    <w:rsid w:val="008472B8"/>
    <w:rsid w:val="00847B84"/>
    <w:rsid w:val="00850372"/>
    <w:rsid w:val="008503B0"/>
    <w:rsid w:val="008506B3"/>
    <w:rsid w:val="008518D7"/>
    <w:rsid w:val="00852176"/>
    <w:rsid w:val="008522FE"/>
    <w:rsid w:val="0085230A"/>
    <w:rsid w:val="00852622"/>
    <w:rsid w:val="008529A2"/>
    <w:rsid w:val="0085363A"/>
    <w:rsid w:val="00853C0B"/>
    <w:rsid w:val="00853CAB"/>
    <w:rsid w:val="00854144"/>
    <w:rsid w:val="0085439B"/>
    <w:rsid w:val="0085455F"/>
    <w:rsid w:val="0085469B"/>
    <w:rsid w:val="008548A0"/>
    <w:rsid w:val="00854CE2"/>
    <w:rsid w:val="00855BA2"/>
    <w:rsid w:val="00856831"/>
    <w:rsid w:val="00857955"/>
    <w:rsid w:val="008579B4"/>
    <w:rsid w:val="00860609"/>
    <w:rsid w:val="0086104F"/>
    <w:rsid w:val="008645B9"/>
    <w:rsid w:val="00864E10"/>
    <w:rsid w:val="008652E8"/>
    <w:rsid w:val="00867A91"/>
    <w:rsid w:val="00867D2C"/>
    <w:rsid w:val="00870F1A"/>
    <w:rsid w:val="00871020"/>
    <w:rsid w:val="00871A6C"/>
    <w:rsid w:val="00871DFE"/>
    <w:rsid w:val="00872A6F"/>
    <w:rsid w:val="008740EA"/>
    <w:rsid w:val="0087427D"/>
    <w:rsid w:val="00874460"/>
    <w:rsid w:val="00875AA9"/>
    <w:rsid w:val="00875CCB"/>
    <w:rsid w:val="00875D65"/>
    <w:rsid w:val="00876053"/>
    <w:rsid w:val="0087758D"/>
    <w:rsid w:val="00877AA5"/>
    <w:rsid w:val="00877F57"/>
    <w:rsid w:val="00880090"/>
    <w:rsid w:val="008802EC"/>
    <w:rsid w:val="00880378"/>
    <w:rsid w:val="00880509"/>
    <w:rsid w:val="00880DF4"/>
    <w:rsid w:val="0088130C"/>
    <w:rsid w:val="00881522"/>
    <w:rsid w:val="0088196B"/>
    <w:rsid w:val="00882B55"/>
    <w:rsid w:val="00882DDA"/>
    <w:rsid w:val="0088338F"/>
    <w:rsid w:val="008833F3"/>
    <w:rsid w:val="008841B3"/>
    <w:rsid w:val="00885CA0"/>
    <w:rsid w:val="008878E3"/>
    <w:rsid w:val="00887A7B"/>
    <w:rsid w:val="00887BB1"/>
    <w:rsid w:val="00887CBF"/>
    <w:rsid w:val="00887FE0"/>
    <w:rsid w:val="00890A1A"/>
    <w:rsid w:val="00890A4D"/>
    <w:rsid w:val="00890B65"/>
    <w:rsid w:val="00890B9C"/>
    <w:rsid w:val="0089154B"/>
    <w:rsid w:val="0089265B"/>
    <w:rsid w:val="008938EB"/>
    <w:rsid w:val="008940C9"/>
    <w:rsid w:val="008942C9"/>
    <w:rsid w:val="0089509E"/>
    <w:rsid w:val="00896859"/>
    <w:rsid w:val="00897793"/>
    <w:rsid w:val="0089797E"/>
    <w:rsid w:val="008A0465"/>
    <w:rsid w:val="008A080B"/>
    <w:rsid w:val="008A0EB3"/>
    <w:rsid w:val="008A0F2F"/>
    <w:rsid w:val="008A1632"/>
    <w:rsid w:val="008A1E21"/>
    <w:rsid w:val="008A2403"/>
    <w:rsid w:val="008A3E38"/>
    <w:rsid w:val="008A5643"/>
    <w:rsid w:val="008A5B0E"/>
    <w:rsid w:val="008A6783"/>
    <w:rsid w:val="008A6F83"/>
    <w:rsid w:val="008A7501"/>
    <w:rsid w:val="008B0315"/>
    <w:rsid w:val="008B05C3"/>
    <w:rsid w:val="008B08E2"/>
    <w:rsid w:val="008B10B7"/>
    <w:rsid w:val="008B19D3"/>
    <w:rsid w:val="008B28B7"/>
    <w:rsid w:val="008B2A59"/>
    <w:rsid w:val="008B35CB"/>
    <w:rsid w:val="008B4441"/>
    <w:rsid w:val="008B4965"/>
    <w:rsid w:val="008B4C2D"/>
    <w:rsid w:val="008B52DE"/>
    <w:rsid w:val="008B6DC3"/>
    <w:rsid w:val="008B76F6"/>
    <w:rsid w:val="008B78B1"/>
    <w:rsid w:val="008C0F04"/>
    <w:rsid w:val="008C1B9C"/>
    <w:rsid w:val="008C1CCF"/>
    <w:rsid w:val="008C1FA3"/>
    <w:rsid w:val="008C2B04"/>
    <w:rsid w:val="008C2E92"/>
    <w:rsid w:val="008C3ECC"/>
    <w:rsid w:val="008C406D"/>
    <w:rsid w:val="008C4495"/>
    <w:rsid w:val="008C4912"/>
    <w:rsid w:val="008C4BC9"/>
    <w:rsid w:val="008C5549"/>
    <w:rsid w:val="008C55C6"/>
    <w:rsid w:val="008D051E"/>
    <w:rsid w:val="008D1499"/>
    <w:rsid w:val="008D19FD"/>
    <w:rsid w:val="008D1ABD"/>
    <w:rsid w:val="008D3280"/>
    <w:rsid w:val="008D3A0D"/>
    <w:rsid w:val="008D3B19"/>
    <w:rsid w:val="008D3FC1"/>
    <w:rsid w:val="008D493A"/>
    <w:rsid w:val="008D4F25"/>
    <w:rsid w:val="008D50B8"/>
    <w:rsid w:val="008D6356"/>
    <w:rsid w:val="008D6F47"/>
    <w:rsid w:val="008D769D"/>
    <w:rsid w:val="008D78DA"/>
    <w:rsid w:val="008E01C4"/>
    <w:rsid w:val="008E1C81"/>
    <w:rsid w:val="008E25D6"/>
    <w:rsid w:val="008E2EC5"/>
    <w:rsid w:val="008E3049"/>
    <w:rsid w:val="008E30E6"/>
    <w:rsid w:val="008E321D"/>
    <w:rsid w:val="008E351A"/>
    <w:rsid w:val="008E3F77"/>
    <w:rsid w:val="008E41CE"/>
    <w:rsid w:val="008E4217"/>
    <w:rsid w:val="008E44A2"/>
    <w:rsid w:val="008E485F"/>
    <w:rsid w:val="008E5427"/>
    <w:rsid w:val="008E6A6D"/>
    <w:rsid w:val="008E6A8E"/>
    <w:rsid w:val="008E7BD4"/>
    <w:rsid w:val="008F023B"/>
    <w:rsid w:val="008F0A95"/>
    <w:rsid w:val="008F19B7"/>
    <w:rsid w:val="008F2368"/>
    <w:rsid w:val="008F2B90"/>
    <w:rsid w:val="008F357B"/>
    <w:rsid w:val="008F3859"/>
    <w:rsid w:val="008F3B2A"/>
    <w:rsid w:val="008F4326"/>
    <w:rsid w:val="008F449A"/>
    <w:rsid w:val="008F4A75"/>
    <w:rsid w:val="008F4ACD"/>
    <w:rsid w:val="008F4E5C"/>
    <w:rsid w:val="008F52C2"/>
    <w:rsid w:val="008F567D"/>
    <w:rsid w:val="008F5885"/>
    <w:rsid w:val="008F66E8"/>
    <w:rsid w:val="008F6F1A"/>
    <w:rsid w:val="008F7897"/>
    <w:rsid w:val="00900376"/>
    <w:rsid w:val="009005D7"/>
    <w:rsid w:val="0090097C"/>
    <w:rsid w:val="0090137A"/>
    <w:rsid w:val="00901521"/>
    <w:rsid w:val="0090193C"/>
    <w:rsid w:val="009019F5"/>
    <w:rsid w:val="00901D07"/>
    <w:rsid w:val="00901EFE"/>
    <w:rsid w:val="0090261C"/>
    <w:rsid w:val="00902A1C"/>
    <w:rsid w:val="00903370"/>
    <w:rsid w:val="00903DFD"/>
    <w:rsid w:val="009041F6"/>
    <w:rsid w:val="00904919"/>
    <w:rsid w:val="00905824"/>
    <w:rsid w:val="009069CD"/>
    <w:rsid w:val="00906DA9"/>
    <w:rsid w:val="0091012F"/>
    <w:rsid w:val="009104BE"/>
    <w:rsid w:val="009108EC"/>
    <w:rsid w:val="009115B2"/>
    <w:rsid w:val="009115F0"/>
    <w:rsid w:val="00912C87"/>
    <w:rsid w:val="009131C9"/>
    <w:rsid w:val="0091349A"/>
    <w:rsid w:val="00914164"/>
    <w:rsid w:val="009141B1"/>
    <w:rsid w:val="00914399"/>
    <w:rsid w:val="0091530C"/>
    <w:rsid w:val="009153EE"/>
    <w:rsid w:val="009157A5"/>
    <w:rsid w:val="009158BF"/>
    <w:rsid w:val="009166C9"/>
    <w:rsid w:val="009176BD"/>
    <w:rsid w:val="009203B5"/>
    <w:rsid w:val="00920B18"/>
    <w:rsid w:val="00920F4B"/>
    <w:rsid w:val="00921628"/>
    <w:rsid w:val="00921C17"/>
    <w:rsid w:val="00921F66"/>
    <w:rsid w:val="009221FC"/>
    <w:rsid w:val="00922D72"/>
    <w:rsid w:val="009238C2"/>
    <w:rsid w:val="00924B9D"/>
    <w:rsid w:val="00925C87"/>
    <w:rsid w:val="00926838"/>
    <w:rsid w:val="00927988"/>
    <w:rsid w:val="009279E8"/>
    <w:rsid w:val="00927CB8"/>
    <w:rsid w:val="009308FC"/>
    <w:rsid w:val="00930CB5"/>
    <w:rsid w:val="009317DF"/>
    <w:rsid w:val="00931DA4"/>
    <w:rsid w:val="00933E08"/>
    <w:rsid w:val="009342FC"/>
    <w:rsid w:val="009346F3"/>
    <w:rsid w:val="009353FA"/>
    <w:rsid w:val="00936068"/>
    <w:rsid w:val="009363E5"/>
    <w:rsid w:val="00936F75"/>
    <w:rsid w:val="0093774A"/>
    <w:rsid w:val="0094237A"/>
    <w:rsid w:val="0094246D"/>
    <w:rsid w:val="00942F0E"/>
    <w:rsid w:val="009435EC"/>
    <w:rsid w:val="00943706"/>
    <w:rsid w:val="00943806"/>
    <w:rsid w:val="00943CBC"/>
    <w:rsid w:val="00943EF0"/>
    <w:rsid w:val="009448CA"/>
    <w:rsid w:val="00946351"/>
    <w:rsid w:val="00946660"/>
    <w:rsid w:val="009467FD"/>
    <w:rsid w:val="00946A99"/>
    <w:rsid w:val="009474D1"/>
    <w:rsid w:val="00947AF9"/>
    <w:rsid w:val="00951658"/>
    <w:rsid w:val="00951778"/>
    <w:rsid w:val="009517CC"/>
    <w:rsid w:val="00952053"/>
    <w:rsid w:val="00952BD3"/>
    <w:rsid w:val="00952BDC"/>
    <w:rsid w:val="00952C97"/>
    <w:rsid w:val="00952EF3"/>
    <w:rsid w:val="0095426A"/>
    <w:rsid w:val="00954877"/>
    <w:rsid w:val="009548B9"/>
    <w:rsid w:val="00954EDB"/>
    <w:rsid w:val="009565FC"/>
    <w:rsid w:val="0095740D"/>
    <w:rsid w:val="00957E04"/>
    <w:rsid w:val="00957FB5"/>
    <w:rsid w:val="009615D4"/>
    <w:rsid w:val="00961A42"/>
    <w:rsid w:val="00961D77"/>
    <w:rsid w:val="009628AF"/>
    <w:rsid w:val="00962905"/>
    <w:rsid w:val="00963B8C"/>
    <w:rsid w:val="009640D7"/>
    <w:rsid w:val="00965528"/>
    <w:rsid w:val="009667BC"/>
    <w:rsid w:val="00966C47"/>
    <w:rsid w:val="00967CFF"/>
    <w:rsid w:val="00970024"/>
    <w:rsid w:val="00970A20"/>
    <w:rsid w:val="00970CBB"/>
    <w:rsid w:val="0097163D"/>
    <w:rsid w:val="009721F8"/>
    <w:rsid w:val="0097361B"/>
    <w:rsid w:val="009736F1"/>
    <w:rsid w:val="00973783"/>
    <w:rsid w:val="00973BF6"/>
    <w:rsid w:val="00974258"/>
    <w:rsid w:val="0097429F"/>
    <w:rsid w:val="0097463A"/>
    <w:rsid w:val="00974677"/>
    <w:rsid w:val="009749B2"/>
    <w:rsid w:val="0097519B"/>
    <w:rsid w:val="00975B0D"/>
    <w:rsid w:val="00975FAD"/>
    <w:rsid w:val="00976023"/>
    <w:rsid w:val="009766FE"/>
    <w:rsid w:val="00976727"/>
    <w:rsid w:val="009774E4"/>
    <w:rsid w:val="00977944"/>
    <w:rsid w:val="00977AA6"/>
    <w:rsid w:val="00980461"/>
    <w:rsid w:val="00980830"/>
    <w:rsid w:val="00980C3F"/>
    <w:rsid w:val="00981040"/>
    <w:rsid w:val="0098130F"/>
    <w:rsid w:val="00981368"/>
    <w:rsid w:val="00982836"/>
    <w:rsid w:val="00982A3B"/>
    <w:rsid w:val="009860C9"/>
    <w:rsid w:val="009864AF"/>
    <w:rsid w:val="0098668E"/>
    <w:rsid w:val="00986A6A"/>
    <w:rsid w:val="00986A86"/>
    <w:rsid w:val="00986C14"/>
    <w:rsid w:val="00987CE4"/>
    <w:rsid w:val="00987F4F"/>
    <w:rsid w:val="009901F4"/>
    <w:rsid w:val="0099067C"/>
    <w:rsid w:val="00991483"/>
    <w:rsid w:val="009915A8"/>
    <w:rsid w:val="009915BD"/>
    <w:rsid w:val="00991623"/>
    <w:rsid w:val="0099225F"/>
    <w:rsid w:val="00992427"/>
    <w:rsid w:val="009936CE"/>
    <w:rsid w:val="00993F75"/>
    <w:rsid w:val="00995B16"/>
    <w:rsid w:val="00995D9B"/>
    <w:rsid w:val="0099696F"/>
    <w:rsid w:val="009969C3"/>
    <w:rsid w:val="00997879"/>
    <w:rsid w:val="00997DE3"/>
    <w:rsid w:val="00997F9A"/>
    <w:rsid w:val="009A2715"/>
    <w:rsid w:val="009A2D72"/>
    <w:rsid w:val="009A2F17"/>
    <w:rsid w:val="009A3B1F"/>
    <w:rsid w:val="009A3C2B"/>
    <w:rsid w:val="009A5BAB"/>
    <w:rsid w:val="009A6CEB"/>
    <w:rsid w:val="009A737C"/>
    <w:rsid w:val="009B20ED"/>
    <w:rsid w:val="009B2223"/>
    <w:rsid w:val="009B26BF"/>
    <w:rsid w:val="009B3147"/>
    <w:rsid w:val="009B3C22"/>
    <w:rsid w:val="009B536F"/>
    <w:rsid w:val="009B54CE"/>
    <w:rsid w:val="009B5576"/>
    <w:rsid w:val="009B5AEF"/>
    <w:rsid w:val="009B5B20"/>
    <w:rsid w:val="009B5BC0"/>
    <w:rsid w:val="009B7933"/>
    <w:rsid w:val="009B7EF9"/>
    <w:rsid w:val="009C04FE"/>
    <w:rsid w:val="009C0952"/>
    <w:rsid w:val="009C0C04"/>
    <w:rsid w:val="009C110D"/>
    <w:rsid w:val="009C1E2E"/>
    <w:rsid w:val="009C1F0B"/>
    <w:rsid w:val="009C3075"/>
    <w:rsid w:val="009C3240"/>
    <w:rsid w:val="009C339F"/>
    <w:rsid w:val="009C3415"/>
    <w:rsid w:val="009C440C"/>
    <w:rsid w:val="009C4741"/>
    <w:rsid w:val="009C4A25"/>
    <w:rsid w:val="009C6042"/>
    <w:rsid w:val="009C6075"/>
    <w:rsid w:val="009C60F5"/>
    <w:rsid w:val="009C715F"/>
    <w:rsid w:val="009C7AB3"/>
    <w:rsid w:val="009D087B"/>
    <w:rsid w:val="009D1F45"/>
    <w:rsid w:val="009D24F5"/>
    <w:rsid w:val="009D357C"/>
    <w:rsid w:val="009D3AFA"/>
    <w:rsid w:val="009D4D79"/>
    <w:rsid w:val="009D545E"/>
    <w:rsid w:val="009D634C"/>
    <w:rsid w:val="009D6408"/>
    <w:rsid w:val="009D7D51"/>
    <w:rsid w:val="009E0C30"/>
    <w:rsid w:val="009E154A"/>
    <w:rsid w:val="009E19A3"/>
    <w:rsid w:val="009E1D2C"/>
    <w:rsid w:val="009E244C"/>
    <w:rsid w:val="009E2BF5"/>
    <w:rsid w:val="009E3265"/>
    <w:rsid w:val="009E36BD"/>
    <w:rsid w:val="009E44D2"/>
    <w:rsid w:val="009E4DC0"/>
    <w:rsid w:val="009E554D"/>
    <w:rsid w:val="009E5F12"/>
    <w:rsid w:val="009E69DC"/>
    <w:rsid w:val="009F05AC"/>
    <w:rsid w:val="009F1309"/>
    <w:rsid w:val="009F18EB"/>
    <w:rsid w:val="009F1998"/>
    <w:rsid w:val="009F2A02"/>
    <w:rsid w:val="009F2CC2"/>
    <w:rsid w:val="009F4425"/>
    <w:rsid w:val="009F46F5"/>
    <w:rsid w:val="009F5199"/>
    <w:rsid w:val="009F527F"/>
    <w:rsid w:val="009F5C2D"/>
    <w:rsid w:val="009F6CE5"/>
    <w:rsid w:val="009F6DEF"/>
    <w:rsid w:val="009F7886"/>
    <w:rsid w:val="009F7CD1"/>
    <w:rsid w:val="009F7F71"/>
    <w:rsid w:val="00A000BF"/>
    <w:rsid w:val="00A00D54"/>
    <w:rsid w:val="00A02D70"/>
    <w:rsid w:val="00A03143"/>
    <w:rsid w:val="00A03659"/>
    <w:rsid w:val="00A0515C"/>
    <w:rsid w:val="00A05BDB"/>
    <w:rsid w:val="00A0620C"/>
    <w:rsid w:val="00A06271"/>
    <w:rsid w:val="00A06DE6"/>
    <w:rsid w:val="00A07004"/>
    <w:rsid w:val="00A071CE"/>
    <w:rsid w:val="00A0757A"/>
    <w:rsid w:val="00A07A12"/>
    <w:rsid w:val="00A10D3D"/>
    <w:rsid w:val="00A11297"/>
    <w:rsid w:val="00A1266F"/>
    <w:rsid w:val="00A128B7"/>
    <w:rsid w:val="00A1303C"/>
    <w:rsid w:val="00A13361"/>
    <w:rsid w:val="00A13664"/>
    <w:rsid w:val="00A14081"/>
    <w:rsid w:val="00A1473A"/>
    <w:rsid w:val="00A14952"/>
    <w:rsid w:val="00A14DA3"/>
    <w:rsid w:val="00A151EB"/>
    <w:rsid w:val="00A15E2E"/>
    <w:rsid w:val="00A17105"/>
    <w:rsid w:val="00A1737F"/>
    <w:rsid w:val="00A20A35"/>
    <w:rsid w:val="00A20A5D"/>
    <w:rsid w:val="00A2215C"/>
    <w:rsid w:val="00A23CA7"/>
    <w:rsid w:val="00A243EC"/>
    <w:rsid w:val="00A24489"/>
    <w:rsid w:val="00A24720"/>
    <w:rsid w:val="00A24B9F"/>
    <w:rsid w:val="00A25C75"/>
    <w:rsid w:val="00A26271"/>
    <w:rsid w:val="00A263CA"/>
    <w:rsid w:val="00A26980"/>
    <w:rsid w:val="00A26EDC"/>
    <w:rsid w:val="00A3018B"/>
    <w:rsid w:val="00A30352"/>
    <w:rsid w:val="00A31257"/>
    <w:rsid w:val="00A3165C"/>
    <w:rsid w:val="00A32978"/>
    <w:rsid w:val="00A330DA"/>
    <w:rsid w:val="00A3315C"/>
    <w:rsid w:val="00A34432"/>
    <w:rsid w:val="00A34B62"/>
    <w:rsid w:val="00A34FC6"/>
    <w:rsid w:val="00A36327"/>
    <w:rsid w:val="00A37116"/>
    <w:rsid w:val="00A37E0A"/>
    <w:rsid w:val="00A40233"/>
    <w:rsid w:val="00A40C76"/>
    <w:rsid w:val="00A416AD"/>
    <w:rsid w:val="00A41E95"/>
    <w:rsid w:val="00A42558"/>
    <w:rsid w:val="00A433D2"/>
    <w:rsid w:val="00A43407"/>
    <w:rsid w:val="00A442A6"/>
    <w:rsid w:val="00A44ACA"/>
    <w:rsid w:val="00A45063"/>
    <w:rsid w:val="00A4551F"/>
    <w:rsid w:val="00A45AD0"/>
    <w:rsid w:val="00A45B15"/>
    <w:rsid w:val="00A45F7C"/>
    <w:rsid w:val="00A4627E"/>
    <w:rsid w:val="00A46419"/>
    <w:rsid w:val="00A46685"/>
    <w:rsid w:val="00A46720"/>
    <w:rsid w:val="00A46FD1"/>
    <w:rsid w:val="00A470C5"/>
    <w:rsid w:val="00A471AE"/>
    <w:rsid w:val="00A471FF"/>
    <w:rsid w:val="00A50CD9"/>
    <w:rsid w:val="00A50E03"/>
    <w:rsid w:val="00A5131F"/>
    <w:rsid w:val="00A51374"/>
    <w:rsid w:val="00A52B84"/>
    <w:rsid w:val="00A53A0D"/>
    <w:rsid w:val="00A53FAB"/>
    <w:rsid w:val="00A54D58"/>
    <w:rsid w:val="00A5529A"/>
    <w:rsid w:val="00A552E3"/>
    <w:rsid w:val="00A55B39"/>
    <w:rsid w:val="00A5703F"/>
    <w:rsid w:val="00A601DC"/>
    <w:rsid w:val="00A60C04"/>
    <w:rsid w:val="00A6239F"/>
    <w:rsid w:val="00A624F3"/>
    <w:rsid w:val="00A62C1C"/>
    <w:rsid w:val="00A63D99"/>
    <w:rsid w:val="00A65A4E"/>
    <w:rsid w:val="00A65DCB"/>
    <w:rsid w:val="00A65F9E"/>
    <w:rsid w:val="00A66335"/>
    <w:rsid w:val="00A66646"/>
    <w:rsid w:val="00A66C36"/>
    <w:rsid w:val="00A70D8C"/>
    <w:rsid w:val="00A70EA9"/>
    <w:rsid w:val="00A71D00"/>
    <w:rsid w:val="00A720B9"/>
    <w:rsid w:val="00A7322E"/>
    <w:rsid w:val="00A74BE1"/>
    <w:rsid w:val="00A75004"/>
    <w:rsid w:val="00A7548C"/>
    <w:rsid w:val="00A755AB"/>
    <w:rsid w:val="00A75D2F"/>
    <w:rsid w:val="00A75DCB"/>
    <w:rsid w:val="00A76068"/>
    <w:rsid w:val="00A76480"/>
    <w:rsid w:val="00A7695C"/>
    <w:rsid w:val="00A81030"/>
    <w:rsid w:val="00A813C7"/>
    <w:rsid w:val="00A8183A"/>
    <w:rsid w:val="00A81D43"/>
    <w:rsid w:val="00A82C93"/>
    <w:rsid w:val="00A8397A"/>
    <w:rsid w:val="00A83F95"/>
    <w:rsid w:val="00A843B8"/>
    <w:rsid w:val="00A84ECD"/>
    <w:rsid w:val="00A86051"/>
    <w:rsid w:val="00A861BD"/>
    <w:rsid w:val="00A8625F"/>
    <w:rsid w:val="00A86446"/>
    <w:rsid w:val="00A87755"/>
    <w:rsid w:val="00A87AB4"/>
    <w:rsid w:val="00A90151"/>
    <w:rsid w:val="00A90256"/>
    <w:rsid w:val="00A9048D"/>
    <w:rsid w:val="00A9057D"/>
    <w:rsid w:val="00A90AF0"/>
    <w:rsid w:val="00A911A9"/>
    <w:rsid w:val="00A91851"/>
    <w:rsid w:val="00A91C64"/>
    <w:rsid w:val="00A92CDB"/>
    <w:rsid w:val="00A9359B"/>
    <w:rsid w:val="00A94FE0"/>
    <w:rsid w:val="00A9504D"/>
    <w:rsid w:val="00A9545C"/>
    <w:rsid w:val="00A95C74"/>
    <w:rsid w:val="00A95F58"/>
    <w:rsid w:val="00A96256"/>
    <w:rsid w:val="00A966F1"/>
    <w:rsid w:val="00A96B45"/>
    <w:rsid w:val="00A970A6"/>
    <w:rsid w:val="00A97AF7"/>
    <w:rsid w:val="00AA163B"/>
    <w:rsid w:val="00AA1682"/>
    <w:rsid w:val="00AA205A"/>
    <w:rsid w:val="00AA212C"/>
    <w:rsid w:val="00AA2F9D"/>
    <w:rsid w:val="00AA328B"/>
    <w:rsid w:val="00AA3569"/>
    <w:rsid w:val="00AA4288"/>
    <w:rsid w:val="00AA4840"/>
    <w:rsid w:val="00AA4BF6"/>
    <w:rsid w:val="00AA4FB9"/>
    <w:rsid w:val="00AA56A9"/>
    <w:rsid w:val="00AA5971"/>
    <w:rsid w:val="00AA5E46"/>
    <w:rsid w:val="00AA65EB"/>
    <w:rsid w:val="00AA6DAF"/>
    <w:rsid w:val="00AA73A9"/>
    <w:rsid w:val="00AA76E0"/>
    <w:rsid w:val="00AA783D"/>
    <w:rsid w:val="00AA788A"/>
    <w:rsid w:val="00AA78DF"/>
    <w:rsid w:val="00AB108A"/>
    <w:rsid w:val="00AB10F4"/>
    <w:rsid w:val="00AB20C0"/>
    <w:rsid w:val="00AB2D17"/>
    <w:rsid w:val="00AB34AD"/>
    <w:rsid w:val="00AB3D2B"/>
    <w:rsid w:val="00AB44A1"/>
    <w:rsid w:val="00AB46E2"/>
    <w:rsid w:val="00AB4A69"/>
    <w:rsid w:val="00AB53BC"/>
    <w:rsid w:val="00AB5E5A"/>
    <w:rsid w:val="00AB656B"/>
    <w:rsid w:val="00AB6E73"/>
    <w:rsid w:val="00AC1711"/>
    <w:rsid w:val="00AC1F06"/>
    <w:rsid w:val="00AC21BD"/>
    <w:rsid w:val="00AC2D4B"/>
    <w:rsid w:val="00AC3F25"/>
    <w:rsid w:val="00AC4437"/>
    <w:rsid w:val="00AC4F7C"/>
    <w:rsid w:val="00AC587D"/>
    <w:rsid w:val="00AC65E6"/>
    <w:rsid w:val="00AC69EB"/>
    <w:rsid w:val="00AC742B"/>
    <w:rsid w:val="00AC7A2B"/>
    <w:rsid w:val="00AD06D5"/>
    <w:rsid w:val="00AD0A6F"/>
    <w:rsid w:val="00AD143D"/>
    <w:rsid w:val="00AD1AA2"/>
    <w:rsid w:val="00AD1ABE"/>
    <w:rsid w:val="00AD1E23"/>
    <w:rsid w:val="00AD33A8"/>
    <w:rsid w:val="00AD4741"/>
    <w:rsid w:val="00AD4933"/>
    <w:rsid w:val="00AD4A1C"/>
    <w:rsid w:val="00AD4E17"/>
    <w:rsid w:val="00AD66B6"/>
    <w:rsid w:val="00AD69E1"/>
    <w:rsid w:val="00AD7A30"/>
    <w:rsid w:val="00AD7A7F"/>
    <w:rsid w:val="00AE0768"/>
    <w:rsid w:val="00AE07A3"/>
    <w:rsid w:val="00AE2641"/>
    <w:rsid w:val="00AE3125"/>
    <w:rsid w:val="00AE3561"/>
    <w:rsid w:val="00AE35D6"/>
    <w:rsid w:val="00AE415C"/>
    <w:rsid w:val="00AE502A"/>
    <w:rsid w:val="00AE5346"/>
    <w:rsid w:val="00AE55C2"/>
    <w:rsid w:val="00AE59E4"/>
    <w:rsid w:val="00AE649E"/>
    <w:rsid w:val="00AE6CF4"/>
    <w:rsid w:val="00AE6FE3"/>
    <w:rsid w:val="00AF0E7B"/>
    <w:rsid w:val="00AF0F43"/>
    <w:rsid w:val="00AF1FFF"/>
    <w:rsid w:val="00AF28A2"/>
    <w:rsid w:val="00AF2BAB"/>
    <w:rsid w:val="00AF3442"/>
    <w:rsid w:val="00AF36F2"/>
    <w:rsid w:val="00AF3BD9"/>
    <w:rsid w:val="00AF44E9"/>
    <w:rsid w:val="00AF479F"/>
    <w:rsid w:val="00AF58EC"/>
    <w:rsid w:val="00AF65A0"/>
    <w:rsid w:val="00AF77EE"/>
    <w:rsid w:val="00B0015D"/>
    <w:rsid w:val="00B00288"/>
    <w:rsid w:val="00B00A19"/>
    <w:rsid w:val="00B02F6F"/>
    <w:rsid w:val="00B02FD0"/>
    <w:rsid w:val="00B031F9"/>
    <w:rsid w:val="00B032A3"/>
    <w:rsid w:val="00B044BC"/>
    <w:rsid w:val="00B0472E"/>
    <w:rsid w:val="00B04CE5"/>
    <w:rsid w:val="00B05267"/>
    <w:rsid w:val="00B0589E"/>
    <w:rsid w:val="00B059A1"/>
    <w:rsid w:val="00B062CA"/>
    <w:rsid w:val="00B06DE5"/>
    <w:rsid w:val="00B07707"/>
    <w:rsid w:val="00B100E9"/>
    <w:rsid w:val="00B10BF6"/>
    <w:rsid w:val="00B11699"/>
    <w:rsid w:val="00B11F80"/>
    <w:rsid w:val="00B14236"/>
    <w:rsid w:val="00B147F5"/>
    <w:rsid w:val="00B1552C"/>
    <w:rsid w:val="00B16209"/>
    <w:rsid w:val="00B167DC"/>
    <w:rsid w:val="00B16BC5"/>
    <w:rsid w:val="00B173BA"/>
    <w:rsid w:val="00B23258"/>
    <w:rsid w:val="00B23603"/>
    <w:rsid w:val="00B242B6"/>
    <w:rsid w:val="00B24C2E"/>
    <w:rsid w:val="00B25C1D"/>
    <w:rsid w:val="00B25D08"/>
    <w:rsid w:val="00B262D4"/>
    <w:rsid w:val="00B26683"/>
    <w:rsid w:val="00B302FA"/>
    <w:rsid w:val="00B308AA"/>
    <w:rsid w:val="00B30D65"/>
    <w:rsid w:val="00B3242F"/>
    <w:rsid w:val="00B32D6C"/>
    <w:rsid w:val="00B332B9"/>
    <w:rsid w:val="00B33B59"/>
    <w:rsid w:val="00B33CA9"/>
    <w:rsid w:val="00B34048"/>
    <w:rsid w:val="00B34C54"/>
    <w:rsid w:val="00B364A3"/>
    <w:rsid w:val="00B367AD"/>
    <w:rsid w:val="00B3749D"/>
    <w:rsid w:val="00B413C1"/>
    <w:rsid w:val="00B4149B"/>
    <w:rsid w:val="00B42BC2"/>
    <w:rsid w:val="00B4314C"/>
    <w:rsid w:val="00B43AF4"/>
    <w:rsid w:val="00B43CFA"/>
    <w:rsid w:val="00B443CC"/>
    <w:rsid w:val="00B44B6B"/>
    <w:rsid w:val="00B44F0E"/>
    <w:rsid w:val="00B450A6"/>
    <w:rsid w:val="00B457E4"/>
    <w:rsid w:val="00B4671B"/>
    <w:rsid w:val="00B46F47"/>
    <w:rsid w:val="00B4745B"/>
    <w:rsid w:val="00B4775F"/>
    <w:rsid w:val="00B479DD"/>
    <w:rsid w:val="00B47D1D"/>
    <w:rsid w:val="00B47DFB"/>
    <w:rsid w:val="00B5011C"/>
    <w:rsid w:val="00B5048B"/>
    <w:rsid w:val="00B507FC"/>
    <w:rsid w:val="00B5081F"/>
    <w:rsid w:val="00B520B7"/>
    <w:rsid w:val="00B52549"/>
    <w:rsid w:val="00B526B2"/>
    <w:rsid w:val="00B55075"/>
    <w:rsid w:val="00B5542B"/>
    <w:rsid w:val="00B55F0F"/>
    <w:rsid w:val="00B5639C"/>
    <w:rsid w:val="00B605A4"/>
    <w:rsid w:val="00B60ADB"/>
    <w:rsid w:val="00B60C69"/>
    <w:rsid w:val="00B611DF"/>
    <w:rsid w:val="00B625A6"/>
    <w:rsid w:val="00B62701"/>
    <w:rsid w:val="00B639AB"/>
    <w:rsid w:val="00B64F3B"/>
    <w:rsid w:val="00B65435"/>
    <w:rsid w:val="00B65DAA"/>
    <w:rsid w:val="00B66B2F"/>
    <w:rsid w:val="00B6788E"/>
    <w:rsid w:val="00B712CC"/>
    <w:rsid w:val="00B7176B"/>
    <w:rsid w:val="00B7189D"/>
    <w:rsid w:val="00B720EC"/>
    <w:rsid w:val="00B7315C"/>
    <w:rsid w:val="00B73AC1"/>
    <w:rsid w:val="00B748BC"/>
    <w:rsid w:val="00B74F7F"/>
    <w:rsid w:val="00B75B08"/>
    <w:rsid w:val="00B75D84"/>
    <w:rsid w:val="00B7631E"/>
    <w:rsid w:val="00B7663C"/>
    <w:rsid w:val="00B76A27"/>
    <w:rsid w:val="00B77906"/>
    <w:rsid w:val="00B8115F"/>
    <w:rsid w:val="00B8126A"/>
    <w:rsid w:val="00B81BA0"/>
    <w:rsid w:val="00B83F13"/>
    <w:rsid w:val="00B84869"/>
    <w:rsid w:val="00B85289"/>
    <w:rsid w:val="00B86607"/>
    <w:rsid w:val="00B86E04"/>
    <w:rsid w:val="00B86EC1"/>
    <w:rsid w:val="00B87859"/>
    <w:rsid w:val="00B87B22"/>
    <w:rsid w:val="00B90FFE"/>
    <w:rsid w:val="00B91B32"/>
    <w:rsid w:val="00B91D47"/>
    <w:rsid w:val="00B9223B"/>
    <w:rsid w:val="00B92F5A"/>
    <w:rsid w:val="00B93AC0"/>
    <w:rsid w:val="00B9405A"/>
    <w:rsid w:val="00B9408E"/>
    <w:rsid w:val="00B94B73"/>
    <w:rsid w:val="00B953E2"/>
    <w:rsid w:val="00B9548C"/>
    <w:rsid w:val="00B96D6B"/>
    <w:rsid w:val="00BA14B5"/>
    <w:rsid w:val="00BA1D2A"/>
    <w:rsid w:val="00BA2A53"/>
    <w:rsid w:val="00BA2BB3"/>
    <w:rsid w:val="00BA3423"/>
    <w:rsid w:val="00BA393B"/>
    <w:rsid w:val="00BA3CB8"/>
    <w:rsid w:val="00BA3F67"/>
    <w:rsid w:val="00BA4F0E"/>
    <w:rsid w:val="00BA598A"/>
    <w:rsid w:val="00BA599B"/>
    <w:rsid w:val="00BA5EA5"/>
    <w:rsid w:val="00BA614E"/>
    <w:rsid w:val="00BA6336"/>
    <w:rsid w:val="00BA7623"/>
    <w:rsid w:val="00BB07A7"/>
    <w:rsid w:val="00BB09A6"/>
    <w:rsid w:val="00BB17F7"/>
    <w:rsid w:val="00BB1AFA"/>
    <w:rsid w:val="00BB2939"/>
    <w:rsid w:val="00BB2B9C"/>
    <w:rsid w:val="00BB36F6"/>
    <w:rsid w:val="00BB3806"/>
    <w:rsid w:val="00BB3E48"/>
    <w:rsid w:val="00BB469D"/>
    <w:rsid w:val="00BB46CB"/>
    <w:rsid w:val="00BB483F"/>
    <w:rsid w:val="00BB5FC1"/>
    <w:rsid w:val="00BB726F"/>
    <w:rsid w:val="00BB7C96"/>
    <w:rsid w:val="00BC0472"/>
    <w:rsid w:val="00BC0679"/>
    <w:rsid w:val="00BC06DA"/>
    <w:rsid w:val="00BC0B30"/>
    <w:rsid w:val="00BC0DCE"/>
    <w:rsid w:val="00BC0F34"/>
    <w:rsid w:val="00BC1029"/>
    <w:rsid w:val="00BC127C"/>
    <w:rsid w:val="00BC2E22"/>
    <w:rsid w:val="00BC4F89"/>
    <w:rsid w:val="00BC58B8"/>
    <w:rsid w:val="00BC59D9"/>
    <w:rsid w:val="00BC6606"/>
    <w:rsid w:val="00BC6A34"/>
    <w:rsid w:val="00BC7C1B"/>
    <w:rsid w:val="00BD01C2"/>
    <w:rsid w:val="00BD01F1"/>
    <w:rsid w:val="00BD0AA5"/>
    <w:rsid w:val="00BD190D"/>
    <w:rsid w:val="00BD20E7"/>
    <w:rsid w:val="00BD380C"/>
    <w:rsid w:val="00BD3F31"/>
    <w:rsid w:val="00BD620C"/>
    <w:rsid w:val="00BD6561"/>
    <w:rsid w:val="00BD6971"/>
    <w:rsid w:val="00BD73AD"/>
    <w:rsid w:val="00BD7590"/>
    <w:rsid w:val="00BD7A3A"/>
    <w:rsid w:val="00BE0227"/>
    <w:rsid w:val="00BE0240"/>
    <w:rsid w:val="00BE13D4"/>
    <w:rsid w:val="00BE1BEC"/>
    <w:rsid w:val="00BE2499"/>
    <w:rsid w:val="00BE38B9"/>
    <w:rsid w:val="00BE4A81"/>
    <w:rsid w:val="00BE51C1"/>
    <w:rsid w:val="00BE53BC"/>
    <w:rsid w:val="00BE59F7"/>
    <w:rsid w:val="00BE5F05"/>
    <w:rsid w:val="00BE62A4"/>
    <w:rsid w:val="00BE6FA0"/>
    <w:rsid w:val="00BE75EE"/>
    <w:rsid w:val="00BF06A3"/>
    <w:rsid w:val="00BF0E7B"/>
    <w:rsid w:val="00BF0EF2"/>
    <w:rsid w:val="00BF11A0"/>
    <w:rsid w:val="00BF1A1D"/>
    <w:rsid w:val="00BF23CC"/>
    <w:rsid w:val="00BF2CF1"/>
    <w:rsid w:val="00BF327A"/>
    <w:rsid w:val="00BF3842"/>
    <w:rsid w:val="00BF43E2"/>
    <w:rsid w:val="00BF5DDF"/>
    <w:rsid w:val="00BF68C8"/>
    <w:rsid w:val="00BF7651"/>
    <w:rsid w:val="00C00E34"/>
    <w:rsid w:val="00C011C0"/>
    <w:rsid w:val="00C01561"/>
    <w:rsid w:val="00C015E7"/>
    <w:rsid w:val="00C016A3"/>
    <w:rsid w:val="00C017BF"/>
    <w:rsid w:val="00C01E68"/>
    <w:rsid w:val="00C0206A"/>
    <w:rsid w:val="00C03B32"/>
    <w:rsid w:val="00C04AD4"/>
    <w:rsid w:val="00C051ED"/>
    <w:rsid w:val="00C056F5"/>
    <w:rsid w:val="00C06036"/>
    <w:rsid w:val="00C06236"/>
    <w:rsid w:val="00C07EAC"/>
    <w:rsid w:val="00C10E18"/>
    <w:rsid w:val="00C10FA0"/>
    <w:rsid w:val="00C1135A"/>
    <w:rsid w:val="00C11924"/>
    <w:rsid w:val="00C11A83"/>
    <w:rsid w:val="00C11B21"/>
    <w:rsid w:val="00C1201F"/>
    <w:rsid w:val="00C127F0"/>
    <w:rsid w:val="00C1291D"/>
    <w:rsid w:val="00C13493"/>
    <w:rsid w:val="00C13515"/>
    <w:rsid w:val="00C137DC"/>
    <w:rsid w:val="00C14016"/>
    <w:rsid w:val="00C1409E"/>
    <w:rsid w:val="00C14992"/>
    <w:rsid w:val="00C14D4B"/>
    <w:rsid w:val="00C151C3"/>
    <w:rsid w:val="00C16406"/>
    <w:rsid w:val="00C16701"/>
    <w:rsid w:val="00C16B9F"/>
    <w:rsid w:val="00C17652"/>
    <w:rsid w:val="00C17ADC"/>
    <w:rsid w:val="00C17B40"/>
    <w:rsid w:val="00C2106E"/>
    <w:rsid w:val="00C21DA8"/>
    <w:rsid w:val="00C21DB1"/>
    <w:rsid w:val="00C221A0"/>
    <w:rsid w:val="00C226BF"/>
    <w:rsid w:val="00C23564"/>
    <w:rsid w:val="00C236A7"/>
    <w:rsid w:val="00C238D1"/>
    <w:rsid w:val="00C2441B"/>
    <w:rsid w:val="00C25584"/>
    <w:rsid w:val="00C258D1"/>
    <w:rsid w:val="00C25C46"/>
    <w:rsid w:val="00C26B8A"/>
    <w:rsid w:val="00C27450"/>
    <w:rsid w:val="00C30BF4"/>
    <w:rsid w:val="00C312A2"/>
    <w:rsid w:val="00C3156A"/>
    <w:rsid w:val="00C31E23"/>
    <w:rsid w:val="00C326F9"/>
    <w:rsid w:val="00C3315F"/>
    <w:rsid w:val="00C331A2"/>
    <w:rsid w:val="00C33233"/>
    <w:rsid w:val="00C34790"/>
    <w:rsid w:val="00C34E5F"/>
    <w:rsid w:val="00C3566F"/>
    <w:rsid w:val="00C356FA"/>
    <w:rsid w:val="00C35D17"/>
    <w:rsid w:val="00C35ECD"/>
    <w:rsid w:val="00C360AF"/>
    <w:rsid w:val="00C362B6"/>
    <w:rsid w:val="00C36583"/>
    <w:rsid w:val="00C36EFE"/>
    <w:rsid w:val="00C36FFC"/>
    <w:rsid w:val="00C377A4"/>
    <w:rsid w:val="00C37A29"/>
    <w:rsid w:val="00C37F43"/>
    <w:rsid w:val="00C40119"/>
    <w:rsid w:val="00C4061C"/>
    <w:rsid w:val="00C40791"/>
    <w:rsid w:val="00C40B64"/>
    <w:rsid w:val="00C41138"/>
    <w:rsid w:val="00C42D81"/>
    <w:rsid w:val="00C42DD2"/>
    <w:rsid w:val="00C42FAB"/>
    <w:rsid w:val="00C43479"/>
    <w:rsid w:val="00C43881"/>
    <w:rsid w:val="00C439A2"/>
    <w:rsid w:val="00C4470C"/>
    <w:rsid w:val="00C45AC6"/>
    <w:rsid w:val="00C45D04"/>
    <w:rsid w:val="00C45F2E"/>
    <w:rsid w:val="00C50C26"/>
    <w:rsid w:val="00C5164C"/>
    <w:rsid w:val="00C52426"/>
    <w:rsid w:val="00C52622"/>
    <w:rsid w:val="00C5378C"/>
    <w:rsid w:val="00C5400C"/>
    <w:rsid w:val="00C549DC"/>
    <w:rsid w:val="00C55D48"/>
    <w:rsid w:val="00C563D8"/>
    <w:rsid w:val="00C5795E"/>
    <w:rsid w:val="00C57C10"/>
    <w:rsid w:val="00C600CD"/>
    <w:rsid w:val="00C61A44"/>
    <w:rsid w:val="00C627AF"/>
    <w:rsid w:val="00C628C2"/>
    <w:rsid w:val="00C6398C"/>
    <w:rsid w:val="00C64188"/>
    <w:rsid w:val="00C642E8"/>
    <w:rsid w:val="00C653B0"/>
    <w:rsid w:val="00C65683"/>
    <w:rsid w:val="00C65874"/>
    <w:rsid w:val="00C65DFF"/>
    <w:rsid w:val="00C663D5"/>
    <w:rsid w:val="00C6692A"/>
    <w:rsid w:val="00C66C32"/>
    <w:rsid w:val="00C66FE4"/>
    <w:rsid w:val="00C70A29"/>
    <w:rsid w:val="00C70D80"/>
    <w:rsid w:val="00C70EFC"/>
    <w:rsid w:val="00C71340"/>
    <w:rsid w:val="00C71613"/>
    <w:rsid w:val="00C71688"/>
    <w:rsid w:val="00C71864"/>
    <w:rsid w:val="00C71AE5"/>
    <w:rsid w:val="00C71DDB"/>
    <w:rsid w:val="00C733DA"/>
    <w:rsid w:val="00C73404"/>
    <w:rsid w:val="00C73C90"/>
    <w:rsid w:val="00C741A5"/>
    <w:rsid w:val="00C75C56"/>
    <w:rsid w:val="00C7615F"/>
    <w:rsid w:val="00C770CB"/>
    <w:rsid w:val="00C80396"/>
    <w:rsid w:val="00C80507"/>
    <w:rsid w:val="00C82895"/>
    <w:rsid w:val="00C8295C"/>
    <w:rsid w:val="00C8318C"/>
    <w:rsid w:val="00C85528"/>
    <w:rsid w:val="00C85920"/>
    <w:rsid w:val="00C86F0C"/>
    <w:rsid w:val="00C870D6"/>
    <w:rsid w:val="00C87736"/>
    <w:rsid w:val="00C87B44"/>
    <w:rsid w:val="00C906DD"/>
    <w:rsid w:val="00C908F4"/>
    <w:rsid w:val="00C909F6"/>
    <w:rsid w:val="00C91746"/>
    <w:rsid w:val="00C9192F"/>
    <w:rsid w:val="00C91A1B"/>
    <w:rsid w:val="00C932F3"/>
    <w:rsid w:val="00C97F43"/>
    <w:rsid w:val="00C97FD4"/>
    <w:rsid w:val="00C97FFD"/>
    <w:rsid w:val="00CA0101"/>
    <w:rsid w:val="00CA0149"/>
    <w:rsid w:val="00CA0B3F"/>
    <w:rsid w:val="00CA0E3B"/>
    <w:rsid w:val="00CA1447"/>
    <w:rsid w:val="00CA1BB6"/>
    <w:rsid w:val="00CA2836"/>
    <w:rsid w:val="00CA2CE6"/>
    <w:rsid w:val="00CA3909"/>
    <w:rsid w:val="00CA3C52"/>
    <w:rsid w:val="00CA3D3A"/>
    <w:rsid w:val="00CA3F89"/>
    <w:rsid w:val="00CA45A4"/>
    <w:rsid w:val="00CA4639"/>
    <w:rsid w:val="00CA4E5A"/>
    <w:rsid w:val="00CA5542"/>
    <w:rsid w:val="00CA57FB"/>
    <w:rsid w:val="00CA5A08"/>
    <w:rsid w:val="00CB0940"/>
    <w:rsid w:val="00CB0F6C"/>
    <w:rsid w:val="00CB146F"/>
    <w:rsid w:val="00CB177B"/>
    <w:rsid w:val="00CB1FB9"/>
    <w:rsid w:val="00CB28FF"/>
    <w:rsid w:val="00CB39DE"/>
    <w:rsid w:val="00CB4456"/>
    <w:rsid w:val="00CC0B6C"/>
    <w:rsid w:val="00CC1897"/>
    <w:rsid w:val="00CC18D8"/>
    <w:rsid w:val="00CC1C77"/>
    <w:rsid w:val="00CC3204"/>
    <w:rsid w:val="00CC3225"/>
    <w:rsid w:val="00CC38B0"/>
    <w:rsid w:val="00CC3DE4"/>
    <w:rsid w:val="00CC4566"/>
    <w:rsid w:val="00CC459B"/>
    <w:rsid w:val="00CC5ED4"/>
    <w:rsid w:val="00CC5F5B"/>
    <w:rsid w:val="00CC6768"/>
    <w:rsid w:val="00CC7D66"/>
    <w:rsid w:val="00CC7DEC"/>
    <w:rsid w:val="00CD047E"/>
    <w:rsid w:val="00CD0C2C"/>
    <w:rsid w:val="00CD0ECA"/>
    <w:rsid w:val="00CD12C6"/>
    <w:rsid w:val="00CD1B65"/>
    <w:rsid w:val="00CD1CE4"/>
    <w:rsid w:val="00CD2D77"/>
    <w:rsid w:val="00CD5500"/>
    <w:rsid w:val="00CD61EB"/>
    <w:rsid w:val="00CD6A68"/>
    <w:rsid w:val="00CD7AE5"/>
    <w:rsid w:val="00CD7F44"/>
    <w:rsid w:val="00CE01D3"/>
    <w:rsid w:val="00CE0554"/>
    <w:rsid w:val="00CE0CE6"/>
    <w:rsid w:val="00CE0FDD"/>
    <w:rsid w:val="00CE14C1"/>
    <w:rsid w:val="00CE14E7"/>
    <w:rsid w:val="00CE1DA0"/>
    <w:rsid w:val="00CE2C6A"/>
    <w:rsid w:val="00CE424A"/>
    <w:rsid w:val="00CE43AF"/>
    <w:rsid w:val="00CE4660"/>
    <w:rsid w:val="00CE4C31"/>
    <w:rsid w:val="00CE4D3A"/>
    <w:rsid w:val="00CE5131"/>
    <w:rsid w:val="00CE64FD"/>
    <w:rsid w:val="00CE6754"/>
    <w:rsid w:val="00CE68D9"/>
    <w:rsid w:val="00CE7236"/>
    <w:rsid w:val="00CF0119"/>
    <w:rsid w:val="00CF020E"/>
    <w:rsid w:val="00CF02C1"/>
    <w:rsid w:val="00CF02F0"/>
    <w:rsid w:val="00CF081C"/>
    <w:rsid w:val="00CF0C1A"/>
    <w:rsid w:val="00CF1DD0"/>
    <w:rsid w:val="00CF1F37"/>
    <w:rsid w:val="00CF27FC"/>
    <w:rsid w:val="00CF4649"/>
    <w:rsid w:val="00CF4ADF"/>
    <w:rsid w:val="00CF4BC6"/>
    <w:rsid w:val="00CF4BF8"/>
    <w:rsid w:val="00CF5CAF"/>
    <w:rsid w:val="00CF6201"/>
    <w:rsid w:val="00CF66DC"/>
    <w:rsid w:val="00CF7F06"/>
    <w:rsid w:val="00D01187"/>
    <w:rsid w:val="00D014B2"/>
    <w:rsid w:val="00D01615"/>
    <w:rsid w:val="00D01AB0"/>
    <w:rsid w:val="00D02433"/>
    <w:rsid w:val="00D02646"/>
    <w:rsid w:val="00D0352E"/>
    <w:rsid w:val="00D04B09"/>
    <w:rsid w:val="00D058DA"/>
    <w:rsid w:val="00D0631C"/>
    <w:rsid w:val="00D079F2"/>
    <w:rsid w:val="00D10DDD"/>
    <w:rsid w:val="00D10EF8"/>
    <w:rsid w:val="00D10F14"/>
    <w:rsid w:val="00D11633"/>
    <w:rsid w:val="00D12F7B"/>
    <w:rsid w:val="00D1425D"/>
    <w:rsid w:val="00D14DDF"/>
    <w:rsid w:val="00D14FB1"/>
    <w:rsid w:val="00D15113"/>
    <w:rsid w:val="00D15B7C"/>
    <w:rsid w:val="00D15B7D"/>
    <w:rsid w:val="00D16223"/>
    <w:rsid w:val="00D16CD3"/>
    <w:rsid w:val="00D16E7D"/>
    <w:rsid w:val="00D16F74"/>
    <w:rsid w:val="00D17784"/>
    <w:rsid w:val="00D21091"/>
    <w:rsid w:val="00D21402"/>
    <w:rsid w:val="00D22C6D"/>
    <w:rsid w:val="00D23270"/>
    <w:rsid w:val="00D254F6"/>
    <w:rsid w:val="00D25A93"/>
    <w:rsid w:val="00D26F2A"/>
    <w:rsid w:val="00D27079"/>
    <w:rsid w:val="00D30791"/>
    <w:rsid w:val="00D312CF"/>
    <w:rsid w:val="00D3143C"/>
    <w:rsid w:val="00D3196F"/>
    <w:rsid w:val="00D31E3E"/>
    <w:rsid w:val="00D31EA0"/>
    <w:rsid w:val="00D32629"/>
    <w:rsid w:val="00D32866"/>
    <w:rsid w:val="00D32AD8"/>
    <w:rsid w:val="00D32B52"/>
    <w:rsid w:val="00D330CA"/>
    <w:rsid w:val="00D3316D"/>
    <w:rsid w:val="00D336FB"/>
    <w:rsid w:val="00D33E38"/>
    <w:rsid w:val="00D343CC"/>
    <w:rsid w:val="00D348A3"/>
    <w:rsid w:val="00D35EEA"/>
    <w:rsid w:val="00D361A4"/>
    <w:rsid w:val="00D37239"/>
    <w:rsid w:val="00D37504"/>
    <w:rsid w:val="00D3784C"/>
    <w:rsid w:val="00D37882"/>
    <w:rsid w:val="00D40F4E"/>
    <w:rsid w:val="00D41009"/>
    <w:rsid w:val="00D417A5"/>
    <w:rsid w:val="00D41B4E"/>
    <w:rsid w:val="00D42D45"/>
    <w:rsid w:val="00D43A71"/>
    <w:rsid w:val="00D43FFF"/>
    <w:rsid w:val="00D44270"/>
    <w:rsid w:val="00D46FD9"/>
    <w:rsid w:val="00D47D15"/>
    <w:rsid w:val="00D50221"/>
    <w:rsid w:val="00D505D4"/>
    <w:rsid w:val="00D50C44"/>
    <w:rsid w:val="00D533C0"/>
    <w:rsid w:val="00D5419B"/>
    <w:rsid w:val="00D5510C"/>
    <w:rsid w:val="00D55E48"/>
    <w:rsid w:val="00D562A1"/>
    <w:rsid w:val="00D56DD6"/>
    <w:rsid w:val="00D576A3"/>
    <w:rsid w:val="00D57C39"/>
    <w:rsid w:val="00D603C4"/>
    <w:rsid w:val="00D60649"/>
    <w:rsid w:val="00D61E88"/>
    <w:rsid w:val="00D639A9"/>
    <w:rsid w:val="00D63AF3"/>
    <w:rsid w:val="00D64061"/>
    <w:rsid w:val="00D64207"/>
    <w:rsid w:val="00D645C2"/>
    <w:rsid w:val="00D65202"/>
    <w:rsid w:val="00D65B59"/>
    <w:rsid w:val="00D65D18"/>
    <w:rsid w:val="00D65E7E"/>
    <w:rsid w:val="00D662AD"/>
    <w:rsid w:val="00D6668B"/>
    <w:rsid w:val="00D66BCB"/>
    <w:rsid w:val="00D67178"/>
    <w:rsid w:val="00D70E8E"/>
    <w:rsid w:val="00D71758"/>
    <w:rsid w:val="00D7226C"/>
    <w:rsid w:val="00D724E2"/>
    <w:rsid w:val="00D72DD8"/>
    <w:rsid w:val="00D73BC6"/>
    <w:rsid w:val="00D745B7"/>
    <w:rsid w:val="00D7553D"/>
    <w:rsid w:val="00D761F4"/>
    <w:rsid w:val="00D77220"/>
    <w:rsid w:val="00D77427"/>
    <w:rsid w:val="00D77F3F"/>
    <w:rsid w:val="00D80BBC"/>
    <w:rsid w:val="00D814AD"/>
    <w:rsid w:val="00D81ADB"/>
    <w:rsid w:val="00D820E8"/>
    <w:rsid w:val="00D82201"/>
    <w:rsid w:val="00D82A35"/>
    <w:rsid w:val="00D83923"/>
    <w:rsid w:val="00D8393A"/>
    <w:rsid w:val="00D8437D"/>
    <w:rsid w:val="00D8442A"/>
    <w:rsid w:val="00D84E58"/>
    <w:rsid w:val="00D85032"/>
    <w:rsid w:val="00D85A4E"/>
    <w:rsid w:val="00D8635A"/>
    <w:rsid w:val="00D86E14"/>
    <w:rsid w:val="00D92551"/>
    <w:rsid w:val="00D93201"/>
    <w:rsid w:val="00D9417F"/>
    <w:rsid w:val="00D9419D"/>
    <w:rsid w:val="00D9444E"/>
    <w:rsid w:val="00D94EE8"/>
    <w:rsid w:val="00D9543B"/>
    <w:rsid w:val="00D95956"/>
    <w:rsid w:val="00D96D6A"/>
    <w:rsid w:val="00D96F65"/>
    <w:rsid w:val="00D9741F"/>
    <w:rsid w:val="00D978E5"/>
    <w:rsid w:val="00D97E78"/>
    <w:rsid w:val="00D97F2A"/>
    <w:rsid w:val="00DA098B"/>
    <w:rsid w:val="00DA0EA1"/>
    <w:rsid w:val="00DA11C5"/>
    <w:rsid w:val="00DA136C"/>
    <w:rsid w:val="00DA1BAD"/>
    <w:rsid w:val="00DA1F00"/>
    <w:rsid w:val="00DA25E6"/>
    <w:rsid w:val="00DA2C61"/>
    <w:rsid w:val="00DA3017"/>
    <w:rsid w:val="00DA462D"/>
    <w:rsid w:val="00DA501B"/>
    <w:rsid w:val="00DA5484"/>
    <w:rsid w:val="00DA592C"/>
    <w:rsid w:val="00DA69F4"/>
    <w:rsid w:val="00DA6FEA"/>
    <w:rsid w:val="00DA7466"/>
    <w:rsid w:val="00DA7A64"/>
    <w:rsid w:val="00DA7F46"/>
    <w:rsid w:val="00DB276D"/>
    <w:rsid w:val="00DB3808"/>
    <w:rsid w:val="00DB3BDD"/>
    <w:rsid w:val="00DB4D09"/>
    <w:rsid w:val="00DB55AD"/>
    <w:rsid w:val="00DB56AA"/>
    <w:rsid w:val="00DB6F38"/>
    <w:rsid w:val="00DB7674"/>
    <w:rsid w:val="00DB7913"/>
    <w:rsid w:val="00DB7E8D"/>
    <w:rsid w:val="00DC02D9"/>
    <w:rsid w:val="00DC0B82"/>
    <w:rsid w:val="00DC0CA9"/>
    <w:rsid w:val="00DC1012"/>
    <w:rsid w:val="00DC11FE"/>
    <w:rsid w:val="00DC13AE"/>
    <w:rsid w:val="00DC1754"/>
    <w:rsid w:val="00DC18D8"/>
    <w:rsid w:val="00DC1B37"/>
    <w:rsid w:val="00DC1FB7"/>
    <w:rsid w:val="00DC2DE0"/>
    <w:rsid w:val="00DC3713"/>
    <w:rsid w:val="00DC3F1C"/>
    <w:rsid w:val="00DC49E0"/>
    <w:rsid w:val="00DC51DD"/>
    <w:rsid w:val="00DC5232"/>
    <w:rsid w:val="00DC5B13"/>
    <w:rsid w:val="00DC5DE5"/>
    <w:rsid w:val="00DC5DFF"/>
    <w:rsid w:val="00DC73B9"/>
    <w:rsid w:val="00DC7493"/>
    <w:rsid w:val="00DC74CB"/>
    <w:rsid w:val="00DC76E7"/>
    <w:rsid w:val="00DC777B"/>
    <w:rsid w:val="00DD0764"/>
    <w:rsid w:val="00DD134A"/>
    <w:rsid w:val="00DD13A8"/>
    <w:rsid w:val="00DD174C"/>
    <w:rsid w:val="00DD3696"/>
    <w:rsid w:val="00DD3A0E"/>
    <w:rsid w:val="00DD3DAE"/>
    <w:rsid w:val="00DD4261"/>
    <w:rsid w:val="00DD4BF2"/>
    <w:rsid w:val="00DD6473"/>
    <w:rsid w:val="00DD69F4"/>
    <w:rsid w:val="00DD7212"/>
    <w:rsid w:val="00DD78DE"/>
    <w:rsid w:val="00DD7D2C"/>
    <w:rsid w:val="00DD7E4F"/>
    <w:rsid w:val="00DE04CE"/>
    <w:rsid w:val="00DE0785"/>
    <w:rsid w:val="00DE0C12"/>
    <w:rsid w:val="00DE1854"/>
    <w:rsid w:val="00DE1E65"/>
    <w:rsid w:val="00DE270B"/>
    <w:rsid w:val="00DE2D83"/>
    <w:rsid w:val="00DE3A8F"/>
    <w:rsid w:val="00DE3EBA"/>
    <w:rsid w:val="00DE5C5A"/>
    <w:rsid w:val="00DE5C85"/>
    <w:rsid w:val="00DE5CEA"/>
    <w:rsid w:val="00DE5D54"/>
    <w:rsid w:val="00DE6534"/>
    <w:rsid w:val="00DE67DF"/>
    <w:rsid w:val="00DE714A"/>
    <w:rsid w:val="00DE7E0D"/>
    <w:rsid w:val="00DF0039"/>
    <w:rsid w:val="00DF0973"/>
    <w:rsid w:val="00DF0B54"/>
    <w:rsid w:val="00DF0FCF"/>
    <w:rsid w:val="00DF201B"/>
    <w:rsid w:val="00DF2172"/>
    <w:rsid w:val="00DF28DB"/>
    <w:rsid w:val="00DF2BEC"/>
    <w:rsid w:val="00DF37C1"/>
    <w:rsid w:val="00DF4E3E"/>
    <w:rsid w:val="00DF510E"/>
    <w:rsid w:val="00DF5305"/>
    <w:rsid w:val="00DF57D9"/>
    <w:rsid w:val="00DF60B9"/>
    <w:rsid w:val="00DF63B7"/>
    <w:rsid w:val="00DF7112"/>
    <w:rsid w:val="00DF712C"/>
    <w:rsid w:val="00DF7545"/>
    <w:rsid w:val="00E0017B"/>
    <w:rsid w:val="00E010CD"/>
    <w:rsid w:val="00E02761"/>
    <w:rsid w:val="00E0280C"/>
    <w:rsid w:val="00E0453D"/>
    <w:rsid w:val="00E05351"/>
    <w:rsid w:val="00E05BEF"/>
    <w:rsid w:val="00E05C19"/>
    <w:rsid w:val="00E05FA6"/>
    <w:rsid w:val="00E06AF6"/>
    <w:rsid w:val="00E06C8E"/>
    <w:rsid w:val="00E10693"/>
    <w:rsid w:val="00E10C9C"/>
    <w:rsid w:val="00E1155E"/>
    <w:rsid w:val="00E12933"/>
    <w:rsid w:val="00E14D58"/>
    <w:rsid w:val="00E15A2F"/>
    <w:rsid w:val="00E15A4E"/>
    <w:rsid w:val="00E160AB"/>
    <w:rsid w:val="00E16D18"/>
    <w:rsid w:val="00E16EBA"/>
    <w:rsid w:val="00E173EA"/>
    <w:rsid w:val="00E1777D"/>
    <w:rsid w:val="00E17CB6"/>
    <w:rsid w:val="00E21B2C"/>
    <w:rsid w:val="00E21CD0"/>
    <w:rsid w:val="00E22F0F"/>
    <w:rsid w:val="00E2313C"/>
    <w:rsid w:val="00E23850"/>
    <w:rsid w:val="00E241AE"/>
    <w:rsid w:val="00E2470C"/>
    <w:rsid w:val="00E25474"/>
    <w:rsid w:val="00E25D3E"/>
    <w:rsid w:val="00E25DED"/>
    <w:rsid w:val="00E25E16"/>
    <w:rsid w:val="00E2635A"/>
    <w:rsid w:val="00E26669"/>
    <w:rsid w:val="00E266A9"/>
    <w:rsid w:val="00E26A4C"/>
    <w:rsid w:val="00E27863"/>
    <w:rsid w:val="00E318D2"/>
    <w:rsid w:val="00E32481"/>
    <w:rsid w:val="00E32EE5"/>
    <w:rsid w:val="00E32F93"/>
    <w:rsid w:val="00E3477C"/>
    <w:rsid w:val="00E350BE"/>
    <w:rsid w:val="00E36A44"/>
    <w:rsid w:val="00E36FFB"/>
    <w:rsid w:val="00E379F7"/>
    <w:rsid w:val="00E37E15"/>
    <w:rsid w:val="00E401D7"/>
    <w:rsid w:val="00E40428"/>
    <w:rsid w:val="00E41716"/>
    <w:rsid w:val="00E41F5B"/>
    <w:rsid w:val="00E42882"/>
    <w:rsid w:val="00E42ED7"/>
    <w:rsid w:val="00E42FE7"/>
    <w:rsid w:val="00E441C9"/>
    <w:rsid w:val="00E44795"/>
    <w:rsid w:val="00E458ED"/>
    <w:rsid w:val="00E46A03"/>
    <w:rsid w:val="00E47018"/>
    <w:rsid w:val="00E47107"/>
    <w:rsid w:val="00E47B22"/>
    <w:rsid w:val="00E50A17"/>
    <w:rsid w:val="00E51EE3"/>
    <w:rsid w:val="00E51F6C"/>
    <w:rsid w:val="00E522E8"/>
    <w:rsid w:val="00E52D41"/>
    <w:rsid w:val="00E5415B"/>
    <w:rsid w:val="00E54ACD"/>
    <w:rsid w:val="00E54B2B"/>
    <w:rsid w:val="00E54E4E"/>
    <w:rsid w:val="00E55237"/>
    <w:rsid w:val="00E55C19"/>
    <w:rsid w:val="00E56CEA"/>
    <w:rsid w:val="00E611BE"/>
    <w:rsid w:val="00E615A5"/>
    <w:rsid w:val="00E61632"/>
    <w:rsid w:val="00E61B3F"/>
    <w:rsid w:val="00E62D5E"/>
    <w:rsid w:val="00E632CD"/>
    <w:rsid w:val="00E63A61"/>
    <w:rsid w:val="00E63EB3"/>
    <w:rsid w:val="00E643ED"/>
    <w:rsid w:val="00E65BB9"/>
    <w:rsid w:val="00E67256"/>
    <w:rsid w:val="00E67840"/>
    <w:rsid w:val="00E67C0C"/>
    <w:rsid w:val="00E70098"/>
    <w:rsid w:val="00E70DD7"/>
    <w:rsid w:val="00E71172"/>
    <w:rsid w:val="00E72992"/>
    <w:rsid w:val="00E72AE0"/>
    <w:rsid w:val="00E72EE0"/>
    <w:rsid w:val="00E7370D"/>
    <w:rsid w:val="00E741FB"/>
    <w:rsid w:val="00E7752A"/>
    <w:rsid w:val="00E7771C"/>
    <w:rsid w:val="00E801CF"/>
    <w:rsid w:val="00E814D7"/>
    <w:rsid w:val="00E81680"/>
    <w:rsid w:val="00E8191B"/>
    <w:rsid w:val="00E81C5F"/>
    <w:rsid w:val="00E81EF4"/>
    <w:rsid w:val="00E82873"/>
    <w:rsid w:val="00E82EC0"/>
    <w:rsid w:val="00E849C5"/>
    <w:rsid w:val="00E8506F"/>
    <w:rsid w:val="00E85325"/>
    <w:rsid w:val="00E85729"/>
    <w:rsid w:val="00E868EF"/>
    <w:rsid w:val="00E86CAB"/>
    <w:rsid w:val="00E900FF"/>
    <w:rsid w:val="00E906BC"/>
    <w:rsid w:val="00E91A7E"/>
    <w:rsid w:val="00E91FED"/>
    <w:rsid w:val="00E9295E"/>
    <w:rsid w:val="00E92E92"/>
    <w:rsid w:val="00E93181"/>
    <w:rsid w:val="00E93F4B"/>
    <w:rsid w:val="00E946FA"/>
    <w:rsid w:val="00E95175"/>
    <w:rsid w:val="00E95C17"/>
    <w:rsid w:val="00E96445"/>
    <w:rsid w:val="00E964D2"/>
    <w:rsid w:val="00E96745"/>
    <w:rsid w:val="00E96948"/>
    <w:rsid w:val="00E970BC"/>
    <w:rsid w:val="00E97593"/>
    <w:rsid w:val="00E97CDC"/>
    <w:rsid w:val="00EA1943"/>
    <w:rsid w:val="00EA24ED"/>
    <w:rsid w:val="00EA38F0"/>
    <w:rsid w:val="00EA4028"/>
    <w:rsid w:val="00EA4609"/>
    <w:rsid w:val="00EA50AD"/>
    <w:rsid w:val="00EA5772"/>
    <w:rsid w:val="00EA6532"/>
    <w:rsid w:val="00EA6BDF"/>
    <w:rsid w:val="00EA719B"/>
    <w:rsid w:val="00EA719E"/>
    <w:rsid w:val="00EA7BAE"/>
    <w:rsid w:val="00EB0335"/>
    <w:rsid w:val="00EB0C69"/>
    <w:rsid w:val="00EB1784"/>
    <w:rsid w:val="00EB20BF"/>
    <w:rsid w:val="00EB28FF"/>
    <w:rsid w:val="00EB3156"/>
    <w:rsid w:val="00EB333D"/>
    <w:rsid w:val="00EB3562"/>
    <w:rsid w:val="00EB36F3"/>
    <w:rsid w:val="00EB3962"/>
    <w:rsid w:val="00EB3F9D"/>
    <w:rsid w:val="00EB5DC6"/>
    <w:rsid w:val="00EB5F08"/>
    <w:rsid w:val="00EB602F"/>
    <w:rsid w:val="00EB75DE"/>
    <w:rsid w:val="00EC0267"/>
    <w:rsid w:val="00EC213E"/>
    <w:rsid w:val="00EC25F3"/>
    <w:rsid w:val="00EC5935"/>
    <w:rsid w:val="00EC6857"/>
    <w:rsid w:val="00ED109D"/>
    <w:rsid w:val="00ED1D1B"/>
    <w:rsid w:val="00ED3148"/>
    <w:rsid w:val="00ED3C03"/>
    <w:rsid w:val="00ED4983"/>
    <w:rsid w:val="00ED4F5C"/>
    <w:rsid w:val="00ED5056"/>
    <w:rsid w:val="00ED6CAC"/>
    <w:rsid w:val="00ED7F1C"/>
    <w:rsid w:val="00EE143F"/>
    <w:rsid w:val="00EE209F"/>
    <w:rsid w:val="00EE280E"/>
    <w:rsid w:val="00EE3EAE"/>
    <w:rsid w:val="00EE3FE8"/>
    <w:rsid w:val="00EE474B"/>
    <w:rsid w:val="00EE53EB"/>
    <w:rsid w:val="00EE540F"/>
    <w:rsid w:val="00EE6F14"/>
    <w:rsid w:val="00EE74CC"/>
    <w:rsid w:val="00EF0340"/>
    <w:rsid w:val="00EF2AEA"/>
    <w:rsid w:val="00EF2DCE"/>
    <w:rsid w:val="00EF33D2"/>
    <w:rsid w:val="00EF386E"/>
    <w:rsid w:val="00EF3F23"/>
    <w:rsid w:val="00EF4A6C"/>
    <w:rsid w:val="00EF4E1D"/>
    <w:rsid w:val="00EF4FDA"/>
    <w:rsid w:val="00EF5132"/>
    <w:rsid w:val="00F004AE"/>
    <w:rsid w:val="00F03AD6"/>
    <w:rsid w:val="00F040DA"/>
    <w:rsid w:val="00F04610"/>
    <w:rsid w:val="00F0489D"/>
    <w:rsid w:val="00F04EA7"/>
    <w:rsid w:val="00F0577A"/>
    <w:rsid w:val="00F073ED"/>
    <w:rsid w:val="00F07949"/>
    <w:rsid w:val="00F10061"/>
    <w:rsid w:val="00F100E7"/>
    <w:rsid w:val="00F10511"/>
    <w:rsid w:val="00F10BAA"/>
    <w:rsid w:val="00F10D51"/>
    <w:rsid w:val="00F1118F"/>
    <w:rsid w:val="00F11D32"/>
    <w:rsid w:val="00F12620"/>
    <w:rsid w:val="00F127B0"/>
    <w:rsid w:val="00F12F19"/>
    <w:rsid w:val="00F13CAF"/>
    <w:rsid w:val="00F14B6C"/>
    <w:rsid w:val="00F15C3B"/>
    <w:rsid w:val="00F160E9"/>
    <w:rsid w:val="00F1615C"/>
    <w:rsid w:val="00F162D4"/>
    <w:rsid w:val="00F16EB2"/>
    <w:rsid w:val="00F16FBA"/>
    <w:rsid w:val="00F17F26"/>
    <w:rsid w:val="00F2058B"/>
    <w:rsid w:val="00F21EB7"/>
    <w:rsid w:val="00F22C2C"/>
    <w:rsid w:val="00F24206"/>
    <w:rsid w:val="00F24BE8"/>
    <w:rsid w:val="00F255FA"/>
    <w:rsid w:val="00F25AE6"/>
    <w:rsid w:val="00F262FB"/>
    <w:rsid w:val="00F27209"/>
    <w:rsid w:val="00F27E12"/>
    <w:rsid w:val="00F27EE9"/>
    <w:rsid w:val="00F305C8"/>
    <w:rsid w:val="00F307C9"/>
    <w:rsid w:val="00F30B6E"/>
    <w:rsid w:val="00F310D9"/>
    <w:rsid w:val="00F318AC"/>
    <w:rsid w:val="00F31D48"/>
    <w:rsid w:val="00F3209B"/>
    <w:rsid w:val="00F3214C"/>
    <w:rsid w:val="00F32232"/>
    <w:rsid w:val="00F32407"/>
    <w:rsid w:val="00F33D86"/>
    <w:rsid w:val="00F33F8D"/>
    <w:rsid w:val="00F34031"/>
    <w:rsid w:val="00F347C1"/>
    <w:rsid w:val="00F3482C"/>
    <w:rsid w:val="00F36A07"/>
    <w:rsid w:val="00F3742B"/>
    <w:rsid w:val="00F37CB6"/>
    <w:rsid w:val="00F37D40"/>
    <w:rsid w:val="00F37F65"/>
    <w:rsid w:val="00F4010B"/>
    <w:rsid w:val="00F40735"/>
    <w:rsid w:val="00F40D94"/>
    <w:rsid w:val="00F41330"/>
    <w:rsid w:val="00F41E98"/>
    <w:rsid w:val="00F42BEC"/>
    <w:rsid w:val="00F42DD9"/>
    <w:rsid w:val="00F430B5"/>
    <w:rsid w:val="00F432AA"/>
    <w:rsid w:val="00F43AD1"/>
    <w:rsid w:val="00F43CFD"/>
    <w:rsid w:val="00F441B0"/>
    <w:rsid w:val="00F44AD5"/>
    <w:rsid w:val="00F453BC"/>
    <w:rsid w:val="00F4689D"/>
    <w:rsid w:val="00F46E42"/>
    <w:rsid w:val="00F46FB9"/>
    <w:rsid w:val="00F4702C"/>
    <w:rsid w:val="00F47D84"/>
    <w:rsid w:val="00F501B1"/>
    <w:rsid w:val="00F505B8"/>
    <w:rsid w:val="00F505FD"/>
    <w:rsid w:val="00F50CB5"/>
    <w:rsid w:val="00F53EFE"/>
    <w:rsid w:val="00F542BE"/>
    <w:rsid w:val="00F54591"/>
    <w:rsid w:val="00F54A35"/>
    <w:rsid w:val="00F55294"/>
    <w:rsid w:val="00F55E74"/>
    <w:rsid w:val="00F56875"/>
    <w:rsid w:val="00F57F7D"/>
    <w:rsid w:val="00F60BA2"/>
    <w:rsid w:val="00F60F8D"/>
    <w:rsid w:val="00F6153E"/>
    <w:rsid w:val="00F61D7D"/>
    <w:rsid w:val="00F626BA"/>
    <w:rsid w:val="00F62909"/>
    <w:rsid w:val="00F62CD3"/>
    <w:rsid w:val="00F62FB8"/>
    <w:rsid w:val="00F634CF"/>
    <w:rsid w:val="00F634F6"/>
    <w:rsid w:val="00F63EDD"/>
    <w:rsid w:val="00F643A6"/>
    <w:rsid w:val="00F6497D"/>
    <w:rsid w:val="00F650A8"/>
    <w:rsid w:val="00F65752"/>
    <w:rsid w:val="00F66599"/>
    <w:rsid w:val="00F67B63"/>
    <w:rsid w:val="00F718B1"/>
    <w:rsid w:val="00F71DD7"/>
    <w:rsid w:val="00F72A7B"/>
    <w:rsid w:val="00F72A96"/>
    <w:rsid w:val="00F72CD7"/>
    <w:rsid w:val="00F73A43"/>
    <w:rsid w:val="00F73CD5"/>
    <w:rsid w:val="00F763BD"/>
    <w:rsid w:val="00F76F8F"/>
    <w:rsid w:val="00F770F6"/>
    <w:rsid w:val="00F77ADD"/>
    <w:rsid w:val="00F77B4D"/>
    <w:rsid w:val="00F77B7F"/>
    <w:rsid w:val="00F80462"/>
    <w:rsid w:val="00F83763"/>
    <w:rsid w:val="00F845C6"/>
    <w:rsid w:val="00F8489B"/>
    <w:rsid w:val="00F84A28"/>
    <w:rsid w:val="00F84E19"/>
    <w:rsid w:val="00F864DE"/>
    <w:rsid w:val="00F86E3D"/>
    <w:rsid w:val="00F87B07"/>
    <w:rsid w:val="00F90D3C"/>
    <w:rsid w:val="00F9110D"/>
    <w:rsid w:val="00F91251"/>
    <w:rsid w:val="00F91798"/>
    <w:rsid w:val="00F91B26"/>
    <w:rsid w:val="00F923B1"/>
    <w:rsid w:val="00F92F72"/>
    <w:rsid w:val="00F939DA"/>
    <w:rsid w:val="00F93C6F"/>
    <w:rsid w:val="00F93F4B"/>
    <w:rsid w:val="00F9443E"/>
    <w:rsid w:val="00F947A2"/>
    <w:rsid w:val="00F94880"/>
    <w:rsid w:val="00F95134"/>
    <w:rsid w:val="00F972E3"/>
    <w:rsid w:val="00FA0F8C"/>
    <w:rsid w:val="00FA14B7"/>
    <w:rsid w:val="00FA21F0"/>
    <w:rsid w:val="00FA31C4"/>
    <w:rsid w:val="00FA33D2"/>
    <w:rsid w:val="00FA37C8"/>
    <w:rsid w:val="00FA3DAF"/>
    <w:rsid w:val="00FA43F5"/>
    <w:rsid w:val="00FA4A55"/>
    <w:rsid w:val="00FA5523"/>
    <w:rsid w:val="00FA6802"/>
    <w:rsid w:val="00FA68C8"/>
    <w:rsid w:val="00FA724B"/>
    <w:rsid w:val="00FA76FA"/>
    <w:rsid w:val="00FA7A96"/>
    <w:rsid w:val="00FA7C50"/>
    <w:rsid w:val="00FA7F80"/>
    <w:rsid w:val="00FB016C"/>
    <w:rsid w:val="00FB0876"/>
    <w:rsid w:val="00FB113F"/>
    <w:rsid w:val="00FB1837"/>
    <w:rsid w:val="00FB2013"/>
    <w:rsid w:val="00FB23FF"/>
    <w:rsid w:val="00FB2AF3"/>
    <w:rsid w:val="00FB3416"/>
    <w:rsid w:val="00FB3AFC"/>
    <w:rsid w:val="00FB3D5A"/>
    <w:rsid w:val="00FB3EE8"/>
    <w:rsid w:val="00FB42D5"/>
    <w:rsid w:val="00FB4319"/>
    <w:rsid w:val="00FB4D73"/>
    <w:rsid w:val="00FB4E6B"/>
    <w:rsid w:val="00FB4E93"/>
    <w:rsid w:val="00FB4F1F"/>
    <w:rsid w:val="00FB5178"/>
    <w:rsid w:val="00FB5CC1"/>
    <w:rsid w:val="00FB7C14"/>
    <w:rsid w:val="00FC2CA8"/>
    <w:rsid w:val="00FC2D8B"/>
    <w:rsid w:val="00FC341F"/>
    <w:rsid w:val="00FC3DDF"/>
    <w:rsid w:val="00FC49AA"/>
    <w:rsid w:val="00FC4B7B"/>
    <w:rsid w:val="00FC54D0"/>
    <w:rsid w:val="00FC5682"/>
    <w:rsid w:val="00FC5DFF"/>
    <w:rsid w:val="00FC725D"/>
    <w:rsid w:val="00FD1791"/>
    <w:rsid w:val="00FD1907"/>
    <w:rsid w:val="00FD1C9D"/>
    <w:rsid w:val="00FD2E3A"/>
    <w:rsid w:val="00FD3306"/>
    <w:rsid w:val="00FD36B1"/>
    <w:rsid w:val="00FD487F"/>
    <w:rsid w:val="00FD4A69"/>
    <w:rsid w:val="00FD4D74"/>
    <w:rsid w:val="00FD58F9"/>
    <w:rsid w:val="00FD6451"/>
    <w:rsid w:val="00FD69FF"/>
    <w:rsid w:val="00FD6DE0"/>
    <w:rsid w:val="00FD6E31"/>
    <w:rsid w:val="00FD7AD0"/>
    <w:rsid w:val="00FE01FE"/>
    <w:rsid w:val="00FE039F"/>
    <w:rsid w:val="00FE27D0"/>
    <w:rsid w:val="00FE4A0B"/>
    <w:rsid w:val="00FE59FD"/>
    <w:rsid w:val="00FE62E4"/>
    <w:rsid w:val="00FE6F2B"/>
    <w:rsid w:val="00FE7F98"/>
    <w:rsid w:val="00FF0FCD"/>
    <w:rsid w:val="00FF1BAE"/>
    <w:rsid w:val="00FF1F47"/>
    <w:rsid w:val="00FF2E7F"/>
    <w:rsid w:val="00FF306D"/>
    <w:rsid w:val="00FF312A"/>
    <w:rsid w:val="00FF5F99"/>
    <w:rsid w:val="00FF60CF"/>
    <w:rsid w:val="00FF686F"/>
    <w:rsid w:val="00FF7230"/>
    <w:rsid w:val="00FF789A"/>
    <w:rsid w:val="0D6F86B3"/>
    <w:rsid w:val="19DB4B60"/>
    <w:rsid w:val="36E1C47E"/>
    <w:rsid w:val="4459A1DF"/>
    <w:rsid w:val="7A9D0447"/>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59D1DA"/>
  <w15:chartTrackingRefBased/>
  <w15:docId w15:val="{5667E469-BD76-4FC0-B1F0-637BE08766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1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iPriority="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CE0CE6"/>
    <w:pPr>
      <w:spacing w:before="120" w:after="120" w:line="280" w:lineRule="atLeast"/>
    </w:pPr>
    <w:rPr>
      <w:sz w:val="20"/>
      <w:szCs w:val="20"/>
    </w:rPr>
  </w:style>
  <w:style w:type="paragraph" w:styleId="Heading1">
    <w:name w:val="heading 1"/>
    <w:basedOn w:val="Normal"/>
    <w:next w:val="BodyText"/>
    <w:link w:val="Heading1Char"/>
    <w:uiPriority w:val="9"/>
    <w:qFormat/>
    <w:rsid w:val="00CE0CE6"/>
    <w:pPr>
      <w:numPr>
        <w:numId w:val="36"/>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CE0CE6"/>
    <w:pPr>
      <w:keepNext/>
      <w:keepLines/>
      <w:numPr>
        <w:ilvl w:val="2"/>
        <w:numId w:val="36"/>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CE0CE6"/>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CE0CE6"/>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95D9B"/>
    <w:pPr>
      <w:keepNext/>
      <w:keepLines/>
      <w:spacing w:before="240"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CE0CE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CE0CE6"/>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CE0CE6"/>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CE0CE6"/>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0CE6"/>
    <w:rPr>
      <w:color w:val="808080"/>
    </w:rPr>
  </w:style>
  <w:style w:type="paragraph" w:styleId="NoSpacing">
    <w:name w:val="No Spacing"/>
    <w:basedOn w:val="Normal"/>
    <w:link w:val="NoSpacingChar"/>
    <w:uiPriority w:val="10"/>
    <w:qFormat/>
    <w:rsid w:val="00CE0CE6"/>
    <w:pPr>
      <w:spacing w:before="0" w:after="0"/>
    </w:pPr>
  </w:style>
  <w:style w:type="paragraph" w:styleId="ListBullet">
    <w:name w:val="List Bullet"/>
    <w:basedOn w:val="Normal"/>
    <w:link w:val="ListBulletChar"/>
    <w:uiPriority w:val="1"/>
    <w:qFormat/>
    <w:rsid w:val="00CE0CE6"/>
    <w:pPr>
      <w:numPr>
        <w:numId w:val="38"/>
      </w:numPr>
      <w:contextualSpacing/>
    </w:pPr>
  </w:style>
  <w:style w:type="paragraph" w:styleId="ListBullet2">
    <w:name w:val="List Bullet 2"/>
    <w:basedOn w:val="Normal"/>
    <w:uiPriority w:val="1"/>
    <w:qFormat/>
    <w:rsid w:val="00CE0CE6"/>
    <w:pPr>
      <w:numPr>
        <w:ilvl w:val="1"/>
        <w:numId w:val="38"/>
      </w:numPr>
      <w:contextualSpacing/>
    </w:pPr>
  </w:style>
  <w:style w:type="paragraph" w:styleId="ListNumber">
    <w:name w:val="List Number"/>
    <w:basedOn w:val="Normal"/>
    <w:uiPriority w:val="2"/>
    <w:qFormat/>
    <w:rsid w:val="00CE0CE6"/>
    <w:pPr>
      <w:numPr>
        <w:numId w:val="37"/>
      </w:numPr>
      <w:spacing w:before="60"/>
      <w:contextualSpacing/>
    </w:pPr>
  </w:style>
  <w:style w:type="numbering" w:customStyle="1" w:styleId="Bullets">
    <w:name w:val="Bullets"/>
    <w:uiPriority w:val="99"/>
    <w:rsid w:val="00CE0CE6"/>
    <w:pPr>
      <w:numPr>
        <w:numId w:val="28"/>
      </w:numPr>
    </w:pPr>
  </w:style>
  <w:style w:type="character" w:customStyle="1" w:styleId="Heading1Char">
    <w:name w:val="Heading 1 Char"/>
    <w:basedOn w:val="DefaultParagraphFont"/>
    <w:link w:val="Heading1"/>
    <w:uiPriority w:val="9"/>
    <w:rsid w:val="00CE0CE6"/>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CE0CE6"/>
    <w:pPr>
      <w:numPr>
        <w:ilvl w:val="1"/>
        <w:numId w:val="37"/>
      </w:numPr>
      <w:spacing w:before="60"/>
      <w:contextualSpacing/>
    </w:pPr>
  </w:style>
  <w:style w:type="character" w:customStyle="1" w:styleId="Heading2Char">
    <w:name w:val="Heading 2 Char"/>
    <w:basedOn w:val="DefaultParagraphFont"/>
    <w:link w:val="Heading2"/>
    <w:uiPriority w:val="9"/>
    <w:rsid w:val="00CE0CE6"/>
    <w:rPr>
      <w:rFonts w:asciiTheme="majorHAnsi" w:eastAsiaTheme="majorEastAsia" w:hAnsiTheme="majorHAnsi" w:cstheme="majorBidi"/>
      <w:sz w:val="30"/>
      <w:szCs w:val="60"/>
    </w:rPr>
  </w:style>
  <w:style w:type="paragraph" w:styleId="ListParagraph">
    <w:name w:val="List Paragraph"/>
    <w:basedOn w:val="Normal"/>
    <w:link w:val="ListParagraphChar"/>
    <w:uiPriority w:val="34"/>
    <w:rsid w:val="00CE0CE6"/>
    <w:pPr>
      <w:spacing w:line="293" w:lineRule="auto"/>
      <w:ind w:left="284"/>
      <w:contextualSpacing/>
    </w:pPr>
  </w:style>
  <w:style w:type="paragraph" w:styleId="Header">
    <w:name w:val="header"/>
    <w:basedOn w:val="Normal"/>
    <w:link w:val="HeaderChar"/>
    <w:uiPriority w:val="99"/>
    <w:unhideWhenUsed/>
    <w:rsid w:val="00CE0CE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CE0CE6"/>
    <w:rPr>
      <w:sz w:val="16"/>
      <w:szCs w:val="20"/>
    </w:rPr>
  </w:style>
  <w:style w:type="paragraph" w:styleId="Footer">
    <w:name w:val="footer"/>
    <w:basedOn w:val="Normal"/>
    <w:link w:val="FooterChar"/>
    <w:uiPriority w:val="11"/>
    <w:rsid w:val="00CE0CE6"/>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E0CE6"/>
    <w:rPr>
      <w:rFonts w:asciiTheme="majorHAnsi" w:hAnsiTheme="majorHAnsi"/>
      <w:sz w:val="17"/>
    </w:rPr>
  </w:style>
  <w:style w:type="numbering" w:customStyle="1" w:styleId="Numbering">
    <w:name w:val="Numbering"/>
    <w:uiPriority w:val="99"/>
    <w:rsid w:val="00CE0CE6"/>
    <w:pPr>
      <w:numPr>
        <w:numId w:val="37"/>
      </w:numPr>
    </w:pPr>
  </w:style>
  <w:style w:type="paragraph" w:styleId="ListBullet3">
    <w:name w:val="List Bullet 3"/>
    <w:basedOn w:val="Normal"/>
    <w:uiPriority w:val="1"/>
    <w:qFormat/>
    <w:rsid w:val="00CE0CE6"/>
    <w:pPr>
      <w:numPr>
        <w:ilvl w:val="2"/>
        <w:numId w:val="38"/>
      </w:numPr>
      <w:contextualSpacing/>
    </w:pPr>
  </w:style>
  <w:style w:type="paragraph" w:styleId="ListContinue2">
    <w:name w:val="List Continue 2"/>
    <w:basedOn w:val="Normal"/>
    <w:uiPriority w:val="3"/>
    <w:unhideWhenUsed/>
    <w:qFormat/>
    <w:rsid w:val="00CE0CE6"/>
    <w:pPr>
      <w:spacing w:before="60"/>
      <w:ind w:left="454"/>
    </w:pPr>
  </w:style>
  <w:style w:type="paragraph" w:styleId="ListNumber3">
    <w:name w:val="List Number 3"/>
    <w:basedOn w:val="Normal"/>
    <w:uiPriority w:val="13"/>
    <w:semiHidden/>
    <w:qFormat/>
    <w:rsid w:val="00CE0CE6"/>
    <w:pPr>
      <w:numPr>
        <w:ilvl w:val="2"/>
        <w:numId w:val="37"/>
      </w:numPr>
      <w:spacing w:before="60"/>
      <w:contextualSpacing/>
    </w:pPr>
  </w:style>
  <w:style w:type="paragraph" w:styleId="ListNumber4">
    <w:name w:val="List Number 4"/>
    <w:basedOn w:val="Normal"/>
    <w:uiPriority w:val="13"/>
    <w:semiHidden/>
    <w:qFormat/>
    <w:rsid w:val="00CE0CE6"/>
    <w:pPr>
      <w:numPr>
        <w:ilvl w:val="3"/>
        <w:numId w:val="37"/>
      </w:numPr>
      <w:spacing w:after="200" w:line="293" w:lineRule="auto"/>
      <w:contextualSpacing/>
    </w:pPr>
  </w:style>
  <w:style w:type="paragraph" w:styleId="ListNumber5">
    <w:name w:val="List Number 5"/>
    <w:basedOn w:val="Normal"/>
    <w:uiPriority w:val="13"/>
    <w:semiHidden/>
    <w:rsid w:val="00CE0CE6"/>
    <w:pPr>
      <w:numPr>
        <w:ilvl w:val="4"/>
        <w:numId w:val="37"/>
      </w:numPr>
      <w:spacing w:after="200" w:line="293" w:lineRule="auto"/>
      <w:contextualSpacing/>
    </w:pPr>
  </w:style>
  <w:style w:type="paragraph" w:styleId="ListContinue">
    <w:name w:val="List Continue"/>
    <w:basedOn w:val="Normal"/>
    <w:uiPriority w:val="3"/>
    <w:unhideWhenUsed/>
    <w:qFormat/>
    <w:rsid w:val="00CE0CE6"/>
    <w:pPr>
      <w:spacing w:before="60"/>
      <w:ind w:left="227"/>
    </w:pPr>
  </w:style>
  <w:style w:type="paragraph" w:styleId="ListContinue3">
    <w:name w:val="List Continue 3"/>
    <w:basedOn w:val="Normal"/>
    <w:uiPriority w:val="3"/>
    <w:unhideWhenUsed/>
    <w:qFormat/>
    <w:rsid w:val="00CE0CE6"/>
    <w:pPr>
      <w:spacing w:before="60"/>
      <w:ind w:left="907"/>
    </w:pPr>
  </w:style>
  <w:style w:type="paragraph" w:styleId="ListContinue4">
    <w:name w:val="List Continue 4"/>
    <w:basedOn w:val="Normal"/>
    <w:uiPriority w:val="3"/>
    <w:unhideWhenUsed/>
    <w:qFormat/>
    <w:rsid w:val="00CE0CE6"/>
    <w:pPr>
      <w:spacing w:line="293" w:lineRule="auto"/>
      <w:ind w:left="907"/>
      <w:contextualSpacing/>
    </w:pPr>
  </w:style>
  <w:style w:type="character" w:customStyle="1" w:styleId="Heading3Char">
    <w:name w:val="Heading 3 Char"/>
    <w:basedOn w:val="DefaultParagraphFont"/>
    <w:link w:val="Heading3"/>
    <w:uiPriority w:val="9"/>
    <w:rsid w:val="00CE0CE6"/>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CE0CE6"/>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95D9B"/>
    <w:rPr>
      <w:rFonts w:eastAsiaTheme="majorEastAsia" w:cstheme="majorBidi"/>
      <w:b/>
      <w:color w:val="265A9A" w:themeColor="background2"/>
      <w:szCs w:val="29"/>
    </w:rPr>
  </w:style>
  <w:style w:type="numbering" w:customStyle="1" w:styleId="ListHeadings">
    <w:name w:val="List Headings"/>
    <w:uiPriority w:val="99"/>
    <w:rsid w:val="00CE0CE6"/>
    <w:pPr>
      <w:numPr>
        <w:numId w:val="35"/>
      </w:numPr>
    </w:pPr>
  </w:style>
  <w:style w:type="paragraph" w:styleId="Title">
    <w:name w:val="Title"/>
    <w:basedOn w:val="Heading1"/>
    <w:next w:val="Normal"/>
    <w:link w:val="TitleChar"/>
    <w:uiPriority w:val="39"/>
    <w:rsid w:val="00CE0CE6"/>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CE0CE6"/>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CE0CE6"/>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CE0CE6"/>
    <w:rPr>
      <w:b/>
    </w:rPr>
  </w:style>
  <w:style w:type="character" w:customStyle="1" w:styleId="Pull-outQuoteChar">
    <w:name w:val="Pull-out Quote Char"/>
    <w:basedOn w:val="DefaultParagraphFont"/>
    <w:link w:val="Pull-outQuote"/>
    <w:uiPriority w:val="99"/>
    <w:semiHidden/>
    <w:rsid w:val="00CE0CE6"/>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CE0CE6"/>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CE0CE6"/>
  </w:style>
  <w:style w:type="paragraph" w:customStyle="1" w:styleId="NumberedHeading2">
    <w:name w:val="Numbered Heading 2"/>
    <w:basedOn w:val="Heading2"/>
    <w:next w:val="Normal"/>
    <w:link w:val="NumberedHeading2Char"/>
    <w:uiPriority w:val="9"/>
    <w:semiHidden/>
    <w:rsid w:val="00CE0CE6"/>
  </w:style>
  <w:style w:type="character" w:customStyle="1" w:styleId="NumberedHeading1Char">
    <w:name w:val="Numbered Heading 1 Char"/>
    <w:basedOn w:val="Heading1Char"/>
    <w:link w:val="NumberedHeading1"/>
    <w:uiPriority w:val="9"/>
    <w:semiHidden/>
    <w:rsid w:val="00CE0CE6"/>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E0CE6"/>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CE0CE6"/>
    <w:pPr>
      <w:ind w:left="1134"/>
      <w:contextualSpacing/>
    </w:pPr>
  </w:style>
  <w:style w:type="table" w:styleId="TableGrid">
    <w:name w:val="Table Grid"/>
    <w:basedOn w:val="TableNormal"/>
    <w:uiPriority w:val="39"/>
    <w:rsid w:val="00CE0C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CE0C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CE0CE6"/>
    <w:pPr>
      <w:numPr>
        <w:numId w:val="32"/>
      </w:numPr>
      <w:spacing w:before="60"/>
    </w:pPr>
  </w:style>
  <w:style w:type="paragraph" w:styleId="List2">
    <w:name w:val="List 2"/>
    <w:basedOn w:val="Normal"/>
    <w:uiPriority w:val="99"/>
    <w:semiHidden/>
    <w:qFormat/>
    <w:rsid w:val="00CE0CE6"/>
    <w:pPr>
      <w:numPr>
        <w:ilvl w:val="1"/>
        <w:numId w:val="32"/>
      </w:numPr>
      <w:spacing w:before="60"/>
    </w:pPr>
  </w:style>
  <w:style w:type="numbering" w:customStyle="1" w:styleId="LetteredList">
    <w:name w:val="Lettered List"/>
    <w:uiPriority w:val="99"/>
    <w:rsid w:val="00CE0CE6"/>
    <w:pPr>
      <w:numPr>
        <w:numId w:val="31"/>
      </w:numPr>
    </w:pPr>
  </w:style>
  <w:style w:type="paragraph" w:styleId="Subtitle">
    <w:name w:val="Subtitle"/>
    <w:basedOn w:val="Normal"/>
    <w:next w:val="Normal"/>
    <w:link w:val="SubtitleChar"/>
    <w:uiPriority w:val="39"/>
    <w:rsid w:val="00CE0CE6"/>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CE0CE6"/>
    <w:rPr>
      <w:rFonts w:eastAsiaTheme="minorEastAsia"/>
      <w:color w:val="FFFFFF" w:themeColor="background1"/>
      <w:sz w:val="52"/>
      <w:szCs w:val="20"/>
    </w:rPr>
  </w:style>
  <w:style w:type="character" w:styleId="Strong">
    <w:name w:val="Strong"/>
    <w:basedOn w:val="DefaultParagraphFont"/>
    <w:uiPriority w:val="22"/>
    <w:qFormat/>
    <w:rsid w:val="00CE0CE6"/>
    <w:rPr>
      <w:rFonts w:asciiTheme="minorHAnsi" w:hAnsiTheme="minorHAnsi"/>
      <w:b/>
      <w:bCs/>
    </w:rPr>
  </w:style>
  <w:style w:type="paragraph" w:customStyle="1" w:styleId="Header-Keyline">
    <w:name w:val="Header - Keyline"/>
    <w:basedOn w:val="Header"/>
    <w:link w:val="Header-KeylineChar"/>
    <w:uiPriority w:val="99"/>
    <w:rsid w:val="00CE0CE6"/>
    <w:pPr>
      <w:pBdr>
        <w:bottom w:val="single" w:sz="4" w:space="31" w:color="66BCDB" w:themeColor="text2"/>
      </w:pBdr>
      <w:spacing w:after="600"/>
    </w:pPr>
  </w:style>
  <w:style w:type="character" w:customStyle="1" w:styleId="Heading6Char">
    <w:name w:val="Heading 6 Char"/>
    <w:basedOn w:val="DefaultParagraphFont"/>
    <w:link w:val="Heading6"/>
    <w:uiPriority w:val="9"/>
    <w:rsid w:val="00CE0CE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CE0CE6"/>
    <w:rPr>
      <w:sz w:val="16"/>
      <w:szCs w:val="20"/>
    </w:rPr>
  </w:style>
  <w:style w:type="character" w:customStyle="1" w:styleId="Heading7Char">
    <w:name w:val="Heading 7 Char"/>
    <w:basedOn w:val="DefaultParagraphFont"/>
    <w:link w:val="Heading7"/>
    <w:uiPriority w:val="9"/>
    <w:semiHidden/>
    <w:rsid w:val="00CE0CE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CE0CE6"/>
    <w:rPr>
      <w:rFonts w:eastAsiaTheme="majorEastAsia" w:cstheme="majorBidi"/>
      <w:b/>
      <w:sz w:val="18"/>
      <w:szCs w:val="21"/>
    </w:rPr>
  </w:style>
  <w:style w:type="table" w:customStyle="1" w:styleId="ProductivityCommissionTable1">
    <w:name w:val="Productivity Commission Table 1"/>
    <w:basedOn w:val="TableNormal"/>
    <w:uiPriority w:val="99"/>
    <w:rsid w:val="00CE0CE6"/>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CE0CE6"/>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CE0CE6"/>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CE0CE6"/>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rsid w:val="00CE0CE6"/>
    <w:pPr>
      <w:spacing w:before="60" w:after="60" w:line="293" w:lineRule="auto"/>
      <w:contextualSpacing/>
    </w:pPr>
    <w:rPr>
      <w:sz w:val="18"/>
    </w:rPr>
  </w:style>
  <w:style w:type="paragraph" w:styleId="TOC1">
    <w:name w:val="toc 1"/>
    <w:basedOn w:val="Normal"/>
    <w:next w:val="BodyText"/>
    <w:autoRedefine/>
    <w:uiPriority w:val="39"/>
    <w:unhideWhenUsed/>
    <w:rsid w:val="00844263"/>
    <w:pPr>
      <w:tabs>
        <w:tab w:val="left" w:pos="567"/>
        <w:tab w:val="right" w:pos="7938"/>
      </w:tabs>
      <w:spacing w:before="240"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CE0CE6"/>
    <w:rPr>
      <w:sz w:val="18"/>
      <w:szCs w:val="20"/>
    </w:rPr>
  </w:style>
  <w:style w:type="character" w:styleId="FootnoteReference">
    <w:name w:val="footnote reference"/>
    <w:basedOn w:val="DefaultParagraphFont"/>
    <w:uiPriority w:val="99"/>
    <w:unhideWhenUsed/>
    <w:rsid w:val="00CE0CE6"/>
    <w:rPr>
      <w:vertAlign w:val="superscript"/>
    </w:rPr>
  </w:style>
  <w:style w:type="character" w:styleId="Hyperlink">
    <w:name w:val="Hyperlink"/>
    <w:basedOn w:val="DefaultParagraphFont"/>
    <w:uiPriority w:val="99"/>
    <w:unhideWhenUsed/>
    <w:rsid w:val="00CE0CE6"/>
    <w:rPr>
      <w:color w:val="000000" w:themeColor="hyperlink"/>
      <w:u w:val="single"/>
    </w:rPr>
  </w:style>
  <w:style w:type="character" w:styleId="HTMLVariable">
    <w:name w:val="HTML Variable"/>
    <w:basedOn w:val="DefaultParagraphFont"/>
    <w:uiPriority w:val="99"/>
    <w:unhideWhenUsed/>
    <w:rsid w:val="00CE0CE6"/>
    <w:rPr>
      <w:i/>
      <w:iCs/>
    </w:rPr>
  </w:style>
  <w:style w:type="paragraph" w:styleId="TOC2">
    <w:name w:val="toc 2"/>
    <w:basedOn w:val="Normal"/>
    <w:next w:val="Normal"/>
    <w:autoRedefine/>
    <w:uiPriority w:val="39"/>
    <w:unhideWhenUsed/>
    <w:rsid w:val="00CE0CE6"/>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CE0CE6"/>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CE0CE6"/>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CE0CE6"/>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E0CE6"/>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CE0CE6"/>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CE0CE6"/>
    <w:rPr>
      <w:sz w:val="20"/>
      <w:szCs w:val="20"/>
    </w:rPr>
  </w:style>
  <w:style w:type="character" w:customStyle="1" w:styleId="Copyrightpage-Heading2Char">
    <w:name w:val="Copyright page-Heading 2 Char"/>
    <w:basedOn w:val="NoSpacingChar"/>
    <w:link w:val="Copyrightpage-Heading2"/>
    <w:uiPriority w:val="19"/>
    <w:rsid w:val="00CE0CE6"/>
    <w:rPr>
      <w:b/>
      <w:color w:val="FFFFFF" w:themeColor="background1"/>
      <w:sz w:val="16"/>
      <w:szCs w:val="16"/>
    </w:rPr>
  </w:style>
  <w:style w:type="paragraph" w:customStyle="1" w:styleId="Copyrightpage-Heading">
    <w:name w:val="Copyright page-Heading"/>
    <w:basedOn w:val="Subtitle2"/>
    <w:link w:val="Copyrightpage-HeadingChar"/>
    <w:uiPriority w:val="19"/>
    <w:rsid w:val="00CE0CE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CE0CE6"/>
    <w:rPr>
      <w:color w:val="FFFFFF" w:themeColor="background1"/>
      <w:sz w:val="16"/>
      <w:szCs w:val="20"/>
    </w:rPr>
  </w:style>
  <w:style w:type="paragraph" w:customStyle="1" w:styleId="Subtitle4">
    <w:name w:val="Subtitle 4"/>
    <w:basedOn w:val="Copyrightpage-Heading"/>
    <w:link w:val="Subtitle4Char"/>
    <w:uiPriority w:val="39"/>
    <w:rsid w:val="00CE0CE6"/>
    <w:pPr>
      <w:spacing w:after="40"/>
    </w:pPr>
    <w:rPr>
      <w:b/>
      <w:sz w:val="16"/>
    </w:rPr>
  </w:style>
  <w:style w:type="character" w:customStyle="1" w:styleId="Copyrightpage-HeadingChar">
    <w:name w:val="Copyright page-Heading Char"/>
    <w:basedOn w:val="Subtitle2Char"/>
    <w:link w:val="Copyrightpage-Heading"/>
    <w:uiPriority w:val="19"/>
    <w:rsid w:val="00CE0CE6"/>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CE0CE6"/>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E0CE6"/>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CE0CE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CE0CE6"/>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CE0CE6"/>
    <w:pPr>
      <w:spacing w:line="360" w:lineRule="auto"/>
      <w:jc w:val="right"/>
    </w:pPr>
    <w:rPr>
      <w:sz w:val="16"/>
    </w:rPr>
  </w:style>
  <w:style w:type="paragraph" w:customStyle="1" w:styleId="Letterlogo">
    <w:name w:val="Letter logo"/>
    <w:basedOn w:val="LetterRight"/>
    <w:uiPriority w:val="99"/>
    <w:rsid w:val="00CE0CE6"/>
    <w:pPr>
      <w:spacing w:after="320"/>
    </w:pPr>
  </w:style>
  <w:style w:type="character" w:customStyle="1" w:styleId="LetterRightChar">
    <w:name w:val="Letter Right Char"/>
    <w:basedOn w:val="DefaultParagraphFont"/>
    <w:link w:val="LetterRight"/>
    <w:uiPriority w:val="99"/>
    <w:rsid w:val="00CE0CE6"/>
    <w:rPr>
      <w:sz w:val="16"/>
      <w:szCs w:val="20"/>
    </w:rPr>
  </w:style>
  <w:style w:type="character" w:styleId="UnresolvedMention">
    <w:name w:val="Unresolved Mention"/>
    <w:basedOn w:val="DefaultParagraphFont"/>
    <w:uiPriority w:val="99"/>
    <w:unhideWhenUsed/>
    <w:rsid w:val="00CE0CE6"/>
    <w:rPr>
      <w:color w:val="605E5C"/>
      <w:shd w:val="clear" w:color="auto" w:fill="E1DFDD"/>
    </w:rPr>
  </w:style>
  <w:style w:type="paragraph" w:customStyle="1" w:styleId="LetterRight-NoSpace">
    <w:name w:val="Letter Right-No Space"/>
    <w:basedOn w:val="LetterRight"/>
    <w:uiPriority w:val="99"/>
    <w:rsid w:val="00CE0CE6"/>
    <w:pPr>
      <w:spacing w:after="0"/>
    </w:pPr>
  </w:style>
  <w:style w:type="table" w:customStyle="1" w:styleId="Blank">
    <w:name w:val="Blank"/>
    <w:basedOn w:val="TableNormal"/>
    <w:uiPriority w:val="99"/>
    <w:rsid w:val="00CE0CE6"/>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CE0CE6"/>
    <w:pPr>
      <w:numPr>
        <w:numId w:val="34"/>
      </w:numPr>
      <w:contextualSpacing/>
    </w:pPr>
  </w:style>
  <w:style w:type="paragraph" w:customStyle="1" w:styleId="Coverdate">
    <w:name w:val="Cover date"/>
    <w:basedOn w:val="Normal"/>
    <w:uiPriority w:val="29"/>
    <w:rsid w:val="00CE0CE6"/>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CE0CE6"/>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CE0CE6"/>
    <w:rPr>
      <w:color w:val="FFFFFF" w:themeColor="background1"/>
    </w:rPr>
  </w:style>
  <w:style w:type="paragraph" w:customStyle="1" w:styleId="Copyrightpage-Keylinenotext">
    <w:name w:val="Copyright page-Keyline (no text)"/>
    <w:basedOn w:val="Copyrightpage-Heading2"/>
    <w:uiPriority w:val="19"/>
    <w:rsid w:val="00CE0CE6"/>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CE0CE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CE0CE6"/>
    <w:rPr>
      <w:b/>
    </w:rPr>
  </w:style>
  <w:style w:type="paragraph" w:customStyle="1" w:styleId="CoverImage">
    <w:name w:val="Cover Image"/>
    <w:basedOn w:val="Normal"/>
    <w:uiPriority w:val="29"/>
    <w:rsid w:val="00CE0CE6"/>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CE0CE6"/>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CE0CE6"/>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CE0CE6"/>
    <w:pPr>
      <w:spacing w:before="60"/>
      <w:ind w:left="113" w:right="851"/>
    </w:pPr>
    <w:rPr>
      <w:color w:val="58585B"/>
    </w:rPr>
  </w:style>
  <w:style w:type="numbering" w:customStyle="1" w:styleId="TOCList">
    <w:name w:val="TOC List"/>
    <w:uiPriority w:val="99"/>
    <w:rsid w:val="00CE0CE6"/>
    <w:pPr>
      <w:numPr>
        <w:numId w:val="40"/>
      </w:numPr>
    </w:pPr>
  </w:style>
  <w:style w:type="paragraph" w:customStyle="1" w:styleId="Heading1-Section-fullpage">
    <w:name w:val="Heading 1-Section-full page"/>
    <w:basedOn w:val="Heading1-nobackground"/>
    <w:uiPriority w:val="9"/>
    <w:qFormat/>
    <w:rsid w:val="00CE0CE6"/>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CE0CE6"/>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CE0CE6"/>
    <w:pPr>
      <w:keepNext/>
      <w:spacing w:before="240"/>
    </w:pPr>
  </w:style>
  <w:style w:type="paragraph" w:customStyle="1" w:styleId="Source">
    <w:name w:val="Source"/>
    <w:basedOn w:val="Normal"/>
    <w:uiPriority w:val="9"/>
    <w:qFormat/>
    <w:rsid w:val="00CE0CE6"/>
    <w:pPr>
      <w:spacing w:before="80" w:after="240" w:line="216" w:lineRule="atLeast"/>
    </w:pPr>
    <w:rPr>
      <w:sz w:val="18"/>
    </w:rPr>
  </w:style>
  <w:style w:type="paragraph" w:customStyle="1" w:styleId="Note">
    <w:name w:val="Note"/>
    <w:basedOn w:val="Source"/>
    <w:uiPriority w:val="9"/>
    <w:qFormat/>
    <w:rsid w:val="00CE0CE6"/>
    <w:pPr>
      <w:spacing w:after="20"/>
    </w:pPr>
  </w:style>
  <w:style w:type="table" w:customStyle="1" w:styleId="Boxtable">
    <w:name w:val="Box table"/>
    <w:basedOn w:val="Texttable-Paleblue"/>
    <w:uiPriority w:val="99"/>
    <w:rsid w:val="00CE0CE6"/>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E0CE6"/>
    <w:pPr>
      <w:numPr>
        <w:numId w:val="27"/>
      </w:numPr>
    </w:pPr>
  </w:style>
  <w:style w:type="paragraph" w:customStyle="1" w:styleId="BoxHeading2">
    <w:name w:val="Box Heading 2"/>
    <w:basedOn w:val="Normal"/>
    <w:next w:val="BodyText"/>
    <w:uiPriority w:val="4"/>
    <w:qFormat/>
    <w:rsid w:val="00CE0CE6"/>
    <w:rPr>
      <w:b/>
    </w:rPr>
  </w:style>
  <w:style w:type="table" w:customStyle="1" w:styleId="ProductivityCommissionTable2-Dark">
    <w:name w:val="Productivity Commission Table 2 - Dark"/>
    <w:basedOn w:val="ProductivityCommissionTable2"/>
    <w:uiPriority w:val="99"/>
    <w:rsid w:val="00CE0CE6"/>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CE0CE6"/>
    <w:rPr>
      <w:i/>
    </w:rPr>
  </w:style>
  <w:style w:type="paragraph" w:customStyle="1" w:styleId="TableHeading">
    <w:name w:val="Table Heading"/>
    <w:basedOn w:val="NoSpacing"/>
    <w:uiPriority w:val="4"/>
    <w:qFormat/>
    <w:rsid w:val="00CE0CE6"/>
    <w:pPr>
      <w:spacing w:after="20"/>
      <w:ind w:left="57"/>
    </w:pPr>
    <w:rPr>
      <w:b/>
      <w:color w:val="265A9A" w:themeColor="background2"/>
      <w:sz w:val="18"/>
    </w:rPr>
  </w:style>
  <w:style w:type="paragraph" w:customStyle="1" w:styleId="BodyText-Blue">
    <w:name w:val="Body Text-Blue"/>
    <w:basedOn w:val="BodyText"/>
    <w:link w:val="BodyText-BlueChar"/>
    <w:semiHidden/>
    <w:qFormat/>
    <w:rsid w:val="00CE0CE6"/>
    <w:rPr>
      <w:color w:val="265A9A" w:themeColor="background2"/>
    </w:rPr>
  </w:style>
  <w:style w:type="table" w:customStyle="1" w:styleId="Texttable-Keyline">
    <w:name w:val="Text table-Keyline"/>
    <w:basedOn w:val="Texttable-Paleblue"/>
    <w:uiPriority w:val="99"/>
    <w:rsid w:val="00CE0CE6"/>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CE0CE6"/>
    <w:pPr>
      <w:jc w:val="right"/>
    </w:pPr>
  </w:style>
  <w:style w:type="table" w:customStyle="1" w:styleId="CopyrightPage">
    <w:name w:val="Copyright Page"/>
    <w:basedOn w:val="OverviewPageBannerTableStyle"/>
    <w:uiPriority w:val="99"/>
    <w:rsid w:val="00CE0CE6"/>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CE0CE6"/>
    <w:pPr>
      <w:spacing w:line="312" w:lineRule="atLeast"/>
    </w:pPr>
    <w:rPr>
      <w:color w:val="2C9BC2"/>
    </w:rPr>
  </w:style>
  <w:style w:type="paragraph" w:styleId="BodyText">
    <w:name w:val="Body Text"/>
    <w:basedOn w:val="Normal"/>
    <w:link w:val="BodyTextChar"/>
    <w:qFormat/>
    <w:rsid w:val="00CE0CE6"/>
  </w:style>
  <w:style w:type="character" w:customStyle="1" w:styleId="BodyTextChar">
    <w:name w:val="Body Text Char"/>
    <w:basedOn w:val="DefaultParagraphFont"/>
    <w:link w:val="BodyText"/>
    <w:rsid w:val="00CE0CE6"/>
    <w:rPr>
      <w:sz w:val="20"/>
      <w:szCs w:val="20"/>
    </w:rPr>
  </w:style>
  <w:style w:type="paragraph" w:styleId="List4">
    <w:name w:val="List 4"/>
    <w:basedOn w:val="Normal"/>
    <w:uiPriority w:val="99"/>
    <w:semiHidden/>
    <w:rsid w:val="00CE0CE6"/>
    <w:pPr>
      <w:numPr>
        <w:ilvl w:val="3"/>
        <w:numId w:val="32"/>
      </w:numPr>
      <w:contextualSpacing/>
    </w:pPr>
  </w:style>
  <w:style w:type="paragraph" w:styleId="List3">
    <w:name w:val="List 3"/>
    <w:basedOn w:val="Normal"/>
    <w:uiPriority w:val="99"/>
    <w:semiHidden/>
    <w:rsid w:val="00CE0CE6"/>
    <w:pPr>
      <w:numPr>
        <w:ilvl w:val="2"/>
        <w:numId w:val="32"/>
      </w:numPr>
      <w:contextualSpacing/>
    </w:pPr>
  </w:style>
  <w:style w:type="paragraph" w:customStyle="1" w:styleId="Heading1-nonumber">
    <w:name w:val="Heading 1-no number"/>
    <w:basedOn w:val="Heading1"/>
    <w:next w:val="BodyText"/>
    <w:uiPriority w:val="9"/>
    <w:qFormat/>
    <w:rsid w:val="00CE0CE6"/>
    <w:pPr>
      <w:numPr>
        <w:numId w:val="0"/>
      </w:numPr>
      <w:ind w:left="567"/>
    </w:pPr>
  </w:style>
  <w:style w:type="paragraph" w:customStyle="1" w:styleId="ListAlpha1">
    <w:name w:val="List Alpha 1"/>
    <w:basedOn w:val="Normal"/>
    <w:uiPriority w:val="3"/>
    <w:qFormat/>
    <w:rsid w:val="00CE0CE6"/>
    <w:pPr>
      <w:numPr>
        <w:numId w:val="33"/>
      </w:numPr>
      <w:spacing w:before="60"/>
      <w:contextualSpacing/>
    </w:pPr>
  </w:style>
  <w:style w:type="paragraph" w:customStyle="1" w:styleId="ListAlpha2">
    <w:name w:val="List Alpha 2"/>
    <w:basedOn w:val="ListAlpha1"/>
    <w:uiPriority w:val="3"/>
    <w:qFormat/>
    <w:rsid w:val="00CE0CE6"/>
    <w:pPr>
      <w:numPr>
        <w:ilvl w:val="1"/>
      </w:numPr>
    </w:pPr>
  </w:style>
  <w:style w:type="paragraph" w:customStyle="1" w:styleId="ListAlpha3">
    <w:name w:val="List Alpha 3"/>
    <w:basedOn w:val="ListAlpha2"/>
    <w:uiPriority w:val="3"/>
    <w:qFormat/>
    <w:rsid w:val="00CE0CE6"/>
    <w:pPr>
      <w:numPr>
        <w:ilvl w:val="2"/>
      </w:numPr>
    </w:pPr>
  </w:style>
  <w:style w:type="paragraph" w:customStyle="1" w:styleId="ListAlpha4">
    <w:name w:val="List Alpha 4"/>
    <w:basedOn w:val="ListAlpha3"/>
    <w:uiPriority w:val="3"/>
    <w:qFormat/>
    <w:rsid w:val="00CE0CE6"/>
    <w:pPr>
      <w:numPr>
        <w:ilvl w:val="3"/>
      </w:numPr>
    </w:pPr>
  </w:style>
  <w:style w:type="numbering" w:customStyle="1" w:styleId="Alphalist">
    <w:name w:val="Alpha list"/>
    <w:uiPriority w:val="99"/>
    <w:rsid w:val="00CE0CE6"/>
    <w:pPr>
      <w:numPr>
        <w:numId w:val="24"/>
      </w:numPr>
    </w:pPr>
  </w:style>
  <w:style w:type="paragraph" w:customStyle="1" w:styleId="KeyPoints-Bold">
    <w:name w:val="Key Points-Bold"/>
    <w:basedOn w:val="Normal"/>
    <w:uiPriority w:val="10"/>
    <w:qFormat/>
    <w:rsid w:val="00CE0CE6"/>
    <w:pPr>
      <w:spacing w:before="40" w:after="60" w:line="274" w:lineRule="atLeast"/>
    </w:pPr>
    <w:rPr>
      <w:b/>
      <w:sz w:val="18"/>
    </w:rPr>
  </w:style>
  <w:style w:type="paragraph" w:customStyle="1" w:styleId="Copyrightpage-BodyBold">
    <w:name w:val="Copyright page-Body Bold"/>
    <w:basedOn w:val="Copyrightpage-BodyText"/>
    <w:uiPriority w:val="19"/>
    <w:rsid w:val="00CE0CE6"/>
    <w:rPr>
      <w:b/>
    </w:rPr>
  </w:style>
  <w:style w:type="paragraph" w:customStyle="1" w:styleId="KeyPoints-Bullet">
    <w:name w:val="Key Points-Bullet"/>
    <w:basedOn w:val="ListBullet"/>
    <w:uiPriority w:val="10"/>
    <w:qFormat/>
    <w:rsid w:val="00CE0CE6"/>
    <w:pPr>
      <w:spacing w:after="60" w:line="274" w:lineRule="atLeast"/>
    </w:pPr>
    <w:rPr>
      <w:sz w:val="18"/>
    </w:rPr>
  </w:style>
  <w:style w:type="paragraph" w:customStyle="1" w:styleId="BodyText-Grey">
    <w:name w:val="Body Text-Grey"/>
    <w:basedOn w:val="BodyText"/>
    <w:link w:val="BodyText-GreyChar"/>
    <w:semiHidden/>
    <w:qFormat/>
    <w:rsid w:val="00CE0CE6"/>
    <w:rPr>
      <w:color w:val="58585B"/>
    </w:rPr>
  </w:style>
  <w:style w:type="character" w:customStyle="1" w:styleId="BodyText-GreyChar">
    <w:name w:val="Body Text-Grey Char"/>
    <w:basedOn w:val="BodyTextChar"/>
    <w:link w:val="BodyText-Grey"/>
    <w:semiHidden/>
    <w:rsid w:val="00CE0CE6"/>
    <w:rPr>
      <w:color w:val="58585B"/>
      <w:sz w:val="20"/>
      <w:szCs w:val="20"/>
    </w:rPr>
  </w:style>
  <w:style w:type="paragraph" w:styleId="BalloonText">
    <w:name w:val="Balloon Text"/>
    <w:basedOn w:val="Normal"/>
    <w:link w:val="BalloonTextChar"/>
    <w:uiPriority w:val="99"/>
    <w:semiHidden/>
    <w:unhideWhenUsed/>
    <w:rsid w:val="00CE0C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E0CE6"/>
    <w:rPr>
      <w:rFonts w:ascii="Segoe UI" w:hAnsi="Segoe UI" w:cs="Segoe UI"/>
      <w:sz w:val="18"/>
      <w:szCs w:val="18"/>
    </w:rPr>
  </w:style>
  <w:style w:type="character" w:styleId="CommentReference">
    <w:name w:val="annotation reference"/>
    <w:basedOn w:val="DefaultParagraphFont"/>
    <w:uiPriority w:val="99"/>
    <w:semiHidden/>
    <w:unhideWhenUsed/>
    <w:rsid w:val="00CE0CE6"/>
    <w:rPr>
      <w:sz w:val="16"/>
      <w:szCs w:val="16"/>
    </w:rPr>
  </w:style>
  <w:style w:type="paragraph" w:styleId="CommentText">
    <w:name w:val="annotation text"/>
    <w:basedOn w:val="Normal"/>
    <w:link w:val="CommentTextChar"/>
    <w:uiPriority w:val="99"/>
    <w:unhideWhenUsed/>
    <w:rsid w:val="00CE0CE6"/>
    <w:pPr>
      <w:spacing w:line="240" w:lineRule="auto"/>
    </w:pPr>
  </w:style>
  <w:style w:type="character" w:customStyle="1" w:styleId="CommentTextChar">
    <w:name w:val="Comment Text Char"/>
    <w:basedOn w:val="DefaultParagraphFont"/>
    <w:link w:val="CommentText"/>
    <w:uiPriority w:val="99"/>
    <w:rsid w:val="00CE0CE6"/>
    <w:rPr>
      <w:sz w:val="20"/>
      <w:szCs w:val="20"/>
    </w:rPr>
  </w:style>
  <w:style w:type="paragraph" w:styleId="CommentSubject">
    <w:name w:val="annotation subject"/>
    <w:basedOn w:val="CommentText"/>
    <w:next w:val="CommentText"/>
    <w:link w:val="CommentSubjectChar"/>
    <w:uiPriority w:val="99"/>
    <w:semiHidden/>
    <w:unhideWhenUsed/>
    <w:rsid w:val="00CE0CE6"/>
    <w:rPr>
      <w:b/>
      <w:bCs/>
    </w:rPr>
  </w:style>
  <w:style w:type="character" w:customStyle="1" w:styleId="CommentSubjectChar">
    <w:name w:val="Comment Subject Char"/>
    <w:basedOn w:val="CommentTextChar"/>
    <w:link w:val="CommentSubject"/>
    <w:uiPriority w:val="99"/>
    <w:semiHidden/>
    <w:rsid w:val="00CE0CE6"/>
    <w:rPr>
      <w:b/>
      <w:bCs/>
      <w:sz w:val="20"/>
      <w:szCs w:val="20"/>
    </w:rPr>
  </w:style>
  <w:style w:type="character" w:customStyle="1" w:styleId="ColourBlue">
    <w:name w:val="Colour Blue"/>
    <w:basedOn w:val="DefaultParagraphFont"/>
    <w:uiPriority w:val="22"/>
    <w:qFormat/>
    <w:rsid w:val="00CE0CE6"/>
    <w:rPr>
      <w:color w:val="66BCDB" w:themeColor="text2"/>
    </w:rPr>
  </w:style>
  <w:style w:type="character" w:customStyle="1" w:styleId="ColourDarkBlue">
    <w:name w:val="Colour Dark Blue"/>
    <w:basedOn w:val="ColourBlue"/>
    <w:uiPriority w:val="22"/>
    <w:qFormat/>
    <w:rsid w:val="00CE0CE6"/>
    <w:rPr>
      <w:color w:val="265A9A" w:themeColor="background2"/>
    </w:rPr>
  </w:style>
  <w:style w:type="paragraph" w:customStyle="1" w:styleId="BodyText-Beforebullet">
    <w:name w:val="Body Text-Before bullet"/>
    <w:basedOn w:val="BodyText"/>
    <w:link w:val="BodyText-BeforebulletChar"/>
    <w:semiHidden/>
    <w:unhideWhenUsed/>
    <w:rsid w:val="00CE0CE6"/>
    <w:pPr>
      <w:spacing w:after="20"/>
    </w:pPr>
  </w:style>
  <w:style w:type="paragraph" w:customStyle="1" w:styleId="PullQuote">
    <w:name w:val="Pull Quote"/>
    <w:basedOn w:val="BodyText"/>
    <w:next w:val="BodyText"/>
    <w:uiPriority w:val="10"/>
    <w:qFormat/>
    <w:rsid w:val="00CE0CE6"/>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CE0CE6"/>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CE0CE6"/>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CE0CE6"/>
    <w:pPr>
      <w:spacing w:before="60"/>
      <w:jc w:val="right"/>
    </w:pPr>
  </w:style>
  <w:style w:type="paragraph" w:customStyle="1" w:styleId="FigureTableSubheading">
    <w:name w:val="Figure/Table Subheading"/>
    <w:basedOn w:val="FigureTableHeading"/>
    <w:uiPriority w:val="4"/>
    <w:qFormat/>
    <w:rsid w:val="00CE0CE6"/>
    <w:pPr>
      <w:spacing w:before="40"/>
    </w:pPr>
    <w:rPr>
      <w:color w:val="58585B"/>
    </w:rPr>
  </w:style>
  <w:style w:type="table" w:customStyle="1" w:styleId="TextTable-Grey">
    <w:name w:val="Text Table-Grey"/>
    <w:basedOn w:val="Texttable-Paleblue"/>
    <w:uiPriority w:val="99"/>
    <w:rsid w:val="00CE0CE6"/>
    <w:rPr>
      <w:color w:val="265A9A" w:themeColor="background2"/>
    </w:rPr>
    <w:tblPr/>
    <w:tcPr>
      <w:shd w:val="clear" w:color="auto" w:fill="F2F2F2"/>
    </w:tcPr>
  </w:style>
  <w:style w:type="character" w:customStyle="1" w:styleId="BodyText-BlueChar">
    <w:name w:val="Body Text-Blue Char"/>
    <w:basedOn w:val="BodyTextChar"/>
    <w:link w:val="BodyText-Blue"/>
    <w:semiHidden/>
    <w:rsid w:val="00CE0CE6"/>
    <w:rPr>
      <w:color w:val="265A9A" w:themeColor="background2"/>
      <w:sz w:val="20"/>
      <w:szCs w:val="20"/>
    </w:rPr>
  </w:style>
  <w:style w:type="paragraph" w:customStyle="1" w:styleId="Heading3-nonumber">
    <w:name w:val="Heading 3-no number"/>
    <w:basedOn w:val="Heading3"/>
    <w:uiPriority w:val="9"/>
    <w:semiHidden/>
    <w:qFormat/>
    <w:rsid w:val="00CE0CE6"/>
  </w:style>
  <w:style w:type="paragraph" w:customStyle="1" w:styleId="Heading1-nobackground">
    <w:name w:val="Heading 1-no background"/>
    <w:basedOn w:val="Heading1"/>
    <w:next w:val="BodyText"/>
    <w:uiPriority w:val="9"/>
    <w:qFormat/>
    <w:rsid w:val="00CE0CE6"/>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CE0CE6"/>
    <w:rPr>
      <w:color w:val="58585B"/>
      <w:sz w:val="20"/>
      <w:szCs w:val="20"/>
    </w:rPr>
  </w:style>
  <w:style w:type="paragraph" w:customStyle="1" w:styleId="TableHeading-numbered">
    <w:name w:val="Table Heading-numbered"/>
    <w:basedOn w:val="Normal"/>
    <w:semiHidden/>
    <w:qFormat/>
    <w:rsid w:val="00CE0CE6"/>
    <w:pPr>
      <w:numPr>
        <w:numId w:val="39"/>
      </w:numPr>
      <w:spacing w:before="60"/>
      <w:contextualSpacing/>
    </w:pPr>
    <w:rPr>
      <w:b/>
      <w:color w:val="265A9A" w:themeColor="background2"/>
    </w:rPr>
  </w:style>
  <w:style w:type="numbering" w:customStyle="1" w:styleId="TableList">
    <w:name w:val="TableList"/>
    <w:uiPriority w:val="99"/>
    <w:rsid w:val="00CE0CE6"/>
    <w:pPr>
      <w:numPr>
        <w:numId w:val="39"/>
      </w:numPr>
    </w:pPr>
  </w:style>
  <w:style w:type="paragraph" w:customStyle="1" w:styleId="Footer-right">
    <w:name w:val="Footer-right"/>
    <w:basedOn w:val="Footer"/>
    <w:uiPriority w:val="11"/>
    <w:rsid w:val="00CE0CE6"/>
    <w:pPr>
      <w:jc w:val="right"/>
    </w:pPr>
    <w:rPr>
      <w:szCs w:val="24"/>
    </w:rPr>
  </w:style>
  <w:style w:type="paragraph" w:customStyle="1" w:styleId="Heading2-nonumber">
    <w:name w:val="Heading 2-no number"/>
    <w:basedOn w:val="Heading2"/>
    <w:uiPriority w:val="9"/>
    <w:qFormat/>
    <w:rsid w:val="00CE0CE6"/>
    <w:pPr>
      <w:numPr>
        <w:ilvl w:val="0"/>
        <w:numId w:val="0"/>
      </w:numPr>
    </w:pPr>
  </w:style>
  <w:style w:type="paragraph" w:customStyle="1" w:styleId="Heading-Appendix">
    <w:name w:val="Heading-Appendix"/>
    <w:basedOn w:val="Heading1-nonumber"/>
    <w:next w:val="BodyText"/>
    <w:uiPriority w:val="9"/>
    <w:qFormat/>
    <w:rsid w:val="00CE0CE6"/>
    <w:pPr>
      <w:numPr>
        <w:numId w:val="30"/>
      </w:numPr>
    </w:pPr>
  </w:style>
  <w:style w:type="numbering" w:customStyle="1" w:styleId="AppendixHeading">
    <w:name w:val="AppendixHeading"/>
    <w:uiPriority w:val="99"/>
    <w:rsid w:val="00CE0CE6"/>
    <w:pPr>
      <w:numPr>
        <w:numId w:val="26"/>
      </w:numPr>
    </w:pPr>
  </w:style>
  <w:style w:type="paragraph" w:customStyle="1" w:styleId="DraftingNote">
    <w:name w:val="Drafting Note"/>
    <w:basedOn w:val="BodyText"/>
    <w:link w:val="DraftingNoteChar"/>
    <w:qFormat/>
    <w:rsid w:val="00CE0CE6"/>
    <w:pPr>
      <w:contextualSpacing/>
    </w:pPr>
    <w:rPr>
      <w:color w:val="A22D2B"/>
      <w:sz w:val="24"/>
      <w:u w:val="dotted"/>
    </w:rPr>
  </w:style>
  <w:style w:type="character" w:customStyle="1" w:styleId="DraftingNoteChar">
    <w:name w:val="Drafting Note Char"/>
    <w:basedOn w:val="BodyTextChar"/>
    <w:link w:val="DraftingNote"/>
    <w:rsid w:val="00CE0CE6"/>
    <w:rPr>
      <w:color w:val="A22D2B"/>
      <w:sz w:val="24"/>
      <w:szCs w:val="20"/>
      <w:u w:val="dotted"/>
    </w:rPr>
  </w:style>
  <w:style w:type="paragraph" w:customStyle="1" w:styleId="BoxHeading1">
    <w:name w:val="Box Heading 1"/>
    <w:basedOn w:val="FigureTableHeading"/>
    <w:next w:val="BodyText"/>
    <w:uiPriority w:val="4"/>
    <w:qFormat/>
    <w:rsid w:val="00CE0CE6"/>
    <w:pPr>
      <w:spacing w:after="0"/>
    </w:pPr>
  </w:style>
  <w:style w:type="character" w:styleId="Emphasis">
    <w:name w:val="Emphasis"/>
    <w:basedOn w:val="DefaultParagraphFont"/>
    <w:uiPriority w:val="22"/>
    <w:qFormat/>
    <w:rsid w:val="00CE0CE6"/>
    <w:rPr>
      <w:i/>
      <w:iCs/>
    </w:rPr>
  </w:style>
  <w:style w:type="paragraph" w:customStyle="1" w:styleId="Reference">
    <w:name w:val="Reference"/>
    <w:basedOn w:val="BodyText"/>
    <w:qFormat/>
    <w:rsid w:val="00CE0CE6"/>
    <w:pPr>
      <w:spacing w:before="0" w:after="60" w:line="200" w:lineRule="exact"/>
    </w:pPr>
    <w:rPr>
      <w:sz w:val="16"/>
    </w:rPr>
  </w:style>
  <w:style w:type="paragraph" w:customStyle="1" w:styleId="Keypoints-heading">
    <w:name w:val="Key points-heading"/>
    <w:basedOn w:val="Heading3"/>
    <w:uiPriority w:val="10"/>
    <w:qFormat/>
    <w:rsid w:val="00CE0CE6"/>
    <w:rPr>
      <w:color w:val="auto"/>
    </w:rPr>
  </w:style>
  <w:style w:type="paragraph" w:customStyle="1" w:styleId="Heading2-Appendix">
    <w:name w:val="Heading 2-Appendix"/>
    <w:basedOn w:val="Heading2-nonumber"/>
    <w:next w:val="Normal"/>
    <w:uiPriority w:val="10"/>
    <w:qFormat/>
    <w:rsid w:val="00CE0CE6"/>
    <w:pPr>
      <w:numPr>
        <w:ilvl w:val="1"/>
        <w:numId w:val="30"/>
      </w:numPr>
    </w:pPr>
  </w:style>
  <w:style w:type="numbering" w:customStyle="1" w:styleId="AppendixHeadingList">
    <w:name w:val="Appendix Heading List"/>
    <w:uiPriority w:val="99"/>
    <w:rsid w:val="00CE0CE6"/>
    <w:pPr>
      <w:numPr>
        <w:numId w:val="25"/>
      </w:numPr>
    </w:pPr>
  </w:style>
  <w:style w:type="paragraph" w:customStyle="1" w:styleId="Space">
    <w:name w:val="Space"/>
    <w:basedOn w:val="BodyText"/>
    <w:uiPriority w:val="1"/>
    <w:rsid w:val="00CE0CE6"/>
    <w:pPr>
      <w:spacing w:before="0" w:after="0"/>
    </w:pPr>
  </w:style>
  <w:style w:type="paragraph" w:customStyle="1" w:styleId="QuoteBullet">
    <w:name w:val="Quote Bullet"/>
    <w:basedOn w:val="ListBullet"/>
    <w:link w:val="QuoteBulletChar"/>
    <w:uiPriority w:val="1"/>
    <w:qFormat/>
    <w:rsid w:val="00CE0CE6"/>
    <w:pPr>
      <w:spacing w:before="60"/>
      <w:ind w:left="340" w:right="851"/>
    </w:pPr>
    <w:rPr>
      <w:color w:val="58585B"/>
    </w:rPr>
  </w:style>
  <w:style w:type="character" w:customStyle="1" w:styleId="ListBulletChar">
    <w:name w:val="List Bullet Char"/>
    <w:basedOn w:val="DefaultParagraphFont"/>
    <w:link w:val="ListBullet"/>
    <w:uiPriority w:val="1"/>
    <w:rsid w:val="00CE0CE6"/>
    <w:rPr>
      <w:sz w:val="20"/>
      <w:szCs w:val="20"/>
    </w:rPr>
  </w:style>
  <w:style w:type="character" w:customStyle="1" w:styleId="QuoteBulletChar">
    <w:name w:val="Quote Bullet Char"/>
    <w:basedOn w:val="ListBulletChar"/>
    <w:link w:val="QuoteBullet"/>
    <w:uiPriority w:val="1"/>
    <w:rsid w:val="00CE0CE6"/>
    <w:rPr>
      <w:color w:val="58585B"/>
      <w:sz w:val="20"/>
      <w:szCs w:val="20"/>
    </w:rPr>
  </w:style>
  <w:style w:type="paragraph" w:customStyle="1" w:styleId="Figurecharttitle">
    <w:name w:val="Figure chart title"/>
    <w:basedOn w:val="BodyText"/>
    <w:uiPriority w:val="10"/>
    <w:qFormat/>
    <w:rsid w:val="00CE0CE6"/>
    <w:pPr>
      <w:spacing w:before="0" w:after="0"/>
      <w:ind w:left="284" w:hanging="284"/>
    </w:pPr>
    <w:rPr>
      <w:sz w:val="18"/>
      <w:szCs w:val="18"/>
    </w:rPr>
  </w:style>
  <w:style w:type="paragraph" w:customStyle="1" w:styleId="CoverdisclaimerwhiteCover">
    <w:name w:val="Cover – disclaimer (white) (Cover)"/>
    <w:basedOn w:val="Normal"/>
    <w:uiPriority w:val="99"/>
    <w:rsid w:val="004F7BE2"/>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paragraph">
    <w:name w:val="paragraph"/>
    <w:basedOn w:val="Normal"/>
    <w:rsid w:val="00653FC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653FCC"/>
  </w:style>
  <w:style w:type="character" w:customStyle="1" w:styleId="superscript">
    <w:name w:val="superscript"/>
    <w:basedOn w:val="DefaultParagraphFont"/>
    <w:rsid w:val="00123D3A"/>
  </w:style>
  <w:style w:type="character" w:styleId="Mention">
    <w:name w:val="Mention"/>
    <w:basedOn w:val="DefaultParagraphFont"/>
    <w:uiPriority w:val="99"/>
    <w:unhideWhenUsed/>
    <w:rsid w:val="00D01AB0"/>
    <w:rPr>
      <w:color w:val="2B579A"/>
      <w:shd w:val="clear" w:color="auto" w:fill="E1DFDD"/>
    </w:rPr>
  </w:style>
  <w:style w:type="character" w:customStyle="1" w:styleId="highlight">
    <w:name w:val="highlight"/>
    <w:basedOn w:val="DefaultParagraphFont"/>
    <w:rsid w:val="00D01AB0"/>
  </w:style>
  <w:style w:type="paragraph" w:styleId="EndnoteText">
    <w:name w:val="endnote text"/>
    <w:basedOn w:val="Normal"/>
    <w:link w:val="EndnoteTextChar"/>
    <w:uiPriority w:val="99"/>
    <w:semiHidden/>
    <w:unhideWhenUsed/>
    <w:rsid w:val="00D01AB0"/>
    <w:pPr>
      <w:spacing w:before="0" w:after="0" w:line="240" w:lineRule="auto"/>
    </w:pPr>
  </w:style>
  <w:style w:type="character" w:customStyle="1" w:styleId="EndnoteTextChar">
    <w:name w:val="Endnote Text Char"/>
    <w:basedOn w:val="DefaultParagraphFont"/>
    <w:link w:val="EndnoteText"/>
    <w:uiPriority w:val="99"/>
    <w:semiHidden/>
    <w:rsid w:val="00D01AB0"/>
    <w:rPr>
      <w:sz w:val="20"/>
      <w:szCs w:val="20"/>
    </w:rPr>
  </w:style>
  <w:style w:type="character" w:styleId="EndnoteReference">
    <w:name w:val="endnote reference"/>
    <w:basedOn w:val="DefaultParagraphFont"/>
    <w:uiPriority w:val="99"/>
    <w:semiHidden/>
    <w:unhideWhenUsed/>
    <w:rsid w:val="00D01AB0"/>
    <w:rPr>
      <w:vertAlign w:val="superscript"/>
    </w:rPr>
  </w:style>
  <w:style w:type="paragraph" w:customStyle="1" w:styleId="BoxTitle">
    <w:name w:val="Box Title"/>
    <w:basedOn w:val="Caption"/>
    <w:next w:val="Normal"/>
    <w:rsid w:val="00D01AB0"/>
    <w:pPr>
      <w:keepNext/>
      <w:keepLines/>
      <w:spacing w:before="120" w:after="0" w:line="280" w:lineRule="exact"/>
      <w:ind w:left="1474" w:hanging="1474"/>
    </w:pPr>
    <w:rPr>
      <w:rFonts w:ascii="Arial" w:eastAsia="Times New Roman" w:hAnsi="Arial" w:cs="Times New Roman"/>
      <w:b/>
      <w:iCs w:val="0"/>
      <w:color w:val="auto"/>
      <w:sz w:val="24"/>
      <w:szCs w:val="24"/>
      <w:lang w:eastAsia="en-AU"/>
    </w:rPr>
  </w:style>
  <w:style w:type="paragraph" w:styleId="NormalWeb">
    <w:name w:val="Normal (Web)"/>
    <w:basedOn w:val="Normal"/>
    <w:uiPriority w:val="99"/>
    <w:semiHidden/>
    <w:unhideWhenUsed/>
    <w:rsid w:val="00D01AB0"/>
    <w:pPr>
      <w:spacing w:before="100" w:beforeAutospacing="1" w:after="100" w:afterAutospacing="1" w:line="240" w:lineRule="auto"/>
    </w:pPr>
    <w:rPr>
      <w:rFonts w:ascii="Times New Roman" w:eastAsia="Times New Roman" w:hAnsi="Times New Roman" w:cs="Times New Roman"/>
      <w:sz w:val="24"/>
      <w:szCs w:val="24"/>
      <w:lang w:eastAsia="en-AU"/>
    </w:rPr>
  </w:style>
  <w:style w:type="table" w:customStyle="1" w:styleId="Texttable-Paleblue1">
    <w:name w:val="Text table-Pale blue1"/>
    <w:basedOn w:val="TableNormal"/>
    <w:uiPriority w:val="99"/>
    <w:rsid w:val="00A53FAB"/>
    <w:pPr>
      <w:spacing w:after="0" w:line="240" w:lineRule="auto"/>
    </w:pPr>
    <w:tblPr>
      <w:tblCellMar>
        <w:top w:w="113" w:type="dxa"/>
        <w:left w:w="113" w:type="dxa"/>
        <w:bottom w:w="113" w:type="dxa"/>
        <w:right w:w="113" w:type="dxa"/>
      </w:tblCellMar>
    </w:tblPr>
    <w:tcPr>
      <w:shd w:val="clear" w:color="auto" w:fill="EFF9FE"/>
    </w:tcPr>
  </w:style>
  <w:style w:type="paragraph" w:customStyle="1" w:styleId="TableListBullet">
    <w:name w:val="Table List Bullet"/>
    <w:basedOn w:val="ListBullet"/>
    <w:uiPriority w:val="10"/>
    <w:qFormat/>
    <w:rsid w:val="00CE0CE6"/>
    <w:pPr>
      <w:spacing w:before="0" w:after="20"/>
      <w:ind w:left="170" w:hanging="113"/>
    </w:pPr>
  </w:style>
  <w:style w:type="paragraph" w:customStyle="1" w:styleId="Default">
    <w:name w:val="Default"/>
    <w:rsid w:val="005E22C3"/>
    <w:pPr>
      <w:autoSpaceDE w:val="0"/>
      <w:autoSpaceDN w:val="0"/>
      <w:adjustRightInd w:val="0"/>
      <w:spacing w:after="0" w:line="240" w:lineRule="auto"/>
    </w:pPr>
    <w:rPr>
      <w:rFonts w:ascii="Arial" w:hAnsi="Arial" w:cs="Arial"/>
      <w:color w:val="000000"/>
      <w:sz w:val="24"/>
      <w:szCs w:val="24"/>
    </w:rPr>
  </w:style>
  <w:style w:type="character" w:customStyle="1" w:styleId="contextualspellingandgrammarerror">
    <w:name w:val="contextualspellingandgrammarerror"/>
    <w:basedOn w:val="DefaultParagraphFont"/>
    <w:rsid w:val="005E22C3"/>
  </w:style>
  <w:style w:type="paragraph" w:styleId="Bibliography">
    <w:name w:val="Bibliography"/>
    <w:basedOn w:val="Normal"/>
    <w:next w:val="Normal"/>
    <w:uiPriority w:val="37"/>
    <w:unhideWhenUsed/>
    <w:rsid w:val="005E22C3"/>
    <w:pPr>
      <w:spacing w:after="240" w:line="240" w:lineRule="atLeast"/>
      <w:ind w:left="720" w:hanging="720"/>
    </w:pPr>
  </w:style>
  <w:style w:type="character" w:styleId="FollowedHyperlink">
    <w:name w:val="FollowedHyperlink"/>
    <w:basedOn w:val="DefaultParagraphFont"/>
    <w:uiPriority w:val="99"/>
    <w:semiHidden/>
    <w:unhideWhenUsed/>
    <w:rsid w:val="005E22C3"/>
    <w:rPr>
      <w:color w:val="BFBFBF" w:themeColor="followedHyperlink"/>
      <w:u w:val="single"/>
    </w:rPr>
  </w:style>
  <w:style w:type="character" w:customStyle="1" w:styleId="ListParagraphChar">
    <w:name w:val="List Paragraph Char"/>
    <w:basedOn w:val="DefaultParagraphFont"/>
    <w:link w:val="ListParagraph"/>
    <w:uiPriority w:val="34"/>
    <w:qFormat/>
    <w:locked/>
    <w:rsid w:val="005E22C3"/>
    <w:rPr>
      <w:sz w:val="20"/>
      <w:szCs w:val="20"/>
    </w:rPr>
  </w:style>
  <w:style w:type="table" w:customStyle="1" w:styleId="TextTable-Grey1">
    <w:name w:val="Text Table-Grey1"/>
    <w:basedOn w:val="Texttable-Paleblue"/>
    <w:uiPriority w:val="99"/>
    <w:rsid w:val="005E22C3"/>
    <w:rPr>
      <w:color w:val="265A9A" w:themeColor="background2"/>
    </w:rPr>
    <w:tblPr/>
    <w:tcPr>
      <w:shd w:val="clear" w:color="auto" w:fill="F2F2F2"/>
    </w:tcPr>
  </w:style>
  <w:style w:type="paragraph" w:customStyle="1" w:styleId="PullQuoteNoSpacing">
    <w:name w:val="Pull Quote No Spacing"/>
    <w:basedOn w:val="NoSpacing"/>
    <w:link w:val="PullQuoteNoSpacingChar"/>
    <w:uiPriority w:val="10"/>
    <w:qFormat/>
    <w:rsid w:val="00CE0CE6"/>
    <w:pPr>
      <w:spacing w:line="160" w:lineRule="exact"/>
    </w:pPr>
  </w:style>
  <w:style w:type="character" w:customStyle="1" w:styleId="PullQuoteNoSpacingChar">
    <w:name w:val="Pull Quote No Spacing Char"/>
    <w:basedOn w:val="NoSpacingChar"/>
    <w:link w:val="PullQuoteNoSpacing"/>
    <w:uiPriority w:val="10"/>
    <w:rsid w:val="00CE0CE6"/>
    <w:rPr>
      <w:sz w:val="20"/>
      <w:szCs w:val="20"/>
    </w:rPr>
  </w:style>
  <w:style w:type="paragraph" w:customStyle="1" w:styleId="PullQuote-Indigenous">
    <w:name w:val="Pull Quote-Indigenous"/>
    <w:basedOn w:val="PullQuote"/>
    <w:uiPriority w:val="10"/>
    <w:qFormat/>
    <w:rsid w:val="00CE0CE6"/>
    <w:pPr>
      <w:ind w:right="680"/>
    </w:pPr>
    <w:rPr>
      <w:rFonts w:ascii="Arial" w:hAnsi="Arial" w:cs="Arial"/>
      <w:color w:val="auto"/>
      <w:spacing w:val="6"/>
      <w:sz w:val="22"/>
      <w:szCs w:val="22"/>
    </w:rPr>
  </w:style>
  <w:style w:type="character" w:styleId="PageNumber">
    <w:name w:val="page number"/>
    <w:rsid w:val="005E22C3"/>
    <w:rPr>
      <w:rFonts w:ascii="Arial" w:hAnsi="Arial"/>
      <w:b/>
      <w:caps w:val="0"/>
      <w:smallCaps w:val="0"/>
      <w:sz w:val="16"/>
    </w:rPr>
  </w:style>
  <w:style w:type="paragraph" w:customStyle="1" w:styleId="FooterEnd">
    <w:name w:val="Footer End"/>
    <w:basedOn w:val="Footer"/>
    <w:rsid w:val="005E22C3"/>
    <w:pPr>
      <w:tabs>
        <w:tab w:val="clear" w:pos="4513"/>
        <w:tab w:val="clear" w:pos="9026"/>
      </w:tabs>
      <w:spacing w:before="0" w:line="20" w:lineRule="exact"/>
      <w:ind w:right="6"/>
      <w:contextualSpacing w:val="0"/>
    </w:pPr>
    <w:rPr>
      <w:rFonts w:ascii="Arial" w:eastAsia="Times New Roman" w:hAnsi="Arial" w:cs="Times New Roman"/>
      <w:caps/>
      <w:spacing w:val="-4"/>
      <w:sz w:val="16"/>
      <w:szCs w:val="20"/>
    </w:rPr>
  </w:style>
  <w:style w:type="paragraph" w:styleId="HTMLPreformatted">
    <w:name w:val="HTML Preformatted"/>
    <w:basedOn w:val="Normal"/>
    <w:link w:val="HTMLPreformattedChar"/>
    <w:uiPriority w:val="99"/>
    <w:unhideWhenUsed/>
    <w:rsid w:val="00611B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lang w:eastAsia="en-AU"/>
    </w:rPr>
  </w:style>
  <w:style w:type="character" w:customStyle="1" w:styleId="HTMLPreformattedChar">
    <w:name w:val="HTML Preformatted Char"/>
    <w:basedOn w:val="DefaultParagraphFont"/>
    <w:link w:val="HTMLPreformatted"/>
    <w:uiPriority w:val="99"/>
    <w:rsid w:val="00611BE3"/>
    <w:rPr>
      <w:rFonts w:ascii="Courier New" w:eastAsia="Times New Roman" w:hAnsi="Courier New" w:cs="Courier New"/>
      <w:sz w:val="20"/>
      <w:szCs w:val="20"/>
      <w:lang w:eastAsia="en-AU"/>
    </w:rPr>
  </w:style>
  <w:style w:type="character" w:customStyle="1" w:styleId="gnkrckgcgsb">
    <w:name w:val="gnkrckgcgsb"/>
    <w:basedOn w:val="DefaultParagraphFont"/>
    <w:rsid w:val="00611BE3"/>
  </w:style>
  <w:style w:type="numbering" w:customStyle="1" w:styleId="Figure">
    <w:name w:val="Figure"/>
    <w:uiPriority w:val="99"/>
    <w:rsid w:val="00CE0CE6"/>
    <w:pPr>
      <w:numPr>
        <w:numId w:val="29"/>
      </w:numPr>
    </w:pPr>
  </w:style>
  <w:style w:type="paragraph" w:customStyle="1" w:styleId="Clear">
    <w:name w:val="Clear"/>
    <w:basedOn w:val="Heading4"/>
    <w:rsid w:val="00753D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772455">
      <w:bodyDiv w:val="1"/>
      <w:marLeft w:val="0"/>
      <w:marRight w:val="0"/>
      <w:marTop w:val="0"/>
      <w:marBottom w:val="0"/>
      <w:divBdr>
        <w:top w:val="none" w:sz="0" w:space="0" w:color="auto"/>
        <w:left w:val="none" w:sz="0" w:space="0" w:color="auto"/>
        <w:bottom w:val="none" w:sz="0" w:space="0" w:color="auto"/>
        <w:right w:val="none" w:sz="0" w:space="0" w:color="auto"/>
      </w:divBdr>
    </w:div>
    <w:div w:id="185481411">
      <w:bodyDiv w:val="1"/>
      <w:marLeft w:val="0"/>
      <w:marRight w:val="0"/>
      <w:marTop w:val="0"/>
      <w:marBottom w:val="0"/>
      <w:divBdr>
        <w:top w:val="none" w:sz="0" w:space="0" w:color="auto"/>
        <w:left w:val="none" w:sz="0" w:space="0" w:color="auto"/>
        <w:bottom w:val="none" w:sz="0" w:space="0" w:color="auto"/>
        <w:right w:val="none" w:sz="0" w:space="0" w:color="auto"/>
      </w:divBdr>
    </w:div>
    <w:div w:id="231814783">
      <w:bodyDiv w:val="1"/>
      <w:marLeft w:val="0"/>
      <w:marRight w:val="0"/>
      <w:marTop w:val="0"/>
      <w:marBottom w:val="0"/>
      <w:divBdr>
        <w:top w:val="none" w:sz="0" w:space="0" w:color="auto"/>
        <w:left w:val="none" w:sz="0" w:space="0" w:color="auto"/>
        <w:bottom w:val="none" w:sz="0" w:space="0" w:color="auto"/>
        <w:right w:val="none" w:sz="0" w:space="0" w:color="auto"/>
      </w:divBdr>
      <w:divsChild>
        <w:div w:id="173693263">
          <w:marLeft w:val="0"/>
          <w:marRight w:val="0"/>
          <w:marTop w:val="0"/>
          <w:marBottom w:val="0"/>
          <w:divBdr>
            <w:top w:val="none" w:sz="0" w:space="0" w:color="auto"/>
            <w:left w:val="none" w:sz="0" w:space="0" w:color="auto"/>
            <w:bottom w:val="none" w:sz="0" w:space="0" w:color="auto"/>
            <w:right w:val="none" w:sz="0" w:space="0" w:color="auto"/>
          </w:divBdr>
        </w:div>
        <w:div w:id="950622494">
          <w:marLeft w:val="0"/>
          <w:marRight w:val="0"/>
          <w:marTop w:val="0"/>
          <w:marBottom w:val="0"/>
          <w:divBdr>
            <w:top w:val="none" w:sz="0" w:space="0" w:color="auto"/>
            <w:left w:val="none" w:sz="0" w:space="0" w:color="auto"/>
            <w:bottom w:val="none" w:sz="0" w:space="0" w:color="auto"/>
            <w:right w:val="none" w:sz="0" w:space="0" w:color="auto"/>
          </w:divBdr>
        </w:div>
        <w:div w:id="1134526360">
          <w:marLeft w:val="0"/>
          <w:marRight w:val="0"/>
          <w:marTop w:val="0"/>
          <w:marBottom w:val="0"/>
          <w:divBdr>
            <w:top w:val="none" w:sz="0" w:space="0" w:color="auto"/>
            <w:left w:val="none" w:sz="0" w:space="0" w:color="auto"/>
            <w:bottom w:val="none" w:sz="0" w:space="0" w:color="auto"/>
            <w:right w:val="none" w:sz="0" w:space="0" w:color="auto"/>
          </w:divBdr>
        </w:div>
      </w:divsChild>
    </w:div>
    <w:div w:id="363672889">
      <w:bodyDiv w:val="1"/>
      <w:marLeft w:val="0"/>
      <w:marRight w:val="0"/>
      <w:marTop w:val="0"/>
      <w:marBottom w:val="0"/>
      <w:divBdr>
        <w:top w:val="none" w:sz="0" w:space="0" w:color="auto"/>
        <w:left w:val="none" w:sz="0" w:space="0" w:color="auto"/>
        <w:bottom w:val="none" w:sz="0" w:space="0" w:color="auto"/>
        <w:right w:val="none" w:sz="0" w:space="0" w:color="auto"/>
      </w:divBdr>
    </w:div>
    <w:div w:id="578488452">
      <w:bodyDiv w:val="1"/>
      <w:marLeft w:val="0"/>
      <w:marRight w:val="0"/>
      <w:marTop w:val="0"/>
      <w:marBottom w:val="0"/>
      <w:divBdr>
        <w:top w:val="none" w:sz="0" w:space="0" w:color="auto"/>
        <w:left w:val="none" w:sz="0" w:space="0" w:color="auto"/>
        <w:bottom w:val="none" w:sz="0" w:space="0" w:color="auto"/>
        <w:right w:val="none" w:sz="0" w:space="0" w:color="auto"/>
      </w:divBdr>
    </w:div>
    <w:div w:id="1084648794">
      <w:bodyDiv w:val="1"/>
      <w:marLeft w:val="0"/>
      <w:marRight w:val="0"/>
      <w:marTop w:val="0"/>
      <w:marBottom w:val="0"/>
      <w:divBdr>
        <w:top w:val="none" w:sz="0" w:space="0" w:color="auto"/>
        <w:left w:val="none" w:sz="0" w:space="0" w:color="auto"/>
        <w:bottom w:val="none" w:sz="0" w:space="0" w:color="auto"/>
        <w:right w:val="none" w:sz="0" w:space="0" w:color="auto"/>
      </w:divBdr>
    </w:div>
    <w:div w:id="1088842276">
      <w:bodyDiv w:val="1"/>
      <w:marLeft w:val="0"/>
      <w:marRight w:val="0"/>
      <w:marTop w:val="0"/>
      <w:marBottom w:val="0"/>
      <w:divBdr>
        <w:top w:val="none" w:sz="0" w:space="0" w:color="auto"/>
        <w:left w:val="none" w:sz="0" w:space="0" w:color="auto"/>
        <w:bottom w:val="none" w:sz="0" w:space="0" w:color="auto"/>
        <w:right w:val="none" w:sz="0" w:space="0" w:color="auto"/>
      </w:divBdr>
      <w:divsChild>
        <w:div w:id="180896898">
          <w:marLeft w:val="0"/>
          <w:marRight w:val="0"/>
          <w:marTop w:val="0"/>
          <w:marBottom w:val="0"/>
          <w:divBdr>
            <w:top w:val="none" w:sz="0" w:space="0" w:color="auto"/>
            <w:left w:val="none" w:sz="0" w:space="0" w:color="auto"/>
            <w:bottom w:val="none" w:sz="0" w:space="0" w:color="auto"/>
            <w:right w:val="none" w:sz="0" w:space="0" w:color="auto"/>
          </w:divBdr>
        </w:div>
      </w:divsChild>
    </w:div>
    <w:div w:id="1361980253">
      <w:bodyDiv w:val="1"/>
      <w:marLeft w:val="0"/>
      <w:marRight w:val="0"/>
      <w:marTop w:val="0"/>
      <w:marBottom w:val="0"/>
      <w:divBdr>
        <w:top w:val="none" w:sz="0" w:space="0" w:color="auto"/>
        <w:left w:val="none" w:sz="0" w:space="0" w:color="auto"/>
        <w:bottom w:val="none" w:sz="0" w:space="0" w:color="auto"/>
        <w:right w:val="none" w:sz="0" w:space="0" w:color="auto"/>
      </w:divBdr>
    </w:div>
    <w:div w:id="1953513401">
      <w:bodyDiv w:val="1"/>
      <w:marLeft w:val="0"/>
      <w:marRight w:val="0"/>
      <w:marTop w:val="0"/>
      <w:marBottom w:val="0"/>
      <w:divBdr>
        <w:top w:val="none" w:sz="0" w:space="0" w:color="auto"/>
        <w:left w:val="none" w:sz="0" w:space="0" w:color="auto"/>
        <w:bottom w:val="none" w:sz="0" w:space="0" w:color="auto"/>
        <w:right w:val="none" w:sz="0" w:space="0" w:color="auto"/>
      </w:divBdr>
    </w:div>
    <w:div w:id="2104178525">
      <w:bodyDiv w:val="1"/>
      <w:marLeft w:val="0"/>
      <w:marRight w:val="0"/>
      <w:marTop w:val="0"/>
      <w:marBottom w:val="0"/>
      <w:divBdr>
        <w:top w:val="none" w:sz="0" w:space="0" w:color="auto"/>
        <w:left w:val="none" w:sz="0" w:space="0" w:color="auto"/>
        <w:bottom w:val="none" w:sz="0" w:space="0" w:color="auto"/>
        <w:right w:val="none" w:sz="0" w:space="0" w:color="auto"/>
      </w:divBdr>
      <w:divsChild>
        <w:div w:id="658853076">
          <w:marLeft w:val="0"/>
          <w:marRight w:val="0"/>
          <w:marTop w:val="0"/>
          <w:marBottom w:val="0"/>
          <w:divBdr>
            <w:top w:val="none" w:sz="0" w:space="0" w:color="auto"/>
            <w:left w:val="none" w:sz="0" w:space="0" w:color="auto"/>
            <w:bottom w:val="none" w:sz="0" w:space="0" w:color="auto"/>
            <w:right w:val="none" w:sz="0" w:space="0" w:color="auto"/>
          </w:divBdr>
        </w:div>
        <w:div w:id="195143157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image" Target="media/image15.emf"/><Relationship Id="rId21" Type="http://schemas.openxmlformats.org/officeDocument/2006/relationships/header" Target="header2.xml"/><Relationship Id="rId34" Type="http://schemas.openxmlformats.org/officeDocument/2006/relationships/image" Target="media/image10.emf"/><Relationship Id="rId42" Type="http://schemas.openxmlformats.org/officeDocument/2006/relationships/footer" Target="footer8.xml"/><Relationship Id="rId47" Type="http://schemas.openxmlformats.org/officeDocument/2006/relationships/image" Target="media/image21.svg"/><Relationship Id="rId50"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footer" Target="footer5.xml"/><Relationship Id="rId32" Type="http://schemas.openxmlformats.org/officeDocument/2006/relationships/image" Target="media/image8.emf"/><Relationship Id="rId37" Type="http://schemas.openxmlformats.org/officeDocument/2006/relationships/image" Target="media/image13.emf"/><Relationship Id="rId40" Type="http://schemas.openxmlformats.org/officeDocument/2006/relationships/image" Target="media/image16.emf"/><Relationship Id="rId45" Type="http://schemas.openxmlformats.org/officeDocument/2006/relationships/image" Target="media/image19.svg"/><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12.svg"/><Relationship Id="rId49"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image" Target="media/image5.svg"/><Relationship Id="rId31" Type="http://schemas.openxmlformats.org/officeDocument/2006/relationships/image" Target="media/image7.svg"/><Relationship Id="rId44"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footer" Target="footer6.xml"/><Relationship Id="rId30" Type="http://schemas.openxmlformats.org/officeDocument/2006/relationships/image" Target="media/image6.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eader" Target="header7.xml"/><Relationship Id="rId8" Type="http://schemas.openxmlformats.org/officeDocument/2006/relationships/styles" Target="styles.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hyperlink" Target="https://www.pc.gov.au" TargetMode="Externa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0.png"/><Relationship Id="rId20" Type="http://schemas.openxmlformats.org/officeDocument/2006/relationships/hyperlink" Target="https://www.pc.gov.au/inquiries/current/school-agreement" TargetMode="External"/><Relationship Id="rId41"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A39D53A6EC3464A8EC21955720B744F" ma:contentTypeVersion="9" ma:contentTypeDescription="Create a new document." ma:contentTypeScope="" ma:versionID="d559170a350a94cb1992e1ac4c620bf2">
  <xsd:schema xmlns:xsd="http://www.w3.org/2001/XMLSchema" xmlns:xs="http://www.w3.org/2001/XMLSchema" xmlns:p="http://schemas.microsoft.com/office/2006/metadata/properties" xmlns:ns2="52167780-d458-4e20-a521-cd369a511d6e" xmlns:ns3="8863fef4-a928-4b42-80f7-22702e616c5c" targetNamespace="http://schemas.microsoft.com/office/2006/metadata/properties" ma:root="true" ma:fieldsID="3e1890c8f05623df91ae18c4a1688b37" ns2:_="" ns3:_="">
    <xsd:import namespace="52167780-d458-4e20-a521-cd369a511d6e"/>
    <xsd:import namespace="8863fef4-a928-4b42-80f7-22702e616c5c"/>
    <xsd:element name="properties">
      <xsd:complexType>
        <xsd:sequence>
          <xsd:element name="documentManagement">
            <xsd:complexType>
              <xsd:all>
                <xsd:element ref="ns2:i0f84bba906045b4af568ee102a52dcb" minOccurs="0"/>
                <xsd:element ref="ns2:TaxCatchAll" minOccurs="0"/>
                <xsd:element ref="ns3:MediaServiceMetadata" minOccurs="0"/>
                <xsd:element ref="ns3:MediaServiceFastMetadata" minOccurs="0"/>
                <xsd:element ref="ns3:MediaServiceAutoKeyPoints" minOccurs="0"/>
                <xsd:element ref="ns3: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167780-d458-4e20-a521-cd369a511d6e" elementFormDefault="qualified">
    <xsd:import namespace="http://schemas.microsoft.com/office/2006/documentManagement/types"/>
    <xsd:import namespace="http://schemas.microsoft.com/office/infopath/2007/PartnerControls"/>
    <xsd:element name="i0f84bba906045b4af568ee102a52dcb" ma:index="9"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0" nillable="true" ma:displayName="Taxonomy Catch All Column" ma:hidden="true" ma:list="{b4a5f14d-f485-47ac-b84b-a00783a08616}" ma:internalName="TaxCatchAll" ma:showField="CatchAllData" ma:web="52167780-d458-4e20-a521-cd369a511d6e">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863fef4-a928-4b42-80f7-22702e616c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FormConfiguration><![CDATA[{"formFields":[],"formDataEntries":[]}]]></TemplafyFormConfiguration>
</file>

<file path=customXml/item4.xml><?xml version="1.0" encoding="utf-8"?>
<p:properties xmlns:p="http://schemas.microsoft.com/office/2006/metadata/properties" xmlns:xsi="http://www.w3.org/2001/XMLSchema-instance" xmlns:pc="http://schemas.microsoft.com/office/infopath/2007/PartnerControls">
  <documentManagement>
    <i0f84bba906045b4af568ee102a52dcb xmlns="52167780-d458-4e20-a521-cd369a511d6e">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52167780-d458-4e20-a521-cd369a511d6e">
      <Value>1</Value>
    </TaxCatchAll>
  </documentManagement>
</p:properties>
</file>

<file path=customXml/item5.xml><?xml version="1.0" encoding="utf-8"?>
<TemplafyTemplateConfiguration><![CDATA[{"elementsMetadata":[],"transformationConfigurations":[],"templateName":"prelims-draft report","templateDescription":"Prelims for draft inquiry and study reports","enableDocumentContentUpdater":false,"version":"2.0"}]]></TemplafyTemplateConfiguration>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E6BA77-97F5-4C6A-BCFF-B419298F03EA}">
  <ds:schemaRefs>
    <ds:schemaRef ds:uri="http://schemas.microsoft.com/sharepoint/v3/contenttype/forms"/>
  </ds:schemaRefs>
</ds:datastoreItem>
</file>

<file path=customXml/itemProps2.xml><?xml version="1.0" encoding="utf-8"?>
<ds:datastoreItem xmlns:ds="http://schemas.openxmlformats.org/officeDocument/2006/customXml" ds:itemID="{3CBA1E45-A5C5-47C0-BAC6-DCB0880F1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167780-d458-4e20-a521-cd369a511d6e"/>
    <ds:schemaRef ds:uri="8863fef4-a928-4b42-80f7-22702e616c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97F752-2238-441E-ABA5-DB8C10DEA577}">
  <ds:schemaRefs/>
</ds:datastoreItem>
</file>

<file path=customXml/itemProps4.xml><?xml version="1.0" encoding="utf-8"?>
<ds:datastoreItem xmlns:ds="http://schemas.openxmlformats.org/officeDocument/2006/customXml" ds:itemID="{7C8E2B58-0D9C-4FCB-B0EA-664AA67F9BD5}">
  <ds:schemaRefs>
    <ds:schemaRef ds:uri="http://schemas.microsoft.com/office/2006/metadata/properties"/>
    <ds:schemaRef ds:uri="http://schemas.microsoft.com/office/infopath/2007/PartnerControls"/>
    <ds:schemaRef ds:uri="52167780-d458-4e20-a521-cd369a511d6e"/>
  </ds:schemaRefs>
</ds:datastoreItem>
</file>

<file path=customXml/itemProps5.xml><?xml version="1.0" encoding="utf-8"?>
<ds:datastoreItem xmlns:ds="http://schemas.openxmlformats.org/officeDocument/2006/customXml" ds:itemID="{5CCDCE8C-2FF2-479D-91C1-79A7A7683D3C}">
  <ds:schemaRefs/>
</ds:datastoreItem>
</file>

<file path=customXml/itemProps6.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265</TotalTime>
  <Pages>1</Pages>
  <Words>13665</Words>
  <Characters>77893</Characters>
  <Application>Microsoft Office Word</Application>
  <DocSecurity>4</DocSecurity>
  <Lines>649</Lines>
  <Paragraphs>182</Paragraphs>
  <ScaleCrop>false</ScaleCrop>
  <HeadingPairs>
    <vt:vector size="2" baseType="variant">
      <vt:variant>
        <vt:lpstr>Title</vt:lpstr>
      </vt:variant>
      <vt:variant>
        <vt:i4>1</vt:i4>
      </vt:variant>
    </vt:vector>
  </HeadingPairs>
  <TitlesOfParts>
    <vt:vector size="1" baseType="lpstr">
      <vt:lpstr>Overview - Interim report - Review of the National School Reform Agreement</vt:lpstr>
    </vt:vector>
  </TitlesOfParts>
  <Company>Productivity Commission</Company>
  <LinksUpToDate>false</LinksUpToDate>
  <CharactersWithSpaces>91376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Overview - Interim report - Review of the National School Reform Agreement</dc:title>
  <dc:subject>Interim report overview</dc:subject>
  <dc:creator>Productivity Commission</dc:creator>
  <cp:keywords/>
  <dc:description/>
  <cp:lastModifiedBy>Michelle Cross</cp:lastModifiedBy>
  <cp:revision>89</cp:revision>
  <cp:lastPrinted>2022-09-13T01:12:00Z</cp:lastPrinted>
  <dcterms:created xsi:type="dcterms:W3CDTF">2022-09-12T09:15:00Z</dcterms:created>
  <dcterms:modified xsi:type="dcterms:W3CDTF">2022-09-13T01:12:00Z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637629323326921041</vt:lpwstr>
  </property>
  <property fmtid="{D5CDD505-2E9C-101B-9397-08002B2CF9AE}" pid="4" name="TemplafyUserProfileId">
    <vt:lpwstr>637800438628935677</vt:lpwstr>
  </property>
  <property fmtid="{D5CDD505-2E9C-101B-9397-08002B2CF9AE}" pid="5" name="TemplafyFromBlank">
    <vt:bool>false</vt:bool>
  </property>
  <property fmtid="{D5CDD505-2E9C-101B-9397-08002B2CF9AE}" pid="6" name="ContentTypeId">
    <vt:lpwstr>0x010100BA39D53A6EC3464A8EC21955720B744F</vt:lpwstr>
  </property>
  <property fmtid="{D5CDD505-2E9C-101B-9397-08002B2CF9AE}" pid="7" name="RevIMBCS">
    <vt:lpwstr>1;#Unclassified|3955eeb1-2d18-4582-aeb2-00144ec3aaf5</vt:lpwstr>
  </property>
  <property fmtid="{D5CDD505-2E9C-101B-9397-08002B2CF9AE}" pid="8" name="ZOTERO_PREF_1">
    <vt:lpwstr>&lt;data data-version="3" zotero-version="6.0.9"&gt;&lt;session id="kH3FabhF"/&gt;&lt;style id="http://www.zotero.org/styles/Productivity-Commission" hasBibliography="1" bibliographyStyleHasBeenSet="1"/&gt;&lt;prefs&gt;&lt;pref name="fieldType" value="Field"/&gt;&lt;pref name="delayCitat</vt:lpwstr>
  </property>
  <property fmtid="{D5CDD505-2E9C-101B-9397-08002B2CF9AE}" pid="9" name="ZOTERO_PREF_2">
    <vt:lpwstr>ionUpdates" value="true"/&gt;&lt;pref name="dontAskDelayCitationUpdates" value="true"/&gt;&lt;/prefs&gt;&lt;/data&gt;</vt:lpwstr>
  </property>
</Properties>
</file>